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867" w:line="360" w:lineRule="auto"/>
        <w:ind w:left="0" w:firstLine="0"/>
        <w:rPr>
          <w:szCs w:val="24"/>
        </w:rPr>
      </w:pPr>
    </w:p>
    <w:p>
      <w:pPr>
        <w:pStyle w:val="2"/>
        <w:ind w:left="480" w:firstLine="1044"/>
        <w:jc w:val="center"/>
        <w:rPr>
          <w:b/>
          <w:bCs/>
          <w:sz w:val="52"/>
          <w:szCs w:val="52"/>
        </w:rPr>
      </w:pPr>
      <w:r>
        <w:rPr>
          <w:rFonts w:hint="eastAsia"/>
          <w:b/>
          <w:bCs/>
          <w:sz w:val="52"/>
          <w:szCs w:val="52"/>
        </w:rPr>
        <w:t>北京市房山区人民防空办公室</w:t>
      </w:r>
    </w:p>
    <w:p>
      <w:pPr>
        <w:pStyle w:val="2"/>
        <w:ind w:left="480" w:firstLine="1044"/>
        <w:jc w:val="center"/>
        <w:rPr>
          <w:b/>
          <w:bCs/>
          <w:sz w:val="52"/>
          <w:szCs w:val="52"/>
        </w:rPr>
      </w:pPr>
      <w:r>
        <w:rPr>
          <w:rFonts w:hint="eastAsia"/>
          <w:b/>
          <w:bCs/>
          <w:sz w:val="52"/>
          <w:szCs w:val="52"/>
        </w:rPr>
        <w:t>加州水郡西区、中冶蓝城</w:t>
      </w:r>
    </w:p>
    <w:p>
      <w:pPr>
        <w:pStyle w:val="2"/>
        <w:ind w:left="480" w:firstLine="1044"/>
        <w:jc w:val="center"/>
        <w:rPr>
          <w:b/>
          <w:bCs/>
          <w:sz w:val="52"/>
          <w:szCs w:val="52"/>
        </w:rPr>
      </w:pPr>
      <w:r>
        <w:rPr>
          <w:rFonts w:hint="eastAsia"/>
          <w:b/>
          <w:bCs/>
          <w:sz w:val="52"/>
          <w:szCs w:val="52"/>
        </w:rPr>
        <w:t>地下人防工程</w:t>
      </w:r>
      <w:bookmarkStart w:id="2778" w:name="_GoBack"/>
      <w:bookmarkEnd w:id="2778"/>
      <w:r>
        <w:rPr>
          <w:rFonts w:hint="eastAsia"/>
          <w:b/>
          <w:bCs/>
          <w:sz w:val="52"/>
          <w:szCs w:val="52"/>
        </w:rPr>
        <w:t>维修工程</w:t>
      </w:r>
    </w:p>
    <w:p>
      <w:pPr>
        <w:pStyle w:val="2"/>
        <w:ind w:left="480" w:firstLine="1044"/>
        <w:jc w:val="center"/>
        <w:rPr>
          <w:b/>
          <w:bCs/>
          <w:sz w:val="52"/>
          <w:szCs w:val="52"/>
        </w:rPr>
      </w:pPr>
    </w:p>
    <w:p>
      <w:pPr>
        <w:pStyle w:val="2"/>
        <w:ind w:left="480" w:firstLine="480"/>
        <w:jc w:val="center"/>
      </w:pPr>
    </w:p>
    <w:p>
      <w:pPr>
        <w:spacing w:after="0" w:line="360" w:lineRule="auto"/>
        <w:ind w:left="-5" w:firstLine="883" w:firstLineChars="200"/>
        <w:jc w:val="center"/>
        <w:rPr>
          <w:sz w:val="44"/>
          <w:szCs w:val="44"/>
        </w:rPr>
      </w:pPr>
      <w:r>
        <w:rPr>
          <w:rFonts w:cs="Microsoft YaHei UI"/>
          <w:b/>
          <w:bCs/>
          <w:sz w:val="44"/>
          <w:szCs w:val="44"/>
        </w:rPr>
        <w:t>竞争性磋商文件</w:t>
      </w:r>
      <w:r>
        <w:rPr>
          <w:rFonts w:cs="Microsoft YaHei UI"/>
          <w:sz w:val="44"/>
          <w:szCs w:val="44"/>
        </w:rPr>
        <w:t xml:space="preserve"> </w:t>
      </w:r>
    </w:p>
    <w:p>
      <w:pPr>
        <w:spacing w:after="0" w:line="360" w:lineRule="auto"/>
        <w:ind w:left="0" w:firstLine="0"/>
        <w:jc w:val="center"/>
        <w:rPr>
          <w:sz w:val="44"/>
          <w:szCs w:val="44"/>
        </w:rPr>
      </w:pPr>
      <w:r>
        <w:rPr>
          <w:rFonts w:cs="Microsoft YaHei UI"/>
          <w:sz w:val="44"/>
          <w:szCs w:val="44"/>
        </w:rPr>
        <w:t> </w:t>
      </w:r>
      <w:r>
        <w:rPr>
          <w:rFonts w:cs="Microsoft YaHei UI"/>
          <w:b/>
          <w:bCs/>
          <w:sz w:val="44"/>
          <w:szCs w:val="44"/>
        </w:rPr>
        <w:t>（工程类）</w:t>
      </w:r>
      <w:r>
        <w:rPr>
          <w:rFonts w:cs="Microsoft YaHei UI"/>
          <w:sz w:val="44"/>
          <w:szCs w:val="44"/>
        </w:rPr>
        <w:t xml:space="preserve"> </w:t>
      </w:r>
    </w:p>
    <w:p>
      <w:pPr>
        <w:spacing w:after="0" w:line="360" w:lineRule="auto"/>
        <w:ind w:left="1450"/>
        <w:rPr>
          <w:rFonts w:cs="Microsoft YaHei UI"/>
          <w:sz w:val="44"/>
          <w:szCs w:val="44"/>
        </w:rPr>
      </w:pPr>
      <w:r>
        <w:rPr>
          <w:rFonts w:cs="Microsoft YaHei UI"/>
          <w:sz w:val="44"/>
          <w:szCs w:val="44"/>
        </w:rPr>
        <w:t></w:t>
      </w:r>
    </w:p>
    <w:p>
      <w:pPr>
        <w:pStyle w:val="2"/>
        <w:spacing w:line="360" w:lineRule="auto"/>
        <w:ind w:left="480" w:firstLine="560"/>
        <w:rPr>
          <w:sz w:val="28"/>
          <w:szCs w:val="28"/>
        </w:rPr>
      </w:pPr>
    </w:p>
    <w:p>
      <w:pPr>
        <w:spacing w:after="354" w:line="360" w:lineRule="auto"/>
        <w:ind w:left="420" w:firstLine="0"/>
        <w:rPr>
          <w:sz w:val="28"/>
          <w:szCs w:val="28"/>
        </w:rPr>
      </w:pPr>
    </w:p>
    <w:p>
      <w:pPr>
        <w:pStyle w:val="2"/>
        <w:spacing w:line="360" w:lineRule="auto"/>
        <w:ind w:left="480" w:firstLine="480"/>
      </w:pPr>
    </w:p>
    <w:p>
      <w:pPr>
        <w:pStyle w:val="2"/>
        <w:spacing w:line="360" w:lineRule="auto"/>
        <w:ind w:left="480" w:firstLine="480"/>
      </w:pPr>
    </w:p>
    <w:p>
      <w:pPr>
        <w:spacing w:after="0" w:line="360" w:lineRule="auto"/>
        <w:ind w:left="0" w:right="171" w:firstLine="562" w:firstLineChars="200"/>
        <w:rPr>
          <w:rFonts w:cs="Microsoft YaHei UI"/>
          <w:b/>
          <w:bCs/>
          <w:sz w:val="28"/>
          <w:szCs w:val="28"/>
        </w:rPr>
      </w:pPr>
      <w:r>
        <w:rPr>
          <w:rFonts w:cs="Microsoft YaHei UI"/>
          <w:b/>
          <w:bCs/>
          <w:sz w:val="28"/>
          <w:szCs w:val="28"/>
        </w:rPr>
        <w:t>项目编号：SXHY-GKZB-2021-0</w:t>
      </w:r>
      <w:r>
        <w:rPr>
          <w:rFonts w:hint="eastAsia" w:cs="Microsoft YaHei UI"/>
          <w:b/>
          <w:bCs/>
          <w:sz w:val="28"/>
          <w:szCs w:val="28"/>
        </w:rPr>
        <w:t>91</w:t>
      </w:r>
    </w:p>
    <w:p>
      <w:pPr>
        <w:spacing w:after="0" w:line="360" w:lineRule="auto"/>
        <w:ind w:left="0" w:right="171" w:firstLine="562" w:firstLineChars="200"/>
        <w:rPr>
          <w:rFonts w:cs="Microsoft YaHei UI"/>
          <w:b/>
          <w:bCs/>
          <w:sz w:val="28"/>
          <w:szCs w:val="28"/>
        </w:rPr>
      </w:pPr>
      <w:bookmarkStart w:id="0" w:name="_Hlk3184142"/>
      <w:r>
        <w:rPr>
          <w:rFonts w:hint="eastAsia" w:cs="Microsoft YaHei UI"/>
          <w:b/>
          <w:bCs/>
          <w:sz w:val="28"/>
          <w:szCs w:val="28"/>
        </w:rPr>
        <w:t>招标人：北京市房山区人民防空办公室</w:t>
      </w:r>
    </w:p>
    <w:bookmarkEnd w:id="0"/>
    <w:p>
      <w:pPr>
        <w:spacing w:after="273" w:line="360" w:lineRule="auto"/>
        <w:ind w:firstLine="562" w:firstLineChars="200"/>
        <w:rPr>
          <w:rFonts w:cs="Microsoft YaHei UI"/>
          <w:b/>
          <w:bCs/>
          <w:sz w:val="28"/>
          <w:szCs w:val="28"/>
        </w:rPr>
      </w:pPr>
      <w:r>
        <w:rPr>
          <w:rFonts w:cs="Microsoft YaHei UI"/>
          <w:b/>
          <w:bCs/>
          <w:sz w:val="28"/>
          <w:szCs w:val="28"/>
        </w:rPr>
        <w:t>招标代理公司</w:t>
      </w:r>
      <w:r>
        <w:rPr>
          <w:rFonts w:hint="eastAsia" w:cs="Microsoft YaHei UI"/>
          <w:b/>
          <w:bCs/>
          <w:sz w:val="28"/>
          <w:szCs w:val="28"/>
        </w:rPr>
        <w:t>：北京盛欣宏益商务服务有限公司</w:t>
      </w:r>
    </w:p>
    <w:p>
      <w:pPr>
        <w:spacing w:after="259" w:line="360" w:lineRule="auto"/>
        <w:ind w:left="0" w:firstLine="0"/>
        <w:rPr>
          <w:szCs w:val="24"/>
        </w:rPr>
        <w:sectPr>
          <w:headerReference r:id="rId7" w:type="first"/>
          <w:footerReference r:id="rId10" w:type="first"/>
          <w:headerReference r:id="rId5" w:type="default"/>
          <w:footerReference r:id="rId8" w:type="default"/>
          <w:headerReference r:id="rId6" w:type="even"/>
          <w:footerReference r:id="rId9" w:type="even"/>
          <w:pgSz w:w="11904" w:h="16840"/>
          <w:pgMar w:top="1250" w:right="1295" w:bottom="1487" w:left="1237" w:header="879" w:footer="868" w:gutter="0"/>
          <w:cols w:space="720" w:num="1"/>
        </w:sectPr>
      </w:pPr>
    </w:p>
    <w:p>
      <w:pPr>
        <w:spacing w:after="0" w:line="360" w:lineRule="auto"/>
        <w:ind w:left="0" w:firstLine="0"/>
        <w:rPr>
          <w:sz w:val="30"/>
          <w:szCs w:val="30"/>
        </w:rPr>
      </w:pPr>
    </w:p>
    <w:sdt>
      <w:sdtPr>
        <w:rPr>
          <w:rFonts w:ascii="黑体" w:hAnsi="黑体" w:eastAsia="黑体" w:cs="黑体"/>
          <w:sz w:val="30"/>
          <w:szCs w:val="30"/>
        </w:rPr>
        <w:id w:val="147464243"/>
        <w:docPartObj>
          <w:docPartGallery w:val="Table of Contents"/>
          <w:docPartUnique/>
        </w:docPartObj>
      </w:sdtPr>
      <w:sdtEndPr>
        <w:rPr>
          <w:rFonts w:ascii="黑体" w:hAnsi="黑体" w:eastAsia="黑体" w:cs="黑体"/>
          <w:b/>
          <w:bCs/>
          <w:sz w:val="48"/>
          <w:szCs w:val="24"/>
        </w:rPr>
      </w:sdtEndPr>
      <w:sdtContent>
        <w:p>
          <w:pPr>
            <w:spacing w:line="240" w:lineRule="auto"/>
            <w:ind w:left="0" w:firstLine="0"/>
            <w:jc w:val="center"/>
            <w:rPr>
              <w:sz w:val="30"/>
              <w:szCs w:val="30"/>
            </w:rPr>
          </w:pPr>
          <w:bookmarkStart w:id="1" w:name="_Toc77206834"/>
          <w:bookmarkStart w:id="2" w:name="_Toc79057498"/>
          <w:bookmarkStart w:id="3" w:name="_Toc1087"/>
          <w:r>
            <w:rPr>
              <w:sz w:val="30"/>
              <w:szCs w:val="30"/>
            </w:rPr>
            <w:t>目录</w:t>
          </w:r>
        </w:p>
        <w:p>
          <w:pPr>
            <w:pStyle w:val="30"/>
            <w:tabs>
              <w:tab w:val="right" w:leader="dot" w:pos="9362"/>
            </w:tabs>
            <w:spacing w:line="360" w:lineRule="auto"/>
            <w:ind w:left="0" w:leftChars="0" w:firstLine="0"/>
          </w:pPr>
          <w:r>
            <w:rPr>
              <w:rFonts w:hint="eastAsia"/>
              <w:b/>
              <w:bCs/>
              <w:szCs w:val="24"/>
            </w:rPr>
            <w:fldChar w:fldCharType="begin"/>
          </w:r>
          <w:r>
            <w:rPr>
              <w:rFonts w:hint="eastAsia"/>
              <w:b/>
              <w:bCs/>
              <w:szCs w:val="24"/>
            </w:rPr>
            <w:instrText xml:space="preserve">TOC \o "1-2" \h \u </w:instrText>
          </w:r>
          <w:r>
            <w:rPr>
              <w:rFonts w:hint="eastAsia"/>
              <w:b/>
              <w:bCs/>
              <w:szCs w:val="24"/>
            </w:rPr>
            <w:fldChar w:fldCharType="separate"/>
          </w:r>
          <w:r>
            <w:fldChar w:fldCharType="begin"/>
          </w:r>
          <w:r>
            <w:instrText xml:space="preserve"> HYPERLINK \l "_Toc86825485" </w:instrText>
          </w:r>
          <w:r>
            <w:fldChar w:fldCharType="separate"/>
          </w:r>
          <w:r>
            <w:rPr>
              <w:rFonts w:hint="eastAsia"/>
              <w:b/>
            </w:rPr>
            <w:t>第一章</w:t>
          </w:r>
          <w:r>
            <w:rPr>
              <w:b/>
            </w:rPr>
            <w:t xml:space="preserve"> </w:t>
          </w:r>
          <w:r>
            <w:rPr>
              <w:rFonts w:hint="eastAsia"/>
              <w:b/>
            </w:rPr>
            <w:t>磋商邀请</w:t>
          </w:r>
          <w:r>
            <w:tab/>
          </w:r>
          <w:r>
            <w:fldChar w:fldCharType="begin"/>
          </w:r>
          <w:r>
            <w:instrText xml:space="preserve"> PAGEREF _Toc86825485 \h </w:instrText>
          </w:r>
          <w:r>
            <w:fldChar w:fldCharType="separate"/>
          </w:r>
          <w:r>
            <w:t>1</w:t>
          </w:r>
          <w:r>
            <w:fldChar w:fldCharType="end"/>
          </w:r>
          <w:r>
            <w:fldChar w:fldCharType="end"/>
          </w:r>
        </w:p>
        <w:p>
          <w:pPr>
            <w:pStyle w:val="30"/>
            <w:tabs>
              <w:tab w:val="right" w:leader="dot" w:pos="9362"/>
            </w:tabs>
            <w:spacing w:line="360" w:lineRule="auto"/>
            <w:ind w:left="490"/>
          </w:pPr>
          <w:r>
            <w:fldChar w:fldCharType="begin"/>
          </w:r>
          <w:r>
            <w:instrText xml:space="preserve"> HYPERLINK \l "_Toc86825486" </w:instrText>
          </w:r>
          <w:r>
            <w:fldChar w:fldCharType="separate"/>
          </w:r>
          <w:r>
            <w:rPr>
              <w:rFonts w:hint="eastAsia"/>
            </w:rPr>
            <w:t>一、项目概况：</w:t>
          </w:r>
          <w:r>
            <w:tab/>
          </w:r>
          <w:r>
            <w:fldChar w:fldCharType="begin"/>
          </w:r>
          <w:r>
            <w:instrText xml:space="preserve"> PAGEREF _Toc86825486 \h </w:instrText>
          </w:r>
          <w:r>
            <w:fldChar w:fldCharType="separate"/>
          </w:r>
          <w:r>
            <w:t>1</w:t>
          </w:r>
          <w:r>
            <w:fldChar w:fldCharType="end"/>
          </w:r>
          <w:r>
            <w:fldChar w:fldCharType="end"/>
          </w:r>
        </w:p>
        <w:p>
          <w:pPr>
            <w:pStyle w:val="30"/>
            <w:tabs>
              <w:tab w:val="right" w:leader="dot" w:pos="9362"/>
            </w:tabs>
            <w:spacing w:line="360" w:lineRule="auto"/>
            <w:ind w:left="490"/>
          </w:pPr>
          <w:r>
            <w:fldChar w:fldCharType="begin"/>
          </w:r>
          <w:r>
            <w:instrText xml:space="preserve"> HYPERLINK \l "_Toc86825487" </w:instrText>
          </w:r>
          <w:r>
            <w:fldChar w:fldCharType="separate"/>
          </w:r>
          <w:r>
            <w:rPr>
              <w:rFonts w:hint="eastAsia"/>
            </w:rPr>
            <w:t>二、合格响应供应商资格要求</w:t>
          </w:r>
          <w:r>
            <w:t xml:space="preserve"> </w:t>
          </w:r>
          <w:r>
            <w:rPr>
              <w:rFonts w:hint="eastAsia"/>
            </w:rPr>
            <w:t>：</w:t>
          </w:r>
          <w:r>
            <w:tab/>
          </w:r>
          <w:r>
            <w:fldChar w:fldCharType="begin"/>
          </w:r>
          <w:r>
            <w:instrText xml:space="preserve"> PAGEREF _Toc86825487 \h </w:instrText>
          </w:r>
          <w:r>
            <w:fldChar w:fldCharType="separate"/>
          </w:r>
          <w:r>
            <w:t>1</w:t>
          </w:r>
          <w:r>
            <w:fldChar w:fldCharType="end"/>
          </w:r>
          <w:r>
            <w:fldChar w:fldCharType="end"/>
          </w:r>
        </w:p>
        <w:p>
          <w:pPr>
            <w:pStyle w:val="30"/>
            <w:tabs>
              <w:tab w:val="right" w:leader="dot" w:pos="9362"/>
            </w:tabs>
            <w:spacing w:line="360" w:lineRule="auto"/>
            <w:ind w:left="490"/>
          </w:pPr>
          <w:r>
            <w:fldChar w:fldCharType="begin"/>
          </w:r>
          <w:r>
            <w:instrText xml:space="preserve"> HYPERLINK \l "_Toc86825488" </w:instrText>
          </w:r>
          <w:r>
            <w:fldChar w:fldCharType="separate"/>
          </w:r>
          <w:r>
            <w:rPr>
              <w:rFonts w:hint="eastAsia"/>
            </w:rPr>
            <w:t>三、获取磋商文件：</w:t>
          </w:r>
          <w:r>
            <w:tab/>
          </w:r>
          <w:r>
            <w:fldChar w:fldCharType="begin"/>
          </w:r>
          <w:r>
            <w:instrText xml:space="preserve"> PAGEREF _Toc86825488 \h </w:instrText>
          </w:r>
          <w:r>
            <w:fldChar w:fldCharType="separate"/>
          </w:r>
          <w:r>
            <w:t>2</w:t>
          </w:r>
          <w:r>
            <w:fldChar w:fldCharType="end"/>
          </w:r>
          <w:r>
            <w:fldChar w:fldCharType="end"/>
          </w:r>
        </w:p>
        <w:p>
          <w:pPr>
            <w:pStyle w:val="30"/>
            <w:tabs>
              <w:tab w:val="right" w:leader="dot" w:pos="9362"/>
            </w:tabs>
            <w:spacing w:line="360" w:lineRule="auto"/>
            <w:ind w:left="490"/>
          </w:pPr>
          <w:r>
            <w:fldChar w:fldCharType="begin"/>
          </w:r>
          <w:r>
            <w:instrText xml:space="preserve"> HYPERLINK \l "_Toc86825489" </w:instrText>
          </w:r>
          <w:r>
            <w:fldChar w:fldCharType="separate"/>
          </w:r>
          <w:r>
            <w:rPr>
              <w:rFonts w:hint="eastAsia"/>
            </w:rPr>
            <w:t>四、响应截止时间及递交地点</w:t>
          </w:r>
          <w:r>
            <w:tab/>
          </w:r>
          <w:r>
            <w:fldChar w:fldCharType="begin"/>
          </w:r>
          <w:r>
            <w:instrText xml:space="preserve"> PAGEREF _Toc86825489 \h </w:instrText>
          </w:r>
          <w:r>
            <w:fldChar w:fldCharType="separate"/>
          </w:r>
          <w:r>
            <w:t>3</w:t>
          </w:r>
          <w:r>
            <w:fldChar w:fldCharType="end"/>
          </w:r>
          <w:r>
            <w:fldChar w:fldCharType="end"/>
          </w:r>
        </w:p>
        <w:p>
          <w:pPr>
            <w:pStyle w:val="30"/>
            <w:tabs>
              <w:tab w:val="right" w:leader="dot" w:pos="9362"/>
            </w:tabs>
            <w:spacing w:line="360" w:lineRule="auto"/>
            <w:ind w:left="490"/>
          </w:pPr>
          <w:r>
            <w:fldChar w:fldCharType="begin"/>
          </w:r>
          <w:r>
            <w:instrText xml:space="preserve"> HYPERLINK \l "_Toc86825490" </w:instrText>
          </w:r>
          <w:r>
            <w:fldChar w:fldCharType="separate"/>
          </w:r>
          <w:r>
            <w:rPr>
              <w:rFonts w:hint="eastAsia"/>
            </w:rPr>
            <w:t>五、开启：</w:t>
          </w:r>
          <w:r>
            <w:tab/>
          </w:r>
          <w:r>
            <w:fldChar w:fldCharType="begin"/>
          </w:r>
          <w:r>
            <w:instrText xml:space="preserve"> PAGEREF _Toc86825490 \h </w:instrText>
          </w:r>
          <w:r>
            <w:fldChar w:fldCharType="separate"/>
          </w:r>
          <w:r>
            <w:t>3</w:t>
          </w:r>
          <w:r>
            <w:fldChar w:fldCharType="end"/>
          </w:r>
          <w:r>
            <w:fldChar w:fldCharType="end"/>
          </w:r>
        </w:p>
        <w:p>
          <w:pPr>
            <w:pStyle w:val="30"/>
            <w:tabs>
              <w:tab w:val="right" w:leader="dot" w:pos="9362"/>
            </w:tabs>
            <w:spacing w:line="360" w:lineRule="auto"/>
            <w:ind w:left="490"/>
          </w:pPr>
          <w:r>
            <w:fldChar w:fldCharType="begin"/>
          </w:r>
          <w:r>
            <w:instrText xml:space="preserve"> HYPERLINK \l "_Toc86825491" </w:instrText>
          </w:r>
          <w:r>
            <w:fldChar w:fldCharType="separate"/>
          </w:r>
          <w:r>
            <w:rPr>
              <w:rFonts w:hint="eastAsia"/>
            </w:rPr>
            <w:t>六、公告期限：</w:t>
          </w:r>
          <w:r>
            <w:tab/>
          </w:r>
          <w:r>
            <w:fldChar w:fldCharType="begin"/>
          </w:r>
          <w:r>
            <w:instrText xml:space="preserve"> PAGEREF _Toc86825491 \h </w:instrText>
          </w:r>
          <w:r>
            <w:fldChar w:fldCharType="separate"/>
          </w:r>
          <w:r>
            <w:t>3</w:t>
          </w:r>
          <w:r>
            <w:fldChar w:fldCharType="end"/>
          </w:r>
          <w:r>
            <w:fldChar w:fldCharType="end"/>
          </w:r>
        </w:p>
        <w:p>
          <w:pPr>
            <w:pStyle w:val="30"/>
            <w:tabs>
              <w:tab w:val="right" w:leader="dot" w:pos="9362"/>
            </w:tabs>
            <w:spacing w:line="360" w:lineRule="auto"/>
            <w:ind w:left="490"/>
          </w:pPr>
          <w:r>
            <w:fldChar w:fldCharType="begin"/>
          </w:r>
          <w:r>
            <w:instrText xml:space="preserve"> HYPERLINK \l "_Toc86825492" </w:instrText>
          </w:r>
          <w:r>
            <w:fldChar w:fldCharType="separate"/>
          </w:r>
          <w:r>
            <w:rPr>
              <w:rFonts w:hint="eastAsia"/>
            </w:rPr>
            <w:t>七、其他补充事宜</w:t>
          </w:r>
          <w:r>
            <w:tab/>
          </w:r>
          <w:r>
            <w:fldChar w:fldCharType="begin"/>
          </w:r>
          <w:r>
            <w:instrText xml:space="preserve"> PAGEREF _Toc86825492 \h </w:instrText>
          </w:r>
          <w:r>
            <w:fldChar w:fldCharType="separate"/>
          </w:r>
          <w:r>
            <w:t>3</w:t>
          </w:r>
          <w:r>
            <w:fldChar w:fldCharType="end"/>
          </w:r>
          <w:r>
            <w:fldChar w:fldCharType="end"/>
          </w:r>
        </w:p>
        <w:p>
          <w:pPr>
            <w:pStyle w:val="30"/>
            <w:tabs>
              <w:tab w:val="right" w:leader="dot" w:pos="9362"/>
            </w:tabs>
            <w:spacing w:line="360" w:lineRule="auto"/>
            <w:ind w:left="490"/>
          </w:pPr>
          <w:r>
            <w:fldChar w:fldCharType="begin"/>
          </w:r>
          <w:r>
            <w:instrText xml:space="preserve"> HYPERLINK \l "_Toc86825493" </w:instrText>
          </w:r>
          <w:r>
            <w:fldChar w:fldCharType="separate"/>
          </w:r>
          <w:r>
            <w:rPr>
              <w:rFonts w:hint="eastAsia"/>
            </w:rPr>
            <w:t>八、采购人、采购代理机构的名称、地址和联系方式</w:t>
          </w:r>
          <w:r>
            <w:t xml:space="preserve"> </w:t>
          </w:r>
          <w:r>
            <w:rPr>
              <w:rFonts w:hint="eastAsia"/>
            </w:rPr>
            <w:t>：</w:t>
          </w:r>
          <w:r>
            <w:tab/>
          </w:r>
          <w:r>
            <w:fldChar w:fldCharType="begin"/>
          </w:r>
          <w:r>
            <w:instrText xml:space="preserve"> PAGEREF _Toc86825493 \h </w:instrText>
          </w:r>
          <w:r>
            <w:fldChar w:fldCharType="separate"/>
          </w:r>
          <w:r>
            <w:t>4</w:t>
          </w:r>
          <w:r>
            <w:fldChar w:fldCharType="end"/>
          </w:r>
          <w:r>
            <w:fldChar w:fldCharType="end"/>
          </w:r>
        </w:p>
        <w:p>
          <w:pPr>
            <w:pStyle w:val="30"/>
            <w:tabs>
              <w:tab w:val="right" w:leader="dot" w:pos="9362"/>
            </w:tabs>
            <w:spacing w:line="360" w:lineRule="auto"/>
            <w:ind w:left="490"/>
          </w:pPr>
          <w:r>
            <w:fldChar w:fldCharType="begin"/>
          </w:r>
          <w:r>
            <w:instrText xml:space="preserve"> HYPERLINK \l "_Toc86825494" </w:instrText>
          </w:r>
          <w:r>
            <w:fldChar w:fldCharType="separate"/>
          </w:r>
          <w:r>
            <w:rPr>
              <w:rFonts w:hint="eastAsia"/>
            </w:rPr>
            <w:t>九、 对本次招标提出询问，接收质疑函请按以下方式联系</w:t>
          </w:r>
          <w:r>
            <w:tab/>
          </w:r>
          <w:r>
            <w:fldChar w:fldCharType="begin"/>
          </w:r>
          <w:r>
            <w:instrText xml:space="preserve"> PAGEREF _Toc86825494 \h </w:instrText>
          </w:r>
          <w:r>
            <w:fldChar w:fldCharType="separate"/>
          </w:r>
          <w:r>
            <w:t>4</w:t>
          </w:r>
          <w:r>
            <w:fldChar w:fldCharType="end"/>
          </w:r>
          <w:r>
            <w:fldChar w:fldCharType="end"/>
          </w:r>
        </w:p>
        <w:p>
          <w:pPr>
            <w:pStyle w:val="30"/>
            <w:tabs>
              <w:tab w:val="right" w:leader="dot" w:pos="9362"/>
            </w:tabs>
            <w:spacing w:line="360" w:lineRule="auto"/>
            <w:ind w:left="0" w:leftChars="0" w:firstLine="0"/>
          </w:pPr>
          <w:r>
            <w:fldChar w:fldCharType="begin"/>
          </w:r>
          <w:r>
            <w:instrText xml:space="preserve"> HYPERLINK \l "_Toc86825495" </w:instrText>
          </w:r>
          <w:r>
            <w:fldChar w:fldCharType="separate"/>
          </w:r>
          <w:r>
            <w:rPr>
              <w:rFonts w:hint="eastAsia"/>
              <w:b/>
            </w:rPr>
            <w:t>第二章</w:t>
          </w:r>
          <w:r>
            <w:rPr>
              <w:b/>
            </w:rPr>
            <w:t xml:space="preserve"> </w:t>
          </w:r>
          <w:r>
            <w:rPr>
              <w:rFonts w:hint="eastAsia"/>
              <w:b/>
            </w:rPr>
            <w:t>响应供应商须知</w:t>
          </w:r>
          <w:r>
            <w:tab/>
          </w:r>
          <w:r>
            <w:fldChar w:fldCharType="begin"/>
          </w:r>
          <w:r>
            <w:instrText xml:space="preserve"> PAGEREF _Toc86825495 \h </w:instrText>
          </w:r>
          <w:r>
            <w:fldChar w:fldCharType="separate"/>
          </w:r>
          <w:r>
            <w:t>5</w:t>
          </w:r>
          <w:r>
            <w:fldChar w:fldCharType="end"/>
          </w:r>
          <w:r>
            <w:fldChar w:fldCharType="end"/>
          </w:r>
        </w:p>
        <w:p>
          <w:pPr>
            <w:pStyle w:val="30"/>
            <w:tabs>
              <w:tab w:val="right" w:leader="dot" w:pos="9362"/>
            </w:tabs>
            <w:spacing w:line="360" w:lineRule="auto"/>
            <w:ind w:left="490"/>
          </w:pPr>
          <w:r>
            <w:fldChar w:fldCharType="begin"/>
          </w:r>
          <w:r>
            <w:instrText xml:space="preserve"> HYPERLINK \l "_Toc86825496" </w:instrText>
          </w:r>
          <w:r>
            <w:fldChar w:fldCharType="separate"/>
          </w:r>
          <w:r>
            <w:t>1</w:t>
          </w:r>
          <w:r>
            <w:rPr>
              <w:rFonts w:hint="eastAsia"/>
            </w:rPr>
            <w:t>、总体说明</w:t>
          </w:r>
          <w:r>
            <w:tab/>
          </w:r>
          <w:r>
            <w:fldChar w:fldCharType="begin"/>
          </w:r>
          <w:r>
            <w:instrText xml:space="preserve"> PAGEREF _Toc86825496 \h </w:instrText>
          </w:r>
          <w:r>
            <w:fldChar w:fldCharType="separate"/>
          </w:r>
          <w:r>
            <w:t>5</w:t>
          </w:r>
          <w:r>
            <w:fldChar w:fldCharType="end"/>
          </w:r>
          <w:r>
            <w:fldChar w:fldCharType="end"/>
          </w:r>
        </w:p>
        <w:p>
          <w:pPr>
            <w:pStyle w:val="30"/>
            <w:tabs>
              <w:tab w:val="right" w:leader="dot" w:pos="9362"/>
            </w:tabs>
            <w:spacing w:line="360" w:lineRule="auto"/>
            <w:ind w:left="490"/>
          </w:pPr>
          <w:r>
            <w:fldChar w:fldCharType="begin"/>
          </w:r>
          <w:r>
            <w:instrText xml:space="preserve"> HYPERLINK \l "_Toc86825497" </w:instrText>
          </w:r>
          <w:r>
            <w:fldChar w:fldCharType="separate"/>
          </w:r>
          <w:r>
            <w:t>2</w:t>
          </w:r>
          <w:r>
            <w:rPr>
              <w:rFonts w:hint="eastAsia"/>
            </w:rPr>
            <w:t>、合格的货物、工程和服务</w:t>
          </w:r>
          <w:r>
            <w:tab/>
          </w:r>
          <w:r>
            <w:fldChar w:fldCharType="begin"/>
          </w:r>
          <w:r>
            <w:instrText xml:space="preserve"> PAGEREF _Toc86825497 \h </w:instrText>
          </w:r>
          <w:r>
            <w:fldChar w:fldCharType="separate"/>
          </w:r>
          <w:r>
            <w:t>5</w:t>
          </w:r>
          <w:r>
            <w:fldChar w:fldCharType="end"/>
          </w:r>
          <w:r>
            <w:fldChar w:fldCharType="end"/>
          </w:r>
        </w:p>
        <w:p>
          <w:pPr>
            <w:pStyle w:val="30"/>
            <w:tabs>
              <w:tab w:val="right" w:leader="dot" w:pos="9362"/>
            </w:tabs>
            <w:spacing w:line="360" w:lineRule="auto"/>
            <w:ind w:left="490"/>
          </w:pPr>
          <w:r>
            <w:fldChar w:fldCharType="begin"/>
          </w:r>
          <w:r>
            <w:instrText xml:space="preserve"> HYPERLINK \l "_Toc86825498" </w:instrText>
          </w:r>
          <w:r>
            <w:fldChar w:fldCharType="separate"/>
          </w:r>
          <w:r>
            <w:t>3</w:t>
          </w:r>
          <w:r>
            <w:rPr>
              <w:rFonts w:hint="eastAsia"/>
            </w:rPr>
            <w:t>、知识产权</w:t>
          </w:r>
          <w:r>
            <w:tab/>
          </w:r>
          <w:r>
            <w:fldChar w:fldCharType="begin"/>
          </w:r>
          <w:r>
            <w:instrText xml:space="preserve"> PAGEREF _Toc86825498 \h </w:instrText>
          </w:r>
          <w:r>
            <w:fldChar w:fldCharType="separate"/>
          </w:r>
          <w:r>
            <w:t>5</w:t>
          </w:r>
          <w:r>
            <w:fldChar w:fldCharType="end"/>
          </w:r>
          <w:r>
            <w:fldChar w:fldCharType="end"/>
          </w:r>
        </w:p>
        <w:p>
          <w:pPr>
            <w:pStyle w:val="30"/>
            <w:tabs>
              <w:tab w:val="right" w:leader="dot" w:pos="9362"/>
            </w:tabs>
            <w:spacing w:line="360" w:lineRule="auto"/>
            <w:ind w:left="490"/>
          </w:pPr>
          <w:r>
            <w:fldChar w:fldCharType="begin"/>
          </w:r>
          <w:r>
            <w:instrText xml:space="preserve"> HYPERLINK \l "_Toc86825499" </w:instrText>
          </w:r>
          <w:r>
            <w:fldChar w:fldCharType="separate"/>
          </w:r>
          <w:r>
            <w:t>4</w:t>
          </w:r>
          <w:r>
            <w:rPr>
              <w:rFonts w:hint="eastAsia"/>
            </w:rPr>
            <w:t>、磋商文件的组成</w:t>
          </w:r>
          <w:r>
            <w:tab/>
          </w:r>
          <w:r>
            <w:fldChar w:fldCharType="begin"/>
          </w:r>
          <w:r>
            <w:instrText xml:space="preserve"> PAGEREF _Toc86825499 \h </w:instrText>
          </w:r>
          <w:r>
            <w:fldChar w:fldCharType="separate"/>
          </w:r>
          <w:r>
            <w:t>5</w:t>
          </w:r>
          <w:r>
            <w:fldChar w:fldCharType="end"/>
          </w:r>
          <w:r>
            <w:fldChar w:fldCharType="end"/>
          </w:r>
        </w:p>
        <w:p>
          <w:pPr>
            <w:pStyle w:val="30"/>
            <w:tabs>
              <w:tab w:val="right" w:leader="dot" w:pos="9362"/>
            </w:tabs>
            <w:spacing w:line="360" w:lineRule="auto"/>
            <w:ind w:left="490"/>
          </w:pPr>
          <w:r>
            <w:fldChar w:fldCharType="begin"/>
          </w:r>
          <w:r>
            <w:instrText xml:space="preserve"> HYPERLINK \l "_Toc86825500" </w:instrText>
          </w:r>
          <w:r>
            <w:fldChar w:fldCharType="separate"/>
          </w:r>
          <w:r>
            <w:t>5</w:t>
          </w:r>
          <w:r>
            <w:rPr>
              <w:rFonts w:hint="eastAsia"/>
            </w:rPr>
            <w:t>、磋商文件的澄清</w:t>
          </w:r>
          <w:r>
            <w:tab/>
          </w:r>
          <w:r>
            <w:fldChar w:fldCharType="begin"/>
          </w:r>
          <w:r>
            <w:instrText xml:space="preserve"> PAGEREF _Toc86825500 \h </w:instrText>
          </w:r>
          <w:r>
            <w:fldChar w:fldCharType="separate"/>
          </w:r>
          <w:r>
            <w:t>6</w:t>
          </w:r>
          <w:r>
            <w:fldChar w:fldCharType="end"/>
          </w:r>
          <w:r>
            <w:fldChar w:fldCharType="end"/>
          </w:r>
        </w:p>
        <w:p>
          <w:pPr>
            <w:pStyle w:val="30"/>
            <w:tabs>
              <w:tab w:val="right" w:leader="dot" w:pos="9362"/>
            </w:tabs>
            <w:spacing w:line="360" w:lineRule="auto"/>
            <w:ind w:left="490"/>
          </w:pPr>
          <w:r>
            <w:fldChar w:fldCharType="begin"/>
          </w:r>
          <w:r>
            <w:instrText xml:space="preserve"> HYPERLINK \l "_Toc86825501" </w:instrText>
          </w:r>
          <w:r>
            <w:fldChar w:fldCharType="separate"/>
          </w:r>
          <w:r>
            <w:t>6</w:t>
          </w:r>
          <w:r>
            <w:rPr>
              <w:rFonts w:hint="eastAsia"/>
            </w:rPr>
            <w:t>、响应文件的编写</w:t>
          </w:r>
          <w:r>
            <w:tab/>
          </w:r>
          <w:r>
            <w:fldChar w:fldCharType="begin"/>
          </w:r>
          <w:r>
            <w:instrText xml:space="preserve"> PAGEREF _Toc86825501 \h </w:instrText>
          </w:r>
          <w:r>
            <w:fldChar w:fldCharType="separate"/>
          </w:r>
          <w:r>
            <w:t>6</w:t>
          </w:r>
          <w:r>
            <w:fldChar w:fldCharType="end"/>
          </w:r>
          <w:r>
            <w:fldChar w:fldCharType="end"/>
          </w:r>
        </w:p>
        <w:p>
          <w:pPr>
            <w:pStyle w:val="30"/>
            <w:tabs>
              <w:tab w:val="right" w:leader="dot" w:pos="9362"/>
            </w:tabs>
            <w:spacing w:line="360" w:lineRule="auto"/>
            <w:ind w:left="490"/>
          </w:pPr>
          <w:r>
            <w:fldChar w:fldCharType="begin"/>
          </w:r>
          <w:r>
            <w:instrText xml:space="preserve"> HYPERLINK \l "_Toc86825502" </w:instrText>
          </w:r>
          <w:r>
            <w:fldChar w:fldCharType="separate"/>
          </w:r>
          <w:r>
            <w:t>7</w:t>
          </w:r>
          <w:r>
            <w:rPr>
              <w:rFonts w:hint="eastAsia"/>
            </w:rPr>
            <w:t>、约定形式：</w:t>
          </w:r>
          <w:r>
            <w:tab/>
          </w:r>
          <w:r>
            <w:fldChar w:fldCharType="begin"/>
          </w:r>
          <w:r>
            <w:instrText xml:space="preserve"> PAGEREF _Toc86825502 \h </w:instrText>
          </w:r>
          <w:r>
            <w:fldChar w:fldCharType="separate"/>
          </w:r>
          <w:r>
            <w:t>7</w:t>
          </w:r>
          <w:r>
            <w:fldChar w:fldCharType="end"/>
          </w:r>
          <w:r>
            <w:fldChar w:fldCharType="end"/>
          </w:r>
        </w:p>
        <w:p>
          <w:pPr>
            <w:pStyle w:val="30"/>
            <w:tabs>
              <w:tab w:val="right" w:leader="dot" w:pos="9362"/>
            </w:tabs>
            <w:spacing w:line="360" w:lineRule="auto"/>
            <w:ind w:left="490"/>
          </w:pPr>
          <w:r>
            <w:fldChar w:fldCharType="begin"/>
          </w:r>
          <w:r>
            <w:instrText xml:space="preserve"> HYPERLINK \l "_Toc86825503" </w:instrText>
          </w:r>
          <w:r>
            <w:fldChar w:fldCharType="separate"/>
          </w:r>
          <w:r>
            <w:t>8</w:t>
          </w:r>
          <w:r>
            <w:rPr>
              <w:rFonts w:hint="eastAsia"/>
            </w:rPr>
            <w:t>、响应文件的构成</w:t>
          </w:r>
          <w:r>
            <w:tab/>
          </w:r>
          <w:r>
            <w:fldChar w:fldCharType="begin"/>
          </w:r>
          <w:r>
            <w:instrText xml:space="preserve"> PAGEREF _Toc86825503 \h </w:instrText>
          </w:r>
          <w:r>
            <w:fldChar w:fldCharType="separate"/>
          </w:r>
          <w:r>
            <w:t>7</w:t>
          </w:r>
          <w:r>
            <w:fldChar w:fldCharType="end"/>
          </w:r>
          <w:r>
            <w:fldChar w:fldCharType="end"/>
          </w:r>
        </w:p>
        <w:p>
          <w:pPr>
            <w:pStyle w:val="30"/>
            <w:tabs>
              <w:tab w:val="right" w:leader="dot" w:pos="9362"/>
            </w:tabs>
            <w:spacing w:line="360" w:lineRule="auto"/>
            <w:ind w:left="490"/>
          </w:pPr>
          <w:r>
            <w:fldChar w:fldCharType="begin"/>
          </w:r>
          <w:r>
            <w:instrText xml:space="preserve"> HYPERLINK \l "_Toc86825504" </w:instrText>
          </w:r>
          <w:r>
            <w:fldChar w:fldCharType="separate"/>
          </w:r>
          <w:r>
            <w:t>9</w:t>
          </w:r>
          <w:r>
            <w:rPr>
              <w:rFonts w:hint="eastAsia"/>
            </w:rPr>
            <w:t>、响应文件的修改及撤回</w:t>
          </w:r>
          <w:r>
            <w:tab/>
          </w:r>
          <w:r>
            <w:fldChar w:fldCharType="begin"/>
          </w:r>
          <w:r>
            <w:instrText xml:space="preserve"> PAGEREF _Toc86825504 \h </w:instrText>
          </w:r>
          <w:r>
            <w:fldChar w:fldCharType="separate"/>
          </w:r>
          <w:r>
            <w:t>8</w:t>
          </w:r>
          <w:r>
            <w:fldChar w:fldCharType="end"/>
          </w:r>
          <w:r>
            <w:fldChar w:fldCharType="end"/>
          </w:r>
        </w:p>
        <w:p>
          <w:pPr>
            <w:pStyle w:val="30"/>
            <w:tabs>
              <w:tab w:val="right" w:leader="dot" w:pos="9362"/>
            </w:tabs>
            <w:spacing w:line="360" w:lineRule="auto"/>
            <w:ind w:left="490"/>
          </w:pPr>
          <w:r>
            <w:fldChar w:fldCharType="begin"/>
          </w:r>
          <w:r>
            <w:instrText xml:space="preserve"> HYPERLINK \l "_Toc86825505" </w:instrText>
          </w:r>
          <w:r>
            <w:fldChar w:fldCharType="separate"/>
          </w:r>
          <w:r>
            <w:t>10</w:t>
          </w:r>
          <w:r>
            <w:rPr>
              <w:rFonts w:hint="eastAsia"/>
            </w:rPr>
            <w:t>、响应文件装订：</w:t>
          </w:r>
          <w:r>
            <w:tab/>
          </w:r>
          <w:r>
            <w:fldChar w:fldCharType="begin"/>
          </w:r>
          <w:r>
            <w:instrText xml:space="preserve"> PAGEREF _Toc86825505 \h </w:instrText>
          </w:r>
          <w:r>
            <w:fldChar w:fldCharType="separate"/>
          </w:r>
          <w:r>
            <w:t>8</w:t>
          </w:r>
          <w:r>
            <w:fldChar w:fldCharType="end"/>
          </w:r>
          <w:r>
            <w:fldChar w:fldCharType="end"/>
          </w:r>
        </w:p>
        <w:p>
          <w:pPr>
            <w:pStyle w:val="30"/>
            <w:tabs>
              <w:tab w:val="right" w:leader="dot" w:pos="9362"/>
            </w:tabs>
            <w:spacing w:line="360" w:lineRule="auto"/>
            <w:ind w:left="490"/>
          </w:pPr>
          <w:r>
            <w:fldChar w:fldCharType="begin"/>
          </w:r>
          <w:r>
            <w:instrText xml:space="preserve"> HYPERLINK \l "_Toc86825506" </w:instrText>
          </w:r>
          <w:r>
            <w:fldChar w:fldCharType="separate"/>
          </w:r>
          <w:r>
            <w:t>11</w:t>
          </w:r>
          <w:r>
            <w:rPr>
              <w:rFonts w:hint="eastAsia"/>
            </w:rPr>
            <w:t>、响应有效期：</w:t>
          </w:r>
          <w:r>
            <w:tab/>
          </w:r>
          <w:r>
            <w:fldChar w:fldCharType="begin"/>
          </w:r>
          <w:r>
            <w:instrText xml:space="preserve"> PAGEREF _Toc86825506 \h </w:instrText>
          </w:r>
          <w:r>
            <w:fldChar w:fldCharType="separate"/>
          </w:r>
          <w:r>
            <w:t>9</w:t>
          </w:r>
          <w:r>
            <w:fldChar w:fldCharType="end"/>
          </w:r>
          <w:r>
            <w:fldChar w:fldCharType="end"/>
          </w:r>
        </w:p>
        <w:p>
          <w:pPr>
            <w:pStyle w:val="30"/>
            <w:tabs>
              <w:tab w:val="right" w:leader="dot" w:pos="9362"/>
            </w:tabs>
            <w:spacing w:line="360" w:lineRule="auto"/>
            <w:ind w:left="490"/>
          </w:pPr>
          <w:r>
            <w:fldChar w:fldCharType="begin"/>
          </w:r>
          <w:r>
            <w:instrText xml:space="preserve"> HYPERLINK \l "_Toc86825507" </w:instrText>
          </w:r>
          <w:r>
            <w:fldChar w:fldCharType="separate"/>
          </w:r>
          <w:r>
            <w:t>12</w:t>
          </w:r>
          <w:r>
            <w:rPr>
              <w:rFonts w:hint="eastAsia"/>
            </w:rPr>
            <w:t>、保证金</w:t>
          </w:r>
          <w:r>
            <w:t xml:space="preserve"> </w:t>
          </w:r>
          <w:r>
            <w:rPr>
              <w:rFonts w:hint="eastAsia"/>
            </w:rPr>
            <w:t>（如适用）</w:t>
          </w:r>
          <w:r>
            <w:tab/>
          </w:r>
          <w:r>
            <w:fldChar w:fldCharType="begin"/>
          </w:r>
          <w:r>
            <w:instrText xml:space="preserve"> PAGEREF _Toc86825507 \h </w:instrText>
          </w:r>
          <w:r>
            <w:fldChar w:fldCharType="separate"/>
          </w:r>
          <w:r>
            <w:t>9</w:t>
          </w:r>
          <w:r>
            <w:fldChar w:fldCharType="end"/>
          </w:r>
          <w:r>
            <w:fldChar w:fldCharType="end"/>
          </w:r>
        </w:p>
        <w:p>
          <w:pPr>
            <w:pStyle w:val="30"/>
            <w:tabs>
              <w:tab w:val="right" w:leader="dot" w:pos="9362"/>
            </w:tabs>
            <w:spacing w:line="360" w:lineRule="auto"/>
            <w:ind w:left="490"/>
          </w:pPr>
          <w:r>
            <w:fldChar w:fldCharType="begin"/>
          </w:r>
          <w:r>
            <w:instrText xml:space="preserve"> HYPERLINK \l "_Toc86825508" </w:instrText>
          </w:r>
          <w:r>
            <w:fldChar w:fldCharType="separate"/>
          </w:r>
          <w:r>
            <w:t>13</w:t>
          </w:r>
          <w:r>
            <w:rPr>
              <w:rFonts w:hint="eastAsia"/>
            </w:rPr>
            <w:t>、响应文件的递交</w:t>
          </w:r>
          <w:r>
            <w:t>;</w:t>
          </w:r>
          <w:r>
            <w:tab/>
          </w:r>
          <w:r>
            <w:fldChar w:fldCharType="begin"/>
          </w:r>
          <w:r>
            <w:instrText xml:space="preserve"> PAGEREF _Toc86825508 \h </w:instrText>
          </w:r>
          <w:r>
            <w:fldChar w:fldCharType="separate"/>
          </w:r>
          <w:r>
            <w:t>10</w:t>
          </w:r>
          <w:r>
            <w:fldChar w:fldCharType="end"/>
          </w:r>
          <w:r>
            <w:fldChar w:fldCharType="end"/>
          </w:r>
        </w:p>
        <w:p>
          <w:pPr>
            <w:pStyle w:val="30"/>
            <w:tabs>
              <w:tab w:val="right" w:leader="dot" w:pos="9362"/>
            </w:tabs>
            <w:spacing w:line="360" w:lineRule="auto"/>
            <w:ind w:left="490"/>
          </w:pPr>
          <w:r>
            <w:fldChar w:fldCharType="begin"/>
          </w:r>
          <w:r>
            <w:instrText xml:space="preserve"> HYPERLINK \l "_Toc86825509" </w:instrText>
          </w:r>
          <w:r>
            <w:fldChar w:fldCharType="separate"/>
          </w:r>
          <w:r>
            <w:t>14</w:t>
          </w:r>
          <w:r>
            <w:rPr>
              <w:rFonts w:hint="eastAsia"/>
            </w:rPr>
            <w:t>、开标程序</w:t>
          </w:r>
          <w:r>
            <w:tab/>
          </w:r>
          <w:r>
            <w:fldChar w:fldCharType="begin"/>
          </w:r>
          <w:r>
            <w:instrText xml:space="preserve"> PAGEREF _Toc86825509 \h </w:instrText>
          </w:r>
          <w:r>
            <w:fldChar w:fldCharType="separate"/>
          </w:r>
          <w:r>
            <w:t>10</w:t>
          </w:r>
          <w:r>
            <w:fldChar w:fldCharType="end"/>
          </w:r>
          <w:r>
            <w:fldChar w:fldCharType="end"/>
          </w:r>
        </w:p>
        <w:p>
          <w:pPr>
            <w:pStyle w:val="30"/>
            <w:tabs>
              <w:tab w:val="right" w:leader="dot" w:pos="9362"/>
            </w:tabs>
            <w:spacing w:line="360" w:lineRule="auto"/>
            <w:ind w:left="490"/>
          </w:pPr>
          <w:r>
            <w:fldChar w:fldCharType="begin"/>
          </w:r>
          <w:r>
            <w:instrText xml:space="preserve"> HYPERLINK \l "_Toc86825510" </w:instrText>
          </w:r>
          <w:r>
            <w:fldChar w:fldCharType="separate"/>
          </w:r>
          <w:r>
            <w:t>15</w:t>
          </w:r>
          <w:r>
            <w:rPr>
              <w:rFonts w:hint="eastAsia"/>
            </w:rPr>
            <w:t>、磋商、成交与签约</w:t>
          </w:r>
          <w:r>
            <w:tab/>
          </w:r>
          <w:r>
            <w:fldChar w:fldCharType="begin"/>
          </w:r>
          <w:r>
            <w:instrText xml:space="preserve"> PAGEREF _Toc86825510 \h </w:instrText>
          </w:r>
          <w:r>
            <w:fldChar w:fldCharType="separate"/>
          </w:r>
          <w:r>
            <w:t>11</w:t>
          </w:r>
          <w:r>
            <w:fldChar w:fldCharType="end"/>
          </w:r>
          <w:r>
            <w:fldChar w:fldCharType="end"/>
          </w:r>
        </w:p>
        <w:p>
          <w:pPr>
            <w:pStyle w:val="30"/>
            <w:tabs>
              <w:tab w:val="right" w:leader="dot" w:pos="9362"/>
            </w:tabs>
            <w:spacing w:line="360" w:lineRule="auto"/>
            <w:ind w:left="490"/>
          </w:pPr>
          <w:r>
            <w:fldChar w:fldCharType="begin"/>
          </w:r>
          <w:r>
            <w:instrText xml:space="preserve"> HYPERLINK \l "_Toc86825511" </w:instrText>
          </w:r>
          <w:r>
            <w:fldChar w:fldCharType="separate"/>
          </w:r>
          <w:r>
            <w:t>16</w:t>
          </w:r>
          <w:r>
            <w:rPr>
              <w:rFonts w:hint="eastAsia"/>
            </w:rPr>
            <w:t>、定标与签约</w:t>
          </w:r>
          <w:r>
            <w:tab/>
          </w:r>
          <w:r>
            <w:fldChar w:fldCharType="begin"/>
          </w:r>
          <w:r>
            <w:instrText xml:space="preserve"> PAGEREF _Toc86825511 \h </w:instrText>
          </w:r>
          <w:r>
            <w:fldChar w:fldCharType="separate"/>
          </w:r>
          <w:r>
            <w:t>14</w:t>
          </w:r>
          <w:r>
            <w:fldChar w:fldCharType="end"/>
          </w:r>
          <w:r>
            <w:fldChar w:fldCharType="end"/>
          </w:r>
        </w:p>
        <w:p>
          <w:pPr>
            <w:pStyle w:val="30"/>
            <w:tabs>
              <w:tab w:val="right" w:leader="dot" w:pos="9362"/>
            </w:tabs>
            <w:spacing w:line="360" w:lineRule="auto"/>
            <w:ind w:left="490"/>
          </w:pPr>
          <w:r>
            <w:fldChar w:fldCharType="begin"/>
          </w:r>
          <w:r>
            <w:instrText xml:space="preserve"> HYPERLINK \l "_Toc86825512" </w:instrText>
          </w:r>
          <w:r>
            <w:fldChar w:fldCharType="separate"/>
          </w:r>
          <w:r>
            <w:t>17</w:t>
          </w:r>
          <w:r>
            <w:rPr>
              <w:rFonts w:hint="eastAsia"/>
            </w:rPr>
            <w:t>、重新招标和不再招标</w:t>
          </w:r>
          <w:r>
            <w:tab/>
          </w:r>
          <w:r>
            <w:fldChar w:fldCharType="begin"/>
          </w:r>
          <w:r>
            <w:instrText xml:space="preserve"> PAGEREF _Toc86825512 \h </w:instrText>
          </w:r>
          <w:r>
            <w:fldChar w:fldCharType="separate"/>
          </w:r>
          <w:r>
            <w:t>14</w:t>
          </w:r>
          <w:r>
            <w:fldChar w:fldCharType="end"/>
          </w:r>
          <w:r>
            <w:fldChar w:fldCharType="end"/>
          </w:r>
        </w:p>
        <w:p>
          <w:pPr>
            <w:pStyle w:val="30"/>
            <w:tabs>
              <w:tab w:val="right" w:leader="dot" w:pos="9362"/>
            </w:tabs>
            <w:spacing w:line="360" w:lineRule="auto"/>
            <w:ind w:left="490"/>
          </w:pPr>
          <w:r>
            <w:fldChar w:fldCharType="begin"/>
          </w:r>
          <w:r>
            <w:instrText xml:space="preserve"> HYPERLINK \l "_Toc86825513" </w:instrText>
          </w:r>
          <w:r>
            <w:fldChar w:fldCharType="separate"/>
          </w:r>
          <w:r>
            <w:t>18</w:t>
          </w:r>
          <w:r>
            <w:rPr>
              <w:rFonts w:hint="eastAsia"/>
            </w:rPr>
            <w:t>、纪律和监督</w:t>
          </w:r>
          <w:r>
            <w:tab/>
          </w:r>
          <w:r>
            <w:fldChar w:fldCharType="begin"/>
          </w:r>
          <w:r>
            <w:instrText xml:space="preserve"> PAGEREF _Toc86825513 \h </w:instrText>
          </w:r>
          <w:r>
            <w:fldChar w:fldCharType="separate"/>
          </w:r>
          <w:r>
            <w:t>14</w:t>
          </w:r>
          <w:r>
            <w:fldChar w:fldCharType="end"/>
          </w:r>
          <w:r>
            <w:fldChar w:fldCharType="end"/>
          </w:r>
        </w:p>
        <w:p>
          <w:pPr>
            <w:pStyle w:val="30"/>
            <w:tabs>
              <w:tab w:val="right" w:leader="dot" w:pos="9362"/>
            </w:tabs>
            <w:spacing w:line="360" w:lineRule="auto"/>
            <w:ind w:left="490"/>
          </w:pPr>
          <w:r>
            <w:fldChar w:fldCharType="begin"/>
          </w:r>
          <w:r>
            <w:instrText xml:space="preserve"> HYPERLINK \l "_Toc86825514" </w:instrText>
          </w:r>
          <w:r>
            <w:fldChar w:fldCharType="separate"/>
          </w:r>
          <w:r>
            <w:t>19</w:t>
          </w:r>
          <w:r>
            <w:rPr>
              <w:rFonts w:hint="eastAsia"/>
            </w:rPr>
            <w:t>、异议与投诉</w:t>
          </w:r>
          <w:r>
            <w:tab/>
          </w:r>
          <w:r>
            <w:fldChar w:fldCharType="begin"/>
          </w:r>
          <w:r>
            <w:instrText xml:space="preserve"> PAGEREF _Toc86825514 \h </w:instrText>
          </w:r>
          <w:r>
            <w:fldChar w:fldCharType="separate"/>
          </w:r>
          <w:r>
            <w:t>15</w:t>
          </w:r>
          <w:r>
            <w:fldChar w:fldCharType="end"/>
          </w:r>
          <w:r>
            <w:fldChar w:fldCharType="end"/>
          </w:r>
        </w:p>
        <w:p>
          <w:pPr>
            <w:pStyle w:val="30"/>
            <w:tabs>
              <w:tab w:val="right" w:leader="dot" w:pos="9362"/>
            </w:tabs>
            <w:spacing w:line="360" w:lineRule="auto"/>
            <w:ind w:left="490"/>
          </w:pPr>
          <w:r>
            <w:fldChar w:fldCharType="begin"/>
          </w:r>
          <w:r>
            <w:instrText xml:space="preserve"> HYPERLINK \l "_Toc86825515" </w:instrText>
          </w:r>
          <w:r>
            <w:fldChar w:fldCharType="separate"/>
          </w:r>
          <w:r>
            <w:t>20</w:t>
          </w:r>
          <w:r>
            <w:rPr>
              <w:rFonts w:hint="eastAsia"/>
            </w:rPr>
            <w:t>、代理服务费</w:t>
          </w:r>
          <w:r>
            <w:tab/>
          </w:r>
          <w:r>
            <w:fldChar w:fldCharType="begin"/>
          </w:r>
          <w:r>
            <w:instrText xml:space="preserve"> PAGEREF _Toc86825515 \h </w:instrText>
          </w:r>
          <w:r>
            <w:fldChar w:fldCharType="separate"/>
          </w:r>
          <w:r>
            <w:t>16</w:t>
          </w:r>
          <w:r>
            <w:fldChar w:fldCharType="end"/>
          </w:r>
          <w:r>
            <w:fldChar w:fldCharType="end"/>
          </w:r>
        </w:p>
        <w:p>
          <w:pPr>
            <w:pStyle w:val="30"/>
            <w:tabs>
              <w:tab w:val="right" w:leader="dot" w:pos="9362"/>
            </w:tabs>
            <w:spacing w:line="360" w:lineRule="auto"/>
            <w:ind w:left="490"/>
          </w:pPr>
          <w:r>
            <w:fldChar w:fldCharType="begin"/>
          </w:r>
          <w:r>
            <w:instrText xml:space="preserve"> HYPERLINK \l "_Toc86825516" </w:instrText>
          </w:r>
          <w:r>
            <w:fldChar w:fldCharType="separate"/>
          </w:r>
          <w:r>
            <w:t>21</w:t>
          </w:r>
          <w:r>
            <w:rPr>
              <w:rFonts w:hint="eastAsia"/>
            </w:rPr>
            <w:t>、磋商文件的解释权</w:t>
          </w:r>
          <w:r>
            <w:tab/>
          </w:r>
          <w:r>
            <w:fldChar w:fldCharType="begin"/>
          </w:r>
          <w:r>
            <w:instrText xml:space="preserve"> PAGEREF _Toc86825516 \h </w:instrText>
          </w:r>
          <w:r>
            <w:fldChar w:fldCharType="separate"/>
          </w:r>
          <w:r>
            <w:t>16</w:t>
          </w:r>
          <w:r>
            <w:fldChar w:fldCharType="end"/>
          </w:r>
          <w:r>
            <w:fldChar w:fldCharType="end"/>
          </w:r>
        </w:p>
        <w:p>
          <w:pPr>
            <w:pStyle w:val="30"/>
            <w:tabs>
              <w:tab w:val="right" w:leader="dot" w:pos="9362"/>
            </w:tabs>
            <w:spacing w:line="360" w:lineRule="auto"/>
            <w:ind w:left="490"/>
          </w:pPr>
          <w:r>
            <w:fldChar w:fldCharType="begin"/>
          </w:r>
          <w:r>
            <w:instrText xml:space="preserve"> HYPERLINK \l "_Toc86825517" </w:instrText>
          </w:r>
          <w:r>
            <w:fldChar w:fldCharType="separate"/>
          </w:r>
          <w:r>
            <w:t>21</w:t>
          </w:r>
          <w:r>
            <w:rPr>
              <w:rFonts w:hint="eastAsia"/>
            </w:rPr>
            <w:t>、需要补充的其他内容</w:t>
          </w:r>
          <w:r>
            <w:tab/>
          </w:r>
          <w:r>
            <w:fldChar w:fldCharType="begin"/>
          </w:r>
          <w:r>
            <w:instrText xml:space="preserve"> PAGEREF _Toc86825517 \h </w:instrText>
          </w:r>
          <w:r>
            <w:fldChar w:fldCharType="separate"/>
          </w:r>
          <w:r>
            <w:t>16</w:t>
          </w:r>
          <w:r>
            <w:fldChar w:fldCharType="end"/>
          </w:r>
          <w:r>
            <w:fldChar w:fldCharType="end"/>
          </w:r>
        </w:p>
        <w:p>
          <w:pPr>
            <w:pStyle w:val="30"/>
            <w:tabs>
              <w:tab w:val="right" w:leader="dot" w:pos="9362"/>
            </w:tabs>
            <w:spacing w:line="360" w:lineRule="auto"/>
            <w:ind w:left="490"/>
          </w:pPr>
          <w:r>
            <w:fldChar w:fldCharType="begin"/>
          </w:r>
          <w:r>
            <w:instrText xml:space="preserve"> HYPERLINK \l "_Toc86825518" </w:instrText>
          </w:r>
          <w:r>
            <w:fldChar w:fldCharType="separate"/>
          </w:r>
          <w:r>
            <w:rPr>
              <w:rFonts w:hint="eastAsia"/>
            </w:rPr>
            <w:t>评标专家声明书</w:t>
          </w:r>
          <w:r>
            <w:tab/>
          </w:r>
          <w:r>
            <w:fldChar w:fldCharType="begin"/>
          </w:r>
          <w:r>
            <w:instrText xml:space="preserve"> PAGEREF _Toc86825518 \h </w:instrText>
          </w:r>
          <w:r>
            <w:fldChar w:fldCharType="separate"/>
          </w:r>
          <w:r>
            <w:t>17</w:t>
          </w:r>
          <w:r>
            <w:fldChar w:fldCharType="end"/>
          </w:r>
          <w:r>
            <w:fldChar w:fldCharType="end"/>
          </w:r>
        </w:p>
        <w:p>
          <w:pPr>
            <w:pStyle w:val="30"/>
            <w:tabs>
              <w:tab w:val="right" w:leader="dot" w:pos="9362"/>
            </w:tabs>
            <w:spacing w:line="360" w:lineRule="auto"/>
            <w:ind w:left="490"/>
          </w:pPr>
          <w:r>
            <w:fldChar w:fldCharType="begin"/>
          </w:r>
          <w:r>
            <w:instrText xml:space="preserve"> HYPERLINK \l "_Toc86825519" </w:instrText>
          </w:r>
          <w:r>
            <w:fldChar w:fldCharType="separate"/>
          </w:r>
          <w:r>
            <w:rPr>
              <w:rFonts w:hint="eastAsia"/>
            </w:rPr>
            <w:t>评标委员会签到表</w:t>
          </w:r>
          <w:r>
            <w:tab/>
          </w:r>
          <w:r>
            <w:fldChar w:fldCharType="begin"/>
          </w:r>
          <w:r>
            <w:instrText xml:space="preserve"> PAGEREF _Toc86825519 \h </w:instrText>
          </w:r>
          <w:r>
            <w:fldChar w:fldCharType="separate"/>
          </w:r>
          <w:r>
            <w:t>18</w:t>
          </w:r>
          <w:r>
            <w:fldChar w:fldCharType="end"/>
          </w:r>
          <w:r>
            <w:fldChar w:fldCharType="end"/>
          </w:r>
        </w:p>
        <w:p>
          <w:pPr>
            <w:pStyle w:val="30"/>
            <w:tabs>
              <w:tab w:val="right" w:leader="dot" w:pos="9362"/>
            </w:tabs>
            <w:spacing w:line="360" w:lineRule="auto"/>
            <w:ind w:left="490"/>
            <w:rPr>
              <w:rFonts w:hint="eastAsia" w:eastAsia="宋体"/>
              <w:lang w:val="en-US" w:eastAsia="zh-CN"/>
            </w:rPr>
          </w:pPr>
          <w:r>
            <w:fldChar w:fldCharType="begin"/>
          </w:r>
          <w:r>
            <w:instrText xml:space="preserve"> HYPERLINK \l "_Toc86825520" </w:instrText>
          </w:r>
          <w:r>
            <w:fldChar w:fldCharType="separate"/>
          </w:r>
          <w:r>
            <w:rPr>
              <w:rFonts w:hint="eastAsia"/>
            </w:rPr>
            <w:t>附表一：开标记录表</w:t>
          </w:r>
          <w:r>
            <w:tab/>
          </w:r>
          <w:r>
            <w:rPr>
              <w:rFonts w:hint="eastAsia"/>
              <w:lang w:val="en-US" w:eastAsia="zh-CN"/>
            </w:rPr>
            <w:t>1</w:t>
          </w:r>
          <w:r>
            <w:fldChar w:fldCharType="end"/>
          </w:r>
          <w:r>
            <w:rPr>
              <w:rFonts w:hint="eastAsia"/>
              <w:lang w:val="en-US" w:eastAsia="zh-CN"/>
            </w:rPr>
            <w:t>9</w:t>
          </w:r>
        </w:p>
        <w:p>
          <w:pPr>
            <w:pStyle w:val="30"/>
            <w:tabs>
              <w:tab w:val="right" w:leader="dot" w:pos="9362"/>
            </w:tabs>
            <w:spacing w:line="360" w:lineRule="auto"/>
            <w:ind w:left="490"/>
          </w:pPr>
          <w:r>
            <w:fldChar w:fldCharType="begin"/>
          </w:r>
          <w:r>
            <w:instrText xml:space="preserve"> HYPERLINK \l "_Toc86825521" </w:instrText>
          </w:r>
          <w:r>
            <w:fldChar w:fldCharType="separate"/>
          </w:r>
          <w:r>
            <w:rPr>
              <w:rFonts w:hint="eastAsia"/>
            </w:rPr>
            <w:t>附表二：资格性审查表</w:t>
          </w:r>
          <w:r>
            <w:tab/>
          </w:r>
          <w:r>
            <w:fldChar w:fldCharType="begin"/>
          </w:r>
          <w:r>
            <w:instrText xml:space="preserve"> PAGEREF _Toc86825521 \h </w:instrText>
          </w:r>
          <w:r>
            <w:fldChar w:fldCharType="separate"/>
          </w:r>
          <w:r>
            <w:t>20</w:t>
          </w:r>
          <w:r>
            <w:fldChar w:fldCharType="end"/>
          </w:r>
          <w:r>
            <w:fldChar w:fldCharType="end"/>
          </w:r>
        </w:p>
        <w:p>
          <w:pPr>
            <w:pStyle w:val="30"/>
            <w:tabs>
              <w:tab w:val="right" w:leader="dot" w:pos="9362"/>
            </w:tabs>
            <w:spacing w:line="360" w:lineRule="auto"/>
            <w:ind w:left="490"/>
          </w:pPr>
          <w:r>
            <w:fldChar w:fldCharType="begin"/>
          </w:r>
          <w:r>
            <w:instrText xml:space="preserve"> HYPERLINK \l "_Toc86825522" </w:instrText>
          </w:r>
          <w:r>
            <w:fldChar w:fldCharType="separate"/>
          </w:r>
          <w:r>
            <w:rPr>
              <w:rFonts w:hint="eastAsia"/>
            </w:rPr>
            <w:t>附表三：响应性评审记录表</w:t>
          </w:r>
          <w:r>
            <w:tab/>
          </w:r>
          <w:r>
            <w:fldChar w:fldCharType="begin"/>
          </w:r>
          <w:r>
            <w:instrText xml:space="preserve"> PAGEREF _Toc86825522 \h </w:instrText>
          </w:r>
          <w:r>
            <w:fldChar w:fldCharType="separate"/>
          </w:r>
          <w:r>
            <w:t>22</w:t>
          </w:r>
          <w:r>
            <w:fldChar w:fldCharType="end"/>
          </w:r>
          <w:r>
            <w:fldChar w:fldCharType="end"/>
          </w:r>
        </w:p>
        <w:p>
          <w:pPr>
            <w:pStyle w:val="30"/>
            <w:tabs>
              <w:tab w:val="right" w:leader="dot" w:pos="9362"/>
            </w:tabs>
            <w:spacing w:line="360" w:lineRule="auto"/>
            <w:ind w:left="490"/>
          </w:pPr>
          <w:r>
            <w:fldChar w:fldCharType="begin"/>
          </w:r>
          <w:r>
            <w:instrText xml:space="preserve"> HYPERLINK \l "_Toc86825523" </w:instrText>
          </w:r>
          <w:r>
            <w:fldChar w:fldCharType="separate"/>
          </w:r>
          <w:r>
            <w:rPr>
              <w:rFonts w:hint="eastAsia"/>
            </w:rPr>
            <w:t>附表四：技术评分表</w:t>
          </w:r>
          <w:r>
            <w:tab/>
          </w:r>
          <w:r>
            <w:fldChar w:fldCharType="begin"/>
          </w:r>
          <w:r>
            <w:instrText xml:space="preserve"> PAGEREF _Toc86825523 \h </w:instrText>
          </w:r>
          <w:r>
            <w:fldChar w:fldCharType="separate"/>
          </w:r>
          <w:r>
            <w:t>23</w:t>
          </w:r>
          <w:r>
            <w:fldChar w:fldCharType="end"/>
          </w:r>
          <w:r>
            <w:fldChar w:fldCharType="end"/>
          </w:r>
        </w:p>
        <w:p>
          <w:pPr>
            <w:pStyle w:val="30"/>
            <w:tabs>
              <w:tab w:val="right" w:leader="dot" w:pos="9362"/>
            </w:tabs>
            <w:spacing w:line="360" w:lineRule="auto"/>
            <w:ind w:left="490"/>
          </w:pPr>
          <w:r>
            <w:fldChar w:fldCharType="begin"/>
          </w:r>
          <w:r>
            <w:instrText xml:space="preserve"> HYPERLINK \l "_Toc86825524" </w:instrText>
          </w:r>
          <w:r>
            <w:fldChar w:fldCharType="separate"/>
          </w:r>
          <w:r>
            <w:rPr>
              <w:rFonts w:hint="eastAsia"/>
            </w:rPr>
            <w:t>附表五：商务评分表</w:t>
          </w:r>
          <w:r>
            <w:tab/>
          </w:r>
          <w:r>
            <w:fldChar w:fldCharType="begin"/>
          </w:r>
          <w:r>
            <w:instrText xml:space="preserve"> PAGEREF _Toc86825524 \h </w:instrText>
          </w:r>
          <w:r>
            <w:fldChar w:fldCharType="separate"/>
          </w:r>
          <w:r>
            <w:t>24</w:t>
          </w:r>
          <w:r>
            <w:fldChar w:fldCharType="end"/>
          </w:r>
          <w:r>
            <w:fldChar w:fldCharType="end"/>
          </w:r>
        </w:p>
        <w:p>
          <w:pPr>
            <w:pStyle w:val="30"/>
            <w:tabs>
              <w:tab w:val="right" w:leader="dot" w:pos="9362"/>
            </w:tabs>
            <w:spacing w:line="360" w:lineRule="auto"/>
            <w:ind w:left="490"/>
          </w:pPr>
          <w:r>
            <w:fldChar w:fldCharType="begin"/>
          </w:r>
          <w:r>
            <w:instrText xml:space="preserve"> HYPERLINK \l "_Toc86825525" </w:instrText>
          </w:r>
          <w:r>
            <w:fldChar w:fldCharType="separate"/>
          </w:r>
          <w:r>
            <w:rPr>
              <w:rFonts w:hint="eastAsia"/>
            </w:rPr>
            <w:t>附表六：报价得分表</w:t>
          </w:r>
          <w:r>
            <w:tab/>
          </w:r>
          <w:r>
            <w:fldChar w:fldCharType="begin"/>
          </w:r>
          <w:r>
            <w:instrText xml:space="preserve"> PAGEREF _Toc86825525 \h </w:instrText>
          </w:r>
          <w:r>
            <w:fldChar w:fldCharType="separate"/>
          </w:r>
          <w:r>
            <w:t>25</w:t>
          </w:r>
          <w:r>
            <w:fldChar w:fldCharType="end"/>
          </w:r>
          <w:r>
            <w:fldChar w:fldCharType="end"/>
          </w:r>
        </w:p>
        <w:p>
          <w:pPr>
            <w:pStyle w:val="30"/>
            <w:tabs>
              <w:tab w:val="right" w:leader="dot" w:pos="9362"/>
            </w:tabs>
            <w:spacing w:line="360" w:lineRule="auto"/>
            <w:ind w:left="490"/>
          </w:pPr>
          <w:r>
            <w:fldChar w:fldCharType="begin"/>
          </w:r>
          <w:r>
            <w:instrText xml:space="preserve"> HYPERLINK \l "_Toc86825526" </w:instrText>
          </w:r>
          <w:r>
            <w:fldChar w:fldCharType="separate"/>
          </w:r>
          <w:r>
            <w:rPr>
              <w:rFonts w:hint="eastAsia"/>
            </w:rPr>
            <w:t>附表七：详细评审得分汇总表</w:t>
          </w:r>
          <w:r>
            <w:tab/>
          </w:r>
          <w:r>
            <w:fldChar w:fldCharType="begin"/>
          </w:r>
          <w:r>
            <w:instrText xml:space="preserve"> PAGEREF _Toc86825526 \h </w:instrText>
          </w:r>
          <w:r>
            <w:fldChar w:fldCharType="separate"/>
          </w:r>
          <w:r>
            <w:t>26</w:t>
          </w:r>
          <w:r>
            <w:fldChar w:fldCharType="end"/>
          </w:r>
          <w:r>
            <w:fldChar w:fldCharType="end"/>
          </w:r>
        </w:p>
        <w:p>
          <w:pPr>
            <w:pStyle w:val="30"/>
            <w:tabs>
              <w:tab w:val="right" w:leader="dot" w:pos="9362"/>
            </w:tabs>
            <w:spacing w:line="360" w:lineRule="auto"/>
            <w:ind w:left="490"/>
          </w:pPr>
          <w:r>
            <w:fldChar w:fldCharType="begin"/>
          </w:r>
          <w:r>
            <w:instrText xml:space="preserve"> HYPERLINK \l "_Toc86825527" </w:instrText>
          </w:r>
          <w:r>
            <w:fldChar w:fldCharType="separate"/>
          </w:r>
          <w:r>
            <w:rPr>
              <w:rFonts w:hint="eastAsia"/>
            </w:rPr>
            <w:t>附表八：评标结果汇总表</w:t>
          </w:r>
          <w:r>
            <w:tab/>
          </w:r>
          <w:r>
            <w:fldChar w:fldCharType="begin"/>
          </w:r>
          <w:r>
            <w:instrText xml:space="preserve"> PAGEREF _Toc86825527 \h </w:instrText>
          </w:r>
          <w:r>
            <w:fldChar w:fldCharType="separate"/>
          </w:r>
          <w:r>
            <w:t>27</w:t>
          </w:r>
          <w:r>
            <w:fldChar w:fldCharType="end"/>
          </w:r>
          <w:r>
            <w:fldChar w:fldCharType="end"/>
          </w:r>
        </w:p>
        <w:p>
          <w:pPr>
            <w:pStyle w:val="30"/>
            <w:tabs>
              <w:tab w:val="right" w:leader="dot" w:pos="9362"/>
            </w:tabs>
            <w:spacing w:line="360" w:lineRule="auto"/>
            <w:ind w:left="490"/>
          </w:pPr>
          <w:r>
            <w:fldChar w:fldCharType="begin"/>
          </w:r>
          <w:r>
            <w:instrText xml:space="preserve"> HYPERLINK \l "_Toc86825528" </w:instrText>
          </w:r>
          <w:r>
            <w:fldChar w:fldCharType="separate"/>
          </w:r>
          <w:r>
            <w:rPr>
              <w:rFonts w:hint="eastAsia"/>
            </w:rPr>
            <w:t>附表九：成交情况书面报告备案表</w:t>
          </w:r>
          <w:r>
            <w:tab/>
          </w:r>
          <w:r>
            <w:fldChar w:fldCharType="begin"/>
          </w:r>
          <w:r>
            <w:instrText xml:space="preserve"> PAGEREF _Toc86825528 \h </w:instrText>
          </w:r>
          <w:r>
            <w:fldChar w:fldCharType="separate"/>
          </w:r>
          <w:r>
            <w:t>28</w:t>
          </w:r>
          <w:r>
            <w:fldChar w:fldCharType="end"/>
          </w:r>
          <w:r>
            <w:fldChar w:fldCharType="end"/>
          </w:r>
        </w:p>
        <w:p>
          <w:pPr>
            <w:pStyle w:val="30"/>
            <w:tabs>
              <w:tab w:val="right" w:leader="dot" w:pos="9362"/>
            </w:tabs>
            <w:spacing w:line="360" w:lineRule="auto"/>
            <w:ind w:left="490"/>
          </w:pPr>
          <w:r>
            <w:fldChar w:fldCharType="begin"/>
          </w:r>
          <w:r>
            <w:instrText xml:space="preserve"> HYPERLINK \l "_Toc86825529" </w:instrText>
          </w:r>
          <w:r>
            <w:fldChar w:fldCharType="separate"/>
          </w:r>
          <w:r>
            <w:rPr>
              <w:rFonts w:hint="eastAsia"/>
            </w:rPr>
            <w:t>附表十：评审意见表</w:t>
          </w:r>
          <w:r>
            <w:tab/>
          </w:r>
          <w:r>
            <w:fldChar w:fldCharType="begin"/>
          </w:r>
          <w:r>
            <w:instrText xml:space="preserve"> PAGEREF _Toc86825529 \h </w:instrText>
          </w:r>
          <w:r>
            <w:fldChar w:fldCharType="separate"/>
          </w:r>
          <w:r>
            <w:t>29</w:t>
          </w:r>
          <w:r>
            <w:fldChar w:fldCharType="end"/>
          </w:r>
          <w:r>
            <w:fldChar w:fldCharType="end"/>
          </w:r>
        </w:p>
        <w:p>
          <w:pPr>
            <w:pStyle w:val="30"/>
            <w:tabs>
              <w:tab w:val="right" w:leader="dot" w:pos="9362"/>
            </w:tabs>
            <w:spacing w:line="360" w:lineRule="auto"/>
            <w:ind w:left="490"/>
          </w:pPr>
          <w:r>
            <w:fldChar w:fldCharType="begin"/>
          </w:r>
          <w:r>
            <w:instrText xml:space="preserve"> HYPERLINK \l "_Toc86825530" </w:instrText>
          </w:r>
          <w:r>
            <w:fldChar w:fldCharType="separate"/>
          </w:r>
          <w:r>
            <w:rPr>
              <w:rFonts w:hint="eastAsia"/>
            </w:rPr>
            <w:t>附表十一：中标通知书</w:t>
          </w:r>
          <w:r>
            <w:tab/>
          </w:r>
          <w:r>
            <w:fldChar w:fldCharType="begin"/>
          </w:r>
          <w:r>
            <w:instrText xml:space="preserve"> PAGEREF _Toc86825530 \h </w:instrText>
          </w:r>
          <w:r>
            <w:fldChar w:fldCharType="separate"/>
          </w:r>
          <w:r>
            <w:t>30</w:t>
          </w:r>
          <w:r>
            <w:fldChar w:fldCharType="end"/>
          </w:r>
          <w:r>
            <w:fldChar w:fldCharType="end"/>
          </w:r>
        </w:p>
        <w:p>
          <w:pPr>
            <w:pStyle w:val="30"/>
            <w:tabs>
              <w:tab w:val="right" w:leader="dot" w:pos="9362"/>
            </w:tabs>
            <w:spacing w:line="360" w:lineRule="auto"/>
            <w:ind w:left="490"/>
          </w:pPr>
          <w:r>
            <w:fldChar w:fldCharType="begin"/>
          </w:r>
          <w:r>
            <w:instrText xml:space="preserve"> HYPERLINK \l "_Toc86825531" </w:instrText>
          </w:r>
          <w:r>
            <w:fldChar w:fldCharType="separate"/>
          </w:r>
          <w:r>
            <w:rPr>
              <w:rFonts w:hint="eastAsia"/>
            </w:rPr>
            <w:t>附表十二：中标结果通知书</w:t>
          </w:r>
          <w:r>
            <w:tab/>
          </w:r>
          <w:r>
            <w:fldChar w:fldCharType="begin"/>
          </w:r>
          <w:r>
            <w:instrText xml:space="preserve"> PAGEREF _Toc86825531 \h </w:instrText>
          </w:r>
          <w:r>
            <w:fldChar w:fldCharType="separate"/>
          </w:r>
          <w:r>
            <w:t>31</w:t>
          </w:r>
          <w:r>
            <w:fldChar w:fldCharType="end"/>
          </w:r>
          <w:r>
            <w:fldChar w:fldCharType="end"/>
          </w:r>
        </w:p>
        <w:p>
          <w:pPr>
            <w:pStyle w:val="30"/>
            <w:tabs>
              <w:tab w:val="right" w:leader="dot" w:pos="9362"/>
            </w:tabs>
            <w:spacing w:line="360" w:lineRule="auto"/>
            <w:ind w:left="0" w:leftChars="0" w:firstLine="0"/>
          </w:pPr>
          <w:r>
            <w:fldChar w:fldCharType="begin"/>
          </w:r>
          <w:r>
            <w:instrText xml:space="preserve"> HYPERLINK \l "_Toc86825532" </w:instrText>
          </w:r>
          <w:r>
            <w:fldChar w:fldCharType="separate"/>
          </w:r>
          <w:r>
            <w:rPr>
              <w:rFonts w:hint="eastAsia"/>
              <w:b/>
            </w:rPr>
            <w:t>第三章</w:t>
          </w:r>
          <w:r>
            <w:rPr>
              <w:b/>
            </w:rPr>
            <w:t xml:space="preserve">  </w:t>
          </w:r>
          <w:r>
            <w:rPr>
              <w:rFonts w:hint="eastAsia"/>
              <w:b/>
            </w:rPr>
            <w:t>采购人需求</w:t>
          </w:r>
          <w:r>
            <w:tab/>
          </w:r>
          <w:r>
            <w:fldChar w:fldCharType="begin"/>
          </w:r>
          <w:r>
            <w:instrText xml:space="preserve"> PAGEREF _Toc86825532 \h </w:instrText>
          </w:r>
          <w:r>
            <w:fldChar w:fldCharType="separate"/>
          </w:r>
          <w:r>
            <w:t>32</w:t>
          </w:r>
          <w:r>
            <w:fldChar w:fldCharType="end"/>
          </w:r>
          <w:r>
            <w:fldChar w:fldCharType="end"/>
          </w:r>
        </w:p>
        <w:p>
          <w:pPr>
            <w:pStyle w:val="30"/>
            <w:tabs>
              <w:tab w:val="right" w:leader="dot" w:pos="9362"/>
            </w:tabs>
            <w:spacing w:line="360" w:lineRule="auto"/>
            <w:ind w:left="490"/>
          </w:pPr>
          <w:r>
            <w:fldChar w:fldCharType="begin"/>
          </w:r>
          <w:r>
            <w:instrText xml:space="preserve"> HYPERLINK \l "_Toc86825533" </w:instrText>
          </w:r>
          <w:r>
            <w:fldChar w:fldCharType="separate"/>
          </w:r>
          <w:r>
            <w:rPr>
              <w:rFonts w:hint="eastAsia"/>
            </w:rPr>
            <w:t>一、项目概述：</w:t>
          </w:r>
          <w:r>
            <w:tab/>
          </w:r>
          <w:r>
            <w:fldChar w:fldCharType="begin"/>
          </w:r>
          <w:r>
            <w:instrText xml:space="preserve"> PAGEREF _Toc86825533 \h </w:instrText>
          </w:r>
          <w:r>
            <w:fldChar w:fldCharType="separate"/>
          </w:r>
          <w:r>
            <w:t>32</w:t>
          </w:r>
          <w:r>
            <w:fldChar w:fldCharType="end"/>
          </w:r>
          <w:r>
            <w:fldChar w:fldCharType="end"/>
          </w:r>
        </w:p>
        <w:p>
          <w:pPr>
            <w:pStyle w:val="30"/>
            <w:tabs>
              <w:tab w:val="right" w:leader="dot" w:pos="9362"/>
            </w:tabs>
            <w:spacing w:line="360" w:lineRule="auto"/>
            <w:ind w:left="490"/>
          </w:pPr>
          <w:r>
            <w:fldChar w:fldCharType="begin"/>
          </w:r>
          <w:r>
            <w:instrText xml:space="preserve"> HYPERLINK \l "_Toc86825534" </w:instrText>
          </w:r>
          <w:r>
            <w:fldChar w:fldCharType="separate"/>
          </w:r>
          <w:r>
            <w:rPr>
              <w:rFonts w:hint="eastAsia"/>
            </w:rPr>
            <w:t>二、工程项目简介：</w:t>
          </w:r>
          <w:r>
            <w:tab/>
          </w:r>
          <w:r>
            <w:fldChar w:fldCharType="begin"/>
          </w:r>
          <w:r>
            <w:instrText xml:space="preserve"> PAGEREF _Toc86825534 \h </w:instrText>
          </w:r>
          <w:r>
            <w:fldChar w:fldCharType="separate"/>
          </w:r>
          <w:r>
            <w:t>32</w:t>
          </w:r>
          <w:r>
            <w:fldChar w:fldCharType="end"/>
          </w:r>
          <w:r>
            <w:fldChar w:fldCharType="end"/>
          </w:r>
        </w:p>
        <w:p>
          <w:pPr>
            <w:pStyle w:val="30"/>
            <w:tabs>
              <w:tab w:val="right" w:leader="dot" w:pos="9362"/>
            </w:tabs>
            <w:spacing w:line="360" w:lineRule="auto"/>
            <w:ind w:left="0" w:leftChars="0" w:firstLine="0"/>
          </w:pPr>
          <w:r>
            <w:fldChar w:fldCharType="begin"/>
          </w:r>
          <w:r>
            <w:instrText xml:space="preserve"> HYPERLINK \l "_Toc86825535" </w:instrText>
          </w:r>
          <w:r>
            <w:fldChar w:fldCharType="separate"/>
          </w:r>
          <w:r>
            <w:rPr>
              <w:rFonts w:hint="eastAsia"/>
              <w:b/>
            </w:rPr>
            <w:t>第四章</w:t>
          </w:r>
          <w:r>
            <w:rPr>
              <w:b/>
            </w:rPr>
            <w:t xml:space="preserve">  </w:t>
          </w:r>
          <w:r>
            <w:rPr>
              <w:rFonts w:hint="eastAsia"/>
              <w:b/>
            </w:rPr>
            <w:t>合同条款及格式（仅供参考）</w:t>
          </w:r>
          <w:r>
            <w:tab/>
          </w:r>
          <w:r>
            <w:fldChar w:fldCharType="begin"/>
          </w:r>
          <w:r>
            <w:instrText xml:space="preserve"> PAGEREF _Toc86825535 \h </w:instrText>
          </w:r>
          <w:r>
            <w:fldChar w:fldCharType="separate"/>
          </w:r>
          <w:r>
            <w:t>34</w:t>
          </w:r>
          <w:r>
            <w:fldChar w:fldCharType="end"/>
          </w:r>
          <w:r>
            <w:fldChar w:fldCharType="end"/>
          </w:r>
        </w:p>
        <w:p>
          <w:pPr>
            <w:pStyle w:val="30"/>
            <w:tabs>
              <w:tab w:val="right" w:leader="dot" w:pos="9362"/>
            </w:tabs>
            <w:spacing w:line="360" w:lineRule="auto"/>
            <w:ind w:left="490"/>
          </w:pPr>
          <w:r>
            <w:fldChar w:fldCharType="begin"/>
          </w:r>
          <w:r>
            <w:instrText xml:space="preserve"> HYPERLINK \l "_Toc86825536" </w:instrText>
          </w:r>
          <w:r>
            <w:fldChar w:fldCharType="separate"/>
          </w:r>
          <w:r>
            <w:rPr>
              <w:rFonts w:hint="eastAsia"/>
            </w:rPr>
            <w:t>第一节　通用合同条款</w:t>
          </w:r>
          <w:r>
            <w:tab/>
          </w:r>
          <w:r>
            <w:fldChar w:fldCharType="begin"/>
          </w:r>
          <w:r>
            <w:instrText xml:space="preserve"> PAGEREF _Toc86825536 \h </w:instrText>
          </w:r>
          <w:r>
            <w:fldChar w:fldCharType="separate"/>
          </w:r>
          <w:r>
            <w:t>34</w:t>
          </w:r>
          <w:r>
            <w:fldChar w:fldCharType="end"/>
          </w:r>
          <w:r>
            <w:fldChar w:fldCharType="end"/>
          </w:r>
        </w:p>
        <w:p>
          <w:pPr>
            <w:pStyle w:val="30"/>
            <w:tabs>
              <w:tab w:val="right" w:leader="dot" w:pos="9362"/>
            </w:tabs>
            <w:spacing w:line="360" w:lineRule="auto"/>
            <w:ind w:left="490"/>
          </w:pPr>
          <w:r>
            <w:fldChar w:fldCharType="begin"/>
          </w:r>
          <w:r>
            <w:instrText xml:space="preserve"> HYPERLINK \l "_Toc86825537" </w:instrText>
          </w:r>
          <w:r>
            <w:fldChar w:fldCharType="separate"/>
          </w:r>
          <w:r>
            <w:rPr>
              <w:rFonts w:hint="eastAsia"/>
            </w:rPr>
            <w:t>第二节　专用合同条款</w:t>
          </w:r>
          <w:r>
            <w:tab/>
          </w:r>
          <w:r>
            <w:fldChar w:fldCharType="begin"/>
          </w:r>
          <w:r>
            <w:instrText xml:space="preserve"> PAGEREF _Toc86825537 \h </w:instrText>
          </w:r>
          <w:r>
            <w:fldChar w:fldCharType="separate"/>
          </w:r>
          <w:r>
            <w:t>79</w:t>
          </w:r>
          <w:r>
            <w:fldChar w:fldCharType="end"/>
          </w:r>
          <w:r>
            <w:fldChar w:fldCharType="end"/>
          </w:r>
        </w:p>
        <w:p>
          <w:pPr>
            <w:pStyle w:val="30"/>
            <w:tabs>
              <w:tab w:val="right" w:leader="dot" w:pos="9362"/>
            </w:tabs>
            <w:spacing w:line="360" w:lineRule="auto"/>
            <w:ind w:left="490"/>
          </w:pPr>
          <w:r>
            <w:fldChar w:fldCharType="begin"/>
          </w:r>
          <w:r>
            <w:instrText xml:space="preserve"> HYPERLINK \l "_Toc86825538" </w:instrText>
          </w:r>
          <w:r>
            <w:fldChar w:fldCharType="separate"/>
          </w:r>
          <w:r>
            <w:rPr>
              <w:rFonts w:hint="eastAsia"/>
            </w:rPr>
            <w:t>第三节　合同协议书</w:t>
          </w:r>
          <w:r>
            <w:tab/>
          </w:r>
          <w:r>
            <w:fldChar w:fldCharType="begin"/>
          </w:r>
          <w:r>
            <w:instrText xml:space="preserve"> PAGEREF _Toc86825538 \h </w:instrText>
          </w:r>
          <w:r>
            <w:fldChar w:fldCharType="separate"/>
          </w:r>
          <w:r>
            <w:t>90</w:t>
          </w:r>
          <w:r>
            <w:fldChar w:fldCharType="end"/>
          </w:r>
          <w:r>
            <w:fldChar w:fldCharType="end"/>
          </w:r>
        </w:p>
        <w:p>
          <w:pPr>
            <w:pStyle w:val="30"/>
            <w:tabs>
              <w:tab w:val="right" w:leader="dot" w:pos="9362"/>
            </w:tabs>
            <w:spacing w:line="360" w:lineRule="auto"/>
            <w:ind w:left="490"/>
          </w:pPr>
          <w:r>
            <w:fldChar w:fldCharType="begin"/>
          </w:r>
          <w:r>
            <w:instrText xml:space="preserve"> HYPERLINK \l "_Toc86825539" </w:instrText>
          </w:r>
          <w:r>
            <w:fldChar w:fldCharType="separate"/>
          </w:r>
          <w:r>
            <w:rPr>
              <w:rFonts w:hint="eastAsia"/>
            </w:rPr>
            <w:t>附件一：质量保修书格式</w:t>
          </w:r>
          <w:r>
            <w:tab/>
          </w:r>
          <w:r>
            <w:fldChar w:fldCharType="begin"/>
          </w:r>
          <w:r>
            <w:instrText xml:space="preserve"> PAGEREF _Toc86825539 \h </w:instrText>
          </w:r>
          <w:r>
            <w:fldChar w:fldCharType="separate"/>
          </w:r>
          <w:r>
            <w:t>93</w:t>
          </w:r>
          <w:r>
            <w:fldChar w:fldCharType="end"/>
          </w:r>
          <w:r>
            <w:fldChar w:fldCharType="end"/>
          </w:r>
        </w:p>
        <w:p>
          <w:pPr>
            <w:pStyle w:val="30"/>
            <w:tabs>
              <w:tab w:val="right" w:leader="dot" w:pos="9362"/>
            </w:tabs>
            <w:spacing w:line="360" w:lineRule="auto"/>
            <w:ind w:left="490"/>
          </w:pPr>
          <w:r>
            <w:fldChar w:fldCharType="begin"/>
          </w:r>
          <w:r>
            <w:instrText xml:space="preserve"> HYPERLINK \l "_Toc86825540" </w:instrText>
          </w:r>
          <w:r>
            <w:fldChar w:fldCharType="separate"/>
          </w:r>
          <w:r>
            <w:rPr>
              <w:rFonts w:hint="eastAsia"/>
            </w:rPr>
            <w:t>附件二：廉政责任书格式</w:t>
          </w:r>
          <w:r>
            <w:tab/>
          </w:r>
          <w:r>
            <w:fldChar w:fldCharType="begin"/>
          </w:r>
          <w:r>
            <w:instrText xml:space="preserve"> PAGEREF _Toc86825540 \h </w:instrText>
          </w:r>
          <w:r>
            <w:fldChar w:fldCharType="separate"/>
          </w:r>
          <w:r>
            <w:t>95</w:t>
          </w:r>
          <w:r>
            <w:fldChar w:fldCharType="end"/>
          </w:r>
          <w:r>
            <w:fldChar w:fldCharType="end"/>
          </w:r>
        </w:p>
        <w:p>
          <w:pPr>
            <w:pStyle w:val="30"/>
            <w:tabs>
              <w:tab w:val="right" w:leader="dot" w:pos="9362"/>
            </w:tabs>
            <w:spacing w:line="360" w:lineRule="auto"/>
            <w:ind w:left="0" w:leftChars="0" w:firstLine="0"/>
          </w:pPr>
          <w:r>
            <w:fldChar w:fldCharType="begin"/>
          </w:r>
          <w:r>
            <w:instrText xml:space="preserve"> HYPERLINK \l "_Toc86825541" </w:instrText>
          </w:r>
          <w:r>
            <w:fldChar w:fldCharType="separate"/>
          </w:r>
          <w:r>
            <w:rPr>
              <w:rFonts w:hint="eastAsia"/>
              <w:b/>
            </w:rPr>
            <w:t>第五章</w:t>
          </w:r>
          <w:r>
            <w:rPr>
              <w:b/>
            </w:rPr>
            <w:t xml:space="preserve"> </w:t>
          </w:r>
          <w:r>
            <w:rPr>
              <w:rFonts w:hint="eastAsia"/>
              <w:b/>
            </w:rPr>
            <w:t>响应文件格式</w:t>
          </w:r>
          <w:r>
            <w:tab/>
          </w:r>
          <w:r>
            <w:fldChar w:fldCharType="begin"/>
          </w:r>
          <w:r>
            <w:instrText xml:space="preserve"> PAGEREF _Toc86825541 \h </w:instrText>
          </w:r>
          <w:r>
            <w:fldChar w:fldCharType="separate"/>
          </w:r>
          <w:r>
            <w:t>98</w:t>
          </w:r>
          <w:r>
            <w:fldChar w:fldCharType="end"/>
          </w:r>
          <w:r>
            <w:fldChar w:fldCharType="end"/>
          </w:r>
        </w:p>
        <w:p>
          <w:pPr>
            <w:pStyle w:val="30"/>
            <w:tabs>
              <w:tab w:val="right" w:leader="dot" w:pos="9362"/>
            </w:tabs>
            <w:spacing w:line="360" w:lineRule="auto"/>
            <w:ind w:left="490"/>
          </w:pPr>
          <w:r>
            <w:fldChar w:fldCharType="begin"/>
          </w:r>
          <w:r>
            <w:instrText xml:space="preserve"> HYPERLINK \l "_Toc86825542" </w:instrText>
          </w:r>
          <w:r>
            <w:fldChar w:fldCharType="separate"/>
          </w:r>
          <w:r>
            <w:rPr>
              <w:rFonts w:hint="eastAsia"/>
            </w:rPr>
            <w:t>响应文件</w:t>
          </w:r>
          <w:r>
            <w:tab/>
          </w:r>
          <w:r>
            <w:fldChar w:fldCharType="begin"/>
          </w:r>
          <w:r>
            <w:instrText xml:space="preserve"> PAGEREF _Toc86825542 \h </w:instrText>
          </w:r>
          <w:r>
            <w:fldChar w:fldCharType="separate"/>
          </w:r>
          <w:r>
            <w:t>98</w:t>
          </w:r>
          <w:r>
            <w:fldChar w:fldCharType="end"/>
          </w:r>
          <w:r>
            <w:fldChar w:fldCharType="end"/>
          </w:r>
        </w:p>
        <w:p>
          <w:pPr>
            <w:pStyle w:val="30"/>
            <w:tabs>
              <w:tab w:val="right" w:leader="dot" w:pos="9362"/>
            </w:tabs>
            <w:spacing w:line="360" w:lineRule="auto"/>
            <w:ind w:left="490"/>
          </w:pPr>
          <w:r>
            <w:fldChar w:fldCharType="begin"/>
          </w:r>
          <w:r>
            <w:instrText xml:space="preserve"> HYPERLINK \l "_Toc86825543" </w:instrText>
          </w:r>
          <w:r>
            <w:fldChar w:fldCharType="separate"/>
          </w:r>
          <w:r>
            <w:rPr>
              <w:rFonts w:hint="eastAsia"/>
            </w:rPr>
            <w:t>一、报价响应文件</w:t>
          </w:r>
          <w:r>
            <w:tab/>
          </w:r>
          <w:r>
            <w:fldChar w:fldCharType="begin"/>
          </w:r>
          <w:r>
            <w:instrText xml:space="preserve"> PAGEREF _Toc86825543 \h </w:instrText>
          </w:r>
          <w:r>
            <w:fldChar w:fldCharType="separate"/>
          </w:r>
          <w:r>
            <w:t>99</w:t>
          </w:r>
          <w:r>
            <w:fldChar w:fldCharType="end"/>
          </w:r>
          <w:r>
            <w:fldChar w:fldCharType="end"/>
          </w:r>
        </w:p>
        <w:p>
          <w:pPr>
            <w:pStyle w:val="30"/>
            <w:tabs>
              <w:tab w:val="right" w:leader="dot" w:pos="9362"/>
            </w:tabs>
            <w:spacing w:line="360" w:lineRule="auto"/>
            <w:ind w:left="490" w:leftChars="204" w:firstLine="480" w:firstLineChars="200"/>
          </w:pPr>
          <w:r>
            <w:fldChar w:fldCharType="begin"/>
          </w:r>
          <w:r>
            <w:instrText xml:space="preserve"> HYPERLINK \l "_Toc86825544" </w:instrText>
          </w:r>
          <w:r>
            <w:fldChar w:fldCharType="separate"/>
          </w:r>
          <w:r>
            <w:t>(</w:t>
          </w:r>
          <w:r>
            <w:rPr>
              <w:rFonts w:hint="eastAsia"/>
            </w:rPr>
            <w:t>一</w:t>
          </w:r>
          <w:r>
            <w:t>)</w:t>
          </w:r>
          <w:r>
            <w:rPr>
              <w:rFonts w:hint="eastAsia"/>
            </w:rPr>
            <w:t>、磋商函</w:t>
          </w:r>
          <w:r>
            <w:tab/>
          </w:r>
          <w:r>
            <w:fldChar w:fldCharType="begin"/>
          </w:r>
          <w:r>
            <w:instrText xml:space="preserve"> PAGEREF _Toc86825544 \h </w:instrText>
          </w:r>
          <w:r>
            <w:fldChar w:fldCharType="separate"/>
          </w:r>
          <w:r>
            <w:t>99</w:t>
          </w:r>
          <w:r>
            <w:fldChar w:fldCharType="end"/>
          </w:r>
          <w:r>
            <w:fldChar w:fldCharType="end"/>
          </w:r>
        </w:p>
        <w:p>
          <w:pPr>
            <w:pStyle w:val="30"/>
            <w:tabs>
              <w:tab w:val="right" w:leader="dot" w:pos="9362"/>
            </w:tabs>
            <w:spacing w:line="360" w:lineRule="auto"/>
            <w:ind w:left="490" w:leftChars="204" w:firstLine="240" w:firstLineChars="100"/>
          </w:pPr>
          <w:r>
            <w:fldChar w:fldCharType="begin"/>
          </w:r>
          <w:r>
            <w:instrText xml:space="preserve"> HYPERLINK \l "_Toc86825545" </w:instrText>
          </w:r>
          <w:r>
            <w:fldChar w:fldCharType="separate"/>
          </w:r>
          <w:r>
            <w:rPr>
              <w:rFonts w:hint="eastAsia"/>
            </w:rPr>
            <w:t>（二）、首次报价一览表</w:t>
          </w:r>
          <w:r>
            <w:tab/>
          </w:r>
          <w:r>
            <w:fldChar w:fldCharType="begin"/>
          </w:r>
          <w:r>
            <w:instrText xml:space="preserve"> PAGEREF _Toc86825545 \h </w:instrText>
          </w:r>
          <w:r>
            <w:fldChar w:fldCharType="separate"/>
          </w:r>
          <w:r>
            <w:t>100</w:t>
          </w:r>
          <w:r>
            <w:fldChar w:fldCharType="end"/>
          </w:r>
          <w:r>
            <w:fldChar w:fldCharType="end"/>
          </w:r>
        </w:p>
        <w:p>
          <w:pPr>
            <w:pStyle w:val="30"/>
            <w:tabs>
              <w:tab w:val="right" w:leader="dot" w:pos="9362"/>
            </w:tabs>
            <w:spacing w:line="360" w:lineRule="auto"/>
            <w:ind w:left="490"/>
            <w:rPr>
              <w:rFonts w:asciiTheme="minorHAnsi" w:hAnsiTheme="minorHAnsi" w:eastAsiaTheme="minorEastAsia" w:cstheme="minorBidi"/>
              <w:color w:val="auto"/>
              <w:sz w:val="21"/>
            </w:rPr>
          </w:pPr>
          <w:r>
            <w:fldChar w:fldCharType="begin"/>
          </w:r>
          <w:r>
            <w:instrText xml:space="preserve"> HYPERLINK \l "_Toc86825546" </w:instrText>
          </w:r>
          <w:r>
            <w:fldChar w:fldCharType="separate"/>
          </w:r>
          <w:r>
            <w:rPr>
              <w:rFonts w:hint="eastAsia"/>
            </w:rPr>
            <w:t>首次报价一览表</w:t>
          </w:r>
          <w:r>
            <w:tab/>
          </w:r>
          <w:r>
            <w:fldChar w:fldCharType="begin"/>
          </w:r>
          <w:r>
            <w:instrText xml:space="preserve"> PAGEREF _Toc86825546 \h </w:instrText>
          </w:r>
          <w:r>
            <w:fldChar w:fldCharType="separate"/>
          </w:r>
          <w:r>
            <w:t>100</w:t>
          </w:r>
          <w:r>
            <w:fldChar w:fldCharType="end"/>
          </w:r>
          <w:r>
            <w:fldChar w:fldCharType="end"/>
          </w:r>
        </w:p>
        <w:p>
          <w:pPr>
            <w:pStyle w:val="30"/>
            <w:tabs>
              <w:tab w:val="right" w:leader="dot" w:pos="9362"/>
            </w:tabs>
            <w:spacing w:line="360" w:lineRule="auto"/>
            <w:ind w:left="490" w:leftChars="204" w:firstLine="240" w:firstLineChars="100"/>
            <w:rPr>
              <w:rFonts w:asciiTheme="minorHAnsi" w:hAnsiTheme="minorHAnsi" w:eastAsiaTheme="minorEastAsia" w:cstheme="minorBidi"/>
              <w:color w:val="auto"/>
              <w:sz w:val="21"/>
            </w:rPr>
          </w:pPr>
          <w:r>
            <w:fldChar w:fldCharType="begin"/>
          </w:r>
          <w:r>
            <w:instrText xml:space="preserve"> HYPERLINK \l "_Toc86825547" </w:instrText>
          </w:r>
          <w:r>
            <w:fldChar w:fldCharType="separate"/>
          </w:r>
          <w:r>
            <w:rPr>
              <w:rStyle w:val="42"/>
              <w:rFonts w:hint="eastAsia"/>
            </w:rPr>
            <w:t>（三）工程量清单</w:t>
          </w:r>
          <w:r>
            <w:tab/>
          </w:r>
          <w:r>
            <w:fldChar w:fldCharType="begin"/>
          </w:r>
          <w:r>
            <w:instrText xml:space="preserve"> PAGEREF _Toc86825547 \h </w:instrText>
          </w:r>
          <w:r>
            <w:fldChar w:fldCharType="separate"/>
          </w:r>
          <w:r>
            <w:t>101</w:t>
          </w:r>
          <w:r>
            <w:fldChar w:fldCharType="end"/>
          </w:r>
          <w:r>
            <w:fldChar w:fldCharType="end"/>
          </w:r>
        </w:p>
        <w:p>
          <w:pPr>
            <w:pStyle w:val="30"/>
            <w:tabs>
              <w:tab w:val="right" w:leader="dot" w:pos="9362"/>
            </w:tabs>
            <w:spacing w:line="360" w:lineRule="auto"/>
            <w:ind w:left="490"/>
            <w:rPr>
              <w:rFonts w:asciiTheme="minorHAnsi" w:hAnsiTheme="minorHAnsi" w:eastAsiaTheme="minorEastAsia" w:cstheme="minorBidi"/>
              <w:color w:val="auto"/>
              <w:sz w:val="21"/>
            </w:rPr>
          </w:pPr>
          <w:r>
            <w:fldChar w:fldCharType="begin"/>
          </w:r>
          <w:r>
            <w:instrText xml:space="preserve"> HYPERLINK \l "_Toc86825548" </w:instrText>
          </w:r>
          <w:r>
            <w:fldChar w:fldCharType="separate"/>
          </w:r>
          <w:r>
            <w:rPr>
              <w:rStyle w:val="42"/>
              <w:rFonts w:hint="eastAsia"/>
              <w:bCs/>
            </w:rPr>
            <w:t>二、资格性、符合性响应文件</w:t>
          </w:r>
          <w:r>
            <w:tab/>
          </w:r>
          <w:r>
            <w:fldChar w:fldCharType="begin"/>
          </w:r>
          <w:r>
            <w:instrText xml:space="preserve"> PAGEREF _Toc86825548 \h </w:instrText>
          </w:r>
          <w:r>
            <w:fldChar w:fldCharType="separate"/>
          </w:r>
          <w:r>
            <w:t>111</w:t>
          </w:r>
          <w:r>
            <w:fldChar w:fldCharType="end"/>
          </w:r>
          <w:r>
            <w:fldChar w:fldCharType="end"/>
          </w:r>
        </w:p>
        <w:p>
          <w:pPr>
            <w:pStyle w:val="30"/>
            <w:tabs>
              <w:tab w:val="right" w:leader="dot" w:pos="9362"/>
            </w:tabs>
            <w:spacing w:line="360" w:lineRule="auto"/>
            <w:ind w:left="490"/>
            <w:rPr>
              <w:rFonts w:asciiTheme="minorHAnsi" w:hAnsiTheme="minorHAnsi" w:eastAsiaTheme="minorEastAsia" w:cstheme="minorBidi"/>
              <w:color w:val="auto"/>
              <w:sz w:val="21"/>
            </w:rPr>
          </w:pPr>
          <w:r>
            <w:fldChar w:fldCharType="begin"/>
          </w:r>
          <w:r>
            <w:instrText xml:space="preserve"> HYPERLINK \l "_Toc86825550" </w:instrText>
          </w:r>
          <w:r>
            <w:fldChar w:fldCharType="separate"/>
          </w:r>
          <w:r>
            <w:rPr>
              <w:rStyle w:val="42"/>
              <w:rFonts w:hint="eastAsia"/>
              <w:bCs/>
            </w:rPr>
            <w:t>三、技术响应文件</w:t>
          </w:r>
          <w:r>
            <w:tab/>
          </w:r>
          <w:r>
            <w:fldChar w:fldCharType="begin"/>
          </w:r>
          <w:r>
            <w:instrText xml:space="preserve"> PAGEREF _Toc86825550 \h </w:instrText>
          </w:r>
          <w:r>
            <w:fldChar w:fldCharType="separate"/>
          </w:r>
          <w:r>
            <w:t>126</w:t>
          </w:r>
          <w:r>
            <w:fldChar w:fldCharType="end"/>
          </w:r>
          <w:r>
            <w:fldChar w:fldCharType="end"/>
          </w:r>
        </w:p>
        <w:p>
          <w:pPr>
            <w:pStyle w:val="30"/>
            <w:tabs>
              <w:tab w:val="right" w:leader="dot" w:pos="9362"/>
            </w:tabs>
            <w:spacing w:line="360" w:lineRule="auto"/>
            <w:ind w:left="490"/>
            <w:rPr>
              <w:rStyle w:val="42"/>
              <w:bCs/>
            </w:rPr>
          </w:pPr>
          <w:r>
            <w:fldChar w:fldCharType="begin"/>
          </w:r>
          <w:r>
            <w:instrText xml:space="preserve"> HYPERLINK \l "_Toc86825551" </w:instrText>
          </w:r>
          <w:r>
            <w:fldChar w:fldCharType="separate"/>
          </w:r>
          <w:r>
            <w:rPr>
              <w:rStyle w:val="42"/>
              <w:rFonts w:hint="eastAsia"/>
              <w:bCs/>
            </w:rPr>
            <w:t>四、最终报价表</w:t>
          </w:r>
          <w:r>
            <w:rPr>
              <w:rStyle w:val="42"/>
              <w:bCs/>
            </w:rPr>
            <w:tab/>
          </w:r>
          <w:r>
            <w:rPr>
              <w:rStyle w:val="42"/>
              <w:bCs/>
            </w:rPr>
            <w:fldChar w:fldCharType="begin"/>
          </w:r>
          <w:r>
            <w:rPr>
              <w:rStyle w:val="42"/>
              <w:bCs/>
            </w:rPr>
            <w:instrText xml:space="preserve"> PAGEREF _Toc86825551 \h </w:instrText>
          </w:r>
          <w:r>
            <w:rPr>
              <w:rStyle w:val="42"/>
              <w:bCs/>
            </w:rPr>
            <w:fldChar w:fldCharType="separate"/>
          </w:r>
          <w:r>
            <w:rPr>
              <w:rStyle w:val="42"/>
              <w:bCs/>
            </w:rPr>
            <w:t>127</w:t>
          </w:r>
          <w:r>
            <w:rPr>
              <w:rStyle w:val="42"/>
              <w:bCs/>
            </w:rPr>
            <w:fldChar w:fldCharType="end"/>
          </w:r>
          <w:r>
            <w:rPr>
              <w:rStyle w:val="42"/>
              <w:bCs/>
            </w:rPr>
            <w:fldChar w:fldCharType="end"/>
          </w:r>
        </w:p>
        <w:p>
          <w:pPr>
            <w:pStyle w:val="4"/>
            <w:spacing w:line="360" w:lineRule="auto"/>
            <w:jc w:val="center"/>
            <w:rPr>
              <w:rFonts w:ascii="宋体" w:hAnsi="宋体" w:eastAsia="宋体"/>
              <w:b/>
              <w:bCs/>
              <w:sz w:val="24"/>
              <w:szCs w:val="24"/>
            </w:rPr>
            <w:sectPr>
              <w:footerReference r:id="rId11" w:type="default"/>
              <w:footerReference r:id="rId12" w:type="even"/>
              <w:pgSz w:w="11904" w:h="16840"/>
              <w:pgMar w:top="1250" w:right="1295" w:bottom="1487" w:left="1237" w:header="879" w:footer="868" w:gutter="0"/>
              <w:pgNumType w:start="1"/>
              <w:cols w:space="720" w:num="1"/>
            </w:sectPr>
          </w:pPr>
          <w:r>
            <w:rPr>
              <w:rFonts w:hint="eastAsia" w:ascii="宋体" w:hAnsi="宋体" w:eastAsia="宋体" w:cs="宋体"/>
              <w:b/>
              <w:bCs/>
              <w:sz w:val="24"/>
              <w:szCs w:val="24"/>
            </w:rPr>
            <w:fldChar w:fldCharType="end"/>
          </w:r>
        </w:p>
      </w:sdtContent>
    </w:sdt>
    <w:p>
      <w:pPr>
        <w:pStyle w:val="4"/>
        <w:spacing w:line="360" w:lineRule="auto"/>
        <w:jc w:val="center"/>
        <w:rPr>
          <w:rFonts w:ascii="宋体" w:hAnsi="宋体" w:eastAsia="宋体"/>
          <w:b/>
          <w:bCs/>
          <w:sz w:val="32"/>
          <w:szCs w:val="32"/>
        </w:rPr>
      </w:pPr>
      <w:r>
        <w:rPr>
          <w:rFonts w:hint="eastAsia" w:ascii="宋体" w:hAnsi="宋体" w:eastAsia="宋体"/>
          <w:b/>
          <w:bCs/>
          <w:sz w:val="24"/>
          <w:szCs w:val="24"/>
        </w:rPr>
        <w:t xml:space="preserve">        </w:t>
      </w:r>
      <w:bookmarkStart w:id="4" w:name="_Toc86825485"/>
      <w:r>
        <w:rPr>
          <w:rFonts w:ascii="宋体" w:hAnsi="宋体" w:eastAsia="宋体"/>
          <w:b/>
          <w:bCs/>
          <w:sz w:val="32"/>
          <w:szCs w:val="32"/>
        </w:rPr>
        <w:t>第一章 磋商邀请</w:t>
      </w:r>
      <w:bookmarkEnd w:id="1"/>
      <w:bookmarkEnd w:id="2"/>
      <w:bookmarkEnd w:id="3"/>
      <w:bookmarkEnd w:id="4"/>
    </w:p>
    <w:p>
      <w:pPr>
        <w:spacing w:line="360" w:lineRule="auto"/>
        <w:rPr>
          <w:szCs w:val="24"/>
        </w:rPr>
      </w:pPr>
    </w:p>
    <w:p>
      <w:pPr>
        <w:spacing w:line="360" w:lineRule="auto"/>
        <w:ind w:left="0" w:firstLine="720" w:firstLineChars="300"/>
        <w:rPr>
          <w:szCs w:val="24"/>
        </w:rPr>
      </w:pPr>
      <w:r>
        <w:rPr>
          <w:rFonts w:hint="eastAsia"/>
          <w:szCs w:val="24"/>
        </w:rPr>
        <w:t xml:space="preserve">北京盛欣宏益商务服务有限公司（以下简称“招标代理机构”）受北京市房山区人民防空办公室（以下简称“采购人”）的委托，对北京市房山区人民防空办公室加州水郡西区、中冶蓝城地下人防工程维修工程进行竞争性磋商采购。 </w:t>
      </w:r>
    </w:p>
    <w:p>
      <w:pPr>
        <w:pStyle w:val="5"/>
        <w:spacing w:line="360" w:lineRule="auto"/>
        <w:jc w:val="left"/>
        <w:rPr>
          <w:rFonts w:ascii="宋体" w:hAnsi="宋体" w:cs="宋体"/>
          <w:b w:val="0"/>
          <w:sz w:val="24"/>
          <w:szCs w:val="24"/>
        </w:rPr>
      </w:pPr>
      <w:bookmarkStart w:id="5" w:name="_Toc30874"/>
      <w:bookmarkStart w:id="6" w:name="_Toc77206835"/>
      <w:bookmarkStart w:id="7" w:name="_Toc79057499"/>
      <w:bookmarkStart w:id="8" w:name="_Toc86825486"/>
      <w:r>
        <w:rPr>
          <w:rFonts w:hint="eastAsia" w:ascii="宋体" w:hAnsi="宋体" w:cs="宋体"/>
          <w:b w:val="0"/>
          <w:sz w:val="24"/>
          <w:szCs w:val="24"/>
        </w:rPr>
        <w:t>一、项目概况：</w:t>
      </w:r>
      <w:bookmarkEnd w:id="5"/>
      <w:bookmarkEnd w:id="6"/>
      <w:bookmarkEnd w:id="7"/>
      <w:bookmarkEnd w:id="8"/>
    </w:p>
    <w:p>
      <w:pPr>
        <w:spacing w:line="360" w:lineRule="auto"/>
        <w:ind w:left="0" w:firstLine="0"/>
      </w:pPr>
      <w:r>
        <w:rPr>
          <w:rFonts w:hint="eastAsia"/>
        </w:rPr>
        <w:t>1.项目编号：</w:t>
      </w:r>
      <w:r>
        <w:t>SXHY-GKZB-2021-0</w:t>
      </w:r>
      <w:r>
        <w:rPr>
          <w:rFonts w:hint="eastAsia"/>
        </w:rPr>
        <w:t>91</w:t>
      </w:r>
    </w:p>
    <w:p>
      <w:pPr>
        <w:pStyle w:val="2"/>
        <w:spacing w:line="360" w:lineRule="auto"/>
        <w:ind w:left="0" w:leftChars="0" w:firstLine="0" w:firstLineChars="0"/>
      </w:pPr>
      <w:r>
        <w:t>2.</w:t>
      </w:r>
      <w:r>
        <w:rPr>
          <w:rFonts w:hint="eastAsia"/>
        </w:rPr>
        <w:t>项目批复：房财政采[2021]325号</w:t>
      </w:r>
    </w:p>
    <w:p>
      <w:pPr>
        <w:spacing w:line="360" w:lineRule="auto"/>
        <w:ind w:left="0" w:firstLine="0"/>
      </w:pPr>
      <w:r>
        <w:t>3</w:t>
      </w:r>
      <w:r>
        <w:rPr>
          <w:rFonts w:hint="eastAsia"/>
        </w:rPr>
        <w:t>.项目名称：</w:t>
      </w:r>
      <w:r>
        <w:rPr>
          <w:rFonts w:hint="eastAsia"/>
          <w:szCs w:val="24"/>
        </w:rPr>
        <w:t>北京市房山区人民防空办公室加州水郡西区、中冶蓝城地下人防工程维修工程</w:t>
      </w:r>
    </w:p>
    <w:p>
      <w:pPr>
        <w:pStyle w:val="2"/>
        <w:ind w:left="0" w:leftChars="0" w:firstLine="0" w:firstLineChars="0"/>
      </w:pPr>
      <w:r>
        <w:rPr>
          <w:rFonts w:hint="eastAsia"/>
        </w:rPr>
        <w:t>4</w:t>
      </w:r>
      <w:r>
        <w:t>.</w:t>
      </w:r>
      <w:r>
        <w:rPr>
          <w:rFonts w:hint="eastAsia"/>
        </w:rPr>
        <w:t>建设单位：北京市房山区人民防空办公室</w:t>
      </w:r>
    </w:p>
    <w:p>
      <w:pPr>
        <w:pStyle w:val="2"/>
        <w:ind w:left="0" w:leftChars="0" w:firstLine="0" w:firstLineChars="0"/>
      </w:pPr>
      <w:r>
        <w:rPr>
          <w:rFonts w:hint="eastAsia"/>
        </w:rPr>
        <w:t>5</w:t>
      </w:r>
      <w:r>
        <w:t>.</w:t>
      </w:r>
      <w:r>
        <w:rPr>
          <w:rFonts w:hint="eastAsia"/>
        </w:rPr>
        <w:t>建设地点：北京市房山区良乡镇</w:t>
      </w:r>
    </w:p>
    <w:p>
      <w:pPr>
        <w:spacing w:line="360" w:lineRule="auto"/>
        <w:ind w:left="0" w:firstLine="0"/>
      </w:pPr>
      <w:r>
        <w:t>6</w:t>
      </w:r>
      <w:r>
        <w:rPr>
          <w:rFonts w:hint="eastAsia"/>
        </w:rPr>
        <w:t xml:space="preserve">.项目类型：工程类 </w:t>
      </w:r>
    </w:p>
    <w:p>
      <w:pPr>
        <w:spacing w:line="360" w:lineRule="auto"/>
        <w:ind w:left="0" w:firstLine="0"/>
      </w:pPr>
      <w:r>
        <w:t>7</w:t>
      </w:r>
      <w:r>
        <w:rPr>
          <w:rFonts w:hint="eastAsia"/>
        </w:rPr>
        <w:t>.合同履行期限：合同签订之日起45天内完成并竣工验收</w:t>
      </w:r>
    </w:p>
    <w:p>
      <w:pPr>
        <w:spacing w:line="360" w:lineRule="auto"/>
        <w:ind w:left="0" w:firstLine="0"/>
        <w:rPr>
          <w:bCs/>
        </w:rPr>
      </w:pPr>
      <w:r>
        <w:t>8.</w:t>
      </w:r>
      <w:r>
        <w:rPr>
          <w:rFonts w:hint="eastAsia"/>
        </w:rPr>
        <w:t>最高限价（人民币）：218.16167万元</w:t>
      </w:r>
    </w:p>
    <w:p>
      <w:pPr>
        <w:pStyle w:val="2"/>
        <w:spacing w:line="360" w:lineRule="auto"/>
        <w:ind w:left="0" w:leftChars="0" w:firstLine="0" w:firstLineChars="0"/>
      </w:pPr>
      <w:r>
        <w:t>9.</w:t>
      </w:r>
      <w:r>
        <w:rPr>
          <w:rFonts w:hint="eastAsia"/>
        </w:rPr>
        <w:t xml:space="preserve">采购需求：裂缝修复、装饰工程、给排水工程、通风工程等图纸及工程量清单中的全部内容。 </w:t>
      </w:r>
    </w:p>
    <w:p>
      <w:pPr>
        <w:pStyle w:val="5"/>
        <w:spacing w:line="360" w:lineRule="auto"/>
        <w:jc w:val="left"/>
        <w:rPr>
          <w:rFonts w:ascii="宋体" w:hAnsi="宋体" w:cs="宋体"/>
          <w:b w:val="0"/>
          <w:sz w:val="24"/>
          <w:szCs w:val="24"/>
        </w:rPr>
      </w:pPr>
      <w:bookmarkStart w:id="9" w:name="_Toc86825487"/>
      <w:bookmarkStart w:id="10" w:name="_Toc77206836"/>
      <w:bookmarkStart w:id="11" w:name="_Toc79057500"/>
      <w:bookmarkStart w:id="12" w:name="_Toc5880"/>
      <w:r>
        <w:rPr>
          <w:rFonts w:hint="eastAsia" w:ascii="宋体" w:hAnsi="宋体" w:cs="宋体"/>
          <w:b w:val="0"/>
          <w:sz w:val="24"/>
          <w:szCs w:val="24"/>
        </w:rPr>
        <w:t>二、合格响应供应商资格要求 ：</w:t>
      </w:r>
      <w:bookmarkEnd w:id="9"/>
      <w:bookmarkEnd w:id="10"/>
      <w:bookmarkEnd w:id="11"/>
      <w:bookmarkEnd w:id="12"/>
    </w:p>
    <w:p>
      <w:pPr>
        <w:spacing w:after="110" w:line="360" w:lineRule="auto"/>
        <w:ind w:left="0" w:firstLine="0"/>
        <w:rPr>
          <w:szCs w:val="24"/>
        </w:rPr>
      </w:pPr>
      <w:r>
        <w:rPr>
          <w:rFonts w:hint="eastAsia"/>
          <w:szCs w:val="24"/>
        </w:rPr>
        <w:t>1、满足《中华人民共和国政府采购法》第二十二条的规定。</w:t>
      </w:r>
    </w:p>
    <w:p>
      <w:pPr>
        <w:spacing w:line="360" w:lineRule="auto"/>
        <w:ind w:left="11" w:hanging="11"/>
      </w:pPr>
      <w:r>
        <w:t>（一）具有独立承担民事责任的能力；</w:t>
      </w:r>
      <w:r>
        <w:br w:type="textWrapping"/>
      </w:r>
      <w:r>
        <w:t>（二）具有良好的商业信誉和健全的财务会计制度；</w:t>
      </w:r>
      <w:r>
        <w:br w:type="textWrapping"/>
      </w:r>
      <w:r>
        <w:t>（三）具有履行合同所必需的设备和专业技术能力；</w:t>
      </w:r>
      <w:r>
        <w:br w:type="textWrapping"/>
      </w:r>
      <w:r>
        <w:t>（四）有依法缴纳税收和社会保障资金的良好记录；</w:t>
      </w:r>
      <w:r>
        <w:br w:type="textWrapping"/>
      </w:r>
      <w:r>
        <w:t>（五）参加政府采购活动前三年内，在经营活动中没有重大违法记录；</w:t>
      </w:r>
      <w:r>
        <w:br w:type="textWrapping"/>
      </w:r>
      <w:r>
        <w:t>（六）法律、行政法规规定的其他条件。</w:t>
      </w:r>
    </w:p>
    <w:p>
      <w:pPr>
        <w:spacing w:after="110" w:line="360" w:lineRule="auto"/>
        <w:ind w:left="7" w:hanging="7" w:hangingChars="3"/>
        <w:jc w:val="both"/>
        <w:rPr>
          <w:szCs w:val="24"/>
        </w:rPr>
      </w:pPr>
      <w:r>
        <w:rPr>
          <w:szCs w:val="24"/>
        </w:rPr>
        <w:t>2</w:t>
      </w:r>
      <w:r>
        <w:rPr>
          <w:rFonts w:hint="eastAsia"/>
          <w:szCs w:val="24"/>
        </w:rPr>
        <w:t>、落实政府采购政策需满足的资格要求：</w:t>
      </w:r>
      <w:r>
        <w:rPr>
          <w:rFonts w:hint="eastAsia"/>
          <w:b/>
          <w:bCs/>
        </w:rPr>
        <w:t>本项目专门面向中小微企业采购。</w:t>
      </w:r>
    </w:p>
    <w:p>
      <w:pPr>
        <w:spacing w:after="110" w:line="360" w:lineRule="auto"/>
        <w:ind w:left="7" w:firstLine="0"/>
        <w:jc w:val="both"/>
        <w:rPr>
          <w:szCs w:val="24"/>
        </w:rPr>
      </w:pPr>
      <w:r>
        <w:rPr>
          <w:rFonts w:hint="eastAsia"/>
          <w:szCs w:val="24"/>
        </w:rPr>
        <w:t>2.1《中华人民共和国招标投标法》、《中华人民共和国招标投标法实施条例》、《工业和信息化部、国家统计局、国家发展和改革委员会、财政部关于印发中小企业划型标准规定的通知》（工信部联企业[2011]300 号）；《北京市财政局 北京市经济和信息化局转发财政部工业和信息化部关于政府采购促进中小企业发展管理办法的通知》（京财采购【2021】263号）通知要求；《关于政府采购支持监狱企业发展有关问题的通知》（财库 [2014]68 号）、《财政部民政部中国残疾人联合会关子促进残疾人就业政府采购政策的通知》 (财库【2017】141 号)、《关于进一步明确责任加强新型冠状病毒感染的肺炎预防控制工作的通知》、《北京市财政局关于转发财政部&lt;关于疫情防控采购便利化的通知&gt;》、</w:t>
      </w:r>
      <w:bookmarkStart w:id="13" w:name="_Hlk33689588"/>
      <w:bookmarkEnd w:id="13"/>
      <w:r>
        <w:rPr>
          <w:rFonts w:hint="eastAsia"/>
          <w:szCs w:val="24"/>
        </w:rPr>
        <w:t>《关于新型冠状病毒感染肺炎疫情防控期间加大政府采购支持中小微型企业力度的通知》（京财采购[2020]195号）、《关于我区新型冠状病毒感染肺炎疫情防控期间加大政府采购支持中小微型企业力度的通知》。</w:t>
      </w:r>
    </w:p>
    <w:p>
      <w:pPr>
        <w:pStyle w:val="2"/>
        <w:spacing w:line="360" w:lineRule="auto"/>
        <w:ind w:left="0" w:leftChars="0" w:firstLine="0" w:firstLineChars="0"/>
      </w:pPr>
      <w:r>
        <w:rPr>
          <w:rFonts w:hint="eastAsia"/>
        </w:rPr>
        <w:t>2.2严格贯彻落实挥发性有机物（VOCs</w:t>
      </w:r>
      <w:r>
        <w:t>）</w:t>
      </w:r>
      <w:r>
        <w:rPr>
          <w:rFonts w:hint="eastAsia"/>
        </w:rPr>
        <w:t>治理工作，按照北京市房山区财政局 北京市房山区生态环境局关于转发《北京市财政局  北京市房山区生态环境局 关于政府采购推广使用低挥发性有机有机化合物（VOCs</w:t>
      </w:r>
      <w:r>
        <w:t>）有关事项的通知》（房财采购【</w:t>
      </w:r>
      <w:r>
        <w:rPr>
          <w:rFonts w:hint="eastAsia"/>
        </w:rPr>
        <w:t>2020】149号）执行。</w:t>
      </w:r>
    </w:p>
    <w:p>
      <w:pPr>
        <w:spacing w:after="110" w:line="360" w:lineRule="auto"/>
        <w:ind w:left="7" w:hanging="7" w:hangingChars="3"/>
        <w:rPr>
          <w:szCs w:val="24"/>
        </w:rPr>
      </w:pPr>
      <w:r>
        <w:rPr>
          <w:rFonts w:hint="eastAsia"/>
          <w:szCs w:val="24"/>
        </w:rPr>
        <w:t>3、本项目的特定资格要求：</w:t>
      </w:r>
    </w:p>
    <w:p>
      <w:pPr>
        <w:spacing w:after="110" w:line="360" w:lineRule="auto"/>
        <w:ind w:left="7" w:hanging="7" w:hangingChars="3"/>
        <w:rPr>
          <w:szCs w:val="24"/>
        </w:rPr>
      </w:pPr>
      <w:r>
        <w:rPr>
          <w:rFonts w:hint="eastAsia"/>
          <w:szCs w:val="24"/>
        </w:rPr>
        <w:t>3.1投标人须具备建设行政主管部门核发的建筑工程施工总承包叁级及建筑装修装饰工程专业承包贰级（含）以上资质，具有建设主管部门核发有效期内的安全生产许可证；</w:t>
      </w:r>
    </w:p>
    <w:p>
      <w:pPr>
        <w:spacing w:after="110" w:line="360" w:lineRule="auto"/>
        <w:ind w:left="7" w:hanging="7" w:hangingChars="3"/>
        <w:rPr>
          <w:szCs w:val="24"/>
        </w:rPr>
      </w:pPr>
      <w:r>
        <w:rPr>
          <w:rFonts w:hint="eastAsia"/>
          <w:szCs w:val="24"/>
        </w:rPr>
        <w:t>3.2拟派项目经理已取得建筑工程专业，二级（含）以上注册建造师，聘用单位必须和注册证书中注册执业单位一致，且具备行政主管部门核发的B级安全生产考核合格证书（证书均须在有效期内），且在确定中标人时不得担任其他在施建设工程项目的项目经理；</w:t>
      </w:r>
    </w:p>
    <w:p>
      <w:pPr>
        <w:spacing w:after="110" w:line="360" w:lineRule="auto"/>
        <w:ind w:left="7" w:hanging="7" w:hangingChars="3"/>
        <w:rPr>
          <w:szCs w:val="24"/>
        </w:rPr>
      </w:pPr>
      <w:r>
        <w:rPr>
          <w:rFonts w:hint="eastAsia"/>
          <w:szCs w:val="24"/>
        </w:rPr>
        <w:t>3.3经营状况：在近三年内没有骗取中标和严重违约及重大工程质量问题，在经营活动没有重大违法记录，没有处于被责令停业，投标资格被取消，财产被接管、冻结，破产状态；在北京建筑市场无不良记录。</w:t>
      </w:r>
    </w:p>
    <w:p>
      <w:pPr>
        <w:spacing w:after="110" w:line="360" w:lineRule="auto"/>
        <w:ind w:left="7" w:hanging="7" w:hangingChars="3"/>
        <w:rPr>
          <w:szCs w:val="24"/>
        </w:rPr>
      </w:pPr>
      <w:r>
        <w:rPr>
          <w:rFonts w:hint="eastAsia"/>
          <w:szCs w:val="24"/>
        </w:rPr>
        <w:t>3.4在“信用中国”网站（www.creditchina.gov.cn）及“中国政府采购网”（www.ccgp.gov.cn）未被列入失信被执行人、重大税收违法按照当事人名单、政府采购严重失信行为记录名单。</w:t>
      </w:r>
    </w:p>
    <w:p>
      <w:pPr>
        <w:spacing w:after="110" w:line="360" w:lineRule="auto"/>
        <w:ind w:left="7" w:hanging="7" w:hangingChars="3"/>
        <w:rPr>
          <w:szCs w:val="24"/>
        </w:rPr>
      </w:pPr>
      <w:r>
        <w:rPr>
          <w:szCs w:val="24"/>
        </w:rPr>
        <w:t xml:space="preserve">3.5 </w:t>
      </w:r>
      <w:r>
        <w:rPr>
          <w:rFonts w:hint="eastAsia"/>
          <w:b/>
          <w:bCs/>
          <w:szCs w:val="24"/>
        </w:rPr>
        <w:t>本次招标</w:t>
      </w:r>
      <w:r>
        <w:rPr>
          <w:rFonts w:hint="eastAsia"/>
          <w:b/>
          <w:bCs/>
          <w:szCs w:val="24"/>
          <w:u w:val="single"/>
        </w:rPr>
        <w:t>不接受</w:t>
      </w:r>
      <w:r>
        <w:rPr>
          <w:rFonts w:hint="eastAsia"/>
          <w:b/>
          <w:bCs/>
          <w:szCs w:val="24"/>
        </w:rPr>
        <w:t>联合体投标。</w:t>
      </w:r>
    </w:p>
    <w:p>
      <w:pPr>
        <w:pStyle w:val="5"/>
        <w:spacing w:line="360" w:lineRule="auto"/>
        <w:jc w:val="left"/>
        <w:rPr>
          <w:rFonts w:ascii="宋体" w:hAnsi="宋体" w:cs="宋体"/>
          <w:b w:val="0"/>
          <w:sz w:val="24"/>
          <w:szCs w:val="24"/>
        </w:rPr>
      </w:pPr>
      <w:bookmarkStart w:id="14" w:name="_Toc77206837"/>
      <w:bookmarkStart w:id="15" w:name="_Toc86825488"/>
      <w:bookmarkStart w:id="16" w:name="_Toc79057501"/>
      <w:bookmarkStart w:id="17" w:name="_Toc27841"/>
      <w:r>
        <w:rPr>
          <w:rFonts w:hint="eastAsia" w:ascii="宋体" w:hAnsi="宋体" w:cs="宋体"/>
          <w:b w:val="0"/>
          <w:sz w:val="24"/>
          <w:szCs w:val="24"/>
        </w:rPr>
        <w:t>三、获取磋商文件：</w:t>
      </w:r>
      <w:bookmarkEnd w:id="14"/>
      <w:bookmarkEnd w:id="15"/>
      <w:bookmarkEnd w:id="16"/>
      <w:bookmarkEnd w:id="17"/>
    </w:p>
    <w:p>
      <w:pPr>
        <w:pStyle w:val="2"/>
        <w:spacing w:line="360" w:lineRule="auto"/>
        <w:ind w:left="283" w:leftChars="118" w:firstLine="240" w:firstLineChars="100"/>
      </w:pPr>
      <w:r>
        <w:rPr>
          <w:rFonts w:hint="eastAsia"/>
        </w:rPr>
        <w:t>1、时间：2021年11月3日至2021年11月9日，办公时间每日上午09时00分~11时</w:t>
      </w:r>
      <w:r>
        <w:t>3</w:t>
      </w:r>
      <w:r>
        <w:rPr>
          <w:rFonts w:hint="eastAsia"/>
        </w:rPr>
        <w:t>0分；下午14时00分~16时</w:t>
      </w:r>
      <w:r>
        <w:t>3</w:t>
      </w:r>
      <w:r>
        <w:rPr>
          <w:rFonts w:hint="eastAsia"/>
        </w:rPr>
        <w:t>0分，（北京时间，法定节假日除外）。</w:t>
      </w:r>
    </w:p>
    <w:p>
      <w:pPr>
        <w:pStyle w:val="2"/>
        <w:spacing w:line="360" w:lineRule="auto"/>
        <w:ind w:left="283" w:leftChars="118" w:firstLine="240" w:firstLineChars="100"/>
      </w:pPr>
      <w:r>
        <w:rPr>
          <w:rFonts w:hint="eastAsia"/>
        </w:rPr>
        <w:t>2、地点：北京市房山区良乡太平庄南路1</w:t>
      </w:r>
      <w:r>
        <w:t>3</w:t>
      </w:r>
      <w:r>
        <w:rPr>
          <w:rFonts w:hint="eastAsia"/>
        </w:rPr>
        <w:t>号。</w:t>
      </w:r>
    </w:p>
    <w:p>
      <w:pPr>
        <w:pStyle w:val="2"/>
        <w:spacing w:line="360" w:lineRule="auto"/>
        <w:ind w:left="283" w:leftChars="118" w:firstLine="240" w:firstLineChars="100"/>
      </w:pPr>
      <w:r>
        <w:rPr>
          <w:rFonts w:hint="eastAsia"/>
        </w:rPr>
        <w:t>3、方式：</w:t>
      </w:r>
      <w:r>
        <w:rPr>
          <w:rFonts w:hint="eastAsia"/>
          <w:b/>
        </w:rPr>
        <w:t xml:space="preserve"> 营业执照副本（复印件加盖单位公章）；法定代表证明（加盖单位公章）或法定代表人授权委托书（加盖单位公章；法人需要签字或盖章）；法定代表人身份证（复印件加盖单位公章）及经办人身份证（复印件加盖单位公章）；《中小企业声明函》（格式参照（财库【2020】46号））加盖公章；</w:t>
      </w:r>
    </w:p>
    <w:p>
      <w:pPr>
        <w:spacing w:line="360" w:lineRule="auto"/>
        <w:ind w:left="0" w:firstLine="480" w:firstLineChars="200"/>
      </w:pPr>
      <w:bookmarkStart w:id="18" w:name="_Toc12076"/>
      <w:r>
        <w:rPr>
          <w:rFonts w:hint="eastAsia"/>
        </w:rPr>
        <w:t>4、售价：人民币500元，售后不退。</w:t>
      </w:r>
    </w:p>
    <w:p>
      <w:pPr>
        <w:spacing w:before="100" w:beforeAutospacing="1" w:after="100" w:afterAutospacing="1" w:line="360" w:lineRule="auto"/>
        <w:outlineLvl w:val="1"/>
        <w:rPr>
          <w:b/>
          <w:szCs w:val="24"/>
        </w:rPr>
      </w:pPr>
      <w:bookmarkStart w:id="19" w:name="_Toc86825489"/>
      <w:r>
        <w:rPr>
          <w:rFonts w:hint="eastAsia"/>
          <w:szCs w:val="24"/>
        </w:rPr>
        <w:t>四、响应截止时间及递交地点</w:t>
      </w:r>
      <w:bookmarkEnd w:id="18"/>
      <w:bookmarkEnd w:id="19"/>
    </w:p>
    <w:p>
      <w:pPr>
        <w:spacing w:after="126" w:line="360" w:lineRule="auto"/>
        <w:rPr>
          <w:szCs w:val="24"/>
        </w:rPr>
      </w:pPr>
      <w:r>
        <w:rPr>
          <w:rFonts w:hint="eastAsia"/>
          <w:szCs w:val="24"/>
        </w:rPr>
        <w:t>1.响应文件递交时间：</w:t>
      </w:r>
      <w:bookmarkStart w:id="20" w:name="_Hlk42172977"/>
      <w:r>
        <w:rPr>
          <w:rFonts w:hint="eastAsia"/>
          <w:szCs w:val="24"/>
        </w:rPr>
        <w:t>2021年11月25日下午14：00--14：30（北京时间）</w:t>
      </w:r>
      <w:bookmarkEnd w:id="20"/>
    </w:p>
    <w:p>
      <w:pPr>
        <w:spacing w:after="127" w:line="360" w:lineRule="auto"/>
        <w:rPr>
          <w:szCs w:val="24"/>
        </w:rPr>
      </w:pPr>
      <w:r>
        <w:rPr>
          <w:rFonts w:hint="eastAsia"/>
          <w:szCs w:val="24"/>
        </w:rPr>
        <w:t>2.响应文件递交截止时间：2021年11月25日下午14：30</w:t>
      </w:r>
      <w:r>
        <w:rPr>
          <w:szCs w:val="24"/>
        </w:rPr>
        <w:t>（北京时间）</w:t>
      </w:r>
    </w:p>
    <w:p>
      <w:pPr>
        <w:spacing w:after="138" w:line="360" w:lineRule="auto"/>
        <w:rPr>
          <w:szCs w:val="24"/>
        </w:rPr>
      </w:pPr>
      <w:r>
        <w:rPr>
          <w:rFonts w:hint="eastAsia"/>
          <w:szCs w:val="24"/>
        </w:rPr>
        <w:t>3.响应文件递交地点：北京市房山区良乡太平庄南路1</w:t>
      </w:r>
      <w:r>
        <w:rPr>
          <w:szCs w:val="24"/>
        </w:rPr>
        <w:t>3</w:t>
      </w:r>
      <w:r>
        <w:rPr>
          <w:rFonts w:hint="eastAsia"/>
          <w:szCs w:val="24"/>
        </w:rPr>
        <w:t>号。</w:t>
      </w:r>
    </w:p>
    <w:p>
      <w:pPr>
        <w:spacing w:after="138" w:line="360" w:lineRule="auto"/>
        <w:rPr>
          <w:szCs w:val="24"/>
        </w:rPr>
      </w:pPr>
      <w:r>
        <w:rPr>
          <w:rFonts w:hint="eastAsia"/>
          <w:szCs w:val="24"/>
        </w:rPr>
        <w:t xml:space="preserve">备注：若已购买文件而决定不参加本项目的供应商，应在响应截止时间前2个工作日以书面形式（加盖公章）通知采购代理机构。 </w:t>
      </w:r>
    </w:p>
    <w:p>
      <w:pPr>
        <w:pStyle w:val="5"/>
        <w:spacing w:line="360" w:lineRule="auto"/>
        <w:jc w:val="left"/>
        <w:rPr>
          <w:rFonts w:ascii="宋体" w:hAnsi="宋体" w:cs="宋体"/>
          <w:b w:val="0"/>
          <w:sz w:val="24"/>
          <w:szCs w:val="24"/>
        </w:rPr>
      </w:pPr>
      <w:bookmarkStart w:id="21" w:name="_Toc79057502"/>
      <w:bookmarkStart w:id="22" w:name="_Toc86825490"/>
      <w:bookmarkStart w:id="23" w:name="_Toc77206838"/>
      <w:bookmarkStart w:id="24" w:name="_Toc22854"/>
      <w:r>
        <w:rPr>
          <w:rFonts w:hint="eastAsia" w:ascii="宋体" w:hAnsi="宋体" w:cs="宋体"/>
          <w:b w:val="0"/>
          <w:sz w:val="24"/>
          <w:szCs w:val="24"/>
        </w:rPr>
        <w:t>五、开启：</w:t>
      </w:r>
      <w:bookmarkEnd w:id="21"/>
      <w:bookmarkEnd w:id="22"/>
      <w:bookmarkEnd w:id="23"/>
    </w:p>
    <w:p>
      <w:pPr>
        <w:spacing w:line="360" w:lineRule="auto"/>
        <w:ind w:left="11" w:hanging="11"/>
      </w:pPr>
      <w:r>
        <w:rPr>
          <w:rFonts w:hint="eastAsia"/>
        </w:rPr>
        <w:t>时间：</w:t>
      </w:r>
      <w:r>
        <w:rPr>
          <w:rFonts w:hint="eastAsia"/>
          <w:szCs w:val="24"/>
        </w:rPr>
        <w:t>2021年11月25日下午14：30</w:t>
      </w:r>
      <w:r>
        <w:rPr>
          <w:szCs w:val="24"/>
        </w:rPr>
        <w:t>（北京时间）</w:t>
      </w:r>
    </w:p>
    <w:p>
      <w:pPr>
        <w:spacing w:line="360" w:lineRule="auto"/>
        <w:ind w:left="11" w:hanging="11"/>
        <w:rPr>
          <w:szCs w:val="24"/>
          <w:u w:val="single"/>
        </w:rPr>
      </w:pPr>
      <w:r>
        <w:rPr>
          <w:rFonts w:hint="eastAsia"/>
        </w:rPr>
        <w:t>地点：</w:t>
      </w:r>
      <w:r>
        <w:rPr>
          <w:rFonts w:hint="eastAsia"/>
          <w:szCs w:val="24"/>
        </w:rPr>
        <w:t>北京市房山区良乡太平庄南路1</w:t>
      </w:r>
      <w:r>
        <w:rPr>
          <w:szCs w:val="24"/>
        </w:rPr>
        <w:t>3</w:t>
      </w:r>
      <w:r>
        <w:rPr>
          <w:rFonts w:hint="eastAsia"/>
          <w:szCs w:val="24"/>
        </w:rPr>
        <w:t>号。</w:t>
      </w:r>
    </w:p>
    <w:p>
      <w:pPr>
        <w:pStyle w:val="2"/>
        <w:spacing w:line="360" w:lineRule="auto"/>
        <w:ind w:left="0" w:leftChars="0" w:firstLine="0" w:firstLineChars="0"/>
      </w:pPr>
      <w:r>
        <w:rPr>
          <w:rFonts w:hint="eastAsia"/>
          <w:b/>
          <w:bCs/>
        </w:rPr>
        <w:t>逾期送达的投标文件，采购人不予受理。</w:t>
      </w:r>
    </w:p>
    <w:p>
      <w:pPr>
        <w:pStyle w:val="5"/>
        <w:spacing w:line="360" w:lineRule="auto"/>
        <w:ind w:left="11" w:hanging="11"/>
        <w:jc w:val="left"/>
        <w:rPr>
          <w:rFonts w:ascii="宋体" w:hAnsi="宋体" w:cs="宋体"/>
          <w:b w:val="0"/>
          <w:sz w:val="24"/>
          <w:szCs w:val="24"/>
        </w:rPr>
      </w:pPr>
      <w:bookmarkStart w:id="25" w:name="_Toc77206839"/>
      <w:bookmarkStart w:id="26" w:name="_Toc86825491"/>
      <w:bookmarkStart w:id="27" w:name="_Toc79057503"/>
      <w:r>
        <w:rPr>
          <w:rFonts w:hint="eastAsia" w:ascii="宋体" w:hAnsi="宋体" w:cs="宋体"/>
          <w:b w:val="0"/>
          <w:sz w:val="24"/>
          <w:szCs w:val="24"/>
        </w:rPr>
        <w:t>六、公告期限：</w:t>
      </w:r>
      <w:bookmarkEnd w:id="25"/>
      <w:bookmarkEnd w:id="26"/>
      <w:bookmarkEnd w:id="27"/>
    </w:p>
    <w:p>
      <w:pPr>
        <w:spacing w:line="360" w:lineRule="auto"/>
        <w:ind w:left="11" w:hanging="11"/>
      </w:pPr>
      <w:r>
        <w:rPr>
          <w:rFonts w:hint="eastAsia"/>
        </w:rPr>
        <w:t>自本公告发布之日起5个工作日</w:t>
      </w:r>
    </w:p>
    <w:p>
      <w:pPr>
        <w:pStyle w:val="5"/>
        <w:spacing w:line="360" w:lineRule="auto"/>
        <w:ind w:left="11" w:hanging="11"/>
        <w:jc w:val="left"/>
        <w:rPr>
          <w:rFonts w:ascii="宋体" w:hAnsi="宋体" w:cs="宋体"/>
          <w:b w:val="0"/>
          <w:sz w:val="24"/>
          <w:szCs w:val="24"/>
        </w:rPr>
      </w:pPr>
      <w:bookmarkStart w:id="28" w:name="_Toc86825492"/>
      <w:bookmarkStart w:id="29" w:name="_Toc77206840"/>
      <w:bookmarkStart w:id="30" w:name="_Toc79057504"/>
      <w:r>
        <w:rPr>
          <w:rFonts w:hint="eastAsia" w:ascii="宋体" w:hAnsi="宋体" w:cs="宋体"/>
          <w:b w:val="0"/>
          <w:sz w:val="24"/>
          <w:szCs w:val="24"/>
        </w:rPr>
        <w:t>七、其他补充事宜</w:t>
      </w:r>
      <w:bookmarkEnd w:id="28"/>
      <w:bookmarkEnd w:id="29"/>
      <w:bookmarkEnd w:id="30"/>
    </w:p>
    <w:p>
      <w:pPr>
        <w:spacing w:line="360" w:lineRule="auto"/>
      </w:pPr>
      <w:r>
        <w:rPr>
          <w:rFonts w:hint="eastAsia"/>
        </w:rPr>
        <w:t>1、项目资金来源：财政资金</w:t>
      </w:r>
    </w:p>
    <w:p>
      <w:pPr>
        <w:pStyle w:val="2"/>
        <w:spacing w:line="360" w:lineRule="auto"/>
        <w:ind w:left="0" w:leftChars="0" w:firstLine="0" w:firstLineChars="0"/>
      </w:pPr>
      <w:r>
        <w:t>2</w:t>
      </w:r>
      <w:r>
        <w:rPr>
          <w:rFonts w:hint="eastAsia"/>
        </w:rPr>
        <w:t>、采购方式：竞争性磋商</w:t>
      </w:r>
    </w:p>
    <w:p>
      <w:pPr>
        <w:pStyle w:val="2"/>
        <w:spacing w:line="360" w:lineRule="auto"/>
        <w:ind w:left="0" w:leftChars="0" w:firstLine="0" w:firstLineChars="0"/>
      </w:pPr>
      <w:r>
        <w:rPr>
          <w:rFonts w:hint="eastAsia"/>
        </w:rPr>
        <w:t>3、评审办法：综合评分法</w:t>
      </w:r>
    </w:p>
    <w:p>
      <w:pPr>
        <w:pStyle w:val="2"/>
        <w:spacing w:line="360" w:lineRule="auto"/>
        <w:ind w:left="0" w:leftChars="0" w:firstLine="0" w:firstLineChars="0"/>
      </w:pPr>
      <w:r>
        <w:rPr>
          <w:rFonts w:hint="eastAsia"/>
        </w:rPr>
        <w:t>4、发布公告的媒介：本次招标公告在中国政府采购网、北京市政府采购网</w:t>
      </w:r>
      <w:r>
        <w:t>网站</w:t>
      </w:r>
      <w:r>
        <w:rPr>
          <w:rFonts w:hint="eastAsia"/>
        </w:rPr>
        <w:t>上发布，未经采购人授权的任何转载，采购人不对其承担任何法律责任。</w:t>
      </w:r>
    </w:p>
    <w:p>
      <w:pPr>
        <w:pStyle w:val="2"/>
        <w:spacing w:line="360" w:lineRule="auto"/>
        <w:ind w:left="0" w:leftChars="0" w:firstLine="0" w:firstLineChars="0"/>
      </w:pPr>
      <w:r>
        <w:rPr>
          <w:rFonts w:hint="eastAsia"/>
        </w:rPr>
        <w:t>5、意向公开时间：2021年 07月26日</w:t>
      </w:r>
    </w:p>
    <w:p>
      <w:pPr>
        <w:spacing w:line="360" w:lineRule="auto"/>
        <w:ind w:left="0" w:firstLine="0"/>
      </w:pPr>
      <w:r>
        <w:rPr>
          <w:rFonts w:hint="eastAsia"/>
        </w:rPr>
        <w:t>6、所属行业类型：建筑业</w:t>
      </w:r>
    </w:p>
    <w:bookmarkEnd w:id="24"/>
    <w:p>
      <w:pPr>
        <w:pStyle w:val="5"/>
        <w:spacing w:line="360" w:lineRule="auto"/>
        <w:jc w:val="left"/>
        <w:rPr>
          <w:rFonts w:ascii="宋体" w:hAnsi="宋体"/>
          <w:b w:val="0"/>
          <w:sz w:val="24"/>
          <w:szCs w:val="24"/>
        </w:rPr>
      </w:pPr>
      <w:bookmarkStart w:id="31" w:name="_Toc86825493"/>
      <w:bookmarkStart w:id="32" w:name="_Toc79057505"/>
      <w:bookmarkStart w:id="33" w:name="_Toc4315"/>
      <w:bookmarkStart w:id="34" w:name="_Toc77206841"/>
      <w:r>
        <w:rPr>
          <w:rFonts w:hint="eastAsia" w:ascii="宋体" w:hAnsi="宋体" w:cs="宋体"/>
          <w:b w:val="0"/>
          <w:sz w:val="24"/>
          <w:szCs w:val="24"/>
        </w:rPr>
        <w:t>八、采购人、采购代理机构的名称、地址和联系方式 ：</w:t>
      </w:r>
      <w:bookmarkEnd w:id="31"/>
      <w:bookmarkEnd w:id="32"/>
      <w:bookmarkEnd w:id="33"/>
      <w:bookmarkEnd w:id="34"/>
    </w:p>
    <w:p>
      <w:pPr>
        <w:spacing w:line="360" w:lineRule="auto"/>
        <w:ind w:left="0" w:firstLine="0"/>
      </w:pPr>
      <w:r>
        <w:rPr>
          <w:rFonts w:hint="eastAsia"/>
        </w:rPr>
        <w:t>采购人名称： 北京市房山区人民防空办公室</w:t>
      </w:r>
    </w:p>
    <w:p>
      <w:pPr>
        <w:spacing w:line="360" w:lineRule="auto"/>
        <w:ind w:left="0" w:firstLine="0"/>
      </w:pPr>
      <w:r>
        <w:rPr>
          <w:rFonts w:hint="eastAsia"/>
        </w:rPr>
        <w:t>采购人地址：北京市房山区良乡西潞南大街25号</w:t>
      </w:r>
    </w:p>
    <w:p>
      <w:pPr>
        <w:spacing w:line="360" w:lineRule="auto"/>
        <w:ind w:left="0" w:firstLine="0"/>
      </w:pPr>
      <w:r>
        <w:rPr>
          <w:rFonts w:hint="eastAsia"/>
        </w:rPr>
        <w:t>采购单位联系人：蔡主任</w:t>
      </w:r>
    </w:p>
    <w:p>
      <w:pPr>
        <w:spacing w:line="360" w:lineRule="auto"/>
        <w:ind w:left="0" w:firstLine="0"/>
      </w:pPr>
      <w:r>
        <w:rPr>
          <w:rFonts w:hint="eastAsia"/>
        </w:rPr>
        <w:t>联系方式：010- 69385041</w:t>
      </w:r>
    </w:p>
    <w:p>
      <w:pPr>
        <w:spacing w:line="360" w:lineRule="auto"/>
        <w:ind w:left="0" w:firstLine="0"/>
      </w:pPr>
      <w:r>
        <w:rPr>
          <w:rFonts w:hint="eastAsia"/>
        </w:rPr>
        <w:t>采购代理机构名称：北京盛欣宏益商务服务有限公司</w:t>
      </w:r>
    </w:p>
    <w:p>
      <w:pPr>
        <w:spacing w:line="360" w:lineRule="auto"/>
        <w:ind w:left="0" w:firstLine="0"/>
      </w:pPr>
      <w:r>
        <w:rPr>
          <w:rFonts w:hint="eastAsia"/>
        </w:rPr>
        <w:t>采购代理机构地点：</w:t>
      </w:r>
      <w:r>
        <w:rPr>
          <w:rFonts w:hint="eastAsia"/>
          <w:szCs w:val="24"/>
        </w:rPr>
        <w:t>北京市房山区良乡太平庄南路1</w:t>
      </w:r>
      <w:r>
        <w:rPr>
          <w:szCs w:val="24"/>
        </w:rPr>
        <w:t>3</w:t>
      </w:r>
      <w:r>
        <w:rPr>
          <w:rFonts w:hint="eastAsia"/>
          <w:szCs w:val="24"/>
        </w:rPr>
        <w:t>号。</w:t>
      </w:r>
    </w:p>
    <w:p>
      <w:pPr>
        <w:spacing w:line="360" w:lineRule="auto"/>
        <w:ind w:left="0" w:firstLine="0"/>
      </w:pPr>
      <w:r>
        <w:rPr>
          <w:rFonts w:hint="eastAsia"/>
        </w:rPr>
        <w:t>采购代理机构联系人：朱工</w:t>
      </w:r>
    </w:p>
    <w:p>
      <w:pPr>
        <w:spacing w:line="360" w:lineRule="auto"/>
        <w:ind w:left="0" w:firstLine="0"/>
      </w:pPr>
      <w:r>
        <w:rPr>
          <w:rFonts w:hint="eastAsia"/>
        </w:rPr>
        <w:t>采购代理机构联系电话：010-69389180</w:t>
      </w:r>
    </w:p>
    <w:p>
      <w:pPr>
        <w:pStyle w:val="2"/>
        <w:ind w:left="480" w:firstLine="480"/>
      </w:pPr>
    </w:p>
    <w:p>
      <w:pPr>
        <w:pStyle w:val="5"/>
        <w:numPr>
          <w:ilvl w:val="0"/>
          <w:numId w:val="1"/>
        </w:numPr>
        <w:jc w:val="left"/>
        <w:rPr>
          <w:b w:val="0"/>
          <w:sz w:val="24"/>
          <w:szCs w:val="24"/>
        </w:rPr>
      </w:pPr>
      <w:bookmarkStart w:id="35" w:name="_Toc79057506"/>
      <w:bookmarkStart w:id="36" w:name="_Toc86825494"/>
      <w:r>
        <w:rPr>
          <w:rFonts w:hint="eastAsia"/>
          <w:b w:val="0"/>
          <w:bCs/>
          <w:sz w:val="24"/>
          <w:szCs w:val="24"/>
        </w:rPr>
        <w:t>对本次招标提出询问，</w:t>
      </w:r>
      <w:bookmarkEnd w:id="35"/>
      <w:r>
        <w:rPr>
          <w:rFonts w:hint="eastAsia"/>
          <w:b w:val="0"/>
          <w:sz w:val="24"/>
          <w:szCs w:val="24"/>
        </w:rPr>
        <w:t>接收质疑函请按以下方式联系</w:t>
      </w:r>
      <w:bookmarkEnd w:id="36"/>
    </w:p>
    <w:p/>
    <w:p>
      <w:pPr>
        <w:spacing w:line="360" w:lineRule="auto"/>
        <w:ind w:left="0" w:firstLine="0"/>
      </w:pPr>
      <w:r>
        <w:rPr>
          <w:rFonts w:hint="eastAsia"/>
        </w:rPr>
        <w:t>采购代理机构名称：北京盛欣宏益商务服务有限公司</w:t>
      </w:r>
    </w:p>
    <w:p>
      <w:pPr>
        <w:spacing w:line="360" w:lineRule="auto"/>
        <w:ind w:left="0" w:firstLine="0"/>
      </w:pPr>
      <w:r>
        <w:rPr>
          <w:rFonts w:hint="eastAsia"/>
        </w:rPr>
        <w:t>采购代理机构地点：北京市房山区良乡太平庄南路1</w:t>
      </w:r>
      <w:r>
        <w:t>3</w:t>
      </w:r>
      <w:r>
        <w:rPr>
          <w:rFonts w:hint="eastAsia"/>
        </w:rPr>
        <w:t xml:space="preserve">号。  </w:t>
      </w:r>
    </w:p>
    <w:p>
      <w:pPr>
        <w:spacing w:line="360" w:lineRule="auto"/>
        <w:ind w:left="0" w:firstLine="0"/>
      </w:pPr>
      <w:r>
        <w:rPr>
          <w:rFonts w:hint="eastAsia"/>
        </w:rPr>
        <w:t>采购代理机构联系人：朱工</w:t>
      </w:r>
    </w:p>
    <w:p>
      <w:pPr>
        <w:spacing w:line="360" w:lineRule="auto"/>
        <w:ind w:left="0" w:firstLine="0"/>
      </w:pPr>
      <w:r>
        <w:rPr>
          <w:rFonts w:hint="eastAsia"/>
        </w:rPr>
        <w:t>采购代理机构联系电话：010-69389180</w:t>
      </w:r>
    </w:p>
    <w:p>
      <w:pPr>
        <w:spacing w:line="360" w:lineRule="auto"/>
        <w:ind w:left="0" w:firstLine="0"/>
      </w:pPr>
      <w:r>
        <w:rPr>
          <w:rFonts w:hint="eastAsia"/>
        </w:rPr>
        <w:t>投诉处理方式的联系单位和联系电话：</w:t>
      </w:r>
    </w:p>
    <w:p>
      <w:pPr>
        <w:spacing w:line="360" w:lineRule="auto"/>
        <w:ind w:left="0" w:firstLine="0"/>
      </w:pPr>
      <w:r>
        <w:rPr>
          <w:rFonts w:hint="eastAsia"/>
        </w:rPr>
        <w:t>联系单位：北京市房山区财政局采购办</w:t>
      </w:r>
    </w:p>
    <w:p>
      <w:pPr>
        <w:spacing w:line="360" w:lineRule="auto"/>
        <w:ind w:left="0" w:firstLine="0"/>
      </w:pPr>
      <w:r>
        <w:rPr>
          <w:rFonts w:hint="eastAsia"/>
        </w:rPr>
        <w:t>联系电话：010-69377919</w:t>
      </w:r>
    </w:p>
    <w:p>
      <w:pPr>
        <w:pStyle w:val="2"/>
        <w:ind w:left="480" w:firstLine="480"/>
      </w:pPr>
    </w:p>
    <w:p>
      <w:pPr>
        <w:pStyle w:val="2"/>
        <w:spacing w:line="360" w:lineRule="auto"/>
        <w:ind w:left="480" w:firstLine="480"/>
      </w:pPr>
    </w:p>
    <w:p>
      <w:pPr>
        <w:pStyle w:val="2"/>
        <w:spacing w:line="360" w:lineRule="auto"/>
        <w:ind w:left="480" w:firstLine="480"/>
      </w:pPr>
    </w:p>
    <w:p>
      <w:pPr>
        <w:pStyle w:val="2"/>
        <w:spacing w:line="360" w:lineRule="auto"/>
        <w:ind w:left="480" w:firstLine="480"/>
      </w:pPr>
    </w:p>
    <w:p>
      <w:pPr>
        <w:pStyle w:val="2"/>
        <w:spacing w:line="360" w:lineRule="auto"/>
        <w:ind w:left="480" w:firstLine="480"/>
      </w:pPr>
    </w:p>
    <w:p>
      <w:pPr>
        <w:pStyle w:val="2"/>
        <w:spacing w:line="360" w:lineRule="auto"/>
        <w:ind w:left="480" w:firstLine="480"/>
      </w:pPr>
    </w:p>
    <w:p>
      <w:pPr>
        <w:pStyle w:val="2"/>
        <w:spacing w:line="360" w:lineRule="auto"/>
        <w:ind w:left="480" w:firstLine="480"/>
      </w:pPr>
    </w:p>
    <w:p>
      <w:pPr>
        <w:pStyle w:val="2"/>
        <w:spacing w:line="360" w:lineRule="auto"/>
        <w:ind w:left="0" w:leftChars="0" w:firstLine="0" w:firstLineChars="0"/>
      </w:pPr>
    </w:p>
    <w:p>
      <w:pPr>
        <w:pStyle w:val="4"/>
        <w:spacing w:line="360" w:lineRule="auto"/>
        <w:jc w:val="center"/>
        <w:rPr>
          <w:rFonts w:ascii="宋体" w:hAnsi="宋体" w:eastAsia="宋体"/>
          <w:b/>
          <w:bCs/>
          <w:sz w:val="32"/>
          <w:szCs w:val="32"/>
        </w:rPr>
      </w:pPr>
      <w:bookmarkStart w:id="37" w:name="_Toc79057507"/>
      <w:bookmarkStart w:id="38" w:name="_Toc77206842"/>
      <w:bookmarkStart w:id="39" w:name="_Toc86825495"/>
      <w:bookmarkStart w:id="40" w:name="_Toc27297"/>
      <w:r>
        <w:rPr>
          <w:rFonts w:hint="eastAsia" w:ascii="宋体" w:hAnsi="宋体" w:eastAsia="宋体"/>
          <w:b/>
          <w:bCs/>
          <w:sz w:val="32"/>
          <w:szCs w:val="32"/>
        </w:rPr>
        <w:t xml:space="preserve">第二章 </w:t>
      </w:r>
      <w:r>
        <w:rPr>
          <w:rFonts w:ascii="宋体" w:hAnsi="宋体" w:eastAsia="宋体"/>
          <w:b/>
          <w:bCs/>
          <w:sz w:val="32"/>
          <w:szCs w:val="32"/>
        </w:rPr>
        <w:t>响应供应商须知</w:t>
      </w:r>
      <w:bookmarkEnd w:id="37"/>
      <w:bookmarkEnd w:id="38"/>
      <w:bookmarkEnd w:id="39"/>
      <w:bookmarkEnd w:id="40"/>
    </w:p>
    <w:p>
      <w:pPr>
        <w:pStyle w:val="5"/>
        <w:spacing w:line="360" w:lineRule="auto"/>
        <w:jc w:val="left"/>
        <w:rPr>
          <w:rFonts w:ascii="宋体" w:hAnsi="宋体" w:cs="宋体"/>
          <w:b w:val="0"/>
          <w:sz w:val="24"/>
          <w:szCs w:val="24"/>
        </w:rPr>
      </w:pPr>
      <w:bookmarkStart w:id="41" w:name="_Toc77206843"/>
      <w:bookmarkStart w:id="42" w:name="_Toc13609"/>
      <w:bookmarkStart w:id="43" w:name="_Toc86825496"/>
      <w:bookmarkStart w:id="44" w:name="_Toc79057508"/>
      <w:r>
        <w:rPr>
          <w:rFonts w:hint="eastAsia" w:ascii="宋体" w:hAnsi="宋体" w:cs="宋体"/>
          <w:b w:val="0"/>
          <w:sz w:val="24"/>
          <w:szCs w:val="24"/>
        </w:rPr>
        <w:t>1、总体说明</w:t>
      </w:r>
      <w:bookmarkEnd w:id="41"/>
      <w:bookmarkEnd w:id="42"/>
      <w:bookmarkEnd w:id="43"/>
      <w:bookmarkEnd w:id="44"/>
    </w:p>
    <w:p>
      <w:pPr>
        <w:spacing w:line="360" w:lineRule="auto"/>
        <w:ind w:left="0" w:firstLine="0"/>
        <w:rPr>
          <w:szCs w:val="24"/>
        </w:rPr>
      </w:pPr>
      <w:r>
        <w:rPr>
          <w:rFonts w:hint="eastAsia"/>
          <w:szCs w:val="24"/>
        </w:rPr>
        <w:t>1.1资金说明 ：财政性资金、已落实。</w:t>
      </w:r>
    </w:p>
    <w:p>
      <w:pPr>
        <w:spacing w:line="360" w:lineRule="auto"/>
        <w:ind w:left="0" w:firstLine="0"/>
        <w:rPr>
          <w:szCs w:val="24"/>
        </w:rPr>
      </w:pPr>
      <w:r>
        <w:rPr>
          <w:rFonts w:hint="eastAsia"/>
          <w:szCs w:val="24"/>
        </w:rPr>
        <w:t xml:space="preserve">1.2关于限价 ：本项目的最高限价见第三章《采购人需求》，凡第一次报价超出最高限价的报价将被视为无效报价。 </w:t>
      </w:r>
    </w:p>
    <w:p>
      <w:pPr>
        <w:spacing w:line="360" w:lineRule="auto"/>
        <w:ind w:left="0" w:firstLine="0"/>
        <w:rPr>
          <w:szCs w:val="24"/>
        </w:rPr>
      </w:pPr>
      <w:r>
        <w:rPr>
          <w:rFonts w:hint="eastAsia"/>
          <w:szCs w:val="24"/>
        </w:rPr>
        <w:t xml:space="preserve">1.3适用范围 ：本项目仅适用于本磋商文件所述的项目内容。 </w:t>
      </w:r>
    </w:p>
    <w:p>
      <w:pPr>
        <w:spacing w:line="360" w:lineRule="auto"/>
        <w:ind w:left="0" w:firstLine="0"/>
        <w:rPr>
          <w:szCs w:val="24"/>
        </w:rPr>
      </w:pPr>
      <w:r>
        <w:rPr>
          <w:rFonts w:hint="eastAsia"/>
          <w:szCs w:val="24"/>
        </w:rPr>
        <w:t xml:space="preserve">1.4合格的响应供应商。 </w:t>
      </w:r>
    </w:p>
    <w:p>
      <w:pPr>
        <w:spacing w:line="360" w:lineRule="auto"/>
        <w:ind w:left="0" w:firstLine="0"/>
        <w:rPr>
          <w:szCs w:val="24"/>
        </w:rPr>
      </w:pPr>
      <w:r>
        <w:rPr>
          <w:rFonts w:hint="eastAsia"/>
          <w:szCs w:val="24"/>
        </w:rPr>
        <w:t xml:space="preserve">1.4.1具有符合磋商邀请中合格响应供应商资格要求。 </w:t>
      </w:r>
    </w:p>
    <w:p>
      <w:pPr>
        <w:spacing w:line="360" w:lineRule="auto"/>
        <w:ind w:left="0" w:firstLine="0"/>
        <w:rPr>
          <w:szCs w:val="24"/>
        </w:rPr>
      </w:pPr>
      <w:r>
        <w:rPr>
          <w:rFonts w:hint="eastAsia"/>
          <w:szCs w:val="24"/>
        </w:rPr>
        <w:t xml:space="preserve">1.4.2已在本项目报名及购买磋商文件的响应供应商。 </w:t>
      </w:r>
    </w:p>
    <w:p>
      <w:pPr>
        <w:spacing w:line="360" w:lineRule="auto"/>
        <w:ind w:left="0" w:firstLine="0"/>
        <w:rPr>
          <w:szCs w:val="24"/>
        </w:rPr>
      </w:pPr>
      <w:r>
        <w:rPr>
          <w:rFonts w:hint="eastAsia"/>
          <w:szCs w:val="24"/>
        </w:rPr>
        <w:t xml:space="preserve">1.4.5响应供应商应承担所有参与本次响应的全部费用。 </w:t>
      </w:r>
    </w:p>
    <w:p>
      <w:pPr>
        <w:pStyle w:val="5"/>
        <w:spacing w:line="360" w:lineRule="auto"/>
        <w:jc w:val="left"/>
        <w:rPr>
          <w:rFonts w:ascii="宋体" w:hAnsi="宋体"/>
          <w:b w:val="0"/>
          <w:sz w:val="24"/>
          <w:szCs w:val="24"/>
        </w:rPr>
      </w:pPr>
      <w:bookmarkStart w:id="45" w:name="_Toc86825497"/>
      <w:bookmarkStart w:id="46" w:name="_Toc79057509"/>
      <w:bookmarkStart w:id="47" w:name="_Toc77206844"/>
      <w:bookmarkStart w:id="48" w:name="_Toc439"/>
      <w:r>
        <w:rPr>
          <w:rFonts w:hint="eastAsia" w:ascii="宋体" w:hAnsi="宋体"/>
          <w:b w:val="0"/>
          <w:sz w:val="24"/>
          <w:szCs w:val="24"/>
        </w:rPr>
        <w:t>2、合格的货物、工程和服务</w:t>
      </w:r>
      <w:bookmarkEnd w:id="45"/>
      <w:bookmarkEnd w:id="46"/>
      <w:bookmarkEnd w:id="47"/>
      <w:bookmarkEnd w:id="48"/>
    </w:p>
    <w:p>
      <w:pPr>
        <w:spacing w:line="360" w:lineRule="auto"/>
        <w:ind w:left="0" w:firstLine="0"/>
        <w:rPr>
          <w:szCs w:val="24"/>
        </w:rPr>
      </w:pPr>
      <w:r>
        <w:rPr>
          <w:rFonts w:hint="eastAsia"/>
          <w:szCs w:val="24"/>
        </w:rPr>
        <w:t xml:space="preserve">2.1.定义 </w:t>
      </w:r>
    </w:p>
    <w:p>
      <w:pPr>
        <w:spacing w:line="360" w:lineRule="auto"/>
        <w:ind w:left="0" w:firstLine="0"/>
        <w:rPr>
          <w:szCs w:val="24"/>
        </w:rPr>
      </w:pPr>
      <w:r>
        <w:rPr>
          <w:rFonts w:hint="eastAsia"/>
          <w:szCs w:val="24"/>
        </w:rPr>
        <w:t xml:space="preserve">2.1.1“采购人”系指磋商邀请中所指采购人亦指北京市房山区人民防空办公室。 </w:t>
      </w:r>
    </w:p>
    <w:p>
      <w:pPr>
        <w:spacing w:line="360" w:lineRule="auto"/>
        <w:ind w:left="0" w:firstLine="0"/>
        <w:rPr>
          <w:szCs w:val="24"/>
        </w:rPr>
      </w:pPr>
      <w:r>
        <w:rPr>
          <w:rFonts w:hint="eastAsia"/>
          <w:szCs w:val="24"/>
        </w:rPr>
        <w:t xml:space="preserve">2.1.2“采购代理机构”系指北京盛欣宏益商务服务有限公司。 </w:t>
      </w:r>
    </w:p>
    <w:p>
      <w:pPr>
        <w:spacing w:line="360" w:lineRule="auto"/>
        <w:ind w:left="0" w:firstLine="0"/>
        <w:rPr>
          <w:szCs w:val="24"/>
        </w:rPr>
      </w:pPr>
      <w:r>
        <w:rPr>
          <w:rFonts w:hint="eastAsia"/>
          <w:szCs w:val="24"/>
        </w:rPr>
        <w:t xml:space="preserve">2.1.3“响应供应商”系指向采购代理机构提交合格响应文件的法人单位。 </w:t>
      </w:r>
    </w:p>
    <w:p>
      <w:pPr>
        <w:spacing w:line="360" w:lineRule="auto"/>
        <w:ind w:left="0" w:firstLine="0"/>
        <w:rPr>
          <w:szCs w:val="24"/>
        </w:rPr>
      </w:pPr>
      <w:r>
        <w:rPr>
          <w:rFonts w:hint="eastAsia"/>
          <w:szCs w:val="24"/>
        </w:rPr>
        <w:t xml:space="preserve">2.1.4“甲方”系指采购人，合同的一方当事人。 </w:t>
      </w:r>
    </w:p>
    <w:p>
      <w:pPr>
        <w:spacing w:line="360" w:lineRule="auto"/>
        <w:ind w:left="0" w:firstLine="0"/>
        <w:rPr>
          <w:szCs w:val="24"/>
        </w:rPr>
      </w:pPr>
      <w:r>
        <w:rPr>
          <w:rFonts w:hint="eastAsia"/>
          <w:szCs w:val="24"/>
        </w:rPr>
        <w:t xml:space="preserve">2.1.5“乙方”系指成交供应商，合同的一方当事人。 </w:t>
      </w:r>
    </w:p>
    <w:p>
      <w:pPr>
        <w:spacing w:line="360" w:lineRule="auto"/>
        <w:ind w:left="0" w:firstLine="0"/>
        <w:rPr>
          <w:szCs w:val="24"/>
        </w:rPr>
      </w:pPr>
      <w:r>
        <w:rPr>
          <w:rFonts w:hint="eastAsia"/>
          <w:szCs w:val="24"/>
        </w:rPr>
        <w:t xml:space="preserve">2.1.6“日期”指公历日,“时间”指北京时间。 </w:t>
      </w:r>
    </w:p>
    <w:p>
      <w:pPr>
        <w:pStyle w:val="5"/>
        <w:spacing w:line="360" w:lineRule="auto"/>
        <w:jc w:val="left"/>
        <w:rPr>
          <w:rFonts w:ascii="宋体" w:hAnsi="宋体"/>
          <w:b w:val="0"/>
          <w:sz w:val="24"/>
          <w:szCs w:val="24"/>
        </w:rPr>
      </w:pPr>
      <w:bookmarkStart w:id="49" w:name="_Toc79057510"/>
      <w:bookmarkStart w:id="50" w:name="_Toc15503"/>
      <w:bookmarkStart w:id="51" w:name="_Toc77206845"/>
      <w:bookmarkStart w:id="52" w:name="_Toc86825498"/>
      <w:r>
        <w:rPr>
          <w:rFonts w:hint="eastAsia" w:ascii="宋体" w:hAnsi="宋体"/>
          <w:b w:val="0"/>
          <w:sz w:val="24"/>
          <w:szCs w:val="24"/>
        </w:rPr>
        <w:t>3、知识产权</w:t>
      </w:r>
      <w:bookmarkEnd w:id="49"/>
      <w:bookmarkEnd w:id="50"/>
      <w:bookmarkEnd w:id="51"/>
      <w:bookmarkEnd w:id="52"/>
    </w:p>
    <w:p>
      <w:pPr>
        <w:spacing w:line="360" w:lineRule="auto"/>
        <w:ind w:left="0" w:firstLine="0"/>
        <w:rPr>
          <w:szCs w:val="24"/>
        </w:rPr>
      </w:pPr>
      <w:r>
        <w:rPr>
          <w:rFonts w:hint="eastAsia"/>
          <w:szCs w:val="24"/>
        </w:rPr>
        <w:t xml:space="preserve">3.1响应供应商须保证，采购人在中华人民共和国境内使用报价货物、资料、技术、服务或其任何一部分时，享有不受限制的无偿使用权，不会产生因第三方提出侵犯其专利权、商标权或其它知识产权而引起的法律或经济纠纷。如响应供应商不拥有相应的知识产权，则应由响应供应商负责获得并提供给采购人使用，其报价中必须包括合法获取该知识产权的一切相关费用，如响应供应商没有单独列出的，视为已包含在相应报价中。一旦使用响应供应商提供的产品或服务，采购人不再承担第三方提出侵犯其专利权、商标权或其它知识产权而引起的法律或经济纠纷。 </w:t>
      </w:r>
    </w:p>
    <w:p>
      <w:pPr>
        <w:spacing w:line="360" w:lineRule="auto"/>
        <w:ind w:left="0" w:firstLine="0"/>
        <w:rPr>
          <w:szCs w:val="24"/>
        </w:rPr>
      </w:pPr>
      <w:r>
        <w:rPr>
          <w:rFonts w:hint="eastAsia"/>
          <w:szCs w:val="24"/>
        </w:rPr>
        <w:t xml:space="preserve">3.2磋商文件的解释权 </w:t>
      </w:r>
    </w:p>
    <w:p>
      <w:pPr>
        <w:spacing w:line="360" w:lineRule="auto"/>
        <w:ind w:left="0" w:firstLine="0"/>
        <w:rPr>
          <w:szCs w:val="24"/>
        </w:rPr>
      </w:pPr>
      <w:r>
        <w:rPr>
          <w:rFonts w:hint="eastAsia"/>
          <w:szCs w:val="24"/>
        </w:rPr>
        <w:t xml:space="preserve">本磋商文件的解释权归“北京盛欣宏益商务服务有限公司”所有。 </w:t>
      </w:r>
    </w:p>
    <w:p>
      <w:pPr>
        <w:pStyle w:val="5"/>
        <w:spacing w:line="360" w:lineRule="auto"/>
        <w:jc w:val="left"/>
        <w:rPr>
          <w:rFonts w:ascii="宋体" w:hAnsi="宋体"/>
          <w:b w:val="0"/>
          <w:sz w:val="24"/>
          <w:szCs w:val="24"/>
        </w:rPr>
      </w:pPr>
      <w:bookmarkStart w:id="53" w:name="_Toc79057511"/>
      <w:bookmarkStart w:id="54" w:name="_Toc77206846"/>
      <w:bookmarkStart w:id="55" w:name="_Toc86825499"/>
      <w:bookmarkStart w:id="56" w:name="_Toc31664"/>
      <w:r>
        <w:rPr>
          <w:rFonts w:hint="eastAsia" w:ascii="宋体" w:hAnsi="宋体"/>
          <w:b w:val="0"/>
          <w:sz w:val="24"/>
          <w:szCs w:val="24"/>
        </w:rPr>
        <w:t>4、磋商文件的组成</w:t>
      </w:r>
      <w:bookmarkEnd w:id="53"/>
      <w:bookmarkEnd w:id="54"/>
      <w:bookmarkEnd w:id="55"/>
      <w:bookmarkEnd w:id="56"/>
    </w:p>
    <w:p>
      <w:pPr>
        <w:spacing w:line="360" w:lineRule="auto"/>
        <w:ind w:left="0" w:firstLine="0"/>
        <w:rPr>
          <w:szCs w:val="24"/>
        </w:rPr>
      </w:pPr>
      <w:r>
        <w:rPr>
          <w:rFonts w:hint="eastAsia"/>
          <w:szCs w:val="24"/>
        </w:rPr>
        <w:t xml:space="preserve">1）、磋商邀请 </w:t>
      </w:r>
    </w:p>
    <w:p>
      <w:pPr>
        <w:spacing w:line="360" w:lineRule="auto"/>
        <w:ind w:left="0" w:firstLine="0"/>
        <w:rPr>
          <w:szCs w:val="24"/>
        </w:rPr>
      </w:pPr>
      <w:r>
        <w:rPr>
          <w:rFonts w:hint="eastAsia"/>
          <w:szCs w:val="24"/>
        </w:rPr>
        <w:t xml:space="preserve">2）、响应供应商须知 </w:t>
      </w:r>
    </w:p>
    <w:p>
      <w:pPr>
        <w:spacing w:line="360" w:lineRule="auto"/>
        <w:ind w:left="0" w:firstLine="0"/>
        <w:rPr>
          <w:szCs w:val="24"/>
        </w:rPr>
      </w:pPr>
      <w:r>
        <w:rPr>
          <w:rFonts w:hint="eastAsia"/>
          <w:szCs w:val="24"/>
        </w:rPr>
        <w:t xml:space="preserve">3）、采购人需求 </w:t>
      </w:r>
    </w:p>
    <w:p>
      <w:pPr>
        <w:spacing w:line="360" w:lineRule="auto"/>
        <w:ind w:left="0" w:firstLine="0"/>
        <w:rPr>
          <w:szCs w:val="24"/>
        </w:rPr>
      </w:pPr>
      <w:r>
        <w:rPr>
          <w:rFonts w:hint="eastAsia"/>
          <w:szCs w:val="24"/>
        </w:rPr>
        <w:t xml:space="preserve">4）、合同 </w:t>
      </w:r>
    </w:p>
    <w:p>
      <w:pPr>
        <w:spacing w:line="360" w:lineRule="auto"/>
        <w:ind w:left="0" w:firstLine="0"/>
        <w:rPr>
          <w:szCs w:val="24"/>
        </w:rPr>
      </w:pPr>
      <w:r>
        <w:rPr>
          <w:rFonts w:hint="eastAsia"/>
          <w:szCs w:val="24"/>
        </w:rPr>
        <w:t xml:space="preserve">5）、响应文件格式 </w:t>
      </w:r>
    </w:p>
    <w:p>
      <w:pPr>
        <w:pStyle w:val="5"/>
        <w:spacing w:line="360" w:lineRule="auto"/>
        <w:jc w:val="left"/>
        <w:rPr>
          <w:rFonts w:ascii="宋体" w:hAnsi="宋体"/>
          <w:b w:val="0"/>
          <w:sz w:val="24"/>
          <w:szCs w:val="24"/>
        </w:rPr>
      </w:pPr>
      <w:bookmarkStart w:id="57" w:name="_Toc15299"/>
      <w:bookmarkStart w:id="58" w:name="_Toc77206847"/>
      <w:bookmarkStart w:id="59" w:name="_Toc86825500"/>
      <w:bookmarkStart w:id="60" w:name="_Toc79057512"/>
      <w:r>
        <w:rPr>
          <w:rFonts w:hint="eastAsia" w:ascii="宋体" w:hAnsi="宋体"/>
          <w:b w:val="0"/>
          <w:sz w:val="24"/>
          <w:szCs w:val="24"/>
        </w:rPr>
        <w:t>5、磋商文件的澄清</w:t>
      </w:r>
      <w:bookmarkEnd w:id="57"/>
      <w:bookmarkEnd w:id="58"/>
      <w:bookmarkEnd w:id="59"/>
      <w:bookmarkEnd w:id="60"/>
    </w:p>
    <w:p>
      <w:pPr>
        <w:spacing w:line="360" w:lineRule="auto"/>
        <w:ind w:left="0" w:firstLine="0"/>
        <w:rPr>
          <w:szCs w:val="24"/>
        </w:rPr>
      </w:pPr>
      <w:r>
        <w:rPr>
          <w:rFonts w:hint="eastAsia"/>
          <w:szCs w:val="24"/>
        </w:rPr>
        <w:t xml:space="preserve">5.1响应供应商如需澄清磋商文件的疑点，均应以书面形式加盖公章（电传、传真、电报无效）向采购代理机构提出澄清要求，通知应确保采购代理机构在响应截止日期4天前收到。采购代理机构将用信函、传真等形式做出答复。 </w:t>
      </w:r>
    </w:p>
    <w:p>
      <w:pPr>
        <w:spacing w:line="360" w:lineRule="auto"/>
        <w:ind w:left="0" w:firstLine="0"/>
        <w:rPr>
          <w:szCs w:val="24"/>
        </w:rPr>
      </w:pPr>
      <w:r>
        <w:rPr>
          <w:rFonts w:hint="eastAsia"/>
          <w:szCs w:val="24"/>
        </w:rPr>
        <w:t xml:space="preserve">5.2磋商文件的补充和修改 </w:t>
      </w:r>
    </w:p>
    <w:p>
      <w:pPr>
        <w:spacing w:line="360" w:lineRule="auto"/>
        <w:ind w:left="0" w:firstLine="0"/>
        <w:rPr>
          <w:szCs w:val="24"/>
        </w:rPr>
      </w:pPr>
      <w:r>
        <w:rPr>
          <w:rFonts w:hint="eastAsia"/>
          <w:szCs w:val="24"/>
        </w:rPr>
        <w:t xml:space="preserve">5.3采购代理机构可以用书面补充通知的方式对磋商文件进行补充和修改。对磋商文件的补充和修正，将会在磋商邀请所述网站上公布，并用信函、传真等形式通知所有响应供应商。 </w:t>
      </w:r>
    </w:p>
    <w:p>
      <w:pPr>
        <w:spacing w:line="360" w:lineRule="auto"/>
        <w:ind w:left="0" w:firstLine="0"/>
        <w:rPr>
          <w:szCs w:val="24"/>
        </w:rPr>
      </w:pPr>
      <w:r>
        <w:rPr>
          <w:rFonts w:hint="eastAsia"/>
          <w:szCs w:val="24"/>
        </w:rPr>
        <w:t xml:space="preserve">5.4所颁发的补充通知将于响应截止期前发往所有响应供应商。该补充通知应作为磋商文件的一部分。响应供应商在收到通知后应在响应文件中予以确认。 </w:t>
      </w:r>
    </w:p>
    <w:p>
      <w:pPr>
        <w:spacing w:line="360" w:lineRule="auto"/>
        <w:ind w:left="0" w:firstLine="0"/>
        <w:rPr>
          <w:szCs w:val="24"/>
        </w:rPr>
      </w:pPr>
      <w:r>
        <w:rPr>
          <w:rFonts w:hint="eastAsia"/>
          <w:szCs w:val="24"/>
        </w:rPr>
        <w:t xml:space="preserve">5.5考虑到补充通知的影响，采购代理机构可决定延迟磋商时间。 </w:t>
      </w:r>
    </w:p>
    <w:p>
      <w:pPr>
        <w:pStyle w:val="5"/>
        <w:spacing w:line="360" w:lineRule="auto"/>
        <w:jc w:val="left"/>
        <w:rPr>
          <w:rFonts w:ascii="宋体" w:hAnsi="宋体"/>
          <w:b w:val="0"/>
          <w:sz w:val="24"/>
          <w:szCs w:val="24"/>
        </w:rPr>
      </w:pPr>
      <w:bookmarkStart w:id="61" w:name="_Toc24021"/>
      <w:bookmarkStart w:id="62" w:name="_Toc77206848"/>
      <w:bookmarkStart w:id="63" w:name="_Toc79057513"/>
      <w:bookmarkStart w:id="64" w:name="_Toc86825501"/>
      <w:r>
        <w:rPr>
          <w:rFonts w:hint="eastAsia" w:ascii="宋体" w:hAnsi="宋体"/>
          <w:b w:val="0"/>
          <w:sz w:val="24"/>
          <w:szCs w:val="24"/>
        </w:rPr>
        <w:t>6、</w:t>
      </w:r>
      <w:bookmarkEnd w:id="61"/>
      <w:r>
        <w:rPr>
          <w:rFonts w:hint="eastAsia" w:ascii="宋体" w:hAnsi="宋体"/>
          <w:b w:val="0"/>
          <w:sz w:val="24"/>
          <w:szCs w:val="24"/>
        </w:rPr>
        <w:t>响应文件的编写</w:t>
      </w:r>
      <w:bookmarkEnd w:id="62"/>
      <w:bookmarkEnd w:id="63"/>
      <w:bookmarkEnd w:id="64"/>
    </w:p>
    <w:p>
      <w:pPr>
        <w:spacing w:line="360" w:lineRule="auto"/>
        <w:ind w:left="0" w:firstLine="0"/>
        <w:rPr>
          <w:szCs w:val="24"/>
        </w:rPr>
      </w:pPr>
      <w:r>
        <w:rPr>
          <w:rFonts w:hint="eastAsia"/>
          <w:szCs w:val="24"/>
        </w:rPr>
        <w:t xml:space="preserve">6.1响应供应商应仔细阅读磋商文件的所有内容，按磋商文件的要求制作并递交响应文件，如有必要，可以增加附页，作为投标文件的组成部分。并保证所提供的全部资料的真实性、准确性，以确保其对磋商文件做出实质性响应；否则，将拒绝其响应文件。响应供应商若提供不真实的材料，无论其材料是否重要，都将有可能直接导致响应无效，并承担由此产生的法律责任。 </w:t>
      </w:r>
    </w:p>
    <w:p>
      <w:pPr>
        <w:spacing w:line="360" w:lineRule="auto"/>
        <w:ind w:left="0" w:firstLine="0"/>
        <w:rPr>
          <w:szCs w:val="24"/>
        </w:rPr>
      </w:pPr>
      <w:r>
        <w:rPr>
          <w:rFonts w:hint="eastAsia"/>
          <w:szCs w:val="24"/>
        </w:rPr>
        <w:t>6.</w:t>
      </w:r>
      <w:r>
        <w:rPr>
          <w:szCs w:val="24"/>
        </w:rPr>
        <w:t>2</w:t>
      </w:r>
      <w:r>
        <w:rPr>
          <w:rFonts w:hint="eastAsia"/>
          <w:szCs w:val="24"/>
        </w:rPr>
        <w:t>语言和计量单位：</w:t>
      </w:r>
    </w:p>
    <w:p>
      <w:pPr>
        <w:spacing w:line="360" w:lineRule="auto"/>
        <w:ind w:left="0" w:firstLine="0"/>
        <w:rPr>
          <w:szCs w:val="24"/>
        </w:rPr>
      </w:pPr>
      <w:r>
        <w:rPr>
          <w:rFonts w:hint="eastAsia"/>
          <w:szCs w:val="24"/>
        </w:rPr>
        <w:t>6.</w:t>
      </w:r>
      <w:r>
        <w:rPr>
          <w:szCs w:val="24"/>
        </w:rPr>
        <w:t>2</w:t>
      </w:r>
      <w:r>
        <w:rPr>
          <w:rFonts w:hint="eastAsia"/>
          <w:szCs w:val="24"/>
        </w:rPr>
        <w:t xml:space="preserve">.1响应文件和来往函件应用简体中文书写，响应供应商提供的支持文件、技术资料和印刷的文献可以用其他语言，但相应内容应附有中文翻译文本（经公证处公证），对不同文字文本响应文件的解释发生异议的，以中文文本为准。计量单位应使用国际公制单位。 </w:t>
      </w:r>
    </w:p>
    <w:p>
      <w:pPr>
        <w:spacing w:line="360" w:lineRule="auto"/>
        <w:ind w:left="0" w:firstLine="0"/>
        <w:rPr>
          <w:szCs w:val="24"/>
        </w:rPr>
      </w:pPr>
      <w:r>
        <w:rPr>
          <w:rFonts w:hint="eastAsia"/>
          <w:szCs w:val="24"/>
        </w:rPr>
        <w:t>6.</w:t>
      </w:r>
      <w:r>
        <w:rPr>
          <w:szCs w:val="24"/>
        </w:rPr>
        <w:t>2</w:t>
      </w:r>
      <w:r>
        <w:rPr>
          <w:rFonts w:hint="eastAsia"/>
          <w:szCs w:val="24"/>
        </w:rPr>
        <w:t xml:space="preserve">.2响应供应商应用人民币报价。响应文件的大写金额和小写金额不一致的，以大写金额为准；总价金额与按单价汇总金额不一致的，以单价金额计算结果为准；单价金额小数点有明显错位的，应以总价为准，并修改单价。 </w:t>
      </w:r>
    </w:p>
    <w:p>
      <w:pPr>
        <w:spacing w:line="360" w:lineRule="auto"/>
        <w:ind w:left="0" w:firstLine="0"/>
        <w:rPr>
          <w:szCs w:val="24"/>
        </w:rPr>
      </w:pPr>
      <w:r>
        <w:rPr>
          <w:rFonts w:hint="eastAsia"/>
          <w:szCs w:val="24"/>
        </w:rPr>
        <w:t>6.</w:t>
      </w:r>
      <w:r>
        <w:rPr>
          <w:szCs w:val="24"/>
        </w:rPr>
        <w:t>2</w:t>
      </w:r>
      <w:r>
        <w:rPr>
          <w:rFonts w:hint="eastAsia"/>
          <w:szCs w:val="24"/>
        </w:rPr>
        <w:t xml:space="preserve">.3响应供应商在编写响应文件时，应填写磋商文件要求的内容及其附件，并根据实际情况补充评审所需资料，响应文件只填写和提供了磋商文件要求的部分内容和附件，或没有提供磋商文件中所要求的全部资料及数据，或没有按实际情况提供响应所需资料的，其可能导致的结果和责任由响应供应商自行承担。 </w:t>
      </w:r>
    </w:p>
    <w:p>
      <w:pPr>
        <w:spacing w:line="360" w:lineRule="auto"/>
        <w:ind w:left="0" w:firstLine="0"/>
        <w:rPr>
          <w:b/>
          <w:bCs/>
          <w:szCs w:val="24"/>
        </w:rPr>
      </w:pPr>
      <w:r>
        <w:rPr>
          <w:rFonts w:hint="eastAsia"/>
          <w:szCs w:val="24"/>
        </w:rPr>
        <w:t>6.</w:t>
      </w:r>
      <w:r>
        <w:rPr>
          <w:szCs w:val="24"/>
        </w:rPr>
        <w:t>2</w:t>
      </w:r>
      <w:r>
        <w:rPr>
          <w:rFonts w:hint="eastAsia"/>
          <w:szCs w:val="24"/>
        </w:rPr>
        <w:t>.4</w:t>
      </w:r>
      <w:r>
        <w:rPr>
          <w:rFonts w:hint="eastAsia"/>
          <w:bCs/>
          <w:szCs w:val="24"/>
        </w:rPr>
        <w:t>响应供应商的报价明显低于其他报价，使得其报价可能低于其个别成本的，有可能影响质量和不能诚信履约的，应当要求该响应供应商作出书面说明并提供相关证明材料。响应供应商不能合理说明或者不能提供相关证明材料的，由磋商小组认定该响应供应商以低于成本报价，其报价应作无效报价处理。</w:t>
      </w:r>
    </w:p>
    <w:p>
      <w:pPr>
        <w:pStyle w:val="2"/>
        <w:ind w:left="0" w:leftChars="0" w:firstLine="0" w:firstLineChars="0"/>
        <w:rPr>
          <w:bCs/>
        </w:rPr>
      </w:pPr>
      <w:r>
        <w:rPr>
          <w:rFonts w:hint="eastAsia"/>
          <w:bCs/>
        </w:rPr>
        <w:t>投标人成本评审办法：■ 招标控制价下浮</w:t>
      </w:r>
      <w:r>
        <w:rPr>
          <w:rFonts w:hint="eastAsia"/>
          <w:bCs/>
          <w:u w:val="single"/>
        </w:rPr>
        <w:t xml:space="preserve">  6  </w:t>
      </w:r>
      <w:r>
        <w:rPr>
          <w:rFonts w:hint="eastAsia"/>
          <w:bCs/>
        </w:rPr>
        <w:t>%。</w:t>
      </w:r>
    </w:p>
    <w:p>
      <w:pPr>
        <w:pStyle w:val="2"/>
        <w:spacing w:line="360" w:lineRule="auto"/>
        <w:ind w:left="0" w:leftChars="0" w:firstLine="480"/>
        <w:rPr>
          <w:bCs/>
        </w:rPr>
      </w:pPr>
      <w:bookmarkStart w:id="65" w:name="_Toc369879194"/>
      <w:r>
        <w:rPr>
          <w:bCs/>
        </w:rPr>
        <w:t>设有招标控制价时明显低于招标控制价</w:t>
      </w:r>
      <w:r>
        <w:rPr>
          <w:rFonts w:hint="eastAsia"/>
          <w:bCs/>
        </w:rPr>
        <w:t>6%的</w:t>
      </w:r>
      <w:r>
        <w:rPr>
          <w:bCs/>
        </w:rPr>
        <w:t>，</w:t>
      </w:r>
      <w:r>
        <w:rPr>
          <w:rFonts w:hint="eastAsia"/>
          <w:bCs/>
        </w:rPr>
        <w:t>评标专家应详细分析并向投标人质询。</w:t>
      </w:r>
      <w:r>
        <w:rPr>
          <w:bCs/>
        </w:rPr>
        <w:t>且投标人不能按评标委员会要求进行合理说明或不能提供相关证明材料，由评标委员会认定以低于成本报价竞标的；</w:t>
      </w:r>
      <w:r>
        <w:rPr>
          <w:rFonts w:hint="eastAsia"/>
          <w:bCs/>
        </w:rPr>
        <w:t>拒不按照要求进行澄清、说明；不能合理说明或者不能提供相关证明材料；评标委员会评审后，认定投标人投标报价低于成本或者未能实质响应招标文件。</w:t>
      </w:r>
      <w:bookmarkEnd w:id="65"/>
    </w:p>
    <w:p>
      <w:pPr>
        <w:spacing w:line="360" w:lineRule="auto"/>
        <w:ind w:firstLine="0"/>
      </w:pPr>
      <w:r>
        <w:rPr>
          <w:rFonts w:hint="eastAsia"/>
        </w:rPr>
        <w:t>6</w:t>
      </w:r>
      <w:r>
        <w:t xml:space="preserve">.2.5 </w:t>
      </w:r>
      <w:r>
        <w:rPr>
          <w:rFonts w:hint="eastAsia"/>
        </w:rPr>
        <w:t xml:space="preserve">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 </w:t>
      </w:r>
    </w:p>
    <w:p>
      <w:pPr>
        <w:pStyle w:val="5"/>
        <w:spacing w:line="360" w:lineRule="auto"/>
        <w:jc w:val="left"/>
        <w:rPr>
          <w:rFonts w:ascii="宋体" w:hAnsi="宋体"/>
          <w:b w:val="0"/>
          <w:sz w:val="24"/>
          <w:szCs w:val="24"/>
        </w:rPr>
      </w:pPr>
      <w:bookmarkStart w:id="66" w:name="_Toc77206849"/>
      <w:bookmarkStart w:id="67" w:name="_Toc175"/>
      <w:bookmarkStart w:id="68" w:name="_Toc86825502"/>
      <w:bookmarkStart w:id="69" w:name="_Toc79057514"/>
      <w:r>
        <w:rPr>
          <w:rFonts w:hint="eastAsia" w:ascii="宋体" w:hAnsi="宋体"/>
          <w:b w:val="0"/>
          <w:sz w:val="24"/>
          <w:szCs w:val="24"/>
        </w:rPr>
        <w:t>7、约定形式：</w:t>
      </w:r>
      <w:bookmarkEnd w:id="66"/>
      <w:bookmarkEnd w:id="67"/>
      <w:bookmarkEnd w:id="68"/>
      <w:bookmarkEnd w:id="69"/>
    </w:p>
    <w:p>
      <w:pPr>
        <w:spacing w:line="360" w:lineRule="auto"/>
        <w:ind w:left="0" w:firstLine="0"/>
        <w:rPr>
          <w:szCs w:val="24"/>
        </w:rPr>
      </w:pPr>
      <w:r>
        <w:rPr>
          <w:rFonts w:hint="eastAsia"/>
          <w:szCs w:val="24"/>
        </w:rPr>
        <w:t xml:space="preserve">采购代理机构不接受电报、电话、电传、传真等非约定形式报价。 </w:t>
      </w:r>
    </w:p>
    <w:p>
      <w:pPr>
        <w:pStyle w:val="5"/>
        <w:spacing w:line="360" w:lineRule="auto"/>
        <w:jc w:val="left"/>
        <w:rPr>
          <w:rFonts w:ascii="宋体" w:hAnsi="宋体"/>
          <w:b w:val="0"/>
          <w:sz w:val="24"/>
          <w:szCs w:val="24"/>
        </w:rPr>
      </w:pPr>
      <w:bookmarkStart w:id="70" w:name="_Toc11558"/>
      <w:bookmarkStart w:id="71" w:name="_Toc86825503"/>
      <w:bookmarkStart w:id="72" w:name="_Toc79057515"/>
      <w:bookmarkStart w:id="73" w:name="_Toc77206850"/>
      <w:r>
        <w:rPr>
          <w:rFonts w:hint="eastAsia" w:ascii="宋体" w:hAnsi="宋体"/>
          <w:b w:val="0"/>
          <w:sz w:val="24"/>
          <w:szCs w:val="24"/>
        </w:rPr>
        <w:t>8、响应文件的构成</w:t>
      </w:r>
      <w:bookmarkEnd w:id="70"/>
      <w:bookmarkEnd w:id="71"/>
      <w:bookmarkEnd w:id="72"/>
      <w:bookmarkEnd w:id="73"/>
    </w:p>
    <w:p>
      <w:pPr>
        <w:spacing w:line="360" w:lineRule="auto"/>
        <w:ind w:firstLine="480" w:firstLineChars="200"/>
        <w:rPr>
          <w:rFonts w:cs="楷体_GB2312"/>
          <w:szCs w:val="24"/>
        </w:rPr>
      </w:pPr>
      <w:r>
        <w:rPr>
          <w:rFonts w:hint="eastAsia" w:cs="楷体_GB2312"/>
          <w:szCs w:val="24"/>
        </w:rPr>
        <w:t xml:space="preserve">1）磋商函              </w:t>
      </w:r>
    </w:p>
    <w:p>
      <w:pPr>
        <w:spacing w:line="360" w:lineRule="auto"/>
        <w:ind w:firstLine="480" w:firstLineChars="200"/>
        <w:rPr>
          <w:rFonts w:cs="楷体_GB2312"/>
          <w:szCs w:val="24"/>
        </w:rPr>
      </w:pPr>
      <w:r>
        <w:rPr>
          <w:rFonts w:hint="eastAsia" w:cs="楷体_GB2312"/>
          <w:szCs w:val="24"/>
        </w:rPr>
        <w:t xml:space="preserve">2）法定代表人授权书            </w:t>
      </w:r>
    </w:p>
    <w:p>
      <w:pPr>
        <w:spacing w:line="360" w:lineRule="auto"/>
        <w:ind w:firstLine="480" w:firstLineChars="200"/>
        <w:rPr>
          <w:rFonts w:cs="楷体_GB2312"/>
          <w:szCs w:val="24"/>
        </w:rPr>
      </w:pPr>
      <w:r>
        <w:rPr>
          <w:rFonts w:hint="eastAsia" w:cs="楷体_GB2312"/>
          <w:szCs w:val="24"/>
        </w:rPr>
        <w:t>3）</w:t>
      </w:r>
      <w:r>
        <w:rPr>
          <w:rFonts w:hint="eastAsia"/>
          <w:szCs w:val="24"/>
        </w:rPr>
        <w:t>首次报价一览表</w:t>
      </w:r>
    </w:p>
    <w:p>
      <w:pPr>
        <w:spacing w:line="360" w:lineRule="auto"/>
        <w:ind w:firstLine="480" w:firstLineChars="200"/>
        <w:rPr>
          <w:rFonts w:cs="楷体_GB2312"/>
          <w:szCs w:val="24"/>
        </w:rPr>
      </w:pPr>
      <w:r>
        <w:rPr>
          <w:rFonts w:hint="eastAsia" w:cs="楷体_GB2312"/>
          <w:szCs w:val="24"/>
        </w:rPr>
        <w:t>4）有效的企业法人营业执照（复印件加盖公章）；</w:t>
      </w:r>
    </w:p>
    <w:p>
      <w:pPr>
        <w:spacing w:line="360" w:lineRule="auto"/>
        <w:ind w:firstLine="480" w:firstLineChars="200"/>
        <w:rPr>
          <w:rFonts w:cs="楷体_GB2312"/>
          <w:szCs w:val="24"/>
        </w:rPr>
      </w:pPr>
      <w:r>
        <w:rPr>
          <w:rFonts w:hint="eastAsia" w:cs="楷体_GB2312"/>
          <w:szCs w:val="24"/>
        </w:rPr>
        <w:t>5）依法缴纳税收和社会保障资金的良好记录的声明；</w:t>
      </w:r>
    </w:p>
    <w:p>
      <w:pPr>
        <w:spacing w:line="360" w:lineRule="auto"/>
        <w:ind w:firstLine="480" w:firstLineChars="200"/>
        <w:rPr>
          <w:rFonts w:cs="楷体_GB2312"/>
          <w:szCs w:val="24"/>
        </w:rPr>
      </w:pPr>
      <w:r>
        <w:rPr>
          <w:rFonts w:hint="eastAsia" w:cs="楷体_GB2312"/>
          <w:szCs w:val="24"/>
        </w:rPr>
        <w:t>6）参加本项目政府采购活动前三年内，在经营活动中没有重大违法记录；</w:t>
      </w:r>
    </w:p>
    <w:p>
      <w:pPr>
        <w:spacing w:line="360" w:lineRule="auto"/>
        <w:ind w:firstLine="480" w:firstLineChars="200"/>
        <w:rPr>
          <w:rFonts w:cs="楷体_GB2312"/>
          <w:szCs w:val="24"/>
        </w:rPr>
      </w:pPr>
      <w:r>
        <w:rPr>
          <w:rFonts w:hint="eastAsia" w:cs="楷体_GB2312"/>
          <w:szCs w:val="24"/>
        </w:rPr>
        <w:t>7）通过“信用中国”网站（www.creditchina.gov.cn）查询信用记录（截止时间点为投标截止时间），被列入失信被执行人、重大税收违法案件当事人名单或政府采购严重违法失信行为记录名单的供应商，没有资格参加本项目的采购活动；</w:t>
      </w:r>
    </w:p>
    <w:p>
      <w:pPr>
        <w:spacing w:line="360" w:lineRule="auto"/>
        <w:ind w:left="0" w:firstLine="480" w:firstLineChars="200"/>
      </w:pPr>
      <w:r>
        <w:rPr>
          <w:rFonts w:hint="eastAsia"/>
        </w:rPr>
        <w:t>8）供应商基本情况表；</w:t>
      </w:r>
    </w:p>
    <w:p>
      <w:pPr>
        <w:spacing w:line="360" w:lineRule="auto"/>
        <w:ind w:left="0" w:firstLine="480" w:firstLineChars="200"/>
      </w:pPr>
      <w:r>
        <w:rPr>
          <w:rFonts w:hint="eastAsia"/>
        </w:rPr>
        <w:t>9）业绩情况表（含证明资料）；</w:t>
      </w:r>
    </w:p>
    <w:p>
      <w:pPr>
        <w:spacing w:line="360" w:lineRule="auto"/>
        <w:ind w:left="0" w:firstLine="480" w:firstLineChars="200"/>
      </w:pPr>
      <w:r>
        <w:rPr>
          <w:rFonts w:hint="eastAsia"/>
        </w:rPr>
        <w:t>10）拟投入本项目的主要人员；</w:t>
      </w:r>
    </w:p>
    <w:p>
      <w:pPr>
        <w:spacing w:line="360" w:lineRule="auto"/>
        <w:ind w:left="0" w:firstLine="480" w:firstLineChars="200"/>
      </w:pPr>
      <w:r>
        <w:rPr>
          <w:rFonts w:hint="eastAsia"/>
        </w:rPr>
        <w:t>11）施工组织设计（格式自拟）</w:t>
      </w:r>
    </w:p>
    <w:p>
      <w:pPr>
        <w:spacing w:line="360" w:lineRule="auto"/>
        <w:ind w:left="0" w:firstLine="480" w:firstLineChars="200"/>
      </w:pPr>
      <w:r>
        <w:rPr>
          <w:rFonts w:hint="eastAsia"/>
        </w:rPr>
        <w:t>12）投标保证金声明函（如适用）</w:t>
      </w:r>
    </w:p>
    <w:p>
      <w:pPr>
        <w:spacing w:line="360" w:lineRule="auto"/>
        <w:ind w:left="0" w:firstLine="480" w:firstLineChars="200"/>
      </w:pPr>
      <w:r>
        <w:rPr>
          <w:rFonts w:hint="eastAsia"/>
        </w:rPr>
        <w:t>13）</w:t>
      </w:r>
      <w:r>
        <w:rPr>
          <w:rFonts w:hint="eastAsia"/>
        </w:rPr>
        <w:sym w:font="Wingdings" w:char="F0AC"/>
      </w:r>
      <w:r>
        <w:rPr>
          <w:rFonts w:hint="eastAsia"/>
        </w:rPr>
        <w:t>中小企业声明函</w:t>
      </w:r>
    </w:p>
    <w:p>
      <w:pPr>
        <w:spacing w:line="360" w:lineRule="auto"/>
        <w:ind w:left="0" w:firstLine="480" w:firstLineChars="200"/>
      </w:pPr>
      <w:r>
        <w:rPr>
          <w:rFonts w:hint="eastAsia"/>
        </w:rPr>
        <w:t>14</w:t>
      </w:r>
      <w:r>
        <w:t>)</w:t>
      </w:r>
      <w:r>
        <w:rPr>
          <w:rFonts w:hint="eastAsia"/>
        </w:rPr>
        <w:t>残疾人福利性单位声明函（如适用）</w:t>
      </w:r>
    </w:p>
    <w:p>
      <w:pPr>
        <w:spacing w:line="360" w:lineRule="auto"/>
        <w:ind w:left="0" w:firstLine="480" w:firstLineChars="200"/>
      </w:pPr>
      <w:r>
        <w:rPr>
          <w:rFonts w:hint="eastAsia"/>
        </w:rPr>
        <w:t>15）供应商存在关联关系的单位情况说明</w:t>
      </w:r>
    </w:p>
    <w:p>
      <w:pPr>
        <w:spacing w:line="360" w:lineRule="auto"/>
        <w:ind w:left="0" w:firstLine="480" w:firstLineChars="200"/>
      </w:pPr>
      <w:r>
        <w:rPr>
          <w:rFonts w:hint="eastAsia"/>
        </w:rPr>
        <w:t>16）投标人认为有必要提供的其它文件或资料。</w:t>
      </w:r>
    </w:p>
    <w:p>
      <w:pPr>
        <w:spacing w:line="360" w:lineRule="auto"/>
        <w:ind w:left="0" w:firstLine="0"/>
        <w:rPr>
          <w:szCs w:val="24"/>
        </w:rPr>
      </w:pPr>
      <w:r>
        <w:rPr>
          <w:rFonts w:hint="eastAsia"/>
          <w:szCs w:val="24"/>
        </w:rPr>
        <w:t>备注：加注</w:t>
      </w:r>
      <w:r>
        <w:rPr>
          <w:rFonts w:hint="eastAsia"/>
          <w:szCs w:val="24"/>
        </w:rPr>
        <w:sym w:font="Wingdings" w:char="F0AC"/>
      </w:r>
      <w:r>
        <w:rPr>
          <w:rFonts w:hint="eastAsia"/>
          <w:szCs w:val="24"/>
        </w:rPr>
        <w:t>号的内容若不满足要求</w:t>
      </w:r>
      <w:r>
        <w:rPr>
          <w:rFonts w:hint="eastAsia"/>
        </w:rPr>
        <w:t>,将导致投标无效</w:t>
      </w:r>
      <w:r>
        <w:rPr>
          <w:rFonts w:hint="eastAsia"/>
          <w:szCs w:val="24"/>
        </w:rPr>
        <w:t>,且不允许在磋商开始后补正,自行承担因其响应文件的任何错漏而导致的一切后果。</w:t>
      </w:r>
    </w:p>
    <w:p>
      <w:pPr>
        <w:pStyle w:val="5"/>
        <w:spacing w:line="360" w:lineRule="auto"/>
        <w:jc w:val="left"/>
        <w:rPr>
          <w:rFonts w:ascii="宋体" w:hAnsi="宋体"/>
          <w:b w:val="0"/>
          <w:sz w:val="24"/>
          <w:szCs w:val="24"/>
        </w:rPr>
      </w:pPr>
      <w:bookmarkStart w:id="74" w:name="_Toc6176"/>
      <w:bookmarkStart w:id="75" w:name="_Toc86825504"/>
      <w:bookmarkStart w:id="76" w:name="_Toc79057516"/>
      <w:bookmarkStart w:id="77" w:name="_Toc77206851"/>
      <w:r>
        <w:rPr>
          <w:rFonts w:hint="eastAsia" w:ascii="宋体" w:hAnsi="宋体"/>
          <w:b w:val="0"/>
          <w:sz w:val="24"/>
          <w:szCs w:val="24"/>
        </w:rPr>
        <w:t>9、响应文件的修改及撤回</w:t>
      </w:r>
      <w:bookmarkEnd w:id="74"/>
      <w:bookmarkEnd w:id="75"/>
      <w:bookmarkEnd w:id="76"/>
      <w:bookmarkEnd w:id="77"/>
    </w:p>
    <w:p>
      <w:pPr>
        <w:spacing w:line="360" w:lineRule="auto"/>
        <w:ind w:left="0" w:firstLine="0"/>
        <w:rPr>
          <w:szCs w:val="24"/>
        </w:rPr>
      </w:pPr>
      <w:r>
        <w:rPr>
          <w:rFonts w:hint="eastAsia"/>
          <w:szCs w:val="24"/>
        </w:rPr>
        <w:t xml:space="preserve">9.1在响应截止时间前，响应供应商可以以书面通知的形式向采购代理机构修改或撤回其响应文件。修改后的响应文件须按照本项目规定的响应截止时间之前重新递交，否则，采购代理机构将拒绝接受修改后的响应文件。 </w:t>
      </w:r>
    </w:p>
    <w:p>
      <w:pPr>
        <w:spacing w:line="360" w:lineRule="auto"/>
        <w:ind w:left="0" w:firstLine="0"/>
        <w:rPr>
          <w:szCs w:val="24"/>
        </w:rPr>
      </w:pPr>
      <w:r>
        <w:rPr>
          <w:rFonts w:hint="eastAsia"/>
          <w:szCs w:val="24"/>
        </w:rPr>
        <w:t xml:space="preserve">9.2在响应截止时间后，响应供应商不得对其响应文件作任何修改。从响应截止时间至响应有效期满之前，响应供应商不允许撤回其响应文件。 </w:t>
      </w:r>
    </w:p>
    <w:p>
      <w:pPr>
        <w:pStyle w:val="5"/>
        <w:spacing w:line="360" w:lineRule="auto"/>
        <w:jc w:val="left"/>
        <w:rPr>
          <w:rFonts w:ascii="宋体" w:hAnsi="宋体"/>
          <w:b w:val="0"/>
          <w:sz w:val="24"/>
          <w:szCs w:val="24"/>
        </w:rPr>
      </w:pPr>
      <w:bookmarkStart w:id="78" w:name="_Toc14271"/>
      <w:bookmarkStart w:id="79" w:name="_Toc79057517"/>
      <w:bookmarkStart w:id="80" w:name="_Toc86825505"/>
      <w:bookmarkStart w:id="81" w:name="_Toc77206852"/>
      <w:r>
        <w:rPr>
          <w:rFonts w:hint="eastAsia" w:ascii="宋体" w:hAnsi="宋体"/>
          <w:b w:val="0"/>
          <w:sz w:val="24"/>
          <w:szCs w:val="24"/>
        </w:rPr>
        <w:t>10、响应文件装订：</w:t>
      </w:r>
      <w:bookmarkEnd w:id="78"/>
      <w:bookmarkEnd w:id="79"/>
      <w:bookmarkEnd w:id="80"/>
      <w:bookmarkEnd w:id="81"/>
    </w:p>
    <w:p>
      <w:pPr>
        <w:spacing w:line="360" w:lineRule="auto"/>
        <w:ind w:left="0" w:firstLine="0"/>
        <w:rPr>
          <w:szCs w:val="24"/>
        </w:rPr>
      </w:pPr>
      <w:r>
        <w:rPr>
          <w:rFonts w:hint="eastAsia"/>
          <w:szCs w:val="24"/>
        </w:rPr>
        <w:t xml:space="preserve">10.1.全部响应文件应一式三份，正本一份，副本二份，副本可由正本复印而成；响应文件电子版1份，光盘或U盘介质，WORD或EXCEL格式，不留密码，无病毒，内容应与响应供应商打印产生的纸质响应文件内容一致，如有不同，以纸质响应文件为准。除特别注明外，响应文件应提交纸质文件。如果正本与副本不符，应以正本为准。响应文件应由响应供应商的合法授权代表正式签署，如有任何更改应由原签署人签字。无论响应结果如何，响应供应商的全部响应文件均不退回。另按要求单独提交一个“唱标信封”。 </w:t>
      </w:r>
    </w:p>
    <w:p>
      <w:pPr>
        <w:spacing w:line="360" w:lineRule="auto"/>
        <w:ind w:left="0" w:firstLine="0"/>
        <w:rPr>
          <w:szCs w:val="24"/>
        </w:rPr>
      </w:pPr>
      <w:r>
        <w:rPr>
          <w:rFonts w:hint="eastAsia"/>
          <w:szCs w:val="24"/>
        </w:rPr>
        <w:t xml:space="preserve">10.2. 响应文件的封装要求：响应文件正副本单独封装，正本和电子文档装一个封包；所有副本装一个封包。 </w:t>
      </w:r>
      <w:r>
        <w:t>需</w:t>
      </w:r>
      <w:r>
        <w:rPr>
          <w:rFonts w:hint="eastAsia"/>
        </w:rPr>
        <w:t>递交</w:t>
      </w:r>
      <w:r>
        <w:t>投标文件电子版的</w:t>
      </w:r>
      <w:r>
        <w:rPr>
          <w:rFonts w:hint="eastAsia"/>
        </w:rPr>
        <w:t>，在递交投标文件的同时递交投标文件电子版。投标文件电子版</w:t>
      </w:r>
      <w:r>
        <w:t>单独</w:t>
      </w:r>
      <w:r>
        <w:rPr>
          <w:bCs/>
          <w:szCs w:val="21"/>
        </w:rPr>
        <w:t>放入一个密封袋中，加贴封条，并在封套封口处加盖投标人单位章，</w:t>
      </w:r>
      <w:r>
        <w:rPr>
          <w:szCs w:val="21"/>
        </w:rPr>
        <w:t>在封套上标记“投标文件电子版”字样</w:t>
      </w:r>
      <w:r>
        <w:rPr>
          <w:rFonts w:hint="eastAsia"/>
          <w:szCs w:val="21"/>
        </w:rPr>
        <w:t>。</w:t>
      </w:r>
    </w:p>
    <w:p>
      <w:pPr>
        <w:spacing w:line="360" w:lineRule="auto"/>
        <w:ind w:left="0" w:firstLine="0"/>
        <w:rPr>
          <w:szCs w:val="24"/>
        </w:rPr>
      </w:pPr>
      <w:r>
        <w:rPr>
          <w:rFonts w:hint="eastAsia"/>
          <w:szCs w:val="24"/>
        </w:rPr>
        <w:t xml:space="preserve">10.3. 响应文件的正本及所有副本封面应加盖投标人单位公章。响应文件正本每页均需加盖响应供应商单位公章，副本可以是正本的复印件，响应文件规定需由法定代表人/负责人或委托代理人签名处须完整签名。响应文件的均须由响应供应商加盖投标人骑缝章。 </w:t>
      </w:r>
    </w:p>
    <w:p>
      <w:pPr>
        <w:spacing w:line="360" w:lineRule="auto"/>
        <w:ind w:left="0" w:firstLine="0"/>
        <w:rPr>
          <w:szCs w:val="24"/>
        </w:rPr>
      </w:pPr>
      <w:r>
        <w:rPr>
          <w:rFonts w:hint="eastAsia"/>
          <w:szCs w:val="24"/>
        </w:rPr>
        <w:t xml:space="preserve">10.4. 响应供应商应对项目提供完整的详细的技术方案。 </w:t>
      </w:r>
    </w:p>
    <w:p>
      <w:pPr>
        <w:spacing w:line="360" w:lineRule="auto"/>
        <w:ind w:left="0" w:firstLine="0"/>
        <w:rPr>
          <w:szCs w:val="24"/>
        </w:rPr>
      </w:pPr>
      <w:r>
        <w:rPr>
          <w:rFonts w:hint="eastAsia"/>
          <w:szCs w:val="24"/>
        </w:rPr>
        <w:t xml:space="preserve">10.5. 所有响应文件应在响应截止时间前送达磋商文件指定地点，交予采购代理机构专职负责人,任何迟于这个时间的响应将被拒绝。 </w:t>
      </w:r>
    </w:p>
    <w:p>
      <w:pPr>
        <w:spacing w:line="360" w:lineRule="auto"/>
        <w:ind w:left="0" w:firstLine="0"/>
        <w:rPr>
          <w:szCs w:val="24"/>
        </w:rPr>
      </w:pPr>
      <w:r>
        <w:rPr>
          <w:rFonts w:hint="eastAsia"/>
          <w:szCs w:val="24"/>
        </w:rPr>
        <w:t xml:space="preserve">10.6. 所有响应文件必须封入密封的信封或包装，在封口上加盖响应单位公章，并在每一信封或包装的封面上写明： </w:t>
      </w:r>
    </w:p>
    <w:p>
      <w:pPr>
        <w:pBdr>
          <w:top w:val="single" w:color="000000" w:sz="4" w:space="0"/>
          <w:left w:val="single" w:color="000000" w:sz="4" w:space="31"/>
          <w:bottom w:val="single" w:color="000000" w:sz="4" w:space="0"/>
          <w:right w:val="single" w:color="000000" w:sz="4" w:space="31"/>
        </w:pBdr>
        <w:spacing w:after="130" w:line="360" w:lineRule="auto"/>
        <w:ind w:left="1250" w:right="1508" w:firstLine="0"/>
        <w:jc w:val="right"/>
        <w:rPr>
          <w:szCs w:val="24"/>
        </w:rPr>
      </w:pPr>
      <w:r>
        <w:rPr>
          <w:rFonts w:hint="eastAsia"/>
          <w:szCs w:val="24"/>
        </w:rPr>
        <w:t>（正本/副本/唱标信封/</w:t>
      </w:r>
      <w:r>
        <w:rPr>
          <w:szCs w:val="21"/>
        </w:rPr>
        <w:t>电子版</w:t>
      </w:r>
      <w:r>
        <w:rPr>
          <w:rFonts w:hint="eastAsia"/>
          <w:szCs w:val="24"/>
        </w:rPr>
        <w:t xml:space="preserve">） </w:t>
      </w:r>
    </w:p>
    <w:p>
      <w:pPr>
        <w:pBdr>
          <w:top w:val="single" w:color="000000" w:sz="4" w:space="0"/>
          <w:left w:val="single" w:color="000000" w:sz="4" w:space="31"/>
          <w:bottom w:val="single" w:color="000000" w:sz="4" w:space="0"/>
          <w:right w:val="single" w:color="000000" w:sz="4" w:space="31"/>
        </w:pBdr>
        <w:spacing w:after="0" w:line="360" w:lineRule="auto"/>
        <w:ind w:left="1260" w:right="1508"/>
        <w:rPr>
          <w:szCs w:val="24"/>
        </w:rPr>
      </w:pPr>
      <w:r>
        <w:rPr>
          <w:rFonts w:hint="eastAsia"/>
          <w:szCs w:val="24"/>
        </w:rPr>
        <w:t>招标代理机构：北京盛欣宏益商务服务有限公司</w:t>
      </w:r>
    </w:p>
    <w:p>
      <w:pPr>
        <w:pBdr>
          <w:top w:val="single" w:color="000000" w:sz="4" w:space="0"/>
          <w:left w:val="single" w:color="000000" w:sz="4" w:space="31"/>
          <w:bottom w:val="single" w:color="000000" w:sz="4" w:space="0"/>
          <w:right w:val="single" w:color="000000" w:sz="4" w:space="31"/>
        </w:pBdr>
        <w:spacing w:after="0" w:line="360" w:lineRule="auto"/>
        <w:ind w:left="1260" w:right="1508"/>
        <w:rPr>
          <w:szCs w:val="24"/>
        </w:rPr>
      </w:pPr>
      <w:r>
        <w:rPr>
          <w:rFonts w:hint="eastAsia"/>
          <w:szCs w:val="24"/>
        </w:rPr>
        <w:t xml:space="preserve">项目编号： </w:t>
      </w:r>
    </w:p>
    <w:p>
      <w:pPr>
        <w:pBdr>
          <w:top w:val="single" w:color="000000" w:sz="4" w:space="0"/>
          <w:left w:val="single" w:color="000000" w:sz="4" w:space="31"/>
          <w:bottom w:val="single" w:color="000000" w:sz="4" w:space="0"/>
          <w:right w:val="single" w:color="000000" w:sz="4" w:space="31"/>
        </w:pBdr>
        <w:spacing w:after="0" w:line="360" w:lineRule="auto"/>
        <w:ind w:left="1260" w:right="1508"/>
        <w:rPr>
          <w:szCs w:val="24"/>
        </w:rPr>
      </w:pPr>
      <w:r>
        <w:rPr>
          <w:rFonts w:hint="eastAsia"/>
          <w:szCs w:val="24"/>
        </w:rPr>
        <w:t xml:space="preserve">项目名称： </w:t>
      </w:r>
    </w:p>
    <w:p>
      <w:pPr>
        <w:pBdr>
          <w:top w:val="single" w:color="000000" w:sz="4" w:space="0"/>
          <w:left w:val="single" w:color="000000" w:sz="4" w:space="31"/>
          <w:bottom w:val="single" w:color="000000" w:sz="4" w:space="0"/>
          <w:right w:val="single" w:color="000000" w:sz="4" w:space="31"/>
        </w:pBdr>
        <w:spacing w:after="0" w:line="360" w:lineRule="auto"/>
        <w:ind w:left="1260" w:right="1508"/>
        <w:rPr>
          <w:szCs w:val="24"/>
        </w:rPr>
      </w:pPr>
      <w:r>
        <w:rPr>
          <w:rFonts w:hint="eastAsia"/>
          <w:szCs w:val="24"/>
        </w:rPr>
        <w:t>响应供应商名称：              响应供应商地址：</w:t>
      </w:r>
    </w:p>
    <w:p>
      <w:pPr>
        <w:pBdr>
          <w:top w:val="single" w:color="000000" w:sz="4" w:space="0"/>
          <w:left w:val="single" w:color="000000" w:sz="4" w:space="31"/>
          <w:bottom w:val="single" w:color="000000" w:sz="4" w:space="0"/>
          <w:right w:val="single" w:color="000000" w:sz="4" w:space="31"/>
        </w:pBdr>
        <w:spacing w:after="0" w:line="360" w:lineRule="auto"/>
        <w:ind w:left="1260" w:right="1508"/>
        <w:rPr>
          <w:szCs w:val="24"/>
        </w:rPr>
      </w:pPr>
      <w:r>
        <w:rPr>
          <w:rFonts w:hint="eastAsia"/>
          <w:szCs w:val="24"/>
        </w:rPr>
        <w:t>联系人：                   联系电话：</w:t>
      </w:r>
    </w:p>
    <w:p>
      <w:pPr>
        <w:pBdr>
          <w:top w:val="single" w:color="000000" w:sz="4" w:space="0"/>
          <w:left w:val="single" w:color="000000" w:sz="4" w:space="31"/>
          <w:bottom w:val="single" w:color="000000" w:sz="4" w:space="0"/>
          <w:right w:val="single" w:color="000000" w:sz="4" w:space="31"/>
        </w:pBdr>
        <w:spacing w:after="98" w:line="360" w:lineRule="auto"/>
        <w:ind w:left="1260" w:right="1508"/>
        <w:rPr>
          <w:szCs w:val="24"/>
        </w:rPr>
      </w:pPr>
      <w:r>
        <w:rPr>
          <w:rFonts w:hint="eastAsia"/>
          <w:szCs w:val="24"/>
        </w:rPr>
        <w:t>(    年    月    日    时    分)之前不得启封</w:t>
      </w:r>
    </w:p>
    <w:p>
      <w:pPr>
        <w:spacing w:after="144" w:line="360" w:lineRule="auto"/>
        <w:ind w:left="176"/>
        <w:rPr>
          <w:szCs w:val="24"/>
        </w:rPr>
      </w:pPr>
      <w:r>
        <w:rPr>
          <w:rFonts w:hint="eastAsia"/>
          <w:szCs w:val="24"/>
        </w:rPr>
        <w:t xml:space="preserve">10.7. 采购代理机构不接受电报、电话、电传、传真、邮寄响应文件。 </w:t>
      </w:r>
    </w:p>
    <w:p>
      <w:pPr>
        <w:pStyle w:val="5"/>
        <w:spacing w:line="360" w:lineRule="auto"/>
        <w:jc w:val="left"/>
        <w:rPr>
          <w:rFonts w:ascii="宋体" w:hAnsi="宋体"/>
          <w:b w:val="0"/>
          <w:sz w:val="24"/>
          <w:szCs w:val="24"/>
        </w:rPr>
      </w:pPr>
      <w:bookmarkStart w:id="82" w:name="_Toc79057518"/>
      <w:bookmarkStart w:id="83" w:name="_Toc77206853"/>
      <w:bookmarkStart w:id="84" w:name="_Toc86825506"/>
      <w:bookmarkStart w:id="85" w:name="_Toc25129"/>
      <w:r>
        <w:rPr>
          <w:rFonts w:hint="eastAsia" w:ascii="宋体" w:hAnsi="宋体"/>
          <w:b w:val="0"/>
          <w:sz w:val="24"/>
          <w:szCs w:val="24"/>
        </w:rPr>
        <w:t>11、响应有效期：</w:t>
      </w:r>
      <w:bookmarkEnd w:id="82"/>
      <w:bookmarkEnd w:id="83"/>
      <w:bookmarkEnd w:id="84"/>
      <w:bookmarkEnd w:id="85"/>
    </w:p>
    <w:p>
      <w:pPr>
        <w:spacing w:line="360" w:lineRule="auto"/>
        <w:ind w:left="176" w:firstLine="720" w:firstLineChars="300"/>
        <w:rPr>
          <w:szCs w:val="24"/>
        </w:rPr>
      </w:pPr>
      <w:r>
        <w:rPr>
          <w:rFonts w:hint="eastAsia"/>
          <w:szCs w:val="24"/>
        </w:rPr>
        <w:t xml:space="preserve">响应有效期从报价截止日起，响应有效期为90天。在特殊情况下，采购代理机构可于响应有效期满之前要求响应供应商同意延长有效期，要求与答复均应以书面形式。响应供应商可以拒绝上述要求而其保证金不被没收，同意延期的响应供应商根据原截止期所享有的权利及其所负有的义务相应也延至新的截止期。 </w:t>
      </w:r>
    </w:p>
    <w:p>
      <w:pPr>
        <w:pStyle w:val="5"/>
        <w:spacing w:line="360" w:lineRule="auto"/>
        <w:jc w:val="left"/>
        <w:rPr>
          <w:rFonts w:ascii="宋体" w:hAnsi="宋体"/>
          <w:b w:val="0"/>
          <w:sz w:val="24"/>
          <w:szCs w:val="24"/>
        </w:rPr>
      </w:pPr>
      <w:bookmarkStart w:id="86" w:name="_Toc77206854"/>
      <w:bookmarkStart w:id="87" w:name="_Toc1609"/>
      <w:bookmarkStart w:id="88" w:name="_Toc86825507"/>
      <w:bookmarkStart w:id="89" w:name="_Toc79057519"/>
      <w:r>
        <w:rPr>
          <w:rFonts w:hint="eastAsia" w:ascii="宋体" w:hAnsi="宋体"/>
          <w:b w:val="0"/>
          <w:sz w:val="24"/>
          <w:szCs w:val="24"/>
        </w:rPr>
        <w:t>12、保证金 （如适用）</w:t>
      </w:r>
      <w:bookmarkEnd w:id="86"/>
      <w:bookmarkEnd w:id="87"/>
      <w:bookmarkEnd w:id="88"/>
      <w:bookmarkEnd w:id="89"/>
    </w:p>
    <w:p>
      <w:pPr>
        <w:spacing w:line="360" w:lineRule="auto"/>
        <w:ind w:left="886" w:hanging="720"/>
        <w:rPr>
          <w:szCs w:val="24"/>
        </w:rPr>
      </w:pPr>
      <w:r>
        <w:rPr>
          <w:rFonts w:hint="eastAsia"/>
          <w:szCs w:val="24"/>
        </w:rPr>
        <w:t>12.1. 响应供应商应向采购代理机构提交响应保证金人民币</w:t>
      </w:r>
      <w:r>
        <w:rPr>
          <w:rFonts w:hint="eastAsia"/>
          <w:szCs w:val="24"/>
          <w:u w:val="single"/>
        </w:rPr>
        <w:t xml:space="preserve"> / </w:t>
      </w:r>
      <w:r>
        <w:rPr>
          <w:rFonts w:hint="eastAsia"/>
          <w:szCs w:val="24"/>
        </w:rPr>
        <w:t>元整（￥</w:t>
      </w:r>
      <w:r>
        <w:rPr>
          <w:rFonts w:hint="eastAsia"/>
          <w:szCs w:val="24"/>
          <w:u w:val="single"/>
        </w:rPr>
        <w:t>/</w:t>
      </w:r>
      <w:r>
        <w:rPr>
          <w:rFonts w:hint="eastAsia"/>
          <w:szCs w:val="24"/>
        </w:rPr>
        <w:t xml:space="preserve"> 元）。 </w:t>
      </w:r>
    </w:p>
    <w:p>
      <w:pPr>
        <w:spacing w:after="38" w:line="360" w:lineRule="auto"/>
        <w:ind w:left="884" w:hanging="720"/>
        <w:rPr>
          <w:szCs w:val="24"/>
        </w:rPr>
      </w:pPr>
      <w:r>
        <w:rPr>
          <w:rFonts w:hint="eastAsia"/>
          <w:szCs w:val="24"/>
        </w:rPr>
        <w:t xml:space="preserve">12.2. 保证金一般应以响应供应商的名义转账，接受法律规定的方式（如支票、汇票、本票或者金融机构、担保机构出具的保函等非现金形式）提交投标保证金。投标保证金以转账形式递交的，应在递交投标文件截止时间之前到达下述账户（以提供银行盖章的回单为准，回单复印件应粘贴在投标保证金交纳凭证中）；如以其他方式递交的，需与投标文件一同递交相关证明资料。（不接受以个人名义所递交的投标保证金）： </w:t>
      </w:r>
    </w:p>
    <w:p>
      <w:pPr>
        <w:spacing w:line="360" w:lineRule="auto"/>
        <w:ind w:firstLine="720" w:firstLineChars="300"/>
        <w:rPr>
          <w:szCs w:val="24"/>
        </w:rPr>
      </w:pPr>
      <w:r>
        <w:rPr>
          <w:rFonts w:hint="eastAsia"/>
          <w:szCs w:val="24"/>
        </w:rPr>
        <w:t>收款单位名称：</w:t>
      </w:r>
    </w:p>
    <w:p>
      <w:pPr>
        <w:spacing w:line="360" w:lineRule="auto"/>
        <w:ind w:left="0" w:firstLine="720" w:firstLineChars="300"/>
      </w:pPr>
      <w:r>
        <w:rPr>
          <w:rFonts w:hint="eastAsia"/>
        </w:rPr>
        <w:t>开 户 银  行：</w:t>
      </w:r>
    </w:p>
    <w:p>
      <w:pPr>
        <w:spacing w:line="360" w:lineRule="auto"/>
        <w:ind w:left="0" w:firstLine="720" w:firstLineChars="300"/>
        <w:rPr>
          <w:szCs w:val="24"/>
        </w:rPr>
      </w:pPr>
      <w:r>
        <w:rPr>
          <w:rFonts w:hint="eastAsia"/>
          <w:szCs w:val="24"/>
        </w:rPr>
        <w:t xml:space="preserve">帐        号：  </w:t>
      </w:r>
    </w:p>
    <w:p>
      <w:pPr>
        <w:spacing w:line="360" w:lineRule="auto"/>
        <w:ind w:left="790" w:hanging="624"/>
        <w:rPr>
          <w:szCs w:val="24"/>
        </w:rPr>
      </w:pPr>
      <w:r>
        <w:rPr>
          <w:rFonts w:hint="eastAsia"/>
          <w:szCs w:val="24"/>
        </w:rPr>
        <w:t xml:space="preserve">12.3. 递交响应文件时请将保证金汇款声明函（加盖公章，格式详见第五章）封入“唱标信封”里。 </w:t>
      </w:r>
    </w:p>
    <w:p>
      <w:pPr>
        <w:spacing w:after="139" w:line="360" w:lineRule="auto"/>
        <w:ind w:left="176"/>
        <w:rPr>
          <w:szCs w:val="24"/>
        </w:rPr>
      </w:pPr>
      <w:r>
        <w:rPr>
          <w:rFonts w:hint="eastAsia"/>
          <w:szCs w:val="24"/>
        </w:rPr>
        <w:t xml:space="preserve">12.4. 如响应供应商未按上述规定提交保证金，其响应文件将被拒绝。 </w:t>
      </w:r>
    </w:p>
    <w:p>
      <w:pPr>
        <w:spacing w:line="360" w:lineRule="auto"/>
        <w:ind w:left="886" w:hanging="720"/>
        <w:rPr>
          <w:szCs w:val="24"/>
        </w:rPr>
      </w:pPr>
      <w:r>
        <w:rPr>
          <w:rFonts w:hint="eastAsia"/>
          <w:szCs w:val="24"/>
        </w:rPr>
        <w:t xml:space="preserve">12.5. 在确定成交供应商后五个工作日内,无息退回未成交供应商的保证金；在签订合同后五个工作日内,无息退回成交供应商的保证金；在响应有效期内不能确定成交供应商的,在响应有效期满后五个工作日内,无息退回所有响应供应商的保证金。 </w:t>
      </w:r>
    </w:p>
    <w:p>
      <w:pPr>
        <w:spacing w:line="360" w:lineRule="auto"/>
        <w:ind w:left="1006" w:hanging="840"/>
        <w:rPr>
          <w:szCs w:val="24"/>
        </w:rPr>
      </w:pPr>
      <w:r>
        <w:rPr>
          <w:rFonts w:hint="eastAsia"/>
          <w:szCs w:val="24"/>
        </w:rPr>
        <w:t>12.6. 成交供应商有下列情形之一的，采购代理机构不予退还其交纳的保证金；</w:t>
      </w:r>
    </w:p>
    <w:p>
      <w:pPr>
        <w:spacing w:line="360" w:lineRule="auto"/>
        <w:ind w:left="0" w:firstLine="480" w:firstLineChars="200"/>
      </w:pPr>
      <w:r>
        <w:rPr>
          <w:rFonts w:hint="eastAsia"/>
        </w:rPr>
        <w:t xml:space="preserve">（1）、响应供应商在参与响应活动期间，违反有关法律法规及政府采管理部门规定的； </w:t>
      </w:r>
    </w:p>
    <w:p>
      <w:pPr>
        <w:spacing w:line="360" w:lineRule="auto"/>
        <w:ind w:left="0" w:firstLine="480" w:firstLineChars="200"/>
      </w:pPr>
      <w:r>
        <w:rPr>
          <w:rFonts w:hint="eastAsia"/>
        </w:rPr>
        <w:t>（2</w:t>
      </w:r>
      <w:r>
        <w:t>）</w:t>
      </w:r>
      <w:r>
        <w:rPr>
          <w:rFonts w:hint="eastAsia"/>
        </w:rPr>
        <w:t>、响应供应商在收到成交通知书后，在磋商文件规定的时间内无正当理由不与采购人或者采购代理机构签订合同的；</w:t>
      </w:r>
    </w:p>
    <w:p>
      <w:pPr>
        <w:spacing w:line="360" w:lineRule="auto"/>
        <w:ind w:left="0" w:firstLine="480" w:firstLineChars="200"/>
      </w:pPr>
      <w:r>
        <w:rPr>
          <w:rFonts w:hint="eastAsia"/>
        </w:rPr>
        <w:t xml:space="preserve">（3）将成交项目转让给他人，或者在响应文件中未说明，且未经采购人同意，将成交项目分包给他人的； </w:t>
      </w:r>
    </w:p>
    <w:p>
      <w:pPr>
        <w:spacing w:line="360" w:lineRule="auto"/>
        <w:ind w:left="0" w:firstLine="480" w:firstLineChars="200"/>
      </w:pPr>
      <w:r>
        <w:rPr>
          <w:rFonts w:hint="eastAsia"/>
        </w:rPr>
        <w:t xml:space="preserve">（4）、拒绝履行合同义务的； </w:t>
      </w:r>
    </w:p>
    <w:p>
      <w:pPr>
        <w:spacing w:line="360" w:lineRule="auto"/>
        <w:ind w:left="0" w:firstLine="480" w:firstLineChars="200"/>
      </w:pPr>
      <w:r>
        <w:rPr>
          <w:rFonts w:hint="eastAsia"/>
        </w:rPr>
        <w:t>（5）、以汇款或者支票形式提交的投标保证金不是从投标人基本账户转出的；</w:t>
      </w:r>
    </w:p>
    <w:p>
      <w:pPr>
        <w:spacing w:line="360" w:lineRule="auto"/>
        <w:ind w:left="0" w:firstLine="480" w:firstLineChars="200"/>
      </w:pPr>
      <w:r>
        <w:rPr>
          <w:rFonts w:hint="eastAsia"/>
        </w:rPr>
        <w:t>（</w:t>
      </w:r>
      <w:r>
        <w:t>6</w:t>
      </w:r>
      <w:r>
        <w:rPr>
          <w:rFonts w:hint="eastAsia"/>
        </w:rPr>
        <w:t>）、响应供应商在规定的投标有效期内撤销或修改其投标文件；</w:t>
      </w:r>
    </w:p>
    <w:p>
      <w:pPr>
        <w:spacing w:line="360" w:lineRule="auto"/>
        <w:ind w:left="0" w:firstLine="480" w:firstLineChars="200"/>
      </w:pPr>
      <w:r>
        <w:rPr>
          <w:rFonts w:hint="eastAsia"/>
        </w:rPr>
        <w:t>（</w:t>
      </w:r>
      <w:r>
        <w:t>7</w:t>
      </w:r>
      <w:r>
        <w:rPr>
          <w:rFonts w:hint="eastAsia"/>
        </w:rPr>
        <w:t xml:space="preserve">）、其他违法、违规行为的。 </w:t>
      </w:r>
    </w:p>
    <w:p>
      <w:pPr>
        <w:spacing w:after="126" w:line="360" w:lineRule="auto"/>
        <w:ind w:left="176"/>
        <w:rPr>
          <w:szCs w:val="24"/>
        </w:rPr>
      </w:pPr>
      <w:r>
        <w:rPr>
          <w:rFonts w:hint="eastAsia"/>
          <w:szCs w:val="24"/>
        </w:rPr>
        <w:t xml:space="preserve">12.7.所有响应供应商的保证金以银行划账或电汇的方式予以退还。 </w:t>
      </w:r>
    </w:p>
    <w:p>
      <w:pPr>
        <w:pStyle w:val="5"/>
        <w:spacing w:line="360" w:lineRule="auto"/>
        <w:jc w:val="left"/>
        <w:rPr>
          <w:rFonts w:ascii="宋体" w:hAnsi="宋体"/>
          <w:b w:val="0"/>
          <w:sz w:val="24"/>
          <w:szCs w:val="24"/>
        </w:rPr>
      </w:pPr>
      <w:bookmarkStart w:id="90" w:name="_Toc86825508"/>
      <w:bookmarkStart w:id="91" w:name="_Toc79057520"/>
      <w:bookmarkStart w:id="92" w:name="_Toc77206855"/>
      <w:r>
        <w:rPr>
          <w:rFonts w:hint="eastAsia" w:ascii="宋体" w:hAnsi="宋体"/>
          <w:b w:val="0"/>
          <w:sz w:val="24"/>
          <w:szCs w:val="24"/>
        </w:rPr>
        <w:t>13、响应文件的递交;</w:t>
      </w:r>
      <w:bookmarkEnd w:id="90"/>
      <w:bookmarkEnd w:id="91"/>
      <w:bookmarkEnd w:id="92"/>
    </w:p>
    <w:p>
      <w:pPr>
        <w:spacing w:line="360" w:lineRule="auto"/>
        <w:ind w:left="0" w:firstLine="0"/>
      </w:pPr>
      <w:r>
        <w:rPr>
          <w:rFonts w:hint="eastAsia"/>
        </w:rPr>
        <w:t>1</w:t>
      </w:r>
      <w:r>
        <w:t>3.1</w:t>
      </w:r>
      <w:r>
        <w:rPr>
          <w:rFonts w:hint="eastAsia"/>
        </w:rPr>
        <w:t>投标人应在规定的投标截止时间前递交投标文件。</w:t>
      </w:r>
    </w:p>
    <w:p>
      <w:pPr>
        <w:spacing w:line="360" w:lineRule="auto"/>
        <w:ind w:left="0" w:firstLine="0"/>
      </w:pPr>
      <w:r>
        <w:t>13.2</w:t>
      </w:r>
      <w:r>
        <w:rPr>
          <w:rFonts w:hint="eastAsia"/>
        </w:rPr>
        <w:t>投标人递交投标文件的地点：见须知前附表。</w:t>
      </w:r>
    </w:p>
    <w:p>
      <w:pPr>
        <w:spacing w:line="360" w:lineRule="auto"/>
        <w:ind w:left="0" w:firstLine="0"/>
      </w:pPr>
      <w:r>
        <w:t>13.3</w:t>
      </w:r>
      <w:r>
        <w:rPr>
          <w:rFonts w:hint="eastAsia"/>
        </w:rPr>
        <w:t>除投标人须知前附表另有规定外，投标人所递交的投标文件不予退还。</w:t>
      </w:r>
    </w:p>
    <w:p>
      <w:pPr>
        <w:spacing w:line="360" w:lineRule="auto"/>
        <w:ind w:left="0" w:firstLine="0"/>
      </w:pPr>
      <w:r>
        <w:t>13.4</w:t>
      </w:r>
      <w:r>
        <w:rPr>
          <w:rFonts w:hint="eastAsia"/>
        </w:rPr>
        <w:t>招标人收到投标文件后，向投标人出具签收凭证。</w:t>
      </w:r>
    </w:p>
    <w:p>
      <w:pPr>
        <w:spacing w:line="360" w:lineRule="auto"/>
        <w:ind w:left="0" w:firstLine="0"/>
      </w:pPr>
      <w:r>
        <w:t>13.5</w:t>
      </w:r>
      <w:r>
        <w:rPr>
          <w:rFonts w:hint="eastAsia"/>
        </w:rPr>
        <w:t>投标人或其投标文件存在下列情形之一的，招标人对其响应文件不予受理：</w:t>
      </w:r>
    </w:p>
    <w:p>
      <w:pPr>
        <w:spacing w:line="360" w:lineRule="auto"/>
        <w:ind w:left="0" w:firstLine="0"/>
      </w:pPr>
      <w:r>
        <w:rPr>
          <w:rFonts w:hint="eastAsia"/>
        </w:rPr>
        <w:t>（1）逾期送达的投标文件；</w:t>
      </w:r>
    </w:p>
    <w:p>
      <w:pPr>
        <w:spacing w:line="360" w:lineRule="auto"/>
        <w:ind w:left="0" w:firstLine="0"/>
      </w:pPr>
      <w:r>
        <w:rPr>
          <w:rFonts w:hint="eastAsia"/>
        </w:rPr>
        <w:t>（2）</w:t>
      </w:r>
      <w:r>
        <w:t>未按要求密封</w:t>
      </w:r>
      <w:r>
        <w:rPr>
          <w:rFonts w:hint="eastAsia"/>
        </w:rPr>
        <w:t>和标识</w:t>
      </w:r>
      <w:r>
        <w:t>的投标文件</w:t>
      </w:r>
      <w:r>
        <w:rPr>
          <w:rFonts w:hint="eastAsia"/>
        </w:rPr>
        <w:t>；</w:t>
      </w:r>
    </w:p>
    <w:p>
      <w:pPr>
        <w:spacing w:line="360" w:lineRule="auto"/>
        <w:ind w:left="0" w:firstLine="0"/>
      </w:pPr>
      <w:r>
        <w:rPr>
          <w:rFonts w:hint="eastAsia"/>
        </w:rPr>
        <w:t>（3）投标</w:t>
      </w:r>
      <w:r>
        <w:t>人</w:t>
      </w:r>
      <w:r>
        <w:rPr>
          <w:rFonts w:hint="eastAsia"/>
        </w:rPr>
        <w:t>未按照招标公告或</w:t>
      </w:r>
      <w:r>
        <w:t>投标邀请书</w:t>
      </w:r>
      <w:r>
        <w:rPr>
          <w:rFonts w:hint="eastAsia"/>
        </w:rPr>
        <w:t>规定</w:t>
      </w:r>
      <w:r>
        <w:t>的</w:t>
      </w:r>
      <w:r>
        <w:rPr>
          <w:rFonts w:hint="eastAsia"/>
        </w:rPr>
        <w:t>期限</w:t>
      </w:r>
      <w:r>
        <w:t>和方式</w:t>
      </w:r>
      <w:r>
        <w:rPr>
          <w:rFonts w:hint="eastAsia"/>
        </w:rPr>
        <w:t>获取招标文件。</w:t>
      </w:r>
    </w:p>
    <w:p>
      <w:pPr>
        <w:pStyle w:val="5"/>
        <w:spacing w:line="360" w:lineRule="auto"/>
        <w:jc w:val="left"/>
        <w:rPr>
          <w:rFonts w:ascii="宋体" w:hAnsi="宋体"/>
          <w:b w:val="0"/>
          <w:sz w:val="24"/>
          <w:szCs w:val="24"/>
        </w:rPr>
      </w:pPr>
      <w:bookmarkStart w:id="93" w:name="_Toc86825509"/>
      <w:bookmarkStart w:id="94" w:name="_Toc77206856"/>
      <w:bookmarkStart w:id="95" w:name="_Toc79057521"/>
      <w:r>
        <w:rPr>
          <w:rFonts w:hint="eastAsia" w:ascii="宋体" w:hAnsi="宋体"/>
          <w:b w:val="0"/>
          <w:sz w:val="24"/>
          <w:szCs w:val="24"/>
        </w:rPr>
        <w:t>1</w:t>
      </w:r>
      <w:r>
        <w:rPr>
          <w:rFonts w:ascii="宋体" w:hAnsi="宋体"/>
          <w:b w:val="0"/>
          <w:sz w:val="24"/>
          <w:szCs w:val="24"/>
        </w:rPr>
        <w:t>4</w:t>
      </w:r>
      <w:r>
        <w:rPr>
          <w:rFonts w:hint="eastAsia" w:ascii="宋体" w:hAnsi="宋体"/>
          <w:b w:val="0"/>
          <w:sz w:val="24"/>
          <w:szCs w:val="24"/>
        </w:rPr>
        <w:t>、开标程序</w:t>
      </w:r>
      <w:bookmarkEnd w:id="93"/>
      <w:bookmarkEnd w:id="94"/>
      <w:bookmarkEnd w:id="95"/>
    </w:p>
    <w:p>
      <w:pPr>
        <w:pStyle w:val="2"/>
        <w:spacing w:line="360" w:lineRule="auto"/>
        <w:ind w:left="480" w:firstLine="0" w:firstLineChars="0"/>
      </w:pPr>
      <w:r>
        <w:rPr>
          <w:rFonts w:hint="eastAsia"/>
        </w:rPr>
        <w:t>主持人按下列程序进行开标：</w:t>
      </w:r>
    </w:p>
    <w:p>
      <w:pPr>
        <w:pStyle w:val="2"/>
        <w:spacing w:line="360" w:lineRule="auto"/>
        <w:ind w:left="480" w:firstLine="0" w:firstLineChars="0"/>
      </w:pPr>
      <w:r>
        <w:rPr>
          <w:rFonts w:hint="eastAsia"/>
        </w:rPr>
        <w:t>（1）宣布开标纪律；</w:t>
      </w:r>
    </w:p>
    <w:p>
      <w:pPr>
        <w:pStyle w:val="2"/>
        <w:spacing w:line="360" w:lineRule="auto"/>
        <w:ind w:left="480" w:firstLine="0" w:firstLineChars="0"/>
      </w:pPr>
      <w:r>
        <w:rPr>
          <w:rFonts w:hint="eastAsia"/>
        </w:rPr>
        <w:t>（2）公布在投标截止时间前递交投标文件的投标人名称，并点名确认投标人是否派人到场；</w:t>
      </w:r>
    </w:p>
    <w:p>
      <w:pPr>
        <w:pStyle w:val="2"/>
        <w:spacing w:line="360" w:lineRule="auto"/>
        <w:ind w:left="480" w:firstLine="0" w:firstLineChars="0"/>
      </w:pPr>
      <w:r>
        <w:rPr>
          <w:rFonts w:hint="eastAsia"/>
        </w:rPr>
        <w:t>（3）宣布开标人、唱标人、记录人、监标人等有关人员姓名；</w:t>
      </w:r>
    </w:p>
    <w:p>
      <w:pPr>
        <w:pStyle w:val="2"/>
        <w:spacing w:line="360" w:lineRule="auto"/>
        <w:ind w:left="480" w:firstLine="0" w:firstLineChars="0"/>
      </w:pPr>
      <w:r>
        <w:rPr>
          <w:rFonts w:hint="eastAsia"/>
        </w:rPr>
        <w:t>（4）登陆“信用中国”网站 （</w:t>
      </w:r>
      <w:r>
        <w:fldChar w:fldCharType="begin"/>
      </w:r>
      <w:r>
        <w:instrText xml:space="preserve"> HYPERLINK "http://www.creditchina" </w:instrText>
      </w:r>
      <w:r>
        <w:fldChar w:fldCharType="separate"/>
      </w:r>
      <w:r>
        <w:rPr>
          <w:rStyle w:val="51"/>
          <w:rFonts w:ascii="宋体" w:hAnsi="宋体"/>
        </w:rPr>
        <w:t>www.</w:t>
      </w:r>
      <w:r>
        <w:rPr>
          <w:rStyle w:val="51"/>
          <w:rFonts w:hint="eastAsia" w:ascii="宋体" w:hAnsi="宋体"/>
        </w:rPr>
        <w:t>creditchina</w:t>
      </w:r>
      <w:r>
        <w:rPr>
          <w:rStyle w:val="51"/>
          <w:rFonts w:hint="eastAsia" w:ascii="宋体" w:hAnsi="宋体"/>
        </w:rPr>
        <w:fldChar w:fldCharType="end"/>
      </w:r>
      <w:r>
        <w:rPr>
          <w:rFonts w:hint="eastAsia"/>
        </w:rPr>
        <w:t>.gov.cn）查询相关主体是否为失信被执行人，并做好纳入失信被执行人所有失信执行案号、执行法院等查询记录和证据留存。</w:t>
      </w:r>
    </w:p>
    <w:p>
      <w:pPr>
        <w:pStyle w:val="2"/>
        <w:spacing w:line="360" w:lineRule="auto"/>
        <w:ind w:left="480" w:firstLine="0" w:firstLineChars="0"/>
      </w:pPr>
      <w:r>
        <w:rPr>
          <w:rFonts w:hint="eastAsia"/>
        </w:rPr>
        <w:t>（</w:t>
      </w:r>
      <w:r>
        <w:t>5</w:t>
      </w:r>
      <w:r>
        <w:rPr>
          <w:rFonts w:hint="eastAsia"/>
        </w:rPr>
        <w:t>）按照投标人须知前附表规定检查投标文件的密封情况；</w:t>
      </w:r>
    </w:p>
    <w:p>
      <w:pPr>
        <w:pStyle w:val="2"/>
        <w:spacing w:line="360" w:lineRule="auto"/>
        <w:ind w:left="480" w:firstLine="0" w:firstLineChars="0"/>
      </w:pPr>
      <w:r>
        <w:rPr>
          <w:rFonts w:hint="eastAsia"/>
        </w:rPr>
        <w:t>（</w:t>
      </w:r>
      <w:r>
        <w:t>6</w:t>
      </w:r>
      <w:r>
        <w:rPr>
          <w:rFonts w:hint="eastAsia"/>
        </w:rPr>
        <w:t>）按照投标人须知前附表的规定确定并宣布投标文件开标顺序；</w:t>
      </w:r>
    </w:p>
    <w:p>
      <w:pPr>
        <w:pStyle w:val="2"/>
        <w:spacing w:line="360" w:lineRule="auto"/>
        <w:ind w:left="480" w:firstLine="0" w:firstLineChars="0"/>
      </w:pPr>
      <w:r>
        <w:rPr>
          <w:rFonts w:hint="eastAsia"/>
        </w:rPr>
        <w:t>（</w:t>
      </w:r>
      <w:r>
        <w:t>7</w:t>
      </w:r>
      <w:r>
        <w:rPr>
          <w:rFonts w:hint="eastAsia"/>
        </w:rPr>
        <w:t xml:space="preserve">）设有标底的，公布标底； </w:t>
      </w:r>
    </w:p>
    <w:p>
      <w:pPr>
        <w:pStyle w:val="2"/>
        <w:spacing w:line="360" w:lineRule="auto"/>
        <w:ind w:left="480" w:firstLine="0" w:firstLineChars="0"/>
      </w:pPr>
      <w:r>
        <w:rPr>
          <w:rFonts w:hint="eastAsia"/>
        </w:rPr>
        <w:t>（</w:t>
      </w:r>
      <w:r>
        <w:t>8</w:t>
      </w:r>
      <w:r>
        <w:rPr>
          <w:rFonts w:hint="eastAsia"/>
        </w:rPr>
        <w:t>）按照宣布的开标顺序当众开标，公布投标人名称、标段名称、投标保证金的递交情况、质量目标、工期及其他内容，并记录在案；</w:t>
      </w:r>
    </w:p>
    <w:p>
      <w:pPr>
        <w:pStyle w:val="2"/>
        <w:spacing w:line="360" w:lineRule="auto"/>
        <w:ind w:left="480" w:firstLine="0" w:firstLineChars="0"/>
      </w:pPr>
      <w:r>
        <w:rPr>
          <w:rFonts w:hint="eastAsia"/>
        </w:rPr>
        <w:t>（</w:t>
      </w:r>
      <w:r>
        <w:t>9</w:t>
      </w:r>
      <w:r>
        <w:rPr>
          <w:rFonts w:hint="eastAsia"/>
        </w:rPr>
        <w:t>）</w:t>
      </w:r>
      <w:r>
        <w:t>投标人</w:t>
      </w:r>
      <w:r>
        <w:rPr>
          <w:rFonts w:hint="eastAsia"/>
        </w:rPr>
        <w:t>代表、招标人代表、监标人、记录人等有关人员在开标记录上签字确认；</w:t>
      </w:r>
    </w:p>
    <w:p>
      <w:pPr>
        <w:pStyle w:val="2"/>
        <w:spacing w:line="360" w:lineRule="auto"/>
        <w:ind w:left="480" w:firstLine="0" w:firstLineChars="0"/>
      </w:pPr>
      <w:r>
        <w:rPr>
          <w:rFonts w:hint="eastAsia"/>
        </w:rPr>
        <w:t>（</w:t>
      </w:r>
      <w:r>
        <w:t>10</w:t>
      </w:r>
      <w:r>
        <w:rPr>
          <w:rFonts w:hint="eastAsia"/>
        </w:rPr>
        <w:t>）开标结束。</w:t>
      </w:r>
    </w:p>
    <w:p>
      <w:pPr>
        <w:pStyle w:val="5"/>
        <w:spacing w:line="360" w:lineRule="auto"/>
        <w:jc w:val="left"/>
        <w:rPr>
          <w:rFonts w:ascii="宋体" w:hAnsi="宋体"/>
          <w:b w:val="0"/>
          <w:sz w:val="24"/>
          <w:szCs w:val="24"/>
        </w:rPr>
      </w:pPr>
      <w:bookmarkStart w:id="96" w:name="_Toc12865"/>
      <w:bookmarkStart w:id="97" w:name="_Toc77206857"/>
      <w:bookmarkStart w:id="98" w:name="_Toc86825510"/>
      <w:bookmarkStart w:id="99" w:name="_Toc79057522"/>
      <w:r>
        <w:rPr>
          <w:rFonts w:hint="eastAsia" w:ascii="宋体" w:hAnsi="宋体"/>
          <w:b w:val="0"/>
          <w:sz w:val="24"/>
          <w:szCs w:val="24"/>
        </w:rPr>
        <w:t>1</w:t>
      </w:r>
      <w:r>
        <w:rPr>
          <w:rFonts w:ascii="宋体" w:hAnsi="宋体"/>
          <w:b w:val="0"/>
          <w:sz w:val="24"/>
          <w:szCs w:val="24"/>
        </w:rPr>
        <w:t>5</w:t>
      </w:r>
      <w:r>
        <w:rPr>
          <w:rFonts w:hint="eastAsia" w:ascii="宋体" w:hAnsi="宋体"/>
          <w:b w:val="0"/>
          <w:sz w:val="24"/>
          <w:szCs w:val="24"/>
        </w:rPr>
        <w:t>、磋商、成交与签约</w:t>
      </w:r>
      <w:bookmarkEnd w:id="96"/>
      <w:bookmarkEnd w:id="97"/>
      <w:bookmarkEnd w:id="98"/>
      <w:bookmarkEnd w:id="99"/>
    </w:p>
    <w:p>
      <w:pPr>
        <w:spacing w:after="128" w:line="360" w:lineRule="auto"/>
        <w:ind w:left="176"/>
        <w:rPr>
          <w:szCs w:val="24"/>
        </w:rPr>
      </w:pPr>
      <w:r>
        <w:rPr>
          <w:rFonts w:hint="eastAsia"/>
          <w:szCs w:val="24"/>
        </w:rPr>
        <w:t>1</w:t>
      </w:r>
      <w:r>
        <w:rPr>
          <w:szCs w:val="24"/>
        </w:rPr>
        <w:t>5</w:t>
      </w:r>
      <w:r>
        <w:rPr>
          <w:rFonts w:hint="eastAsia"/>
          <w:szCs w:val="24"/>
        </w:rPr>
        <w:t xml:space="preserve">.1.磋商 </w:t>
      </w:r>
    </w:p>
    <w:p>
      <w:pPr>
        <w:spacing w:line="360" w:lineRule="auto"/>
        <w:ind w:left="176"/>
        <w:rPr>
          <w:szCs w:val="24"/>
        </w:rPr>
      </w:pPr>
      <w:r>
        <w:rPr>
          <w:rFonts w:hint="eastAsia"/>
          <w:szCs w:val="24"/>
        </w:rPr>
        <w:t>1</w:t>
      </w:r>
      <w:r>
        <w:rPr>
          <w:szCs w:val="24"/>
        </w:rPr>
        <w:t>5</w:t>
      </w:r>
      <w:r>
        <w:rPr>
          <w:rFonts w:hint="eastAsia"/>
          <w:szCs w:val="24"/>
        </w:rPr>
        <w:t>.1.1. 本项目依法组建磋商小组。磋商小组由三人单数组成，评审专家均从政府采购专家库中随机抽取产生。本次磋商采用一轮评审，两次报价，综合评分的形式进行。</w:t>
      </w:r>
    </w:p>
    <w:p>
      <w:pPr>
        <w:spacing w:line="360" w:lineRule="auto"/>
        <w:ind w:left="0" w:firstLine="240" w:firstLineChars="100"/>
      </w:pPr>
      <w:r>
        <w:rPr>
          <w:rFonts w:hint="eastAsia"/>
        </w:rPr>
        <w:t>评标委员会成员有下列情形之一的，应当回避：</w:t>
      </w:r>
    </w:p>
    <w:p>
      <w:pPr>
        <w:spacing w:line="360" w:lineRule="auto"/>
        <w:ind w:left="0" w:firstLine="480" w:firstLineChars="200"/>
      </w:pPr>
      <w:r>
        <w:rPr>
          <w:rFonts w:hint="eastAsia"/>
        </w:rPr>
        <w:t>（1）招标人或投标人的主要负责人的近亲属；</w:t>
      </w:r>
    </w:p>
    <w:p>
      <w:pPr>
        <w:spacing w:line="360" w:lineRule="auto"/>
        <w:ind w:left="0" w:firstLine="480" w:firstLineChars="200"/>
      </w:pPr>
      <w:r>
        <w:rPr>
          <w:rFonts w:hint="eastAsia"/>
        </w:rPr>
        <w:t>（2）项目主管部门或者行政监督部门的人员；</w:t>
      </w:r>
    </w:p>
    <w:p>
      <w:pPr>
        <w:spacing w:line="360" w:lineRule="auto"/>
        <w:ind w:left="0" w:firstLine="480" w:firstLineChars="200"/>
      </w:pPr>
      <w:r>
        <w:rPr>
          <w:rFonts w:hint="eastAsia"/>
        </w:rPr>
        <w:t>（3）与投标人有经济利益关系，可能影响对投标公正评审的；</w:t>
      </w:r>
    </w:p>
    <w:p>
      <w:pPr>
        <w:spacing w:line="360" w:lineRule="auto"/>
        <w:ind w:left="0" w:firstLine="480" w:firstLineChars="200"/>
      </w:pPr>
      <w:r>
        <w:rPr>
          <w:rFonts w:hint="eastAsia"/>
        </w:rPr>
        <w:t>（4）曾因在招标、评标以及其他与招标投标有关活动中从事违法行为而受过行政处罚或刑事处罚的；</w:t>
      </w:r>
    </w:p>
    <w:p>
      <w:pPr>
        <w:spacing w:line="360" w:lineRule="auto"/>
        <w:ind w:left="0" w:firstLine="480" w:firstLineChars="200"/>
      </w:pPr>
      <w:r>
        <w:rPr>
          <w:rFonts w:hint="eastAsia"/>
        </w:rPr>
        <w:t>（5）被人民法院纳入失信被执行人的专家。</w:t>
      </w:r>
    </w:p>
    <w:p>
      <w:pPr>
        <w:spacing w:after="126" w:line="360" w:lineRule="auto"/>
        <w:ind w:left="176"/>
        <w:rPr>
          <w:szCs w:val="24"/>
        </w:rPr>
      </w:pPr>
      <w:r>
        <w:rPr>
          <w:rFonts w:hint="eastAsia"/>
          <w:szCs w:val="24"/>
        </w:rPr>
        <w:t>1</w:t>
      </w:r>
      <w:r>
        <w:rPr>
          <w:szCs w:val="24"/>
        </w:rPr>
        <w:t>5</w:t>
      </w:r>
      <w:r>
        <w:rPr>
          <w:rFonts w:hint="eastAsia"/>
          <w:szCs w:val="24"/>
        </w:rPr>
        <w:t xml:space="preserve">.1.2评审原则 </w:t>
      </w:r>
    </w:p>
    <w:p>
      <w:pPr>
        <w:numPr>
          <w:ilvl w:val="0"/>
          <w:numId w:val="2"/>
        </w:numPr>
        <w:spacing w:line="360" w:lineRule="auto"/>
        <w:rPr>
          <w:szCs w:val="24"/>
        </w:rPr>
      </w:pPr>
      <w:r>
        <w:rPr>
          <w:rFonts w:hint="eastAsia"/>
          <w:szCs w:val="24"/>
        </w:rPr>
        <w:t xml:space="preserve">本次采购采用竞争性磋商方式进行，评审由依法组成的磋商小组负责完成。评审基本原则：评审工作应依据国家部委和地方采购的有关规定，遵循“公开、公平、公正、择优、诚实信用”的原则。 </w:t>
      </w:r>
    </w:p>
    <w:p>
      <w:pPr>
        <w:numPr>
          <w:ilvl w:val="0"/>
          <w:numId w:val="2"/>
        </w:numPr>
        <w:spacing w:line="360" w:lineRule="auto"/>
        <w:rPr>
          <w:szCs w:val="24"/>
        </w:rPr>
      </w:pPr>
      <w:r>
        <w:rPr>
          <w:rFonts w:hint="eastAsia"/>
          <w:szCs w:val="24"/>
        </w:rPr>
        <w:t xml:space="preserve">本次竞争性磋商采购的评审采用综合评分法。本次评审是以磋商文件，最终形成的响应文件和磋商承诺文件和最后报价为依据，在需求明确的基础上，按公正、科学、客观、平等竞争的要求，推荐技术先进、报价合理、经验丰富、信誉良好、售后服务好、及综合实力强的综合得最高的成交响应供应商。 </w:t>
      </w:r>
    </w:p>
    <w:p>
      <w:pPr>
        <w:numPr>
          <w:ilvl w:val="0"/>
          <w:numId w:val="2"/>
        </w:numPr>
        <w:spacing w:line="360" w:lineRule="auto"/>
        <w:rPr>
          <w:szCs w:val="24"/>
        </w:rPr>
      </w:pPr>
      <w:r>
        <w:rPr>
          <w:rFonts w:hint="eastAsia"/>
          <w:szCs w:val="24"/>
        </w:rPr>
        <w:t xml:space="preserve">通过资格性和符合性审查的响应供应商的报价明显低于其他投标报价，使得其报价可能低于其个别成本的，有可能影响货物、工程及服务质量和不能诚信履约的，评标委员会应当要求该投标人作出书面说明并提供相关证明材料（第三方的权威机构出具的证明有效）。投标人不能合理说明或者不能提供相关证明材料的，由评标委员会认定该投标人以低于成本报价竞标其投标应作无效竞标处理。 </w:t>
      </w:r>
    </w:p>
    <w:p>
      <w:pPr>
        <w:numPr>
          <w:ilvl w:val="0"/>
          <w:numId w:val="2"/>
        </w:numPr>
        <w:spacing w:line="360" w:lineRule="auto"/>
        <w:rPr>
          <w:szCs w:val="24"/>
        </w:rPr>
      </w:pPr>
      <w:r>
        <w:rPr>
          <w:rFonts w:hint="eastAsia"/>
          <w:szCs w:val="24"/>
        </w:rPr>
        <w:t xml:space="preserve">参加磋商工作的所有人员应遵守国家部委和地方采购的有关规定，严格保密，确保竞争性磋商工作公平、公正，任何单位和个人不得无理干预磋商小组的正常工作。 </w:t>
      </w:r>
    </w:p>
    <w:p>
      <w:pPr>
        <w:spacing w:after="126" w:line="360" w:lineRule="auto"/>
        <w:ind w:left="176"/>
        <w:rPr>
          <w:szCs w:val="24"/>
        </w:rPr>
      </w:pPr>
      <w:r>
        <w:rPr>
          <w:rFonts w:hint="eastAsia"/>
          <w:szCs w:val="24"/>
        </w:rPr>
        <w:t>1</w:t>
      </w:r>
      <w:r>
        <w:rPr>
          <w:szCs w:val="24"/>
        </w:rPr>
        <w:t>5</w:t>
      </w:r>
      <w:r>
        <w:rPr>
          <w:rFonts w:hint="eastAsia"/>
          <w:szCs w:val="24"/>
        </w:rPr>
        <w:t xml:space="preserve">.1.3磋商评审程序和评审方法 </w:t>
      </w:r>
    </w:p>
    <w:p>
      <w:pPr>
        <w:numPr>
          <w:ilvl w:val="0"/>
          <w:numId w:val="3"/>
        </w:numPr>
        <w:spacing w:line="360" w:lineRule="auto"/>
        <w:ind w:hanging="600"/>
        <w:rPr>
          <w:szCs w:val="24"/>
        </w:rPr>
      </w:pPr>
      <w:r>
        <w:rPr>
          <w:rFonts w:hint="eastAsia"/>
          <w:szCs w:val="24"/>
        </w:rPr>
        <w:t xml:space="preserve">按照磋商评审程序的规定，采购人和招标代理对响应供应商的响应文件进行资格性审查，审查通过后，磋商小组再对响应供应商的响应文件进行符合性审查。以上简称初步审查。 </w:t>
      </w:r>
    </w:p>
    <w:p>
      <w:pPr>
        <w:numPr>
          <w:ilvl w:val="0"/>
          <w:numId w:val="3"/>
        </w:numPr>
        <w:spacing w:after="2" w:line="360" w:lineRule="auto"/>
        <w:ind w:hanging="600"/>
        <w:rPr>
          <w:szCs w:val="24"/>
        </w:rPr>
      </w:pPr>
      <w:r>
        <w:rPr>
          <w:rFonts w:hint="eastAsia"/>
          <w:szCs w:val="24"/>
        </w:rPr>
        <w:t xml:space="preserve">初步评审（资格性和符合性审查表）合格者方可进入商务技术和二次报价的评审。磋商小组根据文件要求集体对各响应供应商单独进行技术、商务、价格的澄清、修正和磋商，磋商中发现响应供应商的响应文件资料不齐或欠缺时,准许其在规定时间内补足相应资料，如不能补足，该响应文件则将会由于不符合磋商的基本要求而被拒绝。本项目磋商如无特殊情况，磋商小组要求响应供应商进行二轮报价，即在磋商后的第二次报价为最后报价。提交最后报价的供应商不得少于3家。 </w:t>
      </w:r>
    </w:p>
    <w:p>
      <w:pPr>
        <w:numPr>
          <w:ilvl w:val="0"/>
          <w:numId w:val="3"/>
        </w:numPr>
        <w:spacing w:line="360" w:lineRule="auto"/>
        <w:ind w:hanging="600"/>
        <w:rPr>
          <w:szCs w:val="24"/>
        </w:rPr>
      </w:pPr>
      <w:r>
        <w:rPr>
          <w:rFonts w:hint="eastAsia"/>
          <w:szCs w:val="24"/>
        </w:rPr>
        <w:t xml:space="preserve">综合评分及其统计：按照评标程序、评分标准以及权重分配的规定，磋商小组成员分别就各个响应供应商的技术状况、商务状况及其对磋商文件要求的响应情况进行评议和比较，评出其供应商务评分和技术评分。各评委的评分的算术平均值即为该响应供应商的供应技术商务得分。然后，评出磋商报价得分。将技术评分、商务评分和价格评分别乘以权重再相加得出综合得分，综合得分按由高到低顺序排列。综合得分相同的，优先排列顺序如下①最后报价低者②技术、商务得分高者。综合得分最高的响应供应商为第一中成交选人，综合得分次高的响应供应商为第二成交候选人，综合得第三高的响应供应商为第三成交候选人。 </w:t>
      </w:r>
    </w:p>
    <w:p>
      <w:pPr>
        <w:numPr>
          <w:ilvl w:val="0"/>
          <w:numId w:val="3"/>
        </w:numPr>
        <w:spacing w:after="126" w:line="360" w:lineRule="auto"/>
        <w:ind w:hanging="600"/>
        <w:rPr>
          <w:szCs w:val="24"/>
        </w:rPr>
      </w:pPr>
      <w:r>
        <w:rPr>
          <w:rFonts w:hint="eastAsia"/>
          <w:szCs w:val="24"/>
        </w:rPr>
        <w:t xml:space="preserve">供应商商务、技术和价格的评审： </w:t>
      </w:r>
    </w:p>
    <w:p>
      <w:pPr>
        <w:spacing w:after="126" w:line="360" w:lineRule="auto"/>
        <w:ind w:left="176"/>
        <w:rPr>
          <w:szCs w:val="24"/>
        </w:rPr>
      </w:pPr>
      <w:r>
        <w:rPr>
          <w:rFonts w:hint="eastAsia"/>
          <w:szCs w:val="24"/>
        </w:rPr>
        <w:t xml:space="preserve">  1．商务、技术评分：商务、技术评分各单项所占权重详见附表《评分表》；（按四舍五入原则取值并保留小数点后两位有效数字。） </w:t>
      </w:r>
    </w:p>
    <w:p>
      <w:pPr>
        <w:spacing w:line="360" w:lineRule="auto"/>
        <w:ind w:left="176"/>
        <w:rPr>
          <w:szCs w:val="24"/>
        </w:rPr>
      </w:pPr>
      <w:r>
        <w:rPr>
          <w:rFonts w:hint="eastAsia"/>
          <w:szCs w:val="24"/>
        </w:rPr>
        <w:t xml:space="preserve">  2．价格评分：取满足磋商文件要求且最后报价最低的供应商的价格为磋商基准价，其价格分为满分40分；其他供应商的价格分统一按照下列公式计算：磋商报价得分=磋商基准价/最后磋商报价×40 </w:t>
      </w:r>
    </w:p>
    <w:p>
      <w:pPr>
        <w:spacing w:line="360" w:lineRule="auto"/>
        <w:ind w:left="176"/>
        <w:rPr>
          <w:szCs w:val="24"/>
        </w:rPr>
      </w:pPr>
      <w:r>
        <w:rPr>
          <w:rFonts w:hint="eastAsia"/>
          <w:szCs w:val="24"/>
        </w:rPr>
        <w:t xml:space="preserve">如此类推，算出所有响应供应商的价格评分。（按四舍五入原则取值并保留小数点后两位有效数字。） </w:t>
      </w:r>
    </w:p>
    <w:p>
      <w:pPr>
        <w:spacing w:after="126" w:line="360" w:lineRule="auto"/>
        <w:ind w:left="176"/>
        <w:rPr>
          <w:szCs w:val="24"/>
        </w:rPr>
      </w:pPr>
      <w:r>
        <w:rPr>
          <w:rFonts w:hint="eastAsia"/>
          <w:szCs w:val="24"/>
        </w:rPr>
        <w:t xml:space="preserve">评标总得分=商务评分+技术评分＋价格评分 </w:t>
      </w:r>
    </w:p>
    <w:p>
      <w:pPr>
        <w:spacing w:after="126" w:line="360" w:lineRule="auto"/>
        <w:ind w:left="176"/>
        <w:rPr>
          <w:szCs w:val="24"/>
        </w:rPr>
      </w:pPr>
      <w:r>
        <w:rPr>
          <w:rFonts w:hint="eastAsia"/>
          <w:szCs w:val="24"/>
        </w:rPr>
        <w:t>1</w:t>
      </w:r>
      <w:r>
        <w:rPr>
          <w:szCs w:val="24"/>
        </w:rPr>
        <w:t>5</w:t>
      </w:r>
      <w:r>
        <w:rPr>
          <w:rFonts w:hint="eastAsia"/>
          <w:szCs w:val="24"/>
        </w:rPr>
        <w:t xml:space="preserve">.2、推荐成交响应供应商 </w:t>
      </w:r>
    </w:p>
    <w:p>
      <w:pPr>
        <w:spacing w:line="360" w:lineRule="auto"/>
        <w:ind w:left="176" w:firstLine="480" w:firstLineChars="200"/>
        <w:rPr>
          <w:szCs w:val="24"/>
        </w:rPr>
      </w:pPr>
      <w:r>
        <w:rPr>
          <w:rFonts w:hint="eastAsia"/>
          <w:szCs w:val="24"/>
        </w:rPr>
        <w:t xml:space="preserve">磋商小组按综合得分由高到低顺序排列推荐成交候选人（综合得分相同的，优先排列顺序如下①最后报价低者②供应商技术、商务得分高者），综合得分最高的响应供应商为第一中成交选人，综合得分次高的响应供应商为第二成交候选人。 </w:t>
      </w:r>
    </w:p>
    <w:p>
      <w:pPr>
        <w:spacing w:line="360" w:lineRule="auto"/>
        <w:ind w:left="176"/>
        <w:rPr>
          <w:szCs w:val="24"/>
        </w:rPr>
      </w:pPr>
      <w:r>
        <w:rPr>
          <w:rFonts w:hint="eastAsia"/>
          <w:szCs w:val="24"/>
        </w:rPr>
        <w:t>1</w:t>
      </w:r>
      <w:r>
        <w:rPr>
          <w:szCs w:val="24"/>
        </w:rPr>
        <w:t>5</w:t>
      </w:r>
      <w:r>
        <w:rPr>
          <w:rFonts w:hint="eastAsia"/>
          <w:szCs w:val="24"/>
        </w:rPr>
        <w:t xml:space="preserve">.3、磋商报告 </w:t>
      </w:r>
    </w:p>
    <w:p>
      <w:pPr>
        <w:spacing w:after="126" w:line="360" w:lineRule="auto"/>
        <w:ind w:left="176" w:firstLine="480" w:firstLineChars="200"/>
        <w:rPr>
          <w:szCs w:val="24"/>
        </w:rPr>
      </w:pPr>
      <w:r>
        <w:rPr>
          <w:rFonts w:hint="eastAsia"/>
          <w:szCs w:val="24"/>
        </w:rPr>
        <w:t xml:space="preserve">磋商小组依据评审结果出具磋商评审报告。 </w:t>
      </w:r>
    </w:p>
    <w:p>
      <w:pPr>
        <w:spacing w:after="126" w:line="360" w:lineRule="auto"/>
        <w:ind w:left="176"/>
        <w:rPr>
          <w:szCs w:val="24"/>
        </w:rPr>
      </w:pPr>
      <w:r>
        <w:rPr>
          <w:rFonts w:hint="eastAsia"/>
          <w:szCs w:val="24"/>
        </w:rPr>
        <w:t>1</w:t>
      </w:r>
      <w:r>
        <w:rPr>
          <w:szCs w:val="24"/>
        </w:rPr>
        <w:t>5</w:t>
      </w:r>
      <w:r>
        <w:rPr>
          <w:rFonts w:hint="eastAsia"/>
          <w:szCs w:val="24"/>
        </w:rPr>
        <w:t xml:space="preserve">.4磋商、评审过程的保密性 </w:t>
      </w:r>
    </w:p>
    <w:p>
      <w:pPr>
        <w:spacing w:line="360" w:lineRule="auto"/>
        <w:ind w:left="176" w:firstLine="480" w:firstLineChars="200"/>
        <w:rPr>
          <w:szCs w:val="24"/>
        </w:rPr>
      </w:pPr>
      <w:r>
        <w:rPr>
          <w:rFonts w:hint="eastAsia"/>
          <w:szCs w:val="24"/>
        </w:rPr>
        <w:t xml:space="preserve">接受响应文件后，直至成交响应供应商与买方签订合同后止，凡与磋商、审查、澄清、评价、比较、确定成交人意见有关的内容，任何人均不得向响应供应商及与磋商评审无关的其他人透露。 </w:t>
      </w:r>
    </w:p>
    <w:p>
      <w:pPr>
        <w:spacing w:line="360" w:lineRule="auto"/>
        <w:ind w:left="176" w:firstLine="480" w:firstLineChars="200"/>
        <w:rPr>
          <w:szCs w:val="24"/>
        </w:rPr>
      </w:pPr>
      <w:r>
        <w:rPr>
          <w:rFonts w:hint="eastAsia"/>
          <w:szCs w:val="24"/>
        </w:rPr>
        <w:t xml:space="preserve">从响应递交截止时间起到确定成交响应供应商日止，响应供应商不得与参加磋商、评审的有关人员私下接触。在磋商评审过程中，如果响应供应商试图在响应文件审查、澄清、比较及推荐成交响应供应商方面向参与磋商评审的有关人员和采购人施加任何影响，其文件将被拒绝。 </w:t>
      </w:r>
    </w:p>
    <w:p>
      <w:pPr>
        <w:spacing w:after="126" w:line="360" w:lineRule="auto"/>
        <w:ind w:left="176"/>
        <w:rPr>
          <w:szCs w:val="24"/>
        </w:rPr>
      </w:pPr>
      <w:r>
        <w:rPr>
          <w:rFonts w:hint="eastAsia"/>
          <w:szCs w:val="24"/>
        </w:rPr>
        <w:t>1</w:t>
      </w:r>
      <w:r>
        <w:rPr>
          <w:szCs w:val="24"/>
        </w:rPr>
        <w:t>5</w:t>
      </w:r>
      <w:r>
        <w:rPr>
          <w:rFonts w:hint="eastAsia"/>
          <w:szCs w:val="24"/>
        </w:rPr>
        <w:t xml:space="preserve">.5接受和拒绝任何或所有响应文件的权利。 </w:t>
      </w:r>
    </w:p>
    <w:p>
      <w:pPr>
        <w:spacing w:line="360" w:lineRule="auto"/>
        <w:ind w:left="176" w:firstLine="480" w:firstLineChars="200"/>
        <w:rPr>
          <w:szCs w:val="24"/>
        </w:rPr>
      </w:pPr>
      <w:r>
        <w:rPr>
          <w:rFonts w:hint="eastAsia"/>
          <w:szCs w:val="24"/>
        </w:rPr>
        <w:t xml:space="preserve">代理采购机构和采购人保留在成交之前任何时候接受或拒绝任何响应文件，以及宣布竞争性磋商无效或拒绝所有响应文件的权力，对受影响的响应供应商不承担任何责任。 </w:t>
      </w:r>
    </w:p>
    <w:p>
      <w:pPr>
        <w:spacing w:line="360" w:lineRule="auto"/>
        <w:ind w:left="0" w:firstLine="240" w:firstLineChars="100"/>
        <w:rPr>
          <w:szCs w:val="24"/>
        </w:rPr>
      </w:pPr>
      <w:r>
        <w:rPr>
          <w:rFonts w:hint="eastAsia"/>
          <w:szCs w:val="24"/>
        </w:rPr>
        <w:t>1</w:t>
      </w:r>
      <w:r>
        <w:rPr>
          <w:szCs w:val="24"/>
        </w:rPr>
        <w:t>5</w:t>
      </w:r>
      <w:r>
        <w:rPr>
          <w:rFonts w:hint="eastAsia"/>
          <w:szCs w:val="24"/>
        </w:rPr>
        <w:t xml:space="preserve">.6变更技术方案的权利。 </w:t>
      </w:r>
    </w:p>
    <w:p>
      <w:pPr>
        <w:spacing w:line="360" w:lineRule="auto"/>
        <w:ind w:left="0" w:firstLine="480" w:firstLineChars="200"/>
        <w:rPr>
          <w:szCs w:val="24"/>
        </w:rPr>
      </w:pPr>
      <w:r>
        <w:rPr>
          <w:rFonts w:hint="eastAsia"/>
          <w:szCs w:val="24"/>
        </w:rPr>
        <w:t xml:space="preserve">在竞争性磋商过程中，采购人有权变更技术方案或采购数量，如果响应供应商根据采购人提出的变更要求调整方案或价格后未能获得合同，采购人和采购代理机构不承担任何责任。 </w:t>
      </w:r>
    </w:p>
    <w:p>
      <w:pPr>
        <w:pStyle w:val="5"/>
        <w:spacing w:line="360" w:lineRule="auto"/>
        <w:jc w:val="left"/>
        <w:rPr>
          <w:rFonts w:ascii="宋体" w:hAnsi="宋体"/>
          <w:b w:val="0"/>
          <w:sz w:val="24"/>
          <w:szCs w:val="24"/>
        </w:rPr>
      </w:pPr>
      <w:bookmarkStart w:id="100" w:name="_Toc7685"/>
      <w:bookmarkStart w:id="101" w:name="_Toc77206858"/>
      <w:bookmarkStart w:id="102" w:name="_Toc79057523"/>
      <w:bookmarkStart w:id="103" w:name="_Toc86825511"/>
      <w:r>
        <w:rPr>
          <w:rFonts w:hint="eastAsia" w:ascii="宋体" w:hAnsi="宋体"/>
          <w:b w:val="0"/>
          <w:sz w:val="24"/>
          <w:szCs w:val="24"/>
        </w:rPr>
        <w:t>1</w:t>
      </w:r>
      <w:r>
        <w:rPr>
          <w:rFonts w:ascii="宋体" w:hAnsi="宋体"/>
          <w:b w:val="0"/>
          <w:sz w:val="24"/>
          <w:szCs w:val="24"/>
        </w:rPr>
        <w:t>6</w:t>
      </w:r>
      <w:r>
        <w:rPr>
          <w:rFonts w:hint="eastAsia" w:ascii="宋体" w:hAnsi="宋体"/>
          <w:b w:val="0"/>
          <w:sz w:val="24"/>
          <w:szCs w:val="24"/>
        </w:rPr>
        <w:t>、定标与签约</w:t>
      </w:r>
      <w:bookmarkEnd w:id="100"/>
      <w:bookmarkEnd w:id="101"/>
      <w:bookmarkEnd w:id="102"/>
      <w:bookmarkEnd w:id="103"/>
    </w:p>
    <w:p>
      <w:pPr>
        <w:spacing w:line="360" w:lineRule="auto"/>
        <w:ind w:left="0" w:firstLine="480" w:firstLineChars="200"/>
        <w:rPr>
          <w:szCs w:val="24"/>
        </w:rPr>
      </w:pPr>
      <w:r>
        <w:rPr>
          <w:rFonts w:hint="eastAsia"/>
          <w:szCs w:val="24"/>
        </w:rPr>
        <w:t>采购人确认结果后，由采购代理机构将结果在指定网站上进行公示，</w:t>
      </w:r>
      <w:r>
        <w:rPr>
          <w:szCs w:val="21"/>
        </w:rPr>
        <w:t>公示期不少于3日（截止日应当为工作日）</w:t>
      </w:r>
      <w:r>
        <w:rPr>
          <w:rFonts w:hint="eastAsia"/>
          <w:szCs w:val="24"/>
        </w:rPr>
        <w:t xml:space="preserve">，公示期满后，由采购代理机构向成交候选人发出《成交通知书》，并同时将磋商结果以网上公告的方式通知所有未成交的响应供应商。 </w:t>
      </w:r>
    </w:p>
    <w:p>
      <w:pPr>
        <w:spacing w:line="360" w:lineRule="auto"/>
        <w:ind w:left="0" w:firstLine="480" w:firstLineChars="200"/>
        <w:rPr>
          <w:szCs w:val="24"/>
        </w:rPr>
      </w:pPr>
      <w:r>
        <w:rPr>
          <w:rFonts w:hint="eastAsia"/>
          <w:szCs w:val="24"/>
        </w:rPr>
        <w:t xml:space="preserve">成交候选人应在规定时间内与采购人签订合同。 </w:t>
      </w:r>
    </w:p>
    <w:p>
      <w:pPr>
        <w:spacing w:line="360" w:lineRule="auto"/>
        <w:ind w:left="0" w:firstLine="480" w:firstLineChars="200"/>
        <w:rPr>
          <w:szCs w:val="24"/>
        </w:rPr>
      </w:pPr>
      <w:r>
        <w:rPr>
          <w:rFonts w:hint="eastAsia"/>
          <w:szCs w:val="24"/>
        </w:rPr>
        <w:t xml:space="preserve">在订定合同过程中，如发现成交供应商以他人名义响应或者以其他方式弄虚作假，骗取成交的，采购人有权取消其成交资格，并将第二成交候选人确定为成交供应商，依此类推。 </w:t>
      </w:r>
    </w:p>
    <w:p>
      <w:pPr>
        <w:spacing w:line="360" w:lineRule="auto"/>
        <w:ind w:left="11" w:firstLine="480" w:firstLineChars="200"/>
      </w:pPr>
      <w:r>
        <w:rPr>
          <w:rFonts w:hint="eastAsia"/>
        </w:rPr>
        <w:t>招标人和中标人应当在投标有效期内并在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pStyle w:val="5"/>
        <w:spacing w:line="360" w:lineRule="auto"/>
        <w:jc w:val="left"/>
        <w:rPr>
          <w:rFonts w:ascii="宋体" w:hAnsi="宋体"/>
          <w:b w:val="0"/>
          <w:bCs/>
          <w:sz w:val="24"/>
          <w:szCs w:val="24"/>
        </w:rPr>
      </w:pPr>
      <w:bookmarkStart w:id="104" w:name="_Toc77206859"/>
      <w:bookmarkStart w:id="105" w:name="_Toc86825512"/>
      <w:bookmarkStart w:id="106" w:name="_Toc79057524"/>
      <w:r>
        <w:rPr>
          <w:rFonts w:hint="eastAsia" w:ascii="宋体" w:hAnsi="宋体"/>
          <w:b w:val="0"/>
          <w:sz w:val="24"/>
          <w:szCs w:val="24"/>
        </w:rPr>
        <w:t>1</w:t>
      </w:r>
      <w:r>
        <w:rPr>
          <w:rFonts w:ascii="宋体" w:hAnsi="宋体"/>
          <w:b w:val="0"/>
          <w:sz w:val="24"/>
          <w:szCs w:val="24"/>
        </w:rPr>
        <w:t>7</w:t>
      </w:r>
      <w:r>
        <w:rPr>
          <w:rFonts w:hint="eastAsia" w:ascii="宋体" w:hAnsi="宋体"/>
          <w:b w:val="0"/>
          <w:sz w:val="24"/>
          <w:szCs w:val="24"/>
        </w:rPr>
        <w:t>、</w:t>
      </w:r>
      <w:r>
        <w:rPr>
          <w:rFonts w:hint="eastAsia" w:ascii="宋体" w:hAnsi="宋体"/>
          <w:b w:val="0"/>
          <w:bCs/>
          <w:sz w:val="24"/>
          <w:szCs w:val="24"/>
        </w:rPr>
        <w:t>重新招标和不再招标</w:t>
      </w:r>
      <w:bookmarkEnd w:id="104"/>
      <w:bookmarkEnd w:id="105"/>
      <w:bookmarkEnd w:id="106"/>
    </w:p>
    <w:p>
      <w:pPr>
        <w:spacing w:line="360" w:lineRule="auto"/>
        <w:ind w:left="0" w:firstLine="0"/>
      </w:pPr>
      <w:r>
        <w:rPr>
          <w:rFonts w:hint="eastAsia"/>
        </w:rPr>
        <w:t>1</w:t>
      </w:r>
      <w:r>
        <w:t xml:space="preserve">7.1 </w:t>
      </w:r>
      <w:r>
        <w:rPr>
          <w:rFonts w:hint="eastAsia"/>
        </w:rPr>
        <w:t>重新招标</w:t>
      </w:r>
    </w:p>
    <w:p>
      <w:pPr>
        <w:spacing w:line="360" w:lineRule="auto"/>
        <w:ind w:left="0" w:firstLine="0"/>
      </w:pPr>
      <w:r>
        <w:rPr>
          <w:rFonts w:hint="eastAsia"/>
        </w:rPr>
        <w:t>有下列情形之一的，招标人将重新招标：</w:t>
      </w:r>
    </w:p>
    <w:p>
      <w:pPr>
        <w:spacing w:line="360" w:lineRule="auto"/>
        <w:ind w:left="0" w:firstLine="0"/>
      </w:pPr>
      <w:r>
        <w:rPr>
          <w:rFonts w:hint="eastAsia"/>
        </w:rPr>
        <w:t>（1）投标截止时间止，投标人少于3个的；</w:t>
      </w:r>
    </w:p>
    <w:p>
      <w:pPr>
        <w:spacing w:line="360" w:lineRule="auto"/>
        <w:ind w:left="0" w:firstLine="0"/>
      </w:pPr>
      <w:r>
        <w:rPr>
          <w:rFonts w:hint="eastAsia"/>
        </w:rPr>
        <w:t>（2）经评标委员会评审后否决所有投标的。</w:t>
      </w:r>
    </w:p>
    <w:p>
      <w:pPr>
        <w:spacing w:line="360" w:lineRule="auto"/>
        <w:ind w:left="0" w:firstLine="0"/>
      </w:pPr>
      <w:r>
        <w:rPr>
          <w:rFonts w:hint="eastAsia"/>
        </w:rPr>
        <w:t>（3）</w:t>
      </w:r>
      <w:r>
        <w:t>除非已经产生中标候选人，在投标有效期内同意延长投标有效期的投标人少于</w:t>
      </w:r>
      <w:r>
        <w:rPr>
          <w:rFonts w:hint="eastAsia"/>
        </w:rPr>
        <w:t>3</w:t>
      </w:r>
      <w:r>
        <w:t>个的</w:t>
      </w:r>
      <w:r>
        <w:rPr>
          <w:rFonts w:hint="eastAsia"/>
        </w:rPr>
        <w:t>。</w:t>
      </w:r>
    </w:p>
    <w:p>
      <w:pPr>
        <w:spacing w:line="360" w:lineRule="auto"/>
        <w:ind w:left="0" w:firstLine="0"/>
      </w:pPr>
      <w:r>
        <w:rPr>
          <w:rFonts w:hint="eastAsia"/>
        </w:rPr>
        <w:t>（4）投标人须知前附表规定的其他情形</w:t>
      </w:r>
      <w:r>
        <w:t>。</w:t>
      </w:r>
    </w:p>
    <w:p>
      <w:pPr>
        <w:spacing w:line="360" w:lineRule="auto"/>
        <w:ind w:left="11" w:hanging="11"/>
      </w:pPr>
      <w:r>
        <w:rPr>
          <w:rFonts w:hint="eastAsia"/>
        </w:rPr>
        <w:t>1</w:t>
      </w:r>
      <w:r>
        <w:t xml:space="preserve">7.2 </w:t>
      </w:r>
      <w:r>
        <w:rPr>
          <w:rFonts w:hint="eastAsia"/>
        </w:rPr>
        <w:t>不再招标</w:t>
      </w:r>
    </w:p>
    <w:p>
      <w:pPr>
        <w:spacing w:line="360" w:lineRule="auto"/>
        <w:ind w:left="11" w:firstLine="480" w:firstLineChars="200"/>
      </w:pPr>
      <w:r>
        <w:rPr>
          <w:rFonts w:hint="eastAsia"/>
        </w:rPr>
        <w:t>重新招标后投标人仍少于3个或者所有投标被否决的，属于必须审批或核准的工程建设项目，经原审批或核准部门批准后不再进行招标。</w:t>
      </w:r>
    </w:p>
    <w:p>
      <w:pPr>
        <w:pStyle w:val="5"/>
        <w:spacing w:line="360" w:lineRule="auto"/>
        <w:jc w:val="left"/>
        <w:rPr>
          <w:rFonts w:ascii="宋体" w:hAnsi="宋体"/>
          <w:b w:val="0"/>
          <w:bCs/>
          <w:sz w:val="24"/>
          <w:szCs w:val="24"/>
        </w:rPr>
      </w:pPr>
      <w:bookmarkStart w:id="107" w:name="_Toc86825513"/>
      <w:bookmarkStart w:id="108" w:name="_Toc79057525"/>
      <w:bookmarkStart w:id="109" w:name="_Toc77206860"/>
      <w:r>
        <w:rPr>
          <w:rFonts w:hint="eastAsia" w:ascii="宋体" w:hAnsi="宋体"/>
          <w:bCs/>
          <w:sz w:val="24"/>
          <w:szCs w:val="24"/>
        </w:rPr>
        <w:t>1</w:t>
      </w:r>
      <w:r>
        <w:rPr>
          <w:rFonts w:ascii="宋体" w:hAnsi="宋体"/>
          <w:bCs/>
          <w:sz w:val="24"/>
          <w:szCs w:val="24"/>
        </w:rPr>
        <w:t>8</w:t>
      </w:r>
      <w:r>
        <w:rPr>
          <w:rFonts w:hint="eastAsia" w:ascii="宋体" w:hAnsi="宋体"/>
          <w:bCs/>
          <w:sz w:val="24"/>
          <w:szCs w:val="24"/>
        </w:rPr>
        <w:t>、</w:t>
      </w:r>
      <w:r>
        <w:rPr>
          <w:rFonts w:hint="eastAsia" w:ascii="宋体" w:hAnsi="宋体"/>
          <w:b w:val="0"/>
          <w:bCs/>
          <w:sz w:val="24"/>
          <w:szCs w:val="24"/>
        </w:rPr>
        <w:t>纪律和监督</w:t>
      </w:r>
      <w:bookmarkEnd w:id="107"/>
      <w:bookmarkEnd w:id="108"/>
      <w:bookmarkEnd w:id="109"/>
    </w:p>
    <w:p>
      <w:pPr>
        <w:spacing w:line="360" w:lineRule="auto"/>
        <w:ind w:left="0" w:firstLine="0"/>
      </w:pPr>
      <w:bookmarkStart w:id="110" w:name="_Toc403059469"/>
      <w:bookmarkStart w:id="111" w:name="_Toc349730887"/>
      <w:bookmarkStart w:id="112" w:name="_Toc393128280"/>
      <w:bookmarkStart w:id="113" w:name="_Toc338944651"/>
      <w:bookmarkStart w:id="114" w:name="_Toc403052526"/>
      <w:bookmarkStart w:id="115" w:name="_Toc152045575"/>
      <w:bookmarkStart w:id="116" w:name="_Toc333600729"/>
      <w:bookmarkStart w:id="117" w:name="_Toc362252693"/>
      <w:bookmarkStart w:id="118" w:name="_Toc338943746"/>
      <w:bookmarkStart w:id="119" w:name="_Toc342296208"/>
      <w:bookmarkStart w:id="120" w:name="_Toc152042351"/>
      <w:bookmarkStart w:id="121" w:name="_Toc342294760"/>
      <w:bookmarkStart w:id="122" w:name="_Toc403054286"/>
      <w:bookmarkStart w:id="123" w:name="_Toc393199422"/>
      <w:bookmarkStart w:id="124" w:name="_Toc333599705"/>
      <w:bookmarkStart w:id="125" w:name="_Toc393200449"/>
      <w:bookmarkStart w:id="126" w:name="_Toc144974543"/>
      <w:bookmarkStart w:id="127" w:name="_Toc393199935"/>
      <w:bookmarkStart w:id="128" w:name="_Toc179632593"/>
      <w:bookmarkStart w:id="129" w:name="_Toc333587899"/>
      <w:r>
        <w:t>18.1</w:t>
      </w:r>
      <w:r>
        <w:rPr>
          <w:rFonts w:hint="eastAsia"/>
        </w:rPr>
        <w:t>对招标人的纪律要求</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left="0" w:firstLine="480" w:firstLineChars="200"/>
      </w:pPr>
      <w:r>
        <w:rPr>
          <w:rFonts w:hint="eastAsia"/>
        </w:rPr>
        <w:t>招标人不得泄漏招标投标活动中应当保密的情况和资料，不得与投标人串通损害国家利益、社会公共利益或者他人合法权益。</w:t>
      </w:r>
    </w:p>
    <w:p>
      <w:pPr>
        <w:spacing w:line="360" w:lineRule="auto"/>
        <w:ind w:left="0" w:firstLine="0"/>
      </w:pPr>
      <w:bookmarkStart w:id="130" w:name="_Toc338944652"/>
      <w:bookmarkStart w:id="131" w:name="_Toc393200450"/>
      <w:bookmarkStart w:id="132" w:name="_Toc152042352"/>
      <w:bookmarkStart w:id="133" w:name="_Toc333600730"/>
      <w:bookmarkStart w:id="134" w:name="_Toc403052527"/>
      <w:bookmarkStart w:id="135" w:name="_Toc342294761"/>
      <w:bookmarkStart w:id="136" w:name="_Toc342296209"/>
      <w:bookmarkStart w:id="137" w:name="_Toc333587900"/>
      <w:bookmarkStart w:id="138" w:name="_Toc152045576"/>
      <w:bookmarkStart w:id="139" w:name="_Toc393199423"/>
      <w:bookmarkStart w:id="140" w:name="_Toc393128281"/>
      <w:bookmarkStart w:id="141" w:name="_Toc349730888"/>
      <w:bookmarkStart w:id="142" w:name="_Toc333599706"/>
      <w:bookmarkStart w:id="143" w:name="_Toc393199936"/>
      <w:bookmarkStart w:id="144" w:name="_Toc362252694"/>
      <w:bookmarkStart w:id="145" w:name="_Toc403054287"/>
      <w:bookmarkStart w:id="146" w:name="_Toc179632594"/>
      <w:bookmarkStart w:id="147" w:name="_Toc338943747"/>
      <w:bookmarkStart w:id="148" w:name="_Toc403059470"/>
      <w:bookmarkStart w:id="149" w:name="_Toc144974544"/>
      <w:r>
        <w:t>18.2</w:t>
      </w:r>
      <w:r>
        <w:rPr>
          <w:rFonts w:hint="eastAsia"/>
        </w:rPr>
        <w:t>对投标人的纪律要求</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spacing w:line="360" w:lineRule="auto"/>
        <w:ind w:left="0" w:firstLine="480" w:firstLineChars="200"/>
      </w:pPr>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left="0" w:firstLine="0"/>
      </w:pPr>
      <w:bookmarkStart w:id="150" w:name="_Toc333587901"/>
      <w:bookmarkStart w:id="151" w:name="_Toc338944653"/>
      <w:bookmarkStart w:id="152" w:name="_Toc342294762"/>
      <w:bookmarkStart w:id="153" w:name="_Toc152045577"/>
      <w:bookmarkStart w:id="154" w:name="_Toc333600731"/>
      <w:bookmarkStart w:id="155" w:name="_Toc333599707"/>
      <w:bookmarkStart w:id="156" w:name="_Toc179632595"/>
      <w:bookmarkStart w:id="157" w:name="_Toc342296210"/>
      <w:bookmarkStart w:id="158" w:name="_Toc349730889"/>
      <w:bookmarkStart w:id="159" w:name="_Toc144974545"/>
      <w:bookmarkStart w:id="160" w:name="_Toc393199424"/>
      <w:bookmarkStart w:id="161" w:name="_Toc393200451"/>
      <w:bookmarkStart w:id="162" w:name="_Toc338943748"/>
      <w:bookmarkStart w:id="163" w:name="_Toc362252695"/>
      <w:bookmarkStart w:id="164" w:name="_Toc393128282"/>
      <w:bookmarkStart w:id="165" w:name="_Toc403059471"/>
      <w:bookmarkStart w:id="166" w:name="_Toc403054288"/>
      <w:bookmarkStart w:id="167" w:name="_Toc403052528"/>
      <w:bookmarkStart w:id="168" w:name="_Toc393199937"/>
      <w:bookmarkStart w:id="169" w:name="_Toc152042353"/>
      <w:r>
        <w:t xml:space="preserve">18.3 </w:t>
      </w:r>
      <w:r>
        <w:rPr>
          <w:rFonts w:hint="eastAsia"/>
        </w:rPr>
        <w:t>对评标委员会成员的纪律要求</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pPr>
        <w:spacing w:line="360" w:lineRule="auto"/>
        <w:ind w:left="0" w:firstLine="480" w:firstLineChars="200"/>
      </w:pPr>
      <w:r>
        <w:rPr>
          <w:rFonts w:hint="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bookmarkStart w:id="170" w:name="_Toc333600732"/>
      <w:bookmarkStart w:id="171" w:name="_Toc152045578"/>
      <w:bookmarkStart w:id="172" w:name="_Toc342294763"/>
      <w:bookmarkStart w:id="173" w:name="_Toc338944654"/>
      <w:bookmarkStart w:id="174" w:name="_Toc338943749"/>
      <w:bookmarkStart w:id="175" w:name="_Toc403054289"/>
      <w:bookmarkStart w:id="176" w:name="_Toc342296211"/>
      <w:bookmarkStart w:id="177" w:name="_Toc333587902"/>
      <w:bookmarkStart w:id="178" w:name="_Toc333599708"/>
      <w:bookmarkStart w:id="179" w:name="_Toc179632596"/>
      <w:bookmarkStart w:id="180" w:name="_Toc362252696"/>
      <w:bookmarkStart w:id="181" w:name="_Toc403052529"/>
      <w:bookmarkStart w:id="182" w:name="_Toc152042354"/>
      <w:bookmarkStart w:id="183" w:name="_Toc349730890"/>
      <w:bookmarkStart w:id="184" w:name="_Toc393200452"/>
      <w:bookmarkStart w:id="185" w:name="_Toc393199938"/>
      <w:bookmarkStart w:id="186" w:name="_Toc393128283"/>
      <w:bookmarkStart w:id="187" w:name="_Toc393199425"/>
      <w:bookmarkStart w:id="188" w:name="_Toc403059472"/>
    </w:p>
    <w:p>
      <w:pPr>
        <w:spacing w:line="360" w:lineRule="auto"/>
        <w:ind w:left="0" w:firstLine="0"/>
      </w:pPr>
      <w:r>
        <w:rPr>
          <w:rFonts w:hint="eastAsia"/>
        </w:rPr>
        <w:t>1</w:t>
      </w:r>
      <w:r>
        <w:t xml:space="preserve">8.4 </w:t>
      </w:r>
      <w:r>
        <w:rPr>
          <w:rFonts w:hint="eastAsia"/>
        </w:rPr>
        <w:t>对与评标活动有关的工作人员的纪律要求</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pPr>
        <w:spacing w:line="360" w:lineRule="auto"/>
        <w:ind w:left="0" w:firstLine="480" w:firstLineChars="200"/>
      </w:pPr>
      <w:bookmarkStart w:id="189" w:name="_Toc152042355"/>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189"/>
    </w:p>
    <w:p>
      <w:pPr>
        <w:spacing w:line="360" w:lineRule="auto"/>
        <w:ind w:left="0" w:firstLine="0"/>
      </w:pPr>
      <w:bookmarkStart w:id="190" w:name="_Toc403059473"/>
      <w:bookmarkStart w:id="191" w:name="_Toc403054290"/>
      <w:bookmarkStart w:id="192" w:name="_Toc403052530"/>
      <w:bookmarkStart w:id="193" w:name="_Toc393199939"/>
      <w:bookmarkStart w:id="194" w:name="_Toc393199426"/>
      <w:bookmarkStart w:id="195" w:name="_Toc393200453"/>
      <w:bookmarkStart w:id="196" w:name="_Toc393128284"/>
      <w:r>
        <w:t xml:space="preserve">18.5 </w:t>
      </w:r>
      <w:r>
        <w:rPr>
          <w:rFonts w:hint="eastAsia"/>
        </w:rPr>
        <w:t>监督</w:t>
      </w:r>
      <w:bookmarkEnd w:id="190"/>
      <w:bookmarkEnd w:id="191"/>
      <w:bookmarkEnd w:id="192"/>
      <w:bookmarkEnd w:id="193"/>
      <w:bookmarkEnd w:id="194"/>
      <w:bookmarkEnd w:id="195"/>
      <w:bookmarkEnd w:id="196"/>
    </w:p>
    <w:p>
      <w:pPr>
        <w:spacing w:line="360" w:lineRule="auto"/>
        <w:ind w:left="0" w:firstLine="480" w:firstLineChars="200"/>
      </w:pPr>
      <w:bookmarkStart w:id="197" w:name="_Toc370199993"/>
      <w:bookmarkStart w:id="198" w:name="_Toc371415970"/>
      <w:r>
        <w:t>本</w:t>
      </w:r>
      <w:r>
        <w:rPr>
          <w:rFonts w:hint="eastAsia"/>
        </w:rPr>
        <w:t>分包</w:t>
      </w:r>
      <w:r>
        <w:t>工程的招标投标活动及其相关当事人应当接受有管辖权的建设工程招标投标行政监督部门依法实施的监督。</w:t>
      </w:r>
      <w:bookmarkEnd w:id="197"/>
      <w:bookmarkEnd w:id="198"/>
    </w:p>
    <w:p>
      <w:pPr>
        <w:pStyle w:val="5"/>
        <w:spacing w:line="360" w:lineRule="auto"/>
        <w:jc w:val="left"/>
        <w:rPr>
          <w:rFonts w:ascii="宋体" w:hAnsi="宋体"/>
          <w:b w:val="0"/>
          <w:bCs/>
          <w:sz w:val="24"/>
          <w:szCs w:val="24"/>
        </w:rPr>
      </w:pPr>
      <w:bookmarkStart w:id="199" w:name="_Toc86825514"/>
      <w:bookmarkStart w:id="200" w:name="_Toc77206861"/>
      <w:bookmarkStart w:id="201" w:name="_Toc79057526"/>
      <w:r>
        <w:rPr>
          <w:rFonts w:hint="eastAsia" w:ascii="宋体" w:hAnsi="宋体"/>
          <w:bCs/>
          <w:sz w:val="24"/>
          <w:szCs w:val="24"/>
        </w:rPr>
        <w:t>1</w:t>
      </w:r>
      <w:r>
        <w:rPr>
          <w:rFonts w:ascii="宋体" w:hAnsi="宋体"/>
          <w:bCs/>
          <w:sz w:val="24"/>
          <w:szCs w:val="24"/>
        </w:rPr>
        <w:t>9</w:t>
      </w:r>
      <w:r>
        <w:rPr>
          <w:rFonts w:hint="eastAsia" w:ascii="宋体" w:hAnsi="宋体"/>
          <w:bCs/>
          <w:sz w:val="24"/>
          <w:szCs w:val="24"/>
        </w:rPr>
        <w:t>、</w:t>
      </w:r>
      <w:r>
        <w:rPr>
          <w:rFonts w:ascii="宋体" w:hAnsi="宋体"/>
          <w:b w:val="0"/>
          <w:bCs/>
          <w:sz w:val="24"/>
          <w:szCs w:val="24"/>
        </w:rPr>
        <w:t>异议与</w:t>
      </w:r>
      <w:r>
        <w:rPr>
          <w:rFonts w:hint="eastAsia" w:ascii="宋体" w:hAnsi="宋体"/>
          <w:b w:val="0"/>
          <w:bCs/>
          <w:sz w:val="24"/>
          <w:szCs w:val="24"/>
        </w:rPr>
        <w:t>投诉</w:t>
      </w:r>
      <w:bookmarkEnd w:id="199"/>
      <w:bookmarkEnd w:id="200"/>
      <w:bookmarkEnd w:id="201"/>
    </w:p>
    <w:p>
      <w:pPr>
        <w:spacing w:line="360" w:lineRule="auto"/>
        <w:ind w:left="0" w:firstLine="0"/>
      </w:pPr>
      <w:r>
        <w:t>1</w:t>
      </w:r>
      <w:r>
        <w:rPr>
          <w:rFonts w:hint="eastAsia"/>
        </w:rPr>
        <w:t>9.1　</w:t>
      </w:r>
      <w:r>
        <w:t>异议</w:t>
      </w:r>
    </w:p>
    <w:p>
      <w:pPr>
        <w:spacing w:line="360" w:lineRule="auto"/>
        <w:ind w:left="0" w:firstLine="0"/>
      </w:pPr>
      <w:r>
        <w:rPr>
          <w:rFonts w:hint="eastAsia"/>
        </w:rPr>
        <w:t>（1）潜在</w:t>
      </w:r>
      <w:r>
        <w:t>投标人或者其他利害关系人对招标文件有异议的，应当在投标截止时间10日前提出。招标人应当自收到异议之日起3日内</w:t>
      </w:r>
      <w:r>
        <w:rPr>
          <w:rFonts w:hint="eastAsia"/>
        </w:rPr>
        <w:t>做</w:t>
      </w:r>
      <w:r>
        <w:t>出答复；</w:t>
      </w:r>
      <w:r>
        <w:rPr>
          <w:rFonts w:hint="eastAsia"/>
        </w:rPr>
        <w:t>做</w:t>
      </w:r>
      <w:r>
        <w:t>出答复前，应当暂停招标投标活动。</w:t>
      </w:r>
    </w:p>
    <w:p>
      <w:pPr>
        <w:spacing w:line="360" w:lineRule="auto"/>
        <w:ind w:left="0" w:firstLine="0"/>
      </w:pPr>
      <w:r>
        <w:rPr>
          <w:rFonts w:hint="eastAsia"/>
        </w:rPr>
        <w:t>（2）</w:t>
      </w:r>
      <w:r>
        <w:t>投标人对开标有异议的，应当在开标现场提出，招标人应当当场作出答复，并制作记录。</w:t>
      </w:r>
    </w:p>
    <w:p>
      <w:pPr>
        <w:spacing w:line="360" w:lineRule="auto"/>
        <w:ind w:left="0" w:firstLine="0"/>
      </w:pPr>
      <w:r>
        <w:rPr>
          <w:rFonts w:hint="eastAsia"/>
        </w:rPr>
        <w:t>（3）</w:t>
      </w:r>
      <w:r>
        <w:t>投标人或者其他利害关系人对依法必须招标的项目的评标结果有异议的，应当在中标候选人公示期间提出。招标人应当自收到异议之日起3日内</w:t>
      </w:r>
      <w:r>
        <w:rPr>
          <w:rFonts w:hint="eastAsia"/>
        </w:rPr>
        <w:t>做</w:t>
      </w:r>
      <w:r>
        <w:t>出答复；</w:t>
      </w:r>
      <w:r>
        <w:rPr>
          <w:rFonts w:hint="eastAsia"/>
        </w:rPr>
        <w:t>做</w:t>
      </w:r>
      <w:r>
        <w:t>出答复前，应当暂停招标投标活动。</w:t>
      </w:r>
    </w:p>
    <w:p>
      <w:pPr>
        <w:spacing w:line="360" w:lineRule="auto"/>
        <w:ind w:left="0" w:firstLine="0"/>
      </w:pPr>
      <w:r>
        <w:t>1</w:t>
      </w:r>
      <w:r>
        <w:rPr>
          <w:rFonts w:hint="eastAsia"/>
        </w:rPr>
        <w:t>9.2　</w:t>
      </w:r>
      <w:r>
        <w:t>投诉</w:t>
      </w:r>
    </w:p>
    <w:p>
      <w:pPr>
        <w:spacing w:line="360" w:lineRule="auto"/>
        <w:ind w:left="0" w:firstLine="480" w:firstLineChars="200"/>
      </w:pPr>
      <w:r>
        <w:t>投标人或者其他利害关系人认为本次招标活动不符合法律、行政法规规定的，可以自知道或者应当知道之日起10日内向有关行政监督部门投诉。投诉应当有明确的请求和必要的证明材料。</w:t>
      </w:r>
    </w:p>
    <w:p>
      <w:pPr>
        <w:pStyle w:val="5"/>
        <w:spacing w:line="360" w:lineRule="auto"/>
        <w:jc w:val="left"/>
        <w:rPr>
          <w:rFonts w:ascii="宋体" w:hAnsi="宋体"/>
          <w:b w:val="0"/>
          <w:sz w:val="24"/>
          <w:szCs w:val="24"/>
        </w:rPr>
      </w:pPr>
      <w:bookmarkStart w:id="202" w:name="_Toc79057527"/>
      <w:bookmarkStart w:id="203" w:name="_Toc86825515"/>
      <w:bookmarkStart w:id="204" w:name="_Toc77206862"/>
      <w:bookmarkStart w:id="205" w:name="_Toc8610"/>
      <w:r>
        <w:rPr>
          <w:rFonts w:ascii="宋体" w:hAnsi="宋体"/>
          <w:b w:val="0"/>
          <w:sz w:val="24"/>
          <w:szCs w:val="24"/>
        </w:rPr>
        <w:t>20</w:t>
      </w:r>
      <w:r>
        <w:rPr>
          <w:rFonts w:hint="eastAsia" w:ascii="宋体" w:hAnsi="宋体"/>
          <w:b w:val="0"/>
          <w:sz w:val="24"/>
          <w:szCs w:val="24"/>
        </w:rPr>
        <w:t>、代理服务费</w:t>
      </w:r>
      <w:bookmarkEnd w:id="202"/>
      <w:bookmarkEnd w:id="203"/>
      <w:bookmarkEnd w:id="204"/>
      <w:bookmarkEnd w:id="205"/>
    </w:p>
    <w:p>
      <w:pPr>
        <w:spacing w:line="360" w:lineRule="auto"/>
        <w:ind w:left="0" w:firstLine="480" w:firstLineChars="200"/>
        <w:rPr>
          <w:szCs w:val="24"/>
        </w:rPr>
      </w:pPr>
      <w:r>
        <w:rPr>
          <w:rFonts w:hint="eastAsia"/>
          <w:szCs w:val="24"/>
        </w:rPr>
        <w:t xml:space="preserve">中标人在《成交通知书》公示之前须向招标代理机构交纳招标代理服务费等相关费用，服务费以采购金额作为收费的计算基数，按差额定率累进法计算。 </w:t>
      </w:r>
    </w:p>
    <w:p>
      <w:pPr>
        <w:pStyle w:val="5"/>
        <w:spacing w:line="360" w:lineRule="auto"/>
        <w:jc w:val="left"/>
        <w:rPr>
          <w:rFonts w:ascii="宋体" w:hAnsi="宋体"/>
          <w:b w:val="0"/>
          <w:sz w:val="24"/>
          <w:szCs w:val="24"/>
        </w:rPr>
      </w:pPr>
      <w:bookmarkStart w:id="206" w:name="_Toc77206863"/>
      <w:bookmarkStart w:id="207" w:name="_Toc86825516"/>
      <w:bookmarkStart w:id="208" w:name="_Toc79057528"/>
      <w:bookmarkStart w:id="209" w:name="_Toc16445"/>
      <w:r>
        <w:rPr>
          <w:rFonts w:ascii="宋体" w:hAnsi="宋体"/>
          <w:b w:val="0"/>
          <w:sz w:val="24"/>
          <w:szCs w:val="24"/>
        </w:rPr>
        <w:t>21</w:t>
      </w:r>
      <w:r>
        <w:rPr>
          <w:rFonts w:hint="eastAsia" w:ascii="宋体" w:hAnsi="宋体"/>
          <w:b w:val="0"/>
          <w:sz w:val="24"/>
          <w:szCs w:val="24"/>
        </w:rPr>
        <w:t>、磋商文件的解释权</w:t>
      </w:r>
      <w:bookmarkEnd w:id="206"/>
      <w:bookmarkEnd w:id="207"/>
      <w:bookmarkEnd w:id="208"/>
      <w:bookmarkEnd w:id="209"/>
    </w:p>
    <w:p>
      <w:pPr>
        <w:spacing w:line="360" w:lineRule="auto"/>
        <w:ind w:left="0" w:firstLine="480" w:firstLineChars="200"/>
        <w:rPr>
          <w:szCs w:val="24"/>
        </w:rPr>
      </w:pPr>
      <w:r>
        <w:rPr>
          <w:szCs w:val="24"/>
        </w:rPr>
        <w:t>构成本</w:t>
      </w:r>
      <w:r>
        <w:rPr>
          <w:rFonts w:hint="eastAsia"/>
          <w:szCs w:val="24"/>
        </w:rPr>
        <w:t>磋商</w:t>
      </w:r>
      <w:r>
        <w:rPr>
          <w:szCs w:val="24"/>
        </w:rPr>
        <w:t>文件的各个组成文件应当互为解释，互为说明；如果有不明确或不一致，构成合同文件组成内容的，以合同文件约定内容为准，且以专用合同条款约定的合同文件优先顺序解释；除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w:t>
      </w:r>
      <w:r>
        <w:rPr>
          <w:rFonts w:hint="eastAsia"/>
          <w:szCs w:val="24"/>
        </w:rPr>
        <w:t>代理公司</w:t>
      </w:r>
      <w:r>
        <w:rPr>
          <w:szCs w:val="24"/>
        </w:rPr>
        <w:t>负责解释。</w:t>
      </w:r>
      <w:r>
        <w:rPr>
          <w:rFonts w:hint="eastAsia"/>
          <w:szCs w:val="24"/>
        </w:rPr>
        <w:t xml:space="preserve">本磋商文件的解释权归北京盛欣宏益商务服务有限公司所有。 </w:t>
      </w:r>
    </w:p>
    <w:p>
      <w:pPr>
        <w:pStyle w:val="5"/>
        <w:spacing w:line="360" w:lineRule="auto"/>
        <w:jc w:val="left"/>
        <w:rPr>
          <w:rFonts w:ascii="宋体" w:hAnsi="宋体"/>
          <w:b w:val="0"/>
          <w:sz w:val="24"/>
          <w:szCs w:val="24"/>
        </w:rPr>
      </w:pPr>
      <w:bookmarkStart w:id="210" w:name="_Toc79057529"/>
      <w:bookmarkStart w:id="211" w:name="_Toc77206864"/>
      <w:bookmarkStart w:id="212" w:name="_Toc86825517"/>
      <w:r>
        <w:rPr>
          <w:rFonts w:ascii="宋体" w:hAnsi="宋体"/>
          <w:bCs/>
          <w:sz w:val="24"/>
          <w:szCs w:val="24"/>
        </w:rPr>
        <w:t>21</w:t>
      </w:r>
      <w:r>
        <w:rPr>
          <w:rFonts w:hint="eastAsia" w:ascii="宋体" w:hAnsi="宋体"/>
          <w:bCs/>
          <w:sz w:val="24"/>
          <w:szCs w:val="24"/>
        </w:rPr>
        <w:t>、</w:t>
      </w:r>
      <w:r>
        <w:rPr>
          <w:rFonts w:hint="eastAsia" w:ascii="宋体" w:hAnsi="宋体"/>
          <w:b w:val="0"/>
          <w:sz w:val="24"/>
          <w:szCs w:val="24"/>
        </w:rPr>
        <w:t>需要补充的其他内容</w:t>
      </w:r>
      <w:bookmarkEnd w:id="210"/>
      <w:bookmarkEnd w:id="211"/>
      <w:bookmarkEnd w:id="212"/>
    </w:p>
    <w:p>
      <w:pPr>
        <w:spacing w:line="360" w:lineRule="auto"/>
        <w:rPr>
          <w:rFonts w:cs="黑体"/>
          <w:szCs w:val="24"/>
        </w:rPr>
      </w:pPr>
      <w:r>
        <w:rPr>
          <w:rFonts w:cs="黑体"/>
          <w:szCs w:val="24"/>
        </w:rPr>
        <w:t xml:space="preserve">21.1 </w:t>
      </w:r>
      <w:r>
        <w:rPr>
          <w:rFonts w:hint="eastAsia" w:cs="黑体"/>
          <w:szCs w:val="24"/>
        </w:rPr>
        <w:t>失信被执行人是指被执行人具有履行生效法律文书确定的义务能力而不履行，依法被人民法院纳入失信被执行人名单的被执行人。在招投标活动中应当对纳入失信被执行人的投标人依照本招标文件明确的方法和标准采取相应惩戒，以限制或否决失信被执行人参与投标活动。</w:t>
      </w:r>
    </w:p>
    <w:p>
      <w:pPr>
        <w:spacing w:line="360" w:lineRule="auto"/>
        <w:rPr>
          <w:rFonts w:cs="黑体"/>
          <w:szCs w:val="24"/>
        </w:rPr>
      </w:pPr>
      <w:r>
        <w:rPr>
          <w:rFonts w:hint="eastAsia" w:cs="黑体"/>
          <w:szCs w:val="24"/>
        </w:rPr>
        <w:t>对于两个以上法人或其他组织组成一个联合体，以一个申请人的身份共同参与投标活动的，应当对所有联合体成员进行失信被执行人信息查询。联合体中有一个或一个以上成员属于失信被执行人的，联合体视为失信被执行人。</w:t>
      </w:r>
    </w:p>
    <w:p>
      <w:pPr>
        <w:spacing w:line="360" w:lineRule="auto"/>
        <w:ind w:left="0" w:firstLine="0"/>
      </w:pPr>
      <w:r>
        <w:t>21.2 构成本招标文件各个组成部分的文件，未经招标人书面同意，投标人不得擅自复印和用于非本</w:t>
      </w:r>
      <w:r>
        <w:rPr>
          <w:rFonts w:hint="eastAsia"/>
        </w:rPr>
        <w:t>分包工程</w:t>
      </w:r>
      <w:r>
        <w:t>所需的其他目的。招标人全部或者部分使用非中标单位投标文件中的技术成果或技术方案时，需征得其书面同意，并不得擅自复印或提供给</w:t>
      </w:r>
      <w:r>
        <w:rPr>
          <w:rFonts w:hint="eastAsia"/>
        </w:rPr>
        <w:t>第三</w:t>
      </w:r>
      <w:r>
        <w:t>人。</w:t>
      </w:r>
    </w:p>
    <w:p>
      <w:pPr>
        <w:spacing w:after="0" w:line="360" w:lineRule="auto"/>
        <w:ind w:left="181" w:firstLine="0"/>
        <w:rPr>
          <w:szCs w:val="24"/>
        </w:rPr>
      </w:pPr>
    </w:p>
    <w:p>
      <w:pPr>
        <w:pStyle w:val="2"/>
        <w:spacing w:line="360" w:lineRule="auto"/>
        <w:ind w:left="480" w:firstLine="480"/>
      </w:pPr>
    </w:p>
    <w:p>
      <w:pPr>
        <w:pStyle w:val="2"/>
        <w:spacing w:line="360" w:lineRule="auto"/>
        <w:ind w:left="480" w:firstLine="480"/>
      </w:pPr>
    </w:p>
    <w:p>
      <w:pPr>
        <w:pStyle w:val="2"/>
        <w:spacing w:line="360" w:lineRule="auto"/>
        <w:ind w:left="0" w:leftChars="0" w:firstLine="0" w:firstLineChars="0"/>
        <w:sectPr>
          <w:footerReference r:id="rId13" w:type="default"/>
          <w:footerReference r:id="rId14" w:type="even"/>
          <w:pgSz w:w="11904" w:h="16840"/>
          <w:pgMar w:top="1250" w:right="1295" w:bottom="1487" w:left="1237" w:header="879" w:footer="868" w:gutter="0"/>
          <w:pgNumType w:start="1"/>
          <w:cols w:space="720" w:num="1"/>
        </w:sectPr>
      </w:pPr>
    </w:p>
    <w:p>
      <w:pPr>
        <w:pStyle w:val="5"/>
        <w:spacing w:line="360" w:lineRule="auto"/>
        <w:rPr>
          <w:rFonts w:ascii="宋体" w:hAnsi="宋体"/>
          <w:b w:val="0"/>
          <w:sz w:val="24"/>
          <w:szCs w:val="24"/>
        </w:rPr>
      </w:pPr>
      <w:bookmarkStart w:id="213" w:name="_Toc79057530"/>
      <w:bookmarkStart w:id="214" w:name="_Toc86825518"/>
      <w:bookmarkStart w:id="215" w:name="_Toc11652"/>
      <w:bookmarkStart w:id="216" w:name="_Toc77206865"/>
      <w:r>
        <w:rPr>
          <w:rFonts w:hint="eastAsia" w:ascii="宋体" w:hAnsi="宋体"/>
          <w:b w:val="0"/>
          <w:sz w:val="24"/>
          <w:szCs w:val="24"/>
        </w:rPr>
        <w:t>评标专家声明书</w:t>
      </w:r>
      <w:bookmarkEnd w:id="213"/>
      <w:bookmarkEnd w:id="214"/>
      <w:bookmarkEnd w:id="215"/>
      <w:bookmarkEnd w:id="216"/>
    </w:p>
    <w:p>
      <w:pPr>
        <w:tabs>
          <w:tab w:val="left" w:pos="9312"/>
        </w:tabs>
        <w:spacing w:line="360" w:lineRule="auto"/>
        <w:rPr>
          <w:szCs w:val="24"/>
        </w:rPr>
      </w:pPr>
      <w:r>
        <w:rPr>
          <w:szCs w:val="24"/>
        </w:rPr>
        <w:tab/>
      </w:r>
    </w:p>
    <w:p>
      <w:pPr>
        <w:spacing w:line="360" w:lineRule="auto"/>
        <w:ind w:firstLine="480" w:firstLineChars="200"/>
        <w:rPr>
          <w:szCs w:val="24"/>
          <w:u w:val="single"/>
        </w:rPr>
      </w:pPr>
      <w:r>
        <w:rPr>
          <w:rFonts w:hint="eastAsia"/>
          <w:szCs w:val="24"/>
        </w:rPr>
        <w:t>本人接受招标人邀请，担任</w:t>
      </w:r>
      <w:r>
        <w:rPr>
          <w:rFonts w:hint="eastAsia"/>
          <w:szCs w:val="24"/>
          <w:u w:val="single"/>
        </w:rPr>
        <w:t>北京市房山区人民防空办公室加州水郡西区、中冶蓝城地下人防工程维修工程</w:t>
      </w:r>
      <w:r>
        <w:rPr>
          <w:rFonts w:hint="eastAsia"/>
          <w:szCs w:val="24"/>
        </w:rPr>
        <w:t>（项目名称）</w:t>
      </w:r>
      <w:r>
        <w:rPr>
          <w:rFonts w:hint="eastAsia"/>
          <w:szCs w:val="24"/>
          <w:u w:val="single"/>
        </w:rPr>
        <w:t xml:space="preserve">/ </w:t>
      </w:r>
      <w:r>
        <w:rPr>
          <w:rFonts w:hint="eastAsia"/>
          <w:szCs w:val="24"/>
        </w:rPr>
        <w:t xml:space="preserve"> 标段施工总承包招标的评标专家。</w:t>
      </w:r>
    </w:p>
    <w:p>
      <w:pPr>
        <w:spacing w:line="360" w:lineRule="auto"/>
        <w:ind w:firstLine="480" w:firstLineChars="200"/>
        <w:rPr>
          <w:szCs w:val="24"/>
        </w:rPr>
      </w:pPr>
      <w:r>
        <w:rPr>
          <w:rFonts w:hint="eastAsia"/>
          <w:szCs w:val="24"/>
        </w:rPr>
        <w:t xml:space="preserve">本人声明：本人在评标前未与招标人、招标代理机构以及投标人发生可能影响评标结果的接触；在中标结果确定之前，不向外透露对投标文件的评审、中标候选人的推荐情况以及与评标有关的其他情况；不收受招标人超出合理报酬以外的任何现金、有价证券和礼物；不收受有关利害关系人的任何财物和好处；无国家及本市有关规定需要回避的情形。 </w:t>
      </w:r>
    </w:p>
    <w:p>
      <w:pPr>
        <w:spacing w:line="360" w:lineRule="auto"/>
        <w:ind w:firstLine="480" w:firstLineChars="200"/>
        <w:rPr>
          <w:szCs w:val="24"/>
        </w:rPr>
      </w:pPr>
      <w:r>
        <w:rPr>
          <w:rFonts w:hint="eastAsia"/>
          <w:szCs w:val="24"/>
        </w:rPr>
        <w:t xml:space="preserve">本人郑重保证：在评标过程中，遵守有关法律法规规章和评标纪律；服从评标委员会的统一安排；独立、客观、公正地履行评标专家职责。 </w:t>
      </w:r>
    </w:p>
    <w:p>
      <w:pPr>
        <w:spacing w:line="360" w:lineRule="auto"/>
        <w:ind w:firstLine="480" w:firstLineChars="200"/>
        <w:rPr>
          <w:szCs w:val="24"/>
        </w:rPr>
      </w:pPr>
      <w:r>
        <w:rPr>
          <w:rFonts w:hint="eastAsia"/>
          <w:szCs w:val="24"/>
        </w:rPr>
        <w:t xml:space="preserve">本人接受有关行政监督部门依法实施监督。如违反上述承诺或者不能履行评标专家职责，本人愿意承担一切由此带来的法律责任。 </w:t>
      </w:r>
    </w:p>
    <w:p>
      <w:pPr>
        <w:spacing w:line="360" w:lineRule="auto"/>
        <w:ind w:firstLine="480" w:firstLineChars="200"/>
        <w:rPr>
          <w:szCs w:val="24"/>
        </w:rPr>
      </w:pPr>
      <w:r>
        <w:rPr>
          <w:rFonts w:hint="eastAsia"/>
          <w:szCs w:val="24"/>
        </w:rPr>
        <w:t xml:space="preserve">特此声明。 </w:t>
      </w:r>
    </w:p>
    <w:p>
      <w:pPr>
        <w:spacing w:line="360" w:lineRule="auto"/>
        <w:rPr>
          <w:szCs w:val="24"/>
        </w:rPr>
      </w:pPr>
    </w:p>
    <w:p>
      <w:pPr>
        <w:spacing w:line="360" w:lineRule="auto"/>
        <w:ind w:firstLine="480" w:firstLineChars="200"/>
        <w:rPr>
          <w:szCs w:val="24"/>
          <w:u w:val="single"/>
        </w:rPr>
      </w:pPr>
      <w:r>
        <w:rPr>
          <w:rFonts w:hint="eastAsia"/>
          <w:szCs w:val="24"/>
        </w:rPr>
        <w:t>评标委员会成员签名：</w:t>
      </w:r>
    </w:p>
    <w:p>
      <w:pPr>
        <w:spacing w:line="360" w:lineRule="auto"/>
        <w:rPr>
          <w:szCs w:val="24"/>
        </w:rPr>
      </w:pPr>
    </w:p>
    <w:p>
      <w:pPr>
        <w:spacing w:line="360" w:lineRule="auto"/>
        <w:ind w:firstLine="540"/>
        <w:rPr>
          <w:szCs w:val="24"/>
        </w:rPr>
        <w:sectPr>
          <w:pgSz w:w="11904" w:h="16840"/>
          <w:pgMar w:top="1250" w:right="1295" w:bottom="1487" w:left="1237" w:header="879" w:footer="868" w:gutter="0"/>
          <w:cols w:space="720" w:num="1"/>
        </w:sectPr>
      </w:pPr>
      <w:r>
        <w:rPr>
          <w:rFonts w:hint="eastAsia"/>
          <w:szCs w:val="24"/>
        </w:rPr>
        <w:t>日期：</w:t>
      </w:r>
    </w:p>
    <w:p>
      <w:pPr>
        <w:pStyle w:val="5"/>
        <w:spacing w:line="360" w:lineRule="auto"/>
        <w:rPr>
          <w:rFonts w:ascii="宋体" w:hAnsi="宋体"/>
          <w:b w:val="0"/>
          <w:sz w:val="24"/>
          <w:szCs w:val="24"/>
        </w:rPr>
      </w:pPr>
      <w:bookmarkStart w:id="217" w:name="_Toc79057531"/>
      <w:bookmarkStart w:id="218" w:name="_Toc86825519"/>
      <w:bookmarkStart w:id="219" w:name="_Toc77206866"/>
      <w:bookmarkStart w:id="220" w:name="_Toc31256"/>
      <w:r>
        <w:rPr>
          <w:rFonts w:hint="eastAsia" w:ascii="宋体" w:hAnsi="宋体"/>
          <w:b w:val="0"/>
          <w:sz w:val="24"/>
          <w:szCs w:val="24"/>
        </w:rPr>
        <w:t>评标委员会签到表</w:t>
      </w:r>
      <w:bookmarkEnd w:id="217"/>
      <w:bookmarkEnd w:id="218"/>
      <w:bookmarkEnd w:id="219"/>
      <w:bookmarkEnd w:id="220"/>
    </w:p>
    <w:p>
      <w:pPr>
        <w:spacing w:line="360" w:lineRule="auto"/>
        <w:rPr>
          <w:szCs w:val="24"/>
        </w:rPr>
      </w:pPr>
    </w:p>
    <w:p>
      <w:pPr>
        <w:tabs>
          <w:tab w:val="left" w:pos="4680"/>
        </w:tabs>
        <w:spacing w:after="120" w:afterLines="50" w:line="360" w:lineRule="auto"/>
        <w:ind w:firstLine="0"/>
        <w:rPr>
          <w:szCs w:val="24"/>
        </w:rPr>
      </w:pPr>
      <w:r>
        <w:rPr>
          <w:rFonts w:hint="eastAsia"/>
          <w:szCs w:val="24"/>
        </w:rPr>
        <w:t>项目名称：北京市房山区人民防空办公室加州水郡西区、中冶蓝城地下人防工程维修工程</w:t>
      </w:r>
    </w:p>
    <w:p>
      <w:pPr>
        <w:tabs>
          <w:tab w:val="left" w:pos="4680"/>
        </w:tabs>
        <w:spacing w:after="120" w:afterLines="50" w:line="360" w:lineRule="auto"/>
        <w:rPr>
          <w:rFonts w:hint="default" w:eastAsia="宋体"/>
          <w:szCs w:val="24"/>
          <w:lang w:val="en-US" w:eastAsia="zh-CN"/>
        </w:rPr>
      </w:pPr>
      <w:r>
        <w:rPr>
          <w:rFonts w:hint="eastAsia"/>
          <w:szCs w:val="24"/>
        </w:rPr>
        <w:t>开标时间：</w:t>
      </w:r>
      <w:r>
        <w:rPr>
          <w:rFonts w:hint="eastAsia"/>
          <w:szCs w:val="24"/>
          <w:lang w:val="en-US" w:eastAsia="zh-CN"/>
        </w:rPr>
        <w:t>2021年11月25日下午14：30分</w:t>
      </w:r>
    </w:p>
    <w:tbl>
      <w:tblPr>
        <w:tblStyle w:val="36"/>
        <w:tblW w:w="140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800"/>
        <w:gridCol w:w="1575"/>
        <w:gridCol w:w="4725"/>
        <w:gridCol w:w="294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4680"/>
              </w:tabs>
              <w:spacing w:before="120" w:beforeLines="50" w:after="120" w:afterLines="50" w:line="360" w:lineRule="auto"/>
              <w:jc w:val="center"/>
              <w:rPr>
                <w:rFonts w:cs="Arial"/>
                <w:bCs/>
                <w:szCs w:val="21"/>
              </w:rPr>
            </w:pPr>
            <w:r>
              <w:rPr>
                <w:rFonts w:cs="Arial"/>
                <w:bCs/>
                <w:szCs w:val="21"/>
              </w:rPr>
              <w:t>序号</w:t>
            </w:r>
          </w:p>
        </w:tc>
        <w:tc>
          <w:tcPr>
            <w:tcW w:w="1800" w:type="dxa"/>
          </w:tcPr>
          <w:p>
            <w:pPr>
              <w:tabs>
                <w:tab w:val="left" w:pos="4680"/>
              </w:tabs>
              <w:spacing w:before="120" w:beforeLines="50" w:after="120" w:afterLines="50" w:line="360" w:lineRule="auto"/>
              <w:jc w:val="center"/>
              <w:rPr>
                <w:rFonts w:cs="Arial"/>
                <w:bCs/>
                <w:szCs w:val="21"/>
              </w:rPr>
            </w:pPr>
            <w:r>
              <w:rPr>
                <w:rFonts w:cs="Arial"/>
                <w:bCs/>
                <w:szCs w:val="21"/>
              </w:rPr>
              <w:t>姓名</w:t>
            </w:r>
          </w:p>
        </w:tc>
        <w:tc>
          <w:tcPr>
            <w:tcW w:w="1575" w:type="dxa"/>
          </w:tcPr>
          <w:p>
            <w:pPr>
              <w:tabs>
                <w:tab w:val="left" w:pos="4680"/>
              </w:tabs>
              <w:spacing w:before="120" w:beforeLines="50" w:after="120" w:afterLines="50" w:line="360" w:lineRule="auto"/>
              <w:jc w:val="center"/>
              <w:rPr>
                <w:rFonts w:cs="Arial"/>
                <w:bCs/>
                <w:szCs w:val="21"/>
              </w:rPr>
            </w:pPr>
            <w:r>
              <w:rPr>
                <w:rFonts w:cs="Arial"/>
                <w:bCs/>
                <w:szCs w:val="21"/>
              </w:rPr>
              <w:t>职称</w:t>
            </w:r>
          </w:p>
        </w:tc>
        <w:tc>
          <w:tcPr>
            <w:tcW w:w="4725" w:type="dxa"/>
          </w:tcPr>
          <w:p>
            <w:pPr>
              <w:tabs>
                <w:tab w:val="left" w:pos="4680"/>
              </w:tabs>
              <w:spacing w:before="120" w:beforeLines="50" w:after="120" w:afterLines="50" w:line="360" w:lineRule="auto"/>
              <w:jc w:val="center"/>
              <w:rPr>
                <w:rFonts w:cs="Arial"/>
                <w:bCs/>
                <w:szCs w:val="21"/>
              </w:rPr>
            </w:pPr>
            <w:r>
              <w:rPr>
                <w:rFonts w:cs="Arial"/>
                <w:bCs/>
                <w:szCs w:val="21"/>
              </w:rPr>
              <w:t>工作单位</w:t>
            </w:r>
          </w:p>
        </w:tc>
        <w:tc>
          <w:tcPr>
            <w:tcW w:w="2940" w:type="dxa"/>
          </w:tcPr>
          <w:p>
            <w:pPr>
              <w:tabs>
                <w:tab w:val="left" w:pos="4680"/>
              </w:tabs>
              <w:spacing w:before="120" w:beforeLines="50" w:after="120" w:afterLines="50" w:line="360" w:lineRule="auto"/>
              <w:jc w:val="center"/>
              <w:rPr>
                <w:rFonts w:cs="Arial"/>
                <w:bCs/>
                <w:szCs w:val="21"/>
              </w:rPr>
            </w:pPr>
            <w:r>
              <w:rPr>
                <w:rFonts w:cs="Arial"/>
                <w:bCs/>
                <w:szCs w:val="21"/>
              </w:rPr>
              <w:t>专家证号码</w:t>
            </w:r>
          </w:p>
        </w:tc>
        <w:tc>
          <w:tcPr>
            <w:tcW w:w="2280" w:type="dxa"/>
          </w:tcPr>
          <w:p>
            <w:pPr>
              <w:tabs>
                <w:tab w:val="left" w:pos="4680"/>
              </w:tabs>
              <w:spacing w:before="120" w:beforeLines="50" w:after="120" w:afterLines="50" w:line="360" w:lineRule="auto"/>
              <w:jc w:val="center"/>
              <w:rPr>
                <w:rFonts w:cs="Arial"/>
                <w:bCs/>
                <w:szCs w:val="21"/>
              </w:rPr>
            </w:pPr>
            <w:r>
              <w:rPr>
                <w:rFonts w:cs="Arial"/>
                <w:bCs/>
                <w:szCs w:val="21"/>
              </w:rPr>
              <w:t>签到时间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4680"/>
              </w:tabs>
              <w:spacing w:before="120" w:beforeLines="50" w:after="120" w:afterLines="50" w:line="360" w:lineRule="auto"/>
              <w:jc w:val="center"/>
              <w:rPr>
                <w:rFonts w:cs="Arial"/>
                <w:bCs/>
                <w:szCs w:val="21"/>
              </w:rPr>
            </w:pPr>
            <w:r>
              <w:rPr>
                <w:rFonts w:cs="Arial"/>
                <w:bCs/>
                <w:szCs w:val="21"/>
              </w:rPr>
              <w:t>1</w:t>
            </w:r>
          </w:p>
        </w:tc>
        <w:tc>
          <w:tcPr>
            <w:tcW w:w="1800" w:type="dxa"/>
          </w:tcPr>
          <w:p>
            <w:pPr>
              <w:tabs>
                <w:tab w:val="left" w:pos="4680"/>
              </w:tabs>
              <w:spacing w:before="120" w:beforeLines="50" w:after="120" w:afterLines="50" w:line="360" w:lineRule="auto"/>
              <w:rPr>
                <w:rFonts w:cs="Arial"/>
                <w:bCs/>
                <w:szCs w:val="21"/>
              </w:rPr>
            </w:pPr>
          </w:p>
        </w:tc>
        <w:tc>
          <w:tcPr>
            <w:tcW w:w="1575" w:type="dxa"/>
          </w:tcPr>
          <w:p>
            <w:pPr>
              <w:tabs>
                <w:tab w:val="left" w:pos="4680"/>
              </w:tabs>
              <w:spacing w:before="120" w:beforeLines="50" w:after="120" w:afterLines="50" w:line="360" w:lineRule="auto"/>
              <w:rPr>
                <w:rFonts w:cs="Arial"/>
                <w:bCs/>
                <w:szCs w:val="21"/>
              </w:rPr>
            </w:pPr>
          </w:p>
        </w:tc>
        <w:tc>
          <w:tcPr>
            <w:tcW w:w="4725" w:type="dxa"/>
          </w:tcPr>
          <w:p>
            <w:pPr>
              <w:tabs>
                <w:tab w:val="left" w:pos="4680"/>
              </w:tabs>
              <w:spacing w:before="120" w:beforeLines="50" w:after="120" w:afterLines="50" w:line="360" w:lineRule="auto"/>
              <w:rPr>
                <w:rFonts w:cs="Arial"/>
                <w:bCs/>
                <w:szCs w:val="21"/>
              </w:rPr>
            </w:pPr>
          </w:p>
        </w:tc>
        <w:tc>
          <w:tcPr>
            <w:tcW w:w="2940" w:type="dxa"/>
          </w:tcPr>
          <w:p>
            <w:pPr>
              <w:tabs>
                <w:tab w:val="left" w:pos="4680"/>
              </w:tabs>
              <w:spacing w:before="120" w:beforeLines="50" w:after="120" w:afterLines="50" w:line="360" w:lineRule="auto"/>
              <w:rPr>
                <w:rFonts w:cs="Arial"/>
                <w:bCs/>
                <w:szCs w:val="21"/>
              </w:rPr>
            </w:pPr>
          </w:p>
        </w:tc>
        <w:tc>
          <w:tcPr>
            <w:tcW w:w="2280" w:type="dxa"/>
          </w:tcPr>
          <w:p>
            <w:pPr>
              <w:tabs>
                <w:tab w:val="left" w:pos="4680"/>
              </w:tabs>
              <w:spacing w:before="120" w:beforeLines="50" w:after="120" w:afterLines="50" w:line="360" w:lineRule="auto"/>
              <w:rPr>
                <w:rFonts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4680"/>
              </w:tabs>
              <w:spacing w:before="120" w:beforeLines="50" w:after="120" w:afterLines="50" w:line="360" w:lineRule="auto"/>
              <w:jc w:val="center"/>
              <w:rPr>
                <w:rFonts w:cs="Arial"/>
                <w:bCs/>
                <w:szCs w:val="21"/>
              </w:rPr>
            </w:pPr>
            <w:r>
              <w:rPr>
                <w:rFonts w:cs="Arial"/>
                <w:bCs/>
                <w:szCs w:val="21"/>
              </w:rPr>
              <w:t>2</w:t>
            </w:r>
          </w:p>
        </w:tc>
        <w:tc>
          <w:tcPr>
            <w:tcW w:w="1800" w:type="dxa"/>
          </w:tcPr>
          <w:p>
            <w:pPr>
              <w:tabs>
                <w:tab w:val="left" w:pos="4680"/>
              </w:tabs>
              <w:spacing w:before="120" w:beforeLines="50" w:after="120" w:afterLines="50" w:line="360" w:lineRule="auto"/>
              <w:rPr>
                <w:rFonts w:cs="Arial"/>
                <w:bCs/>
                <w:szCs w:val="21"/>
              </w:rPr>
            </w:pPr>
          </w:p>
        </w:tc>
        <w:tc>
          <w:tcPr>
            <w:tcW w:w="1575" w:type="dxa"/>
          </w:tcPr>
          <w:p>
            <w:pPr>
              <w:tabs>
                <w:tab w:val="left" w:pos="4680"/>
              </w:tabs>
              <w:spacing w:before="120" w:beforeLines="50" w:after="120" w:afterLines="50" w:line="360" w:lineRule="auto"/>
              <w:rPr>
                <w:rFonts w:cs="Arial"/>
                <w:bCs/>
                <w:szCs w:val="21"/>
              </w:rPr>
            </w:pPr>
          </w:p>
        </w:tc>
        <w:tc>
          <w:tcPr>
            <w:tcW w:w="4725" w:type="dxa"/>
          </w:tcPr>
          <w:p>
            <w:pPr>
              <w:tabs>
                <w:tab w:val="left" w:pos="4680"/>
              </w:tabs>
              <w:spacing w:before="120" w:beforeLines="50" w:after="120" w:afterLines="50" w:line="360" w:lineRule="auto"/>
              <w:rPr>
                <w:rFonts w:cs="Arial"/>
                <w:bCs/>
                <w:szCs w:val="21"/>
              </w:rPr>
            </w:pPr>
          </w:p>
        </w:tc>
        <w:tc>
          <w:tcPr>
            <w:tcW w:w="2940" w:type="dxa"/>
          </w:tcPr>
          <w:p>
            <w:pPr>
              <w:tabs>
                <w:tab w:val="left" w:pos="4680"/>
              </w:tabs>
              <w:spacing w:before="120" w:beforeLines="50" w:after="120" w:afterLines="50" w:line="360" w:lineRule="auto"/>
              <w:rPr>
                <w:rFonts w:cs="Arial"/>
                <w:bCs/>
                <w:szCs w:val="21"/>
              </w:rPr>
            </w:pPr>
          </w:p>
        </w:tc>
        <w:tc>
          <w:tcPr>
            <w:tcW w:w="2280" w:type="dxa"/>
          </w:tcPr>
          <w:p>
            <w:pPr>
              <w:tabs>
                <w:tab w:val="left" w:pos="4680"/>
              </w:tabs>
              <w:spacing w:before="120" w:beforeLines="50" w:after="120" w:afterLines="50" w:line="360" w:lineRule="auto"/>
              <w:rPr>
                <w:rFonts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4680"/>
              </w:tabs>
              <w:spacing w:before="120" w:beforeLines="50" w:after="120" w:afterLines="50" w:line="360" w:lineRule="auto"/>
              <w:jc w:val="center"/>
              <w:rPr>
                <w:rFonts w:cs="Arial"/>
                <w:bCs/>
                <w:szCs w:val="21"/>
              </w:rPr>
            </w:pPr>
            <w:r>
              <w:rPr>
                <w:rFonts w:cs="Arial"/>
                <w:bCs/>
                <w:szCs w:val="21"/>
              </w:rPr>
              <w:t>3</w:t>
            </w:r>
          </w:p>
        </w:tc>
        <w:tc>
          <w:tcPr>
            <w:tcW w:w="1800" w:type="dxa"/>
          </w:tcPr>
          <w:p>
            <w:pPr>
              <w:tabs>
                <w:tab w:val="left" w:pos="4680"/>
              </w:tabs>
              <w:spacing w:before="120" w:beforeLines="50" w:after="120" w:afterLines="50" w:line="360" w:lineRule="auto"/>
              <w:rPr>
                <w:rFonts w:cs="Arial"/>
                <w:bCs/>
                <w:szCs w:val="21"/>
              </w:rPr>
            </w:pPr>
          </w:p>
        </w:tc>
        <w:tc>
          <w:tcPr>
            <w:tcW w:w="1575" w:type="dxa"/>
          </w:tcPr>
          <w:p>
            <w:pPr>
              <w:tabs>
                <w:tab w:val="left" w:pos="4680"/>
              </w:tabs>
              <w:spacing w:before="120" w:beforeLines="50" w:after="120" w:afterLines="50" w:line="360" w:lineRule="auto"/>
              <w:rPr>
                <w:rFonts w:cs="Arial"/>
                <w:bCs/>
                <w:szCs w:val="21"/>
              </w:rPr>
            </w:pPr>
          </w:p>
        </w:tc>
        <w:tc>
          <w:tcPr>
            <w:tcW w:w="4725" w:type="dxa"/>
          </w:tcPr>
          <w:p>
            <w:pPr>
              <w:tabs>
                <w:tab w:val="left" w:pos="4680"/>
              </w:tabs>
              <w:spacing w:before="120" w:beforeLines="50" w:after="120" w:afterLines="50" w:line="360" w:lineRule="auto"/>
              <w:rPr>
                <w:rFonts w:cs="Arial"/>
                <w:bCs/>
                <w:szCs w:val="21"/>
              </w:rPr>
            </w:pPr>
          </w:p>
        </w:tc>
        <w:tc>
          <w:tcPr>
            <w:tcW w:w="2940" w:type="dxa"/>
          </w:tcPr>
          <w:p>
            <w:pPr>
              <w:tabs>
                <w:tab w:val="left" w:pos="4680"/>
              </w:tabs>
              <w:spacing w:before="120" w:beforeLines="50" w:after="120" w:afterLines="50" w:line="360" w:lineRule="auto"/>
              <w:rPr>
                <w:rFonts w:cs="Arial"/>
                <w:bCs/>
                <w:szCs w:val="21"/>
              </w:rPr>
            </w:pPr>
          </w:p>
        </w:tc>
        <w:tc>
          <w:tcPr>
            <w:tcW w:w="2280" w:type="dxa"/>
          </w:tcPr>
          <w:p>
            <w:pPr>
              <w:tabs>
                <w:tab w:val="left" w:pos="4680"/>
              </w:tabs>
              <w:spacing w:before="120" w:beforeLines="50" w:after="120" w:afterLines="50" w:line="360" w:lineRule="auto"/>
              <w:rPr>
                <w:rFonts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4680"/>
              </w:tabs>
              <w:spacing w:before="120" w:beforeLines="50" w:after="120" w:afterLines="50" w:line="360" w:lineRule="auto"/>
              <w:jc w:val="center"/>
              <w:rPr>
                <w:rFonts w:cs="Arial"/>
                <w:bCs/>
                <w:szCs w:val="21"/>
              </w:rPr>
            </w:pPr>
            <w:r>
              <w:rPr>
                <w:rFonts w:cs="Arial"/>
                <w:bCs/>
                <w:szCs w:val="21"/>
              </w:rPr>
              <w:t>4</w:t>
            </w:r>
          </w:p>
        </w:tc>
        <w:tc>
          <w:tcPr>
            <w:tcW w:w="1800" w:type="dxa"/>
          </w:tcPr>
          <w:p>
            <w:pPr>
              <w:tabs>
                <w:tab w:val="left" w:pos="4680"/>
              </w:tabs>
              <w:spacing w:before="120" w:beforeLines="50" w:after="120" w:afterLines="50" w:line="360" w:lineRule="auto"/>
              <w:rPr>
                <w:rFonts w:cs="Arial"/>
                <w:bCs/>
                <w:szCs w:val="21"/>
              </w:rPr>
            </w:pPr>
          </w:p>
        </w:tc>
        <w:tc>
          <w:tcPr>
            <w:tcW w:w="1575" w:type="dxa"/>
          </w:tcPr>
          <w:p>
            <w:pPr>
              <w:tabs>
                <w:tab w:val="left" w:pos="4680"/>
              </w:tabs>
              <w:spacing w:before="120" w:beforeLines="50" w:after="120" w:afterLines="50" w:line="360" w:lineRule="auto"/>
              <w:rPr>
                <w:rFonts w:cs="Arial"/>
                <w:bCs/>
                <w:szCs w:val="21"/>
              </w:rPr>
            </w:pPr>
          </w:p>
        </w:tc>
        <w:tc>
          <w:tcPr>
            <w:tcW w:w="4725" w:type="dxa"/>
          </w:tcPr>
          <w:p>
            <w:pPr>
              <w:tabs>
                <w:tab w:val="left" w:pos="4680"/>
              </w:tabs>
              <w:spacing w:before="120" w:beforeLines="50" w:after="120" w:afterLines="50" w:line="360" w:lineRule="auto"/>
              <w:rPr>
                <w:rFonts w:cs="Arial"/>
                <w:bCs/>
                <w:szCs w:val="21"/>
              </w:rPr>
            </w:pPr>
          </w:p>
        </w:tc>
        <w:tc>
          <w:tcPr>
            <w:tcW w:w="2940" w:type="dxa"/>
          </w:tcPr>
          <w:p>
            <w:pPr>
              <w:tabs>
                <w:tab w:val="left" w:pos="4680"/>
              </w:tabs>
              <w:spacing w:before="120" w:beforeLines="50" w:after="120" w:afterLines="50" w:line="360" w:lineRule="auto"/>
              <w:rPr>
                <w:rFonts w:cs="Arial"/>
                <w:bCs/>
                <w:szCs w:val="21"/>
              </w:rPr>
            </w:pPr>
          </w:p>
        </w:tc>
        <w:tc>
          <w:tcPr>
            <w:tcW w:w="2280" w:type="dxa"/>
          </w:tcPr>
          <w:p>
            <w:pPr>
              <w:tabs>
                <w:tab w:val="left" w:pos="4680"/>
              </w:tabs>
              <w:spacing w:before="120" w:beforeLines="50" w:after="120" w:afterLines="50" w:line="360" w:lineRule="auto"/>
              <w:rPr>
                <w:rFonts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4680"/>
              </w:tabs>
              <w:spacing w:before="120" w:beforeLines="50" w:after="120" w:afterLines="50" w:line="360" w:lineRule="auto"/>
              <w:jc w:val="center"/>
              <w:rPr>
                <w:rFonts w:cs="Arial"/>
                <w:bCs/>
                <w:szCs w:val="21"/>
              </w:rPr>
            </w:pPr>
            <w:r>
              <w:rPr>
                <w:rFonts w:cs="Arial"/>
                <w:bCs/>
                <w:szCs w:val="21"/>
              </w:rPr>
              <w:t>5</w:t>
            </w:r>
          </w:p>
        </w:tc>
        <w:tc>
          <w:tcPr>
            <w:tcW w:w="1800" w:type="dxa"/>
          </w:tcPr>
          <w:p>
            <w:pPr>
              <w:tabs>
                <w:tab w:val="left" w:pos="4680"/>
              </w:tabs>
              <w:spacing w:before="120" w:beforeLines="50" w:after="120" w:afterLines="50" w:line="360" w:lineRule="auto"/>
              <w:rPr>
                <w:rFonts w:cs="Arial"/>
                <w:bCs/>
                <w:szCs w:val="21"/>
              </w:rPr>
            </w:pPr>
          </w:p>
        </w:tc>
        <w:tc>
          <w:tcPr>
            <w:tcW w:w="1575" w:type="dxa"/>
          </w:tcPr>
          <w:p>
            <w:pPr>
              <w:tabs>
                <w:tab w:val="left" w:pos="4680"/>
              </w:tabs>
              <w:spacing w:before="120" w:beforeLines="50" w:after="120" w:afterLines="50" w:line="360" w:lineRule="auto"/>
              <w:rPr>
                <w:rFonts w:cs="Arial"/>
                <w:bCs/>
                <w:szCs w:val="21"/>
              </w:rPr>
            </w:pPr>
          </w:p>
        </w:tc>
        <w:tc>
          <w:tcPr>
            <w:tcW w:w="4725" w:type="dxa"/>
          </w:tcPr>
          <w:p>
            <w:pPr>
              <w:tabs>
                <w:tab w:val="left" w:pos="4680"/>
              </w:tabs>
              <w:spacing w:before="120" w:beforeLines="50" w:after="120" w:afterLines="50" w:line="360" w:lineRule="auto"/>
              <w:rPr>
                <w:rFonts w:cs="Arial"/>
                <w:bCs/>
                <w:szCs w:val="21"/>
              </w:rPr>
            </w:pPr>
          </w:p>
        </w:tc>
        <w:tc>
          <w:tcPr>
            <w:tcW w:w="2940" w:type="dxa"/>
          </w:tcPr>
          <w:p>
            <w:pPr>
              <w:tabs>
                <w:tab w:val="left" w:pos="4680"/>
              </w:tabs>
              <w:spacing w:before="120" w:beforeLines="50" w:after="120" w:afterLines="50" w:line="360" w:lineRule="auto"/>
              <w:rPr>
                <w:rFonts w:cs="Arial"/>
                <w:bCs/>
                <w:szCs w:val="21"/>
              </w:rPr>
            </w:pPr>
          </w:p>
        </w:tc>
        <w:tc>
          <w:tcPr>
            <w:tcW w:w="2280" w:type="dxa"/>
          </w:tcPr>
          <w:p>
            <w:pPr>
              <w:tabs>
                <w:tab w:val="left" w:pos="4680"/>
              </w:tabs>
              <w:spacing w:before="120" w:beforeLines="50" w:after="120" w:afterLines="50" w:line="360" w:lineRule="auto"/>
              <w:rPr>
                <w:rFonts w:cs="Arial"/>
                <w:bCs/>
                <w:szCs w:val="21"/>
              </w:rPr>
            </w:pPr>
          </w:p>
        </w:tc>
      </w:tr>
    </w:tbl>
    <w:p>
      <w:pPr>
        <w:spacing w:line="360" w:lineRule="auto"/>
        <w:ind w:left="0" w:firstLine="0"/>
        <w:sectPr>
          <w:pgSz w:w="16838" w:h="11906" w:orient="landscape"/>
          <w:pgMar w:top="720" w:right="720" w:bottom="720" w:left="720" w:header="709" w:footer="709" w:gutter="0"/>
          <w:cols w:space="708" w:num="1"/>
          <w:docGrid w:linePitch="360" w:charSpace="0"/>
        </w:sectPr>
      </w:pPr>
    </w:p>
    <w:p>
      <w:pPr>
        <w:pStyle w:val="5"/>
        <w:spacing w:line="360" w:lineRule="auto"/>
        <w:rPr>
          <w:rFonts w:ascii="宋体" w:hAnsi="宋体"/>
          <w:sz w:val="24"/>
        </w:rPr>
        <w:sectPr>
          <w:footerReference r:id="rId16" w:type="first"/>
          <w:footerReference r:id="rId15" w:type="default"/>
          <w:pgSz w:w="16838" w:h="13794" w:orient="landscape"/>
          <w:pgMar w:top="1797" w:right="1440" w:bottom="1797" w:left="1440" w:header="851" w:footer="992" w:gutter="0"/>
          <w:cols w:space="425" w:num="1"/>
          <w:docGrid w:linePitch="312" w:charSpace="0"/>
        </w:sectPr>
      </w:pPr>
      <w:bookmarkStart w:id="221" w:name="_Toc18454"/>
      <w:r>
        <w:drawing>
          <wp:inline distT="0" distB="0" distL="0" distR="0">
            <wp:extent cx="8799830" cy="5168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5"/>
                    <a:stretch>
                      <a:fillRect/>
                    </a:stretch>
                  </pic:blipFill>
                  <pic:spPr>
                    <a:xfrm>
                      <a:off x="0" y="0"/>
                      <a:ext cx="8805335" cy="5172681"/>
                    </a:xfrm>
                    <a:prstGeom prst="rect">
                      <a:avLst/>
                    </a:prstGeom>
                  </pic:spPr>
                </pic:pic>
              </a:graphicData>
            </a:graphic>
          </wp:inline>
        </w:drawing>
      </w:r>
    </w:p>
    <w:p>
      <w:pPr>
        <w:pStyle w:val="4"/>
        <w:spacing w:before="120" w:beforeLines="50" w:after="120" w:afterLines="50" w:line="360" w:lineRule="auto"/>
        <w:jc w:val="left"/>
        <w:rPr>
          <w:rFonts w:ascii="宋体" w:hAnsi="宋体" w:eastAsia="宋体" w:cs="宋体"/>
          <w:b/>
          <w:bCs/>
          <w:sz w:val="24"/>
          <w:szCs w:val="24"/>
        </w:rPr>
      </w:pPr>
      <w:bookmarkStart w:id="222" w:name="_Toc79057533"/>
      <w:bookmarkStart w:id="223" w:name="_Toc77206868"/>
      <w:bookmarkStart w:id="224" w:name="_Toc86825521"/>
      <w:r>
        <w:rPr>
          <w:rFonts w:hint="eastAsia" w:ascii="宋体" w:hAnsi="宋体" w:eastAsia="宋体"/>
          <w:bCs/>
          <w:sz w:val="24"/>
          <w:szCs w:val="24"/>
        </w:rPr>
        <w:t>附表二：</w:t>
      </w:r>
      <w:r>
        <w:rPr>
          <w:rFonts w:hint="eastAsia" w:ascii="宋体" w:hAnsi="宋体" w:eastAsia="宋体" w:cs="宋体"/>
          <w:b/>
          <w:bCs/>
          <w:sz w:val="24"/>
          <w:szCs w:val="24"/>
        </w:rPr>
        <w:t>资格性审查表</w:t>
      </w:r>
      <w:bookmarkEnd w:id="221"/>
      <w:bookmarkEnd w:id="222"/>
      <w:bookmarkEnd w:id="223"/>
      <w:bookmarkEnd w:id="224"/>
    </w:p>
    <w:p>
      <w:pPr>
        <w:spacing w:line="360" w:lineRule="auto"/>
        <w:jc w:val="center"/>
      </w:pPr>
      <w:r>
        <w:rPr>
          <w:rFonts w:hint="eastAsia"/>
        </w:rPr>
        <w:t>资格性审查表</w:t>
      </w:r>
    </w:p>
    <w:p>
      <w:pPr>
        <w:spacing w:line="360" w:lineRule="auto"/>
        <w:rPr>
          <w:szCs w:val="24"/>
        </w:rPr>
      </w:pPr>
      <w:r>
        <w:rPr>
          <w:rFonts w:hint="eastAsia"/>
          <w:szCs w:val="24"/>
        </w:rPr>
        <w:t>项目名称：北京市房山区人民防空办公室加州水郡西区、中冶蓝城地下人防工程维修工程项目编号：</w:t>
      </w:r>
    </w:p>
    <w:tbl>
      <w:tblPr>
        <w:tblStyle w:val="36"/>
        <w:tblW w:w="15259" w:type="dxa"/>
        <w:tblInd w:w="73" w:type="dxa"/>
        <w:tblLayout w:type="autofit"/>
        <w:tblCellMar>
          <w:top w:w="36" w:type="dxa"/>
          <w:left w:w="107" w:type="dxa"/>
          <w:bottom w:w="0" w:type="dxa"/>
          <w:right w:w="2" w:type="dxa"/>
        </w:tblCellMar>
      </w:tblPr>
      <w:tblGrid>
        <w:gridCol w:w="6949"/>
        <w:gridCol w:w="2134"/>
        <w:gridCol w:w="2400"/>
        <w:gridCol w:w="1883"/>
        <w:gridCol w:w="1893"/>
      </w:tblGrid>
      <w:tr>
        <w:tblPrEx>
          <w:tblCellMar>
            <w:top w:w="36" w:type="dxa"/>
            <w:left w:w="107" w:type="dxa"/>
            <w:bottom w:w="0" w:type="dxa"/>
            <w:right w:w="2" w:type="dxa"/>
          </w:tblCellMar>
        </w:tblPrEx>
        <w:trPr>
          <w:trHeight w:val="195" w:hRule="atLeast"/>
        </w:trPr>
        <w:tc>
          <w:tcPr>
            <w:tcW w:w="6949"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104" w:firstLine="0"/>
              <w:jc w:val="center"/>
              <w:rPr>
                <w:sz w:val="21"/>
                <w:szCs w:val="21"/>
              </w:rPr>
            </w:pPr>
            <w:r>
              <w:rPr>
                <w:rFonts w:hint="eastAsia"/>
                <w:sz w:val="21"/>
                <w:szCs w:val="21"/>
              </w:rPr>
              <w:t xml:space="preserve">评审内容 </w:t>
            </w:r>
          </w:p>
        </w:tc>
        <w:tc>
          <w:tcPr>
            <w:tcW w:w="8310" w:type="dxa"/>
            <w:gridSpan w:val="4"/>
            <w:tcBorders>
              <w:top w:val="single" w:color="000000" w:sz="4" w:space="0"/>
              <w:left w:val="single" w:color="000000" w:sz="4" w:space="0"/>
              <w:bottom w:val="single" w:color="000000" w:sz="4" w:space="0"/>
              <w:right w:val="single" w:color="000000" w:sz="4" w:space="0"/>
            </w:tcBorders>
          </w:tcPr>
          <w:p>
            <w:pPr>
              <w:spacing w:after="0" w:line="360" w:lineRule="auto"/>
              <w:ind w:left="309" w:firstLine="0"/>
              <w:jc w:val="center"/>
              <w:rPr>
                <w:sz w:val="21"/>
                <w:szCs w:val="21"/>
              </w:rPr>
            </w:pPr>
            <w:r>
              <w:rPr>
                <w:rFonts w:hint="eastAsia"/>
                <w:sz w:val="21"/>
                <w:szCs w:val="21"/>
              </w:rPr>
              <w:t>投标人名称</w:t>
            </w:r>
          </w:p>
        </w:tc>
      </w:tr>
      <w:tr>
        <w:tblPrEx>
          <w:tblCellMar>
            <w:top w:w="36" w:type="dxa"/>
            <w:left w:w="107" w:type="dxa"/>
            <w:bottom w:w="0" w:type="dxa"/>
            <w:right w:w="2" w:type="dxa"/>
          </w:tblCellMar>
        </w:tblPrEx>
        <w:trPr>
          <w:trHeight w:val="284" w:hRule="atLeast"/>
        </w:trPr>
        <w:tc>
          <w:tcPr>
            <w:tcW w:w="6949" w:type="dxa"/>
            <w:vMerge w:val="continue"/>
            <w:tcBorders>
              <w:top w:val="nil"/>
              <w:left w:val="single" w:color="000000" w:sz="4" w:space="0"/>
              <w:bottom w:val="single" w:color="000000" w:sz="4" w:space="0"/>
              <w:right w:val="single" w:color="000000" w:sz="4" w:space="0"/>
            </w:tcBorders>
          </w:tcPr>
          <w:p>
            <w:pPr>
              <w:spacing w:after="160" w:line="360" w:lineRule="auto"/>
              <w:ind w:left="0" w:firstLine="0"/>
              <w:rPr>
                <w:sz w:val="21"/>
                <w:szCs w:val="21"/>
              </w:rPr>
            </w:pPr>
          </w:p>
        </w:tc>
        <w:tc>
          <w:tcPr>
            <w:tcW w:w="2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 w:val="21"/>
                <w:szCs w:val="21"/>
              </w:rPr>
            </w:pPr>
          </w:p>
        </w:tc>
        <w:tc>
          <w:tcPr>
            <w:tcW w:w="24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 w:val="21"/>
                <w:szCs w:val="21"/>
              </w:rPr>
            </w:pPr>
          </w:p>
        </w:tc>
        <w:tc>
          <w:tcPr>
            <w:tcW w:w="188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 w:val="21"/>
                <w:szCs w:val="21"/>
              </w:rPr>
            </w:pP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 w:val="21"/>
                <w:szCs w:val="21"/>
              </w:rPr>
            </w:pPr>
          </w:p>
        </w:tc>
      </w:tr>
      <w:tr>
        <w:tblPrEx>
          <w:tblCellMar>
            <w:top w:w="36" w:type="dxa"/>
            <w:left w:w="107" w:type="dxa"/>
            <w:bottom w:w="0" w:type="dxa"/>
            <w:right w:w="2" w:type="dxa"/>
          </w:tblCellMar>
        </w:tblPrEx>
        <w:trPr>
          <w:trHeight w:val="1553" w:hRule="atLeast"/>
        </w:trPr>
        <w:tc>
          <w:tcPr>
            <w:tcW w:w="6949" w:type="dxa"/>
            <w:tcBorders>
              <w:top w:val="single" w:color="000000" w:sz="4" w:space="0"/>
              <w:left w:val="single" w:color="000000" w:sz="4" w:space="0"/>
              <w:bottom w:val="single" w:color="000000" w:sz="4" w:space="0"/>
              <w:right w:val="single" w:color="000000" w:sz="4" w:space="0"/>
            </w:tcBorders>
            <w:shd w:val="clear" w:color="auto" w:fill="auto"/>
          </w:tcPr>
          <w:p>
            <w:pPr>
              <w:spacing w:after="0" w:line="360" w:lineRule="auto"/>
              <w:ind w:left="1" w:firstLine="0"/>
              <w:jc w:val="both"/>
              <w:rPr>
                <w:sz w:val="21"/>
                <w:szCs w:val="21"/>
              </w:rPr>
            </w:pPr>
            <w:r>
              <w:rPr>
                <w:rFonts w:hint="eastAsia"/>
                <w:sz w:val="21"/>
                <w:szCs w:val="21"/>
              </w:rPr>
              <w:t xml:space="preserve">1.具备《政府采购法》第二十二条所规定的条件。已提供以下材料： </w:t>
            </w:r>
          </w:p>
          <w:p>
            <w:pPr>
              <w:numPr>
                <w:ilvl w:val="0"/>
                <w:numId w:val="4"/>
              </w:numPr>
              <w:spacing w:after="0" w:line="360" w:lineRule="auto"/>
              <w:ind w:firstLine="0"/>
              <w:rPr>
                <w:sz w:val="21"/>
                <w:szCs w:val="21"/>
              </w:rPr>
            </w:pPr>
            <w:r>
              <w:rPr>
                <w:rFonts w:hint="eastAsia"/>
                <w:sz w:val="21"/>
                <w:szCs w:val="21"/>
              </w:rPr>
              <w:t xml:space="preserve">上一年度财务报告或报表复印件（自然人除外）或银行出具的资信证明；投标人为新成立的，提供成立至今的月或季度财务报告或报表复印件。 </w:t>
            </w:r>
          </w:p>
          <w:p>
            <w:pPr>
              <w:numPr>
                <w:ilvl w:val="0"/>
                <w:numId w:val="4"/>
              </w:numPr>
              <w:spacing w:after="0" w:line="360" w:lineRule="auto"/>
              <w:ind w:firstLine="0"/>
              <w:rPr>
                <w:sz w:val="21"/>
                <w:szCs w:val="21"/>
              </w:rPr>
            </w:pPr>
            <w:r>
              <w:rPr>
                <w:rFonts w:hint="eastAsia"/>
                <w:sz w:val="21"/>
                <w:szCs w:val="21"/>
              </w:rPr>
              <w:t xml:space="preserve">投标截止前六个月内任意一个月缴纳税收的凭据证明材料复印件；如依法免税的，应提供相应文件证明其依法免税； </w:t>
            </w:r>
          </w:p>
          <w:p>
            <w:pPr>
              <w:numPr>
                <w:ilvl w:val="0"/>
                <w:numId w:val="4"/>
              </w:numPr>
              <w:spacing w:after="0" w:line="360" w:lineRule="auto"/>
              <w:ind w:firstLine="0"/>
              <w:rPr>
                <w:sz w:val="21"/>
                <w:szCs w:val="21"/>
              </w:rPr>
            </w:pPr>
            <w:r>
              <w:rPr>
                <w:rFonts w:hint="eastAsia"/>
                <w:sz w:val="21"/>
                <w:szCs w:val="21"/>
              </w:rPr>
              <w:t xml:space="preserve">投标截止前六个月内任意一个月开具的缴纳社会保险的凭据证明材料复印件；如依法不需要缴纳社会保障资金的，应提供相应文件证明其依法不需要缴纳社会保障资金； </w:t>
            </w:r>
          </w:p>
          <w:p>
            <w:pPr>
              <w:numPr>
                <w:ilvl w:val="0"/>
                <w:numId w:val="4"/>
              </w:numPr>
              <w:spacing w:after="0" w:line="360" w:lineRule="auto"/>
              <w:ind w:firstLine="0"/>
              <w:rPr>
                <w:sz w:val="21"/>
                <w:szCs w:val="21"/>
              </w:rPr>
            </w:pPr>
            <w:r>
              <w:rPr>
                <w:rFonts w:hint="eastAsia"/>
                <w:sz w:val="21"/>
                <w:szCs w:val="21"/>
              </w:rPr>
              <w:t>提供具有履行合同所必需的设备和专业技术能力的书面声明</w:t>
            </w:r>
          </w:p>
          <w:p>
            <w:pPr>
              <w:numPr>
                <w:ilvl w:val="0"/>
                <w:numId w:val="4"/>
              </w:numPr>
              <w:spacing w:after="0" w:line="360" w:lineRule="auto"/>
              <w:ind w:firstLine="0"/>
              <w:rPr>
                <w:sz w:val="21"/>
                <w:szCs w:val="21"/>
              </w:rPr>
            </w:pPr>
            <w:r>
              <w:rPr>
                <w:rFonts w:hint="eastAsia"/>
                <w:sz w:val="21"/>
                <w:szCs w:val="21"/>
              </w:rPr>
              <w:t xml:space="preserve">提供参加政府采购活动前3年内在经营活动中没有重大违法记录的书面声明 </w:t>
            </w:r>
          </w:p>
        </w:tc>
        <w:tc>
          <w:tcPr>
            <w:tcW w:w="2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1" w:firstLine="0"/>
              <w:rPr>
                <w:sz w:val="21"/>
                <w:szCs w:val="21"/>
              </w:rPr>
            </w:pPr>
          </w:p>
        </w:tc>
        <w:tc>
          <w:tcPr>
            <w:tcW w:w="2400"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firstLine="0"/>
              <w:rPr>
                <w:sz w:val="21"/>
                <w:szCs w:val="21"/>
              </w:rPr>
            </w:pPr>
          </w:p>
        </w:tc>
        <w:tc>
          <w:tcPr>
            <w:tcW w:w="1883"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1" w:firstLine="0"/>
              <w:rPr>
                <w:sz w:val="21"/>
                <w:szCs w:val="21"/>
              </w:rPr>
            </w:pPr>
          </w:p>
        </w:tc>
        <w:tc>
          <w:tcPr>
            <w:tcW w:w="1893"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1" w:firstLine="0"/>
              <w:rPr>
                <w:sz w:val="21"/>
                <w:szCs w:val="21"/>
              </w:rPr>
            </w:pPr>
          </w:p>
        </w:tc>
      </w:tr>
      <w:tr>
        <w:tblPrEx>
          <w:tblCellMar>
            <w:top w:w="36" w:type="dxa"/>
            <w:left w:w="107" w:type="dxa"/>
            <w:bottom w:w="0" w:type="dxa"/>
            <w:right w:w="2" w:type="dxa"/>
          </w:tblCellMar>
        </w:tblPrEx>
        <w:trPr>
          <w:trHeight w:val="305" w:hRule="atLeast"/>
        </w:trPr>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ind w:left="1" w:firstLine="0"/>
              <w:rPr>
                <w:sz w:val="21"/>
                <w:szCs w:val="21"/>
              </w:rPr>
            </w:pPr>
            <w:r>
              <w:rPr>
                <w:rFonts w:hint="eastAsia"/>
                <w:sz w:val="21"/>
                <w:szCs w:val="21"/>
              </w:rPr>
              <w:t>2.供应商必须是具有独立承担民事责任能力的在中华人民共和国境内注册的法人，投标时提交有效的企业法人营业执照（或事业法人登记证）副本复印件、具备有效的安全生产许可证、建设行政主管部门核发的资质等级证书副本复印件（加盖单位章）</w:t>
            </w:r>
          </w:p>
          <w:p>
            <w:pPr>
              <w:spacing w:after="0" w:line="360" w:lineRule="auto"/>
              <w:ind w:left="1" w:firstLine="0"/>
              <w:rPr>
                <w:sz w:val="21"/>
                <w:szCs w:val="21"/>
              </w:rPr>
            </w:pPr>
            <w:r>
              <w:rPr>
                <w:rFonts w:hint="eastAsia"/>
                <w:sz w:val="21"/>
                <w:szCs w:val="21"/>
              </w:rPr>
              <w:t>外地施工企业还需要提供进京备案资料复印件（加盖单位章）</w:t>
            </w:r>
          </w:p>
        </w:tc>
        <w:tc>
          <w:tcPr>
            <w:tcW w:w="2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1" w:firstLine="0"/>
              <w:rPr>
                <w:sz w:val="21"/>
                <w:szCs w:val="21"/>
              </w:rPr>
            </w:pPr>
          </w:p>
        </w:tc>
        <w:tc>
          <w:tcPr>
            <w:tcW w:w="2400"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firstLine="0"/>
              <w:rPr>
                <w:sz w:val="21"/>
                <w:szCs w:val="21"/>
              </w:rPr>
            </w:pPr>
          </w:p>
        </w:tc>
        <w:tc>
          <w:tcPr>
            <w:tcW w:w="1883"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1" w:firstLine="0"/>
              <w:rPr>
                <w:sz w:val="21"/>
                <w:szCs w:val="21"/>
              </w:rPr>
            </w:pPr>
          </w:p>
        </w:tc>
        <w:tc>
          <w:tcPr>
            <w:tcW w:w="1893"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1" w:firstLine="0"/>
              <w:rPr>
                <w:sz w:val="21"/>
                <w:szCs w:val="21"/>
              </w:rPr>
            </w:pPr>
          </w:p>
        </w:tc>
      </w:tr>
      <w:tr>
        <w:tblPrEx>
          <w:tblCellMar>
            <w:top w:w="36" w:type="dxa"/>
            <w:left w:w="107" w:type="dxa"/>
            <w:bottom w:w="0" w:type="dxa"/>
            <w:right w:w="2" w:type="dxa"/>
          </w:tblCellMar>
        </w:tblPrEx>
        <w:trPr>
          <w:trHeight w:val="208" w:hRule="atLeast"/>
        </w:trPr>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ind w:left="1" w:firstLine="0"/>
              <w:rPr>
                <w:sz w:val="21"/>
                <w:szCs w:val="21"/>
              </w:rPr>
            </w:pPr>
            <w:r>
              <w:rPr>
                <w:rFonts w:hint="eastAsia"/>
                <w:sz w:val="21"/>
                <w:szCs w:val="21"/>
              </w:rPr>
              <w:t>3</w:t>
            </w:r>
            <w:r>
              <w:rPr>
                <w:sz w:val="21"/>
                <w:szCs w:val="21"/>
              </w:rPr>
              <w:t>.</w:t>
            </w:r>
            <w:r>
              <w:rPr>
                <w:rFonts w:hint="eastAsia"/>
                <w:sz w:val="21"/>
                <w:szCs w:val="21"/>
              </w:rPr>
              <w:t>建设行政主管部门核发的建造师执业资格证书、注册证书和有效的安全生产考核合格证书复印件并加单位章；同时提供拟派项目经理在确定中标人时不得担任其他在施建设工程项目的项目经理的承诺书（承诺书需加盖单位公章且由法定代表人签字）</w:t>
            </w:r>
          </w:p>
        </w:tc>
        <w:tc>
          <w:tcPr>
            <w:tcW w:w="2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1" w:firstLine="0"/>
              <w:rPr>
                <w:sz w:val="21"/>
                <w:szCs w:val="21"/>
              </w:rPr>
            </w:pPr>
          </w:p>
        </w:tc>
        <w:tc>
          <w:tcPr>
            <w:tcW w:w="2400"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firstLine="0"/>
              <w:rPr>
                <w:sz w:val="21"/>
                <w:szCs w:val="21"/>
              </w:rPr>
            </w:pPr>
          </w:p>
        </w:tc>
        <w:tc>
          <w:tcPr>
            <w:tcW w:w="1883"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1" w:firstLine="0"/>
              <w:rPr>
                <w:sz w:val="21"/>
                <w:szCs w:val="21"/>
              </w:rPr>
            </w:pPr>
          </w:p>
        </w:tc>
        <w:tc>
          <w:tcPr>
            <w:tcW w:w="1893"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1" w:firstLine="0"/>
              <w:rPr>
                <w:sz w:val="21"/>
                <w:szCs w:val="21"/>
              </w:rPr>
            </w:pPr>
          </w:p>
        </w:tc>
      </w:tr>
      <w:tr>
        <w:tblPrEx>
          <w:tblCellMar>
            <w:top w:w="36" w:type="dxa"/>
            <w:left w:w="107" w:type="dxa"/>
            <w:bottom w:w="0" w:type="dxa"/>
            <w:right w:w="2" w:type="dxa"/>
          </w:tblCellMar>
        </w:tblPrEx>
        <w:trPr>
          <w:trHeight w:val="208" w:hRule="atLeast"/>
        </w:trPr>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ind w:left="1" w:firstLine="0"/>
              <w:rPr>
                <w:sz w:val="21"/>
                <w:szCs w:val="21"/>
              </w:rPr>
            </w:pPr>
            <w:r>
              <w:rPr>
                <w:rFonts w:hint="eastAsia"/>
                <w:sz w:val="21"/>
                <w:szCs w:val="21"/>
              </w:rPr>
              <w:t>4</w:t>
            </w:r>
            <w:r>
              <w:rPr>
                <w:sz w:val="21"/>
                <w:szCs w:val="21"/>
              </w:rPr>
              <w:t>.提供“ 信用中国” 网站（ www.creditchina.gov.cn） 和中国政府采购网（www.ccgp.gov.cn）的信用信息查询记录截图，并加盖投标人公章（查询时间范围应为本项目招标公告刊登之日至投标截止日之间）。</w:t>
            </w:r>
          </w:p>
        </w:tc>
        <w:tc>
          <w:tcPr>
            <w:tcW w:w="2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1" w:firstLine="0"/>
              <w:rPr>
                <w:sz w:val="21"/>
                <w:szCs w:val="21"/>
              </w:rPr>
            </w:pPr>
          </w:p>
        </w:tc>
        <w:tc>
          <w:tcPr>
            <w:tcW w:w="2400"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firstLine="0"/>
              <w:rPr>
                <w:sz w:val="21"/>
                <w:szCs w:val="21"/>
              </w:rPr>
            </w:pPr>
          </w:p>
        </w:tc>
        <w:tc>
          <w:tcPr>
            <w:tcW w:w="1883"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1" w:firstLine="0"/>
              <w:rPr>
                <w:sz w:val="21"/>
                <w:szCs w:val="21"/>
              </w:rPr>
            </w:pPr>
          </w:p>
        </w:tc>
        <w:tc>
          <w:tcPr>
            <w:tcW w:w="1893"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1" w:firstLine="0"/>
              <w:rPr>
                <w:sz w:val="21"/>
                <w:szCs w:val="21"/>
              </w:rPr>
            </w:pPr>
          </w:p>
        </w:tc>
      </w:tr>
      <w:tr>
        <w:tblPrEx>
          <w:tblCellMar>
            <w:top w:w="36" w:type="dxa"/>
            <w:left w:w="107" w:type="dxa"/>
            <w:bottom w:w="0" w:type="dxa"/>
            <w:right w:w="2" w:type="dxa"/>
          </w:tblCellMar>
        </w:tblPrEx>
        <w:trPr>
          <w:trHeight w:val="208" w:hRule="atLeast"/>
        </w:trPr>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ind w:left="1" w:firstLine="0"/>
              <w:rPr>
                <w:sz w:val="21"/>
                <w:szCs w:val="21"/>
              </w:rPr>
            </w:pPr>
            <w:r>
              <w:rPr>
                <w:sz w:val="21"/>
                <w:szCs w:val="21"/>
              </w:rPr>
              <w:t>5</w:t>
            </w:r>
            <w:r>
              <w:rPr>
                <w:rFonts w:hint="eastAsia"/>
                <w:sz w:val="21"/>
                <w:szCs w:val="21"/>
              </w:rPr>
              <w:t>. 非联合体投标。</w:t>
            </w:r>
          </w:p>
        </w:tc>
        <w:tc>
          <w:tcPr>
            <w:tcW w:w="2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1" w:firstLine="0"/>
              <w:rPr>
                <w:sz w:val="21"/>
                <w:szCs w:val="21"/>
              </w:rPr>
            </w:pPr>
          </w:p>
        </w:tc>
        <w:tc>
          <w:tcPr>
            <w:tcW w:w="2400"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firstLine="0"/>
              <w:rPr>
                <w:sz w:val="21"/>
                <w:szCs w:val="21"/>
              </w:rPr>
            </w:pPr>
          </w:p>
        </w:tc>
        <w:tc>
          <w:tcPr>
            <w:tcW w:w="1883"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1" w:firstLine="0"/>
              <w:rPr>
                <w:sz w:val="21"/>
                <w:szCs w:val="21"/>
              </w:rPr>
            </w:pPr>
          </w:p>
        </w:tc>
        <w:tc>
          <w:tcPr>
            <w:tcW w:w="1893"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1" w:firstLine="0"/>
              <w:rPr>
                <w:sz w:val="21"/>
                <w:szCs w:val="21"/>
              </w:rPr>
            </w:pPr>
          </w:p>
        </w:tc>
      </w:tr>
      <w:tr>
        <w:tblPrEx>
          <w:tblCellMar>
            <w:top w:w="36" w:type="dxa"/>
            <w:left w:w="107" w:type="dxa"/>
            <w:bottom w:w="0" w:type="dxa"/>
            <w:right w:w="2" w:type="dxa"/>
          </w:tblCellMar>
        </w:tblPrEx>
        <w:trPr>
          <w:trHeight w:val="497" w:hRule="atLeast"/>
        </w:trPr>
        <w:tc>
          <w:tcPr>
            <w:tcW w:w="6949" w:type="dxa"/>
            <w:tcBorders>
              <w:top w:val="single" w:color="000000" w:sz="4" w:space="0"/>
              <w:left w:val="single" w:color="000000" w:sz="4" w:space="0"/>
              <w:bottom w:val="single" w:color="000000" w:sz="4" w:space="0"/>
              <w:right w:val="single" w:color="000000" w:sz="4" w:space="0"/>
            </w:tcBorders>
            <w:shd w:val="clear" w:color="auto" w:fill="auto"/>
          </w:tcPr>
          <w:p>
            <w:pPr>
              <w:spacing w:after="0" w:line="360" w:lineRule="auto"/>
              <w:ind w:left="1" w:firstLine="0"/>
              <w:rPr>
                <w:sz w:val="21"/>
                <w:szCs w:val="21"/>
              </w:rPr>
            </w:pPr>
            <w:r>
              <w:rPr>
                <w:sz w:val="21"/>
                <w:szCs w:val="21"/>
              </w:rPr>
              <w:t>6</w:t>
            </w:r>
            <w:r>
              <w:rPr>
                <w:rFonts w:hint="eastAsia"/>
                <w:sz w:val="21"/>
                <w:szCs w:val="21"/>
              </w:rPr>
              <w:t>. 未列入失信被执行人、重大税收违法案件当事人名单、政府采购严重违法失信行为记录名单及其他不符合《中华人民共和国政府采购法》第二十二条规定条件的供应商，提供信用中国网站 http：//www.creditchina.gov.cn/或中国政府</w:t>
            </w:r>
          </w:p>
          <w:p>
            <w:pPr>
              <w:spacing w:after="0" w:line="360" w:lineRule="auto"/>
              <w:ind w:left="1" w:firstLine="0"/>
              <w:jc w:val="both"/>
              <w:rPr>
                <w:sz w:val="21"/>
                <w:szCs w:val="21"/>
              </w:rPr>
            </w:pPr>
            <w:r>
              <w:rPr>
                <w:rFonts w:hint="eastAsia"/>
                <w:sz w:val="21"/>
                <w:szCs w:val="21"/>
              </w:rPr>
              <w:t xml:space="preserve">采购网www.ccgp.gov.cn查询结果截图并加盖公章 </w:t>
            </w:r>
          </w:p>
        </w:tc>
        <w:tc>
          <w:tcPr>
            <w:tcW w:w="2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1" w:firstLine="0"/>
              <w:rPr>
                <w:sz w:val="21"/>
                <w:szCs w:val="21"/>
              </w:rPr>
            </w:pPr>
          </w:p>
        </w:tc>
        <w:tc>
          <w:tcPr>
            <w:tcW w:w="2400"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firstLine="0"/>
              <w:rPr>
                <w:sz w:val="21"/>
                <w:szCs w:val="21"/>
              </w:rPr>
            </w:pPr>
          </w:p>
        </w:tc>
        <w:tc>
          <w:tcPr>
            <w:tcW w:w="1883"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1" w:firstLine="0"/>
              <w:rPr>
                <w:sz w:val="21"/>
                <w:szCs w:val="21"/>
              </w:rPr>
            </w:pPr>
          </w:p>
        </w:tc>
        <w:tc>
          <w:tcPr>
            <w:tcW w:w="1893"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1" w:firstLine="0"/>
              <w:rPr>
                <w:sz w:val="21"/>
                <w:szCs w:val="21"/>
              </w:rPr>
            </w:pPr>
          </w:p>
        </w:tc>
      </w:tr>
      <w:tr>
        <w:tblPrEx>
          <w:tblCellMar>
            <w:top w:w="36" w:type="dxa"/>
            <w:left w:w="107" w:type="dxa"/>
            <w:bottom w:w="0" w:type="dxa"/>
            <w:right w:w="2" w:type="dxa"/>
          </w:tblCellMar>
        </w:tblPrEx>
        <w:trPr>
          <w:trHeight w:val="179" w:hRule="atLeast"/>
        </w:trPr>
        <w:tc>
          <w:tcPr>
            <w:tcW w:w="6949" w:type="dxa"/>
            <w:tcBorders>
              <w:top w:val="single" w:color="000000" w:sz="4" w:space="0"/>
              <w:left w:val="single" w:color="000000" w:sz="4" w:space="0"/>
              <w:bottom w:val="single" w:color="000000" w:sz="4" w:space="0"/>
              <w:right w:val="single" w:color="000000" w:sz="4" w:space="0"/>
            </w:tcBorders>
            <w:vAlign w:val="center"/>
          </w:tcPr>
          <w:p>
            <w:pPr>
              <w:spacing w:before="60" w:beforeLines="25" w:after="60" w:afterLines="25"/>
              <w:rPr>
                <w:rFonts w:cs="Arial"/>
                <w:sz w:val="21"/>
                <w:szCs w:val="21"/>
              </w:rPr>
            </w:pPr>
            <w:r>
              <w:rPr>
                <w:rFonts w:hint="eastAsia" w:cs="Arial"/>
                <w:sz w:val="21"/>
                <w:szCs w:val="21"/>
              </w:rPr>
              <w:t>资格评审结论：</w:t>
            </w:r>
          </w:p>
          <w:p>
            <w:pPr>
              <w:spacing w:after="0" w:line="360" w:lineRule="auto"/>
              <w:ind w:left="0" w:right="104" w:firstLine="0"/>
              <w:rPr>
                <w:sz w:val="21"/>
                <w:szCs w:val="21"/>
              </w:rPr>
            </w:pPr>
            <w:r>
              <w:rPr>
                <w:rFonts w:hint="eastAsia" w:cs="Arial"/>
                <w:sz w:val="21"/>
                <w:szCs w:val="21"/>
              </w:rPr>
              <w:t>通过资格评审标注为√；未通过资格评审标注为×</w:t>
            </w:r>
          </w:p>
        </w:tc>
        <w:tc>
          <w:tcPr>
            <w:tcW w:w="2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1" w:firstLine="0"/>
              <w:rPr>
                <w:sz w:val="21"/>
                <w:szCs w:val="21"/>
              </w:rPr>
            </w:pPr>
          </w:p>
        </w:tc>
        <w:tc>
          <w:tcPr>
            <w:tcW w:w="2400"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firstLine="0"/>
              <w:rPr>
                <w:sz w:val="21"/>
                <w:szCs w:val="21"/>
              </w:rPr>
            </w:pPr>
          </w:p>
        </w:tc>
        <w:tc>
          <w:tcPr>
            <w:tcW w:w="1883"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1" w:firstLine="0"/>
              <w:rPr>
                <w:sz w:val="21"/>
                <w:szCs w:val="21"/>
              </w:rPr>
            </w:pPr>
          </w:p>
        </w:tc>
        <w:tc>
          <w:tcPr>
            <w:tcW w:w="1893"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1" w:firstLine="0"/>
              <w:rPr>
                <w:sz w:val="21"/>
                <w:szCs w:val="21"/>
              </w:rPr>
            </w:pPr>
          </w:p>
        </w:tc>
      </w:tr>
    </w:tbl>
    <w:p>
      <w:pPr>
        <w:spacing w:line="360" w:lineRule="auto"/>
        <w:rPr>
          <w:szCs w:val="24"/>
        </w:rPr>
      </w:pPr>
    </w:p>
    <w:p>
      <w:pPr>
        <w:spacing w:line="360" w:lineRule="auto"/>
        <w:rPr>
          <w:szCs w:val="24"/>
        </w:rPr>
      </w:pPr>
    </w:p>
    <w:p>
      <w:pPr>
        <w:spacing w:line="360" w:lineRule="auto"/>
        <w:rPr>
          <w:szCs w:val="24"/>
        </w:rPr>
      </w:pPr>
      <w:r>
        <w:rPr>
          <w:rFonts w:hint="eastAsia"/>
          <w:szCs w:val="24"/>
        </w:rPr>
        <w:t>评标专家签字：                                                                         日期：</w:t>
      </w:r>
    </w:p>
    <w:p>
      <w:pPr>
        <w:spacing w:line="360" w:lineRule="auto"/>
        <w:rPr>
          <w:szCs w:val="24"/>
        </w:rPr>
        <w:sectPr>
          <w:pgSz w:w="16838" w:h="11906" w:orient="landscape"/>
          <w:pgMar w:top="720" w:right="720" w:bottom="720" w:left="720" w:header="708" w:footer="708" w:gutter="0"/>
          <w:cols w:space="708" w:num="1"/>
          <w:docGrid w:linePitch="360" w:charSpace="0"/>
        </w:sectPr>
      </w:pPr>
    </w:p>
    <w:p>
      <w:pPr>
        <w:pStyle w:val="4"/>
        <w:spacing w:before="120" w:beforeLines="50" w:after="120" w:afterLines="50" w:line="360" w:lineRule="auto"/>
        <w:jc w:val="left"/>
        <w:rPr>
          <w:rFonts w:ascii="宋体" w:hAnsi="宋体" w:eastAsia="宋体" w:cs="宋体"/>
          <w:b/>
          <w:bCs/>
          <w:sz w:val="24"/>
          <w:szCs w:val="24"/>
        </w:rPr>
      </w:pPr>
      <w:bookmarkStart w:id="225" w:name="_Toc77206869"/>
      <w:bookmarkStart w:id="226" w:name="_Toc86825522"/>
      <w:bookmarkStart w:id="227" w:name="_Toc79057534"/>
      <w:bookmarkStart w:id="228" w:name="_Toc12318"/>
      <w:r>
        <w:rPr>
          <w:rFonts w:hint="eastAsia" w:ascii="宋体" w:hAnsi="宋体" w:eastAsia="宋体"/>
          <w:bCs/>
          <w:sz w:val="24"/>
          <w:szCs w:val="24"/>
        </w:rPr>
        <w:t>附表三：</w:t>
      </w:r>
      <w:bookmarkEnd w:id="225"/>
      <w:r>
        <w:rPr>
          <w:rFonts w:hint="eastAsia" w:ascii="宋体" w:hAnsi="宋体" w:eastAsia="宋体" w:cs="宋体"/>
          <w:b/>
          <w:bCs/>
          <w:sz w:val="24"/>
          <w:szCs w:val="24"/>
        </w:rPr>
        <w:t>响应性评审记录表</w:t>
      </w:r>
      <w:bookmarkEnd w:id="226"/>
      <w:bookmarkEnd w:id="227"/>
    </w:p>
    <w:bookmarkEnd w:id="228"/>
    <w:p>
      <w:pPr>
        <w:tabs>
          <w:tab w:val="left" w:pos="4680"/>
        </w:tabs>
        <w:spacing w:after="120" w:afterLines="50" w:line="300" w:lineRule="auto"/>
        <w:jc w:val="center"/>
        <w:rPr>
          <w:rFonts w:cs="Arial"/>
          <w:b/>
          <w:bCs/>
          <w:sz w:val="28"/>
          <w:szCs w:val="28"/>
        </w:rPr>
      </w:pPr>
      <w:r>
        <w:rPr>
          <w:rFonts w:hint="eastAsia" w:cs="Arial"/>
          <w:b/>
          <w:bCs/>
          <w:sz w:val="28"/>
          <w:szCs w:val="28"/>
        </w:rPr>
        <w:t>响应性评审记录表</w:t>
      </w:r>
    </w:p>
    <w:p>
      <w:pPr>
        <w:spacing w:line="360" w:lineRule="auto"/>
        <w:ind w:left="11" w:hanging="11"/>
        <w:rPr>
          <w:szCs w:val="24"/>
        </w:rPr>
      </w:pPr>
      <w:r>
        <w:rPr>
          <w:rFonts w:hint="eastAsia"/>
          <w:szCs w:val="24"/>
        </w:rPr>
        <w:t>项目名称：北京市房山区人民防空办公室加州水郡西区、中冶蓝城地下人防工程维修工程项目编号：</w:t>
      </w:r>
    </w:p>
    <w:tbl>
      <w:tblPr>
        <w:tblStyle w:val="36"/>
        <w:tblW w:w="139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7"/>
        <w:gridCol w:w="2268"/>
        <w:gridCol w:w="2977"/>
        <w:gridCol w:w="992"/>
        <w:gridCol w:w="1086"/>
        <w:gridCol w:w="1209"/>
        <w:gridCol w:w="1209"/>
        <w:gridCol w:w="1211"/>
        <w:gridCol w:w="1210"/>
        <w:gridCol w:w="12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6" w:hRule="atLeast"/>
        </w:trPr>
        <w:tc>
          <w:tcPr>
            <w:tcW w:w="567" w:type="dxa"/>
            <w:vMerge w:val="restart"/>
            <w:tcBorders>
              <w:top w:val="single" w:color="auto" w:sz="4" w:space="0"/>
              <w:left w:val="single" w:color="auto" w:sz="4" w:space="0"/>
              <w:right w:val="single" w:color="auto" w:sz="4" w:space="0"/>
            </w:tcBorders>
            <w:vAlign w:val="center"/>
          </w:tcPr>
          <w:p>
            <w:pPr>
              <w:spacing w:before="60" w:beforeLines="25" w:after="60" w:afterLines="25" w:line="360" w:lineRule="auto"/>
              <w:jc w:val="center"/>
              <w:rPr>
                <w:rFonts w:cs="Arial"/>
                <w:sz w:val="21"/>
                <w:szCs w:val="21"/>
              </w:rPr>
            </w:pPr>
            <w:r>
              <w:rPr>
                <w:rFonts w:hint="eastAsia" w:cs="Arial"/>
                <w:sz w:val="21"/>
                <w:szCs w:val="21"/>
              </w:rPr>
              <w:t>序号</w:t>
            </w:r>
          </w:p>
        </w:tc>
        <w:tc>
          <w:tcPr>
            <w:tcW w:w="2268" w:type="dxa"/>
            <w:vMerge w:val="restart"/>
            <w:tcBorders>
              <w:top w:val="single" w:color="auto" w:sz="4" w:space="0"/>
              <w:left w:val="single" w:color="auto" w:sz="4" w:space="0"/>
              <w:right w:val="single" w:color="auto" w:sz="4" w:space="0"/>
            </w:tcBorders>
            <w:vAlign w:val="center"/>
          </w:tcPr>
          <w:p>
            <w:pPr>
              <w:spacing w:before="60" w:beforeLines="25" w:after="60" w:afterLines="25" w:line="360" w:lineRule="auto"/>
              <w:jc w:val="center"/>
              <w:rPr>
                <w:rFonts w:cs="Arial"/>
                <w:sz w:val="21"/>
                <w:szCs w:val="21"/>
              </w:rPr>
            </w:pPr>
            <w:r>
              <w:rPr>
                <w:rFonts w:cs="Arial"/>
                <w:sz w:val="21"/>
                <w:szCs w:val="21"/>
              </w:rPr>
              <w:t>评审</w:t>
            </w:r>
            <w:r>
              <w:rPr>
                <w:rFonts w:hint="eastAsia" w:cs="Arial"/>
                <w:sz w:val="21"/>
                <w:szCs w:val="21"/>
              </w:rPr>
              <w:t>因素</w:t>
            </w:r>
          </w:p>
        </w:tc>
        <w:tc>
          <w:tcPr>
            <w:tcW w:w="2977" w:type="dxa"/>
            <w:vMerge w:val="restart"/>
            <w:tcBorders>
              <w:top w:val="single" w:color="auto" w:sz="4" w:space="0"/>
              <w:left w:val="single" w:color="auto" w:sz="4" w:space="0"/>
            </w:tcBorders>
            <w:vAlign w:val="center"/>
          </w:tcPr>
          <w:p>
            <w:pPr>
              <w:spacing w:line="360" w:lineRule="auto"/>
              <w:jc w:val="center"/>
              <w:rPr>
                <w:rFonts w:cs="Arial"/>
                <w:sz w:val="21"/>
                <w:szCs w:val="21"/>
              </w:rPr>
            </w:pPr>
            <w:r>
              <w:rPr>
                <w:rFonts w:hint="eastAsia" w:cs="Arial"/>
                <w:sz w:val="21"/>
                <w:szCs w:val="21"/>
              </w:rPr>
              <w:t>评审标准</w:t>
            </w:r>
          </w:p>
        </w:tc>
        <w:tc>
          <w:tcPr>
            <w:tcW w:w="8126" w:type="dxa"/>
            <w:gridSpan w:val="7"/>
            <w:tcBorders>
              <w:top w:val="single" w:color="auto" w:sz="4" w:space="0"/>
              <w:left w:val="single" w:color="auto" w:sz="4" w:space="0"/>
              <w:bottom w:val="single" w:color="auto" w:sz="4" w:space="0"/>
            </w:tcBorders>
            <w:vAlign w:val="center"/>
          </w:tcPr>
          <w:p>
            <w:pPr>
              <w:spacing w:line="360" w:lineRule="auto"/>
              <w:jc w:val="center"/>
              <w:rPr>
                <w:rFonts w:cs="Arial"/>
                <w:sz w:val="21"/>
                <w:szCs w:val="21"/>
              </w:rPr>
            </w:pPr>
            <w:r>
              <w:rPr>
                <w:rFonts w:cs="Arial"/>
                <w:sz w:val="21"/>
                <w:szCs w:val="21"/>
              </w:rPr>
              <w:t>投标人名称及评审意见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67" w:type="dxa"/>
            <w:vMerge w:val="continue"/>
            <w:tcBorders>
              <w:left w:val="single" w:color="auto" w:sz="4" w:space="0"/>
              <w:bottom w:val="single" w:color="auto" w:sz="4" w:space="0"/>
              <w:right w:val="single" w:color="auto" w:sz="4" w:space="0"/>
            </w:tcBorders>
            <w:vAlign w:val="center"/>
          </w:tcPr>
          <w:p>
            <w:pPr>
              <w:spacing w:before="60" w:beforeLines="25" w:after="60" w:afterLines="25" w:line="360" w:lineRule="auto"/>
              <w:jc w:val="center"/>
              <w:rPr>
                <w:rFonts w:cs="Arial"/>
                <w:sz w:val="21"/>
                <w:szCs w:val="21"/>
              </w:rPr>
            </w:pPr>
          </w:p>
        </w:tc>
        <w:tc>
          <w:tcPr>
            <w:tcW w:w="2268" w:type="dxa"/>
            <w:vMerge w:val="continue"/>
            <w:tcBorders>
              <w:left w:val="single" w:color="auto" w:sz="4" w:space="0"/>
              <w:bottom w:val="single" w:color="auto" w:sz="4" w:space="0"/>
              <w:right w:val="single" w:color="auto" w:sz="4" w:space="0"/>
            </w:tcBorders>
            <w:vAlign w:val="center"/>
          </w:tcPr>
          <w:p>
            <w:pPr>
              <w:spacing w:before="60" w:beforeLines="25" w:after="60" w:afterLines="25" w:line="360" w:lineRule="auto"/>
              <w:jc w:val="center"/>
              <w:rPr>
                <w:rFonts w:cs="Arial"/>
                <w:sz w:val="21"/>
                <w:szCs w:val="21"/>
              </w:rPr>
            </w:pPr>
          </w:p>
        </w:tc>
        <w:tc>
          <w:tcPr>
            <w:tcW w:w="2977" w:type="dxa"/>
            <w:vMerge w:val="continue"/>
            <w:tcBorders>
              <w:left w:val="single" w:color="auto" w:sz="4" w:space="0"/>
              <w:bottom w:val="single" w:color="auto" w:sz="4" w:space="0"/>
              <w:right w:val="single" w:color="auto" w:sz="4" w:space="0"/>
            </w:tcBorders>
            <w:vAlign w:val="center"/>
          </w:tcPr>
          <w:p>
            <w:pPr>
              <w:spacing w:before="60" w:beforeLines="25" w:after="60" w:afterLines="25" w:line="360" w:lineRule="auto"/>
              <w:rPr>
                <w:rFonts w:cs="Arial"/>
                <w:sz w:val="21"/>
                <w:szCs w:val="21"/>
              </w:rPr>
            </w:pPr>
          </w:p>
        </w:tc>
        <w:tc>
          <w:tcPr>
            <w:tcW w:w="992"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cs="Arial"/>
                <w:sz w:val="21"/>
                <w:szCs w:val="21"/>
              </w:rPr>
            </w:pPr>
          </w:p>
        </w:tc>
        <w:tc>
          <w:tcPr>
            <w:tcW w:w="1086"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cs="Arial"/>
                <w:sz w:val="21"/>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cs="Arial"/>
                <w:sz w:val="2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rPr>
                <w:rFonts w:cs="Arial"/>
                <w:sz w:val="21"/>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rPr>
                <w:rFonts w:cs="Arial"/>
                <w:sz w:val="21"/>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rPr>
                <w:rFonts w:cs="Arial"/>
                <w:sz w:val="21"/>
                <w:szCs w:val="21"/>
              </w:rPr>
            </w:pPr>
          </w:p>
        </w:tc>
        <w:tc>
          <w:tcPr>
            <w:tcW w:w="1209" w:type="dxa"/>
            <w:tcBorders>
              <w:top w:val="nil"/>
              <w:left w:val="single" w:color="auto" w:sz="4" w:space="0"/>
              <w:bottom w:val="single" w:color="auto" w:sz="4" w:space="0"/>
              <w:right w:val="single" w:color="auto" w:sz="4" w:space="0"/>
            </w:tcBorders>
            <w:vAlign w:val="center"/>
          </w:tcPr>
          <w:p>
            <w:pPr>
              <w:spacing w:before="60" w:beforeLines="25" w:after="60" w:afterLines="25" w:line="360" w:lineRule="auto"/>
              <w:rPr>
                <w:rFonts w:cs="Arial"/>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jc w:val="center"/>
              <w:rPr>
                <w:rFonts w:cs="Arial"/>
                <w:sz w:val="21"/>
                <w:szCs w:val="21"/>
              </w:rPr>
            </w:pPr>
            <w:r>
              <w:rPr>
                <w:rFonts w:hint="eastAsia" w:cs="Arial"/>
                <w:sz w:val="21"/>
                <w:szCs w:val="21"/>
              </w:rPr>
              <w:t>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rPr>
                <w:sz w:val="21"/>
                <w:szCs w:val="21"/>
              </w:rPr>
            </w:pPr>
            <w:r>
              <w:rPr>
                <w:sz w:val="21"/>
                <w:szCs w:val="21"/>
              </w:rPr>
              <w:t>投标人名称</w:t>
            </w:r>
          </w:p>
        </w:tc>
        <w:tc>
          <w:tcPr>
            <w:tcW w:w="297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rPr>
                <w:rFonts w:cs="Arial"/>
                <w:sz w:val="21"/>
                <w:szCs w:val="21"/>
              </w:rPr>
            </w:pPr>
            <w:r>
              <w:rPr>
                <w:sz w:val="21"/>
                <w:szCs w:val="21"/>
              </w:rPr>
              <w:t>与营业执照、资质证书</w:t>
            </w:r>
            <w:r>
              <w:rPr>
                <w:rFonts w:hint="eastAsia"/>
                <w:sz w:val="21"/>
                <w:szCs w:val="21"/>
              </w:rPr>
              <w:t>、安全生产许可证</w:t>
            </w:r>
            <w:r>
              <w:rPr>
                <w:sz w:val="21"/>
                <w:szCs w:val="21"/>
              </w:rPr>
              <w:t>一致</w:t>
            </w:r>
          </w:p>
        </w:tc>
        <w:tc>
          <w:tcPr>
            <w:tcW w:w="992"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cs="Arial"/>
                <w:sz w:val="21"/>
                <w:szCs w:val="21"/>
              </w:rPr>
            </w:pPr>
          </w:p>
        </w:tc>
        <w:tc>
          <w:tcPr>
            <w:tcW w:w="1086"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cs="Arial"/>
                <w:sz w:val="21"/>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cs="Arial"/>
                <w:sz w:val="2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rPr>
                <w:rFonts w:cs="Arial"/>
                <w:sz w:val="21"/>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rPr>
                <w:rFonts w:cs="Arial"/>
                <w:sz w:val="21"/>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rPr>
                <w:rFonts w:cs="Arial"/>
                <w:sz w:val="2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rPr>
                <w:rFonts w:cs="Arial"/>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877"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jc w:val="center"/>
              <w:rPr>
                <w:rFonts w:cs="Arial"/>
                <w:sz w:val="21"/>
                <w:szCs w:val="21"/>
              </w:rPr>
            </w:pPr>
            <w:r>
              <w:rPr>
                <w:rFonts w:cs="Arial"/>
                <w:sz w:val="21"/>
                <w:szCs w:val="21"/>
              </w:rPr>
              <w:t>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rPr>
                <w:sz w:val="21"/>
                <w:szCs w:val="21"/>
              </w:rPr>
            </w:pPr>
            <w:r>
              <w:rPr>
                <w:sz w:val="21"/>
                <w:szCs w:val="21"/>
              </w:rPr>
              <w:t>投标文件格式</w:t>
            </w:r>
          </w:p>
        </w:tc>
        <w:tc>
          <w:tcPr>
            <w:tcW w:w="297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rPr>
                <w:rFonts w:cs="Arial"/>
                <w:sz w:val="21"/>
                <w:szCs w:val="21"/>
              </w:rPr>
            </w:pPr>
            <w:r>
              <w:rPr>
                <w:sz w:val="21"/>
                <w:szCs w:val="21"/>
              </w:rPr>
              <w:t>符合第</w:t>
            </w:r>
            <w:r>
              <w:rPr>
                <w:rFonts w:hint="eastAsia"/>
                <w:sz w:val="21"/>
                <w:szCs w:val="21"/>
              </w:rPr>
              <w:t>五</w:t>
            </w:r>
            <w:r>
              <w:rPr>
                <w:sz w:val="21"/>
                <w:szCs w:val="21"/>
              </w:rPr>
              <w:t>章“</w:t>
            </w:r>
            <w:r>
              <w:rPr>
                <w:rFonts w:hint="eastAsia"/>
                <w:sz w:val="21"/>
                <w:szCs w:val="21"/>
              </w:rPr>
              <w:t>响应文件格式</w:t>
            </w:r>
            <w:r>
              <w:rPr>
                <w:sz w:val="21"/>
                <w:szCs w:val="21"/>
              </w:rPr>
              <w:t>”的要求</w:t>
            </w:r>
          </w:p>
        </w:tc>
        <w:tc>
          <w:tcPr>
            <w:tcW w:w="992"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cs="Arial"/>
                <w:sz w:val="21"/>
                <w:szCs w:val="21"/>
              </w:rPr>
            </w:pPr>
          </w:p>
        </w:tc>
        <w:tc>
          <w:tcPr>
            <w:tcW w:w="1086"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cs="Arial"/>
                <w:sz w:val="21"/>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cs="Arial"/>
                <w:sz w:val="2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rPr>
                <w:rFonts w:cs="Arial"/>
                <w:sz w:val="21"/>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rPr>
                <w:rFonts w:cs="Arial"/>
                <w:sz w:val="21"/>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rPr>
                <w:rFonts w:cs="Arial"/>
                <w:sz w:val="2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rPr>
                <w:rFonts w:cs="Arial"/>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3"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jc w:val="center"/>
              <w:rPr>
                <w:rFonts w:cs="Arial"/>
                <w:sz w:val="21"/>
                <w:szCs w:val="21"/>
              </w:rPr>
            </w:pPr>
            <w:r>
              <w:rPr>
                <w:rFonts w:hint="eastAsia" w:cs="Arial"/>
                <w:sz w:val="21"/>
                <w:szCs w:val="21"/>
              </w:rPr>
              <w:t>3</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rPr>
                <w:sz w:val="21"/>
                <w:szCs w:val="21"/>
              </w:rPr>
            </w:pPr>
            <w:r>
              <w:rPr>
                <w:rFonts w:hint="eastAsia"/>
                <w:sz w:val="21"/>
                <w:szCs w:val="21"/>
              </w:rPr>
              <w:t>工程质量</w:t>
            </w:r>
          </w:p>
        </w:tc>
        <w:tc>
          <w:tcPr>
            <w:tcW w:w="297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rPr>
                <w:sz w:val="21"/>
                <w:szCs w:val="21"/>
              </w:rPr>
            </w:pPr>
            <w:r>
              <w:rPr>
                <w:rFonts w:hint="eastAsia"/>
                <w:sz w:val="21"/>
                <w:szCs w:val="21"/>
              </w:rPr>
              <w:t>符合第三章第二款第四条的要求</w:t>
            </w:r>
          </w:p>
        </w:tc>
        <w:tc>
          <w:tcPr>
            <w:tcW w:w="992"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cs="Arial"/>
                <w:sz w:val="21"/>
                <w:szCs w:val="21"/>
              </w:rPr>
            </w:pPr>
          </w:p>
        </w:tc>
        <w:tc>
          <w:tcPr>
            <w:tcW w:w="1086"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cs="Arial"/>
                <w:sz w:val="21"/>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cs="Arial"/>
                <w:sz w:val="2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rPr>
                <w:rFonts w:cs="Arial"/>
                <w:sz w:val="21"/>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rPr>
                <w:rFonts w:cs="Arial"/>
                <w:sz w:val="21"/>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rPr>
                <w:rFonts w:cs="Arial"/>
                <w:sz w:val="2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rPr>
                <w:rFonts w:cs="Arial"/>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jc w:val="center"/>
              <w:rPr>
                <w:rFonts w:cs="Arial"/>
                <w:sz w:val="21"/>
                <w:szCs w:val="21"/>
              </w:rPr>
            </w:pPr>
            <w:r>
              <w:rPr>
                <w:rFonts w:cs="Arial"/>
                <w:sz w:val="21"/>
                <w:szCs w:val="21"/>
              </w:rPr>
              <w:t>4</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rPr>
                <w:sz w:val="21"/>
                <w:szCs w:val="21"/>
              </w:rPr>
            </w:pPr>
            <w:r>
              <w:rPr>
                <w:sz w:val="21"/>
                <w:szCs w:val="21"/>
              </w:rPr>
              <w:t>报价唯一</w:t>
            </w:r>
          </w:p>
        </w:tc>
        <w:tc>
          <w:tcPr>
            <w:tcW w:w="297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rPr>
                <w:rFonts w:cs="Arial"/>
                <w:sz w:val="21"/>
                <w:szCs w:val="21"/>
              </w:rPr>
            </w:pPr>
            <w:r>
              <w:rPr>
                <w:sz w:val="21"/>
                <w:szCs w:val="21"/>
              </w:rPr>
              <w:t>只能有一个有效报价</w:t>
            </w:r>
          </w:p>
        </w:tc>
        <w:tc>
          <w:tcPr>
            <w:tcW w:w="992"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cs="Arial"/>
                <w:sz w:val="21"/>
                <w:szCs w:val="21"/>
              </w:rPr>
            </w:pPr>
          </w:p>
        </w:tc>
        <w:tc>
          <w:tcPr>
            <w:tcW w:w="1086"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cs="Arial"/>
                <w:sz w:val="21"/>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cs="Arial"/>
                <w:sz w:val="2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rPr>
                <w:rFonts w:cs="Arial"/>
                <w:sz w:val="21"/>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rPr>
                <w:rFonts w:cs="Arial"/>
                <w:sz w:val="21"/>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rPr>
                <w:rFonts w:cs="Arial"/>
                <w:sz w:val="2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rPr>
                <w:rFonts w:cs="Arial"/>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74"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jc w:val="center"/>
              <w:rPr>
                <w:rFonts w:cs="Arial"/>
                <w:sz w:val="21"/>
                <w:szCs w:val="21"/>
              </w:rPr>
            </w:pPr>
            <w:r>
              <w:rPr>
                <w:rFonts w:hint="eastAsia"/>
                <w:sz w:val="21"/>
                <w:szCs w:val="21"/>
              </w:rPr>
              <w:t>…</w:t>
            </w:r>
          </w:p>
        </w:tc>
        <w:tc>
          <w:tcPr>
            <w:tcW w:w="2268" w:type="dxa"/>
            <w:tcBorders>
              <w:top w:val="single" w:color="auto" w:sz="4" w:space="0"/>
              <w:left w:val="single" w:color="auto" w:sz="4" w:space="0"/>
              <w:bottom w:val="single" w:color="auto" w:sz="4" w:space="0"/>
              <w:right w:val="single" w:color="auto" w:sz="4" w:space="0"/>
            </w:tcBorders>
          </w:tcPr>
          <w:p>
            <w:pPr>
              <w:spacing w:line="360" w:lineRule="auto"/>
              <w:rPr>
                <w:sz w:val="21"/>
                <w:szCs w:val="21"/>
              </w:rPr>
            </w:pPr>
            <w:r>
              <w:rPr>
                <w:rFonts w:hint="eastAsia"/>
                <w:sz w:val="21"/>
                <w:szCs w:val="21"/>
              </w:rPr>
              <w:t>……</w:t>
            </w:r>
          </w:p>
        </w:tc>
        <w:tc>
          <w:tcPr>
            <w:tcW w:w="297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jc w:val="center"/>
              <w:rPr>
                <w:rFonts w:cs="Arial"/>
                <w:sz w:val="21"/>
                <w:szCs w:val="21"/>
              </w:rPr>
            </w:pPr>
          </w:p>
        </w:tc>
        <w:tc>
          <w:tcPr>
            <w:tcW w:w="992"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cs="Arial"/>
                <w:sz w:val="21"/>
                <w:szCs w:val="21"/>
              </w:rPr>
            </w:pPr>
          </w:p>
        </w:tc>
        <w:tc>
          <w:tcPr>
            <w:tcW w:w="1086"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cs="Arial"/>
                <w:sz w:val="21"/>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cs="Arial"/>
                <w:sz w:val="2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rPr>
                <w:rFonts w:cs="Arial"/>
                <w:sz w:val="21"/>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rPr>
                <w:rFonts w:cs="Arial"/>
                <w:sz w:val="21"/>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rPr>
                <w:rFonts w:cs="Arial"/>
                <w:sz w:val="2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rPr>
                <w:rFonts w:cs="Arial"/>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70" w:hRule="atLeast"/>
        </w:trPr>
        <w:tc>
          <w:tcPr>
            <w:tcW w:w="5812" w:type="dxa"/>
            <w:gridSpan w:val="3"/>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cs="Arial"/>
                <w:sz w:val="21"/>
                <w:szCs w:val="21"/>
              </w:rPr>
            </w:pPr>
            <w:r>
              <w:rPr>
                <w:rFonts w:hint="eastAsia" w:cs="Arial"/>
                <w:sz w:val="21"/>
                <w:szCs w:val="21"/>
              </w:rPr>
              <w:t>响应性评审结论：</w:t>
            </w:r>
          </w:p>
          <w:p>
            <w:pPr>
              <w:spacing w:before="60" w:beforeLines="25" w:after="60" w:afterLines="25" w:line="360" w:lineRule="auto"/>
              <w:rPr>
                <w:rFonts w:cs="Arial"/>
                <w:sz w:val="21"/>
                <w:szCs w:val="21"/>
              </w:rPr>
            </w:pPr>
            <w:r>
              <w:rPr>
                <w:rFonts w:hint="eastAsia" w:cs="Arial"/>
                <w:sz w:val="21"/>
                <w:szCs w:val="21"/>
              </w:rPr>
              <w:t>通过响应性评审标注为√；未通过响应性评审标注为×</w:t>
            </w:r>
            <w:r>
              <w:rPr>
                <w:rFonts w:hint="eastAsia" w:cs="Arial"/>
                <w:sz w:val="21"/>
                <w:szCs w:val="21"/>
              </w:rPr>
              <w:tab/>
            </w:r>
          </w:p>
        </w:tc>
        <w:tc>
          <w:tcPr>
            <w:tcW w:w="992"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cs="Arial"/>
                <w:sz w:val="21"/>
                <w:szCs w:val="21"/>
              </w:rPr>
            </w:pPr>
          </w:p>
        </w:tc>
        <w:tc>
          <w:tcPr>
            <w:tcW w:w="1086"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cs="Arial"/>
                <w:sz w:val="21"/>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cs="Arial"/>
                <w:sz w:val="2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rPr>
                <w:rFonts w:cs="Arial"/>
                <w:sz w:val="21"/>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rPr>
                <w:rFonts w:cs="Arial"/>
                <w:sz w:val="21"/>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rPr>
                <w:rFonts w:cs="Arial"/>
                <w:sz w:val="21"/>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rPr>
                <w:rFonts w:cs="Arial"/>
                <w:sz w:val="21"/>
                <w:szCs w:val="21"/>
              </w:rPr>
            </w:pPr>
          </w:p>
        </w:tc>
      </w:tr>
    </w:tbl>
    <w:p>
      <w:pPr>
        <w:spacing w:after="18" w:line="360" w:lineRule="auto"/>
        <w:ind w:left="0" w:firstLine="0"/>
        <w:rPr>
          <w:szCs w:val="24"/>
        </w:rPr>
      </w:pPr>
    </w:p>
    <w:p>
      <w:pPr>
        <w:spacing w:after="18" w:line="360" w:lineRule="auto"/>
        <w:ind w:left="0" w:firstLine="0"/>
        <w:rPr>
          <w:szCs w:val="24"/>
        </w:rPr>
        <w:sectPr>
          <w:pgSz w:w="16838" w:h="11906" w:orient="landscape"/>
          <w:pgMar w:top="720" w:right="720" w:bottom="720" w:left="720" w:header="708" w:footer="708" w:gutter="0"/>
          <w:cols w:space="708" w:num="1"/>
          <w:docGrid w:linePitch="360" w:charSpace="0"/>
        </w:sectPr>
      </w:pPr>
      <w:r>
        <w:rPr>
          <w:rFonts w:hint="eastAsia"/>
          <w:szCs w:val="24"/>
        </w:rPr>
        <w:t>评标专家签字：                                                                                       日期：</w:t>
      </w:r>
    </w:p>
    <w:p>
      <w:pPr>
        <w:pStyle w:val="2"/>
        <w:spacing w:line="360" w:lineRule="auto"/>
        <w:ind w:left="480" w:firstLine="480"/>
        <w:sectPr>
          <w:type w:val="continuous"/>
          <w:pgSz w:w="16838" w:h="11906" w:orient="landscape"/>
          <w:pgMar w:top="720" w:right="720" w:bottom="720" w:left="720" w:header="708" w:footer="708" w:gutter="0"/>
          <w:cols w:space="708" w:num="1"/>
          <w:docGrid w:linePitch="360" w:charSpace="0"/>
        </w:sectPr>
      </w:pPr>
    </w:p>
    <w:p>
      <w:pPr>
        <w:pStyle w:val="4"/>
        <w:spacing w:before="120" w:beforeLines="50" w:after="120" w:afterLines="50" w:line="360" w:lineRule="auto"/>
        <w:jc w:val="left"/>
        <w:rPr>
          <w:rFonts w:ascii="宋体" w:hAnsi="宋体" w:eastAsia="宋体" w:cs="宋体"/>
          <w:b/>
          <w:bCs/>
          <w:sz w:val="24"/>
          <w:szCs w:val="24"/>
        </w:rPr>
      </w:pPr>
      <w:bookmarkStart w:id="229" w:name="_Toc86825523"/>
      <w:bookmarkStart w:id="230" w:name="_Toc77206870"/>
      <w:bookmarkStart w:id="231" w:name="_Toc79057535"/>
      <w:bookmarkStart w:id="232" w:name="_Toc31341"/>
      <w:r>
        <w:rPr>
          <w:rFonts w:hint="eastAsia" w:ascii="宋体" w:hAnsi="宋体" w:eastAsia="宋体"/>
          <w:bCs/>
          <w:sz w:val="24"/>
          <w:szCs w:val="24"/>
        </w:rPr>
        <w:t>附表四：</w:t>
      </w:r>
      <w:r>
        <w:rPr>
          <w:rFonts w:hint="eastAsia" w:ascii="宋体" w:hAnsi="宋体" w:eastAsia="宋体" w:cs="宋体"/>
          <w:b/>
          <w:bCs/>
          <w:sz w:val="24"/>
          <w:szCs w:val="24"/>
        </w:rPr>
        <w:t>技术评分表</w:t>
      </w:r>
      <w:bookmarkEnd w:id="229"/>
      <w:bookmarkEnd w:id="230"/>
      <w:bookmarkEnd w:id="231"/>
    </w:p>
    <w:p>
      <w:pPr>
        <w:spacing w:line="360" w:lineRule="auto"/>
        <w:ind w:left="0" w:firstLine="0"/>
        <w:jc w:val="center"/>
      </w:pPr>
      <w:r>
        <w:t>技术评分表</w:t>
      </w:r>
      <w:bookmarkEnd w:id="232"/>
    </w:p>
    <w:p>
      <w:pPr>
        <w:spacing w:line="360" w:lineRule="auto"/>
      </w:pPr>
      <w:r>
        <w:rPr>
          <w:rFonts w:hint="eastAsia"/>
        </w:rPr>
        <w:t>项目名称：北京市房山区人民防空办公室加州水郡西区、中冶蓝城地下人防工程维修工程             项目编号：</w:t>
      </w:r>
    </w:p>
    <w:tbl>
      <w:tblPr>
        <w:tblStyle w:val="36"/>
        <w:tblW w:w="148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4"/>
        <w:gridCol w:w="2693"/>
        <w:gridCol w:w="4819"/>
        <w:gridCol w:w="1529"/>
        <w:gridCol w:w="993"/>
        <w:gridCol w:w="1090"/>
        <w:gridCol w:w="850"/>
        <w:gridCol w:w="993"/>
        <w:gridCol w:w="11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734" w:type="dxa"/>
            <w:vMerge w:val="restart"/>
            <w:tcBorders>
              <w:top w:val="single" w:color="auto" w:sz="4" w:space="0"/>
              <w:left w:val="single" w:color="auto" w:sz="4" w:space="0"/>
              <w:right w:val="single" w:color="auto" w:sz="4" w:space="0"/>
            </w:tcBorders>
            <w:vAlign w:val="center"/>
          </w:tcPr>
          <w:p>
            <w:pPr>
              <w:spacing w:before="60" w:beforeLines="25" w:after="60" w:afterLines="25" w:line="360" w:lineRule="auto"/>
              <w:jc w:val="center"/>
              <w:rPr>
                <w:rFonts w:cs="Arial"/>
                <w:sz w:val="21"/>
                <w:szCs w:val="21"/>
              </w:rPr>
            </w:pPr>
            <w:r>
              <w:rPr>
                <w:rFonts w:hint="eastAsia" w:cs="Arial"/>
                <w:sz w:val="21"/>
                <w:szCs w:val="21"/>
              </w:rPr>
              <w:t>序号</w:t>
            </w:r>
          </w:p>
        </w:tc>
        <w:tc>
          <w:tcPr>
            <w:tcW w:w="2693" w:type="dxa"/>
            <w:vMerge w:val="restart"/>
            <w:tcBorders>
              <w:top w:val="single" w:color="auto" w:sz="4" w:space="0"/>
              <w:left w:val="single" w:color="auto" w:sz="4" w:space="0"/>
              <w:right w:val="single" w:color="auto" w:sz="4" w:space="0"/>
            </w:tcBorders>
            <w:vAlign w:val="center"/>
          </w:tcPr>
          <w:p>
            <w:pPr>
              <w:spacing w:before="60" w:beforeLines="25" w:after="60" w:afterLines="25" w:line="360" w:lineRule="auto"/>
              <w:jc w:val="center"/>
              <w:rPr>
                <w:rFonts w:cs="Arial"/>
                <w:sz w:val="21"/>
                <w:szCs w:val="21"/>
              </w:rPr>
            </w:pPr>
            <w:r>
              <w:rPr>
                <w:rFonts w:hint="eastAsia" w:cs="Arial"/>
                <w:sz w:val="21"/>
                <w:szCs w:val="21"/>
              </w:rPr>
              <w:t>评分项目</w:t>
            </w:r>
          </w:p>
        </w:tc>
        <w:tc>
          <w:tcPr>
            <w:tcW w:w="6348" w:type="dxa"/>
            <w:gridSpan w:val="2"/>
            <w:vMerge w:val="restart"/>
            <w:tcBorders>
              <w:top w:val="single" w:color="auto" w:sz="4" w:space="0"/>
              <w:left w:val="single" w:color="auto" w:sz="4" w:space="0"/>
              <w:bottom w:val="single" w:color="auto" w:sz="4" w:space="0"/>
            </w:tcBorders>
            <w:vAlign w:val="center"/>
          </w:tcPr>
          <w:p>
            <w:pPr>
              <w:spacing w:line="360" w:lineRule="auto"/>
              <w:jc w:val="center"/>
              <w:rPr>
                <w:rFonts w:cs="Arial"/>
                <w:sz w:val="21"/>
                <w:szCs w:val="21"/>
              </w:rPr>
            </w:pPr>
            <w:r>
              <w:rPr>
                <w:rFonts w:hint="eastAsia" w:cs="Arial"/>
                <w:sz w:val="21"/>
                <w:szCs w:val="21"/>
              </w:rPr>
              <w:t>评分标准</w:t>
            </w:r>
          </w:p>
        </w:tc>
        <w:tc>
          <w:tcPr>
            <w:tcW w:w="99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Arial"/>
                <w:sz w:val="21"/>
                <w:szCs w:val="21"/>
              </w:rPr>
            </w:pPr>
            <w:r>
              <w:rPr>
                <w:rFonts w:hint="eastAsia" w:cs="Arial"/>
                <w:sz w:val="21"/>
                <w:szCs w:val="21"/>
              </w:rPr>
              <w:t>标准分</w:t>
            </w:r>
          </w:p>
        </w:tc>
        <w:tc>
          <w:tcPr>
            <w:tcW w:w="4111" w:type="dxa"/>
            <w:gridSpan w:val="4"/>
            <w:tcBorders>
              <w:top w:val="single" w:color="000000" w:sz="4" w:space="0"/>
              <w:left w:val="single" w:color="auto" w:sz="4" w:space="0"/>
              <w:bottom w:val="single" w:color="000000" w:sz="4" w:space="0"/>
              <w:right w:val="single" w:color="000000" w:sz="4" w:space="0"/>
            </w:tcBorders>
            <w:shd w:val="clear" w:color="auto" w:fill="auto"/>
          </w:tcPr>
          <w:p>
            <w:pPr>
              <w:spacing w:after="0" w:line="360" w:lineRule="auto"/>
              <w:ind w:left="0" w:firstLine="0"/>
              <w:jc w:val="center"/>
              <w:rPr>
                <w:sz w:val="21"/>
                <w:szCs w:val="21"/>
              </w:rPr>
            </w:pPr>
            <w:r>
              <w:rPr>
                <w:rFonts w:hint="eastAsia" w:cs="Arial"/>
                <w:sz w:val="21"/>
                <w:szCs w:val="21"/>
              </w:rPr>
              <w:t>投标人名称及评审得分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jc w:val="center"/>
        </w:trPr>
        <w:tc>
          <w:tcPr>
            <w:tcW w:w="734" w:type="dxa"/>
            <w:vMerge w:val="continue"/>
            <w:tcBorders>
              <w:left w:val="single" w:color="auto" w:sz="4" w:space="0"/>
              <w:bottom w:val="single" w:color="auto" w:sz="4" w:space="0"/>
              <w:right w:val="single" w:color="auto" w:sz="4" w:space="0"/>
            </w:tcBorders>
            <w:vAlign w:val="center"/>
          </w:tcPr>
          <w:p>
            <w:pPr>
              <w:spacing w:before="60" w:beforeLines="25" w:after="60" w:afterLines="25" w:line="360" w:lineRule="auto"/>
              <w:jc w:val="center"/>
              <w:rPr>
                <w:rFonts w:cs="Arial"/>
                <w:sz w:val="21"/>
                <w:szCs w:val="21"/>
              </w:rPr>
            </w:pPr>
          </w:p>
        </w:tc>
        <w:tc>
          <w:tcPr>
            <w:tcW w:w="2693" w:type="dxa"/>
            <w:vMerge w:val="continue"/>
            <w:tcBorders>
              <w:left w:val="single" w:color="auto" w:sz="4" w:space="0"/>
              <w:bottom w:val="single" w:color="auto" w:sz="4" w:space="0"/>
              <w:right w:val="single" w:color="auto" w:sz="4" w:space="0"/>
            </w:tcBorders>
            <w:vAlign w:val="center"/>
          </w:tcPr>
          <w:p>
            <w:pPr>
              <w:spacing w:before="60" w:beforeLines="25" w:after="60" w:afterLines="25" w:line="360" w:lineRule="auto"/>
              <w:jc w:val="center"/>
              <w:rPr>
                <w:rFonts w:cs="Arial"/>
                <w:sz w:val="21"/>
                <w:szCs w:val="21"/>
              </w:rPr>
            </w:pPr>
          </w:p>
        </w:tc>
        <w:tc>
          <w:tcPr>
            <w:tcW w:w="634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jc w:val="center"/>
              <w:rPr>
                <w:rFonts w:cs="Arial"/>
                <w:sz w:val="21"/>
                <w:szCs w:val="21"/>
              </w:rPr>
            </w:pPr>
          </w:p>
        </w:tc>
        <w:tc>
          <w:tcPr>
            <w:tcW w:w="993" w:type="dxa"/>
            <w:vMerge w:val="continue"/>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jc w:val="center"/>
              <w:rPr>
                <w:rFonts w:cs="Arial"/>
                <w:sz w:val="21"/>
                <w:szCs w:val="21"/>
              </w:rPr>
            </w:pPr>
          </w:p>
        </w:tc>
        <w:tc>
          <w:tcPr>
            <w:tcW w:w="1090"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jc w:val="center"/>
              <w:rPr>
                <w:rFonts w:cs="Arial"/>
                <w:sz w:val="21"/>
                <w:szCs w:val="21"/>
              </w:rPr>
            </w:pPr>
          </w:p>
        </w:tc>
        <w:tc>
          <w:tcPr>
            <w:tcW w:w="850"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jc w:val="center"/>
              <w:rPr>
                <w:rFonts w:cs="Arial"/>
                <w:sz w:val="21"/>
                <w:szCs w:val="21"/>
              </w:rPr>
            </w:pPr>
          </w:p>
        </w:tc>
        <w:tc>
          <w:tcPr>
            <w:tcW w:w="99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jc w:val="center"/>
              <w:rPr>
                <w:rFonts w:cs="Arial"/>
                <w:sz w:val="21"/>
                <w:szCs w:val="21"/>
              </w:rPr>
            </w:pPr>
          </w:p>
        </w:tc>
        <w:tc>
          <w:tcPr>
            <w:tcW w:w="1178"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jc w:val="center"/>
              <w:rPr>
                <w:rFonts w:cs="Arial"/>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jc w:val="center"/>
        </w:trPr>
        <w:tc>
          <w:tcPr>
            <w:tcW w:w="734" w:type="dxa"/>
            <w:vMerge w:val="restart"/>
            <w:tcBorders>
              <w:left w:val="single" w:color="auto" w:sz="4" w:space="0"/>
              <w:right w:val="single" w:color="auto" w:sz="4" w:space="0"/>
            </w:tcBorders>
            <w:vAlign w:val="center"/>
          </w:tcPr>
          <w:p>
            <w:pPr>
              <w:spacing w:before="60" w:beforeLines="25" w:after="60" w:afterLines="25" w:line="360" w:lineRule="auto"/>
              <w:jc w:val="center"/>
              <w:rPr>
                <w:rFonts w:cs="Arial"/>
                <w:sz w:val="21"/>
                <w:szCs w:val="21"/>
              </w:rPr>
            </w:pPr>
            <w:r>
              <w:rPr>
                <w:rFonts w:hint="eastAsia" w:cs="Arial"/>
                <w:sz w:val="21"/>
                <w:szCs w:val="21"/>
              </w:rPr>
              <w:t>1</w:t>
            </w:r>
          </w:p>
        </w:tc>
        <w:tc>
          <w:tcPr>
            <w:tcW w:w="2693" w:type="dxa"/>
            <w:vMerge w:val="restart"/>
            <w:tcBorders>
              <w:left w:val="single" w:color="auto" w:sz="4" w:space="0"/>
              <w:right w:val="single" w:color="auto" w:sz="4" w:space="0"/>
            </w:tcBorders>
            <w:vAlign w:val="center"/>
          </w:tcPr>
          <w:p>
            <w:pPr>
              <w:spacing w:before="60" w:beforeLines="25" w:after="60" w:afterLines="25" w:line="360" w:lineRule="auto"/>
              <w:rPr>
                <w:rFonts w:cs="Arial"/>
                <w:sz w:val="21"/>
                <w:szCs w:val="21"/>
              </w:rPr>
            </w:pPr>
            <w:r>
              <w:rPr>
                <w:rFonts w:hint="eastAsia"/>
                <w:sz w:val="21"/>
                <w:szCs w:val="21"/>
              </w:rPr>
              <w:t>施工方案与技术措施</w:t>
            </w:r>
          </w:p>
        </w:tc>
        <w:tc>
          <w:tcPr>
            <w:tcW w:w="481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rPr>
                <w:rFonts w:cs="Arial"/>
                <w:sz w:val="21"/>
                <w:szCs w:val="21"/>
              </w:rPr>
            </w:pPr>
            <w:r>
              <w:rPr>
                <w:rFonts w:hint="eastAsia"/>
                <w:sz w:val="21"/>
                <w:szCs w:val="21"/>
              </w:rPr>
              <w:t>科学、</w:t>
            </w:r>
            <w:r>
              <w:rPr>
                <w:sz w:val="21"/>
                <w:szCs w:val="21"/>
              </w:rPr>
              <w:t>可行、针对性强、满足工程需要</w:t>
            </w:r>
          </w:p>
        </w:tc>
        <w:tc>
          <w:tcPr>
            <w:tcW w:w="1529"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cs="Arial"/>
                <w:sz w:val="21"/>
                <w:szCs w:val="21"/>
              </w:rPr>
            </w:pPr>
            <w:r>
              <w:rPr>
                <w:sz w:val="21"/>
                <w:szCs w:val="21"/>
                <w:u w:val="single"/>
              </w:rPr>
              <w:t>20</w:t>
            </w:r>
            <w:r>
              <w:rPr>
                <w:rFonts w:hint="eastAsia"/>
                <w:sz w:val="21"/>
                <w:szCs w:val="21"/>
              </w:rPr>
              <w:t>分</w:t>
            </w:r>
          </w:p>
        </w:tc>
        <w:tc>
          <w:tcPr>
            <w:tcW w:w="993" w:type="dxa"/>
            <w:vMerge w:val="restart"/>
            <w:tcBorders>
              <w:top w:val="single" w:color="auto" w:sz="4" w:space="0"/>
              <w:left w:val="single" w:color="auto" w:sz="4" w:space="0"/>
              <w:right w:val="single" w:color="auto" w:sz="4" w:space="0"/>
            </w:tcBorders>
          </w:tcPr>
          <w:p>
            <w:pPr>
              <w:spacing w:before="60" w:beforeLines="25" w:after="60" w:afterLines="25" w:line="360" w:lineRule="auto"/>
              <w:jc w:val="center"/>
              <w:rPr>
                <w:rFonts w:cs="Arial"/>
                <w:sz w:val="21"/>
                <w:szCs w:val="21"/>
              </w:rPr>
            </w:pPr>
            <w:r>
              <w:rPr>
                <w:rFonts w:hint="eastAsia" w:cs="Arial"/>
                <w:sz w:val="21"/>
                <w:szCs w:val="21"/>
              </w:rPr>
              <w:t>2</w:t>
            </w:r>
            <w:r>
              <w:rPr>
                <w:rFonts w:cs="Arial"/>
                <w:sz w:val="21"/>
                <w:szCs w:val="21"/>
              </w:rPr>
              <w:t>0</w:t>
            </w:r>
          </w:p>
        </w:tc>
        <w:tc>
          <w:tcPr>
            <w:tcW w:w="1090" w:type="dxa"/>
            <w:vMerge w:val="restart"/>
            <w:tcBorders>
              <w:top w:val="single" w:color="auto" w:sz="4" w:space="0"/>
              <w:left w:val="single" w:color="auto" w:sz="4" w:space="0"/>
              <w:right w:val="single" w:color="auto" w:sz="4" w:space="0"/>
            </w:tcBorders>
          </w:tcPr>
          <w:p>
            <w:pPr>
              <w:spacing w:before="60" w:beforeLines="25" w:after="60" w:afterLines="25" w:line="360" w:lineRule="auto"/>
              <w:jc w:val="center"/>
              <w:rPr>
                <w:rFonts w:cs="Arial"/>
                <w:sz w:val="21"/>
                <w:szCs w:val="21"/>
              </w:rPr>
            </w:pPr>
          </w:p>
        </w:tc>
        <w:tc>
          <w:tcPr>
            <w:tcW w:w="850" w:type="dxa"/>
            <w:vMerge w:val="restart"/>
            <w:tcBorders>
              <w:top w:val="single" w:color="auto" w:sz="4" w:space="0"/>
              <w:left w:val="single" w:color="auto" w:sz="4" w:space="0"/>
              <w:right w:val="single" w:color="auto" w:sz="4" w:space="0"/>
            </w:tcBorders>
          </w:tcPr>
          <w:p>
            <w:pPr>
              <w:spacing w:before="60" w:beforeLines="25" w:after="60" w:afterLines="25" w:line="360" w:lineRule="auto"/>
              <w:jc w:val="center"/>
              <w:rPr>
                <w:rFonts w:cs="Arial"/>
                <w:sz w:val="21"/>
                <w:szCs w:val="21"/>
              </w:rPr>
            </w:pPr>
          </w:p>
        </w:tc>
        <w:tc>
          <w:tcPr>
            <w:tcW w:w="993" w:type="dxa"/>
            <w:vMerge w:val="restart"/>
            <w:tcBorders>
              <w:top w:val="single" w:color="auto" w:sz="4" w:space="0"/>
              <w:left w:val="single" w:color="auto" w:sz="4" w:space="0"/>
              <w:right w:val="single" w:color="auto" w:sz="4" w:space="0"/>
            </w:tcBorders>
          </w:tcPr>
          <w:p>
            <w:pPr>
              <w:spacing w:before="60" w:beforeLines="25" w:after="60" w:afterLines="25" w:line="360" w:lineRule="auto"/>
              <w:jc w:val="center"/>
              <w:rPr>
                <w:rFonts w:cs="Arial"/>
                <w:sz w:val="21"/>
                <w:szCs w:val="21"/>
              </w:rPr>
            </w:pPr>
          </w:p>
        </w:tc>
        <w:tc>
          <w:tcPr>
            <w:tcW w:w="1178" w:type="dxa"/>
            <w:vMerge w:val="restart"/>
            <w:tcBorders>
              <w:top w:val="single" w:color="auto" w:sz="4" w:space="0"/>
              <w:left w:val="single" w:color="auto" w:sz="4" w:space="0"/>
              <w:right w:val="single" w:color="auto" w:sz="4" w:space="0"/>
            </w:tcBorders>
          </w:tcPr>
          <w:p>
            <w:pPr>
              <w:spacing w:before="60" w:beforeLines="25" w:after="60" w:afterLines="25" w:line="360" w:lineRule="auto"/>
              <w:jc w:val="center"/>
              <w:rPr>
                <w:rFonts w:cs="Arial"/>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jc w:val="center"/>
        </w:trPr>
        <w:tc>
          <w:tcPr>
            <w:tcW w:w="734" w:type="dxa"/>
            <w:vMerge w:val="continue"/>
            <w:tcBorders>
              <w:left w:val="single" w:color="auto" w:sz="4" w:space="0"/>
              <w:right w:val="single" w:color="auto" w:sz="4" w:space="0"/>
            </w:tcBorders>
            <w:vAlign w:val="center"/>
          </w:tcPr>
          <w:p>
            <w:pPr>
              <w:spacing w:before="60" w:beforeLines="25" w:after="60" w:afterLines="25" w:line="360" w:lineRule="auto"/>
              <w:jc w:val="center"/>
              <w:rPr>
                <w:rFonts w:cs="Arial"/>
                <w:sz w:val="21"/>
                <w:szCs w:val="21"/>
              </w:rPr>
            </w:pPr>
          </w:p>
        </w:tc>
        <w:tc>
          <w:tcPr>
            <w:tcW w:w="2693" w:type="dxa"/>
            <w:vMerge w:val="continue"/>
            <w:tcBorders>
              <w:left w:val="single" w:color="auto" w:sz="4" w:space="0"/>
              <w:right w:val="single" w:color="auto" w:sz="4" w:space="0"/>
            </w:tcBorders>
            <w:vAlign w:val="center"/>
          </w:tcPr>
          <w:p>
            <w:pPr>
              <w:spacing w:before="60" w:beforeLines="25" w:after="60" w:afterLines="25" w:line="360" w:lineRule="auto"/>
              <w:rPr>
                <w:sz w:val="21"/>
                <w:szCs w:val="21"/>
              </w:rPr>
            </w:pPr>
          </w:p>
        </w:tc>
        <w:tc>
          <w:tcPr>
            <w:tcW w:w="481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rPr>
                <w:rFonts w:cs="Arial"/>
                <w:sz w:val="21"/>
                <w:szCs w:val="21"/>
              </w:rPr>
            </w:pPr>
            <w:r>
              <w:rPr>
                <w:sz w:val="21"/>
                <w:szCs w:val="21"/>
              </w:rPr>
              <w:t>合理、可行、细节待完善、</w:t>
            </w:r>
            <w:r>
              <w:rPr>
                <w:rFonts w:hint="eastAsia"/>
                <w:sz w:val="21"/>
                <w:szCs w:val="21"/>
              </w:rPr>
              <w:t>基本</w:t>
            </w:r>
            <w:r>
              <w:rPr>
                <w:sz w:val="21"/>
                <w:szCs w:val="21"/>
              </w:rPr>
              <w:t>满足工程需要</w:t>
            </w:r>
          </w:p>
        </w:tc>
        <w:tc>
          <w:tcPr>
            <w:tcW w:w="1529"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cs="Arial"/>
                <w:sz w:val="21"/>
                <w:szCs w:val="21"/>
              </w:rPr>
            </w:pPr>
            <w:r>
              <w:rPr>
                <w:sz w:val="21"/>
                <w:szCs w:val="21"/>
                <w:u w:val="single"/>
              </w:rPr>
              <w:t>10</w:t>
            </w:r>
            <w:r>
              <w:rPr>
                <w:rFonts w:hint="eastAsia"/>
                <w:sz w:val="21"/>
                <w:szCs w:val="21"/>
              </w:rPr>
              <w:t>分</w:t>
            </w:r>
          </w:p>
        </w:tc>
        <w:tc>
          <w:tcPr>
            <w:tcW w:w="993" w:type="dxa"/>
            <w:vMerge w:val="continue"/>
            <w:tcBorders>
              <w:left w:val="single" w:color="auto" w:sz="4" w:space="0"/>
              <w:right w:val="single" w:color="auto" w:sz="4" w:space="0"/>
            </w:tcBorders>
          </w:tcPr>
          <w:p>
            <w:pPr>
              <w:spacing w:before="60" w:beforeLines="25" w:after="60" w:afterLines="25" w:line="360" w:lineRule="auto"/>
              <w:jc w:val="center"/>
              <w:rPr>
                <w:rFonts w:cs="Arial"/>
                <w:sz w:val="21"/>
                <w:szCs w:val="21"/>
              </w:rPr>
            </w:pPr>
          </w:p>
        </w:tc>
        <w:tc>
          <w:tcPr>
            <w:tcW w:w="1090" w:type="dxa"/>
            <w:vMerge w:val="continue"/>
            <w:tcBorders>
              <w:left w:val="single" w:color="auto" w:sz="4" w:space="0"/>
              <w:right w:val="single" w:color="auto" w:sz="4" w:space="0"/>
            </w:tcBorders>
          </w:tcPr>
          <w:p>
            <w:pPr>
              <w:spacing w:before="60" w:beforeLines="25" w:after="60" w:afterLines="25" w:line="360" w:lineRule="auto"/>
              <w:jc w:val="center"/>
              <w:rPr>
                <w:rFonts w:cs="Arial"/>
                <w:sz w:val="21"/>
                <w:szCs w:val="21"/>
              </w:rPr>
            </w:pPr>
          </w:p>
        </w:tc>
        <w:tc>
          <w:tcPr>
            <w:tcW w:w="850" w:type="dxa"/>
            <w:vMerge w:val="continue"/>
            <w:tcBorders>
              <w:left w:val="single" w:color="auto" w:sz="4" w:space="0"/>
              <w:right w:val="single" w:color="auto" w:sz="4" w:space="0"/>
            </w:tcBorders>
          </w:tcPr>
          <w:p>
            <w:pPr>
              <w:spacing w:before="60" w:beforeLines="25" w:after="60" w:afterLines="25" w:line="360" w:lineRule="auto"/>
              <w:jc w:val="center"/>
              <w:rPr>
                <w:rFonts w:cs="Arial"/>
                <w:sz w:val="21"/>
                <w:szCs w:val="21"/>
              </w:rPr>
            </w:pPr>
          </w:p>
        </w:tc>
        <w:tc>
          <w:tcPr>
            <w:tcW w:w="993" w:type="dxa"/>
            <w:vMerge w:val="continue"/>
            <w:tcBorders>
              <w:left w:val="single" w:color="auto" w:sz="4" w:space="0"/>
              <w:right w:val="single" w:color="auto" w:sz="4" w:space="0"/>
            </w:tcBorders>
          </w:tcPr>
          <w:p>
            <w:pPr>
              <w:spacing w:before="60" w:beforeLines="25" w:after="60" w:afterLines="25" w:line="360" w:lineRule="auto"/>
              <w:jc w:val="center"/>
              <w:rPr>
                <w:rFonts w:cs="Arial"/>
                <w:sz w:val="21"/>
                <w:szCs w:val="21"/>
              </w:rPr>
            </w:pPr>
          </w:p>
        </w:tc>
        <w:tc>
          <w:tcPr>
            <w:tcW w:w="1178" w:type="dxa"/>
            <w:vMerge w:val="continue"/>
            <w:tcBorders>
              <w:left w:val="single" w:color="auto" w:sz="4" w:space="0"/>
              <w:right w:val="single" w:color="auto" w:sz="4" w:space="0"/>
            </w:tcBorders>
          </w:tcPr>
          <w:p>
            <w:pPr>
              <w:spacing w:before="60" w:beforeLines="25" w:after="60" w:afterLines="25" w:line="360" w:lineRule="auto"/>
              <w:jc w:val="center"/>
              <w:rPr>
                <w:rFonts w:cs="Arial"/>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jc w:val="center"/>
        </w:trPr>
        <w:tc>
          <w:tcPr>
            <w:tcW w:w="734" w:type="dxa"/>
            <w:vMerge w:val="continue"/>
            <w:tcBorders>
              <w:left w:val="single" w:color="auto" w:sz="4" w:space="0"/>
              <w:bottom w:val="single" w:color="auto" w:sz="4" w:space="0"/>
              <w:right w:val="single" w:color="auto" w:sz="4" w:space="0"/>
            </w:tcBorders>
            <w:vAlign w:val="center"/>
          </w:tcPr>
          <w:p>
            <w:pPr>
              <w:spacing w:before="60" w:beforeLines="25" w:after="60" w:afterLines="25" w:line="360" w:lineRule="auto"/>
              <w:jc w:val="center"/>
              <w:rPr>
                <w:rFonts w:cs="Arial"/>
                <w:sz w:val="21"/>
                <w:szCs w:val="21"/>
              </w:rPr>
            </w:pPr>
          </w:p>
        </w:tc>
        <w:tc>
          <w:tcPr>
            <w:tcW w:w="2693" w:type="dxa"/>
            <w:vMerge w:val="continue"/>
            <w:tcBorders>
              <w:left w:val="single" w:color="auto" w:sz="4" w:space="0"/>
              <w:bottom w:val="single" w:color="auto" w:sz="4" w:space="0"/>
              <w:right w:val="single" w:color="auto" w:sz="4" w:space="0"/>
            </w:tcBorders>
            <w:vAlign w:val="center"/>
          </w:tcPr>
          <w:p>
            <w:pPr>
              <w:spacing w:before="60" w:beforeLines="25" w:after="60" w:afterLines="25" w:line="360" w:lineRule="auto"/>
              <w:rPr>
                <w:sz w:val="21"/>
                <w:szCs w:val="21"/>
              </w:rPr>
            </w:pPr>
          </w:p>
        </w:tc>
        <w:tc>
          <w:tcPr>
            <w:tcW w:w="481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rPr>
                <w:rFonts w:cs="Arial"/>
                <w:sz w:val="21"/>
                <w:szCs w:val="21"/>
              </w:rPr>
            </w:pPr>
            <w:r>
              <w:rPr>
                <w:rFonts w:hint="eastAsia"/>
                <w:sz w:val="21"/>
                <w:szCs w:val="21"/>
              </w:rPr>
              <w:t>欠</w:t>
            </w:r>
            <w:r>
              <w:rPr>
                <w:sz w:val="21"/>
                <w:szCs w:val="21"/>
              </w:rPr>
              <w:t>合理，可行性</w:t>
            </w:r>
            <w:r>
              <w:rPr>
                <w:rFonts w:hint="eastAsia"/>
                <w:sz w:val="21"/>
                <w:szCs w:val="21"/>
              </w:rPr>
              <w:t>较</w:t>
            </w:r>
            <w:r>
              <w:rPr>
                <w:sz w:val="21"/>
                <w:szCs w:val="21"/>
              </w:rPr>
              <w:t>差，</w:t>
            </w:r>
            <w:r>
              <w:rPr>
                <w:rFonts w:hint="eastAsia" w:cs="Arial"/>
                <w:sz w:val="21"/>
                <w:szCs w:val="21"/>
              </w:rPr>
              <w:t>未满足工程需要</w:t>
            </w:r>
          </w:p>
        </w:tc>
        <w:tc>
          <w:tcPr>
            <w:tcW w:w="1529"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cs="Arial"/>
                <w:sz w:val="21"/>
                <w:szCs w:val="21"/>
              </w:rPr>
            </w:pPr>
            <w:r>
              <w:rPr>
                <w:sz w:val="21"/>
                <w:szCs w:val="21"/>
                <w:u w:val="single"/>
              </w:rPr>
              <w:t>5</w:t>
            </w:r>
            <w:r>
              <w:rPr>
                <w:rFonts w:hint="eastAsia"/>
                <w:sz w:val="21"/>
                <w:szCs w:val="21"/>
              </w:rPr>
              <w:t>分</w:t>
            </w:r>
          </w:p>
        </w:tc>
        <w:tc>
          <w:tcPr>
            <w:tcW w:w="993" w:type="dxa"/>
            <w:vMerge w:val="continue"/>
            <w:tcBorders>
              <w:left w:val="single" w:color="auto" w:sz="4" w:space="0"/>
              <w:bottom w:val="single" w:color="auto" w:sz="4" w:space="0"/>
              <w:right w:val="single" w:color="auto" w:sz="4" w:space="0"/>
            </w:tcBorders>
          </w:tcPr>
          <w:p>
            <w:pPr>
              <w:spacing w:before="60" w:beforeLines="25" w:after="60" w:afterLines="25" w:line="360" w:lineRule="auto"/>
              <w:jc w:val="center"/>
              <w:rPr>
                <w:rFonts w:cs="Arial"/>
                <w:sz w:val="21"/>
                <w:szCs w:val="21"/>
              </w:rPr>
            </w:pPr>
          </w:p>
        </w:tc>
        <w:tc>
          <w:tcPr>
            <w:tcW w:w="1090" w:type="dxa"/>
            <w:vMerge w:val="continue"/>
            <w:tcBorders>
              <w:left w:val="single" w:color="auto" w:sz="4" w:space="0"/>
              <w:bottom w:val="single" w:color="auto" w:sz="4" w:space="0"/>
              <w:right w:val="single" w:color="auto" w:sz="4" w:space="0"/>
            </w:tcBorders>
          </w:tcPr>
          <w:p>
            <w:pPr>
              <w:spacing w:before="60" w:beforeLines="25" w:after="60" w:afterLines="25" w:line="360" w:lineRule="auto"/>
              <w:jc w:val="center"/>
              <w:rPr>
                <w:rFonts w:cs="Arial"/>
                <w:sz w:val="21"/>
                <w:szCs w:val="21"/>
              </w:rPr>
            </w:pPr>
          </w:p>
        </w:tc>
        <w:tc>
          <w:tcPr>
            <w:tcW w:w="850" w:type="dxa"/>
            <w:vMerge w:val="continue"/>
            <w:tcBorders>
              <w:left w:val="single" w:color="auto" w:sz="4" w:space="0"/>
              <w:bottom w:val="single" w:color="auto" w:sz="4" w:space="0"/>
              <w:right w:val="single" w:color="auto" w:sz="4" w:space="0"/>
            </w:tcBorders>
          </w:tcPr>
          <w:p>
            <w:pPr>
              <w:spacing w:before="60" w:beforeLines="25" w:after="60" w:afterLines="25" w:line="360" w:lineRule="auto"/>
              <w:jc w:val="center"/>
              <w:rPr>
                <w:rFonts w:cs="Arial"/>
                <w:sz w:val="21"/>
                <w:szCs w:val="21"/>
              </w:rPr>
            </w:pPr>
          </w:p>
        </w:tc>
        <w:tc>
          <w:tcPr>
            <w:tcW w:w="993" w:type="dxa"/>
            <w:vMerge w:val="continue"/>
            <w:tcBorders>
              <w:left w:val="single" w:color="auto" w:sz="4" w:space="0"/>
              <w:bottom w:val="single" w:color="auto" w:sz="4" w:space="0"/>
              <w:right w:val="single" w:color="auto" w:sz="4" w:space="0"/>
            </w:tcBorders>
          </w:tcPr>
          <w:p>
            <w:pPr>
              <w:spacing w:before="60" w:beforeLines="25" w:after="60" w:afterLines="25" w:line="360" w:lineRule="auto"/>
              <w:jc w:val="center"/>
              <w:rPr>
                <w:rFonts w:cs="Arial"/>
                <w:sz w:val="21"/>
                <w:szCs w:val="21"/>
              </w:rPr>
            </w:pPr>
          </w:p>
        </w:tc>
        <w:tc>
          <w:tcPr>
            <w:tcW w:w="1178" w:type="dxa"/>
            <w:vMerge w:val="continue"/>
            <w:tcBorders>
              <w:left w:val="single" w:color="auto" w:sz="4" w:space="0"/>
              <w:bottom w:val="single" w:color="auto" w:sz="4" w:space="0"/>
              <w:right w:val="single" w:color="auto" w:sz="4" w:space="0"/>
            </w:tcBorders>
          </w:tcPr>
          <w:p>
            <w:pPr>
              <w:spacing w:before="60" w:beforeLines="25" w:after="60" w:afterLines="25" w:line="360" w:lineRule="auto"/>
              <w:jc w:val="center"/>
              <w:rPr>
                <w:rFonts w:cs="Arial"/>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jc w:val="center"/>
        </w:trPr>
        <w:tc>
          <w:tcPr>
            <w:tcW w:w="734" w:type="dxa"/>
            <w:vMerge w:val="restart"/>
            <w:tcBorders>
              <w:left w:val="single" w:color="auto" w:sz="4" w:space="0"/>
              <w:right w:val="single" w:color="auto" w:sz="4" w:space="0"/>
            </w:tcBorders>
            <w:vAlign w:val="center"/>
          </w:tcPr>
          <w:p>
            <w:pPr>
              <w:spacing w:before="60" w:beforeLines="25" w:after="60" w:afterLines="25" w:line="360" w:lineRule="auto"/>
              <w:jc w:val="center"/>
              <w:rPr>
                <w:rFonts w:cs="Arial"/>
                <w:sz w:val="21"/>
                <w:szCs w:val="21"/>
              </w:rPr>
            </w:pPr>
            <w:r>
              <w:rPr>
                <w:rFonts w:hint="eastAsia" w:cs="Arial"/>
                <w:sz w:val="21"/>
                <w:szCs w:val="21"/>
              </w:rPr>
              <w:t>2</w:t>
            </w:r>
          </w:p>
        </w:tc>
        <w:tc>
          <w:tcPr>
            <w:tcW w:w="2693" w:type="dxa"/>
            <w:vMerge w:val="restart"/>
            <w:tcBorders>
              <w:left w:val="single" w:color="auto" w:sz="4" w:space="0"/>
              <w:right w:val="single" w:color="auto" w:sz="4" w:space="0"/>
            </w:tcBorders>
            <w:vAlign w:val="center"/>
          </w:tcPr>
          <w:p>
            <w:pPr>
              <w:spacing w:before="60" w:beforeLines="25" w:after="60" w:afterLines="25" w:line="360" w:lineRule="auto"/>
              <w:rPr>
                <w:rFonts w:cs="Arial"/>
                <w:sz w:val="21"/>
                <w:szCs w:val="21"/>
              </w:rPr>
            </w:pPr>
            <w:r>
              <w:rPr>
                <w:rFonts w:hint="eastAsia"/>
                <w:sz w:val="21"/>
                <w:szCs w:val="21"/>
              </w:rPr>
              <w:t>质量管理体系与保证措施</w:t>
            </w:r>
          </w:p>
        </w:tc>
        <w:tc>
          <w:tcPr>
            <w:tcW w:w="481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rPr>
                <w:sz w:val="21"/>
                <w:szCs w:val="21"/>
              </w:rPr>
            </w:pPr>
            <w:r>
              <w:rPr>
                <w:rFonts w:hint="eastAsia"/>
                <w:sz w:val="21"/>
                <w:szCs w:val="21"/>
              </w:rPr>
              <w:t>科学、</w:t>
            </w:r>
            <w:r>
              <w:rPr>
                <w:sz w:val="21"/>
                <w:szCs w:val="21"/>
              </w:rPr>
              <w:t>可行、针对性强、满足工程需要</w:t>
            </w:r>
          </w:p>
        </w:tc>
        <w:tc>
          <w:tcPr>
            <w:tcW w:w="1529"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cs="Arial"/>
                <w:sz w:val="21"/>
                <w:szCs w:val="21"/>
              </w:rPr>
            </w:pPr>
            <w:r>
              <w:rPr>
                <w:sz w:val="21"/>
                <w:szCs w:val="21"/>
                <w:u w:val="single"/>
              </w:rPr>
              <w:t>10</w:t>
            </w:r>
            <w:r>
              <w:rPr>
                <w:rFonts w:hint="eastAsia"/>
                <w:sz w:val="21"/>
                <w:szCs w:val="21"/>
              </w:rPr>
              <w:t>分</w:t>
            </w:r>
          </w:p>
        </w:tc>
        <w:tc>
          <w:tcPr>
            <w:tcW w:w="993" w:type="dxa"/>
            <w:vMerge w:val="restart"/>
            <w:tcBorders>
              <w:top w:val="single" w:color="auto" w:sz="4" w:space="0"/>
              <w:left w:val="single" w:color="auto" w:sz="4" w:space="0"/>
              <w:right w:val="single" w:color="auto" w:sz="4" w:space="0"/>
            </w:tcBorders>
          </w:tcPr>
          <w:p>
            <w:pPr>
              <w:spacing w:before="60" w:beforeLines="25" w:after="60" w:afterLines="25" w:line="360" w:lineRule="auto"/>
              <w:jc w:val="center"/>
              <w:rPr>
                <w:rFonts w:cs="Arial"/>
                <w:sz w:val="21"/>
                <w:szCs w:val="21"/>
              </w:rPr>
            </w:pPr>
            <w:r>
              <w:rPr>
                <w:rFonts w:hint="eastAsia" w:cs="Arial"/>
                <w:sz w:val="21"/>
                <w:szCs w:val="21"/>
              </w:rPr>
              <w:t>1</w:t>
            </w:r>
            <w:r>
              <w:rPr>
                <w:rFonts w:cs="Arial"/>
                <w:sz w:val="21"/>
                <w:szCs w:val="21"/>
              </w:rPr>
              <w:t>0</w:t>
            </w:r>
          </w:p>
        </w:tc>
        <w:tc>
          <w:tcPr>
            <w:tcW w:w="1090" w:type="dxa"/>
            <w:vMerge w:val="restart"/>
            <w:tcBorders>
              <w:top w:val="single" w:color="auto" w:sz="4" w:space="0"/>
              <w:left w:val="single" w:color="auto" w:sz="4" w:space="0"/>
              <w:right w:val="single" w:color="auto" w:sz="4" w:space="0"/>
            </w:tcBorders>
          </w:tcPr>
          <w:p>
            <w:pPr>
              <w:spacing w:before="60" w:beforeLines="25" w:after="60" w:afterLines="25" w:line="360" w:lineRule="auto"/>
              <w:jc w:val="center"/>
              <w:rPr>
                <w:rFonts w:cs="Arial"/>
                <w:sz w:val="21"/>
                <w:szCs w:val="21"/>
              </w:rPr>
            </w:pPr>
          </w:p>
        </w:tc>
        <w:tc>
          <w:tcPr>
            <w:tcW w:w="850" w:type="dxa"/>
            <w:vMerge w:val="restart"/>
            <w:tcBorders>
              <w:top w:val="single" w:color="auto" w:sz="4" w:space="0"/>
              <w:left w:val="single" w:color="auto" w:sz="4" w:space="0"/>
              <w:right w:val="single" w:color="auto" w:sz="4" w:space="0"/>
            </w:tcBorders>
          </w:tcPr>
          <w:p>
            <w:pPr>
              <w:spacing w:before="60" w:beforeLines="25" w:after="60" w:afterLines="25" w:line="360" w:lineRule="auto"/>
              <w:jc w:val="center"/>
              <w:rPr>
                <w:rFonts w:cs="Arial"/>
                <w:sz w:val="21"/>
                <w:szCs w:val="21"/>
              </w:rPr>
            </w:pPr>
          </w:p>
        </w:tc>
        <w:tc>
          <w:tcPr>
            <w:tcW w:w="993" w:type="dxa"/>
            <w:vMerge w:val="restart"/>
            <w:tcBorders>
              <w:top w:val="single" w:color="auto" w:sz="4" w:space="0"/>
              <w:left w:val="single" w:color="auto" w:sz="4" w:space="0"/>
              <w:right w:val="single" w:color="auto" w:sz="4" w:space="0"/>
            </w:tcBorders>
          </w:tcPr>
          <w:p>
            <w:pPr>
              <w:spacing w:before="60" w:beforeLines="25" w:after="60" w:afterLines="25" w:line="360" w:lineRule="auto"/>
              <w:jc w:val="center"/>
              <w:rPr>
                <w:rFonts w:cs="Arial"/>
                <w:sz w:val="21"/>
                <w:szCs w:val="21"/>
              </w:rPr>
            </w:pPr>
          </w:p>
        </w:tc>
        <w:tc>
          <w:tcPr>
            <w:tcW w:w="1178" w:type="dxa"/>
            <w:vMerge w:val="restart"/>
            <w:tcBorders>
              <w:top w:val="single" w:color="auto" w:sz="4" w:space="0"/>
              <w:left w:val="single" w:color="auto" w:sz="4" w:space="0"/>
              <w:right w:val="single" w:color="auto" w:sz="4" w:space="0"/>
            </w:tcBorders>
          </w:tcPr>
          <w:p>
            <w:pPr>
              <w:spacing w:before="60" w:beforeLines="25" w:after="60" w:afterLines="25" w:line="360" w:lineRule="auto"/>
              <w:jc w:val="center"/>
              <w:rPr>
                <w:rFonts w:cs="Arial"/>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jc w:val="center"/>
        </w:trPr>
        <w:tc>
          <w:tcPr>
            <w:tcW w:w="734" w:type="dxa"/>
            <w:vMerge w:val="continue"/>
            <w:tcBorders>
              <w:left w:val="single" w:color="auto" w:sz="4" w:space="0"/>
              <w:right w:val="single" w:color="auto" w:sz="4" w:space="0"/>
            </w:tcBorders>
            <w:vAlign w:val="center"/>
          </w:tcPr>
          <w:p>
            <w:pPr>
              <w:spacing w:before="60" w:beforeLines="25" w:after="60" w:afterLines="25" w:line="360" w:lineRule="auto"/>
              <w:jc w:val="center"/>
              <w:rPr>
                <w:rFonts w:cs="Arial"/>
                <w:sz w:val="21"/>
                <w:szCs w:val="21"/>
              </w:rPr>
            </w:pPr>
          </w:p>
        </w:tc>
        <w:tc>
          <w:tcPr>
            <w:tcW w:w="2693" w:type="dxa"/>
            <w:vMerge w:val="continue"/>
            <w:tcBorders>
              <w:left w:val="single" w:color="auto" w:sz="4" w:space="0"/>
              <w:right w:val="single" w:color="auto" w:sz="4" w:space="0"/>
            </w:tcBorders>
            <w:vAlign w:val="center"/>
          </w:tcPr>
          <w:p>
            <w:pPr>
              <w:spacing w:before="60" w:beforeLines="25" w:after="60" w:afterLines="25" w:line="360" w:lineRule="auto"/>
              <w:rPr>
                <w:sz w:val="21"/>
                <w:szCs w:val="21"/>
              </w:rPr>
            </w:pPr>
          </w:p>
        </w:tc>
        <w:tc>
          <w:tcPr>
            <w:tcW w:w="481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rPr>
                <w:sz w:val="21"/>
                <w:szCs w:val="21"/>
              </w:rPr>
            </w:pPr>
            <w:r>
              <w:rPr>
                <w:sz w:val="21"/>
                <w:szCs w:val="21"/>
              </w:rPr>
              <w:t>合理、可行、细节待完善、</w:t>
            </w:r>
            <w:r>
              <w:rPr>
                <w:rFonts w:hint="eastAsia"/>
                <w:sz w:val="21"/>
                <w:szCs w:val="21"/>
              </w:rPr>
              <w:t>基本</w:t>
            </w:r>
            <w:r>
              <w:rPr>
                <w:sz w:val="21"/>
                <w:szCs w:val="21"/>
              </w:rPr>
              <w:t>满足工程需要</w:t>
            </w:r>
          </w:p>
        </w:tc>
        <w:tc>
          <w:tcPr>
            <w:tcW w:w="1529"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sz w:val="21"/>
                <w:szCs w:val="21"/>
              </w:rPr>
            </w:pPr>
            <w:r>
              <w:rPr>
                <w:sz w:val="21"/>
                <w:szCs w:val="21"/>
                <w:u w:val="single"/>
              </w:rPr>
              <w:t>6</w:t>
            </w:r>
            <w:r>
              <w:rPr>
                <w:rFonts w:hint="eastAsia"/>
                <w:sz w:val="21"/>
                <w:szCs w:val="21"/>
              </w:rPr>
              <w:t>分</w:t>
            </w:r>
          </w:p>
        </w:tc>
        <w:tc>
          <w:tcPr>
            <w:tcW w:w="993" w:type="dxa"/>
            <w:vMerge w:val="continue"/>
            <w:tcBorders>
              <w:left w:val="single" w:color="auto" w:sz="4" w:space="0"/>
              <w:right w:val="single" w:color="auto" w:sz="4" w:space="0"/>
            </w:tcBorders>
          </w:tcPr>
          <w:p>
            <w:pPr>
              <w:spacing w:before="60" w:beforeLines="25" w:after="60" w:afterLines="25" w:line="360" w:lineRule="auto"/>
              <w:jc w:val="center"/>
              <w:rPr>
                <w:rFonts w:cs="Arial"/>
                <w:sz w:val="21"/>
                <w:szCs w:val="21"/>
              </w:rPr>
            </w:pPr>
          </w:p>
        </w:tc>
        <w:tc>
          <w:tcPr>
            <w:tcW w:w="1090" w:type="dxa"/>
            <w:vMerge w:val="continue"/>
            <w:tcBorders>
              <w:left w:val="single" w:color="auto" w:sz="4" w:space="0"/>
              <w:right w:val="single" w:color="auto" w:sz="4" w:space="0"/>
            </w:tcBorders>
          </w:tcPr>
          <w:p>
            <w:pPr>
              <w:spacing w:before="60" w:beforeLines="25" w:after="60" w:afterLines="25" w:line="360" w:lineRule="auto"/>
              <w:jc w:val="center"/>
              <w:rPr>
                <w:rFonts w:cs="Arial"/>
                <w:sz w:val="21"/>
                <w:szCs w:val="21"/>
              </w:rPr>
            </w:pPr>
          </w:p>
        </w:tc>
        <w:tc>
          <w:tcPr>
            <w:tcW w:w="850" w:type="dxa"/>
            <w:vMerge w:val="continue"/>
            <w:tcBorders>
              <w:left w:val="single" w:color="auto" w:sz="4" w:space="0"/>
              <w:right w:val="single" w:color="auto" w:sz="4" w:space="0"/>
            </w:tcBorders>
          </w:tcPr>
          <w:p>
            <w:pPr>
              <w:spacing w:before="60" w:beforeLines="25" w:after="60" w:afterLines="25" w:line="360" w:lineRule="auto"/>
              <w:jc w:val="center"/>
              <w:rPr>
                <w:rFonts w:cs="Arial"/>
                <w:sz w:val="21"/>
                <w:szCs w:val="21"/>
              </w:rPr>
            </w:pPr>
          </w:p>
        </w:tc>
        <w:tc>
          <w:tcPr>
            <w:tcW w:w="993" w:type="dxa"/>
            <w:vMerge w:val="continue"/>
            <w:tcBorders>
              <w:left w:val="single" w:color="auto" w:sz="4" w:space="0"/>
              <w:right w:val="single" w:color="auto" w:sz="4" w:space="0"/>
            </w:tcBorders>
          </w:tcPr>
          <w:p>
            <w:pPr>
              <w:spacing w:before="60" w:beforeLines="25" w:after="60" w:afterLines="25" w:line="360" w:lineRule="auto"/>
              <w:jc w:val="center"/>
              <w:rPr>
                <w:rFonts w:cs="Arial"/>
                <w:sz w:val="21"/>
                <w:szCs w:val="21"/>
              </w:rPr>
            </w:pPr>
          </w:p>
        </w:tc>
        <w:tc>
          <w:tcPr>
            <w:tcW w:w="1178" w:type="dxa"/>
            <w:vMerge w:val="continue"/>
            <w:tcBorders>
              <w:left w:val="single" w:color="auto" w:sz="4" w:space="0"/>
              <w:right w:val="single" w:color="auto" w:sz="4" w:space="0"/>
            </w:tcBorders>
          </w:tcPr>
          <w:p>
            <w:pPr>
              <w:spacing w:before="60" w:beforeLines="25" w:after="60" w:afterLines="25" w:line="360" w:lineRule="auto"/>
              <w:jc w:val="center"/>
              <w:rPr>
                <w:rFonts w:cs="Arial"/>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jc w:val="center"/>
        </w:trPr>
        <w:tc>
          <w:tcPr>
            <w:tcW w:w="734" w:type="dxa"/>
            <w:vMerge w:val="continue"/>
            <w:tcBorders>
              <w:left w:val="single" w:color="auto" w:sz="4" w:space="0"/>
              <w:bottom w:val="single" w:color="auto" w:sz="4" w:space="0"/>
              <w:right w:val="single" w:color="auto" w:sz="4" w:space="0"/>
            </w:tcBorders>
            <w:vAlign w:val="center"/>
          </w:tcPr>
          <w:p>
            <w:pPr>
              <w:spacing w:before="60" w:beforeLines="25" w:after="60" w:afterLines="25" w:line="360" w:lineRule="auto"/>
              <w:jc w:val="center"/>
              <w:rPr>
                <w:rFonts w:cs="Arial"/>
                <w:sz w:val="21"/>
                <w:szCs w:val="21"/>
              </w:rPr>
            </w:pPr>
          </w:p>
        </w:tc>
        <w:tc>
          <w:tcPr>
            <w:tcW w:w="2693" w:type="dxa"/>
            <w:vMerge w:val="continue"/>
            <w:tcBorders>
              <w:left w:val="single" w:color="auto" w:sz="4" w:space="0"/>
              <w:bottom w:val="single" w:color="auto" w:sz="4" w:space="0"/>
              <w:right w:val="single" w:color="auto" w:sz="4" w:space="0"/>
            </w:tcBorders>
            <w:vAlign w:val="center"/>
          </w:tcPr>
          <w:p>
            <w:pPr>
              <w:spacing w:before="60" w:beforeLines="25" w:after="60" w:afterLines="25" w:line="360" w:lineRule="auto"/>
              <w:rPr>
                <w:sz w:val="21"/>
                <w:szCs w:val="21"/>
              </w:rPr>
            </w:pPr>
          </w:p>
        </w:tc>
        <w:tc>
          <w:tcPr>
            <w:tcW w:w="481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rPr>
                <w:sz w:val="21"/>
                <w:szCs w:val="21"/>
              </w:rPr>
            </w:pPr>
            <w:r>
              <w:rPr>
                <w:rFonts w:hint="eastAsia"/>
                <w:sz w:val="21"/>
                <w:szCs w:val="21"/>
              </w:rPr>
              <w:t>欠</w:t>
            </w:r>
            <w:r>
              <w:rPr>
                <w:sz w:val="21"/>
                <w:szCs w:val="21"/>
              </w:rPr>
              <w:t>合理，可行性</w:t>
            </w:r>
            <w:r>
              <w:rPr>
                <w:rFonts w:hint="eastAsia"/>
                <w:sz w:val="21"/>
                <w:szCs w:val="21"/>
              </w:rPr>
              <w:t>较</w:t>
            </w:r>
            <w:r>
              <w:rPr>
                <w:sz w:val="21"/>
                <w:szCs w:val="21"/>
              </w:rPr>
              <w:t>差，</w:t>
            </w:r>
            <w:r>
              <w:rPr>
                <w:rFonts w:hint="eastAsia" w:cs="Arial"/>
                <w:sz w:val="21"/>
                <w:szCs w:val="21"/>
              </w:rPr>
              <w:t>未满足工程需要</w:t>
            </w:r>
          </w:p>
        </w:tc>
        <w:tc>
          <w:tcPr>
            <w:tcW w:w="1529"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sz w:val="21"/>
                <w:szCs w:val="21"/>
              </w:rPr>
            </w:pPr>
            <w:r>
              <w:rPr>
                <w:sz w:val="21"/>
                <w:szCs w:val="21"/>
                <w:u w:val="single"/>
              </w:rPr>
              <w:t>4</w:t>
            </w:r>
            <w:r>
              <w:rPr>
                <w:rFonts w:hint="eastAsia"/>
                <w:sz w:val="21"/>
                <w:szCs w:val="21"/>
              </w:rPr>
              <w:t>分</w:t>
            </w:r>
          </w:p>
        </w:tc>
        <w:tc>
          <w:tcPr>
            <w:tcW w:w="993" w:type="dxa"/>
            <w:vMerge w:val="continue"/>
            <w:tcBorders>
              <w:left w:val="single" w:color="auto" w:sz="4" w:space="0"/>
              <w:bottom w:val="single" w:color="auto" w:sz="4" w:space="0"/>
              <w:right w:val="single" w:color="auto" w:sz="4" w:space="0"/>
            </w:tcBorders>
          </w:tcPr>
          <w:p>
            <w:pPr>
              <w:spacing w:before="60" w:beforeLines="25" w:after="60" w:afterLines="25" w:line="360" w:lineRule="auto"/>
              <w:jc w:val="center"/>
              <w:rPr>
                <w:rFonts w:cs="Arial"/>
                <w:sz w:val="21"/>
                <w:szCs w:val="21"/>
              </w:rPr>
            </w:pPr>
          </w:p>
        </w:tc>
        <w:tc>
          <w:tcPr>
            <w:tcW w:w="1090" w:type="dxa"/>
            <w:vMerge w:val="continue"/>
            <w:tcBorders>
              <w:left w:val="single" w:color="auto" w:sz="4" w:space="0"/>
              <w:bottom w:val="single" w:color="auto" w:sz="4" w:space="0"/>
              <w:right w:val="single" w:color="auto" w:sz="4" w:space="0"/>
            </w:tcBorders>
          </w:tcPr>
          <w:p>
            <w:pPr>
              <w:spacing w:before="60" w:beforeLines="25" w:after="60" w:afterLines="25" w:line="360" w:lineRule="auto"/>
              <w:jc w:val="center"/>
              <w:rPr>
                <w:rFonts w:cs="Arial"/>
                <w:sz w:val="21"/>
                <w:szCs w:val="21"/>
              </w:rPr>
            </w:pPr>
          </w:p>
        </w:tc>
        <w:tc>
          <w:tcPr>
            <w:tcW w:w="850" w:type="dxa"/>
            <w:vMerge w:val="continue"/>
            <w:tcBorders>
              <w:left w:val="single" w:color="auto" w:sz="4" w:space="0"/>
              <w:bottom w:val="single" w:color="auto" w:sz="4" w:space="0"/>
              <w:right w:val="single" w:color="auto" w:sz="4" w:space="0"/>
            </w:tcBorders>
          </w:tcPr>
          <w:p>
            <w:pPr>
              <w:spacing w:before="60" w:beforeLines="25" w:after="60" w:afterLines="25" w:line="360" w:lineRule="auto"/>
              <w:jc w:val="center"/>
              <w:rPr>
                <w:rFonts w:cs="Arial"/>
                <w:sz w:val="21"/>
                <w:szCs w:val="21"/>
              </w:rPr>
            </w:pPr>
          </w:p>
        </w:tc>
        <w:tc>
          <w:tcPr>
            <w:tcW w:w="993" w:type="dxa"/>
            <w:vMerge w:val="continue"/>
            <w:tcBorders>
              <w:left w:val="single" w:color="auto" w:sz="4" w:space="0"/>
              <w:bottom w:val="single" w:color="auto" w:sz="4" w:space="0"/>
              <w:right w:val="single" w:color="auto" w:sz="4" w:space="0"/>
            </w:tcBorders>
          </w:tcPr>
          <w:p>
            <w:pPr>
              <w:spacing w:before="60" w:beforeLines="25" w:after="60" w:afterLines="25" w:line="360" w:lineRule="auto"/>
              <w:jc w:val="center"/>
              <w:rPr>
                <w:rFonts w:cs="Arial"/>
                <w:sz w:val="21"/>
                <w:szCs w:val="21"/>
              </w:rPr>
            </w:pPr>
          </w:p>
        </w:tc>
        <w:tc>
          <w:tcPr>
            <w:tcW w:w="1178" w:type="dxa"/>
            <w:vMerge w:val="continue"/>
            <w:tcBorders>
              <w:left w:val="single" w:color="auto" w:sz="4" w:space="0"/>
              <w:bottom w:val="single" w:color="auto" w:sz="4" w:space="0"/>
              <w:right w:val="single" w:color="auto" w:sz="4" w:space="0"/>
            </w:tcBorders>
          </w:tcPr>
          <w:p>
            <w:pPr>
              <w:spacing w:before="60" w:beforeLines="25" w:after="60" w:afterLines="25" w:line="360" w:lineRule="auto"/>
              <w:jc w:val="center"/>
              <w:rPr>
                <w:rFonts w:cs="Arial"/>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jc w:val="center"/>
        </w:trPr>
        <w:tc>
          <w:tcPr>
            <w:tcW w:w="734" w:type="dxa"/>
            <w:vMerge w:val="restart"/>
            <w:tcBorders>
              <w:top w:val="single" w:color="auto" w:sz="4" w:space="0"/>
              <w:left w:val="single" w:color="auto" w:sz="4" w:space="0"/>
              <w:right w:val="single" w:color="auto" w:sz="4" w:space="0"/>
            </w:tcBorders>
            <w:vAlign w:val="center"/>
          </w:tcPr>
          <w:p>
            <w:pPr>
              <w:spacing w:before="60" w:beforeLines="25" w:after="60" w:afterLines="25" w:line="360" w:lineRule="auto"/>
              <w:jc w:val="center"/>
              <w:rPr>
                <w:rFonts w:cs="Arial"/>
                <w:sz w:val="21"/>
                <w:szCs w:val="21"/>
              </w:rPr>
            </w:pPr>
            <w:r>
              <w:rPr>
                <w:rFonts w:cs="Arial"/>
                <w:sz w:val="21"/>
                <w:szCs w:val="21"/>
              </w:rPr>
              <w:t>3</w:t>
            </w:r>
          </w:p>
        </w:tc>
        <w:tc>
          <w:tcPr>
            <w:tcW w:w="2693" w:type="dxa"/>
            <w:vMerge w:val="restart"/>
            <w:tcBorders>
              <w:top w:val="single" w:color="auto" w:sz="4" w:space="0"/>
              <w:left w:val="single" w:color="auto" w:sz="4" w:space="0"/>
              <w:right w:val="single" w:color="auto" w:sz="4" w:space="0"/>
            </w:tcBorders>
            <w:vAlign w:val="center"/>
          </w:tcPr>
          <w:p>
            <w:pPr>
              <w:spacing w:before="60" w:beforeLines="25" w:after="60" w:afterLines="25" w:line="360" w:lineRule="auto"/>
              <w:rPr>
                <w:rFonts w:cs="Arial"/>
                <w:sz w:val="21"/>
                <w:szCs w:val="21"/>
              </w:rPr>
            </w:pPr>
            <w:r>
              <w:rPr>
                <w:rFonts w:hint="eastAsia"/>
                <w:sz w:val="21"/>
                <w:szCs w:val="21"/>
              </w:rPr>
              <w:t>工期保证体系及保证措施</w:t>
            </w:r>
          </w:p>
        </w:tc>
        <w:tc>
          <w:tcPr>
            <w:tcW w:w="481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rPr>
                <w:rFonts w:cs="Arial"/>
                <w:sz w:val="21"/>
                <w:szCs w:val="21"/>
              </w:rPr>
            </w:pPr>
            <w:r>
              <w:rPr>
                <w:rFonts w:hint="eastAsia"/>
                <w:sz w:val="21"/>
                <w:szCs w:val="21"/>
              </w:rPr>
              <w:t>科学、</w:t>
            </w:r>
            <w:r>
              <w:rPr>
                <w:sz w:val="21"/>
                <w:szCs w:val="21"/>
              </w:rPr>
              <w:t>可行、针对性强、满足工程需要</w:t>
            </w:r>
          </w:p>
        </w:tc>
        <w:tc>
          <w:tcPr>
            <w:tcW w:w="1529"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cs="Arial"/>
                <w:sz w:val="21"/>
                <w:szCs w:val="21"/>
              </w:rPr>
            </w:pPr>
            <w:r>
              <w:rPr>
                <w:sz w:val="21"/>
                <w:szCs w:val="21"/>
                <w:u w:val="single"/>
              </w:rPr>
              <w:t>10</w:t>
            </w:r>
            <w:r>
              <w:rPr>
                <w:rFonts w:hint="eastAsia"/>
                <w:sz w:val="21"/>
                <w:szCs w:val="21"/>
              </w:rPr>
              <w:t>分</w:t>
            </w:r>
          </w:p>
        </w:tc>
        <w:tc>
          <w:tcPr>
            <w:tcW w:w="993" w:type="dxa"/>
            <w:vMerge w:val="restart"/>
            <w:tcBorders>
              <w:top w:val="single" w:color="auto" w:sz="4" w:space="0"/>
              <w:left w:val="single" w:color="auto" w:sz="4" w:space="0"/>
              <w:right w:val="single" w:color="auto" w:sz="4" w:space="0"/>
            </w:tcBorders>
          </w:tcPr>
          <w:p>
            <w:pPr>
              <w:spacing w:before="60" w:beforeLines="25" w:after="60" w:afterLines="25" w:line="360" w:lineRule="auto"/>
              <w:jc w:val="center"/>
              <w:rPr>
                <w:rFonts w:cs="Arial"/>
                <w:sz w:val="21"/>
                <w:szCs w:val="21"/>
              </w:rPr>
            </w:pPr>
            <w:r>
              <w:rPr>
                <w:rFonts w:hint="eastAsia" w:cs="Arial"/>
                <w:sz w:val="21"/>
                <w:szCs w:val="21"/>
              </w:rPr>
              <w:t>1</w:t>
            </w:r>
            <w:r>
              <w:rPr>
                <w:rFonts w:cs="Arial"/>
                <w:sz w:val="21"/>
                <w:szCs w:val="21"/>
              </w:rPr>
              <w:t>0</w:t>
            </w:r>
          </w:p>
        </w:tc>
        <w:tc>
          <w:tcPr>
            <w:tcW w:w="1090" w:type="dxa"/>
            <w:vMerge w:val="restart"/>
            <w:tcBorders>
              <w:top w:val="single" w:color="auto" w:sz="4" w:space="0"/>
              <w:left w:val="single" w:color="auto" w:sz="4" w:space="0"/>
              <w:right w:val="single" w:color="auto" w:sz="4" w:space="0"/>
            </w:tcBorders>
          </w:tcPr>
          <w:p>
            <w:pPr>
              <w:spacing w:before="60" w:beforeLines="25" w:after="60" w:afterLines="25" w:line="360" w:lineRule="auto"/>
              <w:jc w:val="center"/>
              <w:rPr>
                <w:rFonts w:cs="Arial"/>
                <w:sz w:val="21"/>
                <w:szCs w:val="21"/>
              </w:rPr>
            </w:pPr>
          </w:p>
        </w:tc>
        <w:tc>
          <w:tcPr>
            <w:tcW w:w="850" w:type="dxa"/>
            <w:vMerge w:val="restart"/>
            <w:tcBorders>
              <w:top w:val="single" w:color="auto" w:sz="4" w:space="0"/>
              <w:left w:val="single" w:color="auto" w:sz="4" w:space="0"/>
              <w:right w:val="single" w:color="auto" w:sz="4" w:space="0"/>
            </w:tcBorders>
          </w:tcPr>
          <w:p>
            <w:pPr>
              <w:spacing w:before="60" w:beforeLines="25" w:after="60" w:afterLines="25" w:line="360" w:lineRule="auto"/>
              <w:jc w:val="center"/>
              <w:rPr>
                <w:rFonts w:cs="Arial"/>
                <w:sz w:val="21"/>
                <w:szCs w:val="21"/>
              </w:rPr>
            </w:pPr>
          </w:p>
        </w:tc>
        <w:tc>
          <w:tcPr>
            <w:tcW w:w="993" w:type="dxa"/>
            <w:vMerge w:val="restart"/>
            <w:tcBorders>
              <w:top w:val="single" w:color="auto" w:sz="4" w:space="0"/>
              <w:left w:val="single" w:color="auto" w:sz="4" w:space="0"/>
              <w:right w:val="single" w:color="auto" w:sz="4" w:space="0"/>
            </w:tcBorders>
          </w:tcPr>
          <w:p>
            <w:pPr>
              <w:spacing w:before="60" w:beforeLines="25" w:after="60" w:afterLines="25" w:line="360" w:lineRule="auto"/>
              <w:jc w:val="center"/>
              <w:rPr>
                <w:rFonts w:cs="Arial"/>
                <w:sz w:val="21"/>
                <w:szCs w:val="21"/>
              </w:rPr>
            </w:pPr>
          </w:p>
        </w:tc>
        <w:tc>
          <w:tcPr>
            <w:tcW w:w="1178" w:type="dxa"/>
            <w:vMerge w:val="restart"/>
            <w:tcBorders>
              <w:top w:val="single" w:color="auto" w:sz="4" w:space="0"/>
              <w:left w:val="single" w:color="auto" w:sz="4" w:space="0"/>
              <w:right w:val="single" w:color="auto" w:sz="4" w:space="0"/>
            </w:tcBorders>
          </w:tcPr>
          <w:p>
            <w:pPr>
              <w:spacing w:before="60" w:beforeLines="25" w:after="60" w:afterLines="25" w:line="360" w:lineRule="auto"/>
              <w:jc w:val="center"/>
              <w:rPr>
                <w:rFonts w:cs="Arial"/>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jc w:val="center"/>
        </w:trPr>
        <w:tc>
          <w:tcPr>
            <w:tcW w:w="734" w:type="dxa"/>
            <w:vMerge w:val="continue"/>
            <w:tcBorders>
              <w:left w:val="single" w:color="auto" w:sz="4" w:space="0"/>
              <w:right w:val="single" w:color="auto" w:sz="4" w:space="0"/>
            </w:tcBorders>
            <w:vAlign w:val="center"/>
          </w:tcPr>
          <w:p>
            <w:pPr>
              <w:spacing w:before="60" w:beforeLines="25" w:after="60" w:afterLines="25" w:line="360" w:lineRule="auto"/>
              <w:jc w:val="center"/>
              <w:rPr>
                <w:rFonts w:cs="Arial"/>
                <w:sz w:val="21"/>
                <w:szCs w:val="21"/>
              </w:rPr>
            </w:pPr>
          </w:p>
        </w:tc>
        <w:tc>
          <w:tcPr>
            <w:tcW w:w="2693" w:type="dxa"/>
            <w:vMerge w:val="continue"/>
            <w:tcBorders>
              <w:left w:val="single" w:color="auto" w:sz="4" w:space="0"/>
              <w:right w:val="single" w:color="auto" w:sz="4" w:space="0"/>
            </w:tcBorders>
            <w:vAlign w:val="center"/>
          </w:tcPr>
          <w:p>
            <w:pPr>
              <w:spacing w:before="60" w:beforeLines="25" w:after="60" w:afterLines="25" w:line="360" w:lineRule="auto"/>
              <w:rPr>
                <w:sz w:val="21"/>
                <w:szCs w:val="21"/>
              </w:rPr>
            </w:pPr>
          </w:p>
        </w:tc>
        <w:tc>
          <w:tcPr>
            <w:tcW w:w="481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rPr>
                <w:rFonts w:cs="Arial"/>
                <w:sz w:val="21"/>
                <w:szCs w:val="21"/>
              </w:rPr>
            </w:pPr>
            <w:r>
              <w:rPr>
                <w:sz w:val="21"/>
                <w:szCs w:val="21"/>
              </w:rPr>
              <w:t>合理、可行、细节待完善、</w:t>
            </w:r>
            <w:r>
              <w:rPr>
                <w:rFonts w:hint="eastAsia"/>
                <w:sz w:val="21"/>
                <w:szCs w:val="21"/>
              </w:rPr>
              <w:t>基本</w:t>
            </w:r>
            <w:r>
              <w:rPr>
                <w:sz w:val="21"/>
                <w:szCs w:val="21"/>
              </w:rPr>
              <w:t>满足工程需要</w:t>
            </w:r>
          </w:p>
        </w:tc>
        <w:tc>
          <w:tcPr>
            <w:tcW w:w="1529"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cs="Arial"/>
                <w:sz w:val="21"/>
                <w:szCs w:val="21"/>
              </w:rPr>
            </w:pPr>
            <w:r>
              <w:rPr>
                <w:sz w:val="21"/>
                <w:szCs w:val="21"/>
                <w:u w:val="single"/>
              </w:rPr>
              <w:t>6</w:t>
            </w:r>
            <w:r>
              <w:rPr>
                <w:rFonts w:hint="eastAsia"/>
                <w:sz w:val="21"/>
                <w:szCs w:val="21"/>
              </w:rPr>
              <w:t>分</w:t>
            </w:r>
          </w:p>
        </w:tc>
        <w:tc>
          <w:tcPr>
            <w:tcW w:w="993" w:type="dxa"/>
            <w:vMerge w:val="continue"/>
            <w:tcBorders>
              <w:left w:val="single" w:color="auto" w:sz="4" w:space="0"/>
              <w:right w:val="single" w:color="auto" w:sz="4" w:space="0"/>
            </w:tcBorders>
          </w:tcPr>
          <w:p>
            <w:pPr>
              <w:spacing w:before="60" w:beforeLines="25" w:after="60" w:afterLines="25" w:line="360" w:lineRule="auto"/>
              <w:jc w:val="center"/>
              <w:rPr>
                <w:rFonts w:cs="Arial"/>
                <w:sz w:val="21"/>
                <w:szCs w:val="21"/>
              </w:rPr>
            </w:pPr>
          </w:p>
        </w:tc>
        <w:tc>
          <w:tcPr>
            <w:tcW w:w="1090" w:type="dxa"/>
            <w:vMerge w:val="continue"/>
            <w:tcBorders>
              <w:left w:val="single" w:color="auto" w:sz="4" w:space="0"/>
              <w:right w:val="single" w:color="auto" w:sz="4" w:space="0"/>
            </w:tcBorders>
          </w:tcPr>
          <w:p>
            <w:pPr>
              <w:spacing w:before="60" w:beforeLines="25" w:after="60" w:afterLines="25" w:line="360" w:lineRule="auto"/>
              <w:jc w:val="center"/>
              <w:rPr>
                <w:rFonts w:cs="Arial"/>
                <w:sz w:val="21"/>
                <w:szCs w:val="21"/>
              </w:rPr>
            </w:pPr>
          </w:p>
        </w:tc>
        <w:tc>
          <w:tcPr>
            <w:tcW w:w="850" w:type="dxa"/>
            <w:vMerge w:val="continue"/>
            <w:tcBorders>
              <w:left w:val="single" w:color="auto" w:sz="4" w:space="0"/>
              <w:right w:val="single" w:color="auto" w:sz="4" w:space="0"/>
            </w:tcBorders>
          </w:tcPr>
          <w:p>
            <w:pPr>
              <w:spacing w:before="60" w:beforeLines="25" w:after="60" w:afterLines="25" w:line="360" w:lineRule="auto"/>
              <w:jc w:val="center"/>
              <w:rPr>
                <w:rFonts w:cs="Arial"/>
                <w:sz w:val="21"/>
                <w:szCs w:val="21"/>
              </w:rPr>
            </w:pPr>
          </w:p>
        </w:tc>
        <w:tc>
          <w:tcPr>
            <w:tcW w:w="993" w:type="dxa"/>
            <w:vMerge w:val="continue"/>
            <w:tcBorders>
              <w:left w:val="single" w:color="auto" w:sz="4" w:space="0"/>
              <w:right w:val="single" w:color="auto" w:sz="4" w:space="0"/>
            </w:tcBorders>
          </w:tcPr>
          <w:p>
            <w:pPr>
              <w:spacing w:before="60" w:beforeLines="25" w:after="60" w:afterLines="25" w:line="360" w:lineRule="auto"/>
              <w:jc w:val="center"/>
              <w:rPr>
                <w:rFonts w:cs="Arial"/>
                <w:sz w:val="21"/>
                <w:szCs w:val="21"/>
              </w:rPr>
            </w:pPr>
          </w:p>
        </w:tc>
        <w:tc>
          <w:tcPr>
            <w:tcW w:w="1178" w:type="dxa"/>
            <w:vMerge w:val="continue"/>
            <w:tcBorders>
              <w:left w:val="single" w:color="auto" w:sz="4" w:space="0"/>
              <w:right w:val="single" w:color="auto" w:sz="4" w:space="0"/>
            </w:tcBorders>
          </w:tcPr>
          <w:p>
            <w:pPr>
              <w:spacing w:before="60" w:beforeLines="25" w:after="60" w:afterLines="25" w:line="360" w:lineRule="auto"/>
              <w:jc w:val="center"/>
              <w:rPr>
                <w:rFonts w:cs="Arial"/>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jc w:val="center"/>
        </w:trPr>
        <w:tc>
          <w:tcPr>
            <w:tcW w:w="734" w:type="dxa"/>
            <w:vMerge w:val="continue"/>
            <w:tcBorders>
              <w:left w:val="single" w:color="auto" w:sz="4" w:space="0"/>
              <w:bottom w:val="single" w:color="auto" w:sz="4" w:space="0"/>
              <w:right w:val="single" w:color="auto" w:sz="4" w:space="0"/>
            </w:tcBorders>
            <w:vAlign w:val="center"/>
          </w:tcPr>
          <w:p>
            <w:pPr>
              <w:spacing w:before="60" w:beforeLines="25" w:after="60" w:afterLines="25" w:line="360" w:lineRule="auto"/>
              <w:jc w:val="center"/>
              <w:rPr>
                <w:rFonts w:cs="Arial"/>
                <w:sz w:val="21"/>
                <w:szCs w:val="21"/>
              </w:rPr>
            </w:pPr>
          </w:p>
        </w:tc>
        <w:tc>
          <w:tcPr>
            <w:tcW w:w="2693" w:type="dxa"/>
            <w:vMerge w:val="continue"/>
            <w:tcBorders>
              <w:left w:val="single" w:color="auto" w:sz="4" w:space="0"/>
              <w:bottom w:val="single" w:color="auto" w:sz="4" w:space="0"/>
              <w:right w:val="single" w:color="auto" w:sz="4" w:space="0"/>
            </w:tcBorders>
            <w:vAlign w:val="center"/>
          </w:tcPr>
          <w:p>
            <w:pPr>
              <w:spacing w:before="60" w:beforeLines="25" w:after="60" w:afterLines="25" w:line="360" w:lineRule="auto"/>
              <w:rPr>
                <w:sz w:val="21"/>
                <w:szCs w:val="21"/>
              </w:rPr>
            </w:pPr>
          </w:p>
        </w:tc>
        <w:tc>
          <w:tcPr>
            <w:tcW w:w="481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rPr>
                <w:rFonts w:cs="Arial"/>
                <w:sz w:val="21"/>
                <w:szCs w:val="21"/>
              </w:rPr>
            </w:pPr>
            <w:r>
              <w:rPr>
                <w:rFonts w:hint="eastAsia"/>
                <w:sz w:val="21"/>
                <w:szCs w:val="21"/>
              </w:rPr>
              <w:t>欠</w:t>
            </w:r>
            <w:r>
              <w:rPr>
                <w:sz w:val="21"/>
                <w:szCs w:val="21"/>
              </w:rPr>
              <w:t>合理，可行性</w:t>
            </w:r>
            <w:r>
              <w:rPr>
                <w:rFonts w:hint="eastAsia"/>
                <w:sz w:val="21"/>
                <w:szCs w:val="21"/>
              </w:rPr>
              <w:t>较</w:t>
            </w:r>
            <w:r>
              <w:rPr>
                <w:sz w:val="21"/>
                <w:szCs w:val="21"/>
              </w:rPr>
              <w:t>差，</w:t>
            </w:r>
            <w:r>
              <w:rPr>
                <w:rFonts w:hint="eastAsia" w:cs="Arial"/>
                <w:sz w:val="21"/>
                <w:szCs w:val="21"/>
              </w:rPr>
              <w:t>未满足工程需要</w:t>
            </w:r>
          </w:p>
        </w:tc>
        <w:tc>
          <w:tcPr>
            <w:tcW w:w="1529"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cs="Arial"/>
                <w:sz w:val="21"/>
                <w:szCs w:val="21"/>
              </w:rPr>
            </w:pPr>
            <w:r>
              <w:rPr>
                <w:sz w:val="21"/>
                <w:szCs w:val="21"/>
                <w:u w:val="single"/>
              </w:rPr>
              <w:t>4</w:t>
            </w:r>
            <w:r>
              <w:rPr>
                <w:rFonts w:hint="eastAsia"/>
                <w:sz w:val="21"/>
                <w:szCs w:val="21"/>
              </w:rPr>
              <w:t>分</w:t>
            </w:r>
          </w:p>
        </w:tc>
        <w:tc>
          <w:tcPr>
            <w:tcW w:w="993" w:type="dxa"/>
            <w:vMerge w:val="continue"/>
            <w:tcBorders>
              <w:left w:val="single" w:color="auto" w:sz="4" w:space="0"/>
              <w:bottom w:val="single" w:color="auto" w:sz="4" w:space="0"/>
              <w:right w:val="single" w:color="auto" w:sz="4" w:space="0"/>
            </w:tcBorders>
          </w:tcPr>
          <w:p>
            <w:pPr>
              <w:spacing w:before="60" w:beforeLines="25" w:after="60" w:afterLines="25" w:line="360" w:lineRule="auto"/>
              <w:jc w:val="center"/>
              <w:rPr>
                <w:rFonts w:cs="Arial"/>
                <w:sz w:val="21"/>
                <w:szCs w:val="21"/>
              </w:rPr>
            </w:pPr>
          </w:p>
        </w:tc>
        <w:tc>
          <w:tcPr>
            <w:tcW w:w="1090" w:type="dxa"/>
            <w:vMerge w:val="continue"/>
            <w:tcBorders>
              <w:left w:val="single" w:color="auto" w:sz="4" w:space="0"/>
              <w:bottom w:val="single" w:color="auto" w:sz="4" w:space="0"/>
              <w:right w:val="single" w:color="auto" w:sz="4" w:space="0"/>
            </w:tcBorders>
          </w:tcPr>
          <w:p>
            <w:pPr>
              <w:spacing w:before="60" w:beforeLines="25" w:after="60" w:afterLines="25" w:line="360" w:lineRule="auto"/>
              <w:jc w:val="center"/>
              <w:rPr>
                <w:rFonts w:cs="Arial"/>
                <w:sz w:val="21"/>
                <w:szCs w:val="21"/>
              </w:rPr>
            </w:pPr>
          </w:p>
        </w:tc>
        <w:tc>
          <w:tcPr>
            <w:tcW w:w="850" w:type="dxa"/>
            <w:vMerge w:val="continue"/>
            <w:tcBorders>
              <w:left w:val="single" w:color="auto" w:sz="4" w:space="0"/>
              <w:bottom w:val="single" w:color="auto" w:sz="4" w:space="0"/>
              <w:right w:val="single" w:color="auto" w:sz="4" w:space="0"/>
            </w:tcBorders>
          </w:tcPr>
          <w:p>
            <w:pPr>
              <w:spacing w:before="60" w:beforeLines="25" w:after="60" w:afterLines="25" w:line="360" w:lineRule="auto"/>
              <w:jc w:val="center"/>
              <w:rPr>
                <w:rFonts w:cs="Arial"/>
                <w:sz w:val="21"/>
                <w:szCs w:val="21"/>
              </w:rPr>
            </w:pPr>
          </w:p>
        </w:tc>
        <w:tc>
          <w:tcPr>
            <w:tcW w:w="993" w:type="dxa"/>
            <w:vMerge w:val="continue"/>
            <w:tcBorders>
              <w:left w:val="single" w:color="auto" w:sz="4" w:space="0"/>
              <w:bottom w:val="single" w:color="auto" w:sz="4" w:space="0"/>
              <w:right w:val="single" w:color="auto" w:sz="4" w:space="0"/>
            </w:tcBorders>
          </w:tcPr>
          <w:p>
            <w:pPr>
              <w:spacing w:before="60" w:beforeLines="25" w:after="60" w:afterLines="25" w:line="360" w:lineRule="auto"/>
              <w:jc w:val="center"/>
              <w:rPr>
                <w:rFonts w:cs="Arial"/>
                <w:sz w:val="21"/>
                <w:szCs w:val="21"/>
              </w:rPr>
            </w:pPr>
          </w:p>
        </w:tc>
        <w:tc>
          <w:tcPr>
            <w:tcW w:w="1178" w:type="dxa"/>
            <w:vMerge w:val="continue"/>
            <w:tcBorders>
              <w:left w:val="single" w:color="auto" w:sz="4" w:space="0"/>
              <w:bottom w:val="single" w:color="auto" w:sz="4" w:space="0"/>
              <w:right w:val="single" w:color="auto" w:sz="4" w:space="0"/>
            </w:tcBorders>
          </w:tcPr>
          <w:p>
            <w:pPr>
              <w:spacing w:before="60" w:beforeLines="25" w:after="60" w:afterLines="25" w:line="360" w:lineRule="auto"/>
              <w:jc w:val="center"/>
              <w:rPr>
                <w:rFonts w:cs="Arial"/>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jc w:val="center"/>
        </w:trPr>
        <w:tc>
          <w:tcPr>
            <w:tcW w:w="734"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jc w:val="center"/>
              <w:rPr>
                <w:rFonts w:cs="Arial"/>
                <w:sz w:val="21"/>
                <w:szCs w:val="21"/>
              </w:rPr>
            </w:pPr>
            <w:r>
              <w:rPr>
                <w:rFonts w:hint="eastAsia"/>
                <w:sz w:val="21"/>
                <w:szCs w:val="21"/>
              </w:rPr>
              <w:t>…</w:t>
            </w:r>
          </w:p>
        </w:tc>
        <w:tc>
          <w:tcPr>
            <w:tcW w:w="269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cs="Arial"/>
                <w:sz w:val="21"/>
                <w:szCs w:val="21"/>
              </w:rPr>
            </w:pPr>
            <w:r>
              <w:rPr>
                <w:rFonts w:hint="eastAsia"/>
                <w:sz w:val="21"/>
                <w:szCs w:val="21"/>
              </w:rPr>
              <w:t>……</w:t>
            </w:r>
          </w:p>
        </w:tc>
        <w:tc>
          <w:tcPr>
            <w:tcW w:w="481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jc w:val="center"/>
              <w:rPr>
                <w:rFonts w:cs="Arial"/>
                <w:sz w:val="21"/>
                <w:szCs w:val="21"/>
              </w:rPr>
            </w:pPr>
          </w:p>
        </w:tc>
        <w:tc>
          <w:tcPr>
            <w:tcW w:w="1529" w:type="dxa"/>
            <w:tcBorders>
              <w:top w:val="single" w:color="auto" w:sz="4" w:space="0"/>
              <w:left w:val="single" w:color="auto" w:sz="4" w:space="0"/>
              <w:bottom w:val="single" w:color="auto" w:sz="4" w:space="0"/>
              <w:right w:val="single" w:color="000000" w:sz="4" w:space="0"/>
            </w:tcBorders>
          </w:tcPr>
          <w:p>
            <w:pPr>
              <w:spacing w:before="60" w:beforeLines="25" w:after="60" w:afterLines="25" w:line="360" w:lineRule="auto"/>
              <w:jc w:val="center"/>
              <w:rPr>
                <w:rFonts w:cs="Arial"/>
                <w:sz w:val="21"/>
                <w:szCs w:val="21"/>
              </w:rPr>
            </w:pPr>
          </w:p>
        </w:tc>
        <w:tc>
          <w:tcPr>
            <w:tcW w:w="993" w:type="dxa"/>
            <w:tcBorders>
              <w:top w:val="single" w:color="auto" w:sz="4" w:space="0"/>
              <w:left w:val="single" w:color="000000" w:sz="4" w:space="0"/>
              <w:bottom w:val="single" w:color="auto" w:sz="4" w:space="0"/>
              <w:right w:val="single" w:color="auto" w:sz="4" w:space="0"/>
            </w:tcBorders>
          </w:tcPr>
          <w:p>
            <w:pPr>
              <w:spacing w:before="60" w:beforeLines="25" w:after="60" w:afterLines="25" w:line="360" w:lineRule="auto"/>
              <w:jc w:val="center"/>
              <w:rPr>
                <w:rFonts w:cs="Arial"/>
                <w:sz w:val="21"/>
                <w:szCs w:val="21"/>
              </w:rPr>
            </w:pPr>
          </w:p>
        </w:tc>
        <w:tc>
          <w:tcPr>
            <w:tcW w:w="1090"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jc w:val="center"/>
              <w:rPr>
                <w:rFonts w:cs="Arial"/>
                <w:sz w:val="21"/>
                <w:szCs w:val="21"/>
              </w:rPr>
            </w:pPr>
          </w:p>
        </w:tc>
        <w:tc>
          <w:tcPr>
            <w:tcW w:w="850"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jc w:val="center"/>
              <w:rPr>
                <w:rFonts w:cs="Arial"/>
                <w:sz w:val="21"/>
                <w:szCs w:val="21"/>
              </w:rPr>
            </w:pPr>
          </w:p>
        </w:tc>
        <w:tc>
          <w:tcPr>
            <w:tcW w:w="99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jc w:val="center"/>
              <w:rPr>
                <w:rFonts w:cs="Arial"/>
                <w:sz w:val="21"/>
                <w:szCs w:val="21"/>
              </w:rPr>
            </w:pPr>
          </w:p>
        </w:tc>
        <w:tc>
          <w:tcPr>
            <w:tcW w:w="1178"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jc w:val="center"/>
              <w:rPr>
                <w:rFonts w:cs="Arial"/>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jc w:val="center"/>
        </w:trPr>
        <w:tc>
          <w:tcPr>
            <w:tcW w:w="9775" w:type="dxa"/>
            <w:gridSpan w:val="4"/>
            <w:tcBorders>
              <w:top w:val="single" w:color="auto" w:sz="4" w:space="0"/>
              <w:left w:val="single" w:color="auto" w:sz="4" w:space="0"/>
              <w:bottom w:val="single" w:color="auto" w:sz="4" w:space="0"/>
              <w:right w:val="single" w:color="000000" w:sz="4" w:space="0"/>
            </w:tcBorders>
            <w:vAlign w:val="center"/>
          </w:tcPr>
          <w:p>
            <w:pPr>
              <w:spacing w:before="60" w:beforeLines="25" w:after="60" w:afterLines="25" w:line="360" w:lineRule="auto"/>
              <w:jc w:val="center"/>
              <w:rPr>
                <w:rFonts w:cs="Arial"/>
                <w:sz w:val="21"/>
                <w:szCs w:val="21"/>
              </w:rPr>
            </w:pPr>
            <w:r>
              <w:rPr>
                <w:rFonts w:hint="eastAsia" w:cs="Arial"/>
                <w:b/>
                <w:bCs/>
                <w:sz w:val="21"/>
                <w:szCs w:val="21"/>
              </w:rPr>
              <w:t>技术得分合计（满分</w:t>
            </w:r>
            <w:r>
              <w:rPr>
                <w:rFonts w:cs="Arial"/>
                <w:b/>
                <w:bCs/>
                <w:sz w:val="21"/>
                <w:szCs w:val="21"/>
                <w:u w:val="single"/>
              </w:rPr>
              <w:t>40</w:t>
            </w:r>
            <w:r>
              <w:rPr>
                <w:rFonts w:hint="eastAsia" w:cs="Arial"/>
                <w:b/>
                <w:bCs/>
                <w:sz w:val="21"/>
                <w:szCs w:val="21"/>
                <w:u w:val="single"/>
              </w:rPr>
              <w:t>分</w:t>
            </w:r>
            <w:r>
              <w:rPr>
                <w:rFonts w:hint="eastAsia" w:cs="Arial"/>
                <w:b/>
                <w:bCs/>
                <w:sz w:val="21"/>
                <w:szCs w:val="21"/>
              </w:rPr>
              <w:t>）</w:t>
            </w:r>
          </w:p>
        </w:tc>
        <w:tc>
          <w:tcPr>
            <w:tcW w:w="993" w:type="dxa"/>
            <w:tcBorders>
              <w:top w:val="single" w:color="auto" w:sz="4" w:space="0"/>
              <w:left w:val="single" w:color="000000" w:sz="4" w:space="0"/>
              <w:bottom w:val="single" w:color="auto" w:sz="4" w:space="0"/>
              <w:right w:val="single" w:color="auto" w:sz="4" w:space="0"/>
            </w:tcBorders>
            <w:vAlign w:val="center"/>
          </w:tcPr>
          <w:p>
            <w:pPr>
              <w:spacing w:before="60" w:beforeLines="25" w:after="60" w:afterLines="25" w:line="360" w:lineRule="auto"/>
              <w:ind w:left="0" w:firstLine="0"/>
              <w:jc w:val="center"/>
              <w:rPr>
                <w:rFonts w:cs="Arial"/>
                <w:sz w:val="21"/>
                <w:szCs w:val="21"/>
              </w:rPr>
            </w:pPr>
          </w:p>
        </w:tc>
        <w:tc>
          <w:tcPr>
            <w:tcW w:w="1090"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jc w:val="center"/>
              <w:rPr>
                <w:rFonts w:cs="Arial"/>
                <w:sz w:val="21"/>
                <w:szCs w:val="21"/>
              </w:rPr>
            </w:pPr>
          </w:p>
        </w:tc>
        <w:tc>
          <w:tcPr>
            <w:tcW w:w="850"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jc w:val="center"/>
              <w:rPr>
                <w:rFonts w:cs="Arial"/>
                <w:sz w:val="21"/>
                <w:szCs w:val="21"/>
              </w:rPr>
            </w:pPr>
          </w:p>
        </w:tc>
        <w:tc>
          <w:tcPr>
            <w:tcW w:w="99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jc w:val="center"/>
              <w:rPr>
                <w:rFonts w:cs="Arial"/>
                <w:sz w:val="21"/>
                <w:szCs w:val="21"/>
              </w:rPr>
            </w:pPr>
          </w:p>
        </w:tc>
        <w:tc>
          <w:tcPr>
            <w:tcW w:w="1178"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jc w:val="center"/>
              <w:rPr>
                <w:rFonts w:cs="Arial"/>
                <w:sz w:val="21"/>
                <w:szCs w:val="21"/>
              </w:rPr>
            </w:pPr>
          </w:p>
        </w:tc>
      </w:tr>
    </w:tbl>
    <w:p>
      <w:pPr>
        <w:spacing w:line="360" w:lineRule="auto"/>
        <w:ind w:left="0" w:firstLine="0"/>
      </w:pPr>
    </w:p>
    <w:p>
      <w:pPr>
        <w:spacing w:after="18" w:line="360" w:lineRule="auto"/>
        <w:ind w:left="181"/>
        <w:rPr>
          <w:szCs w:val="24"/>
        </w:rPr>
        <w:sectPr>
          <w:pgSz w:w="16838" w:h="11906" w:orient="landscape"/>
          <w:pgMar w:top="720" w:right="720" w:bottom="720" w:left="720" w:header="708" w:footer="708" w:gutter="0"/>
          <w:cols w:space="708" w:num="1"/>
          <w:docGrid w:linePitch="360" w:charSpace="0"/>
        </w:sectPr>
      </w:pPr>
      <w:r>
        <w:rPr>
          <w:rFonts w:hint="eastAsia"/>
          <w:szCs w:val="24"/>
        </w:rPr>
        <w:t>评标专家签字：                                                                              日期：</w:t>
      </w:r>
    </w:p>
    <w:p>
      <w:pPr>
        <w:pStyle w:val="4"/>
        <w:spacing w:before="120" w:beforeLines="50" w:after="120" w:afterLines="50" w:line="360" w:lineRule="auto"/>
        <w:jc w:val="left"/>
        <w:rPr>
          <w:rFonts w:ascii="宋体" w:hAnsi="宋体" w:eastAsia="宋体" w:cs="宋体"/>
          <w:b/>
          <w:bCs/>
          <w:sz w:val="24"/>
          <w:szCs w:val="24"/>
        </w:rPr>
      </w:pPr>
      <w:bookmarkStart w:id="233" w:name="_Toc79057536"/>
      <w:bookmarkStart w:id="234" w:name="_Toc77206871"/>
      <w:bookmarkStart w:id="235" w:name="_Toc86825524"/>
      <w:bookmarkStart w:id="236" w:name="_Toc27390"/>
      <w:r>
        <w:rPr>
          <w:rFonts w:hint="eastAsia" w:ascii="宋体" w:hAnsi="宋体" w:eastAsia="宋体"/>
          <w:bCs/>
          <w:sz w:val="24"/>
          <w:szCs w:val="24"/>
        </w:rPr>
        <w:t>附表五：</w:t>
      </w:r>
      <w:r>
        <w:rPr>
          <w:rFonts w:hint="eastAsia" w:ascii="宋体" w:hAnsi="宋体" w:eastAsia="宋体" w:cs="宋体"/>
          <w:b/>
          <w:bCs/>
          <w:sz w:val="24"/>
          <w:szCs w:val="24"/>
        </w:rPr>
        <w:t>商务评分表</w:t>
      </w:r>
      <w:bookmarkEnd w:id="233"/>
      <w:bookmarkEnd w:id="234"/>
      <w:bookmarkEnd w:id="235"/>
    </w:p>
    <w:p>
      <w:pPr>
        <w:spacing w:line="360" w:lineRule="auto"/>
        <w:jc w:val="center"/>
      </w:pPr>
      <w:r>
        <w:rPr>
          <w:rFonts w:hint="eastAsia"/>
        </w:rPr>
        <w:t>商务</w:t>
      </w:r>
      <w:r>
        <w:t>评分表</w:t>
      </w:r>
      <w:bookmarkEnd w:id="236"/>
    </w:p>
    <w:p>
      <w:pPr>
        <w:spacing w:line="360" w:lineRule="auto"/>
        <w:ind w:left="240" w:right="-581" w:rightChars="-242" w:hanging="240" w:hangingChars="100"/>
        <w:rPr>
          <w:szCs w:val="24"/>
        </w:rPr>
      </w:pPr>
      <w:r>
        <w:rPr>
          <w:rFonts w:hint="eastAsia"/>
          <w:szCs w:val="24"/>
        </w:rPr>
        <w:t>项目名称：</w:t>
      </w:r>
      <w:r>
        <w:rPr>
          <w:rFonts w:hint="eastAsia"/>
        </w:rPr>
        <w:t>北京市房山区人民防空办公室加州水郡西区、中冶蓝城地下人防工程维修工程</w:t>
      </w:r>
    </w:p>
    <w:p>
      <w:pPr>
        <w:spacing w:line="360" w:lineRule="auto"/>
        <w:ind w:left="240" w:right="-581" w:rightChars="-242" w:hanging="240" w:hangingChars="100"/>
        <w:rPr>
          <w:szCs w:val="24"/>
        </w:rPr>
      </w:pPr>
      <w:r>
        <w:rPr>
          <w:rFonts w:hint="eastAsia"/>
          <w:szCs w:val="24"/>
        </w:rPr>
        <w:t>项目编号：</w:t>
      </w:r>
    </w:p>
    <w:tbl>
      <w:tblPr>
        <w:tblStyle w:val="36"/>
        <w:tblW w:w="10376" w:type="dxa"/>
        <w:tblInd w:w="-8" w:type="dxa"/>
        <w:tblLayout w:type="fixed"/>
        <w:tblCellMar>
          <w:top w:w="0" w:type="dxa"/>
          <w:left w:w="108" w:type="dxa"/>
          <w:bottom w:w="60" w:type="dxa"/>
          <w:right w:w="108" w:type="dxa"/>
        </w:tblCellMar>
      </w:tblPr>
      <w:tblGrid>
        <w:gridCol w:w="542"/>
        <w:gridCol w:w="1134"/>
        <w:gridCol w:w="850"/>
        <w:gridCol w:w="2268"/>
        <w:gridCol w:w="1276"/>
        <w:gridCol w:w="1417"/>
        <w:gridCol w:w="1428"/>
        <w:gridCol w:w="1461"/>
      </w:tblGrid>
      <w:tr>
        <w:tblPrEx>
          <w:tblCellMar>
            <w:top w:w="0" w:type="dxa"/>
            <w:left w:w="108" w:type="dxa"/>
            <w:bottom w:w="60" w:type="dxa"/>
            <w:right w:w="108" w:type="dxa"/>
          </w:tblCellMar>
        </w:tblPrEx>
        <w:trPr>
          <w:trHeight w:val="800" w:hRule="atLeast"/>
        </w:trPr>
        <w:tc>
          <w:tcPr>
            <w:tcW w:w="542" w:type="dxa"/>
            <w:vMerge w:val="restart"/>
            <w:tcBorders>
              <w:top w:val="single" w:color="000000" w:sz="2" w:space="0"/>
              <w:left w:val="single" w:color="000000" w:sz="2" w:space="0"/>
              <w:right w:val="single" w:color="000000" w:sz="2" w:space="0"/>
            </w:tcBorders>
            <w:shd w:val="clear" w:color="auto" w:fill="auto"/>
            <w:vAlign w:val="center"/>
          </w:tcPr>
          <w:p>
            <w:pPr>
              <w:spacing w:after="0" w:line="360" w:lineRule="auto"/>
              <w:ind w:left="21" w:firstLine="0"/>
              <w:jc w:val="both"/>
              <w:rPr>
                <w:sz w:val="21"/>
                <w:szCs w:val="21"/>
              </w:rPr>
            </w:pPr>
            <w:r>
              <w:rPr>
                <w:sz w:val="21"/>
                <w:szCs w:val="21"/>
              </w:rPr>
              <w:t xml:space="preserve">序号 </w:t>
            </w:r>
          </w:p>
        </w:tc>
        <w:tc>
          <w:tcPr>
            <w:tcW w:w="1134" w:type="dxa"/>
            <w:vMerge w:val="restart"/>
            <w:tcBorders>
              <w:top w:val="single" w:color="000000" w:sz="2" w:space="0"/>
              <w:left w:val="single" w:color="000000" w:sz="2" w:space="0"/>
              <w:right w:val="single" w:color="000000" w:sz="2" w:space="0"/>
            </w:tcBorders>
            <w:shd w:val="clear" w:color="auto" w:fill="auto"/>
            <w:vAlign w:val="center"/>
          </w:tcPr>
          <w:p>
            <w:pPr>
              <w:spacing w:after="0" w:line="360" w:lineRule="auto"/>
              <w:ind w:left="45" w:firstLine="0"/>
              <w:jc w:val="both"/>
              <w:rPr>
                <w:sz w:val="21"/>
                <w:szCs w:val="21"/>
              </w:rPr>
            </w:pPr>
            <w:r>
              <w:rPr>
                <w:sz w:val="21"/>
                <w:szCs w:val="21"/>
              </w:rPr>
              <w:t xml:space="preserve">评分因素 </w:t>
            </w:r>
          </w:p>
        </w:tc>
        <w:tc>
          <w:tcPr>
            <w:tcW w:w="850" w:type="dxa"/>
            <w:vMerge w:val="restart"/>
            <w:tcBorders>
              <w:top w:val="single" w:color="000000" w:sz="2" w:space="0"/>
              <w:left w:val="single" w:color="000000" w:sz="2" w:space="0"/>
              <w:right w:val="single" w:color="000000" w:sz="2" w:space="0"/>
            </w:tcBorders>
            <w:shd w:val="clear" w:color="auto" w:fill="auto"/>
            <w:vAlign w:val="center"/>
          </w:tcPr>
          <w:p>
            <w:pPr>
              <w:spacing w:after="0" w:line="360" w:lineRule="auto"/>
              <w:ind w:left="47" w:firstLine="0"/>
              <w:jc w:val="both"/>
              <w:rPr>
                <w:sz w:val="21"/>
                <w:szCs w:val="21"/>
              </w:rPr>
            </w:pPr>
            <w:r>
              <w:rPr>
                <w:sz w:val="21"/>
                <w:szCs w:val="21"/>
              </w:rPr>
              <w:t xml:space="preserve">分值 </w:t>
            </w:r>
          </w:p>
        </w:tc>
        <w:tc>
          <w:tcPr>
            <w:tcW w:w="2268" w:type="dxa"/>
            <w:vMerge w:val="restart"/>
            <w:tcBorders>
              <w:top w:val="single" w:color="000000" w:sz="2" w:space="0"/>
              <w:left w:val="single" w:color="000000" w:sz="2" w:space="0"/>
              <w:right w:val="single" w:color="000000" w:sz="2" w:space="0"/>
            </w:tcBorders>
            <w:shd w:val="clear" w:color="auto" w:fill="auto"/>
            <w:vAlign w:val="center"/>
          </w:tcPr>
          <w:p>
            <w:pPr>
              <w:spacing w:after="0" w:line="360" w:lineRule="auto"/>
              <w:ind w:left="0" w:right="110" w:firstLine="0"/>
              <w:jc w:val="center"/>
              <w:rPr>
                <w:sz w:val="21"/>
                <w:szCs w:val="21"/>
              </w:rPr>
            </w:pPr>
            <w:r>
              <w:rPr>
                <w:sz w:val="21"/>
                <w:szCs w:val="21"/>
              </w:rPr>
              <w:t xml:space="preserve">评分准则 </w:t>
            </w:r>
          </w:p>
        </w:tc>
        <w:tc>
          <w:tcPr>
            <w:tcW w:w="5582" w:type="dxa"/>
            <w:gridSpan w:val="4"/>
            <w:tcBorders>
              <w:top w:val="single" w:color="000000" w:sz="2" w:space="0"/>
              <w:left w:val="single" w:color="000000" w:sz="2" w:space="0"/>
              <w:bottom w:val="single" w:color="000000" w:sz="4" w:space="0"/>
              <w:right w:val="single" w:color="000000" w:sz="2" w:space="0"/>
            </w:tcBorders>
            <w:shd w:val="clear" w:color="auto" w:fill="auto"/>
            <w:vAlign w:val="center"/>
          </w:tcPr>
          <w:p>
            <w:pPr>
              <w:spacing w:line="360" w:lineRule="auto"/>
              <w:jc w:val="center"/>
              <w:rPr>
                <w:sz w:val="21"/>
                <w:szCs w:val="21"/>
              </w:rPr>
            </w:pPr>
            <w:r>
              <w:rPr>
                <w:rFonts w:hint="eastAsia"/>
                <w:sz w:val="21"/>
                <w:szCs w:val="21"/>
              </w:rPr>
              <w:t>投标人名称</w:t>
            </w:r>
          </w:p>
        </w:tc>
      </w:tr>
      <w:tr>
        <w:tblPrEx>
          <w:tblCellMar>
            <w:top w:w="0" w:type="dxa"/>
            <w:left w:w="108" w:type="dxa"/>
            <w:bottom w:w="60" w:type="dxa"/>
            <w:right w:w="108" w:type="dxa"/>
          </w:tblCellMar>
        </w:tblPrEx>
        <w:trPr>
          <w:trHeight w:val="610" w:hRule="atLeast"/>
        </w:trPr>
        <w:tc>
          <w:tcPr>
            <w:tcW w:w="542" w:type="dxa"/>
            <w:vMerge w:val="continue"/>
            <w:tcBorders>
              <w:left w:val="single" w:color="000000" w:sz="2" w:space="0"/>
              <w:bottom w:val="single" w:color="000000" w:sz="2" w:space="0"/>
              <w:right w:val="single" w:color="000000" w:sz="2" w:space="0"/>
            </w:tcBorders>
            <w:shd w:val="clear" w:color="auto" w:fill="auto"/>
            <w:vAlign w:val="center"/>
          </w:tcPr>
          <w:p>
            <w:pPr>
              <w:spacing w:after="0" w:line="360" w:lineRule="auto"/>
              <w:ind w:left="21" w:firstLine="0"/>
              <w:jc w:val="both"/>
              <w:rPr>
                <w:sz w:val="21"/>
                <w:szCs w:val="21"/>
              </w:rPr>
            </w:pPr>
          </w:p>
        </w:tc>
        <w:tc>
          <w:tcPr>
            <w:tcW w:w="1134" w:type="dxa"/>
            <w:vMerge w:val="continue"/>
            <w:tcBorders>
              <w:left w:val="single" w:color="000000" w:sz="2" w:space="0"/>
              <w:bottom w:val="single" w:color="000000" w:sz="2" w:space="0"/>
              <w:right w:val="single" w:color="000000" w:sz="2" w:space="0"/>
            </w:tcBorders>
            <w:shd w:val="clear" w:color="auto" w:fill="auto"/>
            <w:vAlign w:val="center"/>
          </w:tcPr>
          <w:p>
            <w:pPr>
              <w:spacing w:after="0" w:line="360" w:lineRule="auto"/>
              <w:ind w:left="45" w:firstLine="0"/>
              <w:jc w:val="both"/>
              <w:rPr>
                <w:sz w:val="21"/>
                <w:szCs w:val="21"/>
              </w:rPr>
            </w:pPr>
          </w:p>
        </w:tc>
        <w:tc>
          <w:tcPr>
            <w:tcW w:w="850" w:type="dxa"/>
            <w:vMerge w:val="continue"/>
            <w:tcBorders>
              <w:left w:val="single" w:color="000000" w:sz="2" w:space="0"/>
              <w:bottom w:val="single" w:color="000000" w:sz="2" w:space="0"/>
              <w:right w:val="single" w:color="000000" w:sz="2" w:space="0"/>
            </w:tcBorders>
            <w:shd w:val="clear" w:color="auto" w:fill="auto"/>
            <w:vAlign w:val="center"/>
          </w:tcPr>
          <w:p>
            <w:pPr>
              <w:spacing w:after="0" w:line="360" w:lineRule="auto"/>
              <w:ind w:left="47" w:firstLine="0"/>
              <w:jc w:val="both"/>
              <w:rPr>
                <w:sz w:val="21"/>
                <w:szCs w:val="21"/>
              </w:rPr>
            </w:pPr>
          </w:p>
        </w:tc>
        <w:tc>
          <w:tcPr>
            <w:tcW w:w="2268" w:type="dxa"/>
            <w:vMerge w:val="continue"/>
            <w:tcBorders>
              <w:left w:val="single" w:color="000000" w:sz="2" w:space="0"/>
              <w:bottom w:val="single" w:color="000000" w:sz="2" w:space="0"/>
              <w:right w:val="single" w:color="000000" w:sz="2" w:space="0"/>
            </w:tcBorders>
            <w:shd w:val="clear" w:color="auto" w:fill="auto"/>
            <w:vAlign w:val="center"/>
          </w:tcPr>
          <w:p>
            <w:pPr>
              <w:spacing w:after="0" w:line="360" w:lineRule="auto"/>
              <w:ind w:left="0" w:right="110" w:firstLine="0"/>
              <w:jc w:val="center"/>
              <w:rPr>
                <w:sz w:val="21"/>
                <w:szCs w:val="21"/>
              </w:rPr>
            </w:pPr>
          </w:p>
        </w:tc>
        <w:tc>
          <w:tcPr>
            <w:tcW w:w="1276" w:type="dxa"/>
            <w:tcBorders>
              <w:top w:val="single" w:color="000000" w:sz="4" w:space="0"/>
              <w:left w:val="single" w:color="000000" w:sz="2" w:space="0"/>
              <w:bottom w:val="single" w:color="000000" w:sz="2" w:space="0"/>
              <w:right w:val="single" w:color="000000" w:sz="2" w:space="0"/>
            </w:tcBorders>
            <w:shd w:val="clear" w:color="auto" w:fill="auto"/>
            <w:vAlign w:val="center"/>
          </w:tcPr>
          <w:p>
            <w:pPr>
              <w:spacing w:line="360" w:lineRule="auto"/>
              <w:jc w:val="center"/>
              <w:rPr>
                <w:sz w:val="21"/>
                <w:szCs w:val="21"/>
              </w:rPr>
            </w:pPr>
          </w:p>
        </w:tc>
        <w:tc>
          <w:tcPr>
            <w:tcW w:w="1417" w:type="dxa"/>
            <w:tcBorders>
              <w:top w:val="single" w:color="000000" w:sz="4" w:space="0"/>
              <w:left w:val="single" w:color="000000" w:sz="2" w:space="0"/>
              <w:bottom w:val="single" w:color="000000" w:sz="2" w:space="0"/>
              <w:right w:val="single" w:color="000000" w:sz="2" w:space="0"/>
            </w:tcBorders>
            <w:shd w:val="clear" w:color="auto" w:fill="auto"/>
            <w:vAlign w:val="center"/>
          </w:tcPr>
          <w:p>
            <w:pPr>
              <w:spacing w:line="360" w:lineRule="auto"/>
              <w:jc w:val="center"/>
              <w:rPr>
                <w:sz w:val="21"/>
                <w:szCs w:val="21"/>
              </w:rPr>
            </w:pPr>
          </w:p>
        </w:tc>
        <w:tc>
          <w:tcPr>
            <w:tcW w:w="1428" w:type="dxa"/>
            <w:tcBorders>
              <w:top w:val="single" w:color="000000" w:sz="4" w:space="0"/>
              <w:left w:val="single" w:color="000000" w:sz="2" w:space="0"/>
              <w:bottom w:val="single" w:color="000000" w:sz="2" w:space="0"/>
              <w:right w:val="single" w:color="000000" w:sz="2" w:space="0"/>
            </w:tcBorders>
            <w:shd w:val="clear" w:color="auto" w:fill="auto"/>
            <w:vAlign w:val="center"/>
          </w:tcPr>
          <w:p>
            <w:pPr>
              <w:spacing w:line="360" w:lineRule="auto"/>
              <w:jc w:val="center"/>
              <w:rPr>
                <w:sz w:val="21"/>
                <w:szCs w:val="21"/>
              </w:rPr>
            </w:pPr>
          </w:p>
        </w:tc>
        <w:tc>
          <w:tcPr>
            <w:tcW w:w="1461" w:type="dxa"/>
            <w:tcBorders>
              <w:top w:val="single" w:color="000000" w:sz="4" w:space="0"/>
              <w:left w:val="single" w:color="000000" w:sz="2" w:space="0"/>
              <w:bottom w:val="single" w:color="000000" w:sz="2" w:space="0"/>
              <w:right w:val="single" w:color="000000" w:sz="2" w:space="0"/>
            </w:tcBorders>
            <w:shd w:val="clear" w:color="auto" w:fill="auto"/>
            <w:vAlign w:val="center"/>
          </w:tcPr>
          <w:p>
            <w:pPr>
              <w:spacing w:line="360" w:lineRule="auto"/>
              <w:jc w:val="center"/>
              <w:rPr>
                <w:sz w:val="21"/>
                <w:szCs w:val="21"/>
              </w:rPr>
            </w:pPr>
          </w:p>
        </w:tc>
      </w:tr>
      <w:tr>
        <w:tblPrEx>
          <w:tblCellMar>
            <w:top w:w="0" w:type="dxa"/>
            <w:left w:w="108" w:type="dxa"/>
            <w:bottom w:w="60" w:type="dxa"/>
            <w:right w:w="108" w:type="dxa"/>
          </w:tblCellMar>
        </w:tblPrEx>
        <w:trPr>
          <w:trHeight w:val="2578" w:hRule="atLeast"/>
        </w:trPr>
        <w:tc>
          <w:tcPr>
            <w:tcW w:w="542" w:type="dxa"/>
            <w:tcBorders>
              <w:top w:val="single" w:color="000000" w:sz="2" w:space="0"/>
              <w:left w:val="single" w:color="000000" w:sz="2" w:space="0"/>
              <w:bottom w:val="single" w:color="000000" w:sz="2" w:space="0"/>
              <w:right w:val="single" w:color="000000" w:sz="2" w:space="0"/>
            </w:tcBorders>
            <w:vAlign w:val="center"/>
          </w:tcPr>
          <w:p>
            <w:pPr>
              <w:spacing w:after="0" w:line="360" w:lineRule="auto"/>
              <w:ind w:left="45" w:firstLine="0"/>
              <w:jc w:val="center"/>
              <w:rPr>
                <w:sz w:val="21"/>
                <w:szCs w:val="21"/>
              </w:rPr>
            </w:pPr>
            <w:r>
              <w:rPr>
                <w:rFonts w:hint="eastAsia"/>
                <w:sz w:val="21"/>
                <w:szCs w:val="21"/>
              </w:rPr>
              <w:t>1</w:t>
            </w:r>
          </w:p>
        </w:tc>
        <w:tc>
          <w:tcPr>
            <w:tcW w:w="1134" w:type="dxa"/>
            <w:tcBorders>
              <w:top w:val="single" w:color="000000" w:sz="2" w:space="0"/>
              <w:left w:val="single" w:color="000000" w:sz="2" w:space="0"/>
              <w:bottom w:val="single" w:color="000000" w:sz="2" w:space="0"/>
              <w:right w:val="single" w:color="000000" w:sz="2" w:space="0"/>
            </w:tcBorders>
            <w:vAlign w:val="center"/>
          </w:tcPr>
          <w:p>
            <w:pPr>
              <w:spacing w:after="0" w:line="360" w:lineRule="auto"/>
              <w:ind w:left="45" w:firstLine="0"/>
              <w:rPr>
                <w:sz w:val="21"/>
                <w:szCs w:val="21"/>
              </w:rPr>
            </w:pPr>
            <w:r>
              <w:rPr>
                <w:rFonts w:hint="eastAsia"/>
                <w:sz w:val="21"/>
                <w:szCs w:val="21"/>
              </w:rPr>
              <w:t>项目组人员配置</w:t>
            </w:r>
          </w:p>
        </w:tc>
        <w:tc>
          <w:tcPr>
            <w:tcW w:w="850" w:type="dxa"/>
            <w:tcBorders>
              <w:top w:val="single" w:color="000000" w:sz="2" w:space="0"/>
              <w:left w:val="single" w:color="000000" w:sz="2" w:space="0"/>
              <w:bottom w:val="single" w:color="000000" w:sz="2" w:space="0"/>
              <w:right w:val="single" w:color="000000" w:sz="2" w:space="0"/>
            </w:tcBorders>
            <w:vAlign w:val="center"/>
          </w:tcPr>
          <w:p>
            <w:pPr>
              <w:spacing w:after="0" w:line="360" w:lineRule="auto"/>
              <w:ind w:left="45" w:firstLine="0"/>
              <w:jc w:val="center"/>
              <w:rPr>
                <w:sz w:val="21"/>
                <w:szCs w:val="21"/>
              </w:rPr>
            </w:pPr>
            <w:r>
              <w:rPr>
                <w:sz w:val="21"/>
                <w:szCs w:val="21"/>
              </w:rPr>
              <w:t>5</w:t>
            </w:r>
          </w:p>
        </w:tc>
        <w:tc>
          <w:tcPr>
            <w:tcW w:w="2268" w:type="dxa"/>
            <w:tcBorders>
              <w:top w:val="single" w:color="000000" w:sz="2" w:space="0"/>
              <w:left w:val="single" w:color="000000" w:sz="2" w:space="0"/>
              <w:bottom w:val="single" w:color="000000" w:sz="2" w:space="0"/>
              <w:right w:val="single" w:color="000000" w:sz="2" w:space="0"/>
            </w:tcBorders>
            <w:vAlign w:val="center"/>
          </w:tcPr>
          <w:p>
            <w:pPr>
              <w:spacing w:after="0" w:line="360" w:lineRule="auto"/>
              <w:ind w:left="45" w:firstLine="0"/>
              <w:rPr>
                <w:sz w:val="21"/>
                <w:szCs w:val="21"/>
              </w:rPr>
            </w:pPr>
            <w:r>
              <w:rPr>
                <w:sz w:val="21"/>
                <w:szCs w:val="21"/>
              </w:rPr>
              <w:t>1.</w:t>
            </w:r>
            <w:r>
              <w:rPr>
                <w:rFonts w:hint="eastAsia"/>
                <w:sz w:val="21"/>
                <w:szCs w:val="21"/>
              </w:rPr>
              <w:t>项目组人员配置充足，组织结构、专业搭配较合理，</w:t>
            </w:r>
            <w:r>
              <w:rPr>
                <w:sz w:val="21"/>
                <w:szCs w:val="21"/>
              </w:rPr>
              <w:t>得5分。</w:t>
            </w:r>
          </w:p>
          <w:p>
            <w:pPr>
              <w:spacing w:after="0" w:line="360" w:lineRule="auto"/>
              <w:ind w:left="45" w:firstLine="0"/>
              <w:rPr>
                <w:sz w:val="21"/>
                <w:szCs w:val="21"/>
              </w:rPr>
            </w:pPr>
            <w:r>
              <w:rPr>
                <w:sz w:val="21"/>
                <w:szCs w:val="21"/>
              </w:rPr>
              <w:t>2.</w:t>
            </w:r>
            <w:r>
              <w:rPr>
                <w:rFonts w:hint="eastAsia"/>
                <w:sz w:val="21"/>
                <w:szCs w:val="21"/>
              </w:rPr>
              <w:t>项目组人员配置较充足，组织结构、专业搭配不合理，不</w:t>
            </w:r>
            <w:r>
              <w:rPr>
                <w:sz w:val="21"/>
                <w:szCs w:val="21"/>
              </w:rPr>
              <w:t>得分。</w:t>
            </w:r>
          </w:p>
        </w:tc>
        <w:tc>
          <w:tcPr>
            <w:tcW w:w="1276" w:type="dxa"/>
            <w:tcBorders>
              <w:top w:val="single" w:color="000000" w:sz="2" w:space="0"/>
              <w:left w:val="single" w:color="000000" w:sz="2" w:space="0"/>
              <w:bottom w:val="single" w:color="000000" w:sz="2" w:space="0"/>
              <w:right w:val="single" w:color="000000" w:sz="2" w:space="0"/>
            </w:tcBorders>
            <w:vAlign w:val="center"/>
          </w:tcPr>
          <w:p>
            <w:pPr>
              <w:spacing w:after="0" w:line="360" w:lineRule="auto"/>
              <w:ind w:left="45" w:firstLine="0"/>
              <w:rPr>
                <w:sz w:val="21"/>
                <w:szCs w:val="21"/>
              </w:rPr>
            </w:pPr>
          </w:p>
        </w:tc>
        <w:tc>
          <w:tcPr>
            <w:tcW w:w="1417" w:type="dxa"/>
            <w:tcBorders>
              <w:top w:val="single" w:color="000000" w:sz="2" w:space="0"/>
              <w:left w:val="single" w:color="000000" w:sz="2" w:space="0"/>
              <w:bottom w:val="single" w:color="000000" w:sz="2" w:space="0"/>
              <w:right w:val="single" w:color="000000" w:sz="2" w:space="0"/>
            </w:tcBorders>
            <w:vAlign w:val="center"/>
          </w:tcPr>
          <w:p>
            <w:pPr>
              <w:spacing w:after="0" w:line="360" w:lineRule="auto"/>
              <w:ind w:left="45" w:firstLine="0"/>
              <w:rPr>
                <w:sz w:val="21"/>
                <w:szCs w:val="21"/>
              </w:rPr>
            </w:pPr>
          </w:p>
        </w:tc>
        <w:tc>
          <w:tcPr>
            <w:tcW w:w="1428" w:type="dxa"/>
            <w:tcBorders>
              <w:top w:val="single" w:color="000000" w:sz="2" w:space="0"/>
              <w:left w:val="single" w:color="000000" w:sz="2" w:space="0"/>
              <w:bottom w:val="single" w:color="000000" w:sz="2" w:space="0"/>
              <w:right w:val="single" w:color="000000" w:sz="2" w:space="0"/>
            </w:tcBorders>
            <w:vAlign w:val="center"/>
          </w:tcPr>
          <w:p>
            <w:pPr>
              <w:spacing w:after="0" w:line="360" w:lineRule="auto"/>
              <w:ind w:left="45" w:firstLine="0"/>
              <w:rPr>
                <w:sz w:val="21"/>
                <w:szCs w:val="21"/>
              </w:rPr>
            </w:pPr>
          </w:p>
        </w:tc>
        <w:tc>
          <w:tcPr>
            <w:tcW w:w="1461" w:type="dxa"/>
            <w:tcBorders>
              <w:top w:val="single" w:color="000000" w:sz="2" w:space="0"/>
              <w:left w:val="single" w:color="000000" w:sz="2" w:space="0"/>
              <w:bottom w:val="single" w:color="000000" w:sz="2" w:space="0"/>
              <w:right w:val="single" w:color="000000" w:sz="2" w:space="0"/>
            </w:tcBorders>
            <w:vAlign w:val="center"/>
          </w:tcPr>
          <w:p>
            <w:pPr>
              <w:spacing w:after="0" w:line="360" w:lineRule="auto"/>
              <w:ind w:left="45" w:firstLine="0"/>
              <w:rPr>
                <w:sz w:val="21"/>
                <w:szCs w:val="21"/>
              </w:rPr>
            </w:pPr>
          </w:p>
        </w:tc>
      </w:tr>
      <w:tr>
        <w:tblPrEx>
          <w:tblCellMar>
            <w:top w:w="0" w:type="dxa"/>
            <w:left w:w="108" w:type="dxa"/>
            <w:bottom w:w="60" w:type="dxa"/>
            <w:right w:w="108" w:type="dxa"/>
          </w:tblCellMar>
        </w:tblPrEx>
        <w:trPr>
          <w:trHeight w:val="3615" w:hRule="atLeast"/>
        </w:trPr>
        <w:tc>
          <w:tcPr>
            <w:tcW w:w="542" w:type="dxa"/>
            <w:tcBorders>
              <w:top w:val="single" w:color="000000" w:sz="2" w:space="0"/>
              <w:left w:val="single" w:color="000000" w:sz="2" w:space="0"/>
              <w:bottom w:val="single" w:color="000000" w:sz="2" w:space="0"/>
              <w:right w:val="single" w:color="000000" w:sz="2" w:space="0"/>
            </w:tcBorders>
            <w:vAlign w:val="center"/>
          </w:tcPr>
          <w:p>
            <w:pPr>
              <w:spacing w:after="0" w:line="360" w:lineRule="auto"/>
              <w:ind w:left="0" w:right="111" w:firstLine="0"/>
              <w:jc w:val="center"/>
              <w:rPr>
                <w:sz w:val="21"/>
                <w:szCs w:val="21"/>
              </w:rPr>
            </w:pPr>
            <w:r>
              <w:rPr>
                <w:rFonts w:hint="eastAsia"/>
                <w:sz w:val="21"/>
                <w:szCs w:val="21"/>
              </w:rPr>
              <w:t>2</w:t>
            </w:r>
          </w:p>
        </w:tc>
        <w:tc>
          <w:tcPr>
            <w:tcW w:w="1134" w:type="dxa"/>
            <w:tcBorders>
              <w:top w:val="single" w:color="000000" w:sz="2" w:space="0"/>
              <w:left w:val="single" w:color="000000" w:sz="2" w:space="0"/>
              <w:bottom w:val="single" w:color="000000" w:sz="2" w:space="0"/>
              <w:right w:val="single" w:color="000000" w:sz="2" w:space="0"/>
            </w:tcBorders>
            <w:vAlign w:val="center"/>
          </w:tcPr>
          <w:p>
            <w:pPr>
              <w:spacing w:after="0" w:line="360" w:lineRule="auto"/>
              <w:ind w:left="45" w:firstLine="0"/>
              <w:jc w:val="center"/>
              <w:rPr>
                <w:sz w:val="21"/>
                <w:szCs w:val="21"/>
              </w:rPr>
            </w:pPr>
            <w:r>
              <w:rPr>
                <w:sz w:val="21"/>
                <w:szCs w:val="21"/>
              </w:rPr>
              <w:t>同类业绩</w:t>
            </w:r>
          </w:p>
        </w:tc>
        <w:tc>
          <w:tcPr>
            <w:tcW w:w="850" w:type="dxa"/>
            <w:tcBorders>
              <w:top w:val="single" w:color="000000" w:sz="2" w:space="0"/>
              <w:left w:val="single" w:color="000000" w:sz="2" w:space="0"/>
              <w:bottom w:val="single" w:color="000000" w:sz="2" w:space="0"/>
              <w:right w:val="single" w:color="000000" w:sz="2" w:space="0"/>
            </w:tcBorders>
            <w:vAlign w:val="center"/>
          </w:tcPr>
          <w:p>
            <w:pPr>
              <w:spacing w:after="0" w:line="360" w:lineRule="auto"/>
              <w:ind w:left="0" w:right="109" w:firstLine="0"/>
              <w:jc w:val="center"/>
              <w:rPr>
                <w:sz w:val="21"/>
                <w:szCs w:val="21"/>
              </w:rPr>
            </w:pPr>
            <w:r>
              <w:rPr>
                <w:rFonts w:hint="eastAsia"/>
                <w:sz w:val="21"/>
                <w:szCs w:val="21"/>
              </w:rPr>
              <w:t>1</w:t>
            </w:r>
            <w:r>
              <w:rPr>
                <w:sz w:val="21"/>
                <w:szCs w:val="21"/>
              </w:rPr>
              <w:t>5</w:t>
            </w:r>
          </w:p>
        </w:tc>
        <w:tc>
          <w:tcPr>
            <w:tcW w:w="2268" w:type="dxa"/>
            <w:tcBorders>
              <w:top w:val="single" w:color="000000" w:sz="2" w:space="0"/>
              <w:left w:val="single" w:color="000000" w:sz="2" w:space="0"/>
              <w:bottom w:val="single" w:color="000000" w:sz="2" w:space="0"/>
              <w:right w:val="single" w:color="000000" w:sz="2" w:space="0"/>
            </w:tcBorders>
            <w:vAlign w:val="center"/>
          </w:tcPr>
          <w:p>
            <w:pPr>
              <w:spacing w:after="132" w:line="360" w:lineRule="auto"/>
              <w:ind w:left="0" w:firstLine="0"/>
              <w:rPr>
                <w:sz w:val="21"/>
                <w:szCs w:val="21"/>
              </w:rPr>
            </w:pPr>
            <w:r>
              <w:rPr>
                <w:rFonts w:hint="eastAsia"/>
                <w:sz w:val="21"/>
                <w:szCs w:val="21"/>
              </w:rPr>
              <w:t>1.</w:t>
            </w:r>
            <w:r>
              <w:rPr>
                <w:sz w:val="21"/>
                <w:szCs w:val="21"/>
              </w:rPr>
              <w:t>201</w:t>
            </w:r>
            <w:r>
              <w:rPr>
                <w:rFonts w:hint="eastAsia"/>
                <w:sz w:val="21"/>
                <w:szCs w:val="21"/>
              </w:rPr>
              <w:t>8</w:t>
            </w:r>
            <w:r>
              <w:rPr>
                <w:sz w:val="21"/>
                <w:szCs w:val="21"/>
              </w:rPr>
              <w:t>年1月1日至今投标人每完成1</w:t>
            </w:r>
            <w:r>
              <w:rPr>
                <w:rFonts w:hint="eastAsia"/>
                <w:sz w:val="21"/>
                <w:szCs w:val="21"/>
              </w:rPr>
              <w:t>个</w:t>
            </w:r>
            <w:r>
              <w:rPr>
                <w:sz w:val="21"/>
                <w:szCs w:val="21"/>
              </w:rPr>
              <w:t>同类业绩，得</w:t>
            </w:r>
            <w:r>
              <w:rPr>
                <w:rFonts w:hint="eastAsia"/>
                <w:sz w:val="21"/>
                <w:szCs w:val="21"/>
              </w:rPr>
              <w:t>5</w:t>
            </w:r>
            <w:r>
              <w:rPr>
                <w:sz w:val="21"/>
                <w:szCs w:val="21"/>
              </w:rPr>
              <w:t>分，本项最高</w:t>
            </w:r>
            <w:r>
              <w:rPr>
                <w:rFonts w:hint="eastAsia"/>
                <w:sz w:val="21"/>
                <w:szCs w:val="21"/>
              </w:rPr>
              <w:t>15</w:t>
            </w:r>
            <w:r>
              <w:rPr>
                <w:sz w:val="21"/>
                <w:szCs w:val="21"/>
              </w:rPr>
              <w:t>分。</w:t>
            </w:r>
          </w:p>
          <w:p>
            <w:pPr>
              <w:spacing w:after="0" w:line="360" w:lineRule="auto"/>
              <w:ind w:left="0" w:firstLine="0"/>
              <w:rPr>
                <w:sz w:val="21"/>
                <w:szCs w:val="21"/>
              </w:rPr>
            </w:pPr>
            <w:r>
              <w:rPr>
                <w:rFonts w:hint="eastAsia"/>
                <w:sz w:val="21"/>
                <w:szCs w:val="21"/>
              </w:rPr>
              <w:t>2.</w:t>
            </w:r>
            <w:r>
              <w:rPr>
                <w:sz w:val="21"/>
                <w:szCs w:val="21"/>
              </w:rPr>
              <w:t>附合同</w:t>
            </w:r>
            <w:r>
              <w:rPr>
                <w:rFonts w:hint="eastAsia"/>
                <w:sz w:val="21"/>
                <w:szCs w:val="21"/>
              </w:rPr>
              <w:t>相关</w:t>
            </w:r>
            <w:r>
              <w:rPr>
                <w:sz w:val="21"/>
                <w:szCs w:val="21"/>
              </w:rPr>
              <w:t>复印件，否则不得分;</w:t>
            </w:r>
          </w:p>
        </w:tc>
        <w:tc>
          <w:tcPr>
            <w:tcW w:w="1276" w:type="dxa"/>
            <w:tcBorders>
              <w:top w:val="single" w:color="000000" w:sz="2" w:space="0"/>
              <w:left w:val="single" w:color="000000" w:sz="2" w:space="0"/>
              <w:bottom w:val="single" w:color="000000" w:sz="2" w:space="0"/>
              <w:right w:val="single" w:color="000000" w:sz="2" w:space="0"/>
            </w:tcBorders>
            <w:vAlign w:val="center"/>
          </w:tcPr>
          <w:p>
            <w:pPr>
              <w:spacing w:after="0" w:line="360" w:lineRule="auto"/>
              <w:ind w:left="0" w:firstLine="0"/>
              <w:rPr>
                <w:sz w:val="21"/>
                <w:szCs w:val="21"/>
              </w:rPr>
            </w:pPr>
          </w:p>
        </w:tc>
        <w:tc>
          <w:tcPr>
            <w:tcW w:w="1417" w:type="dxa"/>
            <w:tcBorders>
              <w:top w:val="single" w:color="000000" w:sz="2" w:space="0"/>
              <w:left w:val="single" w:color="000000" w:sz="2" w:space="0"/>
              <w:bottom w:val="single" w:color="000000" w:sz="2" w:space="0"/>
              <w:right w:val="single" w:color="000000" w:sz="2" w:space="0"/>
            </w:tcBorders>
            <w:vAlign w:val="center"/>
          </w:tcPr>
          <w:p>
            <w:pPr>
              <w:spacing w:after="0" w:line="360" w:lineRule="auto"/>
              <w:ind w:left="0" w:firstLine="0"/>
              <w:rPr>
                <w:sz w:val="21"/>
                <w:szCs w:val="21"/>
              </w:rPr>
            </w:pPr>
          </w:p>
        </w:tc>
        <w:tc>
          <w:tcPr>
            <w:tcW w:w="1428" w:type="dxa"/>
            <w:tcBorders>
              <w:top w:val="single" w:color="000000" w:sz="2" w:space="0"/>
              <w:left w:val="single" w:color="000000" w:sz="2" w:space="0"/>
              <w:bottom w:val="single" w:color="000000" w:sz="2" w:space="0"/>
              <w:right w:val="single" w:color="000000" w:sz="2" w:space="0"/>
            </w:tcBorders>
            <w:vAlign w:val="center"/>
          </w:tcPr>
          <w:p>
            <w:pPr>
              <w:spacing w:after="0" w:line="360" w:lineRule="auto"/>
              <w:ind w:left="0" w:firstLine="0"/>
              <w:rPr>
                <w:sz w:val="21"/>
                <w:szCs w:val="21"/>
              </w:rPr>
            </w:pPr>
          </w:p>
        </w:tc>
        <w:tc>
          <w:tcPr>
            <w:tcW w:w="1461" w:type="dxa"/>
            <w:tcBorders>
              <w:top w:val="single" w:color="000000" w:sz="2" w:space="0"/>
              <w:left w:val="single" w:color="000000" w:sz="2" w:space="0"/>
              <w:bottom w:val="single" w:color="000000" w:sz="2" w:space="0"/>
              <w:right w:val="single" w:color="000000" w:sz="2" w:space="0"/>
            </w:tcBorders>
            <w:vAlign w:val="center"/>
          </w:tcPr>
          <w:p>
            <w:pPr>
              <w:spacing w:after="0" w:line="360" w:lineRule="auto"/>
              <w:ind w:left="0" w:firstLine="0"/>
              <w:rPr>
                <w:sz w:val="21"/>
                <w:szCs w:val="21"/>
              </w:rPr>
            </w:pPr>
          </w:p>
        </w:tc>
      </w:tr>
      <w:tr>
        <w:tblPrEx>
          <w:tblCellMar>
            <w:top w:w="0" w:type="dxa"/>
            <w:left w:w="108" w:type="dxa"/>
            <w:bottom w:w="60" w:type="dxa"/>
            <w:right w:w="108" w:type="dxa"/>
          </w:tblCellMar>
        </w:tblPrEx>
        <w:trPr>
          <w:trHeight w:val="987" w:hRule="atLeast"/>
        </w:trPr>
        <w:tc>
          <w:tcPr>
            <w:tcW w:w="1676" w:type="dxa"/>
            <w:gridSpan w:val="2"/>
            <w:tcBorders>
              <w:top w:val="single" w:color="000000" w:sz="2" w:space="0"/>
              <w:left w:val="single" w:color="000000" w:sz="2" w:space="0"/>
              <w:bottom w:val="single" w:color="000000" w:sz="2" w:space="0"/>
              <w:right w:val="single" w:color="000000" w:sz="2" w:space="0"/>
            </w:tcBorders>
            <w:vAlign w:val="bottom"/>
          </w:tcPr>
          <w:p>
            <w:pPr>
              <w:spacing w:after="0" w:line="360" w:lineRule="auto"/>
              <w:ind w:left="0" w:right="110" w:firstLine="0"/>
              <w:jc w:val="center"/>
              <w:rPr>
                <w:sz w:val="21"/>
                <w:szCs w:val="21"/>
              </w:rPr>
            </w:pPr>
            <w:r>
              <w:rPr>
                <w:sz w:val="21"/>
                <w:szCs w:val="21"/>
              </w:rPr>
              <w:t xml:space="preserve">合计 </w:t>
            </w:r>
          </w:p>
        </w:tc>
        <w:tc>
          <w:tcPr>
            <w:tcW w:w="3118" w:type="dxa"/>
            <w:gridSpan w:val="2"/>
            <w:tcBorders>
              <w:top w:val="single" w:color="000000" w:sz="2" w:space="0"/>
              <w:left w:val="single" w:color="000000" w:sz="2" w:space="0"/>
              <w:bottom w:val="single" w:color="000000" w:sz="2" w:space="0"/>
              <w:right w:val="single" w:color="000000" w:sz="2" w:space="0"/>
            </w:tcBorders>
            <w:vAlign w:val="bottom"/>
          </w:tcPr>
          <w:p>
            <w:pPr>
              <w:spacing w:after="0" w:line="360" w:lineRule="auto"/>
              <w:ind w:left="0" w:right="359" w:firstLine="0"/>
              <w:jc w:val="center"/>
              <w:rPr>
                <w:sz w:val="21"/>
                <w:szCs w:val="21"/>
              </w:rPr>
            </w:pPr>
            <w:r>
              <w:rPr>
                <w:rFonts w:hint="eastAsia"/>
                <w:sz w:val="21"/>
                <w:szCs w:val="21"/>
              </w:rPr>
              <w:t>20</w:t>
            </w:r>
            <w:r>
              <w:rPr>
                <w:sz w:val="21"/>
                <w:szCs w:val="21"/>
              </w:rPr>
              <w:t xml:space="preserve">分 </w:t>
            </w:r>
          </w:p>
        </w:tc>
        <w:tc>
          <w:tcPr>
            <w:tcW w:w="1276" w:type="dxa"/>
            <w:tcBorders>
              <w:top w:val="single" w:color="000000" w:sz="2" w:space="0"/>
              <w:left w:val="single" w:color="000000" w:sz="2" w:space="0"/>
              <w:bottom w:val="single" w:color="000000" w:sz="2" w:space="0"/>
              <w:right w:val="single" w:color="000000" w:sz="2" w:space="0"/>
            </w:tcBorders>
            <w:vAlign w:val="bottom"/>
          </w:tcPr>
          <w:p>
            <w:pPr>
              <w:spacing w:after="0" w:line="360" w:lineRule="auto"/>
              <w:ind w:left="0" w:right="359" w:firstLine="0"/>
              <w:jc w:val="center"/>
              <w:rPr>
                <w:sz w:val="21"/>
                <w:szCs w:val="21"/>
              </w:rPr>
            </w:pPr>
          </w:p>
        </w:tc>
        <w:tc>
          <w:tcPr>
            <w:tcW w:w="1417" w:type="dxa"/>
            <w:tcBorders>
              <w:top w:val="single" w:color="000000" w:sz="2" w:space="0"/>
              <w:left w:val="single" w:color="000000" w:sz="2" w:space="0"/>
              <w:bottom w:val="single" w:color="000000" w:sz="2" w:space="0"/>
              <w:right w:val="single" w:color="000000" w:sz="2" w:space="0"/>
            </w:tcBorders>
            <w:vAlign w:val="bottom"/>
          </w:tcPr>
          <w:p>
            <w:pPr>
              <w:spacing w:after="0" w:line="360" w:lineRule="auto"/>
              <w:ind w:left="0" w:right="359" w:firstLine="0"/>
              <w:jc w:val="center"/>
              <w:rPr>
                <w:sz w:val="21"/>
                <w:szCs w:val="21"/>
              </w:rPr>
            </w:pPr>
          </w:p>
        </w:tc>
        <w:tc>
          <w:tcPr>
            <w:tcW w:w="1428" w:type="dxa"/>
            <w:tcBorders>
              <w:top w:val="single" w:color="000000" w:sz="2" w:space="0"/>
              <w:left w:val="single" w:color="000000" w:sz="2" w:space="0"/>
              <w:bottom w:val="single" w:color="000000" w:sz="2" w:space="0"/>
              <w:right w:val="single" w:color="000000" w:sz="2" w:space="0"/>
            </w:tcBorders>
            <w:vAlign w:val="bottom"/>
          </w:tcPr>
          <w:p>
            <w:pPr>
              <w:spacing w:after="0" w:line="360" w:lineRule="auto"/>
              <w:ind w:left="0" w:right="359" w:firstLine="0"/>
              <w:jc w:val="center"/>
              <w:rPr>
                <w:sz w:val="21"/>
                <w:szCs w:val="21"/>
              </w:rPr>
            </w:pPr>
          </w:p>
        </w:tc>
        <w:tc>
          <w:tcPr>
            <w:tcW w:w="1461" w:type="dxa"/>
            <w:tcBorders>
              <w:top w:val="single" w:color="000000" w:sz="2" w:space="0"/>
              <w:left w:val="single" w:color="000000" w:sz="2" w:space="0"/>
              <w:bottom w:val="single" w:color="000000" w:sz="2" w:space="0"/>
              <w:right w:val="single" w:color="000000" w:sz="2" w:space="0"/>
            </w:tcBorders>
            <w:vAlign w:val="bottom"/>
          </w:tcPr>
          <w:p>
            <w:pPr>
              <w:spacing w:after="0" w:line="360" w:lineRule="auto"/>
              <w:ind w:left="0" w:right="359" w:firstLine="0"/>
              <w:jc w:val="center"/>
              <w:rPr>
                <w:sz w:val="21"/>
                <w:szCs w:val="21"/>
              </w:rPr>
            </w:pPr>
          </w:p>
        </w:tc>
      </w:tr>
    </w:tbl>
    <w:p>
      <w:pPr>
        <w:pStyle w:val="2"/>
        <w:spacing w:line="360" w:lineRule="auto"/>
        <w:ind w:left="480" w:firstLine="480"/>
      </w:pPr>
    </w:p>
    <w:p>
      <w:pPr>
        <w:spacing w:after="18" w:line="360" w:lineRule="auto"/>
        <w:ind w:left="181"/>
        <w:rPr>
          <w:szCs w:val="24"/>
        </w:rPr>
      </w:pPr>
      <w:r>
        <w:rPr>
          <w:rFonts w:hint="eastAsia"/>
          <w:szCs w:val="24"/>
        </w:rPr>
        <w:t>评标专家签字：                                         日期：</w:t>
      </w:r>
    </w:p>
    <w:p>
      <w:pPr>
        <w:pStyle w:val="2"/>
        <w:spacing w:line="360" w:lineRule="auto"/>
        <w:ind w:left="480" w:firstLine="480"/>
      </w:pPr>
    </w:p>
    <w:p>
      <w:pPr>
        <w:pStyle w:val="2"/>
        <w:spacing w:line="360" w:lineRule="auto"/>
        <w:ind w:left="480" w:firstLine="480"/>
      </w:pPr>
    </w:p>
    <w:p>
      <w:pPr>
        <w:spacing w:line="360" w:lineRule="auto"/>
        <w:rPr>
          <w:szCs w:val="24"/>
        </w:rPr>
      </w:pPr>
    </w:p>
    <w:p>
      <w:pPr>
        <w:pStyle w:val="2"/>
        <w:spacing w:line="360" w:lineRule="auto"/>
        <w:ind w:left="480" w:firstLine="480"/>
        <w:sectPr>
          <w:pgSz w:w="11906" w:h="16838"/>
          <w:pgMar w:top="720" w:right="720" w:bottom="720" w:left="720" w:header="708" w:footer="708" w:gutter="0"/>
          <w:cols w:space="708" w:num="1"/>
          <w:docGrid w:linePitch="360" w:charSpace="0"/>
        </w:sectPr>
      </w:pPr>
    </w:p>
    <w:p>
      <w:pPr>
        <w:pStyle w:val="4"/>
        <w:spacing w:before="120" w:beforeLines="50" w:after="120" w:afterLines="50" w:line="360" w:lineRule="auto"/>
        <w:jc w:val="left"/>
        <w:rPr>
          <w:rFonts w:ascii="宋体" w:hAnsi="宋体" w:eastAsia="宋体" w:cs="宋体"/>
          <w:b/>
          <w:bCs/>
          <w:sz w:val="24"/>
          <w:szCs w:val="24"/>
        </w:rPr>
      </w:pPr>
      <w:bookmarkStart w:id="237" w:name="_Toc77206872"/>
      <w:bookmarkStart w:id="238" w:name="_Toc86825525"/>
      <w:bookmarkStart w:id="239" w:name="_Toc79057537"/>
      <w:r>
        <w:rPr>
          <w:rFonts w:hint="eastAsia" w:ascii="宋体" w:hAnsi="宋体" w:eastAsia="宋体"/>
          <w:bCs/>
          <w:sz w:val="24"/>
          <w:szCs w:val="24"/>
        </w:rPr>
        <w:t>附表六：</w:t>
      </w:r>
      <w:r>
        <w:rPr>
          <w:rFonts w:hint="eastAsia" w:ascii="宋体" w:hAnsi="宋体" w:eastAsia="宋体" w:cs="宋体"/>
          <w:b/>
          <w:bCs/>
          <w:sz w:val="24"/>
          <w:szCs w:val="24"/>
        </w:rPr>
        <w:t>报价得分表</w:t>
      </w:r>
      <w:bookmarkEnd w:id="237"/>
      <w:bookmarkEnd w:id="238"/>
      <w:bookmarkEnd w:id="239"/>
    </w:p>
    <w:p>
      <w:pPr>
        <w:spacing w:line="360" w:lineRule="auto"/>
        <w:ind w:left="0" w:firstLine="0"/>
        <w:jc w:val="center"/>
      </w:pPr>
      <w:bookmarkStart w:id="240" w:name="_Toc26303"/>
      <w:r>
        <w:rPr>
          <w:rFonts w:hint="eastAsia"/>
        </w:rPr>
        <w:t>报价得分表</w:t>
      </w:r>
      <w:bookmarkEnd w:id="240"/>
    </w:p>
    <w:p>
      <w:pPr>
        <w:spacing w:line="360" w:lineRule="auto"/>
        <w:rPr>
          <w:szCs w:val="24"/>
        </w:rPr>
      </w:pPr>
      <w:r>
        <w:rPr>
          <w:rFonts w:hint="eastAsia"/>
          <w:szCs w:val="24"/>
        </w:rPr>
        <w:t>项目名称：北京市房山区人民防空办公室加州水郡西区、中冶蓝城地下人防工程维修工程</w:t>
      </w:r>
    </w:p>
    <w:p>
      <w:pPr>
        <w:spacing w:line="360" w:lineRule="auto"/>
        <w:rPr>
          <w:szCs w:val="24"/>
        </w:rPr>
      </w:pPr>
      <w:r>
        <w:rPr>
          <w:rFonts w:hint="eastAsia"/>
          <w:szCs w:val="24"/>
        </w:rPr>
        <w:t>项目编号：</w:t>
      </w:r>
    </w:p>
    <w:tbl>
      <w:tblPr>
        <w:tblStyle w:val="36"/>
        <w:tblW w:w="14857" w:type="dxa"/>
        <w:tblInd w:w="-2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06"/>
        <w:gridCol w:w="1682"/>
        <w:gridCol w:w="1824"/>
        <w:gridCol w:w="1688"/>
        <w:gridCol w:w="1829"/>
        <w:gridCol w:w="1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6009" w:type="dxa"/>
            <w:vMerge w:val="restart"/>
          </w:tcPr>
          <w:p>
            <w:pPr>
              <w:spacing w:line="360" w:lineRule="auto"/>
              <w:rPr>
                <w:sz w:val="21"/>
                <w:szCs w:val="21"/>
              </w:rPr>
            </w:pPr>
          </w:p>
          <w:p>
            <w:pPr>
              <w:spacing w:line="360" w:lineRule="auto"/>
              <w:jc w:val="center"/>
              <w:rPr>
                <w:sz w:val="21"/>
                <w:szCs w:val="21"/>
              </w:rPr>
            </w:pPr>
            <w:r>
              <w:rPr>
                <w:rFonts w:hint="eastAsia"/>
                <w:sz w:val="21"/>
                <w:szCs w:val="21"/>
              </w:rPr>
              <w:t>评分准则</w:t>
            </w:r>
          </w:p>
          <w:p>
            <w:pPr>
              <w:spacing w:line="360" w:lineRule="auto"/>
              <w:rPr>
                <w:sz w:val="21"/>
                <w:szCs w:val="21"/>
              </w:rPr>
            </w:pPr>
          </w:p>
        </w:tc>
        <w:tc>
          <w:tcPr>
            <w:tcW w:w="8848" w:type="dxa"/>
            <w:gridSpan w:val="5"/>
            <w:vAlign w:val="center"/>
          </w:tcPr>
          <w:p>
            <w:pPr>
              <w:spacing w:line="360" w:lineRule="auto"/>
              <w:jc w:val="center"/>
              <w:rPr>
                <w:sz w:val="21"/>
                <w:szCs w:val="21"/>
              </w:rPr>
            </w:pPr>
            <w:r>
              <w:rPr>
                <w:rFonts w:hint="eastAsia"/>
                <w:sz w:val="21"/>
                <w:szCs w:val="21"/>
              </w:rPr>
              <w:t>投标单位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6009" w:type="dxa"/>
            <w:vMerge w:val="continue"/>
          </w:tcPr>
          <w:p>
            <w:pPr>
              <w:spacing w:line="360" w:lineRule="auto"/>
              <w:rPr>
                <w:sz w:val="21"/>
                <w:szCs w:val="21"/>
              </w:rPr>
            </w:pPr>
          </w:p>
        </w:tc>
        <w:tc>
          <w:tcPr>
            <w:tcW w:w="1683" w:type="dxa"/>
            <w:vAlign w:val="center"/>
          </w:tcPr>
          <w:p>
            <w:pPr>
              <w:spacing w:line="360" w:lineRule="auto"/>
              <w:jc w:val="center"/>
              <w:rPr>
                <w:sz w:val="21"/>
                <w:szCs w:val="21"/>
              </w:rPr>
            </w:pPr>
          </w:p>
        </w:tc>
        <w:tc>
          <w:tcPr>
            <w:tcW w:w="1820" w:type="dxa"/>
            <w:vAlign w:val="center"/>
          </w:tcPr>
          <w:p>
            <w:pPr>
              <w:spacing w:line="360" w:lineRule="auto"/>
              <w:jc w:val="center"/>
              <w:rPr>
                <w:sz w:val="21"/>
                <w:szCs w:val="21"/>
              </w:rPr>
            </w:pPr>
          </w:p>
        </w:tc>
        <w:tc>
          <w:tcPr>
            <w:tcW w:w="1688" w:type="dxa"/>
            <w:vAlign w:val="center"/>
          </w:tcPr>
          <w:p>
            <w:pPr>
              <w:spacing w:line="360" w:lineRule="auto"/>
              <w:jc w:val="center"/>
              <w:rPr>
                <w:sz w:val="21"/>
                <w:szCs w:val="21"/>
              </w:rPr>
            </w:pPr>
          </w:p>
        </w:tc>
        <w:tc>
          <w:tcPr>
            <w:tcW w:w="1829" w:type="dxa"/>
            <w:vAlign w:val="center"/>
          </w:tcPr>
          <w:p>
            <w:pPr>
              <w:spacing w:line="360" w:lineRule="auto"/>
              <w:jc w:val="center"/>
              <w:rPr>
                <w:sz w:val="21"/>
                <w:szCs w:val="21"/>
              </w:rPr>
            </w:pPr>
          </w:p>
        </w:tc>
        <w:tc>
          <w:tcPr>
            <w:tcW w:w="1828" w:type="dxa"/>
            <w:vAlign w:val="center"/>
          </w:tcPr>
          <w:p>
            <w:pPr>
              <w:spacing w:line="360" w:lineRule="auto"/>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8" w:hRule="atLeast"/>
        </w:trPr>
        <w:tc>
          <w:tcPr>
            <w:tcW w:w="6009" w:type="dxa"/>
          </w:tcPr>
          <w:p>
            <w:pPr>
              <w:spacing w:line="360" w:lineRule="auto"/>
              <w:rPr>
                <w:sz w:val="21"/>
                <w:szCs w:val="21"/>
              </w:rPr>
            </w:pPr>
          </w:p>
          <w:p>
            <w:pPr>
              <w:spacing w:line="360" w:lineRule="auto"/>
              <w:rPr>
                <w:sz w:val="21"/>
                <w:szCs w:val="21"/>
              </w:rPr>
            </w:pPr>
            <w:r>
              <w:rPr>
                <w:rFonts w:hint="eastAsia"/>
                <w:sz w:val="21"/>
                <w:szCs w:val="21"/>
              </w:rPr>
              <w:t xml:space="preserve">取满足磋商文件要求且最后报价最低的供应商的价格为磋商基准价，其价格分为满分40分；其他供应商的价格分统一按照下列公式计算：磋商报价得分=磋商基准价/最后磋商报价×40 </w:t>
            </w:r>
          </w:p>
          <w:p>
            <w:pPr>
              <w:spacing w:line="360" w:lineRule="auto"/>
              <w:rPr>
                <w:sz w:val="21"/>
                <w:szCs w:val="21"/>
              </w:rPr>
            </w:pPr>
            <w:r>
              <w:rPr>
                <w:rFonts w:hint="eastAsia"/>
                <w:sz w:val="21"/>
                <w:szCs w:val="21"/>
              </w:rPr>
              <w:t xml:space="preserve">如此类推，算出所有响应供应商的价格评分。（按四舍五入原则取值并保留小数点后两位有效数字。） </w:t>
            </w:r>
          </w:p>
          <w:p>
            <w:pPr>
              <w:spacing w:line="360" w:lineRule="auto"/>
              <w:rPr>
                <w:sz w:val="21"/>
                <w:szCs w:val="21"/>
              </w:rPr>
            </w:pPr>
          </w:p>
          <w:p>
            <w:pPr>
              <w:spacing w:line="360" w:lineRule="auto"/>
              <w:rPr>
                <w:sz w:val="21"/>
                <w:szCs w:val="21"/>
              </w:rPr>
            </w:pPr>
          </w:p>
        </w:tc>
        <w:tc>
          <w:tcPr>
            <w:tcW w:w="1683" w:type="dxa"/>
          </w:tcPr>
          <w:p>
            <w:pPr>
              <w:spacing w:line="360" w:lineRule="auto"/>
              <w:rPr>
                <w:sz w:val="21"/>
                <w:szCs w:val="21"/>
              </w:rPr>
            </w:pPr>
          </w:p>
        </w:tc>
        <w:tc>
          <w:tcPr>
            <w:tcW w:w="1824" w:type="dxa"/>
          </w:tcPr>
          <w:p>
            <w:pPr>
              <w:spacing w:line="360" w:lineRule="auto"/>
              <w:rPr>
                <w:sz w:val="21"/>
                <w:szCs w:val="21"/>
              </w:rPr>
            </w:pPr>
          </w:p>
        </w:tc>
        <w:tc>
          <w:tcPr>
            <w:tcW w:w="1684" w:type="dxa"/>
          </w:tcPr>
          <w:p>
            <w:pPr>
              <w:spacing w:line="360" w:lineRule="auto"/>
              <w:rPr>
                <w:sz w:val="21"/>
                <w:szCs w:val="21"/>
              </w:rPr>
            </w:pPr>
          </w:p>
        </w:tc>
        <w:tc>
          <w:tcPr>
            <w:tcW w:w="1829" w:type="dxa"/>
          </w:tcPr>
          <w:p>
            <w:pPr>
              <w:spacing w:line="360" w:lineRule="auto"/>
              <w:rPr>
                <w:sz w:val="21"/>
                <w:szCs w:val="21"/>
              </w:rPr>
            </w:pPr>
          </w:p>
        </w:tc>
        <w:tc>
          <w:tcPr>
            <w:tcW w:w="1828" w:type="dxa"/>
          </w:tcPr>
          <w:p>
            <w:pPr>
              <w:spacing w:line="360" w:lineRule="auto"/>
              <w:rPr>
                <w:sz w:val="21"/>
                <w:szCs w:val="21"/>
              </w:rPr>
            </w:pPr>
          </w:p>
        </w:tc>
      </w:tr>
    </w:tbl>
    <w:p>
      <w:pPr>
        <w:spacing w:line="360" w:lineRule="auto"/>
        <w:rPr>
          <w:szCs w:val="24"/>
        </w:rPr>
      </w:pPr>
    </w:p>
    <w:p>
      <w:pPr>
        <w:spacing w:line="360" w:lineRule="auto"/>
        <w:rPr>
          <w:szCs w:val="24"/>
        </w:rPr>
      </w:pPr>
    </w:p>
    <w:p>
      <w:pPr>
        <w:spacing w:line="360" w:lineRule="auto"/>
        <w:rPr>
          <w:szCs w:val="24"/>
        </w:rPr>
      </w:pPr>
      <w:r>
        <w:rPr>
          <w:rFonts w:hint="eastAsia"/>
          <w:szCs w:val="24"/>
        </w:rPr>
        <w:t>评标专家签字：                                                                          日 期：</w:t>
      </w:r>
    </w:p>
    <w:p>
      <w:pPr>
        <w:spacing w:line="360" w:lineRule="auto"/>
        <w:rPr>
          <w:szCs w:val="24"/>
        </w:rPr>
      </w:pPr>
    </w:p>
    <w:p>
      <w:pPr>
        <w:spacing w:line="360" w:lineRule="auto"/>
        <w:rPr>
          <w:szCs w:val="24"/>
        </w:rPr>
      </w:pPr>
    </w:p>
    <w:p>
      <w:pPr>
        <w:spacing w:line="360" w:lineRule="auto"/>
        <w:rPr>
          <w:szCs w:val="24"/>
        </w:rPr>
      </w:pPr>
    </w:p>
    <w:p>
      <w:pPr>
        <w:spacing w:after="0" w:line="360" w:lineRule="auto"/>
        <w:ind w:left="0" w:firstLine="0"/>
        <w:rPr>
          <w:szCs w:val="24"/>
        </w:rPr>
        <w:sectPr>
          <w:footerReference r:id="rId17" w:type="default"/>
          <w:footerReference r:id="rId18" w:type="even"/>
          <w:pgSz w:w="16840" w:h="11904" w:orient="landscape"/>
          <w:pgMar w:top="1237" w:right="1250" w:bottom="1295" w:left="1487" w:header="879" w:footer="868" w:gutter="0"/>
          <w:cols w:space="720" w:num="1"/>
        </w:sectPr>
      </w:pPr>
    </w:p>
    <w:p>
      <w:pPr>
        <w:pStyle w:val="4"/>
        <w:spacing w:line="360" w:lineRule="auto"/>
        <w:jc w:val="left"/>
        <w:rPr>
          <w:rFonts w:ascii="宋体" w:hAnsi="宋体" w:eastAsia="宋体"/>
        </w:rPr>
      </w:pPr>
      <w:bookmarkStart w:id="241" w:name="_Toc77206873"/>
      <w:bookmarkStart w:id="242" w:name="_Toc79057538"/>
      <w:bookmarkStart w:id="243" w:name="_Toc86825526"/>
      <w:bookmarkStart w:id="244" w:name="_Toc5964"/>
      <w:r>
        <w:rPr>
          <w:rFonts w:hint="eastAsia" w:ascii="宋体" w:hAnsi="宋体" w:eastAsia="宋体"/>
          <w:bCs/>
          <w:sz w:val="24"/>
          <w:szCs w:val="24"/>
        </w:rPr>
        <w:t>附表七：</w:t>
      </w:r>
      <w:r>
        <w:rPr>
          <w:rFonts w:hint="eastAsia" w:ascii="宋体" w:hAnsi="宋体" w:eastAsia="宋体"/>
          <w:sz w:val="24"/>
          <w:szCs w:val="24"/>
        </w:rPr>
        <w:t>详细评审得分汇总表</w:t>
      </w:r>
      <w:bookmarkEnd w:id="241"/>
      <w:bookmarkEnd w:id="242"/>
      <w:bookmarkEnd w:id="243"/>
    </w:p>
    <w:p>
      <w:pPr>
        <w:spacing w:line="360" w:lineRule="auto"/>
        <w:ind w:left="0" w:firstLine="0"/>
        <w:jc w:val="center"/>
      </w:pPr>
      <w:r>
        <w:rPr>
          <w:rFonts w:hint="eastAsia"/>
        </w:rPr>
        <w:t>详细评审得分汇总表</w:t>
      </w:r>
      <w:bookmarkEnd w:id="244"/>
    </w:p>
    <w:p>
      <w:pPr>
        <w:spacing w:line="360" w:lineRule="auto"/>
      </w:pPr>
      <w:r>
        <w:rPr>
          <w:rFonts w:hint="eastAsia"/>
          <w:szCs w:val="24"/>
        </w:rPr>
        <w:t>项目名称：</w:t>
      </w:r>
      <w:r>
        <w:rPr>
          <w:rFonts w:hint="eastAsia"/>
        </w:rPr>
        <w:t>北京市房山区人民防空办公室加州水郡西区、中冶蓝城地下人防工程维修工程</w:t>
      </w:r>
    </w:p>
    <w:p>
      <w:pPr>
        <w:spacing w:line="360" w:lineRule="auto"/>
        <w:rPr>
          <w:szCs w:val="24"/>
        </w:rPr>
      </w:pPr>
      <w:r>
        <w:rPr>
          <w:rFonts w:hint="eastAsia"/>
          <w:szCs w:val="24"/>
        </w:rPr>
        <w:t>项目编号：</w:t>
      </w:r>
    </w:p>
    <w:tbl>
      <w:tblPr>
        <w:tblStyle w:val="36"/>
        <w:tblW w:w="13859"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476"/>
        <w:gridCol w:w="776"/>
        <w:gridCol w:w="2689"/>
        <w:gridCol w:w="2689"/>
        <w:gridCol w:w="2690"/>
        <w:gridCol w:w="26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849" w:type="dxa"/>
            <w:vMerge w:val="restart"/>
            <w:vAlign w:val="center"/>
          </w:tcPr>
          <w:p>
            <w:pPr>
              <w:spacing w:line="360" w:lineRule="auto"/>
              <w:jc w:val="center"/>
              <w:rPr>
                <w:sz w:val="21"/>
                <w:szCs w:val="21"/>
              </w:rPr>
            </w:pPr>
            <w:r>
              <w:rPr>
                <w:rFonts w:hint="eastAsia"/>
                <w:sz w:val="21"/>
                <w:szCs w:val="21"/>
              </w:rPr>
              <w:t>序号</w:t>
            </w:r>
          </w:p>
        </w:tc>
        <w:tc>
          <w:tcPr>
            <w:tcW w:w="1476" w:type="dxa"/>
            <w:vMerge w:val="restart"/>
            <w:vAlign w:val="center"/>
          </w:tcPr>
          <w:p>
            <w:pPr>
              <w:spacing w:line="360" w:lineRule="auto"/>
              <w:jc w:val="center"/>
              <w:rPr>
                <w:sz w:val="21"/>
                <w:szCs w:val="21"/>
              </w:rPr>
            </w:pPr>
            <w:r>
              <w:rPr>
                <w:rFonts w:hint="eastAsia"/>
                <w:sz w:val="21"/>
                <w:szCs w:val="21"/>
              </w:rPr>
              <w:t>评分内容</w:t>
            </w:r>
          </w:p>
        </w:tc>
        <w:tc>
          <w:tcPr>
            <w:tcW w:w="776" w:type="dxa"/>
            <w:vMerge w:val="restart"/>
            <w:vAlign w:val="center"/>
          </w:tcPr>
          <w:p>
            <w:pPr>
              <w:spacing w:line="360" w:lineRule="auto"/>
              <w:jc w:val="center"/>
              <w:rPr>
                <w:sz w:val="21"/>
                <w:szCs w:val="21"/>
              </w:rPr>
            </w:pPr>
            <w:r>
              <w:rPr>
                <w:rFonts w:hint="eastAsia"/>
                <w:sz w:val="21"/>
                <w:szCs w:val="21"/>
              </w:rPr>
              <w:t>分值代码</w:t>
            </w:r>
          </w:p>
        </w:tc>
        <w:tc>
          <w:tcPr>
            <w:tcW w:w="10758" w:type="dxa"/>
            <w:gridSpan w:val="4"/>
            <w:vAlign w:val="center"/>
          </w:tcPr>
          <w:p>
            <w:pPr>
              <w:spacing w:line="360" w:lineRule="auto"/>
              <w:jc w:val="center"/>
              <w:rPr>
                <w:sz w:val="21"/>
                <w:szCs w:val="21"/>
              </w:rPr>
            </w:pPr>
            <w:r>
              <w:rPr>
                <w:sz w:val="21"/>
                <w:szCs w:val="21"/>
              </w:rPr>
              <w:t>投标人名称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9" w:hRule="atLeast"/>
        </w:trPr>
        <w:tc>
          <w:tcPr>
            <w:tcW w:w="849" w:type="dxa"/>
            <w:vMerge w:val="continue"/>
            <w:vAlign w:val="center"/>
          </w:tcPr>
          <w:p>
            <w:pPr>
              <w:spacing w:line="360" w:lineRule="auto"/>
              <w:jc w:val="center"/>
              <w:rPr>
                <w:sz w:val="21"/>
                <w:szCs w:val="21"/>
              </w:rPr>
            </w:pPr>
          </w:p>
        </w:tc>
        <w:tc>
          <w:tcPr>
            <w:tcW w:w="1476" w:type="dxa"/>
            <w:vMerge w:val="continue"/>
            <w:vAlign w:val="center"/>
          </w:tcPr>
          <w:p>
            <w:pPr>
              <w:spacing w:line="360" w:lineRule="auto"/>
              <w:jc w:val="center"/>
              <w:rPr>
                <w:sz w:val="21"/>
                <w:szCs w:val="21"/>
              </w:rPr>
            </w:pPr>
          </w:p>
        </w:tc>
        <w:tc>
          <w:tcPr>
            <w:tcW w:w="776" w:type="dxa"/>
            <w:vMerge w:val="continue"/>
            <w:vAlign w:val="center"/>
          </w:tcPr>
          <w:p>
            <w:pPr>
              <w:spacing w:line="360" w:lineRule="auto"/>
              <w:jc w:val="center"/>
              <w:rPr>
                <w:sz w:val="21"/>
                <w:szCs w:val="21"/>
              </w:rPr>
            </w:pPr>
          </w:p>
        </w:tc>
        <w:tc>
          <w:tcPr>
            <w:tcW w:w="2689" w:type="dxa"/>
            <w:vAlign w:val="center"/>
          </w:tcPr>
          <w:p>
            <w:pPr>
              <w:spacing w:line="360" w:lineRule="auto"/>
              <w:jc w:val="center"/>
              <w:rPr>
                <w:sz w:val="21"/>
                <w:szCs w:val="21"/>
              </w:rPr>
            </w:pPr>
          </w:p>
        </w:tc>
        <w:tc>
          <w:tcPr>
            <w:tcW w:w="2689" w:type="dxa"/>
            <w:vAlign w:val="center"/>
          </w:tcPr>
          <w:p>
            <w:pPr>
              <w:spacing w:line="360" w:lineRule="auto"/>
              <w:jc w:val="center"/>
              <w:rPr>
                <w:sz w:val="21"/>
                <w:szCs w:val="21"/>
              </w:rPr>
            </w:pPr>
          </w:p>
        </w:tc>
        <w:tc>
          <w:tcPr>
            <w:tcW w:w="2689" w:type="dxa"/>
            <w:vAlign w:val="center"/>
          </w:tcPr>
          <w:p>
            <w:pPr>
              <w:spacing w:line="360" w:lineRule="auto"/>
              <w:jc w:val="center"/>
              <w:rPr>
                <w:sz w:val="21"/>
                <w:szCs w:val="21"/>
              </w:rPr>
            </w:pPr>
          </w:p>
        </w:tc>
        <w:tc>
          <w:tcPr>
            <w:tcW w:w="2691" w:type="dxa"/>
            <w:vAlign w:val="center"/>
          </w:tcPr>
          <w:p>
            <w:pPr>
              <w:spacing w:line="360" w:lineRule="auto"/>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849" w:type="dxa"/>
            <w:vAlign w:val="center"/>
          </w:tcPr>
          <w:p>
            <w:pPr>
              <w:spacing w:line="360" w:lineRule="auto"/>
              <w:jc w:val="center"/>
              <w:rPr>
                <w:sz w:val="21"/>
                <w:szCs w:val="21"/>
              </w:rPr>
            </w:pPr>
            <w:r>
              <w:rPr>
                <w:rFonts w:hint="eastAsia"/>
                <w:sz w:val="21"/>
                <w:szCs w:val="21"/>
              </w:rPr>
              <w:t>1</w:t>
            </w:r>
          </w:p>
        </w:tc>
        <w:tc>
          <w:tcPr>
            <w:tcW w:w="1476" w:type="dxa"/>
            <w:vAlign w:val="center"/>
          </w:tcPr>
          <w:p>
            <w:pPr>
              <w:spacing w:line="360" w:lineRule="auto"/>
              <w:jc w:val="center"/>
              <w:rPr>
                <w:sz w:val="21"/>
                <w:szCs w:val="21"/>
              </w:rPr>
            </w:pPr>
            <w:r>
              <w:rPr>
                <w:rFonts w:hint="eastAsia"/>
                <w:sz w:val="21"/>
                <w:szCs w:val="21"/>
              </w:rPr>
              <w:t>商务得分</w:t>
            </w:r>
          </w:p>
        </w:tc>
        <w:tc>
          <w:tcPr>
            <w:tcW w:w="776" w:type="dxa"/>
            <w:vAlign w:val="center"/>
          </w:tcPr>
          <w:p>
            <w:pPr>
              <w:spacing w:line="360" w:lineRule="auto"/>
              <w:jc w:val="center"/>
              <w:rPr>
                <w:sz w:val="21"/>
                <w:szCs w:val="21"/>
              </w:rPr>
            </w:pPr>
            <w:r>
              <w:rPr>
                <w:rFonts w:hint="eastAsia"/>
                <w:sz w:val="21"/>
                <w:szCs w:val="21"/>
              </w:rPr>
              <w:t>A</w:t>
            </w:r>
          </w:p>
        </w:tc>
        <w:tc>
          <w:tcPr>
            <w:tcW w:w="2689" w:type="dxa"/>
            <w:vAlign w:val="center"/>
          </w:tcPr>
          <w:p>
            <w:pPr>
              <w:spacing w:line="360" w:lineRule="auto"/>
              <w:jc w:val="center"/>
              <w:rPr>
                <w:sz w:val="21"/>
                <w:szCs w:val="21"/>
              </w:rPr>
            </w:pPr>
          </w:p>
        </w:tc>
        <w:tc>
          <w:tcPr>
            <w:tcW w:w="2689" w:type="dxa"/>
            <w:vAlign w:val="center"/>
          </w:tcPr>
          <w:p>
            <w:pPr>
              <w:spacing w:line="360" w:lineRule="auto"/>
              <w:jc w:val="center"/>
              <w:rPr>
                <w:sz w:val="21"/>
                <w:szCs w:val="21"/>
              </w:rPr>
            </w:pPr>
          </w:p>
        </w:tc>
        <w:tc>
          <w:tcPr>
            <w:tcW w:w="2690" w:type="dxa"/>
            <w:vAlign w:val="center"/>
          </w:tcPr>
          <w:p>
            <w:pPr>
              <w:spacing w:line="360" w:lineRule="auto"/>
              <w:rPr>
                <w:sz w:val="21"/>
                <w:szCs w:val="21"/>
              </w:rPr>
            </w:pPr>
          </w:p>
        </w:tc>
        <w:tc>
          <w:tcPr>
            <w:tcW w:w="2690" w:type="dxa"/>
            <w:vAlign w:val="center"/>
          </w:tcPr>
          <w:p>
            <w:pPr>
              <w:spacing w:line="360" w:lineRule="auto"/>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849" w:type="dxa"/>
            <w:vAlign w:val="center"/>
          </w:tcPr>
          <w:p>
            <w:pPr>
              <w:spacing w:line="360" w:lineRule="auto"/>
              <w:jc w:val="center"/>
              <w:rPr>
                <w:sz w:val="21"/>
                <w:szCs w:val="21"/>
              </w:rPr>
            </w:pPr>
            <w:r>
              <w:rPr>
                <w:rFonts w:hint="eastAsia"/>
                <w:sz w:val="21"/>
                <w:szCs w:val="21"/>
              </w:rPr>
              <w:t>2</w:t>
            </w:r>
          </w:p>
        </w:tc>
        <w:tc>
          <w:tcPr>
            <w:tcW w:w="1476" w:type="dxa"/>
            <w:vAlign w:val="center"/>
          </w:tcPr>
          <w:p>
            <w:pPr>
              <w:spacing w:line="360" w:lineRule="auto"/>
              <w:jc w:val="center"/>
              <w:rPr>
                <w:sz w:val="21"/>
                <w:szCs w:val="21"/>
              </w:rPr>
            </w:pPr>
            <w:r>
              <w:rPr>
                <w:rFonts w:hint="eastAsia"/>
                <w:sz w:val="21"/>
                <w:szCs w:val="21"/>
              </w:rPr>
              <w:t>技术得分</w:t>
            </w:r>
          </w:p>
        </w:tc>
        <w:tc>
          <w:tcPr>
            <w:tcW w:w="776" w:type="dxa"/>
            <w:vAlign w:val="center"/>
          </w:tcPr>
          <w:p>
            <w:pPr>
              <w:spacing w:line="360" w:lineRule="auto"/>
              <w:jc w:val="center"/>
              <w:rPr>
                <w:sz w:val="21"/>
                <w:szCs w:val="21"/>
              </w:rPr>
            </w:pPr>
            <w:r>
              <w:rPr>
                <w:rFonts w:hint="eastAsia"/>
                <w:sz w:val="21"/>
                <w:szCs w:val="21"/>
              </w:rPr>
              <w:t>B</w:t>
            </w:r>
          </w:p>
        </w:tc>
        <w:tc>
          <w:tcPr>
            <w:tcW w:w="2689" w:type="dxa"/>
            <w:vAlign w:val="center"/>
          </w:tcPr>
          <w:p>
            <w:pPr>
              <w:spacing w:line="360" w:lineRule="auto"/>
              <w:rPr>
                <w:sz w:val="21"/>
                <w:szCs w:val="21"/>
              </w:rPr>
            </w:pPr>
          </w:p>
        </w:tc>
        <w:tc>
          <w:tcPr>
            <w:tcW w:w="2689" w:type="dxa"/>
            <w:vAlign w:val="center"/>
          </w:tcPr>
          <w:p>
            <w:pPr>
              <w:spacing w:line="360" w:lineRule="auto"/>
              <w:rPr>
                <w:sz w:val="21"/>
                <w:szCs w:val="21"/>
              </w:rPr>
            </w:pPr>
          </w:p>
        </w:tc>
        <w:tc>
          <w:tcPr>
            <w:tcW w:w="2690" w:type="dxa"/>
            <w:vAlign w:val="center"/>
          </w:tcPr>
          <w:p>
            <w:pPr>
              <w:spacing w:line="360" w:lineRule="auto"/>
              <w:rPr>
                <w:sz w:val="21"/>
                <w:szCs w:val="21"/>
              </w:rPr>
            </w:pPr>
          </w:p>
        </w:tc>
        <w:tc>
          <w:tcPr>
            <w:tcW w:w="2690" w:type="dxa"/>
            <w:vAlign w:val="center"/>
          </w:tcPr>
          <w:p>
            <w:pPr>
              <w:spacing w:line="360" w:lineRule="auto"/>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849" w:type="dxa"/>
            <w:vAlign w:val="center"/>
          </w:tcPr>
          <w:p>
            <w:pPr>
              <w:spacing w:line="360" w:lineRule="auto"/>
              <w:jc w:val="center"/>
              <w:rPr>
                <w:sz w:val="21"/>
                <w:szCs w:val="21"/>
              </w:rPr>
            </w:pPr>
            <w:r>
              <w:rPr>
                <w:rFonts w:hint="eastAsia"/>
                <w:sz w:val="21"/>
                <w:szCs w:val="21"/>
              </w:rPr>
              <w:t>3</w:t>
            </w:r>
          </w:p>
        </w:tc>
        <w:tc>
          <w:tcPr>
            <w:tcW w:w="1476" w:type="dxa"/>
            <w:vAlign w:val="center"/>
          </w:tcPr>
          <w:p>
            <w:pPr>
              <w:spacing w:line="360" w:lineRule="auto"/>
              <w:jc w:val="center"/>
              <w:rPr>
                <w:sz w:val="21"/>
                <w:szCs w:val="21"/>
              </w:rPr>
            </w:pPr>
            <w:r>
              <w:rPr>
                <w:rFonts w:hint="eastAsia"/>
                <w:sz w:val="21"/>
                <w:szCs w:val="21"/>
              </w:rPr>
              <w:t>报价得分</w:t>
            </w:r>
          </w:p>
        </w:tc>
        <w:tc>
          <w:tcPr>
            <w:tcW w:w="776" w:type="dxa"/>
            <w:vAlign w:val="center"/>
          </w:tcPr>
          <w:p>
            <w:pPr>
              <w:spacing w:line="360" w:lineRule="auto"/>
              <w:jc w:val="center"/>
              <w:rPr>
                <w:sz w:val="21"/>
                <w:szCs w:val="21"/>
              </w:rPr>
            </w:pPr>
            <w:r>
              <w:rPr>
                <w:rFonts w:hint="eastAsia"/>
                <w:sz w:val="21"/>
                <w:szCs w:val="21"/>
              </w:rPr>
              <w:t>C</w:t>
            </w:r>
          </w:p>
        </w:tc>
        <w:tc>
          <w:tcPr>
            <w:tcW w:w="2689" w:type="dxa"/>
            <w:vAlign w:val="center"/>
          </w:tcPr>
          <w:p>
            <w:pPr>
              <w:spacing w:line="360" w:lineRule="auto"/>
              <w:rPr>
                <w:sz w:val="21"/>
                <w:szCs w:val="21"/>
              </w:rPr>
            </w:pPr>
          </w:p>
        </w:tc>
        <w:tc>
          <w:tcPr>
            <w:tcW w:w="2689" w:type="dxa"/>
            <w:vAlign w:val="center"/>
          </w:tcPr>
          <w:p>
            <w:pPr>
              <w:spacing w:line="360" w:lineRule="auto"/>
              <w:rPr>
                <w:sz w:val="21"/>
                <w:szCs w:val="21"/>
              </w:rPr>
            </w:pPr>
          </w:p>
        </w:tc>
        <w:tc>
          <w:tcPr>
            <w:tcW w:w="2690" w:type="dxa"/>
            <w:vAlign w:val="center"/>
          </w:tcPr>
          <w:p>
            <w:pPr>
              <w:spacing w:line="360" w:lineRule="auto"/>
              <w:rPr>
                <w:sz w:val="21"/>
                <w:szCs w:val="21"/>
              </w:rPr>
            </w:pPr>
          </w:p>
        </w:tc>
        <w:tc>
          <w:tcPr>
            <w:tcW w:w="2690" w:type="dxa"/>
            <w:vAlign w:val="center"/>
          </w:tcPr>
          <w:p>
            <w:pPr>
              <w:spacing w:line="360" w:lineRule="auto"/>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3101" w:type="dxa"/>
            <w:gridSpan w:val="3"/>
            <w:vAlign w:val="center"/>
          </w:tcPr>
          <w:p>
            <w:pPr>
              <w:spacing w:line="360" w:lineRule="auto"/>
              <w:rPr>
                <w:sz w:val="21"/>
                <w:szCs w:val="21"/>
              </w:rPr>
            </w:pPr>
            <w:r>
              <w:rPr>
                <w:rFonts w:hint="eastAsia"/>
                <w:sz w:val="21"/>
                <w:szCs w:val="21"/>
              </w:rPr>
              <w:t>详细评审得分合计F=A+B+C</w:t>
            </w:r>
          </w:p>
        </w:tc>
        <w:tc>
          <w:tcPr>
            <w:tcW w:w="2689" w:type="dxa"/>
            <w:vAlign w:val="center"/>
          </w:tcPr>
          <w:p>
            <w:pPr>
              <w:spacing w:line="360" w:lineRule="auto"/>
              <w:rPr>
                <w:sz w:val="21"/>
                <w:szCs w:val="21"/>
              </w:rPr>
            </w:pPr>
          </w:p>
        </w:tc>
        <w:tc>
          <w:tcPr>
            <w:tcW w:w="2689" w:type="dxa"/>
            <w:vAlign w:val="center"/>
          </w:tcPr>
          <w:p>
            <w:pPr>
              <w:spacing w:line="360" w:lineRule="auto"/>
              <w:rPr>
                <w:sz w:val="21"/>
                <w:szCs w:val="21"/>
              </w:rPr>
            </w:pPr>
          </w:p>
        </w:tc>
        <w:tc>
          <w:tcPr>
            <w:tcW w:w="2690" w:type="dxa"/>
            <w:vAlign w:val="center"/>
          </w:tcPr>
          <w:p>
            <w:pPr>
              <w:spacing w:line="360" w:lineRule="auto"/>
              <w:rPr>
                <w:sz w:val="21"/>
                <w:szCs w:val="21"/>
              </w:rPr>
            </w:pPr>
          </w:p>
        </w:tc>
        <w:tc>
          <w:tcPr>
            <w:tcW w:w="2690" w:type="dxa"/>
            <w:vAlign w:val="center"/>
          </w:tcPr>
          <w:p>
            <w:pPr>
              <w:spacing w:line="360" w:lineRule="auto"/>
              <w:rPr>
                <w:sz w:val="21"/>
                <w:szCs w:val="21"/>
              </w:rPr>
            </w:pPr>
          </w:p>
        </w:tc>
      </w:tr>
    </w:tbl>
    <w:p>
      <w:pPr>
        <w:spacing w:line="360" w:lineRule="auto"/>
        <w:rPr>
          <w:szCs w:val="24"/>
        </w:rPr>
      </w:pPr>
    </w:p>
    <w:p>
      <w:pPr>
        <w:spacing w:line="360" w:lineRule="auto"/>
        <w:rPr>
          <w:szCs w:val="24"/>
        </w:rPr>
      </w:pPr>
      <w:r>
        <w:rPr>
          <w:szCs w:val="24"/>
        </w:rPr>
        <w:t>评委签</w:t>
      </w:r>
      <w:r>
        <w:rPr>
          <w:rFonts w:hint="eastAsia"/>
          <w:szCs w:val="24"/>
        </w:rPr>
        <w:t>名</w:t>
      </w:r>
      <w:r>
        <w:rPr>
          <w:szCs w:val="24"/>
        </w:rPr>
        <w:t xml:space="preserve">：     </w:t>
      </w:r>
      <w:r>
        <w:rPr>
          <w:rFonts w:hint="eastAsia"/>
          <w:szCs w:val="24"/>
        </w:rPr>
        <w:t xml:space="preserve">                                                               </w:t>
      </w:r>
      <w:r>
        <w:rPr>
          <w:szCs w:val="24"/>
        </w:rPr>
        <w:t xml:space="preserve">日期：     </w:t>
      </w:r>
    </w:p>
    <w:p>
      <w:pPr>
        <w:pStyle w:val="4"/>
        <w:spacing w:after="335" w:line="360" w:lineRule="auto"/>
        <w:ind w:right="2475"/>
        <w:rPr>
          <w:rFonts w:ascii="宋体" w:hAnsi="宋体" w:eastAsia="宋体"/>
          <w:sz w:val="24"/>
          <w:szCs w:val="24"/>
        </w:rPr>
        <w:sectPr>
          <w:footerReference r:id="rId19" w:type="default"/>
          <w:footerReference r:id="rId20" w:type="even"/>
          <w:pgSz w:w="16840" w:h="11904" w:orient="landscape"/>
          <w:pgMar w:top="1237" w:right="1250" w:bottom="1295" w:left="1487" w:header="879" w:footer="868" w:gutter="0"/>
          <w:cols w:space="720" w:num="1"/>
        </w:sectPr>
      </w:pPr>
    </w:p>
    <w:p>
      <w:pPr>
        <w:pStyle w:val="4"/>
        <w:spacing w:line="360" w:lineRule="auto"/>
        <w:jc w:val="left"/>
        <w:rPr>
          <w:rFonts w:ascii="宋体" w:hAnsi="宋体" w:eastAsia="宋体"/>
        </w:rPr>
      </w:pPr>
      <w:bookmarkStart w:id="245" w:name="_Toc86825527"/>
      <w:bookmarkStart w:id="246" w:name="_Toc79057539"/>
      <w:bookmarkStart w:id="247" w:name="_Toc77206874"/>
      <w:bookmarkStart w:id="248" w:name="_Toc13733"/>
      <w:r>
        <w:rPr>
          <w:rFonts w:hint="eastAsia" w:ascii="宋体" w:hAnsi="宋体" w:eastAsia="宋体"/>
          <w:bCs/>
          <w:sz w:val="24"/>
          <w:szCs w:val="24"/>
        </w:rPr>
        <w:t>附表八：</w:t>
      </w:r>
      <w:r>
        <w:rPr>
          <w:rFonts w:hint="eastAsia" w:ascii="宋体" w:hAnsi="宋体" w:eastAsia="宋体"/>
          <w:sz w:val="24"/>
          <w:szCs w:val="24"/>
        </w:rPr>
        <w:t>评标结果汇总表</w:t>
      </w:r>
      <w:bookmarkEnd w:id="245"/>
      <w:bookmarkEnd w:id="246"/>
      <w:bookmarkEnd w:id="247"/>
    </w:p>
    <w:p>
      <w:pPr>
        <w:spacing w:line="360" w:lineRule="auto"/>
        <w:ind w:left="0" w:firstLine="0"/>
        <w:jc w:val="center"/>
      </w:pPr>
      <w:r>
        <w:t>评标结果汇总表</w:t>
      </w:r>
      <w:bookmarkEnd w:id="248"/>
    </w:p>
    <w:p>
      <w:pPr>
        <w:spacing w:line="360" w:lineRule="auto"/>
      </w:pPr>
      <w:r>
        <w:rPr>
          <w:rFonts w:hint="eastAsia"/>
          <w:szCs w:val="24"/>
        </w:rPr>
        <w:t>项目名称：</w:t>
      </w:r>
      <w:r>
        <w:rPr>
          <w:rFonts w:hint="eastAsia"/>
        </w:rPr>
        <w:t>北京市房山区人民防空办公室加州水郡西区、中冶蓝城地下人防工程维修工程</w:t>
      </w:r>
    </w:p>
    <w:p>
      <w:pPr>
        <w:spacing w:line="360" w:lineRule="auto"/>
        <w:rPr>
          <w:szCs w:val="24"/>
        </w:rPr>
      </w:pPr>
      <w:r>
        <w:rPr>
          <w:rFonts w:hint="eastAsia"/>
          <w:szCs w:val="24"/>
        </w:rPr>
        <w:t>项目编号：</w:t>
      </w:r>
    </w:p>
    <w:tbl>
      <w:tblPr>
        <w:tblStyle w:val="36"/>
        <w:tblW w:w="14619" w:type="dxa"/>
        <w:tblInd w:w="-3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2160"/>
        <w:gridCol w:w="2280"/>
        <w:gridCol w:w="2279"/>
        <w:gridCol w:w="2414"/>
        <w:gridCol w:w="2145"/>
        <w:gridCol w:w="21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3353" w:type="dxa"/>
            <w:gridSpan w:val="2"/>
            <w:vMerge w:val="restart"/>
            <w:vAlign w:val="center"/>
          </w:tcPr>
          <w:p>
            <w:pPr>
              <w:spacing w:line="360" w:lineRule="auto"/>
              <w:jc w:val="center"/>
              <w:rPr>
                <w:sz w:val="21"/>
                <w:szCs w:val="21"/>
              </w:rPr>
            </w:pPr>
            <w:r>
              <w:rPr>
                <w:sz w:val="21"/>
                <w:szCs w:val="21"/>
              </w:rPr>
              <w:t>评委序号和姓名</w:t>
            </w:r>
          </w:p>
        </w:tc>
        <w:tc>
          <w:tcPr>
            <w:tcW w:w="11266" w:type="dxa"/>
            <w:gridSpan w:val="5"/>
            <w:vAlign w:val="center"/>
          </w:tcPr>
          <w:p>
            <w:pPr>
              <w:spacing w:line="360" w:lineRule="auto"/>
              <w:jc w:val="center"/>
              <w:rPr>
                <w:sz w:val="21"/>
                <w:szCs w:val="21"/>
              </w:rPr>
            </w:pPr>
            <w:r>
              <w:rPr>
                <w:sz w:val="21"/>
                <w:szCs w:val="21"/>
              </w:rPr>
              <w:t>投标人名称及其加权得分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353" w:type="dxa"/>
            <w:gridSpan w:val="2"/>
            <w:vMerge w:val="continue"/>
            <w:vAlign w:val="center"/>
          </w:tcPr>
          <w:p>
            <w:pPr>
              <w:spacing w:line="360" w:lineRule="auto"/>
              <w:rPr>
                <w:sz w:val="21"/>
                <w:szCs w:val="21"/>
              </w:rPr>
            </w:pPr>
          </w:p>
        </w:tc>
        <w:tc>
          <w:tcPr>
            <w:tcW w:w="2280" w:type="dxa"/>
          </w:tcPr>
          <w:p>
            <w:pPr>
              <w:spacing w:line="360" w:lineRule="auto"/>
              <w:rPr>
                <w:sz w:val="21"/>
                <w:szCs w:val="21"/>
              </w:rPr>
            </w:pPr>
          </w:p>
        </w:tc>
        <w:tc>
          <w:tcPr>
            <w:tcW w:w="2279" w:type="dxa"/>
          </w:tcPr>
          <w:p>
            <w:pPr>
              <w:spacing w:line="360" w:lineRule="auto"/>
              <w:rPr>
                <w:sz w:val="21"/>
                <w:szCs w:val="21"/>
              </w:rPr>
            </w:pPr>
          </w:p>
        </w:tc>
        <w:tc>
          <w:tcPr>
            <w:tcW w:w="2414" w:type="dxa"/>
          </w:tcPr>
          <w:p>
            <w:pPr>
              <w:spacing w:line="360" w:lineRule="auto"/>
              <w:rPr>
                <w:sz w:val="21"/>
                <w:szCs w:val="21"/>
              </w:rPr>
            </w:pPr>
          </w:p>
        </w:tc>
        <w:tc>
          <w:tcPr>
            <w:tcW w:w="2145" w:type="dxa"/>
          </w:tcPr>
          <w:p>
            <w:pPr>
              <w:spacing w:line="360" w:lineRule="auto"/>
              <w:rPr>
                <w:sz w:val="21"/>
                <w:szCs w:val="21"/>
              </w:rPr>
            </w:pPr>
          </w:p>
        </w:tc>
        <w:tc>
          <w:tcPr>
            <w:tcW w:w="2148" w:type="dxa"/>
          </w:tcPr>
          <w:p>
            <w:pPr>
              <w:spacing w:line="360" w:lineRule="auto"/>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193" w:type="dxa"/>
            <w:vMerge w:val="restart"/>
            <w:vAlign w:val="center"/>
          </w:tcPr>
          <w:p>
            <w:pPr>
              <w:spacing w:line="360" w:lineRule="auto"/>
              <w:jc w:val="center"/>
              <w:rPr>
                <w:sz w:val="21"/>
                <w:szCs w:val="21"/>
              </w:rPr>
            </w:pPr>
            <w:r>
              <w:rPr>
                <w:rFonts w:hint="eastAsia"/>
                <w:sz w:val="21"/>
                <w:szCs w:val="21"/>
              </w:rPr>
              <w:t>得分（F）</w:t>
            </w:r>
          </w:p>
        </w:tc>
        <w:tc>
          <w:tcPr>
            <w:tcW w:w="2160" w:type="dxa"/>
            <w:vAlign w:val="center"/>
          </w:tcPr>
          <w:p>
            <w:pPr>
              <w:spacing w:line="360" w:lineRule="auto"/>
              <w:rPr>
                <w:sz w:val="21"/>
                <w:szCs w:val="21"/>
              </w:rPr>
            </w:pPr>
            <w:r>
              <w:rPr>
                <w:rFonts w:hint="eastAsia"/>
                <w:sz w:val="21"/>
                <w:szCs w:val="21"/>
              </w:rPr>
              <w:t>1：</w:t>
            </w:r>
          </w:p>
        </w:tc>
        <w:tc>
          <w:tcPr>
            <w:tcW w:w="2280" w:type="dxa"/>
            <w:vAlign w:val="center"/>
          </w:tcPr>
          <w:p>
            <w:pPr>
              <w:spacing w:line="360" w:lineRule="auto"/>
              <w:rPr>
                <w:sz w:val="21"/>
                <w:szCs w:val="21"/>
              </w:rPr>
            </w:pPr>
          </w:p>
        </w:tc>
        <w:tc>
          <w:tcPr>
            <w:tcW w:w="2279" w:type="dxa"/>
            <w:vAlign w:val="center"/>
          </w:tcPr>
          <w:p>
            <w:pPr>
              <w:spacing w:line="360" w:lineRule="auto"/>
              <w:rPr>
                <w:sz w:val="21"/>
                <w:szCs w:val="21"/>
              </w:rPr>
            </w:pPr>
          </w:p>
        </w:tc>
        <w:tc>
          <w:tcPr>
            <w:tcW w:w="2414" w:type="dxa"/>
            <w:vAlign w:val="center"/>
          </w:tcPr>
          <w:p>
            <w:pPr>
              <w:spacing w:line="360" w:lineRule="auto"/>
              <w:rPr>
                <w:sz w:val="21"/>
                <w:szCs w:val="21"/>
              </w:rPr>
            </w:pPr>
          </w:p>
        </w:tc>
        <w:tc>
          <w:tcPr>
            <w:tcW w:w="2145" w:type="dxa"/>
          </w:tcPr>
          <w:p>
            <w:pPr>
              <w:spacing w:line="360" w:lineRule="auto"/>
              <w:rPr>
                <w:sz w:val="21"/>
                <w:szCs w:val="21"/>
              </w:rPr>
            </w:pPr>
          </w:p>
        </w:tc>
        <w:tc>
          <w:tcPr>
            <w:tcW w:w="2148" w:type="dxa"/>
          </w:tcPr>
          <w:p>
            <w:pPr>
              <w:spacing w:line="360" w:lineRule="auto"/>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193" w:type="dxa"/>
            <w:vMerge w:val="continue"/>
            <w:vAlign w:val="center"/>
          </w:tcPr>
          <w:p>
            <w:pPr>
              <w:spacing w:line="360" w:lineRule="auto"/>
              <w:rPr>
                <w:sz w:val="21"/>
                <w:szCs w:val="21"/>
              </w:rPr>
            </w:pPr>
          </w:p>
        </w:tc>
        <w:tc>
          <w:tcPr>
            <w:tcW w:w="2160" w:type="dxa"/>
            <w:vAlign w:val="center"/>
          </w:tcPr>
          <w:p>
            <w:pPr>
              <w:spacing w:line="360" w:lineRule="auto"/>
              <w:rPr>
                <w:sz w:val="21"/>
                <w:szCs w:val="21"/>
              </w:rPr>
            </w:pPr>
            <w:r>
              <w:rPr>
                <w:rFonts w:hint="eastAsia"/>
                <w:sz w:val="21"/>
                <w:szCs w:val="21"/>
              </w:rPr>
              <w:t>2：</w:t>
            </w:r>
          </w:p>
        </w:tc>
        <w:tc>
          <w:tcPr>
            <w:tcW w:w="2280" w:type="dxa"/>
            <w:vAlign w:val="center"/>
          </w:tcPr>
          <w:p>
            <w:pPr>
              <w:spacing w:line="360" w:lineRule="auto"/>
              <w:rPr>
                <w:sz w:val="21"/>
                <w:szCs w:val="21"/>
              </w:rPr>
            </w:pPr>
          </w:p>
        </w:tc>
        <w:tc>
          <w:tcPr>
            <w:tcW w:w="2279" w:type="dxa"/>
            <w:vAlign w:val="center"/>
          </w:tcPr>
          <w:p>
            <w:pPr>
              <w:spacing w:line="360" w:lineRule="auto"/>
              <w:rPr>
                <w:sz w:val="21"/>
                <w:szCs w:val="21"/>
              </w:rPr>
            </w:pPr>
          </w:p>
        </w:tc>
        <w:tc>
          <w:tcPr>
            <w:tcW w:w="2414" w:type="dxa"/>
            <w:vAlign w:val="center"/>
          </w:tcPr>
          <w:p>
            <w:pPr>
              <w:spacing w:line="360" w:lineRule="auto"/>
              <w:rPr>
                <w:sz w:val="21"/>
                <w:szCs w:val="21"/>
              </w:rPr>
            </w:pPr>
          </w:p>
        </w:tc>
        <w:tc>
          <w:tcPr>
            <w:tcW w:w="2145" w:type="dxa"/>
          </w:tcPr>
          <w:p>
            <w:pPr>
              <w:spacing w:line="360" w:lineRule="auto"/>
              <w:rPr>
                <w:sz w:val="21"/>
                <w:szCs w:val="21"/>
              </w:rPr>
            </w:pPr>
          </w:p>
        </w:tc>
        <w:tc>
          <w:tcPr>
            <w:tcW w:w="2148" w:type="dxa"/>
          </w:tcPr>
          <w:p>
            <w:pPr>
              <w:spacing w:line="360" w:lineRule="auto"/>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193" w:type="dxa"/>
            <w:vMerge w:val="continue"/>
            <w:vAlign w:val="center"/>
          </w:tcPr>
          <w:p>
            <w:pPr>
              <w:spacing w:line="360" w:lineRule="auto"/>
              <w:rPr>
                <w:sz w:val="21"/>
                <w:szCs w:val="21"/>
              </w:rPr>
            </w:pPr>
          </w:p>
        </w:tc>
        <w:tc>
          <w:tcPr>
            <w:tcW w:w="2160" w:type="dxa"/>
            <w:vAlign w:val="center"/>
          </w:tcPr>
          <w:p>
            <w:pPr>
              <w:spacing w:line="360" w:lineRule="auto"/>
              <w:rPr>
                <w:sz w:val="21"/>
                <w:szCs w:val="21"/>
              </w:rPr>
            </w:pPr>
            <w:r>
              <w:rPr>
                <w:rFonts w:hint="eastAsia"/>
                <w:sz w:val="21"/>
                <w:szCs w:val="21"/>
              </w:rPr>
              <w:t>3：</w:t>
            </w:r>
          </w:p>
        </w:tc>
        <w:tc>
          <w:tcPr>
            <w:tcW w:w="2280" w:type="dxa"/>
            <w:vAlign w:val="center"/>
          </w:tcPr>
          <w:p>
            <w:pPr>
              <w:spacing w:line="360" w:lineRule="auto"/>
              <w:rPr>
                <w:sz w:val="21"/>
                <w:szCs w:val="21"/>
              </w:rPr>
            </w:pPr>
          </w:p>
        </w:tc>
        <w:tc>
          <w:tcPr>
            <w:tcW w:w="2279" w:type="dxa"/>
            <w:vAlign w:val="center"/>
          </w:tcPr>
          <w:p>
            <w:pPr>
              <w:spacing w:line="360" w:lineRule="auto"/>
              <w:rPr>
                <w:sz w:val="21"/>
                <w:szCs w:val="21"/>
              </w:rPr>
            </w:pPr>
          </w:p>
        </w:tc>
        <w:tc>
          <w:tcPr>
            <w:tcW w:w="2414" w:type="dxa"/>
            <w:vAlign w:val="center"/>
          </w:tcPr>
          <w:p>
            <w:pPr>
              <w:spacing w:line="360" w:lineRule="auto"/>
              <w:rPr>
                <w:sz w:val="21"/>
                <w:szCs w:val="21"/>
              </w:rPr>
            </w:pPr>
          </w:p>
        </w:tc>
        <w:tc>
          <w:tcPr>
            <w:tcW w:w="2145" w:type="dxa"/>
          </w:tcPr>
          <w:p>
            <w:pPr>
              <w:spacing w:line="360" w:lineRule="auto"/>
              <w:rPr>
                <w:sz w:val="21"/>
                <w:szCs w:val="21"/>
              </w:rPr>
            </w:pPr>
          </w:p>
        </w:tc>
        <w:tc>
          <w:tcPr>
            <w:tcW w:w="2148" w:type="dxa"/>
          </w:tcPr>
          <w:p>
            <w:pPr>
              <w:spacing w:line="360" w:lineRule="auto"/>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193" w:type="dxa"/>
            <w:vMerge w:val="continue"/>
            <w:vAlign w:val="center"/>
          </w:tcPr>
          <w:p>
            <w:pPr>
              <w:spacing w:line="360" w:lineRule="auto"/>
              <w:rPr>
                <w:sz w:val="21"/>
                <w:szCs w:val="21"/>
              </w:rPr>
            </w:pPr>
          </w:p>
        </w:tc>
        <w:tc>
          <w:tcPr>
            <w:tcW w:w="2160" w:type="dxa"/>
            <w:vAlign w:val="center"/>
          </w:tcPr>
          <w:p>
            <w:pPr>
              <w:spacing w:line="360" w:lineRule="auto"/>
              <w:rPr>
                <w:sz w:val="21"/>
                <w:szCs w:val="21"/>
              </w:rPr>
            </w:pPr>
          </w:p>
        </w:tc>
        <w:tc>
          <w:tcPr>
            <w:tcW w:w="2280" w:type="dxa"/>
            <w:vAlign w:val="center"/>
          </w:tcPr>
          <w:p>
            <w:pPr>
              <w:spacing w:line="360" w:lineRule="auto"/>
              <w:rPr>
                <w:sz w:val="21"/>
                <w:szCs w:val="21"/>
              </w:rPr>
            </w:pPr>
          </w:p>
        </w:tc>
        <w:tc>
          <w:tcPr>
            <w:tcW w:w="2279" w:type="dxa"/>
            <w:vAlign w:val="center"/>
          </w:tcPr>
          <w:p>
            <w:pPr>
              <w:spacing w:line="360" w:lineRule="auto"/>
              <w:rPr>
                <w:sz w:val="21"/>
                <w:szCs w:val="21"/>
              </w:rPr>
            </w:pPr>
          </w:p>
        </w:tc>
        <w:tc>
          <w:tcPr>
            <w:tcW w:w="2414" w:type="dxa"/>
            <w:vAlign w:val="center"/>
          </w:tcPr>
          <w:p>
            <w:pPr>
              <w:spacing w:line="360" w:lineRule="auto"/>
              <w:rPr>
                <w:sz w:val="21"/>
                <w:szCs w:val="21"/>
              </w:rPr>
            </w:pPr>
          </w:p>
        </w:tc>
        <w:tc>
          <w:tcPr>
            <w:tcW w:w="2145" w:type="dxa"/>
          </w:tcPr>
          <w:p>
            <w:pPr>
              <w:spacing w:line="360" w:lineRule="auto"/>
              <w:rPr>
                <w:sz w:val="21"/>
                <w:szCs w:val="21"/>
              </w:rPr>
            </w:pPr>
          </w:p>
        </w:tc>
        <w:tc>
          <w:tcPr>
            <w:tcW w:w="2148" w:type="dxa"/>
          </w:tcPr>
          <w:p>
            <w:pPr>
              <w:spacing w:line="360" w:lineRule="auto"/>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1193" w:type="dxa"/>
            <w:vMerge w:val="continue"/>
            <w:vAlign w:val="center"/>
          </w:tcPr>
          <w:p>
            <w:pPr>
              <w:spacing w:line="360" w:lineRule="auto"/>
              <w:rPr>
                <w:sz w:val="21"/>
                <w:szCs w:val="21"/>
              </w:rPr>
            </w:pPr>
          </w:p>
        </w:tc>
        <w:tc>
          <w:tcPr>
            <w:tcW w:w="2160" w:type="dxa"/>
            <w:vAlign w:val="center"/>
          </w:tcPr>
          <w:p>
            <w:pPr>
              <w:spacing w:line="360" w:lineRule="auto"/>
              <w:rPr>
                <w:sz w:val="21"/>
                <w:szCs w:val="21"/>
              </w:rPr>
            </w:pPr>
          </w:p>
        </w:tc>
        <w:tc>
          <w:tcPr>
            <w:tcW w:w="2280" w:type="dxa"/>
            <w:vAlign w:val="center"/>
          </w:tcPr>
          <w:p>
            <w:pPr>
              <w:spacing w:line="360" w:lineRule="auto"/>
              <w:rPr>
                <w:sz w:val="21"/>
                <w:szCs w:val="21"/>
              </w:rPr>
            </w:pPr>
          </w:p>
        </w:tc>
        <w:tc>
          <w:tcPr>
            <w:tcW w:w="2279" w:type="dxa"/>
            <w:vAlign w:val="center"/>
          </w:tcPr>
          <w:p>
            <w:pPr>
              <w:spacing w:line="360" w:lineRule="auto"/>
              <w:rPr>
                <w:sz w:val="21"/>
                <w:szCs w:val="21"/>
              </w:rPr>
            </w:pPr>
          </w:p>
        </w:tc>
        <w:tc>
          <w:tcPr>
            <w:tcW w:w="2414" w:type="dxa"/>
            <w:vAlign w:val="center"/>
          </w:tcPr>
          <w:p>
            <w:pPr>
              <w:spacing w:line="360" w:lineRule="auto"/>
              <w:rPr>
                <w:sz w:val="21"/>
                <w:szCs w:val="21"/>
              </w:rPr>
            </w:pPr>
          </w:p>
        </w:tc>
        <w:tc>
          <w:tcPr>
            <w:tcW w:w="2145" w:type="dxa"/>
          </w:tcPr>
          <w:p>
            <w:pPr>
              <w:spacing w:line="360" w:lineRule="auto"/>
              <w:rPr>
                <w:sz w:val="21"/>
                <w:szCs w:val="21"/>
              </w:rPr>
            </w:pPr>
          </w:p>
        </w:tc>
        <w:tc>
          <w:tcPr>
            <w:tcW w:w="2148" w:type="dxa"/>
          </w:tcPr>
          <w:p>
            <w:pPr>
              <w:spacing w:line="360" w:lineRule="auto"/>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3353" w:type="dxa"/>
            <w:gridSpan w:val="2"/>
            <w:vAlign w:val="center"/>
          </w:tcPr>
          <w:p>
            <w:pPr>
              <w:spacing w:line="360" w:lineRule="auto"/>
              <w:rPr>
                <w:sz w:val="21"/>
                <w:szCs w:val="21"/>
              </w:rPr>
            </w:pPr>
            <w:r>
              <w:rPr>
                <w:rFonts w:hint="eastAsia"/>
                <w:sz w:val="21"/>
                <w:szCs w:val="21"/>
              </w:rPr>
              <w:t>各</w:t>
            </w:r>
            <w:r>
              <w:rPr>
                <w:sz w:val="21"/>
                <w:szCs w:val="21"/>
              </w:rPr>
              <w:t>评委</w:t>
            </w:r>
            <w:r>
              <w:rPr>
                <w:rFonts w:hint="eastAsia"/>
                <w:sz w:val="21"/>
                <w:szCs w:val="21"/>
              </w:rPr>
              <w:t>得分</w:t>
            </w:r>
            <w:r>
              <w:rPr>
                <w:sz w:val="21"/>
                <w:szCs w:val="21"/>
              </w:rPr>
              <w:t>平均值</w:t>
            </w:r>
            <w:r>
              <w:rPr>
                <w:rFonts w:hint="eastAsia"/>
                <w:sz w:val="21"/>
                <w:szCs w:val="21"/>
              </w:rPr>
              <w:t>（F)</w:t>
            </w:r>
          </w:p>
        </w:tc>
        <w:tc>
          <w:tcPr>
            <w:tcW w:w="2280" w:type="dxa"/>
            <w:vAlign w:val="center"/>
          </w:tcPr>
          <w:p>
            <w:pPr>
              <w:spacing w:line="360" w:lineRule="auto"/>
              <w:rPr>
                <w:sz w:val="21"/>
                <w:szCs w:val="21"/>
              </w:rPr>
            </w:pPr>
          </w:p>
        </w:tc>
        <w:tc>
          <w:tcPr>
            <w:tcW w:w="2279" w:type="dxa"/>
            <w:vAlign w:val="center"/>
          </w:tcPr>
          <w:p>
            <w:pPr>
              <w:spacing w:line="360" w:lineRule="auto"/>
              <w:rPr>
                <w:sz w:val="21"/>
                <w:szCs w:val="21"/>
              </w:rPr>
            </w:pPr>
          </w:p>
        </w:tc>
        <w:tc>
          <w:tcPr>
            <w:tcW w:w="2414" w:type="dxa"/>
            <w:vAlign w:val="center"/>
          </w:tcPr>
          <w:p>
            <w:pPr>
              <w:spacing w:line="360" w:lineRule="auto"/>
              <w:rPr>
                <w:sz w:val="21"/>
                <w:szCs w:val="21"/>
              </w:rPr>
            </w:pPr>
          </w:p>
        </w:tc>
        <w:tc>
          <w:tcPr>
            <w:tcW w:w="2145" w:type="dxa"/>
          </w:tcPr>
          <w:p>
            <w:pPr>
              <w:spacing w:line="360" w:lineRule="auto"/>
              <w:rPr>
                <w:sz w:val="21"/>
                <w:szCs w:val="21"/>
              </w:rPr>
            </w:pPr>
          </w:p>
        </w:tc>
        <w:tc>
          <w:tcPr>
            <w:tcW w:w="2148" w:type="dxa"/>
          </w:tcPr>
          <w:p>
            <w:pPr>
              <w:spacing w:line="360" w:lineRule="auto"/>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3353" w:type="dxa"/>
            <w:gridSpan w:val="2"/>
            <w:vAlign w:val="center"/>
          </w:tcPr>
          <w:p>
            <w:pPr>
              <w:spacing w:line="360" w:lineRule="auto"/>
              <w:rPr>
                <w:sz w:val="21"/>
                <w:szCs w:val="21"/>
              </w:rPr>
            </w:pPr>
            <w:r>
              <w:rPr>
                <w:sz w:val="21"/>
                <w:szCs w:val="21"/>
              </w:rPr>
              <w:t>投标人最终排名次序</w:t>
            </w:r>
          </w:p>
        </w:tc>
        <w:tc>
          <w:tcPr>
            <w:tcW w:w="2280" w:type="dxa"/>
            <w:vAlign w:val="center"/>
          </w:tcPr>
          <w:p>
            <w:pPr>
              <w:spacing w:line="360" w:lineRule="auto"/>
              <w:rPr>
                <w:sz w:val="21"/>
                <w:szCs w:val="21"/>
              </w:rPr>
            </w:pPr>
          </w:p>
        </w:tc>
        <w:tc>
          <w:tcPr>
            <w:tcW w:w="2279" w:type="dxa"/>
            <w:vAlign w:val="center"/>
          </w:tcPr>
          <w:p>
            <w:pPr>
              <w:spacing w:line="360" w:lineRule="auto"/>
              <w:rPr>
                <w:sz w:val="21"/>
                <w:szCs w:val="21"/>
              </w:rPr>
            </w:pPr>
          </w:p>
        </w:tc>
        <w:tc>
          <w:tcPr>
            <w:tcW w:w="2414" w:type="dxa"/>
            <w:vAlign w:val="center"/>
          </w:tcPr>
          <w:p>
            <w:pPr>
              <w:spacing w:line="360" w:lineRule="auto"/>
              <w:rPr>
                <w:sz w:val="21"/>
                <w:szCs w:val="21"/>
              </w:rPr>
            </w:pPr>
          </w:p>
        </w:tc>
        <w:tc>
          <w:tcPr>
            <w:tcW w:w="2145" w:type="dxa"/>
          </w:tcPr>
          <w:p>
            <w:pPr>
              <w:spacing w:line="360" w:lineRule="auto"/>
              <w:rPr>
                <w:sz w:val="21"/>
                <w:szCs w:val="21"/>
              </w:rPr>
            </w:pPr>
          </w:p>
        </w:tc>
        <w:tc>
          <w:tcPr>
            <w:tcW w:w="2148" w:type="dxa"/>
          </w:tcPr>
          <w:p>
            <w:pPr>
              <w:spacing w:line="360" w:lineRule="auto"/>
              <w:rPr>
                <w:sz w:val="21"/>
                <w:szCs w:val="21"/>
              </w:rPr>
            </w:pPr>
          </w:p>
        </w:tc>
      </w:tr>
    </w:tbl>
    <w:p>
      <w:pPr>
        <w:spacing w:line="360" w:lineRule="auto"/>
        <w:rPr>
          <w:szCs w:val="24"/>
        </w:rPr>
      </w:pPr>
    </w:p>
    <w:p>
      <w:pPr>
        <w:spacing w:line="360" w:lineRule="auto"/>
        <w:ind w:left="0" w:firstLine="0"/>
      </w:pPr>
      <w:r>
        <w:rPr>
          <w:rFonts w:hint="eastAsia"/>
        </w:rPr>
        <w:t xml:space="preserve">评标委员会全体成员签字：                                                         </w:t>
      </w:r>
      <w:r>
        <w:t xml:space="preserve">日期：     </w:t>
      </w:r>
    </w:p>
    <w:p>
      <w:pPr>
        <w:spacing w:line="360" w:lineRule="auto"/>
        <w:ind w:left="0" w:firstLine="0"/>
      </w:pPr>
    </w:p>
    <w:p>
      <w:pPr>
        <w:spacing w:line="360" w:lineRule="auto"/>
        <w:ind w:left="0" w:firstLine="0"/>
        <w:sectPr>
          <w:pgSz w:w="16840" w:h="11904" w:orient="landscape"/>
          <w:pgMar w:top="1237" w:right="1250" w:bottom="1295" w:left="1487" w:header="879" w:footer="868" w:gutter="0"/>
          <w:cols w:space="720" w:num="1"/>
        </w:sectPr>
      </w:pPr>
    </w:p>
    <w:p>
      <w:pPr>
        <w:pStyle w:val="4"/>
        <w:spacing w:line="360" w:lineRule="auto"/>
        <w:jc w:val="left"/>
        <w:rPr>
          <w:rFonts w:ascii="宋体" w:hAnsi="宋体" w:eastAsia="宋体"/>
        </w:rPr>
      </w:pPr>
      <w:bookmarkStart w:id="249" w:name="_Toc86825528"/>
      <w:bookmarkStart w:id="250" w:name="_Toc77206875"/>
      <w:bookmarkStart w:id="251" w:name="_Toc79057540"/>
      <w:bookmarkStart w:id="252" w:name="_Toc14410"/>
      <w:r>
        <w:rPr>
          <w:rFonts w:hint="eastAsia" w:ascii="宋体" w:hAnsi="宋体" w:eastAsia="宋体"/>
          <w:bCs/>
          <w:sz w:val="24"/>
          <w:szCs w:val="24"/>
        </w:rPr>
        <w:t>附表九：</w:t>
      </w:r>
      <w:r>
        <w:rPr>
          <w:rFonts w:hint="eastAsia" w:ascii="宋体" w:hAnsi="宋体" w:eastAsia="宋体"/>
          <w:sz w:val="24"/>
          <w:szCs w:val="24"/>
        </w:rPr>
        <w:t>成交情况书面报告备案表</w:t>
      </w:r>
      <w:bookmarkEnd w:id="249"/>
      <w:bookmarkEnd w:id="250"/>
      <w:bookmarkEnd w:id="251"/>
    </w:p>
    <w:p>
      <w:pPr>
        <w:spacing w:line="360" w:lineRule="auto"/>
        <w:ind w:left="0" w:firstLine="0"/>
        <w:jc w:val="center"/>
      </w:pPr>
      <w:r>
        <w:rPr>
          <w:rFonts w:hint="eastAsia"/>
        </w:rPr>
        <w:t>成交情况书面报告备案表</w:t>
      </w:r>
      <w:bookmarkEnd w:id="252"/>
    </w:p>
    <w:p>
      <w:pPr>
        <w:spacing w:line="360" w:lineRule="auto"/>
        <w:ind w:left="240" w:leftChars="100" w:firstLine="228" w:firstLineChars="95"/>
        <w:rPr>
          <w:szCs w:val="24"/>
        </w:rPr>
      </w:pPr>
      <w:r>
        <w:rPr>
          <w:rFonts w:hint="eastAsia"/>
          <w:szCs w:val="24"/>
        </w:rPr>
        <w:t>项目编号：                                                 日期：   年   月    日</w:t>
      </w:r>
    </w:p>
    <w:tbl>
      <w:tblPr>
        <w:tblStyle w:val="36"/>
        <w:tblpPr w:leftFromText="180" w:rightFromText="180" w:vertAnchor="text" w:horzAnchor="page" w:tblpX="1152" w:tblpY="50"/>
        <w:tblOverlap w:val="never"/>
        <w:tblW w:w="102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5"/>
        <w:gridCol w:w="1183"/>
        <w:gridCol w:w="2333"/>
        <w:gridCol w:w="1431"/>
        <w:gridCol w:w="1338"/>
        <w:gridCol w:w="26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1" w:hRule="exact"/>
        </w:trPr>
        <w:tc>
          <w:tcPr>
            <w:tcW w:w="1335" w:type="dxa"/>
            <w:tcBorders>
              <w:top w:val="single" w:color="auto" w:sz="12" w:space="0"/>
              <w:left w:val="single" w:color="auto" w:sz="12" w:space="0"/>
              <w:bottom w:val="single" w:color="auto" w:sz="4" w:space="0"/>
              <w:right w:val="single" w:color="auto" w:sz="4" w:space="0"/>
            </w:tcBorders>
            <w:vAlign w:val="center"/>
          </w:tcPr>
          <w:p>
            <w:pPr>
              <w:spacing w:line="360" w:lineRule="auto"/>
              <w:rPr>
                <w:sz w:val="21"/>
                <w:szCs w:val="21"/>
              </w:rPr>
            </w:pPr>
            <w:r>
              <w:rPr>
                <w:rFonts w:hint="eastAsia"/>
                <w:sz w:val="21"/>
                <w:szCs w:val="21"/>
              </w:rPr>
              <w:t>项目名称</w:t>
            </w:r>
          </w:p>
        </w:tc>
        <w:tc>
          <w:tcPr>
            <w:tcW w:w="4947" w:type="dxa"/>
            <w:gridSpan w:val="3"/>
            <w:tcBorders>
              <w:top w:val="single" w:color="auto" w:sz="12" w:space="0"/>
              <w:left w:val="single" w:color="auto" w:sz="4" w:space="0"/>
              <w:bottom w:val="single" w:color="auto" w:sz="4" w:space="0"/>
              <w:right w:val="single" w:color="auto" w:sz="4" w:space="0"/>
            </w:tcBorders>
            <w:vAlign w:val="center"/>
          </w:tcPr>
          <w:p>
            <w:pPr>
              <w:spacing w:line="360" w:lineRule="auto"/>
              <w:rPr>
                <w:sz w:val="21"/>
                <w:szCs w:val="21"/>
              </w:rPr>
            </w:pPr>
            <w:r>
              <w:rPr>
                <w:rFonts w:hint="eastAsia"/>
              </w:rPr>
              <w:t>北京市房山区人民防空办公室加州水郡西区、中冶蓝城地下人防工程维修工程</w:t>
            </w:r>
          </w:p>
        </w:tc>
        <w:tc>
          <w:tcPr>
            <w:tcW w:w="1338" w:type="dxa"/>
            <w:tcBorders>
              <w:top w:val="single" w:color="auto" w:sz="12" w:space="0"/>
              <w:left w:val="single" w:color="auto" w:sz="4" w:space="0"/>
              <w:bottom w:val="single" w:color="auto" w:sz="4" w:space="0"/>
              <w:right w:val="single" w:color="auto" w:sz="4" w:space="0"/>
            </w:tcBorders>
            <w:vAlign w:val="center"/>
          </w:tcPr>
          <w:p>
            <w:pPr>
              <w:spacing w:line="360" w:lineRule="auto"/>
              <w:rPr>
                <w:sz w:val="21"/>
                <w:szCs w:val="21"/>
              </w:rPr>
            </w:pPr>
            <w:r>
              <w:rPr>
                <w:rFonts w:hint="eastAsia"/>
                <w:sz w:val="21"/>
                <w:szCs w:val="21"/>
              </w:rPr>
              <w:t>招标类别</w:t>
            </w:r>
          </w:p>
        </w:tc>
        <w:tc>
          <w:tcPr>
            <w:tcW w:w="2677" w:type="dxa"/>
            <w:tcBorders>
              <w:top w:val="single" w:color="auto" w:sz="12" w:space="0"/>
              <w:left w:val="single" w:color="auto" w:sz="4" w:space="0"/>
              <w:bottom w:val="single" w:color="auto" w:sz="4" w:space="0"/>
              <w:right w:val="single" w:color="auto" w:sz="12" w:space="0"/>
            </w:tcBorders>
            <w:vAlign w:val="center"/>
          </w:tcPr>
          <w:p>
            <w:pPr>
              <w:spacing w:line="360" w:lineRule="auto"/>
              <w:rPr>
                <w:sz w:val="21"/>
                <w:szCs w:val="21"/>
              </w:rPr>
            </w:pPr>
            <w:r>
              <w:rPr>
                <w:rFonts w:hint="eastAsia"/>
                <w:sz w:val="21"/>
                <w:szCs w:val="21"/>
              </w:rPr>
              <w:t>☑施工   □监理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335" w:type="dxa"/>
            <w:vMerge w:val="restart"/>
            <w:tcBorders>
              <w:top w:val="single" w:color="auto" w:sz="4" w:space="0"/>
              <w:left w:val="single" w:color="auto" w:sz="12" w:space="0"/>
              <w:right w:val="single" w:color="auto" w:sz="4" w:space="0"/>
            </w:tcBorders>
            <w:vAlign w:val="center"/>
          </w:tcPr>
          <w:p>
            <w:pPr>
              <w:spacing w:line="360" w:lineRule="auto"/>
              <w:rPr>
                <w:sz w:val="21"/>
                <w:szCs w:val="21"/>
              </w:rPr>
            </w:pPr>
            <w:r>
              <w:rPr>
                <w:rFonts w:hint="eastAsia"/>
                <w:sz w:val="21"/>
                <w:szCs w:val="21"/>
              </w:rPr>
              <w:t>评标委员会评审结果</w:t>
            </w:r>
          </w:p>
        </w:tc>
        <w:tc>
          <w:tcPr>
            <w:tcW w:w="494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sz w:val="21"/>
                <w:szCs w:val="21"/>
              </w:rPr>
            </w:pPr>
            <w:r>
              <w:rPr>
                <w:rFonts w:hint="eastAsia"/>
                <w:sz w:val="21"/>
                <w:szCs w:val="21"/>
              </w:rPr>
              <w:t>投标人名称</w:t>
            </w:r>
          </w:p>
        </w:tc>
        <w:tc>
          <w:tcPr>
            <w:tcW w:w="1338" w:type="dxa"/>
            <w:tcBorders>
              <w:top w:val="single" w:color="auto" w:sz="4" w:space="0"/>
              <w:left w:val="single" w:color="auto" w:sz="4" w:space="0"/>
              <w:bottom w:val="single" w:color="auto" w:sz="4" w:space="0"/>
              <w:right w:val="single" w:color="auto" w:sz="4" w:space="0"/>
            </w:tcBorders>
            <w:vAlign w:val="center"/>
          </w:tcPr>
          <w:p>
            <w:pPr>
              <w:spacing w:line="360" w:lineRule="auto"/>
              <w:rPr>
                <w:sz w:val="21"/>
                <w:szCs w:val="21"/>
              </w:rPr>
            </w:pPr>
            <w:r>
              <w:rPr>
                <w:rFonts w:hint="eastAsia"/>
                <w:sz w:val="21"/>
                <w:szCs w:val="21"/>
              </w:rPr>
              <w:t>排名次序</w:t>
            </w:r>
          </w:p>
        </w:tc>
        <w:tc>
          <w:tcPr>
            <w:tcW w:w="2677" w:type="dxa"/>
            <w:tcBorders>
              <w:top w:val="single" w:color="auto" w:sz="4" w:space="0"/>
              <w:left w:val="single" w:color="auto" w:sz="4" w:space="0"/>
              <w:bottom w:val="single" w:color="auto" w:sz="4" w:space="0"/>
              <w:right w:val="single" w:color="auto" w:sz="12" w:space="0"/>
            </w:tcBorders>
            <w:vAlign w:val="center"/>
          </w:tcPr>
          <w:p>
            <w:pPr>
              <w:spacing w:line="360" w:lineRule="auto"/>
              <w:rPr>
                <w:sz w:val="21"/>
                <w:szCs w:val="21"/>
              </w:rPr>
            </w:pPr>
            <w:r>
              <w:rPr>
                <w:rFonts w:hint="eastAsia"/>
                <w:sz w:val="21"/>
                <w:szCs w:val="21"/>
              </w:rPr>
              <w:t>投标价格或评标得分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335" w:type="dxa"/>
            <w:vMerge w:val="continue"/>
            <w:tcBorders>
              <w:left w:val="single" w:color="auto" w:sz="12" w:space="0"/>
              <w:right w:val="single" w:color="auto" w:sz="4" w:space="0"/>
            </w:tcBorders>
            <w:vAlign w:val="center"/>
          </w:tcPr>
          <w:p>
            <w:pPr>
              <w:spacing w:line="360" w:lineRule="auto"/>
              <w:rPr>
                <w:sz w:val="21"/>
                <w:szCs w:val="21"/>
              </w:rPr>
            </w:pPr>
          </w:p>
        </w:tc>
        <w:tc>
          <w:tcPr>
            <w:tcW w:w="4947"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sz w:val="21"/>
                <w:szCs w:val="21"/>
              </w:rPr>
            </w:pPr>
          </w:p>
        </w:tc>
        <w:tc>
          <w:tcPr>
            <w:tcW w:w="1338" w:type="dxa"/>
            <w:tcBorders>
              <w:top w:val="single" w:color="auto" w:sz="4" w:space="0"/>
              <w:left w:val="single" w:color="auto" w:sz="4" w:space="0"/>
              <w:bottom w:val="single" w:color="auto" w:sz="4" w:space="0"/>
              <w:right w:val="single" w:color="auto" w:sz="4" w:space="0"/>
            </w:tcBorders>
            <w:vAlign w:val="bottom"/>
          </w:tcPr>
          <w:p>
            <w:pPr>
              <w:spacing w:line="360" w:lineRule="auto"/>
              <w:rPr>
                <w:sz w:val="21"/>
                <w:szCs w:val="21"/>
              </w:rPr>
            </w:pPr>
          </w:p>
        </w:tc>
        <w:tc>
          <w:tcPr>
            <w:tcW w:w="2677" w:type="dxa"/>
            <w:tcBorders>
              <w:top w:val="single" w:color="auto" w:sz="4" w:space="0"/>
              <w:left w:val="single" w:color="auto" w:sz="4" w:space="0"/>
              <w:bottom w:val="single" w:color="auto" w:sz="4" w:space="0"/>
              <w:right w:val="single" w:color="auto" w:sz="12" w:space="0"/>
            </w:tcBorders>
            <w:vAlign w:val="bottom"/>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335" w:type="dxa"/>
            <w:vMerge w:val="continue"/>
            <w:tcBorders>
              <w:left w:val="single" w:color="auto" w:sz="12" w:space="0"/>
              <w:right w:val="single" w:color="auto" w:sz="4" w:space="0"/>
            </w:tcBorders>
            <w:vAlign w:val="center"/>
          </w:tcPr>
          <w:p>
            <w:pPr>
              <w:spacing w:line="360" w:lineRule="auto"/>
              <w:rPr>
                <w:sz w:val="21"/>
                <w:szCs w:val="21"/>
              </w:rPr>
            </w:pPr>
          </w:p>
        </w:tc>
        <w:tc>
          <w:tcPr>
            <w:tcW w:w="4947"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sz w:val="21"/>
                <w:szCs w:val="21"/>
              </w:rPr>
            </w:pPr>
          </w:p>
        </w:tc>
        <w:tc>
          <w:tcPr>
            <w:tcW w:w="1338" w:type="dxa"/>
            <w:tcBorders>
              <w:top w:val="single" w:color="auto" w:sz="4" w:space="0"/>
              <w:left w:val="single" w:color="auto" w:sz="4" w:space="0"/>
              <w:bottom w:val="single" w:color="auto" w:sz="4" w:space="0"/>
              <w:right w:val="single" w:color="auto" w:sz="4" w:space="0"/>
            </w:tcBorders>
            <w:vAlign w:val="bottom"/>
          </w:tcPr>
          <w:p>
            <w:pPr>
              <w:spacing w:line="360" w:lineRule="auto"/>
              <w:rPr>
                <w:sz w:val="21"/>
                <w:szCs w:val="21"/>
              </w:rPr>
            </w:pPr>
          </w:p>
        </w:tc>
        <w:tc>
          <w:tcPr>
            <w:tcW w:w="2677" w:type="dxa"/>
            <w:tcBorders>
              <w:top w:val="single" w:color="auto" w:sz="4" w:space="0"/>
              <w:left w:val="single" w:color="auto" w:sz="4" w:space="0"/>
              <w:bottom w:val="single" w:color="auto" w:sz="4" w:space="0"/>
              <w:right w:val="single" w:color="auto" w:sz="12" w:space="0"/>
            </w:tcBorders>
            <w:vAlign w:val="bottom"/>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335" w:type="dxa"/>
            <w:vMerge w:val="continue"/>
            <w:tcBorders>
              <w:left w:val="single" w:color="auto" w:sz="12" w:space="0"/>
              <w:bottom w:val="nil"/>
              <w:right w:val="single" w:color="auto" w:sz="4" w:space="0"/>
            </w:tcBorders>
            <w:vAlign w:val="center"/>
          </w:tcPr>
          <w:p>
            <w:pPr>
              <w:spacing w:line="360" w:lineRule="auto"/>
              <w:rPr>
                <w:sz w:val="21"/>
                <w:szCs w:val="21"/>
              </w:rPr>
            </w:pPr>
          </w:p>
        </w:tc>
        <w:tc>
          <w:tcPr>
            <w:tcW w:w="4947"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sz w:val="21"/>
                <w:szCs w:val="21"/>
              </w:rPr>
            </w:pPr>
          </w:p>
        </w:tc>
        <w:tc>
          <w:tcPr>
            <w:tcW w:w="1338" w:type="dxa"/>
            <w:tcBorders>
              <w:top w:val="single" w:color="auto" w:sz="4" w:space="0"/>
              <w:left w:val="single" w:color="auto" w:sz="4" w:space="0"/>
              <w:bottom w:val="single" w:color="auto" w:sz="4" w:space="0"/>
              <w:right w:val="single" w:color="auto" w:sz="4" w:space="0"/>
            </w:tcBorders>
            <w:vAlign w:val="bottom"/>
          </w:tcPr>
          <w:p>
            <w:pPr>
              <w:spacing w:line="360" w:lineRule="auto"/>
              <w:rPr>
                <w:sz w:val="21"/>
                <w:szCs w:val="21"/>
              </w:rPr>
            </w:pPr>
          </w:p>
        </w:tc>
        <w:tc>
          <w:tcPr>
            <w:tcW w:w="2677" w:type="dxa"/>
            <w:tcBorders>
              <w:top w:val="single" w:color="auto" w:sz="4" w:space="0"/>
              <w:left w:val="single" w:color="auto" w:sz="4" w:space="0"/>
              <w:bottom w:val="single" w:color="auto" w:sz="4" w:space="0"/>
              <w:right w:val="single" w:color="auto" w:sz="12" w:space="0"/>
            </w:tcBorders>
            <w:vAlign w:val="bottom"/>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335" w:type="dxa"/>
            <w:tcBorders>
              <w:left w:val="single" w:color="auto" w:sz="12" w:space="0"/>
              <w:bottom w:val="nil"/>
              <w:right w:val="single" w:color="auto" w:sz="4" w:space="0"/>
            </w:tcBorders>
            <w:vAlign w:val="center"/>
          </w:tcPr>
          <w:p>
            <w:pPr>
              <w:spacing w:line="360" w:lineRule="auto"/>
              <w:rPr>
                <w:sz w:val="21"/>
                <w:szCs w:val="21"/>
              </w:rPr>
            </w:pPr>
          </w:p>
        </w:tc>
        <w:tc>
          <w:tcPr>
            <w:tcW w:w="4947"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sz w:val="21"/>
                <w:szCs w:val="21"/>
              </w:rPr>
            </w:pPr>
          </w:p>
        </w:tc>
        <w:tc>
          <w:tcPr>
            <w:tcW w:w="1338" w:type="dxa"/>
            <w:tcBorders>
              <w:top w:val="single" w:color="auto" w:sz="4" w:space="0"/>
              <w:left w:val="single" w:color="auto" w:sz="4" w:space="0"/>
              <w:bottom w:val="single" w:color="auto" w:sz="4" w:space="0"/>
              <w:right w:val="single" w:color="auto" w:sz="4" w:space="0"/>
            </w:tcBorders>
            <w:vAlign w:val="bottom"/>
          </w:tcPr>
          <w:p>
            <w:pPr>
              <w:spacing w:line="360" w:lineRule="auto"/>
              <w:rPr>
                <w:sz w:val="21"/>
                <w:szCs w:val="21"/>
              </w:rPr>
            </w:pPr>
          </w:p>
        </w:tc>
        <w:tc>
          <w:tcPr>
            <w:tcW w:w="2677" w:type="dxa"/>
            <w:tcBorders>
              <w:top w:val="single" w:color="auto" w:sz="4" w:space="0"/>
              <w:left w:val="single" w:color="auto" w:sz="4" w:space="0"/>
              <w:bottom w:val="single" w:color="auto" w:sz="4" w:space="0"/>
              <w:right w:val="single" w:color="auto" w:sz="12" w:space="0"/>
            </w:tcBorders>
            <w:vAlign w:val="bottom"/>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335" w:type="dxa"/>
            <w:tcBorders>
              <w:left w:val="single" w:color="auto" w:sz="12" w:space="0"/>
              <w:bottom w:val="nil"/>
              <w:right w:val="single" w:color="auto" w:sz="4" w:space="0"/>
            </w:tcBorders>
            <w:vAlign w:val="center"/>
          </w:tcPr>
          <w:p>
            <w:pPr>
              <w:spacing w:line="360" w:lineRule="auto"/>
              <w:rPr>
                <w:sz w:val="21"/>
                <w:szCs w:val="21"/>
              </w:rPr>
            </w:pPr>
          </w:p>
        </w:tc>
        <w:tc>
          <w:tcPr>
            <w:tcW w:w="4947"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sz w:val="21"/>
                <w:szCs w:val="21"/>
              </w:rPr>
            </w:pPr>
          </w:p>
        </w:tc>
        <w:tc>
          <w:tcPr>
            <w:tcW w:w="1338" w:type="dxa"/>
            <w:tcBorders>
              <w:top w:val="single" w:color="auto" w:sz="4" w:space="0"/>
              <w:left w:val="single" w:color="auto" w:sz="4" w:space="0"/>
              <w:bottom w:val="single" w:color="auto" w:sz="4" w:space="0"/>
              <w:right w:val="single" w:color="auto" w:sz="4" w:space="0"/>
            </w:tcBorders>
            <w:vAlign w:val="bottom"/>
          </w:tcPr>
          <w:p>
            <w:pPr>
              <w:spacing w:line="360" w:lineRule="auto"/>
              <w:rPr>
                <w:sz w:val="21"/>
                <w:szCs w:val="21"/>
              </w:rPr>
            </w:pPr>
          </w:p>
        </w:tc>
        <w:tc>
          <w:tcPr>
            <w:tcW w:w="2677" w:type="dxa"/>
            <w:tcBorders>
              <w:top w:val="single" w:color="auto" w:sz="4" w:space="0"/>
              <w:left w:val="single" w:color="auto" w:sz="4" w:space="0"/>
              <w:bottom w:val="single" w:color="auto" w:sz="4" w:space="0"/>
              <w:right w:val="single" w:color="auto" w:sz="12" w:space="0"/>
            </w:tcBorders>
            <w:vAlign w:val="bottom"/>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335" w:type="dxa"/>
            <w:vMerge w:val="restart"/>
            <w:tcBorders>
              <w:top w:val="single" w:color="auto" w:sz="4" w:space="0"/>
              <w:left w:val="single" w:color="auto" w:sz="12" w:space="0"/>
              <w:bottom w:val="single" w:color="auto" w:sz="4" w:space="0"/>
              <w:right w:val="single" w:color="auto" w:sz="4" w:space="0"/>
            </w:tcBorders>
            <w:vAlign w:val="center"/>
          </w:tcPr>
          <w:p>
            <w:pPr>
              <w:spacing w:line="360" w:lineRule="auto"/>
              <w:rPr>
                <w:sz w:val="21"/>
                <w:szCs w:val="21"/>
              </w:rPr>
            </w:pPr>
            <w:r>
              <w:rPr>
                <w:rFonts w:hint="eastAsia"/>
                <w:sz w:val="21"/>
                <w:szCs w:val="21"/>
              </w:rPr>
              <w:t>评标委员推荐的预成交候选人</w:t>
            </w:r>
          </w:p>
        </w:tc>
        <w:tc>
          <w:tcPr>
            <w:tcW w:w="1183" w:type="dxa"/>
            <w:tcBorders>
              <w:top w:val="single" w:color="auto" w:sz="4" w:space="0"/>
              <w:left w:val="single" w:color="auto" w:sz="4" w:space="0"/>
              <w:bottom w:val="single" w:color="auto" w:sz="4" w:space="0"/>
              <w:right w:val="single" w:color="auto" w:sz="4" w:space="0"/>
            </w:tcBorders>
          </w:tcPr>
          <w:p>
            <w:pPr>
              <w:spacing w:line="360" w:lineRule="auto"/>
              <w:ind w:left="0" w:firstLine="0"/>
              <w:jc w:val="both"/>
              <w:rPr>
                <w:sz w:val="21"/>
                <w:szCs w:val="21"/>
              </w:rPr>
            </w:pPr>
            <w:r>
              <w:rPr>
                <w:rFonts w:hint="eastAsia"/>
                <w:sz w:val="21"/>
                <w:szCs w:val="21"/>
              </w:rPr>
              <w:t>排名次序</w:t>
            </w:r>
          </w:p>
        </w:tc>
        <w:tc>
          <w:tcPr>
            <w:tcW w:w="7779" w:type="dxa"/>
            <w:gridSpan w:val="4"/>
            <w:tcBorders>
              <w:top w:val="single" w:color="auto" w:sz="4" w:space="0"/>
              <w:left w:val="single" w:color="auto" w:sz="4" w:space="0"/>
              <w:bottom w:val="single" w:color="auto" w:sz="4" w:space="0"/>
              <w:right w:val="single" w:color="auto" w:sz="12" w:space="0"/>
            </w:tcBorders>
          </w:tcPr>
          <w:p>
            <w:pPr>
              <w:spacing w:line="360" w:lineRule="auto"/>
              <w:jc w:val="center"/>
              <w:rPr>
                <w:sz w:val="21"/>
                <w:szCs w:val="21"/>
              </w:rPr>
            </w:pPr>
            <w:r>
              <w:rPr>
                <w:rFonts w:hint="eastAsia"/>
                <w:sz w:val="21"/>
                <w:szCs w:val="21"/>
              </w:rPr>
              <w:t>中标候选人名称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335" w:type="dxa"/>
            <w:vMerge w:val="continue"/>
            <w:tcBorders>
              <w:top w:val="single" w:color="auto" w:sz="4" w:space="0"/>
              <w:left w:val="single" w:color="auto" w:sz="12" w:space="0"/>
              <w:bottom w:val="single" w:color="auto" w:sz="4" w:space="0"/>
              <w:right w:val="single" w:color="auto" w:sz="4" w:space="0"/>
            </w:tcBorders>
            <w:vAlign w:val="center"/>
          </w:tcPr>
          <w:p>
            <w:pPr>
              <w:spacing w:line="360" w:lineRule="auto"/>
              <w:rPr>
                <w:sz w:val="21"/>
                <w:szCs w:val="21"/>
              </w:rPr>
            </w:pPr>
          </w:p>
        </w:tc>
        <w:tc>
          <w:tcPr>
            <w:tcW w:w="1183"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sz w:val="21"/>
                <w:szCs w:val="21"/>
              </w:rPr>
            </w:pPr>
            <w:r>
              <w:rPr>
                <w:rFonts w:hint="eastAsia"/>
                <w:sz w:val="21"/>
                <w:szCs w:val="21"/>
              </w:rPr>
              <w:t>1</w:t>
            </w:r>
          </w:p>
        </w:tc>
        <w:tc>
          <w:tcPr>
            <w:tcW w:w="7779" w:type="dxa"/>
            <w:gridSpan w:val="4"/>
            <w:tcBorders>
              <w:top w:val="single" w:color="auto" w:sz="4" w:space="0"/>
              <w:left w:val="single" w:color="auto" w:sz="4" w:space="0"/>
              <w:bottom w:val="single" w:color="auto" w:sz="4" w:space="0"/>
              <w:right w:val="single" w:color="auto" w:sz="12" w:space="0"/>
            </w:tcBorders>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335" w:type="dxa"/>
            <w:vMerge w:val="continue"/>
            <w:tcBorders>
              <w:top w:val="single" w:color="auto" w:sz="4" w:space="0"/>
              <w:left w:val="single" w:color="auto" w:sz="12" w:space="0"/>
              <w:bottom w:val="single" w:color="auto" w:sz="4" w:space="0"/>
              <w:right w:val="single" w:color="auto" w:sz="4" w:space="0"/>
            </w:tcBorders>
            <w:vAlign w:val="center"/>
          </w:tcPr>
          <w:p>
            <w:pPr>
              <w:spacing w:line="360" w:lineRule="auto"/>
              <w:rPr>
                <w:sz w:val="21"/>
                <w:szCs w:val="21"/>
              </w:rPr>
            </w:pPr>
          </w:p>
        </w:tc>
        <w:tc>
          <w:tcPr>
            <w:tcW w:w="1183"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sz w:val="21"/>
                <w:szCs w:val="21"/>
              </w:rPr>
            </w:pPr>
            <w:r>
              <w:rPr>
                <w:rFonts w:hint="eastAsia"/>
                <w:sz w:val="21"/>
                <w:szCs w:val="21"/>
              </w:rPr>
              <w:t>2</w:t>
            </w:r>
          </w:p>
        </w:tc>
        <w:tc>
          <w:tcPr>
            <w:tcW w:w="7779" w:type="dxa"/>
            <w:gridSpan w:val="4"/>
            <w:tcBorders>
              <w:top w:val="single" w:color="auto" w:sz="4" w:space="0"/>
              <w:left w:val="single" w:color="auto" w:sz="4" w:space="0"/>
              <w:bottom w:val="single" w:color="auto" w:sz="4" w:space="0"/>
              <w:right w:val="single" w:color="auto" w:sz="12" w:space="0"/>
            </w:tcBorders>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335" w:type="dxa"/>
            <w:vMerge w:val="continue"/>
            <w:tcBorders>
              <w:top w:val="single" w:color="auto" w:sz="4" w:space="0"/>
              <w:left w:val="single" w:color="auto" w:sz="12" w:space="0"/>
              <w:bottom w:val="single" w:color="auto" w:sz="4" w:space="0"/>
              <w:right w:val="single" w:color="auto" w:sz="4" w:space="0"/>
            </w:tcBorders>
            <w:vAlign w:val="center"/>
          </w:tcPr>
          <w:p>
            <w:pPr>
              <w:spacing w:line="360" w:lineRule="auto"/>
              <w:rPr>
                <w:sz w:val="21"/>
                <w:szCs w:val="21"/>
              </w:rPr>
            </w:pPr>
          </w:p>
        </w:tc>
        <w:tc>
          <w:tcPr>
            <w:tcW w:w="1183"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sz w:val="21"/>
                <w:szCs w:val="21"/>
              </w:rPr>
            </w:pPr>
            <w:r>
              <w:rPr>
                <w:rFonts w:hint="eastAsia"/>
                <w:sz w:val="21"/>
                <w:szCs w:val="21"/>
              </w:rPr>
              <w:t>3</w:t>
            </w:r>
          </w:p>
        </w:tc>
        <w:tc>
          <w:tcPr>
            <w:tcW w:w="7779" w:type="dxa"/>
            <w:gridSpan w:val="4"/>
            <w:tcBorders>
              <w:top w:val="single" w:color="auto" w:sz="4" w:space="0"/>
              <w:left w:val="single" w:color="auto" w:sz="4" w:space="0"/>
              <w:bottom w:val="single" w:color="auto" w:sz="4" w:space="0"/>
              <w:right w:val="single" w:color="auto" w:sz="12" w:space="0"/>
            </w:tcBorders>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8" w:hRule="atLeast"/>
        </w:trPr>
        <w:tc>
          <w:tcPr>
            <w:tcW w:w="1335" w:type="dxa"/>
            <w:tcBorders>
              <w:top w:val="single" w:color="auto" w:sz="4" w:space="0"/>
              <w:left w:val="single" w:color="auto" w:sz="12" w:space="0"/>
              <w:bottom w:val="single" w:color="auto" w:sz="4" w:space="0"/>
              <w:right w:val="single" w:color="auto" w:sz="4" w:space="0"/>
            </w:tcBorders>
            <w:vAlign w:val="center"/>
          </w:tcPr>
          <w:p>
            <w:pPr>
              <w:spacing w:line="360" w:lineRule="auto"/>
              <w:rPr>
                <w:sz w:val="21"/>
                <w:szCs w:val="21"/>
              </w:rPr>
            </w:pPr>
            <w:r>
              <w:rPr>
                <w:rFonts w:hint="eastAsia"/>
                <w:sz w:val="21"/>
                <w:szCs w:val="21"/>
              </w:rPr>
              <w:t>评标委员会全体成员签字</w:t>
            </w:r>
          </w:p>
        </w:tc>
        <w:tc>
          <w:tcPr>
            <w:tcW w:w="8962" w:type="dxa"/>
            <w:gridSpan w:val="5"/>
            <w:tcBorders>
              <w:top w:val="single" w:color="auto" w:sz="4" w:space="0"/>
              <w:left w:val="single" w:color="auto" w:sz="4" w:space="0"/>
              <w:bottom w:val="single" w:color="auto" w:sz="4" w:space="0"/>
              <w:right w:val="single" w:color="auto" w:sz="12" w:space="0"/>
            </w:tcBorders>
          </w:tcPr>
          <w:p>
            <w:pPr>
              <w:spacing w:line="360" w:lineRule="auto"/>
              <w:rPr>
                <w:sz w:val="21"/>
                <w:szCs w:val="21"/>
              </w:rPr>
            </w:pPr>
            <w:r>
              <w:rPr>
                <w:rFonts w:hint="eastAsia"/>
                <w:sz w:val="21"/>
                <w:szCs w:val="21"/>
              </w:rPr>
              <w:t>兹确认上述评标结果属实，有关评审记录见附件：</w:t>
            </w:r>
          </w:p>
          <w:p>
            <w:pPr>
              <w:pStyle w:val="2"/>
              <w:spacing w:line="360" w:lineRule="auto"/>
              <w:ind w:left="0" w:leftChars="0" w:firstLine="0" w:firstLineChars="0"/>
            </w:pPr>
          </w:p>
          <w:p>
            <w:pPr>
              <w:spacing w:line="360" w:lineRule="auto"/>
              <w:rPr>
                <w:sz w:val="21"/>
                <w:szCs w:val="21"/>
              </w:rPr>
            </w:pPr>
            <w:r>
              <w:rPr>
                <w:rFonts w:hint="eastAsia"/>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0" w:hRule="atLeast"/>
        </w:trPr>
        <w:tc>
          <w:tcPr>
            <w:tcW w:w="1335" w:type="dxa"/>
            <w:tcBorders>
              <w:top w:val="single" w:color="auto" w:sz="4" w:space="0"/>
              <w:left w:val="single" w:color="auto" w:sz="12" w:space="0"/>
              <w:bottom w:val="single" w:color="auto" w:sz="4" w:space="0"/>
              <w:right w:val="single" w:color="auto" w:sz="4" w:space="0"/>
            </w:tcBorders>
            <w:vAlign w:val="center"/>
          </w:tcPr>
          <w:p>
            <w:pPr>
              <w:spacing w:line="360" w:lineRule="auto"/>
              <w:rPr>
                <w:sz w:val="21"/>
                <w:szCs w:val="21"/>
              </w:rPr>
            </w:pPr>
            <w:r>
              <w:rPr>
                <w:rFonts w:hint="eastAsia"/>
                <w:sz w:val="21"/>
                <w:szCs w:val="21"/>
              </w:rPr>
              <w:t>招标人</w:t>
            </w:r>
          </w:p>
          <w:p>
            <w:pPr>
              <w:spacing w:line="360" w:lineRule="auto"/>
              <w:rPr>
                <w:sz w:val="21"/>
                <w:szCs w:val="21"/>
              </w:rPr>
            </w:pPr>
            <w:r>
              <w:rPr>
                <w:rFonts w:hint="eastAsia"/>
                <w:sz w:val="21"/>
                <w:szCs w:val="21"/>
              </w:rPr>
              <w:t>定标意见</w:t>
            </w:r>
          </w:p>
        </w:tc>
        <w:tc>
          <w:tcPr>
            <w:tcW w:w="8962" w:type="dxa"/>
            <w:gridSpan w:val="5"/>
            <w:tcBorders>
              <w:top w:val="single" w:color="auto" w:sz="4" w:space="0"/>
              <w:left w:val="single" w:color="auto" w:sz="4" w:space="0"/>
              <w:bottom w:val="single" w:color="auto" w:sz="4" w:space="0"/>
              <w:right w:val="single" w:color="auto" w:sz="12" w:space="0"/>
            </w:tcBorders>
          </w:tcPr>
          <w:p>
            <w:pPr>
              <w:spacing w:line="360" w:lineRule="auto"/>
            </w:pPr>
            <w:r>
              <w:rPr>
                <w:rFonts w:hint="eastAsia"/>
                <w:sz w:val="21"/>
                <w:szCs w:val="21"/>
              </w:rPr>
              <w:t>根据评标委员会提出的书面评标报告和推荐的中标候选人情况，以及招标文件中规定的定标原则和方法，兹确定：</w:t>
            </w:r>
          </w:p>
          <w:p>
            <w:pPr>
              <w:spacing w:line="360" w:lineRule="auto"/>
              <w:ind w:firstLine="0"/>
              <w:rPr>
                <w:sz w:val="21"/>
                <w:szCs w:val="21"/>
              </w:rPr>
            </w:pPr>
            <w:r>
              <w:rPr>
                <w:rFonts w:hint="eastAsia"/>
                <w:sz w:val="21"/>
                <w:szCs w:val="21"/>
              </w:rPr>
              <w:t>为中标人。</w:t>
            </w:r>
          </w:p>
          <w:p>
            <w:pPr>
              <w:spacing w:line="360" w:lineRule="auto"/>
              <w:rPr>
                <w:sz w:val="21"/>
                <w:szCs w:val="21"/>
              </w:rPr>
            </w:pPr>
            <w:r>
              <w:rPr>
                <w:rFonts w:hint="eastAsia"/>
                <w:sz w:val="21"/>
                <w:szCs w:val="21"/>
              </w:rPr>
              <w:t>招标人：（盖章）            法定代表人：（签字或盖章）</w:t>
            </w:r>
          </w:p>
          <w:p>
            <w:pPr>
              <w:spacing w:line="360" w:lineRule="auto"/>
              <w:rPr>
                <w:sz w:val="21"/>
                <w:szCs w:val="21"/>
              </w:rPr>
            </w:pPr>
            <w:r>
              <w:rPr>
                <w:rFonts w:hint="eastAsia"/>
                <w:sz w:val="21"/>
                <w:szCs w:val="21"/>
              </w:rPr>
              <w:t xml:space="preserve">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335" w:type="dxa"/>
            <w:tcBorders>
              <w:top w:val="single" w:color="auto" w:sz="4" w:space="0"/>
              <w:left w:val="single" w:color="auto" w:sz="12" w:space="0"/>
              <w:bottom w:val="single" w:color="auto" w:sz="4" w:space="0"/>
              <w:right w:val="single" w:color="auto" w:sz="4" w:space="0"/>
            </w:tcBorders>
            <w:vAlign w:val="center"/>
          </w:tcPr>
          <w:p>
            <w:pPr>
              <w:spacing w:line="360" w:lineRule="auto"/>
              <w:rPr>
                <w:sz w:val="21"/>
                <w:szCs w:val="21"/>
              </w:rPr>
            </w:pPr>
            <w:r>
              <w:rPr>
                <w:rFonts w:hint="eastAsia"/>
                <w:sz w:val="21"/>
                <w:szCs w:val="21"/>
              </w:rPr>
              <w:t>备  注</w:t>
            </w:r>
          </w:p>
        </w:tc>
        <w:tc>
          <w:tcPr>
            <w:tcW w:w="8962" w:type="dxa"/>
            <w:gridSpan w:val="5"/>
            <w:tcBorders>
              <w:top w:val="single" w:color="auto" w:sz="4" w:space="0"/>
              <w:left w:val="single" w:color="auto" w:sz="4" w:space="0"/>
              <w:bottom w:val="single" w:color="auto" w:sz="4" w:space="0"/>
              <w:right w:val="single" w:color="auto" w:sz="12" w:space="0"/>
            </w:tcBorders>
          </w:tcPr>
          <w:p>
            <w:pPr>
              <w:spacing w:line="360" w:lineRule="auto"/>
              <w:rPr>
                <w:sz w:val="21"/>
                <w:szCs w:val="21"/>
              </w:rPr>
            </w:pPr>
            <w:r>
              <w:rPr>
                <w:rFonts w:hint="eastAsia"/>
                <w:sz w:val="21"/>
                <w:szCs w:val="21"/>
              </w:rPr>
              <w:t>本表为书面报告首页，其他内容作为附件，附件包括：</w:t>
            </w:r>
          </w:p>
          <w:p>
            <w:pPr>
              <w:spacing w:line="360" w:lineRule="auto"/>
              <w:rPr>
                <w:sz w:val="21"/>
                <w:szCs w:val="21"/>
              </w:rPr>
            </w:pPr>
            <w:r>
              <w:rPr>
                <w:rFonts w:hint="eastAsia"/>
                <w:sz w:val="21"/>
                <w:szCs w:val="21"/>
              </w:rPr>
              <w:t>1、 招标投标的基本情况，包括招标范围、招标方式、资格审查情况、开标和评标过程、确定中标人的方式和理由；</w:t>
            </w:r>
          </w:p>
          <w:p>
            <w:pPr>
              <w:spacing w:line="360" w:lineRule="auto"/>
              <w:rPr>
                <w:sz w:val="21"/>
                <w:szCs w:val="21"/>
              </w:rPr>
            </w:pPr>
            <w:r>
              <w:rPr>
                <w:rFonts w:hint="eastAsia"/>
                <w:sz w:val="21"/>
                <w:szCs w:val="21"/>
              </w:rPr>
              <w:t>2、 相关的文件材料，包括招标公告或投标邀请书、投标报名表、资格预审文件和资格预审结果、招标文件、评标报告、中标结果及中标人投标文件、中标通知书、委托招标代理合同。</w:t>
            </w:r>
          </w:p>
          <w:p>
            <w:pPr>
              <w:spacing w:line="360" w:lineRule="auto"/>
              <w:rPr>
                <w:sz w:val="21"/>
                <w:szCs w:val="21"/>
              </w:rPr>
            </w:pPr>
            <w:r>
              <w:rPr>
                <w:rFonts w:hint="eastAsia"/>
                <w:sz w:val="21"/>
                <w:szCs w:val="21"/>
              </w:rPr>
              <w:t>上述文件已备案的不再提交。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1335" w:type="dxa"/>
            <w:tcBorders>
              <w:top w:val="single" w:color="auto" w:sz="4" w:space="0"/>
              <w:left w:val="single" w:color="auto" w:sz="12" w:space="0"/>
              <w:bottom w:val="single" w:color="auto" w:sz="12" w:space="0"/>
              <w:right w:val="single" w:color="auto" w:sz="4" w:space="0"/>
            </w:tcBorders>
            <w:vAlign w:val="center"/>
          </w:tcPr>
          <w:p>
            <w:pPr>
              <w:spacing w:line="360" w:lineRule="auto"/>
              <w:jc w:val="center"/>
              <w:rPr>
                <w:sz w:val="21"/>
                <w:szCs w:val="21"/>
              </w:rPr>
            </w:pPr>
            <w:r>
              <w:rPr>
                <w:rFonts w:hint="eastAsia"/>
                <w:sz w:val="21"/>
                <w:szCs w:val="21"/>
              </w:rPr>
              <w:t>申办人</w:t>
            </w:r>
          </w:p>
        </w:tc>
        <w:tc>
          <w:tcPr>
            <w:tcW w:w="3516" w:type="dxa"/>
            <w:gridSpan w:val="2"/>
            <w:tcBorders>
              <w:top w:val="single" w:color="auto" w:sz="4" w:space="0"/>
              <w:left w:val="single" w:color="auto" w:sz="4" w:space="0"/>
              <w:bottom w:val="single" w:color="auto" w:sz="12" w:space="0"/>
              <w:right w:val="single" w:color="auto" w:sz="4" w:space="0"/>
            </w:tcBorders>
            <w:vAlign w:val="center"/>
          </w:tcPr>
          <w:p>
            <w:pPr>
              <w:spacing w:line="360" w:lineRule="auto"/>
              <w:rPr>
                <w:sz w:val="21"/>
                <w:szCs w:val="21"/>
              </w:rPr>
            </w:pPr>
            <w:r>
              <w:rPr>
                <w:rFonts w:hint="eastAsia"/>
                <w:sz w:val="21"/>
                <w:szCs w:val="21"/>
              </w:rPr>
              <w:t>（签字）</w:t>
            </w:r>
          </w:p>
        </w:tc>
        <w:tc>
          <w:tcPr>
            <w:tcW w:w="1431" w:type="dxa"/>
            <w:tcBorders>
              <w:top w:val="single" w:color="auto" w:sz="4" w:space="0"/>
              <w:left w:val="single" w:color="auto" w:sz="4" w:space="0"/>
              <w:bottom w:val="single" w:color="auto" w:sz="12" w:space="0"/>
              <w:right w:val="single" w:color="auto" w:sz="4" w:space="0"/>
            </w:tcBorders>
          </w:tcPr>
          <w:p>
            <w:pPr>
              <w:spacing w:line="360" w:lineRule="auto"/>
              <w:ind w:left="2"/>
              <w:jc w:val="center"/>
              <w:rPr>
                <w:sz w:val="21"/>
                <w:szCs w:val="21"/>
              </w:rPr>
            </w:pPr>
          </w:p>
        </w:tc>
        <w:tc>
          <w:tcPr>
            <w:tcW w:w="1338" w:type="dxa"/>
            <w:tcBorders>
              <w:top w:val="single" w:color="auto" w:sz="4" w:space="0"/>
              <w:left w:val="single" w:color="auto" w:sz="4" w:space="0"/>
              <w:bottom w:val="single" w:color="auto" w:sz="12" w:space="0"/>
              <w:right w:val="single" w:color="auto" w:sz="4" w:space="0"/>
            </w:tcBorders>
            <w:vAlign w:val="center"/>
          </w:tcPr>
          <w:p>
            <w:pPr>
              <w:spacing w:line="360" w:lineRule="auto"/>
              <w:ind w:left="2"/>
              <w:jc w:val="center"/>
              <w:rPr>
                <w:sz w:val="21"/>
                <w:szCs w:val="21"/>
              </w:rPr>
            </w:pPr>
            <w:r>
              <w:rPr>
                <w:rFonts w:hint="eastAsia"/>
                <w:sz w:val="21"/>
                <w:szCs w:val="21"/>
              </w:rPr>
              <w:t>联系电话</w:t>
            </w:r>
          </w:p>
        </w:tc>
        <w:tc>
          <w:tcPr>
            <w:tcW w:w="2677" w:type="dxa"/>
            <w:tcBorders>
              <w:top w:val="single" w:color="auto" w:sz="4" w:space="0"/>
              <w:left w:val="single" w:color="auto" w:sz="4" w:space="0"/>
              <w:bottom w:val="single" w:color="auto" w:sz="12" w:space="0"/>
              <w:right w:val="single" w:color="auto" w:sz="12" w:space="0"/>
            </w:tcBorders>
            <w:vAlign w:val="center"/>
          </w:tcPr>
          <w:p>
            <w:pPr>
              <w:spacing w:line="360" w:lineRule="auto"/>
              <w:ind w:left="2"/>
              <w:jc w:val="center"/>
              <w:rPr>
                <w:sz w:val="21"/>
                <w:szCs w:val="21"/>
              </w:rPr>
            </w:pPr>
          </w:p>
        </w:tc>
      </w:tr>
    </w:tbl>
    <w:p>
      <w:pPr>
        <w:spacing w:line="360" w:lineRule="auto"/>
        <w:ind w:left="0" w:firstLine="420" w:firstLineChars="200"/>
        <w:rPr>
          <w:sz w:val="21"/>
          <w:szCs w:val="21"/>
        </w:rPr>
        <w:sectPr>
          <w:pgSz w:w="11906" w:h="16838"/>
          <w:pgMar w:top="720" w:right="720" w:bottom="720" w:left="720" w:header="708" w:footer="708" w:gutter="0"/>
          <w:cols w:space="708" w:num="1"/>
          <w:docGrid w:linePitch="360" w:charSpace="0"/>
        </w:sectPr>
      </w:pPr>
      <w:r>
        <w:rPr>
          <w:rFonts w:hint="eastAsia"/>
          <w:sz w:val="21"/>
          <w:szCs w:val="21"/>
        </w:rPr>
        <w:t>说明：本表一式两份，招标办一份，招标人一份。</w:t>
      </w:r>
    </w:p>
    <w:p>
      <w:pPr>
        <w:pStyle w:val="4"/>
        <w:spacing w:line="360" w:lineRule="auto"/>
        <w:jc w:val="left"/>
        <w:rPr>
          <w:rFonts w:ascii="宋体" w:hAnsi="宋体" w:eastAsia="宋体"/>
        </w:rPr>
      </w:pPr>
      <w:bookmarkStart w:id="253" w:name="_Toc79057541"/>
      <w:bookmarkStart w:id="254" w:name="_Toc77206876"/>
      <w:bookmarkStart w:id="255" w:name="_Toc86825529"/>
      <w:bookmarkStart w:id="256" w:name="_Toc3641"/>
      <w:r>
        <w:rPr>
          <w:rFonts w:hint="eastAsia" w:ascii="宋体" w:hAnsi="宋体" w:eastAsia="宋体"/>
          <w:bCs/>
          <w:sz w:val="24"/>
          <w:szCs w:val="24"/>
        </w:rPr>
        <w:t>附表十：</w:t>
      </w:r>
      <w:r>
        <w:rPr>
          <w:rFonts w:hint="eastAsia" w:ascii="宋体" w:hAnsi="宋体" w:eastAsia="宋体"/>
          <w:sz w:val="24"/>
          <w:szCs w:val="24"/>
        </w:rPr>
        <w:t>评审意见表</w:t>
      </w:r>
      <w:bookmarkEnd w:id="253"/>
      <w:bookmarkEnd w:id="254"/>
      <w:bookmarkEnd w:id="255"/>
    </w:p>
    <w:p>
      <w:pPr>
        <w:spacing w:line="360" w:lineRule="auto"/>
        <w:ind w:left="0" w:firstLine="0"/>
      </w:pPr>
    </w:p>
    <w:p>
      <w:pPr>
        <w:spacing w:line="360" w:lineRule="auto"/>
        <w:ind w:left="0" w:firstLine="0"/>
        <w:jc w:val="center"/>
      </w:pPr>
      <w:r>
        <w:rPr>
          <w:rFonts w:hint="eastAsia"/>
        </w:rPr>
        <w:t>评审意见表</w:t>
      </w:r>
      <w:bookmarkEnd w:id="256"/>
    </w:p>
    <w:p>
      <w:pPr>
        <w:spacing w:line="360" w:lineRule="auto"/>
        <w:ind w:left="0" w:firstLine="0"/>
      </w:pPr>
      <w:r>
        <w:rPr>
          <w:rFonts w:hint="eastAsia"/>
          <w:szCs w:val="24"/>
        </w:rPr>
        <w:t>　　项目名称：</w:t>
      </w:r>
      <w:r>
        <w:rPr>
          <w:rFonts w:hint="eastAsia"/>
        </w:rPr>
        <w:t>北京市房山区人民防空办公室加州水郡西区、中冶蓝城</w:t>
      </w:r>
    </w:p>
    <w:p>
      <w:pPr>
        <w:spacing w:line="360" w:lineRule="auto"/>
        <w:ind w:left="0" w:firstLine="0"/>
        <w:rPr>
          <w:szCs w:val="24"/>
        </w:rPr>
      </w:pPr>
      <w:r>
        <w:rPr>
          <w:rFonts w:hint="eastAsia"/>
        </w:rPr>
        <w:t>　　　　　　　地下人防工程维修工程</w:t>
      </w:r>
    </w:p>
    <w:tbl>
      <w:tblPr>
        <w:tblStyle w:val="36"/>
        <w:tblW w:w="897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9357" w:hRule="atLeast"/>
          <w:jc w:val="center"/>
        </w:trPr>
        <w:tc>
          <w:tcPr>
            <w:tcW w:w="8971" w:type="dxa"/>
            <w:tcBorders>
              <w:bottom w:val="single" w:color="auto" w:sz="4" w:space="0"/>
            </w:tcBorders>
          </w:tcPr>
          <w:p>
            <w:pPr>
              <w:spacing w:line="360" w:lineRule="auto"/>
              <w:rPr>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543" w:hRule="atLeast"/>
          <w:jc w:val="center"/>
        </w:trPr>
        <w:tc>
          <w:tcPr>
            <w:tcW w:w="8971" w:type="dxa"/>
            <w:tcBorders>
              <w:top w:val="single" w:color="auto" w:sz="4" w:space="0"/>
            </w:tcBorders>
          </w:tcPr>
          <w:p>
            <w:pPr>
              <w:spacing w:line="360" w:lineRule="auto"/>
              <w:rPr>
                <w:szCs w:val="24"/>
              </w:rPr>
            </w:pPr>
            <w:r>
              <w:rPr>
                <w:rFonts w:hint="eastAsia"/>
                <w:szCs w:val="24"/>
              </w:rPr>
              <w:t>评标委员会成员签名：</w:t>
            </w:r>
          </w:p>
        </w:tc>
      </w:tr>
    </w:tbl>
    <w:p>
      <w:pPr>
        <w:spacing w:line="360" w:lineRule="auto"/>
        <w:ind w:left="0" w:firstLine="420" w:firstLineChars="200"/>
        <w:rPr>
          <w:sz w:val="21"/>
          <w:szCs w:val="21"/>
        </w:rPr>
      </w:pPr>
      <w:r>
        <w:rPr>
          <w:rFonts w:hint="eastAsia"/>
          <w:sz w:val="21"/>
          <w:szCs w:val="21"/>
        </w:rPr>
        <w:t>备注：招投标情况书面报告备案表（续1）、评标委员会成员评标打分复核意见书（续2）均为本表组成部分。</w:t>
      </w:r>
    </w:p>
    <w:p>
      <w:pPr>
        <w:spacing w:line="360" w:lineRule="auto"/>
        <w:ind w:left="0" w:firstLine="0"/>
      </w:pPr>
    </w:p>
    <w:p>
      <w:pPr>
        <w:pStyle w:val="4"/>
        <w:spacing w:before="120" w:beforeLines="50" w:after="120" w:afterLines="50" w:line="360" w:lineRule="auto"/>
        <w:jc w:val="left"/>
        <w:rPr>
          <w:rFonts w:ascii="宋体" w:hAnsi="宋体" w:eastAsia="宋体"/>
          <w:bCs/>
          <w:sz w:val="24"/>
          <w:szCs w:val="24"/>
        </w:rPr>
      </w:pPr>
      <w:bookmarkStart w:id="257" w:name="_Toc403059482"/>
      <w:bookmarkStart w:id="258" w:name="_Toc403052539"/>
      <w:bookmarkStart w:id="259" w:name="_Toc79057542"/>
      <w:bookmarkStart w:id="260" w:name="_Toc86825530"/>
      <w:bookmarkStart w:id="261" w:name="_Toc77206877"/>
      <w:r>
        <w:rPr>
          <w:rFonts w:hint="eastAsia" w:ascii="宋体" w:hAnsi="宋体" w:eastAsia="宋体"/>
          <w:bCs/>
          <w:sz w:val="24"/>
          <w:szCs w:val="24"/>
        </w:rPr>
        <w:t>附表十一：</w:t>
      </w:r>
      <w:bookmarkStart w:id="262" w:name="_Toc342296218"/>
      <w:bookmarkStart w:id="263" w:name="_Toc241459634"/>
      <w:bookmarkStart w:id="264" w:name="_Toc152045584"/>
      <w:bookmarkStart w:id="265" w:name="_Toc362252702"/>
      <w:bookmarkStart w:id="266" w:name="_Toc263259624"/>
      <w:bookmarkStart w:id="267" w:name="_Toc333600739"/>
      <w:bookmarkStart w:id="268" w:name="_Toc144974551"/>
      <w:bookmarkStart w:id="269" w:name="_Toc342296217"/>
      <w:bookmarkStart w:id="270" w:name="_Toc263259172"/>
      <w:bookmarkStart w:id="271" w:name="_Toc152042361"/>
      <w:bookmarkStart w:id="272" w:name="_Toc179632602"/>
      <w:r>
        <w:rPr>
          <w:rFonts w:hint="eastAsia" w:ascii="宋体" w:hAnsi="宋体" w:eastAsia="宋体"/>
          <w:bCs/>
          <w:sz w:val="24"/>
          <w:szCs w:val="24"/>
        </w:rPr>
        <w:t>中标通知书</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pPr>
        <w:spacing w:line="360" w:lineRule="auto"/>
        <w:jc w:val="center"/>
        <w:rPr>
          <w:sz w:val="28"/>
          <w:szCs w:val="28"/>
        </w:rPr>
      </w:pPr>
      <w:r>
        <w:rPr>
          <w:rFonts w:hint="eastAsia"/>
          <w:sz w:val="28"/>
          <w:szCs w:val="28"/>
        </w:rPr>
        <w:t>中标通知书</w:t>
      </w:r>
    </w:p>
    <w:p>
      <w:pPr>
        <w:spacing w:line="360" w:lineRule="auto"/>
        <w:jc w:val="center"/>
        <w:rPr>
          <w:b/>
          <w:sz w:val="10"/>
          <w:szCs w:val="10"/>
        </w:rPr>
      </w:pPr>
    </w:p>
    <w:p>
      <w:pPr>
        <w:spacing w:line="360" w:lineRule="auto"/>
        <w:ind w:right="-360" w:rightChars="-150"/>
        <w:rPr>
          <w:b/>
          <w:szCs w:val="21"/>
        </w:rPr>
      </w:pPr>
      <w:r>
        <w:rPr>
          <w:szCs w:val="21"/>
        </w:rPr>
        <w:t>（中标人名称）</w:t>
      </w:r>
      <w:r>
        <w:rPr>
          <w:rFonts w:hint="eastAsia"/>
          <w:szCs w:val="21"/>
        </w:rPr>
        <w:t>：</w:t>
      </w:r>
    </w:p>
    <w:p>
      <w:pPr>
        <w:spacing w:line="360" w:lineRule="auto"/>
        <w:ind w:firstLine="480" w:firstLineChars="200"/>
        <w:rPr>
          <w:szCs w:val="21"/>
        </w:rPr>
      </w:pPr>
      <w:r>
        <w:rPr>
          <w:szCs w:val="21"/>
        </w:rPr>
        <w:t>你方于（投标日期）所递交的</w:t>
      </w:r>
      <w:r>
        <w:rPr>
          <w:rFonts w:hint="eastAsia"/>
          <w:szCs w:val="24"/>
          <w:u w:val="single"/>
        </w:rPr>
        <w:t>北京市房山区人民防空办公室加州水郡西区、中冶蓝城地下人防工程维修工程</w:t>
      </w:r>
      <w:r>
        <w:rPr>
          <w:rFonts w:hint="eastAsia"/>
          <w:szCs w:val="24"/>
        </w:rPr>
        <w:t>（项目名称）</w:t>
      </w:r>
      <w:r>
        <w:rPr>
          <w:szCs w:val="24"/>
        </w:rPr>
        <w:t>施工投标文件已被我方</w:t>
      </w:r>
      <w:r>
        <w:rPr>
          <w:szCs w:val="21"/>
        </w:rPr>
        <w:t xml:space="preserve">接受，被确定为中标人。              </w:t>
      </w:r>
    </w:p>
    <w:tbl>
      <w:tblPr>
        <w:tblStyle w:val="3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984"/>
        <w:gridCol w:w="2268"/>
        <w:gridCol w:w="142"/>
        <w:gridCol w:w="1208"/>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exact"/>
        </w:trPr>
        <w:tc>
          <w:tcPr>
            <w:tcW w:w="1418" w:type="dxa"/>
            <w:vAlign w:val="center"/>
          </w:tcPr>
          <w:p>
            <w:pPr>
              <w:spacing w:line="360" w:lineRule="auto"/>
              <w:jc w:val="center"/>
              <w:rPr>
                <w:sz w:val="21"/>
                <w:szCs w:val="21"/>
              </w:rPr>
            </w:pPr>
            <w:r>
              <w:rPr>
                <w:rFonts w:hint="eastAsia"/>
                <w:sz w:val="21"/>
                <w:szCs w:val="21"/>
              </w:rPr>
              <w:t>工程名称</w:t>
            </w:r>
          </w:p>
        </w:tc>
        <w:tc>
          <w:tcPr>
            <w:tcW w:w="4252" w:type="dxa"/>
            <w:gridSpan w:val="2"/>
            <w:vAlign w:val="center"/>
          </w:tcPr>
          <w:p>
            <w:pPr>
              <w:spacing w:line="360" w:lineRule="auto"/>
              <w:rPr>
                <w:sz w:val="21"/>
                <w:szCs w:val="21"/>
              </w:rPr>
            </w:pPr>
            <w:r>
              <w:rPr>
                <w:rFonts w:hint="eastAsia"/>
                <w:sz w:val="21"/>
                <w:szCs w:val="21"/>
              </w:rPr>
              <w:t>北京市房山区人民防空办公室加州水郡西区、中冶蓝城地下人防工程维修工程</w:t>
            </w:r>
          </w:p>
        </w:tc>
        <w:tc>
          <w:tcPr>
            <w:tcW w:w="1350" w:type="dxa"/>
            <w:gridSpan w:val="2"/>
            <w:vAlign w:val="center"/>
          </w:tcPr>
          <w:p>
            <w:pPr>
              <w:spacing w:line="360" w:lineRule="auto"/>
              <w:jc w:val="center"/>
              <w:rPr>
                <w:sz w:val="21"/>
                <w:szCs w:val="21"/>
              </w:rPr>
            </w:pPr>
            <w:r>
              <w:rPr>
                <w:rFonts w:hint="eastAsia"/>
                <w:sz w:val="21"/>
                <w:szCs w:val="21"/>
              </w:rPr>
              <w:t>建设规模</w:t>
            </w:r>
          </w:p>
        </w:tc>
        <w:tc>
          <w:tcPr>
            <w:tcW w:w="2336" w:type="dxa"/>
            <w:vAlign w:val="center"/>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8" w:type="dxa"/>
            <w:vAlign w:val="bottom"/>
          </w:tcPr>
          <w:p>
            <w:pPr>
              <w:spacing w:line="360" w:lineRule="auto"/>
              <w:jc w:val="center"/>
              <w:rPr>
                <w:sz w:val="21"/>
                <w:szCs w:val="21"/>
              </w:rPr>
            </w:pPr>
            <w:r>
              <w:rPr>
                <w:rFonts w:hint="eastAsia"/>
                <w:sz w:val="21"/>
                <w:szCs w:val="21"/>
              </w:rPr>
              <w:t>建设地点</w:t>
            </w:r>
          </w:p>
        </w:tc>
        <w:tc>
          <w:tcPr>
            <w:tcW w:w="7938" w:type="dxa"/>
            <w:gridSpan w:val="5"/>
            <w:vAlign w:val="bottom"/>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18" w:type="dxa"/>
            <w:vAlign w:val="center"/>
          </w:tcPr>
          <w:p>
            <w:pPr>
              <w:spacing w:line="360" w:lineRule="auto"/>
              <w:jc w:val="center"/>
              <w:rPr>
                <w:sz w:val="21"/>
                <w:szCs w:val="21"/>
              </w:rPr>
            </w:pPr>
            <w:r>
              <w:rPr>
                <w:rFonts w:hint="eastAsia"/>
                <w:sz w:val="21"/>
                <w:szCs w:val="21"/>
              </w:rPr>
              <w:t>中标范围</w:t>
            </w:r>
          </w:p>
        </w:tc>
        <w:tc>
          <w:tcPr>
            <w:tcW w:w="7938" w:type="dxa"/>
            <w:gridSpan w:val="5"/>
            <w:vAlign w:val="center"/>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418" w:type="dxa"/>
            <w:vAlign w:val="center"/>
          </w:tcPr>
          <w:p>
            <w:pPr>
              <w:spacing w:line="360" w:lineRule="auto"/>
              <w:jc w:val="center"/>
              <w:rPr>
                <w:sz w:val="21"/>
                <w:szCs w:val="21"/>
              </w:rPr>
            </w:pPr>
            <w:r>
              <w:rPr>
                <w:rFonts w:hint="eastAsia"/>
                <w:sz w:val="21"/>
                <w:szCs w:val="21"/>
              </w:rPr>
              <w:t>中标价</w:t>
            </w:r>
          </w:p>
        </w:tc>
        <w:tc>
          <w:tcPr>
            <w:tcW w:w="7938" w:type="dxa"/>
            <w:gridSpan w:val="5"/>
            <w:vAlign w:val="center"/>
          </w:tcPr>
          <w:p>
            <w:pPr>
              <w:spacing w:line="360" w:lineRule="auto"/>
              <w:ind w:firstLine="105" w:firstLineChars="50"/>
              <w:rPr>
                <w:sz w:val="21"/>
                <w:szCs w:val="21"/>
              </w:rPr>
            </w:pPr>
            <w:r>
              <w:rPr>
                <w:rFonts w:hint="eastAsia"/>
                <w:sz w:val="21"/>
                <w:szCs w:val="21"/>
              </w:rPr>
              <w:t xml:space="preserve">小写：           元                     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418" w:type="dxa"/>
            <w:vMerge w:val="restart"/>
            <w:vAlign w:val="center"/>
          </w:tcPr>
          <w:p>
            <w:pPr>
              <w:spacing w:line="360" w:lineRule="auto"/>
              <w:jc w:val="center"/>
              <w:rPr>
                <w:sz w:val="21"/>
                <w:szCs w:val="21"/>
              </w:rPr>
            </w:pPr>
            <w:r>
              <w:rPr>
                <w:rFonts w:hint="eastAsia"/>
                <w:sz w:val="21"/>
                <w:szCs w:val="21"/>
              </w:rPr>
              <w:t>中标工期</w:t>
            </w:r>
          </w:p>
          <w:p>
            <w:pPr>
              <w:spacing w:line="360" w:lineRule="auto"/>
              <w:jc w:val="center"/>
              <w:rPr>
                <w:sz w:val="21"/>
                <w:szCs w:val="21"/>
              </w:rPr>
            </w:pPr>
          </w:p>
        </w:tc>
        <w:tc>
          <w:tcPr>
            <w:tcW w:w="1984" w:type="dxa"/>
            <w:vMerge w:val="restart"/>
            <w:vAlign w:val="center"/>
          </w:tcPr>
          <w:p>
            <w:pPr>
              <w:spacing w:line="360" w:lineRule="auto"/>
              <w:jc w:val="right"/>
              <w:rPr>
                <w:sz w:val="21"/>
                <w:szCs w:val="21"/>
              </w:rPr>
            </w:pPr>
            <w:r>
              <w:rPr>
                <w:rFonts w:hint="eastAsia"/>
                <w:sz w:val="21"/>
                <w:szCs w:val="21"/>
              </w:rPr>
              <w:t>日历天</w:t>
            </w:r>
          </w:p>
        </w:tc>
        <w:tc>
          <w:tcPr>
            <w:tcW w:w="2410" w:type="dxa"/>
            <w:gridSpan w:val="2"/>
            <w:vAlign w:val="center"/>
          </w:tcPr>
          <w:p>
            <w:pPr>
              <w:spacing w:line="360" w:lineRule="auto"/>
              <w:jc w:val="center"/>
              <w:rPr>
                <w:sz w:val="21"/>
                <w:szCs w:val="21"/>
              </w:rPr>
            </w:pPr>
            <w:r>
              <w:rPr>
                <w:rFonts w:hint="eastAsia"/>
                <w:sz w:val="21"/>
                <w:szCs w:val="21"/>
              </w:rPr>
              <w:t>计划开工日期</w:t>
            </w:r>
          </w:p>
        </w:tc>
        <w:tc>
          <w:tcPr>
            <w:tcW w:w="3544" w:type="dxa"/>
            <w:gridSpan w:val="2"/>
            <w:vAlign w:val="center"/>
          </w:tcPr>
          <w:p>
            <w:pPr>
              <w:spacing w:line="360" w:lineRule="auto"/>
              <w:ind w:leftChars="4" w:firstLine="525" w:firstLineChars="250"/>
              <w:rPr>
                <w:sz w:val="21"/>
                <w:szCs w:val="21"/>
              </w:rPr>
            </w:pPr>
            <w:r>
              <w:rPr>
                <w:rFonts w:hint="eastAsia"/>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418" w:type="dxa"/>
            <w:vMerge w:val="continue"/>
            <w:vAlign w:val="center"/>
          </w:tcPr>
          <w:p>
            <w:pPr>
              <w:spacing w:line="360" w:lineRule="auto"/>
              <w:jc w:val="center"/>
              <w:rPr>
                <w:sz w:val="21"/>
                <w:szCs w:val="21"/>
              </w:rPr>
            </w:pPr>
          </w:p>
        </w:tc>
        <w:tc>
          <w:tcPr>
            <w:tcW w:w="1984" w:type="dxa"/>
            <w:vMerge w:val="continue"/>
            <w:vAlign w:val="center"/>
          </w:tcPr>
          <w:p>
            <w:pPr>
              <w:spacing w:line="360" w:lineRule="auto"/>
              <w:rPr>
                <w:sz w:val="21"/>
                <w:szCs w:val="21"/>
              </w:rPr>
            </w:pPr>
          </w:p>
        </w:tc>
        <w:tc>
          <w:tcPr>
            <w:tcW w:w="2410" w:type="dxa"/>
            <w:gridSpan w:val="2"/>
            <w:vAlign w:val="center"/>
          </w:tcPr>
          <w:p>
            <w:pPr>
              <w:spacing w:line="360" w:lineRule="auto"/>
              <w:jc w:val="center"/>
              <w:rPr>
                <w:sz w:val="21"/>
                <w:szCs w:val="21"/>
              </w:rPr>
            </w:pPr>
            <w:r>
              <w:rPr>
                <w:rFonts w:hint="eastAsia"/>
                <w:sz w:val="21"/>
                <w:szCs w:val="21"/>
              </w:rPr>
              <w:t>计划完工日期</w:t>
            </w:r>
          </w:p>
        </w:tc>
        <w:tc>
          <w:tcPr>
            <w:tcW w:w="3544" w:type="dxa"/>
            <w:gridSpan w:val="2"/>
            <w:vAlign w:val="center"/>
          </w:tcPr>
          <w:p>
            <w:pPr>
              <w:spacing w:line="360" w:lineRule="auto"/>
              <w:ind w:leftChars="4" w:firstLine="525" w:firstLineChars="250"/>
              <w:rPr>
                <w:sz w:val="21"/>
                <w:szCs w:val="21"/>
              </w:rPr>
            </w:pPr>
            <w:r>
              <w:rPr>
                <w:rFonts w:hint="eastAsia"/>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spacing w:line="360" w:lineRule="auto"/>
              <w:jc w:val="center"/>
              <w:rPr>
                <w:sz w:val="21"/>
                <w:szCs w:val="21"/>
              </w:rPr>
            </w:pPr>
            <w:r>
              <w:rPr>
                <w:rFonts w:hint="eastAsia"/>
                <w:sz w:val="21"/>
                <w:szCs w:val="21"/>
              </w:rPr>
              <w:t>工程质量</w:t>
            </w:r>
          </w:p>
        </w:tc>
        <w:tc>
          <w:tcPr>
            <w:tcW w:w="7938" w:type="dxa"/>
            <w:gridSpan w:val="5"/>
            <w:vAlign w:val="center"/>
          </w:tcPr>
          <w:p>
            <w:pPr>
              <w:spacing w:line="360" w:lineRule="auto"/>
              <w:ind w:firstLine="840" w:firstLineChars="40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spacing w:line="360" w:lineRule="auto"/>
              <w:jc w:val="center"/>
              <w:rPr>
                <w:sz w:val="21"/>
                <w:szCs w:val="21"/>
              </w:rPr>
            </w:pPr>
            <w:r>
              <w:rPr>
                <w:rFonts w:hint="eastAsia"/>
                <w:sz w:val="21"/>
                <w:szCs w:val="21"/>
              </w:rPr>
              <w:t>项目经理</w:t>
            </w:r>
          </w:p>
        </w:tc>
        <w:tc>
          <w:tcPr>
            <w:tcW w:w="1984" w:type="dxa"/>
            <w:vAlign w:val="center"/>
          </w:tcPr>
          <w:p>
            <w:pPr>
              <w:spacing w:line="360" w:lineRule="auto"/>
              <w:jc w:val="center"/>
              <w:rPr>
                <w:sz w:val="21"/>
                <w:szCs w:val="21"/>
              </w:rPr>
            </w:pPr>
          </w:p>
        </w:tc>
        <w:tc>
          <w:tcPr>
            <w:tcW w:w="2410" w:type="dxa"/>
            <w:gridSpan w:val="2"/>
            <w:vAlign w:val="center"/>
          </w:tcPr>
          <w:p>
            <w:pPr>
              <w:spacing w:line="360" w:lineRule="auto"/>
              <w:jc w:val="center"/>
              <w:rPr>
                <w:sz w:val="21"/>
                <w:szCs w:val="21"/>
              </w:rPr>
            </w:pPr>
            <w:r>
              <w:rPr>
                <w:rFonts w:hint="eastAsia"/>
                <w:sz w:val="21"/>
                <w:szCs w:val="21"/>
              </w:rPr>
              <w:t>注册建造师执业资格或建造师临时执业资格</w:t>
            </w:r>
          </w:p>
        </w:tc>
        <w:tc>
          <w:tcPr>
            <w:tcW w:w="3544" w:type="dxa"/>
            <w:gridSpan w:val="2"/>
            <w:vAlign w:val="center"/>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18" w:type="dxa"/>
            <w:vAlign w:val="center"/>
          </w:tcPr>
          <w:p>
            <w:pPr>
              <w:spacing w:line="360" w:lineRule="auto"/>
              <w:jc w:val="center"/>
              <w:rPr>
                <w:sz w:val="21"/>
                <w:szCs w:val="21"/>
              </w:rPr>
            </w:pPr>
            <w:r>
              <w:rPr>
                <w:rFonts w:hint="eastAsia"/>
                <w:sz w:val="21"/>
                <w:szCs w:val="21"/>
              </w:rPr>
              <w:t>备注</w:t>
            </w:r>
          </w:p>
        </w:tc>
        <w:tc>
          <w:tcPr>
            <w:tcW w:w="7938" w:type="dxa"/>
            <w:gridSpan w:val="5"/>
            <w:vAlign w:val="center"/>
          </w:tcPr>
          <w:p>
            <w:pPr>
              <w:spacing w:line="360" w:lineRule="auto"/>
              <w:ind w:firstLine="420" w:firstLineChars="200"/>
              <w:rPr>
                <w:sz w:val="21"/>
                <w:szCs w:val="21"/>
              </w:rPr>
            </w:pPr>
          </w:p>
        </w:tc>
      </w:tr>
    </w:tbl>
    <w:p>
      <w:pPr>
        <w:spacing w:line="360" w:lineRule="auto"/>
        <w:ind w:firstLine="480" w:firstLineChars="200"/>
        <w:rPr>
          <w:szCs w:val="21"/>
        </w:rPr>
      </w:pPr>
      <w:r>
        <w:rPr>
          <w:szCs w:val="21"/>
        </w:rPr>
        <w:t>请你方在接到本通知书后的</w:t>
      </w:r>
      <w:r>
        <w:rPr>
          <w:rFonts w:hint="eastAsia"/>
          <w:szCs w:val="21"/>
        </w:rPr>
        <w:t xml:space="preserve"> </w:t>
      </w:r>
      <w:r>
        <w:rPr>
          <w:rFonts w:hint="eastAsia"/>
          <w:szCs w:val="21"/>
          <w:u w:val="single"/>
        </w:rPr>
        <w:t xml:space="preserve">    </w:t>
      </w:r>
      <w:r>
        <w:rPr>
          <w:szCs w:val="21"/>
        </w:rPr>
        <w:t>日内到</w:t>
      </w:r>
      <w:r>
        <w:rPr>
          <w:rFonts w:hint="eastAsia"/>
          <w:szCs w:val="21"/>
          <w:u w:val="single"/>
        </w:rPr>
        <w:t xml:space="preserve">            </w:t>
      </w:r>
      <w:r>
        <w:rPr>
          <w:szCs w:val="21"/>
        </w:rPr>
        <w:t>（指定地点）与我方签订施工承包合同，在此之前按招标文件第二章</w:t>
      </w:r>
      <w:r>
        <w:rPr>
          <w:rFonts w:hint="eastAsia"/>
          <w:szCs w:val="21"/>
        </w:rPr>
        <w:t>“</w:t>
      </w:r>
      <w:r>
        <w:rPr>
          <w:szCs w:val="21"/>
        </w:rPr>
        <w:t>投标人须知</w:t>
      </w:r>
      <w:r>
        <w:rPr>
          <w:rFonts w:hint="eastAsia"/>
          <w:szCs w:val="21"/>
        </w:rPr>
        <w:t>”</w:t>
      </w:r>
      <w:r>
        <w:rPr>
          <w:szCs w:val="21"/>
        </w:rPr>
        <w:t>第7.4款规定向我方提交履约担保。</w:t>
      </w:r>
    </w:p>
    <w:p>
      <w:pPr>
        <w:spacing w:line="360" w:lineRule="auto"/>
        <w:ind w:firstLine="480" w:firstLineChars="200"/>
        <w:rPr>
          <w:szCs w:val="21"/>
        </w:rPr>
      </w:pPr>
      <w:r>
        <w:rPr>
          <w:rFonts w:hint="eastAsia"/>
          <w:szCs w:val="21"/>
        </w:rPr>
        <w:t>随附的澄清、说明、补正事项纪要（如果有），是本中标通知书的组成部分。</w:t>
      </w:r>
    </w:p>
    <w:p>
      <w:pPr>
        <w:spacing w:line="360" w:lineRule="auto"/>
        <w:ind w:firstLine="480" w:firstLineChars="200"/>
        <w:rPr>
          <w:szCs w:val="21"/>
        </w:rPr>
      </w:pPr>
      <w:r>
        <w:rPr>
          <w:szCs w:val="21"/>
        </w:rPr>
        <w:t>特此通知。</w:t>
      </w:r>
    </w:p>
    <w:p>
      <w:pPr>
        <w:spacing w:line="360" w:lineRule="auto"/>
        <w:ind w:firstLine="480" w:firstLineChars="200"/>
        <w:rPr>
          <w:szCs w:val="21"/>
        </w:rPr>
      </w:pPr>
      <w:r>
        <w:rPr>
          <w:rFonts w:hint="eastAsia"/>
          <w:szCs w:val="21"/>
        </w:rPr>
        <w:t>附：澄清、说明、补正事项纪要</w:t>
      </w:r>
    </w:p>
    <w:p>
      <w:pPr>
        <w:spacing w:line="360" w:lineRule="auto"/>
        <w:ind w:firstLine="3700" w:firstLineChars="1542"/>
        <w:rPr>
          <w:szCs w:val="21"/>
        </w:rPr>
      </w:pPr>
      <w:r>
        <w:rPr>
          <w:szCs w:val="21"/>
        </w:rPr>
        <w:t xml:space="preserve">招标人：（盖单位章）            </w:t>
      </w:r>
    </w:p>
    <w:p>
      <w:pPr>
        <w:spacing w:line="360" w:lineRule="auto"/>
        <w:ind w:firstLine="3700" w:firstLineChars="1542"/>
        <w:rPr>
          <w:szCs w:val="21"/>
        </w:rPr>
      </w:pPr>
      <w:r>
        <w:rPr>
          <w:szCs w:val="21"/>
        </w:rPr>
        <w:t>法定代表人：（签字）</w:t>
      </w:r>
    </w:p>
    <w:p>
      <w:pPr>
        <w:spacing w:line="360" w:lineRule="auto"/>
        <w:ind w:leftChars="4" w:firstLine="5256" w:firstLineChars="2190"/>
        <w:rPr>
          <w:szCs w:val="21"/>
        </w:rPr>
      </w:pPr>
      <w:r>
        <w:rPr>
          <w:szCs w:val="21"/>
        </w:rPr>
        <w:t>年</w:t>
      </w:r>
      <w:r>
        <w:rPr>
          <w:rFonts w:hint="eastAsia"/>
          <w:szCs w:val="21"/>
        </w:rPr>
        <w:t xml:space="preserve">   </w:t>
      </w:r>
      <w:r>
        <w:rPr>
          <w:szCs w:val="21"/>
        </w:rPr>
        <w:t>月</w:t>
      </w:r>
      <w:r>
        <w:rPr>
          <w:rFonts w:hint="eastAsia"/>
          <w:szCs w:val="21"/>
        </w:rPr>
        <w:t xml:space="preserve">   </w:t>
      </w:r>
      <w:r>
        <w:rPr>
          <w:szCs w:val="21"/>
        </w:rPr>
        <w:t>日</w:t>
      </w:r>
    </w:p>
    <w:p>
      <w:pPr>
        <w:pStyle w:val="4"/>
        <w:spacing w:before="120" w:beforeLines="50" w:after="120" w:afterLines="50" w:line="360" w:lineRule="auto"/>
        <w:jc w:val="left"/>
        <w:rPr>
          <w:rFonts w:ascii="宋体" w:hAnsi="宋体" w:eastAsia="宋体"/>
          <w:bCs/>
          <w:sz w:val="24"/>
          <w:szCs w:val="24"/>
        </w:rPr>
      </w:pPr>
      <w:bookmarkStart w:id="273" w:name="_Toc77206878"/>
      <w:bookmarkStart w:id="274" w:name="_Toc86825531"/>
      <w:bookmarkStart w:id="275" w:name="_Toc79057543"/>
      <w:r>
        <w:rPr>
          <w:rFonts w:hint="eastAsia" w:ascii="宋体" w:hAnsi="宋体" w:eastAsia="宋体"/>
          <w:bCs/>
          <w:sz w:val="24"/>
          <w:szCs w:val="24"/>
        </w:rPr>
        <w:t>附表十二：中标结果通知书</w:t>
      </w:r>
      <w:bookmarkEnd w:id="273"/>
      <w:bookmarkEnd w:id="274"/>
      <w:bookmarkEnd w:id="275"/>
    </w:p>
    <w:p>
      <w:pPr>
        <w:spacing w:line="360" w:lineRule="auto"/>
        <w:ind w:left="0" w:firstLine="0"/>
      </w:pPr>
    </w:p>
    <w:p>
      <w:pPr>
        <w:spacing w:line="360" w:lineRule="auto"/>
        <w:jc w:val="center"/>
        <w:rPr>
          <w:sz w:val="28"/>
          <w:szCs w:val="28"/>
        </w:rPr>
      </w:pPr>
      <w:r>
        <w:rPr>
          <w:rFonts w:hint="eastAsia"/>
          <w:sz w:val="28"/>
          <w:szCs w:val="28"/>
        </w:rPr>
        <w:t>中标结果通知书</w:t>
      </w:r>
    </w:p>
    <w:p>
      <w:pPr>
        <w:spacing w:line="360" w:lineRule="auto"/>
      </w:pPr>
    </w:p>
    <w:p>
      <w:pPr>
        <w:spacing w:line="360" w:lineRule="auto"/>
        <w:rPr>
          <w:szCs w:val="21"/>
          <w:u w:val="single"/>
        </w:rPr>
      </w:pPr>
      <w:r>
        <w:rPr>
          <w:szCs w:val="21"/>
        </w:rPr>
        <w:t>（未中标人名称）</w:t>
      </w:r>
      <w:r>
        <w:rPr>
          <w:rFonts w:hint="eastAsia"/>
          <w:szCs w:val="21"/>
          <w:u w:val="single"/>
        </w:rPr>
        <w:t xml:space="preserve">                  </w:t>
      </w:r>
      <w:r>
        <w:rPr>
          <w:szCs w:val="21"/>
        </w:rPr>
        <w:t>：</w:t>
      </w:r>
      <w:r>
        <w:rPr>
          <w:rFonts w:hint="eastAsia"/>
          <w:szCs w:val="21"/>
          <w:u w:val="single"/>
        </w:rPr>
        <w:t xml:space="preserve"> </w:t>
      </w:r>
    </w:p>
    <w:p>
      <w:pPr>
        <w:spacing w:line="360" w:lineRule="auto"/>
        <w:rPr>
          <w:szCs w:val="21"/>
        </w:rPr>
      </w:pPr>
    </w:p>
    <w:p>
      <w:pPr>
        <w:spacing w:line="360" w:lineRule="auto"/>
        <w:ind w:left="11" w:hanging="11"/>
        <w:rPr>
          <w:szCs w:val="21"/>
        </w:rPr>
      </w:pPr>
      <w:r>
        <w:rPr>
          <w:szCs w:val="21"/>
        </w:rPr>
        <w:t xml:space="preserve">　　我方已接受 </w:t>
      </w:r>
      <w:r>
        <w:rPr>
          <w:rFonts w:hint="eastAsia"/>
          <w:szCs w:val="21"/>
          <w:u w:val="single"/>
        </w:rPr>
        <w:t xml:space="preserve">             </w:t>
      </w:r>
      <w:r>
        <w:rPr>
          <w:szCs w:val="21"/>
        </w:rPr>
        <w:t>（中标人名称）于</w:t>
      </w:r>
      <w:r>
        <w:rPr>
          <w:rFonts w:hint="eastAsia"/>
          <w:szCs w:val="21"/>
          <w:u w:val="single"/>
        </w:rPr>
        <w:t xml:space="preserve">          </w:t>
      </w:r>
      <w:r>
        <w:rPr>
          <w:szCs w:val="21"/>
        </w:rPr>
        <w:t>（投标日期）所递交的</w:t>
      </w:r>
      <w:r>
        <w:rPr>
          <w:rFonts w:hint="eastAsia"/>
          <w:szCs w:val="21"/>
          <w:u w:val="single"/>
        </w:rPr>
        <w:t>北京市房山区人民防空办公室加州水郡西区、中冶蓝城地下人防工程维修工程</w:t>
      </w:r>
      <w:r>
        <w:rPr>
          <w:rFonts w:hint="eastAsia"/>
          <w:szCs w:val="21"/>
        </w:rPr>
        <w:t>（项目名称）响应</w:t>
      </w:r>
      <w:r>
        <w:rPr>
          <w:szCs w:val="21"/>
        </w:rPr>
        <w:t>文件，确定</w:t>
      </w:r>
      <w:r>
        <w:rPr>
          <w:rFonts w:hint="eastAsia"/>
          <w:szCs w:val="21"/>
          <w:u w:val="single"/>
        </w:rPr>
        <w:t xml:space="preserve">                 </w:t>
      </w:r>
      <w:r>
        <w:rPr>
          <w:szCs w:val="21"/>
        </w:rPr>
        <w:t>（中标人名称）为中标人。</w:t>
      </w:r>
    </w:p>
    <w:p>
      <w:pPr>
        <w:spacing w:line="360" w:lineRule="auto"/>
        <w:rPr>
          <w:szCs w:val="21"/>
        </w:rPr>
      </w:pPr>
      <w:r>
        <w:rPr>
          <w:szCs w:val="21"/>
        </w:rPr>
        <w:t>　　</w:t>
      </w:r>
    </w:p>
    <w:p>
      <w:pPr>
        <w:spacing w:line="360" w:lineRule="auto"/>
        <w:rPr>
          <w:szCs w:val="21"/>
        </w:rPr>
      </w:pPr>
      <w:r>
        <w:rPr>
          <w:szCs w:val="21"/>
        </w:rPr>
        <w:t>　　感谢你单位对我</w:t>
      </w:r>
      <w:r>
        <w:rPr>
          <w:rFonts w:hint="eastAsia"/>
          <w:szCs w:val="21"/>
        </w:rPr>
        <w:t>方</w:t>
      </w:r>
      <w:r>
        <w:rPr>
          <w:szCs w:val="21"/>
        </w:rPr>
        <w:t>工作的大力支持！</w:t>
      </w: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r>
        <w:rPr>
          <w:szCs w:val="21"/>
        </w:rPr>
        <w:t xml:space="preserve">                                招标人：（盖单位章）</w:t>
      </w:r>
    </w:p>
    <w:p>
      <w:pPr>
        <w:spacing w:line="360" w:lineRule="auto"/>
        <w:rPr>
          <w:szCs w:val="21"/>
        </w:rPr>
      </w:pPr>
    </w:p>
    <w:p>
      <w:pPr>
        <w:spacing w:line="360" w:lineRule="auto"/>
        <w:rPr>
          <w:szCs w:val="21"/>
        </w:rPr>
      </w:pPr>
      <w:r>
        <w:rPr>
          <w:szCs w:val="21"/>
        </w:rPr>
        <w:t xml:space="preserve">                                法定代表人：（签字）</w:t>
      </w:r>
    </w:p>
    <w:p>
      <w:pPr>
        <w:spacing w:line="360" w:lineRule="auto"/>
        <w:rPr>
          <w:szCs w:val="21"/>
        </w:rPr>
      </w:pPr>
    </w:p>
    <w:p>
      <w:pPr>
        <w:spacing w:line="360" w:lineRule="auto"/>
        <w:ind w:leftChars="4" w:firstLine="5280" w:firstLineChars="2200"/>
        <w:rPr>
          <w:szCs w:val="21"/>
        </w:rPr>
      </w:pPr>
      <w:r>
        <w:rPr>
          <w:szCs w:val="21"/>
        </w:rPr>
        <w:t>年</w:t>
      </w:r>
      <w:r>
        <w:rPr>
          <w:rFonts w:hint="eastAsia"/>
          <w:szCs w:val="21"/>
        </w:rPr>
        <w:t xml:space="preserve">   </w:t>
      </w:r>
      <w:r>
        <w:rPr>
          <w:szCs w:val="21"/>
        </w:rPr>
        <w:t>月</w:t>
      </w:r>
      <w:r>
        <w:rPr>
          <w:rFonts w:hint="eastAsia"/>
          <w:szCs w:val="21"/>
        </w:rPr>
        <w:t xml:space="preserve">    </w:t>
      </w:r>
      <w:r>
        <w:rPr>
          <w:szCs w:val="21"/>
        </w:rPr>
        <w:t>日</w:t>
      </w:r>
    </w:p>
    <w:p>
      <w:pPr>
        <w:spacing w:line="360" w:lineRule="auto"/>
      </w:pPr>
    </w:p>
    <w:p>
      <w:pPr>
        <w:spacing w:line="360" w:lineRule="auto"/>
      </w:pPr>
    </w:p>
    <w:p>
      <w:pPr>
        <w:spacing w:line="360" w:lineRule="auto"/>
      </w:pPr>
    </w:p>
    <w:p>
      <w:pPr>
        <w:pStyle w:val="2"/>
        <w:spacing w:line="360" w:lineRule="auto"/>
        <w:ind w:left="480" w:firstLine="480"/>
      </w:pPr>
    </w:p>
    <w:p>
      <w:pPr>
        <w:pStyle w:val="2"/>
        <w:spacing w:line="360" w:lineRule="auto"/>
        <w:ind w:left="480" w:firstLine="480"/>
      </w:pPr>
    </w:p>
    <w:p>
      <w:pPr>
        <w:pStyle w:val="2"/>
        <w:spacing w:line="360" w:lineRule="auto"/>
        <w:ind w:left="480" w:firstLine="480"/>
      </w:pPr>
    </w:p>
    <w:p>
      <w:pPr>
        <w:pStyle w:val="2"/>
        <w:spacing w:line="360" w:lineRule="auto"/>
        <w:ind w:left="480" w:firstLine="480"/>
      </w:pPr>
    </w:p>
    <w:p>
      <w:pPr>
        <w:pStyle w:val="2"/>
        <w:spacing w:line="360" w:lineRule="auto"/>
        <w:ind w:left="480" w:firstLine="480"/>
      </w:pPr>
    </w:p>
    <w:p>
      <w:pPr>
        <w:spacing w:line="360" w:lineRule="auto"/>
        <w:ind w:left="0" w:firstLine="0"/>
        <w:rPr>
          <w:szCs w:val="21"/>
        </w:rPr>
      </w:pPr>
    </w:p>
    <w:p>
      <w:pPr>
        <w:pStyle w:val="2"/>
        <w:spacing w:line="360" w:lineRule="auto"/>
        <w:ind w:left="0" w:leftChars="0" w:firstLine="0" w:firstLineChars="0"/>
        <w:sectPr>
          <w:pgSz w:w="11904" w:h="16840"/>
          <w:pgMar w:top="1250" w:right="1295" w:bottom="1487" w:left="1237" w:header="879" w:footer="868" w:gutter="0"/>
          <w:cols w:space="720" w:num="1"/>
        </w:sectPr>
      </w:pPr>
    </w:p>
    <w:p>
      <w:pPr>
        <w:pStyle w:val="4"/>
        <w:spacing w:line="360" w:lineRule="auto"/>
        <w:jc w:val="center"/>
        <w:rPr>
          <w:rFonts w:ascii="宋体" w:hAnsi="宋体" w:eastAsia="宋体"/>
          <w:b/>
          <w:bCs/>
          <w:sz w:val="32"/>
          <w:szCs w:val="32"/>
        </w:rPr>
      </w:pPr>
      <w:bookmarkStart w:id="276" w:name="_Toc19974"/>
      <w:bookmarkStart w:id="277" w:name="_Toc86825532"/>
      <w:bookmarkStart w:id="278" w:name="_Toc77206880"/>
      <w:bookmarkStart w:id="279" w:name="_Toc79057545"/>
      <w:r>
        <w:rPr>
          <w:rFonts w:ascii="宋体" w:hAnsi="宋体" w:eastAsia="宋体"/>
          <w:b/>
          <w:bCs/>
          <w:sz w:val="32"/>
          <w:szCs w:val="32"/>
        </w:rPr>
        <w:t>第三章  采购人需求</w:t>
      </w:r>
      <w:bookmarkEnd w:id="276"/>
      <w:bookmarkEnd w:id="277"/>
      <w:bookmarkEnd w:id="278"/>
      <w:bookmarkEnd w:id="279"/>
    </w:p>
    <w:p>
      <w:pPr>
        <w:pStyle w:val="5"/>
        <w:spacing w:line="360" w:lineRule="auto"/>
        <w:jc w:val="left"/>
        <w:rPr>
          <w:rFonts w:ascii="宋体" w:hAnsi="宋体"/>
          <w:b w:val="0"/>
          <w:sz w:val="24"/>
          <w:szCs w:val="24"/>
        </w:rPr>
      </w:pPr>
      <w:bookmarkStart w:id="280" w:name="_Toc30787"/>
      <w:bookmarkStart w:id="281" w:name="_Toc79057546"/>
      <w:bookmarkStart w:id="282" w:name="_Toc86825533"/>
      <w:bookmarkStart w:id="283" w:name="_Toc77206881"/>
      <w:r>
        <w:rPr>
          <w:rFonts w:hint="eastAsia" w:ascii="宋体" w:hAnsi="宋体"/>
          <w:b w:val="0"/>
          <w:sz w:val="24"/>
          <w:szCs w:val="24"/>
        </w:rPr>
        <w:t>一、项目概述：</w:t>
      </w:r>
      <w:bookmarkEnd w:id="280"/>
      <w:bookmarkEnd w:id="281"/>
      <w:bookmarkEnd w:id="282"/>
      <w:bookmarkEnd w:id="283"/>
    </w:p>
    <w:p>
      <w:pPr>
        <w:spacing w:line="360" w:lineRule="auto"/>
        <w:ind w:left="0" w:firstLine="480" w:firstLineChars="200"/>
        <w:rPr>
          <w:szCs w:val="24"/>
        </w:rPr>
      </w:pPr>
      <w:r>
        <w:rPr>
          <w:rFonts w:hint="eastAsia"/>
          <w:szCs w:val="24"/>
        </w:rPr>
        <w:t>本工程主要以</w:t>
      </w:r>
      <w:r>
        <w:rPr>
          <w:rFonts w:hint="eastAsia"/>
        </w:rPr>
        <w:t>裂缝修补、装饰工程、给排水工程、通风工程等图纸及工程量清单中的全部内容。</w:t>
      </w:r>
    </w:p>
    <w:p>
      <w:pPr>
        <w:pStyle w:val="5"/>
        <w:spacing w:line="360" w:lineRule="auto"/>
        <w:jc w:val="left"/>
        <w:rPr>
          <w:rFonts w:ascii="宋体" w:hAnsi="宋体"/>
          <w:b w:val="0"/>
          <w:bCs/>
          <w:sz w:val="24"/>
          <w:szCs w:val="24"/>
        </w:rPr>
      </w:pPr>
      <w:bookmarkStart w:id="284" w:name="_Toc86825534"/>
      <w:bookmarkStart w:id="285" w:name="_Toc77206882"/>
      <w:bookmarkStart w:id="286" w:name="_Toc79057547"/>
      <w:bookmarkStart w:id="287" w:name="_Toc29004"/>
      <w:r>
        <w:rPr>
          <w:rFonts w:hint="eastAsia" w:ascii="宋体" w:hAnsi="宋体"/>
          <w:b w:val="0"/>
          <w:bCs/>
          <w:sz w:val="24"/>
          <w:szCs w:val="24"/>
        </w:rPr>
        <w:t>二、工程项目简介：</w:t>
      </w:r>
      <w:bookmarkEnd w:id="284"/>
      <w:bookmarkEnd w:id="285"/>
      <w:bookmarkEnd w:id="286"/>
      <w:bookmarkEnd w:id="287"/>
    </w:p>
    <w:p>
      <w:pPr>
        <w:spacing w:line="360" w:lineRule="auto"/>
        <w:ind w:left="0" w:firstLine="0"/>
        <w:rPr>
          <w:szCs w:val="24"/>
        </w:rPr>
      </w:pPr>
      <w:r>
        <w:rPr>
          <w:rFonts w:hint="eastAsia"/>
          <w:szCs w:val="24"/>
        </w:rPr>
        <w:t>1、项目名称 ：北京市房山区人民防空办公室加州水郡西区、中冶蓝城地下人防工程维修工程</w:t>
      </w:r>
    </w:p>
    <w:p>
      <w:pPr>
        <w:spacing w:line="360" w:lineRule="auto"/>
        <w:ind w:left="0" w:firstLine="0"/>
        <w:jc w:val="both"/>
        <w:rPr>
          <w:szCs w:val="24"/>
        </w:rPr>
      </w:pPr>
      <w:r>
        <w:rPr>
          <w:rFonts w:hint="eastAsia"/>
          <w:szCs w:val="24"/>
        </w:rPr>
        <w:t>2、预算控制金额（人民币）：</w:t>
      </w:r>
      <w:r>
        <w:rPr>
          <w:rFonts w:hint="eastAsia"/>
        </w:rPr>
        <w:t>218.16167万元</w:t>
      </w:r>
      <w:r>
        <w:rPr>
          <w:rFonts w:hint="eastAsia"/>
          <w:szCs w:val="24"/>
        </w:rPr>
        <w:t xml:space="preserve"> .</w:t>
      </w:r>
    </w:p>
    <w:p>
      <w:pPr>
        <w:spacing w:line="360" w:lineRule="auto"/>
        <w:ind w:left="0" w:firstLine="0"/>
        <w:rPr>
          <w:szCs w:val="24"/>
          <w:highlight w:val="yellow"/>
        </w:rPr>
      </w:pPr>
      <w:r>
        <w:rPr>
          <w:rFonts w:hint="eastAsia"/>
          <w:szCs w:val="24"/>
        </w:rPr>
        <w:t>3、工期要求 ：合同签订之日起 45天内完成并竣工验收</w:t>
      </w:r>
    </w:p>
    <w:p>
      <w:pPr>
        <w:spacing w:line="360" w:lineRule="auto"/>
        <w:ind w:left="0" w:firstLine="0"/>
        <w:rPr>
          <w:szCs w:val="24"/>
        </w:rPr>
      </w:pPr>
      <w:r>
        <w:rPr>
          <w:rFonts w:hint="eastAsia"/>
          <w:szCs w:val="24"/>
        </w:rPr>
        <w:t xml:space="preserve">4、质量要求：合格 </w:t>
      </w:r>
    </w:p>
    <w:p>
      <w:pPr>
        <w:spacing w:line="360" w:lineRule="auto"/>
        <w:ind w:left="0" w:firstLine="0"/>
        <w:rPr>
          <w:szCs w:val="24"/>
        </w:rPr>
      </w:pPr>
      <w:r>
        <w:rPr>
          <w:szCs w:val="24"/>
        </w:rPr>
        <w:t>5</w:t>
      </w:r>
      <w:r>
        <w:rPr>
          <w:rFonts w:hint="eastAsia"/>
          <w:szCs w:val="24"/>
        </w:rPr>
        <w:t xml:space="preserve">、项目质保期为：壹年 </w:t>
      </w:r>
    </w:p>
    <w:p>
      <w:pPr>
        <w:spacing w:line="360" w:lineRule="auto"/>
        <w:ind w:left="0" w:firstLine="0"/>
        <w:rPr>
          <w:szCs w:val="24"/>
        </w:rPr>
      </w:pPr>
      <w:r>
        <w:rPr>
          <w:szCs w:val="24"/>
        </w:rPr>
        <w:t>6</w:t>
      </w:r>
      <w:r>
        <w:rPr>
          <w:rFonts w:hint="eastAsia"/>
          <w:szCs w:val="24"/>
        </w:rPr>
        <w:t xml:space="preserve">、工程内容必须与投标文件中内容一致，合同总金额包括乙方承包范围内所有工程的人工费、材料费、机械使用费、管理费、利润、技术措施费、政策性文件规定费用、验收费、安全文明施工费、材料运输、保险、各项税费及合同实施过程中不可预见费用等。 </w:t>
      </w:r>
    </w:p>
    <w:p>
      <w:pPr>
        <w:spacing w:line="360" w:lineRule="auto"/>
        <w:ind w:left="0" w:firstLine="0"/>
        <w:rPr>
          <w:szCs w:val="24"/>
        </w:rPr>
      </w:pPr>
      <w:r>
        <w:rPr>
          <w:rFonts w:hint="eastAsia"/>
          <w:szCs w:val="24"/>
        </w:rPr>
        <w:t xml:space="preserve">7、合同签订： </w:t>
      </w:r>
    </w:p>
    <w:p>
      <w:pPr>
        <w:spacing w:line="360" w:lineRule="auto"/>
        <w:ind w:left="0" w:firstLine="480" w:firstLineChars="200"/>
        <w:rPr>
          <w:szCs w:val="24"/>
        </w:rPr>
      </w:pPr>
      <w:r>
        <w:rPr>
          <w:rFonts w:hint="eastAsia"/>
          <w:szCs w:val="24"/>
        </w:rPr>
        <w:t xml:space="preserve">中标公告期满后，依据招标人要求签订施工合同，中标方规定时间内不与发包方签订施工合同的，视为放弃中标资格。 </w:t>
      </w:r>
    </w:p>
    <w:p>
      <w:pPr>
        <w:spacing w:line="360" w:lineRule="auto"/>
        <w:ind w:left="0" w:firstLine="0"/>
        <w:rPr>
          <w:szCs w:val="24"/>
        </w:rPr>
      </w:pPr>
      <w:r>
        <w:rPr>
          <w:rFonts w:hint="eastAsia"/>
          <w:szCs w:val="24"/>
        </w:rPr>
        <w:t xml:space="preserve">8、总包与分包规定： </w:t>
      </w:r>
    </w:p>
    <w:p>
      <w:pPr>
        <w:spacing w:line="360" w:lineRule="auto"/>
        <w:ind w:left="0" w:firstLine="0"/>
        <w:rPr>
          <w:szCs w:val="24"/>
        </w:rPr>
      </w:pPr>
      <w:r>
        <w:rPr>
          <w:rFonts w:hint="eastAsia"/>
          <w:szCs w:val="24"/>
        </w:rPr>
        <w:t xml:space="preserve">根据采购人提供的施工图纸、工程量清单、工程性质、工程特点，包材料、包机械、包质量、包工期、包安全、包文明施工等。 </w:t>
      </w:r>
    </w:p>
    <w:p>
      <w:pPr>
        <w:spacing w:line="360" w:lineRule="auto"/>
        <w:ind w:left="0" w:firstLine="0"/>
        <w:rPr>
          <w:szCs w:val="24"/>
        </w:rPr>
      </w:pPr>
      <w:r>
        <w:rPr>
          <w:rFonts w:hint="eastAsia"/>
          <w:szCs w:val="24"/>
        </w:rPr>
        <w:t>9、施工要求：</w:t>
      </w:r>
    </w:p>
    <w:p>
      <w:pPr>
        <w:spacing w:line="360" w:lineRule="auto"/>
        <w:ind w:left="0" w:firstLine="0"/>
        <w:rPr>
          <w:szCs w:val="24"/>
        </w:rPr>
      </w:pPr>
      <w:r>
        <w:rPr>
          <w:rFonts w:hint="eastAsia"/>
          <w:szCs w:val="24"/>
        </w:rPr>
        <w:t xml:space="preserve"> 1）、安全文明施工要求：严格遵守《中华人民共和国安全生产法》（国家主席70号令）、《建设工程安全生产管理条例》（中华人民共和国国务院令第393号）以及文明施工、深夜施工、环卫和城管、计划生育等规定，建立规章制度和防护措施。若违反以上规定，由此造成的经济和法律责任，均由中标供应商负责。</w:t>
      </w:r>
    </w:p>
    <w:p>
      <w:pPr>
        <w:spacing w:line="360" w:lineRule="auto"/>
        <w:ind w:left="0" w:firstLine="0"/>
        <w:rPr>
          <w:szCs w:val="24"/>
        </w:rPr>
      </w:pPr>
      <w:r>
        <w:rPr>
          <w:rFonts w:hint="eastAsia"/>
          <w:szCs w:val="24"/>
        </w:rPr>
        <w:t xml:space="preserve">2）、施工单位应按审查合格的设计图纸施工，设计变更应有原设计单位的设计变更通知。施工中的安全技术、劳动保护、防火措施及环境保护等应符合国家有关法律法规和现行有关标准的规定。隐蔽工程应在检验合格后进行封闭施工，并应有现场施工记录或相应数据。在施工过程中或工程竣工后，应做好设备、材料及装置的保护，不得污染和损坏。 </w:t>
      </w:r>
    </w:p>
    <w:p>
      <w:pPr>
        <w:spacing w:line="360" w:lineRule="auto"/>
        <w:ind w:left="0" w:firstLine="0"/>
        <w:rPr>
          <w:szCs w:val="24"/>
        </w:rPr>
      </w:pPr>
      <w:r>
        <w:rPr>
          <w:rFonts w:hint="eastAsia"/>
          <w:szCs w:val="24"/>
        </w:rPr>
        <w:t xml:space="preserve">3）、主要材料使用要求：工程所采用的全部材料、配件或成品等需环保安全，符合安全检测标准，质量水平必须达到行业内中档水平，主要材料使用前必须提交样品经采购方确认才可正式投入使用。中标供应商如采用低档次产品以次充好而引起工程质量问题，除需承担返工责任外，另按合同总价的 3%向采购人支付质量违约金。 </w:t>
      </w:r>
    </w:p>
    <w:p>
      <w:pPr>
        <w:spacing w:line="360" w:lineRule="auto"/>
        <w:ind w:left="0" w:firstLine="0"/>
        <w:rPr>
          <w:szCs w:val="24"/>
        </w:rPr>
      </w:pPr>
      <w:r>
        <w:rPr>
          <w:rFonts w:hint="eastAsia"/>
          <w:szCs w:val="24"/>
        </w:rPr>
        <w:t xml:space="preserve">4）、工程验收： </w:t>
      </w:r>
    </w:p>
    <w:p>
      <w:pPr>
        <w:spacing w:line="360" w:lineRule="auto"/>
        <w:ind w:left="0" w:firstLine="480" w:firstLineChars="200"/>
        <w:rPr>
          <w:szCs w:val="24"/>
        </w:rPr>
      </w:pPr>
      <w:r>
        <w:rPr>
          <w:rFonts w:hint="eastAsia"/>
          <w:szCs w:val="24"/>
        </w:rPr>
        <w:t xml:space="preserve">本工程按磋商文件、合同及国家颁发的《建设工程施工质量验收统一标准》等进行工程验收。 </w:t>
      </w:r>
    </w:p>
    <w:p>
      <w:pPr>
        <w:spacing w:line="360" w:lineRule="auto"/>
        <w:ind w:left="0" w:firstLine="0"/>
        <w:rPr>
          <w:szCs w:val="24"/>
        </w:rPr>
      </w:pPr>
      <w:r>
        <w:rPr>
          <w:rFonts w:hint="eastAsia"/>
          <w:szCs w:val="24"/>
        </w:rPr>
        <w:t>5）、履约保证金 （不适用）</w:t>
      </w:r>
    </w:p>
    <w:p>
      <w:pPr>
        <w:spacing w:line="360" w:lineRule="auto"/>
        <w:ind w:left="0" w:firstLine="480" w:firstLineChars="200"/>
        <w:rPr>
          <w:szCs w:val="24"/>
        </w:rPr>
      </w:pPr>
      <w:r>
        <w:rPr>
          <w:rFonts w:hint="eastAsia"/>
          <w:szCs w:val="24"/>
        </w:rPr>
        <w:t xml:space="preserve">本工程履约保证金为人民币元（¥元 ），乙方在签订完施工合同后应将履约保证金通过银行转账方式汇至甲方指定账户，乙方凭转账凭证至甲方财务部门开取收据，工程竣工验收合格后7个工作日内甲方无息退还履约保证金；或者乙方在签订完施工合同后出具由金融担保机构出具履约保函。 </w:t>
      </w:r>
    </w:p>
    <w:p>
      <w:pPr>
        <w:spacing w:line="360" w:lineRule="auto"/>
        <w:ind w:left="0" w:firstLine="0"/>
        <w:rPr>
          <w:szCs w:val="24"/>
        </w:rPr>
      </w:pPr>
      <w:r>
        <w:rPr>
          <w:rFonts w:hint="eastAsia"/>
          <w:szCs w:val="24"/>
        </w:rPr>
        <w:t xml:space="preserve">6）、质保期及售后服务 </w:t>
      </w:r>
    </w:p>
    <w:p>
      <w:pPr>
        <w:spacing w:line="360" w:lineRule="auto"/>
        <w:ind w:left="0" w:firstLine="480" w:firstLineChars="200"/>
        <w:rPr>
          <w:szCs w:val="24"/>
        </w:rPr>
      </w:pPr>
      <w:r>
        <w:rPr>
          <w:rFonts w:hint="eastAsia"/>
          <w:szCs w:val="24"/>
        </w:rPr>
        <w:t xml:space="preserve">本工程的质量保证期为壹年，保质期从工程竣工验收合格之日算起。保质期内，如因非人为因素出现工程质量问题时，乙方在接到甲方通知24小时内赶到现场并免费负责维修，否则，甲方有权聘用其他单位或个人参与维修，维修费用从工程质保金中扣除，不够扣除的，由乙方补足。 </w:t>
      </w:r>
    </w:p>
    <w:p>
      <w:pPr>
        <w:pStyle w:val="2"/>
        <w:spacing w:line="360" w:lineRule="auto"/>
        <w:ind w:left="480" w:firstLine="480"/>
      </w:pPr>
    </w:p>
    <w:p>
      <w:pPr>
        <w:pStyle w:val="2"/>
        <w:spacing w:line="360" w:lineRule="auto"/>
        <w:ind w:left="480" w:firstLine="480"/>
      </w:pPr>
    </w:p>
    <w:p>
      <w:pPr>
        <w:pStyle w:val="2"/>
        <w:spacing w:line="360" w:lineRule="auto"/>
        <w:ind w:left="480" w:firstLine="480"/>
      </w:pPr>
    </w:p>
    <w:p>
      <w:pPr>
        <w:pStyle w:val="2"/>
        <w:spacing w:line="360" w:lineRule="auto"/>
        <w:ind w:left="480" w:firstLine="480"/>
      </w:pPr>
    </w:p>
    <w:p>
      <w:pPr>
        <w:pStyle w:val="2"/>
        <w:spacing w:line="360" w:lineRule="auto"/>
        <w:ind w:left="480" w:firstLine="480"/>
      </w:pPr>
    </w:p>
    <w:p>
      <w:pPr>
        <w:pStyle w:val="2"/>
        <w:spacing w:line="360" w:lineRule="auto"/>
        <w:ind w:left="480" w:firstLine="480"/>
      </w:pPr>
    </w:p>
    <w:p>
      <w:pPr>
        <w:pStyle w:val="2"/>
        <w:spacing w:line="360" w:lineRule="auto"/>
        <w:ind w:left="480" w:firstLine="480"/>
      </w:pPr>
    </w:p>
    <w:p>
      <w:pPr>
        <w:pStyle w:val="2"/>
        <w:spacing w:line="360" w:lineRule="auto"/>
        <w:ind w:left="480" w:firstLine="480"/>
      </w:pPr>
    </w:p>
    <w:p>
      <w:pPr>
        <w:pStyle w:val="2"/>
        <w:spacing w:line="360" w:lineRule="auto"/>
        <w:ind w:left="480" w:firstLine="480"/>
      </w:pPr>
    </w:p>
    <w:p>
      <w:pPr>
        <w:pStyle w:val="2"/>
        <w:spacing w:line="360" w:lineRule="auto"/>
        <w:ind w:left="480" w:firstLine="480"/>
      </w:pPr>
    </w:p>
    <w:p>
      <w:pPr>
        <w:pStyle w:val="4"/>
        <w:spacing w:line="360" w:lineRule="auto"/>
        <w:jc w:val="left"/>
        <w:rPr>
          <w:rFonts w:ascii="宋体" w:hAnsi="宋体" w:eastAsia="宋体"/>
          <w:b/>
          <w:bCs/>
          <w:sz w:val="24"/>
          <w:szCs w:val="24"/>
        </w:rPr>
      </w:pPr>
      <w:bookmarkStart w:id="288" w:name="_Toc16611"/>
      <w:bookmarkStart w:id="289" w:name="_Toc77206883"/>
      <w:bookmarkStart w:id="290" w:name="_Toc86825535"/>
      <w:bookmarkStart w:id="291" w:name="_Toc79057548"/>
      <w:r>
        <w:rPr>
          <w:rFonts w:ascii="宋体" w:hAnsi="宋体" w:eastAsia="宋体"/>
          <w:b/>
          <w:bCs/>
          <w:sz w:val="24"/>
          <w:szCs w:val="24"/>
        </w:rPr>
        <w:t xml:space="preserve">第四章  </w:t>
      </w:r>
      <w:bookmarkEnd w:id="288"/>
      <w:r>
        <w:rPr>
          <w:rFonts w:ascii="宋体" w:hAnsi="宋体" w:eastAsia="宋体"/>
          <w:b/>
          <w:bCs/>
          <w:sz w:val="24"/>
          <w:szCs w:val="24"/>
        </w:rPr>
        <w:t>合同条款及格式</w:t>
      </w:r>
      <w:bookmarkEnd w:id="289"/>
      <w:r>
        <w:rPr>
          <w:rFonts w:hint="eastAsia" w:ascii="宋体" w:hAnsi="宋体" w:eastAsia="宋体"/>
          <w:b/>
          <w:bCs/>
          <w:sz w:val="24"/>
          <w:szCs w:val="24"/>
        </w:rPr>
        <w:t>（仅供参考）</w:t>
      </w:r>
      <w:bookmarkEnd w:id="290"/>
      <w:bookmarkEnd w:id="291"/>
    </w:p>
    <w:p>
      <w:pPr>
        <w:spacing w:line="360" w:lineRule="auto"/>
      </w:pPr>
    </w:p>
    <w:p>
      <w:pPr>
        <w:spacing w:line="360" w:lineRule="auto"/>
        <w:ind w:left="0" w:firstLine="0"/>
        <w:jc w:val="center"/>
        <w:rPr>
          <w:szCs w:val="24"/>
        </w:rPr>
      </w:pPr>
      <w:bookmarkStart w:id="292" w:name="_Toc342296261"/>
      <w:bookmarkStart w:id="293" w:name="_Toc403052627"/>
      <w:bookmarkStart w:id="294" w:name="_Toc403059569"/>
      <w:bookmarkStart w:id="295" w:name="_Toc391456181"/>
      <w:r>
        <w:rPr>
          <w:rFonts w:hint="eastAsia"/>
          <w:szCs w:val="24"/>
          <w:u w:val="single"/>
        </w:rPr>
        <w:t>北京市房山区人民防空办公室加州水郡西区、中冶蓝城地下人防工程维修工程</w:t>
      </w:r>
      <w:r>
        <w:rPr>
          <w:rFonts w:hint="eastAsia"/>
          <w:szCs w:val="24"/>
        </w:rPr>
        <w:t>施工合同</w:t>
      </w:r>
    </w:p>
    <w:p>
      <w:pPr>
        <w:spacing w:line="360" w:lineRule="auto"/>
        <w:ind w:left="0" w:firstLine="0"/>
        <w:jc w:val="center"/>
        <w:rPr>
          <w:szCs w:val="24"/>
        </w:rPr>
      </w:pPr>
    </w:p>
    <w:p>
      <w:pPr>
        <w:pStyle w:val="5"/>
        <w:spacing w:line="360" w:lineRule="auto"/>
        <w:rPr>
          <w:sz w:val="24"/>
          <w:szCs w:val="24"/>
        </w:rPr>
      </w:pPr>
      <w:bookmarkStart w:id="296" w:name="_Toc79057549"/>
      <w:bookmarkStart w:id="297" w:name="_Toc77206884"/>
      <w:bookmarkStart w:id="298" w:name="_Toc86825536"/>
      <w:r>
        <w:rPr>
          <w:rFonts w:hint="eastAsia"/>
          <w:sz w:val="24"/>
          <w:szCs w:val="24"/>
        </w:rPr>
        <w:t>第一节　通用合同条款</w:t>
      </w:r>
      <w:bookmarkEnd w:id="292"/>
      <w:bookmarkEnd w:id="293"/>
      <w:bookmarkEnd w:id="294"/>
      <w:bookmarkEnd w:id="295"/>
      <w:bookmarkEnd w:id="296"/>
      <w:bookmarkEnd w:id="297"/>
      <w:bookmarkEnd w:id="298"/>
    </w:p>
    <w:p>
      <w:pPr>
        <w:spacing w:line="360" w:lineRule="auto"/>
        <w:ind w:left="0" w:firstLine="0"/>
      </w:pPr>
    </w:p>
    <w:p>
      <w:pPr>
        <w:spacing w:line="360" w:lineRule="auto"/>
        <w:ind w:left="0" w:firstLine="0"/>
        <w:rPr>
          <w:b/>
          <w:bCs/>
        </w:rPr>
      </w:pPr>
      <w:bookmarkStart w:id="299" w:name="_Toc403059570"/>
      <w:bookmarkStart w:id="300" w:name="_Toc391456182"/>
      <w:bookmarkStart w:id="301" w:name="_Toc342296262"/>
      <w:bookmarkStart w:id="302" w:name="_Toc403052628"/>
      <w:bookmarkStart w:id="303" w:name="_Toc338944704"/>
      <w:r>
        <w:rPr>
          <w:rFonts w:hint="eastAsia"/>
          <w:b/>
          <w:bCs/>
        </w:rPr>
        <w:t>1. 一般约定</w:t>
      </w:r>
      <w:bookmarkEnd w:id="299"/>
      <w:bookmarkEnd w:id="300"/>
      <w:bookmarkEnd w:id="301"/>
      <w:bookmarkEnd w:id="302"/>
      <w:bookmarkEnd w:id="303"/>
    </w:p>
    <w:p>
      <w:pPr>
        <w:spacing w:line="360" w:lineRule="auto"/>
        <w:ind w:left="0" w:firstLine="0"/>
        <w:rPr>
          <w:b/>
          <w:bCs/>
        </w:rPr>
      </w:pPr>
      <w:bookmarkStart w:id="304" w:name="_Toc403059571"/>
      <w:bookmarkStart w:id="305" w:name="_Toc393200036"/>
      <w:bookmarkStart w:id="306" w:name="_Toc338944705"/>
      <w:bookmarkStart w:id="307" w:name="_Toc403052629"/>
      <w:bookmarkStart w:id="308" w:name="_Toc393199522"/>
      <w:bookmarkStart w:id="309" w:name="_Toc393200550"/>
      <w:bookmarkStart w:id="310" w:name="_Toc342296263"/>
      <w:bookmarkStart w:id="311" w:name="_Toc403054389"/>
      <w:bookmarkStart w:id="312" w:name="_Toc391456183"/>
      <w:r>
        <w:rPr>
          <w:rFonts w:hint="eastAsia"/>
          <w:b/>
          <w:bCs/>
        </w:rPr>
        <w:t>1.1　词语定义</w:t>
      </w:r>
      <w:bookmarkEnd w:id="304"/>
      <w:bookmarkEnd w:id="305"/>
      <w:bookmarkEnd w:id="306"/>
      <w:bookmarkEnd w:id="307"/>
      <w:bookmarkEnd w:id="308"/>
      <w:bookmarkEnd w:id="309"/>
      <w:bookmarkEnd w:id="310"/>
      <w:bookmarkEnd w:id="311"/>
      <w:bookmarkEnd w:id="312"/>
    </w:p>
    <w:p>
      <w:pPr>
        <w:spacing w:line="360" w:lineRule="auto"/>
        <w:ind w:left="0" w:firstLine="0"/>
      </w:pPr>
      <w:r>
        <w:rPr>
          <w:rFonts w:hint="eastAsia"/>
        </w:rPr>
        <w:t>通用合同条款、专用合同条款中的下列词语应具有本款所赋予的含义。</w:t>
      </w:r>
    </w:p>
    <w:p>
      <w:pPr>
        <w:spacing w:line="360" w:lineRule="auto"/>
        <w:ind w:left="0" w:firstLine="0"/>
      </w:pPr>
      <w:r>
        <w:rPr>
          <w:rFonts w:hint="eastAsia"/>
        </w:rPr>
        <w:t>1.1.1　分包合同</w:t>
      </w:r>
    </w:p>
    <w:p>
      <w:pPr>
        <w:spacing w:line="360" w:lineRule="auto"/>
        <w:ind w:left="0" w:firstLine="0"/>
      </w:pPr>
      <w:r>
        <w:rPr>
          <w:rFonts w:hint="eastAsia"/>
        </w:rPr>
        <w:t>1.1.1.1　分包合同文件（或称分包合同）：指本分包工程的合同协议书、中标通知书、投标函及投标函附录、专用合同条款、通用合同条款、技术标准和要求、图纸、已标价工程量清单，以及其他合同文件。</w:t>
      </w:r>
    </w:p>
    <w:p>
      <w:pPr>
        <w:spacing w:line="360" w:lineRule="auto"/>
        <w:ind w:left="0" w:firstLine="0"/>
      </w:pPr>
      <w:r>
        <w:rPr>
          <w:rFonts w:hint="eastAsia"/>
        </w:rPr>
        <w:t>1.1.1.2　合同协议书：指构成分包合同文件组成部分的，由承包人与分包人共同签署的名为合同协议书的文件。</w:t>
      </w:r>
    </w:p>
    <w:p>
      <w:pPr>
        <w:spacing w:line="360" w:lineRule="auto"/>
        <w:ind w:left="0" w:firstLine="0"/>
      </w:pPr>
      <w:r>
        <w:rPr>
          <w:rFonts w:hint="eastAsia"/>
        </w:rPr>
        <w:t>1.1.1.3　中标通知书：指构成分包合同文件组成部分的，由承包人通知分包人中标的</w:t>
      </w:r>
      <w:r>
        <w:t>文件</w:t>
      </w:r>
      <w:r>
        <w:rPr>
          <w:rFonts w:hint="eastAsia"/>
        </w:rPr>
        <w:t>。</w:t>
      </w:r>
    </w:p>
    <w:p>
      <w:pPr>
        <w:spacing w:line="360" w:lineRule="auto"/>
        <w:ind w:left="0" w:firstLine="0"/>
      </w:pPr>
      <w:r>
        <w:rPr>
          <w:rFonts w:hint="eastAsia"/>
        </w:rPr>
        <w:t>1.1.1.4　投标函：指构成分包合同文件组成部分的，由分包人填写并签署的</w:t>
      </w:r>
      <w:r>
        <w:t>用于投标的</w:t>
      </w:r>
      <w:r>
        <w:rPr>
          <w:rFonts w:hint="eastAsia"/>
        </w:rPr>
        <w:t>名为投标函</w:t>
      </w:r>
      <w:r>
        <w:t>的文件</w:t>
      </w:r>
      <w:r>
        <w:rPr>
          <w:rFonts w:hint="eastAsia"/>
        </w:rPr>
        <w:t>。</w:t>
      </w:r>
    </w:p>
    <w:p>
      <w:pPr>
        <w:spacing w:line="360" w:lineRule="auto"/>
        <w:ind w:left="0" w:firstLine="0"/>
      </w:pPr>
      <w:r>
        <w:rPr>
          <w:rFonts w:hint="eastAsia"/>
        </w:rPr>
        <w:t>1.1.1.5　投标函附录：指构成分包合同文件组成部分的，附在投标函后的名为投标函附录的文件。</w:t>
      </w:r>
    </w:p>
    <w:p>
      <w:pPr>
        <w:spacing w:line="360" w:lineRule="auto"/>
        <w:ind w:left="0" w:firstLine="0"/>
      </w:pPr>
      <w:r>
        <w:rPr>
          <w:rFonts w:hint="eastAsia"/>
        </w:rPr>
        <w:t>1.1.1.6　技术标准和要求：指构成分包合同文件组成部分的，名为技术标准和要求的文件，包括合同双方当事人约定对其所作的修改或补充。</w:t>
      </w:r>
    </w:p>
    <w:p>
      <w:pPr>
        <w:spacing w:line="360" w:lineRule="auto"/>
        <w:ind w:left="0" w:firstLine="0"/>
      </w:pPr>
      <w:r>
        <w:rPr>
          <w:rFonts w:hint="eastAsia"/>
        </w:rPr>
        <w:t>1.1.1.7　图纸：指构成分包合同文件组成部分的工程图纸，以及由承包人按分包合同约定提供的任何补充和修改的图纸，包括配套的说明。</w:t>
      </w:r>
    </w:p>
    <w:p>
      <w:pPr>
        <w:spacing w:line="360" w:lineRule="auto"/>
        <w:ind w:left="0" w:firstLine="0"/>
      </w:pPr>
      <w:r>
        <w:rPr>
          <w:rFonts w:hint="eastAsia"/>
        </w:rPr>
        <w:t>1.1.1.8　已标价工程量清单：指构成分包合同文件组成部分的，由分包人按照规定的格式和要求填写并标明价格的工程量清单。</w:t>
      </w:r>
    </w:p>
    <w:p>
      <w:pPr>
        <w:spacing w:line="360" w:lineRule="auto"/>
        <w:ind w:left="0" w:firstLine="0"/>
      </w:pPr>
      <w:r>
        <w:rPr>
          <w:rFonts w:hint="eastAsia"/>
        </w:rPr>
        <w:t>1.1.1.9　其他合同文件：指经合同双方当事人确认构成分包合同文件的其他文件。</w:t>
      </w:r>
    </w:p>
    <w:p>
      <w:pPr>
        <w:spacing w:line="360" w:lineRule="auto"/>
        <w:ind w:left="0" w:firstLine="0"/>
      </w:pPr>
      <w:r>
        <w:rPr>
          <w:rFonts w:hint="eastAsia"/>
        </w:rPr>
        <w:t>1.1.1.10　总承包合同：指发包人与承包人共同签订的整体工程的施工总承包合同。</w:t>
      </w:r>
    </w:p>
    <w:p>
      <w:pPr>
        <w:spacing w:line="360" w:lineRule="auto"/>
        <w:ind w:left="0" w:firstLine="0"/>
      </w:pPr>
      <w:r>
        <w:rPr>
          <w:rFonts w:hint="eastAsia"/>
        </w:rPr>
        <w:t>1.1.2　合同当事人和人员</w:t>
      </w:r>
    </w:p>
    <w:p>
      <w:pPr>
        <w:spacing w:line="360" w:lineRule="auto"/>
        <w:ind w:left="0" w:firstLine="0"/>
      </w:pPr>
      <w:r>
        <w:rPr>
          <w:rFonts w:hint="eastAsia"/>
        </w:rPr>
        <w:t>1.1.2.1　合同当事人:指承包人和（或）分包人。</w:t>
      </w:r>
    </w:p>
    <w:p>
      <w:pPr>
        <w:spacing w:line="360" w:lineRule="auto"/>
        <w:ind w:left="0" w:firstLine="0"/>
      </w:pPr>
      <w:r>
        <w:rPr>
          <w:rFonts w:hint="eastAsia"/>
        </w:rPr>
        <w:t>1.1.2.</w:t>
      </w:r>
      <w:r>
        <w:t>2</w:t>
      </w:r>
      <w:r>
        <w:rPr>
          <w:rFonts w:hint="eastAsia"/>
        </w:rPr>
        <w:t>　承包人：指在专用合同条款中指明的，与发包人签订整体工程的总承包合同，并经发包人同意与分包人签订分包合同的当事人，以及取得当事人资格的合法继承人。</w:t>
      </w:r>
    </w:p>
    <w:p>
      <w:pPr>
        <w:spacing w:line="360" w:lineRule="auto"/>
        <w:ind w:left="0" w:firstLine="0"/>
      </w:pPr>
      <w:r>
        <w:rPr>
          <w:rFonts w:hint="eastAsia"/>
        </w:rPr>
        <w:t>1.1.2.</w:t>
      </w:r>
      <w:r>
        <w:t>3</w:t>
      </w:r>
      <w:r>
        <w:rPr>
          <w:rFonts w:hint="eastAsia"/>
        </w:rPr>
        <w:t>　分包人：指与承包人签订分包合同的当事人，以及取得当事人资格的合法继承人。</w:t>
      </w:r>
    </w:p>
    <w:p>
      <w:pPr>
        <w:spacing w:line="360" w:lineRule="auto"/>
        <w:ind w:left="0" w:firstLine="0"/>
      </w:pPr>
      <w:r>
        <w:rPr>
          <w:rFonts w:hint="eastAsia"/>
        </w:rPr>
        <w:t>1.1.2.4　承包人项目经理：指在专用合同条款中指明的，承包人指定的派驻施工场地（现场）的全权代表。</w:t>
      </w:r>
    </w:p>
    <w:p>
      <w:pPr>
        <w:spacing w:line="360" w:lineRule="auto"/>
        <w:ind w:left="0" w:firstLine="0"/>
      </w:pPr>
      <w:r>
        <w:rPr>
          <w:rFonts w:hint="eastAsia"/>
        </w:rPr>
        <w:t>1.1.2.</w:t>
      </w:r>
      <w:r>
        <w:t>5</w:t>
      </w:r>
      <w:r>
        <w:rPr>
          <w:rFonts w:hint="eastAsia"/>
        </w:rPr>
        <w:t>　分包人项目经理：指分包人派驻施工场地的全权负责人。</w:t>
      </w:r>
    </w:p>
    <w:p>
      <w:pPr>
        <w:spacing w:line="360" w:lineRule="auto"/>
        <w:ind w:left="0" w:firstLine="0"/>
      </w:pPr>
      <w:r>
        <w:rPr>
          <w:rFonts w:hint="eastAsia"/>
        </w:rPr>
        <w:t>1.1.2.</w:t>
      </w:r>
      <w:r>
        <w:t>6</w:t>
      </w:r>
      <w:r>
        <w:rPr>
          <w:rFonts w:hint="eastAsia"/>
        </w:rPr>
        <w:t>　发包人：指在专用合同条款中指明的，与承包人签订整体工程的总承包合同的当事人，以及取得当事人资格的合法继承人。</w:t>
      </w:r>
    </w:p>
    <w:p>
      <w:pPr>
        <w:spacing w:line="360" w:lineRule="auto"/>
        <w:ind w:left="0" w:firstLine="0"/>
      </w:pPr>
      <w:r>
        <w:rPr>
          <w:rFonts w:hint="eastAsia"/>
        </w:rPr>
        <w:t>1.1.2.</w:t>
      </w:r>
      <w:r>
        <w:t>7</w:t>
      </w:r>
      <w:r>
        <w:rPr>
          <w:rFonts w:hint="eastAsia"/>
        </w:rPr>
        <w:t>　监理人：</w:t>
      </w:r>
      <w:r>
        <w:t>指</w:t>
      </w:r>
      <w:r>
        <w:rPr>
          <w:rFonts w:hint="eastAsia"/>
        </w:rPr>
        <w:t>在专用合同条款中指明的，受发包人委托对总承包合同履行实施管理的法人或其他组织。</w:t>
      </w:r>
    </w:p>
    <w:p>
      <w:pPr>
        <w:spacing w:line="360" w:lineRule="auto"/>
        <w:ind w:left="0" w:firstLine="0"/>
      </w:pPr>
      <w:r>
        <w:rPr>
          <w:rFonts w:hint="eastAsia"/>
        </w:rPr>
        <w:t>1.1.2.</w:t>
      </w:r>
      <w:r>
        <w:t>8</w:t>
      </w:r>
      <w:r>
        <w:rPr>
          <w:rFonts w:hint="eastAsia"/>
        </w:rPr>
        <w:t>　专项供应商：指根据合同条款第1</w:t>
      </w:r>
      <w:r>
        <w:t>5</w:t>
      </w:r>
      <w:r>
        <w:rPr>
          <w:rFonts w:hint="eastAsia"/>
        </w:rPr>
        <w:t>.8.1项的约定，由承包人和分包人以招标方式选择的供应商。</w:t>
      </w:r>
    </w:p>
    <w:p>
      <w:pPr>
        <w:spacing w:line="360" w:lineRule="auto"/>
        <w:ind w:left="0" w:firstLine="0"/>
      </w:pPr>
      <w:r>
        <w:rPr>
          <w:rFonts w:hint="eastAsia"/>
        </w:rPr>
        <w:t>1.1.3　工程和设备</w:t>
      </w:r>
    </w:p>
    <w:p>
      <w:pPr>
        <w:spacing w:line="360" w:lineRule="auto"/>
        <w:ind w:left="0" w:firstLine="0"/>
      </w:pPr>
      <w:r>
        <w:rPr>
          <w:rFonts w:hint="eastAsia"/>
        </w:rPr>
        <w:t>1.1.3.1　</w:t>
      </w:r>
      <w:r>
        <w:t>整体工程</w:t>
      </w:r>
      <w:r>
        <w:rPr>
          <w:rFonts w:hint="eastAsia"/>
        </w:rPr>
        <w:t>：</w:t>
      </w:r>
      <w:r>
        <w:t>是指发包人和承包人在总</w:t>
      </w:r>
      <w:r>
        <w:rPr>
          <w:rFonts w:hint="eastAsia"/>
        </w:rPr>
        <w:t>承</w:t>
      </w:r>
      <w:r>
        <w:t>包合同中约定的承包范围内的工程。</w:t>
      </w:r>
    </w:p>
    <w:p>
      <w:pPr>
        <w:spacing w:line="360" w:lineRule="auto"/>
        <w:ind w:left="0" w:firstLine="0"/>
      </w:pPr>
      <w:r>
        <w:rPr>
          <w:rFonts w:hint="eastAsia"/>
        </w:rPr>
        <w:t>1.1.3.</w:t>
      </w:r>
      <w:r>
        <w:t>2</w:t>
      </w:r>
      <w:r>
        <w:rPr>
          <w:rFonts w:hint="eastAsia"/>
        </w:rPr>
        <w:t>　分包工程：</w:t>
      </w:r>
      <w:r>
        <w:t>是指承包人和分包人在分包合同中约定的分包人承包范围内的工程。</w:t>
      </w:r>
      <w:r>
        <w:rPr>
          <w:rFonts w:hint="eastAsia"/>
        </w:rPr>
        <w:t>包括分包合同中的永久工程和（或）临时工程。</w:t>
      </w:r>
    </w:p>
    <w:p>
      <w:pPr>
        <w:spacing w:line="360" w:lineRule="auto"/>
        <w:ind w:left="0" w:firstLine="0"/>
      </w:pPr>
      <w:r>
        <w:rPr>
          <w:rFonts w:hint="eastAsia"/>
        </w:rPr>
        <w:t>1.1.3.</w:t>
      </w:r>
      <w:r>
        <w:t>3</w:t>
      </w:r>
      <w:r>
        <w:rPr>
          <w:rFonts w:hint="eastAsia"/>
        </w:rPr>
        <w:t>　永久工程：指按专用合同条款约定建造并移交给承包人的工程，包括工程设备。</w:t>
      </w:r>
    </w:p>
    <w:p>
      <w:pPr>
        <w:spacing w:line="360" w:lineRule="auto"/>
        <w:ind w:left="0" w:firstLine="0"/>
      </w:pPr>
      <w:r>
        <w:rPr>
          <w:rFonts w:hint="eastAsia"/>
        </w:rPr>
        <w:t>1.1.3.</w:t>
      </w:r>
      <w:r>
        <w:t>4</w:t>
      </w:r>
      <w:r>
        <w:rPr>
          <w:rFonts w:hint="eastAsia"/>
        </w:rPr>
        <w:t>　临时工程：指为完成专用合同条款约定的永久工程所修建的各类临时性工程，不包括施工设备。</w:t>
      </w:r>
    </w:p>
    <w:p>
      <w:pPr>
        <w:spacing w:line="360" w:lineRule="auto"/>
        <w:ind w:left="0" w:firstLine="0"/>
      </w:pPr>
      <w:r>
        <w:rPr>
          <w:rFonts w:hint="eastAsia"/>
        </w:rPr>
        <w:t>1.1.3.</w:t>
      </w:r>
      <w:r>
        <w:t>5</w:t>
      </w:r>
      <w:r>
        <w:rPr>
          <w:rFonts w:hint="eastAsia"/>
        </w:rPr>
        <w:t>　工程设备：指构成或计划构成永久工程一部分的机电设备、金属结构设备、仪器装置及其他类似的设备和装置。</w:t>
      </w:r>
    </w:p>
    <w:p>
      <w:pPr>
        <w:spacing w:line="360" w:lineRule="auto"/>
        <w:ind w:left="0" w:firstLine="0"/>
      </w:pPr>
      <w:r>
        <w:rPr>
          <w:rFonts w:hint="eastAsia"/>
        </w:rPr>
        <w:t>1.1.3.</w:t>
      </w:r>
      <w:r>
        <w:t>6</w:t>
      </w:r>
      <w:r>
        <w:rPr>
          <w:rFonts w:hint="eastAsia"/>
        </w:rPr>
        <w:t>　材料：指构成或将构成永久工程组成部分的各类物品(工程设备除外)，包括分包合同中可能约定的分包人仅负责供应的材料。</w:t>
      </w:r>
    </w:p>
    <w:p>
      <w:pPr>
        <w:spacing w:line="360" w:lineRule="auto"/>
        <w:ind w:left="0" w:firstLine="0"/>
      </w:pPr>
      <w:r>
        <w:rPr>
          <w:rFonts w:hint="eastAsia"/>
        </w:rPr>
        <w:t>1.1.3.</w:t>
      </w:r>
      <w:r>
        <w:t>7</w:t>
      </w:r>
      <w:r>
        <w:rPr>
          <w:rFonts w:hint="eastAsia"/>
        </w:rPr>
        <w:t>　施工设备：指为完成分包合同约定的各项工作所需的设备、器具和其他物品，不包括临时工程和材料。</w:t>
      </w:r>
    </w:p>
    <w:p>
      <w:pPr>
        <w:spacing w:line="360" w:lineRule="auto"/>
        <w:ind w:left="0" w:firstLine="0"/>
      </w:pPr>
      <w:r>
        <w:rPr>
          <w:rFonts w:hint="eastAsia"/>
        </w:rPr>
        <w:t>1.1.3.</w:t>
      </w:r>
      <w:r>
        <w:t>8</w:t>
      </w:r>
      <w:r>
        <w:rPr>
          <w:rFonts w:hint="eastAsia"/>
        </w:rPr>
        <w:t>　临时设施：指为完成分包合同约定的各项工作所服务的临时性生产和生活设施。</w:t>
      </w:r>
    </w:p>
    <w:p>
      <w:pPr>
        <w:spacing w:line="360" w:lineRule="auto"/>
        <w:ind w:left="0" w:firstLine="0"/>
      </w:pPr>
      <w:r>
        <w:rPr>
          <w:rFonts w:hint="eastAsia"/>
        </w:rPr>
        <w:t>1.1.3.</w:t>
      </w:r>
      <w:r>
        <w:t>9</w:t>
      </w:r>
      <w:r>
        <w:rPr>
          <w:rFonts w:hint="eastAsia"/>
        </w:rPr>
        <w:t>　分包人设备：指分包人自带的施工设备。</w:t>
      </w:r>
    </w:p>
    <w:p>
      <w:pPr>
        <w:spacing w:line="360" w:lineRule="auto"/>
        <w:ind w:left="0" w:firstLine="0"/>
      </w:pPr>
      <w:r>
        <w:rPr>
          <w:rFonts w:hint="eastAsia"/>
        </w:rPr>
        <w:t>1.1.3.10　施工场地（或称工地、现场）：指用于分包合同工程施工的场所，以及在分包合同中指定作为施工场地组成部分的其他场所，包括永久占地和临时占地。</w:t>
      </w:r>
    </w:p>
    <w:p>
      <w:pPr>
        <w:spacing w:line="360" w:lineRule="auto"/>
        <w:ind w:left="0" w:firstLine="0"/>
      </w:pPr>
      <w:r>
        <w:rPr>
          <w:rFonts w:hint="eastAsia"/>
        </w:rPr>
        <w:t>1.1.3.11　永久占地：指专用合同条款中指明为实施分包合同工程需永久占用的土地。</w:t>
      </w:r>
    </w:p>
    <w:p>
      <w:pPr>
        <w:spacing w:line="360" w:lineRule="auto"/>
        <w:ind w:left="0" w:firstLine="0"/>
      </w:pPr>
      <w:r>
        <w:rPr>
          <w:rFonts w:hint="eastAsia"/>
        </w:rPr>
        <w:t>1.1.3.12　临时占地：指专用合同条款中指明为实施分包合同工程需临时占用的土地。</w:t>
      </w:r>
    </w:p>
    <w:p>
      <w:pPr>
        <w:spacing w:line="360" w:lineRule="auto"/>
        <w:ind w:left="0" w:firstLine="0"/>
      </w:pPr>
      <w:r>
        <w:rPr>
          <w:rFonts w:hint="eastAsia"/>
        </w:rPr>
        <w:t>1.1.4　日期</w:t>
      </w:r>
    </w:p>
    <w:p>
      <w:pPr>
        <w:spacing w:line="360" w:lineRule="auto"/>
        <w:ind w:left="0" w:firstLine="0"/>
      </w:pPr>
      <w:r>
        <w:rPr>
          <w:rFonts w:hint="eastAsia"/>
        </w:rPr>
        <w:t>1.1.4.1　开工通知：指承包人按第1</w:t>
      </w:r>
      <w:r>
        <w:t>1</w:t>
      </w:r>
      <w:r>
        <w:rPr>
          <w:rFonts w:hint="eastAsia"/>
        </w:rPr>
        <w:t>.1款通知分包人开工的函件。</w:t>
      </w:r>
    </w:p>
    <w:p>
      <w:pPr>
        <w:spacing w:line="360" w:lineRule="auto"/>
        <w:ind w:left="0" w:firstLine="0"/>
      </w:pPr>
      <w:r>
        <w:rPr>
          <w:rFonts w:hint="eastAsia"/>
        </w:rPr>
        <w:t>1.1.4.2　开工日期：指承包人按第1</w:t>
      </w:r>
      <w:r>
        <w:t>1</w:t>
      </w:r>
      <w:r>
        <w:rPr>
          <w:rFonts w:hint="eastAsia"/>
        </w:rPr>
        <w:t>.1款发出的开工通知中写明的开工日期。</w:t>
      </w:r>
    </w:p>
    <w:p>
      <w:pPr>
        <w:spacing w:line="360" w:lineRule="auto"/>
        <w:ind w:left="0" w:firstLine="0"/>
      </w:pPr>
      <w:r>
        <w:rPr>
          <w:rFonts w:hint="eastAsia"/>
        </w:rPr>
        <w:t>1.1.4.3　工期：指分包人在投标函中承诺的完成分包合同工程所需的期限，包括按第1</w:t>
      </w:r>
      <w:r>
        <w:t>1</w:t>
      </w:r>
      <w:r>
        <w:rPr>
          <w:rFonts w:hint="eastAsia"/>
        </w:rPr>
        <w:t>.3款、第1</w:t>
      </w:r>
      <w:r>
        <w:t>1</w:t>
      </w:r>
      <w:r>
        <w:rPr>
          <w:rFonts w:hint="eastAsia"/>
        </w:rPr>
        <w:t>.4款和第1</w:t>
      </w:r>
      <w:r>
        <w:t>1</w:t>
      </w:r>
      <w:r>
        <w:rPr>
          <w:rFonts w:hint="eastAsia"/>
        </w:rPr>
        <w:t>.6款约定所作的变更。</w:t>
      </w:r>
    </w:p>
    <w:p>
      <w:pPr>
        <w:spacing w:line="360" w:lineRule="auto"/>
        <w:ind w:left="0" w:firstLine="0"/>
      </w:pPr>
      <w:r>
        <w:rPr>
          <w:rFonts w:hint="eastAsia"/>
        </w:rPr>
        <w:t>1.1.4.4　完工日期：指第1.1.4.3目约定工期届满时的日期。实际完工日期以工程接收证书中写明的日期为准。</w:t>
      </w:r>
    </w:p>
    <w:p>
      <w:pPr>
        <w:spacing w:line="360" w:lineRule="auto"/>
        <w:ind w:left="0" w:firstLine="0"/>
      </w:pPr>
      <w:r>
        <w:rPr>
          <w:rFonts w:hint="eastAsia"/>
        </w:rPr>
        <w:t>1.1.4.5　缺陷责任期：指履行第</w:t>
      </w:r>
      <w:r>
        <w:t>19</w:t>
      </w:r>
      <w:r>
        <w:rPr>
          <w:rFonts w:hint="eastAsia"/>
        </w:rPr>
        <w:t>.2款约定的缺陷责任的期限，具体期限由专用合同条款约定，包括根据第</w:t>
      </w:r>
      <w:r>
        <w:t>19</w:t>
      </w:r>
      <w:r>
        <w:rPr>
          <w:rFonts w:hint="eastAsia"/>
        </w:rPr>
        <w:t>.3款约定所作的延长。</w:t>
      </w:r>
    </w:p>
    <w:p>
      <w:pPr>
        <w:spacing w:line="360" w:lineRule="auto"/>
        <w:ind w:left="0" w:firstLine="0"/>
      </w:pPr>
      <w:r>
        <w:rPr>
          <w:rFonts w:hint="eastAsia"/>
        </w:rPr>
        <w:t>1.1.4.6　保修期：是根据现行有关法律规定，在合同条款第</w:t>
      </w:r>
      <w:r>
        <w:t>19</w:t>
      </w:r>
      <w:r>
        <w:rPr>
          <w:rFonts w:hint="eastAsia"/>
        </w:rPr>
        <w:t>.7款中约定的由分包人负责对分包合同约定的保修范围内发生的质量问题履行保修义务并对造成的损失承担赔偿责任的期限。</w:t>
      </w:r>
    </w:p>
    <w:p>
      <w:pPr>
        <w:spacing w:line="360" w:lineRule="auto"/>
        <w:ind w:left="0" w:firstLine="0"/>
      </w:pPr>
      <w:r>
        <w:rPr>
          <w:rFonts w:hint="eastAsia"/>
        </w:rPr>
        <w:t>1.1.4.7　基准日期：指投标截止时间前28天的日期。</w:t>
      </w:r>
    </w:p>
    <w:p>
      <w:pPr>
        <w:spacing w:line="360" w:lineRule="auto"/>
        <w:ind w:left="0" w:firstLine="0"/>
      </w:pPr>
      <w:r>
        <w:rPr>
          <w:rFonts w:hint="eastAsia"/>
        </w:rPr>
        <w:t>1.1.4.8　天：除特别指明外，指日历天。合同中按天计算时间的，开始当天不计入，从次日开始计算。期限最后一天的截止时间为当天24:00。</w:t>
      </w:r>
    </w:p>
    <w:p>
      <w:pPr>
        <w:spacing w:line="360" w:lineRule="auto"/>
        <w:ind w:left="0" w:firstLine="0"/>
      </w:pPr>
      <w:r>
        <w:rPr>
          <w:rFonts w:hint="eastAsia"/>
        </w:rPr>
        <w:t>1.1.5　合同价格和费用</w:t>
      </w:r>
    </w:p>
    <w:p>
      <w:pPr>
        <w:spacing w:line="360" w:lineRule="auto"/>
        <w:ind w:left="0" w:firstLine="0"/>
      </w:pPr>
      <w:r>
        <w:rPr>
          <w:rFonts w:hint="eastAsia"/>
        </w:rPr>
        <w:t>1.1.5.1　签约合同价：指签定分包合同时合同协议书中写明的，包括了暂列金额、暂估价的合同总金额。</w:t>
      </w:r>
    </w:p>
    <w:p>
      <w:pPr>
        <w:spacing w:line="360" w:lineRule="auto"/>
        <w:ind w:left="0" w:firstLine="0"/>
      </w:pPr>
      <w:r>
        <w:rPr>
          <w:rFonts w:hint="eastAsia"/>
        </w:rPr>
        <w:t>1.1.5.2　合同价格：指分包人按分包合同约定完成了包括缺陷责任期内的全部承包工作后，承包人应付给分包人的金额，包括在履行分包合同过程中按合同约定进行的变更和调整。</w:t>
      </w:r>
    </w:p>
    <w:p>
      <w:pPr>
        <w:spacing w:line="360" w:lineRule="auto"/>
        <w:ind w:left="0" w:firstLine="0"/>
      </w:pPr>
      <w:r>
        <w:rPr>
          <w:rFonts w:hint="eastAsia"/>
        </w:rPr>
        <w:t>1.1.5.3　费用：指为履行分包合同所发生的或将要发生的所有合理开支，包括管理费和应分摊的其他费用，但不包括利润。</w:t>
      </w:r>
    </w:p>
    <w:p>
      <w:pPr>
        <w:spacing w:line="360" w:lineRule="auto"/>
        <w:ind w:left="0" w:firstLine="0"/>
      </w:pPr>
      <w:r>
        <w:rPr>
          <w:rFonts w:hint="eastAsia"/>
        </w:rPr>
        <w:t>1.1.5.4　暂列金额：指已标价工程量清单中所列的暂列金额，用于在签订协议书时尚未确定或不可预见变更的施工及其所需材料、工程设备、服务等的金额，包括以计日工方式支付的金额。</w:t>
      </w:r>
    </w:p>
    <w:p>
      <w:pPr>
        <w:spacing w:line="360" w:lineRule="auto"/>
        <w:ind w:left="0" w:firstLine="0"/>
      </w:pPr>
      <w:r>
        <w:rPr>
          <w:rFonts w:hint="eastAsia"/>
        </w:rPr>
        <w:t>1.1.5.5暂估价：指承包人在工程量清单中给定的用于支付必然发生但暂时不能确定价格的材料、设备的金额。</w:t>
      </w:r>
    </w:p>
    <w:p>
      <w:pPr>
        <w:spacing w:line="360" w:lineRule="auto"/>
        <w:ind w:left="0" w:firstLine="0"/>
      </w:pPr>
      <w:r>
        <w:rPr>
          <w:rFonts w:hint="eastAsia"/>
        </w:rPr>
        <w:t>1.1.5.6　计日工：指对零星工作采取的一种计价方式，按分包合同中的计日工子目及其单价计价付款。</w:t>
      </w:r>
    </w:p>
    <w:p>
      <w:pPr>
        <w:spacing w:line="360" w:lineRule="auto"/>
        <w:ind w:left="0" w:firstLine="0"/>
      </w:pPr>
      <w:r>
        <w:rPr>
          <w:rFonts w:hint="eastAsia"/>
        </w:rPr>
        <w:t>1.1.5.7　质量保证金（或称保留金）：指按第</w:t>
      </w:r>
      <w:r>
        <w:t>17</w:t>
      </w:r>
      <w:r>
        <w:rPr>
          <w:rFonts w:hint="eastAsia"/>
        </w:rPr>
        <w:t>.4.1项约定用于保证在缺陷责任期内履行缺陷修复义务的金额。</w:t>
      </w:r>
    </w:p>
    <w:p>
      <w:pPr>
        <w:spacing w:line="360" w:lineRule="auto"/>
        <w:ind w:left="0" w:firstLine="0"/>
      </w:pPr>
      <w:r>
        <w:rPr>
          <w:rFonts w:hint="eastAsia"/>
        </w:rPr>
        <w:t>1.1.6　其他</w:t>
      </w:r>
    </w:p>
    <w:p>
      <w:pPr>
        <w:spacing w:line="360" w:lineRule="auto"/>
        <w:ind w:left="0" w:firstLine="0"/>
      </w:pPr>
      <w:r>
        <w:rPr>
          <w:rFonts w:hint="eastAsia"/>
        </w:rPr>
        <w:t>1.1.6.1　书面形式：指合同文件、信函、电报、传真等可以有形地表现所载内容的形式。</w:t>
      </w:r>
    </w:p>
    <w:p>
      <w:pPr>
        <w:spacing w:line="360" w:lineRule="auto"/>
        <w:ind w:left="0" w:firstLine="0"/>
      </w:pPr>
      <w:r>
        <w:rPr>
          <w:rFonts w:hint="eastAsia"/>
        </w:rPr>
        <w:t>1.1.6.</w:t>
      </w:r>
      <w:r>
        <w:t>2</w:t>
      </w:r>
      <w:bookmarkStart w:id="313" w:name="_Toc393200037"/>
      <w:bookmarkStart w:id="314" w:name="_Toc393199523"/>
      <w:bookmarkStart w:id="315" w:name="_Toc393200551"/>
      <w:r>
        <w:rPr>
          <w:rFonts w:hint="eastAsia"/>
        </w:rPr>
        <w:t>　除另有特别指明外，专用合同条款中使用的措辞“合同条款”指通用合同条款和（或）专用合同条款。</w:t>
      </w:r>
      <w:bookmarkEnd w:id="313"/>
      <w:bookmarkEnd w:id="314"/>
      <w:bookmarkEnd w:id="315"/>
    </w:p>
    <w:p>
      <w:pPr>
        <w:spacing w:line="360" w:lineRule="auto"/>
        <w:ind w:left="0" w:firstLine="0"/>
        <w:rPr>
          <w:b/>
          <w:bCs/>
        </w:rPr>
      </w:pPr>
      <w:bookmarkStart w:id="316" w:name="_Toc403059572"/>
      <w:bookmarkStart w:id="317" w:name="_Toc393200552"/>
      <w:bookmarkStart w:id="318" w:name="_Toc342296264"/>
      <w:bookmarkStart w:id="319" w:name="_Toc391456184"/>
      <w:bookmarkStart w:id="320" w:name="_Toc403052630"/>
      <w:bookmarkStart w:id="321" w:name="_Toc393199524"/>
      <w:bookmarkStart w:id="322" w:name="_Toc144974581"/>
      <w:bookmarkStart w:id="323" w:name="_Toc152042391"/>
      <w:bookmarkStart w:id="324" w:name="_Toc403054390"/>
      <w:bookmarkStart w:id="325" w:name="_Toc152045613"/>
      <w:bookmarkStart w:id="326" w:name="_Toc338944706"/>
      <w:bookmarkStart w:id="327" w:name="_Toc179632631"/>
      <w:bookmarkStart w:id="328" w:name="_Toc393200038"/>
      <w:r>
        <w:rPr>
          <w:rFonts w:hint="eastAsia"/>
          <w:b/>
          <w:bCs/>
        </w:rPr>
        <w:t>1.2　语言文字</w:t>
      </w:r>
      <w:bookmarkEnd w:id="316"/>
      <w:bookmarkEnd w:id="317"/>
      <w:bookmarkEnd w:id="318"/>
      <w:bookmarkEnd w:id="319"/>
      <w:bookmarkEnd w:id="320"/>
      <w:bookmarkEnd w:id="321"/>
      <w:bookmarkEnd w:id="322"/>
      <w:bookmarkEnd w:id="323"/>
      <w:bookmarkEnd w:id="324"/>
      <w:bookmarkEnd w:id="325"/>
      <w:bookmarkEnd w:id="326"/>
      <w:bookmarkEnd w:id="327"/>
      <w:bookmarkEnd w:id="328"/>
    </w:p>
    <w:p>
      <w:pPr>
        <w:spacing w:line="360" w:lineRule="auto"/>
        <w:ind w:left="0" w:firstLine="0"/>
      </w:pPr>
      <w:r>
        <w:rPr>
          <w:rFonts w:hint="eastAsia"/>
        </w:rPr>
        <w:t>除专用术语外，分包合同使用的语言文字为中文。必要时专用术语应附有中文注释。</w:t>
      </w:r>
    </w:p>
    <w:p>
      <w:pPr>
        <w:spacing w:line="360" w:lineRule="auto"/>
        <w:ind w:left="0" w:firstLine="0"/>
        <w:rPr>
          <w:b/>
          <w:bCs/>
        </w:rPr>
      </w:pPr>
      <w:bookmarkStart w:id="329" w:name="_Toc144974582"/>
      <w:bookmarkStart w:id="330" w:name="_Toc403059573"/>
      <w:bookmarkStart w:id="331" w:name="_Toc338944707"/>
      <w:bookmarkStart w:id="332" w:name="_Toc179632632"/>
      <w:bookmarkStart w:id="333" w:name="_Toc393199525"/>
      <w:bookmarkStart w:id="334" w:name="_Toc393200039"/>
      <w:bookmarkStart w:id="335" w:name="_Toc152045614"/>
      <w:bookmarkStart w:id="336" w:name="_Toc391456185"/>
      <w:bookmarkStart w:id="337" w:name="_Toc403054391"/>
      <w:bookmarkStart w:id="338" w:name="_Toc342296265"/>
      <w:bookmarkStart w:id="339" w:name="_Toc403052631"/>
      <w:bookmarkStart w:id="340" w:name="_Toc393200553"/>
      <w:bookmarkStart w:id="341" w:name="_Toc152042392"/>
      <w:r>
        <w:rPr>
          <w:rFonts w:hint="eastAsia"/>
          <w:b/>
          <w:bCs/>
        </w:rPr>
        <w:t>1.3　法律</w:t>
      </w:r>
      <w:bookmarkEnd w:id="329"/>
      <w:bookmarkEnd w:id="330"/>
      <w:bookmarkEnd w:id="331"/>
      <w:bookmarkEnd w:id="332"/>
      <w:bookmarkEnd w:id="333"/>
      <w:bookmarkEnd w:id="334"/>
      <w:bookmarkEnd w:id="335"/>
      <w:bookmarkEnd w:id="336"/>
      <w:bookmarkEnd w:id="337"/>
      <w:bookmarkEnd w:id="338"/>
      <w:bookmarkEnd w:id="339"/>
      <w:bookmarkEnd w:id="340"/>
      <w:bookmarkEnd w:id="341"/>
    </w:p>
    <w:p>
      <w:pPr>
        <w:spacing w:line="360" w:lineRule="auto"/>
        <w:ind w:left="0" w:firstLine="0"/>
      </w:pPr>
      <w:r>
        <w:rPr>
          <w:rFonts w:hint="eastAsia"/>
        </w:rPr>
        <w:t>适用于分包合同的法律包括中华人民共和国法律、行政法规、部门规章，以及北京市的地方法规、自治条例、单行条例和地方政府规章。</w:t>
      </w:r>
    </w:p>
    <w:p>
      <w:pPr>
        <w:spacing w:line="360" w:lineRule="auto"/>
        <w:ind w:left="0" w:firstLine="0"/>
        <w:rPr>
          <w:b/>
          <w:bCs/>
        </w:rPr>
      </w:pPr>
      <w:bookmarkStart w:id="342" w:name="_Toc393199526"/>
      <w:bookmarkStart w:id="343" w:name="_Toc342296266"/>
      <w:bookmarkStart w:id="344" w:name="_Toc403054392"/>
      <w:bookmarkStart w:id="345" w:name="_Toc338944708"/>
      <w:bookmarkStart w:id="346" w:name="_Toc393200040"/>
      <w:bookmarkStart w:id="347" w:name="_Toc403052632"/>
      <w:bookmarkStart w:id="348" w:name="_Toc391456186"/>
      <w:bookmarkStart w:id="349" w:name="_Toc403059574"/>
      <w:bookmarkStart w:id="350" w:name="_Toc393200554"/>
      <w:r>
        <w:rPr>
          <w:rFonts w:hint="eastAsia"/>
          <w:b/>
          <w:bCs/>
        </w:rPr>
        <w:t>1.4　合同文件的优先顺序</w:t>
      </w:r>
      <w:bookmarkEnd w:id="342"/>
      <w:bookmarkEnd w:id="343"/>
      <w:bookmarkEnd w:id="344"/>
      <w:bookmarkEnd w:id="345"/>
      <w:bookmarkEnd w:id="346"/>
      <w:bookmarkEnd w:id="347"/>
      <w:bookmarkEnd w:id="348"/>
      <w:bookmarkEnd w:id="349"/>
      <w:bookmarkEnd w:id="350"/>
    </w:p>
    <w:p>
      <w:pPr>
        <w:spacing w:line="360" w:lineRule="auto"/>
        <w:ind w:left="0" w:firstLine="0"/>
      </w:pPr>
      <w:r>
        <w:rPr>
          <w:rFonts w:hint="eastAsia"/>
        </w:rPr>
        <w:t>组成分包合同的各项文件应互相解释，互为说明。除专用合同条款另有约定外，解释分包合同文件的优先顺序如下：</w:t>
      </w:r>
    </w:p>
    <w:p>
      <w:pPr>
        <w:spacing w:line="360" w:lineRule="auto"/>
        <w:ind w:left="0" w:firstLine="0"/>
      </w:pPr>
      <w:r>
        <w:rPr>
          <w:rFonts w:hint="eastAsia"/>
        </w:rPr>
        <w:t>（1）合同协议书；</w:t>
      </w:r>
    </w:p>
    <w:p>
      <w:pPr>
        <w:spacing w:line="360" w:lineRule="auto"/>
        <w:ind w:left="0" w:firstLine="0"/>
      </w:pPr>
      <w:r>
        <w:rPr>
          <w:rFonts w:hint="eastAsia"/>
        </w:rPr>
        <w:t>（2）中标通知书；</w:t>
      </w:r>
    </w:p>
    <w:p>
      <w:pPr>
        <w:spacing w:line="360" w:lineRule="auto"/>
        <w:ind w:left="0" w:firstLine="0"/>
      </w:pPr>
      <w:r>
        <w:rPr>
          <w:rFonts w:hint="eastAsia"/>
        </w:rPr>
        <w:t>（3）投标函及投标函附录；</w:t>
      </w:r>
    </w:p>
    <w:p>
      <w:pPr>
        <w:spacing w:line="360" w:lineRule="auto"/>
        <w:ind w:left="0" w:firstLine="0"/>
      </w:pPr>
      <w:r>
        <w:rPr>
          <w:rFonts w:hint="eastAsia"/>
        </w:rPr>
        <w:t>（4）专用合同条款；</w:t>
      </w:r>
    </w:p>
    <w:p>
      <w:pPr>
        <w:spacing w:line="360" w:lineRule="auto"/>
        <w:ind w:left="0" w:firstLine="0"/>
      </w:pPr>
      <w:r>
        <w:rPr>
          <w:rFonts w:hint="eastAsia"/>
        </w:rPr>
        <w:t>（5）通用合同条款；</w:t>
      </w:r>
    </w:p>
    <w:p>
      <w:pPr>
        <w:spacing w:line="360" w:lineRule="auto"/>
        <w:ind w:left="0" w:firstLine="0"/>
      </w:pPr>
      <w:r>
        <w:rPr>
          <w:rFonts w:hint="eastAsia"/>
        </w:rPr>
        <w:t>（6）技术标准和要求；</w:t>
      </w:r>
    </w:p>
    <w:p>
      <w:pPr>
        <w:spacing w:line="360" w:lineRule="auto"/>
        <w:ind w:left="0" w:firstLine="0"/>
      </w:pPr>
      <w:r>
        <w:rPr>
          <w:rFonts w:hint="eastAsia"/>
        </w:rPr>
        <w:t>（7）图纸；</w:t>
      </w:r>
    </w:p>
    <w:p>
      <w:pPr>
        <w:spacing w:line="360" w:lineRule="auto"/>
        <w:ind w:left="0" w:firstLine="0"/>
      </w:pPr>
      <w:r>
        <w:rPr>
          <w:rFonts w:hint="eastAsia"/>
        </w:rPr>
        <w:t>（8）已标价工程量清单；</w:t>
      </w:r>
    </w:p>
    <w:p>
      <w:pPr>
        <w:spacing w:line="360" w:lineRule="auto"/>
        <w:ind w:left="0" w:firstLine="0"/>
      </w:pPr>
      <w:r>
        <w:rPr>
          <w:rFonts w:hint="eastAsia"/>
        </w:rPr>
        <w:t>（9）其他合同文件。</w:t>
      </w:r>
    </w:p>
    <w:p>
      <w:pPr>
        <w:spacing w:line="360" w:lineRule="auto"/>
        <w:ind w:left="0" w:firstLine="0"/>
      </w:pPr>
      <w:r>
        <w:rPr>
          <w:rFonts w:hint="eastAsia"/>
        </w:rPr>
        <w:t>合同协议书中约定采用总价合同形式的，除非合同另有约定，已标价工程量清单中的各项工程量对分包合同双方不具合同约束力。</w:t>
      </w:r>
    </w:p>
    <w:p>
      <w:pPr>
        <w:spacing w:line="360" w:lineRule="auto"/>
        <w:ind w:left="0" w:firstLine="0"/>
      </w:pPr>
      <w:r>
        <w:rPr>
          <w:rFonts w:hint="eastAsia"/>
        </w:rPr>
        <w:t>图纸与技术标准和要求之间有矛盾或者不一致的，以其中要求较严格的标准为准。</w:t>
      </w:r>
    </w:p>
    <w:p>
      <w:pPr>
        <w:spacing w:line="360" w:lineRule="auto"/>
        <w:ind w:left="0" w:firstLine="0"/>
      </w:pPr>
      <w:r>
        <w:rPr>
          <w:rFonts w:hint="eastAsia"/>
        </w:rPr>
        <w:t>合同双方在合同履行过程中签订的补充协议亦构成分包合同文件的组成部分，其解释顺序视其内容与其他合同文件的相互关系而定。</w:t>
      </w:r>
    </w:p>
    <w:p>
      <w:pPr>
        <w:spacing w:line="360" w:lineRule="auto"/>
        <w:ind w:left="0" w:firstLine="0"/>
        <w:rPr>
          <w:b/>
          <w:bCs/>
        </w:rPr>
      </w:pPr>
      <w:bookmarkStart w:id="351" w:name="_Toc338944709"/>
      <w:bookmarkStart w:id="352" w:name="_Toc393199527"/>
      <w:bookmarkStart w:id="353" w:name="_Toc393200555"/>
      <w:bookmarkStart w:id="354" w:name="_Toc403052633"/>
      <w:bookmarkStart w:id="355" w:name="_Toc403054393"/>
      <w:bookmarkStart w:id="356" w:name="_Toc342296267"/>
      <w:bookmarkStart w:id="357" w:name="_Toc393200041"/>
      <w:bookmarkStart w:id="358" w:name="_Toc391456187"/>
      <w:bookmarkStart w:id="359" w:name="_Toc403059575"/>
      <w:r>
        <w:rPr>
          <w:rFonts w:hint="eastAsia"/>
          <w:b/>
          <w:bCs/>
        </w:rPr>
        <w:t>1.5　合同协议书</w:t>
      </w:r>
      <w:bookmarkEnd w:id="351"/>
      <w:bookmarkEnd w:id="352"/>
      <w:bookmarkEnd w:id="353"/>
      <w:bookmarkEnd w:id="354"/>
      <w:bookmarkEnd w:id="355"/>
      <w:bookmarkEnd w:id="356"/>
      <w:bookmarkEnd w:id="357"/>
      <w:bookmarkEnd w:id="358"/>
      <w:bookmarkEnd w:id="359"/>
    </w:p>
    <w:p>
      <w:pPr>
        <w:spacing w:line="360" w:lineRule="auto"/>
        <w:ind w:left="0" w:firstLine="0"/>
      </w:pPr>
      <w:r>
        <w:rPr>
          <w:rFonts w:hint="eastAsia"/>
        </w:rPr>
        <w:t>分包人按中标通知书规定的时间与承包人签订合同协议书。除专用合同条款另有约定外，承包人和分包人的法定代表人或其委托代理人在合同协议书上签字并盖单位章后，分包合同生效。</w:t>
      </w:r>
    </w:p>
    <w:p>
      <w:pPr>
        <w:spacing w:line="360" w:lineRule="auto"/>
        <w:ind w:left="0" w:firstLine="0"/>
        <w:rPr>
          <w:b/>
          <w:bCs/>
        </w:rPr>
      </w:pPr>
      <w:bookmarkStart w:id="360" w:name="_Toc403059576"/>
      <w:bookmarkStart w:id="361" w:name="_Toc391456188"/>
      <w:bookmarkStart w:id="362" w:name="_Toc342296268"/>
      <w:bookmarkStart w:id="363" w:name="_Toc393199528"/>
      <w:bookmarkStart w:id="364" w:name="_Toc338944710"/>
      <w:bookmarkStart w:id="365" w:name="_Toc393200556"/>
      <w:bookmarkStart w:id="366" w:name="_Toc403054394"/>
      <w:bookmarkStart w:id="367" w:name="_Toc403052634"/>
      <w:bookmarkStart w:id="368" w:name="_Toc393200042"/>
      <w:r>
        <w:rPr>
          <w:rFonts w:hint="eastAsia"/>
          <w:b/>
          <w:bCs/>
        </w:rPr>
        <w:t>1.6　图纸和分包人文件</w:t>
      </w:r>
      <w:bookmarkEnd w:id="360"/>
      <w:bookmarkEnd w:id="361"/>
      <w:bookmarkEnd w:id="362"/>
      <w:bookmarkEnd w:id="363"/>
      <w:bookmarkEnd w:id="364"/>
      <w:bookmarkEnd w:id="365"/>
      <w:bookmarkEnd w:id="366"/>
      <w:bookmarkEnd w:id="367"/>
      <w:bookmarkEnd w:id="368"/>
    </w:p>
    <w:p>
      <w:pPr>
        <w:spacing w:line="360" w:lineRule="auto"/>
        <w:ind w:left="0" w:firstLine="0"/>
      </w:pPr>
      <w:r>
        <w:rPr>
          <w:rFonts w:hint="eastAsia"/>
        </w:rPr>
        <w:t>1.6.1　图纸的提供</w:t>
      </w:r>
    </w:p>
    <w:p>
      <w:pPr>
        <w:spacing w:line="360" w:lineRule="auto"/>
        <w:ind w:left="0" w:firstLine="0"/>
      </w:pPr>
      <w:r>
        <w:rPr>
          <w:rFonts w:hint="eastAsia"/>
        </w:rPr>
        <w:t>（1）承包人按照专用合同条款的约定向分包人提供图纸。分包人需要增加图纸套数的，承包人应代为复制，复制费用由分包人承担。</w:t>
      </w:r>
    </w:p>
    <w:p>
      <w:pPr>
        <w:spacing w:line="360" w:lineRule="auto"/>
        <w:ind w:left="0" w:firstLine="0"/>
      </w:pPr>
      <w:r>
        <w:rPr>
          <w:rFonts w:hint="eastAsia"/>
        </w:rPr>
        <w:t>（2）在承包人批准合同条款第</w:t>
      </w:r>
      <w:r>
        <w:t>10</w:t>
      </w:r>
      <w:r>
        <w:rPr>
          <w:rFonts w:hint="eastAsia"/>
        </w:rPr>
        <w:t>.1款约定的合同进度计划或者合同条款</w:t>
      </w:r>
      <w:r>
        <w:t>10</w:t>
      </w:r>
      <w:r>
        <w:rPr>
          <w:rFonts w:hint="eastAsia"/>
        </w:rPr>
        <w:t>.2款约定的修订合同进度计划后7天内,分包人应当根据合同进度计划和本项约定的图纸提供期限和数量，编制或者修改图纸供应计划并报送承包人，其中应当载明分包人对各区段最新版本图纸(包括合同条款第1.6.3项约定的图纸修改图)的最迟需求时间，承包人应当在收到图纸供应计划后7天内批复或提出修改意见，否则该图纸供应计划视为得到批准。经承包人批准的最新的图纸供应计划对合同双方有合同约束力，作为承包人向分包人提供图纸的主要依据。承包人不按照图纸供应计划提供图纸而导致分包人费用增加和（或）工期延误的，由承包人承担赔偿责任。分包人未按照本目约定的时间向承包人提交图纸供应计划,致使承包人未能在合理的时间内提供相应图纸或者分包人未按照图纸供应计划组织施工所造成的费用增加和（或）工期延误由分包人承担。</w:t>
      </w:r>
    </w:p>
    <w:p>
      <w:pPr>
        <w:spacing w:line="360" w:lineRule="auto"/>
        <w:ind w:left="0" w:firstLine="0"/>
      </w:pPr>
      <w:r>
        <w:rPr>
          <w:rFonts w:hint="eastAsia"/>
        </w:rPr>
        <w:t>1.6.2　分包人提供的文件</w:t>
      </w:r>
    </w:p>
    <w:p>
      <w:pPr>
        <w:spacing w:line="360" w:lineRule="auto"/>
        <w:ind w:left="0" w:firstLine="0"/>
      </w:pPr>
      <w:r>
        <w:rPr>
          <w:rFonts w:hint="eastAsia"/>
        </w:rPr>
        <w:t>（1）按专用合同条款约定由分包人提供的文件，包括部分工程的大样图、加工图等，分包人应按约定的数量和期限报送承包人。承包人应在专用合同条款约定的期限内批复。</w:t>
      </w:r>
    </w:p>
    <w:p>
      <w:pPr>
        <w:spacing w:line="360" w:lineRule="auto"/>
        <w:ind w:left="0" w:firstLine="0"/>
      </w:pPr>
      <w:r>
        <w:rPr>
          <w:rFonts w:hint="eastAsia"/>
        </w:rPr>
        <w:t>（2）除合同条款第4.1.10(1)目约定的由分包人提供的设计文件外，本项约定的其他应由分包人提供的文件，包括必要的加工图和大样图，均不是合同计量与支付的依据文件。</w:t>
      </w:r>
    </w:p>
    <w:p>
      <w:pPr>
        <w:spacing w:line="360" w:lineRule="auto"/>
        <w:ind w:left="0" w:firstLine="0"/>
      </w:pPr>
      <w:r>
        <w:rPr>
          <w:rFonts w:hint="eastAsia"/>
        </w:rPr>
        <w:t>1.6.3　图纸的修改</w:t>
      </w:r>
    </w:p>
    <w:p>
      <w:pPr>
        <w:spacing w:line="360" w:lineRule="auto"/>
        <w:ind w:left="0" w:firstLine="0"/>
      </w:pPr>
      <w:r>
        <w:rPr>
          <w:rFonts w:hint="eastAsia"/>
        </w:rPr>
        <w:t xml:space="preserve">图纸需要修改和补充的，承包人应当按照第1.6.1（2）目约定的有合同约束力的图纸供应计划，签发图纸修改图给分包人。分包人应按修改后的图纸施工。 </w:t>
      </w:r>
    </w:p>
    <w:p>
      <w:pPr>
        <w:spacing w:line="360" w:lineRule="auto"/>
        <w:ind w:left="0" w:firstLine="0"/>
      </w:pPr>
      <w:r>
        <w:rPr>
          <w:rFonts w:hint="eastAsia"/>
        </w:rPr>
        <w:t>1.6.4　图纸的错误</w:t>
      </w:r>
    </w:p>
    <w:p>
      <w:pPr>
        <w:spacing w:line="360" w:lineRule="auto"/>
        <w:ind w:left="0" w:firstLine="0"/>
      </w:pPr>
      <w:r>
        <w:rPr>
          <w:rFonts w:hint="eastAsia"/>
        </w:rPr>
        <w:t>分包人发现承包人提供的图纸存在明显错误或疏忽，应及时通知承包人。</w:t>
      </w:r>
    </w:p>
    <w:p>
      <w:pPr>
        <w:spacing w:line="360" w:lineRule="auto"/>
        <w:ind w:left="0" w:firstLine="0"/>
      </w:pPr>
      <w:r>
        <w:rPr>
          <w:rFonts w:hint="eastAsia"/>
        </w:rPr>
        <w:t>1.6.5　图纸和分包人文件的保管</w:t>
      </w:r>
    </w:p>
    <w:p>
      <w:pPr>
        <w:spacing w:line="360" w:lineRule="auto"/>
        <w:ind w:left="0" w:firstLine="0"/>
      </w:pPr>
      <w:r>
        <w:rPr>
          <w:rFonts w:hint="eastAsia"/>
        </w:rPr>
        <w:t>分包人应在施工场地各保存一套完整的包含第1.6.1项、第1.6.2项、第1.6.3项约定内容的图纸和承包人文件。</w:t>
      </w:r>
    </w:p>
    <w:p>
      <w:pPr>
        <w:spacing w:line="360" w:lineRule="auto"/>
        <w:ind w:left="0" w:firstLine="0"/>
        <w:rPr>
          <w:b/>
          <w:bCs/>
        </w:rPr>
      </w:pPr>
      <w:bookmarkStart w:id="369" w:name="_Toc403052635"/>
      <w:bookmarkStart w:id="370" w:name="_Toc338944711"/>
      <w:bookmarkStart w:id="371" w:name="_Toc342296269"/>
      <w:bookmarkStart w:id="372" w:name="_Toc403059577"/>
      <w:bookmarkStart w:id="373" w:name="_Toc391456189"/>
      <w:bookmarkStart w:id="374" w:name="_Toc403054395"/>
      <w:bookmarkStart w:id="375" w:name="_Toc393199529"/>
      <w:bookmarkStart w:id="376" w:name="_Toc393200043"/>
      <w:bookmarkStart w:id="377" w:name="_Toc393200557"/>
      <w:r>
        <w:rPr>
          <w:rFonts w:hint="eastAsia"/>
          <w:b/>
          <w:bCs/>
        </w:rPr>
        <w:t>1.7　联络</w:t>
      </w:r>
      <w:bookmarkEnd w:id="369"/>
      <w:bookmarkEnd w:id="370"/>
      <w:bookmarkEnd w:id="371"/>
      <w:bookmarkEnd w:id="372"/>
      <w:bookmarkEnd w:id="373"/>
      <w:bookmarkEnd w:id="374"/>
      <w:bookmarkEnd w:id="375"/>
      <w:bookmarkEnd w:id="376"/>
      <w:bookmarkEnd w:id="377"/>
    </w:p>
    <w:p>
      <w:pPr>
        <w:spacing w:line="360" w:lineRule="auto"/>
        <w:ind w:left="0" w:firstLine="0"/>
      </w:pPr>
      <w:r>
        <w:rPr>
          <w:rFonts w:hint="eastAsia"/>
        </w:rPr>
        <w:t>1.7.1　与合同有关的通知、批准、证明、证书、指示、要求、请求、同意、意见、确定和决定等，均应采用书面形式。</w:t>
      </w:r>
    </w:p>
    <w:p>
      <w:pPr>
        <w:spacing w:line="360" w:lineRule="auto"/>
        <w:ind w:left="0" w:firstLine="0"/>
      </w:pPr>
      <w:r>
        <w:rPr>
          <w:rFonts w:hint="eastAsia"/>
        </w:rPr>
        <w:t>1.7.2　第1.7.1项中的通知、批准、证明、证书、指示、要求、请求、同意、意见、确定和决定等来往函件，均应在指定的期限内送达指定地点和接收人，并办理签收手续。</w:t>
      </w:r>
    </w:p>
    <w:p>
      <w:pPr>
        <w:spacing w:line="360" w:lineRule="auto"/>
        <w:ind w:left="0" w:firstLine="0"/>
      </w:pPr>
      <w:r>
        <w:rPr>
          <w:rFonts w:hint="eastAsia"/>
        </w:rPr>
        <w:t>（1）联络来往信函的送达期限：分包合同约定了发出期限的，送达期限为分包合同约定的发出期限后的24小时内；分包合同约定了通知、提供或者报送期限的，通知、提供或者报送期限即为送达期限。</w:t>
      </w:r>
    </w:p>
    <w:p>
      <w:pPr>
        <w:spacing w:line="360" w:lineRule="auto"/>
        <w:ind w:left="0" w:firstLine="0"/>
      </w:pPr>
      <w:r>
        <w:rPr>
          <w:rFonts w:hint="eastAsia"/>
        </w:rPr>
        <w:t>（2）承包人指定的接收人和接收地点见专用合同条款约定。</w:t>
      </w:r>
    </w:p>
    <w:p>
      <w:pPr>
        <w:spacing w:line="360" w:lineRule="auto"/>
        <w:ind w:left="0" w:firstLine="0"/>
      </w:pPr>
      <w:r>
        <w:rPr>
          <w:rFonts w:hint="eastAsia"/>
        </w:rPr>
        <w:t>（3）分包人指定的接收人为合同协议书中载明的分包人项目经理本人或者项目经理的授权代表。分包人应在收到开工通知后7天内，按照合同条款第4.5.4项的约定，将授权代表其接收来往信函的项目经理的授权代表姓名和授权范围通知承包人。除专用合同条款另有约定外，分包人施工场地管理机构的办公地点即为分包人指定的接收地点。</w:t>
      </w:r>
    </w:p>
    <w:p>
      <w:pPr>
        <w:spacing w:line="360" w:lineRule="auto"/>
        <w:ind w:left="0" w:firstLine="0"/>
      </w:pPr>
      <w:r>
        <w:rPr>
          <w:rFonts w:hint="eastAsia"/>
        </w:rPr>
        <w:t>（4）承包人和分包人中任何一方指定的接收人或者接收地点发生变动，应当在实际变动前提前至少一个工作日以书面方式通知另一方。承包人和分包人应当确保其各自指定的接收人在法定的和（或）符合分包合同约定的工作时间内始终工作在指定的接收地点，指定接收人离开工作岗位而无法及时签收来往信函构成拒不签收。</w:t>
      </w:r>
    </w:p>
    <w:p>
      <w:pPr>
        <w:spacing w:line="360" w:lineRule="auto"/>
        <w:ind w:left="0" w:firstLine="0"/>
      </w:pPr>
      <w:r>
        <w:rPr>
          <w:rFonts w:hint="eastAsia"/>
        </w:rPr>
        <w:t>（5）承包人和分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spacing w:line="360" w:lineRule="auto"/>
        <w:ind w:left="0" w:firstLine="0"/>
        <w:rPr>
          <w:b/>
          <w:bCs/>
        </w:rPr>
      </w:pPr>
      <w:bookmarkStart w:id="378" w:name="_Toc144974587"/>
      <w:bookmarkStart w:id="379" w:name="_Toc152042397"/>
      <w:bookmarkStart w:id="380" w:name="_Toc342296270"/>
      <w:bookmarkStart w:id="381" w:name="_Toc403054396"/>
      <w:bookmarkStart w:id="382" w:name="_Toc391456190"/>
      <w:bookmarkStart w:id="383" w:name="_Toc338944712"/>
      <w:bookmarkStart w:id="384" w:name="_Toc393200044"/>
      <w:bookmarkStart w:id="385" w:name="_Toc403059578"/>
      <w:bookmarkStart w:id="386" w:name="_Toc403052636"/>
      <w:bookmarkStart w:id="387" w:name="_Toc152045619"/>
      <w:bookmarkStart w:id="388" w:name="_Toc393200558"/>
      <w:bookmarkStart w:id="389" w:name="_Toc393199530"/>
      <w:bookmarkStart w:id="390" w:name="_Toc179632637"/>
      <w:r>
        <w:rPr>
          <w:rFonts w:hint="eastAsia"/>
          <w:b/>
          <w:bCs/>
        </w:rPr>
        <w:t>1.8　转让</w:t>
      </w:r>
      <w:bookmarkEnd w:id="378"/>
      <w:bookmarkEnd w:id="379"/>
      <w:bookmarkEnd w:id="380"/>
      <w:bookmarkEnd w:id="381"/>
      <w:bookmarkEnd w:id="382"/>
      <w:bookmarkEnd w:id="383"/>
      <w:bookmarkEnd w:id="384"/>
      <w:bookmarkEnd w:id="385"/>
      <w:bookmarkEnd w:id="386"/>
      <w:bookmarkEnd w:id="387"/>
      <w:bookmarkEnd w:id="388"/>
      <w:bookmarkEnd w:id="389"/>
      <w:bookmarkEnd w:id="390"/>
    </w:p>
    <w:p>
      <w:pPr>
        <w:spacing w:line="360" w:lineRule="auto"/>
        <w:ind w:left="0" w:firstLine="0"/>
      </w:pPr>
      <w:r>
        <w:rPr>
          <w:rFonts w:hint="eastAsia"/>
        </w:rPr>
        <w:t>除分包合同另有约定外，未经对方当事人同意，一方当事人不得将合同权利全部或部分转让给第三人，也不得全部或部分转移合同义务。</w:t>
      </w:r>
    </w:p>
    <w:p>
      <w:pPr>
        <w:spacing w:line="360" w:lineRule="auto"/>
        <w:ind w:left="0" w:firstLine="0"/>
        <w:rPr>
          <w:b/>
          <w:bCs/>
        </w:rPr>
      </w:pPr>
      <w:bookmarkStart w:id="391" w:name="_Toc179632638"/>
      <w:bookmarkStart w:id="392" w:name="_Toc391456191"/>
      <w:bookmarkStart w:id="393" w:name="_Toc393200045"/>
      <w:bookmarkStart w:id="394" w:name="_Toc342296271"/>
      <w:bookmarkStart w:id="395" w:name="_Toc393199531"/>
      <w:bookmarkStart w:id="396" w:name="_Toc403054397"/>
      <w:bookmarkStart w:id="397" w:name="_Toc403052637"/>
      <w:bookmarkStart w:id="398" w:name="_Toc403059579"/>
      <w:bookmarkStart w:id="399" w:name="_Toc144974588"/>
      <w:bookmarkStart w:id="400" w:name="_Toc338944713"/>
      <w:bookmarkStart w:id="401" w:name="_Toc152045620"/>
      <w:bookmarkStart w:id="402" w:name="_Toc393200559"/>
      <w:bookmarkStart w:id="403" w:name="_Toc152042398"/>
      <w:r>
        <w:rPr>
          <w:rFonts w:hint="eastAsia"/>
          <w:b/>
          <w:bCs/>
        </w:rPr>
        <w:t>1.9　严禁贿赂</w:t>
      </w:r>
      <w:bookmarkEnd w:id="391"/>
      <w:bookmarkEnd w:id="392"/>
      <w:bookmarkEnd w:id="393"/>
      <w:bookmarkEnd w:id="394"/>
      <w:bookmarkEnd w:id="395"/>
      <w:bookmarkEnd w:id="396"/>
      <w:bookmarkEnd w:id="397"/>
      <w:bookmarkEnd w:id="398"/>
      <w:bookmarkEnd w:id="399"/>
      <w:bookmarkEnd w:id="400"/>
      <w:bookmarkEnd w:id="401"/>
      <w:bookmarkEnd w:id="402"/>
      <w:bookmarkEnd w:id="403"/>
    </w:p>
    <w:p>
      <w:pPr>
        <w:spacing w:line="360" w:lineRule="auto"/>
        <w:ind w:left="0" w:firstLine="0"/>
      </w:pPr>
      <w:r>
        <w:rPr>
          <w:rFonts w:hint="eastAsia"/>
        </w:rPr>
        <w:t>合同双方当事人不得以贿赂或变相贿赂的方式，谋取不当利益或损害对方权益。因贿赂造成对方损失的，行为人应赔偿损失，并承担相应的法律责任。</w:t>
      </w:r>
    </w:p>
    <w:p>
      <w:pPr>
        <w:spacing w:line="360" w:lineRule="auto"/>
        <w:ind w:left="0" w:firstLine="0"/>
        <w:rPr>
          <w:b/>
          <w:bCs/>
        </w:rPr>
      </w:pPr>
      <w:bookmarkStart w:id="404" w:name="_Toc342296272"/>
      <w:bookmarkStart w:id="405" w:name="_Toc403054398"/>
      <w:bookmarkStart w:id="406" w:name="_Toc338944714"/>
      <w:bookmarkStart w:id="407" w:name="_Toc152045621"/>
      <w:bookmarkStart w:id="408" w:name="_Toc152042399"/>
      <w:bookmarkStart w:id="409" w:name="_Toc144974589"/>
      <w:bookmarkStart w:id="410" w:name="_Toc403059580"/>
      <w:bookmarkStart w:id="411" w:name="_Toc393200560"/>
      <w:bookmarkStart w:id="412" w:name="_Toc403052638"/>
      <w:bookmarkStart w:id="413" w:name="_Toc393200046"/>
      <w:bookmarkStart w:id="414" w:name="_Toc179632639"/>
      <w:bookmarkStart w:id="415" w:name="_Toc393199532"/>
      <w:bookmarkStart w:id="416" w:name="_Toc391456192"/>
      <w:r>
        <w:rPr>
          <w:rFonts w:hint="eastAsia"/>
          <w:b/>
          <w:bCs/>
        </w:rPr>
        <w:t>1.10　化石、文物</w:t>
      </w:r>
      <w:bookmarkEnd w:id="404"/>
      <w:bookmarkEnd w:id="405"/>
      <w:bookmarkEnd w:id="406"/>
      <w:bookmarkEnd w:id="407"/>
      <w:bookmarkEnd w:id="408"/>
      <w:bookmarkEnd w:id="409"/>
      <w:bookmarkEnd w:id="410"/>
      <w:bookmarkEnd w:id="411"/>
      <w:bookmarkEnd w:id="412"/>
      <w:bookmarkEnd w:id="413"/>
      <w:bookmarkEnd w:id="414"/>
      <w:bookmarkEnd w:id="415"/>
      <w:bookmarkEnd w:id="416"/>
    </w:p>
    <w:p>
      <w:pPr>
        <w:spacing w:line="360" w:lineRule="auto"/>
        <w:ind w:left="0" w:firstLine="0"/>
      </w:pPr>
      <w:r>
        <w:rPr>
          <w:rFonts w:hint="eastAsia"/>
        </w:rPr>
        <w:t>1.10.1　在施工场地发掘的所有文物、古迹以及具有地质研究或考古价值的其他遗迹、化石、钱币或物品属于国家所有。一旦发现上述文物，分包人应采取有效合理的保护措施，防止任何人员移动或损坏上述物品，并立即报告当地文物行政部门，同时通知承包人。</w:t>
      </w:r>
      <w:r>
        <w:t>承</w:t>
      </w:r>
      <w:r>
        <w:rPr>
          <w:rFonts w:hint="eastAsia"/>
        </w:rPr>
        <w:t>包人和分包人应按文物行政部门要求采取妥善保护措施，由此导致费用增加和（或）工期延误由承包人承担。</w:t>
      </w:r>
    </w:p>
    <w:p>
      <w:pPr>
        <w:spacing w:line="360" w:lineRule="auto"/>
        <w:ind w:left="0" w:firstLine="0"/>
      </w:pPr>
      <w:r>
        <w:rPr>
          <w:rFonts w:hint="eastAsia"/>
        </w:rPr>
        <w:t>1.10.2　分包人发现文物后不及时报告或隐瞒不报，致使文物丢失或损坏的，应赔偿损失，并承担相应的法律责任。</w:t>
      </w:r>
    </w:p>
    <w:p>
      <w:pPr>
        <w:spacing w:line="360" w:lineRule="auto"/>
        <w:ind w:left="0" w:firstLine="0"/>
        <w:rPr>
          <w:b/>
          <w:bCs/>
        </w:rPr>
      </w:pPr>
      <w:bookmarkStart w:id="417" w:name="_Toc144974590"/>
      <w:bookmarkStart w:id="418" w:name="_Toc342296273"/>
      <w:bookmarkStart w:id="419" w:name="_Toc152045622"/>
      <w:bookmarkStart w:id="420" w:name="_Toc403059581"/>
      <w:bookmarkStart w:id="421" w:name="_Toc403054399"/>
      <w:bookmarkStart w:id="422" w:name="_Toc393199533"/>
      <w:bookmarkStart w:id="423" w:name="_Toc152042400"/>
      <w:bookmarkStart w:id="424" w:name="_Toc338944715"/>
      <w:bookmarkStart w:id="425" w:name="_Toc393200047"/>
      <w:bookmarkStart w:id="426" w:name="_Toc403052639"/>
      <w:bookmarkStart w:id="427" w:name="_Toc179632640"/>
      <w:bookmarkStart w:id="428" w:name="_Toc391456193"/>
      <w:bookmarkStart w:id="429" w:name="_Toc393200561"/>
      <w:r>
        <w:rPr>
          <w:rFonts w:hint="eastAsia"/>
          <w:b/>
          <w:bCs/>
        </w:rPr>
        <w:t>1.11　专利技术</w:t>
      </w:r>
      <w:bookmarkEnd w:id="417"/>
      <w:bookmarkEnd w:id="418"/>
      <w:bookmarkEnd w:id="419"/>
      <w:bookmarkEnd w:id="420"/>
      <w:bookmarkEnd w:id="421"/>
      <w:bookmarkEnd w:id="422"/>
      <w:bookmarkEnd w:id="423"/>
      <w:bookmarkEnd w:id="424"/>
      <w:bookmarkEnd w:id="425"/>
      <w:bookmarkEnd w:id="426"/>
      <w:bookmarkEnd w:id="427"/>
      <w:bookmarkEnd w:id="428"/>
      <w:bookmarkEnd w:id="429"/>
    </w:p>
    <w:p>
      <w:pPr>
        <w:spacing w:line="360" w:lineRule="auto"/>
        <w:ind w:left="0" w:firstLine="0"/>
      </w:pPr>
      <w:r>
        <w:rPr>
          <w:rFonts w:hint="eastAsia"/>
        </w:rPr>
        <w:t>1.11.1　分包人在使用任何材料、分包人设备、工程设备或采用施工工艺时，因侵犯专利权或其他知识产权所引起的责任，由分包人承担，但由于遵照承包人提供的设计或技术标准和要求引起的除外。</w:t>
      </w:r>
    </w:p>
    <w:p>
      <w:pPr>
        <w:spacing w:line="360" w:lineRule="auto"/>
        <w:ind w:left="0" w:firstLine="0"/>
      </w:pPr>
      <w:r>
        <w:rPr>
          <w:rFonts w:hint="eastAsia"/>
        </w:rPr>
        <w:t>1.11.2　分包人在投标文件中采用专利技术的，专利技术的使用费包含在投标报价内。</w:t>
      </w:r>
    </w:p>
    <w:p>
      <w:pPr>
        <w:spacing w:line="360" w:lineRule="auto"/>
        <w:ind w:left="0" w:firstLine="0"/>
      </w:pPr>
      <w:r>
        <w:rPr>
          <w:rFonts w:hint="eastAsia"/>
        </w:rPr>
        <w:t>1.11.3　分包人的技术秘密和声明需要保密的资料和信息，发包人、监理人和承包人不得为合同以外的目的泄露给他人。</w:t>
      </w:r>
    </w:p>
    <w:p>
      <w:pPr>
        <w:spacing w:line="360" w:lineRule="auto"/>
        <w:ind w:left="0" w:firstLine="0"/>
        <w:rPr>
          <w:b/>
          <w:bCs/>
        </w:rPr>
      </w:pPr>
      <w:bookmarkStart w:id="430" w:name="_Toc152042401"/>
      <w:bookmarkStart w:id="431" w:name="_Toc152045623"/>
      <w:bookmarkStart w:id="432" w:name="_Toc403052640"/>
      <w:bookmarkStart w:id="433" w:name="_Toc338944716"/>
      <w:bookmarkStart w:id="434" w:name="_Toc393200048"/>
      <w:bookmarkStart w:id="435" w:name="_Toc391456194"/>
      <w:bookmarkStart w:id="436" w:name="_Toc144974591"/>
      <w:bookmarkStart w:id="437" w:name="_Toc393199534"/>
      <w:bookmarkStart w:id="438" w:name="_Toc393200562"/>
      <w:bookmarkStart w:id="439" w:name="_Toc179632641"/>
      <w:bookmarkStart w:id="440" w:name="_Toc403059582"/>
      <w:bookmarkStart w:id="441" w:name="_Toc342296274"/>
      <w:bookmarkStart w:id="442" w:name="_Toc403054400"/>
      <w:r>
        <w:rPr>
          <w:rFonts w:hint="eastAsia"/>
          <w:b/>
          <w:bCs/>
        </w:rPr>
        <w:t>1.12　图纸和文件的保密</w:t>
      </w:r>
      <w:bookmarkEnd w:id="430"/>
      <w:bookmarkEnd w:id="431"/>
      <w:bookmarkEnd w:id="432"/>
      <w:bookmarkEnd w:id="433"/>
      <w:bookmarkEnd w:id="434"/>
      <w:bookmarkEnd w:id="435"/>
      <w:bookmarkEnd w:id="436"/>
      <w:bookmarkEnd w:id="437"/>
      <w:bookmarkEnd w:id="438"/>
      <w:bookmarkEnd w:id="439"/>
      <w:bookmarkEnd w:id="440"/>
      <w:bookmarkEnd w:id="441"/>
      <w:bookmarkEnd w:id="442"/>
    </w:p>
    <w:p>
      <w:pPr>
        <w:spacing w:line="360" w:lineRule="auto"/>
        <w:ind w:left="0" w:firstLine="0"/>
      </w:pPr>
      <w:r>
        <w:rPr>
          <w:rFonts w:hint="eastAsia"/>
        </w:rPr>
        <w:t>1.12.1　承包人提供的图纸和文件，未经承包人同意，分包人不得为合同以外的目的泄露给他人或公开发表与引用。</w:t>
      </w:r>
    </w:p>
    <w:p>
      <w:pPr>
        <w:spacing w:line="360" w:lineRule="auto"/>
        <w:ind w:left="0" w:firstLine="0"/>
      </w:pPr>
      <w:r>
        <w:rPr>
          <w:rFonts w:hint="eastAsia"/>
        </w:rPr>
        <w:t>1.12.2　分包人提供的文件，未经分包人同意，发包人、监理人和承包人不得为合同以外的目的泄露给他人或公开发表与引用。</w:t>
      </w:r>
    </w:p>
    <w:p>
      <w:pPr>
        <w:spacing w:line="360" w:lineRule="auto"/>
        <w:ind w:left="0" w:firstLine="0"/>
        <w:rPr>
          <w:b/>
          <w:bCs/>
        </w:rPr>
      </w:pPr>
      <w:bookmarkStart w:id="443" w:name="_Toc391456195"/>
      <w:bookmarkStart w:id="444" w:name="_Toc403059583"/>
      <w:bookmarkStart w:id="445" w:name="_Toc403052641"/>
      <w:bookmarkStart w:id="446" w:name="_Toc255715114"/>
      <w:r>
        <w:rPr>
          <w:rFonts w:hint="eastAsia"/>
          <w:b/>
          <w:bCs/>
        </w:rPr>
        <w:t>2.总承包合同</w:t>
      </w:r>
      <w:bookmarkEnd w:id="443"/>
      <w:bookmarkEnd w:id="444"/>
      <w:bookmarkEnd w:id="445"/>
      <w:bookmarkEnd w:id="446"/>
    </w:p>
    <w:p>
      <w:pPr>
        <w:spacing w:line="360" w:lineRule="auto"/>
        <w:ind w:left="0" w:firstLine="0"/>
        <w:rPr>
          <w:b/>
          <w:bCs/>
        </w:rPr>
      </w:pPr>
      <w:bookmarkStart w:id="447" w:name="_Toc403059584"/>
      <w:bookmarkStart w:id="448" w:name="_Toc403052642"/>
      <w:bookmarkStart w:id="449" w:name="_Toc393200050"/>
      <w:bookmarkStart w:id="450" w:name="_Toc393200564"/>
      <w:bookmarkStart w:id="451" w:name="_Toc391456196"/>
      <w:bookmarkStart w:id="452" w:name="_Toc403054402"/>
      <w:bookmarkStart w:id="453" w:name="_Toc393199536"/>
      <w:r>
        <w:rPr>
          <w:rFonts w:hint="eastAsia"/>
          <w:b/>
          <w:bCs/>
        </w:rPr>
        <w:t>2.1　分包人对总承包合同的了解</w:t>
      </w:r>
      <w:bookmarkEnd w:id="447"/>
      <w:bookmarkEnd w:id="448"/>
      <w:bookmarkEnd w:id="449"/>
      <w:bookmarkEnd w:id="450"/>
      <w:bookmarkEnd w:id="451"/>
      <w:bookmarkEnd w:id="452"/>
      <w:bookmarkEnd w:id="453"/>
    </w:p>
    <w:p>
      <w:pPr>
        <w:spacing w:line="360" w:lineRule="auto"/>
        <w:ind w:left="0" w:firstLine="0"/>
      </w:pPr>
      <w:r>
        <w:rPr>
          <w:rFonts w:hint="eastAsia"/>
        </w:rPr>
        <w:t>承包人应当提供总承包合同（有关整体工程的价格和支付内容除外）供分包人查阅。当分包人要求时，承包人应当向分包人提供一份总承包合同（有关整体工程的价格和支付内容除外）的副本或复印件。分包人应当全面了解总承包合同的各项规定（有关整体工程的价格和支付内容除外）。</w:t>
      </w:r>
    </w:p>
    <w:p>
      <w:pPr>
        <w:spacing w:line="360" w:lineRule="auto"/>
        <w:ind w:left="0" w:firstLine="0"/>
        <w:rPr>
          <w:b/>
          <w:bCs/>
        </w:rPr>
      </w:pPr>
      <w:bookmarkStart w:id="454" w:name="_Toc403054403"/>
      <w:bookmarkStart w:id="455" w:name="_Toc403052643"/>
      <w:bookmarkStart w:id="456" w:name="_Toc393200565"/>
      <w:bookmarkStart w:id="457" w:name="_Toc391456197"/>
      <w:bookmarkStart w:id="458" w:name="_Toc393200051"/>
      <w:bookmarkStart w:id="459" w:name="_Toc403059585"/>
      <w:bookmarkStart w:id="460" w:name="_Toc393199537"/>
      <w:r>
        <w:rPr>
          <w:rFonts w:hint="eastAsia"/>
          <w:b/>
          <w:bCs/>
        </w:rPr>
        <w:t>2.</w:t>
      </w:r>
      <w:r>
        <w:rPr>
          <w:b/>
          <w:bCs/>
        </w:rPr>
        <w:t>2</w:t>
      </w:r>
      <w:r>
        <w:rPr>
          <w:rFonts w:hint="eastAsia"/>
          <w:b/>
          <w:bCs/>
        </w:rPr>
        <w:t>　分包人对有关分包工程的责任</w:t>
      </w:r>
      <w:bookmarkEnd w:id="454"/>
      <w:bookmarkEnd w:id="455"/>
      <w:bookmarkEnd w:id="456"/>
      <w:bookmarkEnd w:id="457"/>
      <w:bookmarkEnd w:id="458"/>
      <w:bookmarkEnd w:id="459"/>
      <w:bookmarkEnd w:id="460"/>
    </w:p>
    <w:p>
      <w:pPr>
        <w:spacing w:line="360" w:lineRule="auto"/>
        <w:ind w:left="0" w:firstLine="0"/>
      </w:pPr>
      <w:r>
        <w:rPr>
          <w:rFonts w:hint="eastAsia"/>
        </w:rPr>
        <w:t>分包人应当避免因分包人自身行为或疏漏造成承包人违反总承包合同中约定的承包人义务的情况发生。</w:t>
      </w:r>
    </w:p>
    <w:p>
      <w:pPr>
        <w:spacing w:line="360" w:lineRule="auto"/>
        <w:ind w:left="0" w:firstLine="0"/>
        <w:rPr>
          <w:b/>
          <w:bCs/>
        </w:rPr>
      </w:pPr>
      <w:bookmarkStart w:id="461" w:name="_Toc403059586"/>
      <w:bookmarkStart w:id="462" w:name="_Toc403054404"/>
      <w:bookmarkStart w:id="463" w:name="_Toc393200566"/>
      <w:bookmarkStart w:id="464" w:name="_Toc393199538"/>
      <w:bookmarkStart w:id="465" w:name="_Toc391456198"/>
      <w:bookmarkStart w:id="466" w:name="_Toc403052644"/>
      <w:bookmarkStart w:id="467" w:name="_Toc393200052"/>
      <w:r>
        <w:rPr>
          <w:rFonts w:hint="eastAsia"/>
          <w:b/>
          <w:bCs/>
        </w:rPr>
        <w:t>2.</w:t>
      </w:r>
      <w:r>
        <w:rPr>
          <w:b/>
          <w:bCs/>
        </w:rPr>
        <w:t>3</w:t>
      </w:r>
      <w:r>
        <w:rPr>
          <w:rFonts w:hint="eastAsia"/>
          <w:b/>
          <w:bCs/>
        </w:rPr>
        <w:t>　承包人与发包人、监理人、设计人的关系</w:t>
      </w:r>
      <w:bookmarkEnd w:id="461"/>
      <w:bookmarkEnd w:id="462"/>
      <w:bookmarkEnd w:id="463"/>
      <w:bookmarkEnd w:id="464"/>
      <w:bookmarkEnd w:id="465"/>
      <w:bookmarkEnd w:id="466"/>
      <w:bookmarkEnd w:id="467"/>
    </w:p>
    <w:p>
      <w:pPr>
        <w:spacing w:line="360" w:lineRule="auto"/>
        <w:ind w:left="0" w:firstLine="0"/>
      </w:pPr>
      <w:r>
        <w:rPr>
          <w:rFonts w:hint="eastAsia"/>
        </w:rPr>
        <w:t>总承包合同中约定的需要发包人或监理人进行回复、审批或确认的事项，承包人应当及时按照总承包合同的约定报发包人或监理人，并获得总承包合同中约定的发包人或监理人的书面回复。</w:t>
      </w:r>
    </w:p>
    <w:p>
      <w:pPr>
        <w:spacing w:line="360" w:lineRule="auto"/>
        <w:ind w:left="0" w:firstLine="0"/>
      </w:pPr>
      <w:r>
        <w:rPr>
          <w:rFonts w:hint="eastAsia"/>
        </w:rPr>
        <w:t>分包合同中涉及的此类事项包括：</w:t>
      </w:r>
    </w:p>
    <w:p>
      <w:pPr>
        <w:spacing w:line="360" w:lineRule="auto"/>
        <w:ind w:left="0" w:firstLine="0"/>
      </w:pPr>
      <w:r>
        <w:rPr>
          <w:rFonts w:hint="eastAsia"/>
        </w:rPr>
        <w:t>（</w:t>
      </w:r>
      <w:r>
        <w:t>1</w:t>
      </w:r>
      <w:r>
        <w:rPr>
          <w:rFonts w:hint="eastAsia"/>
        </w:rPr>
        <w:t>）计量、计价、合同价款的确定与调整和款项支付；</w:t>
      </w:r>
    </w:p>
    <w:p>
      <w:pPr>
        <w:spacing w:line="360" w:lineRule="auto"/>
        <w:ind w:left="0" w:firstLine="0"/>
      </w:pPr>
      <w:r>
        <w:rPr>
          <w:rFonts w:hint="eastAsia"/>
        </w:rPr>
        <w:t>（</w:t>
      </w:r>
      <w:r>
        <w:t>2</w:t>
      </w:r>
      <w:r>
        <w:rPr>
          <w:rFonts w:hint="eastAsia"/>
        </w:rPr>
        <w:t>）变更及索赔；</w:t>
      </w:r>
    </w:p>
    <w:p>
      <w:pPr>
        <w:spacing w:line="360" w:lineRule="auto"/>
        <w:ind w:left="0" w:firstLine="0"/>
      </w:pPr>
      <w:r>
        <w:rPr>
          <w:rFonts w:hint="eastAsia"/>
        </w:rPr>
        <w:t>（</w:t>
      </w:r>
      <w:r>
        <w:t>3</w:t>
      </w:r>
      <w:r>
        <w:rPr>
          <w:rFonts w:hint="eastAsia"/>
        </w:rPr>
        <w:t>）暂列金额；</w:t>
      </w:r>
    </w:p>
    <w:p>
      <w:pPr>
        <w:spacing w:line="360" w:lineRule="auto"/>
        <w:ind w:left="0" w:firstLine="0"/>
      </w:pPr>
      <w:r>
        <w:rPr>
          <w:rFonts w:hint="eastAsia"/>
        </w:rPr>
        <w:t>（</w:t>
      </w:r>
      <w:r>
        <w:t>4</w:t>
      </w:r>
      <w:r>
        <w:rPr>
          <w:rFonts w:hint="eastAsia"/>
        </w:rPr>
        <w:t>）合同工期、开工时间、工期延长；</w:t>
      </w:r>
    </w:p>
    <w:p>
      <w:pPr>
        <w:spacing w:line="360" w:lineRule="auto"/>
        <w:ind w:left="0" w:firstLine="0"/>
      </w:pPr>
      <w:r>
        <w:rPr>
          <w:rFonts w:hint="eastAsia"/>
        </w:rPr>
        <w:t>（</w:t>
      </w:r>
      <w:r>
        <w:t>5</w:t>
      </w:r>
      <w:r>
        <w:rPr>
          <w:rFonts w:hint="eastAsia"/>
        </w:rPr>
        <w:t>）暂估价材料和工程设备供应商及价格的确定；</w:t>
      </w:r>
    </w:p>
    <w:p>
      <w:pPr>
        <w:spacing w:line="360" w:lineRule="auto"/>
        <w:ind w:left="0" w:firstLine="0"/>
      </w:pPr>
      <w:r>
        <w:rPr>
          <w:rFonts w:hint="eastAsia"/>
        </w:rPr>
        <w:t>（</w:t>
      </w:r>
      <w:r>
        <w:t>6</w:t>
      </w:r>
      <w:r>
        <w:rPr>
          <w:rFonts w:hint="eastAsia"/>
        </w:rPr>
        <w:t>）图纸修改、技术标准和要求的修改；</w:t>
      </w:r>
    </w:p>
    <w:p>
      <w:pPr>
        <w:spacing w:line="360" w:lineRule="auto"/>
        <w:ind w:left="0" w:firstLine="0"/>
      </w:pPr>
      <w:r>
        <w:rPr>
          <w:rFonts w:hint="eastAsia"/>
        </w:rPr>
        <w:t>（</w:t>
      </w:r>
      <w:r>
        <w:t>7</w:t>
      </w:r>
      <w:r>
        <w:rPr>
          <w:rFonts w:hint="eastAsia"/>
        </w:rPr>
        <w:t>）施工组织设计；</w:t>
      </w:r>
    </w:p>
    <w:p>
      <w:pPr>
        <w:spacing w:line="360" w:lineRule="auto"/>
        <w:ind w:left="0" w:firstLine="0"/>
      </w:pPr>
      <w:r>
        <w:rPr>
          <w:rFonts w:hint="eastAsia"/>
        </w:rPr>
        <w:t>（</w:t>
      </w:r>
      <w:r>
        <w:t>8</w:t>
      </w:r>
      <w:r>
        <w:rPr>
          <w:rFonts w:hint="eastAsia"/>
        </w:rPr>
        <w:t>）材料和工程设备检验、工艺检验；</w:t>
      </w:r>
    </w:p>
    <w:p>
      <w:pPr>
        <w:spacing w:line="360" w:lineRule="auto"/>
        <w:ind w:left="0" w:firstLine="0"/>
      </w:pPr>
      <w:r>
        <w:rPr>
          <w:rFonts w:hint="eastAsia"/>
        </w:rPr>
        <w:t>（</w:t>
      </w:r>
      <w:r>
        <w:t>9</w:t>
      </w:r>
      <w:r>
        <w:rPr>
          <w:rFonts w:hint="eastAsia"/>
        </w:rPr>
        <w:t>）样品、替代品；</w:t>
      </w:r>
    </w:p>
    <w:p>
      <w:pPr>
        <w:spacing w:line="360" w:lineRule="auto"/>
        <w:ind w:left="0" w:firstLine="0"/>
      </w:pPr>
      <w:r>
        <w:rPr>
          <w:rFonts w:hint="eastAsia"/>
        </w:rPr>
        <w:t>（</w:t>
      </w:r>
      <w:r>
        <w:t>10</w:t>
      </w:r>
      <w:r>
        <w:rPr>
          <w:rFonts w:hint="eastAsia"/>
        </w:rPr>
        <w:t>）工程暂停、合同解除；</w:t>
      </w:r>
    </w:p>
    <w:p>
      <w:pPr>
        <w:spacing w:line="360" w:lineRule="auto"/>
        <w:ind w:left="0" w:firstLine="0"/>
      </w:pPr>
      <w:r>
        <w:rPr>
          <w:rFonts w:hint="eastAsia"/>
        </w:rPr>
        <w:t>（</w:t>
      </w:r>
      <w:r>
        <w:t>11</w:t>
      </w:r>
      <w:r>
        <w:rPr>
          <w:rFonts w:hint="eastAsia"/>
        </w:rPr>
        <w:t>）完工验收；</w:t>
      </w:r>
    </w:p>
    <w:p>
      <w:pPr>
        <w:spacing w:line="360" w:lineRule="auto"/>
        <w:ind w:left="0" w:firstLine="0"/>
      </w:pPr>
      <w:r>
        <w:rPr>
          <w:rFonts w:hint="eastAsia"/>
        </w:rPr>
        <w:t>（</w:t>
      </w:r>
      <w:r>
        <w:t>12</w:t>
      </w:r>
      <w:r>
        <w:rPr>
          <w:rFonts w:hint="eastAsia"/>
        </w:rPr>
        <w:t>）专用合同条款约定的需要发包人或监理人进行回复、审批或确认的其他事项。</w:t>
      </w:r>
    </w:p>
    <w:p>
      <w:pPr>
        <w:spacing w:line="360" w:lineRule="auto"/>
        <w:ind w:left="0" w:firstLine="0"/>
      </w:pPr>
      <w:r>
        <w:rPr>
          <w:rFonts w:hint="eastAsia"/>
        </w:rPr>
        <w:t>上述事项只有依据总承包合同约定获得发包人或监理人的书面形式的审核和批准，才能够在总承包合同中成为发包人和承包人之间有合同约束力的文件。否则，由承包人承担相应的责任和费用。</w:t>
      </w:r>
    </w:p>
    <w:p>
      <w:pPr>
        <w:spacing w:line="360" w:lineRule="auto"/>
        <w:ind w:left="0" w:firstLine="0"/>
      </w:pPr>
      <w:r>
        <w:rPr>
          <w:rFonts w:hint="eastAsia"/>
        </w:rPr>
        <w:t>总承包合同中约定的应由发包人完成的工作，如果与分包合同有关，承包人应当及时督促发包人完成。</w:t>
      </w:r>
    </w:p>
    <w:p>
      <w:pPr>
        <w:spacing w:line="360" w:lineRule="auto"/>
        <w:ind w:left="0" w:firstLine="0"/>
      </w:pPr>
      <w:r>
        <w:rPr>
          <w:rFonts w:hint="eastAsia"/>
        </w:rPr>
        <w:t>第4.1.10（1）目中约定由分包人负责设计的永久工程，分包人提供的相关图纸、规范、计算书及其他资料必须获得发包人、设计人或相关图纸审批单位批准。</w:t>
      </w:r>
    </w:p>
    <w:p>
      <w:pPr>
        <w:spacing w:line="360" w:lineRule="auto"/>
        <w:ind w:left="0" w:firstLine="0"/>
        <w:rPr>
          <w:b/>
          <w:bCs/>
        </w:rPr>
      </w:pPr>
      <w:bookmarkStart w:id="468" w:name="_Toc393200053"/>
      <w:bookmarkStart w:id="469" w:name="_Toc403052645"/>
      <w:bookmarkStart w:id="470" w:name="_Toc393199539"/>
      <w:bookmarkStart w:id="471" w:name="_Toc403054405"/>
      <w:bookmarkStart w:id="472" w:name="_Toc403059587"/>
      <w:bookmarkStart w:id="473" w:name="_Toc391456199"/>
      <w:bookmarkStart w:id="474" w:name="_Toc393200567"/>
      <w:r>
        <w:rPr>
          <w:rFonts w:hint="eastAsia"/>
          <w:b/>
          <w:bCs/>
        </w:rPr>
        <w:t>2.</w:t>
      </w:r>
      <w:r>
        <w:rPr>
          <w:b/>
          <w:bCs/>
        </w:rPr>
        <w:t>4</w:t>
      </w:r>
      <w:r>
        <w:rPr>
          <w:rFonts w:hint="eastAsia"/>
          <w:b/>
          <w:bCs/>
        </w:rPr>
        <w:t>　分包人与发包人、监理人的关系</w:t>
      </w:r>
      <w:bookmarkEnd w:id="468"/>
      <w:bookmarkEnd w:id="469"/>
      <w:bookmarkEnd w:id="470"/>
      <w:bookmarkEnd w:id="471"/>
      <w:bookmarkEnd w:id="472"/>
      <w:bookmarkEnd w:id="473"/>
      <w:bookmarkEnd w:id="474"/>
    </w:p>
    <w:p>
      <w:pPr>
        <w:spacing w:line="360" w:lineRule="auto"/>
        <w:ind w:left="0" w:firstLine="0"/>
      </w:pPr>
      <w:r>
        <w:rPr>
          <w:rFonts w:hint="eastAsia"/>
        </w:rPr>
        <w:t>除非分包合同另有约定，未经承包人同意，分包人不应当与发包人或监理人发生直接工作联系，分包人不应当直接致函发包人或监理人，也不应当直接接受发包人或监理人的指令。</w:t>
      </w:r>
    </w:p>
    <w:p>
      <w:pPr>
        <w:spacing w:line="360" w:lineRule="auto"/>
        <w:ind w:left="0" w:firstLine="0"/>
        <w:rPr>
          <w:b/>
          <w:bCs/>
        </w:rPr>
      </w:pPr>
      <w:bookmarkStart w:id="475" w:name="_Toc403052646"/>
      <w:bookmarkStart w:id="476" w:name="_Toc403059588"/>
      <w:bookmarkStart w:id="477" w:name="_Toc391456200"/>
      <w:bookmarkStart w:id="478" w:name="_Toc338944717"/>
      <w:bookmarkStart w:id="479" w:name="_Toc342296275"/>
      <w:r>
        <w:rPr>
          <w:b/>
          <w:bCs/>
        </w:rPr>
        <w:t>3</w:t>
      </w:r>
      <w:r>
        <w:rPr>
          <w:rFonts w:hint="eastAsia"/>
          <w:b/>
          <w:bCs/>
        </w:rPr>
        <w:t>. 承包人义务</w:t>
      </w:r>
      <w:bookmarkEnd w:id="475"/>
      <w:bookmarkEnd w:id="476"/>
      <w:bookmarkEnd w:id="477"/>
      <w:bookmarkEnd w:id="478"/>
      <w:bookmarkEnd w:id="479"/>
    </w:p>
    <w:p>
      <w:pPr>
        <w:spacing w:line="360" w:lineRule="auto"/>
        <w:ind w:left="0" w:firstLine="0"/>
        <w:rPr>
          <w:b/>
          <w:bCs/>
        </w:rPr>
      </w:pPr>
      <w:bookmarkStart w:id="480" w:name="_Toc338944718"/>
      <w:bookmarkStart w:id="481" w:name="_Toc403054407"/>
      <w:bookmarkStart w:id="482" w:name="_Toc144974593"/>
      <w:bookmarkStart w:id="483" w:name="_Toc403059589"/>
      <w:bookmarkStart w:id="484" w:name="_Toc403052647"/>
      <w:bookmarkStart w:id="485" w:name="_Toc342296276"/>
      <w:bookmarkStart w:id="486" w:name="_Toc393199541"/>
      <w:bookmarkStart w:id="487" w:name="_Toc152045625"/>
      <w:bookmarkStart w:id="488" w:name="_Toc393200569"/>
      <w:bookmarkStart w:id="489" w:name="_Toc179632643"/>
      <w:bookmarkStart w:id="490" w:name="_Toc393200055"/>
      <w:bookmarkStart w:id="491" w:name="_Toc391456201"/>
      <w:bookmarkStart w:id="492" w:name="_Toc152042403"/>
      <w:r>
        <w:rPr>
          <w:b/>
          <w:bCs/>
        </w:rPr>
        <w:t>3</w:t>
      </w:r>
      <w:r>
        <w:rPr>
          <w:rFonts w:hint="eastAsia"/>
          <w:b/>
          <w:bCs/>
        </w:rPr>
        <w:t>.1　遵守法律</w:t>
      </w:r>
      <w:bookmarkEnd w:id="480"/>
      <w:bookmarkEnd w:id="481"/>
      <w:bookmarkEnd w:id="482"/>
      <w:bookmarkEnd w:id="483"/>
      <w:bookmarkEnd w:id="484"/>
      <w:bookmarkEnd w:id="485"/>
      <w:bookmarkEnd w:id="486"/>
      <w:bookmarkEnd w:id="487"/>
      <w:bookmarkEnd w:id="488"/>
      <w:bookmarkEnd w:id="489"/>
      <w:bookmarkEnd w:id="490"/>
      <w:bookmarkEnd w:id="491"/>
      <w:bookmarkEnd w:id="492"/>
    </w:p>
    <w:p>
      <w:pPr>
        <w:spacing w:line="360" w:lineRule="auto"/>
        <w:ind w:left="0" w:firstLine="0"/>
      </w:pPr>
      <w:r>
        <w:rPr>
          <w:rFonts w:hint="eastAsia"/>
        </w:rPr>
        <w:t>承包人在履行分包合同过程中应遵守法律，并保证分包人免于承担因承包人违反法律而引起的任何责任。</w:t>
      </w:r>
    </w:p>
    <w:p>
      <w:pPr>
        <w:spacing w:line="360" w:lineRule="auto"/>
        <w:ind w:left="0" w:firstLine="0"/>
        <w:rPr>
          <w:b/>
          <w:bCs/>
        </w:rPr>
      </w:pPr>
      <w:bookmarkStart w:id="493" w:name="_Toc391456202"/>
      <w:bookmarkStart w:id="494" w:name="_Toc403054408"/>
      <w:bookmarkStart w:id="495" w:name="_Toc152042404"/>
      <w:bookmarkStart w:id="496" w:name="_Toc144974594"/>
      <w:bookmarkStart w:id="497" w:name="_Toc342296277"/>
      <w:bookmarkStart w:id="498" w:name="_Toc179632644"/>
      <w:bookmarkStart w:id="499" w:name="_Toc403052648"/>
      <w:bookmarkStart w:id="500" w:name="_Toc338944719"/>
      <w:bookmarkStart w:id="501" w:name="_Toc393200056"/>
      <w:bookmarkStart w:id="502" w:name="_Toc152045626"/>
      <w:bookmarkStart w:id="503" w:name="_Toc393199542"/>
      <w:bookmarkStart w:id="504" w:name="_Toc393200570"/>
      <w:bookmarkStart w:id="505" w:name="_Toc403059590"/>
      <w:r>
        <w:rPr>
          <w:b/>
          <w:bCs/>
        </w:rPr>
        <w:t>3</w:t>
      </w:r>
      <w:r>
        <w:rPr>
          <w:rFonts w:hint="eastAsia"/>
          <w:b/>
          <w:bCs/>
        </w:rPr>
        <w:t>.2　发出开工通知</w:t>
      </w:r>
      <w:bookmarkEnd w:id="493"/>
      <w:bookmarkEnd w:id="494"/>
      <w:bookmarkEnd w:id="495"/>
      <w:bookmarkEnd w:id="496"/>
      <w:bookmarkEnd w:id="497"/>
      <w:bookmarkEnd w:id="498"/>
      <w:bookmarkEnd w:id="499"/>
      <w:bookmarkEnd w:id="500"/>
      <w:bookmarkEnd w:id="501"/>
      <w:bookmarkEnd w:id="502"/>
      <w:bookmarkEnd w:id="503"/>
      <w:bookmarkEnd w:id="504"/>
      <w:bookmarkEnd w:id="505"/>
    </w:p>
    <w:p>
      <w:pPr>
        <w:spacing w:line="360" w:lineRule="auto"/>
        <w:ind w:left="0" w:firstLine="0"/>
      </w:pPr>
      <w:r>
        <w:rPr>
          <w:rFonts w:hint="eastAsia"/>
        </w:rPr>
        <w:t>承包人应按第</w:t>
      </w:r>
      <w:r>
        <w:t>11</w:t>
      </w:r>
      <w:r>
        <w:rPr>
          <w:rFonts w:hint="eastAsia"/>
        </w:rPr>
        <w:t>.1款的约定向分包人发出开工通知。</w:t>
      </w:r>
    </w:p>
    <w:p>
      <w:pPr>
        <w:spacing w:line="360" w:lineRule="auto"/>
        <w:ind w:left="0" w:firstLine="0"/>
        <w:rPr>
          <w:b/>
          <w:bCs/>
        </w:rPr>
      </w:pPr>
      <w:bookmarkStart w:id="506" w:name="_Toc393200057"/>
      <w:bookmarkStart w:id="507" w:name="_Toc391456203"/>
      <w:bookmarkStart w:id="508" w:name="_Toc393200571"/>
      <w:bookmarkStart w:id="509" w:name="_Toc338944720"/>
      <w:bookmarkStart w:id="510" w:name="_Toc342296278"/>
      <w:bookmarkStart w:id="511" w:name="_Toc393199543"/>
      <w:bookmarkStart w:id="512" w:name="_Toc403059591"/>
      <w:bookmarkStart w:id="513" w:name="_Toc403052649"/>
      <w:bookmarkStart w:id="514" w:name="_Toc403054409"/>
      <w:r>
        <w:rPr>
          <w:b/>
          <w:bCs/>
        </w:rPr>
        <w:t>3</w:t>
      </w:r>
      <w:r>
        <w:rPr>
          <w:rFonts w:hint="eastAsia"/>
          <w:b/>
          <w:bCs/>
        </w:rPr>
        <w:t>.3　提供基础资料、施工</w:t>
      </w:r>
      <w:bookmarkEnd w:id="506"/>
      <w:bookmarkEnd w:id="507"/>
      <w:bookmarkEnd w:id="508"/>
      <w:bookmarkEnd w:id="509"/>
      <w:bookmarkEnd w:id="510"/>
      <w:bookmarkEnd w:id="511"/>
      <w:r>
        <w:rPr>
          <w:rFonts w:hint="eastAsia"/>
          <w:b/>
          <w:bCs/>
        </w:rPr>
        <w:t>条件</w:t>
      </w:r>
      <w:bookmarkEnd w:id="512"/>
      <w:bookmarkEnd w:id="513"/>
      <w:bookmarkEnd w:id="514"/>
    </w:p>
    <w:p>
      <w:pPr>
        <w:spacing w:line="360" w:lineRule="auto"/>
        <w:ind w:left="0" w:firstLine="0"/>
      </w:pPr>
      <w:r>
        <w:t>3</w:t>
      </w:r>
      <w:r>
        <w:rPr>
          <w:rFonts w:hint="eastAsia"/>
        </w:rPr>
        <w:t>.</w:t>
      </w:r>
      <w:r>
        <w:t>3</w:t>
      </w:r>
      <w:r>
        <w:rPr>
          <w:rFonts w:hint="eastAsia"/>
        </w:rPr>
        <w:t>.1　</w:t>
      </w:r>
      <w:r>
        <w:t>承包人应在</w:t>
      </w:r>
      <w:r>
        <w:rPr>
          <w:rFonts w:hint="eastAsia"/>
        </w:rPr>
        <w:t>专用合同条款约定期限前</w:t>
      </w:r>
      <w:r>
        <w:t>向分包人提供</w:t>
      </w:r>
      <w:r>
        <w:rPr>
          <w:rFonts w:hint="eastAsia"/>
        </w:rPr>
        <w:t>履行分包合同所需的相应基础资料，并保证资料的真实、准确和完整。</w:t>
      </w:r>
    </w:p>
    <w:p>
      <w:pPr>
        <w:spacing w:line="360" w:lineRule="auto"/>
        <w:ind w:left="0" w:firstLine="0"/>
      </w:pPr>
      <w:r>
        <w:t>3</w:t>
      </w:r>
      <w:r>
        <w:rPr>
          <w:rFonts w:hint="eastAsia"/>
        </w:rPr>
        <w:t>.</w:t>
      </w:r>
      <w:r>
        <w:t>3</w:t>
      </w:r>
      <w:r>
        <w:rPr>
          <w:rFonts w:hint="eastAsia"/>
        </w:rPr>
        <w:t>.</w:t>
      </w:r>
      <w:r>
        <w:t>2</w:t>
      </w:r>
      <w:r>
        <w:rPr>
          <w:rFonts w:hint="eastAsia"/>
        </w:rPr>
        <w:t>　承包人应在专用合同条款约定的期限前确保施工场地具备施工条件并移交给分包人，具体施工条件在“技术标准和要求”第一节“一般要求”中约定。</w:t>
      </w:r>
    </w:p>
    <w:p>
      <w:pPr>
        <w:spacing w:line="360" w:lineRule="auto"/>
        <w:ind w:left="0" w:firstLine="0"/>
        <w:rPr>
          <w:b/>
          <w:bCs/>
        </w:rPr>
      </w:pPr>
      <w:bookmarkStart w:id="515" w:name="_Toc393200573"/>
      <w:bookmarkStart w:id="516" w:name="_Toc403059592"/>
      <w:bookmarkStart w:id="517" w:name="_Toc144974596"/>
      <w:bookmarkStart w:id="518" w:name="_Toc338944721"/>
      <w:bookmarkStart w:id="519" w:name="_Toc342296279"/>
      <w:bookmarkStart w:id="520" w:name="_Toc403054410"/>
      <w:bookmarkStart w:id="521" w:name="_Toc403052650"/>
      <w:bookmarkStart w:id="522" w:name="_Toc152045628"/>
      <w:bookmarkStart w:id="523" w:name="_Toc393199545"/>
      <w:bookmarkStart w:id="524" w:name="_Toc393200059"/>
      <w:bookmarkStart w:id="525" w:name="_Toc152042406"/>
      <w:bookmarkStart w:id="526" w:name="_Toc391456204"/>
      <w:bookmarkStart w:id="527" w:name="_Toc179632646"/>
      <w:r>
        <w:rPr>
          <w:b/>
          <w:bCs/>
        </w:rPr>
        <w:t>3</w:t>
      </w:r>
      <w:r>
        <w:rPr>
          <w:rFonts w:hint="eastAsia"/>
          <w:b/>
          <w:bCs/>
        </w:rPr>
        <w:t>.</w:t>
      </w:r>
      <w:r>
        <w:rPr>
          <w:b/>
          <w:bCs/>
        </w:rPr>
        <w:t>4</w:t>
      </w:r>
      <w:r>
        <w:rPr>
          <w:rFonts w:hint="eastAsia"/>
          <w:b/>
          <w:bCs/>
        </w:rPr>
        <w:t>　协助分包人办理证件和批件</w:t>
      </w:r>
      <w:bookmarkEnd w:id="515"/>
      <w:bookmarkEnd w:id="516"/>
      <w:bookmarkEnd w:id="517"/>
      <w:bookmarkEnd w:id="518"/>
      <w:bookmarkEnd w:id="519"/>
      <w:bookmarkEnd w:id="520"/>
      <w:bookmarkEnd w:id="521"/>
      <w:bookmarkEnd w:id="522"/>
      <w:bookmarkEnd w:id="523"/>
      <w:bookmarkEnd w:id="524"/>
      <w:bookmarkEnd w:id="525"/>
      <w:bookmarkEnd w:id="526"/>
      <w:bookmarkEnd w:id="527"/>
    </w:p>
    <w:p>
      <w:pPr>
        <w:spacing w:line="360" w:lineRule="auto"/>
        <w:ind w:left="0" w:firstLine="0"/>
      </w:pPr>
      <w:r>
        <w:rPr>
          <w:rFonts w:hint="eastAsia"/>
        </w:rPr>
        <w:t>承包人应协助分包人办理法律规定的有关施工证件和批件。</w:t>
      </w:r>
    </w:p>
    <w:p>
      <w:pPr>
        <w:spacing w:line="360" w:lineRule="auto"/>
        <w:ind w:left="0" w:firstLine="0"/>
        <w:rPr>
          <w:b/>
          <w:bCs/>
        </w:rPr>
      </w:pPr>
      <w:bookmarkStart w:id="528" w:name="_Toc393200574"/>
      <w:bookmarkStart w:id="529" w:name="_Toc403054411"/>
      <w:bookmarkStart w:id="530" w:name="_Toc403059593"/>
      <w:bookmarkStart w:id="531" w:name="_Toc393199546"/>
      <w:bookmarkStart w:id="532" w:name="_Toc403052651"/>
      <w:bookmarkStart w:id="533" w:name="_Toc393200060"/>
      <w:r>
        <w:rPr>
          <w:b/>
          <w:bCs/>
        </w:rPr>
        <w:t>3</w:t>
      </w:r>
      <w:r>
        <w:rPr>
          <w:rFonts w:hint="eastAsia"/>
          <w:b/>
          <w:bCs/>
        </w:rPr>
        <w:t>.</w:t>
      </w:r>
      <w:r>
        <w:rPr>
          <w:b/>
          <w:bCs/>
        </w:rPr>
        <w:t>5</w:t>
      </w:r>
      <w:r>
        <w:rPr>
          <w:rFonts w:hint="eastAsia"/>
          <w:b/>
          <w:bCs/>
        </w:rPr>
        <w:t>　承担总包管理责任</w:t>
      </w:r>
      <w:bookmarkEnd w:id="528"/>
      <w:bookmarkEnd w:id="529"/>
      <w:bookmarkEnd w:id="530"/>
      <w:bookmarkEnd w:id="531"/>
      <w:bookmarkEnd w:id="532"/>
      <w:bookmarkEnd w:id="533"/>
    </w:p>
    <w:p>
      <w:pPr>
        <w:spacing w:line="360" w:lineRule="auto"/>
        <w:ind w:left="0" w:firstLine="0"/>
      </w:pPr>
      <w:r>
        <w:t>承包人应按法律规定和总</w:t>
      </w:r>
      <w:r>
        <w:rPr>
          <w:rFonts w:hint="eastAsia"/>
        </w:rPr>
        <w:t>承</w:t>
      </w:r>
      <w:r>
        <w:t>包合同的约定对分包人和分包工程进行管理并承担总包管理责任。具体</w:t>
      </w:r>
      <w:r>
        <w:rPr>
          <w:rFonts w:hint="eastAsia"/>
        </w:rPr>
        <w:t>内容在专用合同条款中规定</w:t>
      </w:r>
      <w:r>
        <w:t>。</w:t>
      </w:r>
    </w:p>
    <w:p>
      <w:pPr>
        <w:spacing w:line="360" w:lineRule="auto"/>
        <w:ind w:left="0" w:firstLine="0"/>
        <w:rPr>
          <w:b/>
          <w:bCs/>
        </w:rPr>
      </w:pPr>
      <w:bookmarkStart w:id="534" w:name="_Toc393200575"/>
      <w:bookmarkStart w:id="535" w:name="_Toc393199547"/>
      <w:bookmarkStart w:id="536" w:name="_Toc338944722"/>
      <w:bookmarkStart w:id="537" w:name="_Toc403054412"/>
      <w:bookmarkStart w:id="538" w:name="_Toc403052652"/>
      <w:bookmarkStart w:id="539" w:name="_Toc342296280"/>
      <w:bookmarkStart w:id="540" w:name="_Toc391456205"/>
      <w:bookmarkStart w:id="541" w:name="_Toc403059594"/>
      <w:bookmarkStart w:id="542" w:name="_Toc393200061"/>
      <w:r>
        <w:rPr>
          <w:b/>
          <w:bCs/>
        </w:rPr>
        <w:t>3</w:t>
      </w:r>
      <w:r>
        <w:rPr>
          <w:rFonts w:hint="eastAsia"/>
          <w:b/>
          <w:bCs/>
        </w:rPr>
        <w:t>.</w:t>
      </w:r>
      <w:r>
        <w:rPr>
          <w:b/>
          <w:bCs/>
        </w:rPr>
        <w:t>6</w:t>
      </w:r>
      <w:r>
        <w:rPr>
          <w:rFonts w:hint="eastAsia"/>
          <w:b/>
          <w:bCs/>
        </w:rPr>
        <w:t>　组织设计交底</w:t>
      </w:r>
      <w:bookmarkEnd w:id="534"/>
      <w:bookmarkEnd w:id="535"/>
      <w:bookmarkEnd w:id="536"/>
      <w:bookmarkEnd w:id="537"/>
      <w:bookmarkEnd w:id="538"/>
      <w:bookmarkEnd w:id="539"/>
      <w:bookmarkEnd w:id="540"/>
      <w:bookmarkEnd w:id="541"/>
      <w:bookmarkEnd w:id="542"/>
    </w:p>
    <w:p>
      <w:pPr>
        <w:spacing w:line="360" w:lineRule="auto"/>
        <w:ind w:left="0" w:firstLine="0"/>
      </w:pPr>
      <w:r>
        <w:rPr>
          <w:rFonts w:hint="eastAsia"/>
        </w:rPr>
        <w:t>承包人应根据合同进度计划，组织设计单位向分包人进行设计交底。</w:t>
      </w:r>
    </w:p>
    <w:p>
      <w:pPr>
        <w:spacing w:line="360" w:lineRule="auto"/>
        <w:ind w:left="0" w:firstLine="0"/>
      </w:pPr>
      <w:r>
        <w:rPr>
          <w:rFonts w:hint="eastAsia"/>
        </w:rPr>
        <w:t>承包人应当在第</w:t>
      </w:r>
      <w:r>
        <w:t>8</w:t>
      </w:r>
      <w:r>
        <w:rPr>
          <w:rFonts w:hint="eastAsia"/>
        </w:rPr>
        <w:t>.1.1项约定的开工日期前组织设计人向分包人进行分包合同工程总体设计交底（包括图纸会审）。承包人还应按照合同进度计划中载明的阶段性设计交底时间组织和安排阶段工程设计交底（包括图纸会审）。分包人可以书面方式向承包人申请增加紧急的设计交底，承包人在认为确有必要且条件许可时，应当尽快组织这类设计交底。</w:t>
      </w:r>
    </w:p>
    <w:p>
      <w:pPr>
        <w:spacing w:line="360" w:lineRule="auto"/>
        <w:ind w:left="0" w:firstLine="0"/>
        <w:rPr>
          <w:b/>
          <w:bCs/>
        </w:rPr>
      </w:pPr>
      <w:bookmarkStart w:id="543" w:name="_Toc342296281"/>
      <w:bookmarkStart w:id="544" w:name="_Toc393200576"/>
      <w:bookmarkStart w:id="545" w:name="_Toc393200062"/>
      <w:bookmarkStart w:id="546" w:name="_Toc403052653"/>
      <w:bookmarkStart w:id="547" w:name="_Toc403059595"/>
      <w:bookmarkStart w:id="548" w:name="_Toc393199548"/>
      <w:bookmarkStart w:id="549" w:name="_Toc391456206"/>
      <w:bookmarkStart w:id="550" w:name="_Toc338944723"/>
      <w:bookmarkStart w:id="551" w:name="_Toc403054413"/>
      <w:r>
        <w:rPr>
          <w:b/>
          <w:bCs/>
        </w:rPr>
        <w:t>3</w:t>
      </w:r>
      <w:r>
        <w:rPr>
          <w:rFonts w:hint="eastAsia"/>
          <w:b/>
          <w:bCs/>
        </w:rPr>
        <w:t>.</w:t>
      </w:r>
      <w:r>
        <w:rPr>
          <w:b/>
          <w:bCs/>
        </w:rPr>
        <w:t>7</w:t>
      </w:r>
      <w:r>
        <w:rPr>
          <w:rFonts w:hint="eastAsia"/>
          <w:b/>
          <w:bCs/>
        </w:rPr>
        <w:t>　支付合同价款</w:t>
      </w:r>
      <w:bookmarkEnd w:id="543"/>
      <w:bookmarkEnd w:id="544"/>
      <w:bookmarkEnd w:id="545"/>
      <w:bookmarkEnd w:id="546"/>
      <w:bookmarkEnd w:id="547"/>
      <w:bookmarkEnd w:id="548"/>
      <w:bookmarkEnd w:id="549"/>
      <w:bookmarkEnd w:id="550"/>
      <w:bookmarkEnd w:id="551"/>
    </w:p>
    <w:p>
      <w:pPr>
        <w:spacing w:line="360" w:lineRule="auto"/>
        <w:ind w:left="0" w:firstLine="0"/>
      </w:pPr>
      <w:r>
        <w:rPr>
          <w:rFonts w:hint="eastAsia"/>
        </w:rPr>
        <w:t>承包人应按分包合同约定向分包人及时支付合同价款。</w:t>
      </w:r>
    </w:p>
    <w:p>
      <w:pPr>
        <w:spacing w:line="360" w:lineRule="auto"/>
        <w:ind w:left="0" w:firstLine="0"/>
        <w:rPr>
          <w:b/>
          <w:bCs/>
        </w:rPr>
      </w:pPr>
      <w:bookmarkStart w:id="552" w:name="_Toc144974599"/>
      <w:bookmarkStart w:id="553" w:name="_Toc152042409"/>
      <w:bookmarkStart w:id="554" w:name="_Toc393199549"/>
      <w:bookmarkStart w:id="555" w:name="_Toc403052654"/>
      <w:bookmarkStart w:id="556" w:name="_Toc393200577"/>
      <w:bookmarkStart w:id="557" w:name="_Toc403059596"/>
      <w:bookmarkStart w:id="558" w:name="_Toc179632649"/>
      <w:bookmarkStart w:id="559" w:name="_Toc342296282"/>
      <w:bookmarkStart w:id="560" w:name="_Toc391456207"/>
      <w:bookmarkStart w:id="561" w:name="_Toc338944724"/>
      <w:bookmarkStart w:id="562" w:name="_Toc403054414"/>
      <w:bookmarkStart w:id="563" w:name="_Toc152045631"/>
      <w:bookmarkStart w:id="564" w:name="_Toc393200063"/>
      <w:r>
        <w:rPr>
          <w:b/>
          <w:bCs/>
        </w:rPr>
        <w:t>3</w:t>
      </w:r>
      <w:r>
        <w:rPr>
          <w:rFonts w:hint="eastAsia"/>
          <w:b/>
          <w:bCs/>
        </w:rPr>
        <w:t>.</w:t>
      </w:r>
      <w:r>
        <w:rPr>
          <w:b/>
          <w:bCs/>
        </w:rPr>
        <w:t>8</w:t>
      </w:r>
      <w:r>
        <w:rPr>
          <w:rFonts w:hint="eastAsia"/>
          <w:b/>
          <w:bCs/>
        </w:rPr>
        <w:t>　组织完工验收</w:t>
      </w:r>
      <w:bookmarkEnd w:id="552"/>
      <w:bookmarkEnd w:id="553"/>
      <w:bookmarkEnd w:id="554"/>
      <w:bookmarkEnd w:id="555"/>
      <w:bookmarkEnd w:id="556"/>
      <w:bookmarkEnd w:id="557"/>
      <w:bookmarkEnd w:id="558"/>
      <w:bookmarkEnd w:id="559"/>
      <w:bookmarkEnd w:id="560"/>
      <w:bookmarkEnd w:id="561"/>
      <w:bookmarkEnd w:id="562"/>
      <w:bookmarkEnd w:id="563"/>
      <w:bookmarkEnd w:id="564"/>
    </w:p>
    <w:p>
      <w:pPr>
        <w:spacing w:line="360" w:lineRule="auto"/>
        <w:ind w:left="0" w:firstLine="0"/>
      </w:pPr>
      <w:r>
        <w:rPr>
          <w:rFonts w:hint="eastAsia"/>
        </w:rPr>
        <w:t>承包人应按分包合同约定及时组织完工验收。</w:t>
      </w:r>
    </w:p>
    <w:p>
      <w:pPr>
        <w:spacing w:line="360" w:lineRule="auto"/>
        <w:ind w:left="0" w:firstLine="0"/>
        <w:rPr>
          <w:b/>
          <w:bCs/>
        </w:rPr>
      </w:pPr>
      <w:bookmarkStart w:id="565" w:name="_Toc403059597"/>
      <w:bookmarkStart w:id="566" w:name="_Toc403054415"/>
      <w:bookmarkStart w:id="567" w:name="_Toc403052655"/>
      <w:bookmarkStart w:id="568" w:name="_Toc338944725"/>
      <w:bookmarkStart w:id="569" w:name="_Toc393200064"/>
      <w:bookmarkStart w:id="570" w:name="_Toc391456208"/>
      <w:bookmarkStart w:id="571" w:name="_Toc393200578"/>
      <w:bookmarkStart w:id="572" w:name="_Toc342296283"/>
      <w:bookmarkStart w:id="573" w:name="_Toc393199550"/>
      <w:r>
        <w:rPr>
          <w:b/>
          <w:bCs/>
        </w:rPr>
        <w:t>3</w:t>
      </w:r>
      <w:r>
        <w:rPr>
          <w:rFonts w:hint="eastAsia"/>
          <w:b/>
          <w:bCs/>
        </w:rPr>
        <w:t>.</w:t>
      </w:r>
      <w:r>
        <w:rPr>
          <w:b/>
          <w:bCs/>
        </w:rPr>
        <w:t>9</w:t>
      </w:r>
      <w:r>
        <w:rPr>
          <w:rFonts w:hint="eastAsia"/>
          <w:b/>
          <w:bCs/>
        </w:rPr>
        <w:t>　向分包人提交对等的支付担保</w:t>
      </w:r>
      <w:bookmarkEnd w:id="565"/>
      <w:bookmarkEnd w:id="566"/>
      <w:bookmarkEnd w:id="567"/>
      <w:bookmarkEnd w:id="568"/>
      <w:bookmarkEnd w:id="569"/>
      <w:bookmarkEnd w:id="570"/>
      <w:bookmarkEnd w:id="571"/>
      <w:bookmarkEnd w:id="572"/>
      <w:bookmarkEnd w:id="573"/>
    </w:p>
    <w:p>
      <w:pPr>
        <w:spacing w:line="360" w:lineRule="auto"/>
        <w:ind w:left="0" w:firstLine="0"/>
      </w:pPr>
      <w:r>
        <w:rPr>
          <w:rFonts w:hint="eastAsia"/>
        </w:rPr>
        <w:t>如承包人要求分包人提供履约担保的，在分包人按第4.2款向承包人递交符合分包合同约定的履约担保的同时，承包人应当按照金额和条件对等的原则和招标文件中规定的格式或者其他经过分包人事先认可的格式向分包人递交一份支付担保。支付担保的有效期应当自分包合同生效之日起至承包人实际支付完工付款之日止。如果承包人无法获得一份不带具体截止日期的担保，支付担保中应当有“变更工程完工付款支付日期的，保证期间按照变更后的完工付款支付日期做相应调整”或类似约定的条款。支付担保应在承包人付清完工付款之日后28天内退还给承包人。分包人不承担承包人与支付担保有关的任何利息或其它类似的费用或者收益。支付担保是分包合同的附件。</w:t>
      </w:r>
    </w:p>
    <w:p>
      <w:pPr>
        <w:spacing w:line="360" w:lineRule="auto"/>
        <w:ind w:left="0" w:firstLine="0"/>
        <w:rPr>
          <w:b/>
          <w:bCs/>
        </w:rPr>
      </w:pPr>
      <w:bookmarkStart w:id="574" w:name="_Toc403054416"/>
      <w:bookmarkStart w:id="575" w:name="_Toc403052656"/>
      <w:bookmarkStart w:id="576" w:name="_Toc393199551"/>
      <w:bookmarkStart w:id="577" w:name="_Toc393200065"/>
      <w:bookmarkStart w:id="578" w:name="_Toc403059598"/>
      <w:bookmarkStart w:id="579" w:name="_Toc393200579"/>
      <w:r>
        <w:rPr>
          <w:b/>
          <w:bCs/>
        </w:rPr>
        <w:t>3</w:t>
      </w:r>
      <w:r>
        <w:rPr>
          <w:rFonts w:hint="eastAsia"/>
          <w:b/>
          <w:bCs/>
        </w:rPr>
        <w:t>.</w:t>
      </w:r>
      <w:r>
        <w:rPr>
          <w:b/>
          <w:bCs/>
        </w:rPr>
        <w:t>10</w:t>
      </w:r>
      <w:r>
        <w:rPr>
          <w:rFonts w:hint="eastAsia"/>
          <w:b/>
          <w:bCs/>
        </w:rPr>
        <w:t>　</w:t>
      </w:r>
      <w:r>
        <w:rPr>
          <w:b/>
          <w:bCs/>
        </w:rPr>
        <w:t>批准和确认</w:t>
      </w:r>
      <w:bookmarkEnd w:id="574"/>
      <w:bookmarkEnd w:id="575"/>
      <w:bookmarkEnd w:id="576"/>
      <w:bookmarkEnd w:id="577"/>
      <w:bookmarkEnd w:id="578"/>
      <w:bookmarkEnd w:id="579"/>
    </w:p>
    <w:p>
      <w:pPr>
        <w:spacing w:line="360" w:lineRule="auto"/>
        <w:ind w:left="0" w:firstLine="0"/>
      </w:pPr>
      <w:r>
        <w:t>按</w:t>
      </w:r>
      <w:r>
        <w:rPr>
          <w:rFonts w:hint="eastAsia"/>
        </w:rPr>
        <w:t>分包</w:t>
      </w:r>
      <w:r>
        <w:t>合同约定</w:t>
      </w:r>
      <w:r>
        <w:rPr>
          <w:rFonts w:hint="eastAsia"/>
        </w:rPr>
        <w:t>应当由承包人</w:t>
      </w:r>
      <w:r>
        <w:t>回复、</w:t>
      </w:r>
      <w:r>
        <w:rPr>
          <w:rFonts w:hint="eastAsia"/>
        </w:rPr>
        <w:t>批复、</w:t>
      </w:r>
      <w:r>
        <w:t>批</w:t>
      </w:r>
      <w:r>
        <w:rPr>
          <w:rFonts w:hint="eastAsia"/>
        </w:rPr>
        <w:t>准、确认或提出修改意见的分</w:t>
      </w:r>
      <w:r>
        <w:t>包人的</w:t>
      </w:r>
      <w:r>
        <w:rPr>
          <w:rFonts w:hint="eastAsia"/>
        </w:rPr>
        <w:t>要求</w:t>
      </w:r>
      <w:r>
        <w:t>、</w:t>
      </w:r>
      <w:r>
        <w:rPr>
          <w:rFonts w:hint="eastAsia"/>
        </w:rPr>
        <w:t>请求、</w:t>
      </w:r>
      <w:r>
        <w:t>申请</w:t>
      </w:r>
      <w:r>
        <w:rPr>
          <w:rFonts w:hint="eastAsia"/>
        </w:rPr>
        <w:t>和报批等，自承包人指定的接收人收到分包人发出的相应要求、请求、申请和报批之日起，如果承包人在分包合同约定的期限内未予回复、批复、批准、确认或提出修改意见的，视为承包人已经同意、确认或者批准。</w:t>
      </w:r>
    </w:p>
    <w:p>
      <w:pPr>
        <w:spacing w:line="360" w:lineRule="auto"/>
        <w:ind w:left="0" w:firstLine="0"/>
        <w:rPr>
          <w:b/>
          <w:bCs/>
        </w:rPr>
      </w:pPr>
      <w:bookmarkStart w:id="580" w:name="_Toc393200066"/>
      <w:bookmarkStart w:id="581" w:name="_Toc393200580"/>
      <w:bookmarkStart w:id="582" w:name="_Toc403054417"/>
      <w:bookmarkStart w:id="583" w:name="_Toc393199552"/>
      <w:bookmarkStart w:id="584" w:name="_Toc403059599"/>
      <w:bookmarkStart w:id="585" w:name="_Toc403052657"/>
      <w:r>
        <w:rPr>
          <w:b/>
          <w:bCs/>
        </w:rPr>
        <w:t>3.11</w:t>
      </w:r>
      <w:r>
        <w:rPr>
          <w:rFonts w:hint="eastAsia"/>
          <w:b/>
          <w:bCs/>
        </w:rPr>
        <w:t>　</w:t>
      </w:r>
      <w:r>
        <w:rPr>
          <w:b/>
          <w:bCs/>
        </w:rPr>
        <w:t>其他义务</w:t>
      </w:r>
      <w:bookmarkEnd w:id="580"/>
      <w:bookmarkEnd w:id="581"/>
      <w:bookmarkEnd w:id="582"/>
      <w:bookmarkEnd w:id="583"/>
      <w:bookmarkEnd w:id="584"/>
      <w:bookmarkEnd w:id="585"/>
    </w:p>
    <w:p>
      <w:pPr>
        <w:spacing w:line="360" w:lineRule="auto"/>
        <w:ind w:left="0" w:firstLine="0"/>
      </w:pPr>
      <w:r>
        <w:rPr>
          <w:rFonts w:hint="eastAsia"/>
        </w:rPr>
        <w:t>承包人应履行专用合同条款约定的其他义务。</w:t>
      </w:r>
    </w:p>
    <w:p>
      <w:pPr>
        <w:spacing w:line="360" w:lineRule="auto"/>
        <w:ind w:left="0" w:firstLine="0"/>
        <w:rPr>
          <w:b/>
          <w:bCs/>
        </w:rPr>
      </w:pPr>
      <w:bookmarkStart w:id="586" w:name="_Toc403052658"/>
      <w:bookmarkStart w:id="587" w:name="_Toc391456209"/>
      <w:bookmarkStart w:id="588" w:name="_Toc403059600"/>
      <w:bookmarkStart w:id="589" w:name="_Toc342296290"/>
      <w:bookmarkStart w:id="590" w:name="_Toc338944732"/>
      <w:r>
        <w:rPr>
          <w:rFonts w:hint="eastAsia"/>
          <w:b/>
          <w:bCs/>
        </w:rPr>
        <w:t>4. 分包人</w:t>
      </w:r>
      <w:bookmarkEnd w:id="586"/>
      <w:bookmarkEnd w:id="587"/>
      <w:bookmarkEnd w:id="588"/>
      <w:bookmarkEnd w:id="589"/>
      <w:bookmarkEnd w:id="590"/>
    </w:p>
    <w:p>
      <w:pPr>
        <w:spacing w:line="360" w:lineRule="auto"/>
        <w:ind w:left="0" w:firstLine="0"/>
        <w:rPr>
          <w:b/>
          <w:bCs/>
        </w:rPr>
      </w:pPr>
      <w:bookmarkStart w:id="591" w:name="_Toc393199554"/>
      <w:bookmarkStart w:id="592" w:name="_Toc393200582"/>
      <w:bookmarkStart w:id="593" w:name="_Toc403059601"/>
      <w:bookmarkStart w:id="594" w:name="_Toc393200068"/>
      <w:bookmarkStart w:id="595" w:name="_Toc342296291"/>
      <w:bookmarkStart w:id="596" w:name="_Toc403054419"/>
      <w:bookmarkStart w:id="597" w:name="_Toc403052659"/>
      <w:bookmarkStart w:id="598" w:name="_Toc391456210"/>
      <w:bookmarkStart w:id="599" w:name="_Toc338944733"/>
      <w:r>
        <w:rPr>
          <w:rFonts w:hint="eastAsia"/>
          <w:b/>
          <w:bCs/>
        </w:rPr>
        <w:t>4.1　分包人的一般义务</w:t>
      </w:r>
      <w:bookmarkEnd w:id="591"/>
      <w:bookmarkEnd w:id="592"/>
      <w:bookmarkEnd w:id="593"/>
      <w:bookmarkEnd w:id="594"/>
      <w:bookmarkEnd w:id="595"/>
      <w:bookmarkEnd w:id="596"/>
      <w:bookmarkEnd w:id="597"/>
      <w:bookmarkEnd w:id="598"/>
      <w:bookmarkEnd w:id="599"/>
    </w:p>
    <w:p>
      <w:pPr>
        <w:spacing w:line="360" w:lineRule="auto"/>
        <w:ind w:left="0" w:firstLine="0"/>
      </w:pPr>
      <w:r>
        <w:rPr>
          <w:rFonts w:hint="eastAsia"/>
        </w:rPr>
        <w:t>4.1.1　遵守法律</w:t>
      </w:r>
    </w:p>
    <w:p>
      <w:pPr>
        <w:spacing w:line="360" w:lineRule="auto"/>
        <w:ind w:left="0" w:firstLine="0"/>
      </w:pPr>
      <w:r>
        <w:rPr>
          <w:rFonts w:hint="eastAsia"/>
        </w:rPr>
        <w:t>分包人在履行分包合同过程中应遵守法律，并保证承包人免于承担因分包人违反法律而引起的任何责任。</w:t>
      </w:r>
    </w:p>
    <w:p>
      <w:pPr>
        <w:spacing w:line="360" w:lineRule="auto"/>
        <w:ind w:left="0" w:firstLine="0"/>
      </w:pPr>
      <w:r>
        <w:rPr>
          <w:rFonts w:hint="eastAsia"/>
        </w:rPr>
        <w:t>4.1.2　依法纳税</w:t>
      </w:r>
    </w:p>
    <w:p>
      <w:pPr>
        <w:spacing w:line="360" w:lineRule="auto"/>
        <w:ind w:left="0" w:firstLine="0"/>
      </w:pPr>
      <w:r>
        <w:rPr>
          <w:rFonts w:hint="eastAsia"/>
        </w:rPr>
        <w:t>分包人应按有关法律规定纳税，应缴纳的税金包括在合同价格内。</w:t>
      </w:r>
    </w:p>
    <w:p>
      <w:pPr>
        <w:spacing w:line="360" w:lineRule="auto"/>
        <w:ind w:left="0" w:firstLine="0"/>
      </w:pPr>
      <w:r>
        <w:rPr>
          <w:rFonts w:hint="eastAsia"/>
        </w:rPr>
        <w:t>4.1.3　完成各项承包工作</w:t>
      </w:r>
    </w:p>
    <w:p>
      <w:pPr>
        <w:spacing w:line="360" w:lineRule="auto"/>
        <w:ind w:left="0" w:firstLine="0"/>
      </w:pPr>
      <w:r>
        <w:rPr>
          <w:rFonts w:hint="eastAsia"/>
        </w:rPr>
        <w:t>分包人应按分包合同约定以及承包人作出的指示，实施、完成全部分包工程，并修补分包工程中的任何缺陷。除第</w:t>
      </w:r>
      <w:r>
        <w:t>5</w:t>
      </w:r>
      <w:r>
        <w:rPr>
          <w:rFonts w:hint="eastAsia"/>
        </w:rPr>
        <w:t>.2款约定由承包人提供的材料和工程设备和第</w:t>
      </w:r>
      <w:r>
        <w:t>6</w:t>
      </w:r>
      <w:r>
        <w:rPr>
          <w:rFonts w:hint="eastAsia"/>
        </w:rPr>
        <w:t>.2款约定由承包人提供的施工设备和临时设施外，分包人应提供为完成分包合同工作所需的劳务、材料、施工设备、工程设备和其他物品，并按分包合同约定负责临时设施的设计、建造、运行、维护、管理和拆除。</w:t>
      </w:r>
    </w:p>
    <w:p>
      <w:pPr>
        <w:spacing w:line="360" w:lineRule="auto"/>
        <w:ind w:left="0" w:firstLine="0"/>
      </w:pPr>
      <w:r>
        <w:rPr>
          <w:rFonts w:hint="eastAsia"/>
        </w:rPr>
        <w:t>4.1.4　对施工作业和施工方法的完备性负责</w:t>
      </w:r>
    </w:p>
    <w:p>
      <w:pPr>
        <w:spacing w:line="360" w:lineRule="auto"/>
        <w:ind w:left="0" w:firstLine="0"/>
      </w:pPr>
      <w:r>
        <w:rPr>
          <w:rFonts w:hint="eastAsia"/>
        </w:rPr>
        <w:t>分包人应按分包合同约定的工作内容和施工进度要求，编制施工组织设计和施工措施计划，并对所有施工作业和施工方法的完备性和安全可靠性负责。</w:t>
      </w:r>
    </w:p>
    <w:p>
      <w:pPr>
        <w:spacing w:line="360" w:lineRule="auto"/>
        <w:ind w:left="0" w:firstLine="0"/>
      </w:pPr>
      <w:r>
        <w:rPr>
          <w:rFonts w:hint="eastAsia"/>
        </w:rPr>
        <w:t>4.1.5　保证工程施工和人员的安全</w:t>
      </w:r>
    </w:p>
    <w:p>
      <w:pPr>
        <w:spacing w:line="360" w:lineRule="auto"/>
        <w:ind w:left="0" w:firstLine="0"/>
      </w:pPr>
      <w:r>
        <w:rPr>
          <w:rFonts w:hint="eastAsia"/>
        </w:rPr>
        <w:t>分包人应按第</w:t>
      </w:r>
      <w:r>
        <w:t>9</w:t>
      </w:r>
      <w:r>
        <w:rPr>
          <w:rFonts w:hint="eastAsia"/>
        </w:rPr>
        <w:t>.1款约定采取施工安全措施，确保工程及其人员、材料、设备和设施的安全，防止因工程施工造成的人身伤害和财产损失。</w:t>
      </w:r>
    </w:p>
    <w:p>
      <w:pPr>
        <w:spacing w:line="360" w:lineRule="auto"/>
        <w:ind w:left="0" w:firstLine="0"/>
      </w:pPr>
      <w:r>
        <w:rPr>
          <w:rFonts w:hint="eastAsia"/>
        </w:rPr>
        <w:t>4.1.6　负责施工场地及其周边环境与生态的保护工作</w:t>
      </w:r>
    </w:p>
    <w:p>
      <w:pPr>
        <w:spacing w:line="360" w:lineRule="auto"/>
        <w:ind w:left="0" w:firstLine="0"/>
      </w:pPr>
      <w:r>
        <w:rPr>
          <w:rFonts w:hint="eastAsia"/>
        </w:rPr>
        <w:t>分包人应按照第</w:t>
      </w:r>
      <w:r>
        <w:t>9</w:t>
      </w:r>
      <w:r>
        <w:rPr>
          <w:rFonts w:hint="eastAsia"/>
        </w:rPr>
        <w:t>.2款约定负责施工场地及其周边环境与生态的保护工作。</w:t>
      </w:r>
    </w:p>
    <w:p>
      <w:pPr>
        <w:spacing w:line="360" w:lineRule="auto"/>
        <w:ind w:left="0" w:firstLine="0"/>
      </w:pPr>
      <w:r>
        <w:rPr>
          <w:rFonts w:hint="eastAsia"/>
        </w:rPr>
        <w:t>4.1.7　避免施工对公众与他人的利益造成损害</w:t>
      </w:r>
    </w:p>
    <w:p>
      <w:pPr>
        <w:spacing w:line="360" w:lineRule="auto"/>
        <w:ind w:left="0" w:firstLine="0"/>
      </w:pPr>
      <w:r>
        <w:rPr>
          <w:rFonts w:hint="eastAsia"/>
        </w:rPr>
        <w:t>分包人在进行分包合同约定的各项工作时，不得侵害承包人与他人使用公用道路、水源、市政管网等公共设施的权利，避免对邻近的公共设施产生干扰。分包人占用或使用他人的施工场地，影响他人作业或生活的，应承担相应责任。</w:t>
      </w:r>
    </w:p>
    <w:p>
      <w:pPr>
        <w:spacing w:line="360" w:lineRule="auto"/>
        <w:ind w:left="0" w:firstLine="0"/>
      </w:pPr>
      <w:r>
        <w:rPr>
          <w:rFonts w:hint="eastAsia"/>
        </w:rPr>
        <w:t>4.1.8　为他人提供方便</w:t>
      </w:r>
    </w:p>
    <w:p>
      <w:pPr>
        <w:spacing w:line="360" w:lineRule="auto"/>
        <w:ind w:left="0" w:firstLine="0"/>
      </w:pPr>
      <w:r>
        <w:rPr>
          <w:rFonts w:hint="eastAsia"/>
        </w:rPr>
        <w:t>（1）分包人应当对承包人的</w:t>
      </w:r>
      <w:r>
        <w:t>其他分包人</w:t>
      </w:r>
      <w:r>
        <w:rPr>
          <w:rFonts w:hint="eastAsia"/>
        </w:rPr>
        <w:t>和在施工场地或者附近实施与整体工程有关的其他工作的独立承包人履行相关配合和服务义务，由此发生的费用被认为已经包括在分包人的签约合同价（投标总报价）中，具体工作内容和要求在专用合同条款中约定。</w:t>
      </w:r>
    </w:p>
    <w:p>
      <w:pPr>
        <w:spacing w:line="360" w:lineRule="auto"/>
        <w:ind w:left="0" w:firstLine="0"/>
      </w:pPr>
      <w:r>
        <w:rPr>
          <w:rFonts w:hint="eastAsia"/>
        </w:rPr>
        <w:t>（2）分包人还应按承包人指示为</w:t>
      </w:r>
      <w:r>
        <w:t>其他分包人</w:t>
      </w:r>
      <w:r>
        <w:rPr>
          <w:rFonts w:hint="eastAsia"/>
        </w:rPr>
        <w:t>和独立承包人以外的他人在施工场地或者附近实施与整体工程有关的其他工作提供可能的条件，可能发生费用由分包人和当事人商定。</w:t>
      </w:r>
    </w:p>
    <w:p>
      <w:pPr>
        <w:spacing w:line="360" w:lineRule="auto"/>
        <w:ind w:left="0" w:firstLine="0"/>
      </w:pPr>
      <w:r>
        <w:rPr>
          <w:rFonts w:hint="eastAsia"/>
        </w:rPr>
        <w:t>4.1.9　工程的维护和照管</w:t>
      </w:r>
    </w:p>
    <w:p>
      <w:pPr>
        <w:spacing w:line="360" w:lineRule="auto"/>
        <w:ind w:left="0" w:firstLine="0"/>
      </w:pPr>
      <w:r>
        <w:rPr>
          <w:rFonts w:hint="eastAsia"/>
        </w:rPr>
        <w:t>工程接收证书颁发前，分包人应负责照管和维护分包工程。工程接收证书颁发时尚有部分未完工分包工程的，分包人还应负责该未完工分包工程的照管和维护工作，直至完工后移交给承包人为止。</w:t>
      </w:r>
    </w:p>
    <w:p>
      <w:pPr>
        <w:spacing w:line="360" w:lineRule="auto"/>
        <w:ind w:left="0" w:firstLine="0"/>
      </w:pPr>
      <w:r>
        <w:rPr>
          <w:rFonts w:hint="eastAsia"/>
        </w:rPr>
        <w:t>4.1.10　分包人的设计工作</w:t>
      </w:r>
    </w:p>
    <w:p>
      <w:pPr>
        <w:spacing w:line="360" w:lineRule="auto"/>
        <w:ind w:left="0" w:firstLine="0"/>
      </w:pPr>
      <w:r>
        <w:rPr>
          <w:rFonts w:hint="eastAsia"/>
        </w:rPr>
        <w:t>根据承包人委托，在其设计资质等级和业务允许的范围内，完成专用合同条款中约定的施工图设计或与工程配套的设计，经承包人确认后使用，承包人承担由此发生的费用和合理利润。由分包人负责完成的设计文件属于第1.6.2项约定的分包人提供的文件，分包人应按照第1.6.2项约定的期限和数量提交，由此发生的费用被认为已经包括在分包人的签约合同价（投标总报价）中。</w:t>
      </w:r>
    </w:p>
    <w:p>
      <w:pPr>
        <w:spacing w:line="360" w:lineRule="auto"/>
        <w:ind w:left="0" w:firstLine="0"/>
      </w:pPr>
      <w:r>
        <w:rPr>
          <w:rFonts w:hint="eastAsia"/>
        </w:rPr>
        <w:t>4.1.1</w:t>
      </w:r>
      <w:r>
        <w:t>1</w:t>
      </w:r>
      <w:r>
        <w:rPr>
          <w:rFonts w:hint="eastAsia"/>
        </w:rPr>
        <w:t>　其他义务</w:t>
      </w:r>
    </w:p>
    <w:p>
      <w:pPr>
        <w:spacing w:line="360" w:lineRule="auto"/>
        <w:ind w:left="0" w:firstLine="0"/>
      </w:pPr>
      <w:r>
        <w:rPr>
          <w:rFonts w:hint="eastAsia"/>
        </w:rPr>
        <w:t>分包人应履行专用合同条款约定的其他义务。</w:t>
      </w:r>
    </w:p>
    <w:p>
      <w:pPr>
        <w:spacing w:line="360" w:lineRule="auto"/>
        <w:ind w:left="0" w:firstLine="0"/>
        <w:rPr>
          <w:b/>
          <w:bCs/>
        </w:rPr>
      </w:pPr>
      <w:bookmarkStart w:id="600" w:name="_Toc152042419"/>
      <w:bookmarkStart w:id="601" w:name="_Toc338944734"/>
      <w:bookmarkStart w:id="602" w:name="_Toc179632659"/>
      <w:bookmarkStart w:id="603" w:name="_Toc152045641"/>
      <w:bookmarkStart w:id="604" w:name="_Toc403052660"/>
      <w:bookmarkStart w:id="605" w:name="_Toc403059602"/>
      <w:bookmarkStart w:id="606" w:name="_Toc393199555"/>
      <w:bookmarkStart w:id="607" w:name="_Toc403054420"/>
      <w:bookmarkStart w:id="608" w:name="_Toc391456211"/>
      <w:bookmarkStart w:id="609" w:name="_Toc342296292"/>
      <w:bookmarkStart w:id="610" w:name="_Toc393200583"/>
      <w:bookmarkStart w:id="611" w:name="_Toc393200069"/>
      <w:bookmarkStart w:id="612" w:name="_Toc144974609"/>
      <w:r>
        <w:rPr>
          <w:rFonts w:hint="eastAsia"/>
          <w:b/>
          <w:bCs/>
        </w:rPr>
        <w:t>4.2　履约担保</w:t>
      </w:r>
      <w:bookmarkEnd w:id="600"/>
      <w:bookmarkEnd w:id="601"/>
      <w:bookmarkEnd w:id="602"/>
      <w:bookmarkEnd w:id="603"/>
      <w:bookmarkEnd w:id="604"/>
      <w:bookmarkEnd w:id="605"/>
      <w:bookmarkEnd w:id="606"/>
      <w:bookmarkEnd w:id="607"/>
      <w:bookmarkEnd w:id="608"/>
      <w:bookmarkEnd w:id="609"/>
      <w:bookmarkEnd w:id="610"/>
      <w:bookmarkEnd w:id="611"/>
      <w:bookmarkEnd w:id="612"/>
    </w:p>
    <w:p>
      <w:pPr>
        <w:spacing w:line="360" w:lineRule="auto"/>
        <w:ind w:left="0" w:firstLine="0"/>
      </w:pPr>
      <w:r>
        <w:rPr>
          <w:rFonts w:hint="eastAsia"/>
        </w:rPr>
        <w:t>4.2.1　履约担保的格式和金额</w:t>
      </w:r>
    </w:p>
    <w:p>
      <w:pPr>
        <w:spacing w:line="360" w:lineRule="auto"/>
        <w:ind w:left="0" w:firstLine="0"/>
      </w:pPr>
      <w:r>
        <w:rPr>
          <w:rFonts w:hint="eastAsia"/>
        </w:rPr>
        <w:t>专用合同条款约定</w:t>
      </w:r>
      <w:r>
        <w:t>分包人提供履约担保</w:t>
      </w:r>
      <w:r>
        <w:rPr>
          <w:rFonts w:hint="eastAsia"/>
        </w:rPr>
        <w:t>的，分包人应在签订合同前，按照承包人在分包招标文件中规定的格式或者其他经过承包人认可的格式向承包人递交一份专用合同条款约定金额的履约担保。经过承包人事先书面认可的其他格式的履约担保，其担保条款的实质性内容应当与承包人在分包招标文件中规定的格式内容保持一致。履约担保是分包合同的附件。</w:t>
      </w:r>
    </w:p>
    <w:p>
      <w:pPr>
        <w:spacing w:line="360" w:lineRule="auto"/>
        <w:ind w:left="0" w:firstLine="0"/>
      </w:pPr>
      <w:r>
        <w:rPr>
          <w:rFonts w:hint="eastAsia"/>
        </w:rPr>
        <w:t>4.2.2　履约担保的有效期</w:t>
      </w:r>
    </w:p>
    <w:p>
      <w:pPr>
        <w:spacing w:line="360" w:lineRule="auto"/>
        <w:ind w:left="0" w:firstLine="0"/>
      </w:pPr>
      <w:r>
        <w:rPr>
          <w:rFonts w:hint="eastAsia"/>
        </w:rPr>
        <w:t>履约担保的有效期应当自分包合同生效之日起至承包人签认并向分包人出具工程接收证书之日止。如果分包人无法获得一份不带具体截止日期的担保，履约担保中应当有“变更工程完工日期的，保证期间按照变更后的完工日期做相应调整”或类似约定的条款。</w:t>
      </w:r>
    </w:p>
    <w:p>
      <w:pPr>
        <w:spacing w:line="360" w:lineRule="auto"/>
        <w:ind w:left="0" w:firstLine="0"/>
      </w:pPr>
      <w:r>
        <w:rPr>
          <w:rFonts w:hint="eastAsia"/>
        </w:rPr>
        <w:t>4.2.3　履约担保的退还</w:t>
      </w:r>
    </w:p>
    <w:p>
      <w:pPr>
        <w:spacing w:line="360" w:lineRule="auto"/>
        <w:ind w:left="0" w:firstLine="0"/>
      </w:pPr>
      <w:r>
        <w:rPr>
          <w:rFonts w:hint="eastAsia"/>
        </w:rPr>
        <w:t>履约担保应在承包人向分包人颁发（出具）工程接收证书之日后28天内退还给分包人。承包人不承担分包人与履约担保有关的任何利息或其它类似的费用或者收益。</w:t>
      </w:r>
    </w:p>
    <w:p>
      <w:pPr>
        <w:spacing w:line="360" w:lineRule="auto"/>
        <w:ind w:left="0" w:firstLine="0"/>
      </w:pPr>
      <w:r>
        <w:rPr>
          <w:rFonts w:hint="eastAsia"/>
        </w:rPr>
        <w:t>4.2.4　通知义务</w:t>
      </w:r>
    </w:p>
    <w:p>
      <w:pPr>
        <w:spacing w:line="360" w:lineRule="auto"/>
        <w:ind w:left="0" w:firstLine="0"/>
      </w:pPr>
      <w:r>
        <w:rPr>
          <w:rFonts w:hint="eastAsia"/>
        </w:rPr>
        <w:t>不管履约担保条款中如何约定，承包人根据担保条款提出索赔或兑现要求28天前，应通知分包人并说明导致此类索赔或兑现的违约性质或原因。相应地，不管第3.9款约定的支付担保条款中如何约定，分包人根据担保条款提出索赔或兑现要求28天前，也应通知承包人并说明导致此类索赔或兑现的违约性质或原因。但是，本项约定的通知不应理解为是在任何意义上寻求分包人或者承包人的同意。</w:t>
      </w:r>
    </w:p>
    <w:p>
      <w:pPr>
        <w:spacing w:line="360" w:lineRule="auto"/>
        <w:ind w:left="0" w:firstLine="0"/>
        <w:rPr>
          <w:b/>
          <w:bCs/>
        </w:rPr>
      </w:pPr>
      <w:bookmarkStart w:id="613" w:name="_Toc338944735"/>
      <w:bookmarkStart w:id="614" w:name="_Toc391456212"/>
      <w:bookmarkStart w:id="615" w:name="_Toc403054421"/>
      <w:bookmarkStart w:id="616" w:name="_Toc403059603"/>
      <w:bookmarkStart w:id="617" w:name="_Toc393200584"/>
      <w:bookmarkStart w:id="618" w:name="_Toc403052661"/>
      <w:bookmarkStart w:id="619" w:name="_Toc393200070"/>
      <w:bookmarkStart w:id="620" w:name="_Toc393199556"/>
      <w:bookmarkStart w:id="621" w:name="_Toc342296293"/>
      <w:r>
        <w:rPr>
          <w:rFonts w:hint="eastAsia"/>
          <w:b/>
          <w:bCs/>
        </w:rPr>
        <w:t>4.3　分包</w:t>
      </w:r>
      <w:bookmarkEnd w:id="613"/>
      <w:bookmarkEnd w:id="614"/>
      <w:bookmarkEnd w:id="615"/>
      <w:bookmarkEnd w:id="616"/>
      <w:bookmarkEnd w:id="617"/>
      <w:bookmarkEnd w:id="618"/>
      <w:bookmarkEnd w:id="619"/>
      <w:bookmarkEnd w:id="620"/>
      <w:bookmarkEnd w:id="621"/>
    </w:p>
    <w:p>
      <w:pPr>
        <w:spacing w:line="360" w:lineRule="auto"/>
        <w:ind w:left="0" w:firstLine="0"/>
      </w:pPr>
      <w:r>
        <w:rPr>
          <w:rFonts w:hint="eastAsia"/>
        </w:rPr>
        <w:t>分包人不得将其承包的工程转包给第三人，或将其承包的工程分包给第三人。</w:t>
      </w:r>
    </w:p>
    <w:p>
      <w:pPr>
        <w:spacing w:line="360" w:lineRule="auto"/>
        <w:ind w:left="0" w:firstLine="0"/>
        <w:rPr>
          <w:b/>
          <w:bCs/>
        </w:rPr>
      </w:pPr>
      <w:bookmarkStart w:id="622" w:name="_Toc179632661"/>
      <w:bookmarkStart w:id="623" w:name="_Toc393200071"/>
      <w:bookmarkStart w:id="624" w:name="_Toc338944736"/>
      <w:bookmarkStart w:id="625" w:name="_Toc152045643"/>
      <w:bookmarkStart w:id="626" w:name="_Toc144974611"/>
      <w:bookmarkStart w:id="627" w:name="_Toc403054422"/>
      <w:bookmarkStart w:id="628" w:name="_Toc403059604"/>
      <w:bookmarkStart w:id="629" w:name="_Toc391456213"/>
      <w:bookmarkStart w:id="630" w:name="_Toc393200585"/>
      <w:bookmarkStart w:id="631" w:name="_Toc342296294"/>
      <w:bookmarkStart w:id="632" w:name="_Toc393199557"/>
      <w:bookmarkStart w:id="633" w:name="_Toc403052662"/>
      <w:bookmarkStart w:id="634" w:name="_Toc152042421"/>
      <w:r>
        <w:rPr>
          <w:rFonts w:hint="eastAsia"/>
          <w:b/>
          <w:bCs/>
        </w:rPr>
        <w:t>4.4　联合体</w:t>
      </w:r>
      <w:bookmarkEnd w:id="622"/>
      <w:bookmarkEnd w:id="623"/>
      <w:bookmarkEnd w:id="624"/>
      <w:bookmarkEnd w:id="625"/>
      <w:bookmarkEnd w:id="626"/>
      <w:bookmarkEnd w:id="627"/>
      <w:bookmarkEnd w:id="628"/>
      <w:bookmarkEnd w:id="629"/>
      <w:bookmarkEnd w:id="630"/>
      <w:bookmarkEnd w:id="631"/>
      <w:bookmarkEnd w:id="632"/>
      <w:bookmarkEnd w:id="633"/>
      <w:bookmarkEnd w:id="634"/>
    </w:p>
    <w:p>
      <w:pPr>
        <w:spacing w:line="360" w:lineRule="auto"/>
        <w:ind w:left="0" w:firstLine="0"/>
      </w:pPr>
      <w:r>
        <w:rPr>
          <w:rFonts w:hint="eastAsia"/>
        </w:rPr>
        <w:t>4.4.1　联合体各方应共同与承包人签订合同协议书。联合体各方应为履行分包合同承担连带责任。</w:t>
      </w:r>
    </w:p>
    <w:p>
      <w:pPr>
        <w:spacing w:line="360" w:lineRule="auto"/>
        <w:ind w:left="0" w:firstLine="0"/>
      </w:pPr>
      <w:r>
        <w:rPr>
          <w:rFonts w:hint="eastAsia"/>
        </w:rPr>
        <w:t>4.4.2　联合体协议经承包人确认后作为分包合同附件。在履行分包合同过程中，未经承包人同意，不得修改联合体协议。</w:t>
      </w:r>
    </w:p>
    <w:p>
      <w:pPr>
        <w:spacing w:line="360" w:lineRule="auto"/>
        <w:ind w:left="0" w:firstLine="0"/>
      </w:pPr>
      <w:r>
        <w:rPr>
          <w:rFonts w:hint="eastAsia"/>
        </w:rPr>
        <w:t>4.4.3　联合体牵头人负责与承包人联系，并接受指示，负责组织联合体各成员全面履行分包合同。</w:t>
      </w:r>
    </w:p>
    <w:p>
      <w:pPr>
        <w:spacing w:line="360" w:lineRule="auto"/>
        <w:ind w:left="0" w:firstLine="0"/>
        <w:rPr>
          <w:b/>
          <w:bCs/>
        </w:rPr>
      </w:pPr>
      <w:bookmarkStart w:id="635" w:name="_Toc338944737"/>
      <w:bookmarkStart w:id="636" w:name="_Toc403059605"/>
      <w:bookmarkStart w:id="637" w:name="_Toc342296295"/>
      <w:bookmarkStart w:id="638" w:name="_Toc393200072"/>
      <w:bookmarkStart w:id="639" w:name="_Toc391456214"/>
      <w:bookmarkStart w:id="640" w:name="_Toc403054423"/>
      <w:bookmarkStart w:id="641" w:name="_Toc393200586"/>
      <w:bookmarkStart w:id="642" w:name="_Toc403052663"/>
      <w:bookmarkStart w:id="643" w:name="_Toc393199558"/>
      <w:r>
        <w:rPr>
          <w:rFonts w:hint="eastAsia"/>
          <w:b/>
          <w:bCs/>
        </w:rPr>
        <w:t>4.5　分包人项目经理</w:t>
      </w:r>
      <w:bookmarkEnd w:id="635"/>
      <w:bookmarkEnd w:id="636"/>
      <w:bookmarkEnd w:id="637"/>
      <w:bookmarkEnd w:id="638"/>
      <w:bookmarkEnd w:id="639"/>
      <w:bookmarkEnd w:id="640"/>
      <w:bookmarkEnd w:id="641"/>
      <w:bookmarkEnd w:id="642"/>
      <w:bookmarkEnd w:id="643"/>
    </w:p>
    <w:p>
      <w:pPr>
        <w:spacing w:line="360" w:lineRule="auto"/>
        <w:ind w:left="0" w:firstLine="0"/>
      </w:pPr>
      <w:r>
        <w:rPr>
          <w:rFonts w:hint="eastAsia"/>
        </w:rPr>
        <w:t>4.5.1　分包人</w:t>
      </w:r>
      <w:r>
        <w:t>项目经理必须与</w:t>
      </w:r>
      <w:r>
        <w:rPr>
          <w:rFonts w:hint="eastAsia"/>
        </w:rPr>
        <w:t>分</w:t>
      </w:r>
      <w:r>
        <w:t>包人投标</w:t>
      </w:r>
      <w:r>
        <w:rPr>
          <w:rFonts w:hint="eastAsia"/>
        </w:rPr>
        <w:t>时</w:t>
      </w:r>
      <w:r>
        <w:t>所</w:t>
      </w:r>
      <w:r>
        <w:rPr>
          <w:rFonts w:hint="eastAsia"/>
        </w:rPr>
        <w:t>承诺的</w:t>
      </w:r>
      <w:r>
        <w:t>人员一致</w:t>
      </w:r>
      <w:r>
        <w:rPr>
          <w:rFonts w:hint="eastAsia"/>
        </w:rPr>
        <w:t>，并在根据第1</w:t>
      </w:r>
      <w:r>
        <w:t>1</w:t>
      </w:r>
      <w:r>
        <w:rPr>
          <w:rFonts w:hint="eastAsia"/>
        </w:rPr>
        <w:t>.1.1项确定的开工日期前到任</w:t>
      </w:r>
      <w:r>
        <w:t>。</w:t>
      </w:r>
      <w:r>
        <w:rPr>
          <w:rFonts w:hint="eastAsia"/>
        </w:rPr>
        <w:t>在承包人向分包人颁发（出具）工程接收证书前，</w:t>
      </w:r>
      <w:r>
        <w:t>项目经理不得同时兼任</w:t>
      </w:r>
      <w:r>
        <w:rPr>
          <w:rFonts w:hint="eastAsia"/>
        </w:rPr>
        <w:t>其他任何</w:t>
      </w:r>
      <w:r>
        <w:t>项目的项目经理。</w:t>
      </w:r>
      <w:r>
        <w:rPr>
          <w:rFonts w:hint="eastAsia"/>
        </w:rPr>
        <w:t>未经承包人书面许可，分包人</w:t>
      </w:r>
      <w:r>
        <w:t>不得更换</w:t>
      </w:r>
      <w:r>
        <w:rPr>
          <w:rFonts w:hint="eastAsia"/>
        </w:rPr>
        <w:t>项目经理。分包人项目经理的相关信息应当在合同协议书中载明。</w:t>
      </w:r>
    </w:p>
    <w:p>
      <w:pPr>
        <w:spacing w:line="360" w:lineRule="auto"/>
        <w:ind w:left="0" w:firstLine="0"/>
      </w:pPr>
      <w:r>
        <w:rPr>
          <w:rFonts w:hint="eastAsia"/>
        </w:rPr>
        <w:t>分包人更换项目经理应事先征得承包人同意，并应在更换14天前通知承包人。分包人项目经理短期离开施工场地，应事先征得承包人同意，并委派代表代行其职责。</w:t>
      </w:r>
    </w:p>
    <w:p>
      <w:pPr>
        <w:spacing w:line="360" w:lineRule="auto"/>
        <w:ind w:left="0" w:firstLine="0"/>
      </w:pPr>
      <w:r>
        <w:rPr>
          <w:rFonts w:hint="eastAsia"/>
        </w:rPr>
        <w:t>4.5.2　分包人项目经理应按分包合同约定以及承包人作出的指示，负责组织分包合同工程的实施。在情况紧急且无法与承包人取得联系时，可采取保证工程和人员生命财产安全的紧急措施，并在采取措施后24小时内向承包人提交书面报告。</w:t>
      </w:r>
    </w:p>
    <w:p>
      <w:pPr>
        <w:spacing w:line="360" w:lineRule="auto"/>
        <w:ind w:left="0" w:firstLine="0"/>
      </w:pPr>
      <w:r>
        <w:rPr>
          <w:rFonts w:hint="eastAsia"/>
        </w:rPr>
        <w:t>4.5.3　分包人为履行分包合同发出的一切函件均应盖有分包人授权的施工场地管理机构章，并由分包人项目经理或其授权代表签字。</w:t>
      </w:r>
    </w:p>
    <w:p>
      <w:pPr>
        <w:spacing w:line="360" w:lineRule="auto"/>
        <w:ind w:left="0" w:firstLine="0"/>
      </w:pPr>
      <w:r>
        <w:rPr>
          <w:rFonts w:hint="eastAsia"/>
        </w:rPr>
        <w:t>4.5.4　分包人项目经理可以授权其下属人员履行其某项职责，但事先应将这些人员的姓名和授权范围通知承包人。</w:t>
      </w:r>
    </w:p>
    <w:p>
      <w:pPr>
        <w:spacing w:line="360" w:lineRule="auto"/>
        <w:ind w:left="0" w:firstLine="0"/>
        <w:rPr>
          <w:b/>
          <w:bCs/>
        </w:rPr>
      </w:pPr>
      <w:bookmarkStart w:id="644" w:name="_Toc403052664"/>
      <w:bookmarkStart w:id="645" w:name="_Toc403054424"/>
      <w:bookmarkStart w:id="646" w:name="_Toc403059606"/>
      <w:bookmarkStart w:id="647" w:name="_Toc393199559"/>
      <w:bookmarkStart w:id="648" w:name="_Toc152042423"/>
      <w:bookmarkStart w:id="649" w:name="_Toc342296296"/>
      <w:bookmarkStart w:id="650" w:name="_Toc152045645"/>
      <w:bookmarkStart w:id="651" w:name="_Toc393200587"/>
      <w:bookmarkStart w:id="652" w:name="_Toc179632663"/>
      <w:bookmarkStart w:id="653" w:name="_Toc144974613"/>
      <w:bookmarkStart w:id="654" w:name="_Toc338944738"/>
      <w:bookmarkStart w:id="655" w:name="_Toc391456215"/>
      <w:bookmarkStart w:id="656" w:name="_Toc393200073"/>
      <w:r>
        <w:rPr>
          <w:rFonts w:hint="eastAsia"/>
          <w:b/>
          <w:bCs/>
        </w:rPr>
        <w:t>4.6　分包人人员的管理</w:t>
      </w:r>
      <w:bookmarkEnd w:id="644"/>
      <w:bookmarkEnd w:id="645"/>
      <w:bookmarkEnd w:id="646"/>
      <w:bookmarkEnd w:id="647"/>
      <w:bookmarkEnd w:id="648"/>
      <w:bookmarkEnd w:id="649"/>
      <w:bookmarkEnd w:id="650"/>
      <w:bookmarkEnd w:id="651"/>
      <w:bookmarkEnd w:id="652"/>
      <w:bookmarkEnd w:id="653"/>
      <w:bookmarkEnd w:id="654"/>
      <w:bookmarkEnd w:id="655"/>
      <w:bookmarkEnd w:id="656"/>
    </w:p>
    <w:p>
      <w:pPr>
        <w:spacing w:line="360" w:lineRule="auto"/>
        <w:ind w:left="0" w:firstLine="0"/>
      </w:pPr>
      <w:r>
        <w:rPr>
          <w:rFonts w:hint="eastAsia"/>
        </w:rPr>
        <w:t>4.6.1　分包人应在接到开工通知后28天内，向承包人提交分包人在施工场地的管理机构以及人员安排的报告，其内容应包括管理机构的设置、各主要岗位的技术和管理人员名单及其资格，以及各工种技术工人的安排状况。分包人应向承包人提交施工场地人员变动情况的报告。</w:t>
      </w:r>
    </w:p>
    <w:p>
      <w:pPr>
        <w:spacing w:line="360" w:lineRule="auto"/>
        <w:ind w:left="0" w:firstLine="0"/>
      </w:pPr>
      <w:r>
        <w:rPr>
          <w:rFonts w:hint="eastAsia"/>
        </w:rPr>
        <w:t>4.6.2　为完成分包合同约定的各项工作，分包人应向施工场地派遣或雇佣足够数量的下列人员：</w:t>
      </w:r>
    </w:p>
    <w:p>
      <w:pPr>
        <w:spacing w:line="360" w:lineRule="auto"/>
        <w:ind w:left="0" w:firstLine="0"/>
      </w:pPr>
      <w:r>
        <w:rPr>
          <w:rFonts w:hint="eastAsia"/>
        </w:rPr>
        <w:t>（1）具有相应资格的专业技工和合格的普工；</w:t>
      </w:r>
    </w:p>
    <w:p>
      <w:pPr>
        <w:spacing w:line="360" w:lineRule="auto"/>
        <w:ind w:left="0" w:firstLine="0"/>
      </w:pPr>
      <w:r>
        <w:rPr>
          <w:rFonts w:hint="eastAsia"/>
        </w:rPr>
        <w:t>（2）具有相应施工经验的技术人员；</w:t>
      </w:r>
    </w:p>
    <w:p>
      <w:pPr>
        <w:spacing w:line="360" w:lineRule="auto"/>
        <w:ind w:left="0" w:firstLine="0"/>
      </w:pPr>
      <w:r>
        <w:rPr>
          <w:rFonts w:hint="eastAsia"/>
        </w:rPr>
        <w:t>（3）具有相应岗位资格的各级管理人员。</w:t>
      </w:r>
    </w:p>
    <w:p>
      <w:pPr>
        <w:spacing w:line="360" w:lineRule="auto"/>
        <w:ind w:left="0" w:firstLine="0"/>
      </w:pPr>
      <w:r>
        <w:rPr>
          <w:rFonts w:hint="eastAsia"/>
        </w:rPr>
        <w:t>4.6.3　分包人安排在施工场地的主要管理人员和技术骨干应相对稳定。分包人更换主要管理人员和技术骨干时，应取得承包人的同意。</w:t>
      </w:r>
    </w:p>
    <w:p>
      <w:pPr>
        <w:spacing w:line="360" w:lineRule="auto"/>
        <w:ind w:left="0" w:firstLine="0"/>
      </w:pPr>
      <w:r>
        <w:rPr>
          <w:rFonts w:hint="eastAsia"/>
        </w:rPr>
        <w:t>4.6.4　特殊岗位的工作人员均应持有相应的资格证明，承包人有权随时检查。承包人认为有必要时，可进行现场考核。</w:t>
      </w:r>
    </w:p>
    <w:p>
      <w:pPr>
        <w:spacing w:line="360" w:lineRule="auto"/>
        <w:ind w:left="0" w:firstLine="0"/>
        <w:rPr>
          <w:b/>
          <w:bCs/>
        </w:rPr>
      </w:pPr>
      <w:bookmarkStart w:id="657" w:name="_Toc393199560"/>
      <w:bookmarkStart w:id="658" w:name="_Toc403054425"/>
      <w:bookmarkStart w:id="659" w:name="_Toc393200074"/>
      <w:bookmarkStart w:id="660" w:name="_Toc152042424"/>
      <w:bookmarkStart w:id="661" w:name="_Toc342296297"/>
      <w:bookmarkStart w:id="662" w:name="_Toc179632664"/>
      <w:bookmarkStart w:id="663" w:name="_Toc144974614"/>
      <w:bookmarkStart w:id="664" w:name="_Toc393200588"/>
      <w:bookmarkStart w:id="665" w:name="_Toc391456216"/>
      <w:bookmarkStart w:id="666" w:name="_Toc338944739"/>
      <w:bookmarkStart w:id="667" w:name="_Toc152045646"/>
      <w:bookmarkStart w:id="668" w:name="_Toc403052665"/>
      <w:bookmarkStart w:id="669" w:name="_Toc403059607"/>
      <w:r>
        <w:rPr>
          <w:rFonts w:hint="eastAsia"/>
          <w:b/>
          <w:bCs/>
        </w:rPr>
        <w:t>4.7　撤换分包人项目经理和其他人员</w:t>
      </w:r>
      <w:bookmarkEnd w:id="657"/>
      <w:bookmarkEnd w:id="658"/>
      <w:bookmarkEnd w:id="659"/>
      <w:bookmarkEnd w:id="660"/>
      <w:bookmarkEnd w:id="661"/>
      <w:bookmarkEnd w:id="662"/>
      <w:bookmarkEnd w:id="663"/>
      <w:bookmarkEnd w:id="664"/>
      <w:bookmarkEnd w:id="665"/>
      <w:bookmarkEnd w:id="666"/>
      <w:bookmarkEnd w:id="667"/>
      <w:bookmarkEnd w:id="668"/>
      <w:bookmarkEnd w:id="669"/>
    </w:p>
    <w:p>
      <w:pPr>
        <w:spacing w:line="360" w:lineRule="auto"/>
        <w:ind w:left="0" w:firstLine="0"/>
      </w:pPr>
      <w:r>
        <w:rPr>
          <w:rFonts w:hint="eastAsia"/>
        </w:rPr>
        <w:t>分包人应对其项目经理和其他人员进行有效管理。承包人要求撤换不能胜任本职工作、行为不端或玩忽职守的分包人项目经理和其他人员的，分包人应予以撤换。</w:t>
      </w:r>
    </w:p>
    <w:p>
      <w:pPr>
        <w:spacing w:line="360" w:lineRule="auto"/>
        <w:ind w:left="0" w:firstLine="0"/>
        <w:rPr>
          <w:b/>
          <w:bCs/>
        </w:rPr>
      </w:pPr>
      <w:bookmarkStart w:id="670" w:name="_Toc152042425"/>
      <w:bookmarkStart w:id="671" w:name="_Toc144974615"/>
      <w:bookmarkStart w:id="672" w:name="_Toc403052666"/>
      <w:bookmarkStart w:id="673" w:name="_Toc403054426"/>
      <w:bookmarkStart w:id="674" w:name="_Toc338944740"/>
      <w:bookmarkStart w:id="675" w:name="_Toc393199561"/>
      <w:bookmarkStart w:id="676" w:name="_Toc403059608"/>
      <w:bookmarkStart w:id="677" w:name="_Toc393200075"/>
      <w:bookmarkStart w:id="678" w:name="_Toc342296298"/>
      <w:bookmarkStart w:id="679" w:name="_Toc391456217"/>
      <w:bookmarkStart w:id="680" w:name="_Toc179632665"/>
      <w:bookmarkStart w:id="681" w:name="_Toc393200589"/>
      <w:bookmarkStart w:id="682" w:name="_Toc152045647"/>
      <w:r>
        <w:rPr>
          <w:rFonts w:hint="eastAsia"/>
          <w:b/>
          <w:bCs/>
        </w:rPr>
        <w:t>4.8　保障分包人人员的合法权益</w:t>
      </w:r>
      <w:bookmarkEnd w:id="670"/>
      <w:bookmarkEnd w:id="671"/>
      <w:bookmarkEnd w:id="672"/>
      <w:bookmarkEnd w:id="673"/>
      <w:bookmarkEnd w:id="674"/>
      <w:bookmarkEnd w:id="675"/>
      <w:bookmarkEnd w:id="676"/>
      <w:bookmarkEnd w:id="677"/>
      <w:bookmarkEnd w:id="678"/>
      <w:bookmarkEnd w:id="679"/>
      <w:bookmarkEnd w:id="680"/>
      <w:bookmarkEnd w:id="681"/>
      <w:bookmarkEnd w:id="682"/>
    </w:p>
    <w:p>
      <w:pPr>
        <w:spacing w:line="360" w:lineRule="auto"/>
        <w:ind w:left="0" w:firstLine="0"/>
      </w:pPr>
      <w:r>
        <w:rPr>
          <w:rFonts w:hint="eastAsia"/>
        </w:rPr>
        <w:t>4.8.1　分包人应与其雇佣的人员签订劳动合同，并按时发放工资。</w:t>
      </w:r>
    </w:p>
    <w:p>
      <w:pPr>
        <w:spacing w:line="360" w:lineRule="auto"/>
        <w:ind w:left="0" w:firstLine="0"/>
      </w:pPr>
      <w:r>
        <w:rPr>
          <w:rFonts w:hint="eastAsia"/>
        </w:rPr>
        <w:t>4.8.2　分包人应按劳动法的规定安排工作时间，保证其雇佣人员享有休息和休假的权利。因工程施工的特殊需要占用休假日或延长工作时间的，应不超过法律规定的限度，并按法律规定给予补休或付酬。</w:t>
      </w:r>
    </w:p>
    <w:p>
      <w:pPr>
        <w:spacing w:line="360" w:lineRule="auto"/>
        <w:ind w:left="0" w:firstLine="0"/>
      </w:pPr>
      <w:r>
        <w:rPr>
          <w:rFonts w:hint="eastAsia"/>
        </w:rPr>
        <w:t>4.8.3　分包人应为其雇佣人员提供必要的食宿条件，以及符合环境保护和卫生要求的生活环境，在远离城镇的施工场地，还应配备必要的伤病防治和急救的医务人员与医疗设施。</w:t>
      </w:r>
    </w:p>
    <w:p>
      <w:pPr>
        <w:spacing w:line="360" w:lineRule="auto"/>
        <w:ind w:left="0" w:firstLine="0"/>
      </w:pPr>
      <w:r>
        <w:rPr>
          <w:rFonts w:hint="eastAsia"/>
        </w:rPr>
        <w:t>4.8.4　分包人应按国家有关劳动保护的规定，采取有效的防止粉尘、降低噪声、控制有害气体和保障高温、高寒、高空作业安全等劳动保护措施。其雇佣人员在施工中受到伤害的，分包人应立即采取有效措施进行抢救和治疗。</w:t>
      </w:r>
    </w:p>
    <w:p>
      <w:pPr>
        <w:spacing w:line="360" w:lineRule="auto"/>
        <w:ind w:left="0" w:firstLine="0"/>
      </w:pPr>
      <w:r>
        <w:rPr>
          <w:rFonts w:hint="eastAsia"/>
        </w:rPr>
        <w:t>4.8.5　分包人应按有关法律规定和分包合同约定，为其雇佣人员办理保险。</w:t>
      </w:r>
    </w:p>
    <w:p>
      <w:pPr>
        <w:spacing w:line="360" w:lineRule="auto"/>
        <w:ind w:left="0" w:firstLine="0"/>
      </w:pPr>
      <w:r>
        <w:rPr>
          <w:rFonts w:hint="eastAsia"/>
        </w:rPr>
        <w:t>4.8.6　分包人应负责处理其雇佣人员因工伤亡事故的善后事宜。</w:t>
      </w:r>
    </w:p>
    <w:p>
      <w:pPr>
        <w:spacing w:line="360" w:lineRule="auto"/>
        <w:ind w:left="0" w:firstLine="0"/>
        <w:rPr>
          <w:b/>
          <w:bCs/>
        </w:rPr>
      </w:pPr>
      <w:bookmarkStart w:id="683" w:name="_Toc403054427"/>
      <w:bookmarkStart w:id="684" w:name="_Toc393200590"/>
      <w:bookmarkStart w:id="685" w:name="_Toc391456218"/>
      <w:bookmarkStart w:id="686" w:name="_Toc152042426"/>
      <w:bookmarkStart w:id="687" w:name="_Toc403052667"/>
      <w:bookmarkStart w:id="688" w:name="_Toc144974616"/>
      <w:bookmarkStart w:id="689" w:name="_Toc403059609"/>
      <w:bookmarkStart w:id="690" w:name="_Toc179632666"/>
      <w:bookmarkStart w:id="691" w:name="_Toc338944741"/>
      <w:bookmarkStart w:id="692" w:name="_Toc152045648"/>
      <w:bookmarkStart w:id="693" w:name="_Toc393200076"/>
      <w:bookmarkStart w:id="694" w:name="_Toc393199562"/>
      <w:bookmarkStart w:id="695" w:name="_Toc342296299"/>
      <w:r>
        <w:rPr>
          <w:rFonts w:hint="eastAsia"/>
          <w:b/>
          <w:bCs/>
        </w:rPr>
        <w:t>4.9　工程价款应专款专用</w:t>
      </w:r>
      <w:bookmarkEnd w:id="683"/>
      <w:bookmarkEnd w:id="684"/>
      <w:bookmarkEnd w:id="685"/>
      <w:bookmarkEnd w:id="686"/>
      <w:bookmarkEnd w:id="687"/>
      <w:bookmarkEnd w:id="688"/>
      <w:bookmarkEnd w:id="689"/>
      <w:bookmarkEnd w:id="690"/>
      <w:bookmarkEnd w:id="691"/>
      <w:bookmarkEnd w:id="692"/>
      <w:bookmarkEnd w:id="693"/>
      <w:bookmarkEnd w:id="694"/>
      <w:bookmarkEnd w:id="695"/>
    </w:p>
    <w:p>
      <w:pPr>
        <w:spacing w:line="360" w:lineRule="auto"/>
        <w:ind w:left="0" w:firstLine="0"/>
      </w:pPr>
      <w:r>
        <w:rPr>
          <w:rFonts w:hint="eastAsia"/>
        </w:rPr>
        <w:t>承包人按分包合同约定支付给分包人的各项价款应专用于分包合同工程。</w:t>
      </w:r>
    </w:p>
    <w:p>
      <w:pPr>
        <w:spacing w:line="360" w:lineRule="auto"/>
        <w:ind w:left="0" w:firstLine="0"/>
        <w:rPr>
          <w:b/>
          <w:bCs/>
        </w:rPr>
      </w:pPr>
      <w:bookmarkStart w:id="696" w:name="_Toc393199563"/>
      <w:bookmarkStart w:id="697" w:name="_Toc391456219"/>
      <w:bookmarkStart w:id="698" w:name="_Toc144974617"/>
      <w:bookmarkStart w:id="699" w:name="_Toc403059610"/>
      <w:bookmarkStart w:id="700" w:name="_Toc342296300"/>
      <w:bookmarkStart w:id="701" w:name="_Toc403054428"/>
      <w:bookmarkStart w:id="702" w:name="_Toc338944742"/>
      <w:bookmarkStart w:id="703" w:name="_Toc393200077"/>
      <w:bookmarkStart w:id="704" w:name="_Toc152042427"/>
      <w:bookmarkStart w:id="705" w:name="_Toc152045649"/>
      <w:bookmarkStart w:id="706" w:name="_Toc179632667"/>
      <w:bookmarkStart w:id="707" w:name="_Toc403052668"/>
      <w:bookmarkStart w:id="708" w:name="_Toc393200591"/>
      <w:r>
        <w:rPr>
          <w:rFonts w:hint="eastAsia"/>
          <w:b/>
          <w:bCs/>
        </w:rPr>
        <w:t>4.10　分包人现场查勘</w:t>
      </w:r>
      <w:bookmarkEnd w:id="696"/>
      <w:bookmarkEnd w:id="697"/>
      <w:bookmarkEnd w:id="698"/>
      <w:bookmarkEnd w:id="699"/>
      <w:bookmarkEnd w:id="700"/>
      <w:bookmarkEnd w:id="701"/>
      <w:bookmarkEnd w:id="702"/>
      <w:bookmarkEnd w:id="703"/>
      <w:bookmarkEnd w:id="704"/>
      <w:bookmarkEnd w:id="705"/>
      <w:bookmarkEnd w:id="706"/>
      <w:bookmarkEnd w:id="707"/>
      <w:bookmarkEnd w:id="708"/>
    </w:p>
    <w:p>
      <w:pPr>
        <w:spacing w:line="360" w:lineRule="auto"/>
        <w:ind w:left="0" w:firstLine="0"/>
      </w:pPr>
      <w:r>
        <w:rPr>
          <w:rFonts w:hint="eastAsia"/>
        </w:rPr>
        <w:t>4.10.1　承包人应将其持有的与分包工程有关的现场地质勘探资料、水文气象资料提供给分包人，并对其准确性负责。但分包人应对其阅读上述有关资料后所作出的解释和推断负责。</w:t>
      </w:r>
    </w:p>
    <w:p>
      <w:pPr>
        <w:spacing w:line="360" w:lineRule="auto"/>
        <w:ind w:left="0" w:firstLine="0"/>
      </w:pPr>
      <w:r>
        <w:rPr>
          <w:rFonts w:hint="eastAsia"/>
        </w:rPr>
        <w:t>4.10.2　分包人应对施工场地和周围环境进行查勘，并收集有关地质、水文、气象条件、交通条件、风俗习惯以及其他为完成合同工作有关的当地资料。在全部合同工作中，应视为分包人已充分估计了应承担的责任和风险。</w:t>
      </w:r>
    </w:p>
    <w:p>
      <w:pPr>
        <w:spacing w:line="360" w:lineRule="auto"/>
        <w:ind w:left="0" w:firstLine="0"/>
        <w:rPr>
          <w:b/>
          <w:bCs/>
        </w:rPr>
      </w:pPr>
      <w:bookmarkStart w:id="709" w:name="_Toc393199564"/>
      <w:bookmarkStart w:id="710" w:name="_Toc338944743"/>
      <w:bookmarkStart w:id="711" w:name="_Toc393200078"/>
      <w:bookmarkStart w:id="712" w:name="_Toc391456220"/>
      <w:bookmarkStart w:id="713" w:name="_Toc403059611"/>
      <w:bookmarkStart w:id="714" w:name="_Toc342296301"/>
      <w:bookmarkStart w:id="715" w:name="_Toc403052669"/>
      <w:bookmarkStart w:id="716" w:name="_Toc393200592"/>
      <w:bookmarkStart w:id="717" w:name="_Toc403054429"/>
      <w:r>
        <w:rPr>
          <w:rFonts w:hint="eastAsia"/>
          <w:b/>
          <w:bCs/>
        </w:rPr>
        <w:t>4.11　不利物质条件</w:t>
      </w:r>
      <w:bookmarkEnd w:id="709"/>
      <w:bookmarkEnd w:id="710"/>
      <w:bookmarkEnd w:id="711"/>
      <w:bookmarkEnd w:id="712"/>
      <w:bookmarkEnd w:id="713"/>
      <w:bookmarkEnd w:id="714"/>
      <w:bookmarkEnd w:id="715"/>
      <w:bookmarkEnd w:id="716"/>
      <w:bookmarkEnd w:id="717"/>
    </w:p>
    <w:p>
      <w:pPr>
        <w:spacing w:line="360" w:lineRule="auto"/>
        <w:ind w:left="0" w:firstLine="0"/>
      </w:pPr>
      <w:r>
        <w:rPr>
          <w:rFonts w:hint="eastAsia"/>
        </w:rPr>
        <w:t>4.11.1　不利物质条件，除专用合同条款另有约定外，是指分包人在施工场地遇到的不可预见的自然物质条件、非自然的物质障碍和污染物，包括地下和水文条件，但不包括气候条件。</w:t>
      </w:r>
    </w:p>
    <w:p>
      <w:pPr>
        <w:spacing w:line="360" w:lineRule="auto"/>
        <w:ind w:left="0" w:firstLine="0"/>
      </w:pPr>
      <w:r>
        <w:rPr>
          <w:rFonts w:hint="eastAsia"/>
        </w:rPr>
        <w:t>4.11.2　分包人遇到不利物质条件时，应采取适应不利物质条件的合理措施继续施工，并及时通知承包人。承包人应当及时发出指示，指示构成变更的，按第1</w:t>
      </w:r>
      <w:r>
        <w:t>5</w:t>
      </w:r>
      <w:r>
        <w:rPr>
          <w:rFonts w:hint="eastAsia"/>
        </w:rPr>
        <w:t>条约定办理。承包人没有发出指示的，分包人因采取合理措施而增加的费用和（或）工期延误，由承包人承担。</w:t>
      </w:r>
    </w:p>
    <w:p>
      <w:pPr>
        <w:spacing w:line="360" w:lineRule="auto"/>
        <w:ind w:left="0" w:firstLine="0"/>
        <w:rPr>
          <w:b/>
          <w:bCs/>
        </w:rPr>
      </w:pPr>
      <w:bookmarkStart w:id="718" w:name="_Toc391456224"/>
      <w:bookmarkStart w:id="719" w:name="_Toc342296302"/>
      <w:bookmarkStart w:id="720" w:name="_Toc403059612"/>
      <w:bookmarkStart w:id="721" w:name="_Toc338944744"/>
      <w:bookmarkStart w:id="722" w:name="_Toc403052670"/>
      <w:r>
        <w:rPr>
          <w:b/>
          <w:bCs/>
        </w:rPr>
        <w:t>5</w:t>
      </w:r>
      <w:r>
        <w:rPr>
          <w:rFonts w:hint="eastAsia"/>
          <w:b/>
          <w:bCs/>
        </w:rPr>
        <w:t>. 材料和工程设备</w:t>
      </w:r>
      <w:bookmarkEnd w:id="718"/>
      <w:bookmarkEnd w:id="719"/>
      <w:bookmarkEnd w:id="720"/>
      <w:bookmarkEnd w:id="721"/>
      <w:bookmarkEnd w:id="722"/>
    </w:p>
    <w:p>
      <w:pPr>
        <w:spacing w:line="360" w:lineRule="auto"/>
        <w:ind w:left="0" w:firstLine="0"/>
        <w:rPr>
          <w:b/>
          <w:bCs/>
        </w:rPr>
      </w:pPr>
      <w:bookmarkStart w:id="723" w:name="_Toc393199569"/>
      <w:bookmarkStart w:id="724" w:name="_Toc403059613"/>
      <w:bookmarkStart w:id="725" w:name="_Toc393200083"/>
      <w:bookmarkStart w:id="726" w:name="_Toc393200597"/>
      <w:bookmarkStart w:id="727" w:name="_Toc391456225"/>
      <w:bookmarkStart w:id="728" w:name="_Toc338944745"/>
      <w:bookmarkStart w:id="729" w:name="_Toc342296303"/>
      <w:bookmarkStart w:id="730" w:name="_Toc403054431"/>
      <w:bookmarkStart w:id="731" w:name="_Toc403052671"/>
      <w:r>
        <w:rPr>
          <w:b/>
          <w:bCs/>
        </w:rPr>
        <w:t>5</w:t>
      </w:r>
      <w:r>
        <w:rPr>
          <w:rFonts w:hint="eastAsia"/>
          <w:b/>
          <w:bCs/>
        </w:rPr>
        <w:t>.1　分包人提供的材料和工程设备</w:t>
      </w:r>
      <w:bookmarkEnd w:id="723"/>
      <w:bookmarkEnd w:id="724"/>
      <w:bookmarkEnd w:id="725"/>
      <w:bookmarkEnd w:id="726"/>
      <w:bookmarkEnd w:id="727"/>
      <w:bookmarkEnd w:id="728"/>
      <w:bookmarkEnd w:id="729"/>
      <w:bookmarkEnd w:id="730"/>
      <w:bookmarkEnd w:id="731"/>
    </w:p>
    <w:p>
      <w:pPr>
        <w:spacing w:line="360" w:lineRule="auto"/>
        <w:ind w:left="0" w:firstLine="0"/>
      </w:pPr>
      <w:r>
        <w:t>5</w:t>
      </w:r>
      <w:r>
        <w:rPr>
          <w:rFonts w:hint="eastAsia"/>
        </w:rPr>
        <w:t>.1.1　除第</w:t>
      </w:r>
      <w:r>
        <w:t>5</w:t>
      </w:r>
      <w:r>
        <w:rPr>
          <w:rFonts w:hint="eastAsia"/>
        </w:rPr>
        <w:t>.2款约定由承包人提供的材料和工程设备外，由分包人提供的材料和工程设备均由分包人负责采购、运输和保管。分包人应对其采购的材料和工程设备负责。分包人负责提供的主要材料和工程设备清单见合同附件二“分包人提供的材料和工程设备一览表”。</w:t>
      </w:r>
    </w:p>
    <w:p>
      <w:pPr>
        <w:spacing w:line="360" w:lineRule="auto"/>
        <w:ind w:left="0" w:firstLine="0"/>
      </w:pPr>
      <w:r>
        <w:t>5</w:t>
      </w:r>
      <w:r>
        <w:rPr>
          <w:rFonts w:hint="eastAsia"/>
        </w:rPr>
        <w:t>.1.2　分包人应按专用合同条款的约定，将各项材料和工程设备的供货人及品种、规格、数量和供货时间等报送承包人审批。分包人应向承包人提交其负责提供的材料和工程设备的质量证明文件，并满足分包合同约定的质量标准。</w:t>
      </w:r>
    </w:p>
    <w:p>
      <w:pPr>
        <w:spacing w:line="360" w:lineRule="auto"/>
        <w:ind w:left="0" w:firstLine="0"/>
      </w:pPr>
      <w:r>
        <w:t>5</w:t>
      </w:r>
      <w:r>
        <w:rPr>
          <w:rFonts w:hint="eastAsia"/>
        </w:rPr>
        <w:t>.1.3　对分包人提供的材料和工程设备，分包人应会同承包人进行检验和交货验收，查验材料合格证明和产品合格证书，并按分包合同约定和承包人指示，进行材料的抽样检验和工程设备的检验测试，检验和测试结果应提交承包人，所需费用由分包人承担。</w:t>
      </w:r>
    </w:p>
    <w:p>
      <w:pPr>
        <w:spacing w:line="360" w:lineRule="auto"/>
        <w:ind w:left="0" w:firstLine="0"/>
        <w:rPr>
          <w:b/>
          <w:bCs/>
        </w:rPr>
      </w:pPr>
      <w:bookmarkStart w:id="732" w:name="_Toc391456226"/>
      <w:bookmarkStart w:id="733" w:name="_Toc393199570"/>
      <w:bookmarkStart w:id="734" w:name="_Toc342296304"/>
      <w:bookmarkStart w:id="735" w:name="_Toc393200598"/>
      <w:bookmarkStart w:id="736" w:name="_Toc338944746"/>
      <w:bookmarkStart w:id="737" w:name="_Toc403059614"/>
      <w:bookmarkStart w:id="738" w:name="_Toc403052672"/>
      <w:bookmarkStart w:id="739" w:name="_Toc403054432"/>
      <w:bookmarkStart w:id="740" w:name="_Toc393200084"/>
      <w:r>
        <w:rPr>
          <w:b/>
          <w:bCs/>
        </w:rPr>
        <w:t>5.</w:t>
      </w:r>
      <w:r>
        <w:rPr>
          <w:rFonts w:hint="eastAsia"/>
          <w:b/>
          <w:bCs/>
        </w:rPr>
        <w:t>2 承包人提供的材料和工程设备</w:t>
      </w:r>
      <w:bookmarkEnd w:id="732"/>
      <w:bookmarkEnd w:id="733"/>
      <w:bookmarkEnd w:id="734"/>
      <w:bookmarkEnd w:id="735"/>
      <w:bookmarkEnd w:id="736"/>
      <w:bookmarkEnd w:id="737"/>
      <w:bookmarkEnd w:id="738"/>
      <w:bookmarkEnd w:id="739"/>
      <w:bookmarkEnd w:id="740"/>
    </w:p>
    <w:p>
      <w:pPr>
        <w:spacing w:line="360" w:lineRule="auto"/>
        <w:ind w:left="0" w:firstLine="0"/>
      </w:pPr>
      <w:r>
        <w:t>5</w:t>
      </w:r>
      <w:r>
        <w:rPr>
          <w:rFonts w:hint="eastAsia"/>
        </w:rPr>
        <w:t>.2.1　总承包合同约定由发包人提供材料和工程设备的，在本分包合同中视为承包人提供材料和工程设备。</w:t>
      </w:r>
    </w:p>
    <w:p>
      <w:pPr>
        <w:spacing w:line="360" w:lineRule="auto"/>
        <w:ind w:left="0" w:firstLine="0"/>
      </w:pPr>
      <w:r>
        <w:t>5</w:t>
      </w:r>
      <w:r>
        <w:rPr>
          <w:rFonts w:hint="eastAsia"/>
        </w:rPr>
        <w:t>.2.</w:t>
      </w:r>
      <w:r>
        <w:t>2</w:t>
      </w:r>
      <w:r>
        <w:rPr>
          <w:rFonts w:hint="eastAsia"/>
        </w:rPr>
        <w:t>　承包人负责提供的材料和工程设备的名称、规格、数量、价格、交货方式、交货地点和计划交货日期等见合同附件三“承包人提供的材料和工程设备一览表”。</w:t>
      </w:r>
    </w:p>
    <w:p>
      <w:pPr>
        <w:spacing w:line="360" w:lineRule="auto"/>
        <w:ind w:left="0" w:firstLine="0"/>
      </w:pPr>
      <w:r>
        <w:t>5</w:t>
      </w:r>
      <w:r>
        <w:rPr>
          <w:rFonts w:hint="eastAsia"/>
        </w:rPr>
        <w:t>.2.</w:t>
      </w:r>
      <w:r>
        <w:t>3</w:t>
      </w:r>
      <w:r>
        <w:rPr>
          <w:rFonts w:hint="eastAsia"/>
        </w:rPr>
        <w:t>　分包人应根据合同进度计划的安排，向承包人报送要求承包人交货的日期计划。承包人应按照与合同双方当事人商定的交货日期，向分包人提交材料和工程设备。</w:t>
      </w:r>
    </w:p>
    <w:p>
      <w:pPr>
        <w:spacing w:line="360" w:lineRule="auto"/>
        <w:ind w:left="0" w:firstLine="0"/>
      </w:pPr>
      <w:r>
        <w:t>5</w:t>
      </w:r>
      <w:r>
        <w:rPr>
          <w:rFonts w:hint="eastAsia"/>
        </w:rPr>
        <w:t>.2.</w:t>
      </w:r>
      <w:r>
        <w:t>4</w:t>
      </w:r>
      <w:r>
        <w:rPr>
          <w:rFonts w:hint="eastAsia"/>
        </w:rPr>
        <w:t>　承包人应在材料和工程设备到货5天前通知分包人，分包人应会同承包人在约定的时间内，赴交货地点共同进行验收。承包人提供的材料和工程设备验收后，由分包人负责接收、运输和保管。</w:t>
      </w:r>
    </w:p>
    <w:p>
      <w:pPr>
        <w:spacing w:line="360" w:lineRule="auto"/>
        <w:ind w:left="0" w:firstLine="0"/>
      </w:pPr>
      <w:r>
        <w:t>5</w:t>
      </w:r>
      <w:r>
        <w:rPr>
          <w:rFonts w:hint="eastAsia"/>
        </w:rPr>
        <w:t>.2.</w:t>
      </w:r>
      <w:r>
        <w:t>5</w:t>
      </w:r>
      <w:r>
        <w:rPr>
          <w:rFonts w:hint="eastAsia"/>
        </w:rPr>
        <w:t xml:space="preserve">　承包人要求向分包人提前交货的，分包人不得拒绝，但承包人应承担分包人由此增加的费用。 </w:t>
      </w:r>
    </w:p>
    <w:p>
      <w:pPr>
        <w:spacing w:line="360" w:lineRule="auto"/>
        <w:ind w:left="0" w:firstLine="0"/>
      </w:pPr>
      <w:r>
        <w:t>5</w:t>
      </w:r>
      <w:r>
        <w:rPr>
          <w:rFonts w:hint="eastAsia"/>
        </w:rPr>
        <w:t>.2.</w:t>
      </w:r>
      <w:r>
        <w:t>6</w:t>
      </w:r>
      <w:r>
        <w:rPr>
          <w:rFonts w:hint="eastAsia"/>
        </w:rPr>
        <w:t xml:space="preserve">　分包人要求更改交货日期或地点的，应事先报请承包人批准。由于分包人要求更改交货时间或地点所增加的费用和（或）工期延误由分包人承担。 </w:t>
      </w:r>
    </w:p>
    <w:p>
      <w:pPr>
        <w:spacing w:line="360" w:lineRule="auto"/>
        <w:ind w:left="0" w:firstLine="0"/>
      </w:pPr>
      <w:r>
        <w:t>5</w:t>
      </w:r>
      <w:r>
        <w:rPr>
          <w:rFonts w:hint="eastAsia"/>
        </w:rPr>
        <w:t>.2.</w:t>
      </w:r>
      <w:r>
        <w:t>7</w:t>
      </w:r>
      <w:r>
        <w:rPr>
          <w:rFonts w:hint="eastAsia"/>
        </w:rPr>
        <w:t>　承包人提供的材料和工程设备的规格、数量或质量不符合合同要求，或由于承包人原因发生交货日期延误及交货地点变更等情况的，承包人应承担由此增加的费用和（或）工期延误，并向分包人支付合理利润。</w:t>
      </w:r>
    </w:p>
    <w:p>
      <w:pPr>
        <w:spacing w:line="360" w:lineRule="auto"/>
        <w:ind w:left="0" w:firstLine="0"/>
        <w:rPr>
          <w:b/>
          <w:bCs/>
        </w:rPr>
      </w:pPr>
      <w:bookmarkStart w:id="741" w:name="_Toc342296305"/>
      <w:bookmarkStart w:id="742" w:name="_Toc144974622"/>
      <w:bookmarkStart w:id="743" w:name="_Toc403052673"/>
      <w:bookmarkStart w:id="744" w:name="_Toc152045654"/>
      <w:bookmarkStart w:id="745" w:name="_Toc393199571"/>
      <w:bookmarkStart w:id="746" w:name="_Toc391456227"/>
      <w:bookmarkStart w:id="747" w:name="_Toc403054433"/>
      <w:bookmarkStart w:id="748" w:name="_Toc179632672"/>
      <w:bookmarkStart w:id="749" w:name="_Toc403059615"/>
      <w:bookmarkStart w:id="750" w:name="_Toc393200085"/>
      <w:bookmarkStart w:id="751" w:name="_Toc393200599"/>
      <w:bookmarkStart w:id="752" w:name="_Toc152042432"/>
      <w:bookmarkStart w:id="753" w:name="_Toc338944747"/>
      <w:r>
        <w:rPr>
          <w:b/>
          <w:bCs/>
        </w:rPr>
        <w:t>5</w:t>
      </w:r>
      <w:r>
        <w:rPr>
          <w:rFonts w:hint="eastAsia"/>
          <w:b/>
          <w:bCs/>
        </w:rPr>
        <w:t>.3　材料和工程设备专用于分包合同工程</w:t>
      </w:r>
      <w:bookmarkEnd w:id="741"/>
      <w:bookmarkEnd w:id="742"/>
      <w:bookmarkEnd w:id="743"/>
      <w:bookmarkEnd w:id="744"/>
      <w:bookmarkEnd w:id="745"/>
      <w:bookmarkEnd w:id="746"/>
      <w:bookmarkEnd w:id="747"/>
      <w:bookmarkEnd w:id="748"/>
      <w:bookmarkEnd w:id="749"/>
      <w:bookmarkEnd w:id="750"/>
      <w:bookmarkEnd w:id="751"/>
      <w:bookmarkEnd w:id="752"/>
      <w:bookmarkEnd w:id="753"/>
    </w:p>
    <w:p>
      <w:pPr>
        <w:spacing w:line="360" w:lineRule="auto"/>
        <w:ind w:left="0" w:firstLine="0"/>
      </w:pPr>
      <w:r>
        <w:t>5</w:t>
      </w:r>
      <w:r>
        <w:rPr>
          <w:rFonts w:hint="eastAsia"/>
        </w:rPr>
        <w:t>.3.1　运入施工场地的材料、工程设备，包括备品备件、安装专用工器具与随机资料，必须专用于分包合同工程，未经承包人同意，分包人不得运出施工场地或挪作他用。</w:t>
      </w:r>
    </w:p>
    <w:p>
      <w:pPr>
        <w:spacing w:line="360" w:lineRule="auto"/>
        <w:ind w:left="0" w:firstLine="0"/>
      </w:pPr>
      <w:r>
        <w:t>5</w:t>
      </w:r>
      <w:r>
        <w:rPr>
          <w:rFonts w:hint="eastAsia"/>
        </w:rPr>
        <w:t>.3.2　随同工程设备运入施工场地的备品备件、专用工器具与随机资料，应由分包人会同承包人按供货人的装箱单清点后共同封存，未经承包人同意不得启用。分包人因合同工作需要使用上述物品时，应向承包人提出申请。</w:t>
      </w:r>
    </w:p>
    <w:p>
      <w:pPr>
        <w:spacing w:line="360" w:lineRule="auto"/>
        <w:ind w:left="0" w:firstLine="0"/>
        <w:rPr>
          <w:b/>
          <w:bCs/>
        </w:rPr>
      </w:pPr>
      <w:bookmarkStart w:id="754" w:name="_Toc393199572"/>
      <w:bookmarkStart w:id="755" w:name="_Toc152045655"/>
      <w:bookmarkStart w:id="756" w:name="_Toc342296306"/>
      <w:bookmarkStart w:id="757" w:name="_Toc393200086"/>
      <w:bookmarkStart w:id="758" w:name="_Toc393200600"/>
      <w:bookmarkStart w:id="759" w:name="_Toc391456228"/>
      <w:bookmarkStart w:id="760" w:name="_Toc179632673"/>
      <w:bookmarkStart w:id="761" w:name="_Toc403059616"/>
      <w:bookmarkStart w:id="762" w:name="_Toc403052674"/>
      <w:bookmarkStart w:id="763" w:name="_Toc144974623"/>
      <w:bookmarkStart w:id="764" w:name="_Toc338944748"/>
      <w:bookmarkStart w:id="765" w:name="_Toc152042433"/>
      <w:bookmarkStart w:id="766" w:name="_Toc403054434"/>
      <w:r>
        <w:rPr>
          <w:b/>
          <w:bCs/>
        </w:rPr>
        <w:t>5</w:t>
      </w:r>
      <w:r>
        <w:rPr>
          <w:rFonts w:hint="eastAsia"/>
          <w:b/>
          <w:bCs/>
        </w:rPr>
        <w:t>.4　禁止使用不合格的材料和工程设备</w:t>
      </w:r>
      <w:bookmarkEnd w:id="754"/>
      <w:bookmarkEnd w:id="755"/>
      <w:bookmarkEnd w:id="756"/>
      <w:bookmarkEnd w:id="757"/>
      <w:bookmarkEnd w:id="758"/>
      <w:bookmarkEnd w:id="759"/>
      <w:bookmarkEnd w:id="760"/>
      <w:bookmarkEnd w:id="761"/>
      <w:bookmarkEnd w:id="762"/>
      <w:bookmarkEnd w:id="763"/>
      <w:bookmarkEnd w:id="764"/>
      <w:bookmarkEnd w:id="765"/>
      <w:bookmarkEnd w:id="766"/>
    </w:p>
    <w:p>
      <w:pPr>
        <w:spacing w:line="360" w:lineRule="auto"/>
        <w:ind w:left="0" w:firstLine="0"/>
      </w:pPr>
      <w:r>
        <w:t>5</w:t>
      </w:r>
      <w:r>
        <w:rPr>
          <w:rFonts w:hint="eastAsia"/>
        </w:rPr>
        <w:t>.4.1　承包人有权拒绝分包人提供的不合格材料或工程设备，并要求分包人立即进行更换。承包人应在更换后再次进行检查和检验，由此增加的费用和（或）工期延误由分包人承担。</w:t>
      </w:r>
    </w:p>
    <w:p>
      <w:pPr>
        <w:spacing w:line="360" w:lineRule="auto"/>
        <w:ind w:left="0" w:firstLine="0"/>
      </w:pPr>
      <w:r>
        <w:t>5</w:t>
      </w:r>
      <w:r>
        <w:rPr>
          <w:rFonts w:hint="eastAsia"/>
        </w:rPr>
        <w:t>.4.2　承包人发现分包人使用了不合格的材料和工程设备，应即时发出指示要求分包人立即改正，并禁止在工程中继续使用不合格的材料和工程设备。</w:t>
      </w:r>
    </w:p>
    <w:p>
      <w:pPr>
        <w:spacing w:line="360" w:lineRule="auto"/>
        <w:ind w:left="0" w:firstLine="0"/>
      </w:pPr>
      <w:r>
        <w:t>5</w:t>
      </w:r>
      <w:r>
        <w:rPr>
          <w:rFonts w:hint="eastAsia"/>
        </w:rPr>
        <w:t>.4.3　承包人提供的材料或工程设备不符合合同要求的，分包人有权拒绝，并可要求承包人更换，由此增加的费用和（或）工期延误由承包人承担。</w:t>
      </w:r>
    </w:p>
    <w:p>
      <w:pPr>
        <w:spacing w:line="360" w:lineRule="auto"/>
        <w:ind w:left="0" w:firstLine="0"/>
      </w:pPr>
      <w:r>
        <w:t>5</w:t>
      </w:r>
      <w:r>
        <w:rPr>
          <w:rFonts w:hint="eastAsia"/>
        </w:rPr>
        <w:t>.4.</w:t>
      </w:r>
      <w:r>
        <w:t>4</w:t>
      </w:r>
      <w:r>
        <w:rPr>
          <w:rFonts w:hint="eastAsia"/>
        </w:rPr>
        <w:t>　当承包人或分包人对材料或工程设备质量存在争议时，应由双方共同对有争议的材料或工程设备进行检测，如检测结果为不合格，由材料或工程设备提供方承担相关检测费用，如检测合格，由提出质量异议方承担相关检测费用。</w:t>
      </w:r>
    </w:p>
    <w:p>
      <w:pPr>
        <w:spacing w:line="360" w:lineRule="auto"/>
        <w:ind w:left="0" w:firstLine="0"/>
        <w:rPr>
          <w:b/>
          <w:bCs/>
        </w:rPr>
      </w:pPr>
      <w:bookmarkStart w:id="767" w:name="_Toc403059617"/>
      <w:bookmarkStart w:id="768" w:name="_Toc338944749"/>
      <w:bookmarkStart w:id="769" w:name="_Toc342296307"/>
      <w:bookmarkStart w:id="770" w:name="_Toc391456229"/>
      <w:bookmarkStart w:id="771" w:name="_Toc403052675"/>
      <w:r>
        <w:rPr>
          <w:b/>
          <w:bCs/>
        </w:rPr>
        <w:t>6</w:t>
      </w:r>
      <w:r>
        <w:rPr>
          <w:rFonts w:hint="eastAsia"/>
          <w:b/>
          <w:bCs/>
        </w:rPr>
        <w:t>. 施工设备和临时设施</w:t>
      </w:r>
      <w:bookmarkEnd w:id="767"/>
      <w:bookmarkEnd w:id="768"/>
      <w:bookmarkEnd w:id="769"/>
      <w:bookmarkEnd w:id="770"/>
      <w:bookmarkEnd w:id="771"/>
    </w:p>
    <w:p>
      <w:pPr>
        <w:spacing w:line="360" w:lineRule="auto"/>
        <w:ind w:left="0" w:firstLine="0"/>
        <w:rPr>
          <w:b/>
          <w:bCs/>
        </w:rPr>
      </w:pPr>
      <w:bookmarkStart w:id="772" w:name="_Toc403059618"/>
      <w:bookmarkStart w:id="773" w:name="_Toc393200088"/>
      <w:bookmarkStart w:id="774" w:name="_Toc342296308"/>
      <w:bookmarkStart w:id="775" w:name="_Toc393199574"/>
      <w:bookmarkStart w:id="776" w:name="_Toc338944750"/>
      <w:bookmarkStart w:id="777" w:name="_Toc393200602"/>
      <w:bookmarkStart w:id="778" w:name="_Toc391456230"/>
      <w:bookmarkStart w:id="779" w:name="_Toc403052676"/>
      <w:bookmarkStart w:id="780" w:name="_Toc403054436"/>
      <w:r>
        <w:rPr>
          <w:b/>
          <w:bCs/>
        </w:rPr>
        <w:t>6</w:t>
      </w:r>
      <w:r>
        <w:rPr>
          <w:rFonts w:hint="eastAsia"/>
          <w:b/>
          <w:bCs/>
        </w:rPr>
        <w:t>.1　分包人提供的施工设备和临时设施</w:t>
      </w:r>
      <w:bookmarkEnd w:id="772"/>
      <w:bookmarkEnd w:id="773"/>
      <w:bookmarkEnd w:id="774"/>
      <w:bookmarkEnd w:id="775"/>
      <w:bookmarkEnd w:id="776"/>
      <w:bookmarkEnd w:id="777"/>
      <w:bookmarkEnd w:id="778"/>
      <w:bookmarkEnd w:id="779"/>
      <w:bookmarkEnd w:id="780"/>
    </w:p>
    <w:p>
      <w:pPr>
        <w:spacing w:line="360" w:lineRule="auto"/>
        <w:ind w:left="0" w:firstLine="0"/>
      </w:pPr>
      <w:r>
        <w:t>6</w:t>
      </w:r>
      <w:r>
        <w:rPr>
          <w:rFonts w:hint="eastAsia"/>
        </w:rPr>
        <w:t>.1.1　分包人应按合同进度计划的要求，及时配置施工设备和修建临时设施。进入施工场地的分包人设备需经承包人核查后才能投入使用。分包人更换分包合同约定的分包人设备的，应报承包人批准。</w:t>
      </w:r>
    </w:p>
    <w:p>
      <w:pPr>
        <w:spacing w:line="360" w:lineRule="auto"/>
        <w:ind w:left="0" w:firstLine="0"/>
      </w:pPr>
      <w:r>
        <w:t>6</w:t>
      </w:r>
      <w:r>
        <w:rPr>
          <w:rFonts w:hint="eastAsia"/>
        </w:rPr>
        <w:t>.1.2　除专用合同条款另有约定外，分包人应自行承担修建临时设施的费用，需要临时占地的，应由承包人办理申请手续并承担相应费用。</w:t>
      </w:r>
    </w:p>
    <w:p>
      <w:pPr>
        <w:spacing w:line="360" w:lineRule="auto"/>
        <w:ind w:left="0" w:firstLine="0"/>
        <w:rPr>
          <w:b/>
          <w:bCs/>
        </w:rPr>
      </w:pPr>
      <w:bookmarkStart w:id="781" w:name="_Toc338944751"/>
      <w:bookmarkStart w:id="782" w:name="_Toc403059619"/>
      <w:bookmarkStart w:id="783" w:name="_Toc342296309"/>
      <w:bookmarkStart w:id="784" w:name="_Toc403054437"/>
      <w:bookmarkStart w:id="785" w:name="_Toc393200089"/>
      <w:bookmarkStart w:id="786" w:name="_Toc393199575"/>
      <w:bookmarkStart w:id="787" w:name="_Toc403052677"/>
      <w:bookmarkStart w:id="788" w:name="_Toc393200603"/>
      <w:bookmarkStart w:id="789" w:name="_Toc391456231"/>
      <w:r>
        <w:rPr>
          <w:b/>
          <w:bCs/>
        </w:rPr>
        <w:t>6</w:t>
      </w:r>
      <w:r>
        <w:rPr>
          <w:rFonts w:hint="eastAsia"/>
          <w:b/>
          <w:bCs/>
        </w:rPr>
        <w:t>.2　承包人提供的施工设备和临时设施</w:t>
      </w:r>
      <w:bookmarkEnd w:id="781"/>
      <w:bookmarkEnd w:id="782"/>
      <w:bookmarkEnd w:id="783"/>
      <w:bookmarkEnd w:id="784"/>
      <w:bookmarkEnd w:id="785"/>
      <w:bookmarkEnd w:id="786"/>
      <w:bookmarkEnd w:id="787"/>
      <w:bookmarkEnd w:id="788"/>
      <w:bookmarkEnd w:id="789"/>
    </w:p>
    <w:p>
      <w:pPr>
        <w:spacing w:line="360" w:lineRule="auto"/>
        <w:ind w:left="0" w:firstLine="0"/>
      </w:pPr>
      <w:r>
        <w:rPr>
          <w:rFonts w:hint="eastAsia"/>
        </w:rPr>
        <w:t>总承包合同约定由发包人提供的施工设备或临时设施，在本分包合同中视为承包人提供的施工设备或临时设施。</w:t>
      </w:r>
    </w:p>
    <w:p>
      <w:pPr>
        <w:spacing w:line="360" w:lineRule="auto"/>
        <w:ind w:left="0" w:firstLine="0"/>
      </w:pPr>
      <w:r>
        <w:rPr>
          <w:rFonts w:hint="eastAsia"/>
        </w:rPr>
        <w:t>承包人提供的施工设备或临时设施在专用合同条款中约定。</w:t>
      </w:r>
    </w:p>
    <w:p>
      <w:pPr>
        <w:spacing w:line="360" w:lineRule="auto"/>
        <w:ind w:left="0" w:firstLine="0"/>
        <w:rPr>
          <w:b/>
          <w:bCs/>
        </w:rPr>
      </w:pPr>
      <w:bookmarkStart w:id="790" w:name="_Toc403052678"/>
      <w:bookmarkStart w:id="791" w:name="_Toc338944752"/>
      <w:bookmarkStart w:id="792" w:name="_Toc342296310"/>
      <w:bookmarkStart w:id="793" w:name="_Toc152042437"/>
      <w:bookmarkStart w:id="794" w:name="_Toc393200090"/>
      <w:bookmarkStart w:id="795" w:name="_Toc403059620"/>
      <w:bookmarkStart w:id="796" w:name="_Toc403054438"/>
      <w:bookmarkStart w:id="797" w:name="_Toc152045659"/>
      <w:bookmarkStart w:id="798" w:name="_Toc179632677"/>
      <w:bookmarkStart w:id="799" w:name="_Toc144974627"/>
      <w:bookmarkStart w:id="800" w:name="_Toc393199576"/>
      <w:bookmarkStart w:id="801" w:name="_Toc393200604"/>
      <w:bookmarkStart w:id="802" w:name="_Toc391456232"/>
      <w:r>
        <w:rPr>
          <w:b/>
          <w:bCs/>
        </w:rPr>
        <w:t>6</w:t>
      </w:r>
      <w:r>
        <w:rPr>
          <w:rFonts w:hint="eastAsia"/>
          <w:b/>
          <w:bCs/>
        </w:rPr>
        <w:t>.3　要求分包人增加或更换施工设备</w:t>
      </w:r>
      <w:bookmarkEnd w:id="790"/>
      <w:bookmarkEnd w:id="791"/>
      <w:bookmarkEnd w:id="792"/>
      <w:bookmarkEnd w:id="793"/>
      <w:bookmarkEnd w:id="794"/>
      <w:bookmarkEnd w:id="795"/>
      <w:bookmarkEnd w:id="796"/>
      <w:bookmarkEnd w:id="797"/>
      <w:bookmarkEnd w:id="798"/>
      <w:bookmarkEnd w:id="799"/>
      <w:bookmarkEnd w:id="800"/>
      <w:bookmarkEnd w:id="801"/>
      <w:bookmarkEnd w:id="802"/>
    </w:p>
    <w:p>
      <w:pPr>
        <w:spacing w:line="360" w:lineRule="auto"/>
        <w:ind w:left="0" w:firstLine="0"/>
      </w:pPr>
      <w:r>
        <w:rPr>
          <w:rFonts w:hint="eastAsia"/>
        </w:rPr>
        <w:t>分包人使用的施工设备不能满足合同进度计划和（或）质量要求时，承包人有权要求分包人增加或更换施工设备，分包人应及时增加或更换，由此增加的费用和（或）工期延误由分包人承担。</w:t>
      </w:r>
    </w:p>
    <w:p>
      <w:pPr>
        <w:spacing w:line="360" w:lineRule="auto"/>
        <w:ind w:left="0" w:firstLine="0"/>
        <w:rPr>
          <w:b/>
          <w:bCs/>
        </w:rPr>
      </w:pPr>
      <w:bookmarkStart w:id="803" w:name="_Toc403052679"/>
      <w:bookmarkStart w:id="804" w:name="_Toc391456233"/>
      <w:bookmarkStart w:id="805" w:name="_Toc393200091"/>
      <w:bookmarkStart w:id="806" w:name="_Toc393199577"/>
      <w:bookmarkStart w:id="807" w:name="_Toc403059621"/>
      <w:bookmarkStart w:id="808" w:name="_Toc338944753"/>
      <w:bookmarkStart w:id="809" w:name="_Toc393200605"/>
      <w:bookmarkStart w:id="810" w:name="_Toc403054439"/>
      <w:bookmarkStart w:id="811" w:name="_Toc342296311"/>
      <w:r>
        <w:rPr>
          <w:b/>
          <w:bCs/>
        </w:rPr>
        <w:t>6</w:t>
      </w:r>
      <w:r>
        <w:rPr>
          <w:rFonts w:hint="eastAsia"/>
          <w:b/>
          <w:bCs/>
        </w:rPr>
        <w:t>.4　施工设备和临时设施专用于分包合同工程</w:t>
      </w:r>
      <w:bookmarkEnd w:id="803"/>
      <w:bookmarkEnd w:id="804"/>
      <w:bookmarkEnd w:id="805"/>
      <w:bookmarkEnd w:id="806"/>
      <w:bookmarkEnd w:id="807"/>
      <w:bookmarkEnd w:id="808"/>
      <w:bookmarkEnd w:id="809"/>
      <w:bookmarkEnd w:id="810"/>
      <w:bookmarkEnd w:id="811"/>
    </w:p>
    <w:p>
      <w:pPr>
        <w:spacing w:line="360" w:lineRule="auto"/>
        <w:ind w:left="0" w:firstLine="0"/>
      </w:pPr>
      <w:r>
        <w:t>6</w:t>
      </w:r>
      <w:r>
        <w:rPr>
          <w:rFonts w:hint="eastAsia"/>
        </w:rPr>
        <w:t>.4.1　除为第4.1.8项约定的其他分包人、独立承包人和承包人指示的他人提供条件外，运入施工场地的所有施工设备以及在施工场地建设的临时设施应专用于分包合同工程。未经承包人同意，不得将上述施工设备和临时设施中的任何部分运出施工场地或挪作他用。</w:t>
      </w:r>
    </w:p>
    <w:p>
      <w:pPr>
        <w:spacing w:line="360" w:lineRule="auto"/>
        <w:ind w:left="0" w:firstLine="0"/>
      </w:pPr>
      <w:r>
        <w:t>6</w:t>
      </w:r>
      <w:r>
        <w:rPr>
          <w:rFonts w:hint="eastAsia"/>
        </w:rPr>
        <w:t>.4.2　经承包人同意，分包人可根据合同进度计划撤走闲置的施工设备。</w:t>
      </w:r>
    </w:p>
    <w:p>
      <w:pPr>
        <w:spacing w:line="360" w:lineRule="auto"/>
        <w:ind w:left="0" w:firstLine="0"/>
        <w:rPr>
          <w:b/>
          <w:bCs/>
        </w:rPr>
      </w:pPr>
      <w:bookmarkStart w:id="812" w:name="_Toc338944754"/>
      <w:bookmarkStart w:id="813" w:name="_Toc403059622"/>
      <w:bookmarkStart w:id="814" w:name="_Toc342296312"/>
      <w:bookmarkStart w:id="815" w:name="_Toc391456234"/>
      <w:bookmarkStart w:id="816" w:name="_Toc403052680"/>
      <w:r>
        <w:rPr>
          <w:b/>
          <w:bCs/>
        </w:rPr>
        <w:t>7</w:t>
      </w:r>
      <w:r>
        <w:rPr>
          <w:rFonts w:hint="eastAsia"/>
          <w:b/>
          <w:bCs/>
        </w:rPr>
        <w:t>. 交通运输</w:t>
      </w:r>
      <w:bookmarkEnd w:id="812"/>
      <w:bookmarkEnd w:id="813"/>
      <w:bookmarkEnd w:id="814"/>
      <w:bookmarkEnd w:id="815"/>
      <w:bookmarkEnd w:id="816"/>
    </w:p>
    <w:p>
      <w:pPr>
        <w:spacing w:line="360" w:lineRule="auto"/>
        <w:ind w:left="0" w:firstLine="0"/>
        <w:rPr>
          <w:b/>
          <w:bCs/>
        </w:rPr>
      </w:pPr>
      <w:bookmarkStart w:id="817" w:name="_Toc342296313"/>
      <w:bookmarkStart w:id="818" w:name="_Toc391456235"/>
      <w:bookmarkStart w:id="819" w:name="_Toc403059623"/>
      <w:bookmarkStart w:id="820" w:name="_Toc403052681"/>
      <w:bookmarkStart w:id="821" w:name="_Toc393199579"/>
      <w:bookmarkStart w:id="822" w:name="_Toc393200607"/>
      <w:bookmarkStart w:id="823" w:name="_Toc338944755"/>
      <w:bookmarkStart w:id="824" w:name="_Toc403054441"/>
      <w:bookmarkStart w:id="825" w:name="_Toc393200093"/>
      <w:r>
        <w:rPr>
          <w:b/>
          <w:bCs/>
        </w:rPr>
        <w:t>7</w:t>
      </w:r>
      <w:r>
        <w:rPr>
          <w:rFonts w:hint="eastAsia"/>
          <w:b/>
          <w:bCs/>
        </w:rPr>
        <w:t>.1　道路通行权和场外设施</w:t>
      </w:r>
      <w:bookmarkEnd w:id="817"/>
      <w:bookmarkEnd w:id="818"/>
      <w:bookmarkEnd w:id="819"/>
      <w:bookmarkEnd w:id="820"/>
      <w:bookmarkEnd w:id="821"/>
      <w:bookmarkEnd w:id="822"/>
      <w:bookmarkEnd w:id="823"/>
      <w:bookmarkEnd w:id="824"/>
      <w:bookmarkEnd w:id="825"/>
    </w:p>
    <w:p>
      <w:pPr>
        <w:spacing w:line="360" w:lineRule="auto"/>
        <w:ind w:left="0" w:firstLine="0"/>
      </w:pPr>
      <w:r>
        <w:rPr>
          <w:rFonts w:hint="eastAsia"/>
        </w:rPr>
        <w:t>除专用合同条款另有约定外，承包人应根据分包合同工程的施工需要，负责办理取得出入施工场地的专用和临时道路的通行权，以及取得为工程建设所需修建场外设施的权利，并承担有关费用。分包人应协助承包人办理上述手续。</w:t>
      </w:r>
    </w:p>
    <w:p>
      <w:pPr>
        <w:spacing w:line="360" w:lineRule="auto"/>
        <w:ind w:left="0" w:firstLine="0"/>
      </w:pPr>
      <w:bookmarkStart w:id="826" w:name="_Toc342296314"/>
      <w:bookmarkStart w:id="827" w:name="_Toc403052682"/>
      <w:bookmarkStart w:id="828" w:name="_Toc403054442"/>
      <w:bookmarkStart w:id="829" w:name="_Toc391456236"/>
      <w:bookmarkStart w:id="830" w:name="_Toc393199580"/>
      <w:bookmarkStart w:id="831" w:name="_Toc338944756"/>
      <w:bookmarkStart w:id="832" w:name="_Toc403059624"/>
      <w:bookmarkStart w:id="833" w:name="_Toc393200608"/>
      <w:bookmarkStart w:id="834" w:name="_Toc393200094"/>
      <w:r>
        <w:t>7</w:t>
      </w:r>
      <w:r>
        <w:rPr>
          <w:rFonts w:hint="eastAsia"/>
        </w:rPr>
        <w:t>.2　场内施工道路</w:t>
      </w:r>
      <w:bookmarkEnd w:id="826"/>
      <w:bookmarkEnd w:id="827"/>
      <w:bookmarkEnd w:id="828"/>
      <w:bookmarkEnd w:id="829"/>
      <w:bookmarkEnd w:id="830"/>
      <w:bookmarkEnd w:id="831"/>
      <w:bookmarkEnd w:id="832"/>
      <w:bookmarkEnd w:id="833"/>
      <w:bookmarkEnd w:id="834"/>
    </w:p>
    <w:p>
      <w:pPr>
        <w:spacing w:line="360" w:lineRule="auto"/>
        <w:ind w:left="0" w:firstLine="0"/>
      </w:pPr>
      <w:r>
        <w:t>7</w:t>
      </w:r>
      <w:r>
        <w:rPr>
          <w:rFonts w:hint="eastAsia"/>
        </w:rPr>
        <w:t>.2.1　除专用合同条款另有约定外，承包人应负责修建、维修、养护和管理施工所需的临时道路和交通设施，包括维修、养护和管理发包人提供的道路和交通设施，并承担相应费用。</w:t>
      </w:r>
    </w:p>
    <w:p>
      <w:pPr>
        <w:spacing w:line="360" w:lineRule="auto"/>
        <w:ind w:left="0" w:firstLine="0"/>
      </w:pPr>
      <w:r>
        <w:t>7</w:t>
      </w:r>
      <w:r>
        <w:rPr>
          <w:rFonts w:hint="eastAsia"/>
        </w:rPr>
        <w:t>.2.2　分包人有权无偿使用承包人修建的临时道路和交通设施，不需要交纳任何费用。</w:t>
      </w:r>
    </w:p>
    <w:p>
      <w:pPr>
        <w:spacing w:line="360" w:lineRule="auto"/>
        <w:ind w:left="0" w:firstLine="0"/>
      </w:pPr>
      <w:bookmarkStart w:id="835" w:name="_Toc391456237"/>
      <w:bookmarkStart w:id="836" w:name="_Toc152045664"/>
      <w:bookmarkStart w:id="837" w:name="_Toc144974632"/>
      <w:bookmarkStart w:id="838" w:name="_Toc393200095"/>
      <w:bookmarkStart w:id="839" w:name="_Toc179632682"/>
      <w:bookmarkStart w:id="840" w:name="_Toc152042442"/>
      <w:bookmarkStart w:id="841" w:name="_Toc338944757"/>
      <w:bookmarkStart w:id="842" w:name="_Toc393200609"/>
      <w:bookmarkStart w:id="843" w:name="_Toc342296315"/>
      <w:bookmarkStart w:id="844" w:name="_Toc393199581"/>
      <w:r>
        <w:t>7</w:t>
      </w:r>
      <w:r>
        <w:rPr>
          <w:rFonts w:hint="eastAsia"/>
        </w:rPr>
        <w:t>.3　场外交通</w:t>
      </w:r>
      <w:bookmarkEnd w:id="835"/>
      <w:bookmarkEnd w:id="836"/>
      <w:bookmarkEnd w:id="837"/>
      <w:bookmarkEnd w:id="838"/>
      <w:bookmarkEnd w:id="839"/>
      <w:bookmarkEnd w:id="840"/>
      <w:bookmarkEnd w:id="841"/>
      <w:bookmarkEnd w:id="842"/>
      <w:bookmarkEnd w:id="843"/>
      <w:bookmarkEnd w:id="844"/>
    </w:p>
    <w:p>
      <w:pPr>
        <w:spacing w:line="360" w:lineRule="auto"/>
        <w:ind w:left="0" w:firstLine="0"/>
      </w:pPr>
      <w:r>
        <w:t>7</w:t>
      </w:r>
      <w:r>
        <w:rPr>
          <w:rFonts w:hint="eastAsia"/>
        </w:rPr>
        <w:t>.3.1　分包人车辆外出行驶所需的场外公共道路的通行费、养路费和税款等由分包人承担。</w:t>
      </w:r>
    </w:p>
    <w:p>
      <w:pPr>
        <w:spacing w:line="360" w:lineRule="auto"/>
        <w:ind w:left="0" w:firstLine="0"/>
      </w:pPr>
      <w:r>
        <w:t>7</w:t>
      </w:r>
      <w:r>
        <w:rPr>
          <w:rFonts w:hint="eastAsia"/>
        </w:rPr>
        <w:t>.3.2　分包人应遵守有关交通法规，严格按照道路和桥梁的限制荷重安全行驶，并服从交通管理部门的检查和监督。</w:t>
      </w:r>
    </w:p>
    <w:p>
      <w:pPr>
        <w:spacing w:line="360" w:lineRule="auto"/>
        <w:ind w:left="0" w:firstLine="0"/>
      </w:pPr>
      <w:bookmarkStart w:id="845" w:name="_Toc393200096"/>
      <w:bookmarkStart w:id="846" w:name="_Toc393199582"/>
      <w:bookmarkStart w:id="847" w:name="_Toc403054443"/>
      <w:bookmarkStart w:id="848" w:name="_Toc403059625"/>
      <w:bookmarkStart w:id="849" w:name="_Toc403052683"/>
      <w:bookmarkStart w:id="850" w:name="_Toc342296316"/>
      <w:bookmarkStart w:id="851" w:name="_Toc338944758"/>
      <w:bookmarkStart w:id="852" w:name="_Toc393200610"/>
      <w:bookmarkStart w:id="853" w:name="_Toc391456238"/>
      <w:r>
        <w:t>7</w:t>
      </w:r>
      <w:r>
        <w:rPr>
          <w:rFonts w:hint="eastAsia"/>
        </w:rPr>
        <w:t>.4　超大件和超重件的运输</w:t>
      </w:r>
      <w:bookmarkEnd w:id="845"/>
      <w:bookmarkEnd w:id="846"/>
      <w:bookmarkEnd w:id="847"/>
      <w:bookmarkEnd w:id="848"/>
      <w:bookmarkEnd w:id="849"/>
      <w:bookmarkEnd w:id="850"/>
      <w:bookmarkEnd w:id="851"/>
      <w:bookmarkEnd w:id="852"/>
      <w:bookmarkEnd w:id="853"/>
    </w:p>
    <w:p>
      <w:pPr>
        <w:spacing w:line="360" w:lineRule="auto"/>
        <w:ind w:left="0" w:firstLine="0"/>
      </w:pPr>
      <w:r>
        <w:rPr>
          <w:rFonts w:hint="eastAsia"/>
        </w:rPr>
        <w:t>由分包人负责运输的超大件或超重件，应由分包人负责向交通管理部门办理申请手续，承包人给予协助。运输超大件或超重件所需的道路和桥梁临时加固改造费用和其他有关费用，由分包人承担，但专用合同条款另有约定除外。</w:t>
      </w:r>
    </w:p>
    <w:p>
      <w:pPr>
        <w:spacing w:line="360" w:lineRule="auto"/>
        <w:ind w:left="0" w:firstLine="0"/>
      </w:pPr>
      <w:bookmarkStart w:id="854" w:name="_Toc393200611"/>
      <w:bookmarkStart w:id="855" w:name="_Toc403059626"/>
      <w:bookmarkStart w:id="856" w:name="_Toc393199583"/>
      <w:bookmarkStart w:id="857" w:name="_Toc338944759"/>
      <w:bookmarkStart w:id="858" w:name="_Toc403052684"/>
      <w:bookmarkStart w:id="859" w:name="_Toc403054444"/>
      <w:bookmarkStart w:id="860" w:name="_Toc342296317"/>
      <w:bookmarkStart w:id="861" w:name="_Toc393200097"/>
      <w:bookmarkStart w:id="862" w:name="_Toc391456239"/>
      <w:r>
        <w:t>7.</w:t>
      </w:r>
      <w:r>
        <w:rPr>
          <w:rFonts w:hint="eastAsia"/>
        </w:rPr>
        <w:t>5　道路和桥梁的损坏责任</w:t>
      </w:r>
      <w:bookmarkEnd w:id="854"/>
      <w:bookmarkEnd w:id="855"/>
      <w:bookmarkEnd w:id="856"/>
      <w:bookmarkEnd w:id="857"/>
      <w:bookmarkEnd w:id="858"/>
      <w:bookmarkEnd w:id="859"/>
      <w:bookmarkEnd w:id="860"/>
      <w:bookmarkEnd w:id="861"/>
      <w:bookmarkEnd w:id="862"/>
    </w:p>
    <w:p>
      <w:pPr>
        <w:spacing w:line="360" w:lineRule="auto"/>
        <w:ind w:left="0" w:firstLine="0"/>
      </w:pPr>
      <w:r>
        <w:rPr>
          <w:rFonts w:hint="eastAsia"/>
        </w:rPr>
        <w:t>因分包人运输造成施工场地内外公共道路和桥梁损坏的，由分包人承担修复损坏的全部费用和可能引起的赔偿。</w:t>
      </w:r>
    </w:p>
    <w:p>
      <w:pPr>
        <w:spacing w:line="360" w:lineRule="auto"/>
        <w:ind w:left="0" w:firstLine="0"/>
      </w:pPr>
      <w:bookmarkStart w:id="863" w:name="_Toc391456240"/>
      <w:bookmarkStart w:id="864" w:name="_Toc342296318"/>
      <w:bookmarkStart w:id="865" w:name="_Toc393200612"/>
      <w:bookmarkStart w:id="866" w:name="_Toc393200098"/>
      <w:bookmarkStart w:id="867" w:name="_Toc338944760"/>
      <w:bookmarkStart w:id="868" w:name="_Toc393199584"/>
      <w:bookmarkStart w:id="869" w:name="_Toc152042445"/>
      <w:bookmarkStart w:id="870" w:name="_Toc403052685"/>
      <w:bookmarkStart w:id="871" w:name="_Toc403059627"/>
      <w:bookmarkStart w:id="872" w:name="_Toc144974635"/>
      <w:bookmarkStart w:id="873" w:name="_Toc179632685"/>
      <w:bookmarkStart w:id="874" w:name="_Toc152045667"/>
      <w:bookmarkStart w:id="875" w:name="_Toc403054445"/>
      <w:r>
        <w:t>7</w:t>
      </w:r>
      <w:r>
        <w:rPr>
          <w:rFonts w:hint="eastAsia"/>
        </w:rPr>
        <w:t>.6　水路和航空运输</w:t>
      </w:r>
      <w:bookmarkEnd w:id="863"/>
      <w:bookmarkEnd w:id="864"/>
      <w:bookmarkEnd w:id="865"/>
      <w:bookmarkEnd w:id="866"/>
      <w:bookmarkEnd w:id="867"/>
      <w:bookmarkEnd w:id="868"/>
      <w:bookmarkEnd w:id="869"/>
      <w:bookmarkEnd w:id="870"/>
      <w:bookmarkEnd w:id="871"/>
      <w:bookmarkEnd w:id="872"/>
      <w:bookmarkEnd w:id="873"/>
      <w:bookmarkEnd w:id="874"/>
      <w:bookmarkEnd w:id="875"/>
    </w:p>
    <w:p>
      <w:pPr>
        <w:spacing w:line="360" w:lineRule="auto"/>
        <w:ind w:left="0" w:firstLine="0"/>
      </w:pPr>
      <w:r>
        <w:rPr>
          <w:rFonts w:hint="eastAsia"/>
        </w:rPr>
        <w:t xml:space="preserve">本条上述各款的内容适用于水路运输和航空运输，其中“道路”一词的涵义包括河道、航线、船闸、机场、码头、堤防以及水路或航空运输中其他相似结构物；“车辆”一词的涵义包括船舶和飞机等。 </w:t>
      </w:r>
    </w:p>
    <w:p>
      <w:pPr>
        <w:spacing w:line="360" w:lineRule="auto"/>
        <w:ind w:left="0" w:firstLine="0"/>
      </w:pPr>
      <w:bookmarkStart w:id="876" w:name="_Toc342296319"/>
      <w:bookmarkStart w:id="877" w:name="_Toc338944761"/>
      <w:bookmarkStart w:id="878" w:name="_Toc391456241"/>
      <w:bookmarkStart w:id="879" w:name="_Toc403059628"/>
      <w:bookmarkStart w:id="880" w:name="_Toc403052686"/>
      <w:r>
        <w:t>8</w:t>
      </w:r>
      <w:r>
        <w:rPr>
          <w:rFonts w:hint="eastAsia"/>
        </w:rPr>
        <w:t>. 测量放线</w:t>
      </w:r>
      <w:bookmarkEnd w:id="876"/>
      <w:bookmarkEnd w:id="877"/>
      <w:bookmarkEnd w:id="878"/>
      <w:bookmarkEnd w:id="879"/>
      <w:bookmarkEnd w:id="880"/>
    </w:p>
    <w:p>
      <w:pPr>
        <w:spacing w:line="360" w:lineRule="auto"/>
        <w:ind w:left="0" w:firstLine="0"/>
      </w:pPr>
      <w:bookmarkStart w:id="881" w:name="_Toc179632688"/>
      <w:bookmarkStart w:id="882" w:name="_Toc393200615"/>
      <w:bookmarkStart w:id="883" w:name="_Toc391456243"/>
      <w:bookmarkStart w:id="884" w:name="_Toc403054447"/>
      <w:bookmarkStart w:id="885" w:name="_Toc393199587"/>
      <w:bookmarkStart w:id="886" w:name="_Toc152042448"/>
      <w:bookmarkStart w:id="887" w:name="_Toc338944763"/>
      <w:bookmarkStart w:id="888" w:name="_Toc393200101"/>
      <w:bookmarkStart w:id="889" w:name="_Toc152045670"/>
      <w:bookmarkStart w:id="890" w:name="_Toc342296321"/>
      <w:bookmarkStart w:id="891" w:name="_Toc403052687"/>
      <w:bookmarkStart w:id="892" w:name="_Toc403059629"/>
      <w:bookmarkStart w:id="893" w:name="_Toc144974638"/>
      <w:r>
        <w:t>8</w:t>
      </w:r>
      <w:r>
        <w:rPr>
          <w:rFonts w:hint="eastAsia"/>
        </w:rPr>
        <w:t>.</w:t>
      </w:r>
      <w:r>
        <w:t>1</w:t>
      </w:r>
      <w:r>
        <w:rPr>
          <w:rFonts w:hint="eastAsia"/>
        </w:rPr>
        <w:t>　施工测量</w:t>
      </w:r>
      <w:bookmarkEnd w:id="881"/>
      <w:bookmarkEnd w:id="882"/>
      <w:bookmarkEnd w:id="883"/>
      <w:bookmarkEnd w:id="884"/>
      <w:bookmarkEnd w:id="885"/>
      <w:bookmarkEnd w:id="886"/>
      <w:bookmarkEnd w:id="887"/>
      <w:bookmarkEnd w:id="888"/>
      <w:bookmarkEnd w:id="889"/>
      <w:bookmarkEnd w:id="890"/>
      <w:bookmarkEnd w:id="891"/>
      <w:bookmarkEnd w:id="892"/>
      <w:bookmarkEnd w:id="893"/>
    </w:p>
    <w:p>
      <w:pPr>
        <w:spacing w:line="360" w:lineRule="auto"/>
        <w:ind w:left="0" w:firstLine="0"/>
      </w:pPr>
      <w:r>
        <w:t>8</w:t>
      </w:r>
      <w:r>
        <w:rPr>
          <w:rFonts w:hint="eastAsia"/>
        </w:rPr>
        <w:t>.1.1　承包人应在专用合同条款约定的期限内，向分包人提供测量基准点、基准线和水准点及其书面资料。</w:t>
      </w:r>
    </w:p>
    <w:p>
      <w:pPr>
        <w:spacing w:line="360" w:lineRule="auto"/>
        <w:ind w:left="0" w:firstLine="0"/>
      </w:pPr>
      <w:r>
        <w:t>8</w:t>
      </w:r>
      <w:r>
        <w:rPr>
          <w:rFonts w:hint="eastAsia"/>
        </w:rPr>
        <w:t>.</w:t>
      </w:r>
      <w:r>
        <w:t>1</w:t>
      </w:r>
      <w:r>
        <w:rPr>
          <w:rFonts w:hint="eastAsia"/>
        </w:rPr>
        <w:t>.</w:t>
      </w:r>
      <w:r>
        <w:t>2</w:t>
      </w:r>
      <w:r>
        <w:rPr>
          <w:rFonts w:hint="eastAsia"/>
        </w:rPr>
        <w:t>　</w:t>
      </w:r>
      <w:r>
        <w:t>分包人负责分包工程施工过程中的测量放线工作</w:t>
      </w:r>
      <w:r>
        <w:rPr>
          <w:rFonts w:hint="eastAsia"/>
        </w:rPr>
        <w:t>，并配置合格的人员、仪器、设备和其他物品。</w:t>
      </w:r>
      <w:r>
        <w:t>分包人应矫正分包工程的位置</w:t>
      </w:r>
      <w:r>
        <w:rPr>
          <w:rFonts w:hint="eastAsia"/>
        </w:rPr>
        <w:t>、</w:t>
      </w:r>
      <w:r>
        <w:t>标高</w:t>
      </w:r>
      <w:r>
        <w:rPr>
          <w:rFonts w:hint="eastAsia"/>
        </w:rPr>
        <w:t>、</w:t>
      </w:r>
      <w:r>
        <w:t>尺寸或准线中出现的任何差错</w:t>
      </w:r>
      <w:r>
        <w:rPr>
          <w:rFonts w:hint="eastAsia"/>
        </w:rPr>
        <w:t>，并对分包工程各部分的定位负责。分包人负责对施工场地内施工水准点等测量标志物进行保护。</w:t>
      </w:r>
    </w:p>
    <w:p>
      <w:pPr>
        <w:spacing w:line="360" w:lineRule="auto"/>
        <w:ind w:left="0" w:firstLine="0"/>
      </w:pPr>
      <w:bookmarkStart w:id="894" w:name="_Toc393200616"/>
      <w:bookmarkStart w:id="895" w:name="_Toc403054448"/>
      <w:bookmarkStart w:id="896" w:name="_Toc338944764"/>
      <w:bookmarkStart w:id="897" w:name="_Toc152042449"/>
      <w:bookmarkStart w:id="898" w:name="_Toc391456244"/>
      <w:bookmarkStart w:id="899" w:name="_Toc152045671"/>
      <w:bookmarkStart w:id="900" w:name="_Toc403059630"/>
      <w:bookmarkStart w:id="901" w:name="_Toc393200102"/>
      <w:bookmarkStart w:id="902" w:name="_Toc393199588"/>
      <w:bookmarkStart w:id="903" w:name="_Toc179632689"/>
      <w:bookmarkStart w:id="904" w:name="_Toc403052688"/>
      <w:bookmarkStart w:id="905" w:name="_Toc144974639"/>
      <w:bookmarkStart w:id="906" w:name="_Toc342296322"/>
      <w:r>
        <w:t>8</w:t>
      </w:r>
      <w:r>
        <w:rPr>
          <w:rFonts w:hint="eastAsia"/>
        </w:rPr>
        <w:t>.</w:t>
      </w:r>
      <w:r>
        <w:t>2</w:t>
      </w:r>
      <w:r>
        <w:rPr>
          <w:rFonts w:hint="eastAsia"/>
        </w:rPr>
        <w:t>　基准资料错误的责任</w:t>
      </w:r>
      <w:bookmarkEnd w:id="894"/>
      <w:bookmarkEnd w:id="895"/>
      <w:bookmarkEnd w:id="896"/>
      <w:bookmarkEnd w:id="897"/>
      <w:bookmarkEnd w:id="898"/>
      <w:bookmarkEnd w:id="899"/>
      <w:bookmarkEnd w:id="900"/>
      <w:bookmarkEnd w:id="901"/>
      <w:bookmarkEnd w:id="902"/>
      <w:bookmarkEnd w:id="903"/>
      <w:bookmarkEnd w:id="904"/>
      <w:bookmarkEnd w:id="905"/>
      <w:bookmarkEnd w:id="906"/>
    </w:p>
    <w:p>
      <w:pPr>
        <w:spacing w:line="360" w:lineRule="auto"/>
        <w:ind w:left="0" w:firstLine="0"/>
      </w:pPr>
      <w:r>
        <w:rPr>
          <w:rFonts w:hint="eastAsia"/>
        </w:rPr>
        <w:t>承包人应对其提供的测量基准点、基准线和水准点及其书面资料的真实性、准确性和完整性负责。承包人提供上述基准资料错误导致分包人测量放线工作的返工或造成工程损失的，承包人应当承担由此增加的费用和（或）工期延误，并向分包人支付合理利润。分包人发现承包人提供的上述基准资料存在明显错误或疏忽的，应及时通知承包人。</w:t>
      </w:r>
    </w:p>
    <w:p>
      <w:pPr>
        <w:spacing w:line="360" w:lineRule="auto"/>
        <w:ind w:left="0" w:firstLine="0"/>
      </w:pPr>
      <w:bookmarkStart w:id="907" w:name="_Toc403052689"/>
      <w:bookmarkStart w:id="908" w:name="_Toc342296324"/>
      <w:bookmarkStart w:id="909" w:name="_Toc338944766"/>
      <w:bookmarkStart w:id="910" w:name="_Toc403059631"/>
      <w:bookmarkStart w:id="911" w:name="_Toc391456246"/>
      <w:r>
        <w:t>9</w:t>
      </w:r>
      <w:r>
        <w:rPr>
          <w:rFonts w:hint="eastAsia"/>
        </w:rPr>
        <w:t xml:space="preserve">. </w:t>
      </w:r>
      <w:r>
        <w:t>安全文明施工</w:t>
      </w:r>
      <w:r>
        <w:rPr>
          <w:rFonts w:hint="eastAsia"/>
        </w:rPr>
        <w:t>和环境保护</w:t>
      </w:r>
      <w:bookmarkEnd w:id="907"/>
      <w:bookmarkEnd w:id="908"/>
      <w:bookmarkEnd w:id="909"/>
      <w:bookmarkEnd w:id="910"/>
      <w:bookmarkEnd w:id="911"/>
    </w:p>
    <w:p>
      <w:pPr>
        <w:spacing w:line="360" w:lineRule="auto"/>
        <w:ind w:left="0" w:firstLine="0"/>
      </w:pPr>
      <w:bookmarkStart w:id="912" w:name="_Toc403059632"/>
      <w:bookmarkStart w:id="913" w:name="_Toc144974642"/>
      <w:bookmarkStart w:id="914" w:name="_Toc342296325"/>
      <w:bookmarkStart w:id="915" w:name="_Toc179632692"/>
      <w:bookmarkStart w:id="916" w:name="_Toc152042452"/>
      <w:bookmarkStart w:id="917" w:name="_Toc391456247"/>
      <w:bookmarkStart w:id="918" w:name="_Toc403054450"/>
      <w:bookmarkStart w:id="919" w:name="_Toc403052690"/>
      <w:bookmarkStart w:id="920" w:name="_Toc393200105"/>
      <w:bookmarkStart w:id="921" w:name="_Toc152045674"/>
      <w:bookmarkStart w:id="922" w:name="_Toc393199591"/>
      <w:bookmarkStart w:id="923" w:name="_Toc338944767"/>
      <w:bookmarkStart w:id="924" w:name="_Toc393200619"/>
      <w:r>
        <w:t>9</w:t>
      </w:r>
      <w:r>
        <w:rPr>
          <w:rFonts w:hint="eastAsia"/>
        </w:rPr>
        <w:t>.1　</w:t>
      </w:r>
      <w:r>
        <w:t>安全文明施工</w:t>
      </w:r>
      <w:bookmarkEnd w:id="912"/>
      <w:bookmarkEnd w:id="913"/>
      <w:bookmarkEnd w:id="914"/>
      <w:bookmarkEnd w:id="915"/>
      <w:bookmarkEnd w:id="916"/>
      <w:bookmarkEnd w:id="917"/>
      <w:bookmarkEnd w:id="918"/>
      <w:bookmarkEnd w:id="919"/>
      <w:bookmarkEnd w:id="920"/>
      <w:bookmarkEnd w:id="921"/>
      <w:bookmarkEnd w:id="922"/>
      <w:bookmarkEnd w:id="923"/>
      <w:bookmarkEnd w:id="924"/>
    </w:p>
    <w:p>
      <w:pPr>
        <w:spacing w:line="360" w:lineRule="auto"/>
        <w:ind w:left="0" w:firstLine="0"/>
      </w:pPr>
      <w:r>
        <w:t>9</w:t>
      </w:r>
      <w:r>
        <w:rPr>
          <w:rFonts w:hint="eastAsia"/>
        </w:rPr>
        <w:t>.</w:t>
      </w:r>
      <w:r>
        <w:t>1</w:t>
      </w:r>
      <w:r>
        <w:rPr>
          <w:rFonts w:hint="eastAsia"/>
        </w:rPr>
        <w:t>.1　</w:t>
      </w:r>
      <w:r>
        <w:t>安全文明施工</w:t>
      </w:r>
    </w:p>
    <w:p>
      <w:pPr>
        <w:spacing w:line="360" w:lineRule="auto"/>
        <w:ind w:left="0" w:firstLine="0"/>
      </w:pPr>
      <w:r>
        <w:t>承包人和分包人应按法律规定、总</w:t>
      </w:r>
      <w:r>
        <w:rPr>
          <w:rFonts w:hint="eastAsia"/>
        </w:rPr>
        <w:t>承</w:t>
      </w:r>
      <w:r>
        <w:t>包合同约定以及分包合同约定采取安全文明施工措施并承担安全文明管理义务。承包人应向分包人进行安全文明施工措施的详细交底。因安全文明施工措施不到位而发生的安全文明生产责任事故由责任方承担</w:t>
      </w:r>
      <w:r>
        <w:rPr>
          <w:rFonts w:hint="eastAsia"/>
        </w:rPr>
        <w:t>责任</w:t>
      </w:r>
      <w:r>
        <w:t>。合同当事人的具体安全文明施工措施</w:t>
      </w:r>
      <w:r>
        <w:rPr>
          <w:rFonts w:hint="eastAsia"/>
        </w:rPr>
        <w:t>在“技术标准和要求”第一节“一般要求”中约定</w:t>
      </w:r>
      <w:r>
        <w:t>。</w:t>
      </w:r>
    </w:p>
    <w:p>
      <w:pPr>
        <w:spacing w:line="360" w:lineRule="auto"/>
        <w:ind w:left="0" w:firstLine="0"/>
      </w:pPr>
      <w:r>
        <w:t>9.1.</w:t>
      </w:r>
      <w:r>
        <w:rPr>
          <w:rFonts w:hint="eastAsia"/>
        </w:rPr>
        <w:t>2　</w:t>
      </w:r>
      <w:r>
        <w:t>安全文明施工费的使用</w:t>
      </w:r>
    </w:p>
    <w:p>
      <w:pPr>
        <w:spacing w:line="360" w:lineRule="auto"/>
        <w:ind w:left="0" w:firstLine="0"/>
      </w:pPr>
      <w:r>
        <w:t>分包人对安全文明施工费应专款专用，</w:t>
      </w:r>
      <w:r>
        <w:rPr>
          <w:rFonts w:hint="eastAsia"/>
        </w:rPr>
        <w:t>并</w:t>
      </w:r>
      <w:r>
        <w:t>应在财务账目中单独列项备查，不得挪作他用，否则承包人有权责令其限期改正；逾期未改正的，可以责令</w:t>
      </w:r>
      <w:r>
        <w:rPr>
          <w:rFonts w:hint="eastAsia"/>
        </w:rPr>
        <w:t>分包人</w:t>
      </w:r>
      <w:r>
        <w:t>暂停施工，由此增加的费用和（或）延误的工期由分包人承担。</w:t>
      </w:r>
    </w:p>
    <w:p>
      <w:pPr>
        <w:spacing w:line="360" w:lineRule="auto"/>
        <w:ind w:left="0" w:firstLine="0"/>
      </w:pPr>
      <w:r>
        <w:t>9.1.</w:t>
      </w:r>
      <w:r>
        <w:rPr>
          <w:rFonts w:hint="eastAsia"/>
        </w:rPr>
        <w:t>3　</w:t>
      </w:r>
      <w:r>
        <w:t>安全保卫</w:t>
      </w:r>
    </w:p>
    <w:p>
      <w:pPr>
        <w:spacing w:line="360" w:lineRule="auto"/>
        <w:ind w:left="0" w:firstLine="0"/>
      </w:pPr>
      <w:r>
        <w:t>分包人应负责分包工程施工期间施工场地的安全保卫工作。分包人应全力配合承包人实施的安全保卫工作。在施工场地或生活区发生突发治安事件的，分包人应积极协助承包人、发包人和当地有关部门采取措施平息事态，尽量避免人员伤亡和财产损失。</w:t>
      </w:r>
    </w:p>
    <w:p>
      <w:pPr>
        <w:spacing w:line="360" w:lineRule="auto"/>
        <w:ind w:left="0" w:firstLine="0"/>
      </w:pPr>
      <w:r>
        <w:t>9.1.4</w:t>
      </w:r>
      <w:r>
        <w:rPr>
          <w:rFonts w:hint="eastAsia"/>
        </w:rPr>
        <w:t>　</w:t>
      </w:r>
      <w:r>
        <w:t>事故处理</w:t>
      </w:r>
    </w:p>
    <w:p>
      <w:pPr>
        <w:spacing w:line="360" w:lineRule="auto"/>
        <w:ind w:left="0" w:firstLine="0"/>
      </w:pPr>
      <w:r>
        <w:t>分包工程施工过程中发生安全生产事故的，分包人应立即通知承包人。承包人和分包人应立即组织人员和设备进行紧急抢救和抢修，减少人员伤亡和财产损失，防止事故扩大，并保护事故现场。需要移动现场物品时，应作出标记和书面记录，妥善保管有关证据。承包人和分包人应按国家有关规定，及时如实地向有关部门报告事故发生的情况，以及正在采取的紧急措施等。</w:t>
      </w:r>
    </w:p>
    <w:p>
      <w:pPr>
        <w:spacing w:line="360" w:lineRule="auto"/>
        <w:ind w:left="0" w:firstLine="0"/>
      </w:pPr>
      <w:bookmarkStart w:id="925" w:name="_Toc338944770"/>
      <w:bookmarkStart w:id="926" w:name="_Toc393200106"/>
      <w:bookmarkStart w:id="927" w:name="_Toc403052691"/>
      <w:bookmarkStart w:id="928" w:name="_Toc403054451"/>
      <w:bookmarkStart w:id="929" w:name="_Toc391456250"/>
      <w:bookmarkStart w:id="930" w:name="_Toc342296328"/>
      <w:bookmarkStart w:id="931" w:name="_Toc393199592"/>
      <w:bookmarkStart w:id="932" w:name="_Toc403059633"/>
      <w:bookmarkStart w:id="933" w:name="_Toc393200620"/>
      <w:r>
        <w:t>9</w:t>
      </w:r>
      <w:r>
        <w:rPr>
          <w:rFonts w:hint="eastAsia"/>
        </w:rPr>
        <w:t>.</w:t>
      </w:r>
      <w:r>
        <w:t>2</w:t>
      </w:r>
      <w:r>
        <w:rPr>
          <w:rFonts w:hint="eastAsia"/>
        </w:rPr>
        <w:t>　环境保护</w:t>
      </w:r>
      <w:bookmarkEnd w:id="925"/>
      <w:bookmarkEnd w:id="926"/>
      <w:bookmarkEnd w:id="927"/>
      <w:bookmarkEnd w:id="928"/>
      <w:bookmarkEnd w:id="929"/>
      <w:bookmarkEnd w:id="930"/>
      <w:bookmarkEnd w:id="931"/>
      <w:bookmarkEnd w:id="932"/>
      <w:bookmarkEnd w:id="933"/>
    </w:p>
    <w:p>
      <w:pPr>
        <w:spacing w:line="360" w:lineRule="auto"/>
        <w:ind w:left="0" w:firstLine="0"/>
      </w:pPr>
      <w:r>
        <w:t>分包人应在施工组织设计中列明环境保护的具体措施。分包人应按经承包人批准的施工组织设计采取环境保护具体措施</w:t>
      </w:r>
      <w:r>
        <w:rPr>
          <w:rFonts w:hint="eastAsia"/>
        </w:rPr>
        <w:t>，</w:t>
      </w:r>
      <w:r>
        <w:t>防止环境损害</w:t>
      </w:r>
      <w:r>
        <w:rPr>
          <w:rFonts w:hint="eastAsia"/>
        </w:rPr>
        <w:t>和</w:t>
      </w:r>
      <w:r>
        <w:t>环境污染。分包人应当承担因其原因引起的环境污染责任。</w:t>
      </w:r>
    </w:p>
    <w:p>
      <w:pPr>
        <w:spacing w:line="360" w:lineRule="auto"/>
        <w:ind w:left="0" w:firstLine="0"/>
      </w:pPr>
      <w:bookmarkStart w:id="934" w:name="_Toc403059634"/>
      <w:bookmarkStart w:id="935" w:name="_Toc338944772"/>
      <w:bookmarkStart w:id="936" w:name="_Toc391456252"/>
      <w:bookmarkStart w:id="937" w:name="_Toc342296330"/>
      <w:bookmarkStart w:id="938" w:name="_Toc403052692"/>
      <w:r>
        <w:rPr>
          <w:rFonts w:hint="eastAsia"/>
        </w:rPr>
        <w:t>1</w:t>
      </w:r>
      <w:r>
        <w:t>0</w:t>
      </w:r>
      <w:r>
        <w:rPr>
          <w:rFonts w:hint="eastAsia"/>
        </w:rPr>
        <w:t>. 进度计划</w:t>
      </w:r>
      <w:bookmarkEnd w:id="934"/>
      <w:bookmarkEnd w:id="935"/>
      <w:bookmarkEnd w:id="936"/>
      <w:bookmarkEnd w:id="937"/>
      <w:bookmarkEnd w:id="938"/>
    </w:p>
    <w:p>
      <w:pPr>
        <w:spacing w:line="360" w:lineRule="auto"/>
        <w:ind w:left="0" w:firstLine="0"/>
      </w:pPr>
      <w:bookmarkStart w:id="939" w:name="_Toc403054453"/>
      <w:bookmarkStart w:id="940" w:name="_Toc403052693"/>
      <w:bookmarkStart w:id="941" w:name="_Toc393200108"/>
      <w:bookmarkStart w:id="942" w:name="_Toc403059635"/>
      <w:bookmarkStart w:id="943" w:name="_Toc342296331"/>
      <w:bookmarkStart w:id="944" w:name="_Toc391456253"/>
      <w:bookmarkStart w:id="945" w:name="_Toc393199594"/>
      <w:bookmarkStart w:id="946" w:name="_Toc338944773"/>
      <w:bookmarkStart w:id="947" w:name="_Toc393200622"/>
      <w:r>
        <w:rPr>
          <w:rFonts w:hint="eastAsia"/>
        </w:rPr>
        <w:t>1</w:t>
      </w:r>
      <w:r>
        <w:t>0</w:t>
      </w:r>
      <w:r>
        <w:rPr>
          <w:rFonts w:hint="eastAsia"/>
        </w:rPr>
        <w:t>.1　合同进度计划</w:t>
      </w:r>
      <w:bookmarkEnd w:id="939"/>
      <w:bookmarkEnd w:id="940"/>
      <w:bookmarkEnd w:id="941"/>
      <w:bookmarkEnd w:id="942"/>
      <w:bookmarkEnd w:id="943"/>
      <w:bookmarkEnd w:id="944"/>
      <w:bookmarkEnd w:id="945"/>
      <w:bookmarkEnd w:id="946"/>
      <w:bookmarkEnd w:id="947"/>
    </w:p>
    <w:p>
      <w:pPr>
        <w:spacing w:line="360" w:lineRule="auto"/>
        <w:ind w:left="0" w:firstLine="0"/>
      </w:pPr>
      <w:r>
        <w:rPr>
          <w:rFonts w:hint="eastAsia"/>
        </w:rPr>
        <w:t>（1）分包人应当按照专用合同条款的规定编制详细的施工进度计划和施工方案说明并报送承包人。承包人应在收到分包人报送的相关进度计划和施工方案说明后14天内批复或提出修改意见，否则该进度计划视为已得到批准。经承包人批准的施工进度计划称合同进度计划，是控制分包合同工程进度的依据。</w:t>
      </w:r>
    </w:p>
    <w:p>
      <w:pPr>
        <w:spacing w:line="360" w:lineRule="auto"/>
        <w:ind w:left="0" w:firstLine="0"/>
      </w:pPr>
      <w:r>
        <w:rPr>
          <w:rFonts w:hint="eastAsia"/>
        </w:rPr>
        <w:t>（</w:t>
      </w:r>
      <w:r>
        <w:t>2</w:t>
      </w:r>
      <w:r>
        <w:rPr>
          <w:rFonts w:hint="eastAsia"/>
        </w:rPr>
        <w:t>）分包人还应根据合同进度计划，按照专用合同条款的规定编制更为详细的分阶段或分项进度计划，报承包人审批。</w:t>
      </w:r>
    </w:p>
    <w:p>
      <w:pPr>
        <w:spacing w:line="360" w:lineRule="auto"/>
        <w:ind w:left="0" w:firstLine="0"/>
      </w:pPr>
      <w:bookmarkStart w:id="948" w:name="_Toc403059636"/>
      <w:bookmarkStart w:id="949" w:name="_Toc403052694"/>
      <w:bookmarkStart w:id="950" w:name="_Toc403054454"/>
      <w:bookmarkStart w:id="951" w:name="_Toc338944774"/>
      <w:bookmarkStart w:id="952" w:name="_Toc393199595"/>
      <w:bookmarkStart w:id="953" w:name="_Toc393200623"/>
      <w:bookmarkStart w:id="954" w:name="_Toc391456254"/>
      <w:bookmarkStart w:id="955" w:name="_Toc342296332"/>
      <w:bookmarkStart w:id="956" w:name="_Toc393200109"/>
      <w:r>
        <w:rPr>
          <w:rFonts w:hint="eastAsia"/>
        </w:rPr>
        <w:t>1</w:t>
      </w:r>
      <w:r>
        <w:t>0</w:t>
      </w:r>
      <w:r>
        <w:rPr>
          <w:rFonts w:hint="eastAsia"/>
        </w:rPr>
        <w:t>.2　合同进度计划的修订</w:t>
      </w:r>
      <w:bookmarkEnd w:id="948"/>
      <w:bookmarkEnd w:id="949"/>
      <w:bookmarkEnd w:id="950"/>
      <w:bookmarkEnd w:id="951"/>
      <w:bookmarkEnd w:id="952"/>
      <w:bookmarkEnd w:id="953"/>
      <w:bookmarkEnd w:id="954"/>
      <w:bookmarkEnd w:id="955"/>
      <w:bookmarkEnd w:id="956"/>
    </w:p>
    <w:p>
      <w:pPr>
        <w:spacing w:line="360" w:lineRule="auto"/>
        <w:ind w:left="0" w:firstLine="0"/>
      </w:pPr>
      <w:r>
        <w:rPr>
          <w:rFonts w:hint="eastAsia"/>
        </w:rPr>
        <w:t>不论何种原因造成工程的实际进度与第1</w:t>
      </w:r>
      <w:r>
        <w:t>0</w:t>
      </w:r>
      <w:r>
        <w:rPr>
          <w:rFonts w:hint="eastAsia"/>
        </w:rPr>
        <w:t>.1款的合同进度计划不符时，分包人可以在专用合同条款约定的期限内向承包人提交修订合同进度计划的申请报告，并附有关措施和相关资料，报承包人审批；承包人也可以直接向分包人作出修订合同进度计划的指示，分包人应按该指示修订合同进度计划，报承包人审批。承包人应在专用合同条款约定的期限内批复。</w:t>
      </w:r>
    </w:p>
    <w:p>
      <w:pPr>
        <w:spacing w:line="360" w:lineRule="auto"/>
        <w:ind w:left="0" w:firstLine="0"/>
      </w:pPr>
      <w:bookmarkStart w:id="957" w:name="_Toc338944775"/>
      <w:bookmarkStart w:id="958" w:name="_Toc391456255"/>
      <w:bookmarkStart w:id="959" w:name="_Toc342296333"/>
      <w:bookmarkStart w:id="960" w:name="_Toc403059637"/>
      <w:bookmarkStart w:id="961" w:name="_Toc403052695"/>
      <w:r>
        <w:rPr>
          <w:rFonts w:hint="eastAsia"/>
        </w:rPr>
        <w:t>1</w:t>
      </w:r>
      <w:r>
        <w:t>1</w:t>
      </w:r>
      <w:r>
        <w:rPr>
          <w:rFonts w:hint="eastAsia"/>
        </w:rPr>
        <w:t>. 开工和完工</w:t>
      </w:r>
      <w:bookmarkEnd w:id="957"/>
      <w:bookmarkEnd w:id="958"/>
      <w:bookmarkEnd w:id="959"/>
      <w:bookmarkEnd w:id="960"/>
      <w:bookmarkEnd w:id="961"/>
    </w:p>
    <w:p>
      <w:pPr>
        <w:spacing w:line="360" w:lineRule="auto"/>
        <w:ind w:left="0" w:firstLine="0"/>
      </w:pPr>
      <w:bookmarkStart w:id="962" w:name="_Toc152045683"/>
      <w:bookmarkStart w:id="963" w:name="_Toc338944776"/>
      <w:bookmarkStart w:id="964" w:name="_Toc391456256"/>
      <w:bookmarkStart w:id="965" w:name="_Toc403054456"/>
      <w:bookmarkStart w:id="966" w:name="_Toc152042461"/>
      <w:bookmarkStart w:id="967" w:name="_Toc393199597"/>
      <w:bookmarkStart w:id="968" w:name="_Toc403059638"/>
      <w:bookmarkStart w:id="969" w:name="_Toc179632701"/>
      <w:bookmarkStart w:id="970" w:name="_Toc393200625"/>
      <w:bookmarkStart w:id="971" w:name="_Toc342296334"/>
      <w:bookmarkStart w:id="972" w:name="_Toc393200111"/>
      <w:bookmarkStart w:id="973" w:name="_Toc403052696"/>
      <w:bookmarkStart w:id="974" w:name="_Toc144974651"/>
      <w:r>
        <w:rPr>
          <w:rFonts w:hint="eastAsia"/>
        </w:rPr>
        <w:t>1</w:t>
      </w:r>
      <w:r>
        <w:t>1</w:t>
      </w:r>
      <w:r>
        <w:rPr>
          <w:rFonts w:hint="eastAsia"/>
        </w:rPr>
        <w:t>.1　开工</w:t>
      </w:r>
      <w:bookmarkEnd w:id="962"/>
      <w:bookmarkEnd w:id="963"/>
      <w:bookmarkEnd w:id="964"/>
      <w:bookmarkEnd w:id="965"/>
      <w:bookmarkEnd w:id="966"/>
      <w:bookmarkEnd w:id="967"/>
      <w:bookmarkEnd w:id="968"/>
      <w:bookmarkEnd w:id="969"/>
      <w:bookmarkEnd w:id="970"/>
      <w:bookmarkEnd w:id="971"/>
      <w:bookmarkEnd w:id="972"/>
      <w:bookmarkEnd w:id="973"/>
      <w:bookmarkEnd w:id="974"/>
    </w:p>
    <w:p>
      <w:pPr>
        <w:spacing w:line="360" w:lineRule="auto"/>
        <w:ind w:left="0" w:firstLine="0"/>
      </w:pPr>
      <w:r>
        <w:rPr>
          <w:rFonts w:hint="eastAsia"/>
        </w:rPr>
        <w:t>1</w:t>
      </w:r>
      <w:r>
        <w:t>1</w:t>
      </w:r>
      <w:r>
        <w:rPr>
          <w:rFonts w:hint="eastAsia"/>
        </w:rPr>
        <w:t>.1.1　承包人应在开工日期7天前向分包人发出开工通知。工期自承包人发出的开工通知中载明的开工日期起计算。分包人应在开工日期后尽快施工。</w:t>
      </w:r>
    </w:p>
    <w:p>
      <w:pPr>
        <w:spacing w:line="360" w:lineRule="auto"/>
        <w:ind w:left="0" w:firstLine="0"/>
      </w:pPr>
      <w:r>
        <w:rPr>
          <w:rFonts w:hint="eastAsia"/>
        </w:rPr>
        <w:t>1</w:t>
      </w:r>
      <w:r>
        <w:t>1</w:t>
      </w:r>
      <w:r>
        <w:rPr>
          <w:rFonts w:hint="eastAsia"/>
        </w:rPr>
        <w:t>.1.2　分包人应按第1</w:t>
      </w:r>
      <w:r>
        <w:t>0</w:t>
      </w:r>
      <w:r>
        <w:rPr>
          <w:rFonts w:hint="eastAsia"/>
        </w:rPr>
        <w:t>.1款约定的合同进度计划，向承包人提交工程开工报审表，经承包人审批后执行。开工报审表应详细说明按合同进度计划正常施工所需的施工道路、临时设施、材料设备、施工人员等施工组织措施的落实情况以及工程的进度安排。</w:t>
      </w:r>
    </w:p>
    <w:p>
      <w:pPr>
        <w:spacing w:line="360" w:lineRule="auto"/>
        <w:ind w:left="0" w:firstLine="0"/>
      </w:pPr>
      <w:bookmarkStart w:id="975" w:name="_Toc403054457"/>
      <w:bookmarkStart w:id="976" w:name="_Toc338944777"/>
      <w:bookmarkStart w:id="977" w:name="_Toc152045684"/>
      <w:bookmarkStart w:id="978" w:name="_Toc144974652"/>
      <w:bookmarkStart w:id="979" w:name="_Toc403059639"/>
      <w:bookmarkStart w:id="980" w:name="_Toc403052697"/>
      <w:bookmarkStart w:id="981" w:name="_Toc393200112"/>
      <w:bookmarkStart w:id="982" w:name="_Toc391456257"/>
      <w:bookmarkStart w:id="983" w:name="_Toc393200626"/>
      <w:bookmarkStart w:id="984" w:name="_Toc393199598"/>
      <w:bookmarkStart w:id="985" w:name="_Toc179632702"/>
      <w:bookmarkStart w:id="986" w:name="_Toc152042462"/>
      <w:bookmarkStart w:id="987" w:name="_Toc342296335"/>
      <w:r>
        <w:rPr>
          <w:rFonts w:hint="eastAsia"/>
        </w:rPr>
        <w:t>1</w:t>
      </w:r>
      <w:r>
        <w:t>1</w:t>
      </w:r>
      <w:r>
        <w:rPr>
          <w:rFonts w:hint="eastAsia"/>
        </w:rPr>
        <w:t>.2　完工</w:t>
      </w:r>
      <w:bookmarkEnd w:id="975"/>
      <w:bookmarkEnd w:id="976"/>
      <w:bookmarkEnd w:id="977"/>
      <w:bookmarkEnd w:id="978"/>
      <w:bookmarkEnd w:id="979"/>
      <w:bookmarkEnd w:id="980"/>
      <w:bookmarkEnd w:id="981"/>
      <w:bookmarkEnd w:id="982"/>
      <w:bookmarkEnd w:id="983"/>
      <w:bookmarkEnd w:id="984"/>
      <w:bookmarkEnd w:id="985"/>
      <w:bookmarkEnd w:id="986"/>
      <w:bookmarkEnd w:id="987"/>
    </w:p>
    <w:p>
      <w:pPr>
        <w:spacing w:line="360" w:lineRule="auto"/>
        <w:ind w:left="0" w:firstLine="0"/>
      </w:pPr>
      <w:r>
        <w:rPr>
          <w:rFonts w:hint="eastAsia"/>
        </w:rPr>
        <w:t>承包人应在第1.1.4.3目约定的期限内完成分包合同工程。实际完工日期在接收证书中写明。</w:t>
      </w:r>
    </w:p>
    <w:p>
      <w:pPr>
        <w:spacing w:line="360" w:lineRule="auto"/>
        <w:ind w:left="0" w:firstLine="0"/>
      </w:pPr>
      <w:bookmarkStart w:id="988" w:name="_Toc403059640"/>
      <w:bookmarkStart w:id="989" w:name="_Toc403052698"/>
      <w:bookmarkStart w:id="990" w:name="_Toc342296336"/>
      <w:bookmarkStart w:id="991" w:name="_Toc393200113"/>
      <w:bookmarkStart w:id="992" w:name="_Toc391456258"/>
      <w:bookmarkStart w:id="993" w:name="_Toc338944778"/>
      <w:bookmarkStart w:id="994" w:name="_Toc393200627"/>
      <w:bookmarkStart w:id="995" w:name="_Toc403054458"/>
      <w:bookmarkStart w:id="996" w:name="_Toc393199599"/>
      <w:r>
        <w:rPr>
          <w:rFonts w:hint="eastAsia"/>
        </w:rPr>
        <w:t>1</w:t>
      </w:r>
      <w:r>
        <w:t>1</w:t>
      </w:r>
      <w:r>
        <w:rPr>
          <w:rFonts w:hint="eastAsia"/>
        </w:rPr>
        <w:t>.3　承包人的工期延误</w:t>
      </w:r>
      <w:bookmarkEnd w:id="988"/>
      <w:bookmarkEnd w:id="989"/>
      <w:bookmarkEnd w:id="990"/>
      <w:bookmarkEnd w:id="991"/>
      <w:bookmarkEnd w:id="992"/>
      <w:bookmarkEnd w:id="993"/>
      <w:bookmarkEnd w:id="994"/>
      <w:bookmarkEnd w:id="995"/>
      <w:bookmarkEnd w:id="996"/>
    </w:p>
    <w:p>
      <w:pPr>
        <w:spacing w:line="360" w:lineRule="auto"/>
        <w:ind w:left="0" w:firstLine="0"/>
      </w:pPr>
      <w:r>
        <w:rPr>
          <w:rFonts w:hint="eastAsia"/>
        </w:rPr>
        <w:t>在履行分包合同过程中，由于承包人的下列原因造成工期延误的，分包人有权要求承包人延长工期和（或）增加费用，并支付合理利润。需要修订合同进度计划的，按照第1</w:t>
      </w:r>
      <w:r>
        <w:t>0</w:t>
      </w:r>
      <w:r>
        <w:rPr>
          <w:rFonts w:hint="eastAsia"/>
        </w:rPr>
        <w:t>.2款的约定办理。</w:t>
      </w:r>
    </w:p>
    <w:p>
      <w:pPr>
        <w:spacing w:line="360" w:lineRule="auto"/>
        <w:ind w:left="0" w:firstLine="0"/>
      </w:pPr>
      <w:r>
        <w:rPr>
          <w:rFonts w:hint="eastAsia"/>
        </w:rPr>
        <w:t>（1）增加合同工作内容；</w:t>
      </w:r>
    </w:p>
    <w:p>
      <w:pPr>
        <w:spacing w:line="360" w:lineRule="auto"/>
        <w:ind w:left="0" w:firstLine="0"/>
      </w:pPr>
      <w:r>
        <w:rPr>
          <w:rFonts w:hint="eastAsia"/>
        </w:rPr>
        <w:t>（2）改变合同中任何一项工作的质量要求或其他特性；</w:t>
      </w:r>
    </w:p>
    <w:p>
      <w:pPr>
        <w:spacing w:line="360" w:lineRule="auto"/>
        <w:ind w:left="0" w:firstLine="0"/>
      </w:pPr>
      <w:r>
        <w:rPr>
          <w:rFonts w:hint="eastAsia"/>
        </w:rPr>
        <w:t>（3）承包人迟延提供材料、工程设备或变更交货地点的；</w:t>
      </w:r>
    </w:p>
    <w:p>
      <w:pPr>
        <w:spacing w:line="360" w:lineRule="auto"/>
        <w:ind w:left="0" w:firstLine="0"/>
      </w:pPr>
      <w:r>
        <w:rPr>
          <w:rFonts w:hint="eastAsia"/>
        </w:rPr>
        <w:t>（4）因承包人原因导致的暂停施工；</w:t>
      </w:r>
    </w:p>
    <w:p>
      <w:pPr>
        <w:spacing w:line="360" w:lineRule="auto"/>
        <w:ind w:left="0" w:firstLine="0"/>
      </w:pPr>
      <w:r>
        <w:rPr>
          <w:rFonts w:hint="eastAsia"/>
        </w:rPr>
        <w:t>（5）提供图纸延误；</w:t>
      </w:r>
    </w:p>
    <w:p>
      <w:pPr>
        <w:spacing w:line="360" w:lineRule="auto"/>
        <w:ind w:left="0" w:firstLine="0"/>
      </w:pPr>
      <w:r>
        <w:rPr>
          <w:rFonts w:hint="eastAsia"/>
        </w:rPr>
        <w:t>（6）未按分包合同约定及时支付预付款、进度款；</w:t>
      </w:r>
    </w:p>
    <w:p>
      <w:pPr>
        <w:spacing w:line="360" w:lineRule="auto"/>
        <w:ind w:left="0" w:firstLine="0"/>
      </w:pPr>
      <w:r>
        <w:rPr>
          <w:rFonts w:hint="eastAsia"/>
        </w:rPr>
        <w:t>（7）因承包人原因不能按照承包人发出的开工通知中载明的开工日期开工。</w:t>
      </w:r>
    </w:p>
    <w:p>
      <w:pPr>
        <w:spacing w:line="360" w:lineRule="auto"/>
        <w:ind w:left="0" w:firstLine="0"/>
      </w:pPr>
      <w:r>
        <w:rPr>
          <w:rFonts w:hint="eastAsia"/>
        </w:rPr>
        <w:t>（</w:t>
      </w:r>
      <w:r>
        <w:t>8</w:t>
      </w:r>
      <w:r>
        <w:rPr>
          <w:rFonts w:hint="eastAsia"/>
        </w:rPr>
        <w:t>）专用合同条款约定的承包人造成工期延误的其他原因。</w:t>
      </w:r>
    </w:p>
    <w:p>
      <w:pPr>
        <w:spacing w:line="360" w:lineRule="auto"/>
        <w:ind w:left="0" w:firstLine="0"/>
      </w:pPr>
      <w:bookmarkStart w:id="997" w:name="_Toc403054459"/>
      <w:bookmarkStart w:id="998" w:name="_Toc391456259"/>
      <w:bookmarkStart w:id="999" w:name="_Toc393200114"/>
      <w:bookmarkStart w:id="1000" w:name="_Toc393200628"/>
      <w:bookmarkStart w:id="1001" w:name="_Toc393199600"/>
      <w:bookmarkStart w:id="1002" w:name="_Toc338944779"/>
      <w:bookmarkStart w:id="1003" w:name="_Toc342296337"/>
      <w:bookmarkStart w:id="1004" w:name="_Toc403052699"/>
      <w:bookmarkStart w:id="1005" w:name="_Toc403059641"/>
      <w:r>
        <w:rPr>
          <w:rFonts w:hint="eastAsia"/>
        </w:rPr>
        <w:t>1</w:t>
      </w:r>
      <w:r>
        <w:t>1</w:t>
      </w:r>
      <w:r>
        <w:rPr>
          <w:rFonts w:hint="eastAsia"/>
        </w:rPr>
        <w:t>.4　异常恶劣的气候条件</w:t>
      </w:r>
      <w:bookmarkEnd w:id="997"/>
      <w:bookmarkEnd w:id="998"/>
      <w:bookmarkEnd w:id="999"/>
      <w:bookmarkEnd w:id="1000"/>
      <w:bookmarkEnd w:id="1001"/>
      <w:bookmarkEnd w:id="1002"/>
      <w:bookmarkEnd w:id="1003"/>
      <w:bookmarkEnd w:id="1004"/>
      <w:bookmarkEnd w:id="1005"/>
    </w:p>
    <w:p>
      <w:pPr>
        <w:spacing w:line="360" w:lineRule="auto"/>
        <w:ind w:left="0" w:firstLine="0"/>
      </w:pPr>
      <w:r>
        <w:rPr>
          <w:rFonts w:hint="eastAsia"/>
        </w:rPr>
        <w:t>由于出现专用合同条款规定的异常恶劣气候的条件导致工期延误的，分包人有权要求承包人延长工期。</w:t>
      </w:r>
    </w:p>
    <w:p>
      <w:pPr>
        <w:spacing w:line="360" w:lineRule="auto"/>
        <w:ind w:left="0" w:firstLine="0"/>
      </w:pPr>
      <w:bookmarkStart w:id="1006" w:name="_Toc342296338"/>
      <w:bookmarkStart w:id="1007" w:name="_Toc403054460"/>
      <w:bookmarkStart w:id="1008" w:name="_Toc403052700"/>
      <w:bookmarkStart w:id="1009" w:name="_Toc393199601"/>
      <w:bookmarkStart w:id="1010" w:name="_Toc391456260"/>
      <w:bookmarkStart w:id="1011" w:name="_Toc393200629"/>
      <w:bookmarkStart w:id="1012" w:name="_Toc338944780"/>
      <w:bookmarkStart w:id="1013" w:name="_Toc403059642"/>
      <w:bookmarkStart w:id="1014" w:name="_Toc393200115"/>
      <w:r>
        <w:rPr>
          <w:rFonts w:hint="eastAsia"/>
        </w:rPr>
        <w:t>1</w:t>
      </w:r>
      <w:r>
        <w:t>1</w:t>
      </w:r>
      <w:r>
        <w:rPr>
          <w:rFonts w:hint="eastAsia"/>
        </w:rPr>
        <w:t>.5　分包人的工期延误</w:t>
      </w:r>
      <w:bookmarkEnd w:id="1006"/>
      <w:bookmarkEnd w:id="1007"/>
      <w:bookmarkEnd w:id="1008"/>
      <w:bookmarkEnd w:id="1009"/>
      <w:bookmarkEnd w:id="1010"/>
      <w:bookmarkEnd w:id="1011"/>
      <w:bookmarkEnd w:id="1012"/>
      <w:bookmarkEnd w:id="1013"/>
      <w:bookmarkEnd w:id="1014"/>
    </w:p>
    <w:p>
      <w:pPr>
        <w:spacing w:line="360" w:lineRule="auto"/>
        <w:ind w:left="0" w:firstLine="0"/>
      </w:pPr>
      <w:r>
        <w:rPr>
          <w:rFonts w:hint="eastAsia"/>
        </w:rPr>
        <w:t>由于分包人原因，未能按合同进度计划完成工作，或承包人认为分包人施工进度不能满足合同工期要求的，分包人应采取措施加快进度，并承担加快进度所增加的费用。</w:t>
      </w:r>
    </w:p>
    <w:p>
      <w:pPr>
        <w:spacing w:line="360" w:lineRule="auto"/>
        <w:ind w:left="0" w:firstLine="0"/>
      </w:pPr>
      <w:r>
        <w:rPr>
          <w:rFonts w:hint="eastAsia"/>
        </w:rPr>
        <w:t>由于分包人原因造成本分包工程不能按期完工的，在按分包合同约定确定的完工日期（包括按合同延长的工期）后14天内，承包人应当按第2</w:t>
      </w:r>
      <w:r>
        <w:t>3</w:t>
      </w:r>
      <w:r>
        <w:rPr>
          <w:rFonts w:hint="eastAsia"/>
        </w:rPr>
        <w:t>.4.1项的约定书面通知分包人,说明承包人有权得到按专用合同条款中约定的标准和方法计算的逾期完工违约金，但最终违约金的金额不应超过专用合同条款中约定的逾期完工违约金最高限额。承包人未在规定的期限内发出本款约定的书面通知的，承包人丧失主张逾期完工违约金的权利。</w:t>
      </w:r>
    </w:p>
    <w:p>
      <w:pPr>
        <w:spacing w:line="360" w:lineRule="auto"/>
        <w:ind w:left="0" w:firstLine="0"/>
      </w:pPr>
      <w:r>
        <w:rPr>
          <w:rFonts w:hint="eastAsia"/>
        </w:rPr>
        <w:t>分包人支付逾期完工违约金，不免除分包人完成工程及修补缺陷的义务。</w:t>
      </w:r>
    </w:p>
    <w:p>
      <w:pPr>
        <w:spacing w:line="360" w:lineRule="auto"/>
        <w:ind w:left="0" w:firstLine="0"/>
      </w:pPr>
      <w:bookmarkStart w:id="1015" w:name="_Toc393200116"/>
      <w:bookmarkStart w:id="1016" w:name="_Toc403054461"/>
      <w:bookmarkStart w:id="1017" w:name="_Toc391456261"/>
      <w:bookmarkStart w:id="1018" w:name="_Toc403059643"/>
      <w:bookmarkStart w:id="1019" w:name="_Toc393200630"/>
      <w:bookmarkStart w:id="1020" w:name="_Toc338944781"/>
      <w:bookmarkStart w:id="1021" w:name="_Toc393199602"/>
      <w:bookmarkStart w:id="1022" w:name="_Toc342296339"/>
      <w:bookmarkStart w:id="1023" w:name="_Toc403052701"/>
      <w:r>
        <w:rPr>
          <w:rFonts w:hint="eastAsia"/>
        </w:rPr>
        <w:t>1</w:t>
      </w:r>
      <w:r>
        <w:t>1</w:t>
      </w:r>
      <w:r>
        <w:rPr>
          <w:rFonts w:hint="eastAsia"/>
        </w:rPr>
        <w:t>.6　工期提前</w:t>
      </w:r>
      <w:bookmarkEnd w:id="1015"/>
      <w:bookmarkEnd w:id="1016"/>
      <w:bookmarkEnd w:id="1017"/>
      <w:bookmarkEnd w:id="1018"/>
      <w:bookmarkEnd w:id="1019"/>
      <w:bookmarkEnd w:id="1020"/>
      <w:bookmarkEnd w:id="1021"/>
      <w:bookmarkEnd w:id="1022"/>
      <w:bookmarkEnd w:id="1023"/>
    </w:p>
    <w:p>
      <w:pPr>
        <w:spacing w:line="360" w:lineRule="auto"/>
        <w:ind w:left="0" w:firstLine="0"/>
      </w:pPr>
      <w:r>
        <w:rPr>
          <w:rFonts w:hint="eastAsia"/>
        </w:rPr>
        <w:t xml:space="preserve">承包人要求分包人提前完工，或分包人提出提前完工的建议能够给承包人带来效益的，应由承包人与分包人共同协商采取加快工程进度的措施和修订合同进度计划。承包人应承担分包人由此增加的费用，并向分包人支付专用合同条款约定的相应奖金。 </w:t>
      </w:r>
    </w:p>
    <w:p>
      <w:pPr>
        <w:spacing w:line="360" w:lineRule="auto"/>
        <w:ind w:left="0" w:firstLine="0"/>
      </w:pPr>
      <w:bookmarkStart w:id="1024" w:name="_Toc403059644"/>
      <w:bookmarkStart w:id="1025" w:name="_Toc342296340"/>
      <w:bookmarkStart w:id="1026" w:name="_Toc391456262"/>
      <w:bookmarkStart w:id="1027" w:name="_Toc403052702"/>
      <w:bookmarkStart w:id="1028" w:name="_Toc338944782"/>
      <w:r>
        <w:rPr>
          <w:rFonts w:hint="eastAsia"/>
        </w:rPr>
        <w:t>1</w:t>
      </w:r>
      <w:r>
        <w:t>2</w:t>
      </w:r>
      <w:r>
        <w:rPr>
          <w:rFonts w:hint="eastAsia"/>
        </w:rPr>
        <w:t>. 暂停施工</w:t>
      </w:r>
      <w:bookmarkEnd w:id="1024"/>
      <w:bookmarkEnd w:id="1025"/>
      <w:bookmarkEnd w:id="1026"/>
      <w:bookmarkEnd w:id="1027"/>
      <w:bookmarkEnd w:id="1028"/>
    </w:p>
    <w:p>
      <w:pPr>
        <w:spacing w:line="360" w:lineRule="auto"/>
        <w:ind w:left="0" w:firstLine="0"/>
      </w:pPr>
      <w:bookmarkStart w:id="1029" w:name="_Toc393200632"/>
      <w:bookmarkStart w:id="1030" w:name="_Toc391456263"/>
      <w:bookmarkStart w:id="1031" w:name="_Toc342296341"/>
      <w:bookmarkStart w:id="1032" w:name="_Toc403059645"/>
      <w:bookmarkStart w:id="1033" w:name="_Toc403054463"/>
      <w:bookmarkStart w:id="1034" w:name="_Toc403052703"/>
      <w:bookmarkStart w:id="1035" w:name="_Toc393200118"/>
      <w:bookmarkStart w:id="1036" w:name="_Toc338944783"/>
      <w:bookmarkStart w:id="1037" w:name="_Toc393199604"/>
      <w:r>
        <w:rPr>
          <w:rFonts w:hint="eastAsia"/>
        </w:rPr>
        <w:t>1</w:t>
      </w:r>
      <w:r>
        <w:t>2</w:t>
      </w:r>
      <w:r>
        <w:rPr>
          <w:rFonts w:hint="eastAsia"/>
        </w:rPr>
        <w:t>.1　分包人暂停施工的责任</w:t>
      </w:r>
      <w:bookmarkEnd w:id="1029"/>
      <w:bookmarkEnd w:id="1030"/>
      <w:bookmarkEnd w:id="1031"/>
      <w:bookmarkEnd w:id="1032"/>
      <w:bookmarkEnd w:id="1033"/>
      <w:bookmarkEnd w:id="1034"/>
      <w:bookmarkEnd w:id="1035"/>
      <w:bookmarkEnd w:id="1036"/>
      <w:bookmarkEnd w:id="1037"/>
    </w:p>
    <w:p>
      <w:pPr>
        <w:spacing w:line="360" w:lineRule="auto"/>
        <w:ind w:left="0" w:firstLine="0"/>
      </w:pPr>
      <w:r>
        <w:rPr>
          <w:rFonts w:hint="eastAsia"/>
        </w:rPr>
        <w:t>因下列暂停施工增加的费用和（或）工期延误由分包人承担：</w:t>
      </w:r>
    </w:p>
    <w:p>
      <w:pPr>
        <w:spacing w:line="360" w:lineRule="auto"/>
        <w:ind w:left="0" w:firstLine="0"/>
      </w:pPr>
      <w:r>
        <w:rPr>
          <w:rFonts w:hint="eastAsia"/>
        </w:rPr>
        <w:t>（1）分包人违约引起的暂停施工；</w:t>
      </w:r>
    </w:p>
    <w:p>
      <w:pPr>
        <w:spacing w:line="360" w:lineRule="auto"/>
        <w:ind w:left="0" w:firstLine="0"/>
      </w:pPr>
      <w:r>
        <w:rPr>
          <w:rFonts w:hint="eastAsia"/>
        </w:rPr>
        <w:t>（2）由于分包人原因为工程合理施工和安全保障所必需的暂停施工；</w:t>
      </w:r>
    </w:p>
    <w:p>
      <w:pPr>
        <w:spacing w:line="360" w:lineRule="auto"/>
        <w:ind w:left="0" w:firstLine="0"/>
      </w:pPr>
      <w:r>
        <w:rPr>
          <w:rFonts w:hint="eastAsia"/>
        </w:rPr>
        <w:t>（3）分包人擅自暂停施工；</w:t>
      </w:r>
    </w:p>
    <w:p>
      <w:pPr>
        <w:spacing w:line="360" w:lineRule="auto"/>
        <w:ind w:left="0" w:firstLine="0"/>
      </w:pPr>
      <w:r>
        <w:rPr>
          <w:rFonts w:hint="eastAsia"/>
        </w:rPr>
        <w:t>（4）分包人其他原因引起的暂停施工；</w:t>
      </w:r>
    </w:p>
    <w:p>
      <w:pPr>
        <w:spacing w:line="360" w:lineRule="auto"/>
        <w:ind w:left="0" w:firstLine="0"/>
      </w:pPr>
      <w:r>
        <w:rPr>
          <w:rFonts w:hint="eastAsia"/>
        </w:rPr>
        <w:t>（5）专用合同条款约定由分包人承担的其他暂停施工。</w:t>
      </w:r>
    </w:p>
    <w:p>
      <w:pPr>
        <w:spacing w:line="360" w:lineRule="auto"/>
        <w:ind w:left="0" w:firstLine="0"/>
      </w:pPr>
      <w:bookmarkStart w:id="1038" w:name="_Toc152042469"/>
      <w:bookmarkStart w:id="1039" w:name="_Toc403059646"/>
      <w:bookmarkStart w:id="1040" w:name="_Toc342296342"/>
      <w:bookmarkStart w:id="1041" w:name="_Toc393199605"/>
      <w:bookmarkStart w:id="1042" w:name="_Toc393200119"/>
      <w:bookmarkStart w:id="1043" w:name="_Toc403054464"/>
      <w:bookmarkStart w:id="1044" w:name="_Toc179632709"/>
      <w:bookmarkStart w:id="1045" w:name="_Toc152045691"/>
      <w:bookmarkStart w:id="1046" w:name="_Toc144974660"/>
      <w:bookmarkStart w:id="1047" w:name="_Toc393200633"/>
      <w:bookmarkStart w:id="1048" w:name="_Toc403052704"/>
      <w:bookmarkStart w:id="1049" w:name="_Toc338944784"/>
      <w:bookmarkStart w:id="1050" w:name="_Toc391456264"/>
      <w:r>
        <w:rPr>
          <w:rFonts w:hint="eastAsia"/>
        </w:rPr>
        <w:t>1</w:t>
      </w:r>
      <w:r>
        <w:t>2</w:t>
      </w:r>
      <w:r>
        <w:rPr>
          <w:rFonts w:hint="eastAsia"/>
        </w:rPr>
        <w:t>.2　承包人暂停施工的责任</w:t>
      </w:r>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pPr>
        <w:spacing w:line="360" w:lineRule="auto"/>
        <w:ind w:left="0" w:firstLine="0"/>
      </w:pPr>
      <w:r>
        <w:rPr>
          <w:rFonts w:hint="eastAsia"/>
        </w:rPr>
        <w:t>由于承包人原因引起的暂停施工造成工期延误的，分包人有权要求承包人延长工期和（或）增加费用，并支付合理利润。</w:t>
      </w:r>
    </w:p>
    <w:p>
      <w:pPr>
        <w:spacing w:line="360" w:lineRule="auto"/>
        <w:ind w:left="0" w:firstLine="0"/>
      </w:pPr>
      <w:bookmarkStart w:id="1051" w:name="_Toc342296343"/>
      <w:bookmarkStart w:id="1052" w:name="_Toc403054465"/>
      <w:bookmarkStart w:id="1053" w:name="_Toc403059647"/>
      <w:bookmarkStart w:id="1054" w:name="_Toc393199606"/>
      <w:bookmarkStart w:id="1055" w:name="_Toc152045692"/>
      <w:bookmarkStart w:id="1056" w:name="_Toc144974661"/>
      <w:bookmarkStart w:id="1057" w:name="_Toc391456265"/>
      <w:bookmarkStart w:id="1058" w:name="_Toc403052705"/>
      <w:bookmarkStart w:id="1059" w:name="_Toc152042470"/>
      <w:bookmarkStart w:id="1060" w:name="_Toc393200634"/>
      <w:bookmarkStart w:id="1061" w:name="_Toc393200120"/>
      <w:bookmarkStart w:id="1062" w:name="_Toc179632710"/>
      <w:bookmarkStart w:id="1063" w:name="_Toc338944785"/>
      <w:r>
        <w:rPr>
          <w:rFonts w:hint="eastAsia"/>
        </w:rPr>
        <w:t>1</w:t>
      </w:r>
      <w:r>
        <w:t>2</w:t>
      </w:r>
      <w:r>
        <w:rPr>
          <w:rFonts w:hint="eastAsia"/>
        </w:rPr>
        <w:t>.3　承包人暂停施工指示</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p>
    <w:p>
      <w:pPr>
        <w:spacing w:line="360" w:lineRule="auto"/>
        <w:ind w:left="0" w:firstLine="0"/>
      </w:pPr>
      <w:r>
        <w:rPr>
          <w:rFonts w:hint="eastAsia"/>
        </w:rPr>
        <w:t>1</w:t>
      </w:r>
      <w:r>
        <w:t>2</w:t>
      </w:r>
      <w:r>
        <w:rPr>
          <w:rFonts w:hint="eastAsia"/>
        </w:rPr>
        <w:t>.3.1　承包人认为有必要时，可向分包人作出暂停施工的指示，分包人应按承包人指示暂停施工。不论由于何种原因引起的暂停施工，暂停施工期间分包人应负责妥善保护工程并提供安全保障。</w:t>
      </w:r>
    </w:p>
    <w:p>
      <w:pPr>
        <w:spacing w:line="360" w:lineRule="auto"/>
        <w:ind w:left="0" w:firstLine="0"/>
      </w:pPr>
      <w:r>
        <w:rPr>
          <w:rFonts w:hint="eastAsia"/>
        </w:rPr>
        <w:t>1</w:t>
      </w:r>
      <w:r>
        <w:t>2</w:t>
      </w:r>
      <w:r>
        <w:rPr>
          <w:rFonts w:hint="eastAsia"/>
        </w:rPr>
        <w:t>.3.2　由于承包人的原因发生暂停施工的紧急情况，且承包人未及时下达暂停施工指示的，分包人可先暂停施工，并及时向承包人提出暂停施工的书面请求。承包人应在接到书面请求后的24小时内予以答复，逾期未答复的，视为同意分包人的暂停施工请求。</w:t>
      </w:r>
    </w:p>
    <w:p>
      <w:pPr>
        <w:spacing w:line="360" w:lineRule="auto"/>
        <w:ind w:left="0" w:firstLine="0"/>
      </w:pPr>
      <w:bookmarkStart w:id="1064" w:name="_Toc179632711"/>
      <w:bookmarkStart w:id="1065" w:name="_Toc393200635"/>
      <w:bookmarkStart w:id="1066" w:name="_Toc144974662"/>
      <w:bookmarkStart w:id="1067" w:name="_Toc338944786"/>
      <w:bookmarkStart w:id="1068" w:name="_Toc342296344"/>
      <w:bookmarkStart w:id="1069" w:name="_Toc403059648"/>
      <w:bookmarkStart w:id="1070" w:name="_Toc152045693"/>
      <w:bookmarkStart w:id="1071" w:name="_Toc403052706"/>
      <w:bookmarkStart w:id="1072" w:name="_Toc403054466"/>
      <w:bookmarkStart w:id="1073" w:name="_Toc393200121"/>
      <w:bookmarkStart w:id="1074" w:name="_Toc393199607"/>
      <w:bookmarkStart w:id="1075" w:name="_Toc152042471"/>
      <w:bookmarkStart w:id="1076" w:name="_Toc391456266"/>
      <w:r>
        <w:rPr>
          <w:rFonts w:hint="eastAsia"/>
        </w:rPr>
        <w:t>1</w:t>
      </w:r>
      <w:r>
        <w:t>2</w:t>
      </w:r>
      <w:r>
        <w:rPr>
          <w:rFonts w:hint="eastAsia"/>
        </w:rPr>
        <w:t>.4　暂停施工后的复工</w:t>
      </w:r>
      <w:bookmarkEnd w:id="1064"/>
      <w:bookmarkEnd w:id="1065"/>
      <w:bookmarkEnd w:id="1066"/>
      <w:bookmarkEnd w:id="1067"/>
      <w:bookmarkEnd w:id="1068"/>
      <w:bookmarkEnd w:id="1069"/>
      <w:bookmarkEnd w:id="1070"/>
      <w:bookmarkEnd w:id="1071"/>
      <w:bookmarkEnd w:id="1072"/>
      <w:bookmarkEnd w:id="1073"/>
      <w:bookmarkEnd w:id="1074"/>
      <w:bookmarkEnd w:id="1075"/>
      <w:bookmarkEnd w:id="1076"/>
    </w:p>
    <w:p>
      <w:pPr>
        <w:spacing w:line="360" w:lineRule="auto"/>
        <w:ind w:left="0" w:firstLine="0"/>
      </w:pPr>
      <w:r>
        <w:rPr>
          <w:rFonts w:hint="eastAsia"/>
        </w:rPr>
        <w:t>1</w:t>
      </w:r>
      <w:r>
        <w:t>2</w:t>
      </w:r>
      <w:r>
        <w:rPr>
          <w:rFonts w:hint="eastAsia"/>
        </w:rPr>
        <w:t>.4.1　暂停施工后，承包人应与分包人协商，采取有效措施积极消除暂停施工的影响。当工程具备复工条件时，承包人应立即向分包人发出复工通知。分包人收到复工通知后，应在承包人指定的期限内复工。</w:t>
      </w:r>
    </w:p>
    <w:p>
      <w:pPr>
        <w:spacing w:line="360" w:lineRule="auto"/>
        <w:ind w:left="0" w:firstLine="0"/>
      </w:pPr>
      <w:r>
        <w:rPr>
          <w:rFonts w:hint="eastAsia"/>
        </w:rPr>
        <w:t>1</w:t>
      </w:r>
      <w:r>
        <w:t>2</w:t>
      </w:r>
      <w:r>
        <w:rPr>
          <w:rFonts w:hint="eastAsia"/>
        </w:rPr>
        <w:t>.4.2　分包人无故拖延和拒绝复工的，由此增加的费用和工期延误由分包人承担；因承包人原因无法按时复工的，分包人有权要求承包人延长工期和（或）增加费用，并支付合理利润。</w:t>
      </w:r>
    </w:p>
    <w:p>
      <w:pPr>
        <w:spacing w:line="360" w:lineRule="auto"/>
        <w:ind w:left="0" w:firstLine="0"/>
      </w:pPr>
      <w:r>
        <w:rPr>
          <w:rFonts w:hint="eastAsia"/>
        </w:rPr>
        <w:t>1</w:t>
      </w:r>
      <w:r>
        <w:t>2</w:t>
      </w:r>
      <w:r>
        <w:rPr>
          <w:rFonts w:hint="eastAsia"/>
        </w:rPr>
        <w:t>.4.</w:t>
      </w:r>
      <w:r>
        <w:t>3</w:t>
      </w:r>
      <w:r>
        <w:rPr>
          <w:rFonts w:hint="eastAsia"/>
        </w:rPr>
        <w:t>　根据第1</w:t>
      </w:r>
      <w:r>
        <w:t>2</w:t>
      </w:r>
      <w:r>
        <w:rPr>
          <w:rFonts w:hint="eastAsia"/>
        </w:rPr>
        <w:t>.4.1款的约定，承包人发出复工通知后，承包人应和分包人一起对受到暂停施工影响的工程、材料和工程设备进行检查。分包人负责修复在暂停施工期间发生在工程、材料和工程设备上的任何损蚀、缺陷或损失，修复费用由承担暂停施工责任的责任人承担。</w:t>
      </w:r>
    </w:p>
    <w:p>
      <w:pPr>
        <w:spacing w:line="360" w:lineRule="auto"/>
        <w:ind w:left="0" w:firstLine="0"/>
      </w:pPr>
      <w:r>
        <w:rPr>
          <w:rFonts w:hint="eastAsia"/>
        </w:rPr>
        <w:t>1</w:t>
      </w:r>
      <w:r>
        <w:t>2</w:t>
      </w:r>
      <w:r>
        <w:rPr>
          <w:rFonts w:hint="eastAsia"/>
        </w:rPr>
        <w:t>.4.</w:t>
      </w:r>
      <w:r>
        <w:t>4</w:t>
      </w:r>
      <w:r>
        <w:rPr>
          <w:rFonts w:hint="eastAsia"/>
        </w:rPr>
        <w:t>　暂停施工持续56天以上，按分包合同约定由分包人提供的材料和工程设备，由于暂停施工原因导致分包人在暂停施工前已经订购但被暂停运至施工现场的，承包人应按照分包人订购合同的约定支付相应的订购款项。</w:t>
      </w:r>
    </w:p>
    <w:p>
      <w:pPr>
        <w:spacing w:line="360" w:lineRule="auto"/>
        <w:ind w:left="0" w:firstLine="0"/>
      </w:pPr>
      <w:bookmarkStart w:id="1077" w:name="_Toc342296345"/>
      <w:bookmarkStart w:id="1078" w:name="_Toc391456267"/>
      <w:bookmarkStart w:id="1079" w:name="_Toc338944787"/>
      <w:bookmarkStart w:id="1080" w:name="_Toc152042472"/>
      <w:bookmarkStart w:id="1081" w:name="_Toc403054467"/>
      <w:bookmarkStart w:id="1082" w:name="_Toc403059649"/>
      <w:bookmarkStart w:id="1083" w:name="_Toc403052707"/>
      <w:bookmarkStart w:id="1084" w:name="_Toc393200636"/>
      <w:bookmarkStart w:id="1085" w:name="_Toc393200122"/>
      <w:bookmarkStart w:id="1086" w:name="_Toc144974663"/>
      <w:bookmarkStart w:id="1087" w:name="_Toc393199608"/>
      <w:bookmarkStart w:id="1088" w:name="_Toc152045694"/>
      <w:bookmarkStart w:id="1089" w:name="_Toc179632712"/>
      <w:r>
        <w:rPr>
          <w:rFonts w:hint="eastAsia"/>
        </w:rPr>
        <w:t>1</w:t>
      </w:r>
      <w:r>
        <w:t>2</w:t>
      </w:r>
      <w:r>
        <w:rPr>
          <w:rFonts w:hint="eastAsia"/>
        </w:rPr>
        <w:t>.5　</w:t>
      </w:r>
      <w:r>
        <w:t>暂停施工</w:t>
      </w:r>
      <w:r>
        <w:rPr>
          <w:rFonts w:hint="eastAsia"/>
        </w:rPr>
        <w:t>持续56天以上</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p>
    <w:p>
      <w:pPr>
        <w:spacing w:line="360" w:lineRule="auto"/>
        <w:ind w:left="0" w:firstLine="0"/>
      </w:pPr>
      <w:r>
        <w:rPr>
          <w:rFonts w:hint="eastAsia"/>
        </w:rPr>
        <w:t>1</w:t>
      </w:r>
      <w:r>
        <w:t>2</w:t>
      </w:r>
      <w:r>
        <w:rPr>
          <w:rFonts w:hint="eastAsia"/>
        </w:rPr>
        <w:t>.5.1　承包</w:t>
      </w:r>
      <w:r>
        <w:t>人</w:t>
      </w:r>
      <w:r>
        <w:rPr>
          <w:rFonts w:hint="eastAsia"/>
        </w:rPr>
        <w:t>发出</w:t>
      </w:r>
      <w:r>
        <w:t>暂停施工指示</w:t>
      </w:r>
      <w:r>
        <w:rPr>
          <w:rFonts w:hint="eastAsia"/>
        </w:rPr>
        <w:t>后56天内未向分</w:t>
      </w:r>
      <w:r>
        <w:t>包人</w:t>
      </w:r>
      <w:r>
        <w:rPr>
          <w:rFonts w:hint="eastAsia"/>
        </w:rPr>
        <w:t>发出复工通知，除了该项停工属于第1</w:t>
      </w:r>
      <w:r>
        <w:t>2</w:t>
      </w:r>
      <w:r>
        <w:rPr>
          <w:rFonts w:hint="eastAsia"/>
        </w:rPr>
        <w:t>.1款的情况外，分</w:t>
      </w:r>
      <w:r>
        <w:t>包人</w:t>
      </w:r>
      <w:r>
        <w:rPr>
          <w:rFonts w:hint="eastAsia"/>
        </w:rPr>
        <w:t>可向承包</w:t>
      </w:r>
      <w:r>
        <w:t>人</w:t>
      </w:r>
      <w:r>
        <w:rPr>
          <w:rFonts w:hint="eastAsia"/>
        </w:rPr>
        <w:t>提交书面通知，要求承包</w:t>
      </w:r>
      <w:r>
        <w:t>人</w:t>
      </w:r>
      <w:r>
        <w:rPr>
          <w:rFonts w:hint="eastAsia"/>
        </w:rPr>
        <w:t>在收到书面通知后28天内准许已</w:t>
      </w:r>
      <w:r>
        <w:t>暂停施工</w:t>
      </w:r>
      <w:r>
        <w:rPr>
          <w:rFonts w:hint="eastAsia"/>
        </w:rPr>
        <w:t>的工程或其中一部分工程继续施工。如承包</w:t>
      </w:r>
      <w:r>
        <w:t>人</w:t>
      </w:r>
      <w:r>
        <w:rPr>
          <w:rFonts w:hint="eastAsia"/>
        </w:rPr>
        <w:t>逾期不予批准，则分包人可以通知承包</w:t>
      </w:r>
      <w:r>
        <w:t>人</w:t>
      </w:r>
      <w:r>
        <w:rPr>
          <w:rFonts w:hint="eastAsia"/>
        </w:rPr>
        <w:t>，将工程受影响的部分视为按第1</w:t>
      </w:r>
      <w:r>
        <w:t>5</w:t>
      </w:r>
      <w:r>
        <w:rPr>
          <w:rFonts w:hint="eastAsia"/>
        </w:rPr>
        <w:t>.1（1）项的可取消工作。如</w:t>
      </w:r>
      <w:r>
        <w:t>暂停施工</w:t>
      </w:r>
      <w:r>
        <w:rPr>
          <w:rFonts w:hint="eastAsia"/>
        </w:rPr>
        <w:t>影响到整个工程，可视为承包人违约，应按第2</w:t>
      </w:r>
      <w:r>
        <w:t>2</w:t>
      </w:r>
      <w:r>
        <w:rPr>
          <w:rFonts w:hint="eastAsia"/>
        </w:rPr>
        <w:t>.2款的规定办理。</w:t>
      </w:r>
    </w:p>
    <w:p>
      <w:pPr>
        <w:spacing w:line="360" w:lineRule="auto"/>
        <w:ind w:left="0" w:firstLine="0"/>
      </w:pPr>
      <w:r>
        <w:rPr>
          <w:rFonts w:hint="eastAsia"/>
        </w:rPr>
        <w:t>1</w:t>
      </w:r>
      <w:r>
        <w:t>2</w:t>
      </w:r>
      <w:r>
        <w:rPr>
          <w:rFonts w:hint="eastAsia"/>
        </w:rPr>
        <w:t>.5.2　由于分</w:t>
      </w:r>
      <w:r>
        <w:t>包人</w:t>
      </w:r>
      <w:r>
        <w:rPr>
          <w:rFonts w:hint="eastAsia"/>
        </w:rPr>
        <w:t>责任引起的</w:t>
      </w:r>
      <w:r>
        <w:t>暂停施工</w:t>
      </w:r>
      <w:r>
        <w:rPr>
          <w:rFonts w:hint="eastAsia"/>
        </w:rPr>
        <w:t>，如分</w:t>
      </w:r>
      <w:r>
        <w:t>包人</w:t>
      </w:r>
      <w:r>
        <w:rPr>
          <w:rFonts w:hint="eastAsia"/>
        </w:rPr>
        <w:t>在收到承包</w:t>
      </w:r>
      <w:r>
        <w:t>人暂停施工指示</w:t>
      </w:r>
      <w:r>
        <w:rPr>
          <w:rFonts w:hint="eastAsia"/>
        </w:rPr>
        <w:t>后56天内不认真采取有效的复工措施，造成工期延误，可视为分</w:t>
      </w:r>
      <w:r>
        <w:t>包人</w:t>
      </w:r>
      <w:r>
        <w:rPr>
          <w:rFonts w:hint="eastAsia"/>
        </w:rPr>
        <w:t>违约，应按第2</w:t>
      </w:r>
      <w:r>
        <w:t>2</w:t>
      </w:r>
      <w:r>
        <w:rPr>
          <w:rFonts w:hint="eastAsia"/>
        </w:rPr>
        <w:t>.1款的规定办理。</w:t>
      </w:r>
    </w:p>
    <w:p>
      <w:pPr>
        <w:spacing w:line="360" w:lineRule="auto"/>
        <w:ind w:left="0" w:firstLine="0"/>
      </w:pPr>
      <w:bookmarkStart w:id="1090" w:name="_Toc338944788"/>
      <w:bookmarkStart w:id="1091" w:name="_Toc342296346"/>
      <w:bookmarkStart w:id="1092" w:name="_Toc391456268"/>
      <w:bookmarkStart w:id="1093" w:name="_Toc403052708"/>
      <w:bookmarkStart w:id="1094" w:name="_Toc403059650"/>
      <w:r>
        <w:rPr>
          <w:rFonts w:hint="eastAsia"/>
        </w:rPr>
        <w:t>1</w:t>
      </w:r>
      <w:r>
        <w:t>3</w:t>
      </w:r>
      <w:r>
        <w:rPr>
          <w:rFonts w:hint="eastAsia"/>
        </w:rPr>
        <w:t>. 工程质量</w:t>
      </w:r>
      <w:bookmarkEnd w:id="1090"/>
      <w:bookmarkEnd w:id="1091"/>
      <w:bookmarkEnd w:id="1092"/>
      <w:bookmarkEnd w:id="1093"/>
      <w:bookmarkEnd w:id="1094"/>
    </w:p>
    <w:p>
      <w:pPr>
        <w:spacing w:line="360" w:lineRule="auto"/>
        <w:ind w:left="0" w:firstLine="0"/>
      </w:pPr>
      <w:bookmarkStart w:id="1095" w:name="_Toc403054469"/>
      <w:bookmarkStart w:id="1096" w:name="_Toc152042474"/>
      <w:bookmarkStart w:id="1097" w:name="_Toc403052709"/>
      <w:bookmarkStart w:id="1098" w:name="_Toc338944789"/>
      <w:bookmarkStart w:id="1099" w:name="_Toc144974665"/>
      <w:bookmarkStart w:id="1100" w:name="_Toc179632714"/>
      <w:bookmarkStart w:id="1101" w:name="_Toc393200638"/>
      <w:bookmarkStart w:id="1102" w:name="_Toc342296347"/>
      <w:bookmarkStart w:id="1103" w:name="_Toc152045696"/>
      <w:bookmarkStart w:id="1104" w:name="_Toc393199610"/>
      <w:bookmarkStart w:id="1105" w:name="_Toc403059651"/>
      <w:bookmarkStart w:id="1106" w:name="_Toc391456269"/>
      <w:bookmarkStart w:id="1107" w:name="_Toc393200124"/>
      <w:r>
        <w:rPr>
          <w:rFonts w:hint="eastAsia"/>
        </w:rPr>
        <w:t>1</w:t>
      </w:r>
      <w:r>
        <w:t>3</w:t>
      </w:r>
      <w:r>
        <w:rPr>
          <w:rFonts w:hint="eastAsia"/>
        </w:rPr>
        <w:t>.1　工程质量要求</w:t>
      </w:r>
      <w:bookmarkEnd w:id="1095"/>
      <w:bookmarkEnd w:id="1096"/>
      <w:bookmarkEnd w:id="1097"/>
      <w:bookmarkEnd w:id="1098"/>
      <w:bookmarkEnd w:id="1099"/>
      <w:bookmarkEnd w:id="1100"/>
      <w:bookmarkEnd w:id="1101"/>
      <w:bookmarkEnd w:id="1102"/>
      <w:bookmarkEnd w:id="1103"/>
      <w:bookmarkEnd w:id="1104"/>
      <w:bookmarkEnd w:id="1105"/>
      <w:bookmarkEnd w:id="1106"/>
      <w:bookmarkEnd w:id="1107"/>
    </w:p>
    <w:p>
      <w:pPr>
        <w:spacing w:line="360" w:lineRule="auto"/>
        <w:ind w:left="0" w:firstLine="0"/>
      </w:pPr>
      <w:r>
        <w:rPr>
          <w:rFonts w:hint="eastAsia"/>
        </w:rPr>
        <w:t>1</w:t>
      </w:r>
      <w:r>
        <w:t>3</w:t>
      </w:r>
      <w:r>
        <w:rPr>
          <w:rFonts w:hint="eastAsia"/>
        </w:rPr>
        <w:t>.1.1　工程质量验收按分包合同约定验收标准执行。</w:t>
      </w:r>
    </w:p>
    <w:p>
      <w:pPr>
        <w:spacing w:line="360" w:lineRule="auto"/>
        <w:ind w:left="0" w:firstLine="0"/>
      </w:pPr>
      <w:r>
        <w:rPr>
          <w:rFonts w:hint="eastAsia"/>
        </w:rPr>
        <w:t>1</w:t>
      </w:r>
      <w:r>
        <w:t>3</w:t>
      </w:r>
      <w:r>
        <w:rPr>
          <w:rFonts w:hint="eastAsia"/>
        </w:rPr>
        <w:t>.1.2　因分包人原因造成工程质量达不到分包合同约定验收标准的，承包人有权要求分包人返工直至符合合同要求为止，由此造成的费用增加和（或）工期延误由分包人承担。</w:t>
      </w:r>
    </w:p>
    <w:p>
      <w:pPr>
        <w:spacing w:line="360" w:lineRule="auto"/>
        <w:ind w:left="0" w:firstLine="0"/>
      </w:pPr>
      <w:r>
        <w:rPr>
          <w:rFonts w:hint="eastAsia"/>
        </w:rPr>
        <w:t>1</w:t>
      </w:r>
      <w:r>
        <w:t>3</w:t>
      </w:r>
      <w:r>
        <w:rPr>
          <w:rFonts w:hint="eastAsia"/>
        </w:rPr>
        <w:t>.1.3　因承包人原因造成工程质量达不到分包合同约定验收标准的，承包人应承担由于分包人返工造成的费用增加和（或）工期延误，并支付分包人合理利润。</w:t>
      </w:r>
    </w:p>
    <w:p>
      <w:pPr>
        <w:spacing w:line="360" w:lineRule="auto"/>
        <w:ind w:left="0" w:firstLine="0"/>
      </w:pPr>
      <w:bookmarkStart w:id="1108" w:name="_Toc338944790"/>
      <w:bookmarkStart w:id="1109" w:name="_Toc393199611"/>
      <w:bookmarkStart w:id="1110" w:name="_Toc403054470"/>
      <w:bookmarkStart w:id="1111" w:name="_Toc393200125"/>
      <w:bookmarkStart w:id="1112" w:name="_Toc393200639"/>
      <w:bookmarkStart w:id="1113" w:name="_Toc403052710"/>
      <w:bookmarkStart w:id="1114" w:name="_Toc342296348"/>
      <w:bookmarkStart w:id="1115" w:name="_Toc391456270"/>
      <w:bookmarkStart w:id="1116" w:name="_Toc403059652"/>
      <w:r>
        <w:rPr>
          <w:rFonts w:hint="eastAsia"/>
        </w:rPr>
        <w:t>1</w:t>
      </w:r>
      <w:r>
        <w:t>3</w:t>
      </w:r>
      <w:r>
        <w:rPr>
          <w:rFonts w:hint="eastAsia"/>
        </w:rPr>
        <w:t>.2　分包人的质量管理</w:t>
      </w:r>
      <w:bookmarkEnd w:id="1108"/>
      <w:bookmarkEnd w:id="1109"/>
      <w:bookmarkEnd w:id="1110"/>
      <w:bookmarkEnd w:id="1111"/>
      <w:bookmarkEnd w:id="1112"/>
      <w:bookmarkEnd w:id="1113"/>
      <w:bookmarkEnd w:id="1114"/>
      <w:bookmarkEnd w:id="1115"/>
      <w:bookmarkEnd w:id="1116"/>
    </w:p>
    <w:p>
      <w:pPr>
        <w:spacing w:line="360" w:lineRule="auto"/>
        <w:ind w:left="0" w:firstLine="0"/>
      </w:pPr>
      <w:r>
        <w:rPr>
          <w:rFonts w:hint="eastAsia"/>
        </w:rPr>
        <w:t>1</w:t>
      </w:r>
      <w:r>
        <w:t>3</w:t>
      </w:r>
      <w:r>
        <w:rPr>
          <w:rFonts w:hint="eastAsia"/>
        </w:rPr>
        <w:t>.2.1　分包人应在施工场地设置专门的质量检查机构，配备专职质量检查人员，建立完善的质量检查制度。分包人应在专用合同条款约定的期限内，提交工程质量保证措施文件，包括质量检查机构的组织和岗位责任、质检人员的组成、质量检查程序和实施细则等，报送承包人审批。承包人应在专用合同条款约定的时限内完成审批。</w:t>
      </w:r>
    </w:p>
    <w:p>
      <w:pPr>
        <w:spacing w:line="360" w:lineRule="auto"/>
        <w:ind w:left="0" w:firstLine="0"/>
      </w:pPr>
      <w:r>
        <w:rPr>
          <w:rFonts w:hint="eastAsia"/>
        </w:rPr>
        <w:t>1</w:t>
      </w:r>
      <w:r>
        <w:t>3</w:t>
      </w:r>
      <w:r>
        <w:rPr>
          <w:rFonts w:hint="eastAsia"/>
        </w:rPr>
        <w:t>.2.2　分包人应加强对其施工人员的质量教育和技术培训，定期考核其施工人员的劳动技能，严格执行规范和操作规程。</w:t>
      </w:r>
    </w:p>
    <w:p>
      <w:pPr>
        <w:spacing w:line="360" w:lineRule="auto"/>
        <w:ind w:left="0" w:firstLine="0"/>
      </w:pPr>
      <w:bookmarkStart w:id="1117" w:name="_Toc403054471"/>
      <w:bookmarkStart w:id="1118" w:name="_Toc393199612"/>
      <w:bookmarkStart w:id="1119" w:name="_Toc338944791"/>
      <w:bookmarkStart w:id="1120" w:name="_Toc393200640"/>
      <w:bookmarkStart w:id="1121" w:name="_Toc403052711"/>
      <w:bookmarkStart w:id="1122" w:name="_Toc342296349"/>
      <w:bookmarkStart w:id="1123" w:name="_Toc403059653"/>
      <w:bookmarkStart w:id="1124" w:name="_Toc391456271"/>
      <w:bookmarkStart w:id="1125" w:name="_Toc393200126"/>
      <w:r>
        <w:rPr>
          <w:rFonts w:hint="eastAsia"/>
        </w:rPr>
        <w:t>1</w:t>
      </w:r>
      <w:r>
        <w:t>3</w:t>
      </w:r>
      <w:r>
        <w:rPr>
          <w:rFonts w:hint="eastAsia"/>
        </w:rPr>
        <w:t>.3　分包人的质量检查</w:t>
      </w:r>
      <w:bookmarkEnd w:id="1117"/>
      <w:bookmarkEnd w:id="1118"/>
      <w:bookmarkEnd w:id="1119"/>
      <w:bookmarkEnd w:id="1120"/>
      <w:bookmarkEnd w:id="1121"/>
      <w:bookmarkEnd w:id="1122"/>
      <w:bookmarkEnd w:id="1123"/>
      <w:bookmarkEnd w:id="1124"/>
      <w:bookmarkEnd w:id="1125"/>
    </w:p>
    <w:p>
      <w:pPr>
        <w:spacing w:line="360" w:lineRule="auto"/>
        <w:ind w:left="0" w:firstLine="0"/>
      </w:pPr>
      <w:r>
        <w:rPr>
          <w:rFonts w:hint="eastAsia"/>
        </w:rPr>
        <w:t>分包人应按专用合同条款的约定对材料、工程设备以及工程的所有部位及其施工工艺进行全过程的质量检查和检验，并作详细记录，编制工程质量报表，报送承包人审查。承包人应在专用合同条款约定的时限内完成审查。</w:t>
      </w:r>
    </w:p>
    <w:p>
      <w:pPr>
        <w:spacing w:line="360" w:lineRule="auto"/>
        <w:ind w:left="0" w:firstLine="0"/>
      </w:pPr>
      <w:bookmarkStart w:id="1126" w:name="_Toc391456272"/>
      <w:bookmarkStart w:id="1127" w:name="_Toc393200641"/>
      <w:bookmarkStart w:id="1128" w:name="_Toc338944792"/>
      <w:bookmarkStart w:id="1129" w:name="_Toc393199613"/>
      <w:bookmarkStart w:id="1130" w:name="_Toc342296350"/>
      <w:bookmarkStart w:id="1131" w:name="_Toc403059654"/>
      <w:bookmarkStart w:id="1132" w:name="_Toc393200127"/>
      <w:bookmarkStart w:id="1133" w:name="_Toc403052712"/>
      <w:bookmarkStart w:id="1134" w:name="_Toc403054472"/>
      <w:r>
        <w:rPr>
          <w:rFonts w:hint="eastAsia"/>
        </w:rPr>
        <w:t>1</w:t>
      </w:r>
      <w:r>
        <w:t>3</w:t>
      </w:r>
      <w:r>
        <w:rPr>
          <w:rFonts w:hint="eastAsia"/>
        </w:rPr>
        <w:t>.4　承包人的质量检查</w:t>
      </w:r>
      <w:bookmarkEnd w:id="1126"/>
      <w:bookmarkEnd w:id="1127"/>
      <w:bookmarkEnd w:id="1128"/>
      <w:bookmarkEnd w:id="1129"/>
      <w:bookmarkEnd w:id="1130"/>
      <w:bookmarkEnd w:id="1131"/>
      <w:bookmarkEnd w:id="1132"/>
      <w:bookmarkEnd w:id="1133"/>
      <w:bookmarkEnd w:id="1134"/>
    </w:p>
    <w:p>
      <w:pPr>
        <w:spacing w:line="360" w:lineRule="auto"/>
        <w:ind w:left="0" w:firstLine="0"/>
      </w:pPr>
      <w:r>
        <w:rPr>
          <w:rFonts w:hint="eastAsia"/>
        </w:rPr>
        <w:t>承包人有权对工程的所有部位及其施工工艺、材料和工程设备进行检查和检验。分包人应为承包人的检查和检验提供方便，包括承包人到施工场地，或制造、加工地点，或专用合同条款约定的其他地方进行察看和查阅施工原始记录。分包人还应按承包人指示，进行施工场地取样试验、工程复核测量和设备性能检测，提供试验样品、提交试验报告和测量成果以及承包人要求进行的其他工作。承包人的检查和检验，不免除分包人按分包合同约定应负的责任。</w:t>
      </w:r>
    </w:p>
    <w:p>
      <w:pPr>
        <w:spacing w:line="360" w:lineRule="auto"/>
        <w:ind w:left="0" w:firstLine="0"/>
      </w:pPr>
      <w:bookmarkStart w:id="1135" w:name="_Toc403052713"/>
      <w:bookmarkStart w:id="1136" w:name="_Toc403059655"/>
      <w:bookmarkStart w:id="1137" w:name="_Toc393200128"/>
      <w:bookmarkStart w:id="1138" w:name="_Toc338944793"/>
      <w:bookmarkStart w:id="1139" w:name="_Toc403054473"/>
      <w:bookmarkStart w:id="1140" w:name="_Toc393200642"/>
      <w:bookmarkStart w:id="1141" w:name="_Toc391456273"/>
      <w:bookmarkStart w:id="1142" w:name="_Toc393199614"/>
      <w:bookmarkStart w:id="1143" w:name="_Toc342296351"/>
      <w:r>
        <w:rPr>
          <w:rFonts w:hint="eastAsia"/>
        </w:rPr>
        <w:t>1</w:t>
      </w:r>
      <w:r>
        <w:t>3</w:t>
      </w:r>
      <w:r>
        <w:rPr>
          <w:rFonts w:hint="eastAsia"/>
        </w:rPr>
        <w:t>.5　工程隐蔽部位覆盖前的检查</w:t>
      </w:r>
      <w:bookmarkEnd w:id="1135"/>
      <w:bookmarkEnd w:id="1136"/>
      <w:bookmarkEnd w:id="1137"/>
      <w:bookmarkEnd w:id="1138"/>
      <w:bookmarkEnd w:id="1139"/>
      <w:bookmarkEnd w:id="1140"/>
      <w:bookmarkEnd w:id="1141"/>
      <w:bookmarkEnd w:id="1142"/>
      <w:bookmarkEnd w:id="1143"/>
    </w:p>
    <w:p>
      <w:pPr>
        <w:spacing w:line="360" w:lineRule="auto"/>
        <w:ind w:left="0" w:firstLine="0"/>
      </w:pPr>
      <w:r>
        <w:rPr>
          <w:rFonts w:hint="eastAsia"/>
        </w:rPr>
        <w:t>1</w:t>
      </w:r>
      <w:r>
        <w:t>3</w:t>
      </w:r>
      <w:r>
        <w:rPr>
          <w:rFonts w:hint="eastAsia"/>
        </w:rPr>
        <w:t>.5.1　通知承包人检查</w:t>
      </w:r>
    </w:p>
    <w:p>
      <w:pPr>
        <w:spacing w:line="360" w:lineRule="auto"/>
        <w:ind w:left="0" w:firstLine="0"/>
      </w:pPr>
      <w:r>
        <w:rPr>
          <w:rFonts w:hint="eastAsia"/>
        </w:rPr>
        <w:t>经分包人自检确认的工程隐蔽部位具备覆盖条件后，分包人应通知承包人在专用合同条款约定的期限内检查。分包人的通知应附有自检记录和必要的检查资料。承包人应按时到场检查。经承包人检查确认质量符合隐蔽要求，并在检查记录上签字后，分包人才能进行覆盖。承包人检查确认质量不合格的，分包人应在承包人指示的时间内修整返工后，由承包人重新检查。</w:t>
      </w:r>
    </w:p>
    <w:p>
      <w:pPr>
        <w:spacing w:line="360" w:lineRule="auto"/>
        <w:ind w:left="0" w:firstLine="0"/>
      </w:pPr>
      <w:r>
        <w:rPr>
          <w:rFonts w:hint="eastAsia"/>
        </w:rPr>
        <w:t>1</w:t>
      </w:r>
      <w:r>
        <w:t>3</w:t>
      </w:r>
      <w:r>
        <w:rPr>
          <w:rFonts w:hint="eastAsia"/>
        </w:rPr>
        <w:t>.5.2　承包人未到场检查</w:t>
      </w:r>
    </w:p>
    <w:p>
      <w:pPr>
        <w:spacing w:line="360" w:lineRule="auto"/>
        <w:ind w:left="0" w:firstLine="0"/>
      </w:pPr>
      <w:r>
        <w:rPr>
          <w:rFonts w:hint="eastAsia"/>
        </w:rPr>
        <w:t>承包人未按第1</w:t>
      </w:r>
      <w:r>
        <w:t>3</w:t>
      </w:r>
      <w:r>
        <w:rPr>
          <w:rFonts w:hint="eastAsia"/>
        </w:rPr>
        <w:t>.5.1项约定的时间进行检查的，除承包人另有指示外，分包人可自行完成覆盖工作，并作相应记录报送承包人，承包人应签字确认。承包人事后对检查记录有疑问的，可按第1</w:t>
      </w:r>
      <w:r>
        <w:t>3</w:t>
      </w:r>
      <w:r>
        <w:rPr>
          <w:rFonts w:hint="eastAsia"/>
        </w:rPr>
        <w:t>.5.3项的约定重新检查。</w:t>
      </w:r>
    </w:p>
    <w:p>
      <w:pPr>
        <w:spacing w:line="360" w:lineRule="auto"/>
        <w:ind w:left="0" w:firstLine="0"/>
      </w:pPr>
      <w:r>
        <w:rPr>
          <w:rFonts w:hint="eastAsia"/>
        </w:rPr>
        <w:t>1</w:t>
      </w:r>
      <w:r>
        <w:t>3</w:t>
      </w:r>
      <w:r>
        <w:rPr>
          <w:rFonts w:hint="eastAsia"/>
        </w:rPr>
        <w:t>.5.3　承包人重新检查</w:t>
      </w:r>
    </w:p>
    <w:p>
      <w:pPr>
        <w:spacing w:line="360" w:lineRule="auto"/>
        <w:ind w:left="0" w:firstLine="0"/>
      </w:pPr>
      <w:r>
        <w:rPr>
          <w:rFonts w:hint="eastAsia"/>
        </w:rPr>
        <w:t>分包人按第1</w:t>
      </w:r>
      <w:r>
        <w:t>3</w:t>
      </w:r>
      <w:r>
        <w:rPr>
          <w:rFonts w:hint="eastAsia"/>
        </w:rPr>
        <w:t>.5.1项或第1</w:t>
      </w:r>
      <w:r>
        <w:t>3</w:t>
      </w:r>
      <w:r>
        <w:rPr>
          <w:rFonts w:hint="eastAsia"/>
        </w:rPr>
        <w:t>.5.2项覆盖工程隐蔽部位后，承包人对质量有疑问的，可要求分包人对已覆盖的部位进行钻孔探测或揭开重新检验，分包人应遵照执行，并在检验后重新覆盖恢复原状。经检验证明工程质量符合合同要求的，由承包人承担由此增加的费用和（或）工期延误，并支付分包人合理利润；经检验证明工程质量不符合合同要求的，由此增加的费用和（或）工期延误由分包人承担。</w:t>
      </w:r>
    </w:p>
    <w:p>
      <w:pPr>
        <w:spacing w:line="360" w:lineRule="auto"/>
        <w:ind w:left="0" w:firstLine="0"/>
      </w:pPr>
      <w:r>
        <w:rPr>
          <w:rFonts w:hint="eastAsia"/>
        </w:rPr>
        <w:t>1</w:t>
      </w:r>
      <w:r>
        <w:t>3</w:t>
      </w:r>
      <w:r>
        <w:rPr>
          <w:rFonts w:hint="eastAsia"/>
        </w:rPr>
        <w:t>.5.4　分包人私自覆盖</w:t>
      </w:r>
    </w:p>
    <w:p>
      <w:pPr>
        <w:spacing w:line="360" w:lineRule="auto"/>
        <w:ind w:left="0" w:firstLine="0"/>
      </w:pPr>
      <w:r>
        <w:rPr>
          <w:rFonts w:hint="eastAsia"/>
        </w:rPr>
        <w:t>分包人未通知承包人到场检查，私自将工程隐蔽部位覆盖的，承包人有权指示分包人钻孔探测或揭开检查，由此增加的费用和（或）工期延误由分包人承担。</w:t>
      </w:r>
    </w:p>
    <w:p>
      <w:pPr>
        <w:spacing w:line="360" w:lineRule="auto"/>
        <w:ind w:left="0" w:firstLine="0"/>
      </w:pPr>
      <w:bookmarkStart w:id="1144" w:name="_Toc342296352"/>
      <w:bookmarkStart w:id="1145" w:name="_Toc144974670"/>
      <w:bookmarkStart w:id="1146" w:name="_Toc403052714"/>
      <w:bookmarkStart w:id="1147" w:name="_Toc152042479"/>
      <w:bookmarkStart w:id="1148" w:name="_Toc179632719"/>
      <w:bookmarkStart w:id="1149" w:name="_Toc393199615"/>
      <w:bookmarkStart w:id="1150" w:name="_Toc391456274"/>
      <w:bookmarkStart w:id="1151" w:name="_Toc393200643"/>
      <w:bookmarkStart w:id="1152" w:name="_Toc403054474"/>
      <w:bookmarkStart w:id="1153" w:name="_Toc338944794"/>
      <w:bookmarkStart w:id="1154" w:name="_Toc152045701"/>
      <w:bookmarkStart w:id="1155" w:name="_Toc393200129"/>
      <w:bookmarkStart w:id="1156" w:name="_Toc403059656"/>
      <w:r>
        <w:rPr>
          <w:rFonts w:hint="eastAsia"/>
        </w:rPr>
        <w:t>1</w:t>
      </w:r>
      <w:r>
        <w:t>3</w:t>
      </w:r>
      <w:r>
        <w:rPr>
          <w:rFonts w:hint="eastAsia"/>
        </w:rPr>
        <w:t>.6　清除不合格工程</w:t>
      </w:r>
      <w:bookmarkEnd w:id="1144"/>
      <w:bookmarkEnd w:id="1145"/>
      <w:bookmarkEnd w:id="1146"/>
      <w:bookmarkEnd w:id="1147"/>
      <w:bookmarkEnd w:id="1148"/>
      <w:bookmarkEnd w:id="1149"/>
      <w:bookmarkEnd w:id="1150"/>
      <w:bookmarkEnd w:id="1151"/>
      <w:bookmarkEnd w:id="1152"/>
      <w:bookmarkEnd w:id="1153"/>
      <w:bookmarkEnd w:id="1154"/>
      <w:bookmarkEnd w:id="1155"/>
      <w:bookmarkEnd w:id="1156"/>
    </w:p>
    <w:p>
      <w:pPr>
        <w:spacing w:line="360" w:lineRule="auto"/>
        <w:ind w:left="0" w:firstLine="0"/>
      </w:pPr>
      <w:r>
        <w:rPr>
          <w:rFonts w:hint="eastAsia"/>
        </w:rPr>
        <w:t>1</w:t>
      </w:r>
      <w:r>
        <w:t>3</w:t>
      </w:r>
      <w:r>
        <w:rPr>
          <w:rFonts w:hint="eastAsia"/>
        </w:rPr>
        <w:t>.6.1　分包人使用不合格材料、工程设备，或采用不适当的施工工艺，或施工不当，造成工程不合格的，承包人可以随时发出指示，要求承分包人立即采取措施进行补救，直至达到合同要求的质量标准，由此增加的费用和（或）工期延误由分包人承担。</w:t>
      </w:r>
    </w:p>
    <w:p>
      <w:pPr>
        <w:spacing w:line="360" w:lineRule="auto"/>
        <w:ind w:left="0" w:firstLine="0"/>
      </w:pPr>
      <w:r>
        <w:rPr>
          <w:rFonts w:hint="eastAsia"/>
        </w:rPr>
        <w:t>1</w:t>
      </w:r>
      <w:r>
        <w:t>3</w:t>
      </w:r>
      <w:r>
        <w:rPr>
          <w:rFonts w:hint="eastAsia"/>
        </w:rPr>
        <w:t>.6.2　由于承包人提供的材料或工程设备不合格造成的工程不合格，需要分包人采取措施补救的，承包人应承担由此增加的费用和（或）工期延误，并支付分包人合理利润。</w:t>
      </w:r>
    </w:p>
    <w:p>
      <w:pPr>
        <w:spacing w:line="360" w:lineRule="auto"/>
        <w:ind w:left="0" w:firstLine="0"/>
      </w:pPr>
      <w:bookmarkStart w:id="1157" w:name="_Toc241459713"/>
      <w:bookmarkStart w:id="1158" w:name="_Toc393200644"/>
      <w:bookmarkStart w:id="1159" w:name="_Toc403054475"/>
      <w:bookmarkStart w:id="1160" w:name="_Toc393200130"/>
      <w:bookmarkStart w:id="1161" w:name="_Toc342296472"/>
      <w:bookmarkStart w:id="1162" w:name="_Toc403052715"/>
      <w:bookmarkStart w:id="1163" w:name="_Toc391456397"/>
      <w:bookmarkStart w:id="1164" w:name="_Toc393199616"/>
      <w:bookmarkStart w:id="1165" w:name="_Toc403059657"/>
      <w:bookmarkStart w:id="1166" w:name="_Toc152045702"/>
      <w:bookmarkStart w:id="1167" w:name="_Toc342296353"/>
      <w:bookmarkStart w:id="1168" w:name="_Toc144974671"/>
      <w:bookmarkStart w:id="1169" w:name="_Toc152042480"/>
      <w:bookmarkStart w:id="1170" w:name="_Toc338944795"/>
      <w:bookmarkStart w:id="1171" w:name="_Toc391456275"/>
      <w:bookmarkStart w:id="1172" w:name="_Toc179632720"/>
      <w:r>
        <w:rPr>
          <w:rFonts w:hint="eastAsia"/>
        </w:rPr>
        <w:t>1</w:t>
      </w:r>
      <w:r>
        <w:t>3</w:t>
      </w:r>
      <w:r>
        <w:rPr>
          <w:rFonts w:hint="eastAsia"/>
        </w:rPr>
        <w:t>.7　质量争议</w:t>
      </w:r>
      <w:bookmarkEnd w:id="1157"/>
      <w:bookmarkEnd w:id="1158"/>
      <w:bookmarkEnd w:id="1159"/>
      <w:bookmarkEnd w:id="1160"/>
      <w:bookmarkEnd w:id="1161"/>
      <w:bookmarkEnd w:id="1162"/>
      <w:bookmarkEnd w:id="1163"/>
      <w:bookmarkEnd w:id="1164"/>
      <w:bookmarkEnd w:id="1165"/>
    </w:p>
    <w:p>
      <w:pPr>
        <w:spacing w:line="360" w:lineRule="auto"/>
        <w:ind w:left="0" w:firstLine="0"/>
      </w:pPr>
      <w:r>
        <w:rPr>
          <w:rFonts w:hint="eastAsia"/>
        </w:rPr>
        <w:t>承包人和分包人对工程质量有争议的，除可按合同条款第2</w:t>
      </w:r>
      <w:r>
        <w:t>4</w:t>
      </w:r>
      <w:r>
        <w:rPr>
          <w:rFonts w:hint="eastAsia"/>
        </w:rPr>
        <w:t>条办理外，承包人可提请合同双方委托有相应资质的工程质量检测机构进行鉴定，所需费用及因此造成的损失，由责任人承担，双方均有责任，由双方根据其责任分别承担。经检测，质量确有缺陷的，已完工验收或已完工未验收但实际投入使用的工程，其处理按工程保修书的约定执行；已完工未验收且未实际投入使用的工程以及停工、停建的工程，根据检测结果确定解决方案，或按工程质量监督机构的处理决定执行。</w:t>
      </w:r>
    </w:p>
    <w:p>
      <w:pPr>
        <w:spacing w:line="360" w:lineRule="auto"/>
        <w:ind w:left="0" w:firstLine="0"/>
      </w:pPr>
      <w:bookmarkStart w:id="1173" w:name="_Toc403052716"/>
      <w:bookmarkStart w:id="1174" w:name="_Toc403059658"/>
      <w:r>
        <w:rPr>
          <w:rFonts w:hint="eastAsia"/>
        </w:rPr>
        <w:t>1</w:t>
      </w:r>
      <w:r>
        <w:t>4</w:t>
      </w:r>
      <w:r>
        <w:rPr>
          <w:rFonts w:hint="eastAsia"/>
        </w:rPr>
        <w:t>. 试验和检验</w:t>
      </w:r>
      <w:bookmarkEnd w:id="1166"/>
      <w:bookmarkEnd w:id="1167"/>
      <w:bookmarkEnd w:id="1168"/>
      <w:bookmarkEnd w:id="1169"/>
      <w:bookmarkEnd w:id="1170"/>
      <w:bookmarkEnd w:id="1171"/>
      <w:bookmarkEnd w:id="1172"/>
      <w:bookmarkEnd w:id="1173"/>
      <w:bookmarkEnd w:id="1174"/>
    </w:p>
    <w:p>
      <w:pPr>
        <w:spacing w:line="360" w:lineRule="auto"/>
        <w:ind w:left="0" w:firstLine="0"/>
      </w:pPr>
      <w:bookmarkStart w:id="1175" w:name="_Toc144974672"/>
      <w:bookmarkStart w:id="1176" w:name="_Toc152042481"/>
      <w:bookmarkStart w:id="1177" w:name="_Toc393200132"/>
      <w:bookmarkStart w:id="1178" w:name="_Toc403054477"/>
      <w:bookmarkStart w:id="1179" w:name="_Toc152045703"/>
      <w:bookmarkStart w:id="1180" w:name="_Toc338944796"/>
      <w:bookmarkStart w:id="1181" w:name="_Toc391456276"/>
      <w:bookmarkStart w:id="1182" w:name="_Toc393199618"/>
      <w:bookmarkStart w:id="1183" w:name="_Toc393200646"/>
      <w:bookmarkStart w:id="1184" w:name="_Toc179632721"/>
      <w:bookmarkStart w:id="1185" w:name="_Toc403059659"/>
      <w:bookmarkStart w:id="1186" w:name="_Toc403052717"/>
      <w:bookmarkStart w:id="1187" w:name="_Toc342296354"/>
      <w:r>
        <w:rPr>
          <w:rFonts w:hint="eastAsia"/>
        </w:rPr>
        <w:t>1</w:t>
      </w:r>
      <w:r>
        <w:t>4</w:t>
      </w:r>
      <w:r>
        <w:rPr>
          <w:rFonts w:hint="eastAsia"/>
        </w:rPr>
        <w:t>.1　材料、工程设备和工程的试验和检验</w:t>
      </w:r>
      <w:bookmarkEnd w:id="1175"/>
      <w:bookmarkEnd w:id="1176"/>
      <w:bookmarkEnd w:id="1177"/>
      <w:bookmarkEnd w:id="1178"/>
      <w:bookmarkEnd w:id="1179"/>
      <w:bookmarkEnd w:id="1180"/>
      <w:bookmarkEnd w:id="1181"/>
      <w:bookmarkEnd w:id="1182"/>
      <w:bookmarkEnd w:id="1183"/>
      <w:bookmarkEnd w:id="1184"/>
      <w:bookmarkEnd w:id="1185"/>
      <w:bookmarkEnd w:id="1186"/>
      <w:bookmarkEnd w:id="1187"/>
    </w:p>
    <w:p>
      <w:pPr>
        <w:spacing w:line="360" w:lineRule="auto"/>
        <w:ind w:left="0" w:firstLine="0"/>
      </w:pPr>
      <w:r>
        <w:rPr>
          <w:rFonts w:hint="eastAsia"/>
        </w:rPr>
        <w:t>1</w:t>
      </w:r>
      <w:r>
        <w:t>4</w:t>
      </w:r>
      <w:r>
        <w:rPr>
          <w:rFonts w:hint="eastAsia"/>
        </w:rPr>
        <w:t>.1.1　分包人应按分包合同约定进行材料、工程设备和工程的试验和检验，并为承包人对上述材料、工程设备和工程的质量检查提供必要的试验资料和原始记录。按分包合同约定应由承包人与分包人共同进行试验和检验的，由分包人负责提供必要的试验资料和原始记录。</w:t>
      </w:r>
    </w:p>
    <w:p>
      <w:pPr>
        <w:spacing w:line="360" w:lineRule="auto"/>
        <w:ind w:left="0" w:firstLine="0"/>
      </w:pPr>
      <w:r>
        <w:rPr>
          <w:rFonts w:hint="eastAsia"/>
        </w:rPr>
        <w:t>14.1.2　承包人未按分包合同约定派员参加试验和检验的，除承包人另有指示外，分包人可自行试验和检验，并应立即将试验和检验结果报送承包人，承包人应签字确认。</w:t>
      </w:r>
    </w:p>
    <w:p>
      <w:pPr>
        <w:spacing w:line="360" w:lineRule="auto"/>
        <w:ind w:left="0" w:firstLine="0"/>
      </w:pPr>
      <w:r>
        <w:rPr>
          <w:rFonts w:hint="eastAsia"/>
        </w:rPr>
        <w:t>1</w:t>
      </w:r>
      <w:r>
        <w:t>4</w:t>
      </w:r>
      <w:r>
        <w:rPr>
          <w:rFonts w:hint="eastAsia"/>
        </w:rPr>
        <w:t>.1.3　承包人对分包人的试验和检验结果有疑问的，或为查清分包人试验和检验成果的可靠性要求分包人重新试验和检验的，可按分包合同约定由承包人与分包人共同进行。重新试验和检验的结果证明该项材料、工程设备或工程的质量不符合合同要求的，由此增加的费用和（或）工期延误由分包人承担；重新试验和检验结果证明该项材料、工程设备和工程符合合同要求，由承包人承担由此增加的费用和（或）工期延误，并支付分包人合理利润。</w:t>
      </w:r>
    </w:p>
    <w:p>
      <w:pPr>
        <w:spacing w:line="360" w:lineRule="auto"/>
        <w:ind w:left="0" w:firstLine="0"/>
      </w:pPr>
      <w:bookmarkStart w:id="1188" w:name="_Toc342296355"/>
      <w:bookmarkStart w:id="1189" w:name="_Toc391456277"/>
      <w:bookmarkStart w:id="1190" w:name="_Toc152042482"/>
      <w:bookmarkStart w:id="1191" w:name="_Toc393200647"/>
      <w:bookmarkStart w:id="1192" w:name="_Toc338944797"/>
      <w:bookmarkStart w:id="1193" w:name="_Toc179632722"/>
      <w:bookmarkStart w:id="1194" w:name="_Toc152045704"/>
      <w:bookmarkStart w:id="1195" w:name="_Toc403052718"/>
      <w:bookmarkStart w:id="1196" w:name="_Toc393199619"/>
      <w:bookmarkStart w:id="1197" w:name="_Toc393200133"/>
      <w:bookmarkStart w:id="1198" w:name="_Toc403059660"/>
      <w:bookmarkStart w:id="1199" w:name="_Toc403054478"/>
      <w:bookmarkStart w:id="1200" w:name="_Toc144974673"/>
      <w:r>
        <w:rPr>
          <w:rFonts w:hint="eastAsia"/>
        </w:rPr>
        <w:t>1</w:t>
      </w:r>
      <w:r>
        <w:t>4</w:t>
      </w:r>
      <w:r>
        <w:rPr>
          <w:rFonts w:hint="eastAsia"/>
        </w:rPr>
        <w:t>.2　现场材料试验</w:t>
      </w:r>
      <w:bookmarkEnd w:id="1188"/>
      <w:bookmarkEnd w:id="1189"/>
      <w:bookmarkEnd w:id="1190"/>
      <w:bookmarkEnd w:id="1191"/>
      <w:bookmarkEnd w:id="1192"/>
      <w:bookmarkEnd w:id="1193"/>
      <w:bookmarkEnd w:id="1194"/>
      <w:bookmarkEnd w:id="1195"/>
      <w:bookmarkEnd w:id="1196"/>
      <w:bookmarkEnd w:id="1197"/>
      <w:bookmarkEnd w:id="1198"/>
      <w:bookmarkEnd w:id="1199"/>
      <w:bookmarkEnd w:id="1200"/>
    </w:p>
    <w:p>
      <w:pPr>
        <w:spacing w:line="360" w:lineRule="auto"/>
        <w:ind w:left="0" w:firstLine="0"/>
      </w:pPr>
      <w:r>
        <w:rPr>
          <w:rFonts w:hint="eastAsia"/>
        </w:rPr>
        <w:t>1</w:t>
      </w:r>
      <w:r>
        <w:t>4</w:t>
      </w:r>
      <w:r>
        <w:rPr>
          <w:rFonts w:hint="eastAsia"/>
        </w:rPr>
        <w:t>.2.1　分包人根据分包合同约定或承包人指示进行的现场材料试验，应由分包人提供试验场所、试验人员、试验设备器材以及其他必要的试验条件。</w:t>
      </w:r>
    </w:p>
    <w:p>
      <w:pPr>
        <w:spacing w:line="360" w:lineRule="auto"/>
        <w:ind w:left="0" w:firstLine="0"/>
      </w:pPr>
      <w:r>
        <w:rPr>
          <w:rFonts w:hint="eastAsia"/>
        </w:rPr>
        <w:t>1</w:t>
      </w:r>
      <w:r>
        <w:t>4</w:t>
      </w:r>
      <w:r>
        <w:rPr>
          <w:rFonts w:hint="eastAsia"/>
        </w:rPr>
        <w:t>.2.2　承包人在必要时可以使用承包人的试验场所、试验设备器材以及其他试验条件，进行以工程质量检查为目的的复核性材料试验，分包人应予以协助。</w:t>
      </w:r>
    </w:p>
    <w:p>
      <w:pPr>
        <w:spacing w:line="360" w:lineRule="auto"/>
        <w:ind w:left="0" w:firstLine="0"/>
      </w:pPr>
      <w:bookmarkStart w:id="1201" w:name="_Toc393199620"/>
      <w:bookmarkStart w:id="1202" w:name="_Toc152045705"/>
      <w:bookmarkStart w:id="1203" w:name="_Toc152042483"/>
      <w:bookmarkStart w:id="1204" w:name="_Toc403059661"/>
      <w:bookmarkStart w:id="1205" w:name="_Toc338944798"/>
      <w:bookmarkStart w:id="1206" w:name="_Toc144974674"/>
      <w:bookmarkStart w:id="1207" w:name="_Toc403054479"/>
      <w:bookmarkStart w:id="1208" w:name="_Toc393200648"/>
      <w:bookmarkStart w:id="1209" w:name="_Toc179632723"/>
      <w:bookmarkStart w:id="1210" w:name="_Toc393200134"/>
      <w:bookmarkStart w:id="1211" w:name="_Toc403052719"/>
      <w:bookmarkStart w:id="1212" w:name="_Toc391456278"/>
      <w:bookmarkStart w:id="1213" w:name="_Toc342296356"/>
      <w:r>
        <w:rPr>
          <w:rFonts w:hint="eastAsia"/>
        </w:rPr>
        <w:t>1</w:t>
      </w:r>
      <w:r>
        <w:t>4</w:t>
      </w:r>
      <w:r>
        <w:rPr>
          <w:rFonts w:hint="eastAsia"/>
        </w:rPr>
        <w:t>.3　现场工艺试验</w:t>
      </w:r>
      <w:bookmarkEnd w:id="1201"/>
      <w:bookmarkEnd w:id="1202"/>
      <w:bookmarkEnd w:id="1203"/>
      <w:bookmarkEnd w:id="1204"/>
      <w:bookmarkEnd w:id="1205"/>
      <w:bookmarkEnd w:id="1206"/>
      <w:bookmarkEnd w:id="1207"/>
      <w:bookmarkEnd w:id="1208"/>
      <w:bookmarkEnd w:id="1209"/>
      <w:bookmarkEnd w:id="1210"/>
      <w:bookmarkEnd w:id="1211"/>
      <w:bookmarkEnd w:id="1212"/>
      <w:bookmarkEnd w:id="1213"/>
    </w:p>
    <w:p>
      <w:pPr>
        <w:spacing w:line="360" w:lineRule="auto"/>
        <w:ind w:left="0" w:firstLine="0"/>
      </w:pPr>
      <w:r>
        <w:rPr>
          <w:rFonts w:hint="eastAsia"/>
        </w:rPr>
        <w:t>分包人应按分包合同约定或承包人指示进行现场工艺试验。对大型的现场工艺试验，承包人认为必要时，应由分包人根据承包人提出的工艺试验要求，编制工艺试验措施计划，报送承包人审批。</w:t>
      </w:r>
    </w:p>
    <w:p>
      <w:pPr>
        <w:spacing w:line="360" w:lineRule="auto"/>
        <w:ind w:left="0" w:firstLine="0"/>
      </w:pPr>
      <w:bookmarkStart w:id="1214" w:name="_Toc403052720"/>
      <w:bookmarkStart w:id="1215" w:name="_Toc342296357"/>
      <w:bookmarkStart w:id="1216" w:name="_Toc391456279"/>
      <w:bookmarkStart w:id="1217" w:name="_Toc338944799"/>
      <w:bookmarkStart w:id="1218" w:name="_Toc403059662"/>
      <w:r>
        <w:rPr>
          <w:rFonts w:hint="eastAsia"/>
        </w:rPr>
        <w:t>1</w:t>
      </w:r>
      <w:r>
        <w:t>5</w:t>
      </w:r>
      <w:r>
        <w:rPr>
          <w:rFonts w:hint="eastAsia"/>
        </w:rPr>
        <w:t>. 变更</w:t>
      </w:r>
      <w:bookmarkEnd w:id="1214"/>
      <w:bookmarkEnd w:id="1215"/>
      <w:bookmarkEnd w:id="1216"/>
      <w:bookmarkEnd w:id="1217"/>
      <w:bookmarkEnd w:id="1218"/>
    </w:p>
    <w:p>
      <w:pPr>
        <w:spacing w:line="360" w:lineRule="auto"/>
        <w:ind w:left="0" w:firstLine="0"/>
      </w:pPr>
      <w:bookmarkStart w:id="1219" w:name="_Toc393200650"/>
      <w:bookmarkStart w:id="1220" w:name="_Toc403059663"/>
      <w:bookmarkStart w:id="1221" w:name="_Toc403052721"/>
      <w:bookmarkStart w:id="1222" w:name="_Toc393199622"/>
      <w:bookmarkStart w:id="1223" w:name="_Toc393200136"/>
      <w:bookmarkStart w:id="1224" w:name="_Toc342296358"/>
      <w:bookmarkStart w:id="1225" w:name="_Toc391456280"/>
      <w:bookmarkStart w:id="1226" w:name="_Toc338944800"/>
      <w:bookmarkStart w:id="1227" w:name="_Toc403054481"/>
      <w:r>
        <w:rPr>
          <w:rFonts w:hint="eastAsia"/>
        </w:rPr>
        <w:t>1</w:t>
      </w:r>
      <w:r>
        <w:t>5</w:t>
      </w:r>
      <w:r>
        <w:rPr>
          <w:rFonts w:hint="eastAsia"/>
        </w:rPr>
        <w:t>.1　变更的范围和内容</w:t>
      </w:r>
      <w:bookmarkEnd w:id="1219"/>
      <w:bookmarkEnd w:id="1220"/>
      <w:bookmarkEnd w:id="1221"/>
      <w:bookmarkEnd w:id="1222"/>
      <w:bookmarkEnd w:id="1223"/>
      <w:bookmarkEnd w:id="1224"/>
      <w:bookmarkEnd w:id="1225"/>
      <w:bookmarkEnd w:id="1226"/>
      <w:bookmarkEnd w:id="1227"/>
    </w:p>
    <w:p>
      <w:pPr>
        <w:spacing w:line="360" w:lineRule="auto"/>
        <w:ind w:left="0" w:firstLine="0"/>
      </w:pPr>
      <w:r>
        <w:rPr>
          <w:rFonts w:hint="eastAsia"/>
        </w:rPr>
        <w:t>除专用合同条款另有约定外，在履行分包合同中发生以下情形之一，应按照本条规定进行变更。</w:t>
      </w:r>
    </w:p>
    <w:p>
      <w:pPr>
        <w:spacing w:line="360" w:lineRule="auto"/>
        <w:ind w:left="0" w:firstLine="0"/>
      </w:pPr>
      <w:r>
        <w:rPr>
          <w:rFonts w:hint="eastAsia"/>
        </w:rPr>
        <w:t>（1）取消分包合同中任何一项工作，但被取消的工作不能转由承包人或其他人实施；</w:t>
      </w:r>
    </w:p>
    <w:p>
      <w:pPr>
        <w:spacing w:line="360" w:lineRule="auto"/>
        <w:ind w:left="0" w:firstLine="0"/>
      </w:pPr>
      <w:r>
        <w:rPr>
          <w:rFonts w:hint="eastAsia"/>
        </w:rPr>
        <w:t>（2）改变分包合同中任何一项工作的质量或其他特性；</w:t>
      </w:r>
    </w:p>
    <w:p>
      <w:pPr>
        <w:spacing w:line="360" w:lineRule="auto"/>
        <w:ind w:left="0" w:firstLine="0"/>
      </w:pPr>
      <w:r>
        <w:rPr>
          <w:rFonts w:hint="eastAsia"/>
        </w:rPr>
        <w:t>（3）改变分包合同工程的基线、标高、位置或尺寸；</w:t>
      </w:r>
    </w:p>
    <w:p>
      <w:pPr>
        <w:spacing w:line="360" w:lineRule="auto"/>
        <w:ind w:left="0" w:firstLine="0"/>
      </w:pPr>
      <w:r>
        <w:rPr>
          <w:rFonts w:hint="eastAsia"/>
        </w:rPr>
        <w:t>（4）改变分包合同中任何一项工作的施工时间或改变已批准的施工工艺或顺序；</w:t>
      </w:r>
    </w:p>
    <w:p>
      <w:pPr>
        <w:spacing w:line="360" w:lineRule="auto"/>
        <w:ind w:left="0" w:firstLine="0"/>
      </w:pPr>
      <w:r>
        <w:rPr>
          <w:rFonts w:hint="eastAsia"/>
        </w:rPr>
        <w:t>（5）为完成工程需要追加的额外工作。</w:t>
      </w:r>
    </w:p>
    <w:p>
      <w:pPr>
        <w:spacing w:line="360" w:lineRule="auto"/>
        <w:ind w:left="0" w:firstLine="0"/>
      </w:pPr>
      <w:r>
        <w:rPr>
          <w:rFonts w:hint="eastAsia"/>
        </w:rPr>
        <w:t>承包人违背第1</w:t>
      </w:r>
      <w:r>
        <w:t>5</w:t>
      </w:r>
      <w:r>
        <w:rPr>
          <w:rFonts w:hint="eastAsia"/>
        </w:rPr>
        <w:t>.1（1）目的约定，将被取消的合同中的工作转由承包人或其他人实施的，分包人可向承包人发出通知，要求承包人采取有效措施纠正违约行为，承包人在收到分包人通知后28天内仍不纠正违约行为的，应当赔偿分包人损失（包括合理的利润）并承担由此引起的其他责任。分包人应当按第2</w:t>
      </w:r>
      <w:r>
        <w:t>3</w:t>
      </w:r>
      <w:r>
        <w:rPr>
          <w:rFonts w:hint="eastAsia"/>
        </w:rPr>
        <w:t>.1.1（1）目的约定，在上述28天期限到期后的28天内，向承包人递交索赔意向通知书,并按第2</w:t>
      </w:r>
      <w:r>
        <w:t>3</w:t>
      </w:r>
      <w:r>
        <w:rPr>
          <w:rFonts w:hint="eastAsia"/>
        </w:rPr>
        <w:t>.1.1（2）目的约定，及时向承包人递交正式索赔通知书，说明有权得到的损失赔偿金额并附必要的记录和证明材料。承包人支付给分包人的损失赔偿金额应当包括被取消工作的合同价值中所包含的分包人管理费、利润以及相应的税金和规费。</w:t>
      </w:r>
    </w:p>
    <w:p>
      <w:pPr>
        <w:spacing w:line="360" w:lineRule="auto"/>
        <w:ind w:left="0" w:firstLine="0"/>
      </w:pPr>
      <w:bookmarkStart w:id="1228" w:name="_Toc393200651"/>
      <w:bookmarkStart w:id="1229" w:name="_Toc144974677"/>
      <w:bookmarkStart w:id="1230" w:name="_Toc152042486"/>
      <w:bookmarkStart w:id="1231" w:name="_Toc152045708"/>
      <w:bookmarkStart w:id="1232" w:name="_Toc179632726"/>
      <w:bookmarkStart w:id="1233" w:name="_Toc338944801"/>
      <w:bookmarkStart w:id="1234" w:name="_Toc393200137"/>
      <w:bookmarkStart w:id="1235" w:name="_Toc393199623"/>
      <w:bookmarkStart w:id="1236" w:name="_Toc342296359"/>
      <w:bookmarkStart w:id="1237" w:name="_Toc403052722"/>
      <w:bookmarkStart w:id="1238" w:name="_Toc403054482"/>
      <w:bookmarkStart w:id="1239" w:name="_Toc403059664"/>
      <w:bookmarkStart w:id="1240" w:name="_Toc391456281"/>
      <w:r>
        <w:rPr>
          <w:rFonts w:hint="eastAsia"/>
        </w:rPr>
        <w:t>1</w:t>
      </w:r>
      <w:r>
        <w:t>5</w:t>
      </w:r>
      <w:r>
        <w:rPr>
          <w:rFonts w:hint="eastAsia"/>
        </w:rPr>
        <w:t>.2　变更权</w:t>
      </w:r>
      <w:bookmarkEnd w:id="1228"/>
      <w:bookmarkEnd w:id="1229"/>
      <w:bookmarkEnd w:id="1230"/>
      <w:bookmarkEnd w:id="1231"/>
      <w:bookmarkEnd w:id="1232"/>
      <w:bookmarkEnd w:id="1233"/>
      <w:bookmarkEnd w:id="1234"/>
      <w:bookmarkEnd w:id="1235"/>
      <w:bookmarkEnd w:id="1236"/>
      <w:bookmarkEnd w:id="1237"/>
      <w:bookmarkEnd w:id="1238"/>
      <w:bookmarkEnd w:id="1239"/>
      <w:bookmarkEnd w:id="1240"/>
    </w:p>
    <w:p>
      <w:pPr>
        <w:spacing w:line="360" w:lineRule="auto"/>
        <w:ind w:left="0" w:firstLine="0"/>
      </w:pPr>
      <w:r>
        <w:rPr>
          <w:rFonts w:hint="eastAsia"/>
        </w:rPr>
        <w:t>在履行分包合同过程中，承包人可按第1</w:t>
      </w:r>
      <w:r>
        <w:t>5</w:t>
      </w:r>
      <w:r>
        <w:rPr>
          <w:rFonts w:hint="eastAsia"/>
        </w:rPr>
        <w:t>.3款约定的变更程序向分包人作出变更指示，分包人应遵照执行。没有承包人的变更指示，分包人不得擅自变更。</w:t>
      </w:r>
    </w:p>
    <w:p>
      <w:pPr>
        <w:spacing w:line="360" w:lineRule="auto"/>
        <w:ind w:left="0" w:firstLine="0"/>
      </w:pPr>
      <w:bookmarkStart w:id="1241" w:name="_Toc393200652"/>
      <w:bookmarkStart w:id="1242" w:name="_Toc338944802"/>
      <w:bookmarkStart w:id="1243" w:name="_Toc403052723"/>
      <w:bookmarkStart w:id="1244" w:name="_Toc403059665"/>
      <w:bookmarkStart w:id="1245" w:name="_Toc393200138"/>
      <w:bookmarkStart w:id="1246" w:name="_Toc393199624"/>
      <w:bookmarkStart w:id="1247" w:name="_Toc391456282"/>
      <w:bookmarkStart w:id="1248" w:name="_Toc342296360"/>
      <w:bookmarkStart w:id="1249" w:name="_Toc403054483"/>
      <w:r>
        <w:rPr>
          <w:rFonts w:hint="eastAsia"/>
        </w:rPr>
        <w:t>1</w:t>
      </w:r>
      <w:r>
        <w:t>5</w:t>
      </w:r>
      <w:r>
        <w:rPr>
          <w:rFonts w:hint="eastAsia"/>
        </w:rPr>
        <w:t>.3　变更程序</w:t>
      </w:r>
      <w:bookmarkEnd w:id="1241"/>
      <w:bookmarkEnd w:id="1242"/>
      <w:bookmarkEnd w:id="1243"/>
      <w:bookmarkEnd w:id="1244"/>
      <w:bookmarkEnd w:id="1245"/>
      <w:bookmarkEnd w:id="1246"/>
      <w:bookmarkEnd w:id="1247"/>
      <w:bookmarkEnd w:id="1248"/>
      <w:bookmarkEnd w:id="1249"/>
    </w:p>
    <w:p>
      <w:pPr>
        <w:spacing w:line="360" w:lineRule="auto"/>
        <w:ind w:left="0" w:firstLine="0"/>
      </w:pPr>
      <w:r>
        <w:rPr>
          <w:rFonts w:hint="eastAsia"/>
        </w:rPr>
        <w:t>1</w:t>
      </w:r>
      <w:r>
        <w:t>5</w:t>
      </w:r>
      <w:r>
        <w:rPr>
          <w:rFonts w:hint="eastAsia"/>
        </w:rPr>
        <w:t>.3.1　变更的提出</w:t>
      </w:r>
    </w:p>
    <w:p>
      <w:pPr>
        <w:spacing w:line="360" w:lineRule="auto"/>
        <w:ind w:left="0" w:firstLine="0"/>
      </w:pPr>
      <w:r>
        <w:rPr>
          <w:rFonts w:hint="eastAsia"/>
        </w:rPr>
        <w:t>（1）在分包合同履行过程中，可能发生第1</w:t>
      </w:r>
      <w:r>
        <w:t>5</w:t>
      </w:r>
      <w:r>
        <w:rPr>
          <w:rFonts w:hint="eastAsia"/>
        </w:rPr>
        <w:t>.1款约定情形的，承包人可向分包人发出变更意向书。变更意向书应说明变更的具体内容和承包人对变更的时间要求，并附必要的图纸和相关资料。变更意向书应要求分包人提交包括拟实施变更工作的计划、措施和完工时间等内容的实施方案。承包人同意分包人根据变更意向书要求提交的变更实施方案的，由承包人按第1</w:t>
      </w:r>
      <w:r>
        <w:t>5</w:t>
      </w:r>
      <w:r>
        <w:rPr>
          <w:rFonts w:hint="eastAsia"/>
        </w:rPr>
        <w:t xml:space="preserve">.3.3项约定发出变更指示。 </w:t>
      </w:r>
    </w:p>
    <w:p>
      <w:pPr>
        <w:spacing w:line="360" w:lineRule="auto"/>
        <w:ind w:left="0" w:firstLine="0"/>
      </w:pPr>
      <w:r>
        <w:rPr>
          <w:rFonts w:hint="eastAsia"/>
        </w:rPr>
        <w:t>（2）在分包合同履行过程中，发生第1</w:t>
      </w:r>
      <w:r>
        <w:t>5</w:t>
      </w:r>
      <w:r>
        <w:rPr>
          <w:rFonts w:hint="eastAsia"/>
        </w:rPr>
        <w:t>.1款约定情形的，承包人应按照第1</w:t>
      </w:r>
      <w:r>
        <w:t>5</w:t>
      </w:r>
      <w:r>
        <w:rPr>
          <w:rFonts w:hint="eastAsia"/>
        </w:rPr>
        <w:t>.3.3项约定向分包人发出变更指示。</w:t>
      </w:r>
    </w:p>
    <w:p>
      <w:pPr>
        <w:spacing w:line="360" w:lineRule="auto"/>
        <w:ind w:left="0" w:firstLine="0"/>
      </w:pPr>
      <w:r>
        <w:rPr>
          <w:rFonts w:hint="eastAsia"/>
        </w:rPr>
        <w:t>（3）分包人收到承包人按分包合同约定发出的图纸和文件，经检查认为其中存在第1</w:t>
      </w:r>
      <w:r>
        <w:t>5</w:t>
      </w:r>
      <w:r>
        <w:rPr>
          <w:rFonts w:hint="eastAsia"/>
        </w:rPr>
        <w:t>.1款约定情形的，可向承包人提出书面变更建议。变更建议应阐明要求变更的依据，并附必要的图纸和说明。承包人收到分包人书面建议后，应与分包人共同研究，确认存在变更的，应在收到分包人书面建议后的21天内作出变更指示。经研究后不同意作为变更的，应由承包人书面答复分包人。</w:t>
      </w:r>
    </w:p>
    <w:p>
      <w:pPr>
        <w:spacing w:line="360" w:lineRule="auto"/>
        <w:ind w:left="0" w:firstLine="0"/>
      </w:pPr>
      <w:r>
        <w:rPr>
          <w:rFonts w:hint="eastAsia"/>
        </w:rPr>
        <w:t>（4）若分包人收到承包人的变更意向书后认为难以实施此项变更，应立即通知承包人，说明原因并附详细依据。承包人与分包人协商后确定撤销、改变或不改变原变更意向书。</w:t>
      </w:r>
    </w:p>
    <w:p>
      <w:pPr>
        <w:spacing w:line="360" w:lineRule="auto"/>
        <w:ind w:left="0" w:firstLine="0"/>
      </w:pPr>
      <w:r>
        <w:rPr>
          <w:rFonts w:hint="eastAsia"/>
        </w:rPr>
        <w:t>1</w:t>
      </w:r>
      <w:r>
        <w:t>5</w:t>
      </w:r>
      <w:r>
        <w:rPr>
          <w:rFonts w:hint="eastAsia"/>
        </w:rPr>
        <w:t>.3.2　变更估价</w:t>
      </w:r>
    </w:p>
    <w:p>
      <w:pPr>
        <w:spacing w:line="360" w:lineRule="auto"/>
        <w:ind w:left="0" w:firstLine="0"/>
      </w:pPr>
      <w:r>
        <w:rPr>
          <w:rFonts w:hint="eastAsia"/>
        </w:rPr>
        <w:t>（1）除专用合同条款对期限另有约定外，分包人应在收到变更指示或变更意向书后的7天内，向承包人提交变更报价书，报价内容应根据第1</w:t>
      </w:r>
      <w:r>
        <w:t>5</w:t>
      </w:r>
      <w:r>
        <w:rPr>
          <w:rFonts w:hint="eastAsia"/>
        </w:rPr>
        <w:t>.4款约定的估价原则，详细开列变更工作的价格组成及其依据，并附必要的施工方法说明和有关图纸。</w:t>
      </w:r>
    </w:p>
    <w:p>
      <w:pPr>
        <w:spacing w:line="360" w:lineRule="auto"/>
        <w:ind w:left="0" w:firstLine="0"/>
      </w:pPr>
      <w:r>
        <w:rPr>
          <w:rFonts w:hint="eastAsia"/>
        </w:rPr>
        <w:t>（2）变更工作影响工期的，分包人应提出调整工期的具体细节。承包人认为有必要时，可要求分包人提交要求提前或延长工期的施工进度计划及相应施工措施等详细资料。</w:t>
      </w:r>
    </w:p>
    <w:p>
      <w:pPr>
        <w:spacing w:line="360" w:lineRule="auto"/>
        <w:ind w:left="0" w:firstLine="0"/>
      </w:pPr>
      <w:r>
        <w:rPr>
          <w:rFonts w:hint="eastAsia"/>
        </w:rPr>
        <w:t>（3）除专用合同条款对期限另有约定外，承包人收到分包人变更报价书后的21天内，根据第1</w:t>
      </w:r>
      <w:r>
        <w:t>5</w:t>
      </w:r>
      <w:r>
        <w:rPr>
          <w:rFonts w:hint="eastAsia"/>
        </w:rPr>
        <w:t>.4款约定的估价原则，由承包人与分包人商定变更价格。</w:t>
      </w:r>
    </w:p>
    <w:p>
      <w:pPr>
        <w:spacing w:line="360" w:lineRule="auto"/>
        <w:ind w:left="0" w:firstLine="0"/>
      </w:pPr>
      <w:r>
        <w:rPr>
          <w:rFonts w:hint="eastAsia"/>
        </w:rPr>
        <w:t>（4）收到变更指示后，如分包人未在规定的期限内提交变更报价书的，承包人可自行决定是否调整合同价款以及如果承包人决定调整合同价款时，相应调整的具体金额。</w:t>
      </w:r>
    </w:p>
    <w:p>
      <w:pPr>
        <w:spacing w:line="360" w:lineRule="auto"/>
        <w:ind w:left="0" w:firstLine="0"/>
      </w:pPr>
      <w:r>
        <w:rPr>
          <w:rFonts w:hint="eastAsia"/>
        </w:rPr>
        <w:t>1</w:t>
      </w:r>
      <w:r>
        <w:t>5</w:t>
      </w:r>
      <w:r>
        <w:rPr>
          <w:rFonts w:hint="eastAsia"/>
        </w:rPr>
        <w:t>.3.3　变更指示</w:t>
      </w:r>
    </w:p>
    <w:p>
      <w:pPr>
        <w:spacing w:line="360" w:lineRule="auto"/>
        <w:ind w:left="0" w:firstLine="0"/>
      </w:pPr>
      <w:r>
        <w:rPr>
          <w:rFonts w:hint="eastAsia"/>
        </w:rPr>
        <w:t>（1）变更指示只能由承包人发出。</w:t>
      </w:r>
    </w:p>
    <w:p>
      <w:pPr>
        <w:spacing w:line="360" w:lineRule="auto"/>
        <w:ind w:left="0" w:firstLine="0"/>
      </w:pPr>
      <w:r>
        <w:rPr>
          <w:rFonts w:hint="eastAsia"/>
        </w:rPr>
        <w:t>（2）变更指示应说明变更的目的、范围、变更内容以及变更的工程量及其进度和技术要求，并附有关图纸和文件。分包人收到变更指示后，应按变更指示进行变更工作。</w:t>
      </w:r>
    </w:p>
    <w:p>
      <w:pPr>
        <w:spacing w:line="360" w:lineRule="auto"/>
        <w:ind w:left="0" w:firstLine="0"/>
      </w:pPr>
      <w:bookmarkStart w:id="1250" w:name="_Toc393200139"/>
      <w:bookmarkStart w:id="1251" w:name="_Toc342296361"/>
      <w:bookmarkStart w:id="1252" w:name="_Toc391456283"/>
      <w:bookmarkStart w:id="1253" w:name="_Toc403052724"/>
      <w:bookmarkStart w:id="1254" w:name="_Toc403059666"/>
      <w:bookmarkStart w:id="1255" w:name="_Toc338944803"/>
      <w:bookmarkStart w:id="1256" w:name="_Toc393199625"/>
      <w:bookmarkStart w:id="1257" w:name="_Toc393200653"/>
      <w:bookmarkStart w:id="1258" w:name="_Toc403054484"/>
      <w:r>
        <w:rPr>
          <w:rFonts w:hint="eastAsia"/>
        </w:rPr>
        <w:t>1</w:t>
      </w:r>
      <w:r>
        <w:t>5</w:t>
      </w:r>
      <w:r>
        <w:rPr>
          <w:rFonts w:hint="eastAsia"/>
        </w:rPr>
        <w:t>.4　变更的估价原则</w:t>
      </w:r>
      <w:bookmarkEnd w:id="1250"/>
      <w:bookmarkEnd w:id="1251"/>
      <w:bookmarkEnd w:id="1252"/>
      <w:bookmarkEnd w:id="1253"/>
      <w:bookmarkEnd w:id="1254"/>
      <w:bookmarkEnd w:id="1255"/>
      <w:bookmarkEnd w:id="1256"/>
      <w:bookmarkEnd w:id="1257"/>
      <w:bookmarkEnd w:id="1258"/>
    </w:p>
    <w:p>
      <w:pPr>
        <w:spacing w:line="360" w:lineRule="auto"/>
        <w:ind w:left="0" w:firstLine="0"/>
      </w:pPr>
      <w:r>
        <w:rPr>
          <w:rFonts w:hint="eastAsia"/>
        </w:rPr>
        <w:t>除专用合同条款另有约定外，因变更引起的价格调整按照本款约定处理。</w:t>
      </w:r>
    </w:p>
    <w:p>
      <w:pPr>
        <w:spacing w:line="360" w:lineRule="auto"/>
        <w:ind w:left="0" w:firstLine="0"/>
      </w:pPr>
      <w:r>
        <w:rPr>
          <w:rFonts w:hint="eastAsia"/>
        </w:rPr>
        <w:t>1</w:t>
      </w:r>
      <w:r>
        <w:t>5</w:t>
      </w:r>
      <w:r>
        <w:rPr>
          <w:rFonts w:hint="eastAsia"/>
        </w:rPr>
        <w:t>.4.1　已标价工程量清单中有适用于变更工作的子目的，采用该子目的单价。</w:t>
      </w:r>
    </w:p>
    <w:p>
      <w:pPr>
        <w:spacing w:line="360" w:lineRule="auto"/>
        <w:ind w:left="0" w:firstLine="0"/>
      </w:pPr>
      <w:r>
        <w:rPr>
          <w:rFonts w:hint="eastAsia"/>
        </w:rPr>
        <w:t>1</w:t>
      </w:r>
      <w:r>
        <w:t>5</w:t>
      </w:r>
      <w:r>
        <w:rPr>
          <w:rFonts w:hint="eastAsia"/>
        </w:rPr>
        <w:t>.4.2　已标价工程量清单中无适用于变更工作的子目，但有类似子目的，可在合理范围内参照类似子目的单价，由承包人与分包人商定变更工作的单价。</w:t>
      </w:r>
    </w:p>
    <w:p>
      <w:pPr>
        <w:spacing w:line="360" w:lineRule="auto"/>
        <w:ind w:left="0" w:firstLine="0"/>
      </w:pPr>
      <w:r>
        <w:rPr>
          <w:rFonts w:hint="eastAsia"/>
        </w:rPr>
        <w:t>1</w:t>
      </w:r>
      <w:r>
        <w:t>5</w:t>
      </w:r>
      <w:r>
        <w:rPr>
          <w:rFonts w:hint="eastAsia"/>
        </w:rPr>
        <w:t>.4.3　已标价工程量清单中无适用或类似子目的单价，可按照成本加利润的原则，由承包人与分包人商定变更工作的单价。</w:t>
      </w:r>
    </w:p>
    <w:p>
      <w:pPr>
        <w:spacing w:line="360" w:lineRule="auto"/>
        <w:ind w:left="0" w:firstLine="0"/>
      </w:pPr>
      <w:r>
        <w:rPr>
          <w:rFonts w:hint="eastAsia"/>
        </w:rPr>
        <w:t>1</w:t>
      </w:r>
      <w:r>
        <w:t>5</w:t>
      </w:r>
      <w:r>
        <w:rPr>
          <w:rFonts w:hint="eastAsia"/>
        </w:rPr>
        <w:t>.4.4　因工程量清单漏项（仅适用于合同协议书约定采用单价合同形式时）或变更引起措施项目发生变化，原措施项目费中已有的措施项目，采用原措施项目费的组价方法变更；原措施项目费中没有的措施项目，由分包人根据措施项目变更情况，提出适当的措施项目费变更，承包人和分包人商定变更措施项目的费用。</w:t>
      </w:r>
    </w:p>
    <w:p>
      <w:pPr>
        <w:spacing w:line="360" w:lineRule="auto"/>
        <w:ind w:left="0" w:firstLine="0"/>
      </w:pPr>
      <w:bookmarkStart w:id="1259" w:name="_Toc393200140"/>
      <w:bookmarkStart w:id="1260" w:name="_Toc403052725"/>
      <w:bookmarkStart w:id="1261" w:name="_Toc338944804"/>
      <w:bookmarkStart w:id="1262" w:name="_Toc391456284"/>
      <w:bookmarkStart w:id="1263" w:name="_Toc403054485"/>
      <w:bookmarkStart w:id="1264" w:name="_Toc342296362"/>
      <w:bookmarkStart w:id="1265" w:name="_Toc393199626"/>
      <w:bookmarkStart w:id="1266" w:name="_Toc393200654"/>
      <w:bookmarkStart w:id="1267" w:name="_Toc403059667"/>
      <w:r>
        <w:rPr>
          <w:rFonts w:hint="eastAsia"/>
        </w:rPr>
        <w:t>1</w:t>
      </w:r>
      <w:r>
        <w:t>5</w:t>
      </w:r>
      <w:r>
        <w:rPr>
          <w:rFonts w:hint="eastAsia"/>
        </w:rPr>
        <w:t>.5　分包人的合理化建议</w:t>
      </w:r>
      <w:bookmarkEnd w:id="1259"/>
      <w:bookmarkEnd w:id="1260"/>
      <w:bookmarkEnd w:id="1261"/>
      <w:bookmarkEnd w:id="1262"/>
      <w:bookmarkEnd w:id="1263"/>
      <w:bookmarkEnd w:id="1264"/>
      <w:bookmarkEnd w:id="1265"/>
      <w:bookmarkEnd w:id="1266"/>
      <w:bookmarkEnd w:id="1267"/>
    </w:p>
    <w:p>
      <w:pPr>
        <w:spacing w:line="360" w:lineRule="auto"/>
        <w:ind w:left="0" w:firstLine="0"/>
      </w:pPr>
      <w:r>
        <w:rPr>
          <w:rFonts w:hint="eastAsia"/>
        </w:rPr>
        <w:t>1</w:t>
      </w:r>
      <w:r>
        <w:t>5</w:t>
      </w:r>
      <w:r>
        <w:rPr>
          <w:rFonts w:hint="eastAsia"/>
        </w:rPr>
        <w:t>.5.1　在履行分包合同过程中，分包人对承包人提供的图纸、技术要求以及其他方面提出的合理化建议，均应以书面形式提交承包人。合理化建议书的内容应包括建议工作的详细说明、进度计划和效益以及与其他工作的协调等，并附必要的设计文件。建议被采纳并构成变更的，应按第1</w:t>
      </w:r>
      <w:r>
        <w:t>5</w:t>
      </w:r>
      <w:r>
        <w:rPr>
          <w:rFonts w:hint="eastAsia"/>
        </w:rPr>
        <w:t>.3.3项约定向分包人发出变更指示。</w:t>
      </w:r>
    </w:p>
    <w:p>
      <w:pPr>
        <w:spacing w:line="360" w:lineRule="auto"/>
        <w:ind w:left="0" w:firstLine="0"/>
      </w:pPr>
      <w:r>
        <w:rPr>
          <w:rFonts w:hint="eastAsia"/>
        </w:rPr>
        <w:t>1</w:t>
      </w:r>
      <w:r>
        <w:t>5</w:t>
      </w:r>
      <w:r>
        <w:rPr>
          <w:rFonts w:hint="eastAsia"/>
        </w:rPr>
        <w:t>.5.2　分包人提出的合理化建议降低了合同价格、缩短了工期或者提高了工程经济效益的，承包人可按国家有关规定在专用合同条款中约定给予奖励。</w:t>
      </w:r>
    </w:p>
    <w:p>
      <w:pPr>
        <w:spacing w:line="360" w:lineRule="auto"/>
        <w:ind w:left="0" w:firstLine="0"/>
      </w:pPr>
      <w:bookmarkStart w:id="1268" w:name="_Toc152042490"/>
      <w:bookmarkStart w:id="1269" w:name="_Toc152045712"/>
      <w:bookmarkStart w:id="1270" w:name="_Toc393199627"/>
      <w:bookmarkStart w:id="1271" w:name="_Toc403059668"/>
      <w:bookmarkStart w:id="1272" w:name="_Toc403054486"/>
      <w:bookmarkStart w:id="1273" w:name="_Toc144974681"/>
      <w:bookmarkStart w:id="1274" w:name="_Toc403052726"/>
      <w:bookmarkStart w:id="1275" w:name="_Toc338944805"/>
      <w:bookmarkStart w:id="1276" w:name="_Toc179632730"/>
      <w:bookmarkStart w:id="1277" w:name="_Toc393200141"/>
      <w:bookmarkStart w:id="1278" w:name="_Toc342296363"/>
      <w:bookmarkStart w:id="1279" w:name="_Toc393200655"/>
      <w:bookmarkStart w:id="1280" w:name="_Toc391456285"/>
      <w:r>
        <w:rPr>
          <w:rFonts w:hint="eastAsia"/>
        </w:rPr>
        <w:t>1</w:t>
      </w:r>
      <w:r>
        <w:t>5</w:t>
      </w:r>
      <w:r>
        <w:rPr>
          <w:rFonts w:hint="eastAsia"/>
        </w:rPr>
        <w:t>.6　暂列金额</w:t>
      </w:r>
      <w:bookmarkEnd w:id="1268"/>
      <w:bookmarkEnd w:id="1269"/>
      <w:bookmarkEnd w:id="1270"/>
      <w:bookmarkEnd w:id="1271"/>
      <w:bookmarkEnd w:id="1272"/>
      <w:bookmarkEnd w:id="1273"/>
      <w:bookmarkEnd w:id="1274"/>
      <w:bookmarkEnd w:id="1275"/>
      <w:bookmarkEnd w:id="1276"/>
      <w:bookmarkEnd w:id="1277"/>
      <w:bookmarkEnd w:id="1278"/>
      <w:bookmarkEnd w:id="1279"/>
      <w:bookmarkEnd w:id="1280"/>
    </w:p>
    <w:p>
      <w:pPr>
        <w:spacing w:line="360" w:lineRule="auto"/>
        <w:ind w:left="0" w:firstLine="0"/>
      </w:pPr>
      <w:r>
        <w:rPr>
          <w:rFonts w:hint="eastAsia"/>
        </w:rPr>
        <w:t>暂列金额只能按照承包人的指示使用，并对合同价格进行相应调整。</w:t>
      </w:r>
    </w:p>
    <w:p>
      <w:pPr>
        <w:spacing w:line="360" w:lineRule="auto"/>
        <w:ind w:left="0" w:firstLine="0"/>
      </w:pPr>
      <w:bookmarkStart w:id="1281" w:name="_Toc152045713"/>
      <w:bookmarkStart w:id="1282" w:name="_Toc403059669"/>
      <w:bookmarkStart w:id="1283" w:name="_Toc144974682"/>
      <w:bookmarkStart w:id="1284" w:name="_Toc403052727"/>
      <w:bookmarkStart w:id="1285" w:name="_Toc152042491"/>
      <w:bookmarkStart w:id="1286" w:name="_Toc393199628"/>
      <w:bookmarkStart w:id="1287" w:name="_Toc338944806"/>
      <w:bookmarkStart w:id="1288" w:name="_Toc179632731"/>
      <w:bookmarkStart w:id="1289" w:name="_Toc342296364"/>
      <w:bookmarkStart w:id="1290" w:name="_Toc391456286"/>
      <w:bookmarkStart w:id="1291" w:name="_Toc403054487"/>
      <w:bookmarkStart w:id="1292" w:name="_Toc393200656"/>
      <w:bookmarkStart w:id="1293" w:name="_Toc393200142"/>
      <w:r>
        <w:rPr>
          <w:rFonts w:hint="eastAsia"/>
        </w:rPr>
        <w:t>1</w:t>
      </w:r>
      <w:r>
        <w:t>5</w:t>
      </w:r>
      <w:r>
        <w:rPr>
          <w:rFonts w:hint="eastAsia"/>
        </w:rPr>
        <w:t>.7　计日工</w:t>
      </w:r>
      <w:bookmarkEnd w:id="1281"/>
      <w:bookmarkEnd w:id="1282"/>
      <w:bookmarkEnd w:id="1283"/>
      <w:bookmarkEnd w:id="1284"/>
      <w:bookmarkEnd w:id="1285"/>
      <w:bookmarkEnd w:id="1286"/>
      <w:bookmarkEnd w:id="1287"/>
      <w:bookmarkEnd w:id="1288"/>
      <w:bookmarkEnd w:id="1289"/>
      <w:bookmarkEnd w:id="1290"/>
      <w:bookmarkEnd w:id="1291"/>
      <w:bookmarkEnd w:id="1292"/>
      <w:bookmarkEnd w:id="1293"/>
    </w:p>
    <w:p>
      <w:pPr>
        <w:spacing w:line="360" w:lineRule="auto"/>
        <w:ind w:left="0" w:firstLine="0"/>
      </w:pPr>
      <w:r>
        <w:rPr>
          <w:rFonts w:hint="eastAsia"/>
        </w:rPr>
        <w:t>1</w:t>
      </w:r>
      <w:r>
        <w:t>5</w:t>
      </w:r>
      <w:r>
        <w:rPr>
          <w:rFonts w:hint="eastAsia"/>
        </w:rPr>
        <w:t>.7.1　承包人认为有必要时，可通知分包人以计日工方式实施变更的零星工作。其价款按列入已标价工程量清单中的计日工计价子目及其单价进行计算。</w:t>
      </w:r>
    </w:p>
    <w:p>
      <w:pPr>
        <w:spacing w:line="360" w:lineRule="auto"/>
        <w:ind w:left="0" w:firstLine="0"/>
      </w:pPr>
      <w:r>
        <w:rPr>
          <w:rFonts w:hint="eastAsia"/>
        </w:rPr>
        <w:t>1</w:t>
      </w:r>
      <w:r>
        <w:t>5</w:t>
      </w:r>
      <w:r>
        <w:rPr>
          <w:rFonts w:hint="eastAsia"/>
        </w:rPr>
        <w:t>.7.2　采用计日工计价的任何一项变更工作，应从暂列金额中支付，分包人应在该项变更的实施过程中，每天提交以下报表和有关凭证报送承包人审批：</w:t>
      </w:r>
    </w:p>
    <w:p>
      <w:pPr>
        <w:spacing w:line="360" w:lineRule="auto"/>
        <w:ind w:left="0" w:firstLine="0"/>
      </w:pPr>
      <w:r>
        <w:rPr>
          <w:rFonts w:hint="eastAsia"/>
        </w:rPr>
        <w:t>（1）工作名称、内容和数量；</w:t>
      </w:r>
    </w:p>
    <w:p>
      <w:pPr>
        <w:spacing w:line="360" w:lineRule="auto"/>
        <w:ind w:left="0" w:firstLine="0"/>
      </w:pPr>
      <w:r>
        <w:rPr>
          <w:rFonts w:hint="eastAsia"/>
        </w:rPr>
        <w:t>（2）投入该工作所有人员的姓名、工种、级别和耗用工时；</w:t>
      </w:r>
    </w:p>
    <w:p>
      <w:pPr>
        <w:spacing w:line="360" w:lineRule="auto"/>
        <w:ind w:left="0" w:firstLine="0"/>
      </w:pPr>
      <w:r>
        <w:rPr>
          <w:rFonts w:hint="eastAsia"/>
        </w:rPr>
        <w:t>（3）投入该工作的材料类别和数量；</w:t>
      </w:r>
    </w:p>
    <w:p>
      <w:pPr>
        <w:spacing w:line="360" w:lineRule="auto"/>
        <w:ind w:left="0" w:firstLine="0"/>
      </w:pPr>
      <w:r>
        <w:rPr>
          <w:rFonts w:hint="eastAsia"/>
        </w:rPr>
        <w:t>（4）投入该工作的施工设备型号、台数和耗用台时；</w:t>
      </w:r>
    </w:p>
    <w:p>
      <w:pPr>
        <w:spacing w:line="360" w:lineRule="auto"/>
        <w:ind w:left="0" w:firstLine="0"/>
      </w:pPr>
      <w:r>
        <w:rPr>
          <w:rFonts w:hint="eastAsia"/>
        </w:rPr>
        <w:t>（5）承包人要求提交的其他资料和凭证。</w:t>
      </w:r>
    </w:p>
    <w:p>
      <w:pPr>
        <w:spacing w:line="360" w:lineRule="auto"/>
        <w:ind w:left="0" w:firstLine="0"/>
      </w:pPr>
      <w:r>
        <w:rPr>
          <w:rFonts w:hint="eastAsia"/>
        </w:rPr>
        <w:t>1</w:t>
      </w:r>
      <w:r>
        <w:t>5</w:t>
      </w:r>
      <w:r>
        <w:rPr>
          <w:rFonts w:hint="eastAsia"/>
        </w:rPr>
        <w:t>.7.3　计日工由分包人汇总后，按第</w:t>
      </w:r>
      <w:r>
        <w:t>17</w:t>
      </w:r>
      <w:r>
        <w:rPr>
          <w:rFonts w:hint="eastAsia"/>
        </w:rPr>
        <w:t>.3.2项的约定列入进度付款申请单，由承包人复核并同意后列入进度付款。</w:t>
      </w:r>
    </w:p>
    <w:p>
      <w:pPr>
        <w:spacing w:line="360" w:lineRule="auto"/>
        <w:ind w:left="0" w:firstLine="0"/>
      </w:pPr>
      <w:bookmarkStart w:id="1294" w:name="_Toc342296365"/>
      <w:bookmarkStart w:id="1295" w:name="_Toc403052728"/>
      <w:bookmarkStart w:id="1296" w:name="_Toc393200657"/>
      <w:bookmarkStart w:id="1297" w:name="_Toc338944807"/>
      <w:bookmarkStart w:id="1298" w:name="_Toc393199629"/>
      <w:bookmarkStart w:id="1299" w:name="_Toc393200143"/>
      <w:bookmarkStart w:id="1300" w:name="_Toc403054488"/>
      <w:bookmarkStart w:id="1301" w:name="_Toc391456287"/>
      <w:bookmarkStart w:id="1302" w:name="_Toc403059670"/>
      <w:r>
        <w:rPr>
          <w:rFonts w:hint="eastAsia"/>
        </w:rPr>
        <w:t>1</w:t>
      </w:r>
      <w:r>
        <w:t>5</w:t>
      </w:r>
      <w:r>
        <w:rPr>
          <w:rFonts w:hint="eastAsia"/>
        </w:rPr>
        <w:t>.8　暂估价</w:t>
      </w:r>
      <w:bookmarkEnd w:id="1294"/>
      <w:bookmarkEnd w:id="1295"/>
      <w:bookmarkEnd w:id="1296"/>
      <w:bookmarkEnd w:id="1297"/>
      <w:bookmarkEnd w:id="1298"/>
      <w:bookmarkEnd w:id="1299"/>
      <w:bookmarkEnd w:id="1300"/>
      <w:bookmarkEnd w:id="1301"/>
      <w:bookmarkEnd w:id="1302"/>
    </w:p>
    <w:p>
      <w:pPr>
        <w:spacing w:line="360" w:lineRule="auto"/>
        <w:ind w:left="0" w:firstLine="0"/>
      </w:pPr>
      <w:r>
        <w:rPr>
          <w:rFonts w:hint="eastAsia"/>
        </w:rPr>
        <w:t>1</w:t>
      </w:r>
      <w:r>
        <w:t>5</w:t>
      </w:r>
      <w:r>
        <w:rPr>
          <w:rFonts w:hint="eastAsia"/>
        </w:rPr>
        <w:t>.8.1　承包人在工程量清单中给定暂估价的材料、工程设备属于依法必须招标的范围并达到规定的规模标准的，由承包人和分包人以招标的方式选择供应商。中标金额与工程量清单中所列的暂估价的金额差以及相应的税金等其他费用列入合同价格。</w:t>
      </w:r>
    </w:p>
    <w:p>
      <w:pPr>
        <w:spacing w:line="360" w:lineRule="auto"/>
        <w:ind w:left="0" w:firstLine="0"/>
      </w:pPr>
      <w:r>
        <w:rPr>
          <w:rFonts w:hint="eastAsia"/>
        </w:rPr>
        <w:t>按分包合同约定应当由承包人和分包人采用招标方式选择专项供应商的，应当由分包人作为招标人，依法组织招标工作并接受有管辖权的建设工程招标投标行政监督部门的监督。与组织招标工作有关的费用应当被认为已经包括在分包人的签约合同价（投标总报价）中。</w:t>
      </w:r>
    </w:p>
    <w:p>
      <w:pPr>
        <w:spacing w:line="360" w:lineRule="auto"/>
        <w:ind w:left="0" w:firstLine="0"/>
      </w:pPr>
      <w:r>
        <w:rPr>
          <w:rFonts w:hint="eastAsia"/>
        </w:rPr>
        <w:t>1</w:t>
      </w:r>
      <w:r>
        <w:t>5</w:t>
      </w:r>
      <w:r>
        <w:rPr>
          <w:rFonts w:hint="eastAsia"/>
        </w:rPr>
        <w:t>.8.2　承包人在工程量清单中给定暂估价的材料和工程设备不属于依法必须招标的范围或未达到规定的规模标准的，应由分包人按第</w:t>
      </w:r>
      <w:r>
        <w:t>5</w:t>
      </w:r>
      <w:r>
        <w:rPr>
          <w:rFonts w:hint="eastAsia"/>
        </w:rPr>
        <w:t>.1款的约定提供。经承包人确认的材料、工程设备的价格与工程量清单中所列的暂估价的金额差以及相应的税金等其他费用列入合同价格。</w:t>
      </w:r>
    </w:p>
    <w:p>
      <w:pPr>
        <w:spacing w:line="360" w:lineRule="auto"/>
        <w:ind w:left="0" w:firstLine="0"/>
      </w:pPr>
      <w:bookmarkStart w:id="1303" w:name="_Toc391456288"/>
      <w:bookmarkStart w:id="1304" w:name="_Toc403052729"/>
      <w:bookmarkStart w:id="1305" w:name="_Toc403059671"/>
      <w:bookmarkStart w:id="1306" w:name="_Toc342296366"/>
      <w:bookmarkStart w:id="1307" w:name="_Toc338944808"/>
      <w:r>
        <w:rPr>
          <w:rFonts w:hint="eastAsia"/>
        </w:rPr>
        <w:t>1</w:t>
      </w:r>
      <w:r>
        <w:t>6</w:t>
      </w:r>
      <w:r>
        <w:rPr>
          <w:rFonts w:hint="eastAsia"/>
        </w:rPr>
        <w:t>. 价格调整</w:t>
      </w:r>
      <w:bookmarkEnd w:id="1303"/>
      <w:bookmarkEnd w:id="1304"/>
      <w:bookmarkEnd w:id="1305"/>
      <w:bookmarkEnd w:id="1306"/>
      <w:bookmarkEnd w:id="1307"/>
    </w:p>
    <w:p>
      <w:pPr>
        <w:spacing w:line="360" w:lineRule="auto"/>
        <w:ind w:left="0" w:firstLine="0"/>
      </w:pPr>
      <w:bookmarkStart w:id="1308" w:name="_Toc391456289"/>
      <w:bookmarkStart w:id="1309" w:name="_Toc342296367"/>
      <w:bookmarkStart w:id="1310" w:name="_Toc403054490"/>
      <w:bookmarkStart w:id="1311" w:name="_Toc393199631"/>
      <w:bookmarkStart w:id="1312" w:name="_Toc403059672"/>
      <w:bookmarkStart w:id="1313" w:name="_Toc393200145"/>
      <w:bookmarkStart w:id="1314" w:name="_Toc403052730"/>
      <w:bookmarkStart w:id="1315" w:name="_Toc393200659"/>
      <w:bookmarkStart w:id="1316" w:name="_Toc338944809"/>
      <w:r>
        <w:rPr>
          <w:rFonts w:hint="eastAsia"/>
        </w:rPr>
        <w:t>1</w:t>
      </w:r>
      <w:r>
        <w:t>6</w:t>
      </w:r>
      <w:r>
        <w:rPr>
          <w:rFonts w:hint="eastAsia"/>
        </w:rPr>
        <w:t>.1　物价波动引起的价格调整</w:t>
      </w:r>
      <w:bookmarkEnd w:id="1308"/>
      <w:bookmarkEnd w:id="1309"/>
      <w:bookmarkEnd w:id="1310"/>
      <w:bookmarkEnd w:id="1311"/>
      <w:bookmarkEnd w:id="1312"/>
      <w:bookmarkEnd w:id="1313"/>
      <w:bookmarkEnd w:id="1314"/>
      <w:bookmarkEnd w:id="1315"/>
      <w:bookmarkEnd w:id="1316"/>
    </w:p>
    <w:p>
      <w:pPr>
        <w:spacing w:line="360" w:lineRule="auto"/>
        <w:ind w:left="0" w:firstLine="0"/>
      </w:pPr>
      <w:r>
        <w:rPr>
          <w:rFonts w:hint="eastAsia"/>
        </w:rPr>
        <w:t>除专用合同条款另有约定外，因物价波动引起的价格调整按照本款约定处理。</w:t>
      </w:r>
    </w:p>
    <w:p>
      <w:pPr>
        <w:spacing w:line="360" w:lineRule="auto"/>
        <w:ind w:left="0" w:firstLine="0"/>
      </w:pPr>
      <w:r>
        <w:rPr>
          <w:rFonts w:hint="eastAsia"/>
        </w:rPr>
        <w:t>1</w:t>
      </w:r>
      <w:r>
        <w:t>6</w:t>
      </w:r>
      <w:r>
        <w:rPr>
          <w:rFonts w:hint="eastAsia"/>
        </w:rPr>
        <w:t>.1.1　采用价格指数调整价格差额</w:t>
      </w:r>
    </w:p>
    <w:p>
      <w:pPr>
        <w:spacing w:line="360" w:lineRule="auto"/>
        <w:ind w:left="0" w:firstLine="0"/>
      </w:pPr>
      <w:bookmarkStart w:id="1317" w:name="_Toc403052731"/>
      <w:bookmarkStart w:id="1318" w:name="_Toc393199632"/>
      <w:bookmarkStart w:id="1319" w:name="_Toc393200660"/>
      <w:bookmarkStart w:id="1320" w:name="_Toc391456290"/>
      <w:bookmarkStart w:id="1321" w:name="_Toc393200146"/>
      <w:bookmarkStart w:id="1322" w:name="_Toc403054491"/>
      <w:bookmarkStart w:id="1323" w:name="_Toc403059673"/>
      <w:r>
        <w:rPr>
          <w:rFonts w:hint="eastAsia"/>
        </w:rPr>
        <w:t>1</w:t>
      </w:r>
      <w:r>
        <w:t>6</w:t>
      </w:r>
      <w:r>
        <w:rPr>
          <w:rFonts w:hint="eastAsia"/>
        </w:rPr>
        <w:t>.1.1.1　价格调整公式</w:t>
      </w:r>
      <w:bookmarkEnd w:id="1317"/>
      <w:bookmarkEnd w:id="1318"/>
      <w:bookmarkEnd w:id="1319"/>
      <w:bookmarkEnd w:id="1320"/>
      <w:bookmarkEnd w:id="1321"/>
      <w:bookmarkEnd w:id="1322"/>
      <w:bookmarkEnd w:id="1323"/>
    </w:p>
    <w:p>
      <w:pPr>
        <w:spacing w:line="360" w:lineRule="auto"/>
        <w:ind w:left="0" w:firstLine="0"/>
      </w:pPr>
      <w:r>
        <w:rPr>
          <w:rFonts w:hint="eastAsia"/>
        </w:rPr>
        <w:t>因人工、材料和设备等价格波动影响合同价格时，根据投标函附录中的价格指数和权重表约定的数据，按以下公式计算差额并调整合同价格。</w:t>
      </w:r>
    </w:p>
    <w:p>
      <w:pPr>
        <w:spacing w:line="360" w:lineRule="auto"/>
        <w:ind w:left="0" w:firstLine="0"/>
      </w:pPr>
      <w:r>
        <w:object>
          <v:shape id="_x0000_i1025" o:spt="75" type="#_x0000_t75" style="height:39.2pt;width:306.55pt;" o:ole="t" filled="f" o:preferrelative="t" stroked="f" coordsize="21600,21600">
            <v:path/>
            <v:fill on="f" focussize="0,0"/>
            <v:stroke on="f" joinstyle="miter"/>
            <v:imagedata r:id="rId27" o:title=""/>
            <o:lock v:ext="edit" aspectratio="t"/>
            <w10:wrap type="none"/>
            <w10:anchorlock/>
          </v:shape>
          <o:OLEObject Type="Embed" ProgID="Equation.3" ShapeID="_x0000_i1025" DrawAspect="Content" ObjectID="_1468075725" r:id="rId26">
            <o:LockedField>false</o:LockedField>
          </o:OLEObject>
        </w:object>
      </w:r>
    </w:p>
    <w:p>
      <w:pPr>
        <w:spacing w:line="360" w:lineRule="auto"/>
        <w:ind w:left="0" w:firstLine="0"/>
      </w:pPr>
    </w:p>
    <w:p>
      <w:pPr>
        <w:spacing w:line="360" w:lineRule="auto"/>
        <w:ind w:left="0" w:firstLine="0"/>
      </w:pPr>
      <w:r>
        <w:rPr>
          <w:rFonts w:hint="eastAsia"/>
        </w:rPr>
        <w:t>式中： △P -- 需调整的价格差额；</w:t>
      </w:r>
    </w:p>
    <w:p>
      <w:pPr>
        <w:spacing w:line="360" w:lineRule="auto"/>
        <w:ind w:left="0" w:firstLine="0"/>
      </w:pPr>
      <w:r>
        <w:rPr>
          <w:rFonts w:hint="eastAsia"/>
        </w:rPr>
        <w:tab/>
      </w:r>
      <w:r>
        <w:rPr>
          <w:rFonts w:hint="eastAsia"/>
        </w:rPr>
        <w:t>P0 -- 第1</w:t>
      </w:r>
      <w:r>
        <w:t>7</w:t>
      </w:r>
      <w:r>
        <w:rPr>
          <w:rFonts w:hint="eastAsia"/>
        </w:rPr>
        <w:t>.3.3项、第</w:t>
      </w:r>
      <w:r>
        <w:t>17</w:t>
      </w:r>
      <w:r>
        <w:rPr>
          <w:rFonts w:hint="eastAsia"/>
        </w:rPr>
        <w:t>.5.2项和第</w:t>
      </w:r>
      <w:r>
        <w:t>17</w:t>
      </w:r>
      <w:r>
        <w:rPr>
          <w:rFonts w:hint="eastAsia"/>
        </w:rPr>
        <w:t>.6.2项约定的付款证书中分包人应得到的已完成工程量的金额。此项金额应不包括价格调整、不计质量保证金的扣留和支付、预付款的支付和扣回。第15条约定的变更及其他金额已按现行价格计价的，也不计在内；</w:t>
      </w:r>
    </w:p>
    <w:p>
      <w:pPr>
        <w:spacing w:line="360" w:lineRule="auto"/>
        <w:ind w:left="0" w:firstLine="0"/>
      </w:pPr>
      <w:r>
        <w:rPr>
          <w:rFonts w:hint="eastAsia"/>
        </w:rPr>
        <w:tab/>
      </w:r>
      <w:bookmarkStart w:id="1324" w:name="_Toc144974686"/>
      <w:bookmarkStart w:id="1325" w:name="_Toc152042495"/>
      <w:r>
        <w:rPr>
          <w:rFonts w:hint="eastAsia"/>
        </w:rPr>
        <w:t>A -- 定值权重(即不调部分的权重)；</w:t>
      </w:r>
      <w:bookmarkEnd w:id="1324"/>
      <w:bookmarkEnd w:id="1325"/>
    </w:p>
    <w:p>
      <w:pPr>
        <w:spacing w:line="360" w:lineRule="auto"/>
        <w:ind w:left="0" w:firstLine="0"/>
      </w:pPr>
      <w:r>
        <w:rPr>
          <w:rFonts w:hint="eastAsia"/>
        </w:rPr>
        <w:tab/>
      </w:r>
      <w:r>
        <w:rPr>
          <w:rFonts w:hint="eastAsia"/>
        </w:rPr>
        <w:t>B1; B2 ;B3·····Bn -- 各可调因子的变值权重(即可调部分的权重)为各可调因子在投标函投标总报价中所占的比例；</w:t>
      </w:r>
    </w:p>
    <w:p>
      <w:pPr>
        <w:spacing w:line="360" w:lineRule="auto"/>
        <w:ind w:left="0" w:firstLine="0"/>
      </w:pPr>
      <w:r>
        <w:rPr>
          <w:rFonts w:hint="eastAsia"/>
        </w:rPr>
        <w:tab/>
      </w:r>
      <w:r>
        <w:rPr>
          <w:rFonts w:hint="eastAsia"/>
        </w:rPr>
        <w:t>Ft1 ;Ft2 ;Ft3·····Ftn -- 各可调因子的现行价格指数，指第</w:t>
      </w:r>
      <w:r>
        <w:t>17</w:t>
      </w:r>
      <w:r>
        <w:rPr>
          <w:rFonts w:hint="eastAsia"/>
        </w:rPr>
        <w:t>.3.3项、第</w:t>
      </w:r>
      <w:r>
        <w:t>17</w:t>
      </w:r>
      <w:r>
        <w:rPr>
          <w:rFonts w:hint="eastAsia"/>
        </w:rPr>
        <w:t>.5.2项和第</w:t>
      </w:r>
      <w:r>
        <w:t>17</w:t>
      </w:r>
      <w:r>
        <w:rPr>
          <w:rFonts w:hint="eastAsia"/>
        </w:rPr>
        <w:t>.6.2项约定的付款证书相关周期最后一天的前42天的各可调因子的价格指数；</w:t>
      </w:r>
    </w:p>
    <w:p>
      <w:pPr>
        <w:spacing w:line="360" w:lineRule="auto"/>
        <w:ind w:left="0" w:firstLine="0"/>
      </w:pPr>
      <w:r>
        <w:rPr>
          <w:rFonts w:hint="eastAsia"/>
        </w:rPr>
        <w:tab/>
      </w:r>
      <w:r>
        <w:rPr>
          <w:rFonts w:hint="eastAsia"/>
        </w:rPr>
        <w:t>Fo1; Fo2; Fo3·····Fon -- 各可调因子的基本价格指数，指基准日期的各可调因子</w:t>
      </w:r>
      <w:r>
        <w:br w:type="textWrapping"/>
      </w:r>
      <w:r>
        <w:rPr>
          <w:rFonts w:hint="eastAsia"/>
        </w:rPr>
        <w:t>的价格指数。</w:t>
      </w:r>
    </w:p>
    <w:p>
      <w:pPr>
        <w:spacing w:line="360" w:lineRule="auto"/>
        <w:ind w:left="0" w:firstLine="0"/>
      </w:pPr>
      <w:r>
        <w:rPr>
          <w:rFonts w:hint="eastAsia"/>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spacing w:line="360" w:lineRule="auto"/>
        <w:ind w:left="0" w:firstLine="0"/>
      </w:pPr>
      <w:r>
        <w:rPr>
          <w:rFonts w:hint="eastAsia"/>
        </w:rPr>
        <w:t>1</w:t>
      </w:r>
      <w:r>
        <w:t>6</w:t>
      </w:r>
      <w:r>
        <w:rPr>
          <w:rFonts w:hint="eastAsia"/>
        </w:rPr>
        <w:t>.1.1.2　暂时确定调整差额</w:t>
      </w:r>
    </w:p>
    <w:p>
      <w:pPr>
        <w:spacing w:line="360" w:lineRule="auto"/>
        <w:ind w:left="0" w:firstLine="0"/>
      </w:pPr>
      <w:r>
        <w:rPr>
          <w:rFonts w:hint="eastAsia"/>
        </w:rPr>
        <w:t>在计算调整差额时得不到现行价格指数的，可暂用上一次价格指数计算，并在以后的付款中再按实际价格指数进行调整。</w:t>
      </w:r>
    </w:p>
    <w:p>
      <w:pPr>
        <w:spacing w:line="360" w:lineRule="auto"/>
        <w:ind w:left="0" w:firstLine="0"/>
      </w:pPr>
      <w:bookmarkStart w:id="1326" w:name="_Toc391456291"/>
      <w:bookmarkStart w:id="1327" w:name="_Toc393199633"/>
      <w:bookmarkStart w:id="1328" w:name="_Toc393200147"/>
      <w:bookmarkStart w:id="1329" w:name="_Toc403054492"/>
      <w:bookmarkStart w:id="1330" w:name="_Toc403059674"/>
      <w:bookmarkStart w:id="1331" w:name="_Toc393200661"/>
      <w:bookmarkStart w:id="1332" w:name="_Toc403052732"/>
      <w:r>
        <w:rPr>
          <w:rFonts w:hint="eastAsia"/>
        </w:rPr>
        <w:t>1</w:t>
      </w:r>
      <w:r>
        <w:t>6</w:t>
      </w:r>
      <w:r>
        <w:rPr>
          <w:rFonts w:hint="eastAsia"/>
        </w:rPr>
        <w:t>.1.1.3　权重的调整</w:t>
      </w:r>
      <w:bookmarkEnd w:id="1326"/>
      <w:bookmarkEnd w:id="1327"/>
      <w:bookmarkEnd w:id="1328"/>
      <w:bookmarkEnd w:id="1329"/>
      <w:bookmarkEnd w:id="1330"/>
      <w:bookmarkEnd w:id="1331"/>
      <w:bookmarkEnd w:id="1332"/>
    </w:p>
    <w:p>
      <w:pPr>
        <w:spacing w:line="360" w:lineRule="auto"/>
        <w:ind w:left="0" w:firstLine="0"/>
      </w:pPr>
      <w:r>
        <w:rPr>
          <w:rFonts w:hint="eastAsia"/>
        </w:rPr>
        <w:t>按第1</w:t>
      </w:r>
      <w:r>
        <w:t>5</w:t>
      </w:r>
      <w:r>
        <w:rPr>
          <w:rFonts w:hint="eastAsia"/>
        </w:rPr>
        <w:t>.1款约定的变更导致原定合同中的权重不合理时，由承包人与分包人协商后进行调整。</w:t>
      </w:r>
    </w:p>
    <w:p>
      <w:pPr>
        <w:spacing w:line="360" w:lineRule="auto"/>
        <w:ind w:left="0" w:firstLine="0"/>
      </w:pPr>
      <w:r>
        <w:rPr>
          <w:rFonts w:hint="eastAsia"/>
        </w:rPr>
        <w:t>1</w:t>
      </w:r>
      <w:r>
        <w:t>6</w:t>
      </w:r>
      <w:r>
        <w:rPr>
          <w:rFonts w:hint="eastAsia"/>
        </w:rPr>
        <w:t>.1.1.4　分包人工期延误后的价格调整</w:t>
      </w:r>
    </w:p>
    <w:p>
      <w:pPr>
        <w:spacing w:line="360" w:lineRule="auto"/>
        <w:ind w:left="0" w:firstLine="0"/>
      </w:pPr>
      <w:r>
        <w:rPr>
          <w:rFonts w:hint="eastAsia"/>
        </w:rPr>
        <w:t>由于分包人原因未在约定的工期内完工的，则对原约定完工日期后继续施工的工程，在使用第1</w:t>
      </w:r>
      <w:r>
        <w:t>6</w:t>
      </w:r>
      <w:r>
        <w:rPr>
          <w:rFonts w:hint="eastAsia"/>
        </w:rPr>
        <w:t>.1.1.1目价格调整公式时，应采用原约定完工日期与实际完工日期的两个价格指数中较低的一个作为现行价格指数。</w:t>
      </w:r>
    </w:p>
    <w:p>
      <w:pPr>
        <w:spacing w:line="360" w:lineRule="auto"/>
        <w:ind w:left="0" w:firstLine="0"/>
      </w:pPr>
      <w:r>
        <w:t>16.1.2　采用造价信息调整价格差额</w:t>
      </w:r>
    </w:p>
    <w:p>
      <w:pPr>
        <w:spacing w:line="360" w:lineRule="auto"/>
        <w:ind w:left="0" w:firstLine="0"/>
      </w:pPr>
      <w:r>
        <w:rPr>
          <w:rFonts w:hint="eastAsia"/>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承包人复核，承包人确认需调整的材料单价及数量，作为调整工程合同价格差额的依据。</w:t>
      </w:r>
    </w:p>
    <w:p>
      <w:pPr>
        <w:spacing w:line="360" w:lineRule="auto"/>
        <w:ind w:left="0" w:firstLine="0"/>
      </w:pPr>
      <w:bookmarkStart w:id="1333" w:name="_Toc403054493"/>
      <w:bookmarkStart w:id="1334" w:name="_Toc152045717"/>
      <w:bookmarkStart w:id="1335" w:name="_Toc393200662"/>
      <w:bookmarkStart w:id="1336" w:name="_Toc179632735"/>
      <w:bookmarkStart w:id="1337" w:name="_Toc342296368"/>
      <w:bookmarkStart w:id="1338" w:name="_Toc403052733"/>
      <w:bookmarkStart w:id="1339" w:name="_Toc144974688"/>
      <w:bookmarkStart w:id="1340" w:name="_Toc393199634"/>
      <w:bookmarkStart w:id="1341" w:name="_Toc403059675"/>
      <w:bookmarkStart w:id="1342" w:name="_Toc391456292"/>
      <w:bookmarkStart w:id="1343" w:name="_Toc393200148"/>
      <w:bookmarkStart w:id="1344" w:name="_Toc152042496"/>
      <w:bookmarkStart w:id="1345" w:name="_Toc338944810"/>
      <w:r>
        <w:rPr>
          <w:rFonts w:hint="eastAsia"/>
        </w:rPr>
        <w:t>1</w:t>
      </w:r>
      <w:r>
        <w:t>6</w:t>
      </w:r>
      <w:r>
        <w:rPr>
          <w:rFonts w:hint="eastAsia"/>
        </w:rPr>
        <w:t>.2　法律变化引起的价格调整</w:t>
      </w:r>
      <w:bookmarkEnd w:id="1333"/>
      <w:bookmarkEnd w:id="1334"/>
      <w:bookmarkEnd w:id="1335"/>
      <w:bookmarkEnd w:id="1336"/>
      <w:bookmarkEnd w:id="1337"/>
      <w:bookmarkEnd w:id="1338"/>
      <w:bookmarkEnd w:id="1339"/>
      <w:bookmarkEnd w:id="1340"/>
      <w:bookmarkEnd w:id="1341"/>
      <w:bookmarkEnd w:id="1342"/>
      <w:bookmarkEnd w:id="1343"/>
      <w:bookmarkEnd w:id="1344"/>
      <w:bookmarkEnd w:id="1345"/>
    </w:p>
    <w:p>
      <w:pPr>
        <w:spacing w:line="360" w:lineRule="auto"/>
        <w:ind w:left="0" w:firstLine="0"/>
      </w:pPr>
      <w:r>
        <w:rPr>
          <w:rFonts w:hint="eastAsia"/>
        </w:rPr>
        <w:t>在基准日后，因法律变化导致分包人在合同履行中所需要的工程费用发生除第1</w:t>
      </w:r>
      <w:r>
        <w:t>6</w:t>
      </w:r>
      <w:r>
        <w:rPr>
          <w:rFonts w:hint="eastAsia"/>
        </w:rPr>
        <w:t>.1款约定以外的增减时，承包人与分包人应根据法律、国家或省、自治区、直辖市有关部门的规定，商定需调整的合同价款。</w:t>
      </w:r>
    </w:p>
    <w:p>
      <w:pPr>
        <w:spacing w:line="360" w:lineRule="auto"/>
        <w:ind w:left="0" w:firstLine="0"/>
      </w:pPr>
      <w:bookmarkStart w:id="1346" w:name="_Toc403052734"/>
      <w:bookmarkStart w:id="1347" w:name="_Toc403059676"/>
      <w:bookmarkStart w:id="1348" w:name="_Toc391456293"/>
      <w:bookmarkStart w:id="1349" w:name="_Toc338944811"/>
      <w:bookmarkStart w:id="1350" w:name="_Toc342296369"/>
      <w:r>
        <w:t>17</w:t>
      </w:r>
      <w:r>
        <w:rPr>
          <w:rFonts w:hint="eastAsia"/>
        </w:rPr>
        <w:t>. 计量与支付</w:t>
      </w:r>
      <w:bookmarkEnd w:id="1346"/>
      <w:bookmarkEnd w:id="1347"/>
      <w:bookmarkEnd w:id="1348"/>
      <w:bookmarkEnd w:id="1349"/>
      <w:bookmarkEnd w:id="1350"/>
    </w:p>
    <w:p>
      <w:pPr>
        <w:spacing w:line="360" w:lineRule="auto"/>
        <w:ind w:left="0" w:firstLine="0"/>
      </w:pPr>
      <w:bookmarkStart w:id="1351" w:name="_Toc338944812"/>
      <w:bookmarkStart w:id="1352" w:name="_Toc403054495"/>
      <w:bookmarkStart w:id="1353" w:name="_Toc391456294"/>
      <w:bookmarkStart w:id="1354" w:name="_Toc393199636"/>
      <w:bookmarkStart w:id="1355" w:name="_Toc393200150"/>
      <w:bookmarkStart w:id="1356" w:name="_Toc342296370"/>
      <w:bookmarkStart w:id="1357" w:name="_Toc403052735"/>
      <w:bookmarkStart w:id="1358" w:name="_Toc403059677"/>
      <w:bookmarkStart w:id="1359" w:name="_Toc393200664"/>
      <w:r>
        <w:t>17</w:t>
      </w:r>
      <w:r>
        <w:rPr>
          <w:rFonts w:hint="eastAsia"/>
        </w:rPr>
        <w:t>.1　计量</w:t>
      </w:r>
      <w:bookmarkEnd w:id="1351"/>
      <w:bookmarkEnd w:id="1352"/>
      <w:bookmarkEnd w:id="1353"/>
      <w:bookmarkEnd w:id="1354"/>
      <w:bookmarkEnd w:id="1355"/>
      <w:bookmarkEnd w:id="1356"/>
      <w:bookmarkEnd w:id="1357"/>
      <w:bookmarkEnd w:id="1358"/>
      <w:bookmarkEnd w:id="1359"/>
    </w:p>
    <w:p>
      <w:pPr>
        <w:spacing w:line="360" w:lineRule="auto"/>
        <w:ind w:left="0" w:firstLine="0"/>
      </w:pPr>
      <w:r>
        <w:t>17</w:t>
      </w:r>
      <w:r>
        <w:rPr>
          <w:rFonts w:hint="eastAsia"/>
        </w:rPr>
        <w:t>.1.1　计量单位</w:t>
      </w:r>
    </w:p>
    <w:p>
      <w:pPr>
        <w:spacing w:line="360" w:lineRule="auto"/>
        <w:ind w:left="0" w:firstLine="0"/>
      </w:pPr>
      <w:r>
        <w:rPr>
          <w:rFonts w:hint="eastAsia"/>
        </w:rPr>
        <w:t>计量采用国家法定的计量单位。</w:t>
      </w:r>
    </w:p>
    <w:p>
      <w:pPr>
        <w:spacing w:line="360" w:lineRule="auto"/>
        <w:ind w:left="0" w:firstLine="0"/>
      </w:pPr>
      <w:r>
        <w:t>17</w:t>
      </w:r>
      <w:r>
        <w:rPr>
          <w:rFonts w:hint="eastAsia"/>
        </w:rPr>
        <w:t>.1.2　计量方法</w:t>
      </w:r>
    </w:p>
    <w:p>
      <w:pPr>
        <w:spacing w:line="360" w:lineRule="auto"/>
        <w:ind w:left="0" w:firstLine="0"/>
      </w:pPr>
      <w:r>
        <w:t>工程量计算规则</w:t>
      </w:r>
      <w:r>
        <w:rPr>
          <w:rFonts w:hint="eastAsia"/>
        </w:rPr>
        <w:t>执行国家标准</w:t>
      </w:r>
      <w:r>
        <w:t>《建设工程工程量清单计价规范》</w:t>
      </w:r>
      <w:r>
        <w:rPr>
          <w:rFonts w:hint="eastAsia"/>
        </w:rPr>
        <w:t>（GB50500）或其适用的修订版本</w:t>
      </w:r>
      <w:r>
        <w:t>。</w:t>
      </w:r>
      <w:r>
        <w:rPr>
          <w:rFonts w:hint="eastAsia"/>
        </w:rPr>
        <w:t>除合同另有约定外，分包人实际完成的工程量按约定的工程量计算规则和有合同约束力的图纸进行计量。</w:t>
      </w:r>
    </w:p>
    <w:p>
      <w:pPr>
        <w:spacing w:line="360" w:lineRule="auto"/>
        <w:ind w:left="0" w:firstLine="0"/>
      </w:pPr>
      <w:r>
        <w:t>17</w:t>
      </w:r>
      <w:r>
        <w:rPr>
          <w:rFonts w:hint="eastAsia"/>
        </w:rPr>
        <w:t>.1.3　计量周期</w:t>
      </w:r>
    </w:p>
    <w:p>
      <w:pPr>
        <w:spacing w:line="360" w:lineRule="auto"/>
        <w:ind w:left="0" w:firstLine="0"/>
      </w:pPr>
      <w:r>
        <w:rPr>
          <w:rFonts w:hint="eastAsia"/>
        </w:rPr>
        <w:t>除专用合同条款另有约定外，单价子目已完成工程量按月计量，总价子目的计量周期按批准的支付分解报告确定。</w:t>
      </w:r>
    </w:p>
    <w:p>
      <w:pPr>
        <w:spacing w:line="360" w:lineRule="auto"/>
        <w:ind w:left="0" w:firstLine="0"/>
      </w:pPr>
      <w:r>
        <w:t>17</w:t>
      </w:r>
      <w:r>
        <w:rPr>
          <w:rFonts w:hint="eastAsia"/>
        </w:rPr>
        <w:t>.1.4　单价子目的计量</w:t>
      </w:r>
    </w:p>
    <w:p>
      <w:pPr>
        <w:spacing w:line="360" w:lineRule="auto"/>
        <w:ind w:left="0" w:firstLine="0"/>
      </w:pPr>
      <w:r>
        <w:rPr>
          <w:rFonts w:hint="eastAsia"/>
        </w:rPr>
        <w:t>（1）已标价工程量清单中的单价子目工程量为估算工程量。结算工程量是分包人实际完成的，并按分包合同约定的计量方法进行计量的工程量。</w:t>
      </w:r>
    </w:p>
    <w:p>
      <w:pPr>
        <w:spacing w:line="360" w:lineRule="auto"/>
        <w:ind w:left="0" w:firstLine="0"/>
      </w:pPr>
      <w:r>
        <w:rPr>
          <w:rFonts w:hint="eastAsia"/>
        </w:rPr>
        <w:t>（2）分包人对已完成的工程进行计量，向承包人提交进度付款申请单、已完成工程量报表和有关计量资料。</w:t>
      </w:r>
    </w:p>
    <w:p>
      <w:pPr>
        <w:spacing w:line="360" w:lineRule="auto"/>
        <w:ind w:left="0" w:firstLine="0"/>
      </w:pPr>
      <w:r>
        <w:rPr>
          <w:rFonts w:hint="eastAsia"/>
        </w:rPr>
        <w:t>（3）承包人对分包人提交的工程量报表进行复核，以确定实际完成的工程量。对数量有异议的，可要求分包人按第</w:t>
      </w:r>
      <w:r>
        <w:t>8</w:t>
      </w:r>
      <w:r>
        <w:rPr>
          <w:rFonts w:hint="eastAsia"/>
        </w:rPr>
        <w:t>.2款约定进行共同复核和抽样复测。分包人应协助承包人进行复核并按承包人要求提供补充计量资料。分包人未按承包人要求参加复核，承包人复核或修正的工程量视为分包人实际完成的工程量。</w:t>
      </w:r>
    </w:p>
    <w:p>
      <w:pPr>
        <w:spacing w:line="360" w:lineRule="auto"/>
        <w:ind w:left="0" w:firstLine="0"/>
      </w:pPr>
      <w:r>
        <w:rPr>
          <w:rFonts w:hint="eastAsia"/>
        </w:rPr>
        <w:t>（4）承包人认为有必要时，可通知分包人共同进行联合测量、计量，分包人应遵照执行。</w:t>
      </w:r>
    </w:p>
    <w:p>
      <w:pPr>
        <w:spacing w:line="360" w:lineRule="auto"/>
        <w:ind w:left="0" w:firstLine="0"/>
      </w:pPr>
      <w:r>
        <w:rPr>
          <w:rFonts w:hint="eastAsia"/>
        </w:rPr>
        <w:t>（5）分包人完成工程量清单中每个子目的工程量后，承包人应要求分包人派员共同对每个子目的历次计量报表进行汇总，以核实最终结算工程量。承包人可要求分包人提供补充计量资料，以确定最后一次进度付款的准确工程量。分包人未按承包人要求派员参加的，承包人最终核实的工程量视为分包人完成该子目的准确工程量。</w:t>
      </w:r>
    </w:p>
    <w:p>
      <w:pPr>
        <w:spacing w:line="360" w:lineRule="auto"/>
        <w:ind w:left="0" w:firstLine="0"/>
      </w:pPr>
      <w:r>
        <w:rPr>
          <w:rFonts w:hint="eastAsia"/>
        </w:rPr>
        <w:t>（6）承包人应在收到分包人提交的工程量报表后的14天内进行复核，承包人未在约定时间内复核的，分包人提交的工程量报表中的工程量视为分包人实际完成的工程量，据此计算工程价款。</w:t>
      </w:r>
    </w:p>
    <w:p>
      <w:pPr>
        <w:spacing w:line="360" w:lineRule="auto"/>
        <w:ind w:left="0" w:firstLine="0"/>
      </w:pPr>
      <w:r>
        <w:t>17</w:t>
      </w:r>
      <w:r>
        <w:rPr>
          <w:rFonts w:hint="eastAsia"/>
        </w:rPr>
        <w:t>.1.5　总价子目的计量</w:t>
      </w:r>
    </w:p>
    <w:p>
      <w:pPr>
        <w:spacing w:line="360" w:lineRule="auto"/>
        <w:ind w:left="0" w:firstLine="0"/>
      </w:pPr>
      <w:r>
        <w:rPr>
          <w:rFonts w:hint="eastAsia"/>
        </w:rPr>
        <w:t>除专用合同条款另有约定外，总价子目的分解和计量按照下述约定进行。</w:t>
      </w:r>
    </w:p>
    <w:p>
      <w:pPr>
        <w:spacing w:line="360" w:lineRule="auto"/>
        <w:ind w:left="0" w:firstLine="0"/>
      </w:pPr>
      <w:r>
        <w:rPr>
          <w:rFonts w:hint="eastAsia"/>
        </w:rPr>
        <w:t>（1）总价子目的计量和支付应以总价为基础，不因第1</w:t>
      </w:r>
      <w:r>
        <w:t>6</w:t>
      </w:r>
      <w:r>
        <w:rPr>
          <w:rFonts w:hint="eastAsia"/>
        </w:rPr>
        <w:t>.1款中的因素而进行调整。分包人实际完成的工程量，是进行工程目标管理和控制进度支付的依据。</w:t>
      </w:r>
    </w:p>
    <w:p>
      <w:pPr>
        <w:spacing w:line="360" w:lineRule="auto"/>
        <w:ind w:left="0" w:firstLine="0"/>
      </w:pPr>
      <w:r>
        <w:rPr>
          <w:rFonts w:hint="eastAsia"/>
        </w:rPr>
        <w:t>（2）分包人在分包合同约定的每个计量周期内，对已完成的工程进行计量，并向承包人提交进度付款申请单、专用合同条款约定的合同总价支付分解表所表示的阶段性或分项计量的支持性资料，以及所达到工程形象目标或分阶段需完成的工程量和有关计量资料。</w:t>
      </w:r>
    </w:p>
    <w:p>
      <w:pPr>
        <w:spacing w:line="360" w:lineRule="auto"/>
        <w:ind w:left="0" w:firstLine="0"/>
      </w:pPr>
      <w:r>
        <w:rPr>
          <w:rFonts w:hint="eastAsia"/>
        </w:rPr>
        <w:t>（3）承包人对分包人提交的上述资料进行复核，以确定分阶段实际完成的工程量和工程形象目标。对其有异议的，可要求分包人按第</w:t>
      </w:r>
      <w:r>
        <w:t>8</w:t>
      </w:r>
      <w:r>
        <w:rPr>
          <w:rFonts w:hint="eastAsia"/>
        </w:rPr>
        <w:t>.2款约定进行共同复核和抽样复测。</w:t>
      </w:r>
    </w:p>
    <w:p>
      <w:pPr>
        <w:spacing w:line="360" w:lineRule="auto"/>
        <w:ind w:left="0" w:firstLine="0"/>
      </w:pPr>
      <w:r>
        <w:rPr>
          <w:rFonts w:hint="eastAsia"/>
        </w:rPr>
        <w:t>（4）除按照第1</w:t>
      </w:r>
      <w:r>
        <w:t>5</w:t>
      </w:r>
      <w:r>
        <w:rPr>
          <w:rFonts w:hint="eastAsia"/>
        </w:rPr>
        <w:t xml:space="preserve">条约定的变更外，总价子目的工程量是分包人用于结算的最终工程量。 </w:t>
      </w:r>
    </w:p>
    <w:p>
      <w:pPr>
        <w:spacing w:line="360" w:lineRule="auto"/>
        <w:ind w:left="0" w:firstLine="0"/>
      </w:pPr>
      <w:bookmarkStart w:id="1360" w:name="_Toc342296371"/>
      <w:bookmarkStart w:id="1361" w:name="_Toc391456295"/>
      <w:bookmarkStart w:id="1362" w:name="_Toc338944813"/>
      <w:r>
        <w:t>17</w:t>
      </w:r>
      <w:r>
        <w:rPr>
          <w:rFonts w:hint="eastAsia"/>
        </w:rPr>
        <w:t>.2　预付款</w:t>
      </w:r>
      <w:bookmarkEnd w:id="1360"/>
      <w:bookmarkEnd w:id="1361"/>
      <w:bookmarkEnd w:id="1362"/>
    </w:p>
    <w:p>
      <w:pPr>
        <w:spacing w:line="360" w:lineRule="auto"/>
        <w:ind w:left="0" w:firstLine="0"/>
      </w:pPr>
      <w:r>
        <w:t>17</w:t>
      </w:r>
      <w:r>
        <w:rPr>
          <w:rFonts w:hint="eastAsia"/>
        </w:rPr>
        <w:t>.2.1　预付款</w:t>
      </w:r>
    </w:p>
    <w:p>
      <w:pPr>
        <w:spacing w:line="360" w:lineRule="auto"/>
        <w:ind w:left="0" w:firstLine="0"/>
      </w:pPr>
      <w:r>
        <w:rPr>
          <w:rFonts w:hint="eastAsia"/>
        </w:rPr>
        <w:t>预付款用于分包人为分包合同工程施工购置材料、工程设备、施工设备、修建临时设施以及组织施工队伍进场等。预付款的额度和预付办法在专用合同条款中约定。预付款必须专用于分包合同工程。</w:t>
      </w:r>
    </w:p>
    <w:p>
      <w:pPr>
        <w:spacing w:line="360" w:lineRule="auto"/>
        <w:ind w:left="0" w:firstLine="0"/>
      </w:pPr>
      <w:r>
        <w:rPr>
          <w:rFonts w:hint="eastAsia"/>
        </w:rPr>
        <w:t>安全文明施工费用的预付不受本项约定的预付办法和支付时间约定的制约，承包人应当在不迟于第1</w:t>
      </w:r>
      <w:r>
        <w:t>1</w:t>
      </w:r>
      <w:r>
        <w:rPr>
          <w:rFonts w:hint="eastAsia"/>
        </w:rPr>
        <w:t>.1.1项约定的开工日期前的7天内将安全文明施工费用的预付款一次性拨付给分包人。</w:t>
      </w:r>
    </w:p>
    <w:p>
      <w:pPr>
        <w:spacing w:line="360" w:lineRule="auto"/>
        <w:ind w:left="0" w:firstLine="0"/>
      </w:pPr>
      <w:r>
        <w:rPr>
          <w:rFonts w:hint="eastAsia"/>
        </w:rPr>
        <w:t>承包人逾期支付分包合同约定的预付款，除承担第</w:t>
      </w:r>
      <w:r>
        <w:t>22</w:t>
      </w:r>
      <w:r>
        <w:rPr>
          <w:rFonts w:hint="eastAsia"/>
        </w:rPr>
        <w:t>.2款约定的违约责任外，还应向分包人支付按合同条款第</w:t>
      </w:r>
      <w:r>
        <w:t>17</w:t>
      </w:r>
      <w:r>
        <w:rPr>
          <w:rFonts w:hint="eastAsia"/>
        </w:rPr>
        <w:t>.3.3(2)目约定的标准和方法计算的逾期付款违约金。</w:t>
      </w:r>
    </w:p>
    <w:p>
      <w:pPr>
        <w:spacing w:line="360" w:lineRule="auto"/>
        <w:ind w:left="0" w:firstLine="0"/>
      </w:pPr>
      <w:r>
        <w:t>17</w:t>
      </w:r>
      <w:r>
        <w:rPr>
          <w:rFonts w:hint="eastAsia"/>
        </w:rPr>
        <w:t>.2.2　预付款保函</w:t>
      </w:r>
    </w:p>
    <w:p>
      <w:pPr>
        <w:spacing w:line="360" w:lineRule="auto"/>
        <w:ind w:left="0" w:firstLine="0"/>
      </w:pPr>
      <w:r>
        <w:rPr>
          <w:rFonts w:hint="eastAsia"/>
        </w:rPr>
        <w:t>除专用合同条款另有约定外，分包人应在收到预付款的同时向承包人提交预付款保函，预付款保函的担保金额应与预付款金额相同。</w:t>
      </w:r>
    </w:p>
    <w:p>
      <w:pPr>
        <w:spacing w:line="360" w:lineRule="auto"/>
        <w:ind w:left="0" w:firstLine="0"/>
      </w:pPr>
      <w:r>
        <w:rPr>
          <w:rFonts w:hint="eastAsia"/>
        </w:rPr>
        <w:t>预付款保函的担保金额应当根据预付款扣回的金额递减，保函条款中可以设立担保金额递减的条款。承包人在签认每一期进度付款证书后14天内，应当以书面方式通知出具预付款保函的担保人并附上一份经其签认的进度付款证书副本，担保人根据承包人的通知和经承包人签认的进度付款证书中累计扣回的预付款金额等额调减预付款保函的担保金额。自担保人收到承包人通知之日起，该经过递减的担保金额为预付款保函担保金额。</w:t>
      </w:r>
    </w:p>
    <w:p>
      <w:pPr>
        <w:spacing w:line="360" w:lineRule="auto"/>
        <w:ind w:left="0" w:firstLine="0"/>
      </w:pPr>
      <w:r>
        <w:t>17</w:t>
      </w:r>
      <w:r>
        <w:rPr>
          <w:rFonts w:hint="eastAsia"/>
        </w:rPr>
        <w:t>.2.3　预付款的扣回与还清</w:t>
      </w:r>
    </w:p>
    <w:p>
      <w:pPr>
        <w:spacing w:line="360" w:lineRule="auto"/>
        <w:ind w:left="0" w:firstLine="0"/>
      </w:pPr>
      <w:r>
        <w:rPr>
          <w:rFonts w:hint="eastAsia"/>
        </w:rPr>
        <w:t>预付款在进度付款中扣回，扣回办法在专用合同条款中约定。在颁发工程接收证书前，由于不可抗力或其他原因解除合同时，预付款尚未扣清的，尚未扣清的预付款余额应作为分包人的到期应付款。</w:t>
      </w:r>
    </w:p>
    <w:p>
      <w:pPr>
        <w:spacing w:line="360" w:lineRule="auto"/>
        <w:ind w:left="0" w:firstLine="0"/>
      </w:pPr>
      <w:r>
        <w:t>17</w:t>
      </w:r>
      <w:r>
        <w:rPr>
          <w:rFonts w:hint="eastAsia"/>
        </w:rPr>
        <w:t>.2.4　预付款保函的格式</w:t>
      </w:r>
    </w:p>
    <w:p>
      <w:pPr>
        <w:spacing w:line="360" w:lineRule="auto"/>
        <w:ind w:left="0" w:firstLine="0"/>
      </w:pPr>
      <w:r>
        <w:rPr>
          <w:rFonts w:hint="eastAsia"/>
        </w:rPr>
        <w:t>除非专用合同条款另有约定，分包人应当按照第</w:t>
      </w:r>
      <w:r>
        <w:t>17</w:t>
      </w:r>
      <w:r>
        <w:rPr>
          <w:rFonts w:hint="eastAsia"/>
        </w:rPr>
        <w:t>.2.2项约定的金额和时间以及承包人在本分包工程招标文件中规定的或者其他经过承包人事先认可的格式向承包人递交一份无条件兑付的和不可撤销的预付款保函。</w:t>
      </w:r>
    </w:p>
    <w:p>
      <w:pPr>
        <w:spacing w:line="360" w:lineRule="auto"/>
        <w:ind w:left="0" w:firstLine="0"/>
      </w:pPr>
      <w:r>
        <w:t>17</w:t>
      </w:r>
      <w:r>
        <w:rPr>
          <w:rFonts w:hint="eastAsia"/>
        </w:rPr>
        <w:t>.2.5　预付款保函的有效期</w:t>
      </w:r>
    </w:p>
    <w:p>
      <w:pPr>
        <w:spacing w:line="360" w:lineRule="auto"/>
        <w:ind w:left="0" w:firstLine="0"/>
      </w:pPr>
      <w:r>
        <w:rPr>
          <w:rFonts w:hint="eastAsia"/>
        </w:rPr>
        <w:t>预付款保函的有效期应当自预付款支付给分包人之日起至承包人签认的进度付款证书说明预付款已完全扣清之日止。</w:t>
      </w:r>
    </w:p>
    <w:p>
      <w:pPr>
        <w:spacing w:line="360" w:lineRule="auto"/>
        <w:ind w:left="0" w:firstLine="0"/>
      </w:pPr>
      <w:r>
        <w:t>17</w:t>
      </w:r>
      <w:r>
        <w:rPr>
          <w:rFonts w:hint="eastAsia"/>
        </w:rPr>
        <w:t>.2.6　承包人的通知义务</w:t>
      </w:r>
    </w:p>
    <w:p>
      <w:pPr>
        <w:spacing w:line="360" w:lineRule="auto"/>
        <w:ind w:left="0" w:firstLine="0"/>
      </w:pPr>
      <w:r>
        <w:rPr>
          <w:rFonts w:hint="eastAsia"/>
        </w:rPr>
        <w:t>不管保函条款中如何约定，承包人根据担保提出索赔或兑现要求之前，均应通知分包人并说明导致此类索赔或兑现的原因，但此类通知不应理解为是在任何意义上寻求分包人的同意。</w:t>
      </w:r>
    </w:p>
    <w:p>
      <w:pPr>
        <w:spacing w:line="360" w:lineRule="auto"/>
        <w:ind w:left="0" w:firstLine="0"/>
      </w:pPr>
      <w:r>
        <w:t>17</w:t>
      </w:r>
      <w:r>
        <w:rPr>
          <w:rFonts w:hint="eastAsia"/>
        </w:rPr>
        <w:t>.2.7　预付款保函的退还</w:t>
      </w:r>
    </w:p>
    <w:p>
      <w:pPr>
        <w:spacing w:line="360" w:lineRule="auto"/>
        <w:ind w:left="0" w:firstLine="0"/>
      </w:pPr>
      <w:r>
        <w:rPr>
          <w:rFonts w:hint="eastAsia"/>
        </w:rPr>
        <w:t>预付款保函应在承包人签认的进度付款证书说明预付款已完全扣清之日后14天内退还给分包人。承包人不承担分包人与预付款保函有关的任何利息或其它类似的费用或者收益。</w:t>
      </w:r>
    </w:p>
    <w:p>
      <w:pPr>
        <w:spacing w:line="360" w:lineRule="auto"/>
        <w:ind w:left="0" w:firstLine="0"/>
      </w:pPr>
      <w:bookmarkStart w:id="1363" w:name="_Toc403059678"/>
      <w:bookmarkStart w:id="1364" w:name="_Toc403054496"/>
      <w:bookmarkStart w:id="1365" w:name="_Toc342296372"/>
      <w:bookmarkStart w:id="1366" w:name="_Toc403052736"/>
      <w:bookmarkStart w:id="1367" w:name="_Toc393200151"/>
      <w:bookmarkStart w:id="1368" w:name="_Toc393199637"/>
      <w:bookmarkStart w:id="1369" w:name="_Toc338944814"/>
      <w:bookmarkStart w:id="1370" w:name="_Toc393200665"/>
      <w:bookmarkStart w:id="1371" w:name="_Toc391456296"/>
      <w:r>
        <w:t>17</w:t>
      </w:r>
      <w:r>
        <w:rPr>
          <w:rFonts w:hint="eastAsia"/>
        </w:rPr>
        <w:t>.3　工程进度付款</w:t>
      </w:r>
      <w:bookmarkEnd w:id="1363"/>
      <w:bookmarkEnd w:id="1364"/>
      <w:bookmarkEnd w:id="1365"/>
      <w:bookmarkEnd w:id="1366"/>
      <w:bookmarkEnd w:id="1367"/>
      <w:bookmarkEnd w:id="1368"/>
      <w:bookmarkEnd w:id="1369"/>
      <w:bookmarkEnd w:id="1370"/>
      <w:bookmarkEnd w:id="1371"/>
    </w:p>
    <w:p>
      <w:pPr>
        <w:spacing w:line="360" w:lineRule="auto"/>
        <w:ind w:left="0" w:firstLine="0"/>
      </w:pPr>
      <w:r>
        <w:t>17</w:t>
      </w:r>
      <w:r>
        <w:rPr>
          <w:rFonts w:hint="eastAsia"/>
        </w:rPr>
        <w:t>.3.1　付款周期</w:t>
      </w:r>
    </w:p>
    <w:p>
      <w:pPr>
        <w:spacing w:line="360" w:lineRule="auto"/>
        <w:ind w:left="0" w:firstLine="0"/>
      </w:pPr>
      <w:r>
        <w:rPr>
          <w:rFonts w:hint="eastAsia"/>
        </w:rPr>
        <w:t>付款周期同计量周期。</w:t>
      </w:r>
    </w:p>
    <w:p>
      <w:pPr>
        <w:spacing w:line="360" w:lineRule="auto"/>
        <w:ind w:left="0" w:firstLine="0"/>
      </w:pPr>
      <w:r>
        <w:t>17</w:t>
      </w:r>
      <w:r>
        <w:rPr>
          <w:rFonts w:hint="eastAsia"/>
        </w:rPr>
        <w:t>.3.2　进度付款申请单</w:t>
      </w:r>
    </w:p>
    <w:p>
      <w:pPr>
        <w:spacing w:line="360" w:lineRule="auto"/>
        <w:ind w:left="0" w:firstLine="0"/>
      </w:pPr>
      <w:r>
        <w:rPr>
          <w:rFonts w:hint="eastAsia"/>
        </w:rPr>
        <w:t>分包人应在每个付款周期末，按承包人批准的格式和专用合同条款约定的份数，向承包人提交进度付款申请单，并附相应的支持性证明文件。除专用合同条款另有约定外，进度付款申请单应包括下列内容：</w:t>
      </w:r>
    </w:p>
    <w:p>
      <w:pPr>
        <w:spacing w:line="360" w:lineRule="auto"/>
        <w:ind w:left="0" w:firstLine="0"/>
      </w:pPr>
      <w:r>
        <w:rPr>
          <w:rFonts w:hint="eastAsia"/>
        </w:rPr>
        <w:t>（1）截至本次付款周期末已实施工程的价款；</w:t>
      </w:r>
    </w:p>
    <w:p>
      <w:pPr>
        <w:spacing w:line="360" w:lineRule="auto"/>
        <w:ind w:left="0" w:firstLine="0"/>
      </w:pPr>
      <w:r>
        <w:rPr>
          <w:rFonts w:hint="eastAsia"/>
        </w:rPr>
        <w:t>（2）根据第1</w:t>
      </w:r>
      <w:r>
        <w:t>5</w:t>
      </w:r>
      <w:r>
        <w:rPr>
          <w:rFonts w:hint="eastAsia"/>
        </w:rPr>
        <w:t>条应增加和扣减的变更金额；</w:t>
      </w:r>
    </w:p>
    <w:p>
      <w:pPr>
        <w:spacing w:line="360" w:lineRule="auto"/>
        <w:ind w:left="0" w:firstLine="0"/>
      </w:pPr>
      <w:r>
        <w:rPr>
          <w:rFonts w:hint="eastAsia"/>
        </w:rPr>
        <w:t>（3）根据第2</w:t>
      </w:r>
      <w:r>
        <w:t>3</w:t>
      </w:r>
      <w:r>
        <w:rPr>
          <w:rFonts w:hint="eastAsia"/>
        </w:rPr>
        <w:t>条应增加和扣减的索赔金额；</w:t>
      </w:r>
    </w:p>
    <w:p>
      <w:pPr>
        <w:spacing w:line="360" w:lineRule="auto"/>
        <w:ind w:left="0" w:firstLine="0"/>
      </w:pPr>
      <w:r>
        <w:rPr>
          <w:rFonts w:hint="eastAsia"/>
        </w:rPr>
        <w:t>（4）根据第</w:t>
      </w:r>
      <w:r>
        <w:t>17</w:t>
      </w:r>
      <w:r>
        <w:rPr>
          <w:rFonts w:hint="eastAsia"/>
        </w:rPr>
        <w:t>.2款约定应支付的预付款和扣减的返还预付款；</w:t>
      </w:r>
    </w:p>
    <w:p>
      <w:pPr>
        <w:spacing w:line="360" w:lineRule="auto"/>
        <w:ind w:left="0" w:firstLine="0"/>
      </w:pPr>
      <w:r>
        <w:rPr>
          <w:rFonts w:hint="eastAsia"/>
        </w:rPr>
        <w:t>（5）根据第</w:t>
      </w:r>
      <w:r>
        <w:t>17</w:t>
      </w:r>
      <w:r>
        <w:rPr>
          <w:rFonts w:hint="eastAsia"/>
        </w:rPr>
        <w:t>.4.1项约定应扣减的质量保证金；</w:t>
      </w:r>
    </w:p>
    <w:p>
      <w:pPr>
        <w:spacing w:line="360" w:lineRule="auto"/>
        <w:ind w:left="0" w:firstLine="0"/>
      </w:pPr>
      <w:r>
        <w:rPr>
          <w:rFonts w:hint="eastAsia"/>
        </w:rPr>
        <w:t>（6）根据分包合同应增加和扣减的其他金额。</w:t>
      </w:r>
    </w:p>
    <w:p>
      <w:pPr>
        <w:spacing w:line="360" w:lineRule="auto"/>
        <w:ind w:left="0" w:firstLine="0"/>
      </w:pPr>
      <w:r>
        <w:t>17</w:t>
      </w:r>
      <w:r>
        <w:rPr>
          <w:rFonts w:hint="eastAsia"/>
        </w:rPr>
        <w:t>.3.3　进度付款证书和支付时间</w:t>
      </w:r>
    </w:p>
    <w:p>
      <w:pPr>
        <w:spacing w:line="360" w:lineRule="auto"/>
        <w:ind w:left="0" w:firstLine="0"/>
      </w:pPr>
      <w:r>
        <w:rPr>
          <w:rFonts w:hint="eastAsia"/>
        </w:rPr>
        <w:t>（1）承包人在收到分包人进度付款申请单以及相应的支持性证明文件后的21天内完成核查，提出承包人到期应支付给分包人的金额以及相应的支持性材料，经承包人审查同意后，由承包人向分包人出具签认的进度付款证书。承包人有权扣发分包人未能按照合同要求履行任何工作或义务的相应金额。</w:t>
      </w:r>
    </w:p>
    <w:p>
      <w:pPr>
        <w:spacing w:line="360" w:lineRule="auto"/>
        <w:ind w:left="0" w:firstLine="0"/>
      </w:pPr>
      <w:r>
        <w:rPr>
          <w:rFonts w:hint="eastAsia"/>
        </w:rPr>
        <w:t>（2）承包人应在收到进度付款申请单后的28天内，将进度应付款支付给分包人。承包人未按第</w:t>
      </w:r>
      <w:r>
        <w:t>17</w:t>
      </w:r>
      <w:r>
        <w:rPr>
          <w:rFonts w:hint="eastAsia"/>
        </w:rPr>
        <w:t>.3.3（2）目、第</w:t>
      </w:r>
      <w:r>
        <w:t>17</w:t>
      </w:r>
      <w:r>
        <w:rPr>
          <w:rFonts w:hint="eastAsia"/>
        </w:rPr>
        <w:t>.5.2（2）目、第</w:t>
      </w:r>
      <w:r>
        <w:t>17</w:t>
      </w:r>
      <w:r>
        <w:rPr>
          <w:rFonts w:hint="eastAsia"/>
        </w:rPr>
        <w:t>.6.2（2）目和专用合同条款第</w:t>
      </w:r>
      <w:r>
        <w:t>17</w:t>
      </w:r>
      <w:r>
        <w:rPr>
          <w:rFonts w:hint="eastAsia"/>
        </w:rPr>
        <w:t>.2.1（2）目约定的期限支付分包人依分包合同约定应当得到的款项，应当从应付之日起按专用合同条款约定的计算标准和计算方法向分包人支付逾期付款违约金。分包人应当按第2</w:t>
      </w:r>
      <w:r>
        <w:t>3</w:t>
      </w:r>
      <w:r>
        <w:rPr>
          <w:rFonts w:hint="eastAsia"/>
        </w:rPr>
        <w:t>.1（1）目的约定，在最终付款期限到期后28天内，向承包人递交索赔意向通知书,说明有权得到按本款约定的下列标准和方法计算的逾期付款违约金。分包人要求承包人支付逾期付款违约金不影响分包人要求承包人承担第2</w:t>
      </w:r>
      <w:r>
        <w:t>2</w:t>
      </w:r>
      <w:r>
        <w:rPr>
          <w:rFonts w:hint="eastAsia"/>
        </w:rPr>
        <w:t>.2款约定的其他违约责任的权利。</w:t>
      </w:r>
    </w:p>
    <w:p>
      <w:pPr>
        <w:spacing w:line="360" w:lineRule="auto"/>
        <w:ind w:left="0" w:firstLine="0"/>
      </w:pPr>
      <w:r>
        <w:rPr>
          <w:rFonts w:hint="eastAsia"/>
        </w:rPr>
        <w:t>（3）承包人出具进度付款证书，不应视为承包人已同意、批准或接受了分包人完成的该部分工作。</w:t>
      </w:r>
    </w:p>
    <w:p>
      <w:pPr>
        <w:spacing w:line="360" w:lineRule="auto"/>
        <w:ind w:left="0" w:firstLine="0"/>
      </w:pPr>
      <w:r>
        <w:rPr>
          <w:rFonts w:hint="eastAsia"/>
        </w:rPr>
        <w:t>（4）进度付款涉及政府投资资金的，按照国库集中支付等国家相关规定和专用合同条款的约定办理。</w:t>
      </w:r>
    </w:p>
    <w:p>
      <w:pPr>
        <w:spacing w:line="360" w:lineRule="auto"/>
        <w:ind w:left="0" w:firstLine="0"/>
      </w:pPr>
      <w:r>
        <w:t>17</w:t>
      </w:r>
      <w:r>
        <w:rPr>
          <w:rFonts w:hint="eastAsia"/>
        </w:rPr>
        <w:t>.3.4　工程进度付款的修正</w:t>
      </w:r>
    </w:p>
    <w:p>
      <w:pPr>
        <w:spacing w:line="360" w:lineRule="auto"/>
        <w:ind w:left="0" w:firstLine="0"/>
      </w:pPr>
      <w:r>
        <w:rPr>
          <w:rFonts w:hint="eastAsia"/>
        </w:rPr>
        <w:t>在对以往历次已签发的进度付款证书进行汇总和复核中发现错、漏或重复的，承包人有权予以修正，分包人也有权提出修正申请。经双方复核同意的修正，应在本次进度付款中支付或扣除。</w:t>
      </w:r>
    </w:p>
    <w:p>
      <w:pPr>
        <w:spacing w:line="360" w:lineRule="auto"/>
        <w:ind w:left="0" w:firstLine="0"/>
      </w:pPr>
      <w:r>
        <w:t>17</w:t>
      </w:r>
      <w:r>
        <w:rPr>
          <w:rFonts w:hint="eastAsia"/>
        </w:rPr>
        <w:t>.3.5　临时付款证书</w:t>
      </w:r>
    </w:p>
    <w:p>
      <w:pPr>
        <w:spacing w:line="360" w:lineRule="auto"/>
        <w:ind w:left="0" w:firstLine="0"/>
      </w:pPr>
      <w:r>
        <w:rPr>
          <w:rFonts w:hint="eastAsia"/>
        </w:rPr>
        <w:t>在分包合同约定的期限内，分包人和承包人无法对当期已完工程量和按分包合同约定应当支付的其他款项达成一致的，承包人应当在收到分包人报送的进度付款申请单等文件后21天内，就分包人没有异议的金额出具一个临时付款证书，临时付款证书中应当说明分包人有异议部分的金额及其原因。承包人应当在收到进度付款申请单后28天内，将临时付款证书中确定的应付金额支付给分包人。承包人均不得以任何理由延期支付工程进度付款。</w:t>
      </w:r>
    </w:p>
    <w:p>
      <w:pPr>
        <w:spacing w:line="360" w:lineRule="auto"/>
        <w:ind w:left="0" w:firstLine="0"/>
      </w:pPr>
      <w:r>
        <w:rPr>
          <w:rFonts w:hint="eastAsia"/>
        </w:rPr>
        <w:t>对临时付款证书中列明的分包人有异议部分的金额，分包人应当按照承包人要求，提交进一步的支持性文件和（或）与承包人做进一步共同复核工作，经承包人进一步审核并认可的应付金额，应当按第</w:t>
      </w:r>
      <w:r>
        <w:t>17</w:t>
      </w:r>
      <w:r>
        <w:rPr>
          <w:rFonts w:hint="eastAsia"/>
        </w:rPr>
        <w:t>.3.4项的约定纳入到下一期进度付款证书中。经过进一步努力，分包人仍有异议的，按合同条款第24条的约定办理。</w:t>
      </w:r>
    </w:p>
    <w:p>
      <w:pPr>
        <w:spacing w:line="360" w:lineRule="auto"/>
        <w:ind w:left="0" w:firstLine="0"/>
      </w:pPr>
      <w:r>
        <w:rPr>
          <w:rFonts w:hint="eastAsia"/>
        </w:rPr>
        <w:t>有异议款项中经承包人进一步审核后认可的或者经过合同条款第24条约定的争议解决方式确定的应付金额，其应付之日为引发异议的进度付款证书的应付之日，分包人有权得到按合同条款</w:t>
      </w:r>
      <w:r>
        <w:t>17</w:t>
      </w:r>
      <w:r>
        <w:rPr>
          <w:rFonts w:hint="eastAsia"/>
        </w:rPr>
        <w:t>.3.3（2）目约定计算的逾期付款违约金。</w:t>
      </w:r>
    </w:p>
    <w:p>
      <w:pPr>
        <w:spacing w:line="360" w:lineRule="auto"/>
        <w:ind w:left="0" w:firstLine="0"/>
      </w:pPr>
      <w:bookmarkStart w:id="1372" w:name="_Toc391456297"/>
      <w:bookmarkStart w:id="1373" w:name="_Toc342296373"/>
      <w:bookmarkStart w:id="1374" w:name="_Toc338944815"/>
      <w:r>
        <w:t>17</w:t>
      </w:r>
      <w:r>
        <w:rPr>
          <w:rFonts w:hint="eastAsia"/>
        </w:rPr>
        <w:t>.4　质量保证金</w:t>
      </w:r>
      <w:bookmarkEnd w:id="1372"/>
      <w:bookmarkEnd w:id="1373"/>
      <w:bookmarkEnd w:id="1374"/>
    </w:p>
    <w:p>
      <w:pPr>
        <w:spacing w:line="360" w:lineRule="auto"/>
        <w:ind w:left="0" w:firstLine="0"/>
      </w:pPr>
      <w:r>
        <w:t>17.</w:t>
      </w:r>
      <w:r>
        <w:rPr>
          <w:rFonts w:hint="eastAsia"/>
        </w:rPr>
        <w:t>4.1　质量保证金由承包人从第一个付款周期开始按进度付款证书确认的已实施工程的价款、根据合同条款第1</w:t>
      </w:r>
      <w:r>
        <w:t>5</w:t>
      </w:r>
      <w:r>
        <w:rPr>
          <w:rFonts w:hint="eastAsia"/>
        </w:rPr>
        <w:t>条增加和扣减的变更金额、根据合同条款第2</w:t>
      </w:r>
      <w:r>
        <w:t>3</w:t>
      </w:r>
      <w:r>
        <w:rPr>
          <w:rFonts w:hint="eastAsia"/>
        </w:rPr>
        <w:t>条增加和扣减的索赔金额以及根据合同应增加和扣减的其他金额（不包括预付款的支付、返还、合同条款第16条约定的价格调整金额、此前已经按分包合同约定支付给分包人的进度款以及已经扣留的质量保证金）的总额的百分之五（5%）扣留，直至质量保证金累计扣留金额达到签约合同价的百分之五（5%）为止。</w:t>
      </w:r>
    </w:p>
    <w:p>
      <w:pPr>
        <w:spacing w:line="360" w:lineRule="auto"/>
        <w:ind w:left="0" w:firstLine="0"/>
      </w:pPr>
      <w:r>
        <w:rPr>
          <w:rFonts w:hint="eastAsia"/>
        </w:rPr>
        <w:t>在分包工程完工前，分包人已经缴纳履约保证金的，承包人不得同时预留分包工程质量保证金。</w:t>
      </w:r>
    </w:p>
    <w:p>
      <w:pPr>
        <w:spacing w:line="360" w:lineRule="auto"/>
        <w:ind w:left="0" w:firstLine="0"/>
      </w:pPr>
      <w:r>
        <w:t>17</w:t>
      </w:r>
      <w:r>
        <w:rPr>
          <w:rFonts w:hint="eastAsia"/>
        </w:rPr>
        <w:t>.4.2　在第1.1.4.5目约定的缺陷责任期满时，分包人向承包人申请到期应返还分包人剩余的质量保证金金额，承包人应在21天内会同分包人按照分包合同约定的内容核实分包人是否完成缺陷责任。如无异议，承包人应当在核实后将剩余保证金返还分包人。</w:t>
      </w:r>
    </w:p>
    <w:p>
      <w:pPr>
        <w:spacing w:line="360" w:lineRule="auto"/>
        <w:ind w:left="0" w:firstLine="0"/>
      </w:pPr>
      <w:r>
        <w:t>17</w:t>
      </w:r>
      <w:r>
        <w:rPr>
          <w:rFonts w:hint="eastAsia"/>
        </w:rPr>
        <w:t>.4.3　在第1.1.4.5目约定的缺陷责任期满时，分包人没有完成缺陷责任的，承包人有权扣留与未履行责任剩余工作所需金额相应的质量保证金余额，并有权根据第</w:t>
      </w:r>
      <w:r>
        <w:t>19</w:t>
      </w:r>
      <w:r>
        <w:rPr>
          <w:rFonts w:hint="eastAsia"/>
        </w:rPr>
        <w:t xml:space="preserve">.3款约定要求延长缺陷责任期，直至完成剩余工作为止。 </w:t>
      </w:r>
    </w:p>
    <w:p>
      <w:pPr>
        <w:spacing w:line="360" w:lineRule="auto"/>
        <w:ind w:left="0" w:firstLine="0"/>
      </w:pPr>
      <w:bookmarkStart w:id="1375" w:name="_Toc403059679"/>
      <w:bookmarkStart w:id="1376" w:name="_Toc342296374"/>
      <w:bookmarkStart w:id="1377" w:name="_Toc338944816"/>
      <w:bookmarkStart w:id="1378" w:name="_Toc393199638"/>
      <w:bookmarkStart w:id="1379" w:name="_Toc393200152"/>
      <w:bookmarkStart w:id="1380" w:name="_Toc403052737"/>
      <w:bookmarkStart w:id="1381" w:name="_Toc393200666"/>
      <w:bookmarkStart w:id="1382" w:name="_Toc403054497"/>
      <w:bookmarkStart w:id="1383" w:name="_Toc391456298"/>
      <w:r>
        <w:t>17</w:t>
      </w:r>
      <w:r>
        <w:rPr>
          <w:rFonts w:hint="eastAsia"/>
        </w:rPr>
        <w:t>.5　完工结算</w:t>
      </w:r>
      <w:bookmarkEnd w:id="1375"/>
      <w:bookmarkEnd w:id="1376"/>
      <w:bookmarkEnd w:id="1377"/>
      <w:bookmarkEnd w:id="1378"/>
      <w:bookmarkEnd w:id="1379"/>
      <w:bookmarkEnd w:id="1380"/>
      <w:bookmarkEnd w:id="1381"/>
      <w:bookmarkEnd w:id="1382"/>
      <w:bookmarkEnd w:id="1383"/>
    </w:p>
    <w:p>
      <w:pPr>
        <w:spacing w:line="360" w:lineRule="auto"/>
        <w:ind w:left="0" w:firstLine="0"/>
      </w:pPr>
      <w:r>
        <w:t>17</w:t>
      </w:r>
      <w:r>
        <w:rPr>
          <w:rFonts w:hint="eastAsia"/>
        </w:rPr>
        <w:t>.5.1　完工付款申请单</w:t>
      </w:r>
    </w:p>
    <w:p>
      <w:pPr>
        <w:spacing w:line="360" w:lineRule="auto"/>
        <w:ind w:left="0" w:firstLine="0"/>
      </w:pPr>
      <w:r>
        <w:rPr>
          <w:rFonts w:hint="eastAsia"/>
        </w:rPr>
        <w:t>（1）工程接收证书颁发后，分包人应按专用合同条款约定的份数和期限向承包人提交完工付款申请单，并提供相关证明材料。除专用合同条款另有约定外，完工付款申请单应包括下列内容：完工结算合同总价、承包人已支付分包人的工程价款、应扣留的质量保证金、应支付的完工付款金额。</w:t>
      </w:r>
    </w:p>
    <w:p>
      <w:pPr>
        <w:spacing w:line="360" w:lineRule="auto"/>
        <w:ind w:left="0" w:firstLine="0"/>
      </w:pPr>
      <w:r>
        <w:rPr>
          <w:rFonts w:hint="eastAsia"/>
        </w:rPr>
        <w:t>（2）承包人对完工付款申请单有异议的，有权要求分包人进行修正和提供补充资料。经承包人和分包人协商后，由分包人向承包人提交修正后的完工付款申请单。</w:t>
      </w:r>
    </w:p>
    <w:p>
      <w:pPr>
        <w:spacing w:line="360" w:lineRule="auto"/>
        <w:ind w:left="0" w:firstLine="0"/>
      </w:pPr>
      <w:r>
        <w:rPr>
          <w:rFonts w:hint="eastAsia"/>
        </w:rPr>
        <w:t>（</w:t>
      </w:r>
      <w:r>
        <w:t>3</w:t>
      </w:r>
      <w:r>
        <w:rPr>
          <w:rFonts w:hint="eastAsia"/>
        </w:rPr>
        <w:t>）分包人未按本项约定的期限和内容提交完工付款申请单或者未按第</w:t>
      </w:r>
      <w:r>
        <w:t>17</w:t>
      </w:r>
      <w:r>
        <w:rPr>
          <w:rFonts w:hint="eastAsia"/>
        </w:rPr>
        <w:t>.5.1（2)目约定提交修正后的完工付款申请单，经承包人催促后14天内仍未提交或者没有明确答复的，承包人有权根据已有资料进行审查，审查确定的完工结算合同总价和完工付款金额视同是经分包人认可的工程完工结算合同总价和完工付款金额。</w:t>
      </w:r>
    </w:p>
    <w:p>
      <w:pPr>
        <w:spacing w:line="360" w:lineRule="auto"/>
        <w:ind w:left="0" w:firstLine="0"/>
      </w:pPr>
      <w:r>
        <w:rPr>
          <w:rFonts w:hint="eastAsia"/>
        </w:rPr>
        <w:t>（</w:t>
      </w:r>
      <w:r>
        <w:t>4</w:t>
      </w:r>
      <w:r>
        <w:rPr>
          <w:rFonts w:hint="eastAsia"/>
        </w:rPr>
        <w:t>）不管第</w:t>
      </w:r>
      <w:r>
        <w:t>17</w:t>
      </w:r>
      <w:r>
        <w:rPr>
          <w:rFonts w:hint="eastAsia"/>
        </w:rPr>
        <w:t>.5.2项如何约定，承包人和分包人应当在承包人颁发（出具）工程接收证书后56天内办清完工结算和完工付款。但是，政府投资或者以政府投资为主的建设项目纳入审计项目计划的，承包人和分包人均负有配合、接受审计机关审计的义务，完工结算应当依据审计结论，办清完工结算和完工付款的时间按照相关规定执行。</w:t>
      </w:r>
    </w:p>
    <w:p>
      <w:pPr>
        <w:spacing w:line="360" w:lineRule="auto"/>
        <w:ind w:left="0" w:firstLine="0"/>
      </w:pPr>
      <w:r>
        <w:t>17</w:t>
      </w:r>
      <w:r>
        <w:rPr>
          <w:rFonts w:hint="eastAsia"/>
        </w:rPr>
        <w:t>.5.2　完工付款证书及支付时间</w:t>
      </w:r>
    </w:p>
    <w:p>
      <w:pPr>
        <w:spacing w:line="360" w:lineRule="auto"/>
        <w:ind w:left="0" w:firstLine="0"/>
      </w:pPr>
      <w:r>
        <w:rPr>
          <w:rFonts w:hint="eastAsia"/>
        </w:rPr>
        <w:t>（1）承包人在收到分包人提交的完工付款申请单后的21天内完成核查。承包人应在收到后14天内审核完毕，向分包人出具签认的完工付款证书。承包人未在约定时间内核查，又未提出具体意见的，视为分包人提交的完工付款申请单已经承包人核查同意。</w:t>
      </w:r>
    </w:p>
    <w:p>
      <w:pPr>
        <w:spacing w:line="360" w:lineRule="auto"/>
        <w:ind w:left="0" w:firstLine="0"/>
      </w:pPr>
      <w:r>
        <w:rPr>
          <w:rFonts w:hint="eastAsia"/>
        </w:rPr>
        <w:t>（2）承包人应在出具完工付款证书后的14天内，将应支付款支付给分包人。承包人不按期支付的，按第</w:t>
      </w:r>
      <w:r>
        <w:t>17</w:t>
      </w:r>
      <w:r>
        <w:rPr>
          <w:rFonts w:hint="eastAsia"/>
        </w:rPr>
        <w:t>.3.3（2）目的约定，将逾期付款违约金支付给分包人。</w:t>
      </w:r>
    </w:p>
    <w:p>
      <w:pPr>
        <w:spacing w:line="360" w:lineRule="auto"/>
        <w:ind w:left="0" w:firstLine="0"/>
      </w:pPr>
      <w:r>
        <w:rPr>
          <w:rFonts w:hint="eastAsia"/>
        </w:rPr>
        <w:t>（3）分包人对承包人签认的完工付款证书有异议的，承包人可出具完工付款申请单中分包人已同意部分的临时付款证书。存在争议的部分，按第2</w:t>
      </w:r>
      <w:r>
        <w:t>4</w:t>
      </w:r>
      <w:r>
        <w:rPr>
          <w:rFonts w:hint="eastAsia"/>
        </w:rPr>
        <w:t>条的约定办理。</w:t>
      </w:r>
    </w:p>
    <w:p>
      <w:pPr>
        <w:spacing w:line="360" w:lineRule="auto"/>
        <w:ind w:left="0" w:firstLine="0"/>
      </w:pPr>
      <w:r>
        <w:rPr>
          <w:rFonts w:hint="eastAsia"/>
        </w:rPr>
        <w:t>（4）完工付款涉及政府投资资金的，按第</w:t>
      </w:r>
      <w:r>
        <w:t>17</w:t>
      </w:r>
      <w:r>
        <w:rPr>
          <w:rFonts w:hint="eastAsia"/>
        </w:rPr>
        <w:t>.3.3（４）目的约定办理。</w:t>
      </w:r>
    </w:p>
    <w:p>
      <w:pPr>
        <w:spacing w:line="360" w:lineRule="auto"/>
        <w:ind w:left="0" w:firstLine="0"/>
      </w:pPr>
      <w:bookmarkStart w:id="1384" w:name="_Toc403059680"/>
      <w:bookmarkStart w:id="1385" w:name="_Toc338944817"/>
      <w:bookmarkStart w:id="1386" w:name="_Toc391456299"/>
      <w:bookmarkStart w:id="1387" w:name="_Toc403052738"/>
      <w:bookmarkStart w:id="1388" w:name="_Toc393200667"/>
      <w:bookmarkStart w:id="1389" w:name="_Toc393199639"/>
      <w:bookmarkStart w:id="1390" w:name="_Toc342296375"/>
      <w:bookmarkStart w:id="1391" w:name="_Toc393200153"/>
      <w:bookmarkStart w:id="1392" w:name="_Toc403054498"/>
      <w:r>
        <w:t>17</w:t>
      </w:r>
      <w:r>
        <w:rPr>
          <w:rFonts w:hint="eastAsia"/>
        </w:rPr>
        <w:t>.6　最终结清</w:t>
      </w:r>
      <w:bookmarkEnd w:id="1384"/>
      <w:bookmarkEnd w:id="1385"/>
      <w:bookmarkEnd w:id="1386"/>
      <w:bookmarkEnd w:id="1387"/>
      <w:bookmarkEnd w:id="1388"/>
      <w:bookmarkEnd w:id="1389"/>
      <w:bookmarkEnd w:id="1390"/>
      <w:bookmarkEnd w:id="1391"/>
      <w:bookmarkEnd w:id="1392"/>
    </w:p>
    <w:p>
      <w:pPr>
        <w:spacing w:line="360" w:lineRule="auto"/>
        <w:ind w:left="0" w:firstLine="0"/>
      </w:pPr>
      <w:r>
        <w:t>17</w:t>
      </w:r>
      <w:r>
        <w:rPr>
          <w:rFonts w:hint="eastAsia"/>
        </w:rPr>
        <w:t>.6.1　最终结清申请单</w:t>
      </w:r>
    </w:p>
    <w:p>
      <w:pPr>
        <w:spacing w:line="360" w:lineRule="auto"/>
        <w:ind w:left="0" w:firstLine="0"/>
      </w:pPr>
      <w:r>
        <w:rPr>
          <w:rFonts w:hint="eastAsia"/>
        </w:rPr>
        <w:t>（1）缺陷责任期终止证书签发后，分包人可按专用合同条款约定的份数和期限向承包人提交最终结清申请单，并提供相关证明材料。</w:t>
      </w:r>
    </w:p>
    <w:p>
      <w:pPr>
        <w:spacing w:line="360" w:lineRule="auto"/>
        <w:ind w:left="0" w:firstLine="0"/>
      </w:pPr>
      <w:r>
        <w:rPr>
          <w:rFonts w:hint="eastAsia"/>
        </w:rPr>
        <w:t>（2）承包人对最终结清申请单内容有异议的，有权要求分包人进行修正和提供补充资料，由分包人向承包人提交修正后的最终结清申请单。</w:t>
      </w:r>
    </w:p>
    <w:p>
      <w:pPr>
        <w:spacing w:line="360" w:lineRule="auto"/>
        <w:ind w:left="0" w:firstLine="0"/>
      </w:pPr>
      <w:r>
        <w:t>17</w:t>
      </w:r>
      <w:r>
        <w:rPr>
          <w:rFonts w:hint="eastAsia"/>
        </w:rPr>
        <w:t>.6.2　最终结清证书和支付时间</w:t>
      </w:r>
    </w:p>
    <w:p>
      <w:pPr>
        <w:spacing w:line="360" w:lineRule="auto"/>
        <w:ind w:left="0" w:firstLine="0"/>
      </w:pPr>
      <w:r>
        <w:rPr>
          <w:rFonts w:hint="eastAsia"/>
        </w:rPr>
        <w:t>（1）承包人收到分包人提交的最终结清申请单后的35天内审核完毕，向分包人出具签认的最终结清证书。承包人未在约定时间内核查，又未提出具体意见的，视为分包人提交的最终结清申请已经承包人核查同意。</w:t>
      </w:r>
    </w:p>
    <w:p>
      <w:pPr>
        <w:spacing w:line="360" w:lineRule="auto"/>
        <w:ind w:left="0" w:firstLine="0"/>
      </w:pPr>
      <w:r>
        <w:rPr>
          <w:rFonts w:hint="eastAsia"/>
        </w:rPr>
        <w:t>（2）承包人应在出具最终结清证书后的14天内，将应支付款支付给分包人。承包人不按期支付的，按第</w:t>
      </w:r>
      <w:r>
        <w:t>17</w:t>
      </w:r>
      <w:r>
        <w:rPr>
          <w:rFonts w:hint="eastAsia"/>
        </w:rPr>
        <w:t>.3.3（2）目的约定，将逾期付款违约金支付给分包人。</w:t>
      </w:r>
    </w:p>
    <w:p>
      <w:pPr>
        <w:spacing w:line="360" w:lineRule="auto"/>
        <w:ind w:left="0" w:firstLine="0"/>
      </w:pPr>
      <w:r>
        <w:rPr>
          <w:rFonts w:hint="eastAsia"/>
        </w:rPr>
        <w:t>（3）分包人对承包人签认的最终结清证书有异议的，按第2</w:t>
      </w:r>
      <w:r>
        <w:t>4</w:t>
      </w:r>
      <w:r>
        <w:rPr>
          <w:rFonts w:hint="eastAsia"/>
        </w:rPr>
        <w:t>条的约定办理。</w:t>
      </w:r>
    </w:p>
    <w:p>
      <w:pPr>
        <w:spacing w:line="360" w:lineRule="auto"/>
        <w:ind w:left="0" w:firstLine="0"/>
      </w:pPr>
      <w:r>
        <w:rPr>
          <w:rFonts w:hint="eastAsia"/>
        </w:rPr>
        <w:t>（4）最终结清付款涉及政府投资资金的，按第</w:t>
      </w:r>
      <w:r>
        <w:t>17</w:t>
      </w:r>
      <w:r>
        <w:rPr>
          <w:rFonts w:hint="eastAsia"/>
        </w:rPr>
        <w:t>.3.3（４）目的约定办理。</w:t>
      </w:r>
    </w:p>
    <w:p>
      <w:pPr>
        <w:spacing w:line="360" w:lineRule="auto"/>
        <w:ind w:left="0" w:firstLine="0"/>
      </w:pPr>
      <w:bookmarkStart w:id="1393" w:name="_Toc342296376"/>
      <w:bookmarkStart w:id="1394" w:name="_Toc403052739"/>
      <w:bookmarkStart w:id="1395" w:name="_Toc391456300"/>
      <w:bookmarkStart w:id="1396" w:name="_Toc338944818"/>
      <w:bookmarkStart w:id="1397" w:name="_Toc403059681"/>
      <w:r>
        <w:t>18</w:t>
      </w:r>
      <w:r>
        <w:rPr>
          <w:rFonts w:hint="eastAsia"/>
        </w:rPr>
        <w:t>. 完工验收</w:t>
      </w:r>
      <w:bookmarkEnd w:id="1393"/>
      <w:bookmarkEnd w:id="1394"/>
      <w:bookmarkEnd w:id="1395"/>
      <w:bookmarkEnd w:id="1396"/>
      <w:bookmarkEnd w:id="1397"/>
    </w:p>
    <w:p>
      <w:pPr>
        <w:spacing w:line="360" w:lineRule="auto"/>
        <w:ind w:left="0" w:firstLine="0"/>
      </w:pPr>
      <w:bookmarkStart w:id="1398" w:name="_Toc338944819"/>
      <w:bookmarkStart w:id="1399" w:name="_Toc403052740"/>
      <w:bookmarkStart w:id="1400" w:name="_Toc152045726"/>
      <w:bookmarkStart w:id="1401" w:name="_Toc393199641"/>
      <w:bookmarkStart w:id="1402" w:name="_Toc403054500"/>
      <w:bookmarkStart w:id="1403" w:name="_Toc179632744"/>
      <w:bookmarkStart w:id="1404" w:name="_Toc152042505"/>
      <w:bookmarkStart w:id="1405" w:name="_Toc393200669"/>
      <w:bookmarkStart w:id="1406" w:name="_Toc144974697"/>
      <w:bookmarkStart w:id="1407" w:name="_Toc393200155"/>
      <w:bookmarkStart w:id="1408" w:name="_Toc391456301"/>
      <w:bookmarkStart w:id="1409" w:name="_Toc403059682"/>
      <w:bookmarkStart w:id="1410" w:name="_Toc342296377"/>
      <w:r>
        <w:t>18</w:t>
      </w:r>
      <w:r>
        <w:rPr>
          <w:rFonts w:hint="eastAsia"/>
        </w:rPr>
        <w:t>.1　完工验收的含义</w:t>
      </w:r>
      <w:bookmarkEnd w:id="1398"/>
      <w:bookmarkEnd w:id="1399"/>
      <w:bookmarkEnd w:id="1400"/>
      <w:bookmarkEnd w:id="1401"/>
      <w:bookmarkEnd w:id="1402"/>
      <w:bookmarkEnd w:id="1403"/>
      <w:bookmarkEnd w:id="1404"/>
      <w:bookmarkEnd w:id="1405"/>
      <w:bookmarkEnd w:id="1406"/>
      <w:bookmarkEnd w:id="1407"/>
      <w:bookmarkEnd w:id="1408"/>
      <w:bookmarkEnd w:id="1409"/>
      <w:bookmarkEnd w:id="1410"/>
    </w:p>
    <w:p>
      <w:pPr>
        <w:spacing w:line="360" w:lineRule="auto"/>
        <w:ind w:left="0" w:firstLine="0"/>
      </w:pPr>
      <w:r>
        <w:t>18</w:t>
      </w:r>
      <w:r>
        <w:rPr>
          <w:rFonts w:hint="eastAsia"/>
        </w:rPr>
        <w:t>.1.1　完工验收指分包人完成了全部分包合同工作后，承包人按分包合同要求进行的验收。</w:t>
      </w:r>
    </w:p>
    <w:p>
      <w:pPr>
        <w:spacing w:line="360" w:lineRule="auto"/>
        <w:ind w:left="0" w:firstLine="0"/>
      </w:pPr>
      <w:r>
        <w:t>18</w:t>
      </w:r>
      <w:r>
        <w:rPr>
          <w:rFonts w:hint="eastAsia"/>
        </w:rPr>
        <w:t>.1.</w:t>
      </w:r>
      <w:r>
        <w:t>2</w:t>
      </w:r>
      <w:r>
        <w:rPr>
          <w:rFonts w:hint="eastAsia"/>
        </w:rPr>
        <w:t xml:space="preserve">　完工验收是竣工验收的一部分。完工验收所采用的各项验收和评定标准应符合竣工验收标准。承包人和分包人为完工验收提供的各项完工验收资料应符合竣工验收的要求。 </w:t>
      </w:r>
    </w:p>
    <w:p>
      <w:pPr>
        <w:spacing w:line="360" w:lineRule="auto"/>
        <w:ind w:left="0" w:firstLine="0"/>
      </w:pPr>
      <w:bookmarkStart w:id="1411" w:name="_Toc391456302"/>
      <w:bookmarkStart w:id="1412" w:name="_Toc338944820"/>
      <w:bookmarkStart w:id="1413" w:name="_Toc393200156"/>
      <w:bookmarkStart w:id="1414" w:name="_Toc393199642"/>
      <w:bookmarkStart w:id="1415" w:name="_Toc393200670"/>
      <w:bookmarkStart w:id="1416" w:name="_Toc342296378"/>
      <w:bookmarkStart w:id="1417" w:name="_Toc403052741"/>
      <w:bookmarkStart w:id="1418" w:name="_Toc403054501"/>
      <w:bookmarkStart w:id="1419" w:name="_Toc403059683"/>
      <w:r>
        <w:t>18</w:t>
      </w:r>
      <w:r>
        <w:rPr>
          <w:rFonts w:hint="eastAsia"/>
        </w:rPr>
        <w:t>.2　完工验收</w:t>
      </w:r>
      <w:bookmarkEnd w:id="1411"/>
      <w:bookmarkEnd w:id="1412"/>
      <w:bookmarkEnd w:id="1413"/>
      <w:bookmarkEnd w:id="1414"/>
      <w:bookmarkEnd w:id="1415"/>
      <w:bookmarkEnd w:id="1416"/>
      <w:r>
        <w:rPr>
          <w:rFonts w:hint="eastAsia"/>
        </w:rPr>
        <w:t>申请报告</w:t>
      </w:r>
      <w:bookmarkEnd w:id="1417"/>
      <w:bookmarkEnd w:id="1418"/>
      <w:bookmarkEnd w:id="1419"/>
    </w:p>
    <w:p>
      <w:pPr>
        <w:spacing w:line="360" w:lineRule="auto"/>
        <w:ind w:left="0" w:firstLine="0"/>
      </w:pPr>
      <w:r>
        <w:rPr>
          <w:rFonts w:hint="eastAsia"/>
        </w:rPr>
        <w:t>当工程具备以下条件时，分包人即可向承包人报送完工验收申请报告：</w:t>
      </w:r>
    </w:p>
    <w:p>
      <w:pPr>
        <w:spacing w:line="360" w:lineRule="auto"/>
        <w:ind w:left="0" w:firstLine="0"/>
      </w:pPr>
      <w:r>
        <w:rPr>
          <w:rFonts w:hint="eastAsia"/>
        </w:rPr>
        <w:t>（1）除承包人同意列入缺陷责任期内完成的尾工（甩项）工程和缺陷修补工作外，分包合同范围内的全部分包工程以及有关工作，包括分包合同要求的试验以及检验均已完成，并符合分包合同要求；</w:t>
      </w:r>
    </w:p>
    <w:p>
      <w:pPr>
        <w:spacing w:line="360" w:lineRule="auto"/>
        <w:ind w:left="0" w:firstLine="0"/>
      </w:pPr>
      <w:r>
        <w:rPr>
          <w:rFonts w:hint="eastAsia"/>
        </w:rPr>
        <w:t xml:space="preserve">（2）已按专用合同条款约定的内容和份数备齐了符合要求的完工资料； </w:t>
      </w:r>
    </w:p>
    <w:p>
      <w:pPr>
        <w:spacing w:line="360" w:lineRule="auto"/>
        <w:ind w:left="0" w:firstLine="0"/>
      </w:pPr>
      <w:r>
        <w:rPr>
          <w:rFonts w:hint="eastAsia"/>
        </w:rPr>
        <w:t>（3）已按承包人的要求编制了在缺陷责任期内完成的尾工（甩项）工程和缺陷修补工作清单以及相应施工计划；</w:t>
      </w:r>
    </w:p>
    <w:p>
      <w:pPr>
        <w:spacing w:line="360" w:lineRule="auto"/>
        <w:ind w:left="0" w:firstLine="0"/>
      </w:pPr>
      <w:r>
        <w:rPr>
          <w:rFonts w:hint="eastAsia"/>
        </w:rPr>
        <w:t>（4）专用合同条款约定的其他条件。</w:t>
      </w:r>
    </w:p>
    <w:p>
      <w:pPr>
        <w:spacing w:line="360" w:lineRule="auto"/>
        <w:ind w:left="0" w:firstLine="0"/>
      </w:pPr>
      <w:bookmarkStart w:id="1420" w:name="_Toc342296379"/>
      <w:bookmarkStart w:id="1421" w:name="_Toc403052742"/>
      <w:bookmarkStart w:id="1422" w:name="_Toc391456303"/>
      <w:bookmarkStart w:id="1423" w:name="_Toc403054502"/>
      <w:bookmarkStart w:id="1424" w:name="_Toc393199644"/>
      <w:bookmarkStart w:id="1425" w:name="_Toc403059684"/>
      <w:bookmarkStart w:id="1426" w:name="_Toc393200158"/>
      <w:bookmarkStart w:id="1427" w:name="_Toc338944821"/>
      <w:bookmarkStart w:id="1428" w:name="_Toc393200672"/>
      <w:r>
        <w:t>18</w:t>
      </w:r>
      <w:r>
        <w:rPr>
          <w:rFonts w:hint="eastAsia"/>
        </w:rPr>
        <w:t>.</w:t>
      </w:r>
      <w:r>
        <w:t>3</w:t>
      </w:r>
      <w:r>
        <w:rPr>
          <w:rFonts w:hint="eastAsia"/>
        </w:rPr>
        <w:t>　验收</w:t>
      </w:r>
      <w:bookmarkEnd w:id="1420"/>
      <w:bookmarkEnd w:id="1421"/>
      <w:bookmarkEnd w:id="1422"/>
      <w:bookmarkEnd w:id="1423"/>
      <w:bookmarkEnd w:id="1424"/>
      <w:bookmarkEnd w:id="1425"/>
      <w:bookmarkEnd w:id="1426"/>
      <w:bookmarkEnd w:id="1427"/>
      <w:bookmarkEnd w:id="1428"/>
    </w:p>
    <w:p>
      <w:pPr>
        <w:spacing w:line="360" w:lineRule="auto"/>
        <w:ind w:left="0" w:firstLine="0"/>
      </w:pPr>
      <w:r>
        <w:rPr>
          <w:rFonts w:hint="eastAsia"/>
        </w:rPr>
        <w:t>承包人收到分包人按第</w:t>
      </w:r>
      <w:r>
        <w:t>18</w:t>
      </w:r>
      <w:r>
        <w:rPr>
          <w:rFonts w:hint="eastAsia"/>
        </w:rPr>
        <w:t>.2款约定提交的完工验收申请报告后，应审查申请报告的各项内容，并按以下不同情况进行处理。</w:t>
      </w:r>
    </w:p>
    <w:p>
      <w:pPr>
        <w:spacing w:line="360" w:lineRule="auto"/>
        <w:ind w:left="0" w:firstLine="0"/>
      </w:pPr>
      <w:r>
        <w:t>18</w:t>
      </w:r>
      <w:r>
        <w:rPr>
          <w:rFonts w:hint="eastAsia"/>
        </w:rPr>
        <w:t>.</w:t>
      </w:r>
      <w:r>
        <w:t>3</w:t>
      </w:r>
      <w:r>
        <w:rPr>
          <w:rFonts w:hint="eastAsia"/>
        </w:rPr>
        <w:t>.1　承包人审查后认为尚不具备完工验收条件的，应在收到完工验收申请报告后的2</w:t>
      </w:r>
      <w:r>
        <w:t>1</w:t>
      </w:r>
      <w:r>
        <w:rPr>
          <w:rFonts w:hint="eastAsia"/>
        </w:rPr>
        <w:t>天内通知分包人，指出在颁发接收证书前分包人还需进行的工作内容。分包人完成承包人通知的全部工作内容后，应再次提交完工验收申请报告，直至承包人同意为止。</w:t>
      </w:r>
    </w:p>
    <w:p>
      <w:pPr>
        <w:spacing w:line="360" w:lineRule="auto"/>
        <w:ind w:left="0" w:firstLine="0"/>
      </w:pPr>
      <w:r>
        <w:t>18.3</w:t>
      </w:r>
      <w:r>
        <w:rPr>
          <w:rFonts w:hint="eastAsia"/>
        </w:rPr>
        <w:t>.2　承包人审查后认为已具备完工验收条件的，应在收到完工验收申请报告后的28天内按分部分项工程验收要求组织相关单位进行完工验收。</w:t>
      </w:r>
    </w:p>
    <w:p>
      <w:pPr>
        <w:spacing w:line="360" w:lineRule="auto"/>
        <w:ind w:left="0" w:firstLine="0"/>
      </w:pPr>
      <w:r>
        <w:t>18</w:t>
      </w:r>
      <w:r>
        <w:rPr>
          <w:rFonts w:hint="eastAsia"/>
        </w:rPr>
        <w:t>.</w:t>
      </w:r>
      <w:r>
        <w:t>3</w:t>
      </w:r>
      <w:r>
        <w:rPr>
          <w:rFonts w:hint="eastAsia"/>
        </w:rPr>
        <w:t>.3　除非合同另有约定，承包人经过验收后同意接受工程的，应在承包人收到完工验收申请报告后的56天内，由承包人向分包人出具签认的工程接收证书。承包人验收后同意接收工程但提出整修和完善要求的，限期修好，并缓发工程接收证书。整修和完善工作完成后，承包人复查达到要求后，再向分包人出具工程接收证书。</w:t>
      </w:r>
    </w:p>
    <w:p>
      <w:pPr>
        <w:spacing w:line="360" w:lineRule="auto"/>
        <w:ind w:left="0" w:firstLine="0"/>
      </w:pPr>
      <w:r>
        <w:t>18</w:t>
      </w:r>
      <w:r>
        <w:rPr>
          <w:rFonts w:hint="eastAsia"/>
        </w:rPr>
        <w:t>.</w:t>
      </w:r>
      <w:r>
        <w:t>3</w:t>
      </w:r>
      <w:r>
        <w:rPr>
          <w:rFonts w:hint="eastAsia"/>
        </w:rPr>
        <w:t>.4　完工验收不合格的，承包人应按照验收意见发出指示，要求分包人对不合格工程认真返工重作或进行补救处理，并承担由此产生的费用。分包人在完成不合格工程的返工重作或补救工作后，应重新提交完工验收申请报告，按第</w:t>
      </w:r>
      <w:r>
        <w:t>18</w:t>
      </w:r>
      <w:r>
        <w:rPr>
          <w:rFonts w:hint="eastAsia"/>
        </w:rPr>
        <w:t>.</w:t>
      </w:r>
      <w:r>
        <w:t>3</w:t>
      </w:r>
      <w:r>
        <w:rPr>
          <w:rFonts w:hint="eastAsia"/>
        </w:rPr>
        <w:t>.1项、第</w:t>
      </w:r>
      <w:r>
        <w:t>18</w:t>
      </w:r>
      <w:r>
        <w:rPr>
          <w:rFonts w:hint="eastAsia"/>
        </w:rPr>
        <w:t>.</w:t>
      </w:r>
      <w:r>
        <w:t>3</w:t>
      </w:r>
      <w:r>
        <w:rPr>
          <w:rFonts w:hint="eastAsia"/>
        </w:rPr>
        <w:t>.2项和第</w:t>
      </w:r>
      <w:r>
        <w:t>18</w:t>
      </w:r>
      <w:r>
        <w:rPr>
          <w:rFonts w:hint="eastAsia"/>
        </w:rPr>
        <w:t>.</w:t>
      </w:r>
      <w:r>
        <w:t>3</w:t>
      </w:r>
      <w:r>
        <w:rPr>
          <w:rFonts w:hint="eastAsia"/>
        </w:rPr>
        <w:t>.3项的约定进行。</w:t>
      </w:r>
    </w:p>
    <w:p>
      <w:pPr>
        <w:spacing w:line="360" w:lineRule="auto"/>
        <w:ind w:left="0" w:firstLine="0"/>
      </w:pPr>
      <w:r>
        <w:t>18</w:t>
      </w:r>
      <w:r>
        <w:rPr>
          <w:rFonts w:hint="eastAsia"/>
        </w:rPr>
        <w:t>.</w:t>
      </w:r>
      <w:r>
        <w:t>3</w:t>
      </w:r>
      <w:r>
        <w:rPr>
          <w:rFonts w:hint="eastAsia"/>
        </w:rPr>
        <w:t>.5　经验收合格的工程, 实际完工日期为分包人按照第</w:t>
      </w:r>
      <w:r>
        <w:t>18</w:t>
      </w:r>
      <w:r>
        <w:rPr>
          <w:rFonts w:hint="eastAsia"/>
        </w:rPr>
        <w:t>.2款提交完工验收申请报告或按照本款重新提交完工验收申请报告的日期（以两者中时间在后者为准），并在工程接收证书中写明。</w:t>
      </w:r>
    </w:p>
    <w:p>
      <w:pPr>
        <w:spacing w:line="360" w:lineRule="auto"/>
        <w:ind w:left="0" w:firstLine="0"/>
      </w:pPr>
      <w:r>
        <w:t>18</w:t>
      </w:r>
      <w:r>
        <w:rPr>
          <w:rFonts w:hint="eastAsia"/>
        </w:rPr>
        <w:t>.</w:t>
      </w:r>
      <w:r>
        <w:t>3</w:t>
      </w:r>
      <w:r>
        <w:rPr>
          <w:rFonts w:hint="eastAsia"/>
        </w:rPr>
        <w:t>.6　承包人在收到分包人完工验收申请报告56天后未进行验收的，视为验收合格，实际完工日期以提交完工验收申请报告的日期为准，但承包人由于不可抗力不能进行验收的除外。</w:t>
      </w:r>
    </w:p>
    <w:p>
      <w:pPr>
        <w:spacing w:line="360" w:lineRule="auto"/>
        <w:ind w:left="0" w:firstLine="0"/>
      </w:pPr>
      <w:r>
        <w:t>18</w:t>
      </w:r>
      <w:r>
        <w:rPr>
          <w:rFonts w:hint="eastAsia"/>
        </w:rPr>
        <w:t>.</w:t>
      </w:r>
      <w:r>
        <w:t>3</w:t>
      </w:r>
      <w:r>
        <w:rPr>
          <w:rFonts w:hint="eastAsia"/>
        </w:rPr>
        <w:t>.7　</w:t>
      </w:r>
      <w:r>
        <w:t>分包工程未经验收或验收不合格，承包人或发包人擅自使用的，自转移占有分包工程后之日起，分包工程应被视为已完工验收合格。</w:t>
      </w:r>
    </w:p>
    <w:p>
      <w:pPr>
        <w:spacing w:line="360" w:lineRule="auto"/>
        <w:ind w:left="0" w:firstLine="0"/>
      </w:pPr>
      <w:r>
        <w:t>18</w:t>
      </w:r>
      <w:r>
        <w:rPr>
          <w:rFonts w:hint="eastAsia"/>
        </w:rPr>
        <w:t>.</w:t>
      </w:r>
      <w:r>
        <w:t>3</w:t>
      </w:r>
      <w:r>
        <w:rPr>
          <w:rFonts w:hint="eastAsia"/>
        </w:rPr>
        <w:t>.</w:t>
      </w:r>
      <w:r>
        <w:t>8</w:t>
      </w:r>
      <w:r>
        <w:rPr>
          <w:rFonts w:hint="eastAsia"/>
        </w:rPr>
        <w:t>　工程接收证书颁发后，承包人应负责照管和维护分包工程。</w:t>
      </w:r>
    </w:p>
    <w:p>
      <w:pPr>
        <w:spacing w:line="360" w:lineRule="auto"/>
        <w:ind w:left="0" w:firstLine="0"/>
      </w:pPr>
      <w:bookmarkStart w:id="1429" w:name="_Toc403054503"/>
      <w:bookmarkStart w:id="1430" w:name="_Toc393199647"/>
      <w:bookmarkStart w:id="1431" w:name="_Toc393200161"/>
      <w:bookmarkStart w:id="1432" w:name="_Toc403052743"/>
      <w:bookmarkStart w:id="1433" w:name="_Toc391456306"/>
      <w:bookmarkStart w:id="1434" w:name="_Toc342296382"/>
      <w:bookmarkStart w:id="1435" w:name="_Toc338944824"/>
      <w:bookmarkStart w:id="1436" w:name="_Toc403059685"/>
      <w:bookmarkStart w:id="1437" w:name="_Toc393200675"/>
      <w:r>
        <w:t>18</w:t>
      </w:r>
      <w:r>
        <w:rPr>
          <w:rFonts w:hint="eastAsia"/>
        </w:rPr>
        <w:t>.4　试运行</w:t>
      </w:r>
      <w:bookmarkEnd w:id="1429"/>
      <w:bookmarkEnd w:id="1430"/>
      <w:bookmarkEnd w:id="1431"/>
      <w:bookmarkEnd w:id="1432"/>
      <w:bookmarkEnd w:id="1433"/>
      <w:bookmarkEnd w:id="1434"/>
      <w:bookmarkEnd w:id="1435"/>
      <w:bookmarkEnd w:id="1436"/>
      <w:bookmarkEnd w:id="1437"/>
    </w:p>
    <w:p>
      <w:pPr>
        <w:spacing w:line="360" w:lineRule="auto"/>
        <w:ind w:left="0" w:firstLine="0"/>
      </w:pPr>
      <w:r>
        <w:t>18</w:t>
      </w:r>
      <w:r>
        <w:rPr>
          <w:rFonts w:hint="eastAsia"/>
        </w:rPr>
        <w:t>.4.</w:t>
      </w:r>
      <w:r>
        <w:t>1</w:t>
      </w:r>
      <w:r>
        <w:rPr>
          <w:rFonts w:hint="eastAsia"/>
        </w:rPr>
        <w:t>　工程及工程设备试运行的组织与费用承担</w:t>
      </w:r>
    </w:p>
    <w:p>
      <w:pPr>
        <w:spacing w:line="360" w:lineRule="auto"/>
        <w:ind w:left="0" w:firstLine="0"/>
      </w:pPr>
      <w:r>
        <w:rPr>
          <w:rFonts w:hint="eastAsia"/>
        </w:rPr>
        <w:t>（1）工程设备安装具备单机无负荷试运行条件，由分包人组织试运行，费用由分包人承担。</w:t>
      </w:r>
    </w:p>
    <w:p>
      <w:pPr>
        <w:spacing w:line="360" w:lineRule="auto"/>
        <w:ind w:left="0" w:firstLine="0"/>
      </w:pPr>
      <w:r>
        <w:rPr>
          <w:rFonts w:hint="eastAsia"/>
        </w:rPr>
        <w:t>（2）工程设备安装具备无负荷联动试运行条件，由承包人组织试运行，费用由承包人承担</w:t>
      </w:r>
      <w:r>
        <w:t>。</w:t>
      </w:r>
    </w:p>
    <w:p>
      <w:pPr>
        <w:spacing w:line="360" w:lineRule="auto"/>
        <w:ind w:left="0" w:firstLine="0"/>
      </w:pPr>
      <w:r>
        <w:rPr>
          <w:rFonts w:hint="eastAsia"/>
        </w:rPr>
        <w:t>（3）投料试运行应在工程完工验收后由承包人负责，如承包人要求在工程完工验收前进行或需要分包人配合时，应征得分包人同意，另行签订补充协议。</w:t>
      </w:r>
    </w:p>
    <w:p>
      <w:pPr>
        <w:spacing w:line="360" w:lineRule="auto"/>
        <w:ind w:left="0" w:firstLine="0"/>
      </w:pPr>
      <w:r>
        <w:t>18</w:t>
      </w:r>
      <w:r>
        <w:rPr>
          <w:rFonts w:hint="eastAsia"/>
        </w:rPr>
        <w:t>.4.2　由于分包人的原因导致试运行失败的，分包人应采取措施保证试运行合格，并承担相应费用。由于承包人的原因导致试运行失败的，分包人应当采取措施保证试运行合格，承包人应承担由此产生的费用，并支付分包人合理利润。</w:t>
      </w:r>
    </w:p>
    <w:p>
      <w:pPr>
        <w:spacing w:line="360" w:lineRule="auto"/>
        <w:ind w:left="0" w:firstLine="0"/>
      </w:pPr>
      <w:bookmarkStart w:id="1438" w:name="_Toc403052744"/>
      <w:bookmarkStart w:id="1439" w:name="_Toc403054504"/>
      <w:bookmarkStart w:id="1440" w:name="_Toc393200676"/>
      <w:bookmarkStart w:id="1441" w:name="_Toc403059686"/>
      <w:bookmarkStart w:id="1442" w:name="_Toc393200162"/>
      <w:bookmarkStart w:id="1443" w:name="_Toc393199648"/>
      <w:bookmarkStart w:id="1444" w:name="_Toc391456307"/>
      <w:bookmarkStart w:id="1445" w:name="_Toc342296383"/>
      <w:bookmarkStart w:id="1446" w:name="_Toc338944825"/>
      <w:r>
        <w:t>18</w:t>
      </w:r>
      <w:r>
        <w:rPr>
          <w:rFonts w:hint="eastAsia"/>
        </w:rPr>
        <w:t>.</w:t>
      </w:r>
      <w:bookmarkStart w:id="1447" w:name="_Toc263259834"/>
      <w:r>
        <w:rPr>
          <w:rFonts w:hint="eastAsia"/>
        </w:rPr>
        <w:t>5　完工验收前的清理</w:t>
      </w:r>
      <w:bookmarkEnd w:id="1438"/>
      <w:bookmarkEnd w:id="1439"/>
      <w:bookmarkEnd w:id="1440"/>
      <w:bookmarkEnd w:id="1441"/>
      <w:bookmarkEnd w:id="1442"/>
      <w:bookmarkEnd w:id="1443"/>
      <w:bookmarkEnd w:id="1447"/>
    </w:p>
    <w:p>
      <w:pPr>
        <w:spacing w:line="360" w:lineRule="auto"/>
        <w:ind w:left="0" w:firstLine="0"/>
      </w:pPr>
      <w:r>
        <w:t>18</w:t>
      </w:r>
      <w:r>
        <w:rPr>
          <w:rFonts w:hint="eastAsia"/>
        </w:rPr>
        <w:t>.5.1　在向承包人提交完工验收申请报告前，分包人应当完成下述完工验收前的清理工作：</w:t>
      </w:r>
    </w:p>
    <w:p>
      <w:pPr>
        <w:spacing w:line="360" w:lineRule="auto"/>
        <w:ind w:left="0" w:firstLine="0"/>
      </w:pPr>
      <w:r>
        <w:rPr>
          <w:rFonts w:hint="eastAsia"/>
        </w:rPr>
        <w:t>（1）从永久工程内清除所有剩余材料、杂物、垃圾等等；</w:t>
      </w:r>
    </w:p>
    <w:p>
      <w:pPr>
        <w:spacing w:line="360" w:lineRule="auto"/>
        <w:ind w:left="0" w:firstLine="0"/>
      </w:pPr>
      <w:r>
        <w:rPr>
          <w:rFonts w:hint="eastAsia"/>
        </w:rPr>
        <w:t>（</w:t>
      </w:r>
      <w:r>
        <w:t>2</w:t>
      </w:r>
      <w:r>
        <w:rPr>
          <w:rFonts w:hint="eastAsia"/>
        </w:rPr>
        <w:t>）修缮所有损坏、清除所有污迹、替换所有需更换的材料；</w:t>
      </w:r>
    </w:p>
    <w:p>
      <w:pPr>
        <w:spacing w:line="360" w:lineRule="auto"/>
        <w:ind w:left="0" w:firstLine="0"/>
      </w:pPr>
      <w:r>
        <w:rPr>
          <w:rFonts w:hint="eastAsia"/>
        </w:rPr>
        <w:t>（</w:t>
      </w:r>
      <w:r>
        <w:t>3</w:t>
      </w:r>
      <w:r>
        <w:rPr>
          <w:rFonts w:hint="eastAsia"/>
        </w:rPr>
        <w:t>）检查、测试和确保所有服务系统、设施和设备达到良好的运行状态和效果；</w:t>
      </w:r>
    </w:p>
    <w:p>
      <w:pPr>
        <w:spacing w:line="360" w:lineRule="auto"/>
        <w:ind w:left="0" w:firstLine="0"/>
      </w:pPr>
      <w:r>
        <w:rPr>
          <w:rFonts w:hint="eastAsia"/>
        </w:rPr>
        <w:t>（</w:t>
      </w:r>
      <w:r>
        <w:t>4</w:t>
      </w:r>
      <w:r>
        <w:rPr>
          <w:rFonts w:hint="eastAsia"/>
        </w:rPr>
        <w:t>）专用合同条款约定的其他清理工作。</w:t>
      </w:r>
    </w:p>
    <w:p>
      <w:pPr>
        <w:spacing w:line="360" w:lineRule="auto"/>
        <w:ind w:left="0" w:firstLine="0"/>
      </w:pPr>
      <w:r>
        <w:rPr>
          <w:rFonts w:hint="eastAsia"/>
        </w:rPr>
        <w:t>18.5.</w:t>
      </w:r>
      <w:r>
        <w:t>2</w:t>
      </w:r>
      <w:r>
        <w:rPr>
          <w:rFonts w:hint="eastAsia"/>
        </w:rPr>
        <w:t>　清理工作所需费用由分包人承担</w:t>
      </w:r>
    </w:p>
    <w:p>
      <w:pPr>
        <w:spacing w:line="360" w:lineRule="auto"/>
        <w:ind w:left="0" w:firstLine="0"/>
      </w:pPr>
      <w:bookmarkStart w:id="1448" w:name="_Toc393200163"/>
      <w:bookmarkStart w:id="1449" w:name="_Toc403054505"/>
      <w:bookmarkStart w:id="1450" w:name="_Toc393199649"/>
      <w:bookmarkStart w:id="1451" w:name="_Toc403059687"/>
      <w:bookmarkStart w:id="1452" w:name="_Toc393200677"/>
      <w:bookmarkStart w:id="1453" w:name="_Toc403052745"/>
      <w:r>
        <w:t>18</w:t>
      </w:r>
      <w:r>
        <w:rPr>
          <w:rFonts w:hint="eastAsia"/>
        </w:rPr>
        <w:t>.6　完工清场</w:t>
      </w:r>
      <w:bookmarkEnd w:id="1444"/>
      <w:bookmarkEnd w:id="1445"/>
      <w:bookmarkEnd w:id="1446"/>
      <w:bookmarkEnd w:id="1448"/>
      <w:bookmarkEnd w:id="1449"/>
      <w:bookmarkEnd w:id="1450"/>
      <w:bookmarkEnd w:id="1451"/>
      <w:bookmarkEnd w:id="1452"/>
      <w:bookmarkEnd w:id="1453"/>
    </w:p>
    <w:p>
      <w:pPr>
        <w:spacing w:line="360" w:lineRule="auto"/>
        <w:ind w:left="0" w:firstLine="0"/>
      </w:pPr>
      <w:r>
        <w:t>18</w:t>
      </w:r>
      <w:r>
        <w:rPr>
          <w:rFonts w:hint="eastAsia"/>
        </w:rPr>
        <w:t>.6.1　承包人颁发（出具）工程接收证书后，分包人应在专用合同条款约定的时限内按照以下要求对施工场地进行清理并承担相关费用，直至承包人检验合格为止。</w:t>
      </w:r>
    </w:p>
    <w:p>
      <w:pPr>
        <w:spacing w:line="360" w:lineRule="auto"/>
        <w:ind w:left="0" w:firstLine="0"/>
      </w:pPr>
      <w:r>
        <w:rPr>
          <w:rFonts w:hint="eastAsia"/>
        </w:rPr>
        <w:t>（1）施工场地内残留的杂物和垃圾已全部清除出场；</w:t>
      </w:r>
    </w:p>
    <w:p>
      <w:pPr>
        <w:spacing w:line="360" w:lineRule="auto"/>
        <w:ind w:left="0" w:firstLine="0"/>
      </w:pPr>
      <w:r>
        <w:rPr>
          <w:rFonts w:hint="eastAsia"/>
        </w:rPr>
        <w:t>（2）从施工场地现场拆除所有的临时工程和临时设施并恢复地面原状，但经承包人批准的无法拆除的临时设施除外；</w:t>
      </w:r>
    </w:p>
    <w:p>
      <w:pPr>
        <w:spacing w:line="360" w:lineRule="auto"/>
        <w:ind w:left="0" w:firstLine="0"/>
      </w:pPr>
      <w:r>
        <w:rPr>
          <w:rFonts w:hint="eastAsia"/>
        </w:rPr>
        <w:t>（3）撤离所有分包人施工设备和剩余材料，包括废弃的施工设备和材料。（经承包人同意需在缺陷责任期内继续使用的除外）；</w:t>
      </w:r>
    </w:p>
    <w:p>
      <w:pPr>
        <w:spacing w:line="360" w:lineRule="auto"/>
        <w:ind w:left="0" w:firstLine="0"/>
      </w:pPr>
      <w:r>
        <w:rPr>
          <w:rFonts w:hint="eastAsia"/>
        </w:rPr>
        <w:t>（4）工程建筑物周边及其附近道路、河道的施工堆积物，已按承包人指示全部清理；</w:t>
      </w:r>
    </w:p>
    <w:p>
      <w:pPr>
        <w:spacing w:line="360" w:lineRule="auto"/>
        <w:ind w:left="0" w:firstLine="0"/>
      </w:pPr>
      <w:r>
        <w:rPr>
          <w:rFonts w:hint="eastAsia"/>
        </w:rPr>
        <w:t>（5）</w:t>
      </w:r>
      <w:r>
        <w:t>专用合同条款约定的</w:t>
      </w:r>
      <w:r>
        <w:rPr>
          <w:rFonts w:hint="eastAsia"/>
        </w:rPr>
        <w:t>其他场地清理工作已全部完成。</w:t>
      </w:r>
    </w:p>
    <w:p>
      <w:pPr>
        <w:spacing w:line="360" w:lineRule="auto"/>
        <w:ind w:left="0" w:firstLine="0"/>
      </w:pPr>
      <w:r>
        <w:t>18</w:t>
      </w:r>
      <w:r>
        <w:rPr>
          <w:rFonts w:hint="eastAsia"/>
        </w:rPr>
        <w:t>.6.2　分包人未按承包人的要求恢复临时占地，或者场地清理未达到分包合同约定的，承包人有权委托其他人恢复或清理，所发生的金额从拟支付给分包人的款项中扣除。</w:t>
      </w:r>
    </w:p>
    <w:p>
      <w:pPr>
        <w:spacing w:line="360" w:lineRule="auto"/>
        <w:ind w:left="0" w:firstLine="0"/>
      </w:pPr>
      <w:bookmarkStart w:id="1454" w:name="_Toc403059688"/>
      <w:bookmarkStart w:id="1455" w:name="_Toc403052746"/>
      <w:bookmarkStart w:id="1456" w:name="_Toc393200164"/>
      <w:bookmarkStart w:id="1457" w:name="_Toc342296384"/>
      <w:bookmarkStart w:id="1458" w:name="_Toc393200678"/>
      <w:bookmarkStart w:id="1459" w:name="_Toc338944826"/>
      <w:bookmarkStart w:id="1460" w:name="_Toc391456308"/>
      <w:bookmarkStart w:id="1461" w:name="_Toc403054506"/>
      <w:bookmarkStart w:id="1462" w:name="_Toc393199650"/>
      <w:r>
        <w:t>18</w:t>
      </w:r>
      <w:r>
        <w:rPr>
          <w:rFonts w:hint="eastAsia"/>
        </w:rPr>
        <w:t>.7　施工队伍的撤离</w:t>
      </w:r>
      <w:bookmarkEnd w:id="1454"/>
      <w:bookmarkEnd w:id="1455"/>
      <w:bookmarkEnd w:id="1456"/>
      <w:bookmarkEnd w:id="1457"/>
      <w:bookmarkEnd w:id="1458"/>
      <w:bookmarkEnd w:id="1459"/>
      <w:bookmarkEnd w:id="1460"/>
      <w:bookmarkEnd w:id="1461"/>
      <w:bookmarkEnd w:id="1462"/>
    </w:p>
    <w:p>
      <w:pPr>
        <w:spacing w:line="360" w:lineRule="auto"/>
        <w:ind w:left="0" w:firstLine="0"/>
      </w:pPr>
      <w:r>
        <w:rPr>
          <w:rFonts w:hint="eastAsia"/>
        </w:rPr>
        <w:t>工程接收证书颁发后的56天内，除了经承包人同意需在缺陷责任期内继续工作和使用的人员、施工设备和临时工程外，其余的人员、施工设备和临时工程均应撤离施工场地或拆除。分包人撤离施工场地（现场）时，承包人和分包人应当办理永久工程和施工场地移交手续，移交手续以书面方式出具，并分别经过承包人和分包人的签认。但是，承包人未按第</w:t>
      </w:r>
      <w:r>
        <w:t>17</w:t>
      </w:r>
      <w:r>
        <w:rPr>
          <w:rFonts w:hint="eastAsia"/>
        </w:rPr>
        <w:t>.5.1项约定的期限办清完工结算和完工付款的，本分包工程不得交付使用，承包人也无权要求分包人按分包合同约定的期限撤离施工场地（现场）和办理工程移交手续。除专用合同条款的约定外，缺陷责任期满时，分包人的人员和施工设备应全部撤离施工场地。</w:t>
      </w:r>
    </w:p>
    <w:p>
      <w:pPr>
        <w:spacing w:line="360" w:lineRule="auto"/>
        <w:ind w:left="0" w:firstLine="0"/>
      </w:pPr>
      <w:bookmarkStart w:id="1463" w:name="_Toc403052747"/>
      <w:bookmarkStart w:id="1464" w:name="_Toc403059689"/>
      <w:bookmarkStart w:id="1465" w:name="_Toc393200165"/>
      <w:bookmarkStart w:id="1466" w:name="_Toc393199651"/>
      <w:bookmarkStart w:id="1467" w:name="_Toc403054507"/>
      <w:bookmarkStart w:id="1468" w:name="_Toc393200679"/>
      <w:r>
        <w:t>18</w:t>
      </w:r>
      <w:r>
        <w:rPr>
          <w:rFonts w:hint="eastAsia"/>
        </w:rPr>
        <w:t>.8　中间验收</w:t>
      </w:r>
      <w:bookmarkEnd w:id="1463"/>
      <w:bookmarkEnd w:id="1464"/>
      <w:bookmarkEnd w:id="1465"/>
      <w:bookmarkEnd w:id="1466"/>
      <w:bookmarkEnd w:id="1467"/>
      <w:bookmarkEnd w:id="1468"/>
    </w:p>
    <w:p>
      <w:pPr>
        <w:spacing w:line="360" w:lineRule="auto"/>
        <w:ind w:left="0" w:firstLine="0"/>
      </w:pPr>
      <w:r>
        <w:rPr>
          <w:rFonts w:hint="eastAsia"/>
        </w:rPr>
        <w:t>本分包工程需要按照专用合同条款的约定进行中间验收。</w:t>
      </w:r>
    </w:p>
    <w:p>
      <w:pPr>
        <w:spacing w:line="360" w:lineRule="auto"/>
        <w:ind w:left="0" w:firstLine="0"/>
      </w:pPr>
      <w:r>
        <w:rPr>
          <w:rFonts w:hint="eastAsia"/>
        </w:rPr>
        <w:t>当工程进度达到本款约定的中间验收部位时，分包人应当进行自检，并在中间验收前48小时以书面形式通知承包人验收。书面通知应包括中间验收的内容、验收时间和地点。分包人应当准备验收记录。只有承包人验收合格并在验收记录上签字后，分包人方可继续施工。验收不合格的，分包人在专用合同条款约定的期限内进行修改后重新验收。</w:t>
      </w:r>
    </w:p>
    <w:p>
      <w:pPr>
        <w:spacing w:line="360" w:lineRule="auto"/>
        <w:ind w:left="0" w:firstLine="0"/>
      </w:pPr>
      <w:r>
        <w:rPr>
          <w:rFonts w:hint="eastAsia"/>
        </w:rPr>
        <w:t>承包人不能按时进行验收的，应在验收前24小时以书面形式向分包人提出延期要求，延期不能超过48小时。承包人未能按本款约定的时限提出延期要求，又未按期进行验收的，分包人可自行组织验收，承包人必须认同验收记录。</w:t>
      </w:r>
    </w:p>
    <w:p>
      <w:pPr>
        <w:spacing w:line="360" w:lineRule="auto"/>
        <w:ind w:left="0" w:firstLine="0"/>
      </w:pPr>
      <w:r>
        <w:rPr>
          <w:rFonts w:hint="eastAsia"/>
        </w:rPr>
        <w:t>经承包人验收后工程质量符合约定的验收标准，但验收24小时后承包人仍不在验收记录上签字的，视为承包人已经认可验收记录，分包人可继续施工。</w:t>
      </w:r>
    </w:p>
    <w:p>
      <w:pPr>
        <w:spacing w:line="360" w:lineRule="auto"/>
        <w:ind w:left="0" w:firstLine="0"/>
      </w:pPr>
      <w:bookmarkStart w:id="1469" w:name="_Toc403052748"/>
      <w:bookmarkStart w:id="1470" w:name="_Toc338944827"/>
      <w:bookmarkStart w:id="1471" w:name="_Toc403059690"/>
      <w:bookmarkStart w:id="1472" w:name="_Toc391456309"/>
      <w:bookmarkStart w:id="1473" w:name="_Toc342296385"/>
      <w:r>
        <w:t>19</w:t>
      </w:r>
      <w:r>
        <w:rPr>
          <w:rFonts w:hint="eastAsia"/>
        </w:rPr>
        <w:t>. 缺陷责任与保修责任</w:t>
      </w:r>
      <w:bookmarkEnd w:id="1469"/>
      <w:bookmarkEnd w:id="1470"/>
      <w:bookmarkEnd w:id="1471"/>
      <w:bookmarkEnd w:id="1472"/>
      <w:bookmarkEnd w:id="1473"/>
    </w:p>
    <w:p>
      <w:pPr>
        <w:spacing w:line="360" w:lineRule="auto"/>
        <w:ind w:left="0" w:firstLine="0"/>
      </w:pPr>
      <w:bookmarkStart w:id="1474" w:name="_Toc391456310"/>
      <w:bookmarkStart w:id="1475" w:name="_Toc403059691"/>
      <w:bookmarkStart w:id="1476" w:name="_Toc144974706"/>
      <w:bookmarkStart w:id="1477" w:name="_Toc179632753"/>
      <w:bookmarkStart w:id="1478" w:name="_Toc403054509"/>
      <w:bookmarkStart w:id="1479" w:name="_Toc393200681"/>
      <w:bookmarkStart w:id="1480" w:name="_Toc152042514"/>
      <w:bookmarkStart w:id="1481" w:name="_Toc152045735"/>
      <w:bookmarkStart w:id="1482" w:name="_Toc393200167"/>
      <w:bookmarkStart w:id="1483" w:name="_Toc393199653"/>
      <w:bookmarkStart w:id="1484" w:name="_Toc338944828"/>
      <w:bookmarkStart w:id="1485" w:name="_Toc403052749"/>
      <w:bookmarkStart w:id="1486" w:name="_Toc342296386"/>
      <w:r>
        <w:t>19</w:t>
      </w:r>
      <w:r>
        <w:rPr>
          <w:rFonts w:hint="eastAsia"/>
        </w:rPr>
        <w:t>.1　缺陷责任期的起算时间</w:t>
      </w:r>
      <w:bookmarkEnd w:id="1474"/>
      <w:bookmarkEnd w:id="1475"/>
      <w:bookmarkEnd w:id="1476"/>
      <w:bookmarkEnd w:id="1477"/>
      <w:bookmarkEnd w:id="1478"/>
      <w:bookmarkEnd w:id="1479"/>
      <w:bookmarkEnd w:id="1480"/>
      <w:bookmarkEnd w:id="1481"/>
      <w:bookmarkEnd w:id="1482"/>
      <w:bookmarkEnd w:id="1483"/>
      <w:bookmarkEnd w:id="1484"/>
      <w:bookmarkEnd w:id="1485"/>
      <w:bookmarkEnd w:id="1486"/>
    </w:p>
    <w:p>
      <w:pPr>
        <w:spacing w:line="360" w:lineRule="auto"/>
        <w:ind w:left="0" w:firstLine="0"/>
      </w:pPr>
      <w:r>
        <w:rPr>
          <w:rFonts w:hint="eastAsia"/>
        </w:rPr>
        <w:t>除非专用合同条款另有约定，提前使用分包工程的，分包工程缺陷责任期自开始使用之日起算；未提前使用的，缺陷责任期自整体工程实际竣工日期起计算。</w:t>
      </w:r>
    </w:p>
    <w:p>
      <w:pPr>
        <w:spacing w:line="360" w:lineRule="auto"/>
        <w:ind w:left="0" w:firstLine="0"/>
      </w:pPr>
      <w:bookmarkStart w:id="1487" w:name="_Toc403052750"/>
      <w:bookmarkStart w:id="1488" w:name="_Toc393199654"/>
      <w:bookmarkStart w:id="1489" w:name="_Toc393200682"/>
      <w:bookmarkStart w:id="1490" w:name="_Toc152042515"/>
      <w:bookmarkStart w:id="1491" w:name="_Toc393200168"/>
      <w:bookmarkStart w:id="1492" w:name="_Toc144974707"/>
      <w:bookmarkStart w:id="1493" w:name="_Toc403059692"/>
      <w:bookmarkStart w:id="1494" w:name="_Toc179632754"/>
      <w:bookmarkStart w:id="1495" w:name="_Toc338944829"/>
      <w:bookmarkStart w:id="1496" w:name="_Toc152045736"/>
      <w:bookmarkStart w:id="1497" w:name="_Toc342296387"/>
      <w:bookmarkStart w:id="1498" w:name="_Toc403054510"/>
      <w:bookmarkStart w:id="1499" w:name="_Toc391456311"/>
      <w:r>
        <w:t>19</w:t>
      </w:r>
      <w:r>
        <w:rPr>
          <w:rFonts w:hint="eastAsia"/>
        </w:rPr>
        <w:t>.2　缺陷责任</w:t>
      </w:r>
      <w:bookmarkEnd w:id="1487"/>
      <w:bookmarkEnd w:id="1488"/>
      <w:bookmarkEnd w:id="1489"/>
      <w:bookmarkEnd w:id="1490"/>
      <w:bookmarkEnd w:id="1491"/>
      <w:bookmarkEnd w:id="1492"/>
      <w:bookmarkEnd w:id="1493"/>
      <w:bookmarkEnd w:id="1494"/>
      <w:bookmarkEnd w:id="1495"/>
      <w:bookmarkEnd w:id="1496"/>
      <w:bookmarkEnd w:id="1497"/>
      <w:bookmarkEnd w:id="1498"/>
      <w:bookmarkEnd w:id="1499"/>
    </w:p>
    <w:p>
      <w:pPr>
        <w:spacing w:line="360" w:lineRule="auto"/>
        <w:ind w:left="0" w:firstLine="0"/>
      </w:pPr>
      <w:r>
        <w:t>19</w:t>
      </w:r>
      <w:r>
        <w:rPr>
          <w:rFonts w:hint="eastAsia"/>
        </w:rPr>
        <w:t>.2.1　分包人应在缺陷责任期内对已交付使用的工程承担缺陷责任。</w:t>
      </w:r>
    </w:p>
    <w:p>
      <w:pPr>
        <w:spacing w:line="360" w:lineRule="auto"/>
        <w:ind w:left="0" w:firstLine="0"/>
      </w:pPr>
      <w:r>
        <w:t>19</w:t>
      </w:r>
      <w:r>
        <w:rPr>
          <w:rFonts w:hint="eastAsia"/>
        </w:rPr>
        <w:t>.2.2　缺陷责任期内，承包人对已接收使用的工程负责日常维护工作。承包人在使用过程中，发现已接收的工程存在新的缺陷或已修复的缺陷部位或部件又遭损坏的，分包人应负责修复，直至检验合格为止。</w:t>
      </w:r>
    </w:p>
    <w:p>
      <w:pPr>
        <w:spacing w:line="360" w:lineRule="auto"/>
        <w:ind w:left="0" w:firstLine="0"/>
      </w:pPr>
      <w:r>
        <w:t>19</w:t>
      </w:r>
      <w:r>
        <w:rPr>
          <w:rFonts w:hint="eastAsia"/>
        </w:rPr>
        <w:t>.2.3　承包人和分包人应共同查清缺陷和（或）损坏的原因。经查明属分包人原因造成的，应由分包人承担修复和查验的费用。经查验属承包人原因造成的，承包人应承担修复和查验的费用，并支付分包人合理利润。</w:t>
      </w:r>
    </w:p>
    <w:p>
      <w:pPr>
        <w:spacing w:line="360" w:lineRule="auto"/>
        <w:ind w:left="0" w:firstLine="0"/>
      </w:pPr>
      <w:r>
        <w:t>19</w:t>
      </w:r>
      <w:r>
        <w:rPr>
          <w:rFonts w:hint="eastAsia"/>
        </w:rPr>
        <w:t>.2.4　分包人不能在合理时间内修复缺陷的，承包人可自行修复或委托其他人修复，所需费用和利润的承担，按第</w:t>
      </w:r>
      <w:r>
        <w:t>19</w:t>
      </w:r>
      <w:r>
        <w:rPr>
          <w:rFonts w:hint="eastAsia"/>
        </w:rPr>
        <w:t>.2.3项约定办理。</w:t>
      </w:r>
    </w:p>
    <w:p>
      <w:pPr>
        <w:spacing w:line="360" w:lineRule="auto"/>
        <w:ind w:left="0" w:firstLine="0"/>
      </w:pPr>
      <w:bookmarkStart w:id="1500" w:name="_Toc403059693"/>
      <w:bookmarkStart w:id="1501" w:name="_Toc393200683"/>
      <w:bookmarkStart w:id="1502" w:name="_Toc179632755"/>
      <w:bookmarkStart w:id="1503" w:name="_Toc338944830"/>
      <w:bookmarkStart w:id="1504" w:name="_Toc152045737"/>
      <w:bookmarkStart w:id="1505" w:name="_Toc342296388"/>
      <w:bookmarkStart w:id="1506" w:name="_Toc144974708"/>
      <w:bookmarkStart w:id="1507" w:name="_Toc403054511"/>
      <w:bookmarkStart w:id="1508" w:name="_Toc393200169"/>
      <w:bookmarkStart w:id="1509" w:name="_Toc393199655"/>
      <w:bookmarkStart w:id="1510" w:name="_Toc403052751"/>
      <w:bookmarkStart w:id="1511" w:name="_Toc152042516"/>
      <w:bookmarkStart w:id="1512" w:name="_Toc391456312"/>
      <w:r>
        <w:t>19</w:t>
      </w:r>
      <w:r>
        <w:rPr>
          <w:rFonts w:hint="eastAsia"/>
        </w:rPr>
        <w:t>.3　缺陷责任期的延长</w:t>
      </w:r>
      <w:bookmarkEnd w:id="1500"/>
      <w:bookmarkEnd w:id="1501"/>
      <w:bookmarkEnd w:id="1502"/>
      <w:bookmarkEnd w:id="1503"/>
      <w:bookmarkEnd w:id="1504"/>
      <w:bookmarkEnd w:id="1505"/>
      <w:bookmarkEnd w:id="1506"/>
      <w:bookmarkEnd w:id="1507"/>
      <w:bookmarkEnd w:id="1508"/>
      <w:bookmarkEnd w:id="1509"/>
      <w:bookmarkEnd w:id="1510"/>
      <w:bookmarkEnd w:id="1511"/>
      <w:bookmarkEnd w:id="1512"/>
    </w:p>
    <w:p>
      <w:pPr>
        <w:spacing w:line="360" w:lineRule="auto"/>
        <w:ind w:left="0" w:firstLine="0"/>
      </w:pPr>
      <w:r>
        <w:rPr>
          <w:rFonts w:hint="eastAsia"/>
        </w:rPr>
        <w:t>由于分包人原因造成某项缺陷或损坏使分包工程或某项工程设备不能按原定目标使用而需要再次检查、检验和修复的，承包人有权要求分包人相应延长缺陷责任期，但缺陷责任期最长不超过2年。</w:t>
      </w:r>
    </w:p>
    <w:p>
      <w:pPr>
        <w:spacing w:line="360" w:lineRule="auto"/>
        <w:ind w:left="0" w:firstLine="0"/>
      </w:pPr>
      <w:bookmarkStart w:id="1513" w:name="_Toc152045738"/>
      <w:bookmarkStart w:id="1514" w:name="_Toc144974709"/>
      <w:bookmarkStart w:id="1515" w:name="_Toc391456313"/>
      <w:bookmarkStart w:id="1516" w:name="_Toc403052752"/>
      <w:bookmarkStart w:id="1517" w:name="_Toc393200170"/>
      <w:bookmarkStart w:id="1518" w:name="_Toc393199656"/>
      <w:bookmarkStart w:id="1519" w:name="_Toc338944831"/>
      <w:bookmarkStart w:id="1520" w:name="_Toc403054512"/>
      <w:bookmarkStart w:id="1521" w:name="_Toc342296389"/>
      <w:bookmarkStart w:id="1522" w:name="_Toc403059694"/>
      <w:bookmarkStart w:id="1523" w:name="_Toc393200684"/>
      <w:bookmarkStart w:id="1524" w:name="_Toc152042517"/>
      <w:bookmarkStart w:id="1525" w:name="_Toc179632756"/>
      <w:r>
        <w:t>19</w:t>
      </w:r>
      <w:r>
        <w:rPr>
          <w:rFonts w:hint="eastAsia"/>
        </w:rPr>
        <w:t>.4　进一步试验和试运行</w:t>
      </w:r>
      <w:bookmarkEnd w:id="1513"/>
      <w:bookmarkEnd w:id="1514"/>
      <w:bookmarkEnd w:id="1515"/>
      <w:bookmarkEnd w:id="1516"/>
      <w:bookmarkEnd w:id="1517"/>
      <w:bookmarkEnd w:id="1518"/>
      <w:bookmarkEnd w:id="1519"/>
      <w:bookmarkEnd w:id="1520"/>
      <w:bookmarkEnd w:id="1521"/>
      <w:bookmarkEnd w:id="1522"/>
      <w:bookmarkEnd w:id="1523"/>
      <w:bookmarkEnd w:id="1524"/>
      <w:bookmarkEnd w:id="1525"/>
    </w:p>
    <w:p>
      <w:pPr>
        <w:spacing w:line="360" w:lineRule="auto"/>
        <w:ind w:left="0" w:firstLine="0"/>
      </w:pPr>
      <w:r>
        <w:rPr>
          <w:rFonts w:hint="eastAsia"/>
        </w:rPr>
        <w:t>任何一项缺陷或损坏修复后，经检查证明其影响了工程或工程设备的使用性能，分包人应重新进行分包合同约定的试验和试运行，试验和试运行的全部费用应由责任方承担。</w:t>
      </w:r>
    </w:p>
    <w:p>
      <w:pPr>
        <w:spacing w:line="360" w:lineRule="auto"/>
        <w:ind w:left="0" w:firstLine="0"/>
      </w:pPr>
      <w:bookmarkStart w:id="1526" w:name="_Toc152042518"/>
      <w:bookmarkStart w:id="1527" w:name="_Toc144974710"/>
      <w:bookmarkStart w:id="1528" w:name="_Toc391456314"/>
      <w:bookmarkStart w:id="1529" w:name="_Toc403054513"/>
      <w:bookmarkStart w:id="1530" w:name="_Toc403052753"/>
      <w:bookmarkStart w:id="1531" w:name="_Toc403059695"/>
      <w:bookmarkStart w:id="1532" w:name="_Toc342296390"/>
      <w:bookmarkStart w:id="1533" w:name="_Toc179632757"/>
      <w:bookmarkStart w:id="1534" w:name="_Toc393199657"/>
      <w:bookmarkStart w:id="1535" w:name="_Toc393200171"/>
      <w:bookmarkStart w:id="1536" w:name="_Toc393200685"/>
      <w:bookmarkStart w:id="1537" w:name="_Toc152045739"/>
      <w:bookmarkStart w:id="1538" w:name="_Toc338944832"/>
      <w:r>
        <w:t>19</w:t>
      </w:r>
      <w:r>
        <w:rPr>
          <w:rFonts w:hint="eastAsia"/>
        </w:rPr>
        <w:t>.5　分包人的进入权</w:t>
      </w:r>
      <w:bookmarkEnd w:id="1526"/>
      <w:bookmarkEnd w:id="1527"/>
      <w:bookmarkEnd w:id="1528"/>
      <w:bookmarkEnd w:id="1529"/>
      <w:bookmarkEnd w:id="1530"/>
      <w:bookmarkEnd w:id="1531"/>
      <w:bookmarkEnd w:id="1532"/>
      <w:bookmarkEnd w:id="1533"/>
      <w:bookmarkEnd w:id="1534"/>
      <w:bookmarkEnd w:id="1535"/>
      <w:bookmarkEnd w:id="1536"/>
      <w:bookmarkEnd w:id="1537"/>
      <w:bookmarkEnd w:id="1538"/>
    </w:p>
    <w:p>
      <w:pPr>
        <w:spacing w:line="360" w:lineRule="auto"/>
        <w:ind w:left="0" w:firstLine="0"/>
      </w:pPr>
      <w:r>
        <w:rPr>
          <w:rFonts w:hint="eastAsia"/>
        </w:rPr>
        <w:t>缺陷责任期内分包人为缺陷修复工作需要，有权进入工程现场，但应遵守承包人的保安和保密规定。</w:t>
      </w:r>
    </w:p>
    <w:p>
      <w:pPr>
        <w:spacing w:line="360" w:lineRule="auto"/>
        <w:ind w:left="0" w:firstLine="0"/>
      </w:pPr>
      <w:bookmarkStart w:id="1539" w:name="_Toc393200686"/>
      <w:bookmarkStart w:id="1540" w:name="_Toc152045740"/>
      <w:bookmarkStart w:id="1541" w:name="_Toc393199658"/>
      <w:bookmarkStart w:id="1542" w:name="_Toc393200172"/>
      <w:bookmarkStart w:id="1543" w:name="_Toc179632758"/>
      <w:bookmarkStart w:id="1544" w:name="_Toc144974711"/>
      <w:bookmarkStart w:id="1545" w:name="_Toc391456315"/>
      <w:bookmarkStart w:id="1546" w:name="_Toc338944833"/>
      <w:bookmarkStart w:id="1547" w:name="_Toc403059696"/>
      <w:bookmarkStart w:id="1548" w:name="_Toc403052754"/>
      <w:bookmarkStart w:id="1549" w:name="_Toc342296391"/>
      <w:bookmarkStart w:id="1550" w:name="_Toc152042519"/>
      <w:bookmarkStart w:id="1551" w:name="_Toc403054514"/>
      <w:r>
        <w:t>19</w:t>
      </w:r>
      <w:r>
        <w:rPr>
          <w:rFonts w:hint="eastAsia"/>
        </w:rPr>
        <w:t>.6　缺陷责任期终止证书</w:t>
      </w:r>
      <w:bookmarkEnd w:id="1539"/>
      <w:bookmarkEnd w:id="1540"/>
      <w:bookmarkEnd w:id="1541"/>
      <w:bookmarkEnd w:id="1542"/>
      <w:bookmarkEnd w:id="1543"/>
      <w:bookmarkEnd w:id="1544"/>
      <w:bookmarkEnd w:id="1545"/>
      <w:bookmarkEnd w:id="1546"/>
      <w:bookmarkEnd w:id="1547"/>
      <w:bookmarkEnd w:id="1548"/>
      <w:bookmarkEnd w:id="1549"/>
      <w:bookmarkEnd w:id="1550"/>
      <w:bookmarkEnd w:id="1551"/>
    </w:p>
    <w:p>
      <w:pPr>
        <w:spacing w:line="360" w:lineRule="auto"/>
        <w:ind w:left="0" w:firstLine="0"/>
      </w:pPr>
      <w:r>
        <w:rPr>
          <w:rFonts w:hint="eastAsia"/>
        </w:rPr>
        <w:t>在第1.1.4.5目约定的缺陷责任期，包括根据第</w:t>
      </w:r>
      <w:r>
        <w:t>19</w:t>
      </w:r>
      <w:r>
        <w:rPr>
          <w:rFonts w:hint="eastAsia"/>
        </w:rPr>
        <w:t>.3款延长的期限终止后21天内，由承包人向分包人出具签认的缺陷责任期终止证书，并退还剩余的质量保证金。</w:t>
      </w:r>
    </w:p>
    <w:p>
      <w:pPr>
        <w:spacing w:line="360" w:lineRule="auto"/>
        <w:ind w:left="0" w:firstLine="0"/>
      </w:pPr>
      <w:bookmarkStart w:id="1552" w:name="_Toc393200687"/>
      <w:bookmarkStart w:id="1553" w:name="_Toc403054515"/>
      <w:bookmarkStart w:id="1554" w:name="_Toc403059697"/>
      <w:bookmarkStart w:id="1555" w:name="_Toc393199659"/>
      <w:bookmarkStart w:id="1556" w:name="_Toc342296392"/>
      <w:bookmarkStart w:id="1557" w:name="_Toc338944834"/>
      <w:bookmarkStart w:id="1558" w:name="_Toc403052755"/>
      <w:bookmarkStart w:id="1559" w:name="_Toc393200173"/>
      <w:bookmarkStart w:id="1560" w:name="_Toc391456316"/>
      <w:r>
        <w:t>19</w:t>
      </w:r>
      <w:r>
        <w:rPr>
          <w:rFonts w:hint="eastAsia"/>
        </w:rPr>
        <w:t>.7　保修责任</w:t>
      </w:r>
      <w:bookmarkEnd w:id="1552"/>
      <w:bookmarkEnd w:id="1553"/>
      <w:bookmarkEnd w:id="1554"/>
      <w:bookmarkEnd w:id="1555"/>
      <w:bookmarkEnd w:id="1556"/>
      <w:bookmarkEnd w:id="1557"/>
      <w:bookmarkEnd w:id="1558"/>
      <w:bookmarkEnd w:id="1559"/>
      <w:bookmarkEnd w:id="1560"/>
    </w:p>
    <w:p>
      <w:pPr>
        <w:spacing w:line="360" w:lineRule="auto"/>
        <w:ind w:left="0" w:firstLine="0"/>
      </w:pPr>
      <w:r>
        <w:rPr>
          <w:rFonts w:hint="eastAsia"/>
        </w:rPr>
        <w:t>合同当事人根据有关法律规定，在专用合同条款中约定分包工程质量保修范围、期限和责任。除非专用合同条款另有约定，提前使用分包工程的，分包工程保修期自开始使用之日起算；未提前使用的，保修自整体工程实际竣工日期起计算。</w:t>
      </w:r>
    </w:p>
    <w:p>
      <w:pPr>
        <w:spacing w:line="360" w:lineRule="auto"/>
        <w:ind w:left="0" w:firstLine="0"/>
      </w:pPr>
      <w:r>
        <w:rPr>
          <w:rFonts w:hint="eastAsia"/>
        </w:rPr>
        <w:t>质量保修书是完工验收申请报告的组成内容。分包人应当按照有关法律法规规定和合同所附的格式出具质量保修书，质量保修书的主要内容应当与本款上述约定内容一致。分包人在递交合同条款第18.2款约定的完工验收申请报告的同时，将质量保修书一并报送承包人。</w:t>
      </w:r>
    </w:p>
    <w:p>
      <w:pPr>
        <w:spacing w:line="360" w:lineRule="auto"/>
        <w:ind w:left="0" w:firstLine="0"/>
      </w:pPr>
      <w:bookmarkStart w:id="1561" w:name="_Toc342296393"/>
      <w:bookmarkStart w:id="1562" w:name="_Toc403052756"/>
      <w:bookmarkStart w:id="1563" w:name="_Toc338944835"/>
      <w:bookmarkStart w:id="1564" w:name="_Toc403059698"/>
      <w:bookmarkStart w:id="1565" w:name="_Toc391456317"/>
      <w:r>
        <w:t>20</w:t>
      </w:r>
      <w:r>
        <w:rPr>
          <w:rFonts w:hint="eastAsia"/>
        </w:rPr>
        <w:t>. 保险</w:t>
      </w:r>
      <w:bookmarkEnd w:id="1561"/>
      <w:bookmarkEnd w:id="1562"/>
      <w:bookmarkEnd w:id="1563"/>
      <w:bookmarkEnd w:id="1564"/>
      <w:bookmarkEnd w:id="1565"/>
    </w:p>
    <w:p>
      <w:pPr>
        <w:spacing w:line="360" w:lineRule="auto"/>
        <w:ind w:left="0" w:firstLine="0"/>
      </w:pPr>
      <w:bookmarkStart w:id="1566" w:name="_Toc338944836"/>
      <w:bookmarkStart w:id="1567" w:name="_Toc393199661"/>
      <w:bookmarkStart w:id="1568" w:name="_Toc393200175"/>
      <w:bookmarkStart w:id="1569" w:name="_Toc403059699"/>
      <w:bookmarkStart w:id="1570" w:name="_Toc403052757"/>
      <w:bookmarkStart w:id="1571" w:name="_Toc403054517"/>
      <w:bookmarkStart w:id="1572" w:name="_Toc391456318"/>
      <w:bookmarkStart w:id="1573" w:name="_Toc393200689"/>
      <w:bookmarkStart w:id="1574" w:name="_Toc342296394"/>
      <w:r>
        <w:rPr>
          <w:rFonts w:hint="eastAsia"/>
        </w:rPr>
        <w:t>2</w:t>
      </w:r>
      <w:r>
        <w:t>0</w:t>
      </w:r>
      <w:r>
        <w:rPr>
          <w:rFonts w:hint="eastAsia"/>
        </w:rPr>
        <w:t>.1　发包人和承包人为整体工程投保的保险</w:t>
      </w:r>
      <w:bookmarkEnd w:id="1566"/>
      <w:bookmarkEnd w:id="1567"/>
      <w:bookmarkEnd w:id="1568"/>
      <w:bookmarkEnd w:id="1569"/>
      <w:bookmarkEnd w:id="1570"/>
      <w:bookmarkEnd w:id="1571"/>
      <w:bookmarkEnd w:id="1572"/>
      <w:bookmarkEnd w:id="1573"/>
      <w:bookmarkEnd w:id="1574"/>
    </w:p>
    <w:p>
      <w:pPr>
        <w:spacing w:line="360" w:lineRule="auto"/>
        <w:ind w:left="0" w:firstLine="0"/>
      </w:pPr>
      <w:r>
        <w:t>发包人和承包人已为整体工程投</w:t>
      </w:r>
      <w:r>
        <w:rPr>
          <w:rFonts w:hint="eastAsia"/>
        </w:rPr>
        <w:t>保</w:t>
      </w:r>
      <w:r>
        <w:t>了</w:t>
      </w:r>
      <w:r>
        <w:rPr>
          <w:rFonts w:hint="eastAsia"/>
        </w:rPr>
        <w:t>专用合同条款约定的</w:t>
      </w:r>
      <w:r>
        <w:t>相关保险</w:t>
      </w:r>
      <w:r>
        <w:rPr>
          <w:rFonts w:hint="eastAsia"/>
        </w:rPr>
        <w:t>。</w:t>
      </w:r>
    </w:p>
    <w:p>
      <w:pPr>
        <w:spacing w:line="360" w:lineRule="auto"/>
        <w:ind w:left="0" w:firstLine="0"/>
      </w:pPr>
      <w:bookmarkStart w:id="1575" w:name="_Toc342296395"/>
      <w:bookmarkStart w:id="1576" w:name="_Toc338944837"/>
      <w:bookmarkStart w:id="1577" w:name="_Toc391456319"/>
      <w:bookmarkStart w:id="1578" w:name="_Toc403054518"/>
      <w:bookmarkStart w:id="1579" w:name="_Toc393199662"/>
      <w:bookmarkStart w:id="1580" w:name="_Toc403052758"/>
      <w:bookmarkStart w:id="1581" w:name="_Toc393200176"/>
      <w:bookmarkStart w:id="1582" w:name="_Toc403059700"/>
      <w:bookmarkStart w:id="1583" w:name="_Toc393200690"/>
      <w:r>
        <w:rPr>
          <w:rFonts w:hint="eastAsia"/>
        </w:rPr>
        <w:t>2</w:t>
      </w:r>
      <w:r>
        <w:t>0</w:t>
      </w:r>
      <w:r>
        <w:rPr>
          <w:rFonts w:hint="eastAsia"/>
        </w:rPr>
        <w:t>.2</w:t>
      </w:r>
      <w:bookmarkEnd w:id="1575"/>
      <w:bookmarkEnd w:id="1576"/>
      <w:bookmarkEnd w:id="1577"/>
      <w:bookmarkStart w:id="1584" w:name="_Toc338944840"/>
      <w:bookmarkStart w:id="1585" w:name="_Toc391456322"/>
      <w:bookmarkStart w:id="1586" w:name="_Toc342296398"/>
      <w:r>
        <w:rPr>
          <w:rFonts w:hint="eastAsia"/>
        </w:rPr>
        <w:t>　分包人应当办理的保险</w:t>
      </w:r>
      <w:bookmarkEnd w:id="1578"/>
      <w:bookmarkEnd w:id="1579"/>
      <w:bookmarkEnd w:id="1580"/>
      <w:bookmarkEnd w:id="1581"/>
      <w:bookmarkEnd w:id="1582"/>
      <w:bookmarkEnd w:id="1583"/>
      <w:bookmarkEnd w:id="1584"/>
      <w:bookmarkEnd w:id="1585"/>
      <w:bookmarkEnd w:id="1586"/>
    </w:p>
    <w:p>
      <w:pPr>
        <w:spacing w:line="360" w:lineRule="auto"/>
        <w:ind w:left="0" w:firstLine="0"/>
      </w:pPr>
      <w:r>
        <w:rPr>
          <w:rFonts w:hint="eastAsia"/>
        </w:rPr>
        <w:t>分包人应当按照专用合同条款约定为其员工及其聘请的第三方人员、施工设备、进场的材料和工程设备等办理保险。</w:t>
      </w:r>
    </w:p>
    <w:p>
      <w:pPr>
        <w:spacing w:line="360" w:lineRule="auto"/>
        <w:ind w:left="0" w:firstLine="0"/>
      </w:pPr>
      <w:bookmarkStart w:id="1587" w:name="_Toc403054519"/>
      <w:bookmarkStart w:id="1588" w:name="_Toc393199663"/>
      <w:bookmarkStart w:id="1589" w:name="_Toc393200691"/>
      <w:bookmarkStart w:id="1590" w:name="_Toc338944841"/>
      <w:bookmarkStart w:id="1591" w:name="_Toc403052759"/>
      <w:bookmarkStart w:id="1592" w:name="_Toc391456323"/>
      <w:bookmarkStart w:id="1593" w:name="_Toc342296399"/>
      <w:bookmarkStart w:id="1594" w:name="_Toc403059701"/>
      <w:bookmarkStart w:id="1595" w:name="_Toc393200177"/>
      <w:r>
        <w:rPr>
          <w:rFonts w:hint="eastAsia"/>
        </w:rPr>
        <w:t>2</w:t>
      </w:r>
      <w:r>
        <w:t>0</w:t>
      </w:r>
      <w:r>
        <w:rPr>
          <w:rFonts w:hint="eastAsia"/>
        </w:rPr>
        <w:t>.</w:t>
      </w:r>
      <w:r>
        <w:t>3</w:t>
      </w:r>
      <w:r>
        <w:rPr>
          <w:rFonts w:hint="eastAsia"/>
        </w:rPr>
        <w:t>　对各项保险的一般要求</w:t>
      </w:r>
      <w:bookmarkEnd w:id="1587"/>
      <w:bookmarkEnd w:id="1588"/>
      <w:bookmarkEnd w:id="1589"/>
      <w:bookmarkEnd w:id="1590"/>
      <w:bookmarkEnd w:id="1591"/>
      <w:bookmarkEnd w:id="1592"/>
      <w:bookmarkEnd w:id="1593"/>
      <w:bookmarkEnd w:id="1594"/>
      <w:bookmarkEnd w:id="1595"/>
    </w:p>
    <w:p>
      <w:pPr>
        <w:spacing w:line="360" w:lineRule="auto"/>
        <w:ind w:left="0" w:firstLine="0"/>
      </w:pPr>
      <w:r>
        <w:rPr>
          <w:rFonts w:hint="eastAsia"/>
        </w:rPr>
        <w:t>2</w:t>
      </w:r>
      <w:r>
        <w:t>0</w:t>
      </w:r>
      <w:r>
        <w:rPr>
          <w:rFonts w:hint="eastAsia"/>
        </w:rPr>
        <w:t>.</w:t>
      </w:r>
      <w:r>
        <w:t>3</w:t>
      </w:r>
      <w:r>
        <w:rPr>
          <w:rFonts w:hint="eastAsia"/>
        </w:rPr>
        <w:t>.1　保险凭证</w:t>
      </w:r>
    </w:p>
    <w:p>
      <w:pPr>
        <w:spacing w:line="360" w:lineRule="auto"/>
        <w:ind w:left="0" w:firstLine="0"/>
      </w:pPr>
      <w:r>
        <w:rPr>
          <w:rFonts w:hint="eastAsia"/>
        </w:rPr>
        <w:t>分包人应在专用合同条款约定的期限内向承包人提交各项保险生效的证据和保险单副本，保险单必须与专用合同条款约定的条件保持一致。</w:t>
      </w:r>
    </w:p>
    <w:p>
      <w:pPr>
        <w:spacing w:line="360" w:lineRule="auto"/>
        <w:ind w:left="0" w:firstLine="0"/>
      </w:pPr>
      <w:r>
        <w:rPr>
          <w:rFonts w:hint="eastAsia"/>
        </w:rPr>
        <w:t>2</w:t>
      </w:r>
      <w:r>
        <w:t>0</w:t>
      </w:r>
      <w:r>
        <w:rPr>
          <w:rFonts w:hint="eastAsia"/>
        </w:rPr>
        <w:t>.</w:t>
      </w:r>
      <w:r>
        <w:t>3</w:t>
      </w:r>
      <w:r>
        <w:rPr>
          <w:rFonts w:hint="eastAsia"/>
        </w:rPr>
        <w:t>.2　保险合同条款的变动</w:t>
      </w:r>
    </w:p>
    <w:p>
      <w:pPr>
        <w:spacing w:line="360" w:lineRule="auto"/>
        <w:ind w:left="0" w:firstLine="0"/>
      </w:pPr>
      <w:r>
        <w:rPr>
          <w:rFonts w:hint="eastAsia"/>
        </w:rPr>
        <w:t>分包人需要变动保险合同条款时，应事先征得承包人同意。保险人作出变动的，分包人应在收到保险人通知后立即通知承包人。</w:t>
      </w:r>
    </w:p>
    <w:p>
      <w:pPr>
        <w:spacing w:line="360" w:lineRule="auto"/>
        <w:ind w:left="0" w:firstLine="0"/>
      </w:pPr>
      <w:r>
        <w:rPr>
          <w:rFonts w:hint="eastAsia"/>
        </w:rPr>
        <w:t>2</w:t>
      </w:r>
      <w:r>
        <w:t>0</w:t>
      </w:r>
      <w:r>
        <w:rPr>
          <w:rFonts w:hint="eastAsia"/>
        </w:rPr>
        <w:t>.</w:t>
      </w:r>
      <w:r>
        <w:t>3</w:t>
      </w:r>
      <w:r>
        <w:rPr>
          <w:rFonts w:hint="eastAsia"/>
        </w:rPr>
        <w:t>.3　持续保险</w:t>
      </w:r>
    </w:p>
    <w:p>
      <w:pPr>
        <w:spacing w:line="360" w:lineRule="auto"/>
        <w:ind w:left="0" w:firstLine="0"/>
      </w:pPr>
      <w:r>
        <w:rPr>
          <w:rFonts w:hint="eastAsia"/>
        </w:rPr>
        <w:t>分包人应与保险人保持联系，使保险人能够随时了解工程实施中的变动，并确保按保险合同条款要求持续保险。</w:t>
      </w:r>
    </w:p>
    <w:p>
      <w:pPr>
        <w:spacing w:line="360" w:lineRule="auto"/>
        <w:ind w:left="0" w:firstLine="0"/>
      </w:pPr>
      <w:r>
        <w:rPr>
          <w:rFonts w:hint="eastAsia"/>
        </w:rPr>
        <w:t>2</w:t>
      </w:r>
      <w:r>
        <w:t>0</w:t>
      </w:r>
      <w:r>
        <w:rPr>
          <w:rFonts w:hint="eastAsia"/>
        </w:rPr>
        <w:t>.</w:t>
      </w:r>
      <w:r>
        <w:t>3</w:t>
      </w:r>
      <w:r>
        <w:rPr>
          <w:rFonts w:hint="eastAsia"/>
        </w:rPr>
        <w:t>.4　保险金不足的补偿</w:t>
      </w:r>
    </w:p>
    <w:p>
      <w:pPr>
        <w:spacing w:line="360" w:lineRule="auto"/>
        <w:ind w:left="0" w:firstLine="0"/>
      </w:pPr>
      <w:r>
        <w:rPr>
          <w:rFonts w:hint="eastAsia"/>
        </w:rPr>
        <w:t>保险金不足以补偿损失的，应由分包人和（或）承包人按专用合同条款约定负责补偿。</w:t>
      </w:r>
    </w:p>
    <w:p>
      <w:pPr>
        <w:spacing w:line="360" w:lineRule="auto"/>
        <w:ind w:left="0" w:firstLine="0"/>
      </w:pPr>
      <w:r>
        <w:rPr>
          <w:rFonts w:hint="eastAsia"/>
        </w:rPr>
        <w:t>2</w:t>
      </w:r>
      <w:r>
        <w:t>0</w:t>
      </w:r>
      <w:r>
        <w:rPr>
          <w:rFonts w:hint="eastAsia"/>
        </w:rPr>
        <w:t>.</w:t>
      </w:r>
      <w:r>
        <w:t>3.</w:t>
      </w:r>
      <w:r>
        <w:rPr>
          <w:rFonts w:hint="eastAsia"/>
        </w:rPr>
        <w:t>5　未按约定投保的补救</w:t>
      </w:r>
    </w:p>
    <w:p>
      <w:pPr>
        <w:spacing w:line="360" w:lineRule="auto"/>
        <w:ind w:left="0" w:firstLine="0"/>
      </w:pPr>
      <w:r>
        <w:rPr>
          <w:rFonts w:hint="eastAsia"/>
        </w:rPr>
        <w:t>（1）由于负有投保义务的一方当事人未按分包合同约定办理保险，或未能使保险持续有效的，另一方当事人可代为办理，所需费用由对方当事人承担。</w:t>
      </w:r>
    </w:p>
    <w:p>
      <w:pPr>
        <w:spacing w:line="360" w:lineRule="auto"/>
        <w:ind w:left="0" w:firstLine="0"/>
      </w:pPr>
      <w:r>
        <w:rPr>
          <w:rFonts w:hint="eastAsia"/>
        </w:rPr>
        <w:t>（2）由于负有投保义务的一方当事人未按分包合同约定办理某项保险，导致受益人未能得到保险人的赔偿，原应从该项保险得到的保险金应由负有投保义务的一方当事人支付。</w:t>
      </w:r>
    </w:p>
    <w:p>
      <w:pPr>
        <w:spacing w:line="360" w:lineRule="auto"/>
        <w:ind w:left="0" w:firstLine="0"/>
      </w:pPr>
      <w:r>
        <w:rPr>
          <w:rFonts w:hint="eastAsia"/>
        </w:rPr>
        <w:t>2</w:t>
      </w:r>
      <w:r>
        <w:t>3</w:t>
      </w:r>
      <w:r>
        <w:rPr>
          <w:rFonts w:hint="eastAsia"/>
        </w:rPr>
        <w:t>.</w:t>
      </w:r>
      <w:r>
        <w:t>3</w:t>
      </w:r>
      <w:r>
        <w:rPr>
          <w:rFonts w:hint="eastAsia"/>
        </w:rPr>
        <w:t>.6　报告义务</w:t>
      </w:r>
    </w:p>
    <w:p>
      <w:pPr>
        <w:spacing w:line="360" w:lineRule="auto"/>
        <w:ind w:left="0" w:firstLine="0"/>
      </w:pPr>
      <w:r>
        <w:rPr>
          <w:rFonts w:hint="eastAsia"/>
        </w:rPr>
        <w:t>当保险事故发生时，投保人应按照保险单规定的条件和期限及时向保险人报告。</w:t>
      </w:r>
    </w:p>
    <w:p>
      <w:pPr>
        <w:spacing w:line="360" w:lineRule="auto"/>
        <w:ind w:left="0" w:firstLine="0"/>
      </w:pPr>
      <w:bookmarkStart w:id="1596" w:name="_Toc403059702"/>
      <w:bookmarkStart w:id="1597" w:name="_Toc338944842"/>
      <w:bookmarkStart w:id="1598" w:name="_Toc391456324"/>
      <w:bookmarkStart w:id="1599" w:name="_Toc342296400"/>
      <w:bookmarkStart w:id="1600" w:name="_Toc403052760"/>
      <w:r>
        <w:rPr>
          <w:rFonts w:hint="eastAsia"/>
        </w:rPr>
        <w:t>2</w:t>
      </w:r>
      <w:r>
        <w:t>1</w:t>
      </w:r>
      <w:r>
        <w:rPr>
          <w:rFonts w:hint="eastAsia"/>
        </w:rPr>
        <w:t>. 不可抗力</w:t>
      </w:r>
      <w:bookmarkEnd w:id="1596"/>
      <w:bookmarkEnd w:id="1597"/>
      <w:bookmarkEnd w:id="1598"/>
      <w:bookmarkEnd w:id="1599"/>
      <w:bookmarkEnd w:id="1600"/>
    </w:p>
    <w:p>
      <w:pPr>
        <w:spacing w:line="360" w:lineRule="auto"/>
        <w:ind w:left="0" w:firstLine="0"/>
      </w:pPr>
      <w:bookmarkStart w:id="1601" w:name="_Toc393199665"/>
      <w:bookmarkStart w:id="1602" w:name="_Toc403054521"/>
      <w:bookmarkStart w:id="1603" w:name="_Toc338944843"/>
      <w:bookmarkStart w:id="1604" w:name="_Toc393200179"/>
      <w:bookmarkStart w:id="1605" w:name="_Toc403052761"/>
      <w:bookmarkStart w:id="1606" w:name="_Toc393200693"/>
      <w:bookmarkStart w:id="1607" w:name="_Toc342296401"/>
      <w:bookmarkStart w:id="1608" w:name="_Toc391456325"/>
      <w:bookmarkStart w:id="1609" w:name="_Toc403059703"/>
      <w:r>
        <w:rPr>
          <w:rFonts w:hint="eastAsia"/>
        </w:rPr>
        <w:t>2</w:t>
      </w:r>
      <w:r>
        <w:t>1</w:t>
      </w:r>
      <w:r>
        <w:rPr>
          <w:rFonts w:hint="eastAsia"/>
        </w:rPr>
        <w:t>.1　不可抗力的确认</w:t>
      </w:r>
      <w:bookmarkEnd w:id="1601"/>
      <w:bookmarkEnd w:id="1602"/>
      <w:bookmarkEnd w:id="1603"/>
      <w:bookmarkEnd w:id="1604"/>
      <w:bookmarkEnd w:id="1605"/>
      <w:bookmarkEnd w:id="1606"/>
      <w:bookmarkEnd w:id="1607"/>
      <w:bookmarkEnd w:id="1608"/>
      <w:bookmarkEnd w:id="1609"/>
    </w:p>
    <w:p>
      <w:pPr>
        <w:spacing w:line="360" w:lineRule="auto"/>
        <w:ind w:left="0" w:firstLine="0"/>
      </w:pPr>
      <w:r>
        <w:rPr>
          <w:rFonts w:hint="eastAsia"/>
        </w:rPr>
        <w:t>2</w:t>
      </w:r>
      <w:r>
        <w:t>1</w:t>
      </w:r>
      <w:r>
        <w:rPr>
          <w:rFonts w:hint="eastAsia"/>
        </w:rPr>
        <w:t>.1.1　不可抗力是指分包人和承包人在订立合同时不可预见，在工程施工过程中不可避免发生并不能克服的自然灾害和社会性突发事件，如地震、海啸、瘟疫、水灾、骚乱、暴动、战争和专用合同条款约定的其他情形。</w:t>
      </w:r>
    </w:p>
    <w:p>
      <w:pPr>
        <w:spacing w:line="360" w:lineRule="auto"/>
        <w:ind w:left="0" w:firstLine="0"/>
      </w:pPr>
      <w:r>
        <w:rPr>
          <w:rFonts w:hint="eastAsia"/>
        </w:rPr>
        <w:t>2</w:t>
      </w:r>
      <w:r>
        <w:t>1</w:t>
      </w:r>
      <w:r>
        <w:rPr>
          <w:rFonts w:hint="eastAsia"/>
        </w:rPr>
        <w:t>.1.2　不可抗力发生后，承包人和分包人应及时认真统计所造成的损失，收集不可抗力造成损失的证据。合同双方对是否属于不可抗力或其损失的意见不一致的，由承包人与分包人商定。发生争议时，按第2</w:t>
      </w:r>
      <w:r>
        <w:t>4</w:t>
      </w:r>
      <w:r>
        <w:rPr>
          <w:rFonts w:hint="eastAsia"/>
        </w:rPr>
        <w:t>条的约定办理。</w:t>
      </w:r>
    </w:p>
    <w:p>
      <w:pPr>
        <w:spacing w:line="360" w:lineRule="auto"/>
        <w:ind w:left="0" w:firstLine="0"/>
      </w:pPr>
      <w:bookmarkStart w:id="1610" w:name="_Toc403054522"/>
      <w:bookmarkStart w:id="1611" w:name="_Toc393200180"/>
      <w:bookmarkStart w:id="1612" w:name="_Toc152042530"/>
      <w:bookmarkStart w:id="1613" w:name="_Toc403059704"/>
      <w:bookmarkStart w:id="1614" w:name="_Toc393200694"/>
      <w:bookmarkStart w:id="1615" w:name="_Toc403052762"/>
      <w:bookmarkStart w:id="1616" w:name="_Toc144974722"/>
      <w:bookmarkStart w:id="1617" w:name="_Toc338944844"/>
      <w:bookmarkStart w:id="1618" w:name="_Toc152045751"/>
      <w:bookmarkStart w:id="1619" w:name="_Toc391456326"/>
      <w:bookmarkStart w:id="1620" w:name="_Toc342296402"/>
      <w:bookmarkStart w:id="1621" w:name="_Toc393199666"/>
      <w:bookmarkStart w:id="1622" w:name="_Toc179632769"/>
      <w:r>
        <w:rPr>
          <w:rFonts w:hint="eastAsia"/>
        </w:rPr>
        <w:t>2</w:t>
      </w:r>
      <w:r>
        <w:t>1</w:t>
      </w:r>
      <w:r>
        <w:rPr>
          <w:rFonts w:hint="eastAsia"/>
        </w:rPr>
        <w:t>.2　不可抗力的通知</w:t>
      </w:r>
      <w:bookmarkEnd w:id="1610"/>
      <w:bookmarkEnd w:id="1611"/>
      <w:bookmarkEnd w:id="1612"/>
      <w:bookmarkEnd w:id="1613"/>
      <w:bookmarkEnd w:id="1614"/>
      <w:bookmarkEnd w:id="1615"/>
      <w:bookmarkEnd w:id="1616"/>
      <w:bookmarkEnd w:id="1617"/>
      <w:bookmarkEnd w:id="1618"/>
      <w:bookmarkEnd w:id="1619"/>
      <w:bookmarkEnd w:id="1620"/>
      <w:bookmarkEnd w:id="1621"/>
      <w:bookmarkEnd w:id="1622"/>
    </w:p>
    <w:p>
      <w:pPr>
        <w:spacing w:line="360" w:lineRule="auto"/>
        <w:ind w:left="0" w:firstLine="0"/>
      </w:pPr>
      <w:r>
        <w:rPr>
          <w:rFonts w:hint="eastAsia"/>
        </w:rPr>
        <w:t>2</w:t>
      </w:r>
      <w:r>
        <w:t>1</w:t>
      </w:r>
      <w:r>
        <w:rPr>
          <w:rFonts w:hint="eastAsia"/>
        </w:rPr>
        <w:t>.2.1　合同一方当事人遇到不可抗力事件，使其履行分包合同义务受到阻碍时，应立即通知合同另一方当事人和承包人，书面说明不可抗力和受阻碍的详细情况，并提供必要的证明。</w:t>
      </w:r>
    </w:p>
    <w:p>
      <w:pPr>
        <w:spacing w:line="360" w:lineRule="auto"/>
        <w:ind w:left="0" w:firstLine="0"/>
      </w:pPr>
      <w:r>
        <w:rPr>
          <w:rFonts w:hint="eastAsia"/>
        </w:rPr>
        <w:t>2</w:t>
      </w:r>
      <w:r>
        <w:t>1</w:t>
      </w:r>
      <w:r>
        <w:rPr>
          <w:rFonts w:hint="eastAsia"/>
        </w:rPr>
        <w:t>.2.2　如不可抗力持续发生，合同一方当事人应及时向合同另一方当事人和承包人提交中间报告，说明不可抗力和履行分包合同受阻的情况，并于不可抗力事件结束后28天内提交最终报告及有关资料。</w:t>
      </w:r>
    </w:p>
    <w:p>
      <w:pPr>
        <w:spacing w:line="360" w:lineRule="auto"/>
        <w:ind w:left="0" w:firstLine="0"/>
      </w:pPr>
      <w:bookmarkStart w:id="1623" w:name="_Toc391456327"/>
      <w:bookmarkStart w:id="1624" w:name="_Toc393200695"/>
      <w:bookmarkStart w:id="1625" w:name="_Toc403054523"/>
      <w:bookmarkStart w:id="1626" w:name="_Toc393200181"/>
      <w:bookmarkStart w:id="1627" w:name="_Toc403059705"/>
      <w:bookmarkStart w:id="1628" w:name="_Toc403052763"/>
      <w:bookmarkStart w:id="1629" w:name="_Toc342296403"/>
      <w:bookmarkStart w:id="1630" w:name="_Toc338944845"/>
      <w:bookmarkStart w:id="1631" w:name="_Toc393199667"/>
      <w:r>
        <w:rPr>
          <w:rFonts w:hint="eastAsia"/>
        </w:rPr>
        <w:t>2</w:t>
      </w:r>
      <w:r>
        <w:t>1</w:t>
      </w:r>
      <w:r>
        <w:rPr>
          <w:rFonts w:hint="eastAsia"/>
        </w:rPr>
        <w:t>.3　不可抗力后果及其处理</w:t>
      </w:r>
      <w:bookmarkEnd w:id="1623"/>
      <w:bookmarkEnd w:id="1624"/>
      <w:bookmarkEnd w:id="1625"/>
      <w:bookmarkEnd w:id="1626"/>
      <w:bookmarkEnd w:id="1627"/>
      <w:bookmarkEnd w:id="1628"/>
      <w:bookmarkEnd w:id="1629"/>
      <w:bookmarkEnd w:id="1630"/>
      <w:bookmarkEnd w:id="1631"/>
    </w:p>
    <w:p>
      <w:pPr>
        <w:spacing w:line="360" w:lineRule="auto"/>
        <w:ind w:left="0" w:firstLine="0"/>
      </w:pPr>
      <w:r>
        <w:rPr>
          <w:rFonts w:hint="eastAsia"/>
        </w:rPr>
        <w:t>2</w:t>
      </w:r>
      <w:r>
        <w:t>1</w:t>
      </w:r>
      <w:r>
        <w:rPr>
          <w:rFonts w:hint="eastAsia"/>
        </w:rPr>
        <w:t>.3.1　不可抗力造成损害的责任</w:t>
      </w:r>
    </w:p>
    <w:p>
      <w:pPr>
        <w:spacing w:line="360" w:lineRule="auto"/>
        <w:ind w:left="0" w:firstLine="0"/>
      </w:pPr>
      <w:r>
        <w:rPr>
          <w:rFonts w:hint="eastAsia"/>
        </w:rPr>
        <w:t>不可抗力导致的人员伤亡、财产损失、费用增加和（或）工期延误等后果，由合同双方按以下原则承担：</w:t>
      </w:r>
    </w:p>
    <w:p>
      <w:pPr>
        <w:spacing w:line="360" w:lineRule="auto"/>
        <w:ind w:left="0" w:firstLine="0"/>
      </w:pPr>
      <w:r>
        <w:rPr>
          <w:rFonts w:hint="eastAsia"/>
        </w:rPr>
        <w:t>（1）永久工程，包括已运至施工场地的材料和工程设备的损害，以及因工程损害造成的第三者人员伤亡和财产损失由承包人承担；</w:t>
      </w:r>
    </w:p>
    <w:p>
      <w:pPr>
        <w:spacing w:line="360" w:lineRule="auto"/>
        <w:ind w:left="0" w:firstLine="0"/>
      </w:pPr>
      <w:r>
        <w:rPr>
          <w:rFonts w:hint="eastAsia"/>
        </w:rPr>
        <w:t>（2）分包人设备的损坏由分包人承担；</w:t>
      </w:r>
    </w:p>
    <w:p>
      <w:pPr>
        <w:spacing w:line="360" w:lineRule="auto"/>
        <w:ind w:left="0" w:firstLine="0"/>
      </w:pPr>
      <w:r>
        <w:rPr>
          <w:rFonts w:hint="eastAsia"/>
        </w:rPr>
        <w:t>（3）承包人和分包人各自承担其人员伤亡和其他财产损失及其相关费用；</w:t>
      </w:r>
    </w:p>
    <w:p>
      <w:pPr>
        <w:spacing w:line="360" w:lineRule="auto"/>
        <w:ind w:left="0" w:firstLine="0"/>
      </w:pPr>
      <w:r>
        <w:rPr>
          <w:rFonts w:hint="eastAsia"/>
        </w:rPr>
        <w:t>（4）分包人的停工损失由分包人承担，但停工期间应承包人要求照管工程和清理、修复工程的金额由承包人承担；</w:t>
      </w:r>
    </w:p>
    <w:p>
      <w:pPr>
        <w:spacing w:line="360" w:lineRule="auto"/>
        <w:ind w:left="0" w:firstLine="0"/>
      </w:pPr>
      <w:r>
        <w:rPr>
          <w:rFonts w:hint="eastAsia"/>
        </w:rPr>
        <w:t>（5）不能按期完工的，应合理延长工期，分包人不需支付逾期完工违约金。承包人要求赶工的，分包人应采取赶工措施，赶工费用由承包人承担。</w:t>
      </w:r>
    </w:p>
    <w:p>
      <w:pPr>
        <w:spacing w:line="360" w:lineRule="auto"/>
        <w:ind w:left="0" w:firstLine="0"/>
      </w:pPr>
      <w:r>
        <w:rPr>
          <w:rFonts w:hint="eastAsia"/>
        </w:rPr>
        <w:t>2</w:t>
      </w:r>
      <w:r>
        <w:t>1</w:t>
      </w:r>
      <w:r>
        <w:rPr>
          <w:rFonts w:hint="eastAsia"/>
        </w:rPr>
        <w:t>.3.2　延迟履行期间发生的不可抗力</w:t>
      </w:r>
    </w:p>
    <w:p>
      <w:pPr>
        <w:spacing w:line="360" w:lineRule="auto"/>
        <w:ind w:left="0" w:firstLine="0"/>
      </w:pPr>
      <w:r>
        <w:rPr>
          <w:rFonts w:hint="eastAsia"/>
        </w:rPr>
        <w:t>合同一方当事人延迟履行，在延迟履行期间发生不可抗力的，不免除其责任。</w:t>
      </w:r>
    </w:p>
    <w:p>
      <w:pPr>
        <w:spacing w:line="360" w:lineRule="auto"/>
        <w:ind w:left="0" w:firstLine="0"/>
      </w:pPr>
      <w:r>
        <w:rPr>
          <w:rFonts w:hint="eastAsia"/>
        </w:rPr>
        <w:t>2</w:t>
      </w:r>
      <w:r>
        <w:t>1</w:t>
      </w:r>
      <w:r>
        <w:rPr>
          <w:rFonts w:hint="eastAsia"/>
        </w:rPr>
        <w:t>.3.3　避免和减少不可抗力损失</w:t>
      </w:r>
    </w:p>
    <w:p>
      <w:pPr>
        <w:spacing w:line="360" w:lineRule="auto"/>
        <w:ind w:left="0" w:firstLine="0"/>
      </w:pPr>
      <w:r>
        <w:rPr>
          <w:rFonts w:hint="eastAsia"/>
        </w:rPr>
        <w:t>不可抗力发生后，承包人和分包人均应采取措施尽量避免和减少损失的扩大，任何一方没有采取有效措施导致损失扩大的，应对扩大的损失承担责任。</w:t>
      </w:r>
    </w:p>
    <w:p>
      <w:pPr>
        <w:spacing w:line="360" w:lineRule="auto"/>
        <w:ind w:left="0" w:firstLine="0"/>
      </w:pPr>
      <w:r>
        <w:rPr>
          <w:rFonts w:hint="eastAsia"/>
        </w:rPr>
        <w:t>2</w:t>
      </w:r>
      <w:r>
        <w:t>1</w:t>
      </w:r>
      <w:r>
        <w:rPr>
          <w:rFonts w:hint="eastAsia"/>
        </w:rPr>
        <w:t>.3.4　因不可抗力解除合同</w:t>
      </w:r>
    </w:p>
    <w:p>
      <w:pPr>
        <w:spacing w:line="360" w:lineRule="auto"/>
        <w:ind w:left="0" w:firstLine="0"/>
      </w:pPr>
      <w:r>
        <w:rPr>
          <w:rFonts w:hint="eastAsia"/>
        </w:rPr>
        <w:t>合同一方当事人因不可抗力不能履行分包合同的，应当及时通知对方解除合同。合同解除后，分包人应按照第</w:t>
      </w:r>
      <w:r>
        <w:t>22</w:t>
      </w:r>
      <w:r>
        <w:rPr>
          <w:rFonts w:hint="eastAsia"/>
        </w:rPr>
        <w:t>.2.5项约定撤离施工场地。已经订货的材料、设备由订货方负责退货或解除订货合同，不能退还的货款和因退货、解除订货合同发生的费用，由承包人承担，因未及时退货造成的损失由责任方承担。合同解除后的付款，参照第</w:t>
      </w:r>
      <w:r>
        <w:t>22</w:t>
      </w:r>
      <w:r>
        <w:rPr>
          <w:rFonts w:hint="eastAsia"/>
        </w:rPr>
        <w:t>.2.4项约定，由承包人与分包人商定。</w:t>
      </w:r>
    </w:p>
    <w:p>
      <w:pPr>
        <w:spacing w:line="360" w:lineRule="auto"/>
        <w:ind w:left="0" w:firstLine="0"/>
      </w:pPr>
      <w:bookmarkStart w:id="1632" w:name="_Toc152042532"/>
      <w:bookmarkStart w:id="1633" w:name="_Toc152045753"/>
      <w:bookmarkStart w:id="1634" w:name="_Toc144974724"/>
      <w:bookmarkStart w:id="1635" w:name="_Toc391456328"/>
      <w:bookmarkStart w:id="1636" w:name="_Toc338944846"/>
      <w:bookmarkStart w:id="1637" w:name="_Toc403059706"/>
      <w:bookmarkStart w:id="1638" w:name="_Toc179632771"/>
      <w:bookmarkStart w:id="1639" w:name="_Toc342296404"/>
      <w:bookmarkStart w:id="1640" w:name="_Toc403052764"/>
      <w:r>
        <w:rPr>
          <w:rFonts w:hint="eastAsia"/>
        </w:rPr>
        <w:t>2</w:t>
      </w:r>
      <w:r>
        <w:t>2</w:t>
      </w:r>
      <w:r>
        <w:rPr>
          <w:rFonts w:hint="eastAsia"/>
        </w:rPr>
        <w:t>. 违约</w:t>
      </w:r>
      <w:bookmarkEnd w:id="1632"/>
      <w:bookmarkEnd w:id="1633"/>
      <w:bookmarkEnd w:id="1634"/>
      <w:bookmarkEnd w:id="1635"/>
      <w:bookmarkEnd w:id="1636"/>
      <w:bookmarkEnd w:id="1637"/>
      <w:bookmarkEnd w:id="1638"/>
      <w:bookmarkEnd w:id="1639"/>
      <w:bookmarkEnd w:id="1640"/>
    </w:p>
    <w:p>
      <w:pPr>
        <w:spacing w:line="360" w:lineRule="auto"/>
        <w:ind w:left="0" w:firstLine="0"/>
      </w:pPr>
      <w:bookmarkStart w:id="1641" w:name="_Toc338944847"/>
      <w:bookmarkStart w:id="1642" w:name="_Toc179632772"/>
      <w:bookmarkStart w:id="1643" w:name="_Toc393199669"/>
      <w:bookmarkStart w:id="1644" w:name="_Toc152045754"/>
      <w:bookmarkStart w:id="1645" w:name="_Toc393200697"/>
      <w:bookmarkStart w:id="1646" w:name="_Toc342296405"/>
      <w:bookmarkStart w:id="1647" w:name="_Toc393200183"/>
      <w:bookmarkStart w:id="1648" w:name="_Toc391456329"/>
      <w:bookmarkStart w:id="1649" w:name="_Toc144974725"/>
      <w:bookmarkStart w:id="1650" w:name="_Toc152042533"/>
      <w:bookmarkStart w:id="1651" w:name="_Toc403052765"/>
      <w:bookmarkStart w:id="1652" w:name="_Toc403054525"/>
      <w:bookmarkStart w:id="1653" w:name="_Toc403059707"/>
      <w:r>
        <w:rPr>
          <w:rFonts w:hint="eastAsia"/>
        </w:rPr>
        <w:t>2</w:t>
      </w:r>
      <w:r>
        <w:t>2</w:t>
      </w:r>
      <w:r>
        <w:rPr>
          <w:rFonts w:hint="eastAsia"/>
        </w:rPr>
        <w:t>.1</w:t>
      </w:r>
      <w:bookmarkEnd w:id="1641"/>
      <w:bookmarkEnd w:id="1642"/>
      <w:bookmarkEnd w:id="1643"/>
      <w:bookmarkEnd w:id="1644"/>
      <w:bookmarkEnd w:id="1645"/>
      <w:bookmarkEnd w:id="1646"/>
      <w:bookmarkEnd w:id="1647"/>
      <w:bookmarkEnd w:id="1648"/>
      <w:bookmarkEnd w:id="1649"/>
      <w:bookmarkEnd w:id="1650"/>
      <w:r>
        <w:rPr>
          <w:rFonts w:hint="eastAsia"/>
        </w:rPr>
        <w:t>　分包人违约</w:t>
      </w:r>
      <w:bookmarkEnd w:id="1651"/>
      <w:bookmarkEnd w:id="1652"/>
      <w:bookmarkEnd w:id="1653"/>
    </w:p>
    <w:p>
      <w:pPr>
        <w:spacing w:line="360" w:lineRule="auto"/>
        <w:ind w:left="0" w:firstLine="0"/>
      </w:pPr>
      <w:r>
        <w:rPr>
          <w:rFonts w:hint="eastAsia"/>
        </w:rPr>
        <w:t>2</w:t>
      </w:r>
      <w:r>
        <w:t>2</w:t>
      </w:r>
      <w:r>
        <w:rPr>
          <w:rFonts w:hint="eastAsia"/>
        </w:rPr>
        <w:t>.1.1　分包人违约的情形</w:t>
      </w:r>
    </w:p>
    <w:p>
      <w:pPr>
        <w:spacing w:line="360" w:lineRule="auto"/>
        <w:ind w:left="0" w:firstLine="0"/>
      </w:pPr>
      <w:r>
        <w:rPr>
          <w:rFonts w:hint="eastAsia"/>
        </w:rPr>
        <w:t>在履行分包合同过程中发生的下列情况属分包人违约：</w:t>
      </w:r>
    </w:p>
    <w:p>
      <w:pPr>
        <w:spacing w:line="360" w:lineRule="auto"/>
        <w:ind w:left="0" w:firstLine="0"/>
      </w:pPr>
      <w:r>
        <w:rPr>
          <w:rFonts w:hint="eastAsia"/>
        </w:rPr>
        <w:t>（1）分包人违反第1.8款或第4.3款的约定，私自将合同的全部或部分权利转让给其他人，或私自将合同的全部或部分义务转移给其他人；</w:t>
      </w:r>
    </w:p>
    <w:p>
      <w:pPr>
        <w:spacing w:line="360" w:lineRule="auto"/>
        <w:ind w:left="0" w:firstLine="0"/>
      </w:pPr>
      <w:r>
        <w:rPr>
          <w:rFonts w:hint="eastAsia"/>
        </w:rPr>
        <w:t>（2）分包人违反第</w:t>
      </w:r>
      <w:r>
        <w:t>5</w:t>
      </w:r>
      <w:r>
        <w:rPr>
          <w:rFonts w:hint="eastAsia"/>
        </w:rPr>
        <w:t>.3款或第</w:t>
      </w:r>
      <w:r>
        <w:t>6</w:t>
      </w:r>
      <w:r>
        <w:rPr>
          <w:rFonts w:hint="eastAsia"/>
        </w:rPr>
        <w:t>.4款的约定，未经承包人批准，私自将已按分包合同约定进入施工场地的施工设备、临时设施或材料撤离施工场地；</w:t>
      </w:r>
    </w:p>
    <w:p>
      <w:pPr>
        <w:spacing w:line="360" w:lineRule="auto"/>
        <w:ind w:left="0" w:firstLine="0"/>
      </w:pPr>
      <w:r>
        <w:rPr>
          <w:rFonts w:hint="eastAsia"/>
        </w:rPr>
        <w:t>（3）分包人违反第</w:t>
      </w:r>
      <w:r>
        <w:t>5</w:t>
      </w:r>
      <w:r>
        <w:rPr>
          <w:rFonts w:hint="eastAsia"/>
        </w:rPr>
        <w:t>.4款的约定使用了不合格材料或工程设备，工程质量达不到标准要求，又拒绝清除不合格工程；</w:t>
      </w:r>
    </w:p>
    <w:p>
      <w:pPr>
        <w:spacing w:line="360" w:lineRule="auto"/>
        <w:ind w:left="0" w:firstLine="0"/>
      </w:pPr>
      <w:r>
        <w:rPr>
          <w:rFonts w:hint="eastAsia"/>
        </w:rPr>
        <w:t>（4）分包人未能按合同进度计划及时完成分包合同约定的工作，已造成或预期造成工期延误；</w:t>
      </w:r>
    </w:p>
    <w:p>
      <w:pPr>
        <w:spacing w:line="360" w:lineRule="auto"/>
        <w:ind w:left="0" w:firstLine="0"/>
      </w:pPr>
      <w:r>
        <w:rPr>
          <w:rFonts w:hint="eastAsia"/>
        </w:rPr>
        <w:t>（5）分包人在缺陷责任期内，未能对工程接收证书所列的缺陷清单的内容或缺陷责任期内发生的缺陷进行修复，而又拒绝按承包人指示再进行修补；</w:t>
      </w:r>
    </w:p>
    <w:p>
      <w:pPr>
        <w:spacing w:line="360" w:lineRule="auto"/>
        <w:ind w:left="0" w:firstLine="0"/>
      </w:pPr>
      <w:r>
        <w:rPr>
          <w:rFonts w:hint="eastAsia"/>
        </w:rPr>
        <w:t>（6）分包人无法继续履行或明确表示不履行或实质上已停止履行分包合同；</w:t>
      </w:r>
    </w:p>
    <w:p>
      <w:pPr>
        <w:spacing w:line="360" w:lineRule="auto"/>
        <w:ind w:left="0" w:firstLine="0"/>
      </w:pPr>
      <w:r>
        <w:rPr>
          <w:rFonts w:hint="eastAsia"/>
        </w:rPr>
        <w:t>（7）分包人不按分包合同约定履行义务的其他情况。</w:t>
      </w:r>
    </w:p>
    <w:p>
      <w:pPr>
        <w:spacing w:line="360" w:lineRule="auto"/>
        <w:ind w:left="0" w:firstLine="0"/>
      </w:pPr>
      <w:r>
        <w:rPr>
          <w:rFonts w:hint="eastAsia"/>
        </w:rPr>
        <w:t>2</w:t>
      </w:r>
      <w:r>
        <w:t>2</w:t>
      </w:r>
      <w:r>
        <w:rPr>
          <w:rFonts w:hint="eastAsia"/>
        </w:rPr>
        <w:t>.1.2　对分包人违约的处理</w:t>
      </w:r>
    </w:p>
    <w:p>
      <w:pPr>
        <w:spacing w:line="360" w:lineRule="auto"/>
        <w:ind w:left="0" w:firstLine="0"/>
      </w:pPr>
      <w:r>
        <w:rPr>
          <w:rFonts w:hint="eastAsia"/>
        </w:rPr>
        <w:t>（1）分包人发生第2</w:t>
      </w:r>
      <w:r>
        <w:t>2</w:t>
      </w:r>
      <w:r>
        <w:rPr>
          <w:rFonts w:hint="eastAsia"/>
        </w:rPr>
        <w:t>.1.1（6）目约定的违约情况时，承包人可通知分包人立即解除合同，并按有关法律处理。</w:t>
      </w:r>
    </w:p>
    <w:p>
      <w:pPr>
        <w:spacing w:line="360" w:lineRule="auto"/>
        <w:ind w:left="0" w:firstLine="0"/>
      </w:pPr>
      <w:r>
        <w:rPr>
          <w:rFonts w:hint="eastAsia"/>
        </w:rPr>
        <w:t>（2）分包人发生除第2</w:t>
      </w:r>
      <w:r>
        <w:t>2</w:t>
      </w:r>
      <w:r>
        <w:rPr>
          <w:rFonts w:hint="eastAsia"/>
        </w:rPr>
        <w:t>.1.1（6）目约定以外的其他违约情况时，承包人可向分包人发出整改通知，要求其在指定的期限内改正。分包人应承担其违约所引起的费用增加和（或）工期延误。</w:t>
      </w:r>
    </w:p>
    <w:p>
      <w:pPr>
        <w:spacing w:line="360" w:lineRule="auto"/>
        <w:ind w:left="0" w:firstLine="0"/>
      </w:pPr>
      <w:r>
        <w:rPr>
          <w:rFonts w:hint="eastAsia"/>
        </w:rPr>
        <w:t>（3）经检查证明分包人已采取了有效措施纠正违约行为，具备复工条件的，可由承包人签发复工通知复工。</w:t>
      </w:r>
    </w:p>
    <w:p>
      <w:pPr>
        <w:spacing w:line="360" w:lineRule="auto"/>
        <w:ind w:left="0" w:firstLine="0"/>
      </w:pPr>
      <w:r>
        <w:rPr>
          <w:rFonts w:hint="eastAsia"/>
        </w:rPr>
        <w:t>2</w:t>
      </w:r>
      <w:r>
        <w:t>2</w:t>
      </w:r>
      <w:r>
        <w:rPr>
          <w:rFonts w:hint="eastAsia"/>
        </w:rPr>
        <w:t>.1.3　分包人违约解除合同</w:t>
      </w:r>
    </w:p>
    <w:p>
      <w:pPr>
        <w:spacing w:line="360" w:lineRule="auto"/>
        <w:ind w:left="0" w:firstLine="0"/>
      </w:pPr>
      <w:r>
        <w:rPr>
          <w:rFonts w:hint="eastAsia"/>
        </w:rPr>
        <w:t>承包人发出整改通知28天后，分包人仍不纠正违约行为的，承包人可向分包人发出解除合同通知。合同解除后，承包人可派员进驻施工场地，另行组织人员或委托其他承包人施工。承包人因继续完成该工程的需要，有权扣留使用分包人在现场的材料、设备和临时设施。但承包人的这一行动不免除分包人应承担的违约责任，也不影响承包人根据分包合同约定享有的索赔权利。</w:t>
      </w:r>
    </w:p>
    <w:p>
      <w:pPr>
        <w:spacing w:line="360" w:lineRule="auto"/>
        <w:ind w:left="0" w:firstLine="0"/>
      </w:pPr>
      <w:r>
        <w:rPr>
          <w:rFonts w:hint="eastAsia"/>
        </w:rPr>
        <w:t>2</w:t>
      </w:r>
      <w:r>
        <w:t>2</w:t>
      </w:r>
      <w:r>
        <w:rPr>
          <w:rFonts w:hint="eastAsia"/>
        </w:rPr>
        <w:t>.1.4　合同解除后的估价、付款和结清</w:t>
      </w:r>
    </w:p>
    <w:p>
      <w:pPr>
        <w:spacing w:line="360" w:lineRule="auto"/>
        <w:ind w:left="0" w:firstLine="0"/>
      </w:pPr>
      <w:r>
        <w:rPr>
          <w:rFonts w:hint="eastAsia"/>
        </w:rPr>
        <w:t xml:space="preserve">（1）合同解除后，承包人与分包人商定承包人实际完成工作的价值，以及分包人已提供的材料、施工设备、工程设备和临时工程等的价值。 </w:t>
      </w:r>
    </w:p>
    <w:p>
      <w:pPr>
        <w:spacing w:line="360" w:lineRule="auto"/>
        <w:ind w:left="0" w:firstLine="0"/>
      </w:pPr>
      <w:r>
        <w:rPr>
          <w:rFonts w:hint="eastAsia"/>
        </w:rPr>
        <w:t xml:space="preserve">（2）合同解除后，承包人应暂停对分包人的一切付款，查清各项付款和已扣款金额，包括分包人应支付的违约金。 </w:t>
      </w:r>
    </w:p>
    <w:p>
      <w:pPr>
        <w:spacing w:line="360" w:lineRule="auto"/>
        <w:ind w:left="0" w:firstLine="0"/>
      </w:pPr>
      <w:r>
        <w:rPr>
          <w:rFonts w:hint="eastAsia"/>
        </w:rPr>
        <w:t>（3）合同解除后，承包人应按第2</w:t>
      </w:r>
      <w:r>
        <w:t>3</w:t>
      </w:r>
      <w:r>
        <w:rPr>
          <w:rFonts w:hint="eastAsia"/>
        </w:rPr>
        <w:t>.4款的约定向分包人索赔由于解除合同给承包人造成的损失。</w:t>
      </w:r>
    </w:p>
    <w:p>
      <w:pPr>
        <w:spacing w:line="360" w:lineRule="auto"/>
        <w:ind w:left="0" w:firstLine="0"/>
      </w:pPr>
      <w:r>
        <w:rPr>
          <w:rFonts w:hint="eastAsia"/>
        </w:rPr>
        <w:t>（4）合同双方确认上述往来款项后，出具最终结清付款证书，结清全部合同款项。</w:t>
      </w:r>
    </w:p>
    <w:p>
      <w:pPr>
        <w:spacing w:line="360" w:lineRule="auto"/>
        <w:ind w:left="0" w:firstLine="0"/>
      </w:pPr>
      <w:r>
        <w:rPr>
          <w:rFonts w:hint="eastAsia"/>
        </w:rPr>
        <w:t>（5）承包人和分包人未能就解除合同后的结清达成一致而形成争议的，按第2</w:t>
      </w:r>
      <w:r>
        <w:t>4</w:t>
      </w:r>
      <w:r>
        <w:rPr>
          <w:rFonts w:hint="eastAsia"/>
        </w:rPr>
        <w:t>条的约定办理。</w:t>
      </w:r>
    </w:p>
    <w:p>
      <w:pPr>
        <w:spacing w:line="360" w:lineRule="auto"/>
        <w:ind w:left="0" w:firstLine="0"/>
      </w:pPr>
      <w:r>
        <w:rPr>
          <w:rFonts w:hint="eastAsia"/>
        </w:rPr>
        <w:t>2</w:t>
      </w:r>
      <w:r>
        <w:t>2</w:t>
      </w:r>
      <w:r>
        <w:rPr>
          <w:rFonts w:hint="eastAsia"/>
        </w:rPr>
        <w:t>.1.5　协议利益的转让</w:t>
      </w:r>
    </w:p>
    <w:p>
      <w:pPr>
        <w:spacing w:line="360" w:lineRule="auto"/>
        <w:ind w:left="0" w:firstLine="0"/>
      </w:pPr>
      <w:r>
        <w:rPr>
          <w:rFonts w:hint="eastAsia"/>
        </w:rPr>
        <w:t xml:space="preserve">因分包人违约解除合同的，承包人有权要求分包人将其为实施合同而签订的材料和设备的订货协议或任何服务协议利益转让给承包人，并在解除合同后的14天内，依法办理转让手续。 </w:t>
      </w:r>
    </w:p>
    <w:p>
      <w:pPr>
        <w:spacing w:line="360" w:lineRule="auto"/>
        <w:ind w:left="0" w:firstLine="0"/>
      </w:pPr>
      <w:r>
        <w:rPr>
          <w:rFonts w:hint="eastAsia"/>
        </w:rPr>
        <w:t>2</w:t>
      </w:r>
      <w:r>
        <w:t>2</w:t>
      </w:r>
      <w:r>
        <w:rPr>
          <w:rFonts w:hint="eastAsia"/>
        </w:rPr>
        <w:t>.1.6　紧急情况下无能力或不愿进行抢救</w:t>
      </w:r>
    </w:p>
    <w:p>
      <w:pPr>
        <w:spacing w:line="360" w:lineRule="auto"/>
        <w:ind w:left="0" w:firstLine="0"/>
      </w:pPr>
      <w:r>
        <w:rPr>
          <w:rFonts w:hint="eastAsia"/>
        </w:rPr>
        <w:t>在工程实施期间或缺陷责任期内发生危及工程安全的事件，承包人通知分包人进行抢救，分包人声明无能力或不愿立即执行的，承包人有权雇佣其他人员进行抢救。此类抢救按分包合同约定属于分包人义务的，由此发生的金额和（或）工期延误由分包人承担。</w:t>
      </w:r>
    </w:p>
    <w:p>
      <w:pPr>
        <w:spacing w:line="360" w:lineRule="auto"/>
        <w:ind w:left="0" w:firstLine="0"/>
      </w:pPr>
      <w:bookmarkStart w:id="1654" w:name="_Toc342296406"/>
      <w:bookmarkStart w:id="1655" w:name="_Toc403059708"/>
      <w:bookmarkStart w:id="1656" w:name="_Toc393199670"/>
      <w:bookmarkStart w:id="1657" w:name="_Toc391456330"/>
      <w:bookmarkStart w:id="1658" w:name="_Toc144974726"/>
      <w:bookmarkStart w:id="1659" w:name="_Toc403052766"/>
      <w:bookmarkStart w:id="1660" w:name="_Toc393200698"/>
      <w:bookmarkStart w:id="1661" w:name="_Toc403054526"/>
      <w:bookmarkStart w:id="1662" w:name="_Toc179632773"/>
      <w:bookmarkStart w:id="1663" w:name="_Toc152045755"/>
      <w:bookmarkStart w:id="1664" w:name="_Toc338944848"/>
      <w:bookmarkStart w:id="1665" w:name="_Toc152042534"/>
      <w:bookmarkStart w:id="1666" w:name="_Toc393200184"/>
      <w:r>
        <w:rPr>
          <w:rFonts w:hint="eastAsia"/>
        </w:rPr>
        <w:t>2</w:t>
      </w:r>
      <w:r>
        <w:t>2</w:t>
      </w:r>
      <w:r>
        <w:rPr>
          <w:rFonts w:hint="eastAsia"/>
        </w:rPr>
        <w:t>.2　承包人违约</w:t>
      </w:r>
      <w:bookmarkEnd w:id="1654"/>
      <w:bookmarkEnd w:id="1655"/>
      <w:bookmarkEnd w:id="1656"/>
      <w:bookmarkEnd w:id="1657"/>
      <w:bookmarkEnd w:id="1658"/>
      <w:bookmarkEnd w:id="1659"/>
      <w:bookmarkEnd w:id="1660"/>
      <w:bookmarkEnd w:id="1661"/>
      <w:bookmarkEnd w:id="1662"/>
      <w:bookmarkEnd w:id="1663"/>
      <w:bookmarkEnd w:id="1664"/>
      <w:bookmarkEnd w:id="1665"/>
      <w:bookmarkEnd w:id="1666"/>
    </w:p>
    <w:p>
      <w:pPr>
        <w:spacing w:line="360" w:lineRule="auto"/>
        <w:ind w:left="0" w:firstLine="0"/>
      </w:pPr>
      <w:r>
        <w:rPr>
          <w:rFonts w:hint="eastAsia"/>
        </w:rPr>
        <w:t>2</w:t>
      </w:r>
      <w:r>
        <w:t>2</w:t>
      </w:r>
      <w:r>
        <w:rPr>
          <w:rFonts w:hint="eastAsia"/>
        </w:rPr>
        <w:t>.2.1　承包人违约的情形</w:t>
      </w:r>
    </w:p>
    <w:p>
      <w:pPr>
        <w:spacing w:line="360" w:lineRule="auto"/>
        <w:ind w:left="0" w:firstLine="0"/>
      </w:pPr>
      <w:r>
        <w:rPr>
          <w:rFonts w:hint="eastAsia"/>
        </w:rPr>
        <w:t>在履行分包合同过程中发生的下列情形，属承包人违约：</w:t>
      </w:r>
    </w:p>
    <w:p>
      <w:pPr>
        <w:spacing w:line="360" w:lineRule="auto"/>
        <w:ind w:left="0" w:firstLine="0"/>
      </w:pPr>
      <w:r>
        <w:rPr>
          <w:rFonts w:hint="eastAsia"/>
        </w:rPr>
        <w:t>（1）承包人未能按分包合同约定支付预付款或合同价款，或拖延、拒绝批准付款申请和支付凭证，导致付款延误的；</w:t>
      </w:r>
    </w:p>
    <w:p>
      <w:pPr>
        <w:spacing w:line="360" w:lineRule="auto"/>
        <w:ind w:left="0" w:firstLine="0"/>
      </w:pPr>
      <w:r>
        <w:rPr>
          <w:rFonts w:hint="eastAsia"/>
        </w:rPr>
        <w:t>（2）承包人原因造成停工的；</w:t>
      </w:r>
    </w:p>
    <w:p>
      <w:pPr>
        <w:spacing w:line="360" w:lineRule="auto"/>
        <w:ind w:left="0" w:firstLine="0"/>
      </w:pPr>
      <w:r>
        <w:rPr>
          <w:rFonts w:hint="eastAsia"/>
        </w:rPr>
        <w:t>（3）承包人无正当理由没有在约定期限内发出复工指示，导致分包人无法复工的；</w:t>
      </w:r>
    </w:p>
    <w:p>
      <w:pPr>
        <w:spacing w:line="360" w:lineRule="auto"/>
        <w:ind w:left="0" w:firstLine="0"/>
      </w:pPr>
      <w:r>
        <w:rPr>
          <w:rFonts w:hint="eastAsia"/>
        </w:rPr>
        <w:t>（4）承包人无法继续履行或明确表示不履行或实质上已停止履行分包合同的；</w:t>
      </w:r>
    </w:p>
    <w:p>
      <w:pPr>
        <w:spacing w:line="360" w:lineRule="auto"/>
        <w:ind w:left="0" w:firstLine="0"/>
      </w:pPr>
      <w:r>
        <w:rPr>
          <w:rFonts w:hint="eastAsia"/>
        </w:rPr>
        <w:t>（5）承包人不履行分包合同约定其他义务的。</w:t>
      </w:r>
    </w:p>
    <w:p>
      <w:pPr>
        <w:spacing w:line="360" w:lineRule="auto"/>
        <w:ind w:left="0" w:firstLine="0"/>
      </w:pPr>
      <w:r>
        <w:rPr>
          <w:rFonts w:hint="eastAsia"/>
        </w:rPr>
        <w:t>2</w:t>
      </w:r>
      <w:r>
        <w:t>2</w:t>
      </w:r>
      <w:r>
        <w:rPr>
          <w:rFonts w:hint="eastAsia"/>
        </w:rPr>
        <w:t>.2.2　分包人有权暂停施工</w:t>
      </w:r>
    </w:p>
    <w:p>
      <w:pPr>
        <w:spacing w:line="360" w:lineRule="auto"/>
        <w:ind w:left="0" w:firstLine="0"/>
      </w:pPr>
      <w:r>
        <w:rPr>
          <w:rFonts w:hint="eastAsia"/>
        </w:rPr>
        <w:t>承包人发生除第2</w:t>
      </w:r>
      <w:r>
        <w:t>2</w:t>
      </w:r>
      <w:r>
        <w:rPr>
          <w:rFonts w:hint="eastAsia"/>
        </w:rPr>
        <w:t>.2.1（4）目以外的违约情况时，分包人可向承包人发出通知，要求承包人采取有效措施纠正违约行为。承包人收到分包人通知后的28天内仍不履行分包合同义务，分包人有权暂停施工，并通知承包人，承包人应承担由此增加的费用和（或）工期延误，并支付分包人合理利润。</w:t>
      </w:r>
    </w:p>
    <w:p>
      <w:pPr>
        <w:spacing w:line="360" w:lineRule="auto"/>
        <w:ind w:left="0" w:firstLine="0"/>
      </w:pPr>
      <w:r>
        <w:rPr>
          <w:rFonts w:hint="eastAsia"/>
        </w:rPr>
        <w:t>2</w:t>
      </w:r>
      <w:r>
        <w:t>2</w:t>
      </w:r>
      <w:r>
        <w:rPr>
          <w:rFonts w:hint="eastAsia"/>
        </w:rPr>
        <w:t xml:space="preserve">.2.3　承包人违约解除合同 </w:t>
      </w:r>
    </w:p>
    <w:p>
      <w:pPr>
        <w:spacing w:line="360" w:lineRule="auto"/>
        <w:ind w:left="0" w:firstLine="0"/>
      </w:pPr>
      <w:r>
        <w:rPr>
          <w:rFonts w:hint="eastAsia"/>
        </w:rPr>
        <w:t>（1）发生第2</w:t>
      </w:r>
      <w:r>
        <w:t>2</w:t>
      </w:r>
      <w:r>
        <w:rPr>
          <w:rFonts w:hint="eastAsia"/>
        </w:rPr>
        <w:t xml:space="preserve">.2.1（4）目的违约情况时，分包人可书面通知承包人解除合同。   </w:t>
      </w:r>
    </w:p>
    <w:p>
      <w:pPr>
        <w:spacing w:line="360" w:lineRule="auto"/>
        <w:ind w:left="0" w:firstLine="0"/>
      </w:pPr>
      <w:r>
        <w:rPr>
          <w:rFonts w:hint="eastAsia"/>
        </w:rPr>
        <w:t>（2）承包人按2</w:t>
      </w:r>
      <w:r>
        <w:t>2</w:t>
      </w:r>
      <w:r>
        <w:rPr>
          <w:rFonts w:hint="eastAsia"/>
        </w:rPr>
        <w:t>.2.2项暂停施工28天后，承包人仍不纠正违约行为的，分包人可向承包人发出解除合同通知。但分包人的这一行动不免除承包人承担的违约责任，也不影响分包人根据分包合同约定享有的索赔权利。</w:t>
      </w:r>
    </w:p>
    <w:p>
      <w:pPr>
        <w:spacing w:line="360" w:lineRule="auto"/>
        <w:ind w:left="0" w:firstLine="0"/>
      </w:pPr>
      <w:r>
        <w:rPr>
          <w:rFonts w:hint="eastAsia"/>
        </w:rPr>
        <w:t>2</w:t>
      </w:r>
      <w:r>
        <w:t>2</w:t>
      </w:r>
      <w:r>
        <w:rPr>
          <w:rFonts w:hint="eastAsia"/>
        </w:rPr>
        <w:t>.2.4　解除合同后的付款</w:t>
      </w:r>
    </w:p>
    <w:p>
      <w:pPr>
        <w:spacing w:line="360" w:lineRule="auto"/>
        <w:ind w:left="0" w:firstLine="0"/>
      </w:pPr>
      <w:r>
        <w:rPr>
          <w:rFonts w:hint="eastAsia"/>
        </w:rPr>
        <w:t>因承包人违约解除合同的，承包人应在解除合同后28天内向分包人支付下列金额，分包人应在此期限内及时向承包人提交要求支付下列金额的有关资料和凭证：</w:t>
      </w:r>
    </w:p>
    <w:p>
      <w:pPr>
        <w:spacing w:line="360" w:lineRule="auto"/>
        <w:ind w:left="0" w:firstLine="0"/>
      </w:pPr>
      <w:r>
        <w:rPr>
          <w:rFonts w:hint="eastAsia"/>
        </w:rPr>
        <w:t>（1）合同解除日以前所完成工作的价款；</w:t>
      </w:r>
    </w:p>
    <w:p>
      <w:pPr>
        <w:spacing w:line="360" w:lineRule="auto"/>
        <w:ind w:left="0" w:firstLine="0"/>
      </w:pPr>
      <w:r>
        <w:rPr>
          <w:rFonts w:hint="eastAsia"/>
        </w:rPr>
        <w:t>（2）分包人为该分包工程施工订购并已付款的材料、工程设备和其他物品的金额。承包人付还后，该材料、工程设备和其他物品归承包人所有；</w:t>
      </w:r>
    </w:p>
    <w:p>
      <w:pPr>
        <w:spacing w:line="360" w:lineRule="auto"/>
        <w:ind w:left="0" w:firstLine="0"/>
      </w:pPr>
      <w:r>
        <w:rPr>
          <w:rFonts w:hint="eastAsia"/>
        </w:rPr>
        <w:t>（3）分包人为完成工程所发生的，而承包人未支付的金额；</w:t>
      </w:r>
    </w:p>
    <w:p>
      <w:pPr>
        <w:spacing w:line="360" w:lineRule="auto"/>
        <w:ind w:left="0" w:firstLine="0"/>
      </w:pPr>
      <w:r>
        <w:rPr>
          <w:rFonts w:hint="eastAsia"/>
        </w:rPr>
        <w:t>（4）分包人撤离施工场地以及遣散分包人人员的金额；</w:t>
      </w:r>
    </w:p>
    <w:p>
      <w:pPr>
        <w:spacing w:line="360" w:lineRule="auto"/>
        <w:ind w:left="0" w:firstLine="0"/>
      </w:pPr>
      <w:r>
        <w:rPr>
          <w:rFonts w:hint="eastAsia"/>
        </w:rPr>
        <w:t>（5）由于解除合同应赔偿的分包人损失；</w:t>
      </w:r>
    </w:p>
    <w:p>
      <w:pPr>
        <w:spacing w:line="360" w:lineRule="auto"/>
        <w:ind w:left="0" w:firstLine="0"/>
      </w:pPr>
      <w:r>
        <w:rPr>
          <w:rFonts w:hint="eastAsia"/>
        </w:rPr>
        <w:t>（6）按分包合同约定在合同解除日前应支付给分包人的其他金额。</w:t>
      </w:r>
    </w:p>
    <w:p>
      <w:pPr>
        <w:spacing w:line="360" w:lineRule="auto"/>
        <w:ind w:left="0" w:firstLine="0"/>
      </w:pPr>
      <w:r>
        <w:rPr>
          <w:rFonts w:hint="eastAsia"/>
        </w:rPr>
        <w:t>承包人应按本项约定支付上述金额并退还质量保证金和履约担保，但有权要求分包人支付应偿还给承包人的各项金额。</w:t>
      </w:r>
    </w:p>
    <w:p>
      <w:pPr>
        <w:spacing w:line="360" w:lineRule="auto"/>
        <w:ind w:left="0" w:firstLine="0"/>
      </w:pPr>
      <w:r>
        <w:rPr>
          <w:rFonts w:hint="eastAsia"/>
        </w:rPr>
        <w:t>2</w:t>
      </w:r>
      <w:r>
        <w:t>2</w:t>
      </w:r>
      <w:r>
        <w:rPr>
          <w:rFonts w:hint="eastAsia"/>
        </w:rPr>
        <w:t>.2.5　解除合同后的分包人撤离</w:t>
      </w:r>
    </w:p>
    <w:p>
      <w:pPr>
        <w:spacing w:line="360" w:lineRule="auto"/>
        <w:ind w:left="0" w:firstLine="0"/>
      </w:pPr>
      <w:r>
        <w:rPr>
          <w:rFonts w:hint="eastAsia"/>
        </w:rPr>
        <w:t>因承包人违约而解除合同后，分包人应妥善做好已完工工程和已购材料、设备的保护和移交工作，按承包人要求将分包人设备和人员撤出施工场地。分包人撤出施工场地应遵守第</w:t>
      </w:r>
      <w:r>
        <w:t>18</w:t>
      </w:r>
      <w:r>
        <w:rPr>
          <w:rFonts w:hint="eastAsia"/>
        </w:rPr>
        <w:t>.5.1项的约定，承包人应为分包人撤出提供必要条件。</w:t>
      </w:r>
    </w:p>
    <w:p>
      <w:pPr>
        <w:spacing w:line="360" w:lineRule="auto"/>
        <w:ind w:left="0" w:firstLine="0"/>
      </w:pPr>
      <w:bookmarkStart w:id="1667" w:name="_Toc393199671"/>
      <w:bookmarkStart w:id="1668" w:name="_Toc403052767"/>
      <w:bookmarkStart w:id="1669" w:name="_Toc393200699"/>
      <w:bookmarkStart w:id="1670" w:name="_Toc403059709"/>
      <w:bookmarkStart w:id="1671" w:name="_Toc179632774"/>
      <w:bookmarkStart w:id="1672" w:name="_Toc152045756"/>
      <w:bookmarkStart w:id="1673" w:name="_Toc391456331"/>
      <w:bookmarkStart w:id="1674" w:name="_Toc403054527"/>
      <w:bookmarkStart w:id="1675" w:name="_Toc152042535"/>
      <w:bookmarkStart w:id="1676" w:name="_Toc342296407"/>
      <w:bookmarkStart w:id="1677" w:name="_Toc338944849"/>
      <w:bookmarkStart w:id="1678" w:name="_Toc393200185"/>
      <w:r>
        <w:rPr>
          <w:rFonts w:hint="eastAsia"/>
        </w:rPr>
        <w:t>2</w:t>
      </w:r>
      <w:r>
        <w:t>2</w:t>
      </w:r>
      <w:r>
        <w:rPr>
          <w:rFonts w:hint="eastAsia"/>
        </w:rPr>
        <w:t>.3　第三人造成的违约</w:t>
      </w:r>
      <w:bookmarkEnd w:id="1667"/>
      <w:bookmarkEnd w:id="1668"/>
      <w:bookmarkEnd w:id="1669"/>
      <w:bookmarkEnd w:id="1670"/>
      <w:bookmarkEnd w:id="1671"/>
      <w:bookmarkEnd w:id="1672"/>
      <w:bookmarkEnd w:id="1673"/>
      <w:bookmarkEnd w:id="1674"/>
      <w:bookmarkEnd w:id="1675"/>
      <w:bookmarkEnd w:id="1676"/>
      <w:bookmarkEnd w:id="1677"/>
      <w:bookmarkEnd w:id="1678"/>
    </w:p>
    <w:p>
      <w:pPr>
        <w:spacing w:line="360" w:lineRule="auto"/>
        <w:ind w:left="0" w:firstLine="0"/>
      </w:pPr>
      <w:r>
        <w:rPr>
          <w:rFonts w:hint="eastAsia"/>
        </w:rPr>
        <w:t>在履行分包合同过程中，一方当事人因第三人的原因造成违约的，应当向对方当事人承担违约责任。一方当事人和第三人之间的纠纷，依照法律规定或者按照约定解决。</w:t>
      </w:r>
    </w:p>
    <w:p>
      <w:pPr>
        <w:spacing w:line="360" w:lineRule="auto"/>
        <w:ind w:left="0" w:firstLine="0"/>
      </w:pPr>
      <w:bookmarkStart w:id="1679" w:name="_Toc152042536"/>
      <w:bookmarkStart w:id="1680" w:name="_Toc179632775"/>
      <w:bookmarkStart w:id="1681" w:name="_Toc144974727"/>
      <w:bookmarkStart w:id="1682" w:name="_Toc391456332"/>
      <w:bookmarkStart w:id="1683" w:name="_Toc403052768"/>
      <w:bookmarkStart w:id="1684" w:name="_Toc342296408"/>
      <w:bookmarkStart w:id="1685" w:name="_Toc403059710"/>
      <w:bookmarkStart w:id="1686" w:name="_Toc338944850"/>
      <w:bookmarkStart w:id="1687" w:name="_Toc152045757"/>
      <w:r>
        <w:rPr>
          <w:rFonts w:hint="eastAsia"/>
        </w:rPr>
        <w:t>2</w:t>
      </w:r>
      <w:r>
        <w:t>3</w:t>
      </w:r>
      <w:r>
        <w:rPr>
          <w:rFonts w:hint="eastAsia"/>
        </w:rPr>
        <w:t>. 索赔</w:t>
      </w:r>
      <w:bookmarkEnd w:id="1679"/>
      <w:bookmarkEnd w:id="1680"/>
      <w:bookmarkEnd w:id="1681"/>
      <w:bookmarkEnd w:id="1682"/>
      <w:bookmarkEnd w:id="1683"/>
      <w:bookmarkEnd w:id="1684"/>
      <w:bookmarkEnd w:id="1685"/>
      <w:bookmarkEnd w:id="1686"/>
      <w:bookmarkEnd w:id="1687"/>
    </w:p>
    <w:p>
      <w:pPr>
        <w:spacing w:line="360" w:lineRule="auto"/>
        <w:ind w:left="0" w:firstLine="0"/>
      </w:pPr>
      <w:bookmarkStart w:id="1688" w:name="_Toc338944851"/>
      <w:bookmarkStart w:id="1689" w:name="_Toc144974728"/>
      <w:bookmarkStart w:id="1690" w:name="_Toc393200187"/>
      <w:bookmarkStart w:id="1691" w:name="_Toc152042537"/>
      <w:bookmarkStart w:id="1692" w:name="_Toc179632776"/>
      <w:bookmarkStart w:id="1693" w:name="_Toc152045758"/>
      <w:bookmarkStart w:id="1694" w:name="_Toc342296409"/>
      <w:bookmarkStart w:id="1695" w:name="_Toc393199673"/>
      <w:bookmarkStart w:id="1696" w:name="_Toc393200701"/>
      <w:bookmarkStart w:id="1697" w:name="_Toc391456333"/>
      <w:bookmarkStart w:id="1698" w:name="_Toc403054529"/>
      <w:bookmarkStart w:id="1699" w:name="_Toc403052769"/>
      <w:bookmarkStart w:id="1700" w:name="_Toc403059711"/>
      <w:r>
        <w:rPr>
          <w:rFonts w:hint="eastAsia"/>
        </w:rPr>
        <w:t>2</w:t>
      </w:r>
      <w:r>
        <w:t>3</w:t>
      </w:r>
      <w:r>
        <w:rPr>
          <w:rFonts w:hint="eastAsia"/>
        </w:rPr>
        <w:t>.1</w:t>
      </w:r>
      <w:bookmarkEnd w:id="1688"/>
      <w:bookmarkEnd w:id="1689"/>
      <w:bookmarkEnd w:id="1690"/>
      <w:bookmarkEnd w:id="1691"/>
      <w:bookmarkEnd w:id="1692"/>
      <w:bookmarkEnd w:id="1693"/>
      <w:bookmarkEnd w:id="1694"/>
      <w:bookmarkEnd w:id="1695"/>
      <w:bookmarkEnd w:id="1696"/>
      <w:bookmarkEnd w:id="1697"/>
      <w:r>
        <w:rPr>
          <w:rFonts w:hint="eastAsia"/>
        </w:rPr>
        <w:t>　分包人索赔的提出</w:t>
      </w:r>
      <w:bookmarkEnd w:id="1698"/>
      <w:bookmarkEnd w:id="1699"/>
      <w:bookmarkEnd w:id="1700"/>
    </w:p>
    <w:p>
      <w:pPr>
        <w:spacing w:line="360" w:lineRule="auto"/>
        <w:ind w:left="0" w:firstLine="0"/>
      </w:pPr>
      <w:r>
        <w:rPr>
          <w:rFonts w:hint="eastAsia"/>
        </w:rPr>
        <w:t>根据分包合同约定，分包人认为有权得到追加付款和（或）延长工期的，应按以下程序向承包人提出索赔：</w:t>
      </w:r>
    </w:p>
    <w:p>
      <w:pPr>
        <w:spacing w:line="360" w:lineRule="auto"/>
        <w:ind w:left="0" w:firstLine="0"/>
      </w:pPr>
      <w:r>
        <w:rPr>
          <w:rFonts w:hint="eastAsia"/>
        </w:rPr>
        <w:t>（1）分包人应在知道或应当知道索赔事件发生后14天内，向承包人递交索赔意向通知书，并说明发生索赔事件的事由。分包人未在前述14天内发出索赔意向通知书的，丧失要求追加付款和（或）延长工期的权利；</w:t>
      </w:r>
    </w:p>
    <w:p>
      <w:pPr>
        <w:spacing w:line="360" w:lineRule="auto"/>
        <w:ind w:left="0" w:firstLine="0"/>
      </w:pPr>
      <w:r>
        <w:rPr>
          <w:rFonts w:hint="eastAsia"/>
        </w:rPr>
        <w:t>（2）分包人应在发出索赔意向通知书后14天内，向承包人正式递交索赔通知书。索赔通知书应详细说明索赔理由以及要求追加的付款金额和（或）延长的工期，并附必要的记录和证明材料；</w:t>
      </w:r>
    </w:p>
    <w:p>
      <w:pPr>
        <w:spacing w:line="360" w:lineRule="auto"/>
        <w:ind w:left="0" w:firstLine="0"/>
      </w:pPr>
      <w:r>
        <w:rPr>
          <w:rFonts w:hint="eastAsia"/>
        </w:rPr>
        <w:t>（3）索赔事件具有连续影响的，分包人应按合理时间间隔继续递交延续索赔通知，说明连续影响的实际情况和记录，列出累计的追加付款金额和（或）工期延长天数；</w:t>
      </w:r>
    </w:p>
    <w:p>
      <w:pPr>
        <w:spacing w:line="360" w:lineRule="auto"/>
        <w:ind w:left="0" w:firstLine="0"/>
      </w:pPr>
      <w:r>
        <w:rPr>
          <w:rFonts w:hint="eastAsia"/>
        </w:rPr>
        <w:t>（4）在索赔事件影响结束后的14天内，分包人应向承包人递交最终索赔通知书，说明最终要求索赔的追加付款金额和延长的工期，并附必要的记录和证明材料。</w:t>
      </w:r>
    </w:p>
    <w:p>
      <w:pPr>
        <w:spacing w:line="360" w:lineRule="auto"/>
        <w:ind w:left="0" w:firstLine="0"/>
      </w:pPr>
      <w:bookmarkStart w:id="1701" w:name="_Toc342296410"/>
      <w:bookmarkStart w:id="1702" w:name="_Toc393200702"/>
      <w:bookmarkStart w:id="1703" w:name="_Toc179632777"/>
      <w:bookmarkStart w:id="1704" w:name="_Toc391456334"/>
      <w:bookmarkStart w:id="1705" w:name="_Toc144974729"/>
      <w:bookmarkStart w:id="1706" w:name="_Toc152045759"/>
      <w:bookmarkStart w:id="1707" w:name="_Toc393200188"/>
      <w:bookmarkStart w:id="1708" w:name="_Toc152042538"/>
      <w:bookmarkStart w:id="1709" w:name="_Toc338944852"/>
      <w:bookmarkStart w:id="1710" w:name="_Toc393199674"/>
      <w:bookmarkStart w:id="1711" w:name="_Toc403059712"/>
      <w:bookmarkStart w:id="1712" w:name="_Toc403052770"/>
      <w:bookmarkStart w:id="1713" w:name="_Toc403054530"/>
      <w:r>
        <w:rPr>
          <w:rFonts w:hint="eastAsia"/>
        </w:rPr>
        <w:t>2</w:t>
      </w:r>
      <w:r>
        <w:t>3</w:t>
      </w:r>
      <w:r>
        <w:rPr>
          <w:rFonts w:hint="eastAsia"/>
        </w:rPr>
        <w:t>.2</w:t>
      </w:r>
      <w:bookmarkEnd w:id="1701"/>
      <w:bookmarkEnd w:id="1702"/>
      <w:bookmarkEnd w:id="1703"/>
      <w:bookmarkEnd w:id="1704"/>
      <w:bookmarkEnd w:id="1705"/>
      <w:bookmarkEnd w:id="1706"/>
      <w:bookmarkEnd w:id="1707"/>
      <w:bookmarkEnd w:id="1708"/>
      <w:bookmarkEnd w:id="1709"/>
      <w:bookmarkEnd w:id="1710"/>
      <w:r>
        <w:rPr>
          <w:rFonts w:hint="eastAsia"/>
        </w:rPr>
        <w:t>　分包人索赔处理程序</w:t>
      </w:r>
      <w:bookmarkEnd w:id="1711"/>
      <w:bookmarkEnd w:id="1712"/>
      <w:bookmarkEnd w:id="1713"/>
    </w:p>
    <w:p>
      <w:pPr>
        <w:spacing w:line="360" w:lineRule="auto"/>
        <w:ind w:left="0" w:firstLine="0"/>
      </w:pPr>
      <w:r>
        <w:rPr>
          <w:rFonts w:hint="eastAsia"/>
        </w:rPr>
        <w:t>（1）承包人收到分包人提交的索赔通知书后，应及时审查索赔通知书的内容、查验分包人的记录和证明材料，必要时承包人可要求分包人提交全部原始记录副本。</w:t>
      </w:r>
    </w:p>
    <w:p>
      <w:pPr>
        <w:spacing w:line="360" w:lineRule="auto"/>
        <w:ind w:left="0" w:firstLine="0"/>
      </w:pPr>
      <w:r>
        <w:rPr>
          <w:rFonts w:hint="eastAsia"/>
        </w:rPr>
        <w:t>（2）承包人与分包人商定追加的付款和（或）延长的工期，并在收到上述索赔通知书或有关索赔的进一步证明材料后的49天内，将索赔处理结果答复分包人。</w:t>
      </w:r>
    </w:p>
    <w:p>
      <w:pPr>
        <w:spacing w:line="360" w:lineRule="auto"/>
        <w:ind w:left="0" w:firstLine="0"/>
      </w:pPr>
      <w:r>
        <w:rPr>
          <w:rFonts w:hint="eastAsia"/>
        </w:rPr>
        <w:t>（3）分包人接受索赔处理结果的，承包人应在作出索赔处理结果答复后28天内完成赔付。分包人不接受索赔处理结果的，按第2</w:t>
      </w:r>
      <w:r>
        <w:t>4</w:t>
      </w:r>
      <w:r>
        <w:rPr>
          <w:rFonts w:hint="eastAsia"/>
        </w:rPr>
        <w:t>条的约定办理。</w:t>
      </w:r>
    </w:p>
    <w:p>
      <w:pPr>
        <w:spacing w:line="360" w:lineRule="auto"/>
        <w:ind w:left="0" w:firstLine="0"/>
      </w:pPr>
      <w:bookmarkStart w:id="1714" w:name="_Toc152045760"/>
      <w:bookmarkStart w:id="1715" w:name="_Toc393200189"/>
      <w:bookmarkStart w:id="1716" w:name="_Toc144974730"/>
      <w:bookmarkStart w:id="1717" w:name="_Toc403054531"/>
      <w:bookmarkStart w:id="1718" w:name="_Toc393200703"/>
      <w:bookmarkStart w:id="1719" w:name="_Toc338944853"/>
      <w:bookmarkStart w:id="1720" w:name="_Toc403052771"/>
      <w:bookmarkStart w:id="1721" w:name="_Toc342296411"/>
      <w:bookmarkStart w:id="1722" w:name="_Toc391456335"/>
      <w:bookmarkStart w:id="1723" w:name="_Toc403059713"/>
      <w:bookmarkStart w:id="1724" w:name="_Toc393199675"/>
      <w:bookmarkStart w:id="1725" w:name="_Toc179632778"/>
      <w:bookmarkStart w:id="1726" w:name="_Toc152042539"/>
      <w:r>
        <w:rPr>
          <w:rFonts w:hint="eastAsia"/>
        </w:rPr>
        <w:t>2</w:t>
      </w:r>
      <w:r>
        <w:t>3</w:t>
      </w:r>
      <w:r>
        <w:rPr>
          <w:rFonts w:hint="eastAsia"/>
        </w:rPr>
        <w:t>.3　分包人提出索赔的期限</w:t>
      </w:r>
      <w:bookmarkEnd w:id="1714"/>
      <w:bookmarkEnd w:id="1715"/>
      <w:bookmarkEnd w:id="1716"/>
      <w:bookmarkEnd w:id="1717"/>
      <w:bookmarkEnd w:id="1718"/>
      <w:bookmarkEnd w:id="1719"/>
      <w:bookmarkEnd w:id="1720"/>
      <w:bookmarkEnd w:id="1721"/>
      <w:bookmarkEnd w:id="1722"/>
      <w:bookmarkEnd w:id="1723"/>
      <w:bookmarkEnd w:id="1724"/>
      <w:bookmarkEnd w:id="1725"/>
      <w:bookmarkEnd w:id="1726"/>
    </w:p>
    <w:p>
      <w:pPr>
        <w:spacing w:line="360" w:lineRule="auto"/>
        <w:ind w:left="0" w:firstLine="0"/>
      </w:pPr>
      <w:r>
        <w:rPr>
          <w:rFonts w:hint="eastAsia"/>
        </w:rPr>
        <w:t>2</w:t>
      </w:r>
      <w:r>
        <w:t>3</w:t>
      </w:r>
      <w:r>
        <w:rPr>
          <w:rFonts w:hint="eastAsia"/>
        </w:rPr>
        <w:t>.3.1　分包人按第</w:t>
      </w:r>
      <w:r>
        <w:t>17</w:t>
      </w:r>
      <w:r>
        <w:rPr>
          <w:rFonts w:hint="eastAsia"/>
        </w:rPr>
        <w:t>.5款的约定接受了完工付款证书后，应被认为已无权再提出在分包合同工程接收证书颁发前所发生的任何索赔。</w:t>
      </w:r>
    </w:p>
    <w:p>
      <w:pPr>
        <w:spacing w:line="360" w:lineRule="auto"/>
        <w:ind w:left="0" w:firstLine="0"/>
      </w:pPr>
      <w:r>
        <w:rPr>
          <w:rFonts w:hint="eastAsia"/>
        </w:rPr>
        <w:t>2</w:t>
      </w:r>
      <w:r>
        <w:t>3</w:t>
      </w:r>
      <w:r>
        <w:rPr>
          <w:rFonts w:hint="eastAsia"/>
        </w:rPr>
        <w:t>.3.2　分包人按第</w:t>
      </w:r>
      <w:r>
        <w:t>17</w:t>
      </w:r>
      <w:r>
        <w:rPr>
          <w:rFonts w:hint="eastAsia"/>
        </w:rPr>
        <w:t xml:space="preserve">.6款的约定提交的最终结清申请单中，只限于提出工程接收证书颁发后发生的索赔。提出索赔的期限自接受最终结清证书时终止。 </w:t>
      </w:r>
    </w:p>
    <w:p>
      <w:pPr>
        <w:spacing w:line="360" w:lineRule="auto"/>
        <w:ind w:left="0" w:firstLine="0"/>
      </w:pPr>
      <w:bookmarkStart w:id="1727" w:name="_Toc144974731"/>
      <w:bookmarkStart w:id="1728" w:name="_Toc338944854"/>
      <w:bookmarkStart w:id="1729" w:name="_Toc152045761"/>
      <w:bookmarkStart w:id="1730" w:name="_Toc403052772"/>
      <w:bookmarkStart w:id="1731" w:name="_Toc179632779"/>
      <w:bookmarkStart w:id="1732" w:name="_Toc403054532"/>
      <w:bookmarkStart w:id="1733" w:name="_Toc391456336"/>
      <w:bookmarkStart w:id="1734" w:name="_Toc393200704"/>
      <w:bookmarkStart w:id="1735" w:name="_Toc403059714"/>
      <w:bookmarkStart w:id="1736" w:name="_Toc342296412"/>
      <w:bookmarkStart w:id="1737" w:name="_Toc152042540"/>
      <w:bookmarkStart w:id="1738" w:name="_Toc393200190"/>
      <w:r>
        <w:rPr>
          <w:rFonts w:hint="eastAsia"/>
        </w:rPr>
        <w:t>2</w:t>
      </w:r>
      <w:r>
        <w:t>3</w:t>
      </w:r>
      <w:r>
        <w:rPr>
          <w:rFonts w:hint="eastAsia"/>
        </w:rPr>
        <w:t>.4　承包人的索赔</w:t>
      </w:r>
      <w:bookmarkEnd w:id="1727"/>
      <w:bookmarkEnd w:id="1728"/>
      <w:bookmarkEnd w:id="1729"/>
      <w:bookmarkEnd w:id="1730"/>
      <w:bookmarkEnd w:id="1731"/>
      <w:bookmarkEnd w:id="1732"/>
      <w:bookmarkEnd w:id="1733"/>
      <w:bookmarkEnd w:id="1734"/>
      <w:bookmarkEnd w:id="1735"/>
      <w:bookmarkEnd w:id="1736"/>
      <w:bookmarkEnd w:id="1737"/>
      <w:bookmarkEnd w:id="1738"/>
    </w:p>
    <w:p>
      <w:pPr>
        <w:spacing w:line="360" w:lineRule="auto"/>
        <w:ind w:left="0" w:firstLine="0"/>
      </w:pPr>
      <w:r>
        <w:rPr>
          <w:rFonts w:hint="eastAsia"/>
        </w:rPr>
        <w:t>2</w:t>
      </w:r>
      <w:r>
        <w:t>3</w:t>
      </w:r>
      <w:r>
        <w:rPr>
          <w:rFonts w:hint="eastAsia"/>
        </w:rPr>
        <w:t>.4.1　发生索赔事件后，承包人应及时书面通知分包人，详细说明承包人有权得到的索赔金额和（或）延长缺陷责任期的细节和依据。承包人提出索赔的期限和要求与第2</w:t>
      </w:r>
      <w:r>
        <w:t>3</w:t>
      </w:r>
      <w:r>
        <w:rPr>
          <w:rFonts w:hint="eastAsia"/>
        </w:rPr>
        <w:t>.3款的约定相同，延长缺陷责任期的通知应在缺陷责任期届满前发出。</w:t>
      </w:r>
    </w:p>
    <w:p>
      <w:pPr>
        <w:spacing w:line="360" w:lineRule="auto"/>
        <w:ind w:left="0" w:firstLine="0"/>
      </w:pPr>
      <w:r>
        <w:rPr>
          <w:rFonts w:hint="eastAsia"/>
        </w:rPr>
        <w:t>2</w:t>
      </w:r>
      <w:r>
        <w:t>3</w:t>
      </w:r>
      <w:r>
        <w:rPr>
          <w:rFonts w:hint="eastAsia"/>
        </w:rPr>
        <w:t>.4.2　承包人分包人商定承包人从分包人处得到赔付的金额和（或）缺陷责任期的延长期。分包人应付给承包人的金额可从拟支付给分包人的合同价款中扣除，或由分包人以其他方式支付给承包人。</w:t>
      </w:r>
    </w:p>
    <w:p>
      <w:pPr>
        <w:spacing w:line="360" w:lineRule="auto"/>
        <w:ind w:left="0" w:firstLine="0"/>
      </w:pPr>
      <w:bookmarkStart w:id="1739" w:name="_Toc403052773"/>
      <w:bookmarkStart w:id="1740" w:name="_Toc342296413"/>
      <w:bookmarkStart w:id="1741" w:name="_Toc338944855"/>
      <w:bookmarkStart w:id="1742" w:name="_Toc403059715"/>
      <w:bookmarkStart w:id="1743" w:name="_Toc391456337"/>
      <w:r>
        <w:rPr>
          <w:rFonts w:hint="eastAsia"/>
        </w:rPr>
        <w:t>2</w:t>
      </w:r>
      <w:r>
        <w:t>4</w:t>
      </w:r>
      <w:r>
        <w:rPr>
          <w:rFonts w:hint="eastAsia"/>
        </w:rPr>
        <w:t>. 争议的解决</w:t>
      </w:r>
      <w:bookmarkEnd w:id="1739"/>
      <w:bookmarkEnd w:id="1740"/>
      <w:bookmarkEnd w:id="1741"/>
      <w:bookmarkEnd w:id="1742"/>
      <w:bookmarkEnd w:id="1743"/>
    </w:p>
    <w:p>
      <w:pPr>
        <w:spacing w:line="360" w:lineRule="auto"/>
        <w:ind w:left="0" w:firstLine="0"/>
      </w:pPr>
      <w:bookmarkStart w:id="1744" w:name="_Toc393200192"/>
      <w:bookmarkStart w:id="1745" w:name="_Toc393199678"/>
      <w:bookmarkStart w:id="1746" w:name="_Toc403059716"/>
      <w:bookmarkStart w:id="1747" w:name="_Toc403052774"/>
      <w:bookmarkStart w:id="1748" w:name="_Toc393200706"/>
      <w:bookmarkStart w:id="1749" w:name="_Toc342296414"/>
      <w:bookmarkStart w:id="1750" w:name="_Toc403054534"/>
      <w:bookmarkStart w:id="1751" w:name="_Toc338944856"/>
      <w:bookmarkStart w:id="1752" w:name="_Toc391456338"/>
      <w:r>
        <w:rPr>
          <w:rFonts w:hint="eastAsia"/>
        </w:rPr>
        <w:t>2</w:t>
      </w:r>
      <w:r>
        <w:t>4</w:t>
      </w:r>
      <w:r>
        <w:rPr>
          <w:rFonts w:hint="eastAsia"/>
        </w:rPr>
        <w:t>.1　争议的解决方式</w:t>
      </w:r>
      <w:bookmarkEnd w:id="1744"/>
      <w:bookmarkEnd w:id="1745"/>
      <w:bookmarkEnd w:id="1746"/>
      <w:bookmarkEnd w:id="1747"/>
      <w:bookmarkEnd w:id="1748"/>
      <w:bookmarkEnd w:id="1749"/>
      <w:bookmarkEnd w:id="1750"/>
      <w:bookmarkEnd w:id="1751"/>
      <w:bookmarkEnd w:id="1752"/>
    </w:p>
    <w:p>
      <w:pPr>
        <w:spacing w:line="360" w:lineRule="auto"/>
        <w:ind w:left="0" w:firstLine="0"/>
      </w:pPr>
      <w:r>
        <w:rPr>
          <w:rFonts w:hint="eastAsia"/>
        </w:rPr>
        <w:t>承包人和分包人在履行分包合同中发生争议的，可以友好协商解决。合同当事人友好协商解决不成的，可在专用合同条款中约定下列一种方式解决。</w:t>
      </w:r>
    </w:p>
    <w:p>
      <w:pPr>
        <w:spacing w:line="360" w:lineRule="auto"/>
        <w:ind w:left="0" w:firstLine="0"/>
      </w:pPr>
      <w:r>
        <w:rPr>
          <w:rFonts w:hint="eastAsia"/>
        </w:rPr>
        <w:t>（1）向约定的仲裁委员会申请仲裁；</w:t>
      </w:r>
    </w:p>
    <w:p>
      <w:pPr>
        <w:spacing w:line="360" w:lineRule="auto"/>
        <w:ind w:left="0" w:firstLine="0"/>
      </w:pPr>
      <w:r>
        <w:rPr>
          <w:rFonts w:hint="eastAsia"/>
        </w:rPr>
        <w:t>（2）向有管辖权的人民法院提起诉讼。</w:t>
      </w:r>
    </w:p>
    <w:p>
      <w:pPr>
        <w:spacing w:line="360" w:lineRule="auto"/>
        <w:ind w:left="0" w:firstLine="0"/>
      </w:pPr>
      <w:bookmarkStart w:id="1753" w:name="_Toc393200193"/>
      <w:bookmarkStart w:id="1754" w:name="_Toc391456339"/>
      <w:bookmarkStart w:id="1755" w:name="_Toc403059717"/>
      <w:bookmarkStart w:id="1756" w:name="_Toc393199679"/>
      <w:bookmarkStart w:id="1757" w:name="_Toc342296415"/>
      <w:bookmarkStart w:id="1758" w:name="_Toc338944857"/>
      <w:bookmarkStart w:id="1759" w:name="_Toc403052775"/>
      <w:bookmarkStart w:id="1760" w:name="_Toc403054535"/>
      <w:bookmarkStart w:id="1761" w:name="_Toc393200707"/>
      <w:r>
        <w:rPr>
          <w:rFonts w:hint="eastAsia"/>
        </w:rPr>
        <w:t>2</w:t>
      </w:r>
      <w:r>
        <w:t>4</w:t>
      </w:r>
      <w:r>
        <w:rPr>
          <w:rFonts w:hint="eastAsia"/>
        </w:rPr>
        <w:t>.2　友好解决</w:t>
      </w:r>
      <w:bookmarkEnd w:id="1753"/>
      <w:bookmarkEnd w:id="1754"/>
      <w:bookmarkEnd w:id="1755"/>
      <w:bookmarkEnd w:id="1756"/>
      <w:bookmarkEnd w:id="1757"/>
      <w:bookmarkEnd w:id="1758"/>
      <w:bookmarkEnd w:id="1759"/>
      <w:bookmarkEnd w:id="1760"/>
      <w:bookmarkEnd w:id="1761"/>
    </w:p>
    <w:p>
      <w:pPr>
        <w:spacing w:line="360" w:lineRule="auto"/>
        <w:ind w:left="0" w:firstLine="0"/>
      </w:pPr>
      <w:r>
        <w:rPr>
          <w:rFonts w:hint="eastAsia"/>
        </w:rPr>
        <w:t>在仲裁或者诉讼前，以及在仲裁或诉讼过程中，承包人和分包人均可共同努力友好协商解决争议。</w:t>
      </w:r>
    </w:p>
    <w:p>
      <w:pPr>
        <w:pStyle w:val="5"/>
        <w:spacing w:line="360" w:lineRule="auto"/>
        <w:rPr>
          <w:rFonts w:ascii="宋体" w:hAnsi="宋体"/>
          <w:sz w:val="24"/>
          <w:szCs w:val="24"/>
        </w:rPr>
      </w:pPr>
      <w:bookmarkStart w:id="1762" w:name="_Toc79057550"/>
      <w:bookmarkStart w:id="1763" w:name="_Toc77206885"/>
      <w:bookmarkStart w:id="1764" w:name="_Toc86825537"/>
      <w:r>
        <w:rPr>
          <w:rFonts w:hint="eastAsia" w:ascii="宋体" w:hAnsi="宋体"/>
          <w:sz w:val="24"/>
          <w:szCs w:val="24"/>
        </w:rPr>
        <w:t>第二节　</w:t>
      </w:r>
      <w:r>
        <w:rPr>
          <w:rFonts w:hint="eastAsia" w:ascii="宋体" w:hAnsi="宋体" w:cs="Arial"/>
          <w:sz w:val="24"/>
          <w:szCs w:val="24"/>
        </w:rPr>
        <w:t>专用合同条款</w:t>
      </w:r>
      <w:bookmarkEnd w:id="1762"/>
      <w:bookmarkEnd w:id="1763"/>
      <w:bookmarkEnd w:id="1764"/>
    </w:p>
    <w:p>
      <w:pPr>
        <w:spacing w:line="360" w:lineRule="auto"/>
        <w:jc w:val="center"/>
        <w:rPr>
          <w:rFonts w:ascii="黑体" w:hAnsi="Arial" w:eastAsia="黑体" w:cs="Arial"/>
          <w:sz w:val="28"/>
          <w:szCs w:val="28"/>
        </w:rPr>
      </w:pPr>
    </w:p>
    <w:p>
      <w:pPr>
        <w:spacing w:line="360" w:lineRule="auto"/>
        <w:ind w:left="0" w:firstLine="0"/>
      </w:pPr>
      <w:bookmarkStart w:id="1765" w:name="_Toc391456342"/>
      <w:bookmarkStart w:id="1766" w:name="_Toc403052777"/>
      <w:bookmarkStart w:id="1767" w:name="_Toc403059719"/>
      <w:bookmarkStart w:id="1768" w:name="_Toc342296418"/>
      <w:bookmarkStart w:id="1769" w:name="_Toc241459659"/>
      <w:r>
        <w:t>1. 一般约定</w:t>
      </w:r>
      <w:bookmarkEnd w:id="1765"/>
      <w:bookmarkEnd w:id="1766"/>
      <w:bookmarkEnd w:id="1767"/>
      <w:bookmarkEnd w:id="1768"/>
      <w:bookmarkEnd w:id="1769"/>
    </w:p>
    <w:p>
      <w:pPr>
        <w:spacing w:line="360" w:lineRule="auto"/>
        <w:ind w:left="0" w:firstLine="0"/>
      </w:pPr>
      <w:bookmarkStart w:id="1770" w:name="_Toc179632630"/>
      <w:bookmarkStart w:id="1771" w:name="_Toc403052778"/>
      <w:bookmarkStart w:id="1772" w:name="_Toc393200197"/>
      <w:bookmarkStart w:id="1773" w:name="_Toc152045612"/>
      <w:bookmarkStart w:id="1774" w:name="_Toc144974580"/>
      <w:bookmarkStart w:id="1775" w:name="_Toc391456343"/>
      <w:bookmarkStart w:id="1776" w:name="_Toc403054538"/>
      <w:bookmarkStart w:id="1777" w:name="_Toc241459660"/>
      <w:bookmarkStart w:id="1778" w:name="_Toc152042390"/>
      <w:bookmarkStart w:id="1779" w:name="_Toc342296419"/>
      <w:bookmarkStart w:id="1780" w:name="_Toc403059720"/>
      <w:bookmarkStart w:id="1781" w:name="_Toc393200711"/>
      <w:r>
        <w:t>1.1</w:t>
      </w:r>
      <w:r>
        <w:rPr>
          <w:rFonts w:hint="eastAsia"/>
        </w:rPr>
        <w:t>　</w:t>
      </w:r>
      <w:r>
        <w:t>词语定义</w:t>
      </w:r>
      <w:bookmarkEnd w:id="1770"/>
      <w:bookmarkEnd w:id="1771"/>
      <w:bookmarkEnd w:id="1772"/>
      <w:bookmarkEnd w:id="1773"/>
      <w:bookmarkEnd w:id="1774"/>
      <w:bookmarkEnd w:id="1775"/>
      <w:bookmarkEnd w:id="1776"/>
      <w:bookmarkEnd w:id="1777"/>
      <w:bookmarkEnd w:id="1778"/>
      <w:bookmarkEnd w:id="1779"/>
      <w:bookmarkEnd w:id="1780"/>
      <w:bookmarkEnd w:id="1781"/>
    </w:p>
    <w:p>
      <w:pPr>
        <w:spacing w:line="360" w:lineRule="auto"/>
        <w:ind w:left="0" w:firstLine="0"/>
      </w:pPr>
      <w:r>
        <w:rPr>
          <w:rFonts w:hint="eastAsia"/>
        </w:rPr>
        <w:t>1.1.2　合同当事人和人员</w:t>
      </w:r>
    </w:p>
    <w:p>
      <w:pPr>
        <w:spacing w:line="360" w:lineRule="auto"/>
        <w:ind w:left="0" w:firstLine="0"/>
      </w:pPr>
      <w:r>
        <w:rPr>
          <w:rFonts w:hint="eastAsia"/>
        </w:rPr>
        <w:t>1.1.2.2　承包人：。</w:t>
      </w:r>
    </w:p>
    <w:p>
      <w:pPr>
        <w:spacing w:line="360" w:lineRule="auto"/>
        <w:ind w:left="0" w:firstLine="0"/>
      </w:pPr>
      <w:r>
        <w:rPr>
          <w:rFonts w:hint="eastAsia"/>
        </w:rPr>
        <w:t>1.1.2.</w:t>
      </w:r>
      <w:r>
        <w:t>4</w:t>
      </w:r>
      <w:r>
        <w:rPr>
          <w:rFonts w:hint="eastAsia"/>
        </w:rPr>
        <w:t>　承包人项目经理：</w:t>
      </w:r>
    </w:p>
    <w:p>
      <w:pPr>
        <w:spacing w:line="360" w:lineRule="auto"/>
        <w:ind w:left="0" w:firstLine="0"/>
      </w:pPr>
      <w:r>
        <w:rPr>
          <w:rFonts w:hint="eastAsia"/>
        </w:rPr>
        <w:t>姓    名：。</w:t>
      </w:r>
    </w:p>
    <w:p>
      <w:pPr>
        <w:spacing w:line="360" w:lineRule="auto"/>
        <w:ind w:left="0" w:firstLine="0"/>
      </w:pPr>
      <w:r>
        <w:rPr>
          <w:rFonts w:hint="eastAsia"/>
        </w:rPr>
        <w:t>职    称：。</w:t>
      </w:r>
    </w:p>
    <w:p>
      <w:pPr>
        <w:spacing w:line="360" w:lineRule="auto"/>
        <w:ind w:left="0" w:firstLine="0"/>
      </w:pPr>
      <w:r>
        <w:rPr>
          <w:rFonts w:hint="eastAsia"/>
        </w:rPr>
        <w:t xml:space="preserve">联系电话：。                                                                 </w:t>
      </w:r>
    </w:p>
    <w:p>
      <w:pPr>
        <w:spacing w:line="360" w:lineRule="auto"/>
        <w:ind w:left="0" w:firstLine="0"/>
      </w:pPr>
      <w:r>
        <w:rPr>
          <w:rFonts w:hint="eastAsia"/>
        </w:rPr>
        <w:t>电子信箱：。</w:t>
      </w:r>
    </w:p>
    <w:p>
      <w:pPr>
        <w:spacing w:line="360" w:lineRule="auto"/>
        <w:ind w:left="0" w:firstLine="0"/>
      </w:pPr>
      <w:r>
        <w:rPr>
          <w:rFonts w:hint="eastAsia"/>
        </w:rPr>
        <w:t>通信地址：。</w:t>
      </w:r>
    </w:p>
    <w:p>
      <w:pPr>
        <w:spacing w:line="360" w:lineRule="auto"/>
        <w:ind w:left="0" w:firstLine="0"/>
      </w:pPr>
      <w:r>
        <w:rPr>
          <w:rFonts w:hint="eastAsia"/>
        </w:rPr>
        <w:t>1.1.2.</w:t>
      </w:r>
      <w:r>
        <w:t>6</w:t>
      </w:r>
      <w:r>
        <w:rPr>
          <w:rFonts w:hint="eastAsia"/>
        </w:rPr>
        <w:t>　发包人：。</w:t>
      </w:r>
    </w:p>
    <w:p>
      <w:pPr>
        <w:spacing w:line="360" w:lineRule="auto"/>
        <w:ind w:left="0" w:firstLine="0"/>
      </w:pPr>
      <w:r>
        <w:rPr>
          <w:rFonts w:hint="eastAsia"/>
        </w:rPr>
        <w:t>1.1.2.</w:t>
      </w:r>
      <w:r>
        <w:t>7</w:t>
      </w:r>
      <w:r>
        <w:rPr>
          <w:rFonts w:hint="eastAsia"/>
        </w:rPr>
        <w:t>　监理人：。</w:t>
      </w:r>
    </w:p>
    <w:p>
      <w:pPr>
        <w:spacing w:line="360" w:lineRule="auto"/>
        <w:ind w:left="0" w:firstLine="0"/>
      </w:pPr>
      <w:r>
        <w:rPr>
          <w:rFonts w:hint="eastAsia"/>
        </w:rPr>
        <w:t>1.1.3　工程和设备</w:t>
      </w:r>
    </w:p>
    <w:p>
      <w:pPr>
        <w:spacing w:line="360" w:lineRule="auto"/>
        <w:ind w:left="0" w:firstLine="0"/>
        <w:rPr>
          <w:u w:val="single"/>
        </w:rPr>
      </w:pPr>
      <w:r>
        <w:rPr>
          <w:rFonts w:hint="eastAsia"/>
        </w:rPr>
        <w:t>1.1.3.</w:t>
      </w:r>
      <w:r>
        <w:t>3</w:t>
      </w:r>
      <w:r>
        <w:rPr>
          <w:rFonts w:hint="eastAsia"/>
        </w:rPr>
        <w:t>　永久工程：。</w:t>
      </w:r>
    </w:p>
    <w:p>
      <w:pPr>
        <w:spacing w:line="360" w:lineRule="auto"/>
        <w:ind w:left="0" w:firstLine="0"/>
      </w:pPr>
      <w:r>
        <w:rPr>
          <w:rFonts w:hint="eastAsia"/>
        </w:rPr>
        <w:t>1.1.3.</w:t>
      </w:r>
      <w:r>
        <w:t>4</w:t>
      </w:r>
      <w:r>
        <w:rPr>
          <w:rFonts w:hint="eastAsia"/>
        </w:rPr>
        <w:t>　临时工程：。</w:t>
      </w:r>
    </w:p>
    <w:p>
      <w:pPr>
        <w:spacing w:line="360" w:lineRule="auto"/>
        <w:ind w:left="0" w:firstLine="0"/>
        <w:rPr>
          <w:u w:val="single"/>
        </w:rPr>
      </w:pPr>
      <w:r>
        <w:rPr>
          <w:rFonts w:hint="eastAsia"/>
        </w:rPr>
        <w:t>1.1.3.1</w:t>
      </w:r>
      <w:r>
        <w:t>2</w:t>
      </w:r>
      <w:r>
        <w:rPr>
          <w:rFonts w:hint="eastAsia"/>
        </w:rPr>
        <w:t>　永久占地：。</w:t>
      </w:r>
    </w:p>
    <w:p>
      <w:pPr>
        <w:spacing w:line="360" w:lineRule="auto"/>
        <w:ind w:left="0" w:firstLine="0"/>
      </w:pPr>
      <w:r>
        <w:rPr>
          <w:rFonts w:hint="eastAsia"/>
        </w:rPr>
        <w:t>1.1.3.1</w:t>
      </w:r>
      <w:r>
        <w:t>3</w:t>
      </w:r>
      <w:r>
        <w:rPr>
          <w:rFonts w:hint="eastAsia"/>
        </w:rPr>
        <w:t>　临时占地：。</w:t>
      </w:r>
    </w:p>
    <w:p>
      <w:pPr>
        <w:spacing w:line="360" w:lineRule="auto"/>
        <w:ind w:left="0" w:firstLine="0"/>
      </w:pPr>
      <w:r>
        <w:rPr>
          <w:rFonts w:hint="eastAsia"/>
        </w:rPr>
        <w:t>1.1.4　日期</w:t>
      </w:r>
    </w:p>
    <w:p>
      <w:pPr>
        <w:spacing w:line="360" w:lineRule="auto"/>
        <w:ind w:left="0" w:firstLine="0"/>
        <w:rPr>
          <w:u w:val="single"/>
        </w:rPr>
      </w:pPr>
      <w:r>
        <w:rPr>
          <w:rFonts w:hint="eastAsia"/>
        </w:rPr>
        <w:t>1.1.4.5　缺陷责任期期限：月。</w:t>
      </w:r>
    </w:p>
    <w:p>
      <w:pPr>
        <w:spacing w:line="360" w:lineRule="auto"/>
        <w:ind w:left="0" w:firstLine="0"/>
      </w:pPr>
      <w:r>
        <w:rPr>
          <w:rFonts w:hint="eastAsia"/>
        </w:rPr>
        <w:t>1.1.6　其他</w:t>
      </w:r>
    </w:p>
    <w:p>
      <w:pPr>
        <w:spacing w:line="360" w:lineRule="auto"/>
        <w:ind w:left="0" w:firstLine="0"/>
        <w:rPr>
          <w:u w:val="single"/>
        </w:rPr>
      </w:pPr>
    </w:p>
    <w:p>
      <w:pPr>
        <w:spacing w:line="360" w:lineRule="auto"/>
        <w:ind w:left="0" w:firstLine="0"/>
        <w:rPr>
          <w:u w:val="single"/>
        </w:rPr>
      </w:pPr>
    </w:p>
    <w:p>
      <w:pPr>
        <w:spacing w:line="360" w:lineRule="auto"/>
        <w:ind w:left="0" w:firstLine="0"/>
      </w:pPr>
      <w:bookmarkStart w:id="1782" w:name="_Toc144974583"/>
      <w:bookmarkStart w:id="1783" w:name="_Toc179632633"/>
      <w:bookmarkStart w:id="1784" w:name="_Toc403059721"/>
      <w:bookmarkStart w:id="1785" w:name="_Toc152045615"/>
      <w:bookmarkStart w:id="1786" w:name="_Toc393200712"/>
      <w:bookmarkStart w:id="1787" w:name="_Toc241459661"/>
      <w:bookmarkStart w:id="1788" w:name="_Toc393200198"/>
      <w:bookmarkStart w:id="1789" w:name="_Toc403054539"/>
      <w:bookmarkStart w:id="1790" w:name="_Toc342296420"/>
      <w:bookmarkStart w:id="1791" w:name="_Toc403052779"/>
      <w:bookmarkStart w:id="1792" w:name="_Toc391456345"/>
      <w:bookmarkStart w:id="1793" w:name="_Toc152042393"/>
      <w:r>
        <w:rPr>
          <w:rFonts w:hint="eastAsia"/>
        </w:rPr>
        <w:t>1.4　合同文件的优先顺序</w:t>
      </w:r>
      <w:bookmarkEnd w:id="1782"/>
      <w:bookmarkEnd w:id="1783"/>
      <w:bookmarkEnd w:id="1784"/>
      <w:bookmarkEnd w:id="1785"/>
      <w:bookmarkEnd w:id="1786"/>
      <w:bookmarkEnd w:id="1787"/>
      <w:bookmarkEnd w:id="1788"/>
      <w:bookmarkEnd w:id="1789"/>
      <w:bookmarkEnd w:id="1790"/>
      <w:bookmarkEnd w:id="1791"/>
      <w:bookmarkEnd w:id="1792"/>
      <w:bookmarkEnd w:id="1793"/>
    </w:p>
    <w:p>
      <w:pPr>
        <w:spacing w:line="360" w:lineRule="auto"/>
        <w:ind w:left="0" w:firstLine="0"/>
      </w:pPr>
      <w:r>
        <w:rPr>
          <w:rFonts w:hint="eastAsia"/>
        </w:rPr>
        <w:t>分包合同文件的优先解释顺序如下：</w:t>
      </w:r>
    </w:p>
    <w:p>
      <w:pPr>
        <w:spacing w:line="360" w:lineRule="auto"/>
        <w:ind w:left="0" w:firstLine="0"/>
      </w:pPr>
      <w:r>
        <w:rPr>
          <w:rFonts w:hint="eastAsia"/>
        </w:rPr>
        <w:t>（1）合同协议书；</w:t>
      </w:r>
    </w:p>
    <w:p>
      <w:pPr>
        <w:spacing w:line="360" w:lineRule="auto"/>
        <w:ind w:left="0" w:firstLine="0"/>
      </w:pPr>
      <w:r>
        <w:rPr>
          <w:rFonts w:hint="eastAsia"/>
        </w:rPr>
        <w:t>（2）中标通知书；</w:t>
      </w:r>
    </w:p>
    <w:p>
      <w:pPr>
        <w:spacing w:line="360" w:lineRule="auto"/>
        <w:ind w:left="0" w:firstLine="0"/>
      </w:pPr>
      <w:r>
        <w:rPr>
          <w:rFonts w:hint="eastAsia"/>
        </w:rPr>
        <w:t>（3）投标函及投标函附录；</w:t>
      </w:r>
    </w:p>
    <w:p>
      <w:pPr>
        <w:spacing w:line="360" w:lineRule="auto"/>
        <w:ind w:left="0" w:firstLine="0"/>
      </w:pPr>
      <w:r>
        <w:rPr>
          <w:rFonts w:hint="eastAsia"/>
        </w:rPr>
        <w:t>（4）专用合同条款；</w:t>
      </w:r>
    </w:p>
    <w:p>
      <w:pPr>
        <w:spacing w:line="360" w:lineRule="auto"/>
        <w:ind w:left="0" w:firstLine="0"/>
      </w:pPr>
      <w:r>
        <w:rPr>
          <w:rFonts w:hint="eastAsia"/>
        </w:rPr>
        <w:t>（5）通用合同条款；</w:t>
      </w:r>
    </w:p>
    <w:p>
      <w:pPr>
        <w:spacing w:line="360" w:lineRule="auto"/>
        <w:ind w:left="0" w:firstLine="0"/>
      </w:pPr>
      <w:r>
        <w:rPr>
          <w:rFonts w:hint="eastAsia"/>
        </w:rPr>
        <w:t>（6） ；</w:t>
      </w:r>
    </w:p>
    <w:p>
      <w:pPr>
        <w:spacing w:line="360" w:lineRule="auto"/>
        <w:ind w:left="0" w:firstLine="0"/>
      </w:pPr>
      <w:r>
        <w:rPr>
          <w:rFonts w:hint="eastAsia"/>
        </w:rPr>
        <w:t>（7） ；</w:t>
      </w:r>
    </w:p>
    <w:p>
      <w:pPr>
        <w:spacing w:line="360" w:lineRule="auto"/>
        <w:ind w:left="0" w:firstLine="0"/>
      </w:pPr>
      <w:r>
        <w:rPr>
          <w:rFonts w:hint="eastAsia"/>
        </w:rPr>
        <w:t>（8） ；</w:t>
      </w:r>
    </w:p>
    <w:p>
      <w:pPr>
        <w:spacing w:line="360" w:lineRule="auto"/>
        <w:ind w:left="0" w:firstLine="0"/>
      </w:pPr>
      <w:r>
        <w:rPr>
          <w:rFonts w:hint="eastAsia"/>
        </w:rPr>
        <w:t>（9） 。</w:t>
      </w:r>
    </w:p>
    <w:p>
      <w:pPr>
        <w:spacing w:line="360" w:lineRule="auto"/>
        <w:ind w:left="0" w:firstLine="0"/>
      </w:pPr>
      <w:r>
        <w:rPr>
          <w:rFonts w:hint="eastAsia"/>
        </w:rPr>
        <w:t>（说明：（6）、（7）、（8）填空内容分别限于技术标准和要求、图纸、已标价工程量清单三者之一。）</w:t>
      </w:r>
    </w:p>
    <w:p>
      <w:pPr>
        <w:spacing w:line="360" w:lineRule="auto"/>
        <w:ind w:left="0" w:firstLine="0"/>
      </w:pPr>
      <w:bookmarkStart w:id="1794" w:name="_Toc241459662"/>
      <w:bookmarkStart w:id="1795" w:name="_Toc403054540"/>
      <w:bookmarkStart w:id="1796" w:name="_Toc152045616"/>
      <w:bookmarkStart w:id="1797" w:name="_Toc152042394"/>
      <w:bookmarkStart w:id="1798" w:name="_Toc393200713"/>
      <w:bookmarkStart w:id="1799" w:name="_Toc179632634"/>
      <w:bookmarkStart w:id="1800" w:name="_Toc342296421"/>
      <w:bookmarkStart w:id="1801" w:name="_Toc403052780"/>
      <w:bookmarkStart w:id="1802" w:name="_Toc144974584"/>
      <w:bookmarkStart w:id="1803" w:name="_Toc403059722"/>
      <w:bookmarkStart w:id="1804" w:name="_Toc391456346"/>
      <w:bookmarkStart w:id="1805" w:name="_Toc393200199"/>
      <w:r>
        <w:rPr>
          <w:rFonts w:hint="eastAsia"/>
        </w:rPr>
        <w:t>1.5　合同协议书</w:t>
      </w:r>
      <w:bookmarkEnd w:id="1794"/>
      <w:bookmarkEnd w:id="1795"/>
      <w:bookmarkEnd w:id="1796"/>
      <w:bookmarkEnd w:id="1797"/>
      <w:bookmarkEnd w:id="1798"/>
      <w:bookmarkEnd w:id="1799"/>
      <w:bookmarkEnd w:id="1800"/>
      <w:bookmarkEnd w:id="1801"/>
      <w:bookmarkEnd w:id="1802"/>
      <w:bookmarkEnd w:id="1803"/>
      <w:bookmarkEnd w:id="1804"/>
      <w:bookmarkEnd w:id="1805"/>
    </w:p>
    <w:p>
      <w:pPr>
        <w:spacing w:line="360" w:lineRule="auto"/>
        <w:ind w:left="0" w:firstLine="0"/>
        <w:rPr>
          <w:u w:val="single"/>
        </w:rPr>
      </w:pPr>
      <w:r>
        <w:rPr>
          <w:rFonts w:hint="eastAsia"/>
        </w:rPr>
        <w:t>分包合同生效的条件：。</w:t>
      </w:r>
    </w:p>
    <w:p>
      <w:pPr>
        <w:spacing w:line="360" w:lineRule="auto"/>
        <w:ind w:left="0" w:firstLine="0"/>
      </w:pPr>
      <w:bookmarkStart w:id="1806" w:name="_Toc391456347"/>
      <w:bookmarkStart w:id="1807" w:name="_Toc393200714"/>
      <w:bookmarkStart w:id="1808" w:name="_Toc179632635"/>
      <w:bookmarkStart w:id="1809" w:name="_Toc241459663"/>
      <w:bookmarkStart w:id="1810" w:name="_Toc403052781"/>
      <w:bookmarkStart w:id="1811" w:name="_Toc144974585"/>
      <w:bookmarkStart w:id="1812" w:name="_Toc152042395"/>
      <w:bookmarkStart w:id="1813" w:name="_Toc403054541"/>
      <w:bookmarkStart w:id="1814" w:name="_Toc342296422"/>
      <w:bookmarkStart w:id="1815" w:name="_Toc403059723"/>
      <w:bookmarkStart w:id="1816" w:name="_Toc393200200"/>
      <w:bookmarkStart w:id="1817" w:name="_Toc152045617"/>
      <w:r>
        <w:rPr>
          <w:rFonts w:hint="eastAsia"/>
        </w:rPr>
        <w:t>1.6　图纸和承包人文件</w:t>
      </w:r>
      <w:bookmarkEnd w:id="1806"/>
      <w:bookmarkEnd w:id="1807"/>
      <w:bookmarkEnd w:id="1808"/>
      <w:bookmarkEnd w:id="1809"/>
      <w:bookmarkEnd w:id="1810"/>
      <w:bookmarkEnd w:id="1811"/>
      <w:bookmarkEnd w:id="1812"/>
      <w:bookmarkEnd w:id="1813"/>
      <w:bookmarkEnd w:id="1814"/>
      <w:bookmarkEnd w:id="1815"/>
      <w:bookmarkEnd w:id="1816"/>
      <w:bookmarkEnd w:id="1817"/>
    </w:p>
    <w:p>
      <w:pPr>
        <w:spacing w:line="360" w:lineRule="auto"/>
        <w:ind w:left="0" w:firstLine="0"/>
      </w:pPr>
      <w:r>
        <w:rPr>
          <w:rFonts w:hint="eastAsia"/>
        </w:rPr>
        <w:t>1.6.1　图纸的提供</w:t>
      </w:r>
    </w:p>
    <w:p>
      <w:pPr>
        <w:spacing w:line="360" w:lineRule="auto"/>
        <w:ind w:left="0" w:firstLine="0"/>
      </w:pPr>
      <w:r>
        <w:rPr>
          <w:rFonts w:hint="eastAsia"/>
        </w:rPr>
        <w:t>（1）承包人提供图纸的期限：。</w:t>
      </w:r>
    </w:p>
    <w:p>
      <w:pPr>
        <w:spacing w:line="360" w:lineRule="auto"/>
        <w:ind w:left="0" w:firstLine="0"/>
      </w:pPr>
      <w:r>
        <w:rPr>
          <w:rFonts w:hint="eastAsia"/>
        </w:rPr>
        <w:t>承包人提供图纸的数量：。</w:t>
      </w:r>
    </w:p>
    <w:p>
      <w:pPr>
        <w:spacing w:line="360" w:lineRule="auto"/>
        <w:ind w:left="0" w:firstLine="0"/>
      </w:pPr>
      <w:r>
        <w:t>关于提供图纸的其他约定</w:t>
      </w:r>
      <w:r>
        <w:rPr>
          <w:rFonts w:hint="eastAsia"/>
        </w:rPr>
        <w:t>：。</w:t>
      </w:r>
    </w:p>
    <w:p>
      <w:pPr>
        <w:spacing w:line="360" w:lineRule="auto"/>
        <w:ind w:left="0" w:firstLine="0"/>
      </w:pPr>
      <w:r>
        <w:rPr>
          <w:rFonts w:hint="eastAsia"/>
        </w:rPr>
        <w:t>1.6.2　分包人提供的文件</w:t>
      </w:r>
    </w:p>
    <w:p>
      <w:pPr>
        <w:spacing w:line="360" w:lineRule="auto"/>
        <w:ind w:left="0" w:firstLine="0"/>
        <w:rPr>
          <w:u w:val="single"/>
        </w:rPr>
      </w:pPr>
      <w:r>
        <w:rPr>
          <w:rFonts w:hint="eastAsia"/>
        </w:rPr>
        <w:t>（1）由分包人提供的文件范围：</w:t>
      </w:r>
    </w:p>
    <w:p>
      <w:pPr>
        <w:spacing w:line="360" w:lineRule="auto"/>
        <w:ind w:left="0" w:firstLine="0"/>
        <w:rPr>
          <w:u w:val="single"/>
        </w:rPr>
      </w:pPr>
    </w:p>
    <w:p>
      <w:pPr>
        <w:spacing w:line="360" w:lineRule="auto"/>
        <w:ind w:left="0" w:firstLine="0"/>
        <w:rPr>
          <w:u w:val="single"/>
        </w:rPr>
      </w:pPr>
      <w:r>
        <w:rPr>
          <w:rFonts w:hint="eastAsia"/>
        </w:rPr>
        <w:t>；</w:t>
      </w:r>
    </w:p>
    <w:p>
      <w:pPr>
        <w:spacing w:line="360" w:lineRule="auto"/>
        <w:ind w:left="0" w:firstLine="0"/>
        <w:rPr>
          <w:u w:val="single"/>
        </w:rPr>
      </w:pPr>
      <w:r>
        <w:rPr>
          <w:rFonts w:hint="eastAsia"/>
        </w:rPr>
        <w:t>分包人提供文件的期限：</w:t>
      </w:r>
    </w:p>
    <w:p>
      <w:pPr>
        <w:spacing w:line="360" w:lineRule="auto"/>
        <w:ind w:left="0" w:firstLine="0"/>
      </w:pPr>
      <w:r>
        <w:rPr>
          <w:rFonts w:hint="eastAsia"/>
        </w:rPr>
        <w:t>；</w:t>
      </w:r>
    </w:p>
    <w:p>
      <w:pPr>
        <w:spacing w:line="360" w:lineRule="auto"/>
        <w:ind w:left="0" w:firstLine="0"/>
      </w:pPr>
      <w:r>
        <w:rPr>
          <w:rFonts w:hint="eastAsia"/>
        </w:rPr>
        <w:t>分包人提供文件的数量：</w:t>
      </w:r>
    </w:p>
    <w:p>
      <w:pPr>
        <w:spacing w:line="360" w:lineRule="auto"/>
        <w:ind w:left="0" w:firstLine="0"/>
      </w:pPr>
      <w:r>
        <w:rPr>
          <w:rFonts w:hint="eastAsia"/>
        </w:rPr>
        <w:t>；</w:t>
      </w:r>
    </w:p>
    <w:p>
      <w:pPr>
        <w:spacing w:line="360" w:lineRule="auto"/>
        <w:ind w:left="0" w:firstLine="0"/>
      </w:pPr>
      <w:r>
        <w:rPr>
          <w:rFonts w:hint="eastAsia"/>
        </w:rPr>
        <w:t>承包人批复分包人提供文件的期限：</w:t>
      </w:r>
    </w:p>
    <w:p>
      <w:pPr>
        <w:spacing w:line="360" w:lineRule="auto"/>
        <w:ind w:left="0" w:firstLine="0"/>
      </w:pPr>
      <w:r>
        <w:rPr>
          <w:rFonts w:hint="eastAsia"/>
        </w:rPr>
        <w:t>；</w:t>
      </w:r>
    </w:p>
    <w:p>
      <w:pPr>
        <w:spacing w:line="360" w:lineRule="auto"/>
        <w:ind w:left="0" w:firstLine="0"/>
      </w:pPr>
      <w:r>
        <w:rPr>
          <w:rFonts w:hint="eastAsia"/>
        </w:rPr>
        <w:t>其他约定：</w:t>
      </w:r>
    </w:p>
    <w:p>
      <w:pPr>
        <w:spacing w:line="360" w:lineRule="auto"/>
        <w:ind w:left="0" w:firstLine="0"/>
      </w:pPr>
      <w:r>
        <w:rPr>
          <w:rFonts w:hint="eastAsia"/>
        </w:rPr>
        <w:t>。</w:t>
      </w:r>
    </w:p>
    <w:p>
      <w:pPr>
        <w:spacing w:line="360" w:lineRule="auto"/>
        <w:ind w:left="0" w:firstLine="0"/>
      </w:pPr>
      <w:bookmarkStart w:id="1818" w:name="_Toc152042396"/>
      <w:bookmarkStart w:id="1819" w:name="_Toc391456348"/>
      <w:bookmarkStart w:id="1820" w:name="_Toc403054542"/>
      <w:bookmarkStart w:id="1821" w:name="_Toc403059724"/>
      <w:bookmarkStart w:id="1822" w:name="_Toc342296423"/>
      <w:bookmarkStart w:id="1823" w:name="_Toc152045618"/>
      <w:bookmarkStart w:id="1824" w:name="_Toc403052782"/>
      <w:bookmarkStart w:id="1825" w:name="_Toc393200715"/>
      <w:bookmarkStart w:id="1826" w:name="_Toc241459664"/>
      <w:bookmarkStart w:id="1827" w:name="_Toc144974586"/>
      <w:bookmarkStart w:id="1828" w:name="_Toc179632636"/>
      <w:bookmarkStart w:id="1829" w:name="_Toc393200201"/>
      <w:r>
        <w:rPr>
          <w:rFonts w:hint="eastAsia"/>
        </w:rPr>
        <w:t>1.7　联 络</w:t>
      </w:r>
      <w:bookmarkEnd w:id="1818"/>
      <w:bookmarkEnd w:id="1819"/>
      <w:bookmarkEnd w:id="1820"/>
      <w:bookmarkEnd w:id="1821"/>
      <w:bookmarkEnd w:id="1822"/>
      <w:bookmarkEnd w:id="1823"/>
      <w:bookmarkEnd w:id="1824"/>
      <w:bookmarkEnd w:id="1825"/>
      <w:bookmarkEnd w:id="1826"/>
      <w:bookmarkEnd w:id="1827"/>
      <w:bookmarkEnd w:id="1828"/>
      <w:bookmarkEnd w:id="1829"/>
    </w:p>
    <w:p>
      <w:pPr>
        <w:spacing w:line="360" w:lineRule="auto"/>
        <w:ind w:left="0" w:firstLine="0"/>
      </w:pPr>
      <w:r>
        <w:rPr>
          <w:rFonts w:hint="eastAsia"/>
        </w:rPr>
        <w:t>1.7.2　联络来往函件的送达和接收</w:t>
      </w:r>
    </w:p>
    <w:p>
      <w:pPr>
        <w:spacing w:line="360" w:lineRule="auto"/>
        <w:ind w:left="0" w:firstLine="0"/>
      </w:pPr>
      <w:r>
        <w:rPr>
          <w:rFonts w:hint="eastAsia"/>
        </w:rPr>
        <w:t>（2）承包人指定的接收地点：。</w:t>
      </w:r>
    </w:p>
    <w:p>
      <w:pPr>
        <w:spacing w:line="360" w:lineRule="auto"/>
        <w:ind w:left="0" w:firstLine="0"/>
      </w:pPr>
      <w:r>
        <w:rPr>
          <w:rFonts w:hint="eastAsia"/>
        </w:rPr>
        <w:t>承包人指定的接收人为：。</w:t>
      </w:r>
    </w:p>
    <w:p>
      <w:pPr>
        <w:spacing w:line="360" w:lineRule="auto"/>
        <w:ind w:left="0" w:firstLine="0"/>
      </w:pPr>
      <w:r>
        <w:rPr>
          <w:rFonts w:hint="eastAsia"/>
        </w:rPr>
        <w:t>（</w:t>
      </w:r>
      <w:r>
        <w:t>3</w:t>
      </w:r>
      <w:r>
        <w:rPr>
          <w:rFonts w:hint="eastAsia"/>
        </w:rPr>
        <w:t>）分包人指定的接收地点：。</w:t>
      </w:r>
    </w:p>
    <w:p>
      <w:pPr>
        <w:spacing w:line="360" w:lineRule="auto"/>
        <w:ind w:left="0" w:firstLine="0"/>
      </w:pPr>
      <w:bookmarkStart w:id="1830" w:name="_Toc403052783"/>
      <w:bookmarkStart w:id="1831" w:name="_Toc403059725"/>
      <w:r>
        <w:rPr>
          <w:rFonts w:hint="eastAsia"/>
        </w:rPr>
        <w:t>2.总承包合同</w:t>
      </w:r>
      <w:bookmarkEnd w:id="1830"/>
      <w:bookmarkEnd w:id="1831"/>
    </w:p>
    <w:p>
      <w:pPr>
        <w:spacing w:line="360" w:lineRule="auto"/>
        <w:ind w:left="0" w:firstLine="0"/>
      </w:pPr>
      <w:bookmarkStart w:id="1832" w:name="_Toc403054544"/>
      <w:bookmarkStart w:id="1833" w:name="_Toc393200203"/>
      <w:bookmarkStart w:id="1834" w:name="_Toc393200717"/>
      <w:bookmarkStart w:id="1835" w:name="_Toc403059726"/>
      <w:bookmarkStart w:id="1836" w:name="_Toc403052784"/>
      <w:r>
        <w:rPr>
          <w:rFonts w:hint="eastAsia"/>
        </w:rPr>
        <w:t>2.</w:t>
      </w:r>
      <w:r>
        <w:t>3</w:t>
      </w:r>
      <w:r>
        <w:rPr>
          <w:rFonts w:hint="eastAsia"/>
        </w:rPr>
        <w:t>　承包人与发包人、监理人、设计人的关系</w:t>
      </w:r>
      <w:bookmarkEnd w:id="1832"/>
      <w:bookmarkEnd w:id="1833"/>
      <w:bookmarkEnd w:id="1834"/>
      <w:bookmarkEnd w:id="1835"/>
      <w:bookmarkEnd w:id="1836"/>
    </w:p>
    <w:p>
      <w:pPr>
        <w:spacing w:line="360" w:lineRule="auto"/>
        <w:ind w:left="0" w:firstLine="0"/>
      </w:pPr>
      <w:r>
        <w:rPr>
          <w:rFonts w:hint="eastAsia"/>
        </w:rPr>
        <w:t>（12）需要发包人或监理人进行回复、审批或确认的其他事项。</w:t>
      </w:r>
    </w:p>
    <w:p>
      <w:pPr>
        <w:spacing w:line="360" w:lineRule="auto"/>
        <w:ind w:left="0" w:firstLine="0"/>
      </w:pPr>
      <w:bookmarkStart w:id="1837" w:name="_Toc391456349"/>
      <w:bookmarkStart w:id="1838" w:name="_Toc342296424"/>
      <w:bookmarkStart w:id="1839" w:name="_Toc152042402"/>
      <w:bookmarkStart w:id="1840" w:name="_Toc144974592"/>
      <w:bookmarkStart w:id="1841" w:name="_Toc152045624"/>
      <w:bookmarkStart w:id="1842" w:name="_Toc179632642"/>
      <w:bookmarkStart w:id="1843" w:name="_Toc241459665"/>
      <w:bookmarkStart w:id="1844" w:name="_Toc403052785"/>
      <w:bookmarkStart w:id="1845" w:name="_Toc403059727"/>
      <w:r>
        <w:rPr>
          <w:rFonts w:hint="eastAsia"/>
        </w:rPr>
        <w:t>3. 承包人义务</w:t>
      </w:r>
      <w:bookmarkEnd w:id="1837"/>
      <w:bookmarkEnd w:id="1838"/>
      <w:bookmarkEnd w:id="1839"/>
      <w:bookmarkEnd w:id="1840"/>
      <w:bookmarkEnd w:id="1841"/>
      <w:bookmarkEnd w:id="1842"/>
      <w:bookmarkEnd w:id="1843"/>
      <w:bookmarkEnd w:id="1844"/>
      <w:bookmarkEnd w:id="1845"/>
    </w:p>
    <w:p>
      <w:pPr>
        <w:spacing w:line="360" w:lineRule="auto"/>
        <w:ind w:left="0" w:firstLine="0"/>
      </w:pPr>
      <w:bookmarkStart w:id="1846" w:name="_Toc393200719"/>
      <w:bookmarkStart w:id="1847" w:name="_Toc342296425"/>
      <w:bookmarkStart w:id="1848" w:name="_Toc179632645"/>
      <w:bookmarkStart w:id="1849" w:name="_Toc391456350"/>
      <w:bookmarkStart w:id="1850" w:name="_Toc393200205"/>
      <w:bookmarkStart w:id="1851" w:name="_Toc152042405"/>
      <w:bookmarkStart w:id="1852" w:name="_Toc152045627"/>
      <w:bookmarkStart w:id="1853" w:name="_Toc144974595"/>
      <w:bookmarkStart w:id="1854" w:name="_Toc241459666"/>
      <w:bookmarkStart w:id="1855" w:name="_Toc403052786"/>
      <w:bookmarkStart w:id="1856" w:name="_Toc403054546"/>
      <w:bookmarkStart w:id="1857" w:name="_Toc403059728"/>
      <w:r>
        <w:t>3</w:t>
      </w:r>
      <w:r>
        <w:rPr>
          <w:rFonts w:hint="eastAsia"/>
        </w:rPr>
        <w:t>.3　提供基础资料、施工</w:t>
      </w:r>
      <w:bookmarkEnd w:id="1846"/>
      <w:bookmarkEnd w:id="1847"/>
      <w:bookmarkEnd w:id="1848"/>
      <w:bookmarkEnd w:id="1849"/>
      <w:bookmarkEnd w:id="1850"/>
      <w:bookmarkEnd w:id="1851"/>
      <w:bookmarkEnd w:id="1852"/>
      <w:bookmarkEnd w:id="1853"/>
      <w:bookmarkEnd w:id="1854"/>
      <w:r>
        <w:rPr>
          <w:rFonts w:hint="eastAsia"/>
        </w:rPr>
        <w:t>条件</w:t>
      </w:r>
      <w:bookmarkEnd w:id="1855"/>
      <w:bookmarkEnd w:id="1856"/>
      <w:bookmarkEnd w:id="1857"/>
    </w:p>
    <w:p>
      <w:pPr>
        <w:spacing w:line="360" w:lineRule="auto"/>
        <w:ind w:left="0" w:firstLine="0"/>
      </w:pPr>
      <w:r>
        <w:t>3</w:t>
      </w:r>
      <w:r>
        <w:rPr>
          <w:rFonts w:hint="eastAsia"/>
        </w:rPr>
        <w:t>.</w:t>
      </w:r>
      <w:r>
        <w:t>3</w:t>
      </w:r>
      <w:r>
        <w:rPr>
          <w:rFonts w:hint="eastAsia"/>
        </w:rPr>
        <w:t>.</w:t>
      </w:r>
      <w:r>
        <w:t>1</w:t>
      </w:r>
      <w:r>
        <w:rPr>
          <w:rFonts w:hint="eastAsia"/>
        </w:rPr>
        <w:t>　</w:t>
      </w:r>
      <w:r>
        <w:t>承包人向分包人提供</w:t>
      </w:r>
      <w:r>
        <w:rPr>
          <w:rFonts w:hint="eastAsia"/>
        </w:rPr>
        <w:t>履行分包合同所需的相应基础资料的期限。</w:t>
      </w:r>
    </w:p>
    <w:p>
      <w:pPr>
        <w:spacing w:line="360" w:lineRule="auto"/>
        <w:ind w:left="0" w:firstLine="0"/>
        <w:rPr>
          <w:u w:val="single"/>
        </w:rPr>
      </w:pPr>
      <w:r>
        <w:t>3</w:t>
      </w:r>
      <w:r>
        <w:rPr>
          <w:rFonts w:hint="eastAsia"/>
        </w:rPr>
        <w:t>.</w:t>
      </w:r>
      <w:r>
        <w:t>3</w:t>
      </w:r>
      <w:r>
        <w:rPr>
          <w:rFonts w:hint="eastAsia"/>
        </w:rPr>
        <w:t>.</w:t>
      </w:r>
      <w:r>
        <w:t>2</w:t>
      </w:r>
      <w:r>
        <w:rPr>
          <w:rFonts w:hint="eastAsia"/>
        </w:rPr>
        <w:t>　承包人向分包人提供与工程有关的施工场地的期限：</w:t>
      </w:r>
    </w:p>
    <w:p>
      <w:pPr>
        <w:spacing w:line="360" w:lineRule="auto"/>
        <w:ind w:left="0" w:firstLine="0"/>
      </w:pPr>
      <w:r>
        <w:rPr>
          <w:rFonts w:hint="eastAsia"/>
          <w:u w:val="single"/>
        </w:rPr>
        <w:t xml:space="preserve">    　                                     </w:t>
      </w:r>
      <w:r>
        <w:rPr>
          <w:rFonts w:hint="eastAsia"/>
        </w:rPr>
        <w:t>。</w:t>
      </w:r>
    </w:p>
    <w:p>
      <w:pPr>
        <w:spacing w:line="360" w:lineRule="auto"/>
        <w:ind w:left="0" w:firstLine="0"/>
      </w:pPr>
      <w:bookmarkStart w:id="1858" w:name="_Toc393200206"/>
      <w:bookmarkStart w:id="1859" w:name="_Toc403054547"/>
      <w:bookmarkStart w:id="1860" w:name="_Toc403052787"/>
      <w:bookmarkStart w:id="1861" w:name="_Toc403059729"/>
      <w:bookmarkStart w:id="1862" w:name="_Toc393200720"/>
      <w:bookmarkStart w:id="1863" w:name="_Toc152042410"/>
      <w:bookmarkStart w:id="1864" w:name="_Toc241459668"/>
      <w:bookmarkStart w:id="1865" w:name="_Toc179632650"/>
      <w:bookmarkStart w:id="1866" w:name="_Toc391456352"/>
      <w:bookmarkStart w:id="1867" w:name="_Toc342296427"/>
      <w:bookmarkStart w:id="1868" w:name="_Toc144974600"/>
      <w:bookmarkStart w:id="1869" w:name="_Toc152045632"/>
      <w:r>
        <w:t>3</w:t>
      </w:r>
      <w:r>
        <w:rPr>
          <w:rFonts w:hint="eastAsia"/>
        </w:rPr>
        <w:t>.</w:t>
      </w:r>
      <w:r>
        <w:t>5</w:t>
      </w:r>
      <w:r>
        <w:rPr>
          <w:rFonts w:hint="eastAsia"/>
        </w:rPr>
        <w:t>　承担总包管理责任</w:t>
      </w:r>
      <w:bookmarkEnd w:id="1858"/>
      <w:bookmarkEnd w:id="1859"/>
      <w:bookmarkEnd w:id="1860"/>
      <w:bookmarkEnd w:id="1861"/>
      <w:bookmarkEnd w:id="1862"/>
    </w:p>
    <w:p>
      <w:pPr>
        <w:spacing w:line="360" w:lineRule="auto"/>
        <w:ind w:left="0" w:firstLine="0"/>
        <w:rPr>
          <w:u w:val="single"/>
        </w:rPr>
      </w:pPr>
      <w:r>
        <w:rPr>
          <w:rFonts w:hint="eastAsia"/>
        </w:rPr>
        <w:t>承包人提供的总包管理</w:t>
      </w:r>
      <w:r>
        <w:t>和</w:t>
      </w:r>
      <w:r>
        <w:rPr>
          <w:rFonts w:hint="eastAsia"/>
        </w:rPr>
        <w:t>服务内容：</w:t>
      </w:r>
    </w:p>
    <w:p>
      <w:pPr>
        <w:spacing w:line="360" w:lineRule="auto"/>
        <w:ind w:left="0" w:firstLine="0"/>
      </w:pPr>
      <w:r>
        <w:rPr>
          <w:rFonts w:hint="eastAsia"/>
        </w:rPr>
        <w:t>。</w:t>
      </w:r>
    </w:p>
    <w:p>
      <w:pPr>
        <w:spacing w:line="360" w:lineRule="auto"/>
        <w:ind w:left="0" w:firstLine="0"/>
      </w:pPr>
      <w:bookmarkStart w:id="1870" w:name="_Toc403054548"/>
      <w:bookmarkStart w:id="1871" w:name="_Toc393200721"/>
      <w:bookmarkStart w:id="1872" w:name="_Toc393200207"/>
      <w:bookmarkStart w:id="1873" w:name="_Toc403052788"/>
      <w:bookmarkStart w:id="1874" w:name="_Toc403059730"/>
      <w:r>
        <w:t>3</w:t>
      </w:r>
      <w:r>
        <w:rPr>
          <w:rFonts w:hint="eastAsia"/>
        </w:rPr>
        <w:t>.</w:t>
      </w:r>
      <w:r>
        <w:t>11</w:t>
      </w:r>
      <w:r>
        <w:rPr>
          <w:rFonts w:hint="eastAsia"/>
        </w:rPr>
        <w:t>　其他义务</w:t>
      </w:r>
      <w:bookmarkEnd w:id="1863"/>
      <w:bookmarkEnd w:id="1864"/>
      <w:bookmarkEnd w:id="1865"/>
      <w:bookmarkEnd w:id="1866"/>
      <w:bookmarkEnd w:id="1867"/>
      <w:bookmarkEnd w:id="1868"/>
      <w:bookmarkEnd w:id="1869"/>
      <w:bookmarkEnd w:id="1870"/>
      <w:bookmarkEnd w:id="1871"/>
      <w:bookmarkEnd w:id="1872"/>
      <w:bookmarkEnd w:id="1873"/>
      <w:bookmarkEnd w:id="1874"/>
    </w:p>
    <w:p>
      <w:pPr>
        <w:spacing w:line="360" w:lineRule="auto"/>
        <w:ind w:left="0" w:firstLine="0"/>
      </w:pPr>
      <w:r>
        <w:rPr>
          <w:rFonts w:hint="eastAsia"/>
        </w:rPr>
        <w:t>承包人应当履行分包合同约定的其他义务以及下述义务：</w:t>
      </w:r>
    </w:p>
    <w:p>
      <w:pPr>
        <w:spacing w:line="360" w:lineRule="auto"/>
        <w:ind w:left="0" w:firstLine="0"/>
      </w:pPr>
      <w:r>
        <w:rPr>
          <w:rFonts w:hint="eastAsia"/>
        </w:rPr>
        <w:t>。</w:t>
      </w:r>
    </w:p>
    <w:p>
      <w:pPr>
        <w:spacing w:line="360" w:lineRule="auto"/>
        <w:ind w:left="0" w:firstLine="0"/>
      </w:pPr>
      <w:bookmarkStart w:id="1875" w:name="_Toc144974607"/>
      <w:bookmarkStart w:id="1876" w:name="_Toc403059731"/>
      <w:bookmarkStart w:id="1877" w:name="_Toc152045639"/>
      <w:bookmarkStart w:id="1878" w:name="_Toc152042417"/>
      <w:bookmarkStart w:id="1879" w:name="_Toc342296433"/>
      <w:bookmarkStart w:id="1880" w:name="_Toc179632657"/>
      <w:bookmarkStart w:id="1881" w:name="_Toc241459674"/>
      <w:bookmarkStart w:id="1882" w:name="_Toc403052789"/>
      <w:bookmarkStart w:id="1883" w:name="_Toc391456358"/>
      <w:r>
        <w:rPr>
          <w:rFonts w:hint="eastAsia"/>
        </w:rPr>
        <w:t>4. 分包人</w:t>
      </w:r>
      <w:bookmarkEnd w:id="1875"/>
      <w:bookmarkEnd w:id="1876"/>
      <w:bookmarkEnd w:id="1877"/>
      <w:bookmarkEnd w:id="1878"/>
      <w:bookmarkEnd w:id="1879"/>
      <w:bookmarkEnd w:id="1880"/>
      <w:bookmarkEnd w:id="1881"/>
      <w:bookmarkEnd w:id="1882"/>
      <w:bookmarkEnd w:id="1883"/>
    </w:p>
    <w:p>
      <w:pPr>
        <w:spacing w:line="360" w:lineRule="auto"/>
        <w:ind w:left="0" w:firstLine="0"/>
      </w:pPr>
      <w:bookmarkStart w:id="1884" w:name="_Toc152042418"/>
      <w:bookmarkStart w:id="1885" w:name="_Toc393200209"/>
      <w:bookmarkStart w:id="1886" w:name="_Toc403054550"/>
      <w:bookmarkStart w:id="1887" w:name="_Toc391456359"/>
      <w:bookmarkStart w:id="1888" w:name="_Toc152045640"/>
      <w:bookmarkStart w:id="1889" w:name="_Toc342296434"/>
      <w:bookmarkStart w:id="1890" w:name="_Toc144974608"/>
      <w:bookmarkStart w:id="1891" w:name="_Toc403059732"/>
      <w:bookmarkStart w:id="1892" w:name="_Toc241459675"/>
      <w:bookmarkStart w:id="1893" w:name="_Toc179632658"/>
      <w:bookmarkStart w:id="1894" w:name="_Toc403052790"/>
      <w:bookmarkStart w:id="1895" w:name="_Toc393200723"/>
      <w:r>
        <w:rPr>
          <w:rFonts w:hint="eastAsia"/>
        </w:rPr>
        <w:t>4.1　分包人的一般义务</w:t>
      </w:r>
      <w:bookmarkEnd w:id="1884"/>
      <w:bookmarkEnd w:id="1885"/>
      <w:bookmarkEnd w:id="1886"/>
      <w:bookmarkEnd w:id="1887"/>
      <w:bookmarkEnd w:id="1888"/>
      <w:bookmarkEnd w:id="1889"/>
      <w:bookmarkEnd w:id="1890"/>
      <w:bookmarkEnd w:id="1891"/>
      <w:bookmarkEnd w:id="1892"/>
      <w:bookmarkEnd w:id="1893"/>
      <w:bookmarkEnd w:id="1894"/>
      <w:bookmarkEnd w:id="1895"/>
    </w:p>
    <w:p>
      <w:pPr>
        <w:spacing w:line="360" w:lineRule="auto"/>
        <w:ind w:left="0" w:firstLine="0"/>
      </w:pPr>
      <w:r>
        <w:rPr>
          <w:rFonts w:hint="eastAsia"/>
        </w:rPr>
        <w:t>4.1.8　为他人提供方便</w:t>
      </w:r>
    </w:p>
    <w:p>
      <w:pPr>
        <w:spacing w:line="360" w:lineRule="auto"/>
        <w:ind w:left="0" w:firstLine="0"/>
        <w:rPr>
          <w:u w:val="single"/>
        </w:rPr>
      </w:pPr>
      <w:r>
        <w:rPr>
          <w:rFonts w:hint="eastAsia"/>
        </w:rPr>
        <w:t>（1）分包人应当对承包人的其他分包人和在施工场地或者附近实施与分包合同工程有关的其他工作的独立承包人履行相关配合和服务义务的具体工作内容和要求包括：</w:t>
      </w:r>
    </w:p>
    <w:p>
      <w:pPr>
        <w:spacing w:line="360" w:lineRule="auto"/>
        <w:ind w:left="0" w:firstLine="0"/>
      </w:pPr>
      <w:r>
        <w:rPr>
          <w:rFonts w:hint="eastAsia"/>
        </w:rPr>
        <w:t>。</w:t>
      </w:r>
    </w:p>
    <w:p>
      <w:pPr>
        <w:spacing w:line="360" w:lineRule="auto"/>
        <w:ind w:left="0" w:firstLine="0"/>
      </w:pPr>
      <w:r>
        <w:rPr>
          <w:rFonts w:hint="eastAsia"/>
        </w:rPr>
        <w:t xml:space="preserve">4.1.10　分包人的设计工作  </w:t>
      </w:r>
    </w:p>
    <w:p>
      <w:pPr>
        <w:spacing w:line="360" w:lineRule="auto"/>
        <w:ind w:left="0" w:firstLine="0"/>
        <w:rPr>
          <w:u w:val="single"/>
        </w:rPr>
      </w:pPr>
      <w:r>
        <w:rPr>
          <w:rFonts w:hint="eastAsia"/>
        </w:rPr>
        <w:t>由分包人承担的施工图设计或与工程配套的设计工作内容：</w:t>
      </w:r>
    </w:p>
    <w:p>
      <w:pPr>
        <w:spacing w:line="360" w:lineRule="auto"/>
        <w:ind w:left="0" w:firstLine="0"/>
      </w:pPr>
      <w:r>
        <w:rPr>
          <w:rFonts w:hint="eastAsia"/>
        </w:rPr>
        <w:t>。</w:t>
      </w:r>
    </w:p>
    <w:p>
      <w:pPr>
        <w:spacing w:line="360" w:lineRule="auto"/>
        <w:ind w:left="0" w:firstLine="0"/>
      </w:pPr>
      <w:r>
        <w:rPr>
          <w:rFonts w:hint="eastAsia"/>
        </w:rPr>
        <w:t>4.1.1</w:t>
      </w:r>
      <w:r>
        <w:t>1</w:t>
      </w:r>
      <w:r>
        <w:rPr>
          <w:rFonts w:hint="eastAsia"/>
        </w:rPr>
        <w:t>　其他义务</w:t>
      </w:r>
    </w:p>
    <w:p>
      <w:pPr>
        <w:spacing w:line="360" w:lineRule="auto"/>
        <w:ind w:left="0" w:firstLine="0"/>
        <w:rPr>
          <w:u w:val="single"/>
        </w:rPr>
      </w:pPr>
      <w:r>
        <w:rPr>
          <w:rFonts w:hint="eastAsia"/>
        </w:rPr>
        <w:t>分包人应履行分包合同约定的其他义务以及下述义务：</w:t>
      </w:r>
    </w:p>
    <w:p>
      <w:pPr>
        <w:spacing w:line="360" w:lineRule="auto"/>
        <w:ind w:left="0" w:firstLine="0"/>
      </w:pPr>
      <w:r>
        <w:rPr>
          <w:rFonts w:hint="eastAsia"/>
        </w:rPr>
        <w:t>。</w:t>
      </w:r>
    </w:p>
    <w:p>
      <w:pPr>
        <w:spacing w:line="360" w:lineRule="auto"/>
        <w:ind w:left="0" w:firstLine="0"/>
      </w:pPr>
      <w:bookmarkStart w:id="1896" w:name="_Toc391456360"/>
      <w:bookmarkStart w:id="1897" w:name="_Toc403054551"/>
      <w:bookmarkStart w:id="1898" w:name="_Toc403052791"/>
      <w:bookmarkStart w:id="1899" w:name="_Toc393200724"/>
      <w:bookmarkStart w:id="1900" w:name="_Toc241459676"/>
      <w:bookmarkStart w:id="1901" w:name="_Toc342296435"/>
      <w:bookmarkStart w:id="1902" w:name="_Toc403059733"/>
      <w:bookmarkStart w:id="1903" w:name="_Toc393200210"/>
      <w:bookmarkStart w:id="1904" w:name="_Toc144974610"/>
      <w:bookmarkStart w:id="1905" w:name="_Toc179632660"/>
      <w:bookmarkStart w:id="1906" w:name="_Toc152045642"/>
      <w:bookmarkStart w:id="1907" w:name="_Toc152042420"/>
      <w:r>
        <w:rPr>
          <w:rFonts w:hint="eastAsia"/>
        </w:rPr>
        <w:t>4.2　履约担保</w:t>
      </w:r>
      <w:bookmarkEnd w:id="1896"/>
      <w:bookmarkEnd w:id="1897"/>
      <w:bookmarkEnd w:id="1898"/>
      <w:bookmarkEnd w:id="1899"/>
      <w:bookmarkEnd w:id="1900"/>
      <w:bookmarkEnd w:id="1901"/>
      <w:bookmarkEnd w:id="1902"/>
      <w:bookmarkEnd w:id="1903"/>
    </w:p>
    <w:p>
      <w:pPr>
        <w:spacing w:line="360" w:lineRule="auto"/>
        <w:ind w:left="0" w:firstLine="0"/>
      </w:pPr>
      <w:r>
        <w:rPr>
          <w:rFonts w:hint="eastAsia"/>
        </w:rPr>
        <w:t>4.2.1　履约担保的格式和金额</w:t>
      </w:r>
    </w:p>
    <w:p>
      <w:pPr>
        <w:spacing w:line="360" w:lineRule="auto"/>
        <w:ind w:left="0" w:firstLine="0"/>
      </w:pPr>
      <w:r>
        <w:t>承包人</w:t>
      </w:r>
      <w:r>
        <w:rPr>
          <w:rFonts w:hint="eastAsia"/>
        </w:rPr>
        <w:t>（</w:t>
      </w:r>
      <w:r>
        <w:t>要求</w:t>
      </w:r>
      <w:r>
        <w:rPr>
          <w:rFonts w:hint="eastAsia"/>
        </w:rPr>
        <w:t>/不要求）</w:t>
      </w:r>
      <w:r>
        <w:t>分包人提供履约担保</w:t>
      </w:r>
      <w:r>
        <w:rPr>
          <w:rFonts w:hint="eastAsia"/>
        </w:rPr>
        <w:t>。</w:t>
      </w:r>
    </w:p>
    <w:p>
      <w:pPr>
        <w:spacing w:line="360" w:lineRule="auto"/>
        <w:ind w:left="0" w:firstLine="0"/>
      </w:pPr>
      <w:r>
        <w:rPr>
          <w:rFonts w:hint="eastAsia"/>
        </w:rPr>
        <w:t>履约担保的金额为。履约担保是分包合同的附件。</w:t>
      </w:r>
    </w:p>
    <w:bookmarkEnd w:id="1904"/>
    <w:bookmarkEnd w:id="1905"/>
    <w:bookmarkEnd w:id="1906"/>
    <w:bookmarkEnd w:id="1907"/>
    <w:p>
      <w:pPr>
        <w:spacing w:line="360" w:lineRule="auto"/>
        <w:ind w:left="0" w:firstLine="0"/>
      </w:pPr>
      <w:bookmarkStart w:id="1908" w:name="_Toc241459679"/>
      <w:bookmarkStart w:id="1909" w:name="_Toc342296438"/>
      <w:bookmarkStart w:id="1910" w:name="_Toc152045650"/>
      <w:bookmarkStart w:id="1911" w:name="_Toc144974618"/>
      <w:bookmarkStart w:id="1912" w:name="_Toc391456363"/>
      <w:bookmarkStart w:id="1913" w:name="_Toc179632668"/>
      <w:bookmarkStart w:id="1914" w:name="_Toc152042428"/>
      <w:r>
        <w:rPr>
          <w:rFonts w:hint="eastAsia"/>
        </w:rPr>
        <w:t>4.11　不利物质条件</w:t>
      </w:r>
      <w:bookmarkEnd w:id="1908"/>
      <w:bookmarkEnd w:id="1909"/>
      <w:bookmarkEnd w:id="1910"/>
      <w:bookmarkEnd w:id="1911"/>
      <w:bookmarkEnd w:id="1912"/>
      <w:bookmarkEnd w:id="1913"/>
      <w:bookmarkEnd w:id="1914"/>
    </w:p>
    <w:p>
      <w:pPr>
        <w:spacing w:line="360" w:lineRule="auto"/>
        <w:ind w:left="0" w:firstLine="0"/>
        <w:rPr>
          <w:u w:val="single"/>
        </w:rPr>
      </w:pPr>
      <w:bookmarkStart w:id="1915" w:name="_Toc179632669"/>
      <w:bookmarkStart w:id="1916" w:name="_Toc144974619"/>
      <w:bookmarkStart w:id="1917" w:name="_Toc152045651"/>
      <w:bookmarkStart w:id="1918" w:name="_Toc152042429"/>
      <w:r>
        <w:rPr>
          <w:rFonts w:hint="eastAsia"/>
        </w:rPr>
        <w:t>4.11.1　不利物质条件的范围：</w:t>
      </w:r>
    </w:p>
    <w:p>
      <w:pPr>
        <w:spacing w:line="360" w:lineRule="auto"/>
        <w:ind w:left="0" w:firstLine="0"/>
        <w:rPr>
          <w:u w:val="single"/>
        </w:rPr>
      </w:pPr>
      <w:r>
        <w:rPr>
          <w:rFonts w:hint="eastAsia"/>
        </w:rPr>
        <w:t>。</w:t>
      </w:r>
    </w:p>
    <w:p>
      <w:pPr>
        <w:spacing w:line="360" w:lineRule="auto"/>
        <w:ind w:left="0" w:firstLine="0"/>
      </w:pPr>
      <w:bookmarkStart w:id="1919" w:name="_Toc403059734"/>
      <w:bookmarkStart w:id="1920" w:name="_Toc403052792"/>
      <w:bookmarkStart w:id="1921" w:name="_Toc241459680"/>
      <w:bookmarkStart w:id="1922" w:name="_Toc391456364"/>
      <w:bookmarkStart w:id="1923" w:name="_Toc342296439"/>
      <w:r>
        <w:t>5</w:t>
      </w:r>
      <w:r>
        <w:rPr>
          <w:rFonts w:hint="eastAsia"/>
        </w:rPr>
        <w:t>. 材料和工程设备</w:t>
      </w:r>
      <w:bookmarkEnd w:id="1915"/>
      <w:bookmarkEnd w:id="1916"/>
      <w:bookmarkEnd w:id="1917"/>
      <w:bookmarkEnd w:id="1918"/>
      <w:bookmarkEnd w:id="1919"/>
      <w:bookmarkEnd w:id="1920"/>
      <w:bookmarkEnd w:id="1921"/>
      <w:bookmarkEnd w:id="1922"/>
      <w:bookmarkEnd w:id="1923"/>
    </w:p>
    <w:p>
      <w:pPr>
        <w:spacing w:line="360" w:lineRule="auto"/>
        <w:ind w:left="0" w:firstLine="0"/>
      </w:pPr>
      <w:bookmarkStart w:id="1924" w:name="_Toc403052793"/>
      <w:bookmarkStart w:id="1925" w:name="_Toc342296440"/>
      <w:bookmarkStart w:id="1926" w:name="_Toc152045652"/>
      <w:bookmarkStart w:id="1927" w:name="_Toc391456365"/>
      <w:bookmarkStart w:id="1928" w:name="_Toc403059735"/>
      <w:bookmarkStart w:id="1929" w:name="_Toc179632670"/>
      <w:bookmarkStart w:id="1930" w:name="_Toc403054553"/>
      <w:bookmarkStart w:id="1931" w:name="_Toc241459681"/>
      <w:bookmarkStart w:id="1932" w:name="_Toc144974620"/>
      <w:bookmarkStart w:id="1933" w:name="_Toc393200726"/>
      <w:bookmarkStart w:id="1934" w:name="_Toc152042430"/>
      <w:bookmarkStart w:id="1935" w:name="_Toc393200212"/>
      <w:r>
        <w:t>5</w:t>
      </w:r>
      <w:r>
        <w:rPr>
          <w:rFonts w:hint="eastAsia"/>
        </w:rPr>
        <w:t>.1　分包人提供的材料和工程设备</w:t>
      </w:r>
      <w:bookmarkEnd w:id="1924"/>
      <w:bookmarkEnd w:id="1925"/>
      <w:bookmarkEnd w:id="1926"/>
      <w:bookmarkEnd w:id="1927"/>
      <w:bookmarkEnd w:id="1928"/>
      <w:bookmarkEnd w:id="1929"/>
      <w:bookmarkEnd w:id="1930"/>
      <w:bookmarkEnd w:id="1931"/>
      <w:bookmarkEnd w:id="1932"/>
      <w:bookmarkEnd w:id="1933"/>
      <w:bookmarkEnd w:id="1934"/>
      <w:bookmarkEnd w:id="1935"/>
    </w:p>
    <w:p>
      <w:pPr>
        <w:spacing w:line="360" w:lineRule="auto"/>
        <w:ind w:left="0" w:firstLine="0"/>
      </w:pPr>
      <w:r>
        <w:t>5</w:t>
      </w:r>
      <w:r>
        <w:rPr>
          <w:rFonts w:hint="eastAsia"/>
        </w:rPr>
        <w:t xml:space="preserve">.1.2　分包人将由其提供的材料和工程设备的供货人及品种、规格、数量和供货时间等报送承包人审批的期限：。 </w:t>
      </w:r>
    </w:p>
    <w:p>
      <w:pPr>
        <w:spacing w:line="360" w:lineRule="auto"/>
        <w:ind w:left="0" w:firstLine="0"/>
      </w:pPr>
      <w:bookmarkStart w:id="1936" w:name="_Toc241459683"/>
      <w:bookmarkStart w:id="1937" w:name="_Toc342296442"/>
      <w:bookmarkStart w:id="1938" w:name="_Toc403052794"/>
      <w:bookmarkStart w:id="1939" w:name="_Toc152042434"/>
      <w:bookmarkStart w:id="1940" w:name="_Toc403059736"/>
      <w:bookmarkStart w:id="1941" w:name="_Toc144974624"/>
      <w:bookmarkStart w:id="1942" w:name="_Toc179632674"/>
      <w:bookmarkStart w:id="1943" w:name="_Toc152045656"/>
      <w:bookmarkStart w:id="1944" w:name="_Toc391456367"/>
      <w:r>
        <w:t>6</w:t>
      </w:r>
      <w:r>
        <w:rPr>
          <w:rFonts w:hint="eastAsia"/>
        </w:rPr>
        <w:t>. 施工设备和临时设施</w:t>
      </w:r>
      <w:bookmarkEnd w:id="1936"/>
      <w:bookmarkEnd w:id="1937"/>
      <w:bookmarkEnd w:id="1938"/>
      <w:bookmarkEnd w:id="1939"/>
      <w:bookmarkEnd w:id="1940"/>
      <w:bookmarkEnd w:id="1941"/>
      <w:bookmarkEnd w:id="1942"/>
      <w:bookmarkEnd w:id="1943"/>
      <w:bookmarkEnd w:id="1944"/>
    </w:p>
    <w:p>
      <w:pPr>
        <w:spacing w:line="360" w:lineRule="auto"/>
        <w:ind w:left="0" w:firstLine="0"/>
      </w:pPr>
      <w:bookmarkStart w:id="1945" w:name="_Toc144974625"/>
      <w:bookmarkStart w:id="1946" w:name="_Toc391456368"/>
      <w:bookmarkStart w:id="1947" w:name="_Toc403059737"/>
      <w:bookmarkStart w:id="1948" w:name="_Toc393200214"/>
      <w:bookmarkStart w:id="1949" w:name="_Toc152045657"/>
      <w:bookmarkStart w:id="1950" w:name="_Toc152042435"/>
      <w:bookmarkStart w:id="1951" w:name="_Toc342296443"/>
      <w:bookmarkStart w:id="1952" w:name="_Toc241459684"/>
      <w:bookmarkStart w:id="1953" w:name="_Toc403054555"/>
      <w:bookmarkStart w:id="1954" w:name="_Toc393200728"/>
      <w:bookmarkStart w:id="1955" w:name="_Toc403052795"/>
      <w:bookmarkStart w:id="1956" w:name="_Toc179632675"/>
      <w:r>
        <w:t>6</w:t>
      </w:r>
      <w:r>
        <w:rPr>
          <w:rFonts w:hint="eastAsia"/>
        </w:rPr>
        <w:t>.1　承包人提供的施工设备和临时设施</w:t>
      </w:r>
      <w:bookmarkEnd w:id="1945"/>
      <w:bookmarkEnd w:id="1946"/>
      <w:bookmarkEnd w:id="1947"/>
      <w:bookmarkEnd w:id="1948"/>
      <w:bookmarkEnd w:id="1949"/>
      <w:bookmarkEnd w:id="1950"/>
      <w:bookmarkEnd w:id="1951"/>
      <w:bookmarkEnd w:id="1952"/>
      <w:bookmarkEnd w:id="1953"/>
      <w:bookmarkEnd w:id="1954"/>
      <w:bookmarkEnd w:id="1955"/>
      <w:bookmarkEnd w:id="1956"/>
    </w:p>
    <w:p>
      <w:pPr>
        <w:spacing w:line="360" w:lineRule="auto"/>
        <w:ind w:left="0" w:firstLine="0"/>
      </w:pPr>
      <w:r>
        <w:t>6</w:t>
      </w:r>
      <w:r>
        <w:rPr>
          <w:rFonts w:hint="eastAsia"/>
        </w:rPr>
        <w:t xml:space="preserve">.1.2　承包人承担修建临时设施的费用的范围：。 </w:t>
      </w:r>
    </w:p>
    <w:p>
      <w:pPr>
        <w:spacing w:line="360" w:lineRule="auto"/>
        <w:ind w:left="0" w:firstLine="0"/>
        <w:rPr>
          <w:u w:val="single"/>
        </w:rPr>
      </w:pPr>
      <w:r>
        <w:rPr>
          <w:rFonts w:hint="eastAsia"/>
        </w:rPr>
        <w:t>需要承包人办理申请手续和承担相关费用的临时占地：</w:t>
      </w:r>
    </w:p>
    <w:p>
      <w:pPr>
        <w:spacing w:line="360" w:lineRule="auto"/>
        <w:ind w:left="0" w:firstLine="0"/>
      </w:pPr>
      <w:r>
        <w:rPr>
          <w:rFonts w:hint="eastAsia"/>
        </w:rPr>
        <w:t xml:space="preserve">。 </w:t>
      </w:r>
    </w:p>
    <w:p>
      <w:pPr>
        <w:spacing w:line="360" w:lineRule="auto"/>
        <w:ind w:left="0" w:firstLine="0"/>
      </w:pPr>
      <w:bookmarkStart w:id="1957" w:name="_Toc144974626"/>
      <w:bookmarkStart w:id="1958" w:name="_Toc342296444"/>
      <w:bookmarkStart w:id="1959" w:name="_Toc152045658"/>
      <w:bookmarkStart w:id="1960" w:name="_Toc393200729"/>
      <w:bookmarkStart w:id="1961" w:name="_Toc152042436"/>
      <w:bookmarkStart w:id="1962" w:name="_Toc241459685"/>
      <w:bookmarkStart w:id="1963" w:name="_Toc403052796"/>
      <w:bookmarkStart w:id="1964" w:name="_Toc179632676"/>
      <w:bookmarkStart w:id="1965" w:name="_Toc393200215"/>
      <w:bookmarkStart w:id="1966" w:name="_Toc403059738"/>
      <w:bookmarkStart w:id="1967" w:name="_Toc391456369"/>
      <w:bookmarkStart w:id="1968" w:name="_Toc403054556"/>
      <w:r>
        <w:t>6</w:t>
      </w:r>
      <w:r>
        <w:rPr>
          <w:rFonts w:hint="eastAsia"/>
        </w:rPr>
        <w:t>.2　承包人提供的施工设备和临时设施</w:t>
      </w:r>
      <w:bookmarkEnd w:id="1957"/>
      <w:bookmarkEnd w:id="1958"/>
      <w:bookmarkEnd w:id="1959"/>
      <w:bookmarkEnd w:id="1960"/>
      <w:bookmarkEnd w:id="1961"/>
      <w:bookmarkEnd w:id="1962"/>
      <w:bookmarkEnd w:id="1963"/>
      <w:bookmarkEnd w:id="1964"/>
      <w:bookmarkEnd w:id="1965"/>
      <w:bookmarkEnd w:id="1966"/>
      <w:bookmarkEnd w:id="1967"/>
      <w:bookmarkEnd w:id="1968"/>
    </w:p>
    <w:p>
      <w:pPr>
        <w:spacing w:line="360" w:lineRule="auto"/>
        <w:ind w:left="0" w:firstLine="0"/>
      </w:pPr>
      <w:r>
        <w:rPr>
          <w:rFonts w:hint="eastAsia"/>
        </w:rPr>
        <w:t>承包人提供的施工设备和临时设施：。</w:t>
      </w:r>
    </w:p>
    <w:p>
      <w:pPr>
        <w:spacing w:line="360" w:lineRule="auto"/>
        <w:ind w:left="0" w:firstLine="0"/>
      </w:pPr>
      <w:r>
        <w:rPr>
          <w:rFonts w:hint="eastAsia"/>
        </w:rPr>
        <w:t>承包人提供的施工设备和临时设施的运行、维护、拆除、清运费用的承担人：。</w:t>
      </w:r>
    </w:p>
    <w:p>
      <w:pPr>
        <w:spacing w:line="360" w:lineRule="auto"/>
        <w:ind w:left="0" w:firstLine="0"/>
      </w:pPr>
      <w:bookmarkStart w:id="1969" w:name="_Toc342296446"/>
      <w:bookmarkStart w:id="1970" w:name="_Toc391456371"/>
      <w:bookmarkStart w:id="1971" w:name="_Toc144974629"/>
      <w:bookmarkStart w:id="1972" w:name="_Toc403052797"/>
      <w:bookmarkStart w:id="1973" w:name="_Toc179632679"/>
      <w:bookmarkStart w:id="1974" w:name="_Toc403059739"/>
      <w:bookmarkStart w:id="1975" w:name="_Toc152042439"/>
      <w:bookmarkStart w:id="1976" w:name="_Toc152045661"/>
      <w:bookmarkStart w:id="1977" w:name="_Toc241459687"/>
      <w:r>
        <w:t>7</w:t>
      </w:r>
      <w:r>
        <w:rPr>
          <w:rFonts w:hint="eastAsia"/>
        </w:rPr>
        <w:t>. 交通运输</w:t>
      </w:r>
      <w:bookmarkEnd w:id="1969"/>
      <w:bookmarkEnd w:id="1970"/>
      <w:bookmarkEnd w:id="1971"/>
      <w:bookmarkEnd w:id="1972"/>
      <w:bookmarkEnd w:id="1973"/>
      <w:bookmarkEnd w:id="1974"/>
      <w:bookmarkEnd w:id="1975"/>
      <w:bookmarkEnd w:id="1976"/>
      <w:bookmarkEnd w:id="1977"/>
    </w:p>
    <w:p>
      <w:pPr>
        <w:spacing w:line="360" w:lineRule="auto"/>
        <w:ind w:left="0" w:firstLine="0"/>
      </w:pPr>
      <w:bookmarkStart w:id="1978" w:name="_Toc152045662"/>
      <w:bookmarkStart w:id="1979" w:name="_Toc393200217"/>
      <w:bookmarkStart w:id="1980" w:name="_Toc403059740"/>
      <w:bookmarkStart w:id="1981" w:name="_Toc342296447"/>
      <w:bookmarkStart w:id="1982" w:name="_Toc152042440"/>
      <w:bookmarkStart w:id="1983" w:name="_Toc391456372"/>
      <w:bookmarkStart w:id="1984" w:name="_Toc144974630"/>
      <w:bookmarkStart w:id="1985" w:name="_Toc179632680"/>
      <w:bookmarkStart w:id="1986" w:name="_Toc403054558"/>
      <w:bookmarkStart w:id="1987" w:name="_Toc403052798"/>
      <w:bookmarkStart w:id="1988" w:name="_Toc393200731"/>
      <w:bookmarkStart w:id="1989" w:name="_Toc241459688"/>
      <w:r>
        <w:t>7</w:t>
      </w:r>
      <w:r>
        <w:rPr>
          <w:rFonts w:hint="eastAsia"/>
        </w:rPr>
        <w:t>.1　道路通行权和场外设施</w:t>
      </w:r>
      <w:bookmarkEnd w:id="1978"/>
      <w:bookmarkEnd w:id="1979"/>
      <w:bookmarkEnd w:id="1980"/>
      <w:bookmarkEnd w:id="1981"/>
      <w:bookmarkEnd w:id="1982"/>
      <w:bookmarkEnd w:id="1983"/>
      <w:bookmarkEnd w:id="1984"/>
      <w:bookmarkEnd w:id="1985"/>
      <w:bookmarkEnd w:id="1986"/>
      <w:bookmarkEnd w:id="1987"/>
      <w:bookmarkEnd w:id="1988"/>
      <w:bookmarkEnd w:id="1989"/>
    </w:p>
    <w:p>
      <w:pPr>
        <w:spacing w:line="360" w:lineRule="auto"/>
        <w:ind w:left="0" w:firstLine="0"/>
        <w:rPr>
          <w:u w:val="single"/>
        </w:rPr>
      </w:pPr>
      <w:r>
        <w:rPr>
          <w:rFonts w:hint="eastAsia"/>
        </w:rPr>
        <w:t xml:space="preserve">取得道路通行权、场外设施修建权的办理人: ，其相关费用由承包人承担。                       </w:t>
      </w:r>
    </w:p>
    <w:p>
      <w:pPr>
        <w:spacing w:line="360" w:lineRule="auto"/>
        <w:ind w:left="0" w:firstLine="0"/>
      </w:pPr>
      <w:bookmarkStart w:id="1990" w:name="_Toc152045663"/>
      <w:bookmarkStart w:id="1991" w:name="_Toc393200218"/>
      <w:bookmarkStart w:id="1992" w:name="_Toc403059741"/>
      <w:bookmarkStart w:id="1993" w:name="_Toc403054559"/>
      <w:bookmarkStart w:id="1994" w:name="_Toc393200732"/>
      <w:bookmarkStart w:id="1995" w:name="_Toc403052799"/>
      <w:bookmarkStart w:id="1996" w:name="_Toc342296448"/>
      <w:bookmarkStart w:id="1997" w:name="_Toc144974631"/>
      <w:bookmarkStart w:id="1998" w:name="_Toc179632681"/>
      <w:bookmarkStart w:id="1999" w:name="_Toc241459689"/>
      <w:bookmarkStart w:id="2000" w:name="_Toc391456373"/>
      <w:bookmarkStart w:id="2001" w:name="_Toc152042441"/>
      <w:r>
        <w:t>7</w:t>
      </w:r>
      <w:r>
        <w:rPr>
          <w:rFonts w:hint="eastAsia"/>
        </w:rPr>
        <w:t>.2　场内施工道路</w:t>
      </w:r>
      <w:bookmarkEnd w:id="1990"/>
      <w:bookmarkEnd w:id="1991"/>
      <w:bookmarkEnd w:id="1992"/>
      <w:bookmarkEnd w:id="1993"/>
      <w:bookmarkEnd w:id="1994"/>
      <w:bookmarkEnd w:id="1995"/>
      <w:bookmarkEnd w:id="1996"/>
      <w:bookmarkEnd w:id="1997"/>
      <w:bookmarkEnd w:id="1998"/>
      <w:bookmarkEnd w:id="1999"/>
      <w:bookmarkEnd w:id="2000"/>
      <w:bookmarkEnd w:id="2001"/>
    </w:p>
    <w:p>
      <w:pPr>
        <w:spacing w:line="360" w:lineRule="auto"/>
        <w:ind w:left="0" w:firstLine="0"/>
      </w:pPr>
      <w:r>
        <w:t>7</w:t>
      </w:r>
      <w:r>
        <w:rPr>
          <w:rFonts w:hint="eastAsia"/>
        </w:rPr>
        <w:t>.2.1　施工所需的场内临时道路和交通设施的修建、维护、养护和管理人：，相关费用由承担。</w:t>
      </w:r>
    </w:p>
    <w:p>
      <w:pPr>
        <w:spacing w:line="360" w:lineRule="auto"/>
        <w:ind w:left="0" w:firstLine="0"/>
      </w:pPr>
      <w:bookmarkStart w:id="2002" w:name="_Toc152042443"/>
      <w:bookmarkStart w:id="2003" w:name="_Toc403059742"/>
      <w:bookmarkStart w:id="2004" w:name="_Toc179632683"/>
      <w:bookmarkStart w:id="2005" w:name="_Toc403054560"/>
      <w:bookmarkStart w:id="2006" w:name="_Toc393200733"/>
      <w:bookmarkStart w:id="2007" w:name="_Toc391456374"/>
      <w:bookmarkStart w:id="2008" w:name="_Toc144974633"/>
      <w:bookmarkStart w:id="2009" w:name="_Toc403052800"/>
      <w:bookmarkStart w:id="2010" w:name="_Toc393200219"/>
      <w:bookmarkStart w:id="2011" w:name="_Toc241459690"/>
      <w:bookmarkStart w:id="2012" w:name="_Toc342296449"/>
      <w:bookmarkStart w:id="2013" w:name="_Toc152045665"/>
      <w:r>
        <w:t>7</w:t>
      </w:r>
      <w:r>
        <w:rPr>
          <w:rFonts w:hint="eastAsia"/>
        </w:rPr>
        <w:t>.4　超大件和超重件的运输</w:t>
      </w:r>
      <w:bookmarkEnd w:id="2002"/>
      <w:bookmarkEnd w:id="2003"/>
      <w:bookmarkEnd w:id="2004"/>
      <w:bookmarkEnd w:id="2005"/>
      <w:bookmarkEnd w:id="2006"/>
      <w:bookmarkEnd w:id="2007"/>
      <w:bookmarkEnd w:id="2008"/>
      <w:bookmarkEnd w:id="2009"/>
      <w:bookmarkEnd w:id="2010"/>
      <w:bookmarkEnd w:id="2011"/>
      <w:bookmarkEnd w:id="2012"/>
      <w:bookmarkEnd w:id="2013"/>
    </w:p>
    <w:p>
      <w:pPr>
        <w:spacing w:line="360" w:lineRule="auto"/>
        <w:ind w:left="0" w:firstLine="0"/>
      </w:pPr>
      <w:bookmarkStart w:id="2014" w:name="_Toc179632684"/>
      <w:bookmarkStart w:id="2015" w:name="_Toc152042444"/>
      <w:bookmarkStart w:id="2016" w:name="_Toc152045666"/>
      <w:bookmarkStart w:id="2017" w:name="_Toc144974634"/>
      <w:r>
        <w:rPr>
          <w:rFonts w:hint="eastAsia"/>
        </w:rPr>
        <w:t>运输超大件或超重件所需的道路和桥梁临时加固改造等费用的承担人：。</w:t>
      </w:r>
    </w:p>
    <w:p>
      <w:pPr>
        <w:spacing w:line="360" w:lineRule="auto"/>
        <w:ind w:left="0" w:firstLine="0"/>
      </w:pPr>
      <w:bookmarkStart w:id="2018" w:name="_Toc403052801"/>
      <w:bookmarkStart w:id="2019" w:name="_Toc403059743"/>
      <w:r>
        <w:t>8</w:t>
      </w:r>
      <w:r>
        <w:rPr>
          <w:rFonts w:hint="eastAsia"/>
        </w:rPr>
        <w:t>. 测量放线</w:t>
      </w:r>
      <w:bookmarkEnd w:id="2018"/>
      <w:bookmarkEnd w:id="2019"/>
    </w:p>
    <w:p>
      <w:pPr>
        <w:spacing w:line="360" w:lineRule="auto"/>
        <w:ind w:left="0" w:firstLine="0"/>
      </w:pPr>
      <w:bookmarkStart w:id="2020" w:name="_Toc403059744"/>
      <w:bookmarkStart w:id="2021" w:name="_Toc403054562"/>
      <w:bookmarkStart w:id="2022" w:name="_Toc403052802"/>
      <w:r>
        <w:t>8</w:t>
      </w:r>
      <w:r>
        <w:rPr>
          <w:rFonts w:hint="eastAsia"/>
        </w:rPr>
        <w:t>.</w:t>
      </w:r>
      <w:r>
        <w:t>1</w:t>
      </w:r>
      <w:r>
        <w:rPr>
          <w:rFonts w:hint="eastAsia"/>
        </w:rPr>
        <w:t>　施工测量</w:t>
      </w:r>
      <w:bookmarkEnd w:id="2020"/>
      <w:bookmarkEnd w:id="2021"/>
      <w:bookmarkEnd w:id="2022"/>
    </w:p>
    <w:p>
      <w:pPr>
        <w:spacing w:line="360" w:lineRule="auto"/>
        <w:ind w:left="0" w:firstLine="0"/>
      </w:pPr>
      <w:r>
        <w:t>8</w:t>
      </w:r>
      <w:r>
        <w:rPr>
          <w:rFonts w:hint="eastAsia"/>
        </w:rPr>
        <w:t>.1.1　承包人向分包人提供测量基准点、基准线和水准点及其书面资料的期限：</w:t>
      </w:r>
    </w:p>
    <w:p>
      <w:pPr>
        <w:spacing w:line="360" w:lineRule="auto"/>
        <w:ind w:left="0" w:firstLine="0"/>
      </w:pPr>
      <w:r>
        <w:rPr>
          <w:rFonts w:hint="eastAsia"/>
        </w:rPr>
        <w:t>。</w:t>
      </w:r>
    </w:p>
    <w:bookmarkEnd w:id="2014"/>
    <w:bookmarkEnd w:id="2015"/>
    <w:bookmarkEnd w:id="2016"/>
    <w:bookmarkEnd w:id="2017"/>
    <w:p>
      <w:pPr>
        <w:spacing w:line="360" w:lineRule="auto"/>
        <w:ind w:left="0" w:firstLine="0"/>
      </w:pPr>
      <w:bookmarkStart w:id="2023" w:name="_Toc342296456"/>
      <w:bookmarkStart w:id="2024" w:name="_Toc179632697"/>
      <w:bookmarkStart w:id="2025" w:name="_Toc391456381"/>
      <w:bookmarkStart w:id="2026" w:name="_Toc144974647"/>
      <w:bookmarkStart w:id="2027" w:name="_Toc403059745"/>
      <w:bookmarkStart w:id="2028" w:name="_Toc241459697"/>
      <w:bookmarkStart w:id="2029" w:name="_Toc152042457"/>
      <w:bookmarkStart w:id="2030" w:name="_Toc403052803"/>
      <w:bookmarkStart w:id="2031" w:name="_Toc152045679"/>
      <w:r>
        <w:rPr>
          <w:rFonts w:hint="eastAsia"/>
        </w:rPr>
        <w:t>1</w:t>
      </w:r>
      <w:r>
        <w:t>0</w:t>
      </w:r>
      <w:r>
        <w:rPr>
          <w:rFonts w:hint="eastAsia"/>
        </w:rPr>
        <w:t>. 进度计划</w:t>
      </w:r>
      <w:bookmarkEnd w:id="2023"/>
      <w:bookmarkEnd w:id="2024"/>
      <w:bookmarkEnd w:id="2025"/>
      <w:bookmarkEnd w:id="2026"/>
      <w:bookmarkEnd w:id="2027"/>
      <w:bookmarkEnd w:id="2028"/>
      <w:bookmarkEnd w:id="2029"/>
      <w:bookmarkEnd w:id="2030"/>
      <w:bookmarkEnd w:id="2031"/>
    </w:p>
    <w:p>
      <w:pPr>
        <w:spacing w:line="360" w:lineRule="auto"/>
        <w:ind w:left="0" w:firstLine="0"/>
      </w:pPr>
      <w:bookmarkStart w:id="2032" w:name="_Toc393200737"/>
      <w:bookmarkStart w:id="2033" w:name="_Toc241459698"/>
      <w:bookmarkStart w:id="2034" w:name="_Toc403054564"/>
      <w:bookmarkStart w:id="2035" w:name="_Toc152045680"/>
      <w:bookmarkStart w:id="2036" w:name="_Toc152042458"/>
      <w:bookmarkStart w:id="2037" w:name="_Toc391456382"/>
      <w:bookmarkStart w:id="2038" w:name="_Toc403052804"/>
      <w:bookmarkStart w:id="2039" w:name="_Toc144974648"/>
      <w:bookmarkStart w:id="2040" w:name="_Toc179632698"/>
      <w:bookmarkStart w:id="2041" w:name="_Toc403059746"/>
      <w:bookmarkStart w:id="2042" w:name="_Toc342296457"/>
      <w:bookmarkStart w:id="2043" w:name="_Toc393200223"/>
      <w:r>
        <w:rPr>
          <w:rFonts w:hint="eastAsia"/>
        </w:rPr>
        <w:t>1</w:t>
      </w:r>
      <w:r>
        <w:t>0</w:t>
      </w:r>
      <w:r>
        <w:rPr>
          <w:rFonts w:hint="eastAsia"/>
        </w:rPr>
        <w:t>.1　合同进度计划</w:t>
      </w:r>
      <w:bookmarkEnd w:id="2032"/>
      <w:bookmarkEnd w:id="2033"/>
      <w:bookmarkEnd w:id="2034"/>
      <w:bookmarkEnd w:id="2035"/>
      <w:bookmarkEnd w:id="2036"/>
      <w:bookmarkEnd w:id="2037"/>
      <w:bookmarkEnd w:id="2038"/>
      <w:bookmarkEnd w:id="2039"/>
      <w:bookmarkEnd w:id="2040"/>
      <w:bookmarkEnd w:id="2041"/>
      <w:bookmarkEnd w:id="2042"/>
      <w:bookmarkEnd w:id="2043"/>
    </w:p>
    <w:p>
      <w:pPr>
        <w:spacing w:line="360" w:lineRule="auto"/>
        <w:ind w:left="0" w:firstLine="0"/>
        <w:rPr>
          <w:u w:val="single"/>
        </w:rPr>
      </w:pPr>
      <w:r>
        <w:rPr>
          <w:rFonts w:hint="eastAsia"/>
        </w:rPr>
        <w:t>（1）分包人应当在收到承包人按照第1</w:t>
      </w:r>
      <w:r>
        <w:t>1</w:t>
      </w:r>
      <w:r>
        <w:rPr>
          <w:rFonts w:hint="eastAsia"/>
        </w:rPr>
        <w:t>.1.1项发出的开工通知后天内，编制详细的施工进度假话和施工方案说明并报送承包人。分包人编制施工进度计划和施工方案说明的内容：</w:t>
      </w:r>
    </w:p>
    <w:p>
      <w:pPr>
        <w:spacing w:line="360" w:lineRule="auto"/>
        <w:ind w:left="0" w:firstLine="0"/>
        <w:rPr>
          <w:u w:val="single"/>
        </w:rPr>
      </w:pPr>
    </w:p>
    <w:p>
      <w:pPr>
        <w:spacing w:line="360" w:lineRule="auto"/>
        <w:ind w:left="0" w:firstLine="0"/>
      </w:pPr>
      <w:r>
        <w:rPr>
          <w:rFonts w:hint="eastAsia"/>
        </w:rPr>
        <w:t xml:space="preserve"> ， 施工进度计划中还应载明要求承包人组织设计人进行阶段性工程设计交底的时间。</w:t>
      </w:r>
    </w:p>
    <w:p>
      <w:pPr>
        <w:spacing w:line="360" w:lineRule="auto"/>
        <w:ind w:left="0" w:firstLine="0"/>
        <w:rPr>
          <w:u w:val="single"/>
        </w:rPr>
      </w:pPr>
      <w:r>
        <w:rPr>
          <w:rFonts w:hint="eastAsia"/>
        </w:rPr>
        <w:t>（</w:t>
      </w:r>
      <w:r>
        <w:t>2</w:t>
      </w:r>
      <w:r>
        <w:rPr>
          <w:rFonts w:hint="eastAsia"/>
        </w:rPr>
        <w:t>）分</w:t>
      </w:r>
      <w:r>
        <w:t>包</w:t>
      </w:r>
      <w:r>
        <w:rPr>
          <w:rFonts w:hint="eastAsia"/>
        </w:rPr>
        <w:t>人编制</w:t>
      </w:r>
      <w:r>
        <w:t>分阶段或分项</w:t>
      </w:r>
      <w:r>
        <w:rPr>
          <w:rFonts w:hint="eastAsia"/>
        </w:rPr>
        <w:t>施工</w:t>
      </w:r>
      <w:r>
        <w:t>进度计划</w:t>
      </w:r>
      <w:r>
        <w:rPr>
          <w:rFonts w:hint="eastAsia"/>
        </w:rPr>
        <w:t>和施工方案说明</w:t>
      </w:r>
      <w:r>
        <w:t>的内容</w:t>
      </w:r>
      <w:r>
        <w:rPr>
          <w:rFonts w:hint="eastAsia"/>
        </w:rPr>
        <w:t>：</w:t>
      </w:r>
    </w:p>
    <w:p>
      <w:pPr>
        <w:spacing w:line="360" w:lineRule="auto"/>
        <w:ind w:left="0" w:firstLine="0"/>
      </w:pPr>
      <w:r>
        <w:t>。</w:t>
      </w:r>
    </w:p>
    <w:p>
      <w:pPr>
        <w:spacing w:line="360" w:lineRule="auto"/>
        <w:ind w:left="0" w:firstLine="0"/>
        <w:rPr>
          <w:u w:val="single"/>
        </w:rPr>
      </w:pPr>
      <w:r>
        <w:t>承包</w:t>
      </w:r>
      <w:r>
        <w:rPr>
          <w:rFonts w:hint="eastAsia"/>
        </w:rPr>
        <w:t>人报送</w:t>
      </w:r>
      <w:r>
        <w:t>分阶段或分项</w:t>
      </w:r>
      <w:r>
        <w:rPr>
          <w:rFonts w:hint="eastAsia"/>
        </w:rPr>
        <w:t>施工</w:t>
      </w:r>
      <w:r>
        <w:t>进度计划</w:t>
      </w:r>
      <w:r>
        <w:rPr>
          <w:rFonts w:hint="eastAsia"/>
        </w:rPr>
        <w:t>和施工方案说明</w:t>
      </w:r>
      <w:r>
        <w:t>的期限</w:t>
      </w:r>
      <w:r>
        <w:rPr>
          <w:rFonts w:hint="eastAsia"/>
        </w:rPr>
        <w:t>：</w:t>
      </w:r>
    </w:p>
    <w:p>
      <w:pPr>
        <w:spacing w:line="360" w:lineRule="auto"/>
        <w:ind w:left="0" w:firstLine="0"/>
      </w:pPr>
      <w:r>
        <w:rPr>
          <w:rFonts w:hint="eastAsia"/>
        </w:rPr>
        <w:t>。</w:t>
      </w:r>
    </w:p>
    <w:p>
      <w:pPr>
        <w:spacing w:line="360" w:lineRule="auto"/>
        <w:ind w:left="0" w:firstLine="0"/>
      </w:pPr>
      <w:bookmarkStart w:id="2044" w:name="_Toc152042459"/>
      <w:bookmarkStart w:id="2045" w:name="_Toc241459699"/>
      <w:bookmarkStart w:id="2046" w:name="_Toc393200738"/>
      <w:bookmarkStart w:id="2047" w:name="_Toc391456383"/>
      <w:bookmarkStart w:id="2048" w:name="_Toc179632699"/>
      <w:bookmarkStart w:id="2049" w:name="_Toc152045681"/>
      <w:bookmarkStart w:id="2050" w:name="_Toc342296458"/>
      <w:bookmarkStart w:id="2051" w:name="_Toc144974649"/>
      <w:bookmarkStart w:id="2052" w:name="_Toc393200224"/>
      <w:r>
        <w:rPr>
          <w:rFonts w:hint="eastAsia"/>
        </w:rPr>
        <w:t>1</w:t>
      </w:r>
      <w:r>
        <w:t>0</w:t>
      </w:r>
      <w:r>
        <w:rPr>
          <w:rFonts w:hint="eastAsia"/>
        </w:rPr>
        <w:t>.2　合同进度计划的修订</w:t>
      </w:r>
      <w:bookmarkEnd w:id="2044"/>
      <w:bookmarkEnd w:id="2045"/>
      <w:bookmarkEnd w:id="2046"/>
      <w:bookmarkEnd w:id="2047"/>
      <w:bookmarkEnd w:id="2048"/>
      <w:bookmarkEnd w:id="2049"/>
      <w:bookmarkEnd w:id="2050"/>
      <w:bookmarkEnd w:id="2051"/>
      <w:bookmarkEnd w:id="2052"/>
    </w:p>
    <w:p>
      <w:pPr>
        <w:spacing w:line="360" w:lineRule="auto"/>
        <w:ind w:left="0" w:firstLine="0"/>
      </w:pPr>
      <w:r>
        <w:rPr>
          <w:rFonts w:hint="eastAsia"/>
        </w:rPr>
        <w:t>分包人报送修订合同进度计划申请报告和相关资料的期限：。</w:t>
      </w:r>
    </w:p>
    <w:p>
      <w:pPr>
        <w:spacing w:line="360" w:lineRule="auto"/>
        <w:ind w:left="0" w:firstLine="0"/>
      </w:pPr>
      <w:r>
        <w:rPr>
          <w:rFonts w:hint="eastAsia"/>
        </w:rPr>
        <w:t>承包人批复修订合同进度计划申请报告的期限：。</w:t>
      </w:r>
    </w:p>
    <w:p>
      <w:pPr>
        <w:spacing w:line="360" w:lineRule="auto"/>
        <w:ind w:left="0" w:firstLine="0"/>
        <w:rPr>
          <w:u w:val="single"/>
        </w:rPr>
      </w:pPr>
      <w:r>
        <w:rPr>
          <w:rFonts w:hint="eastAsia"/>
        </w:rPr>
        <w:t>承包人批复修订合同进度计划的期限：。</w:t>
      </w:r>
    </w:p>
    <w:p>
      <w:pPr>
        <w:spacing w:line="360" w:lineRule="auto"/>
        <w:ind w:left="0" w:firstLine="0"/>
      </w:pPr>
      <w:bookmarkStart w:id="2053" w:name="_Toc391456384"/>
      <w:bookmarkStart w:id="2054" w:name="_Toc403059747"/>
      <w:bookmarkStart w:id="2055" w:name="_Toc342296459"/>
      <w:bookmarkStart w:id="2056" w:name="_Toc403052805"/>
      <w:bookmarkStart w:id="2057" w:name="_Toc152042460"/>
      <w:bookmarkStart w:id="2058" w:name="_Toc152045682"/>
      <w:bookmarkStart w:id="2059" w:name="_Toc241459700"/>
      <w:bookmarkStart w:id="2060" w:name="_Toc144974650"/>
      <w:bookmarkStart w:id="2061" w:name="_Toc179632700"/>
      <w:r>
        <w:rPr>
          <w:rFonts w:hint="eastAsia"/>
        </w:rPr>
        <w:t>1</w:t>
      </w:r>
      <w:r>
        <w:t>1</w:t>
      </w:r>
      <w:r>
        <w:rPr>
          <w:rFonts w:hint="eastAsia"/>
        </w:rPr>
        <w:t>. 开工和完工</w:t>
      </w:r>
      <w:bookmarkEnd w:id="2053"/>
      <w:bookmarkEnd w:id="2054"/>
      <w:bookmarkEnd w:id="2055"/>
      <w:bookmarkEnd w:id="2056"/>
      <w:bookmarkEnd w:id="2057"/>
      <w:bookmarkEnd w:id="2058"/>
      <w:bookmarkEnd w:id="2059"/>
      <w:bookmarkEnd w:id="2060"/>
      <w:bookmarkEnd w:id="2061"/>
    </w:p>
    <w:p>
      <w:pPr>
        <w:spacing w:line="360" w:lineRule="auto"/>
        <w:ind w:left="0" w:firstLine="0"/>
      </w:pPr>
      <w:bookmarkStart w:id="2062" w:name="_Toc403059748"/>
      <w:bookmarkStart w:id="2063" w:name="_Toc393200226"/>
      <w:bookmarkStart w:id="2064" w:name="_Toc403054566"/>
      <w:bookmarkStart w:id="2065" w:name="_Toc152045685"/>
      <w:bookmarkStart w:id="2066" w:name="_Toc342296460"/>
      <w:bookmarkStart w:id="2067" w:name="_Toc403052806"/>
      <w:bookmarkStart w:id="2068" w:name="_Toc144974653"/>
      <w:bookmarkStart w:id="2069" w:name="_Toc241459701"/>
      <w:bookmarkStart w:id="2070" w:name="_Toc391456385"/>
      <w:bookmarkStart w:id="2071" w:name="_Toc152042463"/>
      <w:bookmarkStart w:id="2072" w:name="_Toc393200740"/>
      <w:bookmarkStart w:id="2073" w:name="_Toc179632703"/>
      <w:r>
        <w:rPr>
          <w:rFonts w:hint="eastAsia"/>
        </w:rPr>
        <w:t>1</w:t>
      </w:r>
      <w:r>
        <w:t>1</w:t>
      </w:r>
      <w:r>
        <w:rPr>
          <w:rFonts w:hint="eastAsia"/>
        </w:rPr>
        <w:t>.3　承包人的工期延误</w:t>
      </w:r>
      <w:bookmarkEnd w:id="2062"/>
      <w:bookmarkEnd w:id="2063"/>
      <w:bookmarkEnd w:id="2064"/>
      <w:bookmarkEnd w:id="2065"/>
      <w:bookmarkEnd w:id="2066"/>
      <w:bookmarkEnd w:id="2067"/>
      <w:bookmarkEnd w:id="2068"/>
      <w:bookmarkEnd w:id="2069"/>
      <w:bookmarkEnd w:id="2070"/>
      <w:bookmarkEnd w:id="2071"/>
      <w:bookmarkEnd w:id="2072"/>
      <w:bookmarkEnd w:id="2073"/>
    </w:p>
    <w:p>
      <w:pPr>
        <w:spacing w:line="360" w:lineRule="auto"/>
        <w:ind w:left="0" w:firstLine="0"/>
        <w:rPr>
          <w:u w:val="single"/>
        </w:rPr>
      </w:pPr>
      <w:r>
        <w:rPr>
          <w:rFonts w:hint="eastAsia"/>
        </w:rPr>
        <w:t>（</w:t>
      </w:r>
      <w:r>
        <w:t>8</w:t>
      </w:r>
      <w:r>
        <w:rPr>
          <w:rFonts w:hint="eastAsia"/>
        </w:rPr>
        <w:t>）除承包人原因延期开工外，承包人造成工期延误的其他原因还包括：</w:t>
      </w:r>
    </w:p>
    <w:p>
      <w:pPr>
        <w:spacing w:line="360" w:lineRule="auto"/>
        <w:ind w:left="0" w:firstLine="0"/>
      </w:pPr>
      <w:r>
        <w:rPr>
          <w:rFonts w:hint="eastAsia"/>
        </w:rPr>
        <w:t>等延误分包人关键线路工作的情况。</w:t>
      </w:r>
    </w:p>
    <w:p>
      <w:pPr>
        <w:spacing w:line="360" w:lineRule="auto"/>
        <w:ind w:left="0" w:firstLine="0"/>
      </w:pPr>
      <w:bookmarkStart w:id="2074" w:name="_Toc391456386"/>
      <w:bookmarkStart w:id="2075" w:name="_Toc403052807"/>
      <w:bookmarkStart w:id="2076" w:name="_Toc144974654"/>
      <w:bookmarkStart w:id="2077" w:name="_Toc393200741"/>
      <w:bookmarkStart w:id="2078" w:name="_Toc403054567"/>
      <w:bookmarkStart w:id="2079" w:name="_Toc179632704"/>
      <w:bookmarkStart w:id="2080" w:name="_Toc241459702"/>
      <w:bookmarkStart w:id="2081" w:name="_Toc152042464"/>
      <w:bookmarkStart w:id="2082" w:name="_Toc342296461"/>
      <w:bookmarkStart w:id="2083" w:name="_Toc152045686"/>
      <w:bookmarkStart w:id="2084" w:name="_Toc403059749"/>
      <w:bookmarkStart w:id="2085" w:name="_Toc393200227"/>
      <w:r>
        <w:rPr>
          <w:rFonts w:hint="eastAsia"/>
        </w:rPr>
        <w:t>1</w:t>
      </w:r>
      <w:r>
        <w:t>1</w:t>
      </w:r>
      <w:r>
        <w:rPr>
          <w:rFonts w:hint="eastAsia"/>
        </w:rPr>
        <w:t>.4　异常恶劣的气候条件</w:t>
      </w:r>
      <w:bookmarkEnd w:id="2074"/>
      <w:bookmarkEnd w:id="2075"/>
      <w:bookmarkEnd w:id="2076"/>
      <w:bookmarkEnd w:id="2077"/>
      <w:bookmarkEnd w:id="2078"/>
      <w:bookmarkEnd w:id="2079"/>
      <w:bookmarkEnd w:id="2080"/>
      <w:bookmarkEnd w:id="2081"/>
      <w:bookmarkEnd w:id="2082"/>
      <w:bookmarkEnd w:id="2083"/>
      <w:bookmarkEnd w:id="2084"/>
      <w:bookmarkEnd w:id="2085"/>
    </w:p>
    <w:p>
      <w:pPr>
        <w:spacing w:line="360" w:lineRule="auto"/>
        <w:ind w:left="0" w:firstLine="0"/>
        <w:rPr>
          <w:u w:val="single"/>
        </w:rPr>
      </w:pPr>
      <w:bookmarkStart w:id="2086" w:name="_Toc152042465"/>
      <w:bookmarkStart w:id="2087" w:name="_Toc152045687"/>
      <w:bookmarkStart w:id="2088" w:name="_Toc144974655"/>
      <w:bookmarkStart w:id="2089" w:name="_Toc179632705"/>
      <w:r>
        <w:rPr>
          <w:rFonts w:hint="eastAsia"/>
        </w:rPr>
        <w:t>异常恶劣的气候条件的范围和标准：</w:t>
      </w:r>
    </w:p>
    <w:p>
      <w:pPr>
        <w:spacing w:line="360" w:lineRule="auto"/>
        <w:ind w:left="0" w:firstLine="0"/>
        <w:rPr>
          <w:u w:val="single"/>
        </w:rPr>
      </w:pPr>
    </w:p>
    <w:p>
      <w:pPr>
        <w:spacing w:line="360" w:lineRule="auto"/>
        <w:ind w:left="0" w:firstLine="0"/>
      </w:pPr>
      <w:r>
        <w:rPr>
          <w:rFonts w:hint="eastAsia"/>
        </w:rPr>
        <w:t>。</w:t>
      </w:r>
    </w:p>
    <w:p>
      <w:pPr>
        <w:spacing w:line="360" w:lineRule="auto"/>
        <w:ind w:left="0" w:firstLine="0"/>
      </w:pPr>
      <w:bookmarkStart w:id="2090" w:name="_Toc403052808"/>
      <w:bookmarkStart w:id="2091" w:name="_Toc393200742"/>
      <w:bookmarkStart w:id="2092" w:name="_Toc342296462"/>
      <w:bookmarkStart w:id="2093" w:name="_Toc391456387"/>
      <w:bookmarkStart w:id="2094" w:name="_Toc393200228"/>
      <w:bookmarkStart w:id="2095" w:name="_Toc241459703"/>
      <w:bookmarkStart w:id="2096" w:name="_Toc403059750"/>
      <w:bookmarkStart w:id="2097" w:name="_Toc403054568"/>
      <w:r>
        <w:rPr>
          <w:rFonts w:hint="eastAsia"/>
        </w:rPr>
        <w:t>1</w:t>
      </w:r>
      <w:r>
        <w:t>1</w:t>
      </w:r>
      <w:r>
        <w:rPr>
          <w:rFonts w:hint="eastAsia"/>
        </w:rPr>
        <w:t>.5　分包人的工期延误</w:t>
      </w:r>
      <w:bookmarkEnd w:id="2086"/>
      <w:bookmarkEnd w:id="2087"/>
      <w:bookmarkEnd w:id="2088"/>
      <w:bookmarkEnd w:id="2089"/>
      <w:bookmarkEnd w:id="2090"/>
      <w:bookmarkEnd w:id="2091"/>
      <w:bookmarkEnd w:id="2092"/>
      <w:bookmarkEnd w:id="2093"/>
      <w:bookmarkEnd w:id="2094"/>
      <w:bookmarkEnd w:id="2095"/>
      <w:bookmarkEnd w:id="2096"/>
      <w:bookmarkEnd w:id="2097"/>
    </w:p>
    <w:p>
      <w:pPr>
        <w:spacing w:line="360" w:lineRule="auto"/>
        <w:ind w:left="0" w:firstLine="0"/>
      </w:pPr>
      <w:bookmarkStart w:id="2098" w:name="_Toc144974656"/>
      <w:bookmarkStart w:id="2099" w:name="_Toc152042466"/>
      <w:bookmarkStart w:id="2100" w:name="_Toc179632706"/>
      <w:bookmarkStart w:id="2101" w:name="_Toc152045688"/>
      <w:r>
        <w:rPr>
          <w:rFonts w:hint="eastAsia"/>
        </w:rPr>
        <w:t>逾期完工违约金的计算标准：。</w:t>
      </w:r>
    </w:p>
    <w:p>
      <w:pPr>
        <w:spacing w:line="360" w:lineRule="auto"/>
        <w:ind w:left="0" w:firstLine="0"/>
      </w:pPr>
      <w:r>
        <w:rPr>
          <w:rFonts w:hint="eastAsia"/>
        </w:rPr>
        <w:t xml:space="preserve">逾期完工违约金的计算方法：。 </w:t>
      </w:r>
    </w:p>
    <w:p>
      <w:pPr>
        <w:spacing w:line="360" w:lineRule="auto"/>
        <w:ind w:left="0" w:firstLine="0"/>
      </w:pPr>
      <w:r>
        <w:rPr>
          <w:rFonts w:hint="eastAsia"/>
        </w:rPr>
        <w:t>逾期完工</w:t>
      </w:r>
      <w:r>
        <w:t>违约</w:t>
      </w:r>
      <w:r>
        <w:rPr>
          <w:rFonts w:hint="eastAsia"/>
        </w:rPr>
        <w:t>金</w:t>
      </w:r>
      <w:r>
        <w:t>最高限额</w:t>
      </w:r>
      <w:r>
        <w:rPr>
          <w:rFonts w:hint="eastAsia"/>
        </w:rPr>
        <w:t>：。</w:t>
      </w:r>
    </w:p>
    <w:p>
      <w:pPr>
        <w:spacing w:line="360" w:lineRule="auto"/>
        <w:ind w:left="0" w:firstLine="0"/>
      </w:pPr>
      <w:bookmarkStart w:id="2102" w:name="_Toc403052809"/>
      <w:bookmarkStart w:id="2103" w:name="_Toc393200229"/>
      <w:bookmarkStart w:id="2104" w:name="_Toc393200743"/>
      <w:bookmarkStart w:id="2105" w:name="_Toc391456388"/>
      <w:bookmarkStart w:id="2106" w:name="_Toc403054569"/>
      <w:bookmarkStart w:id="2107" w:name="_Toc241459704"/>
      <w:bookmarkStart w:id="2108" w:name="_Toc403059751"/>
      <w:bookmarkStart w:id="2109" w:name="_Toc342296463"/>
      <w:r>
        <w:rPr>
          <w:rFonts w:hint="eastAsia"/>
        </w:rPr>
        <w:t>1</w:t>
      </w:r>
      <w:r>
        <w:t>1</w:t>
      </w:r>
      <w:r>
        <w:rPr>
          <w:rFonts w:hint="eastAsia"/>
        </w:rPr>
        <w:t>.6</w:t>
      </w:r>
      <w:bookmarkEnd w:id="2098"/>
      <w:bookmarkStart w:id="2110" w:name="_Toc144974657"/>
      <w:r>
        <w:rPr>
          <w:rFonts w:hint="eastAsia"/>
        </w:rPr>
        <w:t>　工期提前</w:t>
      </w:r>
      <w:bookmarkEnd w:id="2099"/>
      <w:bookmarkEnd w:id="2100"/>
      <w:bookmarkEnd w:id="2101"/>
      <w:bookmarkEnd w:id="2102"/>
      <w:bookmarkEnd w:id="2103"/>
      <w:bookmarkEnd w:id="2104"/>
      <w:bookmarkEnd w:id="2105"/>
      <w:bookmarkEnd w:id="2106"/>
      <w:bookmarkEnd w:id="2107"/>
      <w:bookmarkEnd w:id="2108"/>
      <w:bookmarkEnd w:id="2109"/>
      <w:bookmarkEnd w:id="2110"/>
    </w:p>
    <w:p>
      <w:pPr>
        <w:spacing w:line="360" w:lineRule="auto"/>
        <w:ind w:left="0" w:firstLine="0"/>
      </w:pPr>
      <w:bookmarkStart w:id="2111" w:name="_Toc179632707"/>
      <w:bookmarkStart w:id="2112" w:name="_Toc152045689"/>
      <w:bookmarkStart w:id="2113" w:name="_Toc144974658"/>
      <w:bookmarkStart w:id="2114" w:name="_Toc152042467"/>
      <w:r>
        <w:rPr>
          <w:rFonts w:hint="eastAsia"/>
        </w:rPr>
        <w:t>提前完工的奖励办法：。</w:t>
      </w:r>
    </w:p>
    <w:p>
      <w:pPr>
        <w:spacing w:line="360" w:lineRule="auto"/>
        <w:ind w:left="0" w:firstLine="0"/>
      </w:pPr>
      <w:bookmarkStart w:id="2115" w:name="_Toc241484601"/>
      <w:bookmarkStart w:id="2116" w:name="_Toc391456389"/>
      <w:bookmarkStart w:id="2117" w:name="_Toc403052810"/>
      <w:bookmarkStart w:id="2118" w:name="_Toc403059752"/>
      <w:bookmarkStart w:id="2119" w:name="_Toc342296464"/>
      <w:bookmarkStart w:id="2120" w:name="_Toc241459705"/>
      <w:r>
        <w:rPr>
          <w:rFonts w:hint="eastAsia"/>
        </w:rPr>
        <w:t>1</w:t>
      </w:r>
      <w:r>
        <w:t>2</w:t>
      </w:r>
      <w:r>
        <w:rPr>
          <w:rFonts w:hint="eastAsia"/>
        </w:rPr>
        <w:t>. 暂停施工</w:t>
      </w:r>
      <w:bookmarkEnd w:id="2111"/>
      <w:bookmarkEnd w:id="2112"/>
      <w:bookmarkEnd w:id="2113"/>
      <w:bookmarkEnd w:id="2114"/>
      <w:bookmarkEnd w:id="2115"/>
      <w:bookmarkEnd w:id="2116"/>
      <w:bookmarkEnd w:id="2117"/>
      <w:bookmarkEnd w:id="2118"/>
      <w:bookmarkEnd w:id="2119"/>
      <w:bookmarkEnd w:id="2120"/>
    </w:p>
    <w:p>
      <w:pPr>
        <w:spacing w:line="360" w:lineRule="auto"/>
        <w:ind w:left="0" w:firstLine="0"/>
      </w:pPr>
      <w:bookmarkStart w:id="2121" w:name="_Toc179632708"/>
      <w:bookmarkStart w:id="2122" w:name="_Toc391456390"/>
      <w:bookmarkStart w:id="2123" w:name="_Toc241459706"/>
      <w:bookmarkStart w:id="2124" w:name="_Toc393200231"/>
      <w:bookmarkStart w:id="2125" w:name="_Toc393200745"/>
      <w:bookmarkStart w:id="2126" w:name="_Toc152045690"/>
      <w:bookmarkStart w:id="2127" w:name="_Toc144974659"/>
      <w:bookmarkStart w:id="2128" w:name="_Toc152042468"/>
      <w:bookmarkStart w:id="2129" w:name="_Toc342296465"/>
      <w:bookmarkStart w:id="2130" w:name="_Toc403052811"/>
      <w:bookmarkStart w:id="2131" w:name="_Toc403054571"/>
      <w:bookmarkStart w:id="2132" w:name="_Toc403059753"/>
      <w:r>
        <w:rPr>
          <w:rFonts w:hint="eastAsia"/>
        </w:rPr>
        <w:t>1</w:t>
      </w:r>
      <w:r>
        <w:t>2</w:t>
      </w:r>
      <w:r>
        <w:rPr>
          <w:rFonts w:hint="eastAsia"/>
        </w:rPr>
        <w:t>.1</w:t>
      </w:r>
      <w:bookmarkEnd w:id="2121"/>
      <w:bookmarkEnd w:id="2122"/>
      <w:bookmarkEnd w:id="2123"/>
      <w:bookmarkEnd w:id="2124"/>
      <w:bookmarkEnd w:id="2125"/>
      <w:bookmarkEnd w:id="2126"/>
      <w:bookmarkEnd w:id="2127"/>
      <w:bookmarkEnd w:id="2128"/>
      <w:bookmarkEnd w:id="2129"/>
      <w:r>
        <w:rPr>
          <w:rFonts w:hint="eastAsia"/>
        </w:rPr>
        <w:t>　分包人暂停施工的责任</w:t>
      </w:r>
      <w:bookmarkEnd w:id="2130"/>
      <w:bookmarkEnd w:id="2131"/>
      <w:bookmarkEnd w:id="2132"/>
    </w:p>
    <w:p>
      <w:pPr>
        <w:spacing w:line="360" w:lineRule="auto"/>
        <w:ind w:left="0" w:firstLine="0"/>
        <w:rPr>
          <w:u w:val="single"/>
        </w:rPr>
      </w:pPr>
      <w:r>
        <w:rPr>
          <w:rFonts w:hint="eastAsia"/>
        </w:rPr>
        <w:t xml:space="preserve">（5）分包人承担暂停施工责任的其他情形： </w:t>
      </w:r>
    </w:p>
    <w:p>
      <w:pPr>
        <w:spacing w:line="360" w:lineRule="auto"/>
        <w:ind w:left="0" w:firstLine="0"/>
        <w:rPr>
          <w:u w:val="single"/>
        </w:rPr>
      </w:pPr>
    </w:p>
    <w:p>
      <w:pPr>
        <w:spacing w:line="360" w:lineRule="auto"/>
        <w:ind w:left="0" w:firstLine="0"/>
      </w:pPr>
      <w:r>
        <w:rPr>
          <w:rFonts w:hint="eastAsia"/>
        </w:rPr>
        <w:t>。</w:t>
      </w:r>
    </w:p>
    <w:p>
      <w:pPr>
        <w:spacing w:line="360" w:lineRule="auto"/>
        <w:ind w:left="0" w:firstLine="0"/>
      </w:pPr>
      <w:bookmarkStart w:id="2133" w:name="_Toc179632713"/>
      <w:bookmarkStart w:id="2134" w:name="_Toc144974664"/>
      <w:bookmarkStart w:id="2135" w:name="_Toc152042473"/>
      <w:bookmarkStart w:id="2136" w:name="_Toc241459708"/>
      <w:bookmarkStart w:id="2137" w:name="_Toc403059754"/>
      <w:bookmarkStart w:id="2138" w:name="_Toc342296467"/>
      <w:bookmarkStart w:id="2139" w:name="_Toc152045695"/>
      <w:bookmarkStart w:id="2140" w:name="_Toc391456392"/>
      <w:bookmarkStart w:id="2141" w:name="_Toc403052812"/>
      <w:r>
        <w:rPr>
          <w:rFonts w:hint="eastAsia"/>
        </w:rPr>
        <w:t>1</w:t>
      </w:r>
      <w:r>
        <w:t>3</w:t>
      </w:r>
      <w:r>
        <w:rPr>
          <w:rFonts w:hint="eastAsia"/>
        </w:rPr>
        <w:t>. 工程质量</w:t>
      </w:r>
      <w:bookmarkEnd w:id="2133"/>
      <w:bookmarkEnd w:id="2134"/>
      <w:bookmarkEnd w:id="2135"/>
      <w:bookmarkEnd w:id="2136"/>
      <w:bookmarkEnd w:id="2137"/>
      <w:bookmarkEnd w:id="2138"/>
      <w:bookmarkEnd w:id="2139"/>
      <w:bookmarkEnd w:id="2140"/>
      <w:bookmarkEnd w:id="2141"/>
      <w:bookmarkStart w:id="2142" w:name="_Toc144974666"/>
      <w:bookmarkStart w:id="2143" w:name="_Toc152042475"/>
      <w:bookmarkStart w:id="2144" w:name="_Toc152045697"/>
      <w:bookmarkStart w:id="2145" w:name="_Toc179632715"/>
    </w:p>
    <w:p>
      <w:pPr>
        <w:spacing w:line="360" w:lineRule="auto"/>
        <w:ind w:left="0" w:firstLine="0"/>
      </w:pPr>
      <w:bookmarkStart w:id="2146" w:name="_Toc241459709"/>
      <w:bookmarkStart w:id="2147" w:name="_Toc403059755"/>
      <w:bookmarkStart w:id="2148" w:name="_Toc342296468"/>
      <w:bookmarkStart w:id="2149" w:name="_Toc403052813"/>
      <w:bookmarkStart w:id="2150" w:name="_Toc391456393"/>
      <w:bookmarkStart w:id="2151" w:name="_Toc393200747"/>
      <w:bookmarkStart w:id="2152" w:name="_Toc403054573"/>
      <w:bookmarkStart w:id="2153" w:name="_Toc393200233"/>
      <w:r>
        <w:rPr>
          <w:rFonts w:hint="eastAsia"/>
        </w:rPr>
        <w:t>1</w:t>
      </w:r>
      <w:r>
        <w:t>3</w:t>
      </w:r>
      <w:r>
        <w:rPr>
          <w:rFonts w:hint="eastAsia"/>
        </w:rPr>
        <w:t>.2　分包人的质量管理</w:t>
      </w:r>
      <w:bookmarkEnd w:id="2142"/>
      <w:bookmarkEnd w:id="2143"/>
      <w:bookmarkEnd w:id="2144"/>
      <w:bookmarkEnd w:id="2145"/>
      <w:bookmarkEnd w:id="2146"/>
      <w:bookmarkEnd w:id="2147"/>
      <w:bookmarkEnd w:id="2148"/>
      <w:bookmarkEnd w:id="2149"/>
      <w:bookmarkEnd w:id="2150"/>
      <w:bookmarkEnd w:id="2151"/>
      <w:bookmarkEnd w:id="2152"/>
      <w:bookmarkEnd w:id="2153"/>
    </w:p>
    <w:p>
      <w:pPr>
        <w:spacing w:line="360" w:lineRule="auto"/>
        <w:ind w:left="0" w:firstLine="0"/>
      </w:pPr>
      <w:bookmarkStart w:id="2154" w:name="_Toc179632716"/>
      <w:bookmarkStart w:id="2155" w:name="_Toc144974667"/>
      <w:bookmarkStart w:id="2156" w:name="_Toc152042476"/>
      <w:bookmarkStart w:id="2157" w:name="_Toc152045698"/>
      <w:r>
        <w:t>13.</w:t>
      </w:r>
      <w:r>
        <w:rPr>
          <w:rFonts w:hint="eastAsia"/>
        </w:rPr>
        <w:t>2</w:t>
      </w:r>
      <w:r>
        <w:t>.</w:t>
      </w:r>
      <w:r>
        <w:rPr>
          <w:rFonts w:hint="eastAsia"/>
        </w:rPr>
        <w:t>1　分包人向承包人提交工程质量保证措施文件的期限：</w:t>
      </w:r>
      <w:r>
        <w:t>。</w:t>
      </w:r>
    </w:p>
    <w:p>
      <w:pPr>
        <w:spacing w:line="360" w:lineRule="auto"/>
        <w:ind w:left="0" w:firstLine="0"/>
      </w:pPr>
      <w:r>
        <w:rPr>
          <w:rFonts w:hint="eastAsia"/>
        </w:rPr>
        <w:t>承包人审批工程质量保证措施文件的期限：</w:t>
      </w:r>
      <w:r>
        <w:t>。</w:t>
      </w:r>
    </w:p>
    <w:p>
      <w:pPr>
        <w:spacing w:line="360" w:lineRule="auto"/>
        <w:ind w:left="0" w:firstLine="0"/>
      </w:pPr>
      <w:bookmarkStart w:id="2158" w:name="_Toc403052814"/>
      <w:bookmarkStart w:id="2159" w:name="_Toc342296469"/>
      <w:bookmarkStart w:id="2160" w:name="_Toc393200748"/>
      <w:bookmarkStart w:id="2161" w:name="_Toc241459710"/>
      <w:bookmarkStart w:id="2162" w:name="_Toc391456394"/>
      <w:bookmarkStart w:id="2163" w:name="_Toc393200234"/>
      <w:bookmarkStart w:id="2164" w:name="_Toc403054574"/>
      <w:bookmarkStart w:id="2165" w:name="_Toc403059756"/>
      <w:r>
        <w:rPr>
          <w:rFonts w:hint="eastAsia"/>
        </w:rPr>
        <w:t>1</w:t>
      </w:r>
      <w:r>
        <w:t>3</w:t>
      </w:r>
      <w:r>
        <w:rPr>
          <w:rFonts w:hint="eastAsia"/>
        </w:rPr>
        <w:t>.3　分包人的质量检查</w:t>
      </w:r>
      <w:bookmarkEnd w:id="2154"/>
      <w:bookmarkEnd w:id="2155"/>
      <w:bookmarkEnd w:id="2156"/>
      <w:bookmarkEnd w:id="2157"/>
      <w:bookmarkEnd w:id="2158"/>
      <w:bookmarkEnd w:id="2159"/>
      <w:bookmarkEnd w:id="2160"/>
      <w:bookmarkEnd w:id="2161"/>
      <w:bookmarkEnd w:id="2162"/>
      <w:bookmarkEnd w:id="2163"/>
      <w:bookmarkEnd w:id="2164"/>
      <w:bookmarkEnd w:id="2165"/>
    </w:p>
    <w:p>
      <w:pPr>
        <w:spacing w:line="360" w:lineRule="auto"/>
        <w:ind w:left="0" w:firstLine="0"/>
      </w:pPr>
      <w:bookmarkStart w:id="2166" w:name="_Toc179632717"/>
      <w:bookmarkStart w:id="2167" w:name="_Toc152042477"/>
      <w:bookmarkStart w:id="2168" w:name="_Toc152045699"/>
      <w:bookmarkStart w:id="2169" w:name="_Toc144974668"/>
      <w:r>
        <w:rPr>
          <w:rFonts w:hint="eastAsia"/>
        </w:rPr>
        <w:t>分包人向承包人报送工程质量报表的期限：</w:t>
      </w:r>
      <w:r>
        <w:t>。</w:t>
      </w:r>
    </w:p>
    <w:bookmarkEnd w:id="2166"/>
    <w:bookmarkEnd w:id="2167"/>
    <w:bookmarkEnd w:id="2168"/>
    <w:bookmarkEnd w:id="2169"/>
    <w:p>
      <w:pPr>
        <w:spacing w:line="360" w:lineRule="auto"/>
        <w:ind w:left="0" w:firstLine="0"/>
      </w:pPr>
      <w:bookmarkStart w:id="2170" w:name="_Toc144974669"/>
      <w:bookmarkStart w:id="2171" w:name="_Toc152042478"/>
      <w:bookmarkStart w:id="2172" w:name="_Toc179632718"/>
      <w:bookmarkStart w:id="2173" w:name="_Toc152045700"/>
      <w:r>
        <w:rPr>
          <w:rFonts w:hint="eastAsia"/>
        </w:rPr>
        <w:t>分包人向承包人报送工程质量报表的要求：</w:t>
      </w:r>
      <w:r>
        <w:t>。</w:t>
      </w:r>
    </w:p>
    <w:p>
      <w:pPr>
        <w:spacing w:line="360" w:lineRule="auto"/>
        <w:ind w:left="0" w:firstLine="0"/>
      </w:pPr>
      <w:r>
        <w:rPr>
          <w:rFonts w:hint="eastAsia"/>
        </w:rPr>
        <w:t>承包人审查工程质量报表的期限：</w:t>
      </w:r>
      <w:r>
        <w:t>。</w:t>
      </w:r>
    </w:p>
    <w:p>
      <w:pPr>
        <w:spacing w:line="360" w:lineRule="auto"/>
        <w:ind w:left="0" w:firstLine="0"/>
      </w:pPr>
      <w:bookmarkStart w:id="2174" w:name="_Toc393200235"/>
      <w:bookmarkStart w:id="2175" w:name="_Toc403054575"/>
      <w:bookmarkStart w:id="2176" w:name="_Toc403059757"/>
      <w:bookmarkStart w:id="2177" w:name="_Toc403052815"/>
      <w:bookmarkStart w:id="2178" w:name="_Toc241459711"/>
      <w:bookmarkStart w:id="2179" w:name="_Toc391456395"/>
      <w:bookmarkStart w:id="2180" w:name="_Toc393200749"/>
      <w:bookmarkStart w:id="2181" w:name="_Toc342296470"/>
      <w:r>
        <w:rPr>
          <w:rFonts w:hint="eastAsia"/>
        </w:rPr>
        <w:t>1</w:t>
      </w:r>
      <w:r>
        <w:t>3</w:t>
      </w:r>
      <w:r>
        <w:rPr>
          <w:rFonts w:hint="eastAsia"/>
        </w:rPr>
        <w:t>.4　承包人的质量检查</w:t>
      </w:r>
      <w:bookmarkEnd w:id="2174"/>
      <w:bookmarkEnd w:id="2175"/>
      <w:bookmarkEnd w:id="2176"/>
      <w:bookmarkEnd w:id="2177"/>
      <w:bookmarkEnd w:id="2178"/>
      <w:bookmarkEnd w:id="2179"/>
      <w:bookmarkEnd w:id="2180"/>
      <w:bookmarkEnd w:id="2181"/>
    </w:p>
    <w:p>
      <w:pPr>
        <w:spacing w:line="360" w:lineRule="auto"/>
        <w:ind w:left="0" w:firstLine="0"/>
      </w:pPr>
      <w:r>
        <w:rPr>
          <w:rFonts w:hint="eastAsia"/>
        </w:rPr>
        <w:t>分包人应当为承包人的检查和检验提供方便，承包人可以进行察看和查阅施工原始记录的其他地方包括：。</w:t>
      </w:r>
    </w:p>
    <w:p>
      <w:pPr>
        <w:spacing w:line="360" w:lineRule="auto"/>
        <w:ind w:left="0" w:firstLine="0"/>
      </w:pPr>
      <w:bookmarkStart w:id="2182" w:name="_Toc391456396"/>
      <w:bookmarkStart w:id="2183" w:name="_Toc342296471"/>
      <w:bookmarkStart w:id="2184" w:name="_Toc393200750"/>
      <w:bookmarkStart w:id="2185" w:name="_Toc403054576"/>
      <w:bookmarkStart w:id="2186" w:name="_Toc241459712"/>
      <w:bookmarkStart w:id="2187" w:name="_Toc403052816"/>
      <w:bookmarkStart w:id="2188" w:name="_Toc403059758"/>
      <w:bookmarkStart w:id="2189" w:name="_Toc393200236"/>
      <w:r>
        <w:rPr>
          <w:rFonts w:hint="eastAsia"/>
        </w:rPr>
        <w:t>1</w:t>
      </w:r>
      <w:r>
        <w:t>3</w:t>
      </w:r>
      <w:r>
        <w:rPr>
          <w:rFonts w:hint="eastAsia"/>
        </w:rPr>
        <w:t>.5　工程隐蔽部位覆盖前的检查</w:t>
      </w:r>
      <w:bookmarkEnd w:id="2170"/>
      <w:bookmarkEnd w:id="2171"/>
      <w:bookmarkEnd w:id="2172"/>
      <w:bookmarkEnd w:id="2173"/>
      <w:bookmarkEnd w:id="2182"/>
      <w:bookmarkEnd w:id="2183"/>
      <w:bookmarkEnd w:id="2184"/>
      <w:bookmarkEnd w:id="2185"/>
      <w:bookmarkEnd w:id="2186"/>
      <w:bookmarkEnd w:id="2187"/>
      <w:bookmarkEnd w:id="2188"/>
      <w:bookmarkEnd w:id="2189"/>
    </w:p>
    <w:p>
      <w:pPr>
        <w:spacing w:line="360" w:lineRule="auto"/>
        <w:ind w:left="0" w:firstLine="0"/>
      </w:pPr>
      <w:r>
        <w:t>13.</w:t>
      </w:r>
      <w:r>
        <w:rPr>
          <w:rFonts w:hint="eastAsia"/>
        </w:rPr>
        <w:t>5</w:t>
      </w:r>
      <w:r>
        <w:t>.</w:t>
      </w:r>
      <w:r>
        <w:rPr>
          <w:rFonts w:hint="eastAsia"/>
        </w:rPr>
        <w:t>1　承包人对工程隐蔽部位进行检查的期限：。</w:t>
      </w:r>
    </w:p>
    <w:p>
      <w:pPr>
        <w:spacing w:line="360" w:lineRule="auto"/>
        <w:ind w:left="0" w:firstLine="0"/>
      </w:pPr>
      <w:bookmarkStart w:id="2190" w:name="_Toc403052817"/>
      <w:bookmarkStart w:id="2191" w:name="_Toc403059759"/>
      <w:bookmarkStart w:id="2192" w:name="_Toc241459714"/>
      <w:bookmarkStart w:id="2193" w:name="_Toc152042484"/>
      <w:bookmarkStart w:id="2194" w:name="_Toc152045706"/>
      <w:bookmarkStart w:id="2195" w:name="_Toc391456398"/>
      <w:bookmarkStart w:id="2196" w:name="_Toc179632724"/>
      <w:bookmarkStart w:id="2197" w:name="_Toc342296473"/>
      <w:bookmarkStart w:id="2198" w:name="_Toc144974675"/>
      <w:r>
        <w:rPr>
          <w:rFonts w:hint="eastAsia"/>
        </w:rPr>
        <w:t>1</w:t>
      </w:r>
      <w:r>
        <w:t>5</w:t>
      </w:r>
      <w:r>
        <w:rPr>
          <w:rFonts w:hint="eastAsia"/>
        </w:rPr>
        <w:t>. 变更</w:t>
      </w:r>
      <w:bookmarkEnd w:id="2190"/>
      <w:bookmarkEnd w:id="2191"/>
      <w:bookmarkEnd w:id="2192"/>
      <w:bookmarkEnd w:id="2193"/>
      <w:bookmarkEnd w:id="2194"/>
      <w:bookmarkEnd w:id="2195"/>
      <w:bookmarkEnd w:id="2196"/>
      <w:bookmarkEnd w:id="2197"/>
      <w:bookmarkEnd w:id="2198"/>
    </w:p>
    <w:p>
      <w:pPr>
        <w:spacing w:line="360" w:lineRule="auto"/>
        <w:ind w:left="0" w:firstLine="0"/>
      </w:pPr>
      <w:bookmarkStart w:id="2199" w:name="_Toc403052818"/>
      <w:bookmarkStart w:id="2200" w:name="_Toc152045707"/>
      <w:bookmarkStart w:id="2201" w:name="_Toc152042485"/>
      <w:bookmarkStart w:id="2202" w:name="_Toc403054578"/>
      <w:bookmarkStart w:id="2203" w:name="_Toc393200752"/>
      <w:bookmarkStart w:id="2204" w:name="_Toc241459715"/>
      <w:bookmarkStart w:id="2205" w:name="_Toc391456399"/>
      <w:bookmarkStart w:id="2206" w:name="_Toc342296474"/>
      <w:bookmarkStart w:id="2207" w:name="_Toc179632725"/>
      <w:bookmarkStart w:id="2208" w:name="_Toc403059760"/>
      <w:bookmarkStart w:id="2209" w:name="_Toc144974676"/>
      <w:bookmarkStart w:id="2210" w:name="_Toc393200238"/>
      <w:r>
        <w:rPr>
          <w:rFonts w:hint="eastAsia"/>
        </w:rPr>
        <w:t>1</w:t>
      </w:r>
      <w:r>
        <w:t>5</w:t>
      </w:r>
      <w:r>
        <w:rPr>
          <w:rFonts w:hint="eastAsia"/>
        </w:rPr>
        <w:t>.1　变更的范围和内容</w:t>
      </w:r>
      <w:bookmarkEnd w:id="2199"/>
      <w:bookmarkEnd w:id="2200"/>
      <w:bookmarkEnd w:id="2201"/>
      <w:bookmarkEnd w:id="2202"/>
      <w:bookmarkEnd w:id="2203"/>
      <w:bookmarkEnd w:id="2204"/>
      <w:bookmarkEnd w:id="2205"/>
      <w:bookmarkEnd w:id="2206"/>
      <w:bookmarkEnd w:id="2207"/>
      <w:bookmarkEnd w:id="2208"/>
      <w:bookmarkEnd w:id="2209"/>
      <w:bookmarkEnd w:id="2210"/>
    </w:p>
    <w:p>
      <w:pPr>
        <w:spacing w:line="360" w:lineRule="auto"/>
        <w:ind w:left="0" w:firstLine="0"/>
        <w:rPr>
          <w:u w:val="single"/>
        </w:rPr>
      </w:pPr>
      <w:r>
        <w:rPr>
          <w:rFonts w:hint="eastAsia"/>
        </w:rPr>
        <w:t>应当进行变更的其他情形：</w:t>
      </w:r>
    </w:p>
    <w:p>
      <w:pPr>
        <w:spacing w:line="360" w:lineRule="auto"/>
        <w:ind w:left="0" w:firstLine="0"/>
        <w:rPr>
          <w:u w:val="single"/>
        </w:rPr>
      </w:pPr>
      <w:r>
        <w:rPr>
          <w:rFonts w:hint="eastAsia"/>
        </w:rPr>
        <w:t>。</w:t>
      </w:r>
    </w:p>
    <w:p>
      <w:pPr>
        <w:spacing w:line="360" w:lineRule="auto"/>
        <w:ind w:left="0" w:firstLine="0"/>
      </w:pPr>
      <w:bookmarkStart w:id="2211" w:name="_Toc393200239"/>
      <w:bookmarkStart w:id="2212" w:name="_Toc144974678"/>
      <w:bookmarkStart w:id="2213" w:name="_Toc241459716"/>
      <w:bookmarkStart w:id="2214" w:name="_Toc403052819"/>
      <w:bookmarkStart w:id="2215" w:name="_Toc342296475"/>
      <w:bookmarkStart w:id="2216" w:name="_Toc152042487"/>
      <w:bookmarkStart w:id="2217" w:name="_Toc403054579"/>
      <w:bookmarkStart w:id="2218" w:name="_Toc393200753"/>
      <w:bookmarkStart w:id="2219" w:name="_Toc152045709"/>
      <w:bookmarkStart w:id="2220" w:name="_Toc403059761"/>
      <w:bookmarkStart w:id="2221" w:name="_Toc391456400"/>
      <w:bookmarkStart w:id="2222" w:name="_Toc179632727"/>
      <w:r>
        <w:rPr>
          <w:rFonts w:hint="eastAsia"/>
        </w:rPr>
        <w:t>1</w:t>
      </w:r>
      <w:r>
        <w:t>5</w:t>
      </w:r>
      <w:r>
        <w:rPr>
          <w:rFonts w:hint="eastAsia"/>
        </w:rPr>
        <w:t>.3　变更程序</w:t>
      </w:r>
      <w:bookmarkEnd w:id="2211"/>
      <w:bookmarkEnd w:id="2212"/>
      <w:bookmarkEnd w:id="2213"/>
      <w:bookmarkEnd w:id="2214"/>
      <w:bookmarkEnd w:id="2215"/>
      <w:bookmarkEnd w:id="2216"/>
      <w:bookmarkEnd w:id="2217"/>
      <w:bookmarkEnd w:id="2218"/>
      <w:bookmarkEnd w:id="2219"/>
      <w:bookmarkEnd w:id="2220"/>
      <w:bookmarkEnd w:id="2221"/>
      <w:bookmarkEnd w:id="2222"/>
    </w:p>
    <w:p>
      <w:pPr>
        <w:spacing w:line="360" w:lineRule="auto"/>
        <w:ind w:left="0" w:firstLine="0"/>
      </w:pPr>
      <w:r>
        <w:rPr>
          <w:rFonts w:hint="eastAsia"/>
        </w:rPr>
        <w:t>1</w:t>
      </w:r>
      <w:r>
        <w:t>5</w:t>
      </w:r>
      <w:r>
        <w:rPr>
          <w:rFonts w:hint="eastAsia"/>
        </w:rPr>
        <w:t>.3.2　变更估价</w:t>
      </w:r>
    </w:p>
    <w:p>
      <w:pPr>
        <w:spacing w:line="360" w:lineRule="auto"/>
        <w:ind w:left="0" w:firstLine="0"/>
      </w:pPr>
      <w:r>
        <w:rPr>
          <w:rFonts w:hint="eastAsia"/>
        </w:rPr>
        <w:t>（1）分包人提交变更报价书的期限：。</w:t>
      </w:r>
    </w:p>
    <w:p>
      <w:pPr>
        <w:spacing w:line="360" w:lineRule="auto"/>
        <w:ind w:left="0" w:firstLine="0"/>
      </w:pPr>
      <w:r>
        <w:rPr>
          <w:rFonts w:hint="eastAsia"/>
        </w:rPr>
        <w:t>（3）承包人与分包人商定变更价格的期限：。</w:t>
      </w:r>
    </w:p>
    <w:p>
      <w:pPr>
        <w:spacing w:line="360" w:lineRule="auto"/>
        <w:ind w:left="0" w:firstLine="0"/>
      </w:pPr>
      <w:bookmarkStart w:id="2223" w:name="_Toc144974679"/>
      <w:bookmarkStart w:id="2224" w:name="_Toc179632728"/>
      <w:bookmarkStart w:id="2225" w:name="_Toc391456401"/>
      <w:bookmarkStart w:id="2226" w:name="_Toc342296476"/>
      <w:bookmarkStart w:id="2227" w:name="_Toc403054580"/>
      <w:bookmarkStart w:id="2228" w:name="_Toc241459717"/>
      <w:bookmarkStart w:id="2229" w:name="_Toc393200240"/>
      <w:bookmarkStart w:id="2230" w:name="_Toc403052820"/>
      <w:bookmarkStart w:id="2231" w:name="_Toc403059762"/>
      <w:bookmarkStart w:id="2232" w:name="_Toc152042488"/>
      <w:bookmarkStart w:id="2233" w:name="_Toc152045710"/>
      <w:bookmarkStart w:id="2234" w:name="_Toc393200754"/>
      <w:r>
        <w:rPr>
          <w:rFonts w:hint="eastAsia"/>
        </w:rPr>
        <w:t>1</w:t>
      </w:r>
      <w:r>
        <w:t>5</w:t>
      </w:r>
      <w:r>
        <w:rPr>
          <w:rFonts w:hint="eastAsia"/>
        </w:rPr>
        <w:t>.4　变更的估价原则</w:t>
      </w:r>
      <w:bookmarkEnd w:id="2223"/>
      <w:bookmarkEnd w:id="2224"/>
      <w:bookmarkEnd w:id="2225"/>
      <w:bookmarkEnd w:id="2226"/>
      <w:bookmarkEnd w:id="2227"/>
      <w:bookmarkEnd w:id="2228"/>
      <w:bookmarkEnd w:id="2229"/>
      <w:bookmarkEnd w:id="2230"/>
      <w:bookmarkEnd w:id="2231"/>
      <w:bookmarkEnd w:id="2232"/>
      <w:bookmarkEnd w:id="2233"/>
      <w:bookmarkEnd w:id="2234"/>
    </w:p>
    <w:p>
      <w:pPr>
        <w:spacing w:line="360" w:lineRule="auto"/>
        <w:ind w:left="0" w:firstLine="0"/>
      </w:pPr>
      <w:r>
        <w:rPr>
          <w:rFonts w:hint="eastAsia"/>
        </w:rPr>
        <w:t>1</w:t>
      </w:r>
      <w:r>
        <w:t>5</w:t>
      </w:r>
      <w:r>
        <w:rPr>
          <w:rFonts w:hint="eastAsia"/>
        </w:rPr>
        <w:t>.4.5　合同协议书约定采用单价合同形式时，因非分包人原因引起已标价工程量清单中列明的工程量发生增减，且单个子目工程量变化幅度在%以内（含）时，应执行已标价工程量清单中列明的该子目的单价；单个子目工程量变化幅度在%以外（不含），且导致分部分项工程费总额变化幅度超过%时，由分包人提出并与承包人商定新的单价，该子目按修正后的新的单价计价。</w:t>
      </w:r>
    </w:p>
    <w:p>
      <w:pPr>
        <w:spacing w:line="360" w:lineRule="auto"/>
        <w:ind w:left="0" w:firstLine="0"/>
        <w:rPr>
          <w:u w:val="single"/>
        </w:rPr>
      </w:pPr>
      <w:r>
        <w:t>15</w:t>
      </w:r>
      <w:r>
        <w:rPr>
          <w:rFonts w:hint="eastAsia"/>
        </w:rPr>
        <w:t>.4.6　因变更引起价格调整的其他处理方式：</w:t>
      </w:r>
    </w:p>
    <w:p>
      <w:pPr>
        <w:spacing w:line="360" w:lineRule="auto"/>
        <w:ind w:left="0" w:firstLine="0"/>
      </w:pPr>
      <w:r>
        <w:rPr>
          <w:rFonts w:hint="eastAsia"/>
        </w:rPr>
        <w:t>。</w:t>
      </w:r>
    </w:p>
    <w:p>
      <w:pPr>
        <w:spacing w:line="360" w:lineRule="auto"/>
        <w:ind w:left="0" w:firstLine="0"/>
      </w:pPr>
      <w:bookmarkStart w:id="2235" w:name="_Toc393200241"/>
      <w:bookmarkStart w:id="2236" w:name="_Toc144974680"/>
      <w:bookmarkStart w:id="2237" w:name="_Toc403052821"/>
      <w:bookmarkStart w:id="2238" w:name="_Toc241459718"/>
      <w:bookmarkStart w:id="2239" w:name="_Toc152045711"/>
      <w:bookmarkStart w:id="2240" w:name="_Toc342296477"/>
      <w:bookmarkStart w:id="2241" w:name="_Toc403059763"/>
      <w:bookmarkStart w:id="2242" w:name="_Toc391456402"/>
      <w:bookmarkStart w:id="2243" w:name="_Toc403054581"/>
      <w:bookmarkStart w:id="2244" w:name="_Toc393200755"/>
      <w:bookmarkStart w:id="2245" w:name="_Toc179632729"/>
      <w:bookmarkStart w:id="2246" w:name="_Toc152042489"/>
      <w:r>
        <w:rPr>
          <w:rFonts w:hint="eastAsia"/>
        </w:rPr>
        <w:t>1</w:t>
      </w:r>
      <w:r>
        <w:t>5</w:t>
      </w:r>
      <w:r>
        <w:rPr>
          <w:rFonts w:hint="eastAsia"/>
        </w:rPr>
        <w:t>.5　分包人的合理化建议</w:t>
      </w:r>
      <w:bookmarkEnd w:id="2235"/>
      <w:bookmarkEnd w:id="2236"/>
      <w:bookmarkEnd w:id="2237"/>
      <w:bookmarkEnd w:id="2238"/>
      <w:bookmarkEnd w:id="2239"/>
      <w:bookmarkEnd w:id="2240"/>
      <w:bookmarkEnd w:id="2241"/>
      <w:bookmarkEnd w:id="2242"/>
      <w:bookmarkEnd w:id="2243"/>
      <w:bookmarkEnd w:id="2244"/>
      <w:bookmarkEnd w:id="2245"/>
      <w:bookmarkEnd w:id="2246"/>
    </w:p>
    <w:p>
      <w:pPr>
        <w:spacing w:line="360" w:lineRule="auto"/>
        <w:ind w:left="0" w:firstLine="0"/>
        <w:rPr>
          <w:u w:val="single"/>
        </w:rPr>
      </w:pPr>
      <w:r>
        <w:rPr>
          <w:rFonts w:hint="eastAsia"/>
        </w:rPr>
        <w:t>1</w:t>
      </w:r>
      <w:r>
        <w:t>5</w:t>
      </w:r>
      <w:r>
        <w:rPr>
          <w:rFonts w:hint="eastAsia"/>
        </w:rPr>
        <w:t>.5.2　对分包人提出合理化建议的奖励方法：</w:t>
      </w:r>
    </w:p>
    <w:p>
      <w:pPr>
        <w:spacing w:line="360" w:lineRule="auto"/>
        <w:ind w:left="0" w:firstLine="0"/>
      </w:pPr>
      <w:r>
        <w:rPr>
          <w:rFonts w:hint="eastAsia"/>
        </w:rPr>
        <w:t>。</w:t>
      </w:r>
    </w:p>
    <w:p>
      <w:pPr>
        <w:spacing w:line="360" w:lineRule="auto"/>
        <w:ind w:left="0" w:firstLine="0"/>
      </w:pPr>
      <w:bookmarkStart w:id="2247" w:name="_Toc391456404"/>
      <w:bookmarkStart w:id="2248" w:name="_Toc342296479"/>
      <w:bookmarkStart w:id="2249" w:name="_Toc144974684"/>
      <w:bookmarkStart w:id="2250" w:name="_Toc403059764"/>
      <w:bookmarkStart w:id="2251" w:name="_Toc152042493"/>
      <w:bookmarkStart w:id="2252" w:name="_Toc241459720"/>
      <w:bookmarkStart w:id="2253" w:name="_Toc152045715"/>
      <w:bookmarkStart w:id="2254" w:name="_Toc179632733"/>
      <w:bookmarkStart w:id="2255" w:name="_Toc403052822"/>
      <w:r>
        <w:rPr>
          <w:rFonts w:hint="eastAsia"/>
        </w:rPr>
        <w:t>1</w:t>
      </w:r>
      <w:r>
        <w:t>6</w:t>
      </w:r>
      <w:r>
        <w:rPr>
          <w:rFonts w:hint="eastAsia"/>
        </w:rPr>
        <w:t>. 价格调整</w:t>
      </w:r>
      <w:bookmarkEnd w:id="2247"/>
      <w:bookmarkEnd w:id="2248"/>
      <w:bookmarkEnd w:id="2249"/>
      <w:bookmarkEnd w:id="2250"/>
      <w:bookmarkEnd w:id="2251"/>
      <w:bookmarkEnd w:id="2252"/>
      <w:bookmarkEnd w:id="2253"/>
      <w:bookmarkEnd w:id="2254"/>
      <w:bookmarkEnd w:id="2255"/>
    </w:p>
    <w:p>
      <w:pPr>
        <w:spacing w:line="360" w:lineRule="auto"/>
        <w:ind w:left="0" w:firstLine="0"/>
      </w:pPr>
      <w:bookmarkStart w:id="2256" w:name="_Toc391456405"/>
      <w:bookmarkStart w:id="2257" w:name="_Toc152042494"/>
      <w:bookmarkStart w:id="2258" w:name="_Toc403059765"/>
      <w:bookmarkStart w:id="2259" w:name="_Toc393200758"/>
      <w:bookmarkStart w:id="2260" w:name="_Toc241459721"/>
      <w:bookmarkStart w:id="2261" w:name="_Toc342296480"/>
      <w:bookmarkStart w:id="2262" w:name="_Toc403052823"/>
      <w:bookmarkStart w:id="2263" w:name="_Toc403054583"/>
      <w:bookmarkStart w:id="2264" w:name="_Toc152045716"/>
      <w:bookmarkStart w:id="2265" w:name="_Toc393200244"/>
      <w:bookmarkStart w:id="2266" w:name="_Toc144974685"/>
      <w:bookmarkStart w:id="2267" w:name="_Toc179632734"/>
      <w:r>
        <w:rPr>
          <w:rFonts w:hint="eastAsia"/>
        </w:rPr>
        <w:t>1</w:t>
      </w:r>
      <w:r>
        <w:t>6</w:t>
      </w:r>
      <w:r>
        <w:rPr>
          <w:rFonts w:hint="eastAsia"/>
        </w:rPr>
        <w:t>.1　物价波动引起的价格调整</w:t>
      </w:r>
      <w:bookmarkEnd w:id="2256"/>
      <w:bookmarkEnd w:id="2257"/>
      <w:bookmarkEnd w:id="2258"/>
      <w:bookmarkEnd w:id="2259"/>
      <w:bookmarkEnd w:id="2260"/>
      <w:bookmarkEnd w:id="2261"/>
      <w:bookmarkEnd w:id="2262"/>
      <w:bookmarkEnd w:id="2263"/>
      <w:bookmarkEnd w:id="2264"/>
      <w:bookmarkEnd w:id="2265"/>
      <w:bookmarkEnd w:id="2266"/>
      <w:bookmarkEnd w:id="2267"/>
    </w:p>
    <w:p>
      <w:pPr>
        <w:spacing w:line="360" w:lineRule="auto"/>
        <w:ind w:left="0" w:firstLine="0"/>
      </w:pPr>
      <w:r>
        <w:rPr>
          <w:rFonts w:hint="eastAsia"/>
        </w:rPr>
        <w:t>物价波动引起的价格调整方法：。</w:t>
      </w:r>
    </w:p>
    <w:p>
      <w:pPr>
        <w:spacing w:line="360" w:lineRule="auto"/>
        <w:ind w:left="0" w:firstLine="0"/>
      </w:pPr>
      <w:r>
        <w:rPr>
          <w:rFonts w:hint="eastAsia"/>
        </w:rPr>
        <w:t>其他约定：。</w:t>
      </w:r>
    </w:p>
    <w:p>
      <w:pPr>
        <w:spacing w:line="360" w:lineRule="auto"/>
        <w:ind w:left="0" w:firstLine="0"/>
      </w:pPr>
      <w:bookmarkStart w:id="2268" w:name="_Toc152042497"/>
      <w:bookmarkStart w:id="2269" w:name="_Toc179632736"/>
      <w:bookmarkStart w:id="2270" w:name="_Toc391456406"/>
      <w:bookmarkStart w:id="2271" w:name="_Toc152045718"/>
      <w:bookmarkStart w:id="2272" w:name="_Toc144974689"/>
      <w:bookmarkStart w:id="2273" w:name="_Toc241459722"/>
      <w:bookmarkStart w:id="2274" w:name="_Toc403052824"/>
      <w:bookmarkStart w:id="2275" w:name="_Toc342296481"/>
      <w:bookmarkStart w:id="2276" w:name="_Toc403059766"/>
      <w:r>
        <w:t>17</w:t>
      </w:r>
      <w:r>
        <w:rPr>
          <w:rFonts w:hint="eastAsia"/>
        </w:rPr>
        <w:t>. 计量与支付</w:t>
      </w:r>
      <w:bookmarkEnd w:id="2268"/>
      <w:bookmarkEnd w:id="2269"/>
      <w:bookmarkEnd w:id="2270"/>
      <w:bookmarkEnd w:id="2271"/>
      <w:bookmarkEnd w:id="2272"/>
      <w:bookmarkEnd w:id="2273"/>
      <w:bookmarkEnd w:id="2274"/>
      <w:bookmarkEnd w:id="2275"/>
      <w:bookmarkEnd w:id="2276"/>
    </w:p>
    <w:p>
      <w:pPr>
        <w:spacing w:line="360" w:lineRule="auto"/>
        <w:ind w:left="0" w:firstLine="0"/>
      </w:pPr>
      <w:bookmarkStart w:id="2277" w:name="_Toc393200246"/>
      <w:bookmarkStart w:id="2278" w:name="_Toc342296482"/>
      <w:bookmarkStart w:id="2279" w:name="_Toc403052825"/>
      <w:bookmarkStart w:id="2280" w:name="_Toc152045719"/>
      <w:bookmarkStart w:id="2281" w:name="_Toc403059767"/>
      <w:bookmarkStart w:id="2282" w:name="_Toc393200760"/>
      <w:bookmarkStart w:id="2283" w:name="_Toc241459723"/>
      <w:bookmarkStart w:id="2284" w:name="_Toc403054585"/>
      <w:bookmarkStart w:id="2285" w:name="_Toc391456407"/>
      <w:bookmarkStart w:id="2286" w:name="_Toc179632737"/>
      <w:bookmarkStart w:id="2287" w:name="_Toc144974690"/>
      <w:bookmarkStart w:id="2288" w:name="_Toc152042498"/>
      <w:r>
        <w:t>17</w:t>
      </w:r>
      <w:r>
        <w:rPr>
          <w:rFonts w:hint="eastAsia"/>
        </w:rPr>
        <w:t>.1　计量</w:t>
      </w:r>
      <w:bookmarkEnd w:id="2277"/>
      <w:bookmarkEnd w:id="2278"/>
      <w:bookmarkEnd w:id="2279"/>
      <w:bookmarkEnd w:id="2280"/>
      <w:bookmarkEnd w:id="2281"/>
      <w:bookmarkEnd w:id="2282"/>
      <w:bookmarkEnd w:id="2283"/>
      <w:bookmarkEnd w:id="2284"/>
      <w:bookmarkEnd w:id="2285"/>
      <w:bookmarkEnd w:id="2286"/>
      <w:bookmarkEnd w:id="2287"/>
      <w:bookmarkEnd w:id="2288"/>
    </w:p>
    <w:p>
      <w:pPr>
        <w:spacing w:line="360" w:lineRule="auto"/>
        <w:ind w:left="0" w:firstLine="0"/>
      </w:pPr>
      <w:r>
        <w:t>17</w:t>
      </w:r>
      <w:r>
        <w:rPr>
          <w:rFonts w:hint="eastAsia"/>
        </w:rPr>
        <w:t>.1.3　计量周期</w:t>
      </w:r>
    </w:p>
    <w:p>
      <w:pPr>
        <w:spacing w:line="360" w:lineRule="auto"/>
        <w:ind w:left="0" w:firstLine="0"/>
      </w:pPr>
      <w:r>
        <w:rPr>
          <w:rFonts w:hint="eastAsia"/>
        </w:rPr>
        <w:t>（1）分包合同的计量周期为月，每月日为当月计量截止日期（不含当日）和下月计量起始日期（含当日）。</w:t>
      </w:r>
    </w:p>
    <w:p>
      <w:pPr>
        <w:spacing w:line="360" w:lineRule="auto"/>
        <w:ind w:left="0" w:firstLine="0"/>
      </w:pPr>
      <w:r>
        <w:rPr>
          <w:rFonts w:hint="eastAsia"/>
        </w:rPr>
        <w:t>（2）分包合同（执行（采用单价合同形式时）/不执行（采用总价合同形式时））通用合同条款本项约定的单价子目计量。总价子目计量方法按专用合同条款第</w:t>
      </w:r>
      <w:r>
        <w:t>17.1.5</w:t>
      </w:r>
      <w:r>
        <w:rPr>
          <w:rFonts w:hint="eastAsia"/>
        </w:rPr>
        <w:t>项总价子目的计量--（支付分解报告/按实际完成工程量计量）。</w:t>
      </w:r>
    </w:p>
    <w:p>
      <w:pPr>
        <w:spacing w:line="360" w:lineRule="auto"/>
        <w:ind w:left="0" w:firstLine="0"/>
      </w:pPr>
      <w:r>
        <w:t>17</w:t>
      </w:r>
      <w:r>
        <w:rPr>
          <w:rFonts w:hint="eastAsia"/>
        </w:rPr>
        <w:t>.1.5　总价子目的计量—支付分解报告</w:t>
      </w:r>
    </w:p>
    <w:p>
      <w:pPr>
        <w:spacing w:line="360" w:lineRule="auto"/>
        <w:ind w:left="0" w:firstLine="0"/>
      </w:pPr>
      <w:r>
        <w:rPr>
          <w:rFonts w:hint="eastAsia"/>
        </w:rPr>
        <w:t>总价子目按照有合同约束力的支付分解表支付。分包人应根据合同条款第1</w:t>
      </w:r>
      <w:r>
        <w:t>0</w:t>
      </w:r>
      <w:r>
        <w:rPr>
          <w:rFonts w:hint="eastAsia"/>
        </w:rPr>
        <w:t>条约定的合同进度计划和总价子目的总价构成、费用性质、计划发生时间和相应工作量等因素对各个总价子目的总价按月进行分解，形成支付分解报告。分包人应当在收到经过承包人批复的合同进度计划后5天内，将支付分解报告以及形成支付分解报告的分项计量和总价分解等支持性资料报承包人审批，承包人应当在收到分包人报送的支付分解报告后14天内给予批复或提出修改意见，经承包人批准的支付分解报告为有合同约束力的支付分解表。支付</w:t>
      </w:r>
      <w:r>
        <w:t>分解</w:t>
      </w:r>
      <w:r>
        <w:rPr>
          <w:rFonts w:hint="eastAsia"/>
        </w:rPr>
        <w:t>表应根据合同条款第1</w:t>
      </w:r>
      <w:r>
        <w:t>0</w:t>
      </w:r>
      <w:r>
        <w:rPr>
          <w:rFonts w:hint="eastAsia"/>
        </w:rPr>
        <w:t>.2款约定的修订合同进度计划进行</w:t>
      </w:r>
      <w:r>
        <w:t>修正</w:t>
      </w:r>
      <w:r>
        <w:rPr>
          <w:rFonts w:hint="eastAsia"/>
        </w:rPr>
        <w:t>，修正的程序和期限应当依照本项上述约定，经修正的支付分解表为有合同约束力的支付分解表</w:t>
      </w:r>
      <w:r>
        <w:t>。</w:t>
      </w:r>
    </w:p>
    <w:p>
      <w:pPr>
        <w:spacing w:line="360" w:lineRule="auto"/>
        <w:ind w:left="0" w:firstLine="0"/>
      </w:pPr>
      <w:r>
        <w:rPr>
          <w:rFonts w:hint="eastAsia"/>
        </w:rPr>
        <w:t>（1）总价子目的价格调整方法：。</w:t>
      </w:r>
    </w:p>
    <w:p>
      <w:pPr>
        <w:spacing w:line="360" w:lineRule="auto"/>
        <w:ind w:left="0" w:firstLine="0"/>
      </w:pPr>
      <w:r>
        <w:rPr>
          <w:rFonts w:hint="eastAsia"/>
        </w:rPr>
        <w:t>（2）列入每月进度付款申请单中各总价子目的价值为有合同约束力的支付分解表中对应月份的总价子目总价值。</w:t>
      </w:r>
    </w:p>
    <w:p>
      <w:pPr>
        <w:spacing w:line="360" w:lineRule="auto"/>
        <w:ind w:left="0" w:firstLine="0"/>
      </w:pPr>
      <w:r>
        <w:rPr>
          <w:rFonts w:hint="eastAsia"/>
        </w:rPr>
        <w:t>（3）承包人根据有合同约束力的支付分解表复核列入每月进度付款申请单中的总价子目的总价值。</w:t>
      </w:r>
    </w:p>
    <w:p>
      <w:pPr>
        <w:spacing w:line="360" w:lineRule="auto"/>
        <w:ind w:left="0" w:firstLine="0"/>
      </w:pPr>
      <w:r>
        <w:rPr>
          <w:rFonts w:hint="eastAsia"/>
        </w:rPr>
        <w:t>（4）除按照第1</w:t>
      </w:r>
      <w:r>
        <w:t>5</w:t>
      </w:r>
      <w:r>
        <w:rPr>
          <w:rFonts w:hint="eastAsia"/>
        </w:rPr>
        <w:t>条约定的变更外，在完工结算时总价子目的工程量不应当重新计量，签约合同价所基于的工程量即是用于完工结算的最终工程量。</w:t>
      </w:r>
    </w:p>
    <w:p>
      <w:pPr>
        <w:spacing w:line="360" w:lineRule="auto"/>
        <w:ind w:left="0" w:firstLine="0"/>
      </w:pPr>
      <w:bookmarkStart w:id="2289" w:name="_Toc144974691"/>
      <w:bookmarkStart w:id="2290" w:name="_Toc179632738"/>
      <w:bookmarkStart w:id="2291" w:name="_Toc152042499"/>
      <w:bookmarkStart w:id="2292" w:name="_Toc152045720"/>
      <w:r>
        <w:t>17</w:t>
      </w:r>
      <w:r>
        <w:rPr>
          <w:rFonts w:hint="eastAsia"/>
        </w:rPr>
        <w:t>.1.5　总价子目的计量--按实际完成工程量计量</w:t>
      </w:r>
    </w:p>
    <w:p>
      <w:pPr>
        <w:spacing w:line="360" w:lineRule="auto"/>
        <w:ind w:left="0" w:firstLine="0"/>
      </w:pPr>
      <w:r>
        <w:rPr>
          <w:rFonts w:hint="eastAsia"/>
        </w:rPr>
        <w:t>（1）总价子目的价格调整方法：。总价子目的计量和支付应以总价为基础，对分包人实际完成的工程量进行计量，是进行工程目标管理和控制进度款支付的依据。</w:t>
      </w:r>
    </w:p>
    <w:p>
      <w:pPr>
        <w:spacing w:line="360" w:lineRule="auto"/>
        <w:ind w:left="0" w:firstLine="0"/>
      </w:pPr>
      <w:r>
        <w:rPr>
          <w:rFonts w:hint="eastAsia"/>
        </w:rPr>
        <w:t>（2）分包人在专用合同条款第</w:t>
      </w:r>
      <w:r>
        <w:t>17</w:t>
      </w:r>
      <w:r>
        <w:rPr>
          <w:rFonts w:hint="eastAsia"/>
        </w:rPr>
        <w:t>.1.3（1）目约定的每月计量截止日期后，对已完成的分部分项工程和单价措施项目的子目，按照专用合同条款第</w:t>
      </w:r>
      <w:r>
        <w:t>17</w:t>
      </w:r>
      <w:r>
        <w:rPr>
          <w:rFonts w:hint="eastAsia"/>
        </w:rPr>
        <w:t>.1.2项约定的计量方法进行计量，对已完成的总价措施项目的相关子目，按其总价构成、费用性质和实际发生比例进行计量，向承包人提交进度付款申请单、已完成工程量报表和有关计量资料。</w:t>
      </w:r>
    </w:p>
    <w:p>
      <w:pPr>
        <w:spacing w:line="360" w:lineRule="auto"/>
        <w:ind w:left="0" w:firstLine="0"/>
      </w:pPr>
      <w:r>
        <w:rPr>
          <w:rFonts w:hint="eastAsia"/>
        </w:rPr>
        <w:t>（3）承包人对分包人提交的工程量报表进行复核，以确定实际完成的工程量。对数量有异议的，可要求分包人进行共同复核。分包人应协助承包人进行复核并按承包人要求提供补充计量资料。分包人未按承包人要求参加复核，承包人复核或修正的工程量视为分包人实际完成的工程量。</w:t>
      </w:r>
    </w:p>
    <w:p>
      <w:pPr>
        <w:spacing w:line="360" w:lineRule="auto"/>
        <w:ind w:left="0" w:firstLine="0"/>
      </w:pPr>
      <w:r>
        <w:rPr>
          <w:rFonts w:hint="eastAsia"/>
        </w:rPr>
        <w:t>（4）承包人应在收到分包人提交的工程量报表后的14天内进行复核，承包人未在约定时间内复核的，分包人提交的工程量报表中的工程量视为承包人实际完成的工程量，据此计算工程价款。</w:t>
      </w:r>
    </w:p>
    <w:p>
      <w:pPr>
        <w:spacing w:line="360" w:lineRule="auto"/>
        <w:ind w:left="0" w:firstLine="0"/>
      </w:pPr>
      <w:r>
        <w:rPr>
          <w:rFonts w:hint="eastAsia"/>
        </w:rPr>
        <w:t>（5）除按照第15条约定的变更外，在完工结算时总价子目的工程量不应当重新计量，签约合同价所基于的工程量即是用于完工结算的最终工程量。</w:t>
      </w:r>
    </w:p>
    <w:p>
      <w:pPr>
        <w:spacing w:line="360" w:lineRule="auto"/>
        <w:ind w:left="0" w:firstLine="0"/>
      </w:pPr>
      <w:bookmarkStart w:id="2293" w:name="_Toc391456408"/>
      <w:bookmarkStart w:id="2294" w:name="_Toc393200761"/>
      <w:bookmarkStart w:id="2295" w:name="_Toc403059768"/>
      <w:bookmarkStart w:id="2296" w:name="_Toc342296483"/>
      <w:bookmarkStart w:id="2297" w:name="_Toc403054586"/>
      <w:bookmarkStart w:id="2298" w:name="_Toc241459724"/>
      <w:bookmarkStart w:id="2299" w:name="_Toc393200247"/>
      <w:bookmarkStart w:id="2300" w:name="_Toc403052826"/>
      <w:r>
        <w:t>17</w:t>
      </w:r>
      <w:r>
        <w:rPr>
          <w:rFonts w:hint="eastAsia"/>
        </w:rPr>
        <w:t>.2　预付款</w:t>
      </w:r>
      <w:bookmarkEnd w:id="2289"/>
      <w:bookmarkEnd w:id="2290"/>
      <w:bookmarkEnd w:id="2291"/>
      <w:bookmarkEnd w:id="2292"/>
      <w:bookmarkEnd w:id="2293"/>
      <w:bookmarkEnd w:id="2294"/>
      <w:bookmarkEnd w:id="2295"/>
      <w:bookmarkEnd w:id="2296"/>
      <w:bookmarkEnd w:id="2297"/>
      <w:bookmarkEnd w:id="2298"/>
      <w:bookmarkEnd w:id="2299"/>
      <w:bookmarkEnd w:id="2300"/>
    </w:p>
    <w:p>
      <w:pPr>
        <w:spacing w:line="360" w:lineRule="auto"/>
        <w:ind w:left="0" w:firstLine="0"/>
      </w:pPr>
      <w:r>
        <w:t>17</w:t>
      </w:r>
      <w:r>
        <w:rPr>
          <w:rFonts w:hint="eastAsia"/>
        </w:rPr>
        <w:t>.2.1　预付款</w:t>
      </w:r>
    </w:p>
    <w:p>
      <w:pPr>
        <w:spacing w:line="360" w:lineRule="auto"/>
        <w:ind w:left="0" w:firstLine="0"/>
      </w:pPr>
      <w:r>
        <w:t>（1）</w:t>
      </w:r>
      <w:r>
        <w:rPr>
          <w:rFonts w:hint="eastAsia"/>
        </w:rPr>
        <w:t>预付款额度</w:t>
      </w:r>
    </w:p>
    <w:p>
      <w:pPr>
        <w:spacing w:line="360" w:lineRule="auto"/>
        <w:ind w:left="0" w:firstLine="0"/>
      </w:pPr>
      <w:r>
        <w:rPr>
          <w:rFonts w:hint="eastAsia"/>
        </w:rPr>
        <w:t xml:space="preserve">分部分项工程部分的预付款额度：。 </w:t>
      </w:r>
    </w:p>
    <w:p>
      <w:pPr>
        <w:spacing w:line="360" w:lineRule="auto"/>
        <w:ind w:left="0" w:firstLine="0"/>
      </w:pPr>
      <w:r>
        <w:rPr>
          <w:rFonts w:hint="eastAsia"/>
        </w:rPr>
        <w:t xml:space="preserve">措施项目部分预付款额度：。 </w:t>
      </w:r>
    </w:p>
    <w:p>
      <w:pPr>
        <w:spacing w:line="360" w:lineRule="auto"/>
        <w:ind w:left="0" w:firstLine="0"/>
      </w:pPr>
      <w:r>
        <w:rPr>
          <w:rFonts w:hint="eastAsia"/>
        </w:rPr>
        <w:t>其中：安全文明施工费用预付额度：。</w:t>
      </w:r>
    </w:p>
    <w:p>
      <w:pPr>
        <w:spacing w:line="360" w:lineRule="auto"/>
        <w:ind w:left="0" w:firstLine="0"/>
      </w:pPr>
      <w:r>
        <w:t>（2）</w:t>
      </w:r>
      <w:r>
        <w:rPr>
          <w:rFonts w:hint="eastAsia"/>
        </w:rPr>
        <w:t>预付办法</w:t>
      </w:r>
    </w:p>
    <w:p>
      <w:pPr>
        <w:spacing w:line="360" w:lineRule="auto"/>
        <w:ind w:left="0" w:firstLine="0"/>
      </w:pPr>
      <w:r>
        <w:rPr>
          <w:rFonts w:hint="eastAsia"/>
        </w:rPr>
        <w:t xml:space="preserve">预付款预付办法：。                                                          </w:t>
      </w:r>
    </w:p>
    <w:p>
      <w:pPr>
        <w:spacing w:line="360" w:lineRule="auto"/>
        <w:ind w:left="0" w:firstLine="0"/>
      </w:pPr>
      <w:r>
        <w:rPr>
          <w:rFonts w:hint="eastAsia"/>
        </w:rPr>
        <w:t>预付款的支付时间：。</w:t>
      </w:r>
    </w:p>
    <w:p>
      <w:pPr>
        <w:spacing w:line="360" w:lineRule="auto"/>
        <w:ind w:left="0" w:firstLine="0"/>
      </w:pPr>
      <w:r>
        <w:t>17</w:t>
      </w:r>
      <w:r>
        <w:rPr>
          <w:rFonts w:hint="eastAsia"/>
        </w:rPr>
        <w:t>.2.2　预付款保函</w:t>
      </w:r>
    </w:p>
    <w:p>
      <w:pPr>
        <w:spacing w:line="360" w:lineRule="auto"/>
        <w:ind w:left="0" w:firstLine="0"/>
      </w:pPr>
      <w:r>
        <w:t>承包人</w:t>
      </w:r>
      <w:r>
        <w:rPr>
          <w:rFonts w:hint="eastAsia"/>
        </w:rPr>
        <w:t>（</w:t>
      </w:r>
      <w:r>
        <w:t>要求</w:t>
      </w:r>
      <w:r>
        <w:rPr>
          <w:rFonts w:hint="eastAsia"/>
        </w:rPr>
        <w:t>/不要求）</w:t>
      </w:r>
      <w:r>
        <w:t>分包人提供</w:t>
      </w:r>
      <w:r>
        <w:rPr>
          <w:rFonts w:hint="eastAsia"/>
        </w:rPr>
        <w:t>预付款保函。</w:t>
      </w:r>
    </w:p>
    <w:p>
      <w:pPr>
        <w:spacing w:line="360" w:lineRule="auto"/>
        <w:ind w:left="0" w:firstLine="0"/>
        <w:rPr>
          <w:u w:val="single"/>
        </w:rPr>
      </w:pPr>
      <w:r>
        <w:rPr>
          <w:rFonts w:hint="eastAsia"/>
        </w:rPr>
        <w:t>预付款保函的金额与预付款金额相同。预付款保函的提交时间：</w:t>
      </w:r>
    </w:p>
    <w:p>
      <w:pPr>
        <w:spacing w:line="360" w:lineRule="auto"/>
        <w:ind w:left="0" w:firstLine="0"/>
      </w:pPr>
      <w:r>
        <w:rPr>
          <w:rFonts w:hint="eastAsia"/>
        </w:rPr>
        <w:t>。</w:t>
      </w:r>
    </w:p>
    <w:p>
      <w:pPr>
        <w:spacing w:line="360" w:lineRule="auto"/>
        <w:ind w:left="0" w:firstLine="0"/>
      </w:pPr>
      <w:r>
        <w:t>17</w:t>
      </w:r>
      <w:r>
        <w:rPr>
          <w:rFonts w:hint="eastAsia"/>
        </w:rPr>
        <w:t>.2.3　预付款的扣回与还清</w:t>
      </w:r>
    </w:p>
    <w:p>
      <w:pPr>
        <w:spacing w:line="360" w:lineRule="auto"/>
        <w:ind w:left="0" w:firstLine="0"/>
      </w:pPr>
      <w:bookmarkStart w:id="2301" w:name="_Toc152045721"/>
      <w:bookmarkStart w:id="2302" w:name="_Toc152042500"/>
      <w:bookmarkStart w:id="2303" w:name="_Toc144974692"/>
      <w:bookmarkStart w:id="2304" w:name="_Toc179632739"/>
      <w:r>
        <w:rPr>
          <w:rFonts w:hint="eastAsia"/>
        </w:rPr>
        <w:t xml:space="preserve">预付款的扣回办法：。 </w:t>
      </w:r>
    </w:p>
    <w:p>
      <w:pPr>
        <w:spacing w:line="360" w:lineRule="auto"/>
        <w:ind w:left="0" w:firstLine="0"/>
      </w:pPr>
      <w:bookmarkStart w:id="2305" w:name="_Toc391456409"/>
      <w:bookmarkStart w:id="2306" w:name="_Toc241459725"/>
      <w:bookmarkStart w:id="2307" w:name="_Toc342296484"/>
      <w:r>
        <w:t>17</w:t>
      </w:r>
      <w:r>
        <w:rPr>
          <w:rFonts w:hint="eastAsia"/>
        </w:rPr>
        <w:t>.3　工程进度付款</w:t>
      </w:r>
      <w:bookmarkEnd w:id="2301"/>
      <w:bookmarkEnd w:id="2302"/>
      <w:bookmarkEnd w:id="2303"/>
      <w:bookmarkEnd w:id="2304"/>
      <w:bookmarkEnd w:id="2305"/>
      <w:bookmarkEnd w:id="2306"/>
      <w:bookmarkEnd w:id="2307"/>
    </w:p>
    <w:p>
      <w:pPr>
        <w:spacing w:line="360" w:lineRule="auto"/>
        <w:ind w:left="0" w:firstLine="0"/>
      </w:pPr>
      <w:r>
        <w:t>17</w:t>
      </w:r>
      <w:r>
        <w:rPr>
          <w:rFonts w:hint="eastAsia"/>
        </w:rPr>
        <w:t>.3.2　进度付款申请单</w:t>
      </w:r>
    </w:p>
    <w:p>
      <w:pPr>
        <w:spacing w:line="360" w:lineRule="auto"/>
        <w:ind w:left="0" w:firstLine="0"/>
      </w:pPr>
      <w:r>
        <w:rPr>
          <w:rFonts w:hint="eastAsia"/>
        </w:rPr>
        <w:t>进度付款申请单的份数：。</w:t>
      </w:r>
    </w:p>
    <w:p>
      <w:pPr>
        <w:spacing w:line="360" w:lineRule="auto"/>
        <w:ind w:left="0" w:firstLine="0"/>
        <w:rPr>
          <w:u w:val="single"/>
        </w:rPr>
      </w:pPr>
      <w:r>
        <w:rPr>
          <w:rFonts w:hint="eastAsia"/>
        </w:rPr>
        <w:t xml:space="preserve">进度付款申请单的内容：。 </w:t>
      </w:r>
    </w:p>
    <w:p>
      <w:pPr>
        <w:spacing w:line="360" w:lineRule="auto"/>
        <w:ind w:left="0" w:firstLine="0"/>
      </w:pPr>
      <w:r>
        <w:t>17</w:t>
      </w:r>
      <w:r>
        <w:rPr>
          <w:rFonts w:hint="eastAsia"/>
        </w:rPr>
        <w:t>.3.3　进度付款证书和支付时间</w:t>
      </w:r>
    </w:p>
    <w:p>
      <w:pPr>
        <w:spacing w:line="360" w:lineRule="auto"/>
        <w:ind w:left="0" w:firstLine="0"/>
      </w:pPr>
      <w:r>
        <w:rPr>
          <w:rFonts w:hint="eastAsia"/>
        </w:rPr>
        <w:t>（2）逾期付款违约金的计算标准为：。</w:t>
      </w:r>
    </w:p>
    <w:p>
      <w:pPr>
        <w:spacing w:line="360" w:lineRule="auto"/>
        <w:ind w:left="0" w:firstLine="0"/>
        <w:rPr>
          <w:u w:val="single"/>
        </w:rPr>
      </w:pPr>
      <w:r>
        <w:rPr>
          <w:rFonts w:hint="eastAsia"/>
        </w:rPr>
        <w:t>逾期付款违约金的计算方法为：</w:t>
      </w:r>
    </w:p>
    <w:p>
      <w:pPr>
        <w:spacing w:line="360" w:lineRule="auto"/>
        <w:ind w:left="0" w:firstLine="0"/>
      </w:pPr>
      <w:r>
        <w:rPr>
          <w:rFonts w:hint="eastAsia"/>
        </w:rPr>
        <w:t>。</w:t>
      </w:r>
    </w:p>
    <w:p>
      <w:pPr>
        <w:spacing w:line="360" w:lineRule="auto"/>
        <w:ind w:left="0" w:firstLine="0"/>
      </w:pPr>
      <w:r>
        <w:rPr>
          <w:rFonts w:hint="eastAsia"/>
        </w:rPr>
        <w:t>（4）进度付款涉及政府性资金的支付方法：。</w:t>
      </w:r>
    </w:p>
    <w:p>
      <w:pPr>
        <w:spacing w:line="360" w:lineRule="auto"/>
        <w:ind w:left="0" w:firstLine="0"/>
      </w:pPr>
      <w:bookmarkStart w:id="2308" w:name="_Toc179632741"/>
      <w:bookmarkStart w:id="2309" w:name="_Toc342296486"/>
      <w:bookmarkStart w:id="2310" w:name="_Toc403059769"/>
      <w:bookmarkStart w:id="2311" w:name="_Toc152045723"/>
      <w:bookmarkStart w:id="2312" w:name="_Toc241459727"/>
      <w:bookmarkStart w:id="2313" w:name="_Toc393200248"/>
      <w:bookmarkStart w:id="2314" w:name="_Toc152042502"/>
      <w:bookmarkStart w:id="2315" w:name="_Toc144974694"/>
      <w:bookmarkStart w:id="2316" w:name="_Toc403054587"/>
      <w:bookmarkStart w:id="2317" w:name="_Toc393200762"/>
      <w:bookmarkStart w:id="2318" w:name="_Toc391456411"/>
      <w:bookmarkStart w:id="2319" w:name="_Toc403052827"/>
      <w:r>
        <w:t>17</w:t>
      </w:r>
      <w:r>
        <w:rPr>
          <w:rFonts w:hint="eastAsia"/>
        </w:rPr>
        <w:t>.5　完工结算</w:t>
      </w:r>
      <w:bookmarkEnd w:id="2308"/>
      <w:bookmarkEnd w:id="2309"/>
      <w:bookmarkEnd w:id="2310"/>
      <w:bookmarkEnd w:id="2311"/>
      <w:bookmarkEnd w:id="2312"/>
      <w:bookmarkEnd w:id="2313"/>
      <w:bookmarkEnd w:id="2314"/>
      <w:bookmarkEnd w:id="2315"/>
      <w:bookmarkEnd w:id="2316"/>
      <w:bookmarkEnd w:id="2317"/>
      <w:bookmarkEnd w:id="2318"/>
      <w:bookmarkEnd w:id="2319"/>
    </w:p>
    <w:p>
      <w:pPr>
        <w:spacing w:line="360" w:lineRule="auto"/>
        <w:ind w:left="0" w:firstLine="0"/>
      </w:pPr>
      <w:bookmarkStart w:id="2320" w:name="_Toc152042503"/>
      <w:bookmarkStart w:id="2321" w:name="_Toc179632742"/>
      <w:bookmarkStart w:id="2322" w:name="_Toc144974695"/>
      <w:bookmarkStart w:id="2323" w:name="_Toc152045724"/>
      <w:r>
        <w:t>17</w:t>
      </w:r>
      <w:r>
        <w:rPr>
          <w:rFonts w:hint="eastAsia"/>
        </w:rPr>
        <w:t>.5.1　完工付款申请单</w:t>
      </w:r>
    </w:p>
    <w:p>
      <w:pPr>
        <w:spacing w:line="360" w:lineRule="auto"/>
        <w:ind w:left="0" w:firstLine="0"/>
        <w:rPr>
          <w:u w:val="single"/>
        </w:rPr>
      </w:pPr>
      <w:r>
        <w:rPr>
          <w:rFonts w:hint="eastAsia"/>
        </w:rPr>
        <w:t>（1）分包人提交完工付款申请单的份数：。</w:t>
      </w:r>
    </w:p>
    <w:p>
      <w:pPr>
        <w:spacing w:line="360" w:lineRule="auto"/>
        <w:ind w:left="0" w:firstLine="0"/>
        <w:rPr>
          <w:u w:val="single"/>
        </w:rPr>
      </w:pPr>
      <w:r>
        <w:rPr>
          <w:rFonts w:hint="eastAsia"/>
        </w:rPr>
        <w:t>分包人提交完工付款申请单的期限：。</w:t>
      </w:r>
    </w:p>
    <w:p>
      <w:pPr>
        <w:spacing w:line="360" w:lineRule="auto"/>
        <w:ind w:left="0" w:firstLine="0"/>
      </w:pPr>
      <w:r>
        <w:rPr>
          <w:rFonts w:hint="eastAsia"/>
        </w:rPr>
        <w:t>完工付款申请单的内容：。</w:t>
      </w:r>
    </w:p>
    <w:p>
      <w:pPr>
        <w:spacing w:line="360" w:lineRule="auto"/>
        <w:ind w:left="0" w:firstLine="0"/>
      </w:pPr>
      <w:bookmarkStart w:id="2324" w:name="_Toc393200249"/>
      <w:bookmarkStart w:id="2325" w:name="_Toc393200763"/>
      <w:bookmarkStart w:id="2326" w:name="_Toc391456412"/>
      <w:bookmarkStart w:id="2327" w:name="_Toc403059770"/>
      <w:bookmarkStart w:id="2328" w:name="_Toc241459728"/>
      <w:bookmarkStart w:id="2329" w:name="_Toc342296487"/>
      <w:bookmarkStart w:id="2330" w:name="_Toc403052828"/>
      <w:bookmarkStart w:id="2331" w:name="_Toc403054588"/>
      <w:r>
        <w:t>17</w:t>
      </w:r>
      <w:r>
        <w:rPr>
          <w:rFonts w:hint="eastAsia"/>
        </w:rPr>
        <w:t>.6　最终结清</w:t>
      </w:r>
      <w:bookmarkEnd w:id="2320"/>
      <w:bookmarkEnd w:id="2321"/>
      <w:bookmarkEnd w:id="2322"/>
      <w:bookmarkEnd w:id="2323"/>
      <w:bookmarkEnd w:id="2324"/>
      <w:bookmarkEnd w:id="2325"/>
      <w:bookmarkEnd w:id="2326"/>
      <w:bookmarkEnd w:id="2327"/>
      <w:bookmarkEnd w:id="2328"/>
      <w:bookmarkEnd w:id="2329"/>
      <w:bookmarkEnd w:id="2330"/>
      <w:bookmarkEnd w:id="2331"/>
    </w:p>
    <w:p>
      <w:pPr>
        <w:spacing w:line="360" w:lineRule="auto"/>
        <w:ind w:left="0" w:firstLine="0"/>
      </w:pPr>
      <w:r>
        <w:t>17</w:t>
      </w:r>
      <w:r>
        <w:rPr>
          <w:rFonts w:hint="eastAsia"/>
        </w:rPr>
        <w:t>.6.1　最终结清申请单</w:t>
      </w:r>
    </w:p>
    <w:p>
      <w:pPr>
        <w:spacing w:line="360" w:lineRule="auto"/>
        <w:ind w:left="0" w:firstLine="0"/>
        <w:rPr>
          <w:u w:val="single"/>
        </w:rPr>
      </w:pPr>
      <w:r>
        <w:rPr>
          <w:rFonts w:hint="eastAsia"/>
        </w:rPr>
        <w:t>分包人提交最终结清申请单的份数：。</w:t>
      </w:r>
    </w:p>
    <w:p>
      <w:pPr>
        <w:spacing w:line="360" w:lineRule="auto"/>
        <w:ind w:left="0" w:firstLine="0"/>
      </w:pPr>
      <w:r>
        <w:rPr>
          <w:rFonts w:hint="eastAsia"/>
        </w:rPr>
        <w:t>分包人提交最终结清申请单的期限：。</w:t>
      </w:r>
    </w:p>
    <w:p>
      <w:pPr>
        <w:spacing w:line="360" w:lineRule="auto"/>
        <w:ind w:left="0" w:firstLine="0"/>
      </w:pPr>
      <w:bookmarkStart w:id="2332" w:name="_Toc152042504"/>
      <w:bookmarkStart w:id="2333" w:name="_Toc403059771"/>
      <w:bookmarkStart w:id="2334" w:name="_Toc241459729"/>
      <w:bookmarkStart w:id="2335" w:name="_Toc403052829"/>
      <w:bookmarkStart w:id="2336" w:name="_Toc152045725"/>
      <w:bookmarkStart w:id="2337" w:name="_Toc391456413"/>
      <w:bookmarkStart w:id="2338" w:name="_Toc342296488"/>
      <w:bookmarkStart w:id="2339" w:name="_Toc144974696"/>
      <w:bookmarkStart w:id="2340" w:name="_Toc179632743"/>
      <w:r>
        <w:t>18</w:t>
      </w:r>
      <w:r>
        <w:rPr>
          <w:rFonts w:hint="eastAsia"/>
        </w:rPr>
        <w:t>. 完工验收</w:t>
      </w:r>
      <w:bookmarkEnd w:id="2332"/>
      <w:bookmarkEnd w:id="2333"/>
      <w:bookmarkEnd w:id="2334"/>
      <w:bookmarkEnd w:id="2335"/>
      <w:bookmarkEnd w:id="2336"/>
      <w:bookmarkEnd w:id="2337"/>
      <w:bookmarkEnd w:id="2338"/>
      <w:bookmarkEnd w:id="2339"/>
      <w:bookmarkEnd w:id="2340"/>
    </w:p>
    <w:p>
      <w:pPr>
        <w:spacing w:line="360" w:lineRule="auto"/>
        <w:ind w:left="0" w:firstLine="0"/>
      </w:pPr>
      <w:bookmarkStart w:id="2341" w:name="_Toc144974698"/>
      <w:bookmarkStart w:id="2342" w:name="_Toc391456414"/>
      <w:bookmarkStart w:id="2343" w:name="_Toc393200765"/>
      <w:bookmarkStart w:id="2344" w:name="_Toc342296489"/>
      <w:bookmarkStart w:id="2345" w:name="_Toc152042506"/>
      <w:bookmarkStart w:id="2346" w:name="_Toc179632745"/>
      <w:bookmarkStart w:id="2347" w:name="_Toc241459730"/>
      <w:bookmarkStart w:id="2348" w:name="_Toc152045727"/>
      <w:bookmarkStart w:id="2349" w:name="_Toc393200251"/>
      <w:bookmarkStart w:id="2350" w:name="_Toc403054590"/>
      <w:bookmarkStart w:id="2351" w:name="_Toc403059772"/>
      <w:bookmarkStart w:id="2352" w:name="_Toc403052830"/>
      <w:r>
        <w:t>18</w:t>
      </w:r>
      <w:r>
        <w:rPr>
          <w:rFonts w:hint="eastAsia"/>
        </w:rPr>
        <w:t>.2　完工验收</w:t>
      </w:r>
      <w:bookmarkEnd w:id="2341"/>
      <w:bookmarkEnd w:id="2342"/>
      <w:bookmarkEnd w:id="2343"/>
      <w:bookmarkEnd w:id="2344"/>
      <w:bookmarkEnd w:id="2345"/>
      <w:bookmarkEnd w:id="2346"/>
      <w:bookmarkEnd w:id="2347"/>
      <w:bookmarkEnd w:id="2348"/>
      <w:bookmarkEnd w:id="2349"/>
      <w:r>
        <w:rPr>
          <w:rFonts w:hint="eastAsia"/>
        </w:rPr>
        <w:t>申请报告</w:t>
      </w:r>
      <w:bookmarkEnd w:id="2350"/>
      <w:bookmarkEnd w:id="2351"/>
      <w:bookmarkEnd w:id="2352"/>
    </w:p>
    <w:p>
      <w:pPr>
        <w:spacing w:line="360" w:lineRule="auto"/>
        <w:ind w:left="0" w:firstLine="0"/>
        <w:rPr>
          <w:u w:val="single"/>
        </w:rPr>
      </w:pPr>
      <w:r>
        <w:rPr>
          <w:rFonts w:hint="eastAsia"/>
        </w:rPr>
        <w:t>（2）分包人提交的完工验收资料的具体内容包括：</w:t>
      </w:r>
    </w:p>
    <w:p>
      <w:pPr>
        <w:spacing w:line="360" w:lineRule="auto"/>
        <w:ind w:left="0" w:firstLine="0"/>
      </w:pPr>
      <w:r>
        <w:rPr>
          <w:rFonts w:hint="eastAsia"/>
        </w:rPr>
        <w:t>。</w:t>
      </w:r>
    </w:p>
    <w:p>
      <w:pPr>
        <w:spacing w:line="360" w:lineRule="auto"/>
        <w:ind w:left="0" w:firstLine="0"/>
      </w:pPr>
      <w:r>
        <w:rPr>
          <w:rFonts w:hint="eastAsia"/>
        </w:rPr>
        <w:t>完工验收资料的份数：。</w:t>
      </w:r>
    </w:p>
    <w:p>
      <w:pPr>
        <w:spacing w:line="360" w:lineRule="auto"/>
        <w:ind w:left="0" w:firstLine="0"/>
      </w:pPr>
      <w:bookmarkStart w:id="2353" w:name="_Toc152045728"/>
      <w:bookmarkStart w:id="2354" w:name="_Toc179632746"/>
      <w:bookmarkStart w:id="2355" w:name="_Toc144974699"/>
      <w:bookmarkStart w:id="2356" w:name="_Toc152042507"/>
      <w:r>
        <w:rPr>
          <w:rFonts w:hint="eastAsia"/>
        </w:rPr>
        <w:t>完工验收资料的费用支付方式：。</w:t>
      </w:r>
    </w:p>
    <w:p>
      <w:pPr>
        <w:spacing w:line="360" w:lineRule="auto"/>
        <w:ind w:left="0" w:firstLine="0"/>
      </w:pPr>
      <w:r>
        <w:rPr>
          <w:rFonts w:hint="eastAsia"/>
        </w:rPr>
        <w:t>（4）其他条件：。</w:t>
      </w:r>
    </w:p>
    <w:bookmarkEnd w:id="2353"/>
    <w:bookmarkEnd w:id="2354"/>
    <w:bookmarkEnd w:id="2355"/>
    <w:bookmarkEnd w:id="2356"/>
    <w:p>
      <w:pPr>
        <w:spacing w:line="360" w:lineRule="auto"/>
        <w:ind w:left="0" w:firstLine="0"/>
      </w:pPr>
      <w:bookmarkStart w:id="2357" w:name="_Toc403059773"/>
      <w:bookmarkStart w:id="2358" w:name="_Toc403054591"/>
      <w:bookmarkStart w:id="2359" w:name="_Toc403052831"/>
      <w:bookmarkStart w:id="2360" w:name="_Toc241459735"/>
      <w:bookmarkStart w:id="2361" w:name="_Toc393200768"/>
      <w:bookmarkStart w:id="2362" w:name="_Toc393200254"/>
      <w:bookmarkStart w:id="2363" w:name="_Toc179632751"/>
      <w:bookmarkStart w:id="2364" w:name="_Toc391456419"/>
      <w:bookmarkStart w:id="2365" w:name="_Toc144974704"/>
      <w:bookmarkStart w:id="2366" w:name="_Toc342296494"/>
      <w:bookmarkStart w:id="2367" w:name="_Toc152045733"/>
      <w:bookmarkStart w:id="2368" w:name="_Toc152042512"/>
      <w:r>
        <w:t>18</w:t>
      </w:r>
      <w:r>
        <w:rPr>
          <w:rFonts w:hint="eastAsia"/>
        </w:rPr>
        <w:t>.5　完工验收前的清理</w:t>
      </w:r>
      <w:bookmarkEnd w:id="2357"/>
      <w:bookmarkEnd w:id="2358"/>
      <w:bookmarkEnd w:id="2359"/>
    </w:p>
    <w:p>
      <w:pPr>
        <w:spacing w:line="360" w:lineRule="auto"/>
        <w:ind w:left="0" w:firstLine="0"/>
      </w:pPr>
      <w:r>
        <w:t>18</w:t>
      </w:r>
      <w:r>
        <w:rPr>
          <w:rFonts w:hint="eastAsia"/>
        </w:rPr>
        <w:t>.5.1　在向承包人提交完工验收申请报告前，分包人应当完成下述完工验收前的清理工作：</w:t>
      </w:r>
    </w:p>
    <w:p>
      <w:pPr>
        <w:spacing w:line="360" w:lineRule="auto"/>
        <w:ind w:left="0" w:firstLine="0"/>
      </w:pPr>
      <w:r>
        <w:rPr>
          <w:rFonts w:hint="eastAsia"/>
        </w:rPr>
        <w:t>（</w:t>
      </w:r>
      <w:r>
        <w:t>4</w:t>
      </w:r>
      <w:r>
        <w:rPr>
          <w:rFonts w:hint="eastAsia"/>
        </w:rPr>
        <w:t>）其他清理工作：。</w:t>
      </w:r>
    </w:p>
    <w:p>
      <w:pPr>
        <w:spacing w:line="360" w:lineRule="auto"/>
        <w:ind w:left="0" w:firstLine="0"/>
      </w:pPr>
      <w:bookmarkStart w:id="2369" w:name="_Toc403059774"/>
      <w:bookmarkStart w:id="2370" w:name="_Toc403054592"/>
      <w:bookmarkStart w:id="2371" w:name="_Toc403052832"/>
      <w:r>
        <w:t>18</w:t>
      </w:r>
      <w:r>
        <w:rPr>
          <w:rFonts w:hint="eastAsia"/>
        </w:rPr>
        <w:t>.6　完工清场</w:t>
      </w:r>
      <w:bookmarkEnd w:id="2360"/>
      <w:bookmarkEnd w:id="2361"/>
      <w:bookmarkEnd w:id="2362"/>
      <w:bookmarkEnd w:id="2363"/>
      <w:bookmarkEnd w:id="2364"/>
      <w:bookmarkEnd w:id="2365"/>
      <w:bookmarkEnd w:id="2366"/>
      <w:bookmarkEnd w:id="2367"/>
      <w:bookmarkEnd w:id="2368"/>
      <w:bookmarkEnd w:id="2369"/>
      <w:bookmarkEnd w:id="2370"/>
      <w:bookmarkEnd w:id="2371"/>
    </w:p>
    <w:p>
      <w:pPr>
        <w:spacing w:line="360" w:lineRule="auto"/>
        <w:ind w:left="0" w:firstLine="0"/>
      </w:pPr>
      <w:bookmarkStart w:id="2372" w:name="_Toc152045734"/>
      <w:bookmarkStart w:id="2373" w:name="_Toc152042513"/>
      <w:bookmarkStart w:id="2374" w:name="_Toc144974705"/>
      <w:bookmarkStart w:id="2375" w:name="_Toc179632752"/>
      <w:r>
        <w:t>18</w:t>
      </w:r>
      <w:r>
        <w:rPr>
          <w:rFonts w:hint="eastAsia"/>
        </w:rPr>
        <w:t>.6.1　承包人颁发（出具）工程接收证书后，分包人应在天内按照以下要求对施工场地进行清理并承担相关费用，直至承包人检验合格为止。</w:t>
      </w:r>
    </w:p>
    <w:p>
      <w:pPr>
        <w:spacing w:line="360" w:lineRule="auto"/>
        <w:ind w:left="0" w:firstLine="0"/>
        <w:rPr>
          <w:u w:val="single"/>
        </w:rPr>
      </w:pPr>
      <w:r>
        <w:rPr>
          <w:rFonts w:hint="eastAsia"/>
        </w:rPr>
        <w:t>（5）其他场地清理工作：</w:t>
      </w:r>
    </w:p>
    <w:p>
      <w:pPr>
        <w:spacing w:line="360" w:lineRule="auto"/>
        <w:ind w:left="0" w:firstLine="0"/>
      </w:pPr>
      <w:r>
        <w:rPr>
          <w:rFonts w:hint="eastAsia"/>
        </w:rPr>
        <w:t xml:space="preserve">。  </w:t>
      </w:r>
    </w:p>
    <w:p>
      <w:pPr>
        <w:spacing w:line="360" w:lineRule="auto"/>
        <w:ind w:left="0" w:firstLine="0"/>
      </w:pPr>
      <w:bookmarkStart w:id="2376" w:name="_Toc393200255"/>
      <w:bookmarkStart w:id="2377" w:name="_Toc403054593"/>
      <w:bookmarkStart w:id="2378" w:name="_Toc403059775"/>
      <w:bookmarkStart w:id="2379" w:name="_Toc403052833"/>
      <w:bookmarkStart w:id="2380" w:name="_Toc393200769"/>
      <w:bookmarkStart w:id="2381" w:name="_Toc241459736"/>
      <w:bookmarkStart w:id="2382" w:name="_Toc391456420"/>
      <w:bookmarkStart w:id="2383" w:name="_Toc342296495"/>
      <w:r>
        <w:t>18</w:t>
      </w:r>
      <w:r>
        <w:rPr>
          <w:rFonts w:hint="eastAsia"/>
        </w:rPr>
        <w:t>.7　施工队伍的撤离</w:t>
      </w:r>
      <w:bookmarkEnd w:id="2376"/>
      <w:bookmarkEnd w:id="2377"/>
      <w:bookmarkEnd w:id="2378"/>
      <w:bookmarkEnd w:id="2379"/>
      <w:bookmarkEnd w:id="2380"/>
    </w:p>
    <w:p>
      <w:pPr>
        <w:spacing w:line="360" w:lineRule="auto"/>
        <w:ind w:left="0" w:firstLine="0"/>
        <w:rPr>
          <w:u w:val="single"/>
        </w:rPr>
      </w:pPr>
      <w:r>
        <w:rPr>
          <w:rFonts w:hint="eastAsia"/>
        </w:rPr>
        <w:t>缺陷责任期满时，分包人可以继续在施工场地保留的人员和施工设备以及最终撤离的期限：</w:t>
      </w:r>
    </w:p>
    <w:p>
      <w:pPr>
        <w:spacing w:line="360" w:lineRule="auto"/>
        <w:ind w:left="0" w:firstLine="0"/>
      </w:pPr>
      <w:bookmarkStart w:id="2384" w:name="_Toc393200256"/>
      <w:bookmarkStart w:id="2385" w:name="_Toc393200770"/>
      <w:r>
        <w:rPr>
          <w:rFonts w:hint="eastAsia"/>
        </w:rPr>
        <w:t>。</w:t>
      </w:r>
    </w:p>
    <w:p>
      <w:pPr>
        <w:spacing w:line="360" w:lineRule="auto"/>
        <w:ind w:left="0" w:firstLine="0"/>
      </w:pPr>
      <w:bookmarkStart w:id="2386" w:name="_Toc403052834"/>
      <w:bookmarkStart w:id="2387" w:name="_Toc403059776"/>
      <w:bookmarkStart w:id="2388" w:name="_Toc403054594"/>
      <w:r>
        <w:t>18</w:t>
      </w:r>
      <w:r>
        <w:rPr>
          <w:rFonts w:hint="eastAsia"/>
        </w:rPr>
        <w:t>.8　中间验收</w:t>
      </w:r>
      <w:bookmarkEnd w:id="2381"/>
      <w:bookmarkEnd w:id="2382"/>
      <w:bookmarkEnd w:id="2383"/>
      <w:bookmarkEnd w:id="2384"/>
      <w:bookmarkEnd w:id="2385"/>
      <w:bookmarkEnd w:id="2386"/>
      <w:bookmarkEnd w:id="2387"/>
      <w:bookmarkEnd w:id="2388"/>
    </w:p>
    <w:p>
      <w:pPr>
        <w:spacing w:line="360" w:lineRule="auto"/>
        <w:ind w:left="0" w:firstLine="0"/>
        <w:rPr>
          <w:u w:val="single"/>
        </w:rPr>
      </w:pPr>
      <w:r>
        <w:rPr>
          <w:rFonts w:hint="eastAsia"/>
        </w:rPr>
        <w:t>本分包工程需要进行中间验收的部位如下：</w:t>
      </w:r>
    </w:p>
    <w:p>
      <w:pPr>
        <w:spacing w:line="360" w:lineRule="auto"/>
        <w:ind w:left="0" w:firstLine="0"/>
      </w:pPr>
      <w:r>
        <w:rPr>
          <w:rFonts w:hint="eastAsia"/>
        </w:rPr>
        <w:t>。</w:t>
      </w:r>
    </w:p>
    <w:p>
      <w:pPr>
        <w:spacing w:line="360" w:lineRule="auto"/>
        <w:ind w:left="0" w:firstLine="0"/>
      </w:pPr>
      <w:r>
        <w:rPr>
          <w:rFonts w:hint="eastAsia"/>
        </w:rPr>
        <w:t>验收不合格的，分包人在期限内进行修改后重新验收。</w:t>
      </w:r>
    </w:p>
    <w:p>
      <w:pPr>
        <w:spacing w:line="360" w:lineRule="auto"/>
        <w:ind w:left="0" w:firstLine="0"/>
      </w:pPr>
      <w:bookmarkStart w:id="2389" w:name="_Toc403052835"/>
      <w:bookmarkStart w:id="2390" w:name="_Toc241459737"/>
      <w:bookmarkStart w:id="2391" w:name="_Toc391456421"/>
      <w:bookmarkStart w:id="2392" w:name="_Toc403059777"/>
      <w:bookmarkStart w:id="2393" w:name="_Toc342296496"/>
      <w:r>
        <w:t>19</w:t>
      </w:r>
      <w:r>
        <w:rPr>
          <w:rFonts w:hint="eastAsia"/>
        </w:rPr>
        <w:t>. 缺陷责任与保修责任</w:t>
      </w:r>
      <w:bookmarkEnd w:id="2372"/>
      <w:bookmarkEnd w:id="2373"/>
      <w:bookmarkEnd w:id="2374"/>
      <w:bookmarkEnd w:id="2375"/>
      <w:bookmarkEnd w:id="2389"/>
      <w:bookmarkEnd w:id="2390"/>
      <w:bookmarkEnd w:id="2391"/>
      <w:bookmarkEnd w:id="2392"/>
      <w:bookmarkEnd w:id="2393"/>
    </w:p>
    <w:p>
      <w:pPr>
        <w:spacing w:line="360" w:lineRule="auto"/>
        <w:ind w:left="0" w:firstLine="0"/>
      </w:pPr>
      <w:bookmarkStart w:id="2394" w:name="_Toc403052836"/>
      <w:bookmarkStart w:id="2395" w:name="_Toc393200772"/>
      <w:bookmarkStart w:id="2396" w:name="_Toc403054596"/>
      <w:bookmarkStart w:id="2397" w:name="_Toc393200258"/>
      <w:bookmarkStart w:id="2398" w:name="_Toc403059778"/>
      <w:bookmarkStart w:id="2399" w:name="_Toc241459738"/>
      <w:bookmarkStart w:id="2400" w:name="_Toc179632759"/>
      <w:bookmarkStart w:id="2401" w:name="_Toc152045741"/>
      <w:bookmarkStart w:id="2402" w:name="_Toc342296497"/>
      <w:bookmarkStart w:id="2403" w:name="_Toc144974712"/>
      <w:bookmarkStart w:id="2404" w:name="_Toc391456422"/>
      <w:bookmarkStart w:id="2405" w:name="_Toc152042520"/>
      <w:r>
        <w:t>19</w:t>
      </w:r>
      <w:r>
        <w:rPr>
          <w:rFonts w:hint="eastAsia"/>
        </w:rPr>
        <w:t>.1　缺陷责任期的起算时间</w:t>
      </w:r>
      <w:bookmarkEnd w:id="2394"/>
      <w:bookmarkEnd w:id="2395"/>
      <w:bookmarkEnd w:id="2396"/>
      <w:bookmarkEnd w:id="2397"/>
      <w:bookmarkEnd w:id="2398"/>
    </w:p>
    <w:p>
      <w:pPr>
        <w:spacing w:line="360" w:lineRule="auto"/>
        <w:ind w:left="0" w:firstLine="0"/>
      </w:pPr>
      <w:r>
        <w:rPr>
          <w:rFonts w:hint="eastAsia"/>
        </w:rPr>
        <w:t>缺陷责任期的起算时间：。</w:t>
      </w:r>
    </w:p>
    <w:p>
      <w:pPr>
        <w:spacing w:line="360" w:lineRule="auto"/>
        <w:ind w:left="0" w:firstLine="0"/>
      </w:pPr>
      <w:bookmarkStart w:id="2406" w:name="_Toc403059779"/>
      <w:bookmarkStart w:id="2407" w:name="_Toc403054597"/>
      <w:bookmarkStart w:id="2408" w:name="_Toc403052837"/>
      <w:bookmarkStart w:id="2409" w:name="_Toc393200259"/>
      <w:bookmarkStart w:id="2410" w:name="_Toc393200773"/>
      <w:r>
        <w:t>19</w:t>
      </w:r>
      <w:r>
        <w:rPr>
          <w:rFonts w:hint="eastAsia"/>
        </w:rPr>
        <w:t>.7　保修责任</w:t>
      </w:r>
      <w:bookmarkEnd w:id="2399"/>
      <w:bookmarkEnd w:id="2400"/>
      <w:bookmarkEnd w:id="2401"/>
      <w:bookmarkEnd w:id="2402"/>
      <w:bookmarkEnd w:id="2403"/>
      <w:bookmarkEnd w:id="2404"/>
      <w:bookmarkEnd w:id="2405"/>
      <w:bookmarkEnd w:id="2406"/>
      <w:bookmarkEnd w:id="2407"/>
      <w:bookmarkEnd w:id="2408"/>
      <w:bookmarkEnd w:id="2409"/>
      <w:bookmarkEnd w:id="2410"/>
    </w:p>
    <w:p>
      <w:pPr>
        <w:spacing w:line="360" w:lineRule="auto"/>
        <w:ind w:left="0" w:firstLine="0"/>
      </w:pPr>
      <w:r>
        <w:rPr>
          <w:rFonts w:hint="eastAsia"/>
        </w:rPr>
        <w:t>（1）分包工程质量保修范围：。</w:t>
      </w:r>
    </w:p>
    <w:p>
      <w:pPr>
        <w:spacing w:line="360" w:lineRule="auto"/>
        <w:ind w:left="0" w:firstLine="0"/>
      </w:pPr>
      <w:r>
        <w:rPr>
          <w:rFonts w:hint="eastAsia"/>
        </w:rPr>
        <w:t>（2）分包工程质量保修期限：。</w:t>
      </w:r>
    </w:p>
    <w:p>
      <w:pPr>
        <w:spacing w:line="360" w:lineRule="auto"/>
        <w:ind w:left="0" w:firstLine="0"/>
      </w:pPr>
      <w:r>
        <w:rPr>
          <w:rFonts w:hint="eastAsia"/>
        </w:rPr>
        <w:t>（3）分包工程质量保修责任：。</w:t>
      </w:r>
    </w:p>
    <w:p>
      <w:pPr>
        <w:spacing w:line="360" w:lineRule="auto"/>
        <w:ind w:left="0" w:firstLine="0"/>
      </w:pPr>
      <w:r>
        <w:rPr>
          <w:rFonts w:hint="eastAsia"/>
        </w:rPr>
        <w:t>（4）分包工程质量保修期的起算时间：。</w:t>
      </w:r>
    </w:p>
    <w:p>
      <w:pPr>
        <w:spacing w:line="360" w:lineRule="auto"/>
        <w:ind w:left="0" w:firstLine="0"/>
      </w:pPr>
      <w:bookmarkStart w:id="2411" w:name="_Toc403059780"/>
      <w:bookmarkStart w:id="2412" w:name="_Toc152045742"/>
      <w:bookmarkStart w:id="2413" w:name="_Toc152042521"/>
      <w:bookmarkStart w:id="2414" w:name="_Toc144974713"/>
      <w:bookmarkStart w:id="2415" w:name="_Toc403052838"/>
      <w:bookmarkStart w:id="2416" w:name="_Toc179632760"/>
      <w:bookmarkStart w:id="2417" w:name="_Toc241459739"/>
      <w:bookmarkStart w:id="2418" w:name="_Toc391456423"/>
      <w:bookmarkStart w:id="2419" w:name="_Toc342296498"/>
      <w:r>
        <w:rPr>
          <w:rFonts w:hint="eastAsia"/>
        </w:rPr>
        <w:t>2</w:t>
      </w:r>
      <w:r>
        <w:t>0</w:t>
      </w:r>
      <w:r>
        <w:rPr>
          <w:rFonts w:hint="eastAsia"/>
        </w:rPr>
        <w:t>. 保险</w:t>
      </w:r>
      <w:bookmarkEnd w:id="2411"/>
      <w:bookmarkEnd w:id="2412"/>
      <w:bookmarkEnd w:id="2413"/>
      <w:bookmarkEnd w:id="2414"/>
      <w:bookmarkEnd w:id="2415"/>
      <w:bookmarkEnd w:id="2416"/>
      <w:bookmarkEnd w:id="2417"/>
      <w:bookmarkEnd w:id="2418"/>
      <w:bookmarkEnd w:id="2419"/>
    </w:p>
    <w:p>
      <w:pPr>
        <w:spacing w:line="360" w:lineRule="auto"/>
        <w:ind w:left="0" w:firstLine="0"/>
      </w:pPr>
      <w:bookmarkStart w:id="2420" w:name="_Toc241459740"/>
      <w:bookmarkStart w:id="2421" w:name="_Toc403054599"/>
      <w:bookmarkStart w:id="2422" w:name="_Toc393200775"/>
      <w:bookmarkStart w:id="2423" w:name="_Toc342296499"/>
      <w:bookmarkStart w:id="2424" w:name="_Toc179632761"/>
      <w:bookmarkStart w:id="2425" w:name="_Toc393200261"/>
      <w:bookmarkStart w:id="2426" w:name="_Toc144974714"/>
      <w:bookmarkStart w:id="2427" w:name="_Toc152042522"/>
      <w:bookmarkStart w:id="2428" w:name="_Toc152045743"/>
      <w:bookmarkStart w:id="2429" w:name="_Toc403059781"/>
      <w:bookmarkStart w:id="2430" w:name="_Toc391456424"/>
      <w:bookmarkStart w:id="2431" w:name="_Toc403052839"/>
      <w:r>
        <w:rPr>
          <w:rFonts w:hint="eastAsia"/>
        </w:rPr>
        <w:t>2</w:t>
      </w:r>
      <w:r>
        <w:t>0</w:t>
      </w:r>
      <w:r>
        <w:rPr>
          <w:rFonts w:hint="eastAsia"/>
        </w:rPr>
        <w:t>.1　发包人和承包人为整体工程投标的保险</w:t>
      </w:r>
      <w:bookmarkEnd w:id="2420"/>
      <w:bookmarkEnd w:id="2421"/>
      <w:bookmarkEnd w:id="2422"/>
      <w:bookmarkEnd w:id="2423"/>
      <w:bookmarkEnd w:id="2424"/>
      <w:bookmarkEnd w:id="2425"/>
      <w:bookmarkEnd w:id="2426"/>
      <w:bookmarkEnd w:id="2427"/>
      <w:bookmarkEnd w:id="2428"/>
      <w:bookmarkEnd w:id="2429"/>
      <w:bookmarkEnd w:id="2430"/>
      <w:bookmarkEnd w:id="2431"/>
    </w:p>
    <w:p>
      <w:pPr>
        <w:spacing w:line="360" w:lineRule="auto"/>
        <w:ind w:left="0" w:firstLine="0"/>
        <w:rPr>
          <w:u w:val="single"/>
        </w:rPr>
      </w:pPr>
      <w:bookmarkStart w:id="2432" w:name="_Toc144974715"/>
      <w:bookmarkStart w:id="2433" w:name="_Toc152042523"/>
      <w:bookmarkStart w:id="2434" w:name="_Toc152045744"/>
      <w:bookmarkStart w:id="2435" w:name="_Toc179632762"/>
      <w:r>
        <w:t>发包人和承包人已为整体工程投标了相关保险</w:t>
      </w:r>
      <w:r>
        <w:rPr>
          <w:rFonts w:hint="eastAsia"/>
        </w:rPr>
        <w:t>：（应列明每份保险的投保人、投保内容、保险金额、保险期限）。</w:t>
      </w:r>
    </w:p>
    <w:bookmarkEnd w:id="2432"/>
    <w:bookmarkEnd w:id="2433"/>
    <w:bookmarkEnd w:id="2434"/>
    <w:bookmarkEnd w:id="2435"/>
    <w:p>
      <w:pPr>
        <w:spacing w:line="360" w:lineRule="auto"/>
        <w:ind w:left="0" w:firstLine="0"/>
      </w:pPr>
      <w:bookmarkStart w:id="2436" w:name="_Toc152042525"/>
      <w:bookmarkStart w:id="2437" w:name="_Toc342296500"/>
      <w:bookmarkStart w:id="2438" w:name="_Toc144974717"/>
      <w:bookmarkStart w:id="2439" w:name="_Toc152045746"/>
      <w:bookmarkStart w:id="2440" w:name="_Toc241459741"/>
      <w:bookmarkStart w:id="2441" w:name="_Toc391456425"/>
      <w:bookmarkStart w:id="2442" w:name="_Toc179632764"/>
      <w:bookmarkStart w:id="2443" w:name="_Toc393200262"/>
      <w:bookmarkStart w:id="2444" w:name="_Toc403052840"/>
      <w:bookmarkStart w:id="2445" w:name="_Toc403059782"/>
      <w:bookmarkStart w:id="2446" w:name="_Toc393200776"/>
      <w:bookmarkStart w:id="2447" w:name="_Toc403054600"/>
      <w:r>
        <w:rPr>
          <w:rFonts w:hint="eastAsia"/>
        </w:rPr>
        <w:t>2</w:t>
      </w:r>
      <w:r>
        <w:t>0</w:t>
      </w:r>
      <w:r>
        <w:rPr>
          <w:rFonts w:hint="eastAsia"/>
        </w:rPr>
        <w:t>.</w:t>
      </w:r>
      <w:bookmarkEnd w:id="2436"/>
      <w:bookmarkEnd w:id="2437"/>
      <w:bookmarkEnd w:id="2438"/>
      <w:bookmarkEnd w:id="2439"/>
      <w:bookmarkEnd w:id="2440"/>
      <w:bookmarkEnd w:id="2441"/>
      <w:bookmarkEnd w:id="2442"/>
      <w:bookmarkStart w:id="2448" w:name="_Toc152042526"/>
      <w:bookmarkStart w:id="2449" w:name="_Toc342296501"/>
      <w:bookmarkStart w:id="2450" w:name="_Toc391456426"/>
      <w:bookmarkStart w:id="2451" w:name="_Toc152045747"/>
      <w:bookmarkStart w:id="2452" w:name="_Toc179632765"/>
      <w:bookmarkStart w:id="2453" w:name="_Toc241459742"/>
      <w:bookmarkStart w:id="2454" w:name="_Toc144974718"/>
      <w:r>
        <w:t>2</w:t>
      </w:r>
      <w:r>
        <w:rPr>
          <w:rFonts w:hint="eastAsia"/>
        </w:rPr>
        <w:t>　分包人应当办理的保险</w:t>
      </w:r>
      <w:bookmarkEnd w:id="2443"/>
      <w:bookmarkEnd w:id="2444"/>
      <w:bookmarkEnd w:id="2445"/>
      <w:bookmarkEnd w:id="2446"/>
      <w:bookmarkEnd w:id="2447"/>
      <w:bookmarkEnd w:id="2448"/>
      <w:bookmarkEnd w:id="2449"/>
      <w:bookmarkEnd w:id="2450"/>
      <w:bookmarkEnd w:id="2451"/>
      <w:bookmarkEnd w:id="2452"/>
      <w:bookmarkEnd w:id="2453"/>
      <w:bookmarkEnd w:id="2454"/>
    </w:p>
    <w:p>
      <w:pPr>
        <w:spacing w:line="360" w:lineRule="auto"/>
        <w:ind w:left="0" w:firstLine="0"/>
      </w:pPr>
      <w:r>
        <w:rPr>
          <w:rFonts w:hint="eastAsia"/>
        </w:rPr>
        <w:t>分包人应为为其员工及其聘请的第三方人员、施工设备、进场材料和工程设备等办理的保险：。</w:t>
      </w:r>
    </w:p>
    <w:p>
      <w:pPr>
        <w:spacing w:line="360" w:lineRule="auto"/>
        <w:ind w:left="0" w:firstLine="0"/>
      </w:pPr>
      <w:bookmarkStart w:id="2455" w:name="_Toc179632766"/>
      <w:bookmarkStart w:id="2456" w:name="_Toc403052841"/>
      <w:bookmarkStart w:id="2457" w:name="_Toc144974719"/>
      <w:bookmarkStart w:id="2458" w:name="_Toc342296502"/>
      <w:bookmarkStart w:id="2459" w:name="_Toc393200777"/>
      <w:bookmarkStart w:id="2460" w:name="_Toc152045748"/>
      <w:bookmarkStart w:id="2461" w:name="_Toc152042527"/>
      <w:bookmarkStart w:id="2462" w:name="_Toc241459743"/>
      <w:bookmarkStart w:id="2463" w:name="_Toc391456427"/>
      <w:bookmarkStart w:id="2464" w:name="_Toc393200263"/>
      <w:bookmarkStart w:id="2465" w:name="_Toc403054601"/>
      <w:bookmarkStart w:id="2466" w:name="_Toc403059783"/>
      <w:r>
        <w:rPr>
          <w:rFonts w:hint="eastAsia"/>
        </w:rPr>
        <w:t>2</w:t>
      </w:r>
      <w:r>
        <w:t>0</w:t>
      </w:r>
      <w:r>
        <w:rPr>
          <w:rFonts w:hint="eastAsia"/>
        </w:rPr>
        <w:t>.</w:t>
      </w:r>
      <w:r>
        <w:t>3</w:t>
      </w:r>
      <w:r>
        <w:rPr>
          <w:rFonts w:hint="eastAsia"/>
        </w:rPr>
        <w:t>　对各项保险的一般要求</w:t>
      </w:r>
      <w:bookmarkEnd w:id="2455"/>
      <w:bookmarkEnd w:id="2456"/>
      <w:bookmarkEnd w:id="2457"/>
      <w:bookmarkEnd w:id="2458"/>
      <w:bookmarkEnd w:id="2459"/>
      <w:bookmarkEnd w:id="2460"/>
      <w:bookmarkEnd w:id="2461"/>
      <w:bookmarkEnd w:id="2462"/>
      <w:bookmarkEnd w:id="2463"/>
      <w:bookmarkEnd w:id="2464"/>
      <w:bookmarkEnd w:id="2465"/>
      <w:bookmarkEnd w:id="2466"/>
    </w:p>
    <w:p>
      <w:pPr>
        <w:spacing w:line="360" w:lineRule="auto"/>
        <w:ind w:left="0" w:firstLine="0"/>
      </w:pPr>
      <w:r>
        <w:rPr>
          <w:rFonts w:hint="eastAsia"/>
        </w:rPr>
        <w:t>2</w:t>
      </w:r>
      <w:r>
        <w:t>0</w:t>
      </w:r>
      <w:r>
        <w:rPr>
          <w:rFonts w:hint="eastAsia"/>
        </w:rPr>
        <w:t>.</w:t>
      </w:r>
      <w:r>
        <w:t>3</w:t>
      </w:r>
      <w:r>
        <w:rPr>
          <w:rFonts w:hint="eastAsia"/>
        </w:rPr>
        <w:t>.1　保险凭证</w:t>
      </w:r>
    </w:p>
    <w:p>
      <w:pPr>
        <w:spacing w:line="360" w:lineRule="auto"/>
        <w:ind w:left="0" w:firstLine="0"/>
        <w:rPr>
          <w:u w:val="single"/>
        </w:rPr>
      </w:pPr>
      <w:r>
        <w:rPr>
          <w:rFonts w:hint="eastAsia"/>
        </w:rPr>
        <w:t>分包人向承包人提交各项保险生效的证据和保险单副本的期限：</w:t>
      </w:r>
    </w:p>
    <w:p>
      <w:pPr>
        <w:spacing w:line="360" w:lineRule="auto"/>
        <w:ind w:left="0" w:firstLine="0"/>
        <w:rPr>
          <w:u w:val="single"/>
        </w:rPr>
      </w:pPr>
      <w:r>
        <w:rPr>
          <w:rFonts w:hint="eastAsia"/>
        </w:rPr>
        <w:t>。</w:t>
      </w:r>
    </w:p>
    <w:p>
      <w:pPr>
        <w:spacing w:line="360" w:lineRule="auto"/>
        <w:ind w:left="0" w:firstLine="0"/>
      </w:pPr>
      <w:r>
        <w:rPr>
          <w:rFonts w:hint="eastAsia"/>
        </w:rPr>
        <w:t>2</w:t>
      </w:r>
      <w:r>
        <w:t>0</w:t>
      </w:r>
      <w:r>
        <w:rPr>
          <w:rFonts w:hint="eastAsia"/>
        </w:rPr>
        <w:t>.</w:t>
      </w:r>
      <w:r>
        <w:t>3</w:t>
      </w:r>
      <w:r>
        <w:rPr>
          <w:rFonts w:hint="eastAsia"/>
        </w:rPr>
        <w:t>.4　保险金不足的补偿</w:t>
      </w:r>
    </w:p>
    <w:p>
      <w:pPr>
        <w:spacing w:line="360" w:lineRule="auto"/>
        <w:ind w:left="0" w:firstLine="0"/>
        <w:rPr>
          <w:u w:val="single"/>
        </w:rPr>
      </w:pPr>
      <w:r>
        <w:rPr>
          <w:rFonts w:hint="eastAsia"/>
        </w:rPr>
        <w:t>保险金不足以补偿损失时，分包人和承包人负责补偿的责任分摊：</w:t>
      </w:r>
    </w:p>
    <w:p>
      <w:pPr>
        <w:spacing w:line="360" w:lineRule="auto"/>
        <w:ind w:left="0" w:firstLine="0"/>
      </w:pPr>
      <w:r>
        <w:rPr>
          <w:rFonts w:hint="eastAsia"/>
        </w:rPr>
        <w:t>。</w:t>
      </w:r>
    </w:p>
    <w:p>
      <w:pPr>
        <w:spacing w:line="360" w:lineRule="auto"/>
        <w:ind w:left="0" w:firstLine="0"/>
      </w:pPr>
      <w:bookmarkStart w:id="2467" w:name="_Toc241459744"/>
      <w:bookmarkStart w:id="2468" w:name="_Toc179632767"/>
      <w:bookmarkStart w:id="2469" w:name="_Toc403052842"/>
      <w:bookmarkStart w:id="2470" w:name="_Toc342296503"/>
      <w:bookmarkStart w:id="2471" w:name="_Toc152045749"/>
      <w:bookmarkStart w:id="2472" w:name="_Toc152042528"/>
      <w:bookmarkStart w:id="2473" w:name="_Toc391456428"/>
      <w:bookmarkStart w:id="2474" w:name="_Toc144974720"/>
      <w:bookmarkStart w:id="2475" w:name="_Toc403059784"/>
      <w:r>
        <w:rPr>
          <w:rFonts w:hint="eastAsia"/>
        </w:rPr>
        <w:t>2</w:t>
      </w:r>
      <w:r>
        <w:t>1</w:t>
      </w:r>
      <w:r>
        <w:rPr>
          <w:rFonts w:hint="eastAsia"/>
        </w:rPr>
        <w:t>. 不可抗力</w:t>
      </w:r>
      <w:bookmarkEnd w:id="2467"/>
      <w:bookmarkEnd w:id="2468"/>
      <w:bookmarkEnd w:id="2469"/>
      <w:bookmarkEnd w:id="2470"/>
      <w:bookmarkEnd w:id="2471"/>
      <w:bookmarkEnd w:id="2472"/>
      <w:bookmarkEnd w:id="2473"/>
      <w:bookmarkEnd w:id="2474"/>
      <w:bookmarkEnd w:id="2475"/>
    </w:p>
    <w:p>
      <w:pPr>
        <w:spacing w:line="360" w:lineRule="auto"/>
        <w:ind w:left="0" w:firstLine="0"/>
      </w:pPr>
      <w:bookmarkStart w:id="2476" w:name="_Toc393200779"/>
      <w:bookmarkStart w:id="2477" w:name="_Toc241459745"/>
      <w:bookmarkStart w:id="2478" w:name="_Toc403052843"/>
      <w:bookmarkStart w:id="2479" w:name="_Toc403054603"/>
      <w:bookmarkStart w:id="2480" w:name="_Toc403059785"/>
      <w:bookmarkStart w:id="2481" w:name="_Toc342296504"/>
      <w:bookmarkStart w:id="2482" w:name="_Toc391456429"/>
      <w:bookmarkStart w:id="2483" w:name="_Toc179632768"/>
      <w:bookmarkStart w:id="2484" w:name="_Toc393200265"/>
      <w:bookmarkStart w:id="2485" w:name="_Toc152042529"/>
      <w:bookmarkStart w:id="2486" w:name="_Toc144974721"/>
      <w:bookmarkStart w:id="2487" w:name="_Toc152045750"/>
      <w:r>
        <w:rPr>
          <w:rFonts w:hint="eastAsia"/>
        </w:rPr>
        <w:t>2</w:t>
      </w:r>
      <w:r>
        <w:t>1</w:t>
      </w:r>
      <w:r>
        <w:rPr>
          <w:rFonts w:hint="eastAsia"/>
        </w:rPr>
        <w:t>.1　不可抗力的确认</w:t>
      </w:r>
      <w:bookmarkEnd w:id="2476"/>
      <w:bookmarkEnd w:id="2477"/>
      <w:bookmarkEnd w:id="2478"/>
      <w:bookmarkEnd w:id="2479"/>
      <w:bookmarkEnd w:id="2480"/>
      <w:bookmarkEnd w:id="2481"/>
      <w:bookmarkEnd w:id="2482"/>
      <w:bookmarkEnd w:id="2483"/>
      <w:bookmarkEnd w:id="2484"/>
      <w:bookmarkEnd w:id="2485"/>
      <w:bookmarkEnd w:id="2486"/>
      <w:bookmarkEnd w:id="2487"/>
    </w:p>
    <w:p>
      <w:pPr>
        <w:spacing w:line="360" w:lineRule="auto"/>
        <w:ind w:left="0" w:firstLine="0"/>
      </w:pPr>
      <w:r>
        <w:rPr>
          <w:rFonts w:hint="eastAsia"/>
        </w:rPr>
        <w:t>2</w:t>
      </w:r>
      <w:r>
        <w:t>1</w:t>
      </w:r>
      <w:r>
        <w:rPr>
          <w:rFonts w:hint="eastAsia"/>
        </w:rPr>
        <w:t>.1.1　通用合同条款第2</w:t>
      </w:r>
      <w:r>
        <w:t>4</w:t>
      </w:r>
      <w:r>
        <w:rPr>
          <w:rFonts w:hint="eastAsia"/>
        </w:rPr>
        <w:t>.1.1项约定的不可抗力以外的其他情形：</w:t>
      </w:r>
    </w:p>
    <w:p>
      <w:pPr>
        <w:spacing w:line="360" w:lineRule="auto"/>
        <w:ind w:left="0" w:firstLine="0"/>
      </w:pPr>
      <w:r>
        <w:rPr>
          <w:rFonts w:hint="eastAsia"/>
        </w:rPr>
        <w:t>。</w:t>
      </w:r>
    </w:p>
    <w:p>
      <w:pPr>
        <w:spacing w:line="360" w:lineRule="auto"/>
        <w:ind w:left="0" w:firstLine="0"/>
        <w:rPr>
          <w:u w:val="single"/>
        </w:rPr>
      </w:pPr>
      <w:r>
        <w:rPr>
          <w:rFonts w:hint="eastAsia"/>
        </w:rPr>
        <w:t>不可抗力的等级范围约定：</w:t>
      </w:r>
    </w:p>
    <w:p>
      <w:pPr>
        <w:spacing w:line="360" w:lineRule="auto"/>
        <w:ind w:left="0" w:firstLine="0"/>
      </w:pPr>
      <w:r>
        <w:rPr>
          <w:rFonts w:hint="eastAsia"/>
        </w:rPr>
        <w:t>。</w:t>
      </w:r>
    </w:p>
    <w:p>
      <w:pPr>
        <w:spacing w:line="360" w:lineRule="auto"/>
        <w:ind w:left="0" w:firstLine="0"/>
      </w:pPr>
    </w:p>
    <w:p>
      <w:pPr>
        <w:spacing w:line="360" w:lineRule="auto"/>
        <w:ind w:left="0" w:firstLine="0"/>
      </w:pPr>
      <w:bookmarkStart w:id="2488" w:name="_Toc152042541"/>
      <w:bookmarkStart w:id="2489" w:name="_Toc144974732"/>
      <w:bookmarkStart w:id="2490" w:name="_Toc179632780"/>
      <w:bookmarkStart w:id="2491" w:name="_Toc152045762"/>
      <w:bookmarkStart w:id="2492" w:name="_Toc391456431"/>
      <w:bookmarkStart w:id="2493" w:name="_Toc403052844"/>
      <w:bookmarkStart w:id="2494" w:name="_Toc241459747"/>
      <w:bookmarkStart w:id="2495" w:name="_Toc403059786"/>
      <w:bookmarkStart w:id="2496" w:name="_Toc342296506"/>
      <w:r>
        <w:rPr>
          <w:rFonts w:hint="eastAsia"/>
        </w:rPr>
        <w:t>2</w:t>
      </w:r>
      <w:r>
        <w:t>4</w:t>
      </w:r>
      <w:r>
        <w:rPr>
          <w:rFonts w:hint="eastAsia"/>
        </w:rPr>
        <w:t>. 争议的解决</w:t>
      </w:r>
      <w:bookmarkEnd w:id="2488"/>
      <w:bookmarkEnd w:id="2489"/>
      <w:bookmarkEnd w:id="2490"/>
      <w:bookmarkEnd w:id="2491"/>
      <w:bookmarkEnd w:id="2492"/>
      <w:bookmarkEnd w:id="2493"/>
      <w:bookmarkEnd w:id="2494"/>
      <w:bookmarkEnd w:id="2495"/>
      <w:bookmarkEnd w:id="2496"/>
    </w:p>
    <w:p>
      <w:pPr>
        <w:spacing w:line="360" w:lineRule="auto"/>
        <w:ind w:left="0" w:firstLine="0"/>
      </w:pPr>
      <w:bookmarkStart w:id="2497" w:name="_Toc403052845"/>
      <w:bookmarkStart w:id="2498" w:name="_Toc391456432"/>
      <w:bookmarkStart w:id="2499" w:name="_Toc403054605"/>
      <w:bookmarkStart w:id="2500" w:name="_Toc241459748"/>
      <w:bookmarkStart w:id="2501" w:name="_Toc152045763"/>
      <w:bookmarkStart w:id="2502" w:name="_Toc144974733"/>
      <w:bookmarkStart w:id="2503" w:name="_Toc393200267"/>
      <w:bookmarkStart w:id="2504" w:name="_Toc403059787"/>
      <w:bookmarkStart w:id="2505" w:name="_Toc179632781"/>
      <w:bookmarkStart w:id="2506" w:name="_Toc342296507"/>
      <w:bookmarkStart w:id="2507" w:name="_Toc393200781"/>
      <w:bookmarkStart w:id="2508" w:name="_Toc152042542"/>
      <w:r>
        <w:rPr>
          <w:rFonts w:hint="eastAsia"/>
        </w:rPr>
        <w:t>2</w:t>
      </w:r>
      <w:r>
        <w:t>4</w:t>
      </w:r>
      <w:r>
        <w:rPr>
          <w:rFonts w:hint="eastAsia"/>
        </w:rPr>
        <w:t>.1　争议的解决方式</w:t>
      </w:r>
      <w:bookmarkEnd w:id="2497"/>
      <w:bookmarkEnd w:id="2498"/>
      <w:bookmarkEnd w:id="2499"/>
      <w:bookmarkEnd w:id="2500"/>
      <w:bookmarkEnd w:id="2501"/>
      <w:bookmarkEnd w:id="2502"/>
      <w:bookmarkEnd w:id="2503"/>
      <w:bookmarkEnd w:id="2504"/>
      <w:bookmarkEnd w:id="2505"/>
      <w:bookmarkEnd w:id="2506"/>
      <w:bookmarkEnd w:id="2507"/>
      <w:bookmarkEnd w:id="2508"/>
    </w:p>
    <w:p>
      <w:pPr>
        <w:spacing w:line="360" w:lineRule="auto"/>
        <w:ind w:left="0" w:firstLine="0"/>
      </w:pPr>
      <w:bookmarkStart w:id="2509" w:name="_Toc152042543"/>
      <w:bookmarkStart w:id="2510" w:name="_Toc144974734"/>
      <w:bookmarkStart w:id="2511" w:name="_Toc152045764"/>
      <w:bookmarkStart w:id="2512" w:name="_Toc179632782"/>
      <w:r>
        <w:rPr>
          <w:rFonts w:hint="eastAsia"/>
        </w:rPr>
        <w:t>因分包合同引起的或与分包合同有关的任何争议，合同双方友好协商不成的，选择下列第种方式解决：</w:t>
      </w:r>
    </w:p>
    <w:p>
      <w:pPr>
        <w:spacing w:line="360" w:lineRule="auto"/>
        <w:ind w:left="0" w:firstLine="0"/>
      </w:pPr>
      <w:r>
        <w:rPr>
          <w:rFonts w:hint="eastAsia"/>
          <w:u w:val="single"/>
        </w:rPr>
        <w:t>（壹）</w:t>
      </w:r>
      <w:r>
        <w:rPr>
          <w:rFonts w:hint="eastAsia"/>
        </w:rPr>
        <w:t>提请仲裁委员会按照该会仲裁规则进行仲裁，仲裁裁决是终局的，对合同双方均有约束力。</w:t>
      </w:r>
    </w:p>
    <w:p>
      <w:pPr>
        <w:spacing w:line="360" w:lineRule="auto"/>
        <w:ind w:left="0" w:firstLine="0"/>
      </w:pPr>
      <w:r>
        <w:rPr>
          <w:rFonts w:hint="eastAsia"/>
          <w:u w:val="single"/>
        </w:rPr>
        <w:t>（贰）</w:t>
      </w:r>
      <w:r>
        <w:rPr>
          <w:rFonts w:hint="eastAsia"/>
        </w:rPr>
        <w:t>向有管辖权的人民法院提起诉讼。</w:t>
      </w:r>
    </w:p>
    <w:bookmarkEnd w:id="2509"/>
    <w:bookmarkEnd w:id="2510"/>
    <w:bookmarkEnd w:id="2511"/>
    <w:bookmarkEnd w:id="2512"/>
    <w:p>
      <w:pPr>
        <w:spacing w:line="360" w:lineRule="auto"/>
        <w:ind w:left="0" w:firstLine="0"/>
      </w:pPr>
    </w:p>
    <w:p>
      <w:pPr>
        <w:pStyle w:val="5"/>
        <w:spacing w:line="360" w:lineRule="auto"/>
        <w:rPr>
          <w:rFonts w:ascii="宋体" w:hAnsi="宋体"/>
          <w:sz w:val="24"/>
          <w:szCs w:val="24"/>
        </w:rPr>
      </w:pPr>
      <w:bookmarkStart w:id="2513" w:name="_Toc77206886"/>
      <w:bookmarkStart w:id="2514" w:name="_Toc86825538"/>
      <w:bookmarkStart w:id="2515" w:name="_Toc79057551"/>
    </w:p>
    <w:p>
      <w:pPr>
        <w:pStyle w:val="5"/>
        <w:spacing w:line="360" w:lineRule="auto"/>
        <w:rPr>
          <w:rFonts w:cs="Arial"/>
          <w:szCs w:val="24"/>
        </w:rPr>
      </w:pPr>
      <w:r>
        <w:rPr>
          <w:rFonts w:hint="eastAsia" w:ascii="宋体" w:hAnsi="宋体"/>
          <w:sz w:val="24"/>
          <w:szCs w:val="24"/>
        </w:rPr>
        <w:t>第三节　</w:t>
      </w:r>
      <w:r>
        <w:rPr>
          <w:rFonts w:hint="eastAsia" w:cs="Arial"/>
          <w:sz w:val="24"/>
          <w:szCs w:val="24"/>
        </w:rPr>
        <w:t>合同协议书</w:t>
      </w:r>
      <w:bookmarkEnd w:id="2513"/>
      <w:bookmarkEnd w:id="2514"/>
      <w:bookmarkEnd w:id="2515"/>
    </w:p>
    <w:p>
      <w:pPr>
        <w:spacing w:line="360" w:lineRule="auto"/>
        <w:ind w:left="0" w:right="960" w:firstLine="0"/>
      </w:pPr>
      <w:r>
        <w:rPr>
          <w:rFonts w:hint="eastAsia"/>
        </w:rPr>
        <w:t>编号：</w:t>
      </w:r>
    </w:p>
    <w:p>
      <w:pPr>
        <w:spacing w:line="360" w:lineRule="auto"/>
        <w:ind w:left="0" w:firstLine="0"/>
        <w:rPr>
          <w:bCs/>
        </w:rPr>
      </w:pPr>
      <w:r>
        <w:rPr>
          <w:rFonts w:hint="eastAsia"/>
          <w:bCs/>
        </w:rPr>
        <w:t>承包人（全称）</w:t>
      </w:r>
      <w:r>
        <w:rPr>
          <w:bCs/>
        </w:rPr>
        <w:t xml:space="preserve">：                                       </w:t>
      </w:r>
    </w:p>
    <w:p>
      <w:pPr>
        <w:spacing w:line="360" w:lineRule="auto"/>
        <w:ind w:left="0" w:firstLine="0"/>
        <w:rPr>
          <w:bCs/>
        </w:rPr>
      </w:pPr>
      <w:r>
        <w:rPr>
          <w:rFonts w:hint="eastAsia"/>
          <w:bCs/>
        </w:rPr>
        <w:t>法 定 代 表 人：</w:t>
      </w:r>
    </w:p>
    <w:p>
      <w:pPr>
        <w:spacing w:line="360" w:lineRule="auto"/>
        <w:ind w:left="0" w:firstLine="0"/>
        <w:rPr>
          <w:bCs/>
          <w:u w:val="single"/>
        </w:rPr>
      </w:pPr>
      <w:r>
        <w:rPr>
          <w:rFonts w:hint="eastAsia"/>
          <w:bCs/>
        </w:rPr>
        <w:t>法定注册地址：</w:t>
      </w:r>
    </w:p>
    <w:p>
      <w:pPr>
        <w:spacing w:line="360" w:lineRule="auto"/>
        <w:ind w:left="0" w:firstLine="0"/>
        <w:rPr>
          <w:bCs/>
        </w:rPr>
      </w:pPr>
      <w:r>
        <w:rPr>
          <w:rFonts w:hint="eastAsia"/>
          <w:bCs/>
        </w:rPr>
        <w:t>分包人（全称）：</w:t>
      </w:r>
    </w:p>
    <w:p>
      <w:pPr>
        <w:spacing w:line="360" w:lineRule="auto"/>
        <w:ind w:left="0" w:firstLine="0"/>
        <w:rPr>
          <w:bCs/>
        </w:rPr>
      </w:pPr>
      <w:r>
        <w:rPr>
          <w:rFonts w:hint="eastAsia"/>
          <w:bCs/>
        </w:rPr>
        <w:t>法 定 代 表 人：</w:t>
      </w:r>
    </w:p>
    <w:p>
      <w:pPr>
        <w:spacing w:line="360" w:lineRule="auto"/>
        <w:ind w:left="0" w:firstLine="0"/>
        <w:rPr>
          <w:b/>
        </w:rPr>
      </w:pPr>
      <w:r>
        <w:rPr>
          <w:rFonts w:hint="eastAsia"/>
          <w:bCs/>
        </w:rPr>
        <w:t>法定注册地址：</w:t>
      </w:r>
    </w:p>
    <w:p>
      <w:pPr>
        <w:spacing w:line="360" w:lineRule="auto"/>
        <w:ind w:left="0" w:firstLine="0"/>
      </w:pPr>
      <w:r>
        <w:rPr>
          <w:rFonts w:hint="eastAsia"/>
        </w:rPr>
        <w:t>鉴于（以下简称为“发包人”）与承包人已经签订的工程施工总承包合同（以下称为“总承包合同”），承包人为完成</w:t>
      </w:r>
      <w:r>
        <w:rPr>
          <w:b/>
          <w:u w:val="single"/>
        </w:rPr>
        <w:t>(</w:t>
      </w:r>
      <w:r>
        <w:rPr>
          <w:rFonts w:hint="eastAsia"/>
          <w:b/>
          <w:u w:val="single"/>
        </w:rPr>
        <w:t>整体工程名称</w:t>
      </w:r>
      <w:r>
        <w:rPr>
          <w:b/>
          <w:u w:val="single"/>
        </w:rPr>
        <w:t xml:space="preserve">) </w:t>
      </w:r>
      <w:r>
        <w:rPr>
          <w:rFonts w:hint="eastAsia"/>
        </w:rPr>
        <w:t>建设中的</w:t>
      </w:r>
      <w:r>
        <w:t>分包工程</w:t>
      </w:r>
      <w:r>
        <w:rPr>
          <w:rFonts w:hint="eastAsia"/>
        </w:rPr>
        <w:t>（以下简称“本分包工程”），已接受分包人提出的承担本分包工程的施工、完工、交付并维修其任何缺陷的投标。依照《中华人民共和国招标投标法》、《中华人民共和国合同法》、《中华人民共和国建筑法》、及其他有关法律、行政法规，遵循平等、自愿、公平和诚实信用的原则，双方共同达成并订立如下协议。</w:t>
      </w:r>
    </w:p>
    <w:p>
      <w:pPr>
        <w:spacing w:line="360" w:lineRule="auto"/>
        <w:ind w:left="0" w:firstLine="0"/>
      </w:pPr>
      <w:bookmarkStart w:id="2516" w:name="_Toc403052848"/>
      <w:bookmarkStart w:id="2517" w:name="_Toc391456436"/>
      <w:bookmarkStart w:id="2518" w:name="_Toc393200785"/>
      <w:bookmarkStart w:id="2519" w:name="_Toc403059790"/>
      <w:bookmarkStart w:id="2520" w:name="_Toc403054608"/>
      <w:r>
        <w:rPr>
          <w:rFonts w:hint="eastAsia"/>
        </w:rPr>
        <w:t>一、工程概况</w:t>
      </w:r>
      <w:bookmarkEnd w:id="2516"/>
      <w:bookmarkEnd w:id="2517"/>
      <w:bookmarkEnd w:id="2518"/>
      <w:bookmarkEnd w:id="2519"/>
      <w:bookmarkEnd w:id="2520"/>
    </w:p>
    <w:p>
      <w:pPr>
        <w:spacing w:line="360" w:lineRule="auto"/>
        <w:ind w:left="0" w:firstLine="0"/>
        <w:rPr>
          <w:u w:val="single"/>
        </w:rPr>
      </w:pPr>
      <w:r>
        <w:rPr>
          <w:rFonts w:hint="eastAsia"/>
        </w:rPr>
        <w:t>分包工程名称：（分包工程名称） 标段</w:t>
      </w:r>
    </w:p>
    <w:p>
      <w:pPr>
        <w:spacing w:line="360" w:lineRule="auto"/>
        <w:ind w:left="0" w:firstLine="0"/>
        <w:rPr>
          <w:u w:val="single"/>
        </w:rPr>
      </w:pPr>
      <w:r>
        <w:rPr>
          <w:rFonts w:hint="eastAsia"/>
        </w:rPr>
        <w:t>工程地点：</w:t>
      </w:r>
    </w:p>
    <w:p>
      <w:pPr>
        <w:spacing w:line="360" w:lineRule="auto"/>
        <w:ind w:left="0" w:firstLine="0"/>
        <w:rPr>
          <w:u w:val="single"/>
        </w:rPr>
      </w:pPr>
      <w:r>
        <w:rPr>
          <w:rFonts w:hint="eastAsia"/>
        </w:rPr>
        <w:t>分包工程内容：</w:t>
      </w:r>
    </w:p>
    <w:p>
      <w:pPr>
        <w:spacing w:line="360" w:lineRule="auto"/>
        <w:ind w:left="0" w:firstLine="0"/>
      </w:pPr>
      <w:r>
        <w:rPr>
          <w:rFonts w:hint="eastAsia"/>
        </w:rPr>
        <w:t>群体工程应附“分包人承揽工程项目一览表”（附件1）</w:t>
      </w:r>
    </w:p>
    <w:p>
      <w:pPr>
        <w:spacing w:line="360" w:lineRule="auto"/>
        <w:ind w:left="0" w:firstLine="0"/>
        <w:rPr>
          <w:u w:val="single"/>
        </w:rPr>
      </w:pPr>
      <w:r>
        <w:rPr>
          <w:rFonts w:hint="eastAsia"/>
        </w:rPr>
        <w:t>工程立项批准文号：</w:t>
      </w:r>
    </w:p>
    <w:p>
      <w:pPr>
        <w:spacing w:line="360" w:lineRule="auto"/>
        <w:ind w:left="0" w:firstLine="0"/>
        <w:rPr>
          <w:u w:val="single"/>
        </w:rPr>
      </w:pPr>
      <w:r>
        <w:rPr>
          <w:rFonts w:hint="eastAsia"/>
        </w:rPr>
        <w:t>资金来源：</w:t>
      </w:r>
    </w:p>
    <w:p>
      <w:pPr>
        <w:spacing w:line="360" w:lineRule="auto"/>
        <w:ind w:left="0" w:firstLine="0"/>
      </w:pPr>
      <w:bookmarkStart w:id="2521" w:name="_Toc403052849"/>
      <w:bookmarkStart w:id="2522" w:name="_Toc393200786"/>
      <w:bookmarkStart w:id="2523" w:name="_Toc391456437"/>
      <w:bookmarkStart w:id="2524" w:name="_Toc403054609"/>
      <w:bookmarkStart w:id="2525" w:name="_Toc403059791"/>
      <w:r>
        <w:rPr>
          <w:rFonts w:hint="eastAsia"/>
        </w:rPr>
        <w:t>二、分包工程承包范围</w:t>
      </w:r>
      <w:bookmarkEnd w:id="2521"/>
      <w:bookmarkEnd w:id="2522"/>
      <w:bookmarkEnd w:id="2523"/>
      <w:bookmarkEnd w:id="2524"/>
      <w:bookmarkEnd w:id="2525"/>
    </w:p>
    <w:p>
      <w:pPr>
        <w:spacing w:line="360" w:lineRule="auto"/>
        <w:ind w:left="0" w:firstLine="0"/>
      </w:pPr>
      <w:r>
        <w:rPr>
          <w:rFonts w:hint="eastAsia"/>
        </w:rPr>
        <w:t>承包范围：</w:t>
      </w:r>
    </w:p>
    <w:p>
      <w:pPr>
        <w:spacing w:line="360" w:lineRule="auto"/>
        <w:ind w:left="0" w:firstLine="0"/>
        <w:rPr>
          <w:b/>
          <w:u w:val="single"/>
        </w:rPr>
      </w:pPr>
      <w:r>
        <w:rPr>
          <w:rFonts w:hint="eastAsia"/>
        </w:rPr>
        <w:t>详细承包范围见第七章“技术标准和要求”。</w:t>
      </w:r>
    </w:p>
    <w:p>
      <w:pPr>
        <w:spacing w:line="360" w:lineRule="auto"/>
        <w:ind w:left="0" w:firstLine="0"/>
      </w:pPr>
      <w:bookmarkStart w:id="2526" w:name="_Toc403052850"/>
      <w:bookmarkStart w:id="2527" w:name="_Toc403054610"/>
      <w:bookmarkStart w:id="2528" w:name="_Toc403059792"/>
      <w:bookmarkStart w:id="2529" w:name="_Toc391456438"/>
      <w:bookmarkStart w:id="2530" w:name="_Toc393200787"/>
      <w:r>
        <w:rPr>
          <w:rFonts w:hint="eastAsia"/>
        </w:rPr>
        <w:t>三、分包合同工期</w:t>
      </w:r>
      <w:bookmarkEnd w:id="2526"/>
      <w:bookmarkEnd w:id="2527"/>
      <w:bookmarkEnd w:id="2528"/>
      <w:bookmarkEnd w:id="2529"/>
      <w:bookmarkEnd w:id="2530"/>
    </w:p>
    <w:p>
      <w:pPr>
        <w:spacing w:line="360" w:lineRule="auto"/>
        <w:ind w:left="0" w:firstLine="0"/>
        <w:rPr>
          <w:u w:val="single"/>
        </w:rPr>
      </w:pPr>
      <w:r>
        <w:rPr>
          <w:rFonts w:hint="eastAsia"/>
        </w:rPr>
        <w:t>计划开工日期：年月日</w:t>
      </w:r>
    </w:p>
    <w:p>
      <w:pPr>
        <w:spacing w:line="360" w:lineRule="auto"/>
        <w:ind w:left="0" w:firstLine="0"/>
        <w:rPr>
          <w:u w:val="single"/>
        </w:rPr>
      </w:pPr>
      <w:r>
        <w:rPr>
          <w:rFonts w:hint="eastAsia"/>
        </w:rPr>
        <w:t>计划完工日期：年月日</w:t>
      </w:r>
    </w:p>
    <w:p>
      <w:pPr>
        <w:spacing w:line="360" w:lineRule="auto"/>
        <w:ind w:left="0" w:firstLine="0"/>
      </w:pPr>
      <w:r>
        <w:rPr>
          <w:rFonts w:hint="eastAsia"/>
        </w:rPr>
        <w:t>工期总日历天数天，自承包人发出的开工通知中载明的开工日期起算。</w:t>
      </w:r>
    </w:p>
    <w:p>
      <w:pPr>
        <w:spacing w:line="360" w:lineRule="auto"/>
        <w:ind w:left="0" w:firstLine="0"/>
      </w:pPr>
      <w:bookmarkStart w:id="2531" w:name="_Toc403052851"/>
      <w:bookmarkStart w:id="2532" w:name="_Toc393200788"/>
      <w:bookmarkStart w:id="2533" w:name="_Toc391456439"/>
      <w:bookmarkStart w:id="2534" w:name="_Toc403059793"/>
      <w:bookmarkStart w:id="2535" w:name="_Toc403054611"/>
      <w:r>
        <w:rPr>
          <w:rFonts w:hint="eastAsia"/>
        </w:rPr>
        <w:t>四、质量标准</w:t>
      </w:r>
      <w:bookmarkEnd w:id="2531"/>
      <w:bookmarkEnd w:id="2532"/>
      <w:bookmarkEnd w:id="2533"/>
      <w:bookmarkEnd w:id="2534"/>
      <w:bookmarkEnd w:id="2535"/>
    </w:p>
    <w:p>
      <w:pPr>
        <w:spacing w:line="360" w:lineRule="auto"/>
        <w:ind w:left="0" w:firstLine="0"/>
        <w:rPr>
          <w:u w:val="single"/>
        </w:rPr>
      </w:pPr>
      <w:r>
        <w:rPr>
          <w:rFonts w:hint="eastAsia"/>
        </w:rPr>
        <w:t>工程质量标准：</w:t>
      </w:r>
    </w:p>
    <w:p>
      <w:pPr>
        <w:spacing w:line="360" w:lineRule="auto"/>
        <w:ind w:left="0" w:firstLine="0"/>
      </w:pPr>
      <w:bookmarkStart w:id="2536" w:name="_Toc391456440"/>
      <w:bookmarkStart w:id="2537" w:name="_Toc403059794"/>
      <w:bookmarkStart w:id="2538" w:name="_Toc403054612"/>
      <w:bookmarkStart w:id="2539" w:name="_Toc403052852"/>
      <w:bookmarkStart w:id="2540" w:name="_Toc393200789"/>
      <w:r>
        <w:rPr>
          <w:rFonts w:hint="eastAsia"/>
        </w:rPr>
        <w:t>五、合同形式</w:t>
      </w:r>
      <w:bookmarkEnd w:id="2536"/>
      <w:bookmarkEnd w:id="2537"/>
      <w:bookmarkEnd w:id="2538"/>
      <w:bookmarkEnd w:id="2539"/>
      <w:bookmarkEnd w:id="2540"/>
    </w:p>
    <w:p>
      <w:pPr>
        <w:spacing w:line="360" w:lineRule="auto"/>
        <w:ind w:left="0" w:firstLine="0"/>
        <w:rPr>
          <w:b/>
          <w:u w:val="single"/>
        </w:rPr>
      </w:pPr>
      <w:r>
        <w:rPr>
          <w:rFonts w:hint="eastAsia"/>
        </w:rPr>
        <w:t>本分包合同采用  合同形式</w:t>
      </w:r>
      <w:r>
        <w:t>。</w:t>
      </w:r>
    </w:p>
    <w:p>
      <w:pPr>
        <w:spacing w:line="360" w:lineRule="auto"/>
        <w:ind w:left="0" w:firstLine="0"/>
        <w:rPr>
          <w:bCs/>
        </w:rPr>
      </w:pPr>
      <w:bookmarkStart w:id="2541" w:name="_Toc391456441"/>
      <w:bookmarkStart w:id="2542" w:name="_Toc403052853"/>
      <w:bookmarkStart w:id="2543" w:name="_Toc403059795"/>
      <w:bookmarkStart w:id="2544" w:name="_Toc403054613"/>
      <w:bookmarkStart w:id="2545" w:name="_Toc393200790"/>
      <w:r>
        <w:rPr>
          <w:rFonts w:hint="eastAsia"/>
          <w:bCs/>
        </w:rPr>
        <w:t>六、签约合同价</w:t>
      </w:r>
      <w:bookmarkEnd w:id="2541"/>
      <w:bookmarkEnd w:id="2542"/>
      <w:bookmarkEnd w:id="2543"/>
      <w:bookmarkEnd w:id="2544"/>
      <w:bookmarkEnd w:id="2545"/>
    </w:p>
    <w:p>
      <w:pPr>
        <w:spacing w:line="360" w:lineRule="auto"/>
        <w:ind w:left="0" w:firstLine="0"/>
      </w:pPr>
      <w:r>
        <w:rPr>
          <w:rFonts w:hint="eastAsia"/>
        </w:rPr>
        <w:t>金额（大写）：元（人民币）</w:t>
      </w:r>
    </w:p>
    <w:p>
      <w:pPr>
        <w:spacing w:line="360" w:lineRule="auto"/>
        <w:ind w:left="0" w:firstLine="0"/>
      </w:pPr>
      <w:r>
        <w:rPr>
          <w:rFonts w:hint="eastAsia"/>
        </w:rPr>
        <w:t>（小写）￥：元</w:t>
      </w:r>
    </w:p>
    <w:p>
      <w:pPr>
        <w:spacing w:line="360" w:lineRule="auto"/>
        <w:ind w:left="0" w:firstLine="0"/>
      </w:pPr>
      <w:r>
        <w:rPr>
          <w:rFonts w:hint="eastAsia"/>
        </w:rPr>
        <w:t>其中：安全文明施工费：元</w:t>
      </w:r>
    </w:p>
    <w:p>
      <w:pPr>
        <w:spacing w:line="360" w:lineRule="auto"/>
        <w:ind w:left="0" w:firstLine="0"/>
        <w:rPr>
          <w:b/>
        </w:rPr>
      </w:pPr>
      <w:r>
        <w:rPr>
          <w:rFonts w:hint="eastAsia"/>
        </w:rPr>
        <w:t xml:space="preserve">      暂列金额：元</w:t>
      </w:r>
    </w:p>
    <w:p>
      <w:pPr>
        <w:spacing w:line="360" w:lineRule="auto"/>
        <w:ind w:left="0" w:firstLine="0"/>
        <w:rPr>
          <w:bCs/>
        </w:rPr>
      </w:pPr>
      <w:bookmarkStart w:id="2546" w:name="_Toc403054614"/>
      <w:bookmarkStart w:id="2547" w:name="_Toc391456442"/>
      <w:bookmarkStart w:id="2548" w:name="_Toc403052854"/>
      <w:bookmarkStart w:id="2549" w:name="_Toc393200791"/>
      <w:bookmarkStart w:id="2550" w:name="_Toc403059796"/>
      <w:r>
        <w:rPr>
          <w:rFonts w:hint="eastAsia"/>
          <w:bCs/>
        </w:rPr>
        <w:t>七、分包人项目经理：</w:t>
      </w:r>
      <w:bookmarkEnd w:id="2546"/>
      <w:bookmarkEnd w:id="2547"/>
      <w:bookmarkEnd w:id="2548"/>
      <w:bookmarkEnd w:id="2549"/>
      <w:bookmarkEnd w:id="2550"/>
    </w:p>
    <w:p>
      <w:pPr>
        <w:spacing w:line="360" w:lineRule="auto"/>
        <w:ind w:left="0" w:firstLine="0"/>
      </w:pPr>
      <w:r>
        <w:rPr>
          <w:rFonts w:hint="eastAsia"/>
        </w:rPr>
        <w:t xml:space="preserve">姓名： ；        </w:t>
      </w:r>
    </w:p>
    <w:p>
      <w:pPr>
        <w:spacing w:line="360" w:lineRule="auto"/>
        <w:ind w:left="0" w:firstLine="0"/>
      </w:pPr>
      <w:r>
        <w:rPr>
          <w:rFonts w:hint="eastAsia"/>
        </w:rPr>
        <w:t>职称：；</w:t>
      </w:r>
    </w:p>
    <w:p>
      <w:pPr>
        <w:spacing w:line="360" w:lineRule="auto"/>
        <w:ind w:left="0" w:firstLine="0"/>
      </w:pPr>
      <w:r>
        <w:rPr>
          <w:rFonts w:hint="eastAsia"/>
        </w:rPr>
        <w:t xml:space="preserve">身份证号：；        </w:t>
      </w:r>
    </w:p>
    <w:p>
      <w:pPr>
        <w:spacing w:line="360" w:lineRule="auto"/>
        <w:ind w:left="0" w:firstLine="0"/>
      </w:pPr>
      <w:r>
        <w:rPr>
          <w:rFonts w:hint="eastAsia"/>
        </w:rPr>
        <w:t>建造师执业资格证书号： ；</w:t>
      </w:r>
    </w:p>
    <w:p>
      <w:pPr>
        <w:spacing w:line="360" w:lineRule="auto"/>
        <w:ind w:left="0" w:firstLine="0"/>
      </w:pPr>
      <w:r>
        <w:rPr>
          <w:rFonts w:hint="eastAsia"/>
        </w:rPr>
        <w:t>建造师注册证书号（或建造师临时执业证书号）:；</w:t>
      </w:r>
    </w:p>
    <w:p>
      <w:pPr>
        <w:spacing w:line="360" w:lineRule="auto"/>
        <w:ind w:left="0" w:firstLine="0"/>
      </w:pPr>
      <w:r>
        <w:rPr>
          <w:rFonts w:hint="eastAsia"/>
        </w:rPr>
        <w:t>建造师执业印章号:；</w:t>
      </w:r>
    </w:p>
    <w:p>
      <w:pPr>
        <w:spacing w:line="360" w:lineRule="auto"/>
        <w:ind w:left="0" w:firstLine="0"/>
      </w:pPr>
      <w:r>
        <w:rPr>
          <w:rFonts w:hint="eastAsia"/>
        </w:rPr>
        <w:t>安全生产考核合格证书号：。</w:t>
      </w:r>
    </w:p>
    <w:p>
      <w:pPr>
        <w:spacing w:line="360" w:lineRule="auto"/>
        <w:ind w:left="0" w:firstLine="0"/>
      </w:pPr>
      <w:bookmarkStart w:id="2551" w:name="_Toc403059797"/>
      <w:bookmarkStart w:id="2552" w:name="_Toc403052855"/>
      <w:bookmarkStart w:id="2553" w:name="_Toc391456443"/>
      <w:bookmarkStart w:id="2554" w:name="_Toc393200792"/>
      <w:bookmarkStart w:id="2555" w:name="_Toc403054615"/>
      <w:r>
        <w:rPr>
          <w:rFonts w:hint="eastAsia"/>
        </w:rPr>
        <w:t>八、合同文件的组成</w:t>
      </w:r>
      <w:bookmarkEnd w:id="2551"/>
      <w:bookmarkEnd w:id="2552"/>
      <w:bookmarkEnd w:id="2553"/>
      <w:bookmarkEnd w:id="2554"/>
      <w:bookmarkEnd w:id="2555"/>
    </w:p>
    <w:p>
      <w:pPr>
        <w:spacing w:line="360" w:lineRule="auto"/>
        <w:ind w:left="0" w:firstLine="0"/>
      </w:pPr>
      <w:r>
        <w:rPr>
          <w:rFonts w:hint="eastAsia"/>
        </w:rPr>
        <w:t xml:space="preserve"> 下列文件共同构成合同文件：</w:t>
      </w:r>
    </w:p>
    <w:p>
      <w:pPr>
        <w:spacing w:line="360" w:lineRule="auto"/>
        <w:ind w:left="0" w:firstLine="0"/>
      </w:pPr>
      <w:r>
        <w:rPr>
          <w:rFonts w:hint="eastAsia"/>
        </w:rPr>
        <w:t>1、本协议书；</w:t>
      </w:r>
    </w:p>
    <w:p>
      <w:pPr>
        <w:spacing w:line="360" w:lineRule="auto"/>
        <w:ind w:left="0" w:firstLine="0"/>
      </w:pPr>
      <w:r>
        <w:rPr>
          <w:rFonts w:hint="eastAsia"/>
        </w:rPr>
        <w:t>2、中标通知书；</w:t>
      </w:r>
    </w:p>
    <w:p>
      <w:pPr>
        <w:spacing w:line="360" w:lineRule="auto"/>
        <w:ind w:left="0" w:firstLine="0"/>
      </w:pPr>
      <w:r>
        <w:rPr>
          <w:rFonts w:hint="eastAsia"/>
        </w:rPr>
        <w:t>3、投标函及投标函附录；</w:t>
      </w:r>
    </w:p>
    <w:p>
      <w:pPr>
        <w:spacing w:line="360" w:lineRule="auto"/>
        <w:ind w:left="0" w:firstLine="0"/>
      </w:pPr>
      <w:r>
        <w:rPr>
          <w:rFonts w:hint="eastAsia"/>
        </w:rPr>
        <w:t>4、专用合同条款；</w:t>
      </w:r>
    </w:p>
    <w:p>
      <w:pPr>
        <w:spacing w:line="360" w:lineRule="auto"/>
        <w:ind w:left="0" w:firstLine="0"/>
      </w:pPr>
      <w:r>
        <w:rPr>
          <w:rFonts w:hint="eastAsia"/>
        </w:rPr>
        <w:t>5、通用合同条款；</w:t>
      </w:r>
    </w:p>
    <w:p>
      <w:pPr>
        <w:spacing w:line="360" w:lineRule="auto"/>
        <w:ind w:left="0" w:firstLine="0"/>
      </w:pPr>
      <w:r>
        <w:rPr>
          <w:rFonts w:hint="eastAsia"/>
        </w:rPr>
        <w:t>6、技术标准和要求；</w:t>
      </w:r>
    </w:p>
    <w:p>
      <w:pPr>
        <w:spacing w:line="360" w:lineRule="auto"/>
        <w:ind w:left="0" w:firstLine="0"/>
      </w:pPr>
      <w:r>
        <w:rPr>
          <w:rFonts w:hint="eastAsia"/>
        </w:rPr>
        <w:t>7、图纸；</w:t>
      </w:r>
    </w:p>
    <w:p>
      <w:pPr>
        <w:spacing w:line="360" w:lineRule="auto"/>
        <w:ind w:left="0" w:firstLine="0"/>
      </w:pPr>
      <w:r>
        <w:rPr>
          <w:rFonts w:hint="eastAsia"/>
        </w:rPr>
        <w:t>8、已标价工程量清单；</w:t>
      </w:r>
    </w:p>
    <w:p>
      <w:pPr>
        <w:spacing w:line="360" w:lineRule="auto"/>
        <w:ind w:left="0" w:firstLine="0"/>
      </w:pPr>
      <w:r>
        <w:rPr>
          <w:rFonts w:hint="eastAsia"/>
        </w:rPr>
        <w:t>9、其他合同文件。</w:t>
      </w:r>
    </w:p>
    <w:p>
      <w:pPr>
        <w:spacing w:line="360" w:lineRule="auto"/>
        <w:ind w:left="0" w:firstLine="0"/>
      </w:pPr>
      <w:r>
        <w:t>上述文件互相补充和解释，如有不明确或不一致之处，以</w:t>
      </w:r>
      <w:r>
        <w:rPr>
          <w:rFonts w:hint="eastAsia"/>
        </w:rPr>
        <w:t>分包</w:t>
      </w:r>
      <w:r>
        <w:t>合同约定次序在先者为准。</w:t>
      </w:r>
    </w:p>
    <w:p>
      <w:pPr>
        <w:spacing w:line="360" w:lineRule="auto"/>
        <w:ind w:left="0" w:firstLine="0"/>
      </w:pPr>
      <w:bookmarkStart w:id="2556" w:name="_Toc393200793"/>
      <w:bookmarkStart w:id="2557" w:name="_Toc403054616"/>
      <w:bookmarkStart w:id="2558" w:name="_Toc391456444"/>
      <w:bookmarkStart w:id="2559" w:name="_Toc403059798"/>
      <w:bookmarkStart w:id="2560" w:name="_Toc403052856"/>
      <w:r>
        <w:rPr>
          <w:rFonts w:hint="eastAsia"/>
        </w:rPr>
        <w:t>九、本协议书中有关词语定义与合同条款中的定义相同。</w:t>
      </w:r>
      <w:bookmarkEnd w:id="2556"/>
      <w:bookmarkEnd w:id="2557"/>
      <w:bookmarkEnd w:id="2558"/>
      <w:bookmarkEnd w:id="2559"/>
      <w:bookmarkEnd w:id="2560"/>
    </w:p>
    <w:p>
      <w:pPr>
        <w:spacing w:line="360" w:lineRule="auto"/>
        <w:ind w:left="0" w:firstLine="0"/>
      </w:pPr>
      <w:bookmarkStart w:id="2561" w:name="_Toc393200794"/>
      <w:bookmarkStart w:id="2562" w:name="_Toc403052857"/>
      <w:bookmarkStart w:id="2563" w:name="_Toc391456445"/>
      <w:bookmarkStart w:id="2564" w:name="_Toc403054617"/>
      <w:bookmarkStart w:id="2565" w:name="_Toc403059799"/>
      <w:r>
        <w:rPr>
          <w:rFonts w:hint="eastAsia"/>
        </w:rPr>
        <w:t>十、分包人承诺按照分包合同约定进行施工、完工、交付并承担质量缺陷保修责任。</w:t>
      </w:r>
      <w:bookmarkEnd w:id="2561"/>
      <w:bookmarkEnd w:id="2562"/>
      <w:bookmarkEnd w:id="2563"/>
      <w:bookmarkEnd w:id="2564"/>
      <w:bookmarkEnd w:id="2565"/>
    </w:p>
    <w:p>
      <w:pPr>
        <w:spacing w:line="360" w:lineRule="auto"/>
        <w:ind w:left="0" w:firstLine="0"/>
      </w:pPr>
      <w:bookmarkStart w:id="2566" w:name="_Toc393200795"/>
      <w:bookmarkStart w:id="2567" w:name="_Toc403052858"/>
      <w:bookmarkStart w:id="2568" w:name="_Toc391456446"/>
      <w:bookmarkStart w:id="2569" w:name="_Toc403059800"/>
      <w:bookmarkStart w:id="2570" w:name="_Toc403054618"/>
      <w:r>
        <w:rPr>
          <w:rFonts w:hint="eastAsia"/>
        </w:rPr>
        <w:t>十一、承包人承诺按照分包合同约定的条件、期限和方式向分包人支付合同价款。</w:t>
      </w:r>
      <w:bookmarkEnd w:id="2566"/>
      <w:bookmarkEnd w:id="2567"/>
      <w:bookmarkEnd w:id="2568"/>
      <w:bookmarkEnd w:id="2569"/>
      <w:bookmarkEnd w:id="2570"/>
    </w:p>
    <w:p>
      <w:pPr>
        <w:spacing w:line="360" w:lineRule="auto"/>
        <w:ind w:left="0" w:firstLine="0"/>
        <w:rPr>
          <w:u w:val="single"/>
        </w:rPr>
      </w:pPr>
      <w:bookmarkStart w:id="2571" w:name="_Toc403054619"/>
      <w:bookmarkStart w:id="2572" w:name="_Toc403059801"/>
      <w:bookmarkStart w:id="2573" w:name="_Toc393200796"/>
      <w:bookmarkStart w:id="2574" w:name="_Toc403052859"/>
      <w:bookmarkStart w:id="2575" w:name="_Toc391456447"/>
      <w:r>
        <w:rPr>
          <w:rFonts w:hint="eastAsia"/>
        </w:rPr>
        <w:t>十二、本协议书连同其他合同文件正本一式两份，合同双方各执一份；副本一式</w:t>
      </w:r>
      <w:bookmarkEnd w:id="2571"/>
      <w:bookmarkEnd w:id="2572"/>
      <w:bookmarkEnd w:id="2573"/>
      <w:bookmarkEnd w:id="2574"/>
      <w:bookmarkEnd w:id="2575"/>
    </w:p>
    <w:p>
      <w:pPr>
        <w:spacing w:line="360" w:lineRule="auto"/>
        <w:ind w:left="0" w:firstLine="0"/>
      </w:pPr>
      <w:r>
        <w:rPr>
          <w:rFonts w:hint="eastAsia"/>
        </w:rPr>
        <w:t>份，其中一份在合同报送建设行政主管部门备案时留存。</w:t>
      </w:r>
    </w:p>
    <w:p>
      <w:pPr>
        <w:spacing w:line="360" w:lineRule="auto"/>
        <w:ind w:left="0" w:firstLine="0"/>
      </w:pPr>
      <w:bookmarkStart w:id="2576" w:name="_Toc391456448"/>
      <w:bookmarkStart w:id="2577" w:name="_Toc403059802"/>
      <w:bookmarkStart w:id="2578" w:name="_Toc403052860"/>
      <w:bookmarkStart w:id="2579" w:name="_Toc393200797"/>
      <w:bookmarkStart w:id="2580" w:name="_Toc403054620"/>
      <w:r>
        <w:rPr>
          <w:rFonts w:hint="eastAsia"/>
        </w:rPr>
        <w:t>十三、</w:t>
      </w:r>
      <w:r>
        <w:t>合同未尽事宜，双方另行签订补充协议</w:t>
      </w:r>
      <w:r>
        <w:rPr>
          <w:rFonts w:hint="eastAsia"/>
        </w:rPr>
        <w:t>，但不得背离本协议第八条所约定的合同文件的实质性内容</w:t>
      </w:r>
      <w:r>
        <w:t>。补充协议是合同</w:t>
      </w:r>
      <w:r>
        <w:rPr>
          <w:rFonts w:hint="eastAsia"/>
        </w:rPr>
        <w:t>文件</w:t>
      </w:r>
      <w:r>
        <w:t>的组成部分。</w:t>
      </w:r>
      <w:bookmarkEnd w:id="2576"/>
      <w:bookmarkEnd w:id="2577"/>
      <w:bookmarkEnd w:id="2578"/>
      <w:bookmarkEnd w:id="2579"/>
      <w:bookmarkEnd w:id="2580"/>
    </w:p>
    <w:p>
      <w:pPr>
        <w:spacing w:line="360" w:lineRule="auto"/>
        <w:ind w:left="0" w:firstLine="0"/>
      </w:pPr>
      <w:r>
        <w:rPr>
          <w:rFonts w:hint="eastAsia"/>
          <w:b/>
          <w:bCs/>
        </w:rPr>
        <w:t>承</w:t>
      </w:r>
      <w:r>
        <w:rPr>
          <w:b/>
          <w:bCs/>
        </w:rPr>
        <w:t>包人：</w:t>
      </w:r>
      <w:r>
        <w:t>（盖单位章）</w:t>
      </w:r>
      <w:r>
        <w:rPr>
          <w:rFonts w:hint="eastAsia"/>
          <w:b/>
          <w:bCs/>
        </w:rPr>
        <w:t xml:space="preserve">                     分</w:t>
      </w:r>
      <w:r>
        <w:rPr>
          <w:b/>
          <w:bCs/>
        </w:rPr>
        <w:t>包人：</w:t>
      </w:r>
      <w:r>
        <w:t>（盖单位章）</w:t>
      </w:r>
    </w:p>
    <w:p>
      <w:pPr>
        <w:spacing w:line="360" w:lineRule="auto"/>
        <w:ind w:left="0" w:firstLine="0"/>
      </w:pPr>
      <w:r>
        <w:rPr>
          <w:b/>
          <w:bCs/>
        </w:rPr>
        <w:t>法定代表人或其法定代表人或其</w:t>
      </w:r>
    </w:p>
    <w:p>
      <w:pPr>
        <w:spacing w:line="360" w:lineRule="auto"/>
        <w:ind w:left="0" w:firstLine="0"/>
      </w:pPr>
      <w:r>
        <w:rPr>
          <w:b/>
          <w:bCs/>
        </w:rPr>
        <w:t>委托代理人：</w:t>
      </w:r>
      <w:r>
        <w:t>（签字）</w:t>
      </w:r>
      <w:r>
        <w:rPr>
          <w:rFonts w:hint="eastAsia"/>
        </w:rPr>
        <w:t xml:space="preserve">                    </w:t>
      </w:r>
      <w:r>
        <w:rPr>
          <w:b/>
          <w:bCs/>
        </w:rPr>
        <w:t>委托代理人：</w:t>
      </w:r>
      <w:r>
        <w:t>（签字）</w:t>
      </w:r>
    </w:p>
    <w:p>
      <w:pPr>
        <w:spacing w:line="360" w:lineRule="auto"/>
        <w:ind w:left="0" w:firstLine="0"/>
      </w:pPr>
      <w:r>
        <w:t>年月日</w:t>
      </w:r>
      <w:r>
        <w:rPr>
          <w:rFonts w:hint="eastAsia"/>
        </w:rPr>
        <w:t xml:space="preserve">                                 </w:t>
      </w:r>
      <w:r>
        <w:t>年月 日</w:t>
      </w:r>
    </w:p>
    <w:p>
      <w:pPr>
        <w:spacing w:line="360" w:lineRule="auto"/>
        <w:ind w:left="0" w:firstLine="0"/>
        <w:rPr>
          <w:b/>
        </w:rPr>
      </w:pPr>
      <w:r>
        <w:rPr>
          <w:rFonts w:hint="eastAsia"/>
          <w:b/>
        </w:rPr>
        <w:t>签约地点：</w:t>
      </w:r>
    </w:p>
    <w:p>
      <w:pPr>
        <w:spacing w:line="360" w:lineRule="auto"/>
        <w:ind w:left="0" w:firstLine="0"/>
      </w:pPr>
      <w:r>
        <w:br w:type="page"/>
      </w:r>
    </w:p>
    <w:p>
      <w:pPr>
        <w:pStyle w:val="2"/>
        <w:spacing w:line="360" w:lineRule="auto"/>
        <w:ind w:left="0" w:leftChars="0" w:firstLine="0" w:firstLineChars="0"/>
        <w:outlineLvl w:val="1"/>
        <w:rPr>
          <w:b/>
        </w:rPr>
      </w:pPr>
      <w:bookmarkStart w:id="2581" w:name="_Toc391456470"/>
      <w:bookmarkStart w:id="2582" w:name="_Toc403052882"/>
      <w:bookmarkStart w:id="2583" w:name="_Toc241459757"/>
      <w:bookmarkStart w:id="2584" w:name="_Toc77206889"/>
      <w:bookmarkStart w:id="2585" w:name="_Toc79057552"/>
      <w:bookmarkStart w:id="2586" w:name="_Toc342296516"/>
      <w:bookmarkStart w:id="2587" w:name="_Toc86825539"/>
      <w:bookmarkStart w:id="2588" w:name="_Toc403059824"/>
      <w:bookmarkStart w:id="2589" w:name="_Toc111445497"/>
      <w:r>
        <w:rPr>
          <w:rFonts w:hint="eastAsia"/>
          <w:b/>
        </w:rPr>
        <w:t>附件一：质量保修书格式</w:t>
      </w:r>
      <w:bookmarkEnd w:id="2581"/>
      <w:bookmarkEnd w:id="2582"/>
      <w:bookmarkEnd w:id="2583"/>
      <w:bookmarkEnd w:id="2584"/>
      <w:bookmarkEnd w:id="2585"/>
      <w:bookmarkEnd w:id="2586"/>
      <w:bookmarkEnd w:id="2587"/>
      <w:bookmarkEnd w:id="2588"/>
    </w:p>
    <w:p>
      <w:pPr>
        <w:pStyle w:val="2"/>
        <w:spacing w:line="360" w:lineRule="auto"/>
        <w:ind w:left="480" w:firstLine="0" w:firstLineChars="0"/>
      </w:pPr>
    </w:p>
    <w:p>
      <w:pPr>
        <w:pStyle w:val="2"/>
        <w:spacing w:line="360" w:lineRule="auto"/>
        <w:ind w:left="480" w:firstLine="0" w:firstLineChars="0"/>
        <w:jc w:val="center"/>
      </w:pPr>
      <w:r>
        <w:rPr>
          <w:rFonts w:hint="eastAsia"/>
        </w:rPr>
        <w:t>房屋建筑工程质量保修书</w:t>
      </w:r>
      <w:bookmarkEnd w:id="2589"/>
    </w:p>
    <w:p>
      <w:pPr>
        <w:pStyle w:val="2"/>
        <w:spacing w:line="360" w:lineRule="auto"/>
        <w:ind w:left="0" w:leftChars="0" w:firstLine="0" w:firstLineChars="0"/>
        <w:rPr>
          <w:u w:val="single"/>
        </w:rPr>
      </w:pPr>
      <w:r>
        <w:rPr>
          <w:rFonts w:hint="eastAsia"/>
        </w:rPr>
        <w:t>承包人：</w:t>
      </w:r>
    </w:p>
    <w:p>
      <w:pPr>
        <w:pStyle w:val="2"/>
        <w:spacing w:line="360" w:lineRule="auto"/>
        <w:ind w:left="0" w:leftChars="0" w:firstLine="0" w:firstLineChars="0"/>
      </w:pPr>
      <w:r>
        <w:rPr>
          <w:rFonts w:hint="eastAsia"/>
        </w:rPr>
        <w:t>分包人：</w:t>
      </w:r>
    </w:p>
    <w:p>
      <w:pPr>
        <w:pStyle w:val="2"/>
        <w:spacing w:line="360" w:lineRule="auto"/>
        <w:ind w:left="199" w:leftChars="83" w:firstLineChars="0"/>
      </w:pPr>
      <w:r>
        <w:rPr>
          <w:rFonts w:hint="eastAsia"/>
        </w:rPr>
        <w:t>承包人、分包人根据《中华人民共和国建筑法》、《建设工程质量管理条例》和《房屋建筑工程质量保修办法》，经协商一致，对（工程名称）签订保修书。</w:t>
      </w:r>
    </w:p>
    <w:p>
      <w:pPr>
        <w:pStyle w:val="2"/>
        <w:spacing w:line="360" w:lineRule="auto"/>
        <w:ind w:left="480" w:firstLine="0" w:firstLineChars="0"/>
      </w:pPr>
      <w:bookmarkStart w:id="2590" w:name="_Toc403052883"/>
      <w:bookmarkStart w:id="2591" w:name="_Toc391456471"/>
      <w:bookmarkStart w:id="2592" w:name="_Toc403059825"/>
      <w:bookmarkStart w:id="2593" w:name="_Toc393200820"/>
      <w:bookmarkStart w:id="2594" w:name="_Toc111445498"/>
      <w:bookmarkStart w:id="2595" w:name="_Toc403054643"/>
      <w:r>
        <w:rPr>
          <w:rFonts w:hint="eastAsia"/>
        </w:rPr>
        <w:t>一、工程保修范围和内容</w:t>
      </w:r>
      <w:bookmarkEnd w:id="2590"/>
      <w:bookmarkEnd w:id="2591"/>
      <w:bookmarkEnd w:id="2592"/>
      <w:bookmarkEnd w:id="2593"/>
      <w:bookmarkEnd w:id="2594"/>
      <w:bookmarkEnd w:id="2595"/>
    </w:p>
    <w:p>
      <w:pPr>
        <w:pStyle w:val="2"/>
        <w:spacing w:line="360" w:lineRule="auto"/>
        <w:ind w:left="480" w:firstLine="480"/>
      </w:pPr>
      <w:r>
        <w:rPr>
          <w:rFonts w:hint="eastAsia"/>
        </w:rPr>
        <w:t>分包人在保修期内，按照有关法律、法规、规章的管理规定和双方约定，承担本分包工程保修责任。</w:t>
      </w:r>
    </w:p>
    <w:p>
      <w:pPr>
        <w:pStyle w:val="2"/>
        <w:spacing w:line="360" w:lineRule="auto"/>
        <w:ind w:left="480" w:firstLine="480"/>
      </w:pPr>
      <w:r>
        <w:rPr>
          <w:rFonts w:hint="eastAsia"/>
        </w:rPr>
        <w:t>保修责任范围包括工程，以及双方约定的其他项目。具体保修的内容，双方约定如下：</w:t>
      </w:r>
    </w:p>
    <w:p>
      <w:pPr>
        <w:pStyle w:val="2"/>
        <w:spacing w:line="360" w:lineRule="auto"/>
        <w:ind w:left="0" w:leftChars="0" w:firstLine="0" w:firstLineChars="0"/>
      </w:pPr>
      <w:r>
        <w:rPr>
          <w:rFonts w:hint="eastAsia"/>
        </w:rPr>
        <w:t>。</w:t>
      </w:r>
    </w:p>
    <w:p>
      <w:pPr>
        <w:pStyle w:val="2"/>
        <w:spacing w:line="360" w:lineRule="auto"/>
        <w:ind w:left="480" w:firstLine="0" w:firstLineChars="0"/>
      </w:pPr>
      <w:bookmarkStart w:id="2596" w:name="_Toc111445499"/>
      <w:bookmarkStart w:id="2597" w:name="_Toc391456472"/>
      <w:bookmarkStart w:id="2598" w:name="_Toc403052884"/>
      <w:bookmarkStart w:id="2599" w:name="_Toc403059826"/>
      <w:bookmarkStart w:id="2600" w:name="_Toc393200821"/>
      <w:bookmarkStart w:id="2601" w:name="_Toc403054644"/>
      <w:r>
        <w:rPr>
          <w:rFonts w:hint="eastAsia"/>
        </w:rPr>
        <w:t>二、保修期</w:t>
      </w:r>
      <w:bookmarkEnd w:id="2596"/>
      <w:bookmarkEnd w:id="2597"/>
      <w:bookmarkEnd w:id="2598"/>
      <w:bookmarkEnd w:id="2599"/>
      <w:bookmarkEnd w:id="2600"/>
      <w:bookmarkEnd w:id="2601"/>
    </w:p>
    <w:p>
      <w:pPr>
        <w:pStyle w:val="2"/>
        <w:spacing w:line="360" w:lineRule="auto"/>
        <w:ind w:left="480" w:firstLine="480"/>
      </w:pPr>
      <w:r>
        <w:rPr>
          <w:rFonts w:hint="eastAsia"/>
        </w:rPr>
        <w:t>双方根据《建设工程质量管理条例》及有关规定，约定本分包工程的保修期如下：</w:t>
      </w:r>
    </w:p>
    <w:p>
      <w:pPr>
        <w:pStyle w:val="2"/>
        <w:spacing w:line="360" w:lineRule="auto"/>
        <w:ind w:left="480" w:firstLine="0" w:firstLineChars="0"/>
      </w:pPr>
      <w:r>
        <w:rPr>
          <w:rFonts w:hint="eastAsia"/>
        </w:rPr>
        <w:t>。</w:t>
      </w:r>
    </w:p>
    <w:p>
      <w:pPr>
        <w:pStyle w:val="2"/>
        <w:spacing w:line="360" w:lineRule="auto"/>
        <w:ind w:left="480" w:firstLine="0" w:firstLineChars="0"/>
      </w:pPr>
      <w:bookmarkStart w:id="2602" w:name="_Toc403052885"/>
      <w:bookmarkStart w:id="2603" w:name="_Toc393200822"/>
      <w:bookmarkStart w:id="2604" w:name="_Toc111445500"/>
      <w:bookmarkStart w:id="2605" w:name="_Toc391456473"/>
      <w:bookmarkStart w:id="2606" w:name="_Toc403059827"/>
      <w:bookmarkStart w:id="2607" w:name="_Toc403054645"/>
      <w:r>
        <w:rPr>
          <w:rFonts w:hint="eastAsia"/>
        </w:rPr>
        <w:t>三、保修责任</w:t>
      </w:r>
      <w:bookmarkEnd w:id="2602"/>
      <w:bookmarkEnd w:id="2603"/>
      <w:bookmarkEnd w:id="2604"/>
      <w:bookmarkEnd w:id="2605"/>
      <w:bookmarkEnd w:id="2606"/>
      <w:bookmarkEnd w:id="2607"/>
    </w:p>
    <w:p>
      <w:pPr>
        <w:pStyle w:val="2"/>
        <w:spacing w:line="360" w:lineRule="auto"/>
        <w:ind w:left="480" w:firstLine="0" w:firstLineChars="0"/>
      </w:pPr>
      <w:r>
        <w:rPr>
          <w:rFonts w:hint="eastAsia"/>
        </w:rPr>
        <w:t>1、属于责任范围、内容的项目，分包人应当在接到保修通知之日起天内派人保修。分包人不在约定期限内派人保修的，承包人可以委托他人修理。</w:t>
      </w:r>
    </w:p>
    <w:p>
      <w:pPr>
        <w:pStyle w:val="2"/>
        <w:spacing w:line="360" w:lineRule="auto"/>
        <w:ind w:left="480" w:firstLine="0" w:firstLineChars="0"/>
      </w:pPr>
      <w:r>
        <w:rPr>
          <w:rFonts w:hint="eastAsia"/>
        </w:rPr>
        <w:t>2、发生紧急抢修事故的，分包人在接到事故通知后，应当立即到达事故现场抢修。</w:t>
      </w:r>
    </w:p>
    <w:p>
      <w:pPr>
        <w:pStyle w:val="2"/>
        <w:spacing w:line="360" w:lineRule="auto"/>
        <w:ind w:left="480" w:firstLine="0" w:firstLineChars="0"/>
      </w:pPr>
      <w:r>
        <w:rPr>
          <w:rFonts w:hint="eastAsia"/>
        </w:rPr>
        <w:t>3、对于涉及结构安全的质量问题，应当按照《房屋建筑工程质量保修办法》的规定，立即向当地建设行政主管部门报告，采取安全防范措施；由原设计人或者具有相应资质等级的设计人提出保修方案，分包人实施保修。</w:t>
      </w:r>
    </w:p>
    <w:p>
      <w:pPr>
        <w:pStyle w:val="2"/>
        <w:spacing w:line="360" w:lineRule="auto"/>
        <w:ind w:left="480" w:firstLine="0" w:firstLineChars="0"/>
      </w:pPr>
      <w:r>
        <w:rPr>
          <w:rFonts w:hint="eastAsia"/>
        </w:rPr>
        <w:t>4、质量保修完成后，由承包人组织验收。</w:t>
      </w:r>
    </w:p>
    <w:p>
      <w:pPr>
        <w:pStyle w:val="2"/>
        <w:spacing w:line="360" w:lineRule="auto"/>
        <w:ind w:left="480" w:firstLine="0" w:firstLineChars="0"/>
      </w:pPr>
      <w:bookmarkStart w:id="2608" w:name="_Toc403052886"/>
      <w:bookmarkStart w:id="2609" w:name="_Toc391456474"/>
      <w:bookmarkStart w:id="2610" w:name="_Toc403054646"/>
      <w:bookmarkStart w:id="2611" w:name="_Toc111445501"/>
      <w:bookmarkStart w:id="2612" w:name="_Toc403059828"/>
      <w:bookmarkStart w:id="2613" w:name="_Toc393200823"/>
      <w:r>
        <w:rPr>
          <w:rFonts w:hint="eastAsia"/>
        </w:rPr>
        <w:t>四、保修费用</w:t>
      </w:r>
      <w:bookmarkEnd w:id="2608"/>
      <w:bookmarkEnd w:id="2609"/>
      <w:bookmarkEnd w:id="2610"/>
      <w:bookmarkEnd w:id="2611"/>
      <w:bookmarkEnd w:id="2612"/>
      <w:bookmarkEnd w:id="2613"/>
    </w:p>
    <w:p>
      <w:pPr>
        <w:pStyle w:val="2"/>
        <w:spacing w:line="360" w:lineRule="auto"/>
        <w:ind w:left="480" w:firstLine="480"/>
        <w:rPr>
          <w:u w:val="single"/>
        </w:rPr>
      </w:pPr>
      <w:r>
        <w:rPr>
          <w:rFonts w:hint="eastAsia"/>
        </w:rPr>
        <w:t>保修费用由造成质量缺陷的责任方承担。</w:t>
      </w:r>
    </w:p>
    <w:p>
      <w:pPr>
        <w:pStyle w:val="2"/>
        <w:spacing w:line="360" w:lineRule="auto"/>
        <w:ind w:left="480" w:firstLine="0" w:firstLineChars="0"/>
      </w:pPr>
      <w:bookmarkStart w:id="2614" w:name="_Toc403054647"/>
      <w:bookmarkStart w:id="2615" w:name="_Toc393200824"/>
      <w:bookmarkStart w:id="2616" w:name="_Toc403059829"/>
      <w:bookmarkStart w:id="2617" w:name="_Toc403052887"/>
      <w:bookmarkStart w:id="2618" w:name="_Toc111445502"/>
      <w:bookmarkStart w:id="2619" w:name="_Toc391456475"/>
      <w:r>
        <w:rPr>
          <w:rFonts w:hint="eastAsia"/>
        </w:rPr>
        <w:t>五、其 他</w:t>
      </w:r>
      <w:bookmarkEnd w:id="2614"/>
      <w:bookmarkEnd w:id="2615"/>
      <w:bookmarkEnd w:id="2616"/>
      <w:bookmarkEnd w:id="2617"/>
      <w:bookmarkEnd w:id="2618"/>
      <w:bookmarkEnd w:id="2619"/>
    </w:p>
    <w:p>
      <w:pPr>
        <w:pStyle w:val="2"/>
        <w:spacing w:line="360" w:lineRule="auto"/>
        <w:ind w:left="480" w:firstLine="480"/>
      </w:pPr>
      <w:r>
        <w:rPr>
          <w:rFonts w:hint="eastAsia"/>
        </w:rPr>
        <w:t>双方约定的其他工程保修责任事项：</w:t>
      </w:r>
    </w:p>
    <w:p>
      <w:pPr>
        <w:pStyle w:val="2"/>
        <w:spacing w:line="360" w:lineRule="auto"/>
        <w:ind w:left="480" w:firstLine="0" w:firstLineChars="0"/>
      </w:pPr>
      <w:r>
        <w:rPr>
          <w:rFonts w:hint="eastAsia"/>
        </w:rPr>
        <w:t>。</w:t>
      </w:r>
    </w:p>
    <w:p>
      <w:pPr>
        <w:pStyle w:val="2"/>
        <w:spacing w:line="360" w:lineRule="auto"/>
        <w:ind w:left="480" w:firstLine="480"/>
      </w:pPr>
      <w:r>
        <w:rPr>
          <w:rFonts w:hint="eastAsia"/>
        </w:rPr>
        <w:t>本分包工程保修书，由施工合同承包人、分包人双方在完工验收前共同签署，作为施工合同附件，其有效期限至保修期满。</w:t>
      </w:r>
    </w:p>
    <w:p>
      <w:pPr>
        <w:pStyle w:val="2"/>
        <w:spacing w:line="360" w:lineRule="auto"/>
        <w:ind w:left="480" w:firstLine="0" w:firstLineChars="0"/>
      </w:pPr>
      <w:r>
        <w:rPr>
          <w:rFonts w:hint="eastAsia"/>
        </w:rPr>
        <w:t>承包人：（公章）</w:t>
      </w:r>
      <w:r>
        <w:rPr>
          <w:rFonts w:hint="eastAsia"/>
        </w:rPr>
        <w:tab/>
      </w:r>
      <w:r>
        <w:rPr>
          <w:rFonts w:hint="eastAsia"/>
        </w:rPr>
        <w:t xml:space="preserve">                       分包人：（公章） </w:t>
      </w:r>
    </w:p>
    <w:p>
      <w:pPr>
        <w:pStyle w:val="2"/>
        <w:spacing w:line="360" w:lineRule="auto"/>
        <w:ind w:left="480" w:firstLine="0" w:firstLineChars="0"/>
      </w:pPr>
      <w:r>
        <w:rPr>
          <w:rFonts w:hint="eastAsia"/>
        </w:rPr>
        <w:t>法定地址：</w:t>
      </w:r>
      <w:r>
        <w:rPr>
          <w:rFonts w:hint="eastAsia"/>
        </w:rPr>
        <w:tab/>
      </w:r>
      <w:r>
        <w:rPr>
          <w:rFonts w:hint="eastAsia"/>
        </w:rPr>
        <w:t xml:space="preserve">                          法定地址：</w:t>
      </w:r>
    </w:p>
    <w:p>
      <w:pPr>
        <w:pStyle w:val="2"/>
        <w:spacing w:line="360" w:lineRule="auto"/>
        <w:ind w:left="480" w:firstLine="0" w:firstLineChars="0"/>
      </w:pPr>
      <w:r>
        <w:rPr>
          <w:rFonts w:hint="eastAsia"/>
        </w:rPr>
        <w:t>法定代表人或其                         法定代表人或其</w:t>
      </w:r>
    </w:p>
    <w:p>
      <w:pPr>
        <w:pStyle w:val="2"/>
        <w:spacing w:line="360" w:lineRule="auto"/>
        <w:ind w:left="480" w:firstLine="0" w:firstLineChars="0"/>
      </w:pPr>
      <w:r>
        <w:rPr>
          <w:rFonts w:hint="eastAsia"/>
        </w:rPr>
        <w:t>委托代理人：（签字）</w:t>
      </w:r>
      <w:r>
        <w:rPr>
          <w:rFonts w:hint="eastAsia"/>
        </w:rPr>
        <w:tab/>
      </w:r>
      <w:r>
        <w:rPr>
          <w:rFonts w:hint="eastAsia"/>
        </w:rPr>
        <w:t xml:space="preserve">                   委托代理人：（签字）</w:t>
      </w:r>
    </w:p>
    <w:p>
      <w:pPr>
        <w:pStyle w:val="2"/>
        <w:spacing w:line="360" w:lineRule="auto"/>
        <w:ind w:left="480" w:firstLine="0" w:firstLineChars="0"/>
      </w:pPr>
      <w:r>
        <w:rPr>
          <w:rFonts w:hint="eastAsia"/>
        </w:rPr>
        <w:t>电话：</w:t>
      </w:r>
      <w:r>
        <w:rPr>
          <w:rFonts w:hint="eastAsia"/>
        </w:rPr>
        <w:tab/>
      </w:r>
      <w:r>
        <w:rPr>
          <w:rFonts w:hint="eastAsia"/>
        </w:rPr>
        <w:t xml:space="preserve">                                 电话：</w:t>
      </w:r>
    </w:p>
    <w:p>
      <w:pPr>
        <w:pStyle w:val="2"/>
        <w:spacing w:line="360" w:lineRule="auto"/>
        <w:ind w:left="480" w:firstLine="0" w:firstLineChars="0"/>
      </w:pPr>
      <w:r>
        <w:rPr>
          <w:rFonts w:hint="eastAsia"/>
        </w:rPr>
        <w:t>传真：</w:t>
      </w:r>
      <w:r>
        <w:rPr>
          <w:rFonts w:hint="eastAsia"/>
        </w:rPr>
        <w:tab/>
      </w:r>
      <w:r>
        <w:rPr>
          <w:rFonts w:hint="eastAsia"/>
        </w:rPr>
        <w:t xml:space="preserve">                                 传真：</w:t>
      </w:r>
    </w:p>
    <w:p>
      <w:pPr>
        <w:pStyle w:val="2"/>
        <w:spacing w:line="360" w:lineRule="auto"/>
        <w:ind w:left="480" w:firstLine="0" w:firstLineChars="0"/>
      </w:pPr>
      <w:r>
        <w:rPr>
          <w:rFonts w:hint="eastAsia"/>
        </w:rPr>
        <w:t>电子邮箱：                             电子邮箱：</w:t>
      </w:r>
    </w:p>
    <w:p>
      <w:pPr>
        <w:pStyle w:val="2"/>
        <w:spacing w:line="360" w:lineRule="auto"/>
        <w:ind w:left="480" w:firstLine="0" w:firstLineChars="0"/>
      </w:pPr>
      <w:r>
        <w:rPr>
          <w:rFonts w:hint="eastAsia"/>
        </w:rPr>
        <w:t>开户银行：</w:t>
      </w:r>
      <w:r>
        <w:rPr>
          <w:rFonts w:hint="eastAsia"/>
        </w:rPr>
        <w:tab/>
      </w:r>
      <w:r>
        <w:rPr>
          <w:rFonts w:hint="eastAsia"/>
        </w:rPr>
        <w:t xml:space="preserve">                         开户银行：</w:t>
      </w:r>
    </w:p>
    <w:p>
      <w:pPr>
        <w:pStyle w:val="2"/>
        <w:spacing w:line="360" w:lineRule="auto"/>
        <w:ind w:left="480" w:firstLine="0" w:firstLineChars="0"/>
      </w:pPr>
      <w:r>
        <w:rPr>
          <w:rFonts w:hint="eastAsia"/>
        </w:rPr>
        <w:t>帐号：</w:t>
      </w:r>
      <w:r>
        <w:rPr>
          <w:rFonts w:hint="eastAsia"/>
        </w:rPr>
        <w:tab/>
      </w:r>
      <w:r>
        <w:rPr>
          <w:rFonts w:hint="eastAsia"/>
        </w:rPr>
        <w:t xml:space="preserve">                                 帐号：</w:t>
      </w:r>
    </w:p>
    <w:p>
      <w:pPr>
        <w:pStyle w:val="2"/>
        <w:spacing w:line="360" w:lineRule="auto"/>
        <w:ind w:left="0" w:leftChars="0" w:firstLine="480"/>
      </w:pPr>
      <w:r>
        <w:rPr>
          <w:rFonts w:hint="eastAsia"/>
        </w:rPr>
        <w:t>邮政编码：                             邮政编码：</w:t>
      </w:r>
    </w:p>
    <w:p>
      <w:pPr>
        <w:pStyle w:val="2"/>
        <w:spacing w:line="360" w:lineRule="auto"/>
        <w:ind w:left="480" w:firstLine="482"/>
        <w:rPr>
          <w:b/>
        </w:rPr>
      </w:pPr>
      <w:bookmarkStart w:id="2620" w:name="_Toc403052888"/>
      <w:bookmarkStart w:id="2621" w:name="_Toc342296517"/>
      <w:bookmarkStart w:id="2622" w:name="_Toc391456476"/>
      <w:bookmarkStart w:id="2623" w:name="_Toc241459758"/>
      <w:bookmarkStart w:id="2624" w:name="_Toc403059830"/>
      <w:bookmarkStart w:id="2625" w:name="_Toc111445503"/>
    </w:p>
    <w:p>
      <w:pPr>
        <w:pStyle w:val="2"/>
        <w:spacing w:line="360" w:lineRule="auto"/>
        <w:ind w:left="480" w:firstLine="482"/>
        <w:rPr>
          <w:b/>
        </w:rPr>
      </w:pPr>
    </w:p>
    <w:p>
      <w:pPr>
        <w:pStyle w:val="2"/>
        <w:spacing w:line="360" w:lineRule="auto"/>
        <w:ind w:left="480" w:firstLine="482"/>
        <w:rPr>
          <w:b/>
        </w:rPr>
      </w:pPr>
    </w:p>
    <w:p>
      <w:pPr>
        <w:pStyle w:val="2"/>
        <w:spacing w:line="360" w:lineRule="auto"/>
        <w:ind w:left="480" w:firstLine="482"/>
        <w:rPr>
          <w:b/>
        </w:rPr>
      </w:pPr>
    </w:p>
    <w:p>
      <w:pPr>
        <w:pStyle w:val="2"/>
        <w:spacing w:line="360" w:lineRule="auto"/>
        <w:ind w:left="480" w:firstLine="482"/>
        <w:rPr>
          <w:b/>
        </w:rPr>
      </w:pPr>
    </w:p>
    <w:p>
      <w:pPr>
        <w:pStyle w:val="2"/>
        <w:spacing w:line="360" w:lineRule="auto"/>
        <w:ind w:left="480" w:firstLine="482"/>
        <w:rPr>
          <w:b/>
        </w:rPr>
      </w:pPr>
    </w:p>
    <w:p>
      <w:pPr>
        <w:pStyle w:val="2"/>
        <w:spacing w:line="360" w:lineRule="auto"/>
        <w:ind w:left="480" w:firstLine="482"/>
        <w:rPr>
          <w:b/>
        </w:rPr>
      </w:pPr>
    </w:p>
    <w:p>
      <w:pPr>
        <w:pStyle w:val="2"/>
        <w:spacing w:line="360" w:lineRule="auto"/>
        <w:ind w:left="480" w:firstLine="482"/>
        <w:rPr>
          <w:b/>
        </w:rPr>
      </w:pPr>
    </w:p>
    <w:p>
      <w:pPr>
        <w:pStyle w:val="2"/>
        <w:spacing w:line="360" w:lineRule="auto"/>
        <w:ind w:left="0" w:leftChars="0" w:firstLine="0" w:firstLineChars="0"/>
        <w:outlineLvl w:val="1"/>
        <w:rPr>
          <w:b/>
        </w:rPr>
      </w:pPr>
      <w:bookmarkStart w:id="2626" w:name="_Toc86825540"/>
      <w:bookmarkStart w:id="2627" w:name="_Toc79057553"/>
      <w:bookmarkStart w:id="2628" w:name="_Toc77206890"/>
      <w:r>
        <w:rPr>
          <w:rFonts w:hint="eastAsia"/>
          <w:b/>
        </w:rPr>
        <w:t>附件二：廉政责任书格式</w:t>
      </w:r>
      <w:bookmarkEnd w:id="2620"/>
      <w:bookmarkEnd w:id="2621"/>
      <w:bookmarkEnd w:id="2622"/>
      <w:bookmarkEnd w:id="2623"/>
      <w:bookmarkEnd w:id="2624"/>
      <w:bookmarkEnd w:id="2626"/>
      <w:bookmarkEnd w:id="2627"/>
      <w:bookmarkEnd w:id="2628"/>
    </w:p>
    <w:p>
      <w:pPr>
        <w:pStyle w:val="2"/>
        <w:spacing w:line="360" w:lineRule="auto"/>
        <w:ind w:left="480" w:firstLine="480"/>
        <w:jc w:val="center"/>
      </w:pPr>
      <w:r>
        <w:rPr>
          <w:rFonts w:hint="eastAsia"/>
        </w:rPr>
        <w:t>建设工程廉政责任书</w:t>
      </w:r>
      <w:bookmarkEnd w:id="2625"/>
    </w:p>
    <w:p>
      <w:pPr>
        <w:pStyle w:val="2"/>
        <w:spacing w:line="360" w:lineRule="auto"/>
        <w:ind w:left="480" w:firstLine="0" w:firstLineChars="0"/>
        <w:rPr>
          <w:u w:val="single"/>
        </w:rPr>
      </w:pPr>
      <w:r>
        <w:rPr>
          <w:rFonts w:hint="eastAsia"/>
        </w:rPr>
        <w:t>承包人：</w:t>
      </w:r>
    </w:p>
    <w:p>
      <w:pPr>
        <w:pStyle w:val="2"/>
        <w:spacing w:line="360" w:lineRule="auto"/>
        <w:ind w:left="480" w:firstLine="0" w:firstLineChars="0"/>
      </w:pPr>
      <w:r>
        <w:rPr>
          <w:rFonts w:hint="eastAsia"/>
        </w:rPr>
        <w:t>分包人：</w:t>
      </w:r>
    </w:p>
    <w:p>
      <w:pPr>
        <w:pStyle w:val="2"/>
        <w:spacing w:line="360" w:lineRule="auto"/>
        <w:ind w:left="480" w:firstLine="0" w:firstLineChars="0"/>
      </w:pPr>
      <w:r>
        <w:t>为加强建设工程廉政建设，规范</w:t>
      </w:r>
      <w:r>
        <w:rPr>
          <w:rFonts w:hint="eastAsia"/>
        </w:rPr>
        <w:t>建设工程</w:t>
      </w:r>
      <w:r>
        <w:t>各项活动</w:t>
      </w:r>
      <w:r>
        <w:rPr>
          <w:rFonts w:hint="eastAsia"/>
        </w:rPr>
        <w:t>中承包人分包人双方的行为</w:t>
      </w:r>
      <w:r>
        <w:t>，防止谋取不正当利益的违法违纪</w:t>
      </w:r>
      <w:r>
        <w:rPr>
          <w:rFonts w:hint="eastAsia"/>
        </w:rPr>
        <w:t>现象的</w:t>
      </w:r>
      <w:r>
        <w:t>发生，保护国家、集体和当事人的合法权益，根据国家有关工程建设的法律法规和廉政建设</w:t>
      </w:r>
      <w:r>
        <w:rPr>
          <w:rFonts w:hint="eastAsia"/>
        </w:rPr>
        <w:t>的有关规定</w:t>
      </w:r>
      <w:r>
        <w:t>，订立本廉政责任书。</w:t>
      </w:r>
    </w:p>
    <w:p>
      <w:pPr>
        <w:pStyle w:val="2"/>
        <w:spacing w:line="360" w:lineRule="auto"/>
        <w:ind w:left="480" w:firstLine="0" w:firstLineChars="0"/>
      </w:pPr>
      <w:bookmarkStart w:id="2629" w:name="_Toc391456477"/>
      <w:bookmarkStart w:id="2630" w:name="_Toc111445504"/>
      <w:bookmarkStart w:id="2631" w:name="_Toc403052889"/>
      <w:bookmarkStart w:id="2632" w:name="_Toc403054649"/>
      <w:bookmarkStart w:id="2633" w:name="_Toc393200826"/>
      <w:bookmarkStart w:id="2634" w:name="_Toc403059831"/>
      <w:r>
        <w:rPr>
          <w:rFonts w:hint="eastAsia"/>
        </w:rPr>
        <w:t>一、双方的责任</w:t>
      </w:r>
      <w:bookmarkEnd w:id="2629"/>
      <w:bookmarkEnd w:id="2630"/>
      <w:bookmarkEnd w:id="2631"/>
      <w:bookmarkEnd w:id="2632"/>
      <w:bookmarkEnd w:id="2633"/>
      <w:bookmarkEnd w:id="2634"/>
    </w:p>
    <w:p>
      <w:pPr>
        <w:pStyle w:val="2"/>
        <w:spacing w:line="360" w:lineRule="auto"/>
        <w:ind w:left="480" w:firstLine="0" w:firstLineChars="0"/>
      </w:pPr>
      <w:r>
        <w:rPr>
          <w:rFonts w:hint="eastAsia"/>
        </w:rPr>
        <w:t>1</w:t>
      </w:r>
      <w:r>
        <w:t>.1应严格遵守国家关于</w:t>
      </w:r>
      <w:r>
        <w:rPr>
          <w:rFonts w:hint="eastAsia"/>
        </w:rPr>
        <w:t>建设工程</w:t>
      </w:r>
      <w:r>
        <w:t>的有关法律、法规，相关政策，以及廉政建设的各项规定。</w:t>
      </w:r>
    </w:p>
    <w:p>
      <w:pPr>
        <w:pStyle w:val="2"/>
        <w:spacing w:line="360" w:lineRule="auto"/>
        <w:ind w:left="480" w:firstLine="0" w:firstLineChars="0"/>
      </w:pPr>
      <w:r>
        <w:rPr>
          <w:rFonts w:hint="eastAsia"/>
        </w:rPr>
        <w:t>1</w:t>
      </w:r>
      <w:r>
        <w:t>.</w:t>
      </w:r>
      <w:r>
        <w:rPr>
          <w:rFonts w:hint="eastAsia"/>
        </w:rPr>
        <w:t xml:space="preserve">2 </w:t>
      </w:r>
      <w:r>
        <w:t>严格执行建设工程合同文件，自觉按合同办事。</w:t>
      </w:r>
    </w:p>
    <w:p>
      <w:pPr>
        <w:pStyle w:val="2"/>
        <w:spacing w:line="360" w:lineRule="auto"/>
        <w:ind w:left="480" w:firstLine="0" w:firstLineChars="0"/>
      </w:pPr>
      <w:r>
        <w:rPr>
          <w:rFonts w:hint="eastAsia"/>
        </w:rPr>
        <w:t>1</w:t>
      </w:r>
      <w:r>
        <w:t>.</w:t>
      </w:r>
      <w:r>
        <w:rPr>
          <w:rFonts w:hint="eastAsia"/>
        </w:rPr>
        <w:t>3 各项</w:t>
      </w:r>
      <w:r>
        <w:t>活动必须坚持公开、公平、公正、诚信、透明的原则（除法律法规另有规定者外），不得为获取不正当的利益，损害国家、集体和对方利益，不得违反建设工程管理的规章制度。</w:t>
      </w:r>
    </w:p>
    <w:p>
      <w:pPr>
        <w:pStyle w:val="2"/>
        <w:spacing w:line="360" w:lineRule="auto"/>
        <w:ind w:left="480" w:firstLine="0" w:firstLineChars="0"/>
      </w:pPr>
      <w:r>
        <w:rPr>
          <w:rFonts w:hint="eastAsia"/>
        </w:rPr>
        <w:t>1</w:t>
      </w:r>
      <w:r>
        <w:t>.</w:t>
      </w:r>
      <w:r>
        <w:rPr>
          <w:rFonts w:hint="eastAsia"/>
        </w:rPr>
        <w:t xml:space="preserve">4 </w:t>
      </w:r>
      <w:r>
        <w:t>发现对方在业务活动中有违规、违纪、违法行为的，应及时提醒对方，情节严重的，应向其上级主管部门或纪检监察、司法等有关机关举报。</w:t>
      </w:r>
    </w:p>
    <w:p>
      <w:pPr>
        <w:pStyle w:val="2"/>
        <w:spacing w:line="360" w:lineRule="auto"/>
        <w:ind w:left="480" w:firstLine="0" w:firstLineChars="0"/>
      </w:pPr>
      <w:bookmarkStart w:id="2635" w:name="_Toc403052890"/>
      <w:bookmarkStart w:id="2636" w:name="_Toc403059832"/>
      <w:bookmarkStart w:id="2637" w:name="_Toc393200827"/>
      <w:bookmarkStart w:id="2638" w:name="_Toc111445505"/>
      <w:bookmarkStart w:id="2639" w:name="_Toc403054650"/>
      <w:bookmarkStart w:id="2640" w:name="_Toc391456478"/>
      <w:r>
        <w:rPr>
          <w:rFonts w:hint="eastAsia"/>
        </w:rPr>
        <w:t>二、承包人责任</w:t>
      </w:r>
      <w:bookmarkEnd w:id="2635"/>
      <w:bookmarkEnd w:id="2636"/>
      <w:bookmarkEnd w:id="2637"/>
      <w:bookmarkEnd w:id="2638"/>
      <w:bookmarkEnd w:id="2639"/>
      <w:bookmarkEnd w:id="2640"/>
    </w:p>
    <w:p>
      <w:pPr>
        <w:pStyle w:val="2"/>
        <w:spacing w:line="360" w:lineRule="auto"/>
        <w:ind w:left="480" w:firstLine="0" w:firstLineChars="0"/>
      </w:pPr>
      <w:r>
        <w:rPr>
          <w:rFonts w:hint="eastAsia"/>
        </w:rPr>
        <w:t>承</w:t>
      </w:r>
      <w:r>
        <w:t>包人的领导和从事该建设工程项目的工作人员，在工程建设的事前、事中、事后应遵守以下规定：</w:t>
      </w:r>
    </w:p>
    <w:p>
      <w:pPr>
        <w:pStyle w:val="2"/>
        <w:spacing w:line="360" w:lineRule="auto"/>
        <w:ind w:left="480" w:firstLine="0" w:firstLineChars="0"/>
      </w:pPr>
      <w:r>
        <w:rPr>
          <w:rFonts w:hint="eastAsia"/>
        </w:rPr>
        <w:t>2</w:t>
      </w:r>
      <w:r>
        <w:t>.</w:t>
      </w:r>
      <w:r>
        <w:rPr>
          <w:rFonts w:hint="eastAsia"/>
        </w:rPr>
        <w:t>1</w:t>
      </w:r>
      <w:r>
        <w:t>不得向</w:t>
      </w:r>
      <w:r>
        <w:rPr>
          <w:rFonts w:hint="eastAsia"/>
        </w:rPr>
        <w:t>分</w:t>
      </w:r>
      <w:r>
        <w:t>包人和相关单位索要或接受回扣、礼金、有价证券、贵重物品和好处费、感谢费等。</w:t>
      </w:r>
    </w:p>
    <w:p>
      <w:pPr>
        <w:pStyle w:val="2"/>
        <w:spacing w:line="360" w:lineRule="auto"/>
        <w:ind w:left="480" w:firstLine="0" w:firstLineChars="0"/>
      </w:pPr>
      <w:bookmarkStart w:id="2641" w:name="_Toc393200828"/>
      <w:bookmarkStart w:id="2642" w:name="_Toc403052891"/>
      <w:bookmarkStart w:id="2643" w:name="_Toc391456479"/>
      <w:bookmarkStart w:id="2644" w:name="_Toc403059833"/>
      <w:bookmarkStart w:id="2645" w:name="_Toc403054651"/>
      <w:r>
        <w:rPr>
          <w:rFonts w:hint="eastAsia"/>
        </w:rPr>
        <w:t>2</w:t>
      </w:r>
      <w:r>
        <w:t>.</w:t>
      </w:r>
      <w:r>
        <w:rPr>
          <w:rFonts w:hint="eastAsia"/>
        </w:rPr>
        <w:t xml:space="preserve">2 </w:t>
      </w:r>
      <w:r>
        <w:t>不得在</w:t>
      </w:r>
      <w:r>
        <w:rPr>
          <w:rFonts w:hint="eastAsia"/>
        </w:rPr>
        <w:t>分</w:t>
      </w:r>
      <w:r>
        <w:t>包人和相关单位报销任何应由</w:t>
      </w:r>
      <w:r>
        <w:rPr>
          <w:rFonts w:hint="eastAsia"/>
        </w:rPr>
        <w:t>承</w:t>
      </w:r>
      <w:r>
        <w:t>包人或个人支付的费用。</w:t>
      </w:r>
      <w:bookmarkEnd w:id="2641"/>
      <w:bookmarkEnd w:id="2642"/>
      <w:bookmarkEnd w:id="2643"/>
      <w:bookmarkEnd w:id="2644"/>
      <w:bookmarkEnd w:id="2645"/>
    </w:p>
    <w:p>
      <w:pPr>
        <w:pStyle w:val="2"/>
        <w:spacing w:line="360" w:lineRule="auto"/>
        <w:ind w:left="480" w:firstLine="0" w:firstLineChars="0"/>
      </w:pPr>
      <w:r>
        <w:rPr>
          <w:rFonts w:hint="eastAsia"/>
        </w:rPr>
        <w:t>2</w:t>
      </w:r>
      <w:r>
        <w:t>.</w:t>
      </w:r>
      <w:r>
        <w:rPr>
          <w:rFonts w:hint="eastAsia"/>
        </w:rPr>
        <w:t xml:space="preserve">3 </w:t>
      </w:r>
      <w:r>
        <w:t>不得要求、暗示或接受</w:t>
      </w:r>
      <w:r>
        <w:rPr>
          <w:rFonts w:hint="eastAsia"/>
        </w:rPr>
        <w:t>分</w:t>
      </w:r>
      <w:r>
        <w:t>包人和相关单位为个人装修住房、婚丧嫁娶、配偶子女的工作安排以及出国（境）、旅游等提供方便。</w:t>
      </w:r>
    </w:p>
    <w:p>
      <w:pPr>
        <w:pStyle w:val="2"/>
        <w:spacing w:line="360" w:lineRule="auto"/>
        <w:ind w:left="480" w:firstLine="0" w:firstLineChars="0"/>
      </w:pPr>
      <w:r>
        <w:rPr>
          <w:rFonts w:hint="eastAsia"/>
        </w:rPr>
        <w:t>2</w:t>
      </w:r>
      <w:r>
        <w:t>.</w:t>
      </w:r>
      <w:r>
        <w:rPr>
          <w:rFonts w:hint="eastAsia"/>
        </w:rPr>
        <w:t xml:space="preserve">4 </w:t>
      </w:r>
      <w:r>
        <w:t>不得参加有可能影响公正执行公务的</w:t>
      </w:r>
      <w:r>
        <w:rPr>
          <w:rFonts w:hint="eastAsia"/>
        </w:rPr>
        <w:t>分</w:t>
      </w:r>
      <w:r>
        <w:t>包人和相关单位的宴请、健身、娱乐等活动。</w:t>
      </w:r>
    </w:p>
    <w:p>
      <w:pPr>
        <w:pStyle w:val="2"/>
        <w:spacing w:line="360" w:lineRule="auto"/>
        <w:ind w:left="480" w:firstLine="0" w:firstLineChars="0"/>
      </w:pPr>
      <w:r>
        <w:rPr>
          <w:rFonts w:hint="eastAsia"/>
        </w:rPr>
        <w:t>2</w:t>
      </w:r>
      <w:r>
        <w:t>.</w:t>
      </w:r>
      <w:r>
        <w:rPr>
          <w:rFonts w:hint="eastAsia"/>
        </w:rPr>
        <w:t xml:space="preserve">5 </w:t>
      </w:r>
      <w:r>
        <w:t>不得向</w:t>
      </w:r>
      <w:r>
        <w:rPr>
          <w:rFonts w:hint="eastAsia"/>
        </w:rPr>
        <w:t>分</w:t>
      </w:r>
      <w:r>
        <w:t>包人和相关单位介绍或为配偶、子女、亲属参与同</w:t>
      </w:r>
      <w:r>
        <w:rPr>
          <w:rFonts w:hint="eastAsia"/>
        </w:rPr>
        <w:t>承</w:t>
      </w:r>
      <w:r>
        <w:t>包人</w:t>
      </w:r>
      <w:r>
        <w:rPr>
          <w:rFonts w:hint="eastAsia"/>
        </w:rPr>
        <w:t>工程建设管理</w:t>
      </w:r>
      <w:r>
        <w:t>合同有关的业务活动</w:t>
      </w:r>
      <w:r>
        <w:rPr>
          <w:rFonts w:hint="eastAsia"/>
        </w:rPr>
        <w:t>；</w:t>
      </w:r>
      <w:r>
        <w:t>不得以任何理由要求</w:t>
      </w:r>
      <w:r>
        <w:rPr>
          <w:rFonts w:hint="eastAsia"/>
        </w:rPr>
        <w:t>分</w:t>
      </w:r>
      <w:r>
        <w:t>包人和相关单位使用某种产品、材料和设备。</w:t>
      </w:r>
    </w:p>
    <w:p>
      <w:pPr>
        <w:pStyle w:val="2"/>
        <w:spacing w:line="360" w:lineRule="auto"/>
        <w:ind w:left="480" w:firstLine="0" w:firstLineChars="0"/>
      </w:pPr>
      <w:bookmarkStart w:id="2646" w:name="_Toc111445506"/>
      <w:bookmarkStart w:id="2647" w:name="_Toc403054652"/>
      <w:bookmarkStart w:id="2648" w:name="_Toc403059834"/>
      <w:bookmarkStart w:id="2649" w:name="_Toc393200829"/>
      <w:bookmarkStart w:id="2650" w:name="_Toc403052892"/>
      <w:bookmarkStart w:id="2651" w:name="_Toc391456480"/>
      <w:r>
        <w:rPr>
          <w:rFonts w:hint="eastAsia"/>
        </w:rPr>
        <w:t>三、分包人责任</w:t>
      </w:r>
      <w:bookmarkEnd w:id="2646"/>
      <w:bookmarkEnd w:id="2647"/>
      <w:bookmarkEnd w:id="2648"/>
      <w:bookmarkEnd w:id="2649"/>
      <w:bookmarkEnd w:id="2650"/>
      <w:bookmarkEnd w:id="2651"/>
    </w:p>
    <w:p>
      <w:pPr>
        <w:pStyle w:val="2"/>
        <w:spacing w:line="360" w:lineRule="auto"/>
        <w:ind w:left="480" w:firstLine="0" w:firstLineChars="0"/>
      </w:pPr>
      <w:r>
        <w:t>应与</w:t>
      </w:r>
      <w:r>
        <w:rPr>
          <w:rFonts w:hint="eastAsia"/>
        </w:rPr>
        <w:t>承</w:t>
      </w:r>
      <w:r>
        <w:t>包人保持正常的业务交往，按照有关法律法规和程序开展业务工作，严格执行工程建设的有关方针、政策，</w:t>
      </w:r>
      <w:r>
        <w:rPr>
          <w:rFonts w:hint="eastAsia"/>
        </w:rPr>
        <w:t>执行工程建设</w:t>
      </w:r>
      <w:r>
        <w:t>强制性标准，并遵守以下规定：</w:t>
      </w:r>
    </w:p>
    <w:p>
      <w:pPr>
        <w:pStyle w:val="2"/>
        <w:spacing w:line="360" w:lineRule="auto"/>
        <w:ind w:left="480" w:firstLine="0" w:firstLineChars="0"/>
      </w:pPr>
      <w:r>
        <w:rPr>
          <w:rFonts w:hint="eastAsia"/>
        </w:rPr>
        <w:t>3</w:t>
      </w:r>
      <w:r>
        <w:t>.</w:t>
      </w:r>
      <w:r>
        <w:rPr>
          <w:rFonts w:hint="eastAsia"/>
        </w:rPr>
        <w:t xml:space="preserve">1 </w:t>
      </w:r>
      <w:r>
        <w:t>不得以任何理由向</w:t>
      </w:r>
      <w:r>
        <w:rPr>
          <w:rFonts w:hint="eastAsia"/>
        </w:rPr>
        <w:t>承</w:t>
      </w:r>
      <w:r>
        <w:t>包人及其工作人员索要、接受或赠送礼金、有价证券、贵重物品及回扣、好处费、感谢费等。</w:t>
      </w:r>
    </w:p>
    <w:p>
      <w:pPr>
        <w:pStyle w:val="2"/>
        <w:spacing w:line="360" w:lineRule="auto"/>
        <w:ind w:left="480" w:firstLine="0" w:firstLineChars="0"/>
      </w:pPr>
      <w:r>
        <w:rPr>
          <w:rFonts w:hint="eastAsia"/>
        </w:rPr>
        <w:t>3</w:t>
      </w:r>
      <w:r>
        <w:t>.</w:t>
      </w:r>
      <w:r>
        <w:rPr>
          <w:rFonts w:hint="eastAsia"/>
        </w:rPr>
        <w:t>2</w:t>
      </w:r>
      <w:r>
        <w:t>不得以任何理由为</w:t>
      </w:r>
      <w:r>
        <w:rPr>
          <w:rFonts w:hint="eastAsia"/>
        </w:rPr>
        <w:t>承</w:t>
      </w:r>
      <w:r>
        <w:t>包人和相关单位报销应由对方或个人支付的费用。</w:t>
      </w:r>
    </w:p>
    <w:p>
      <w:pPr>
        <w:pStyle w:val="2"/>
        <w:spacing w:line="360" w:lineRule="auto"/>
        <w:ind w:left="480" w:firstLine="0" w:firstLineChars="0"/>
      </w:pPr>
      <w:r>
        <w:rPr>
          <w:rFonts w:hint="eastAsia"/>
        </w:rPr>
        <w:t>3</w:t>
      </w:r>
      <w:r>
        <w:t>.</w:t>
      </w:r>
      <w:r>
        <w:rPr>
          <w:rFonts w:hint="eastAsia"/>
        </w:rPr>
        <w:t>3</w:t>
      </w:r>
      <w:r>
        <w:t>不得接受或暗示为</w:t>
      </w:r>
      <w:r>
        <w:rPr>
          <w:rFonts w:hint="eastAsia"/>
        </w:rPr>
        <w:t>承</w:t>
      </w:r>
      <w:r>
        <w:t>包人、相关单位或个人装修住房、婚丧嫁娶、配偶子女的工作安排以及出国（境）、旅游等提供方便。</w:t>
      </w:r>
    </w:p>
    <w:p>
      <w:pPr>
        <w:pStyle w:val="2"/>
        <w:spacing w:line="360" w:lineRule="auto"/>
        <w:ind w:left="480" w:firstLine="0" w:firstLineChars="0"/>
      </w:pPr>
      <w:r>
        <w:rPr>
          <w:rFonts w:hint="eastAsia"/>
        </w:rPr>
        <w:t>3</w:t>
      </w:r>
      <w:r>
        <w:t>.</w:t>
      </w:r>
      <w:r>
        <w:rPr>
          <w:rFonts w:hint="eastAsia"/>
        </w:rPr>
        <w:t>4</w:t>
      </w:r>
      <w:r>
        <w:t>不得以任何理由为</w:t>
      </w:r>
      <w:r>
        <w:rPr>
          <w:rFonts w:hint="eastAsia"/>
        </w:rPr>
        <w:t>承</w:t>
      </w:r>
      <w:r>
        <w:t>包人、相关单位或个人组织有可能影响公正执行公务的宴请、健身、娱乐等活动。</w:t>
      </w:r>
    </w:p>
    <w:p>
      <w:pPr>
        <w:pStyle w:val="2"/>
        <w:spacing w:line="360" w:lineRule="auto"/>
        <w:ind w:left="480" w:firstLine="0" w:firstLineChars="0"/>
      </w:pPr>
      <w:bookmarkStart w:id="2652" w:name="_Toc111445507"/>
      <w:bookmarkStart w:id="2653" w:name="_Toc403052893"/>
      <w:bookmarkStart w:id="2654" w:name="_Toc391456481"/>
      <w:bookmarkStart w:id="2655" w:name="_Toc403059835"/>
      <w:bookmarkStart w:id="2656" w:name="_Toc393200830"/>
      <w:bookmarkStart w:id="2657" w:name="_Toc403054653"/>
      <w:r>
        <w:rPr>
          <w:rFonts w:hint="eastAsia"/>
        </w:rPr>
        <w:t>四、违约责任</w:t>
      </w:r>
      <w:bookmarkEnd w:id="2652"/>
      <w:bookmarkEnd w:id="2653"/>
      <w:bookmarkEnd w:id="2654"/>
      <w:bookmarkEnd w:id="2655"/>
      <w:bookmarkEnd w:id="2656"/>
      <w:bookmarkEnd w:id="2657"/>
    </w:p>
    <w:p>
      <w:pPr>
        <w:pStyle w:val="2"/>
        <w:spacing w:line="360" w:lineRule="auto"/>
        <w:ind w:left="480" w:firstLine="0" w:firstLineChars="0"/>
      </w:pPr>
      <w:r>
        <w:rPr>
          <w:rFonts w:hint="eastAsia"/>
        </w:rPr>
        <w:t>4</w:t>
      </w:r>
      <w:r>
        <w:t>.</w:t>
      </w:r>
      <w:r>
        <w:rPr>
          <w:rFonts w:hint="eastAsia"/>
        </w:rPr>
        <w:t>1承</w:t>
      </w:r>
      <w:r>
        <w:t>包人工作人员有违反本责任书第一、二条责任行为的，依据有关法律</w:t>
      </w:r>
      <w:r>
        <w:rPr>
          <w:rFonts w:hint="eastAsia"/>
        </w:rPr>
        <w:t>、</w:t>
      </w:r>
      <w:r>
        <w:t>法规给予处理；涉嫌犯罪的，移交司法机关追究刑事责任；给</w:t>
      </w:r>
      <w:r>
        <w:rPr>
          <w:rFonts w:hint="eastAsia"/>
        </w:rPr>
        <w:t>分</w:t>
      </w:r>
      <w:r>
        <w:t>包人单位造成经济损失的，应予以赔偿。</w:t>
      </w:r>
    </w:p>
    <w:p>
      <w:pPr>
        <w:pStyle w:val="2"/>
        <w:spacing w:line="360" w:lineRule="auto"/>
        <w:ind w:left="480" w:firstLine="0" w:firstLineChars="0"/>
      </w:pPr>
      <w:r>
        <w:rPr>
          <w:rFonts w:hint="eastAsia"/>
        </w:rPr>
        <w:t>4</w:t>
      </w:r>
      <w:r>
        <w:t>.</w:t>
      </w:r>
      <w:r>
        <w:rPr>
          <w:rFonts w:hint="eastAsia"/>
        </w:rPr>
        <w:t>2 分</w:t>
      </w:r>
      <w:r>
        <w:t>包人工作人员有违反本责任书第一、三条责任行为的，依据有关法律法规处理；涉嫌犯罪的，移交司法机关追究刑事责任；给</w:t>
      </w:r>
      <w:r>
        <w:rPr>
          <w:rFonts w:hint="eastAsia"/>
        </w:rPr>
        <w:t>承</w:t>
      </w:r>
      <w:r>
        <w:t>包人单位造成经济损失的，应予以赔偿。</w:t>
      </w:r>
    </w:p>
    <w:p>
      <w:pPr>
        <w:pStyle w:val="2"/>
        <w:spacing w:line="360" w:lineRule="auto"/>
        <w:ind w:left="480" w:firstLine="0" w:firstLineChars="0"/>
      </w:pPr>
      <w:r>
        <w:rPr>
          <w:rFonts w:hint="eastAsia"/>
        </w:rPr>
        <w:t>4</w:t>
      </w:r>
      <w:r>
        <w:t>.</w:t>
      </w:r>
      <w:r>
        <w:rPr>
          <w:rFonts w:hint="eastAsia"/>
        </w:rPr>
        <w:t xml:space="preserve">3 </w:t>
      </w:r>
      <w:r>
        <w:t>本责任书作为</w:t>
      </w:r>
      <w:r>
        <w:rPr>
          <w:rFonts w:hint="eastAsia"/>
        </w:rPr>
        <w:t>建设</w:t>
      </w:r>
      <w:r>
        <w:t>工程合同的</w:t>
      </w:r>
      <w:r>
        <w:rPr>
          <w:rFonts w:hint="eastAsia"/>
        </w:rPr>
        <w:t>组成部分</w:t>
      </w:r>
      <w:r>
        <w:t>，与</w:t>
      </w:r>
      <w:r>
        <w:rPr>
          <w:rFonts w:hint="eastAsia"/>
        </w:rPr>
        <w:t>建设</w:t>
      </w:r>
      <w:r>
        <w:t>工程合同具有同等法律效力。经双方签署后立即生效。</w:t>
      </w:r>
    </w:p>
    <w:p>
      <w:pPr>
        <w:pStyle w:val="2"/>
        <w:spacing w:line="360" w:lineRule="auto"/>
        <w:ind w:left="480" w:firstLine="0" w:firstLineChars="0"/>
      </w:pPr>
      <w:bookmarkStart w:id="2658" w:name="_Toc393200831"/>
      <w:bookmarkStart w:id="2659" w:name="_Toc391456482"/>
      <w:bookmarkStart w:id="2660" w:name="_Toc403052894"/>
      <w:bookmarkStart w:id="2661" w:name="_Toc403054654"/>
      <w:bookmarkStart w:id="2662" w:name="_Toc403059836"/>
      <w:bookmarkStart w:id="2663" w:name="_Toc111445508"/>
      <w:r>
        <w:rPr>
          <w:rFonts w:hint="eastAsia"/>
        </w:rPr>
        <w:t>五、责任书有效期</w:t>
      </w:r>
      <w:bookmarkEnd w:id="2658"/>
      <w:bookmarkEnd w:id="2659"/>
      <w:bookmarkEnd w:id="2660"/>
      <w:bookmarkEnd w:id="2661"/>
      <w:bookmarkEnd w:id="2662"/>
      <w:bookmarkEnd w:id="2663"/>
    </w:p>
    <w:p>
      <w:pPr>
        <w:pStyle w:val="2"/>
        <w:spacing w:line="360" w:lineRule="auto"/>
        <w:ind w:left="480" w:firstLine="0" w:firstLineChars="0"/>
      </w:pPr>
      <w:r>
        <w:t>本责任书的有效期为双方签署之日起至该工程项目</w:t>
      </w:r>
      <w:r>
        <w:rPr>
          <w:rFonts w:hint="eastAsia"/>
        </w:rPr>
        <w:t>完</w:t>
      </w:r>
      <w:r>
        <w:t>工验收合格时止。</w:t>
      </w:r>
    </w:p>
    <w:p>
      <w:pPr>
        <w:pStyle w:val="2"/>
        <w:spacing w:line="360" w:lineRule="auto"/>
        <w:ind w:left="480" w:firstLine="0" w:firstLineChars="0"/>
      </w:pPr>
      <w:bookmarkStart w:id="2664" w:name="_Toc391456483"/>
      <w:bookmarkStart w:id="2665" w:name="_Toc393200832"/>
      <w:bookmarkStart w:id="2666" w:name="_Toc403054655"/>
      <w:bookmarkStart w:id="2667" w:name="_Toc403052895"/>
      <w:bookmarkStart w:id="2668" w:name="_Toc403059837"/>
      <w:bookmarkStart w:id="2669" w:name="_Toc111445509"/>
      <w:r>
        <w:rPr>
          <w:rFonts w:hint="eastAsia"/>
        </w:rPr>
        <w:t>六、责任书份数</w:t>
      </w:r>
      <w:bookmarkEnd w:id="2664"/>
      <w:bookmarkEnd w:id="2665"/>
      <w:bookmarkEnd w:id="2666"/>
      <w:bookmarkEnd w:id="2667"/>
      <w:bookmarkEnd w:id="2668"/>
      <w:bookmarkEnd w:id="2669"/>
    </w:p>
    <w:p>
      <w:pPr>
        <w:pStyle w:val="2"/>
        <w:spacing w:line="360" w:lineRule="auto"/>
        <w:ind w:left="480" w:firstLine="0" w:firstLineChars="0"/>
      </w:pPr>
      <w:r>
        <w:t>本责任书一式</w:t>
      </w:r>
      <w:r>
        <w:rPr>
          <w:rFonts w:hint="eastAsia"/>
        </w:rPr>
        <w:t>二</w:t>
      </w:r>
      <w:r>
        <w:t>份，</w:t>
      </w:r>
      <w:r>
        <w:rPr>
          <w:rFonts w:hint="eastAsia"/>
        </w:rPr>
        <w:t>承包人分包人</w:t>
      </w:r>
      <w:r>
        <w:t>各执一份，</w:t>
      </w:r>
      <w:r>
        <w:rPr>
          <w:rFonts w:hint="eastAsia"/>
        </w:rPr>
        <w:t>具有同等效力</w:t>
      </w:r>
      <w:r>
        <w:t>。</w:t>
      </w:r>
    </w:p>
    <w:p>
      <w:pPr>
        <w:pStyle w:val="2"/>
        <w:spacing w:line="360" w:lineRule="auto"/>
        <w:ind w:left="480" w:firstLine="480"/>
      </w:pPr>
    </w:p>
    <w:p>
      <w:pPr>
        <w:pStyle w:val="2"/>
        <w:spacing w:line="360" w:lineRule="auto"/>
        <w:ind w:left="480" w:firstLine="0" w:firstLineChars="0"/>
      </w:pPr>
      <w:r>
        <w:rPr>
          <w:rFonts w:hint="eastAsia"/>
        </w:rPr>
        <w:t>承包人：（公章）</w:t>
      </w:r>
      <w:r>
        <w:rPr>
          <w:rFonts w:hint="eastAsia"/>
        </w:rPr>
        <w:tab/>
      </w:r>
      <w:r>
        <w:rPr>
          <w:rFonts w:hint="eastAsia"/>
        </w:rPr>
        <w:t xml:space="preserve">                   分包人：（公章） </w:t>
      </w:r>
    </w:p>
    <w:p>
      <w:pPr>
        <w:pStyle w:val="2"/>
        <w:spacing w:line="360" w:lineRule="auto"/>
        <w:ind w:left="480" w:firstLine="0" w:firstLineChars="0"/>
      </w:pPr>
      <w:r>
        <w:rPr>
          <w:rFonts w:hint="eastAsia"/>
        </w:rPr>
        <w:t>法定地址：</w:t>
      </w:r>
      <w:r>
        <w:rPr>
          <w:rFonts w:hint="eastAsia"/>
        </w:rPr>
        <w:tab/>
      </w:r>
      <w:r>
        <w:rPr>
          <w:rFonts w:hint="eastAsia"/>
        </w:rPr>
        <w:t xml:space="preserve">                      法定地址：</w:t>
      </w:r>
    </w:p>
    <w:p>
      <w:pPr>
        <w:pStyle w:val="2"/>
        <w:spacing w:line="360" w:lineRule="auto"/>
        <w:ind w:left="480" w:firstLine="0" w:firstLineChars="0"/>
      </w:pPr>
      <w:r>
        <w:rPr>
          <w:rFonts w:hint="eastAsia"/>
        </w:rPr>
        <w:t>法定代表人或其法定代表人或其</w:t>
      </w:r>
    </w:p>
    <w:p>
      <w:pPr>
        <w:pStyle w:val="2"/>
        <w:spacing w:line="360" w:lineRule="auto"/>
        <w:ind w:left="480" w:firstLine="0" w:firstLineChars="0"/>
      </w:pPr>
      <w:r>
        <w:rPr>
          <w:rFonts w:hint="eastAsia"/>
        </w:rPr>
        <w:t>委托代理人：（签字）</w:t>
      </w:r>
      <w:r>
        <w:rPr>
          <w:rFonts w:hint="eastAsia"/>
        </w:rPr>
        <w:tab/>
      </w:r>
      <w:r>
        <w:rPr>
          <w:rFonts w:hint="eastAsia"/>
        </w:rPr>
        <w:t xml:space="preserve">              委托代理人：（签字）</w:t>
      </w:r>
    </w:p>
    <w:p>
      <w:pPr>
        <w:pStyle w:val="2"/>
        <w:spacing w:line="360" w:lineRule="auto"/>
        <w:ind w:left="480" w:firstLine="0" w:firstLineChars="0"/>
      </w:pPr>
      <w:r>
        <w:rPr>
          <w:rFonts w:hint="eastAsia"/>
        </w:rPr>
        <w:t>电话：</w:t>
      </w:r>
      <w:r>
        <w:rPr>
          <w:rFonts w:hint="eastAsia"/>
        </w:rPr>
        <w:tab/>
      </w:r>
      <w:r>
        <w:rPr>
          <w:rFonts w:hint="eastAsia"/>
        </w:rPr>
        <w:t xml:space="preserve">                            电话：</w:t>
      </w:r>
    </w:p>
    <w:p>
      <w:pPr>
        <w:pStyle w:val="2"/>
        <w:spacing w:line="360" w:lineRule="auto"/>
        <w:ind w:left="480" w:firstLine="0" w:firstLineChars="0"/>
      </w:pPr>
      <w:r>
        <w:rPr>
          <w:rFonts w:hint="eastAsia"/>
        </w:rPr>
        <w:t>传真：</w:t>
      </w:r>
      <w:r>
        <w:rPr>
          <w:rFonts w:hint="eastAsia"/>
        </w:rPr>
        <w:tab/>
      </w:r>
      <w:r>
        <w:rPr>
          <w:rFonts w:hint="eastAsia"/>
        </w:rPr>
        <w:t xml:space="preserve">                            传真：</w:t>
      </w:r>
    </w:p>
    <w:p>
      <w:pPr>
        <w:pStyle w:val="2"/>
        <w:spacing w:line="360" w:lineRule="auto"/>
        <w:ind w:left="480" w:firstLine="0" w:firstLineChars="0"/>
      </w:pPr>
      <w:r>
        <w:rPr>
          <w:rFonts w:hint="eastAsia"/>
        </w:rPr>
        <w:t>电子邮箱：                        电子邮箱：</w:t>
      </w:r>
    </w:p>
    <w:p>
      <w:pPr>
        <w:pStyle w:val="2"/>
        <w:spacing w:line="360" w:lineRule="auto"/>
        <w:ind w:left="480" w:firstLine="0" w:firstLineChars="0"/>
      </w:pPr>
      <w:r>
        <w:rPr>
          <w:rFonts w:hint="eastAsia"/>
        </w:rPr>
        <w:t>开户银行：</w:t>
      </w:r>
      <w:r>
        <w:rPr>
          <w:rFonts w:hint="eastAsia"/>
        </w:rPr>
        <w:tab/>
      </w:r>
      <w:r>
        <w:rPr>
          <w:rFonts w:hint="eastAsia"/>
        </w:rPr>
        <w:t xml:space="preserve">                     开户银行：</w:t>
      </w:r>
    </w:p>
    <w:p>
      <w:pPr>
        <w:pStyle w:val="2"/>
        <w:spacing w:line="360" w:lineRule="auto"/>
        <w:ind w:left="480" w:firstLine="0" w:firstLineChars="0"/>
      </w:pPr>
      <w:r>
        <w:rPr>
          <w:rFonts w:hint="eastAsia"/>
        </w:rPr>
        <w:t>帐号：</w:t>
      </w:r>
      <w:r>
        <w:rPr>
          <w:rFonts w:hint="eastAsia"/>
        </w:rPr>
        <w:tab/>
      </w:r>
      <w:r>
        <w:rPr>
          <w:rFonts w:hint="eastAsia"/>
        </w:rPr>
        <w:t xml:space="preserve">                            帐号：</w:t>
      </w:r>
    </w:p>
    <w:p>
      <w:pPr>
        <w:pStyle w:val="2"/>
        <w:spacing w:line="360" w:lineRule="auto"/>
        <w:ind w:left="0" w:leftChars="0" w:firstLine="480"/>
        <w:rPr>
          <w:u w:val="single"/>
        </w:rPr>
      </w:pPr>
      <w:r>
        <w:rPr>
          <w:rFonts w:hint="eastAsia"/>
        </w:rPr>
        <w:t>邮政编码：                        邮政编码：</w:t>
      </w:r>
    </w:p>
    <w:p>
      <w:pPr>
        <w:pStyle w:val="2"/>
        <w:spacing w:line="360" w:lineRule="auto"/>
        <w:ind w:left="0" w:leftChars="0" w:firstLine="480"/>
      </w:pPr>
      <w:r>
        <w:rPr>
          <w:rFonts w:hint="eastAsia"/>
        </w:rPr>
        <w:t>监督单位：（盖章）                 监督单位：（盖章）</w:t>
      </w:r>
    </w:p>
    <w:p>
      <w:pPr>
        <w:pStyle w:val="2"/>
        <w:spacing w:line="360" w:lineRule="auto"/>
        <w:ind w:left="0" w:leftChars="0" w:firstLine="0" w:firstLineChars="0"/>
      </w:pPr>
    </w:p>
    <w:p>
      <w:pPr>
        <w:pStyle w:val="2"/>
        <w:spacing w:line="360" w:lineRule="auto"/>
        <w:ind w:left="0" w:leftChars="0" w:firstLine="0" w:firstLineChars="0"/>
      </w:pPr>
      <w:r>
        <w:br w:type="page"/>
      </w:r>
    </w:p>
    <w:p>
      <w:pPr>
        <w:pStyle w:val="4"/>
        <w:spacing w:line="360" w:lineRule="auto"/>
        <w:jc w:val="center"/>
        <w:rPr>
          <w:rFonts w:ascii="宋体" w:hAnsi="宋体" w:eastAsia="宋体"/>
          <w:b/>
          <w:bCs/>
          <w:sz w:val="32"/>
          <w:szCs w:val="32"/>
        </w:rPr>
      </w:pPr>
      <w:bookmarkStart w:id="2670" w:name="_Toc86825541"/>
      <w:bookmarkStart w:id="2671" w:name="_Toc77206891"/>
      <w:bookmarkStart w:id="2672" w:name="_Toc31803"/>
      <w:bookmarkStart w:id="2673" w:name="_Toc79057554"/>
      <w:r>
        <w:rPr>
          <w:rFonts w:ascii="宋体" w:hAnsi="宋体" w:eastAsia="宋体"/>
          <w:b/>
          <w:bCs/>
          <w:sz w:val="32"/>
          <w:szCs w:val="32"/>
        </w:rPr>
        <w:t>第五章 响应文件格式</w:t>
      </w:r>
      <w:bookmarkEnd w:id="2670"/>
      <w:bookmarkEnd w:id="2671"/>
      <w:bookmarkEnd w:id="2672"/>
      <w:bookmarkEnd w:id="2673"/>
    </w:p>
    <w:p>
      <w:pPr>
        <w:spacing w:line="360" w:lineRule="auto"/>
        <w:ind w:left="0" w:firstLine="0"/>
        <w:jc w:val="center"/>
        <w:rPr>
          <w:szCs w:val="24"/>
        </w:rPr>
      </w:pPr>
    </w:p>
    <w:p>
      <w:pPr>
        <w:spacing w:line="360" w:lineRule="auto"/>
        <w:ind w:left="0" w:firstLine="0"/>
        <w:jc w:val="center"/>
        <w:rPr>
          <w:sz w:val="48"/>
          <w:szCs w:val="48"/>
        </w:rPr>
      </w:pPr>
    </w:p>
    <w:p>
      <w:pPr>
        <w:jc w:val="center"/>
        <w:rPr>
          <w:sz w:val="48"/>
          <w:szCs w:val="48"/>
        </w:rPr>
      </w:pPr>
      <w:r>
        <w:rPr>
          <w:rFonts w:hint="eastAsia"/>
          <w:sz w:val="48"/>
          <w:szCs w:val="48"/>
        </w:rPr>
        <w:t>北京市房山区人民防空办公室加州水郡西区、中冶蓝城地下人防工程维修工程</w:t>
      </w:r>
    </w:p>
    <w:p>
      <w:pPr>
        <w:spacing w:line="360" w:lineRule="auto"/>
        <w:ind w:left="0" w:firstLine="0"/>
        <w:jc w:val="center"/>
        <w:outlineLvl w:val="0"/>
        <w:rPr>
          <w:sz w:val="32"/>
          <w:szCs w:val="32"/>
        </w:rPr>
      </w:pPr>
    </w:p>
    <w:p>
      <w:pPr>
        <w:spacing w:line="360" w:lineRule="auto"/>
        <w:ind w:left="0" w:firstLine="0"/>
        <w:jc w:val="center"/>
        <w:outlineLvl w:val="0"/>
        <w:rPr>
          <w:sz w:val="32"/>
          <w:szCs w:val="32"/>
        </w:rPr>
      </w:pPr>
    </w:p>
    <w:p>
      <w:pPr>
        <w:ind w:left="0" w:firstLine="0"/>
        <w:jc w:val="center"/>
        <w:rPr>
          <w:sz w:val="32"/>
          <w:szCs w:val="32"/>
        </w:rPr>
      </w:pPr>
      <w:r>
        <w:rPr>
          <w:sz w:val="32"/>
          <w:szCs w:val="32"/>
        </w:rPr>
        <w:t>项目编号：</w:t>
      </w:r>
    </w:p>
    <w:p>
      <w:pPr>
        <w:spacing w:line="360" w:lineRule="auto"/>
        <w:ind w:left="0" w:firstLine="0"/>
        <w:jc w:val="center"/>
        <w:rPr>
          <w:sz w:val="32"/>
          <w:szCs w:val="32"/>
        </w:rPr>
      </w:pPr>
    </w:p>
    <w:p>
      <w:pPr>
        <w:spacing w:line="360" w:lineRule="auto"/>
        <w:ind w:left="0" w:firstLine="0"/>
        <w:jc w:val="center"/>
        <w:outlineLvl w:val="0"/>
        <w:rPr>
          <w:sz w:val="32"/>
          <w:szCs w:val="32"/>
        </w:rPr>
      </w:pPr>
      <w:bookmarkStart w:id="2674" w:name="_Toc86825542"/>
      <w:r>
        <w:rPr>
          <w:sz w:val="32"/>
          <w:szCs w:val="32"/>
        </w:rPr>
        <w:t>响应文件</w:t>
      </w:r>
      <w:bookmarkEnd w:id="2674"/>
    </w:p>
    <w:p>
      <w:pPr>
        <w:spacing w:line="360" w:lineRule="auto"/>
        <w:ind w:left="0" w:firstLine="0"/>
        <w:jc w:val="center"/>
        <w:rPr>
          <w:szCs w:val="24"/>
        </w:rPr>
      </w:pPr>
    </w:p>
    <w:p>
      <w:pPr>
        <w:spacing w:line="360" w:lineRule="auto"/>
        <w:ind w:left="0" w:firstLine="0"/>
        <w:jc w:val="center"/>
        <w:rPr>
          <w:szCs w:val="24"/>
        </w:rPr>
      </w:pPr>
    </w:p>
    <w:p>
      <w:pPr>
        <w:spacing w:line="360" w:lineRule="auto"/>
        <w:ind w:left="0" w:firstLine="0"/>
        <w:jc w:val="center"/>
        <w:rPr>
          <w:szCs w:val="24"/>
        </w:rPr>
      </w:pPr>
    </w:p>
    <w:p>
      <w:pPr>
        <w:spacing w:line="360" w:lineRule="auto"/>
        <w:ind w:left="0" w:firstLine="0"/>
        <w:jc w:val="center"/>
        <w:rPr>
          <w:szCs w:val="24"/>
        </w:rPr>
      </w:pPr>
    </w:p>
    <w:p>
      <w:pPr>
        <w:spacing w:line="360" w:lineRule="auto"/>
        <w:ind w:left="0" w:firstLine="0"/>
        <w:jc w:val="center"/>
        <w:rPr>
          <w:szCs w:val="24"/>
        </w:rPr>
      </w:pPr>
    </w:p>
    <w:p>
      <w:pPr>
        <w:spacing w:line="360" w:lineRule="auto"/>
        <w:ind w:left="0" w:firstLine="0"/>
        <w:jc w:val="center"/>
        <w:rPr>
          <w:szCs w:val="24"/>
        </w:rPr>
      </w:pPr>
    </w:p>
    <w:p>
      <w:pPr>
        <w:spacing w:line="360" w:lineRule="auto"/>
        <w:ind w:left="0" w:firstLine="0"/>
        <w:jc w:val="center"/>
        <w:rPr>
          <w:szCs w:val="24"/>
        </w:rPr>
      </w:pPr>
    </w:p>
    <w:p>
      <w:pPr>
        <w:ind w:left="0" w:firstLine="0"/>
        <w:rPr>
          <w:u w:val="single"/>
        </w:rPr>
      </w:pPr>
      <w:r>
        <w:t>响应供应商名称（章）：</w:t>
      </w:r>
    </w:p>
    <w:p>
      <w:pPr>
        <w:spacing w:line="360" w:lineRule="auto"/>
        <w:ind w:left="0" w:firstLine="0"/>
        <w:rPr>
          <w:szCs w:val="24"/>
        </w:rPr>
      </w:pPr>
      <w:r>
        <w:rPr>
          <w:szCs w:val="24"/>
        </w:rPr>
        <w:t xml:space="preserve">地     址：                                                 </w:t>
      </w:r>
    </w:p>
    <w:p>
      <w:pPr>
        <w:spacing w:line="360" w:lineRule="auto"/>
        <w:ind w:left="0" w:firstLine="0"/>
        <w:rPr>
          <w:szCs w:val="24"/>
        </w:rPr>
      </w:pPr>
      <w:r>
        <w:rPr>
          <w:szCs w:val="24"/>
        </w:rPr>
        <w:t xml:space="preserve">电     话：                                                 </w:t>
      </w:r>
    </w:p>
    <w:p>
      <w:pPr>
        <w:spacing w:line="360" w:lineRule="auto"/>
        <w:ind w:left="0" w:firstLine="0"/>
        <w:rPr>
          <w:szCs w:val="24"/>
        </w:rPr>
      </w:pPr>
      <w:r>
        <w:rPr>
          <w:szCs w:val="24"/>
        </w:rPr>
        <w:t>日     期：       年      月      日</w:t>
      </w:r>
    </w:p>
    <w:p>
      <w:pPr>
        <w:spacing w:line="360" w:lineRule="auto"/>
        <w:ind w:left="0" w:firstLine="0"/>
        <w:jc w:val="center"/>
        <w:rPr>
          <w:szCs w:val="24"/>
        </w:rPr>
      </w:pPr>
    </w:p>
    <w:p>
      <w:pPr>
        <w:pStyle w:val="2"/>
        <w:spacing w:line="360" w:lineRule="auto"/>
        <w:ind w:left="480" w:firstLine="480"/>
      </w:pPr>
    </w:p>
    <w:p>
      <w:pPr>
        <w:pStyle w:val="2"/>
        <w:spacing w:line="360" w:lineRule="auto"/>
        <w:ind w:left="480" w:firstLine="480"/>
      </w:pPr>
    </w:p>
    <w:p>
      <w:pPr>
        <w:pStyle w:val="2"/>
        <w:spacing w:line="360" w:lineRule="auto"/>
        <w:ind w:left="0" w:leftChars="0" w:firstLine="0" w:firstLineChars="0"/>
      </w:pPr>
    </w:p>
    <w:p>
      <w:pPr>
        <w:pStyle w:val="2"/>
        <w:spacing w:line="360" w:lineRule="auto"/>
        <w:ind w:left="0" w:leftChars="0" w:firstLine="0" w:firstLineChars="0"/>
      </w:pPr>
    </w:p>
    <w:p>
      <w:pPr>
        <w:pStyle w:val="2"/>
        <w:spacing w:line="360" w:lineRule="auto"/>
        <w:ind w:left="0" w:leftChars="0" w:firstLine="0" w:firstLineChars="0"/>
      </w:pPr>
    </w:p>
    <w:p>
      <w:pPr>
        <w:pStyle w:val="5"/>
        <w:spacing w:line="360" w:lineRule="auto"/>
        <w:rPr>
          <w:rFonts w:ascii="宋体" w:hAnsi="宋体"/>
          <w:bCs/>
          <w:sz w:val="24"/>
          <w:szCs w:val="24"/>
        </w:rPr>
      </w:pPr>
      <w:bookmarkStart w:id="2675" w:name="_Toc86825543"/>
      <w:bookmarkStart w:id="2676" w:name="_Toc77206892"/>
      <w:bookmarkStart w:id="2677" w:name="_Toc79057555"/>
      <w:bookmarkStart w:id="2678" w:name="_Toc32075"/>
      <w:r>
        <w:rPr>
          <w:rFonts w:hint="eastAsia" w:ascii="宋体" w:hAnsi="宋体"/>
          <w:bCs/>
          <w:sz w:val="24"/>
          <w:szCs w:val="24"/>
        </w:rPr>
        <w:t>一、</w:t>
      </w:r>
      <w:r>
        <w:rPr>
          <w:rFonts w:ascii="宋体" w:hAnsi="宋体"/>
          <w:bCs/>
          <w:sz w:val="24"/>
          <w:szCs w:val="24"/>
        </w:rPr>
        <w:t>报价响应文件</w:t>
      </w:r>
      <w:bookmarkEnd w:id="2675"/>
      <w:bookmarkEnd w:id="2676"/>
      <w:bookmarkEnd w:id="2677"/>
      <w:bookmarkEnd w:id="2678"/>
    </w:p>
    <w:p>
      <w:pPr>
        <w:pStyle w:val="5"/>
        <w:spacing w:line="360" w:lineRule="auto"/>
        <w:jc w:val="left"/>
        <w:rPr>
          <w:rFonts w:ascii="宋体" w:hAnsi="宋体"/>
          <w:sz w:val="24"/>
          <w:szCs w:val="24"/>
        </w:rPr>
      </w:pPr>
      <w:bookmarkStart w:id="2679" w:name="_Toc77206893"/>
      <w:bookmarkStart w:id="2680" w:name="_Toc86825544"/>
      <w:bookmarkStart w:id="2681" w:name="_Toc79057556"/>
      <w:r>
        <w:rPr>
          <w:sz w:val="24"/>
          <w:szCs w:val="24"/>
        </w:rPr>
        <w:t>(</w:t>
      </w:r>
      <w:r>
        <w:rPr>
          <w:rFonts w:hint="eastAsia"/>
          <w:sz w:val="24"/>
          <w:szCs w:val="24"/>
        </w:rPr>
        <w:t>一)、</w:t>
      </w:r>
      <w:r>
        <w:rPr>
          <w:rFonts w:ascii="宋体" w:hAnsi="宋体"/>
          <w:sz w:val="24"/>
          <w:szCs w:val="24"/>
        </w:rPr>
        <w:t>磋商函</w:t>
      </w:r>
      <w:bookmarkEnd w:id="2679"/>
      <w:bookmarkEnd w:id="2680"/>
      <w:bookmarkEnd w:id="2681"/>
    </w:p>
    <w:p>
      <w:pPr>
        <w:spacing w:line="360" w:lineRule="auto"/>
        <w:ind w:left="0" w:firstLine="0"/>
        <w:jc w:val="center"/>
        <w:rPr>
          <w:b/>
          <w:bCs/>
        </w:rPr>
      </w:pPr>
      <w:bookmarkStart w:id="2682" w:name="_Toc3205"/>
      <w:r>
        <w:rPr>
          <w:b/>
          <w:bCs/>
        </w:rPr>
        <w:t>磋 商 函</w:t>
      </w:r>
      <w:bookmarkEnd w:id="2682"/>
    </w:p>
    <w:p>
      <w:pPr>
        <w:pStyle w:val="2"/>
        <w:spacing w:line="360" w:lineRule="auto"/>
        <w:ind w:left="480" w:firstLine="480"/>
      </w:pPr>
    </w:p>
    <w:p>
      <w:pPr>
        <w:spacing w:line="360" w:lineRule="auto"/>
        <w:ind w:left="8" w:hanging="8" w:hangingChars="4"/>
        <w:rPr>
          <w:sz w:val="21"/>
          <w:szCs w:val="21"/>
        </w:rPr>
      </w:pPr>
      <w:r>
        <w:rPr>
          <w:rFonts w:hint="eastAsia"/>
          <w:sz w:val="21"/>
          <w:szCs w:val="21"/>
          <w:u w:val="single"/>
        </w:rPr>
        <w:t>北京市房山区人民防空办公室</w:t>
      </w:r>
      <w:r>
        <w:rPr>
          <w:rFonts w:hint="eastAsia"/>
          <w:sz w:val="21"/>
          <w:szCs w:val="21"/>
        </w:rPr>
        <w:t>（招标人）</w:t>
      </w:r>
      <w:r>
        <w:rPr>
          <w:sz w:val="21"/>
          <w:szCs w:val="21"/>
        </w:rPr>
        <w:t xml:space="preserve">： </w:t>
      </w:r>
    </w:p>
    <w:p>
      <w:pPr>
        <w:spacing w:line="360" w:lineRule="auto"/>
        <w:ind w:left="166" w:firstLine="480"/>
        <w:rPr>
          <w:sz w:val="21"/>
          <w:szCs w:val="21"/>
        </w:rPr>
      </w:pPr>
      <w:r>
        <w:rPr>
          <w:sz w:val="21"/>
          <w:szCs w:val="21"/>
        </w:rPr>
        <w:t>我方确认收到你方提供的</w:t>
      </w:r>
      <w:r>
        <w:rPr>
          <w:rFonts w:hint="eastAsia"/>
          <w:sz w:val="21"/>
          <w:szCs w:val="21"/>
          <w:u w:val="single" w:color="000000"/>
        </w:rPr>
        <w:t>北京市房山区人民防空办公室加州水郡西区、中冶蓝城地下人防工程维修工程</w:t>
      </w:r>
      <w:r>
        <w:rPr>
          <w:sz w:val="21"/>
          <w:szCs w:val="21"/>
        </w:rPr>
        <w:t>及其相关项目的磋商文件的全部内容。我方：</w:t>
      </w:r>
      <w:r>
        <w:rPr>
          <w:rFonts w:hint="eastAsia"/>
          <w:sz w:val="21"/>
          <w:szCs w:val="21"/>
          <w:u w:val="single" w:color="000000"/>
        </w:rPr>
        <w:t>（</w:t>
      </w:r>
      <w:r>
        <w:rPr>
          <w:sz w:val="21"/>
          <w:szCs w:val="21"/>
          <w:u w:val="single" w:color="000000"/>
        </w:rPr>
        <w:t>响应供应商名称）</w:t>
      </w:r>
      <w:r>
        <w:rPr>
          <w:sz w:val="21"/>
          <w:szCs w:val="21"/>
        </w:rPr>
        <w:t>作为响应供应商正式授权</w:t>
      </w:r>
      <w:r>
        <w:rPr>
          <w:rFonts w:hint="eastAsia"/>
          <w:sz w:val="21"/>
          <w:szCs w:val="21"/>
          <w:u w:val="single" w:color="000000"/>
        </w:rPr>
        <w:t>（</w:t>
      </w:r>
      <w:r>
        <w:rPr>
          <w:sz w:val="21"/>
          <w:szCs w:val="21"/>
          <w:u w:val="single" w:color="000000"/>
        </w:rPr>
        <w:t>授权代表全名、职务）</w:t>
      </w:r>
      <w:r>
        <w:rPr>
          <w:sz w:val="21"/>
          <w:szCs w:val="21"/>
        </w:rPr>
        <w:t>代表我方进行有关响应的一切事宜。在此提交的响应文件，正本一份，副本</w:t>
      </w:r>
      <w:r>
        <w:rPr>
          <w:rFonts w:hint="eastAsia"/>
          <w:sz w:val="21"/>
          <w:szCs w:val="21"/>
        </w:rPr>
        <w:t>二</w:t>
      </w:r>
      <w:r>
        <w:rPr>
          <w:sz w:val="21"/>
          <w:szCs w:val="21"/>
        </w:rPr>
        <w:t xml:space="preserve">份。我方已完全明白磋商文件的所有条款要求，并重申以下几点： </w:t>
      </w:r>
    </w:p>
    <w:p>
      <w:pPr>
        <w:spacing w:after="126" w:line="360" w:lineRule="auto"/>
        <w:ind w:left="176"/>
        <w:rPr>
          <w:sz w:val="21"/>
          <w:szCs w:val="21"/>
        </w:rPr>
      </w:pPr>
      <w:r>
        <w:rPr>
          <w:sz w:val="21"/>
          <w:szCs w:val="21"/>
        </w:rPr>
        <w:t>1.我方决定参加：</w:t>
      </w:r>
      <w:r>
        <w:rPr>
          <w:rFonts w:hint="eastAsia"/>
          <w:sz w:val="21"/>
          <w:szCs w:val="21"/>
          <w:u w:val="single"/>
        </w:rPr>
        <w:t>北京市房山区人民防空办公室加州水郡西区、中冶蓝城地下人防工程维修工程</w:t>
      </w:r>
      <w:r>
        <w:rPr>
          <w:sz w:val="21"/>
          <w:szCs w:val="21"/>
        </w:rPr>
        <w:t>项目编号为</w:t>
      </w:r>
      <w:r>
        <w:rPr>
          <w:rFonts w:hint="eastAsia"/>
          <w:sz w:val="21"/>
          <w:szCs w:val="21"/>
        </w:rPr>
        <w:t>：</w:t>
      </w:r>
      <w:r>
        <w:rPr>
          <w:rFonts w:hint="eastAsia"/>
          <w:sz w:val="21"/>
          <w:szCs w:val="21"/>
          <w:u w:val="single"/>
        </w:rPr>
        <w:t xml:space="preserve">                </w:t>
      </w:r>
      <w:r>
        <w:rPr>
          <w:sz w:val="21"/>
          <w:szCs w:val="21"/>
        </w:rPr>
        <w:t xml:space="preserve">的响应报价； </w:t>
      </w:r>
    </w:p>
    <w:p>
      <w:pPr>
        <w:spacing w:after="130" w:line="360" w:lineRule="auto"/>
        <w:ind w:left="191"/>
        <w:rPr>
          <w:sz w:val="21"/>
          <w:szCs w:val="21"/>
        </w:rPr>
      </w:pPr>
      <w:r>
        <w:rPr>
          <w:sz w:val="21"/>
          <w:szCs w:val="21"/>
        </w:rPr>
        <w:t>2.总报价为人民币</w:t>
      </w:r>
      <w:r>
        <w:rPr>
          <w:rFonts w:hint="eastAsia"/>
          <w:sz w:val="21"/>
          <w:szCs w:val="21"/>
          <w:u w:val="single"/>
        </w:rPr>
        <w:t xml:space="preserve">             </w:t>
      </w:r>
      <w:r>
        <w:rPr>
          <w:sz w:val="21"/>
          <w:szCs w:val="21"/>
        </w:rPr>
        <w:t>元</w:t>
      </w:r>
      <w:r>
        <w:rPr>
          <w:rFonts w:hint="eastAsia"/>
          <w:sz w:val="21"/>
          <w:szCs w:val="21"/>
        </w:rPr>
        <w:t>，（大写</w:t>
      </w:r>
      <w:r>
        <w:rPr>
          <w:sz w:val="21"/>
          <w:szCs w:val="21"/>
        </w:rPr>
        <w:t>；</w:t>
      </w:r>
      <w:r>
        <w:rPr>
          <w:rFonts w:hint="eastAsia"/>
          <w:sz w:val="21"/>
          <w:szCs w:val="21"/>
          <w:u w:val="single"/>
        </w:rPr>
        <w:t xml:space="preserve">                 </w:t>
      </w:r>
      <w:r>
        <w:rPr>
          <w:rFonts w:hint="eastAsia"/>
          <w:sz w:val="21"/>
          <w:szCs w:val="21"/>
        </w:rPr>
        <w:t>元）</w:t>
      </w:r>
    </w:p>
    <w:p>
      <w:pPr>
        <w:spacing w:line="360" w:lineRule="auto"/>
        <w:ind w:left="406" w:hanging="240"/>
        <w:rPr>
          <w:sz w:val="21"/>
          <w:szCs w:val="21"/>
        </w:rPr>
      </w:pPr>
      <w:r>
        <w:rPr>
          <w:sz w:val="21"/>
          <w:szCs w:val="21"/>
        </w:rPr>
        <w:t>3.本响应文件的有效期为响应截止日后</w:t>
      </w:r>
      <w:r>
        <w:rPr>
          <w:sz w:val="21"/>
          <w:szCs w:val="21"/>
          <w:u w:val="single" w:color="000000"/>
        </w:rPr>
        <w:t>90</w:t>
      </w:r>
      <w:r>
        <w:rPr>
          <w:sz w:val="21"/>
          <w:szCs w:val="21"/>
        </w:rPr>
        <w:t xml:space="preserve">天有效，如被确定为成交供应商，有效期将延至合同终止日为止； </w:t>
      </w:r>
    </w:p>
    <w:p>
      <w:pPr>
        <w:spacing w:line="360" w:lineRule="auto"/>
        <w:ind w:left="406" w:hanging="240"/>
        <w:rPr>
          <w:sz w:val="21"/>
          <w:szCs w:val="21"/>
        </w:rPr>
      </w:pPr>
      <w:r>
        <w:rPr>
          <w:sz w:val="21"/>
          <w:szCs w:val="21"/>
        </w:rPr>
        <w:t xml:space="preserve">4.我方已详细研究了磋商文件的所有内容包括修正（如果有）和所有已提供的参考资料以及有关格式并完全明白，我方放弃在此方面提出含糊意见或误解的一切权利； </w:t>
      </w:r>
    </w:p>
    <w:p>
      <w:pPr>
        <w:spacing w:after="126" w:line="360" w:lineRule="auto"/>
        <w:ind w:left="176"/>
        <w:rPr>
          <w:sz w:val="21"/>
          <w:szCs w:val="21"/>
        </w:rPr>
      </w:pPr>
      <w:r>
        <w:rPr>
          <w:sz w:val="21"/>
          <w:szCs w:val="21"/>
        </w:rPr>
        <w:t xml:space="preserve">5.我方同意按照你方可能提出的要求提供与响应有关的任何其它数据或信息； </w:t>
      </w:r>
    </w:p>
    <w:p>
      <w:pPr>
        <w:spacing w:after="126" w:line="360" w:lineRule="auto"/>
        <w:ind w:left="176"/>
        <w:rPr>
          <w:sz w:val="21"/>
          <w:szCs w:val="21"/>
        </w:rPr>
      </w:pPr>
      <w:r>
        <w:rPr>
          <w:sz w:val="21"/>
          <w:szCs w:val="21"/>
        </w:rPr>
        <w:t xml:space="preserve">6.我方理解磋商小组不一定接受最低报价的报价； </w:t>
      </w:r>
    </w:p>
    <w:p>
      <w:pPr>
        <w:spacing w:line="360" w:lineRule="auto"/>
        <w:ind w:left="176"/>
        <w:rPr>
          <w:sz w:val="21"/>
          <w:szCs w:val="21"/>
        </w:rPr>
      </w:pPr>
      <w:r>
        <w:rPr>
          <w:sz w:val="21"/>
          <w:szCs w:val="21"/>
        </w:rPr>
        <w:t>7.我方如被确定为成交供应商，将保证履行磋商文件以及磋商文件修改书（如有的话）中的全部责任和义务，按质、按量、按期完成《合同》中的全部任务；</w:t>
      </w:r>
    </w:p>
    <w:p>
      <w:pPr>
        <w:spacing w:line="360" w:lineRule="auto"/>
        <w:rPr>
          <w:sz w:val="21"/>
          <w:szCs w:val="21"/>
        </w:rPr>
      </w:pPr>
      <w:r>
        <w:rPr>
          <w:sz w:val="21"/>
          <w:szCs w:val="21"/>
        </w:rPr>
        <w:t xml:space="preserve"> 8.我方自行完全承担因响应文件错误、缺漏、不清晰而导致的一切后果； </w:t>
      </w:r>
    </w:p>
    <w:p>
      <w:pPr>
        <w:spacing w:line="360" w:lineRule="auto"/>
        <w:ind w:left="406" w:hanging="240"/>
        <w:rPr>
          <w:sz w:val="21"/>
          <w:szCs w:val="21"/>
        </w:rPr>
      </w:pPr>
      <w:r>
        <w:rPr>
          <w:sz w:val="21"/>
          <w:szCs w:val="21"/>
        </w:rPr>
        <w:t xml:space="preserve">9.我方确认此次磋商中提供的一切资料均是真实的，准确的，并完全承担因此产生的一切后果。 </w:t>
      </w:r>
    </w:p>
    <w:p>
      <w:pPr>
        <w:spacing w:line="360" w:lineRule="auto"/>
        <w:ind w:left="176"/>
        <w:rPr>
          <w:sz w:val="21"/>
          <w:szCs w:val="21"/>
        </w:rPr>
      </w:pPr>
      <w:r>
        <w:rPr>
          <w:sz w:val="21"/>
          <w:szCs w:val="21"/>
        </w:rPr>
        <w:t xml:space="preserve">10.我方的响应被接受，我方同意按照磋商文件规定向采购代理机构缴纳采购代理服务费。 </w:t>
      </w:r>
    </w:p>
    <w:p>
      <w:pPr>
        <w:pStyle w:val="2"/>
        <w:spacing w:line="360" w:lineRule="auto"/>
        <w:ind w:left="480" w:firstLine="480"/>
      </w:pPr>
    </w:p>
    <w:p>
      <w:pPr>
        <w:spacing w:line="360" w:lineRule="auto"/>
        <w:ind w:left="0" w:firstLine="0"/>
        <w:rPr>
          <w:sz w:val="21"/>
          <w:szCs w:val="21"/>
          <w:u w:val="single"/>
        </w:rPr>
      </w:pPr>
      <w:r>
        <w:rPr>
          <w:sz w:val="21"/>
          <w:szCs w:val="21"/>
        </w:rPr>
        <w:t>响应供应商全称（加盖公章）：</w:t>
      </w:r>
      <w:r>
        <w:rPr>
          <w:rFonts w:hint="eastAsia"/>
          <w:sz w:val="21"/>
          <w:szCs w:val="21"/>
          <w:u w:val="single"/>
        </w:rPr>
        <w:t xml:space="preserve">               </w:t>
      </w:r>
    </w:p>
    <w:p>
      <w:pPr>
        <w:spacing w:line="360" w:lineRule="auto"/>
        <w:ind w:left="0" w:firstLine="0"/>
        <w:rPr>
          <w:sz w:val="21"/>
          <w:szCs w:val="21"/>
        </w:rPr>
      </w:pPr>
      <w:r>
        <w:rPr>
          <w:sz w:val="21"/>
          <w:szCs w:val="21"/>
        </w:rPr>
        <w:t>地址：</w:t>
      </w:r>
    </w:p>
    <w:p>
      <w:pPr>
        <w:spacing w:line="360" w:lineRule="auto"/>
        <w:ind w:left="0" w:firstLine="0"/>
        <w:rPr>
          <w:sz w:val="21"/>
          <w:szCs w:val="21"/>
        </w:rPr>
      </w:pPr>
      <w:r>
        <w:rPr>
          <w:sz w:val="21"/>
          <w:szCs w:val="21"/>
        </w:rPr>
        <w:t>法定代表或其授权代表（签字</w:t>
      </w:r>
      <w:r>
        <w:rPr>
          <w:rFonts w:hint="eastAsia"/>
          <w:sz w:val="21"/>
          <w:szCs w:val="21"/>
        </w:rPr>
        <w:t>或盖章</w:t>
      </w:r>
      <w:r>
        <w:rPr>
          <w:sz w:val="21"/>
          <w:szCs w:val="21"/>
        </w:rPr>
        <w:t>）：</w:t>
      </w:r>
    </w:p>
    <w:p>
      <w:pPr>
        <w:spacing w:line="360" w:lineRule="auto"/>
        <w:ind w:left="0" w:firstLine="0"/>
        <w:rPr>
          <w:sz w:val="21"/>
          <w:szCs w:val="21"/>
        </w:rPr>
      </w:pPr>
      <w:r>
        <w:rPr>
          <w:sz w:val="21"/>
          <w:szCs w:val="21"/>
        </w:rPr>
        <w:t xml:space="preserve">日  期：     年   月   日 </w:t>
      </w:r>
    </w:p>
    <w:p>
      <w:pPr>
        <w:spacing w:line="360" w:lineRule="auto"/>
        <w:ind w:left="0" w:firstLine="0"/>
        <w:rPr>
          <w:rFonts w:cs="Arial"/>
          <w:szCs w:val="24"/>
        </w:rPr>
      </w:pPr>
    </w:p>
    <w:p>
      <w:pPr>
        <w:pStyle w:val="2"/>
        <w:spacing w:line="360" w:lineRule="auto"/>
        <w:ind w:left="0" w:leftChars="0" w:firstLine="0" w:firstLineChars="0"/>
      </w:pPr>
    </w:p>
    <w:p>
      <w:pPr>
        <w:pStyle w:val="5"/>
        <w:spacing w:line="360" w:lineRule="auto"/>
        <w:jc w:val="left"/>
        <w:rPr>
          <w:rFonts w:ascii="宋体" w:hAnsi="宋体"/>
          <w:sz w:val="24"/>
          <w:szCs w:val="24"/>
        </w:rPr>
      </w:pPr>
      <w:bookmarkStart w:id="2683" w:name="_Toc79057557"/>
      <w:bookmarkStart w:id="2684" w:name="_Toc77206894"/>
      <w:bookmarkStart w:id="2685" w:name="_Toc86825545"/>
      <w:r>
        <w:rPr>
          <w:rFonts w:hint="eastAsia" w:cs="Arial"/>
          <w:sz w:val="24"/>
          <w:szCs w:val="24"/>
        </w:rPr>
        <w:t>（二）、</w:t>
      </w:r>
      <w:r>
        <w:rPr>
          <w:rFonts w:hint="eastAsia" w:ascii="宋体" w:hAnsi="宋体"/>
          <w:sz w:val="24"/>
          <w:szCs w:val="24"/>
        </w:rPr>
        <w:t>首次报价一览表</w:t>
      </w:r>
      <w:bookmarkEnd w:id="2683"/>
      <w:bookmarkEnd w:id="2684"/>
      <w:bookmarkEnd w:id="2685"/>
    </w:p>
    <w:p>
      <w:pPr>
        <w:spacing w:line="360" w:lineRule="auto"/>
        <w:jc w:val="center"/>
      </w:pPr>
      <w:bookmarkStart w:id="2686" w:name="_Toc25736"/>
    </w:p>
    <w:p>
      <w:pPr>
        <w:spacing w:line="360" w:lineRule="auto"/>
        <w:jc w:val="center"/>
        <w:outlineLvl w:val="1"/>
      </w:pPr>
      <w:bookmarkStart w:id="2687" w:name="_Toc86825546"/>
      <w:r>
        <w:rPr>
          <w:rFonts w:hint="eastAsia"/>
        </w:rPr>
        <w:t>首次报价一览表</w:t>
      </w:r>
      <w:bookmarkEnd w:id="2686"/>
      <w:bookmarkEnd w:id="2687"/>
    </w:p>
    <w:p>
      <w:pPr>
        <w:pStyle w:val="2"/>
        <w:ind w:left="480" w:firstLine="480"/>
      </w:pPr>
    </w:p>
    <w:p>
      <w:pPr>
        <w:spacing w:line="360" w:lineRule="auto"/>
        <w:ind w:left="11" w:hanging="11"/>
      </w:pPr>
      <w:r>
        <w:rPr>
          <w:rFonts w:hint="eastAsia"/>
        </w:rPr>
        <w:t xml:space="preserve">项目编号： </w:t>
      </w:r>
    </w:p>
    <w:tbl>
      <w:tblPr>
        <w:tblStyle w:val="36"/>
        <w:tblW w:w="9414" w:type="dxa"/>
        <w:tblInd w:w="181" w:type="dxa"/>
        <w:tblLayout w:type="autofit"/>
        <w:tblCellMar>
          <w:top w:w="34" w:type="dxa"/>
          <w:left w:w="108" w:type="dxa"/>
          <w:bottom w:w="0" w:type="dxa"/>
          <w:right w:w="115" w:type="dxa"/>
        </w:tblCellMar>
      </w:tblPr>
      <w:tblGrid>
        <w:gridCol w:w="1882"/>
        <w:gridCol w:w="1883"/>
        <w:gridCol w:w="1883"/>
        <w:gridCol w:w="1883"/>
        <w:gridCol w:w="1883"/>
      </w:tblGrid>
      <w:tr>
        <w:tblPrEx>
          <w:tblCellMar>
            <w:top w:w="34" w:type="dxa"/>
            <w:left w:w="108" w:type="dxa"/>
            <w:bottom w:w="0" w:type="dxa"/>
            <w:right w:w="115" w:type="dxa"/>
          </w:tblCellMar>
        </w:tblPrEx>
        <w:trPr>
          <w:trHeight w:val="554" w:hRule="atLeast"/>
        </w:trPr>
        <w:tc>
          <w:tcPr>
            <w:tcW w:w="1882"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rPr>
                <w:szCs w:val="24"/>
              </w:rPr>
            </w:pPr>
            <w:r>
              <w:rPr>
                <w:rFonts w:hint="eastAsia"/>
                <w:szCs w:val="24"/>
              </w:rPr>
              <w:t>响应供应商全称</w:t>
            </w:r>
          </w:p>
        </w:tc>
        <w:tc>
          <w:tcPr>
            <w:tcW w:w="1883"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firstLine="0"/>
              <w:jc w:val="center"/>
              <w:rPr>
                <w:szCs w:val="24"/>
              </w:rPr>
            </w:pPr>
            <w:r>
              <w:rPr>
                <w:rFonts w:hint="eastAsia"/>
                <w:szCs w:val="24"/>
              </w:rPr>
              <w:t>项目名称</w:t>
            </w:r>
          </w:p>
        </w:tc>
        <w:tc>
          <w:tcPr>
            <w:tcW w:w="1883" w:type="dxa"/>
            <w:tcBorders>
              <w:top w:val="single" w:color="000000" w:sz="4" w:space="0"/>
              <w:left w:val="single" w:color="000000" w:sz="4" w:space="0"/>
              <w:bottom w:val="single" w:color="000000" w:sz="4" w:space="0"/>
              <w:right w:val="single" w:color="000000" w:sz="4" w:space="0"/>
            </w:tcBorders>
          </w:tcPr>
          <w:p>
            <w:pPr>
              <w:spacing w:after="0" w:line="360" w:lineRule="auto"/>
              <w:ind w:left="7" w:firstLine="0"/>
              <w:jc w:val="center"/>
              <w:rPr>
                <w:szCs w:val="24"/>
              </w:rPr>
            </w:pPr>
            <w:r>
              <w:rPr>
                <w:rFonts w:hint="eastAsia"/>
                <w:szCs w:val="24"/>
              </w:rPr>
              <w:t xml:space="preserve">投标报价 </w:t>
            </w:r>
          </w:p>
          <w:p>
            <w:pPr>
              <w:spacing w:after="0" w:line="360" w:lineRule="auto"/>
              <w:ind w:left="6" w:firstLine="0"/>
              <w:jc w:val="center"/>
              <w:rPr>
                <w:szCs w:val="24"/>
              </w:rPr>
            </w:pPr>
            <w:r>
              <w:rPr>
                <w:rFonts w:hint="eastAsia"/>
                <w:szCs w:val="24"/>
              </w:rPr>
              <w:t xml:space="preserve">（人民币元） </w:t>
            </w:r>
          </w:p>
        </w:tc>
        <w:tc>
          <w:tcPr>
            <w:tcW w:w="1883"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6" w:firstLine="0"/>
              <w:jc w:val="center"/>
              <w:rPr>
                <w:szCs w:val="24"/>
              </w:rPr>
            </w:pPr>
            <w:r>
              <w:rPr>
                <w:rFonts w:hint="eastAsia"/>
                <w:szCs w:val="24"/>
              </w:rPr>
              <w:t xml:space="preserve">工期 </w:t>
            </w:r>
          </w:p>
        </w:tc>
        <w:tc>
          <w:tcPr>
            <w:tcW w:w="1883" w:type="dxa"/>
            <w:tcBorders>
              <w:top w:val="single" w:color="000000" w:sz="4" w:space="0"/>
              <w:left w:val="single" w:color="000000" w:sz="4" w:space="0"/>
              <w:bottom w:val="single" w:color="000000" w:sz="4" w:space="0"/>
              <w:right w:val="single" w:color="000000" w:sz="4" w:space="0"/>
            </w:tcBorders>
          </w:tcPr>
          <w:p>
            <w:pPr>
              <w:spacing w:after="0" w:line="360" w:lineRule="auto"/>
              <w:ind w:left="0" w:firstLine="0"/>
              <w:rPr>
                <w:szCs w:val="24"/>
              </w:rPr>
            </w:pPr>
            <w:r>
              <w:rPr>
                <w:rFonts w:hint="eastAsia"/>
                <w:szCs w:val="24"/>
              </w:rPr>
              <w:t>项目经理名称</w:t>
            </w:r>
          </w:p>
        </w:tc>
      </w:tr>
      <w:tr>
        <w:tblPrEx>
          <w:tblCellMar>
            <w:top w:w="34" w:type="dxa"/>
            <w:left w:w="108" w:type="dxa"/>
            <w:bottom w:w="0" w:type="dxa"/>
            <w:right w:w="115" w:type="dxa"/>
          </w:tblCellMar>
        </w:tblPrEx>
        <w:trPr>
          <w:trHeight w:val="793" w:hRule="atLeast"/>
        </w:trPr>
        <w:tc>
          <w:tcPr>
            <w:tcW w:w="1882"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127" w:firstLine="0"/>
              <w:rPr>
                <w:szCs w:val="24"/>
              </w:rPr>
            </w:pPr>
          </w:p>
        </w:tc>
        <w:tc>
          <w:tcPr>
            <w:tcW w:w="1883" w:type="dxa"/>
            <w:tcBorders>
              <w:top w:val="single" w:color="000000" w:sz="4" w:space="0"/>
              <w:left w:val="single" w:color="000000" w:sz="4" w:space="0"/>
              <w:bottom w:val="single" w:color="000000" w:sz="4" w:space="0"/>
              <w:right w:val="single" w:color="000000" w:sz="4" w:space="0"/>
            </w:tcBorders>
            <w:vAlign w:val="center"/>
          </w:tcPr>
          <w:p>
            <w:pPr>
              <w:spacing w:line="360" w:lineRule="auto"/>
              <w:rPr>
                <w:szCs w:val="24"/>
              </w:rPr>
            </w:pPr>
          </w:p>
        </w:tc>
        <w:tc>
          <w:tcPr>
            <w:tcW w:w="1883"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firstLine="0"/>
              <w:rPr>
                <w:szCs w:val="24"/>
              </w:rPr>
            </w:pPr>
            <w:r>
              <w:rPr>
                <w:rFonts w:hint="eastAsia"/>
                <w:szCs w:val="24"/>
              </w:rPr>
              <w:t>大写:</w:t>
            </w:r>
          </w:p>
          <w:p>
            <w:pPr>
              <w:pStyle w:val="2"/>
              <w:ind w:left="480" w:firstLine="480"/>
            </w:pPr>
          </w:p>
          <w:p>
            <w:pPr>
              <w:pStyle w:val="2"/>
              <w:ind w:left="0" w:leftChars="0" w:firstLine="0" w:firstLineChars="0"/>
            </w:pPr>
            <w:r>
              <w:rPr>
                <w:rFonts w:hint="eastAsia"/>
              </w:rPr>
              <w:t>小写:</w:t>
            </w:r>
          </w:p>
        </w:tc>
        <w:tc>
          <w:tcPr>
            <w:tcW w:w="1883" w:type="dxa"/>
            <w:tcBorders>
              <w:top w:val="single" w:color="000000" w:sz="4" w:space="0"/>
              <w:left w:val="single" w:color="000000" w:sz="4" w:space="0"/>
              <w:bottom w:val="single" w:color="000000" w:sz="4" w:space="0"/>
              <w:right w:val="single" w:color="000000" w:sz="4" w:space="0"/>
            </w:tcBorders>
          </w:tcPr>
          <w:p>
            <w:pPr>
              <w:spacing w:after="0" w:line="360" w:lineRule="auto"/>
              <w:ind w:left="480" w:leftChars="200" w:firstLine="0"/>
              <w:rPr>
                <w:szCs w:val="24"/>
              </w:rPr>
            </w:pPr>
          </w:p>
        </w:tc>
        <w:tc>
          <w:tcPr>
            <w:tcW w:w="1883" w:type="dxa"/>
            <w:tcBorders>
              <w:top w:val="single" w:color="000000" w:sz="4" w:space="0"/>
              <w:left w:val="single" w:color="000000" w:sz="4" w:space="0"/>
              <w:bottom w:val="single" w:color="000000" w:sz="4" w:space="0"/>
              <w:right w:val="single" w:color="000000" w:sz="4" w:space="0"/>
            </w:tcBorders>
          </w:tcPr>
          <w:p>
            <w:pPr>
              <w:spacing w:after="0" w:line="360" w:lineRule="auto"/>
              <w:ind w:left="480" w:leftChars="200" w:firstLine="0"/>
              <w:rPr>
                <w:szCs w:val="24"/>
              </w:rPr>
            </w:pPr>
          </w:p>
        </w:tc>
      </w:tr>
    </w:tbl>
    <w:p>
      <w:pPr>
        <w:spacing w:after="100" w:line="360" w:lineRule="auto"/>
        <w:ind w:left="181" w:firstLine="0"/>
        <w:rPr>
          <w:szCs w:val="24"/>
        </w:rPr>
      </w:pPr>
    </w:p>
    <w:p>
      <w:pPr>
        <w:spacing w:after="106" w:line="360" w:lineRule="auto"/>
        <w:rPr>
          <w:szCs w:val="24"/>
        </w:rPr>
      </w:pPr>
      <w:r>
        <w:rPr>
          <w:rFonts w:hint="eastAsia"/>
          <w:szCs w:val="24"/>
        </w:rPr>
        <w:t xml:space="preserve">注：1、响应供应商须对所有项目进行报价，详见第三章采购人需求及工程量清单； </w:t>
      </w:r>
    </w:p>
    <w:p>
      <w:pPr>
        <w:spacing w:after="29" w:line="360" w:lineRule="auto"/>
        <w:ind w:firstLine="480" w:firstLineChars="200"/>
        <w:rPr>
          <w:szCs w:val="24"/>
        </w:rPr>
      </w:pPr>
      <w:r>
        <w:rPr>
          <w:rFonts w:hint="eastAsia"/>
          <w:szCs w:val="24"/>
        </w:rPr>
        <w:t>2、投标报价保留小数点后两位。</w:t>
      </w:r>
    </w:p>
    <w:p>
      <w:pPr>
        <w:spacing w:after="132" w:line="360" w:lineRule="auto"/>
        <w:ind w:left="661" w:firstLine="0"/>
        <w:rPr>
          <w:szCs w:val="24"/>
        </w:rPr>
      </w:pPr>
    </w:p>
    <w:p>
      <w:pPr>
        <w:spacing w:after="132" w:line="360" w:lineRule="auto"/>
        <w:ind w:left="661" w:firstLine="0"/>
        <w:rPr>
          <w:szCs w:val="24"/>
        </w:rPr>
      </w:pPr>
    </w:p>
    <w:p>
      <w:pPr>
        <w:spacing w:after="132" w:line="360" w:lineRule="auto"/>
        <w:ind w:left="661" w:firstLine="0"/>
        <w:rPr>
          <w:szCs w:val="24"/>
        </w:rPr>
      </w:pPr>
    </w:p>
    <w:p>
      <w:pPr>
        <w:spacing w:line="360" w:lineRule="auto"/>
        <w:ind w:left="0" w:firstLine="0"/>
      </w:pPr>
      <w:r>
        <w:rPr>
          <w:rFonts w:hint="eastAsia"/>
        </w:rPr>
        <w:t xml:space="preserve">响应供应商全称（加盖公章）： </w:t>
      </w:r>
    </w:p>
    <w:p>
      <w:pPr>
        <w:spacing w:line="360" w:lineRule="auto"/>
        <w:ind w:left="0" w:firstLine="0"/>
      </w:pPr>
      <w:r>
        <w:rPr>
          <w:rFonts w:hint="eastAsia"/>
        </w:rPr>
        <w:t>法定代表或其授权代表（签字或盖章）：</w:t>
      </w:r>
    </w:p>
    <w:p>
      <w:pPr>
        <w:spacing w:line="360" w:lineRule="auto"/>
        <w:ind w:left="0" w:firstLine="0"/>
      </w:pPr>
      <w:r>
        <w:rPr>
          <w:rFonts w:hint="eastAsia"/>
        </w:rPr>
        <w:t xml:space="preserve">日期：   年   月    日 </w:t>
      </w:r>
    </w:p>
    <w:p>
      <w:pPr>
        <w:spacing w:line="360" w:lineRule="auto"/>
        <w:ind w:left="176" w:right="4031"/>
        <w:rPr>
          <w:szCs w:val="24"/>
        </w:rPr>
      </w:pPr>
    </w:p>
    <w:p>
      <w:pPr>
        <w:spacing w:after="453" w:line="360" w:lineRule="auto"/>
        <w:ind w:left="176"/>
        <w:rPr>
          <w:b/>
          <w:bCs/>
          <w:szCs w:val="24"/>
        </w:rPr>
      </w:pPr>
      <w:r>
        <w:rPr>
          <w:rFonts w:hint="eastAsia"/>
          <w:b/>
          <w:bCs/>
          <w:szCs w:val="24"/>
        </w:rPr>
        <w:t xml:space="preserve">注：此表一式两份，一份装订在响应文件中；一份装在单独的信封内密封，封口盖公章。 </w:t>
      </w:r>
    </w:p>
    <w:p>
      <w:pPr>
        <w:spacing w:after="453" w:line="360" w:lineRule="auto"/>
        <w:ind w:left="176"/>
        <w:rPr>
          <w:szCs w:val="24"/>
        </w:rPr>
      </w:pPr>
    </w:p>
    <w:p>
      <w:pPr>
        <w:spacing w:after="453" w:line="360" w:lineRule="auto"/>
        <w:ind w:left="176"/>
        <w:rPr>
          <w:szCs w:val="24"/>
        </w:rPr>
      </w:pPr>
    </w:p>
    <w:p>
      <w:pPr>
        <w:spacing w:line="360" w:lineRule="auto"/>
        <w:rPr>
          <w:szCs w:val="24"/>
        </w:rPr>
      </w:pPr>
    </w:p>
    <w:p>
      <w:pPr>
        <w:pStyle w:val="2"/>
        <w:spacing w:line="360" w:lineRule="auto"/>
        <w:ind w:left="0" w:leftChars="0" w:firstLine="0" w:firstLineChars="0"/>
      </w:pPr>
    </w:p>
    <w:p>
      <w:pPr>
        <w:pStyle w:val="5"/>
        <w:spacing w:line="360" w:lineRule="auto"/>
        <w:rPr>
          <w:rFonts w:ascii="宋体" w:hAnsi="宋体"/>
          <w:sz w:val="24"/>
          <w:szCs w:val="24"/>
        </w:rPr>
      </w:pPr>
      <w:bookmarkStart w:id="2688" w:name="_Toc77206895"/>
      <w:bookmarkStart w:id="2689" w:name="_Toc79057558"/>
      <w:bookmarkStart w:id="2690" w:name="_Toc21660"/>
      <w:bookmarkStart w:id="2691" w:name="_Toc86825547"/>
      <w:r>
        <w:rPr>
          <w:rFonts w:hint="eastAsia" w:ascii="宋体" w:hAnsi="宋体"/>
          <w:sz w:val="24"/>
          <w:szCs w:val="24"/>
        </w:rPr>
        <w:t>（三）工程量清单</w:t>
      </w:r>
      <w:bookmarkEnd w:id="2688"/>
      <w:bookmarkEnd w:id="2689"/>
      <w:bookmarkEnd w:id="2690"/>
      <w:bookmarkEnd w:id="2691"/>
    </w:p>
    <w:p>
      <w:pPr>
        <w:spacing w:line="360" w:lineRule="auto"/>
        <w:rPr>
          <w:szCs w:val="24"/>
        </w:rPr>
      </w:pPr>
    </w:p>
    <w:tbl>
      <w:tblPr>
        <w:tblStyle w:val="36"/>
        <w:tblW w:w="8280" w:type="dxa"/>
        <w:tblInd w:w="108" w:type="dxa"/>
        <w:tblLayout w:type="fixed"/>
        <w:tblCellMar>
          <w:top w:w="0" w:type="dxa"/>
          <w:left w:w="108" w:type="dxa"/>
          <w:bottom w:w="0" w:type="dxa"/>
          <w:right w:w="108" w:type="dxa"/>
        </w:tblCellMar>
      </w:tblPr>
      <w:tblGrid>
        <w:gridCol w:w="884"/>
        <w:gridCol w:w="7396"/>
      </w:tblGrid>
      <w:tr>
        <w:tblPrEx>
          <w:tblCellMar>
            <w:top w:w="0" w:type="dxa"/>
            <w:left w:w="108" w:type="dxa"/>
            <w:bottom w:w="0" w:type="dxa"/>
            <w:right w:w="108" w:type="dxa"/>
          </w:tblCellMar>
        </w:tblPrEx>
        <w:tc>
          <w:tcPr>
            <w:tcW w:w="8280" w:type="dxa"/>
            <w:gridSpan w:val="2"/>
          </w:tcPr>
          <w:p>
            <w:pPr>
              <w:pStyle w:val="6"/>
              <w:spacing w:line="360" w:lineRule="auto"/>
              <w:rPr>
                <w:b/>
                <w:bCs/>
                <w:sz w:val="24"/>
                <w:szCs w:val="24"/>
              </w:rPr>
            </w:pPr>
            <w:r>
              <w:rPr>
                <w:sz w:val="24"/>
                <w:szCs w:val="24"/>
              </w:rPr>
              <w:br w:type="page"/>
            </w:r>
            <w:r>
              <w:rPr>
                <w:sz w:val="24"/>
                <w:szCs w:val="24"/>
              </w:rPr>
              <w:br w:type="page"/>
            </w:r>
            <w:bookmarkStart w:id="2692" w:name="_Toc162409184"/>
            <w:bookmarkStart w:id="2693" w:name="_Toc403052897"/>
            <w:bookmarkStart w:id="2694" w:name="_Toc79057559"/>
            <w:bookmarkStart w:id="2695" w:name="_Toc342296519"/>
            <w:bookmarkStart w:id="2696" w:name="_Toc77206896"/>
            <w:bookmarkStart w:id="2697" w:name="_Toc403059839"/>
            <w:bookmarkStart w:id="2698" w:name="_Toc241459760"/>
            <w:bookmarkStart w:id="2699" w:name="_Toc362252985"/>
            <w:r>
              <w:rPr>
                <w:rFonts w:hint="eastAsia"/>
                <w:b/>
                <w:bCs/>
                <w:sz w:val="24"/>
                <w:szCs w:val="24"/>
              </w:rPr>
              <w:t>1</w:t>
            </w:r>
            <w:bookmarkEnd w:id="2692"/>
            <w:r>
              <w:rPr>
                <w:rFonts w:hint="eastAsia"/>
                <w:b/>
                <w:bCs/>
                <w:sz w:val="24"/>
                <w:szCs w:val="24"/>
              </w:rPr>
              <w:t>．工程量清单说明</w:t>
            </w:r>
            <w:bookmarkEnd w:id="2693"/>
            <w:bookmarkEnd w:id="2694"/>
            <w:bookmarkEnd w:id="2695"/>
            <w:bookmarkEnd w:id="2696"/>
            <w:bookmarkEnd w:id="2697"/>
            <w:bookmarkEnd w:id="2698"/>
            <w:bookmarkEnd w:id="2699"/>
          </w:p>
        </w:tc>
      </w:tr>
      <w:tr>
        <w:tblPrEx>
          <w:tblCellMar>
            <w:top w:w="0" w:type="dxa"/>
            <w:left w:w="108" w:type="dxa"/>
            <w:bottom w:w="0" w:type="dxa"/>
            <w:right w:w="108" w:type="dxa"/>
          </w:tblCellMar>
        </w:tblPrEx>
        <w:tc>
          <w:tcPr>
            <w:tcW w:w="884" w:type="dxa"/>
          </w:tcPr>
          <w:p>
            <w:pPr>
              <w:spacing w:line="360" w:lineRule="auto"/>
              <w:ind w:left="0" w:firstLine="0"/>
            </w:pPr>
            <w:r>
              <w:rPr>
                <w:rFonts w:hint="eastAsia"/>
              </w:rPr>
              <w:t>1</w:t>
            </w:r>
            <w:r>
              <w:t>.1</w:t>
            </w:r>
          </w:p>
        </w:tc>
        <w:tc>
          <w:tcPr>
            <w:tcW w:w="7396" w:type="dxa"/>
          </w:tcPr>
          <w:p>
            <w:pPr>
              <w:spacing w:line="360" w:lineRule="auto"/>
              <w:ind w:left="0" w:firstLine="0"/>
            </w:pPr>
            <w:r>
              <w:t>本工程量清单是</w:t>
            </w:r>
            <w:r>
              <w:rPr>
                <w:rFonts w:hint="eastAsia"/>
              </w:rPr>
              <w:t>依据现行中华人民共和国国家标准《建设工程工程量清单计价规范》（GB50500-2013）和配套的工程量计算规范（GB50854-2013～GB50862-2013）（以下简称“计价计量规范”）以及</w:t>
            </w:r>
            <w:r>
              <w:t>招标文件中包括的图纸</w:t>
            </w:r>
            <w:r>
              <w:rPr>
                <w:rFonts w:hint="eastAsia"/>
              </w:rPr>
              <w:t>等编制</w:t>
            </w:r>
            <w:r>
              <w:t>。</w:t>
            </w:r>
            <w:r>
              <w:rPr>
                <w:rFonts w:hint="eastAsia"/>
              </w:rPr>
              <w:t>计价计量规范中规定的工程量计算</w:t>
            </w:r>
            <w:r>
              <w:t>规则中没有的</w:t>
            </w:r>
            <w:r>
              <w:rPr>
                <w:rFonts w:hint="eastAsia"/>
              </w:rPr>
              <w:t>子目</w:t>
            </w:r>
            <w:r>
              <w:t>，</w:t>
            </w:r>
            <w:r>
              <w:rPr>
                <w:rFonts w:hint="eastAsia"/>
              </w:rPr>
              <w:t>应在本章第1.4款约定；计价计量规范中规定的工程量计算</w:t>
            </w:r>
            <w:r>
              <w:t>规则中没有</w:t>
            </w:r>
            <w:r>
              <w:rPr>
                <w:rFonts w:hint="eastAsia"/>
              </w:rPr>
              <w:t>且本章第1.4款也未约定的，双方协商确定；协商不成的，可向省级或行业工程造价管理机构申请裁定或</w:t>
            </w:r>
            <w:r>
              <w:t>按照有合同约束力的图纸所标示尺寸的理论净量计算。计量采用中华人民共和国法定</w:t>
            </w:r>
            <w:r>
              <w:rPr>
                <w:rFonts w:hint="eastAsia"/>
              </w:rPr>
              <w:t>的基本</w:t>
            </w:r>
            <w:r>
              <w:t>计量单位。</w:t>
            </w:r>
          </w:p>
        </w:tc>
      </w:tr>
      <w:tr>
        <w:tblPrEx>
          <w:tblCellMar>
            <w:top w:w="0" w:type="dxa"/>
            <w:left w:w="108" w:type="dxa"/>
            <w:bottom w:w="0" w:type="dxa"/>
            <w:right w:w="108" w:type="dxa"/>
          </w:tblCellMar>
        </w:tblPrEx>
        <w:tc>
          <w:tcPr>
            <w:tcW w:w="884" w:type="dxa"/>
          </w:tcPr>
          <w:p>
            <w:pPr>
              <w:spacing w:line="360" w:lineRule="auto"/>
              <w:ind w:left="0" w:firstLine="0"/>
            </w:pPr>
            <w:r>
              <w:rPr>
                <w:rFonts w:hint="eastAsia"/>
              </w:rPr>
              <w:t>1.2</w:t>
            </w:r>
          </w:p>
        </w:tc>
        <w:tc>
          <w:tcPr>
            <w:tcW w:w="7396" w:type="dxa"/>
          </w:tcPr>
          <w:p>
            <w:pPr>
              <w:spacing w:line="360" w:lineRule="auto"/>
              <w:ind w:left="0" w:firstLine="0"/>
            </w:pPr>
            <w:r>
              <w:t>本工程量清单应与招标文件中的投标人须知、通用合同条款、专用合同条款、技术标准和要求及图纸等</w:t>
            </w:r>
            <w:r>
              <w:rPr>
                <w:rFonts w:hint="eastAsia"/>
              </w:rPr>
              <w:t>章节内容</w:t>
            </w:r>
            <w:r>
              <w:t>一起阅读和理解。</w:t>
            </w:r>
          </w:p>
        </w:tc>
      </w:tr>
      <w:tr>
        <w:tblPrEx>
          <w:tblCellMar>
            <w:top w:w="0" w:type="dxa"/>
            <w:left w:w="108" w:type="dxa"/>
            <w:bottom w:w="0" w:type="dxa"/>
            <w:right w:w="108" w:type="dxa"/>
          </w:tblCellMar>
        </w:tblPrEx>
        <w:tc>
          <w:tcPr>
            <w:tcW w:w="884" w:type="dxa"/>
          </w:tcPr>
          <w:p>
            <w:pPr>
              <w:spacing w:line="360" w:lineRule="auto"/>
              <w:ind w:left="0" w:firstLine="0"/>
            </w:pPr>
            <w:r>
              <w:rPr>
                <w:rFonts w:hint="eastAsia"/>
              </w:rPr>
              <w:t>1.3</w:t>
            </w:r>
          </w:p>
        </w:tc>
        <w:tc>
          <w:tcPr>
            <w:tcW w:w="7396" w:type="dxa"/>
          </w:tcPr>
          <w:p>
            <w:pPr>
              <w:spacing w:line="360" w:lineRule="auto"/>
              <w:ind w:left="0" w:firstLine="0"/>
            </w:pPr>
            <w:r>
              <w:t>本工程量清单仅是投标报价的共同基础，</w:t>
            </w:r>
            <w:r>
              <w:rPr>
                <w:rFonts w:hint="eastAsia"/>
              </w:rPr>
              <w:t>完</w:t>
            </w:r>
            <w:r>
              <w:t>工结算的工程量按</w:t>
            </w:r>
            <w:r>
              <w:rPr>
                <w:rFonts w:hint="eastAsia"/>
              </w:rPr>
              <w:t>合同约定</w:t>
            </w:r>
            <w:r>
              <w:t>确定。</w:t>
            </w:r>
            <w:r>
              <w:rPr>
                <w:rFonts w:hint="eastAsia"/>
              </w:rPr>
              <w:t>合同价格的确定以及价款</w:t>
            </w:r>
            <w:r>
              <w:t>支付应遵循合同条款</w:t>
            </w:r>
            <w:r>
              <w:rPr>
                <w:rFonts w:hint="eastAsia"/>
              </w:rPr>
              <w:t>（包括</w:t>
            </w:r>
            <w:r>
              <w:t>通用合同条款</w:t>
            </w:r>
            <w:r>
              <w:rPr>
                <w:rFonts w:hint="eastAsia"/>
              </w:rPr>
              <w:t>和</w:t>
            </w:r>
            <w:r>
              <w:t>专用合同条款</w:t>
            </w:r>
            <w:r>
              <w:rPr>
                <w:rFonts w:hint="eastAsia"/>
              </w:rPr>
              <w:t>）、技术标准和要求以及本章</w:t>
            </w:r>
            <w:r>
              <w:t>的有关</w:t>
            </w:r>
            <w:r>
              <w:rPr>
                <w:rFonts w:hint="eastAsia"/>
              </w:rPr>
              <w:t>约</w:t>
            </w:r>
            <w:r>
              <w:t>定。</w:t>
            </w:r>
          </w:p>
        </w:tc>
      </w:tr>
      <w:tr>
        <w:tblPrEx>
          <w:tblCellMar>
            <w:top w:w="0" w:type="dxa"/>
            <w:left w:w="108" w:type="dxa"/>
            <w:bottom w:w="0" w:type="dxa"/>
            <w:right w:w="108" w:type="dxa"/>
          </w:tblCellMar>
        </w:tblPrEx>
        <w:tc>
          <w:tcPr>
            <w:tcW w:w="884" w:type="dxa"/>
          </w:tcPr>
          <w:p>
            <w:pPr>
              <w:spacing w:line="360" w:lineRule="auto"/>
              <w:ind w:left="0" w:firstLine="0"/>
            </w:pPr>
            <w:r>
              <w:rPr>
                <w:rFonts w:hint="eastAsia"/>
              </w:rPr>
              <w:t>1.4</w:t>
            </w:r>
          </w:p>
        </w:tc>
        <w:tc>
          <w:tcPr>
            <w:tcW w:w="7396" w:type="dxa"/>
          </w:tcPr>
          <w:p>
            <w:pPr>
              <w:spacing w:line="360" w:lineRule="auto"/>
              <w:ind w:left="0" w:firstLine="0"/>
            </w:pPr>
            <w:r>
              <w:t>补充</w:t>
            </w:r>
            <w:r>
              <w:rPr>
                <w:rFonts w:hint="eastAsia"/>
              </w:rPr>
              <w:t>子目的子目特征、计量单位、</w:t>
            </w:r>
            <w:r>
              <w:t>工程量计算规则及工作内容说明</w:t>
            </w:r>
            <w:r>
              <w:rPr>
                <w:rFonts w:hint="eastAsia"/>
              </w:rPr>
              <w:t>如下</w:t>
            </w:r>
            <w:r>
              <w:t>：</w:t>
            </w:r>
            <w:r>
              <w:rPr>
                <w:rFonts w:hint="eastAsia"/>
              </w:rPr>
              <w:t xml:space="preserve"> 。</w:t>
            </w:r>
          </w:p>
        </w:tc>
      </w:tr>
      <w:tr>
        <w:tblPrEx>
          <w:tblCellMar>
            <w:top w:w="0" w:type="dxa"/>
            <w:left w:w="108" w:type="dxa"/>
            <w:bottom w:w="0" w:type="dxa"/>
            <w:right w:w="108" w:type="dxa"/>
          </w:tblCellMar>
        </w:tblPrEx>
        <w:tc>
          <w:tcPr>
            <w:tcW w:w="884" w:type="dxa"/>
          </w:tcPr>
          <w:p>
            <w:pPr>
              <w:spacing w:line="360" w:lineRule="auto"/>
              <w:ind w:left="0" w:firstLine="0"/>
            </w:pPr>
            <w:r>
              <w:rPr>
                <w:rFonts w:hint="eastAsia"/>
              </w:rPr>
              <w:t>1.5</w:t>
            </w:r>
          </w:p>
        </w:tc>
        <w:tc>
          <w:tcPr>
            <w:tcW w:w="7396" w:type="dxa"/>
          </w:tcPr>
          <w:p>
            <w:pPr>
              <w:spacing w:line="360" w:lineRule="auto"/>
              <w:ind w:left="0" w:firstLine="0"/>
            </w:pPr>
            <w:r>
              <w:rPr>
                <w:rFonts w:hint="eastAsia"/>
              </w:rPr>
              <w:t>本条第1.1款</w:t>
            </w:r>
            <w:r>
              <w:t>中</w:t>
            </w:r>
            <w:r>
              <w:rPr>
                <w:rFonts w:hint="eastAsia"/>
              </w:rPr>
              <w:t>约定</w:t>
            </w:r>
            <w:r>
              <w:t>的</w:t>
            </w:r>
            <w:r>
              <w:rPr>
                <w:rFonts w:hint="eastAsia"/>
              </w:rPr>
              <w:t>计量和计价</w:t>
            </w:r>
            <w:r>
              <w:t>规则适用于合同履约过程中工程量计量与价款支付、工程变更</w:t>
            </w:r>
            <w:r>
              <w:rPr>
                <w:rFonts w:hint="eastAsia"/>
              </w:rPr>
              <w:t>、索赔和</w:t>
            </w:r>
            <w:r>
              <w:t>工程结算。</w:t>
            </w:r>
          </w:p>
        </w:tc>
      </w:tr>
      <w:tr>
        <w:tblPrEx>
          <w:tblCellMar>
            <w:top w:w="0" w:type="dxa"/>
            <w:left w:w="108" w:type="dxa"/>
            <w:bottom w:w="0" w:type="dxa"/>
            <w:right w:w="108" w:type="dxa"/>
          </w:tblCellMar>
        </w:tblPrEx>
        <w:tc>
          <w:tcPr>
            <w:tcW w:w="884" w:type="dxa"/>
          </w:tcPr>
          <w:p>
            <w:pPr>
              <w:spacing w:line="360" w:lineRule="auto"/>
              <w:ind w:left="0" w:firstLine="0"/>
            </w:pPr>
            <w:r>
              <w:rPr>
                <w:rFonts w:hint="eastAsia"/>
              </w:rPr>
              <w:t>1.6</w:t>
            </w:r>
          </w:p>
        </w:tc>
        <w:tc>
          <w:tcPr>
            <w:tcW w:w="7396" w:type="dxa"/>
          </w:tcPr>
          <w:p>
            <w:pPr>
              <w:spacing w:line="360" w:lineRule="auto"/>
              <w:ind w:left="0" w:firstLine="0"/>
            </w:pPr>
            <w:r>
              <w:rPr>
                <w:rFonts w:hint="eastAsia"/>
              </w:rPr>
              <w:t>本条与下述第2条和第3条的说明内容是构成合同文件的已标价工程量清单的组成部分。</w:t>
            </w:r>
          </w:p>
        </w:tc>
      </w:tr>
      <w:tr>
        <w:tblPrEx>
          <w:tblCellMar>
            <w:top w:w="0" w:type="dxa"/>
            <w:left w:w="108" w:type="dxa"/>
            <w:bottom w:w="0" w:type="dxa"/>
            <w:right w:w="108" w:type="dxa"/>
          </w:tblCellMar>
        </w:tblPrEx>
        <w:tc>
          <w:tcPr>
            <w:tcW w:w="8280" w:type="dxa"/>
            <w:gridSpan w:val="2"/>
          </w:tcPr>
          <w:p>
            <w:pPr>
              <w:pStyle w:val="6"/>
              <w:spacing w:line="360" w:lineRule="auto"/>
              <w:rPr>
                <w:b/>
                <w:bCs/>
                <w:sz w:val="24"/>
                <w:szCs w:val="24"/>
              </w:rPr>
            </w:pPr>
            <w:bookmarkStart w:id="2700" w:name="_Toc79057560"/>
            <w:bookmarkStart w:id="2701" w:name="_Toc403059840"/>
            <w:bookmarkStart w:id="2702" w:name="_Toc241459761"/>
            <w:bookmarkStart w:id="2703" w:name="_Toc342296520"/>
            <w:bookmarkStart w:id="2704" w:name="_Toc403052898"/>
            <w:bookmarkStart w:id="2705" w:name="_Toc77206897"/>
            <w:bookmarkStart w:id="2706" w:name="_Toc362252986"/>
            <w:r>
              <w:rPr>
                <w:rFonts w:hint="eastAsia"/>
                <w:b/>
                <w:bCs/>
                <w:sz w:val="24"/>
                <w:szCs w:val="24"/>
              </w:rPr>
              <w:t>2．投标报价说明</w:t>
            </w:r>
            <w:bookmarkEnd w:id="2700"/>
            <w:bookmarkEnd w:id="2701"/>
            <w:bookmarkEnd w:id="2702"/>
            <w:bookmarkEnd w:id="2703"/>
            <w:bookmarkEnd w:id="2704"/>
            <w:bookmarkEnd w:id="2705"/>
            <w:bookmarkEnd w:id="2706"/>
          </w:p>
        </w:tc>
      </w:tr>
      <w:tr>
        <w:tblPrEx>
          <w:tblCellMar>
            <w:top w:w="0" w:type="dxa"/>
            <w:left w:w="108" w:type="dxa"/>
            <w:bottom w:w="0" w:type="dxa"/>
            <w:right w:w="108" w:type="dxa"/>
          </w:tblCellMar>
        </w:tblPrEx>
        <w:tc>
          <w:tcPr>
            <w:tcW w:w="884" w:type="dxa"/>
          </w:tcPr>
          <w:p>
            <w:pPr>
              <w:spacing w:line="360" w:lineRule="auto"/>
              <w:ind w:left="0" w:firstLine="0"/>
            </w:pPr>
            <w:r>
              <w:rPr>
                <w:rFonts w:hint="eastAsia"/>
              </w:rPr>
              <w:t>2</w:t>
            </w:r>
            <w:r>
              <w:t>.1</w:t>
            </w:r>
          </w:p>
        </w:tc>
        <w:tc>
          <w:tcPr>
            <w:tcW w:w="7396" w:type="dxa"/>
          </w:tcPr>
          <w:p>
            <w:pPr>
              <w:spacing w:line="360" w:lineRule="auto"/>
              <w:ind w:left="0" w:firstLine="0"/>
            </w:pPr>
            <w:r>
              <w:t>投标报价应根据招标文件中</w:t>
            </w:r>
            <w:r>
              <w:rPr>
                <w:rFonts w:hint="eastAsia"/>
              </w:rPr>
              <w:t>的</w:t>
            </w:r>
            <w:r>
              <w:t>有关计价要求，</w:t>
            </w:r>
            <w:r>
              <w:rPr>
                <w:rFonts w:hint="eastAsia"/>
              </w:rPr>
              <w:t>并</w:t>
            </w:r>
            <w:r>
              <w:t>按照下列依据自主报价。本招标文件；现行《建设工程工程量清单计价规范》（GB50500-2013）和配套工程量计算规范（GB50854-2013～GB50862-2013）；国家或省级、行业建设主管部门颁发的计价办法；</w:t>
            </w:r>
          </w:p>
          <w:p>
            <w:pPr>
              <w:spacing w:line="360" w:lineRule="auto"/>
              <w:ind w:left="0" w:firstLine="0"/>
            </w:pPr>
            <w:r>
              <w:t>企业定额，国家或省级、行业建设主管部门颁发的计价定额；</w:t>
            </w:r>
          </w:p>
          <w:p>
            <w:pPr>
              <w:spacing w:line="360" w:lineRule="auto"/>
              <w:ind w:left="0" w:firstLine="0"/>
            </w:pPr>
            <w:r>
              <w:t>招标文件（包括工程量清单）的澄清、补充和修改文件；</w:t>
            </w:r>
          </w:p>
          <w:p>
            <w:pPr>
              <w:spacing w:line="360" w:lineRule="auto"/>
              <w:ind w:left="0" w:firstLine="0"/>
            </w:pPr>
            <w:r>
              <w:t>建设工程设计文件及相关资料；施工现场情况、工程特点及拟定的投标施工组织设计或施工方案；与建设项目相关的标准、规定等技术资料；市场价格信息或工程造价管理机构发布的工程造价信息；</w:t>
            </w:r>
          </w:p>
          <w:p>
            <w:pPr>
              <w:spacing w:line="360" w:lineRule="auto"/>
              <w:ind w:left="0" w:firstLine="0"/>
            </w:pPr>
            <w:r>
              <w:t>投标人的深化设计（如果有）；其他的相关资料</w:t>
            </w:r>
            <w:r>
              <w:rPr>
                <w:rFonts w:hint="eastAsia"/>
              </w:rPr>
              <w:t>。</w:t>
            </w:r>
          </w:p>
        </w:tc>
      </w:tr>
      <w:tr>
        <w:tblPrEx>
          <w:tblCellMar>
            <w:top w:w="0" w:type="dxa"/>
            <w:left w:w="108" w:type="dxa"/>
            <w:bottom w:w="0" w:type="dxa"/>
            <w:right w:w="108" w:type="dxa"/>
          </w:tblCellMar>
        </w:tblPrEx>
        <w:tc>
          <w:tcPr>
            <w:tcW w:w="884" w:type="dxa"/>
          </w:tcPr>
          <w:p>
            <w:pPr>
              <w:spacing w:line="360" w:lineRule="auto"/>
              <w:ind w:left="0" w:firstLine="0"/>
            </w:pPr>
            <w:r>
              <w:rPr>
                <w:rFonts w:hint="eastAsia"/>
              </w:rPr>
              <w:t>2</w:t>
            </w:r>
            <w:r>
              <w:t>.</w:t>
            </w:r>
            <w:r>
              <w:rPr>
                <w:rFonts w:hint="eastAsia"/>
              </w:rPr>
              <w:t>2</w:t>
            </w:r>
          </w:p>
        </w:tc>
        <w:tc>
          <w:tcPr>
            <w:tcW w:w="7396" w:type="dxa"/>
          </w:tcPr>
          <w:p>
            <w:pPr>
              <w:spacing w:line="360" w:lineRule="auto"/>
              <w:ind w:left="0" w:firstLine="0"/>
            </w:pPr>
            <w:r>
              <w:t>工程量清单中的每一</w:t>
            </w:r>
            <w:r>
              <w:rPr>
                <w:rFonts w:hint="eastAsia"/>
              </w:rPr>
              <w:t>子目</w:t>
            </w:r>
            <w:r>
              <w:t>须填入单价或价格，且只允许有一个报价。</w:t>
            </w:r>
          </w:p>
        </w:tc>
      </w:tr>
      <w:tr>
        <w:tblPrEx>
          <w:tblCellMar>
            <w:top w:w="0" w:type="dxa"/>
            <w:left w:w="108" w:type="dxa"/>
            <w:bottom w:w="0" w:type="dxa"/>
            <w:right w:w="108" w:type="dxa"/>
          </w:tblCellMar>
        </w:tblPrEx>
        <w:tc>
          <w:tcPr>
            <w:tcW w:w="884" w:type="dxa"/>
          </w:tcPr>
          <w:p>
            <w:pPr>
              <w:spacing w:line="360" w:lineRule="auto"/>
              <w:ind w:left="0" w:firstLine="0"/>
            </w:pPr>
            <w:r>
              <w:rPr>
                <w:rFonts w:hint="eastAsia"/>
              </w:rPr>
              <w:t>2.3</w:t>
            </w:r>
          </w:p>
        </w:tc>
        <w:tc>
          <w:tcPr>
            <w:tcW w:w="7396" w:type="dxa"/>
          </w:tcPr>
          <w:p>
            <w:pPr>
              <w:spacing w:line="360" w:lineRule="auto"/>
              <w:ind w:left="0" w:firstLine="0"/>
            </w:pPr>
            <w:r>
              <w:t>工程量清单中的单价或金额，应包括所需人工费、材料费、施工机械使用费</w:t>
            </w:r>
            <w:r>
              <w:rPr>
                <w:rFonts w:hint="eastAsia"/>
              </w:rPr>
              <w:t>和企业</w:t>
            </w:r>
            <w:r>
              <w:t>管理费</w:t>
            </w:r>
            <w:r>
              <w:rPr>
                <w:rFonts w:hint="eastAsia"/>
              </w:rPr>
              <w:t>及</w:t>
            </w:r>
            <w:r>
              <w:t>利润</w:t>
            </w:r>
            <w:r>
              <w:rPr>
                <w:rFonts w:hint="eastAsia"/>
              </w:rPr>
              <w:t>，以及一定范围内的风险费用</w:t>
            </w:r>
            <w:r>
              <w:t>。</w:t>
            </w:r>
            <w:r>
              <w:rPr>
                <w:rFonts w:hint="eastAsia"/>
              </w:rPr>
              <w:t>所谓“一定范围内的风险”是指合同约定的风险。</w:t>
            </w:r>
          </w:p>
        </w:tc>
      </w:tr>
      <w:tr>
        <w:tblPrEx>
          <w:tblCellMar>
            <w:top w:w="0" w:type="dxa"/>
            <w:left w:w="108" w:type="dxa"/>
            <w:bottom w:w="0" w:type="dxa"/>
            <w:right w:w="108" w:type="dxa"/>
          </w:tblCellMar>
        </w:tblPrEx>
        <w:tc>
          <w:tcPr>
            <w:tcW w:w="884" w:type="dxa"/>
          </w:tcPr>
          <w:p>
            <w:pPr>
              <w:spacing w:line="360" w:lineRule="auto"/>
              <w:ind w:left="0" w:firstLine="0"/>
            </w:pPr>
            <w:r>
              <w:rPr>
                <w:rFonts w:hint="eastAsia"/>
              </w:rPr>
              <w:t>2.4</w:t>
            </w:r>
          </w:p>
        </w:tc>
        <w:tc>
          <w:tcPr>
            <w:tcW w:w="7396" w:type="dxa"/>
          </w:tcPr>
          <w:p>
            <w:pPr>
              <w:spacing w:line="360" w:lineRule="auto"/>
              <w:ind w:left="0" w:firstLine="0"/>
            </w:pPr>
            <w:r>
              <w:rPr>
                <w:rFonts w:hint="eastAsia"/>
              </w:rPr>
              <w:t>已标价</w:t>
            </w:r>
            <w:r>
              <w:t>工程量清单中投标人没有填入单价或价格的</w:t>
            </w:r>
            <w:r>
              <w:rPr>
                <w:rFonts w:hint="eastAsia"/>
              </w:rPr>
              <w:t>子目</w:t>
            </w:r>
            <w:r>
              <w:t>，其费用视为已分摊在工程量清单中其他</w:t>
            </w:r>
            <w:r>
              <w:rPr>
                <w:rFonts w:hint="eastAsia"/>
              </w:rPr>
              <w:t>已标价的</w:t>
            </w:r>
            <w:r>
              <w:t>相关</w:t>
            </w:r>
            <w:r>
              <w:rPr>
                <w:rFonts w:hint="eastAsia"/>
              </w:rPr>
              <w:t>子目</w:t>
            </w:r>
            <w:r>
              <w:t>的单价或价格之中。</w:t>
            </w:r>
          </w:p>
        </w:tc>
      </w:tr>
      <w:tr>
        <w:tblPrEx>
          <w:tblCellMar>
            <w:top w:w="0" w:type="dxa"/>
            <w:left w:w="108" w:type="dxa"/>
            <w:bottom w:w="0" w:type="dxa"/>
            <w:right w:w="108" w:type="dxa"/>
          </w:tblCellMar>
        </w:tblPrEx>
        <w:tc>
          <w:tcPr>
            <w:tcW w:w="884" w:type="dxa"/>
          </w:tcPr>
          <w:p>
            <w:pPr>
              <w:spacing w:line="360" w:lineRule="auto"/>
              <w:ind w:left="0" w:firstLine="0"/>
            </w:pPr>
            <w:r>
              <w:rPr>
                <w:rFonts w:hint="eastAsia"/>
              </w:rPr>
              <w:t>2.5</w:t>
            </w:r>
          </w:p>
        </w:tc>
        <w:tc>
          <w:tcPr>
            <w:tcW w:w="7396" w:type="dxa"/>
          </w:tcPr>
          <w:p>
            <w:pPr>
              <w:spacing w:line="360" w:lineRule="auto"/>
              <w:ind w:left="0" w:firstLine="0"/>
            </w:pPr>
            <w:r>
              <w:rPr>
                <w:rFonts w:hint="eastAsia"/>
              </w:rPr>
              <w:t>“投标报价汇总表”中的投标总价</w:t>
            </w:r>
            <w:r>
              <w:t>由分部分项工程费、措施项目费、其他项目费、规费和税金组成</w:t>
            </w:r>
            <w:r>
              <w:rPr>
                <w:rFonts w:hint="eastAsia"/>
              </w:rPr>
              <w:t>，并且“</w:t>
            </w:r>
            <w:r>
              <w:t>投标</w:t>
            </w:r>
            <w:r>
              <w:rPr>
                <w:rFonts w:hint="eastAsia"/>
              </w:rPr>
              <w:t>报价汇总表”中的投标总价</w:t>
            </w:r>
            <w:r>
              <w:t>应当与</w:t>
            </w:r>
            <w:r>
              <w:rPr>
                <w:rFonts w:hint="eastAsia"/>
              </w:rPr>
              <w:t>构成已标价</w:t>
            </w:r>
            <w:r>
              <w:t>工程量清单的分部分项工程费、措施项目费、其他项目费</w:t>
            </w:r>
            <w:r>
              <w:rPr>
                <w:rFonts w:hint="eastAsia"/>
              </w:rPr>
              <w:t>、</w:t>
            </w:r>
            <w:r>
              <w:t>规费、税金的合计金额一致。</w:t>
            </w:r>
          </w:p>
        </w:tc>
      </w:tr>
      <w:tr>
        <w:tblPrEx>
          <w:tblCellMar>
            <w:top w:w="0" w:type="dxa"/>
            <w:left w:w="108" w:type="dxa"/>
            <w:bottom w:w="0" w:type="dxa"/>
            <w:right w:w="108" w:type="dxa"/>
          </w:tblCellMar>
        </w:tblPrEx>
        <w:tc>
          <w:tcPr>
            <w:tcW w:w="884" w:type="dxa"/>
          </w:tcPr>
          <w:p>
            <w:pPr>
              <w:spacing w:line="360" w:lineRule="auto"/>
              <w:ind w:left="0" w:firstLine="0"/>
            </w:pPr>
            <w:r>
              <w:rPr>
                <w:rFonts w:hint="eastAsia"/>
              </w:rPr>
              <w:t>2.6</w:t>
            </w:r>
          </w:p>
        </w:tc>
        <w:tc>
          <w:tcPr>
            <w:tcW w:w="7396" w:type="dxa"/>
          </w:tcPr>
          <w:p>
            <w:pPr>
              <w:spacing w:line="360" w:lineRule="auto"/>
              <w:ind w:left="0" w:firstLine="0"/>
            </w:pPr>
            <w:r>
              <w:rPr>
                <w:rFonts w:hint="eastAsia"/>
              </w:rPr>
              <w:t>分部分项工程和单价措施项目按下列要求报价：</w:t>
            </w:r>
          </w:p>
        </w:tc>
      </w:tr>
      <w:tr>
        <w:tblPrEx>
          <w:tblCellMar>
            <w:top w:w="0" w:type="dxa"/>
            <w:left w:w="108" w:type="dxa"/>
            <w:bottom w:w="0" w:type="dxa"/>
            <w:right w:w="108" w:type="dxa"/>
          </w:tblCellMar>
        </w:tblPrEx>
        <w:tc>
          <w:tcPr>
            <w:tcW w:w="884" w:type="dxa"/>
          </w:tcPr>
          <w:p>
            <w:pPr>
              <w:spacing w:line="360" w:lineRule="auto"/>
              <w:ind w:left="0" w:firstLine="0"/>
            </w:pPr>
            <w:r>
              <w:rPr>
                <w:rFonts w:hint="eastAsia"/>
              </w:rPr>
              <w:t>2.6.1</w:t>
            </w:r>
          </w:p>
        </w:tc>
        <w:tc>
          <w:tcPr>
            <w:tcW w:w="7396" w:type="dxa"/>
          </w:tcPr>
          <w:p>
            <w:pPr>
              <w:spacing w:line="360" w:lineRule="auto"/>
              <w:ind w:left="0" w:firstLine="0"/>
            </w:pPr>
            <w:r>
              <w:t>分部分项工程</w:t>
            </w:r>
            <w:r>
              <w:rPr>
                <w:rFonts w:hint="eastAsia"/>
              </w:rPr>
              <w:t>和单价措施</w:t>
            </w:r>
            <w:r>
              <w:t>清单</w:t>
            </w:r>
            <w:r>
              <w:rPr>
                <w:rFonts w:hint="eastAsia"/>
              </w:rPr>
              <w:t>项目计价</w:t>
            </w:r>
            <w:r>
              <w:t>应依据</w:t>
            </w:r>
            <w:r>
              <w:rPr>
                <w:rFonts w:hint="eastAsia"/>
              </w:rPr>
              <w:t>计价计量规范中关于</w:t>
            </w:r>
            <w:r>
              <w:t>综合单价的组成内容确定报价。</w:t>
            </w:r>
          </w:p>
        </w:tc>
      </w:tr>
      <w:tr>
        <w:tblPrEx>
          <w:tblCellMar>
            <w:top w:w="0" w:type="dxa"/>
            <w:left w:w="108" w:type="dxa"/>
            <w:bottom w:w="0" w:type="dxa"/>
            <w:right w:w="108" w:type="dxa"/>
          </w:tblCellMar>
        </w:tblPrEx>
        <w:tc>
          <w:tcPr>
            <w:tcW w:w="884" w:type="dxa"/>
          </w:tcPr>
          <w:p>
            <w:pPr>
              <w:spacing w:line="360" w:lineRule="auto"/>
              <w:ind w:left="0" w:firstLine="0"/>
            </w:pPr>
            <w:r>
              <w:rPr>
                <w:rFonts w:hint="eastAsia"/>
              </w:rPr>
              <w:t>2.6.2</w:t>
            </w:r>
          </w:p>
        </w:tc>
        <w:tc>
          <w:tcPr>
            <w:tcW w:w="7396" w:type="dxa"/>
          </w:tcPr>
          <w:p>
            <w:pPr>
              <w:spacing w:line="360" w:lineRule="auto"/>
              <w:ind w:left="0" w:firstLine="0"/>
            </w:pPr>
            <w:r>
              <w:rPr>
                <w:rFonts w:hint="eastAsia"/>
              </w:rPr>
              <w:t>如果</w:t>
            </w:r>
            <w:r>
              <w:t>分部分项工程</w:t>
            </w:r>
            <w:r>
              <w:rPr>
                <w:rFonts w:hint="eastAsia"/>
              </w:rPr>
              <w:t>和单价措施项目</w:t>
            </w:r>
            <w:r>
              <w:t>清单</w:t>
            </w:r>
            <w:r>
              <w:rPr>
                <w:rFonts w:hint="eastAsia"/>
              </w:rPr>
              <w:t>中涉及“材料和工程设备暂估价表”</w:t>
            </w:r>
            <w:r>
              <w:t>中列出</w:t>
            </w:r>
            <w:r>
              <w:rPr>
                <w:rFonts w:hint="eastAsia"/>
              </w:rPr>
              <w:t>的</w:t>
            </w:r>
            <w:r>
              <w:t>材料</w:t>
            </w:r>
            <w:r>
              <w:rPr>
                <w:rFonts w:hint="eastAsia"/>
              </w:rPr>
              <w:t>和工程设备</w:t>
            </w:r>
            <w:r>
              <w:t>，</w:t>
            </w:r>
            <w:r>
              <w:rPr>
                <w:rFonts w:hint="eastAsia"/>
              </w:rPr>
              <w:t>则按照本节第3.3.2项的报价原则，将该类材料和工程设备的暂估单价本身以及除对应的规费及税金以外的费用</w:t>
            </w:r>
            <w:r>
              <w:t>计入分部分项工程</w:t>
            </w:r>
            <w:r>
              <w:rPr>
                <w:rFonts w:hint="eastAsia"/>
              </w:rPr>
              <w:t>和单价措施</w:t>
            </w:r>
            <w:r>
              <w:t>清单</w:t>
            </w:r>
            <w:r>
              <w:rPr>
                <w:rFonts w:hint="eastAsia"/>
              </w:rPr>
              <w:t>相应子目的</w:t>
            </w:r>
            <w:r>
              <w:t>综合单价</w:t>
            </w:r>
            <w:r>
              <w:rPr>
                <w:rFonts w:hint="eastAsia"/>
              </w:rPr>
              <w:t>。</w:t>
            </w:r>
          </w:p>
        </w:tc>
      </w:tr>
      <w:tr>
        <w:tblPrEx>
          <w:tblCellMar>
            <w:top w:w="0" w:type="dxa"/>
            <w:left w:w="108" w:type="dxa"/>
            <w:bottom w:w="0" w:type="dxa"/>
            <w:right w:w="108" w:type="dxa"/>
          </w:tblCellMar>
        </w:tblPrEx>
        <w:tc>
          <w:tcPr>
            <w:tcW w:w="884" w:type="dxa"/>
          </w:tcPr>
          <w:p>
            <w:pPr>
              <w:spacing w:line="360" w:lineRule="auto"/>
              <w:ind w:left="0" w:firstLine="0"/>
            </w:pPr>
            <w:r>
              <w:rPr>
                <w:rFonts w:hint="eastAsia"/>
              </w:rPr>
              <w:t>2.6.3</w:t>
            </w:r>
          </w:p>
        </w:tc>
        <w:tc>
          <w:tcPr>
            <w:tcW w:w="7396" w:type="dxa"/>
          </w:tcPr>
          <w:p>
            <w:pPr>
              <w:spacing w:line="360" w:lineRule="auto"/>
              <w:ind w:left="0" w:firstLine="0"/>
            </w:pPr>
            <w:r>
              <w:rPr>
                <w:rFonts w:hint="eastAsia"/>
              </w:rPr>
              <w:t>如果分部分项工程和单价措施项目清单中涉及“承包人提供的材料和工程设备一览表”（见第四章合同条款及格式第三节附件三）中列出的材料和工程设备，则该类材料和工程设备供应至现场指定位置的采购供应价本身不计入投标报价，但应将该类材料和工程设备</w:t>
            </w:r>
            <w:r>
              <w:t>的安装、安装所</w:t>
            </w:r>
            <w:r>
              <w:rPr>
                <w:rFonts w:hint="eastAsia"/>
              </w:rPr>
              <w:t>需要</w:t>
            </w:r>
            <w:r>
              <w:t>的辅助材料、</w:t>
            </w:r>
            <w:r>
              <w:rPr>
                <w:rFonts w:hint="eastAsia"/>
              </w:rPr>
              <w:t>安装损耗</w:t>
            </w:r>
            <w:r>
              <w:t>以及其他必要的辅助工作</w:t>
            </w:r>
            <w:r>
              <w:rPr>
                <w:rFonts w:hint="eastAsia"/>
              </w:rPr>
              <w:t>及其对应的企业管理费及利润计入分部分项工程和单价措施项目</w:t>
            </w:r>
            <w:r>
              <w:t>清单</w:t>
            </w:r>
            <w:r>
              <w:rPr>
                <w:rFonts w:hint="eastAsia"/>
              </w:rPr>
              <w:t>相应子目的</w:t>
            </w:r>
            <w:r>
              <w:t>综合单价</w:t>
            </w:r>
            <w:r>
              <w:rPr>
                <w:rFonts w:hint="eastAsia"/>
              </w:rPr>
              <w:t>，并在其他项目清单报价中计取与合同约定服务内容相对应的配合服务费。</w:t>
            </w:r>
          </w:p>
        </w:tc>
      </w:tr>
      <w:tr>
        <w:tblPrEx>
          <w:tblCellMar>
            <w:top w:w="0" w:type="dxa"/>
            <w:left w:w="108" w:type="dxa"/>
            <w:bottom w:w="0" w:type="dxa"/>
            <w:right w:w="108" w:type="dxa"/>
          </w:tblCellMar>
        </w:tblPrEx>
        <w:tc>
          <w:tcPr>
            <w:tcW w:w="884" w:type="dxa"/>
          </w:tcPr>
          <w:p>
            <w:pPr>
              <w:spacing w:line="360" w:lineRule="auto"/>
              <w:ind w:left="0" w:firstLine="0"/>
            </w:pPr>
            <w:r>
              <w:rPr>
                <w:rFonts w:hint="eastAsia"/>
              </w:rPr>
              <w:t>2.6.4</w:t>
            </w:r>
          </w:p>
        </w:tc>
        <w:tc>
          <w:tcPr>
            <w:tcW w:w="7396" w:type="dxa"/>
          </w:tcPr>
          <w:p>
            <w:pPr>
              <w:spacing w:line="360" w:lineRule="auto"/>
              <w:ind w:left="0" w:firstLine="0"/>
            </w:pPr>
            <w:r>
              <w:rPr>
                <w:rFonts w:hint="eastAsia"/>
              </w:rPr>
              <w:t>“</w:t>
            </w:r>
            <w:r>
              <w:t>分部分项</w:t>
            </w:r>
            <w:r>
              <w:rPr>
                <w:rFonts w:hint="eastAsia"/>
              </w:rPr>
              <w:t>工程和单价措施项目</w:t>
            </w:r>
            <w:r>
              <w:t>清单</w:t>
            </w:r>
            <w:r>
              <w:rPr>
                <w:rFonts w:hint="eastAsia"/>
              </w:rPr>
              <w:t>与</w:t>
            </w:r>
            <w:r>
              <w:t>计</w:t>
            </w:r>
            <w:r>
              <w:rPr>
                <w:rFonts w:hint="eastAsia"/>
              </w:rPr>
              <w:t>价表”</w:t>
            </w:r>
            <w:r>
              <w:t>所列各</w:t>
            </w:r>
            <w:r>
              <w:rPr>
                <w:rFonts w:hint="eastAsia"/>
              </w:rPr>
              <w:t>子目</w:t>
            </w:r>
            <w:r>
              <w:t>的</w:t>
            </w:r>
            <w:r>
              <w:rPr>
                <w:rFonts w:hint="eastAsia"/>
              </w:rPr>
              <w:t>综合单价</w:t>
            </w:r>
            <w:r>
              <w:t>组成中，各</w:t>
            </w:r>
            <w:r>
              <w:rPr>
                <w:rFonts w:hint="eastAsia"/>
              </w:rPr>
              <w:t>子目</w:t>
            </w:r>
            <w:r>
              <w:t>的</w:t>
            </w:r>
            <w:r>
              <w:rPr>
                <w:rFonts w:hint="eastAsia"/>
              </w:rPr>
              <w:t>人工、材料和机械台班</w:t>
            </w:r>
            <w:r>
              <w:t>消耗量由</w:t>
            </w:r>
            <w:r>
              <w:rPr>
                <w:rFonts w:hint="eastAsia"/>
              </w:rPr>
              <w:t>投标</w:t>
            </w:r>
            <w:r>
              <w:t>人按照其自身情况做充分的、竞争性考虑。</w:t>
            </w:r>
            <w:r>
              <w:rPr>
                <w:rFonts w:hint="eastAsia"/>
              </w:rPr>
              <w:t>材料</w:t>
            </w:r>
            <w:r>
              <w:t>消耗量包括损耗量。</w:t>
            </w:r>
          </w:p>
        </w:tc>
      </w:tr>
      <w:tr>
        <w:tblPrEx>
          <w:tblCellMar>
            <w:top w:w="0" w:type="dxa"/>
            <w:left w:w="108" w:type="dxa"/>
            <w:bottom w:w="0" w:type="dxa"/>
            <w:right w:w="108" w:type="dxa"/>
          </w:tblCellMar>
        </w:tblPrEx>
        <w:tc>
          <w:tcPr>
            <w:tcW w:w="884" w:type="dxa"/>
          </w:tcPr>
          <w:p>
            <w:pPr>
              <w:spacing w:line="360" w:lineRule="auto"/>
              <w:ind w:left="0" w:firstLine="0"/>
            </w:pPr>
            <w:r>
              <w:rPr>
                <w:rFonts w:hint="eastAsia"/>
              </w:rPr>
              <w:t>2.6.5</w:t>
            </w:r>
          </w:p>
        </w:tc>
        <w:tc>
          <w:tcPr>
            <w:tcW w:w="7396" w:type="dxa"/>
          </w:tcPr>
          <w:p>
            <w:pPr>
              <w:spacing w:line="360" w:lineRule="auto"/>
              <w:ind w:left="0" w:firstLine="0"/>
            </w:pPr>
            <w:r>
              <w:t>投标人在</w:t>
            </w:r>
            <w:r>
              <w:rPr>
                <w:rFonts w:hint="eastAsia"/>
              </w:rPr>
              <w:t>投标文件</w:t>
            </w:r>
            <w:r>
              <w:t>中提交并构成合同文件的</w:t>
            </w:r>
            <w:r>
              <w:rPr>
                <w:rFonts w:hint="eastAsia"/>
              </w:rPr>
              <w:t>“</w:t>
            </w:r>
            <w:r>
              <w:t>主要材料和工程设备</w:t>
            </w:r>
            <w:r>
              <w:rPr>
                <w:rFonts w:hint="eastAsia"/>
              </w:rPr>
              <w:t>选用</w:t>
            </w:r>
            <w:r>
              <w:t>表</w:t>
            </w:r>
            <w:r>
              <w:rPr>
                <w:rFonts w:hint="eastAsia"/>
              </w:rPr>
              <w:t>”</w:t>
            </w:r>
            <w:r>
              <w:t>中所列的材料和工程设备的价格</w:t>
            </w:r>
            <w:r>
              <w:rPr>
                <w:rFonts w:hint="eastAsia"/>
              </w:rPr>
              <w:t>是指</w:t>
            </w:r>
            <w:r>
              <w:t>此类材料和工程设备</w:t>
            </w:r>
            <w:r>
              <w:rPr>
                <w:rFonts w:hint="eastAsia"/>
              </w:rPr>
              <w:t>到达</w:t>
            </w:r>
            <w:r>
              <w:t>施工现场</w:t>
            </w:r>
            <w:r>
              <w:rPr>
                <w:rFonts w:hint="eastAsia"/>
              </w:rPr>
              <w:t>指定堆放地点的落地价格，即包括采购、包装、运输、装卸、堆放等到达</w:t>
            </w:r>
            <w:r>
              <w:t>施工现场</w:t>
            </w:r>
            <w:r>
              <w:rPr>
                <w:rFonts w:hint="eastAsia"/>
              </w:rPr>
              <w:t>指定落地或堆放地点之前的全部费用，但不包括落地之后发生的仓储、保管、库损以及从堆放地点运至安装地点的二次搬运费用</w:t>
            </w:r>
            <w:r>
              <w:t>。</w:t>
            </w:r>
            <w:r>
              <w:rPr>
                <w:rFonts w:hint="eastAsia"/>
              </w:rPr>
              <w:t>“</w:t>
            </w:r>
            <w:r>
              <w:t>主要材料和工程设备</w:t>
            </w:r>
            <w:r>
              <w:rPr>
                <w:rFonts w:hint="eastAsia"/>
              </w:rPr>
              <w:t>选用</w:t>
            </w:r>
            <w:r>
              <w:t>表</w:t>
            </w:r>
            <w:r>
              <w:rPr>
                <w:rFonts w:hint="eastAsia"/>
              </w:rPr>
              <w:t>”</w:t>
            </w:r>
            <w:r>
              <w:t>中所列材料和工程设备的价格应与构成综合单价相应材料</w:t>
            </w:r>
            <w:r>
              <w:rPr>
                <w:rFonts w:hint="eastAsia"/>
              </w:rPr>
              <w:t>或工程</w:t>
            </w:r>
            <w:r>
              <w:t>设备的价格一致。</w:t>
            </w:r>
            <w:r>
              <w:rPr>
                <w:rFonts w:hint="eastAsia"/>
              </w:rPr>
              <w:t>落地之后发生的仓储、保管、库损以及从堆放地点运至安装地点的二次搬运等其他费用均应在投标报价中考虑。</w:t>
            </w:r>
          </w:p>
        </w:tc>
      </w:tr>
      <w:tr>
        <w:tblPrEx>
          <w:tblCellMar>
            <w:top w:w="0" w:type="dxa"/>
            <w:left w:w="108" w:type="dxa"/>
            <w:bottom w:w="0" w:type="dxa"/>
            <w:right w:w="108" w:type="dxa"/>
          </w:tblCellMar>
        </w:tblPrEx>
        <w:tc>
          <w:tcPr>
            <w:tcW w:w="884" w:type="dxa"/>
          </w:tcPr>
          <w:p>
            <w:pPr>
              <w:spacing w:line="360" w:lineRule="auto"/>
              <w:ind w:left="0" w:firstLine="0"/>
            </w:pPr>
            <w:r>
              <w:rPr>
                <w:rFonts w:hint="eastAsia"/>
              </w:rPr>
              <w:t>2.7</w:t>
            </w:r>
          </w:p>
        </w:tc>
        <w:tc>
          <w:tcPr>
            <w:tcW w:w="7396" w:type="dxa"/>
          </w:tcPr>
          <w:p>
            <w:pPr>
              <w:spacing w:line="360" w:lineRule="auto"/>
              <w:ind w:left="0" w:firstLine="0"/>
            </w:pPr>
            <w:r>
              <w:rPr>
                <w:rFonts w:hint="eastAsia"/>
              </w:rPr>
              <w:t>总价措施项目按下列要求报价：</w:t>
            </w:r>
          </w:p>
        </w:tc>
      </w:tr>
      <w:tr>
        <w:tblPrEx>
          <w:tblCellMar>
            <w:top w:w="0" w:type="dxa"/>
            <w:left w:w="108" w:type="dxa"/>
            <w:bottom w:w="0" w:type="dxa"/>
            <w:right w:w="108" w:type="dxa"/>
          </w:tblCellMar>
        </w:tblPrEx>
        <w:tc>
          <w:tcPr>
            <w:tcW w:w="884" w:type="dxa"/>
          </w:tcPr>
          <w:p>
            <w:pPr>
              <w:spacing w:line="360" w:lineRule="auto"/>
              <w:ind w:left="0" w:firstLine="0"/>
            </w:pPr>
            <w:r>
              <w:rPr>
                <w:rFonts w:hint="eastAsia"/>
              </w:rPr>
              <w:t>2.7.1</w:t>
            </w:r>
          </w:p>
        </w:tc>
        <w:tc>
          <w:tcPr>
            <w:tcW w:w="7396" w:type="dxa"/>
          </w:tcPr>
          <w:p>
            <w:pPr>
              <w:spacing w:line="360" w:lineRule="auto"/>
              <w:ind w:left="0" w:firstLine="0"/>
            </w:pPr>
            <w:r>
              <w:rPr>
                <w:rFonts w:hint="eastAsia"/>
              </w:rPr>
              <w:t>总价</w:t>
            </w:r>
            <w:r>
              <w:t>措施项目清单计价应</w:t>
            </w:r>
            <w:r>
              <w:rPr>
                <w:rFonts w:hint="eastAsia"/>
              </w:rPr>
              <w:t>根据投标人</w:t>
            </w:r>
            <w:r>
              <w:t>的施工组织设计以“项”为单位计价</w:t>
            </w:r>
            <w:r>
              <w:rPr>
                <w:rFonts w:hint="eastAsia"/>
              </w:rPr>
              <w:t>。投标人所填报价格</w:t>
            </w:r>
            <w:r>
              <w:t>应包括除规费、税金外的全部费用。</w:t>
            </w:r>
          </w:p>
        </w:tc>
      </w:tr>
      <w:tr>
        <w:tblPrEx>
          <w:tblCellMar>
            <w:top w:w="0" w:type="dxa"/>
            <w:left w:w="108" w:type="dxa"/>
            <w:bottom w:w="0" w:type="dxa"/>
            <w:right w:w="108" w:type="dxa"/>
          </w:tblCellMar>
        </w:tblPrEx>
        <w:tc>
          <w:tcPr>
            <w:tcW w:w="884" w:type="dxa"/>
          </w:tcPr>
          <w:p>
            <w:pPr>
              <w:spacing w:line="360" w:lineRule="auto"/>
              <w:ind w:left="0" w:firstLine="0"/>
            </w:pPr>
            <w:r>
              <w:rPr>
                <w:rFonts w:hint="eastAsia"/>
              </w:rPr>
              <w:t>2.7.2</w:t>
            </w:r>
          </w:p>
        </w:tc>
        <w:tc>
          <w:tcPr>
            <w:tcW w:w="7396" w:type="dxa"/>
          </w:tcPr>
          <w:p>
            <w:pPr>
              <w:spacing w:line="360" w:lineRule="auto"/>
              <w:ind w:left="0" w:firstLine="0"/>
            </w:pPr>
            <w:r>
              <w:t>措施项目清单中的安全文明施工费应按国家、省级或行业建设主管部门的规定计价，不得作为竞争性费用。</w:t>
            </w:r>
          </w:p>
        </w:tc>
      </w:tr>
      <w:tr>
        <w:tblPrEx>
          <w:tblCellMar>
            <w:top w:w="0" w:type="dxa"/>
            <w:left w:w="108" w:type="dxa"/>
            <w:bottom w:w="0" w:type="dxa"/>
            <w:right w:w="108" w:type="dxa"/>
          </w:tblCellMar>
        </w:tblPrEx>
        <w:tc>
          <w:tcPr>
            <w:tcW w:w="884" w:type="dxa"/>
          </w:tcPr>
          <w:p>
            <w:pPr>
              <w:spacing w:line="360" w:lineRule="auto"/>
              <w:ind w:left="0" w:firstLine="0"/>
            </w:pPr>
          </w:p>
        </w:tc>
        <w:tc>
          <w:tcPr>
            <w:tcW w:w="7396" w:type="dxa"/>
          </w:tcPr>
          <w:p>
            <w:pPr>
              <w:spacing w:line="360" w:lineRule="auto"/>
              <w:ind w:left="0" w:firstLine="0"/>
            </w:pPr>
            <w:r>
              <w:rPr>
                <w:rFonts w:hint="eastAsia"/>
              </w:rPr>
              <w:t>经过测算，</w:t>
            </w:r>
            <w:r>
              <w:t>国家、省级或行业建设主管部门的规定</w:t>
            </w:r>
            <w:r>
              <w:rPr>
                <w:rFonts w:hint="eastAsia"/>
              </w:rPr>
              <w:t>的费率不能满足</w:t>
            </w:r>
            <w:r>
              <w:t>安全文明施工</w:t>
            </w:r>
            <w:r>
              <w:rPr>
                <w:rFonts w:hint="eastAsia"/>
              </w:rPr>
              <w:t>措施所需费用（特别是扬尘治理、建筑垃圾堆放、清运和消纳以及减少污染等进行环境保护所需费用的投入，所造成的</w:t>
            </w:r>
            <w:r>
              <w:t>安全文明施工</w:t>
            </w:r>
            <w:r>
              <w:rPr>
                <w:rFonts w:hint="eastAsia"/>
              </w:rPr>
              <w:t>措施费用的增加），投标人应当根据实际情况填报相应费用。</w:t>
            </w:r>
          </w:p>
        </w:tc>
      </w:tr>
      <w:tr>
        <w:tblPrEx>
          <w:tblCellMar>
            <w:top w:w="0" w:type="dxa"/>
            <w:left w:w="108" w:type="dxa"/>
            <w:bottom w:w="0" w:type="dxa"/>
            <w:right w:w="108" w:type="dxa"/>
          </w:tblCellMar>
        </w:tblPrEx>
        <w:tc>
          <w:tcPr>
            <w:tcW w:w="884" w:type="dxa"/>
          </w:tcPr>
          <w:p>
            <w:pPr>
              <w:spacing w:line="360" w:lineRule="auto"/>
              <w:ind w:left="0" w:firstLine="0"/>
            </w:pPr>
            <w:r>
              <w:rPr>
                <w:rFonts w:hint="eastAsia"/>
              </w:rPr>
              <w:t>2.7.3</w:t>
            </w:r>
          </w:p>
        </w:tc>
        <w:tc>
          <w:tcPr>
            <w:tcW w:w="7396" w:type="dxa"/>
          </w:tcPr>
          <w:p>
            <w:pPr>
              <w:spacing w:line="360" w:lineRule="auto"/>
              <w:ind w:left="0" w:firstLine="0"/>
            </w:pPr>
            <w:r>
              <w:t>招标人提供的</w:t>
            </w:r>
            <w:r>
              <w:rPr>
                <w:rFonts w:hint="eastAsia"/>
              </w:rPr>
              <w:t>总价</w:t>
            </w:r>
            <w:r>
              <w:t>措施项目清单</w:t>
            </w:r>
            <w:r>
              <w:rPr>
                <w:rFonts w:hint="eastAsia"/>
              </w:rPr>
              <w:t>与计价表</w:t>
            </w:r>
            <w:r>
              <w:t>中所列项目仅指一般的通用项目，投标人在报价时应充分、全面地阅读和理解招标文件的</w:t>
            </w:r>
            <w:r>
              <w:rPr>
                <w:rFonts w:hint="eastAsia"/>
              </w:rPr>
              <w:t>相关</w:t>
            </w:r>
            <w:r>
              <w:t>内容</w:t>
            </w:r>
            <w:r>
              <w:rPr>
                <w:rFonts w:hint="eastAsia"/>
              </w:rPr>
              <w:t>和约定，包括第七章“技术标准和要求”的相关约定，</w:t>
            </w:r>
            <w:r>
              <w:t>详实了解工程场地及其周围环境，充分考虑</w:t>
            </w:r>
            <w:r>
              <w:rPr>
                <w:rFonts w:hint="eastAsia"/>
              </w:rPr>
              <w:t>招标</w:t>
            </w:r>
            <w:r>
              <w:t>工程特点及拟定的</w:t>
            </w:r>
            <w:r>
              <w:rPr>
                <w:rFonts w:hint="eastAsia"/>
              </w:rPr>
              <w:t>施工方案和</w:t>
            </w:r>
            <w:r>
              <w:t>施工组织设计，对</w:t>
            </w:r>
            <w:r>
              <w:rPr>
                <w:rFonts w:hint="eastAsia"/>
              </w:rPr>
              <w:t>招标人给出的总价</w:t>
            </w:r>
            <w:r>
              <w:t>措施项目清单的内容进行细化</w:t>
            </w:r>
            <w:r>
              <w:rPr>
                <w:rFonts w:hint="eastAsia"/>
              </w:rPr>
              <w:t>或</w:t>
            </w:r>
            <w:r>
              <w:t>增</w:t>
            </w:r>
            <w:r>
              <w:rPr>
                <w:rFonts w:hint="eastAsia"/>
              </w:rPr>
              <w:t>补</w:t>
            </w:r>
            <w:r>
              <w:t>。</w:t>
            </w:r>
          </w:p>
        </w:tc>
      </w:tr>
      <w:tr>
        <w:tblPrEx>
          <w:tblCellMar>
            <w:top w:w="0" w:type="dxa"/>
            <w:left w:w="108" w:type="dxa"/>
            <w:bottom w:w="0" w:type="dxa"/>
            <w:right w:w="108" w:type="dxa"/>
          </w:tblCellMar>
        </w:tblPrEx>
        <w:tc>
          <w:tcPr>
            <w:tcW w:w="884" w:type="dxa"/>
          </w:tcPr>
          <w:p>
            <w:pPr>
              <w:spacing w:line="360" w:lineRule="auto"/>
              <w:ind w:left="0" w:firstLine="0"/>
            </w:pPr>
            <w:r>
              <w:rPr>
                <w:rFonts w:hint="eastAsia"/>
              </w:rPr>
              <w:t>2.7.4</w:t>
            </w:r>
          </w:p>
        </w:tc>
        <w:tc>
          <w:tcPr>
            <w:tcW w:w="7396" w:type="dxa"/>
          </w:tcPr>
          <w:p>
            <w:pPr>
              <w:spacing w:line="360" w:lineRule="auto"/>
              <w:ind w:left="0" w:firstLine="0"/>
            </w:pPr>
            <w:r>
              <w:rPr>
                <w:rFonts w:hint="eastAsia"/>
              </w:rPr>
              <w:t>“总价</w:t>
            </w:r>
            <w:r>
              <w:t>措施项目清单</w:t>
            </w:r>
            <w:r>
              <w:rPr>
                <w:rFonts w:hint="eastAsia"/>
              </w:rPr>
              <w:t>与</w:t>
            </w:r>
            <w:r>
              <w:t>计价表</w:t>
            </w:r>
            <w:r>
              <w:rPr>
                <w:rFonts w:hint="eastAsia"/>
              </w:rPr>
              <w:t>”</w:t>
            </w:r>
            <w:r>
              <w:t>中所填写的报价金额，应</w:t>
            </w:r>
            <w:r>
              <w:rPr>
                <w:rFonts w:hint="eastAsia"/>
              </w:rPr>
              <w:t>全面</w:t>
            </w:r>
            <w:r>
              <w:t>涵盖</w:t>
            </w:r>
            <w:r>
              <w:rPr>
                <w:rFonts w:hint="eastAsia"/>
              </w:rPr>
              <w:t>招标</w:t>
            </w:r>
            <w:r>
              <w:t>文件约定</w:t>
            </w:r>
            <w:r>
              <w:rPr>
                <w:rFonts w:hint="eastAsia"/>
              </w:rPr>
              <w:t>的</w:t>
            </w:r>
            <w:r>
              <w:t>投标人中标后施</w:t>
            </w:r>
            <w:r>
              <w:rPr>
                <w:rFonts w:hint="eastAsia"/>
              </w:rPr>
              <w:t>工</w:t>
            </w:r>
            <w:r>
              <w:t>、</w:t>
            </w:r>
            <w:r>
              <w:rPr>
                <w:rFonts w:hint="eastAsia"/>
              </w:rPr>
              <w:t>完工、交付本分包</w:t>
            </w:r>
            <w:r>
              <w:t>工程并</w:t>
            </w:r>
            <w:r>
              <w:rPr>
                <w:rFonts w:hint="eastAsia"/>
              </w:rPr>
              <w:t>在缺陷责任期和保修期内维</w:t>
            </w:r>
            <w:r>
              <w:t>修</w:t>
            </w:r>
            <w:r>
              <w:rPr>
                <w:rFonts w:hint="eastAsia"/>
              </w:rPr>
              <w:t>其任何</w:t>
            </w:r>
            <w:r>
              <w:t>缺陷所需要</w:t>
            </w:r>
            <w:r>
              <w:rPr>
                <w:rFonts w:hint="eastAsia"/>
              </w:rPr>
              <w:t>履行的责任和义务的全部</w:t>
            </w:r>
            <w:r>
              <w:t>费用。</w:t>
            </w:r>
          </w:p>
        </w:tc>
      </w:tr>
      <w:tr>
        <w:tblPrEx>
          <w:tblCellMar>
            <w:top w:w="0" w:type="dxa"/>
            <w:left w:w="108" w:type="dxa"/>
            <w:bottom w:w="0" w:type="dxa"/>
            <w:right w:w="108" w:type="dxa"/>
          </w:tblCellMar>
        </w:tblPrEx>
        <w:tc>
          <w:tcPr>
            <w:tcW w:w="884" w:type="dxa"/>
          </w:tcPr>
          <w:p>
            <w:pPr>
              <w:spacing w:line="360" w:lineRule="auto"/>
              <w:ind w:left="0" w:firstLine="0"/>
            </w:pPr>
            <w:r>
              <w:rPr>
                <w:rFonts w:hint="eastAsia"/>
              </w:rPr>
              <w:t>2.7.5</w:t>
            </w:r>
          </w:p>
        </w:tc>
        <w:tc>
          <w:tcPr>
            <w:tcW w:w="7396" w:type="dxa"/>
          </w:tcPr>
          <w:p>
            <w:pPr>
              <w:spacing w:line="360" w:lineRule="auto"/>
              <w:ind w:left="0" w:firstLine="0"/>
            </w:pPr>
            <w:r>
              <w:rPr>
                <w:rFonts w:hint="eastAsia"/>
              </w:rPr>
              <w:t>对于“总价</w:t>
            </w:r>
            <w:r>
              <w:t>措施项目清单</w:t>
            </w:r>
            <w:r>
              <w:rPr>
                <w:rFonts w:hint="eastAsia"/>
              </w:rPr>
              <w:t>与</w:t>
            </w:r>
            <w:r>
              <w:t>计价表</w:t>
            </w:r>
            <w:r>
              <w:rPr>
                <w:rFonts w:hint="eastAsia"/>
              </w:rPr>
              <w:t>”</w:t>
            </w:r>
            <w:r>
              <w:t>中</w:t>
            </w:r>
            <w:r>
              <w:rPr>
                <w:rFonts w:hint="eastAsia"/>
              </w:rPr>
              <w:t>所填写的报价金额，应</w:t>
            </w:r>
            <w:r>
              <w:t>按照</w:t>
            </w:r>
            <w:r>
              <w:rPr>
                <w:rFonts w:hint="eastAsia"/>
              </w:rPr>
              <w:t>“总价</w:t>
            </w:r>
            <w:r>
              <w:t>措施项目</w:t>
            </w:r>
            <w:r>
              <w:rPr>
                <w:rFonts w:hint="eastAsia"/>
              </w:rPr>
              <w:t>清单报价</w:t>
            </w:r>
            <w:r>
              <w:t>分析表</w:t>
            </w:r>
            <w:r>
              <w:rPr>
                <w:rFonts w:hint="eastAsia"/>
              </w:rPr>
              <w:t>”</w:t>
            </w:r>
            <w:r>
              <w:t>对措施项目</w:t>
            </w:r>
            <w:r>
              <w:rPr>
                <w:rFonts w:hint="eastAsia"/>
              </w:rPr>
              <w:t>报价</w:t>
            </w:r>
            <w:r>
              <w:t>的组成进行详细的列项和分析。</w:t>
            </w:r>
          </w:p>
        </w:tc>
      </w:tr>
      <w:tr>
        <w:tblPrEx>
          <w:tblCellMar>
            <w:top w:w="0" w:type="dxa"/>
            <w:left w:w="108" w:type="dxa"/>
            <w:bottom w:w="0" w:type="dxa"/>
            <w:right w:w="108" w:type="dxa"/>
          </w:tblCellMar>
        </w:tblPrEx>
        <w:tc>
          <w:tcPr>
            <w:tcW w:w="884" w:type="dxa"/>
          </w:tcPr>
          <w:p>
            <w:pPr>
              <w:spacing w:line="360" w:lineRule="auto"/>
              <w:ind w:left="0" w:firstLine="0"/>
            </w:pPr>
            <w:r>
              <w:rPr>
                <w:rFonts w:hint="eastAsia"/>
              </w:rPr>
              <w:t>2.8</w:t>
            </w:r>
          </w:p>
        </w:tc>
        <w:tc>
          <w:tcPr>
            <w:tcW w:w="7396" w:type="dxa"/>
          </w:tcPr>
          <w:p>
            <w:pPr>
              <w:spacing w:line="360" w:lineRule="auto"/>
              <w:ind w:left="0" w:firstLine="0"/>
            </w:pPr>
            <w:r>
              <w:t>其他项目清单费应按下列规定报价：</w:t>
            </w:r>
          </w:p>
        </w:tc>
      </w:tr>
      <w:tr>
        <w:tblPrEx>
          <w:tblCellMar>
            <w:top w:w="0" w:type="dxa"/>
            <w:left w:w="108" w:type="dxa"/>
            <w:bottom w:w="0" w:type="dxa"/>
            <w:right w:w="108" w:type="dxa"/>
          </w:tblCellMar>
        </w:tblPrEx>
        <w:tc>
          <w:tcPr>
            <w:tcW w:w="884" w:type="dxa"/>
          </w:tcPr>
          <w:p>
            <w:pPr>
              <w:spacing w:line="360" w:lineRule="auto"/>
              <w:ind w:left="0" w:firstLine="0"/>
            </w:pPr>
            <w:r>
              <w:rPr>
                <w:rFonts w:hint="eastAsia"/>
              </w:rPr>
              <w:t>2.8.1</w:t>
            </w:r>
          </w:p>
        </w:tc>
        <w:tc>
          <w:tcPr>
            <w:tcW w:w="7396" w:type="dxa"/>
          </w:tcPr>
          <w:p>
            <w:pPr>
              <w:spacing w:line="360" w:lineRule="auto"/>
              <w:ind w:left="0" w:firstLine="0"/>
            </w:pPr>
            <w:r>
              <w:t>暂列金额按</w:t>
            </w:r>
            <w:r>
              <w:rPr>
                <w:rFonts w:hint="eastAsia"/>
              </w:rPr>
              <w:t>“暂列金额明细表”</w:t>
            </w:r>
            <w:r>
              <w:t>中列出的金额</w:t>
            </w:r>
            <w:r>
              <w:rPr>
                <w:rFonts w:hint="eastAsia"/>
              </w:rPr>
              <w:t>报价，此处的暂列金额是招标人在招标文件中统一给定的，并不包括本章第2.8.3项的计日工金额。</w:t>
            </w:r>
          </w:p>
        </w:tc>
      </w:tr>
      <w:tr>
        <w:tblPrEx>
          <w:tblCellMar>
            <w:top w:w="0" w:type="dxa"/>
            <w:left w:w="108" w:type="dxa"/>
            <w:bottom w:w="0" w:type="dxa"/>
            <w:right w:w="108" w:type="dxa"/>
          </w:tblCellMar>
        </w:tblPrEx>
        <w:tc>
          <w:tcPr>
            <w:tcW w:w="884" w:type="dxa"/>
          </w:tcPr>
          <w:p>
            <w:pPr>
              <w:spacing w:line="360" w:lineRule="auto"/>
              <w:ind w:left="0" w:firstLine="0"/>
            </w:pPr>
            <w:r>
              <w:rPr>
                <w:rFonts w:hint="eastAsia"/>
              </w:rPr>
              <w:t>2.8.2</w:t>
            </w:r>
          </w:p>
        </w:tc>
        <w:tc>
          <w:tcPr>
            <w:tcW w:w="7396" w:type="dxa"/>
          </w:tcPr>
          <w:p>
            <w:pPr>
              <w:spacing w:line="360" w:lineRule="auto"/>
              <w:ind w:left="0" w:firstLine="0"/>
            </w:pPr>
            <w:r>
              <w:t>暂估价</w:t>
            </w:r>
            <w:r>
              <w:rPr>
                <w:rFonts w:hint="eastAsia"/>
              </w:rPr>
              <w:t>中的材料和工程设备暂估单价按本节第3.3.2项的报价原则进入分部分项工程和单价措施项目清单之综合单价，不在其他项目清单中汇总。</w:t>
            </w:r>
          </w:p>
        </w:tc>
      </w:tr>
      <w:tr>
        <w:tblPrEx>
          <w:tblCellMar>
            <w:top w:w="0" w:type="dxa"/>
            <w:left w:w="108" w:type="dxa"/>
            <w:bottom w:w="0" w:type="dxa"/>
            <w:right w:w="108" w:type="dxa"/>
          </w:tblCellMar>
        </w:tblPrEx>
        <w:tc>
          <w:tcPr>
            <w:tcW w:w="884" w:type="dxa"/>
          </w:tcPr>
          <w:p>
            <w:pPr>
              <w:spacing w:line="360" w:lineRule="auto"/>
              <w:ind w:left="0" w:firstLine="0"/>
            </w:pPr>
            <w:r>
              <w:t>2.8.3</w:t>
            </w:r>
          </w:p>
        </w:tc>
        <w:tc>
          <w:tcPr>
            <w:tcW w:w="7396" w:type="dxa"/>
          </w:tcPr>
          <w:p>
            <w:pPr>
              <w:spacing w:line="360" w:lineRule="auto"/>
              <w:ind w:left="0" w:firstLine="0"/>
            </w:pPr>
            <w:r>
              <w:t>计日工按“计日工表”中列出的子目和估算数量，自主确定综合单价并计算计日工金额。计日工综合单价均不包括规费和税金，其中：劳务单价应当包括工人工资、交通费用、各种补贴、劳动安全保护、社保费用、手提手动和电动工器具、施工场地内已经搭设的脚手架、水电和低值易耗品费用、企业管理费和利润；材料价格包括材料运到现场的价格以及现场搬运、仓储、二次搬运、损耗和保险；施工机械限于在施工场地（现场）的机械设备，其价格包括租赁或折旧、维修、维护和燃油等消耗品以及操作人员费用，包括分包人企业管理费和利润，但不包括规费和税金。辅助人员按劳务价格另计。</w:t>
            </w:r>
          </w:p>
        </w:tc>
      </w:tr>
      <w:tr>
        <w:tblPrEx>
          <w:tblCellMar>
            <w:top w:w="0" w:type="dxa"/>
            <w:left w:w="108" w:type="dxa"/>
            <w:bottom w:w="0" w:type="dxa"/>
            <w:right w:w="108" w:type="dxa"/>
          </w:tblCellMar>
        </w:tblPrEx>
        <w:tc>
          <w:tcPr>
            <w:tcW w:w="884" w:type="dxa"/>
          </w:tcPr>
          <w:p>
            <w:pPr>
              <w:spacing w:line="360" w:lineRule="auto"/>
              <w:ind w:left="0" w:firstLine="0"/>
            </w:pPr>
            <w:r>
              <w:rPr>
                <w:rFonts w:hint="eastAsia"/>
              </w:rPr>
              <w:t>2.8.4</w:t>
            </w:r>
          </w:p>
        </w:tc>
        <w:tc>
          <w:tcPr>
            <w:tcW w:w="7396" w:type="dxa"/>
          </w:tcPr>
          <w:p>
            <w:pPr>
              <w:spacing w:line="360" w:lineRule="auto"/>
              <w:ind w:left="0" w:firstLine="0"/>
            </w:pPr>
            <w:r>
              <w:rPr>
                <w:rFonts w:hint="eastAsia"/>
              </w:rPr>
              <w:t>配合</w:t>
            </w:r>
            <w:r>
              <w:t>服务费根据招标文件中列出的内容和要求</w:t>
            </w:r>
            <w:r>
              <w:rPr>
                <w:rFonts w:hint="eastAsia"/>
              </w:rPr>
              <w:t>，按“配合服务费计价表”所列格式</w:t>
            </w:r>
            <w:r>
              <w:t>自主</w:t>
            </w:r>
            <w:r>
              <w:rPr>
                <w:rFonts w:hint="eastAsia"/>
              </w:rPr>
              <w:t>报价。</w:t>
            </w:r>
          </w:p>
        </w:tc>
      </w:tr>
      <w:tr>
        <w:tblPrEx>
          <w:tblCellMar>
            <w:top w:w="0" w:type="dxa"/>
            <w:left w:w="108" w:type="dxa"/>
            <w:bottom w:w="0" w:type="dxa"/>
            <w:right w:w="108" w:type="dxa"/>
          </w:tblCellMar>
        </w:tblPrEx>
        <w:tc>
          <w:tcPr>
            <w:tcW w:w="884" w:type="dxa"/>
          </w:tcPr>
          <w:p>
            <w:pPr>
              <w:spacing w:line="360" w:lineRule="auto"/>
              <w:ind w:left="0" w:firstLine="0"/>
            </w:pPr>
            <w:r>
              <w:rPr>
                <w:rFonts w:hint="eastAsia"/>
              </w:rPr>
              <w:t>2.9</w:t>
            </w:r>
          </w:p>
        </w:tc>
        <w:tc>
          <w:tcPr>
            <w:tcW w:w="7396" w:type="dxa"/>
          </w:tcPr>
          <w:p>
            <w:pPr>
              <w:spacing w:line="360" w:lineRule="auto"/>
              <w:ind w:left="0" w:firstLine="0"/>
            </w:pPr>
            <w:r>
              <w:t>规费和税金应按</w:t>
            </w:r>
            <w:r>
              <w:rPr>
                <w:rFonts w:hint="eastAsia"/>
              </w:rPr>
              <w:t>“规费、税金项目清单与计价表”所列项目并根据</w:t>
            </w:r>
            <w:r>
              <w:t>国家、省级或行业建设主管部门的</w:t>
            </w:r>
            <w:r>
              <w:rPr>
                <w:rFonts w:hint="eastAsia"/>
              </w:rPr>
              <w:t>有关</w:t>
            </w:r>
            <w:r>
              <w:t>规定</w:t>
            </w:r>
            <w:r>
              <w:rPr>
                <w:rFonts w:hint="eastAsia"/>
              </w:rPr>
              <w:t>列项和</w:t>
            </w:r>
            <w:r>
              <w:t>计算，不得作为竞争性费用。</w:t>
            </w:r>
          </w:p>
        </w:tc>
      </w:tr>
      <w:tr>
        <w:tblPrEx>
          <w:tblCellMar>
            <w:top w:w="0" w:type="dxa"/>
            <w:left w:w="108" w:type="dxa"/>
            <w:bottom w:w="0" w:type="dxa"/>
            <w:right w:w="108" w:type="dxa"/>
          </w:tblCellMar>
        </w:tblPrEx>
        <w:tc>
          <w:tcPr>
            <w:tcW w:w="884" w:type="dxa"/>
          </w:tcPr>
          <w:p>
            <w:pPr>
              <w:spacing w:line="360" w:lineRule="auto"/>
              <w:ind w:left="0" w:firstLine="0"/>
            </w:pPr>
            <w:r>
              <w:rPr>
                <w:rFonts w:hint="eastAsia"/>
              </w:rPr>
              <w:t>2.10</w:t>
            </w:r>
          </w:p>
        </w:tc>
        <w:tc>
          <w:tcPr>
            <w:tcW w:w="7396" w:type="dxa"/>
          </w:tcPr>
          <w:p>
            <w:pPr>
              <w:spacing w:line="360" w:lineRule="auto"/>
              <w:ind w:left="0" w:firstLine="0"/>
            </w:pPr>
            <w:r>
              <w:t>除</w:t>
            </w:r>
            <w:r>
              <w:rPr>
                <w:rFonts w:hint="eastAsia"/>
              </w:rPr>
              <w:t>招标文件有</w:t>
            </w:r>
            <w:r>
              <w:t>强制性规定</w:t>
            </w:r>
            <w:r>
              <w:rPr>
                <w:rFonts w:hint="eastAsia"/>
              </w:rPr>
              <w:t>以及不可竞争部分以外</w:t>
            </w:r>
            <w:r>
              <w:t>，投标报价由投标人自主确定，但不得低于</w:t>
            </w:r>
            <w:r>
              <w:rPr>
                <w:rFonts w:hint="eastAsia"/>
              </w:rPr>
              <w:t>其</w:t>
            </w:r>
            <w:r>
              <w:t>成本。</w:t>
            </w:r>
          </w:p>
        </w:tc>
      </w:tr>
      <w:tr>
        <w:tblPrEx>
          <w:tblCellMar>
            <w:top w:w="0" w:type="dxa"/>
            <w:left w:w="108" w:type="dxa"/>
            <w:bottom w:w="0" w:type="dxa"/>
            <w:right w:w="108" w:type="dxa"/>
          </w:tblCellMar>
        </w:tblPrEx>
        <w:tc>
          <w:tcPr>
            <w:tcW w:w="884" w:type="dxa"/>
          </w:tcPr>
          <w:p>
            <w:pPr>
              <w:spacing w:line="360" w:lineRule="auto"/>
              <w:ind w:left="0" w:firstLine="0"/>
            </w:pPr>
            <w:r>
              <w:rPr>
                <w:rFonts w:hint="eastAsia"/>
              </w:rPr>
              <w:t>2.11</w:t>
            </w:r>
          </w:p>
        </w:tc>
        <w:tc>
          <w:tcPr>
            <w:tcW w:w="7396" w:type="dxa"/>
          </w:tcPr>
          <w:p>
            <w:pPr>
              <w:spacing w:line="360" w:lineRule="auto"/>
              <w:ind w:left="0" w:firstLine="0"/>
            </w:pPr>
            <w:r>
              <w:t>工程量清单计价所涉及的生产</w:t>
            </w:r>
            <w:r>
              <w:rPr>
                <w:rFonts w:hint="eastAsia"/>
              </w:rPr>
              <w:t>资源</w:t>
            </w:r>
            <w:r>
              <w:t>（包括各类人工、材料、工程设备、施工</w:t>
            </w:r>
            <w:r>
              <w:rPr>
                <w:rFonts w:hint="eastAsia"/>
              </w:rPr>
              <w:t>设备、临时设施、临时用水、临时用电等</w:t>
            </w:r>
            <w:r>
              <w:t>）的</w:t>
            </w:r>
            <w:r>
              <w:rPr>
                <w:rFonts w:hint="eastAsia"/>
              </w:rPr>
              <w:t>投标</w:t>
            </w:r>
            <w:r>
              <w:t>价格，应根据自身的信息渠道和采购渠道，分析</w:t>
            </w:r>
            <w:r>
              <w:rPr>
                <w:rFonts w:hint="eastAsia"/>
              </w:rPr>
              <w:t>其</w:t>
            </w:r>
            <w:r>
              <w:t>市场价格水平并判断其整个施工周期内的变化趋势，体现</w:t>
            </w:r>
            <w:r>
              <w:rPr>
                <w:rFonts w:hint="eastAsia"/>
              </w:rPr>
              <w:t>投标</w:t>
            </w:r>
            <w:r>
              <w:t>人自身的管理水平、技术水平和综合实力。</w:t>
            </w:r>
          </w:p>
        </w:tc>
      </w:tr>
      <w:tr>
        <w:tblPrEx>
          <w:tblCellMar>
            <w:top w:w="0" w:type="dxa"/>
            <w:left w:w="108" w:type="dxa"/>
            <w:bottom w:w="0" w:type="dxa"/>
            <w:right w:w="108" w:type="dxa"/>
          </w:tblCellMar>
        </w:tblPrEx>
        <w:tc>
          <w:tcPr>
            <w:tcW w:w="884" w:type="dxa"/>
          </w:tcPr>
          <w:p>
            <w:pPr>
              <w:spacing w:line="360" w:lineRule="auto"/>
              <w:ind w:left="0" w:firstLine="0"/>
            </w:pPr>
            <w:r>
              <w:rPr>
                <w:rFonts w:hint="eastAsia"/>
              </w:rPr>
              <w:t>2.12</w:t>
            </w:r>
          </w:p>
        </w:tc>
        <w:tc>
          <w:tcPr>
            <w:tcW w:w="7396" w:type="dxa"/>
          </w:tcPr>
          <w:p>
            <w:pPr>
              <w:spacing w:line="360" w:lineRule="auto"/>
              <w:ind w:left="0" w:firstLine="0"/>
            </w:pPr>
            <w:r>
              <w:rPr>
                <w:rFonts w:hint="eastAsia"/>
              </w:rPr>
              <w:t>企业</w:t>
            </w:r>
            <w:r>
              <w:t>管理费应由投标人在保证不低于其成本的基础上做竞争性考虑</w:t>
            </w:r>
            <w:r>
              <w:rPr>
                <w:rFonts w:hint="eastAsia"/>
              </w:rPr>
              <w:t>；利润</w:t>
            </w:r>
            <w:r>
              <w:t>由投标人</w:t>
            </w:r>
            <w:r>
              <w:rPr>
                <w:rFonts w:hint="eastAsia"/>
              </w:rPr>
              <w:t>根据自身情况和综合实力</w:t>
            </w:r>
            <w:r>
              <w:t>做竞争性考虑</w:t>
            </w:r>
            <w:r>
              <w:rPr>
                <w:rFonts w:hint="eastAsia"/>
              </w:rPr>
              <w:t>。</w:t>
            </w:r>
          </w:p>
        </w:tc>
      </w:tr>
      <w:tr>
        <w:tblPrEx>
          <w:tblCellMar>
            <w:top w:w="0" w:type="dxa"/>
            <w:left w:w="108" w:type="dxa"/>
            <w:bottom w:w="0" w:type="dxa"/>
            <w:right w:w="108" w:type="dxa"/>
          </w:tblCellMar>
        </w:tblPrEx>
        <w:tc>
          <w:tcPr>
            <w:tcW w:w="884" w:type="dxa"/>
          </w:tcPr>
          <w:p>
            <w:pPr>
              <w:spacing w:line="360" w:lineRule="auto"/>
              <w:ind w:left="0" w:firstLine="0"/>
            </w:pPr>
          </w:p>
        </w:tc>
        <w:tc>
          <w:tcPr>
            <w:tcW w:w="7396" w:type="dxa"/>
          </w:tcPr>
          <w:p>
            <w:pPr>
              <w:spacing w:line="360" w:lineRule="auto"/>
              <w:ind w:left="0" w:firstLine="0"/>
            </w:pPr>
            <w:r>
              <w:rPr>
                <w:rFonts w:hint="eastAsia"/>
              </w:rPr>
              <w:t>投标人在“费率报价表”中填报的费率应与“综合单价分析表”中所使用的费率一致，不一致时以“综合单价分析表”所反映的费率为准，并遵照下列原则：</w:t>
            </w:r>
          </w:p>
          <w:p>
            <w:pPr>
              <w:spacing w:line="360" w:lineRule="auto"/>
              <w:ind w:left="0" w:firstLine="0"/>
            </w:pPr>
            <w:r>
              <w:rPr>
                <w:rFonts w:hint="eastAsia"/>
              </w:rPr>
              <w:t>针对同一分部分项工程，如果分包人在已标价工程量清单中未使用统一的企业管理费费率及利润费率，在合同履行过程中需要采用已标价工程量清单中相应费率组成新增子目的综合单价时，将适用已标价工程量清单中相应分部分项工程子目单价中所采用费率的最低值，措施项目亦适用同样原则。</w:t>
            </w:r>
          </w:p>
        </w:tc>
      </w:tr>
      <w:tr>
        <w:tblPrEx>
          <w:tblCellMar>
            <w:top w:w="0" w:type="dxa"/>
            <w:left w:w="108" w:type="dxa"/>
            <w:bottom w:w="0" w:type="dxa"/>
            <w:right w:w="108" w:type="dxa"/>
          </w:tblCellMar>
        </w:tblPrEx>
        <w:tc>
          <w:tcPr>
            <w:tcW w:w="884" w:type="dxa"/>
          </w:tcPr>
          <w:p>
            <w:pPr>
              <w:spacing w:line="360" w:lineRule="auto"/>
              <w:ind w:left="0" w:firstLine="0"/>
            </w:pPr>
            <w:r>
              <w:rPr>
                <w:rFonts w:hint="eastAsia"/>
              </w:rPr>
              <w:t>2.13</w:t>
            </w:r>
          </w:p>
        </w:tc>
        <w:tc>
          <w:tcPr>
            <w:tcW w:w="7396" w:type="dxa"/>
          </w:tcPr>
          <w:p>
            <w:pPr>
              <w:spacing w:line="360" w:lineRule="auto"/>
              <w:ind w:left="0" w:firstLine="0"/>
            </w:pPr>
            <w:r>
              <w:t>投标报价中应考虑招标文件中要求投标人承担的风险</w:t>
            </w:r>
            <w:r>
              <w:rPr>
                <w:rFonts w:hint="eastAsia"/>
              </w:rPr>
              <w:t>范围以及相关的</w:t>
            </w:r>
            <w:r>
              <w:t>费用。</w:t>
            </w:r>
          </w:p>
        </w:tc>
      </w:tr>
      <w:tr>
        <w:tblPrEx>
          <w:tblCellMar>
            <w:top w:w="0" w:type="dxa"/>
            <w:left w:w="108" w:type="dxa"/>
            <w:bottom w:w="0" w:type="dxa"/>
            <w:right w:w="108" w:type="dxa"/>
          </w:tblCellMar>
        </w:tblPrEx>
        <w:tc>
          <w:tcPr>
            <w:tcW w:w="884" w:type="dxa"/>
          </w:tcPr>
          <w:p>
            <w:pPr>
              <w:spacing w:line="360" w:lineRule="auto"/>
              <w:ind w:left="0" w:firstLine="0"/>
            </w:pPr>
            <w:r>
              <w:rPr>
                <w:rFonts w:hint="eastAsia"/>
              </w:rPr>
              <w:t>2.14</w:t>
            </w:r>
          </w:p>
        </w:tc>
        <w:tc>
          <w:tcPr>
            <w:tcW w:w="7396" w:type="dxa"/>
          </w:tcPr>
          <w:p>
            <w:pPr>
              <w:spacing w:line="360" w:lineRule="auto"/>
              <w:ind w:left="0" w:firstLine="0"/>
            </w:pPr>
            <w:r>
              <w:t>投标</w:t>
            </w:r>
            <w:r>
              <w:rPr>
                <w:rFonts w:hint="eastAsia"/>
              </w:rPr>
              <w:t>总价</w:t>
            </w:r>
            <w:r>
              <w:t>为投标人在投标文件中提出的各项支付金额的总和，为实施、完成</w:t>
            </w:r>
            <w:r>
              <w:rPr>
                <w:rFonts w:hint="eastAsia"/>
              </w:rPr>
              <w:t>招标</w:t>
            </w:r>
            <w:r>
              <w:t>工程并修补缺陷</w:t>
            </w:r>
            <w:r>
              <w:rPr>
                <w:rFonts w:hint="eastAsia"/>
              </w:rPr>
              <w:t>以及履行招标文件中约定的风险范围内的所有责任和义务所发生</w:t>
            </w:r>
            <w:r>
              <w:t>的全部费用。</w:t>
            </w:r>
          </w:p>
        </w:tc>
      </w:tr>
      <w:tr>
        <w:tblPrEx>
          <w:tblCellMar>
            <w:top w:w="0" w:type="dxa"/>
            <w:left w:w="108" w:type="dxa"/>
            <w:bottom w:w="0" w:type="dxa"/>
            <w:right w:w="108" w:type="dxa"/>
          </w:tblCellMar>
        </w:tblPrEx>
        <w:tc>
          <w:tcPr>
            <w:tcW w:w="884" w:type="dxa"/>
          </w:tcPr>
          <w:p>
            <w:pPr>
              <w:spacing w:line="360" w:lineRule="auto"/>
              <w:ind w:left="0" w:firstLine="0"/>
            </w:pPr>
            <w:r>
              <w:rPr>
                <w:rFonts w:hint="eastAsia"/>
              </w:rPr>
              <w:t>2.15</w:t>
            </w:r>
          </w:p>
        </w:tc>
        <w:tc>
          <w:tcPr>
            <w:tcW w:w="7396" w:type="dxa"/>
          </w:tcPr>
          <w:p>
            <w:pPr>
              <w:spacing w:line="360" w:lineRule="auto"/>
              <w:ind w:left="0" w:firstLine="0"/>
            </w:pPr>
            <w:r>
              <w:rPr>
                <w:rFonts w:hint="eastAsia"/>
              </w:rPr>
              <w:t>有关投标报价的其他说明：</w:t>
            </w:r>
          </w:p>
          <w:p>
            <w:pPr>
              <w:spacing w:line="360" w:lineRule="auto"/>
              <w:ind w:left="0" w:firstLine="0"/>
            </w:pPr>
          </w:p>
        </w:tc>
      </w:tr>
      <w:tr>
        <w:tblPrEx>
          <w:tblCellMar>
            <w:top w:w="0" w:type="dxa"/>
            <w:left w:w="108" w:type="dxa"/>
            <w:bottom w:w="0" w:type="dxa"/>
            <w:right w:w="108" w:type="dxa"/>
          </w:tblCellMar>
        </w:tblPrEx>
        <w:tc>
          <w:tcPr>
            <w:tcW w:w="8280" w:type="dxa"/>
            <w:gridSpan w:val="2"/>
          </w:tcPr>
          <w:p>
            <w:pPr>
              <w:pStyle w:val="6"/>
              <w:spacing w:line="360" w:lineRule="auto"/>
              <w:rPr>
                <w:b/>
                <w:bCs/>
                <w:sz w:val="24"/>
                <w:szCs w:val="24"/>
              </w:rPr>
            </w:pPr>
            <w:bookmarkStart w:id="2707" w:name="_Toc241459762"/>
            <w:bookmarkStart w:id="2708" w:name="_Toc77206898"/>
            <w:bookmarkStart w:id="2709" w:name="_Toc403052899"/>
            <w:bookmarkStart w:id="2710" w:name="_Toc362252987"/>
            <w:bookmarkStart w:id="2711" w:name="_Toc79057561"/>
            <w:bookmarkStart w:id="2712" w:name="_Toc342296521"/>
            <w:bookmarkStart w:id="2713" w:name="_Toc403059841"/>
            <w:r>
              <w:rPr>
                <w:rFonts w:hint="eastAsia"/>
                <w:b/>
                <w:bCs/>
                <w:sz w:val="24"/>
                <w:szCs w:val="24"/>
              </w:rPr>
              <w:t>3．其他说明</w:t>
            </w:r>
            <w:bookmarkEnd w:id="2707"/>
            <w:bookmarkEnd w:id="2708"/>
            <w:bookmarkEnd w:id="2709"/>
            <w:bookmarkEnd w:id="2710"/>
            <w:bookmarkEnd w:id="2711"/>
            <w:bookmarkEnd w:id="2712"/>
            <w:bookmarkEnd w:id="2713"/>
          </w:p>
        </w:tc>
      </w:tr>
      <w:tr>
        <w:tblPrEx>
          <w:tblCellMar>
            <w:top w:w="0" w:type="dxa"/>
            <w:left w:w="108" w:type="dxa"/>
            <w:bottom w:w="0" w:type="dxa"/>
            <w:right w:w="108" w:type="dxa"/>
          </w:tblCellMar>
        </w:tblPrEx>
        <w:tc>
          <w:tcPr>
            <w:tcW w:w="8280" w:type="dxa"/>
            <w:gridSpan w:val="2"/>
          </w:tcPr>
          <w:p>
            <w:pPr>
              <w:spacing w:line="360" w:lineRule="auto"/>
              <w:ind w:left="0" w:firstLine="0"/>
            </w:pPr>
            <w:bookmarkStart w:id="2714" w:name="_Toc342296522"/>
            <w:bookmarkStart w:id="2715" w:name="_Toc362252988"/>
            <w:r>
              <w:rPr>
                <w:rFonts w:hint="eastAsia"/>
              </w:rPr>
              <w:t>3.1 词语和定义</w:t>
            </w:r>
            <w:bookmarkEnd w:id="2714"/>
            <w:bookmarkEnd w:id="2715"/>
          </w:p>
        </w:tc>
      </w:tr>
      <w:tr>
        <w:tblPrEx>
          <w:tblCellMar>
            <w:top w:w="0" w:type="dxa"/>
            <w:left w:w="108" w:type="dxa"/>
            <w:bottom w:w="0" w:type="dxa"/>
            <w:right w:w="108" w:type="dxa"/>
          </w:tblCellMar>
        </w:tblPrEx>
        <w:tc>
          <w:tcPr>
            <w:tcW w:w="884" w:type="dxa"/>
          </w:tcPr>
          <w:p>
            <w:pPr>
              <w:spacing w:line="360" w:lineRule="auto"/>
              <w:ind w:left="0" w:firstLine="0"/>
            </w:pPr>
            <w:r>
              <w:rPr>
                <w:rFonts w:hint="eastAsia"/>
              </w:rPr>
              <w:t>3.1.</w:t>
            </w:r>
            <w:r>
              <w:t>1</w:t>
            </w:r>
          </w:p>
        </w:tc>
        <w:tc>
          <w:tcPr>
            <w:tcW w:w="7396" w:type="dxa"/>
          </w:tcPr>
          <w:p>
            <w:pPr>
              <w:spacing w:line="360" w:lineRule="auto"/>
              <w:ind w:left="0" w:firstLine="0"/>
            </w:pPr>
            <w:r>
              <w:t>工程量清单</w:t>
            </w:r>
          </w:p>
        </w:tc>
      </w:tr>
      <w:tr>
        <w:tc>
          <w:tcPr>
            <w:tcW w:w="884" w:type="dxa"/>
          </w:tcPr>
          <w:p>
            <w:pPr>
              <w:spacing w:line="360" w:lineRule="auto"/>
              <w:ind w:left="0" w:firstLine="0"/>
            </w:pPr>
          </w:p>
        </w:tc>
        <w:tc>
          <w:tcPr>
            <w:tcW w:w="7396" w:type="dxa"/>
          </w:tcPr>
          <w:p>
            <w:pPr>
              <w:spacing w:line="360" w:lineRule="auto"/>
              <w:ind w:left="0" w:firstLine="0"/>
            </w:pPr>
            <w:r>
              <w:rPr>
                <w:rFonts w:hint="eastAsia"/>
              </w:rPr>
              <w:t>是表现本分包工程</w:t>
            </w:r>
            <w:r>
              <w:t>分部分项工程项目、措施项目、其他项目、规费项目和税金的名称和相应数量等的明细清单。</w:t>
            </w:r>
          </w:p>
        </w:tc>
      </w:tr>
      <w:tr>
        <w:tblPrEx>
          <w:tblCellMar>
            <w:top w:w="0" w:type="dxa"/>
            <w:left w:w="108" w:type="dxa"/>
            <w:bottom w:w="0" w:type="dxa"/>
            <w:right w:w="108" w:type="dxa"/>
          </w:tblCellMar>
        </w:tblPrEx>
        <w:tc>
          <w:tcPr>
            <w:tcW w:w="884" w:type="dxa"/>
          </w:tcPr>
          <w:p>
            <w:pPr>
              <w:spacing w:line="360" w:lineRule="auto"/>
              <w:ind w:left="0" w:firstLine="0"/>
            </w:pPr>
            <w:r>
              <w:rPr>
                <w:rFonts w:hint="eastAsia"/>
              </w:rPr>
              <w:t>3.1.2</w:t>
            </w:r>
          </w:p>
        </w:tc>
        <w:tc>
          <w:tcPr>
            <w:tcW w:w="7396" w:type="dxa"/>
          </w:tcPr>
          <w:p>
            <w:pPr>
              <w:spacing w:line="360" w:lineRule="auto"/>
              <w:ind w:left="0" w:firstLine="0"/>
            </w:pPr>
            <w:r>
              <w:rPr>
                <w:rFonts w:hint="eastAsia"/>
              </w:rPr>
              <w:t>总价子目</w:t>
            </w:r>
          </w:p>
        </w:tc>
      </w:tr>
      <w:tr>
        <w:tblPrEx>
          <w:tblCellMar>
            <w:top w:w="0" w:type="dxa"/>
            <w:left w:w="108" w:type="dxa"/>
            <w:bottom w:w="0" w:type="dxa"/>
            <w:right w:w="108" w:type="dxa"/>
          </w:tblCellMar>
        </w:tblPrEx>
        <w:tc>
          <w:tcPr>
            <w:tcW w:w="884" w:type="dxa"/>
          </w:tcPr>
          <w:p>
            <w:pPr>
              <w:spacing w:line="360" w:lineRule="auto"/>
              <w:ind w:left="0" w:firstLine="0"/>
            </w:pPr>
          </w:p>
        </w:tc>
        <w:tc>
          <w:tcPr>
            <w:tcW w:w="7396" w:type="dxa"/>
          </w:tcPr>
          <w:p>
            <w:pPr>
              <w:spacing w:line="360" w:lineRule="auto"/>
              <w:ind w:left="0" w:firstLine="0"/>
            </w:pPr>
            <w:r>
              <w:rPr>
                <w:rFonts w:hint="eastAsia"/>
              </w:rPr>
              <w:t>工程量清单中以总价计价， 以“项” 为计量单位，工程量为整数1的子目，除专用合同条款另有约定外，价格固定包干。采用总价合同形式时，合同订立后，除本章第3.2.4项约定的情况外，已标价工程量清单中的工程量均没有合同约束力，所有子目均是总价子目，视同按项计量（合同条款第15条约定的变更除外）。</w:t>
            </w:r>
          </w:p>
        </w:tc>
      </w:tr>
      <w:tr>
        <w:tblPrEx>
          <w:tblCellMar>
            <w:top w:w="0" w:type="dxa"/>
            <w:left w:w="108" w:type="dxa"/>
            <w:bottom w:w="0" w:type="dxa"/>
            <w:right w:w="108" w:type="dxa"/>
          </w:tblCellMar>
        </w:tblPrEx>
        <w:tc>
          <w:tcPr>
            <w:tcW w:w="884" w:type="dxa"/>
          </w:tcPr>
          <w:p>
            <w:pPr>
              <w:spacing w:line="360" w:lineRule="auto"/>
              <w:ind w:left="0" w:firstLine="0"/>
            </w:pPr>
            <w:r>
              <w:t>3.1.</w:t>
            </w:r>
            <w:r>
              <w:rPr>
                <w:rFonts w:hint="eastAsia"/>
              </w:rPr>
              <w:t>3</w:t>
            </w:r>
          </w:p>
        </w:tc>
        <w:tc>
          <w:tcPr>
            <w:tcW w:w="7396" w:type="dxa"/>
          </w:tcPr>
          <w:p>
            <w:pPr>
              <w:spacing w:line="360" w:lineRule="auto"/>
              <w:ind w:left="0" w:firstLine="0"/>
            </w:pPr>
            <w:r>
              <w:rPr>
                <w:rFonts w:hint="eastAsia"/>
              </w:rPr>
              <w:t>单价子目</w:t>
            </w:r>
          </w:p>
        </w:tc>
      </w:tr>
      <w:tr>
        <w:tblPrEx>
          <w:tblCellMar>
            <w:top w:w="0" w:type="dxa"/>
            <w:left w:w="108" w:type="dxa"/>
            <w:bottom w:w="0" w:type="dxa"/>
            <w:right w:w="108" w:type="dxa"/>
          </w:tblCellMar>
        </w:tblPrEx>
        <w:tc>
          <w:tcPr>
            <w:tcW w:w="884" w:type="dxa"/>
          </w:tcPr>
          <w:p>
            <w:pPr>
              <w:spacing w:line="360" w:lineRule="auto"/>
              <w:ind w:left="0" w:firstLine="0"/>
            </w:pPr>
          </w:p>
        </w:tc>
        <w:tc>
          <w:tcPr>
            <w:tcW w:w="7396" w:type="dxa"/>
          </w:tcPr>
          <w:p>
            <w:pPr>
              <w:spacing w:line="360" w:lineRule="auto"/>
              <w:ind w:left="0" w:firstLine="0"/>
            </w:pPr>
            <w:r>
              <w:rPr>
                <w:rFonts w:hint="eastAsia"/>
              </w:rPr>
              <w:t>工程量清单中以单价计价，根据有合同约束力的图纸和工程量计算规则进行计量，以实际完成数量乘以相应单价进行结算的子目。</w:t>
            </w:r>
          </w:p>
        </w:tc>
      </w:tr>
      <w:tr>
        <w:tblPrEx>
          <w:tblCellMar>
            <w:top w:w="0" w:type="dxa"/>
            <w:left w:w="108" w:type="dxa"/>
            <w:bottom w:w="0" w:type="dxa"/>
            <w:right w:w="108" w:type="dxa"/>
          </w:tblCellMar>
        </w:tblPrEx>
        <w:tc>
          <w:tcPr>
            <w:tcW w:w="884" w:type="dxa"/>
          </w:tcPr>
          <w:p>
            <w:pPr>
              <w:spacing w:line="360" w:lineRule="auto"/>
              <w:ind w:left="0" w:firstLine="0"/>
            </w:pPr>
            <w:r>
              <w:t>3.1.</w:t>
            </w:r>
            <w:r>
              <w:rPr>
                <w:rFonts w:hint="eastAsia"/>
              </w:rPr>
              <w:t>4</w:t>
            </w:r>
          </w:p>
        </w:tc>
        <w:tc>
          <w:tcPr>
            <w:tcW w:w="7396" w:type="dxa"/>
          </w:tcPr>
          <w:p>
            <w:pPr>
              <w:spacing w:line="360" w:lineRule="auto"/>
              <w:ind w:left="0" w:firstLine="0"/>
            </w:pPr>
            <w:r>
              <w:rPr>
                <w:rFonts w:hint="eastAsia"/>
              </w:rPr>
              <w:t>子目</w:t>
            </w:r>
            <w:r>
              <w:t>编码</w:t>
            </w:r>
          </w:p>
        </w:tc>
      </w:tr>
      <w:tr>
        <w:tblPrEx>
          <w:tblCellMar>
            <w:top w:w="0" w:type="dxa"/>
            <w:left w:w="108" w:type="dxa"/>
            <w:bottom w:w="0" w:type="dxa"/>
            <w:right w:w="108" w:type="dxa"/>
          </w:tblCellMar>
        </w:tblPrEx>
        <w:tc>
          <w:tcPr>
            <w:tcW w:w="884" w:type="dxa"/>
          </w:tcPr>
          <w:p>
            <w:pPr>
              <w:spacing w:line="360" w:lineRule="auto"/>
              <w:ind w:left="0" w:firstLine="0"/>
            </w:pPr>
          </w:p>
        </w:tc>
        <w:tc>
          <w:tcPr>
            <w:tcW w:w="7396" w:type="dxa"/>
          </w:tcPr>
          <w:p>
            <w:pPr>
              <w:spacing w:line="360" w:lineRule="auto"/>
              <w:ind w:left="0" w:firstLine="0"/>
            </w:pPr>
            <w:r>
              <w:t>分部分项工程项目</w:t>
            </w:r>
            <w:r>
              <w:rPr>
                <w:rFonts w:hint="eastAsia"/>
              </w:rPr>
              <w:t>清单中所列的子目</w:t>
            </w:r>
            <w:r>
              <w:t>名称的数字标识</w:t>
            </w:r>
            <w:r>
              <w:rPr>
                <w:rFonts w:hint="eastAsia"/>
              </w:rPr>
              <w:t>和代码，子目编码与项目编码同义</w:t>
            </w:r>
            <w:r>
              <w:t>。</w:t>
            </w:r>
          </w:p>
        </w:tc>
      </w:tr>
      <w:tr>
        <w:tblPrEx>
          <w:tblCellMar>
            <w:top w:w="0" w:type="dxa"/>
            <w:left w:w="108" w:type="dxa"/>
            <w:bottom w:w="0" w:type="dxa"/>
            <w:right w:w="108" w:type="dxa"/>
          </w:tblCellMar>
        </w:tblPrEx>
        <w:tc>
          <w:tcPr>
            <w:tcW w:w="884" w:type="dxa"/>
          </w:tcPr>
          <w:p>
            <w:pPr>
              <w:spacing w:line="360" w:lineRule="auto"/>
              <w:ind w:left="0" w:firstLine="0"/>
            </w:pPr>
            <w:r>
              <w:t>3.1.</w:t>
            </w:r>
            <w:r>
              <w:rPr>
                <w:rFonts w:hint="eastAsia"/>
              </w:rPr>
              <w:t>5</w:t>
            </w:r>
          </w:p>
        </w:tc>
        <w:tc>
          <w:tcPr>
            <w:tcW w:w="7396" w:type="dxa"/>
          </w:tcPr>
          <w:p>
            <w:pPr>
              <w:spacing w:line="360" w:lineRule="auto"/>
              <w:ind w:left="0" w:firstLine="0"/>
            </w:pPr>
            <w:r>
              <w:rPr>
                <w:rFonts w:hint="eastAsia"/>
              </w:rPr>
              <w:t>子目</w:t>
            </w:r>
            <w:r>
              <w:t>特征</w:t>
            </w:r>
          </w:p>
        </w:tc>
      </w:tr>
      <w:tr>
        <w:tblPrEx>
          <w:tblCellMar>
            <w:top w:w="0" w:type="dxa"/>
            <w:left w:w="108" w:type="dxa"/>
            <w:bottom w:w="0" w:type="dxa"/>
            <w:right w:w="108" w:type="dxa"/>
          </w:tblCellMar>
        </w:tblPrEx>
        <w:tc>
          <w:tcPr>
            <w:tcW w:w="884" w:type="dxa"/>
          </w:tcPr>
          <w:p>
            <w:pPr>
              <w:spacing w:line="360" w:lineRule="auto"/>
              <w:ind w:left="0" w:firstLine="0"/>
            </w:pPr>
          </w:p>
        </w:tc>
        <w:tc>
          <w:tcPr>
            <w:tcW w:w="7396" w:type="dxa"/>
          </w:tcPr>
          <w:p>
            <w:pPr>
              <w:spacing w:line="360" w:lineRule="auto"/>
              <w:ind w:left="0" w:firstLine="0"/>
            </w:pPr>
            <w:r>
              <w:t>构成分部分项工程</w:t>
            </w:r>
            <w:r>
              <w:rPr>
                <w:rFonts w:hint="eastAsia"/>
              </w:rPr>
              <w:t>项目</w:t>
            </w:r>
            <w:r>
              <w:t>清单</w:t>
            </w:r>
            <w:r>
              <w:rPr>
                <w:rFonts w:hint="eastAsia"/>
              </w:rPr>
              <w:t>子目</w:t>
            </w:r>
            <w:r>
              <w:t>、措施项目的实质内容、决定其自身价值的本质特征</w:t>
            </w:r>
            <w:r>
              <w:rPr>
                <w:rFonts w:hint="eastAsia"/>
              </w:rPr>
              <w:t>，子目特征与项目特征同义</w:t>
            </w:r>
            <w:r>
              <w:t>。</w:t>
            </w:r>
          </w:p>
        </w:tc>
      </w:tr>
      <w:tr>
        <w:tblPrEx>
          <w:tblCellMar>
            <w:top w:w="0" w:type="dxa"/>
            <w:left w:w="108" w:type="dxa"/>
            <w:bottom w:w="0" w:type="dxa"/>
            <w:right w:w="108" w:type="dxa"/>
          </w:tblCellMar>
        </w:tblPrEx>
        <w:tc>
          <w:tcPr>
            <w:tcW w:w="884" w:type="dxa"/>
          </w:tcPr>
          <w:p>
            <w:pPr>
              <w:spacing w:line="360" w:lineRule="auto"/>
              <w:ind w:left="0" w:firstLine="0"/>
            </w:pPr>
            <w:r>
              <w:t>3.1.</w:t>
            </w:r>
            <w:r>
              <w:rPr>
                <w:rFonts w:hint="eastAsia"/>
              </w:rPr>
              <w:t>6</w:t>
            </w:r>
          </w:p>
        </w:tc>
        <w:tc>
          <w:tcPr>
            <w:tcW w:w="7396" w:type="dxa"/>
          </w:tcPr>
          <w:p>
            <w:pPr>
              <w:spacing w:line="360" w:lineRule="auto"/>
              <w:ind w:left="0" w:firstLine="0"/>
            </w:pPr>
            <w:r>
              <w:t>规费</w:t>
            </w:r>
          </w:p>
        </w:tc>
      </w:tr>
      <w:tr>
        <w:tblPrEx>
          <w:tblCellMar>
            <w:top w:w="0" w:type="dxa"/>
            <w:left w:w="108" w:type="dxa"/>
            <w:bottom w:w="0" w:type="dxa"/>
            <w:right w:w="108" w:type="dxa"/>
          </w:tblCellMar>
        </w:tblPrEx>
        <w:tc>
          <w:tcPr>
            <w:tcW w:w="884" w:type="dxa"/>
          </w:tcPr>
          <w:p>
            <w:pPr>
              <w:spacing w:line="360" w:lineRule="auto"/>
              <w:ind w:left="0" w:firstLine="0"/>
            </w:pPr>
          </w:p>
        </w:tc>
        <w:tc>
          <w:tcPr>
            <w:tcW w:w="7396" w:type="dxa"/>
          </w:tcPr>
          <w:p>
            <w:pPr>
              <w:spacing w:line="360" w:lineRule="auto"/>
              <w:ind w:left="0" w:firstLine="0"/>
            </w:pPr>
            <w:r>
              <w:rPr>
                <w:rFonts w:hint="eastAsia"/>
              </w:rPr>
              <w:t>分包</w:t>
            </w:r>
            <w:r>
              <w:t>人根据省级政府或</w:t>
            </w:r>
            <w:r>
              <w:rPr>
                <w:rFonts w:hint="eastAsia"/>
              </w:rPr>
              <w:t>省级</w:t>
            </w:r>
            <w:r>
              <w:t>有关权力部门规定必须缴纳的，应计入</w:t>
            </w:r>
            <w:r>
              <w:rPr>
                <w:rFonts w:hint="eastAsia"/>
              </w:rPr>
              <w:t>建筑安装</w:t>
            </w:r>
            <w:r>
              <w:t>工程造价的费用。</w:t>
            </w:r>
          </w:p>
        </w:tc>
      </w:tr>
      <w:tr>
        <w:tblPrEx>
          <w:tblCellMar>
            <w:top w:w="0" w:type="dxa"/>
            <w:left w:w="108" w:type="dxa"/>
            <w:bottom w:w="0" w:type="dxa"/>
            <w:right w:w="108" w:type="dxa"/>
          </w:tblCellMar>
        </w:tblPrEx>
        <w:tc>
          <w:tcPr>
            <w:tcW w:w="884" w:type="dxa"/>
          </w:tcPr>
          <w:p>
            <w:pPr>
              <w:spacing w:line="360" w:lineRule="auto"/>
              <w:ind w:left="0" w:firstLine="0"/>
            </w:pPr>
            <w:r>
              <w:t>3.1.</w:t>
            </w:r>
            <w:r>
              <w:rPr>
                <w:rFonts w:hint="eastAsia"/>
              </w:rPr>
              <w:t>7</w:t>
            </w:r>
          </w:p>
        </w:tc>
        <w:tc>
          <w:tcPr>
            <w:tcW w:w="7396" w:type="dxa"/>
          </w:tcPr>
          <w:p>
            <w:pPr>
              <w:spacing w:line="360" w:lineRule="auto"/>
              <w:ind w:left="0" w:firstLine="0"/>
            </w:pPr>
            <w:r>
              <w:t>税金</w:t>
            </w:r>
          </w:p>
        </w:tc>
      </w:tr>
      <w:tr>
        <w:tblPrEx>
          <w:tblCellMar>
            <w:top w:w="0" w:type="dxa"/>
            <w:left w:w="108" w:type="dxa"/>
            <w:bottom w:w="0" w:type="dxa"/>
            <w:right w:w="108" w:type="dxa"/>
          </w:tblCellMar>
        </w:tblPrEx>
        <w:tc>
          <w:tcPr>
            <w:tcW w:w="884" w:type="dxa"/>
          </w:tcPr>
          <w:p>
            <w:pPr>
              <w:spacing w:line="360" w:lineRule="auto"/>
              <w:ind w:left="0" w:firstLine="0"/>
            </w:pPr>
          </w:p>
        </w:tc>
        <w:tc>
          <w:tcPr>
            <w:tcW w:w="7396" w:type="dxa"/>
          </w:tcPr>
          <w:p>
            <w:pPr>
              <w:spacing w:line="360" w:lineRule="auto"/>
              <w:ind w:left="0" w:firstLine="0"/>
            </w:pPr>
            <w:r>
              <w:t>国家税法规定的应计入建筑安装工程造价内的营业税、城市维护建设税及教育费附加等。</w:t>
            </w:r>
          </w:p>
        </w:tc>
      </w:tr>
      <w:tr>
        <w:tblPrEx>
          <w:tblCellMar>
            <w:top w:w="0" w:type="dxa"/>
            <w:left w:w="108" w:type="dxa"/>
            <w:bottom w:w="0" w:type="dxa"/>
            <w:right w:w="108" w:type="dxa"/>
          </w:tblCellMar>
        </w:tblPrEx>
        <w:tc>
          <w:tcPr>
            <w:tcW w:w="884" w:type="dxa"/>
          </w:tcPr>
          <w:p>
            <w:pPr>
              <w:spacing w:line="360" w:lineRule="auto"/>
              <w:ind w:left="0" w:firstLine="0"/>
            </w:pPr>
            <w:r>
              <w:t>3.1.</w:t>
            </w:r>
            <w:r>
              <w:rPr>
                <w:rFonts w:hint="eastAsia"/>
              </w:rPr>
              <w:t>8</w:t>
            </w:r>
          </w:p>
        </w:tc>
        <w:tc>
          <w:tcPr>
            <w:tcW w:w="7396" w:type="dxa"/>
          </w:tcPr>
          <w:p>
            <w:pPr>
              <w:spacing w:line="360" w:lineRule="auto"/>
              <w:ind w:left="0" w:firstLine="0"/>
            </w:pPr>
            <w:r>
              <w:t>配合服务费</w:t>
            </w:r>
          </w:p>
        </w:tc>
      </w:tr>
      <w:tr>
        <w:tc>
          <w:tcPr>
            <w:tcW w:w="884" w:type="dxa"/>
          </w:tcPr>
          <w:p>
            <w:pPr>
              <w:spacing w:line="360" w:lineRule="auto"/>
              <w:ind w:left="0" w:firstLine="0"/>
            </w:pPr>
          </w:p>
        </w:tc>
        <w:tc>
          <w:tcPr>
            <w:tcW w:w="7396" w:type="dxa"/>
          </w:tcPr>
          <w:p>
            <w:pPr>
              <w:spacing w:line="360" w:lineRule="auto"/>
              <w:ind w:left="0" w:firstLine="0"/>
            </w:pPr>
            <w:r>
              <w:rPr>
                <w:rFonts w:hint="eastAsia"/>
              </w:rPr>
              <w:t>分包</w:t>
            </w:r>
            <w:r>
              <w:t>人为配合协调</w:t>
            </w:r>
            <w:r>
              <w:rPr>
                <w:rFonts w:hint="eastAsia"/>
              </w:rPr>
              <w:t>承包人</w:t>
            </w:r>
            <w:r>
              <w:t>采购的</w:t>
            </w:r>
            <w:r>
              <w:rPr>
                <w:rFonts w:hint="eastAsia"/>
              </w:rPr>
              <w:t>材料和工程</w:t>
            </w:r>
            <w:r>
              <w:t>设备等进行管理、服务以及施工现场管理、</w:t>
            </w:r>
            <w:r>
              <w:rPr>
                <w:rFonts w:hint="eastAsia"/>
              </w:rPr>
              <w:t>完</w:t>
            </w:r>
            <w:r>
              <w:t>工资料汇总整理等所需的费用。</w:t>
            </w:r>
          </w:p>
        </w:tc>
      </w:tr>
      <w:tr>
        <w:tblPrEx>
          <w:tblCellMar>
            <w:top w:w="0" w:type="dxa"/>
            <w:left w:w="108" w:type="dxa"/>
            <w:bottom w:w="0" w:type="dxa"/>
            <w:right w:w="108" w:type="dxa"/>
          </w:tblCellMar>
        </w:tblPrEx>
        <w:tc>
          <w:tcPr>
            <w:tcW w:w="884" w:type="dxa"/>
          </w:tcPr>
          <w:p>
            <w:pPr>
              <w:spacing w:line="360" w:lineRule="auto"/>
              <w:ind w:left="0" w:firstLine="0"/>
            </w:pPr>
            <w:r>
              <w:t>3.1.</w:t>
            </w:r>
            <w:r>
              <w:rPr>
                <w:rFonts w:hint="eastAsia"/>
              </w:rPr>
              <w:t>9</w:t>
            </w:r>
          </w:p>
        </w:tc>
        <w:tc>
          <w:tcPr>
            <w:tcW w:w="7396" w:type="dxa"/>
          </w:tcPr>
          <w:p>
            <w:pPr>
              <w:spacing w:line="360" w:lineRule="auto"/>
              <w:ind w:left="0" w:firstLine="0"/>
            </w:pPr>
            <w:r>
              <w:rPr>
                <w:rFonts w:hint="eastAsia"/>
              </w:rPr>
              <w:t>同义词语</w:t>
            </w:r>
          </w:p>
        </w:tc>
      </w:tr>
      <w:tr>
        <w:tblPrEx>
          <w:tblCellMar>
            <w:top w:w="0" w:type="dxa"/>
            <w:left w:w="108" w:type="dxa"/>
            <w:bottom w:w="0" w:type="dxa"/>
            <w:right w:w="108" w:type="dxa"/>
          </w:tblCellMar>
        </w:tblPrEx>
        <w:tc>
          <w:tcPr>
            <w:tcW w:w="884" w:type="dxa"/>
          </w:tcPr>
          <w:p>
            <w:pPr>
              <w:spacing w:line="360" w:lineRule="auto"/>
              <w:ind w:left="0" w:firstLine="0"/>
            </w:pPr>
          </w:p>
        </w:tc>
        <w:tc>
          <w:tcPr>
            <w:tcW w:w="7396" w:type="dxa"/>
          </w:tcPr>
          <w:p>
            <w:pPr>
              <w:spacing w:line="360" w:lineRule="auto"/>
              <w:ind w:left="0" w:firstLine="0"/>
            </w:pPr>
            <w:r>
              <w:t>本</w:t>
            </w:r>
            <w:r>
              <w:rPr>
                <w:rFonts w:hint="eastAsia"/>
              </w:rPr>
              <w:t>章</w:t>
            </w:r>
            <w:r>
              <w:t>中</w:t>
            </w:r>
            <w:r>
              <w:rPr>
                <w:rFonts w:hint="eastAsia"/>
              </w:rPr>
              <w:t>使用的词语“</w:t>
            </w:r>
            <w:r>
              <w:t>招标人</w:t>
            </w:r>
            <w:r>
              <w:rPr>
                <w:rFonts w:hint="eastAsia"/>
              </w:rPr>
              <w:t>”和“</w:t>
            </w:r>
            <w:r>
              <w:t>投标人</w:t>
            </w:r>
            <w:r>
              <w:rPr>
                <w:rFonts w:hint="eastAsia"/>
              </w:rPr>
              <w:t>”分别</w:t>
            </w:r>
            <w:r>
              <w:t>与</w:t>
            </w:r>
            <w:r>
              <w:rPr>
                <w:rFonts w:hint="eastAsia"/>
              </w:rPr>
              <w:t>合同条款中定义的“承包人”和“分包</w:t>
            </w:r>
            <w:r>
              <w:t>人</w:t>
            </w:r>
            <w:r>
              <w:rPr>
                <w:rFonts w:hint="eastAsia"/>
              </w:rPr>
              <w:t>”</w:t>
            </w:r>
            <w:r>
              <w:t>同义</w:t>
            </w:r>
            <w:r>
              <w:rPr>
                <w:rFonts w:hint="eastAsia"/>
              </w:rPr>
              <w:t>；就工程量清单而言，“子目”与“项目”同义。</w:t>
            </w:r>
          </w:p>
        </w:tc>
      </w:tr>
      <w:tr>
        <w:tblPrEx>
          <w:tblCellMar>
            <w:top w:w="0" w:type="dxa"/>
            <w:left w:w="108" w:type="dxa"/>
            <w:bottom w:w="0" w:type="dxa"/>
            <w:right w:w="108" w:type="dxa"/>
          </w:tblCellMar>
        </w:tblPrEx>
        <w:tc>
          <w:tcPr>
            <w:tcW w:w="884" w:type="dxa"/>
          </w:tcPr>
          <w:p>
            <w:pPr>
              <w:spacing w:line="360" w:lineRule="auto"/>
              <w:ind w:left="0" w:firstLine="0"/>
            </w:pPr>
          </w:p>
        </w:tc>
        <w:tc>
          <w:tcPr>
            <w:tcW w:w="7396" w:type="dxa"/>
          </w:tcPr>
          <w:p>
            <w:pPr>
              <w:spacing w:line="360" w:lineRule="auto"/>
              <w:ind w:left="0" w:firstLine="0"/>
            </w:pPr>
            <w:r>
              <w:rPr>
                <w:rFonts w:hint="eastAsia"/>
              </w:rPr>
              <w:t>招标工程量清单是招标人依据国家标准、招标文件、设计文件以及施工现场实际情况编制的，随招标文件发布供投标报价的工程量清单，包括其说明和表格，同时也是编制招标控制价或标底的依据之一。</w:t>
            </w:r>
          </w:p>
        </w:tc>
      </w:tr>
      <w:tr>
        <w:tblPrEx>
          <w:tblCellMar>
            <w:top w:w="0" w:type="dxa"/>
            <w:left w:w="108" w:type="dxa"/>
            <w:bottom w:w="0" w:type="dxa"/>
            <w:right w:w="108" w:type="dxa"/>
          </w:tblCellMar>
        </w:tblPrEx>
        <w:tc>
          <w:tcPr>
            <w:tcW w:w="8280" w:type="dxa"/>
            <w:gridSpan w:val="2"/>
          </w:tcPr>
          <w:p>
            <w:pPr>
              <w:spacing w:line="360" w:lineRule="auto"/>
              <w:ind w:left="0" w:firstLine="0"/>
            </w:pPr>
            <w:bookmarkStart w:id="2716" w:name="_Toc342296523"/>
            <w:bookmarkStart w:id="2717" w:name="_Toc362252989"/>
            <w:r>
              <w:rPr>
                <w:rFonts w:hint="eastAsia"/>
              </w:rPr>
              <w:t>3.2 工程量</w:t>
            </w:r>
            <w:bookmarkEnd w:id="2716"/>
            <w:r>
              <w:rPr>
                <w:rFonts w:hint="eastAsia"/>
              </w:rPr>
              <w:t>差异调整（适用于单价合同）</w:t>
            </w:r>
            <w:bookmarkEnd w:id="2717"/>
          </w:p>
        </w:tc>
      </w:tr>
      <w:tr>
        <w:tblPrEx>
          <w:tblCellMar>
            <w:top w:w="0" w:type="dxa"/>
            <w:left w:w="108" w:type="dxa"/>
            <w:bottom w:w="0" w:type="dxa"/>
            <w:right w:w="108" w:type="dxa"/>
          </w:tblCellMar>
        </w:tblPrEx>
        <w:tc>
          <w:tcPr>
            <w:tcW w:w="884" w:type="dxa"/>
          </w:tcPr>
          <w:p>
            <w:pPr>
              <w:spacing w:line="360" w:lineRule="auto"/>
              <w:ind w:left="0" w:firstLine="0"/>
            </w:pPr>
            <w:r>
              <w:rPr>
                <w:rFonts w:hint="eastAsia"/>
              </w:rPr>
              <w:t>3</w:t>
            </w:r>
            <w:r>
              <w:t>.</w:t>
            </w:r>
            <w:r>
              <w:rPr>
                <w:rFonts w:hint="eastAsia"/>
              </w:rPr>
              <w:t>2.1</w:t>
            </w:r>
          </w:p>
        </w:tc>
        <w:tc>
          <w:tcPr>
            <w:tcW w:w="7396" w:type="dxa"/>
          </w:tcPr>
          <w:p>
            <w:pPr>
              <w:spacing w:line="360" w:lineRule="auto"/>
              <w:ind w:left="0" w:firstLine="0"/>
            </w:pPr>
            <w:r>
              <w:rPr>
                <w:rFonts w:hint="eastAsia"/>
              </w:rPr>
              <w:t>已标价</w:t>
            </w:r>
            <w:r>
              <w:t>工程量清单中的工作</w:t>
            </w:r>
            <w:r>
              <w:rPr>
                <w:rFonts w:hint="eastAsia"/>
              </w:rPr>
              <w:t>内容分类、子目列项</w:t>
            </w:r>
            <w:r>
              <w:t>、</w:t>
            </w:r>
            <w:r>
              <w:rPr>
                <w:rFonts w:hint="eastAsia"/>
              </w:rPr>
              <w:t>特征</w:t>
            </w:r>
            <w:r>
              <w:t>描述以及</w:t>
            </w:r>
            <w:r>
              <w:rPr>
                <w:rFonts w:hint="eastAsia"/>
              </w:rPr>
              <w:t>“</w:t>
            </w:r>
            <w:r>
              <w:t>分部分项工程</w:t>
            </w:r>
            <w:r>
              <w:rPr>
                <w:rFonts w:hint="eastAsia"/>
              </w:rPr>
              <w:t>和单价措施项目</w:t>
            </w:r>
            <w:r>
              <w:t>清单</w:t>
            </w:r>
            <w:r>
              <w:rPr>
                <w:rFonts w:hint="eastAsia"/>
              </w:rPr>
              <w:t>与计价表”</w:t>
            </w:r>
            <w:r>
              <w:t>中附带的工程量都不应理解为是对</w:t>
            </w:r>
            <w:r>
              <w:rPr>
                <w:rFonts w:hint="eastAsia"/>
              </w:rPr>
              <w:t>承包（</w:t>
            </w:r>
            <w:r>
              <w:t>招标</w:t>
            </w:r>
            <w:r>
              <w:rPr>
                <w:rFonts w:hint="eastAsia"/>
              </w:rPr>
              <w:t>）</w:t>
            </w:r>
            <w:r>
              <w:t>范围</w:t>
            </w:r>
            <w:r>
              <w:rPr>
                <w:rFonts w:hint="eastAsia"/>
              </w:rPr>
              <w:t>以及</w:t>
            </w:r>
            <w:r>
              <w:t>合同工作内容的唯一的、最终的或全部的定义。</w:t>
            </w:r>
          </w:p>
        </w:tc>
      </w:tr>
      <w:tr>
        <w:tblPrEx>
          <w:tblCellMar>
            <w:top w:w="0" w:type="dxa"/>
            <w:left w:w="108" w:type="dxa"/>
            <w:bottom w:w="0" w:type="dxa"/>
            <w:right w:w="108" w:type="dxa"/>
          </w:tblCellMar>
        </w:tblPrEx>
        <w:tc>
          <w:tcPr>
            <w:tcW w:w="884" w:type="dxa"/>
          </w:tcPr>
          <w:p>
            <w:pPr>
              <w:spacing w:line="360" w:lineRule="auto"/>
              <w:ind w:left="0" w:firstLine="0"/>
            </w:pPr>
            <w:r>
              <w:rPr>
                <w:rFonts w:hint="eastAsia"/>
              </w:rPr>
              <w:t>3</w:t>
            </w:r>
            <w:r>
              <w:t>.</w:t>
            </w:r>
            <w:r>
              <w:rPr>
                <w:rFonts w:hint="eastAsia"/>
              </w:rPr>
              <w:t>2.2</w:t>
            </w:r>
          </w:p>
        </w:tc>
        <w:tc>
          <w:tcPr>
            <w:tcW w:w="7396" w:type="dxa"/>
          </w:tcPr>
          <w:p>
            <w:pPr>
              <w:spacing w:line="360" w:lineRule="auto"/>
              <w:ind w:left="0" w:firstLine="0"/>
            </w:pPr>
            <w:r>
              <w:t>投标人</w:t>
            </w:r>
            <w:r>
              <w:rPr>
                <w:rFonts w:hint="eastAsia"/>
              </w:rPr>
              <w:t>应</w:t>
            </w:r>
            <w:r>
              <w:t>对招标工程量清单进行认真细致的复核。这种复核包括对招标人提供的</w:t>
            </w:r>
            <w:r>
              <w:rPr>
                <w:rFonts w:hint="eastAsia"/>
              </w:rPr>
              <w:t>工程量</w:t>
            </w:r>
            <w:r>
              <w:t>清单中的</w:t>
            </w:r>
            <w:r>
              <w:rPr>
                <w:rFonts w:hint="eastAsia"/>
              </w:rPr>
              <w:t>子目</w:t>
            </w:r>
            <w:r>
              <w:t>编码、</w:t>
            </w:r>
            <w:r>
              <w:rPr>
                <w:rFonts w:hint="eastAsia"/>
              </w:rPr>
              <w:t>子目名称、子目</w:t>
            </w:r>
            <w:r>
              <w:t>特征</w:t>
            </w:r>
            <w:r>
              <w:rPr>
                <w:rFonts w:hint="eastAsia"/>
              </w:rPr>
              <w:t>描述</w:t>
            </w:r>
            <w:r>
              <w:t>、计量单位</w:t>
            </w:r>
            <w:r>
              <w:rPr>
                <w:rFonts w:hint="eastAsia"/>
              </w:rPr>
              <w:t>、工程量</w:t>
            </w:r>
            <w:r>
              <w:t>的准确性以及可能存在的任何书写、打印错误进行检查和复核，特别是对</w:t>
            </w:r>
            <w:r>
              <w:rPr>
                <w:rFonts w:hint="eastAsia"/>
              </w:rPr>
              <w:t>“</w:t>
            </w:r>
            <w:r>
              <w:t>分部分项工程</w:t>
            </w:r>
            <w:r>
              <w:rPr>
                <w:rFonts w:hint="eastAsia"/>
              </w:rPr>
              <w:t>和单价措施项目</w:t>
            </w:r>
            <w:r>
              <w:t>清单</w:t>
            </w:r>
            <w:r>
              <w:rPr>
                <w:rFonts w:hint="eastAsia"/>
              </w:rPr>
              <w:t>与计价表”</w:t>
            </w:r>
            <w:r>
              <w:t>中每个工作</w:t>
            </w:r>
            <w:r>
              <w:rPr>
                <w:rFonts w:hint="eastAsia"/>
              </w:rPr>
              <w:t>项</w:t>
            </w:r>
            <w:r>
              <w:t>目的工程量进行重新计算和校核</w:t>
            </w:r>
            <w:r>
              <w:rPr>
                <w:rFonts w:hint="eastAsia"/>
              </w:rPr>
              <w:t>，对“总价措施项目</w:t>
            </w:r>
            <w:r>
              <w:t>清单</w:t>
            </w:r>
            <w:r>
              <w:rPr>
                <w:rFonts w:hint="eastAsia"/>
              </w:rPr>
              <w:t>与计价表”中列项</w:t>
            </w:r>
            <w:r>
              <w:t>进行校核。如果投标人经过检查和复核以后认为招标工程量清单存在差异，</w:t>
            </w:r>
            <w:r>
              <w:rPr>
                <w:rFonts w:hint="eastAsia"/>
              </w:rPr>
              <w:t>特别是“总价措施项目</w:t>
            </w:r>
            <w:r>
              <w:t>清单</w:t>
            </w:r>
            <w:r>
              <w:rPr>
                <w:rFonts w:hint="eastAsia"/>
              </w:rPr>
              <w:t>与计价表”中存在可能对造价产生重大影响的漏项，</w:t>
            </w:r>
            <w:r>
              <w:t>则投标人应将此类差异的详细情况连同按</w:t>
            </w:r>
            <w:r>
              <w:rPr>
                <w:rFonts w:hint="eastAsia"/>
              </w:rPr>
              <w:t>投标人须知</w:t>
            </w:r>
            <w:r>
              <w:t>规定提交的</w:t>
            </w:r>
            <w:r>
              <w:rPr>
                <w:rFonts w:hint="eastAsia"/>
              </w:rPr>
              <w:t>要求招标人澄清的其他</w:t>
            </w:r>
            <w:r>
              <w:t>问题一起提交给招标人，招标人</w:t>
            </w:r>
            <w:r>
              <w:rPr>
                <w:rFonts w:hint="eastAsia"/>
              </w:rPr>
              <w:t>在核实差异后</w:t>
            </w:r>
            <w:r>
              <w:t>将根据实际情况决定是否颁发工程量清单</w:t>
            </w:r>
            <w:r>
              <w:rPr>
                <w:rFonts w:hint="eastAsia"/>
              </w:rPr>
              <w:t>的补充和（或）修改文件</w:t>
            </w:r>
            <w:r>
              <w:t>。</w:t>
            </w:r>
          </w:p>
        </w:tc>
      </w:tr>
      <w:tr>
        <w:tblPrEx>
          <w:tblCellMar>
            <w:top w:w="0" w:type="dxa"/>
            <w:left w:w="108" w:type="dxa"/>
            <w:bottom w:w="0" w:type="dxa"/>
            <w:right w:w="108" w:type="dxa"/>
          </w:tblCellMar>
        </w:tblPrEx>
        <w:tc>
          <w:tcPr>
            <w:tcW w:w="884" w:type="dxa"/>
          </w:tcPr>
          <w:p>
            <w:pPr>
              <w:spacing w:line="360" w:lineRule="auto"/>
              <w:ind w:left="0" w:firstLine="0"/>
            </w:pPr>
            <w:r>
              <w:rPr>
                <w:rFonts w:hint="eastAsia"/>
              </w:rPr>
              <w:t>3</w:t>
            </w:r>
            <w:r>
              <w:t>.</w:t>
            </w:r>
            <w:r>
              <w:rPr>
                <w:rFonts w:hint="eastAsia"/>
              </w:rPr>
              <w:t>2.3</w:t>
            </w:r>
          </w:p>
        </w:tc>
        <w:tc>
          <w:tcPr>
            <w:tcW w:w="7396" w:type="dxa"/>
          </w:tcPr>
          <w:p>
            <w:pPr>
              <w:spacing w:line="360" w:lineRule="auto"/>
              <w:ind w:left="0" w:firstLine="0"/>
            </w:pPr>
            <w:r>
              <w:t>如果招标人</w:t>
            </w:r>
            <w:r>
              <w:rPr>
                <w:rFonts w:hint="eastAsia"/>
              </w:rPr>
              <w:t>在检查投标人根据上文第3.2.2项提交的工程量差异问题后</w:t>
            </w:r>
            <w:r>
              <w:t>认为没有必要</w:t>
            </w:r>
            <w:r>
              <w:rPr>
                <w:rFonts w:hint="eastAsia"/>
              </w:rPr>
              <w:t>对招标</w:t>
            </w:r>
            <w:r>
              <w:t>工程量清单</w:t>
            </w:r>
            <w:r>
              <w:rPr>
                <w:rFonts w:hint="eastAsia"/>
              </w:rPr>
              <w:t>进行补充和（或）修改</w:t>
            </w:r>
            <w:r>
              <w:t>，</w:t>
            </w:r>
            <w:r>
              <w:rPr>
                <w:rFonts w:hint="eastAsia"/>
              </w:rPr>
              <w:t>或者</w:t>
            </w:r>
            <w:r>
              <w:t>招标人根据上文第</w:t>
            </w:r>
            <w:r>
              <w:rPr>
                <w:rFonts w:hint="eastAsia"/>
              </w:rPr>
              <w:t>3.2.2项对招标</w:t>
            </w:r>
            <w:r>
              <w:t>工程量清单</w:t>
            </w:r>
            <w:r>
              <w:rPr>
                <w:rFonts w:hint="eastAsia"/>
              </w:rPr>
              <w:t>进行了补充和（或）修改</w:t>
            </w:r>
            <w:r>
              <w:t>，但投标人认为</w:t>
            </w:r>
            <w:r>
              <w:rPr>
                <w:rFonts w:hint="eastAsia"/>
              </w:rPr>
              <w:t>招标</w:t>
            </w:r>
            <w:r>
              <w:t>工程量清单中的工程量依然存在差异，则此类差异不再提交招标人答疑</w:t>
            </w:r>
            <w:r>
              <w:rPr>
                <w:rFonts w:hint="eastAsia"/>
              </w:rPr>
              <w:t>和修正，而是直接</w:t>
            </w:r>
            <w:r>
              <w:t>按招标工程量清单</w:t>
            </w:r>
            <w:r>
              <w:rPr>
                <w:rFonts w:hint="eastAsia"/>
              </w:rPr>
              <w:t>（包括招标人可能的补充和（或）修改）</w:t>
            </w:r>
            <w:r>
              <w:t>进行</w:t>
            </w:r>
            <w:r>
              <w:rPr>
                <w:rFonts w:hint="eastAsia"/>
              </w:rPr>
              <w:t>投标</w:t>
            </w:r>
            <w:r>
              <w:t>报价。投标人在按照</w:t>
            </w:r>
            <w:r>
              <w:rPr>
                <w:rFonts w:hint="eastAsia"/>
              </w:rPr>
              <w:t>招标</w:t>
            </w:r>
            <w:r>
              <w:t>工程量清单进行报价时</w:t>
            </w:r>
            <w:r>
              <w:rPr>
                <w:rFonts w:hint="eastAsia"/>
              </w:rPr>
              <w:t>，除按照本节2.7.3项要求</w:t>
            </w:r>
            <w:r>
              <w:t>对</w:t>
            </w:r>
            <w:r>
              <w:rPr>
                <w:rFonts w:hint="eastAsia"/>
              </w:rPr>
              <w:t>招标人提供的总价</w:t>
            </w:r>
            <w:r>
              <w:t>措施项目清单的内容进行细化</w:t>
            </w:r>
            <w:r>
              <w:rPr>
                <w:rFonts w:hint="eastAsia"/>
              </w:rPr>
              <w:t>或增补外，</w:t>
            </w:r>
            <w:r>
              <w:t>不得</w:t>
            </w:r>
            <w:r>
              <w:rPr>
                <w:rFonts w:hint="eastAsia"/>
              </w:rPr>
              <w:t>改变（包括对工程量清单子目的子目名称、子目特征描述、计量单位以及工程量的任何修改、增加或减少）</w:t>
            </w:r>
            <w:r>
              <w:t>招标人提供</w:t>
            </w:r>
            <w:r>
              <w:rPr>
                <w:rFonts w:hint="eastAsia"/>
              </w:rPr>
              <w:t>的分部分项工程和单价措施项目清单和其他项目清单</w:t>
            </w:r>
            <w:r>
              <w:t>。即使按照图纸和招标范围的约定并不存在的</w:t>
            </w:r>
            <w:r>
              <w:rPr>
                <w:rFonts w:hint="eastAsia"/>
              </w:rPr>
              <w:t>子目</w:t>
            </w:r>
            <w:r>
              <w:t>，只要在招标人提供的</w:t>
            </w:r>
            <w:r>
              <w:rPr>
                <w:rFonts w:hint="eastAsia"/>
              </w:rPr>
              <w:t>分部分项</w:t>
            </w:r>
            <w:r>
              <w:t>工程量清单中已经列明，投标人都需要对其报价，并纳入投标总价的计算。</w:t>
            </w:r>
          </w:p>
        </w:tc>
      </w:tr>
      <w:tr>
        <w:tblPrEx>
          <w:tblCellMar>
            <w:top w:w="0" w:type="dxa"/>
            <w:left w:w="108" w:type="dxa"/>
            <w:bottom w:w="0" w:type="dxa"/>
            <w:right w:w="108" w:type="dxa"/>
          </w:tblCellMar>
        </w:tblPrEx>
        <w:tc>
          <w:tcPr>
            <w:tcW w:w="8280" w:type="dxa"/>
            <w:gridSpan w:val="2"/>
          </w:tcPr>
          <w:p>
            <w:pPr>
              <w:spacing w:line="360" w:lineRule="auto"/>
              <w:ind w:left="0" w:firstLine="0"/>
            </w:pPr>
            <w:bookmarkStart w:id="2718" w:name="_Toc362252990"/>
            <w:r>
              <w:rPr>
                <w:rFonts w:hint="eastAsia"/>
              </w:rPr>
              <w:t>3.2 工程量差异调整（适用于总价合同）</w:t>
            </w:r>
            <w:bookmarkEnd w:id="2718"/>
          </w:p>
        </w:tc>
      </w:tr>
      <w:tr>
        <w:tblPrEx>
          <w:tblCellMar>
            <w:top w:w="0" w:type="dxa"/>
            <w:left w:w="108" w:type="dxa"/>
            <w:bottom w:w="0" w:type="dxa"/>
            <w:right w:w="108" w:type="dxa"/>
          </w:tblCellMar>
        </w:tblPrEx>
        <w:tc>
          <w:tcPr>
            <w:tcW w:w="884" w:type="dxa"/>
          </w:tcPr>
          <w:p>
            <w:pPr>
              <w:spacing w:line="360" w:lineRule="auto"/>
              <w:ind w:left="0" w:firstLine="0"/>
            </w:pPr>
            <w:r>
              <w:rPr>
                <w:rFonts w:hint="eastAsia"/>
              </w:rPr>
              <w:t>3</w:t>
            </w:r>
            <w:r>
              <w:t>.</w:t>
            </w:r>
            <w:r>
              <w:rPr>
                <w:rFonts w:hint="eastAsia"/>
              </w:rPr>
              <w:t>2.1</w:t>
            </w:r>
          </w:p>
        </w:tc>
        <w:tc>
          <w:tcPr>
            <w:tcW w:w="7396" w:type="dxa"/>
          </w:tcPr>
          <w:p>
            <w:pPr>
              <w:spacing w:line="360" w:lineRule="auto"/>
              <w:ind w:left="0" w:firstLine="0"/>
            </w:pPr>
            <w:r>
              <w:rPr>
                <w:rFonts w:hint="eastAsia"/>
              </w:rPr>
              <w:t>已标价</w:t>
            </w:r>
            <w:r>
              <w:t>工程量清单中的工作</w:t>
            </w:r>
            <w:r>
              <w:rPr>
                <w:rFonts w:hint="eastAsia"/>
              </w:rPr>
              <w:t>内容分类、子目列项</w:t>
            </w:r>
            <w:r>
              <w:t>、</w:t>
            </w:r>
            <w:r>
              <w:rPr>
                <w:rFonts w:hint="eastAsia"/>
              </w:rPr>
              <w:t>特征</w:t>
            </w:r>
            <w:r>
              <w:t>描述以及</w:t>
            </w:r>
            <w:r>
              <w:rPr>
                <w:rFonts w:hint="eastAsia"/>
              </w:rPr>
              <w:t>“</w:t>
            </w:r>
            <w:r>
              <w:t>分部分项工程</w:t>
            </w:r>
            <w:r>
              <w:rPr>
                <w:rFonts w:hint="eastAsia"/>
              </w:rPr>
              <w:t>和单价措施项目</w:t>
            </w:r>
            <w:r>
              <w:t>清单</w:t>
            </w:r>
            <w:r>
              <w:rPr>
                <w:rFonts w:hint="eastAsia"/>
              </w:rPr>
              <w:t>与计价表”</w:t>
            </w:r>
            <w:r>
              <w:t>中附带的工程量都不应理解为是对</w:t>
            </w:r>
            <w:r>
              <w:rPr>
                <w:rFonts w:hint="eastAsia"/>
              </w:rPr>
              <w:t>承包（</w:t>
            </w:r>
            <w:r>
              <w:t>招标</w:t>
            </w:r>
            <w:r>
              <w:rPr>
                <w:rFonts w:hint="eastAsia"/>
              </w:rPr>
              <w:t>）</w:t>
            </w:r>
            <w:r>
              <w:t>范围</w:t>
            </w:r>
            <w:r>
              <w:rPr>
                <w:rFonts w:hint="eastAsia"/>
              </w:rPr>
              <w:t>以及</w:t>
            </w:r>
            <w:r>
              <w:t>合同工作内容的唯一的、最终的或全部的定义。</w:t>
            </w:r>
          </w:p>
        </w:tc>
      </w:tr>
      <w:tr>
        <w:tblPrEx>
          <w:tblCellMar>
            <w:top w:w="0" w:type="dxa"/>
            <w:left w:w="108" w:type="dxa"/>
            <w:bottom w:w="0" w:type="dxa"/>
            <w:right w:w="108" w:type="dxa"/>
          </w:tblCellMar>
        </w:tblPrEx>
        <w:tc>
          <w:tcPr>
            <w:tcW w:w="884" w:type="dxa"/>
          </w:tcPr>
          <w:p>
            <w:pPr>
              <w:spacing w:line="360" w:lineRule="auto"/>
              <w:ind w:left="0" w:firstLine="0"/>
            </w:pPr>
            <w:r>
              <w:rPr>
                <w:rFonts w:hint="eastAsia"/>
              </w:rPr>
              <w:t>3</w:t>
            </w:r>
            <w:r>
              <w:t>.</w:t>
            </w:r>
            <w:r>
              <w:rPr>
                <w:rFonts w:hint="eastAsia"/>
              </w:rPr>
              <w:t>2.2</w:t>
            </w:r>
          </w:p>
        </w:tc>
        <w:tc>
          <w:tcPr>
            <w:tcW w:w="7396" w:type="dxa"/>
          </w:tcPr>
          <w:p>
            <w:pPr>
              <w:spacing w:line="360" w:lineRule="auto"/>
              <w:ind w:left="0" w:firstLine="0"/>
            </w:pPr>
            <w:r>
              <w:t>投标人</w:t>
            </w:r>
            <w:r>
              <w:rPr>
                <w:rFonts w:hint="eastAsia"/>
              </w:rPr>
              <w:t>应</w:t>
            </w:r>
            <w:r>
              <w:t>对招标工程量清单进行认真细致的复核。这种复核包括对招标人提供的</w:t>
            </w:r>
            <w:r>
              <w:rPr>
                <w:rFonts w:hint="eastAsia"/>
              </w:rPr>
              <w:t>工程量</w:t>
            </w:r>
            <w:r>
              <w:t>清单中的</w:t>
            </w:r>
            <w:r>
              <w:rPr>
                <w:rFonts w:hint="eastAsia"/>
              </w:rPr>
              <w:t>子目</w:t>
            </w:r>
            <w:r>
              <w:t>编码、</w:t>
            </w:r>
            <w:r>
              <w:rPr>
                <w:rFonts w:hint="eastAsia"/>
              </w:rPr>
              <w:t>子目名称、子目</w:t>
            </w:r>
            <w:r>
              <w:t>特征</w:t>
            </w:r>
            <w:r>
              <w:rPr>
                <w:rFonts w:hint="eastAsia"/>
              </w:rPr>
              <w:t>描述</w:t>
            </w:r>
            <w:r>
              <w:t>、计量单位</w:t>
            </w:r>
            <w:r>
              <w:rPr>
                <w:rFonts w:hint="eastAsia"/>
              </w:rPr>
              <w:t>、工程量</w:t>
            </w:r>
            <w:r>
              <w:t>的准确性以及可能存在的任何书写、打印错误进行检查和复核，特别是对</w:t>
            </w:r>
            <w:r>
              <w:rPr>
                <w:rFonts w:hint="eastAsia"/>
              </w:rPr>
              <w:t>“</w:t>
            </w:r>
            <w:r>
              <w:t>分部分项工程</w:t>
            </w:r>
            <w:r>
              <w:rPr>
                <w:rFonts w:hint="eastAsia"/>
              </w:rPr>
              <w:t>和单价措施项目</w:t>
            </w:r>
            <w:r>
              <w:t>清单</w:t>
            </w:r>
            <w:r>
              <w:rPr>
                <w:rFonts w:hint="eastAsia"/>
              </w:rPr>
              <w:t>与计价表”</w:t>
            </w:r>
            <w:r>
              <w:t>中每个工作</w:t>
            </w:r>
            <w:r>
              <w:rPr>
                <w:rFonts w:hint="eastAsia"/>
              </w:rPr>
              <w:t>项</w:t>
            </w:r>
            <w:r>
              <w:t>目的工程量进行重新计算和校核</w:t>
            </w:r>
            <w:r>
              <w:rPr>
                <w:rFonts w:hint="eastAsia"/>
              </w:rPr>
              <w:t>，对“总价措施项目</w:t>
            </w:r>
            <w:r>
              <w:t>清单</w:t>
            </w:r>
            <w:r>
              <w:rPr>
                <w:rFonts w:hint="eastAsia"/>
              </w:rPr>
              <w:t>与计价表”中列项</w:t>
            </w:r>
            <w:r>
              <w:t>进行校核。如果投标人经过检查和复核以后认为招标工程量清单存在差异，则投标人应将此类差异的详细情况连同按</w:t>
            </w:r>
            <w:r>
              <w:rPr>
                <w:rFonts w:hint="eastAsia"/>
              </w:rPr>
              <w:t>投标人须知</w:t>
            </w:r>
            <w:r>
              <w:t>规定提交的</w:t>
            </w:r>
            <w:r>
              <w:rPr>
                <w:rFonts w:hint="eastAsia"/>
              </w:rPr>
              <w:t>要求招标人澄清的其他</w:t>
            </w:r>
            <w:r>
              <w:t>问题一起提交给招标人，招标人</w:t>
            </w:r>
            <w:r>
              <w:rPr>
                <w:rFonts w:hint="eastAsia"/>
              </w:rPr>
              <w:t>在核实差异后</w:t>
            </w:r>
            <w:r>
              <w:t>将根据实际情况决定是否颁发工程量清单</w:t>
            </w:r>
            <w:r>
              <w:rPr>
                <w:rFonts w:hint="eastAsia"/>
              </w:rPr>
              <w:t>的补充和（或）修改文件</w:t>
            </w:r>
            <w:r>
              <w:t>。</w:t>
            </w:r>
          </w:p>
          <w:p>
            <w:pPr>
              <w:spacing w:line="360" w:lineRule="auto"/>
              <w:ind w:left="0" w:firstLine="0"/>
            </w:pPr>
            <w:r>
              <w:t>如果招标人</w:t>
            </w:r>
            <w:r>
              <w:rPr>
                <w:rFonts w:hint="eastAsia"/>
              </w:rPr>
              <w:t>在检查投标人提交的上述工程量清单差异问题后</w:t>
            </w:r>
            <w:r>
              <w:t>认为没有必要</w:t>
            </w:r>
            <w:r>
              <w:rPr>
                <w:rFonts w:hint="eastAsia"/>
              </w:rPr>
              <w:t>对招标</w:t>
            </w:r>
            <w:r>
              <w:t>工程量清单</w:t>
            </w:r>
            <w:r>
              <w:rPr>
                <w:rFonts w:hint="eastAsia"/>
              </w:rPr>
              <w:t>进行补充和（或）修改</w:t>
            </w:r>
            <w:r>
              <w:t>，</w:t>
            </w:r>
            <w:r>
              <w:rPr>
                <w:rFonts w:hint="eastAsia"/>
              </w:rPr>
              <w:t>或者</w:t>
            </w:r>
            <w:r>
              <w:t>招标人</w:t>
            </w:r>
            <w:r>
              <w:rPr>
                <w:rFonts w:hint="eastAsia"/>
              </w:rPr>
              <w:t>对招标</w:t>
            </w:r>
            <w:r>
              <w:t>工程量清单</w:t>
            </w:r>
            <w:r>
              <w:rPr>
                <w:rFonts w:hint="eastAsia"/>
              </w:rPr>
              <w:t>进行了补充和（或）修改</w:t>
            </w:r>
            <w:r>
              <w:t>，但投标人认为</w:t>
            </w:r>
            <w:r>
              <w:rPr>
                <w:rFonts w:hint="eastAsia"/>
              </w:rPr>
              <w:t>招标</w:t>
            </w:r>
            <w:r>
              <w:t>工程量清单中的工程量依然存在差异，</w:t>
            </w:r>
            <w:r>
              <w:rPr>
                <w:rFonts w:hint="eastAsia"/>
              </w:rPr>
              <w:t>却此类差异可能会对其投标报价的有效性产生重大影响，则投标人可以在投标截止时间前的任何时候将此类差异</w:t>
            </w:r>
            <w:r>
              <w:t>提交给招标人，招标人</w:t>
            </w:r>
            <w:r>
              <w:rPr>
                <w:rFonts w:hint="eastAsia"/>
              </w:rPr>
              <w:t>在核实差异后</w:t>
            </w:r>
            <w:r>
              <w:t>将根据实际情况决定是否颁发工程量清单</w:t>
            </w:r>
            <w:r>
              <w:rPr>
                <w:rFonts w:hint="eastAsia"/>
              </w:rPr>
              <w:t>的补充和（或）修改文件</w:t>
            </w:r>
            <w:r>
              <w:t>。</w:t>
            </w:r>
          </w:p>
        </w:tc>
      </w:tr>
      <w:tr>
        <w:tblPrEx>
          <w:tblCellMar>
            <w:top w:w="0" w:type="dxa"/>
            <w:left w:w="108" w:type="dxa"/>
            <w:bottom w:w="0" w:type="dxa"/>
            <w:right w:w="108" w:type="dxa"/>
          </w:tblCellMar>
        </w:tblPrEx>
        <w:tc>
          <w:tcPr>
            <w:tcW w:w="884" w:type="dxa"/>
          </w:tcPr>
          <w:p>
            <w:pPr>
              <w:spacing w:line="360" w:lineRule="auto"/>
              <w:ind w:left="0" w:firstLine="0"/>
            </w:pPr>
            <w:r>
              <w:rPr>
                <w:rFonts w:hint="eastAsia"/>
              </w:rPr>
              <w:t>3</w:t>
            </w:r>
            <w:r>
              <w:t>.</w:t>
            </w:r>
            <w:r>
              <w:rPr>
                <w:rFonts w:hint="eastAsia"/>
              </w:rPr>
              <w:t>2.3</w:t>
            </w:r>
          </w:p>
        </w:tc>
        <w:tc>
          <w:tcPr>
            <w:tcW w:w="7396" w:type="dxa"/>
          </w:tcPr>
          <w:p>
            <w:pPr>
              <w:spacing w:line="360" w:lineRule="auto"/>
              <w:ind w:left="0" w:firstLine="0"/>
            </w:pPr>
            <w:r>
              <w:rPr>
                <w:rFonts w:hint="eastAsia"/>
              </w:rPr>
              <w:t>投标人应当</w:t>
            </w:r>
            <w:r>
              <w:t>按招标工程量清单</w:t>
            </w:r>
            <w:r>
              <w:rPr>
                <w:rFonts w:hint="eastAsia"/>
              </w:rPr>
              <w:t>（包括招标人可能的补充和（或）修改）</w:t>
            </w:r>
            <w:r>
              <w:t>进行</w:t>
            </w:r>
            <w:r>
              <w:rPr>
                <w:rFonts w:hint="eastAsia"/>
              </w:rPr>
              <w:t>投标</w:t>
            </w:r>
            <w:r>
              <w:t>报价。投标人在按照</w:t>
            </w:r>
            <w:r>
              <w:rPr>
                <w:rFonts w:hint="eastAsia"/>
              </w:rPr>
              <w:t>招标</w:t>
            </w:r>
            <w:r>
              <w:t>工程量清单进行报价时</w:t>
            </w:r>
            <w:r>
              <w:rPr>
                <w:rFonts w:hint="eastAsia"/>
              </w:rPr>
              <w:t>，除按照本节2.7.3项要求</w:t>
            </w:r>
            <w:r>
              <w:t>对</w:t>
            </w:r>
            <w:r>
              <w:rPr>
                <w:rFonts w:hint="eastAsia"/>
              </w:rPr>
              <w:t>招标人提供的总价</w:t>
            </w:r>
            <w:r>
              <w:t>措施项目清单的内容进行细化</w:t>
            </w:r>
            <w:r>
              <w:rPr>
                <w:rFonts w:hint="eastAsia"/>
              </w:rPr>
              <w:t>或增补外，</w:t>
            </w:r>
            <w:r>
              <w:t>不得</w:t>
            </w:r>
            <w:r>
              <w:rPr>
                <w:rFonts w:hint="eastAsia"/>
              </w:rPr>
              <w:t>改变（包括对工程量清单子目的子目名称、子目特征描述、计量单位以及工程量的任何修改、增加或减少）</w:t>
            </w:r>
            <w:r>
              <w:t>招标人提供</w:t>
            </w:r>
            <w:r>
              <w:rPr>
                <w:rFonts w:hint="eastAsia"/>
              </w:rPr>
              <w:t>的分部分项工程和单价措施项目清单和其他项目清单</w:t>
            </w:r>
            <w:r>
              <w:t>。即使按照图纸和招标范围的约定并不存在的</w:t>
            </w:r>
            <w:r>
              <w:rPr>
                <w:rFonts w:hint="eastAsia"/>
              </w:rPr>
              <w:t>子目</w:t>
            </w:r>
            <w:r>
              <w:t>，只要在招标人提供的</w:t>
            </w:r>
            <w:r>
              <w:rPr>
                <w:rFonts w:hint="eastAsia"/>
              </w:rPr>
              <w:t>分部分项</w:t>
            </w:r>
            <w:r>
              <w:t>工程量清单中已经列明，投标人都需要对其报价，并纳入投标总价的计算。</w:t>
            </w:r>
          </w:p>
        </w:tc>
      </w:tr>
      <w:tr>
        <w:tblPrEx>
          <w:tblCellMar>
            <w:top w:w="0" w:type="dxa"/>
            <w:left w:w="108" w:type="dxa"/>
            <w:bottom w:w="0" w:type="dxa"/>
            <w:right w:w="108" w:type="dxa"/>
          </w:tblCellMar>
        </w:tblPrEx>
        <w:tc>
          <w:tcPr>
            <w:tcW w:w="884" w:type="dxa"/>
          </w:tcPr>
          <w:p>
            <w:pPr>
              <w:spacing w:line="360" w:lineRule="auto"/>
              <w:ind w:left="0" w:firstLine="0"/>
            </w:pPr>
            <w:r>
              <w:rPr>
                <w:rFonts w:hint="eastAsia"/>
              </w:rPr>
              <w:t>3</w:t>
            </w:r>
            <w:r>
              <w:t>.</w:t>
            </w:r>
            <w:r>
              <w:rPr>
                <w:rFonts w:hint="eastAsia"/>
              </w:rPr>
              <w:t>2.4</w:t>
            </w:r>
          </w:p>
        </w:tc>
        <w:tc>
          <w:tcPr>
            <w:tcW w:w="7396" w:type="dxa"/>
          </w:tcPr>
          <w:p>
            <w:pPr>
              <w:spacing w:line="360" w:lineRule="auto"/>
              <w:ind w:left="0" w:firstLine="0"/>
            </w:pPr>
            <w:r>
              <w:rPr>
                <w:rFonts w:hint="eastAsia"/>
              </w:rPr>
              <w:t>投标人根据上文第3.2.2项针对“</w:t>
            </w:r>
            <w:r>
              <w:t>分部分项工程</w:t>
            </w:r>
            <w:r>
              <w:rPr>
                <w:rFonts w:hint="eastAsia"/>
              </w:rPr>
              <w:t>和单价措施项目</w:t>
            </w:r>
            <w:r>
              <w:t>清单</w:t>
            </w:r>
            <w:r>
              <w:rPr>
                <w:rFonts w:hint="eastAsia"/>
              </w:rPr>
              <w:t>与计价表”提交了工程量清单差异问题后，招标人未按照投标人所提交差异对招标工程量清单进行补充和（或）修改，或者招标人对招标</w:t>
            </w:r>
            <w:r>
              <w:t>工程量清单</w:t>
            </w:r>
            <w:r>
              <w:rPr>
                <w:rFonts w:hint="eastAsia"/>
              </w:rPr>
              <w:t>进行了补充和（或）修改</w:t>
            </w:r>
            <w:r>
              <w:t>，</w:t>
            </w:r>
            <w:r>
              <w:rPr>
                <w:rFonts w:hint="eastAsia"/>
              </w:rPr>
              <w:t>但与投标人所提交内容仍存在差异的，一旦该投标人成为中标人且在合同履行阶段此类差异经复核确实存在的，不论合同条款第15条如何约定，此类差异均应当视为变更，并按照合同约定的变更进行计量和计价。</w:t>
            </w:r>
          </w:p>
        </w:tc>
      </w:tr>
      <w:tr>
        <w:tblPrEx>
          <w:tblCellMar>
            <w:top w:w="0" w:type="dxa"/>
            <w:left w:w="108" w:type="dxa"/>
            <w:bottom w:w="0" w:type="dxa"/>
            <w:right w:w="108" w:type="dxa"/>
          </w:tblCellMar>
        </w:tblPrEx>
        <w:tc>
          <w:tcPr>
            <w:tcW w:w="8280" w:type="dxa"/>
            <w:gridSpan w:val="2"/>
          </w:tcPr>
          <w:p>
            <w:pPr>
              <w:spacing w:line="360" w:lineRule="auto"/>
              <w:ind w:left="0" w:firstLine="0"/>
            </w:pPr>
            <w:bookmarkStart w:id="2719" w:name="_Toc362252991"/>
            <w:bookmarkStart w:id="2720" w:name="_Toc342296524"/>
            <w:r>
              <w:rPr>
                <w:rFonts w:hint="eastAsia"/>
              </w:rPr>
              <w:t>3.3 暂列金额和暂估价</w:t>
            </w:r>
            <w:bookmarkEnd w:id="2719"/>
            <w:bookmarkEnd w:id="2720"/>
          </w:p>
        </w:tc>
      </w:tr>
      <w:tr>
        <w:tc>
          <w:tcPr>
            <w:tcW w:w="884" w:type="dxa"/>
          </w:tcPr>
          <w:p>
            <w:pPr>
              <w:spacing w:line="360" w:lineRule="auto"/>
              <w:ind w:left="0" w:firstLine="0"/>
            </w:pPr>
            <w:r>
              <w:rPr>
                <w:rFonts w:hint="eastAsia"/>
              </w:rPr>
              <w:t>3.3.1</w:t>
            </w:r>
          </w:p>
        </w:tc>
        <w:tc>
          <w:tcPr>
            <w:tcW w:w="7396" w:type="dxa"/>
          </w:tcPr>
          <w:p>
            <w:pPr>
              <w:spacing w:line="360" w:lineRule="auto"/>
              <w:ind w:left="0" w:firstLine="0"/>
            </w:pPr>
            <w:r>
              <w:rPr>
                <w:rFonts w:hint="eastAsia"/>
              </w:rPr>
              <w:t>“暂列金额明细表”中所列暂列金额（不包括计日工金额）中已经包含与其对应的企业管理费、利润和规费，但不含税金</w:t>
            </w:r>
            <w:r>
              <w:t>。</w:t>
            </w:r>
            <w:r>
              <w:rPr>
                <w:rFonts w:hint="eastAsia"/>
              </w:rPr>
              <w:t>投标人应按本招标文件规定将此类暂列金额直接纳入其他项目清单的投标价格并计取相应的税金，不需要考虑除税金以外的其他任何费用。</w:t>
            </w:r>
          </w:p>
        </w:tc>
      </w:tr>
      <w:tr>
        <w:tblPrEx>
          <w:tblCellMar>
            <w:top w:w="0" w:type="dxa"/>
            <w:left w:w="108" w:type="dxa"/>
            <w:bottom w:w="0" w:type="dxa"/>
            <w:right w:w="108" w:type="dxa"/>
          </w:tblCellMar>
        </w:tblPrEx>
        <w:tc>
          <w:tcPr>
            <w:tcW w:w="884" w:type="dxa"/>
          </w:tcPr>
          <w:p>
            <w:pPr>
              <w:spacing w:line="360" w:lineRule="auto"/>
              <w:ind w:left="0" w:firstLine="0"/>
            </w:pPr>
            <w:r>
              <w:rPr>
                <w:rFonts w:hint="eastAsia"/>
              </w:rPr>
              <w:t>3.3.2</w:t>
            </w:r>
          </w:p>
        </w:tc>
        <w:tc>
          <w:tcPr>
            <w:tcW w:w="7396" w:type="dxa"/>
          </w:tcPr>
          <w:p>
            <w:pPr>
              <w:spacing w:line="360" w:lineRule="auto"/>
              <w:ind w:left="0" w:firstLine="0"/>
            </w:pPr>
            <w:r>
              <w:rPr>
                <w:rFonts w:hint="eastAsia"/>
              </w:rPr>
              <w:t>“材料和工程设备暂估价表”中所列的材料和工程设备暂估价是此类</w:t>
            </w:r>
            <w:r>
              <w:t>材料、工程设备本身运至施工现场</w:t>
            </w:r>
            <w:r>
              <w:rPr>
                <w:rFonts w:hint="eastAsia"/>
              </w:rPr>
              <w:t>内的</w:t>
            </w:r>
            <w:r>
              <w:t>工地地面价</w:t>
            </w:r>
            <w:r>
              <w:rPr>
                <w:rFonts w:hint="eastAsia"/>
              </w:rPr>
              <w:t>，</w:t>
            </w:r>
            <w:r>
              <w:t>不包括</w:t>
            </w:r>
            <w:r>
              <w:rPr>
                <w:rFonts w:hint="eastAsia"/>
              </w:rPr>
              <w:t>其本身所对应的企业管理费、利润、规费、税金以及</w:t>
            </w:r>
            <w:r>
              <w:t>这些材料</w:t>
            </w:r>
            <w:r>
              <w:rPr>
                <w:rFonts w:hint="eastAsia"/>
              </w:rPr>
              <w:t>和</w:t>
            </w:r>
            <w:r>
              <w:t>工程设备的安装、安装所</w:t>
            </w:r>
            <w:r>
              <w:rPr>
                <w:rFonts w:hint="eastAsia"/>
              </w:rPr>
              <w:t>需要</w:t>
            </w:r>
            <w:r>
              <w:t>的辅助材料、</w:t>
            </w:r>
            <w:r>
              <w:rPr>
                <w:rFonts w:hint="eastAsia"/>
              </w:rPr>
              <w:t>安装损耗、</w:t>
            </w:r>
            <w:r>
              <w:t>驻厂监造以及发生在现场内的验收、存储、保管、开箱、二次倒运、从存放地点运至安装地点以及其他任何必要的辅助工作（以下简称“</w:t>
            </w:r>
            <w:r>
              <w:rPr>
                <w:rFonts w:hint="eastAsia"/>
              </w:rPr>
              <w:t>暂估价材料和工程设备</w:t>
            </w:r>
            <w:r>
              <w:t>的安装及辅助工作”）所发生的费用</w:t>
            </w:r>
            <w:r>
              <w:rPr>
                <w:rFonts w:hint="eastAsia"/>
              </w:rPr>
              <w:t>及其对应的企业管理费、利润、规费和税金</w:t>
            </w:r>
            <w:r>
              <w:t>。</w:t>
            </w:r>
            <w:r>
              <w:rPr>
                <w:rFonts w:hint="eastAsia"/>
              </w:rPr>
              <w:t>除应按本招标文件规定将此类暂估价本身纳入分部分项工程量清单相应子目的综合单价以外，</w:t>
            </w:r>
            <w:r>
              <w:t>投标人</w:t>
            </w:r>
            <w:r>
              <w:rPr>
                <w:rFonts w:hint="eastAsia"/>
              </w:rPr>
              <w:t>还</w:t>
            </w:r>
            <w:r>
              <w:t>应将上述</w:t>
            </w:r>
            <w:r>
              <w:rPr>
                <w:rFonts w:hint="eastAsia"/>
              </w:rPr>
              <w:t>材料和工程设备</w:t>
            </w:r>
            <w:r>
              <w:t>的安装及辅助工作所发生的费用以及与此类费用有关的</w:t>
            </w:r>
            <w:r>
              <w:rPr>
                <w:rFonts w:hint="eastAsia"/>
              </w:rPr>
              <w:t>企业管理费和利润</w:t>
            </w:r>
            <w:r>
              <w:t>包含在</w:t>
            </w:r>
            <w:r>
              <w:rPr>
                <w:rFonts w:hint="eastAsia"/>
              </w:rPr>
              <w:t>分部分项工程量清单相应子目的综合单价中，并计取相应的规费和</w:t>
            </w:r>
            <w:r>
              <w:t>税金。</w:t>
            </w:r>
          </w:p>
          <w:p>
            <w:pPr>
              <w:spacing w:line="360" w:lineRule="auto"/>
              <w:ind w:left="0" w:firstLine="0"/>
            </w:pPr>
            <w:r>
              <w:rPr>
                <w:rFonts w:hint="eastAsia"/>
              </w:rPr>
              <w:t>招标人在“材料和工程设备暂估价表”中给定的损耗率是北京市工程造价管理部门发布的现行预算定额规定的损耗率，定额中没有的，系招标人通过市场调查合理确定的损耗率。</w:t>
            </w:r>
          </w:p>
          <w:p>
            <w:pPr>
              <w:spacing w:line="360" w:lineRule="auto"/>
              <w:ind w:left="0" w:firstLine="0"/>
            </w:pPr>
            <w:r>
              <w:t>投标人</w:t>
            </w:r>
            <w:r>
              <w:rPr>
                <w:rFonts w:hint="eastAsia"/>
              </w:rPr>
              <w:t>可以直接采用招标人给定的损耗率，也可以根据自身管理水平填报“材料和工程设备暂估价表”中损耗率并计算出相应的合价，但是，投标人填报的损耗率应当与其综合单价分析表所反映的损耗率一致，不一致时以综合单价分析表中其实际采用的损耗率为准。</w:t>
            </w:r>
          </w:p>
          <w:p>
            <w:pPr>
              <w:spacing w:line="360" w:lineRule="auto"/>
              <w:ind w:left="0" w:firstLine="0"/>
            </w:pPr>
            <w:r>
              <w:rPr>
                <w:rFonts w:hint="eastAsia"/>
              </w:rPr>
              <w:t>“材料和工程设备暂估价表”中所列的材料和工程设备，其完工结算数量为按照合同图纸（含变更）和合同约定的工程量计算规则所计算得出的数量加上按照下述原则确定的损耗率所计算出的损耗量，实际消耗量超出完工结算数量的，其超出部分的费用由分包人承担。</w:t>
            </w:r>
          </w:p>
          <w:p>
            <w:pPr>
              <w:spacing w:line="360" w:lineRule="auto"/>
              <w:ind w:left="0" w:firstLine="0"/>
            </w:pPr>
            <w:r>
              <w:rPr>
                <w:rFonts w:hint="eastAsia"/>
              </w:rPr>
              <w:t>当已标价工程量清单中分包人填报的损耗率大于承包人（招标人）给定的损耗率的，采用承包人（招标人）给定的损耗率。</w:t>
            </w:r>
          </w:p>
          <w:p>
            <w:pPr>
              <w:spacing w:line="360" w:lineRule="auto"/>
              <w:ind w:left="0" w:firstLine="0"/>
            </w:pPr>
            <w:r>
              <w:rPr>
                <w:rFonts w:hint="eastAsia"/>
              </w:rPr>
              <w:t>当已标价工程量清单中分包人填报的损耗率小于承包人（招标人）给定的损耗率的，采用已标价工程量清单中分包人填报的损耗率。</w:t>
            </w:r>
          </w:p>
        </w:tc>
      </w:tr>
      <w:tr>
        <w:tblPrEx>
          <w:tblCellMar>
            <w:top w:w="0" w:type="dxa"/>
            <w:left w:w="108" w:type="dxa"/>
            <w:bottom w:w="0" w:type="dxa"/>
            <w:right w:w="108" w:type="dxa"/>
          </w:tblCellMar>
        </w:tblPrEx>
        <w:tc>
          <w:tcPr>
            <w:tcW w:w="8280" w:type="dxa"/>
            <w:gridSpan w:val="2"/>
          </w:tcPr>
          <w:p>
            <w:pPr>
              <w:spacing w:line="360" w:lineRule="auto"/>
              <w:ind w:left="0" w:firstLine="0"/>
              <w:rPr>
                <w:b/>
                <w:bCs/>
              </w:rPr>
            </w:pPr>
            <w:bookmarkStart w:id="2721" w:name="_Toc362252992"/>
            <w:bookmarkStart w:id="2722" w:name="_Toc342296525"/>
            <w:r>
              <w:rPr>
                <w:rFonts w:hint="eastAsia"/>
                <w:b/>
                <w:bCs/>
              </w:rPr>
              <w:t>3.4其他补充说明</w:t>
            </w:r>
            <w:bookmarkEnd w:id="2721"/>
            <w:bookmarkEnd w:id="2722"/>
            <w:r>
              <w:rPr>
                <w:rFonts w:hint="eastAsia"/>
                <w:b/>
                <w:bCs/>
              </w:rPr>
              <w:t>：</w:t>
            </w:r>
          </w:p>
          <w:p>
            <w:pPr>
              <w:spacing w:line="360" w:lineRule="auto"/>
              <w:rPr>
                <w:b/>
                <w:bCs/>
              </w:rPr>
            </w:pPr>
            <w:r>
              <w:rPr>
                <w:rFonts w:hint="eastAsia"/>
                <w:b/>
                <w:bCs/>
              </w:rPr>
              <w:t>1）、供应商按照采购人提供的工程量清单进行报价，本表将有可能在成交公告中公开，请报价人仔细填写。</w:t>
            </w:r>
          </w:p>
          <w:p>
            <w:pPr>
              <w:spacing w:after="97" w:line="360" w:lineRule="auto"/>
              <w:rPr>
                <w:b/>
                <w:bCs/>
                <w:szCs w:val="24"/>
              </w:rPr>
            </w:pPr>
            <w:r>
              <w:rPr>
                <w:b/>
                <w:bCs/>
                <w:szCs w:val="24"/>
              </w:rPr>
              <w:t>2</w:t>
            </w:r>
            <w:r>
              <w:rPr>
                <w:rFonts w:hint="eastAsia"/>
                <w:b/>
                <w:bCs/>
                <w:szCs w:val="24"/>
              </w:rPr>
              <w:t xml:space="preserve">）、以上内容总价须与《报价一览表》一致。 </w:t>
            </w:r>
          </w:p>
          <w:p>
            <w:pPr>
              <w:spacing w:after="97" w:line="360" w:lineRule="auto"/>
              <w:ind w:right="160" w:hangingChars="4"/>
              <w:rPr>
                <w:szCs w:val="24"/>
              </w:rPr>
            </w:pPr>
            <w:r>
              <w:rPr>
                <w:b/>
                <w:bCs/>
                <w:szCs w:val="24"/>
              </w:rPr>
              <w:t>3</w:t>
            </w:r>
            <w:r>
              <w:rPr>
                <w:rFonts w:hint="eastAsia"/>
                <w:b/>
                <w:bCs/>
                <w:szCs w:val="24"/>
              </w:rPr>
              <w:t>）、供应商报价时不得更改采购发出的工程量清单数量。</w:t>
            </w:r>
          </w:p>
        </w:tc>
      </w:tr>
    </w:tbl>
    <w:p>
      <w:pPr>
        <w:pStyle w:val="2"/>
        <w:spacing w:line="360" w:lineRule="auto"/>
        <w:ind w:left="0" w:leftChars="0" w:firstLine="0" w:firstLineChars="0"/>
        <w:outlineLvl w:val="2"/>
        <w:rPr>
          <w:b/>
          <w:bCs/>
        </w:rPr>
      </w:pPr>
      <w:bookmarkStart w:id="2723" w:name="_Toc79057562"/>
      <w:bookmarkStart w:id="2724" w:name="_Toc77206899"/>
      <w:r>
        <w:rPr>
          <w:rFonts w:hint="eastAsia"/>
          <w:b/>
          <w:bCs/>
        </w:rPr>
        <w:t>4、工程量清单及计价表（详见附件）</w:t>
      </w:r>
      <w:bookmarkEnd w:id="2723"/>
      <w:bookmarkEnd w:id="2724"/>
    </w:p>
    <w:p>
      <w:pPr>
        <w:spacing w:after="26" w:line="360" w:lineRule="auto"/>
        <w:ind w:left="0" w:firstLine="0"/>
        <w:rPr>
          <w:szCs w:val="24"/>
        </w:rPr>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5"/>
        <w:rPr>
          <w:rFonts w:ascii="宋体" w:hAnsi="宋体"/>
          <w:bCs/>
          <w:sz w:val="24"/>
          <w:szCs w:val="24"/>
        </w:rPr>
      </w:pPr>
      <w:bookmarkStart w:id="2725" w:name="_Toc16500"/>
      <w:bookmarkStart w:id="2726" w:name="_Toc86825548"/>
      <w:bookmarkStart w:id="2727" w:name="_Toc77206900"/>
      <w:bookmarkStart w:id="2728" w:name="_Toc79057563"/>
      <w:r>
        <w:rPr>
          <w:rFonts w:hint="eastAsia" w:ascii="宋体" w:hAnsi="宋体"/>
          <w:bCs/>
          <w:sz w:val="24"/>
          <w:szCs w:val="24"/>
        </w:rPr>
        <w:t>二、资格性、符合性响应文件</w:t>
      </w:r>
      <w:bookmarkEnd w:id="2725"/>
      <w:bookmarkEnd w:id="2726"/>
      <w:bookmarkEnd w:id="2727"/>
      <w:bookmarkEnd w:id="2728"/>
    </w:p>
    <w:p>
      <w:pPr>
        <w:pStyle w:val="6"/>
        <w:spacing w:line="360" w:lineRule="auto"/>
        <w:rPr>
          <w:b/>
          <w:bCs/>
          <w:sz w:val="24"/>
          <w:szCs w:val="24"/>
        </w:rPr>
      </w:pPr>
      <w:bookmarkStart w:id="2729" w:name="_Toc7005"/>
      <w:bookmarkStart w:id="2730" w:name="_Toc77206901"/>
      <w:bookmarkStart w:id="2731" w:name="_Toc79057564"/>
      <w:r>
        <w:rPr>
          <w:rFonts w:hint="eastAsia"/>
          <w:b/>
          <w:bCs/>
          <w:sz w:val="24"/>
          <w:szCs w:val="24"/>
        </w:rPr>
        <w:t>（四）、资格证明文件</w:t>
      </w:r>
      <w:bookmarkEnd w:id="2729"/>
      <w:bookmarkEnd w:id="2730"/>
      <w:bookmarkEnd w:id="2731"/>
    </w:p>
    <w:p>
      <w:pPr>
        <w:spacing w:after="106" w:line="360" w:lineRule="auto"/>
        <w:ind w:left="170" w:hanging="4"/>
        <w:rPr>
          <w:szCs w:val="24"/>
        </w:rPr>
      </w:pPr>
      <w:r>
        <w:rPr>
          <w:rFonts w:hint="eastAsia"/>
          <w:szCs w:val="24"/>
        </w:rPr>
        <w:t xml:space="preserve">1.具备《政府采购法》第二十二条所规定的条件。已提供以下材料： </w:t>
      </w:r>
    </w:p>
    <w:p>
      <w:pPr>
        <w:numPr>
          <w:ilvl w:val="0"/>
          <w:numId w:val="5"/>
        </w:numPr>
        <w:spacing w:after="3" w:line="360" w:lineRule="auto"/>
        <w:ind w:hanging="4"/>
        <w:rPr>
          <w:szCs w:val="24"/>
        </w:rPr>
      </w:pPr>
      <w:r>
        <w:rPr>
          <w:rFonts w:hint="eastAsia"/>
          <w:szCs w:val="24"/>
        </w:rPr>
        <w:t xml:space="preserve">上一年度财务报告或报表复印件（自然人除外）或银行出具的资信证明；投标人为新成立的，提供成立至今的月或季度财务报告或报表复印件。 </w:t>
      </w:r>
    </w:p>
    <w:p>
      <w:pPr>
        <w:numPr>
          <w:ilvl w:val="0"/>
          <w:numId w:val="5"/>
        </w:numPr>
        <w:spacing w:after="3" w:line="360" w:lineRule="auto"/>
        <w:ind w:hanging="4"/>
        <w:rPr>
          <w:szCs w:val="24"/>
        </w:rPr>
      </w:pPr>
      <w:r>
        <w:rPr>
          <w:rFonts w:hint="eastAsia"/>
          <w:szCs w:val="24"/>
        </w:rPr>
        <w:t xml:space="preserve">投标截止前六个月内任意一个月缴纳税收的凭据证明材料复印件；如依法免税的，应提供相应文件证明其依法免税； </w:t>
      </w:r>
    </w:p>
    <w:p>
      <w:pPr>
        <w:numPr>
          <w:ilvl w:val="0"/>
          <w:numId w:val="5"/>
        </w:numPr>
        <w:spacing w:after="3" w:line="360" w:lineRule="auto"/>
        <w:ind w:hanging="4"/>
        <w:rPr>
          <w:szCs w:val="24"/>
        </w:rPr>
      </w:pPr>
      <w:r>
        <w:rPr>
          <w:rFonts w:hint="eastAsia"/>
          <w:szCs w:val="24"/>
        </w:rPr>
        <w:t xml:space="preserve">投标截止前六个月内任意一个月缴纳社会保险的凭据证明材料复印件；如依法不需要缴纳社会保障资金的，应提供相应文件证明其依法不需要缴纳社会保障资金； </w:t>
      </w:r>
    </w:p>
    <w:p>
      <w:pPr>
        <w:numPr>
          <w:ilvl w:val="0"/>
          <w:numId w:val="5"/>
        </w:numPr>
        <w:spacing w:after="3" w:line="360" w:lineRule="auto"/>
        <w:ind w:hanging="4"/>
        <w:rPr>
          <w:szCs w:val="24"/>
        </w:rPr>
      </w:pPr>
      <w:r>
        <w:rPr>
          <w:rFonts w:hint="eastAsia"/>
          <w:szCs w:val="24"/>
        </w:rPr>
        <w:t xml:space="preserve">提供具有履行合同所必需的设备和专业技术能力的书面声明、提供参加政府采购活动前3年内在经营活动中没有重大违法记录的书面承诺书； </w:t>
      </w:r>
    </w:p>
    <w:p>
      <w:pPr>
        <w:spacing w:after="3" w:line="360" w:lineRule="auto"/>
        <w:ind w:left="170" w:hanging="4"/>
        <w:rPr>
          <w:szCs w:val="24"/>
        </w:rPr>
      </w:pPr>
      <w:r>
        <w:rPr>
          <w:rFonts w:hint="eastAsia"/>
          <w:szCs w:val="24"/>
        </w:rPr>
        <w:t>2.供应商必须是具有独立承担民事责任能力的在中华人民共和国境内注册的法人，投标时提交有效的企业法人营业执照（或事业法人登记证）副本复印件及相关资质复印件等。</w:t>
      </w:r>
    </w:p>
    <w:p>
      <w:pPr>
        <w:spacing w:after="3" w:line="360" w:lineRule="auto"/>
        <w:ind w:left="170" w:hanging="4"/>
        <w:rPr>
          <w:szCs w:val="24"/>
        </w:rPr>
      </w:pPr>
      <w:r>
        <w:rPr>
          <w:rFonts w:hint="eastAsia"/>
          <w:szCs w:val="24"/>
        </w:rPr>
        <w:t xml:space="preserve">3. 未列入失信被执行人、重大税收违法案件当事人名单、政府采购严重违法失信行为记录名单及其他不符合《中华人民共和国政府采购法》第二十二条规定条件的供应商，提供信用中国网站http：//www.creditchina.gov.cn/或中国政府采购网www.ccgp.gov.cn查询结果截图并加盖公章。 </w:t>
      </w:r>
    </w:p>
    <w:p>
      <w:pPr>
        <w:spacing w:line="360" w:lineRule="auto"/>
        <w:rPr>
          <w:szCs w:val="24"/>
        </w:rPr>
        <w:sectPr>
          <w:pgSz w:w="11904" w:h="16840"/>
          <w:pgMar w:top="1250" w:right="1295" w:bottom="1487" w:left="1237" w:header="879" w:footer="868" w:gutter="0"/>
          <w:cols w:space="720" w:num="1"/>
        </w:sectPr>
      </w:pPr>
    </w:p>
    <w:p>
      <w:pPr>
        <w:pStyle w:val="5"/>
        <w:jc w:val="left"/>
        <w:rPr>
          <w:rFonts w:ascii="宋体" w:hAnsi="宋体"/>
          <w:sz w:val="24"/>
          <w:szCs w:val="24"/>
        </w:rPr>
      </w:pPr>
      <w:bookmarkStart w:id="2732" w:name="_Toc86825549"/>
      <w:bookmarkStart w:id="2733" w:name="_Toc79057565"/>
      <w:bookmarkStart w:id="2734" w:name="_Toc77206902"/>
      <w:r>
        <w:rPr>
          <w:rFonts w:hint="eastAsia"/>
          <w:sz w:val="24"/>
          <w:szCs w:val="24"/>
        </w:rPr>
        <w:t>（五）、</w:t>
      </w:r>
      <w:r>
        <w:rPr>
          <w:sz w:val="24"/>
          <w:szCs w:val="24"/>
        </w:rPr>
        <w:t>资格声明函</w:t>
      </w:r>
      <w:bookmarkEnd w:id="2732"/>
      <w:bookmarkEnd w:id="2733"/>
      <w:bookmarkEnd w:id="2734"/>
    </w:p>
    <w:p>
      <w:pPr>
        <w:ind w:left="0" w:firstLine="0"/>
        <w:jc w:val="center"/>
      </w:pPr>
      <w:bookmarkStart w:id="2735" w:name="_Toc30527"/>
      <w:r>
        <w:t>资格声明函</w:t>
      </w:r>
      <w:bookmarkEnd w:id="2735"/>
    </w:p>
    <w:p>
      <w:pPr>
        <w:spacing w:after="88" w:line="360" w:lineRule="auto"/>
        <w:ind w:left="14" w:hanging="4"/>
        <w:rPr>
          <w:szCs w:val="24"/>
        </w:rPr>
      </w:pPr>
      <w:r>
        <w:rPr>
          <w:rFonts w:hint="eastAsia"/>
          <w:szCs w:val="24"/>
          <w:u w:val="single"/>
        </w:rPr>
        <w:t>北京市房山区人民防空办公室</w:t>
      </w:r>
      <w:r>
        <w:rPr>
          <w:szCs w:val="24"/>
        </w:rPr>
        <w:t xml:space="preserve">： </w:t>
      </w:r>
    </w:p>
    <w:p>
      <w:pPr>
        <w:spacing w:after="51" w:line="360" w:lineRule="auto"/>
        <w:ind w:firstLine="540"/>
        <w:rPr>
          <w:szCs w:val="24"/>
        </w:rPr>
      </w:pPr>
      <w:r>
        <w:rPr>
          <w:szCs w:val="24"/>
        </w:rPr>
        <w:t>我方愿响应</w:t>
      </w:r>
      <w:r>
        <w:rPr>
          <w:rFonts w:hint="eastAsia"/>
          <w:szCs w:val="24"/>
        </w:rPr>
        <w:t>贵方</w:t>
      </w:r>
      <w:r>
        <w:rPr>
          <w:szCs w:val="24"/>
        </w:rPr>
        <w:t>年月日发布的</w:t>
      </w:r>
      <w:r>
        <w:rPr>
          <w:rFonts w:hint="eastAsia"/>
          <w:szCs w:val="24"/>
          <w:u w:val="single" w:color="000000"/>
        </w:rPr>
        <w:t>北京市房山区人民防空办公室加州水郡西区、中冶蓝城地下人防工程维修工程</w:t>
      </w:r>
      <w:r>
        <w:rPr>
          <w:szCs w:val="24"/>
        </w:rPr>
        <w:t>（项目编号：</w:t>
      </w:r>
      <w:r>
        <w:rPr>
          <w:rFonts w:hint="eastAsia"/>
          <w:szCs w:val="24"/>
          <w:u w:val="single"/>
        </w:rPr>
        <w:t xml:space="preserve">           </w:t>
      </w:r>
      <w:r>
        <w:rPr>
          <w:szCs w:val="24"/>
        </w:rPr>
        <w:t xml:space="preserve">）投标邀请，参与投标，提供招标人需求中规定的全部内容，并按招标文件要求提交所附资格文件且声明和保证如下： </w:t>
      </w:r>
    </w:p>
    <w:p>
      <w:pPr>
        <w:numPr>
          <w:ilvl w:val="0"/>
          <w:numId w:val="6"/>
        </w:numPr>
        <w:spacing w:after="51" w:line="360" w:lineRule="auto"/>
        <w:ind w:hanging="420"/>
        <w:rPr>
          <w:szCs w:val="24"/>
        </w:rPr>
      </w:pPr>
      <w:r>
        <w:rPr>
          <w:szCs w:val="24"/>
        </w:rPr>
        <w:t xml:space="preserve">我方为本次投标所提交的所有证明我方资格的文件是真实的和正确的，并愿为其真实性和正确性承担法律责任；核验我方提供相关复印件与原件不一致的，或我方无法在规定时间内提供原件的，招标人或招标代理机构有权取消我方投标或中标资格； </w:t>
      </w:r>
    </w:p>
    <w:p>
      <w:pPr>
        <w:numPr>
          <w:ilvl w:val="0"/>
          <w:numId w:val="6"/>
        </w:numPr>
        <w:spacing w:after="46" w:line="360" w:lineRule="auto"/>
        <w:ind w:hanging="420"/>
        <w:rPr>
          <w:szCs w:val="24"/>
        </w:rPr>
      </w:pPr>
      <w:r>
        <w:rPr>
          <w:szCs w:val="24"/>
        </w:rPr>
        <w:t>我方在参与本次投标时，符合投标人资格条件要求及其他法律法规规定要求，具有履行合同所必需的设备</w:t>
      </w:r>
      <w:r>
        <w:rPr>
          <w:rFonts w:hint="eastAsia"/>
          <w:szCs w:val="24"/>
        </w:rPr>
        <w:t>、机械、劳务及</w:t>
      </w:r>
      <w:r>
        <w:rPr>
          <w:szCs w:val="24"/>
        </w:rPr>
        <w:t xml:space="preserve">专业技术能力。 </w:t>
      </w:r>
    </w:p>
    <w:p>
      <w:pPr>
        <w:numPr>
          <w:ilvl w:val="0"/>
          <w:numId w:val="6"/>
        </w:numPr>
        <w:spacing w:after="46" w:line="360" w:lineRule="auto"/>
        <w:ind w:hanging="420"/>
        <w:rPr>
          <w:szCs w:val="24"/>
        </w:rPr>
      </w:pPr>
      <w:r>
        <w:rPr>
          <w:szCs w:val="24"/>
        </w:rPr>
        <w:t>我方在参加本次投标近</w:t>
      </w:r>
      <w:r>
        <w:rPr>
          <w:rFonts w:hint="eastAsia"/>
          <w:szCs w:val="24"/>
          <w:u w:val="single" w:color="000000"/>
        </w:rPr>
        <w:t>3</w:t>
      </w:r>
      <w:r>
        <w:rPr>
          <w:szCs w:val="24"/>
        </w:rPr>
        <w:t xml:space="preserve">年内，在经营活动及参与招标投标活动中没有重大违法活动及涉嫌违规行为，并没有因而被有关部门警告或处分的记录。 </w:t>
      </w:r>
    </w:p>
    <w:p>
      <w:pPr>
        <w:numPr>
          <w:ilvl w:val="0"/>
          <w:numId w:val="6"/>
        </w:numPr>
        <w:spacing w:after="51" w:line="360" w:lineRule="auto"/>
        <w:ind w:hanging="420"/>
        <w:rPr>
          <w:szCs w:val="24"/>
        </w:rPr>
      </w:pPr>
      <w:r>
        <w:rPr>
          <w:szCs w:val="24"/>
        </w:rPr>
        <w:t xml:space="preserve">我方如中标，除不可抗力原因外，将在规定时间内与招标人签订合同。 </w:t>
      </w:r>
    </w:p>
    <w:p>
      <w:pPr>
        <w:spacing w:after="88" w:line="360" w:lineRule="auto"/>
        <w:ind w:left="434" w:hanging="4"/>
        <w:rPr>
          <w:szCs w:val="24"/>
        </w:rPr>
      </w:pPr>
      <w:r>
        <w:rPr>
          <w:szCs w:val="24"/>
        </w:rPr>
        <w:t xml:space="preserve">如有违反上述声明之情形，招标人有权取消我方中标资格并提交相关监管部门处理。 </w:t>
      </w:r>
    </w:p>
    <w:p>
      <w:pPr>
        <w:spacing w:after="88" w:line="360" w:lineRule="auto"/>
        <w:ind w:left="434" w:hanging="4"/>
        <w:rPr>
          <w:szCs w:val="24"/>
        </w:rPr>
      </w:pPr>
    </w:p>
    <w:p>
      <w:pPr>
        <w:spacing w:after="88" w:line="360" w:lineRule="auto"/>
        <w:ind w:left="434" w:hanging="4"/>
        <w:rPr>
          <w:szCs w:val="24"/>
        </w:rPr>
      </w:pPr>
    </w:p>
    <w:p>
      <w:pPr>
        <w:spacing w:line="360" w:lineRule="auto"/>
        <w:ind w:left="0" w:firstLine="0"/>
        <w:rPr>
          <w:szCs w:val="24"/>
        </w:rPr>
      </w:pPr>
      <w:r>
        <w:rPr>
          <w:szCs w:val="24"/>
        </w:rPr>
        <w:t xml:space="preserve">响应供应商全称（加盖公章）: </w:t>
      </w:r>
    </w:p>
    <w:p>
      <w:pPr>
        <w:spacing w:line="360" w:lineRule="auto"/>
        <w:ind w:left="0" w:firstLine="0"/>
        <w:rPr>
          <w:szCs w:val="24"/>
        </w:rPr>
      </w:pPr>
      <w:r>
        <w:rPr>
          <w:szCs w:val="24"/>
        </w:rPr>
        <w:t>法定代表人或其授权代表(签字</w:t>
      </w:r>
      <w:r>
        <w:rPr>
          <w:rFonts w:hint="eastAsia"/>
          <w:szCs w:val="24"/>
        </w:rPr>
        <w:t>或盖章</w:t>
      </w:r>
      <w:r>
        <w:rPr>
          <w:szCs w:val="24"/>
        </w:rPr>
        <w:t xml:space="preserve">)：                </w:t>
      </w:r>
    </w:p>
    <w:p>
      <w:pPr>
        <w:spacing w:line="360" w:lineRule="auto"/>
        <w:ind w:left="0" w:firstLine="0"/>
        <w:rPr>
          <w:szCs w:val="24"/>
        </w:rPr>
      </w:pPr>
      <w:r>
        <w:rPr>
          <w:szCs w:val="24"/>
        </w:rPr>
        <w:t xml:space="preserve">日    期：     年   月   日 </w:t>
      </w:r>
    </w:p>
    <w:p>
      <w:pPr>
        <w:spacing w:after="547" w:line="360" w:lineRule="auto"/>
        <w:ind w:left="434" w:hanging="4"/>
        <w:rPr>
          <w:szCs w:val="24"/>
        </w:rPr>
      </w:pPr>
    </w:p>
    <w:p>
      <w:pPr>
        <w:spacing w:after="547" w:line="360" w:lineRule="auto"/>
        <w:ind w:left="0" w:firstLine="0"/>
        <w:rPr>
          <w:szCs w:val="24"/>
        </w:rPr>
      </w:pPr>
    </w:p>
    <w:p>
      <w:pPr>
        <w:pStyle w:val="2"/>
        <w:spacing w:line="360" w:lineRule="auto"/>
        <w:ind w:left="0" w:leftChars="0" w:firstLine="0" w:firstLineChars="0"/>
      </w:pPr>
    </w:p>
    <w:p>
      <w:pPr>
        <w:pStyle w:val="2"/>
        <w:spacing w:line="360" w:lineRule="auto"/>
        <w:ind w:left="0" w:leftChars="0" w:firstLine="0" w:firstLineChars="0"/>
        <w:jc w:val="center"/>
        <w:outlineLvl w:val="2"/>
        <w:rPr>
          <w:b/>
          <w:bCs/>
        </w:rPr>
      </w:pPr>
      <w:bookmarkStart w:id="2736" w:name="_Toc77206903"/>
      <w:bookmarkStart w:id="2737" w:name="_Toc79057566"/>
      <w:r>
        <w:rPr>
          <w:rFonts w:hint="eastAsia"/>
          <w:b/>
          <w:bCs/>
        </w:rPr>
        <w:t>（六）、投标保证金汇款声明函</w:t>
      </w:r>
      <w:bookmarkEnd w:id="2736"/>
      <w:bookmarkEnd w:id="2737"/>
    </w:p>
    <w:p>
      <w:pPr>
        <w:jc w:val="center"/>
      </w:pPr>
      <w:bookmarkStart w:id="2738" w:name="_Toc1526"/>
      <w:r>
        <w:rPr>
          <w:rFonts w:hint="eastAsia"/>
        </w:rPr>
        <w:t>投标保证金汇款声明函（不适用）</w:t>
      </w:r>
      <w:bookmarkEnd w:id="2738"/>
    </w:p>
    <w:p>
      <w:pPr>
        <w:spacing w:line="360" w:lineRule="auto"/>
        <w:rPr>
          <w:szCs w:val="24"/>
        </w:rPr>
      </w:pPr>
    </w:p>
    <w:p>
      <w:pPr>
        <w:spacing w:after="88" w:line="360" w:lineRule="auto"/>
        <w:ind w:left="14" w:hanging="4"/>
        <w:jc w:val="both"/>
        <w:rPr>
          <w:szCs w:val="24"/>
        </w:rPr>
      </w:pPr>
      <w:r>
        <w:rPr>
          <w:rFonts w:hint="eastAsia"/>
          <w:szCs w:val="24"/>
        </w:rPr>
        <w:t>致：</w:t>
      </w:r>
      <w:r>
        <w:rPr>
          <w:rFonts w:hint="eastAsia"/>
          <w:bCs/>
          <w:szCs w:val="24"/>
          <w:u w:val="single"/>
        </w:rPr>
        <w:t>北京市房山区人民防空办公室</w:t>
      </w:r>
    </w:p>
    <w:p>
      <w:pPr>
        <w:spacing w:after="3" w:line="360" w:lineRule="auto"/>
        <w:ind w:firstLine="420"/>
        <w:jc w:val="both"/>
        <w:rPr>
          <w:szCs w:val="24"/>
        </w:rPr>
      </w:pPr>
      <w:r>
        <w:rPr>
          <w:rFonts w:hint="eastAsia"/>
          <w:szCs w:val="24"/>
        </w:rPr>
        <w:t>我方为</w:t>
      </w:r>
      <w:r>
        <w:rPr>
          <w:rFonts w:hint="eastAsia"/>
          <w:szCs w:val="24"/>
          <w:u w:val="single"/>
        </w:rPr>
        <w:t>北京市房山区人民防空办公室加州水郡西区、中冶蓝城地下人防工程维修工程</w:t>
      </w:r>
      <w:r>
        <w:rPr>
          <w:rFonts w:hint="eastAsia"/>
          <w:szCs w:val="24"/>
        </w:rPr>
        <w:t>项目（项目编号：</w:t>
      </w:r>
      <w:r>
        <w:rPr>
          <w:rFonts w:hint="eastAsia"/>
          <w:szCs w:val="24"/>
          <w:u w:val="single"/>
        </w:rPr>
        <w:t xml:space="preserve">       </w:t>
      </w:r>
      <w:r>
        <w:rPr>
          <w:rFonts w:hint="eastAsia"/>
          <w:szCs w:val="24"/>
        </w:rPr>
        <w:t>）递交投标保证金人民币</w:t>
      </w:r>
      <w:r>
        <w:rPr>
          <w:rFonts w:hint="eastAsia"/>
          <w:szCs w:val="24"/>
          <w:u w:val="single"/>
        </w:rPr>
        <w:t xml:space="preserve">        </w:t>
      </w:r>
      <w:r>
        <w:rPr>
          <w:rFonts w:hint="eastAsia"/>
          <w:szCs w:val="24"/>
        </w:rPr>
        <w:t>元（大写：</w:t>
      </w:r>
      <w:r>
        <w:rPr>
          <w:rFonts w:hint="eastAsia"/>
          <w:szCs w:val="24"/>
          <w:u w:val="single"/>
        </w:rPr>
        <w:t xml:space="preserve">            </w:t>
      </w:r>
      <w:r>
        <w:rPr>
          <w:rFonts w:hint="eastAsia"/>
          <w:szCs w:val="24"/>
        </w:rPr>
        <w:t>人民币元）已于年月日以银行主动划账方式划入你方账户。</w:t>
      </w:r>
    </w:p>
    <w:p>
      <w:pPr>
        <w:spacing w:after="3" w:line="360" w:lineRule="auto"/>
        <w:ind w:firstLine="420"/>
        <w:jc w:val="both"/>
        <w:rPr>
          <w:szCs w:val="24"/>
        </w:rPr>
      </w:pPr>
      <w:r>
        <w:rPr>
          <w:rFonts w:hint="eastAsia"/>
          <w:szCs w:val="24"/>
        </w:rPr>
        <w:t>详见附件：银行出具的汇款单或转账凭证复印件。</w:t>
      </w:r>
    </w:p>
    <w:p>
      <w:pPr>
        <w:spacing w:after="88" w:line="360" w:lineRule="auto"/>
        <w:ind w:left="434" w:hanging="4"/>
        <w:jc w:val="both"/>
        <w:rPr>
          <w:szCs w:val="24"/>
        </w:rPr>
      </w:pPr>
      <w:r>
        <w:rPr>
          <w:rFonts w:hint="eastAsia"/>
          <w:szCs w:val="24"/>
        </w:rPr>
        <w:t>退还保证金时请按以下内容划入我方账户。若因内容不全、错误、字迹潦草模糊导致该项目保证金未</w:t>
      </w:r>
    </w:p>
    <w:p>
      <w:pPr>
        <w:spacing w:after="3" w:line="360" w:lineRule="auto"/>
        <w:ind w:left="14" w:hanging="4"/>
        <w:jc w:val="both"/>
        <w:rPr>
          <w:szCs w:val="24"/>
        </w:rPr>
      </w:pPr>
      <w:r>
        <w:rPr>
          <w:rFonts w:hint="eastAsia"/>
          <w:szCs w:val="24"/>
        </w:rPr>
        <w:t>能及时退还或退还过程中发生错误，我方将自行承担全部责任和损失。</w:t>
      </w:r>
    </w:p>
    <w:tbl>
      <w:tblPr>
        <w:tblStyle w:val="36"/>
        <w:tblW w:w="9192" w:type="dxa"/>
        <w:tblInd w:w="159" w:type="dxa"/>
        <w:tblLayout w:type="autofit"/>
        <w:tblCellMar>
          <w:top w:w="94" w:type="dxa"/>
          <w:left w:w="222" w:type="dxa"/>
          <w:bottom w:w="0" w:type="dxa"/>
          <w:right w:w="115" w:type="dxa"/>
        </w:tblCellMar>
      </w:tblPr>
      <w:tblGrid>
        <w:gridCol w:w="861"/>
        <w:gridCol w:w="2754"/>
        <w:gridCol w:w="2954"/>
        <w:gridCol w:w="1356"/>
        <w:gridCol w:w="1267"/>
      </w:tblGrid>
      <w:tr>
        <w:tblPrEx>
          <w:tblCellMar>
            <w:top w:w="94" w:type="dxa"/>
            <w:left w:w="222" w:type="dxa"/>
            <w:bottom w:w="0" w:type="dxa"/>
            <w:right w:w="115" w:type="dxa"/>
          </w:tblCellMar>
        </w:tblPrEx>
        <w:trPr>
          <w:trHeight w:val="400" w:hRule="atLeast"/>
        </w:trPr>
        <w:tc>
          <w:tcPr>
            <w:tcW w:w="861"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105" w:firstLine="0"/>
              <w:jc w:val="center"/>
              <w:rPr>
                <w:szCs w:val="24"/>
              </w:rPr>
            </w:pPr>
            <w:r>
              <w:rPr>
                <w:szCs w:val="24"/>
              </w:rPr>
              <w:pict>
                <v:group id="Group 57903" o:spid="_x0000_s1026" o:spt="203" style="position:absolute;left:0pt;margin-left:16.5pt;margin-top:8.1pt;height:42pt;width:10.5pt;z-index:-251657216;mso-width-relative:page;mso-height-relative:page;" coordsize="0,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">
                  <o:lock v:ext="edit"/>
                  <v:rect id="Rectangle 4273" o:spid="_x0000_s1027" o:spt="1" style="position:absolute;left:0;top:0;height:0;width:0;rotation:5898239f;"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">
                    <v:path/>
                    <v:fill on="f" focussize="0,0"/>
                    <v:stroke on="f"/>
                    <v:imagedata o:title=""/>
                    <o:lock v:ext="edit"/>
                    <v:textbox inset="0mm,0mm,0mm,0mm" style="layout-flow:vertical-ideographic;">
                      <w:txbxContent>
                        <w:p>
                          <w:pPr>
                            <w:spacing w:after="160" w:line="259" w:lineRule="auto"/>
                            <w:ind w:left="0" w:firstLine="0"/>
                          </w:pPr>
                        </w:p>
                      </w:txbxContent>
                    </v:textbox>
                  </v:rect>
                  <v:rect id="Rectangle 4275" o:spid="_x0000_s1028" o:spt="1" style="position:absolute;left:0;top:0;height:0;width:0;rotation:5898239f;"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">
                    <v:path/>
                    <v:fill on="f" focussize="0,0"/>
                    <v:stroke on="f"/>
                    <v:imagedata o:title=""/>
                    <o:lock v:ext="edit"/>
                    <v:textbox inset="0mm,0mm,0mm,0mm" style="layout-flow:vertical-ideographic;">
                      <w:txbxContent>
                        <w:p>
                          <w:pPr>
                            <w:spacing w:after="160" w:line="259" w:lineRule="auto"/>
                            <w:ind w:left="0" w:firstLine="0"/>
                          </w:pPr>
                        </w:p>
                      </w:txbxContent>
                    </v:textbox>
                  </v:rect>
                  <v:rect id="Rectangle 4277" o:spid="_x0000_s1029" o:spt="1" style="position:absolute;left:0;top:0;height:0;width:0;rotation:5898239f;"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">
                    <v:path/>
                    <v:fill on="f" focussize="0,0"/>
                    <v:stroke on="f"/>
                    <v:imagedata o:title=""/>
                    <o:lock v:ext="edit"/>
                    <v:textbox inset="0mm,0mm,0mm,0mm" style="layout-flow:vertical-ideographic;">
                      <w:txbxContent>
                        <w:p>
                          <w:pPr>
                            <w:spacing w:after="160" w:line="259" w:lineRule="auto"/>
                            <w:ind w:left="0" w:firstLine="0"/>
                          </w:pPr>
                        </w:p>
                      </w:txbxContent>
                    </v:textbox>
                  </v:rect>
                </v:group>
              </w:pict>
            </w:r>
            <w:r>
              <w:rPr>
                <w:rFonts w:hint="eastAsia"/>
                <w:szCs w:val="24"/>
              </w:rPr>
              <w:t>收款人</w:t>
            </w:r>
          </w:p>
        </w:tc>
        <w:tc>
          <w:tcPr>
            <w:tcW w:w="2754" w:type="dxa"/>
            <w:tcBorders>
              <w:top w:val="single" w:color="000000" w:sz="4" w:space="0"/>
              <w:left w:val="single" w:color="000000" w:sz="4" w:space="0"/>
              <w:bottom w:val="single" w:color="000000" w:sz="4" w:space="0"/>
              <w:right w:val="single" w:color="000000" w:sz="4" w:space="0"/>
            </w:tcBorders>
          </w:tcPr>
          <w:p>
            <w:pPr>
              <w:spacing w:after="0" w:line="360" w:lineRule="auto"/>
              <w:ind w:left="0" w:right="107" w:firstLine="0"/>
              <w:jc w:val="center"/>
              <w:rPr>
                <w:szCs w:val="24"/>
              </w:rPr>
            </w:pPr>
            <w:r>
              <w:rPr>
                <w:rFonts w:hint="eastAsia"/>
                <w:szCs w:val="24"/>
              </w:rPr>
              <w:t xml:space="preserve">收款人名称 </w:t>
            </w:r>
          </w:p>
        </w:tc>
        <w:tc>
          <w:tcPr>
            <w:tcW w:w="5577" w:type="dxa"/>
            <w:gridSpan w:val="3"/>
            <w:tcBorders>
              <w:top w:val="single" w:color="000000" w:sz="4" w:space="0"/>
              <w:left w:val="single" w:color="000000" w:sz="4" w:space="0"/>
              <w:bottom w:val="single" w:color="000000" w:sz="4" w:space="0"/>
              <w:right w:val="single" w:color="000000" w:sz="4" w:space="0"/>
            </w:tcBorders>
          </w:tcPr>
          <w:p>
            <w:pPr>
              <w:spacing w:after="0" w:line="360" w:lineRule="auto"/>
              <w:ind w:left="0" w:right="2" w:firstLine="0"/>
              <w:jc w:val="center"/>
              <w:rPr>
                <w:szCs w:val="24"/>
              </w:rPr>
            </w:pPr>
          </w:p>
        </w:tc>
      </w:tr>
      <w:tr>
        <w:tblPrEx>
          <w:tblCellMar>
            <w:top w:w="94" w:type="dxa"/>
            <w:left w:w="222" w:type="dxa"/>
            <w:bottom w:w="0" w:type="dxa"/>
            <w:right w:w="115" w:type="dxa"/>
          </w:tblCellMar>
        </w:tblPrEx>
        <w:trPr>
          <w:trHeight w:val="400" w:hRule="atLeast"/>
        </w:trPr>
        <w:tc>
          <w:tcPr>
            <w:tcW w:w="0" w:type="auto"/>
            <w:vMerge w:val="continue"/>
            <w:tcBorders>
              <w:top w:val="nil"/>
              <w:left w:val="single" w:color="000000" w:sz="4" w:space="0"/>
              <w:bottom w:val="nil"/>
              <w:right w:val="single" w:color="000000" w:sz="4" w:space="0"/>
            </w:tcBorders>
          </w:tcPr>
          <w:p>
            <w:pPr>
              <w:spacing w:after="160" w:line="360" w:lineRule="auto"/>
              <w:ind w:left="0" w:firstLine="0"/>
              <w:rPr>
                <w:szCs w:val="24"/>
              </w:rPr>
            </w:pPr>
          </w:p>
        </w:tc>
        <w:tc>
          <w:tcPr>
            <w:tcW w:w="2754" w:type="dxa"/>
            <w:tcBorders>
              <w:top w:val="single" w:color="000000" w:sz="4" w:space="0"/>
              <w:left w:val="single" w:color="000000" w:sz="4" w:space="0"/>
              <w:bottom w:val="single" w:color="000000" w:sz="4" w:space="0"/>
              <w:right w:val="single" w:color="000000" w:sz="4" w:space="0"/>
            </w:tcBorders>
          </w:tcPr>
          <w:p>
            <w:pPr>
              <w:spacing w:after="0" w:line="360" w:lineRule="auto"/>
              <w:ind w:left="0" w:right="107" w:firstLine="0"/>
              <w:jc w:val="center"/>
              <w:rPr>
                <w:szCs w:val="24"/>
              </w:rPr>
            </w:pPr>
            <w:r>
              <w:rPr>
                <w:rFonts w:hint="eastAsia"/>
                <w:szCs w:val="24"/>
              </w:rPr>
              <w:t xml:space="preserve">收款人地址 </w:t>
            </w:r>
          </w:p>
        </w:tc>
        <w:tc>
          <w:tcPr>
            <w:tcW w:w="5577" w:type="dxa"/>
            <w:gridSpan w:val="3"/>
            <w:tcBorders>
              <w:top w:val="single" w:color="000000" w:sz="4" w:space="0"/>
              <w:left w:val="single" w:color="000000" w:sz="4" w:space="0"/>
              <w:bottom w:val="single" w:color="000000" w:sz="4" w:space="0"/>
              <w:right w:val="single" w:color="000000" w:sz="4" w:space="0"/>
            </w:tcBorders>
          </w:tcPr>
          <w:p>
            <w:pPr>
              <w:spacing w:after="0" w:line="360" w:lineRule="auto"/>
              <w:ind w:left="0" w:right="2" w:firstLine="0"/>
              <w:jc w:val="center"/>
              <w:rPr>
                <w:szCs w:val="24"/>
              </w:rPr>
            </w:pPr>
          </w:p>
        </w:tc>
      </w:tr>
      <w:tr>
        <w:tblPrEx>
          <w:tblCellMar>
            <w:top w:w="94" w:type="dxa"/>
            <w:left w:w="222" w:type="dxa"/>
            <w:bottom w:w="0" w:type="dxa"/>
            <w:right w:w="115" w:type="dxa"/>
          </w:tblCellMar>
        </w:tblPrEx>
        <w:trPr>
          <w:trHeight w:val="401" w:hRule="atLeast"/>
        </w:trPr>
        <w:tc>
          <w:tcPr>
            <w:tcW w:w="0" w:type="auto"/>
            <w:vMerge w:val="continue"/>
            <w:tcBorders>
              <w:top w:val="nil"/>
              <w:left w:val="single" w:color="000000" w:sz="4" w:space="0"/>
              <w:bottom w:val="nil"/>
              <w:right w:val="single" w:color="000000" w:sz="4" w:space="0"/>
            </w:tcBorders>
          </w:tcPr>
          <w:p>
            <w:pPr>
              <w:spacing w:after="160" w:line="360" w:lineRule="auto"/>
              <w:ind w:left="0" w:firstLine="0"/>
              <w:rPr>
                <w:szCs w:val="24"/>
              </w:rPr>
            </w:pPr>
          </w:p>
        </w:tc>
        <w:tc>
          <w:tcPr>
            <w:tcW w:w="2754" w:type="dxa"/>
            <w:tcBorders>
              <w:top w:val="single" w:color="000000" w:sz="4" w:space="0"/>
              <w:left w:val="single" w:color="000000" w:sz="4" w:space="0"/>
              <w:bottom w:val="single" w:color="000000" w:sz="4" w:space="0"/>
              <w:right w:val="single" w:color="000000" w:sz="4" w:space="0"/>
            </w:tcBorders>
          </w:tcPr>
          <w:p>
            <w:pPr>
              <w:spacing w:after="0" w:line="360" w:lineRule="auto"/>
              <w:ind w:left="0" w:firstLine="0"/>
              <w:rPr>
                <w:szCs w:val="24"/>
              </w:rPr>
            </w:pPr>
            <w:r>
              <w:rPr>
                <w:rFonts w:hint="eastAsia"/>
                <w:szCs w:val="24"/>
              </w:rPr>
              <w:t xml:space="preserve">开户银行（含汇入地点） </w:t>
            </w:r>
          </w:p>
        </w:tc>
        <w:tc>
          <w:tcPr>
            <w:tcW w:w="2954" w:type="dxa"/>
            <w:tcBorders>
              <w:top w:val="single" w:color="000000" w:sz="4" w:space="0"/>
              <w:left w:val="single" w:color="000000" w:sz="4" w:space="0"/>
              <w:bottom w:val="single" w:color="000000" w:sz="4" w:space="0"/>
              <w:right w:val="single" w:color="000000" w:sz="4" w:space="0"/>
            </w:tcBorders>
          </w:tcPr>
          <w:p>
            <w:pPr>
              <w:spacing w:after="0" w:line="360" w:lineRule="auto"/>
              <w:ind w:left="0" w:right="2" w:firstLine="0"/>
              <w:jc w:val="center"/>
              <w:rPr>
                <w:szCs w:val="24"/>
              </w:rPr>
            </w:pPr>
          </w:p>
        </w:tc>
        <w:tc>
          <w:tcPr>
            <w:tcW w:w="1356" w:type="dxa"/>
            <w:tcBorders>
              <w:top w:val="single" w:color="000000" w:sz="4" w:space="0"/>
              <w:left w:val="single" w:color="000000" w:sz="4" w:space="0"/>
              <w:bottom w:val="single" w:color="000000" w:sz="4" w:space="0"/>
              <w:right w:val="single" w:color="000000" w:sz="4" w:space="0"/>
            </w:tcBorders>
          </w:tcPr>
          <w:p>
            <w:pPr>
              <w:spacing w:after="0" w:line="360" w:lineRule="auto"/>
              <w:ind w:left="140" w:firstLine="0"/>
              <w:rPr>
                <w:szCs w:val="24"/>
              </w:rPr>
            </w:pPr>
            <w:r>
              <w:rPr>
                <w:rFonts w:hint="eastAsia"/>
                <w:szCs w:val="24"/>
              </w:rPr>
              <w:t xml:space="preserve">联系人 </w:t>
            </w:r>
          </w:p>
        </w:tc>
        <w:tc>
          <w:tcPr>
            <w:tcW w:w="1267" w:type="dxa"/>
            <w:tcBorders>
              <w:top w:val="single" w:color="000000" w:sz="4" w:space="0"/>
              <w:left w:val="single" w:color="000000" w:sz="4" w:space="0"/>
              <w:bottom w:val="single" w:color="000000" w:sz="4" w:space="0"/>
              <w:right w:val="single" w:color="000000" w:sz="4" w:space="0"/>
            </w:tcBorders>
          </w:tcPr>
          <w:p>
            <w:pPr>
              <w:spacing w:after="0" w:line="360" w:lineRule="auto"/>
              <w:ind w:left="0" w:right="4" w:firstLine="0"/>
              <w:jc w:val="center"/>
              <w:rPr>
                <w:szCs w:val="24"/>
              </w:rPr>
            </w:pPr>
          </w:p>
        </w:tc>
      </w:tr>
      <w:tr>
        <w:tblPrEx>
          <w:tblCellMar>
            <w:top w:w="94" w:type="dxa"/>
            <w:left w:w="222" w:type="dxa"/>
            <w:bottom w:w="0" w:type="dxa"/>
            <w:right w:w="115" w:type="dxa"/>
          </w:tblCellMar>
        </w:tblPrEx>
        <w:trPr>
          <w:trHeight w:val="400" w:hRule="atLeast"/>
        </w:trPr>
        <w:tc>
          <w:tcPr>
            <w:tcW w:w="0" w:type="auto"/>
            <w:vMerge w:val="continue"/>
            <w:tcBorders>
              <w:top w:val="nil"/>
              <w:left w:val="single" w:color="000000" w:sz="4" w:space="0"/>
              <w:bottom w:val="single" w:color="000000" w:sz="4" w:space="0"/>
              <w:right w:val="single" w:color="000000" w:sz="4" w:space="0"/>
            </w:tcBorders>
          </w:tcPr>
          <w:p>
            <w:pPr>
              <w:spacing w:after="160" w:line="360" w:lineRule="auto"/>
              <w:ind w:left="0" w:firstLine="0"/>
              <w:rPr>
                <w:szCs w:val="24"/>
              </w:rPr>
            </w:pPr>
          </w:p>
        </w:tc>
        <w:tc>
          <w:tcPr>
            <w:tcW w:w="2754" w:type="dxa"/>
            <w:tcBorders>
              <w:top w:val="single" w:color="000000" w:sz="4" w:space="0"/>
              <w:left w:val="single" w:color="000000" w:sz="4" w:space="0"/>
              <w:bottom w:val="single" w:color="000000" w:sz="4" w:space="0"/>
              <w:right w:val="single" w:color="000000" w:sz="4" w:space="0"/>
            </w:tcBorders>
          </w:tcPr>
          <w:p>
            <w:pPr>
              <w:spacing w:after="0" w:line="360" w:lineRule="auto"/>
              <w:ind w:left="0" w:right="107" w:firstLine="0"/>
              <w:jc w:val="center"/>
              <w:rPr>
                <w:szCs w:val="24"/>
              </w:rPr>
            </w:pPr>
            <w:r>
              <w:rPr>
                <w:rFonts w:hint="eastAsia"/>
                <w:szCs w:val="24"/>
              </w:rPr>
              <w:t xml:space="preserve">帐    号 </w:t>
            </w:r>
          </w:p>
        </w:tc>
        <w:tc>
          <w:tcPr>
            <w:tcW w:w="2954" w:type="dxa"/>
            <w:tcBorders>
              <w:top w:val="single" w:color="000000" w:sz="4" w:space="0"/>
              <w:left w:val="single" w:color="000000" w:sz="4" w:space="0"/>
              <w:bottom w:val="single" w:color="000000" w:sz="4" w:space="0"/>
              <w:right w:val="single" w:color="000000" w:sz="4" w:space="0"/>
            </w:tcBorders>
          </w:tcPr>
          <w:p>
            <w:pPr>
              <w:spacing w:after="0" w:line="360" w:lineRule="auto"/>
              <w:ind w:left="0" w:right="3" w:firstLine="0"/>
              <w:jc w:val="center"/>
              <w:rPr>
                <w:szCs w:val="24"/>
              </w:rPr>
            </w:pPr>
          </w:p>
        </w:tc>
        <w:tc>
          <w:tcPr>
            <w:tcW w:w="1356" w:type="dxa"/>
            <w:tcBorders>
              <w:top w:val="single" w:color="000000" w:sz="4" w:space="0"/>
              <w:left w:val="single" w:color="000000" w:sz="4" w:space="0"/>
              <w:bottom w:val="single" w:color="000000" w:sz="4" w:space="0"/>
              <w:right w:val="single" w:color="000000" w:sz="4" w:space="0"/>
            </w:tcBorders>
          </w:tcPr>
          <w:p>
            <w:pPr>
              <w:spacing w:after="0" w:line="360" w:lineRule="auto"/>
              <w:ind w:left="36" w:firstLine="0"/>
              <w:rPr>
                <w:szCs w:val="24"/>
              </w:rPr>
            </w:pPr>
            <w:r>
              <w:rPr>
                <w:rFonts w:hint="eastAsia"/>
                <w:szCs w:val="24"/>
              </w:rPr>
              <w:t xml:space="preserve">联系电话 </w:t>
            </w:r>
          </w:p>
        </w:tc>
        <w:tc>
          <w:tcPr>
            <w:tcW w:w="1267" w:type="dxa"/>
            <w:tcBorders>
              <w:top w:val="single" w:color="000000" w:sz="4" w:space="0"/>
              <w:left w:val="single" w:color="000000" w:sz="4" w:space="0"/>
              <w:bottom w:val="single" w:color="000000" w:sz="4" w:space="0"/>
              <w:right w:val="single" w:color="000000" w:sz="4" w:space="0"/>
            </w:tcBorders>
          </w:tcPr>
          <w:p>
            <w:pPr>
              <w:spacing w:after="0" w:line="360" w:lineRule="auto"/>
              <w:ind w:left="0" w:right="4" w:firstLine="0"/>
              <w:jc w:val="center"/>
              <w:rPr>
                <w:szCs w:val="24"/>
              </w:rPr>
            </w:pPr>
          </w:p>
        </w:tc>
      </w:tr>
    </w:tbl>
    <w:p>
      <w:pPr>
        <w:spacing w:after="88" w:line="360" w:lineRule="auto"/>
        <w:ind w:left="0" w:firstLine="0"/>
        <w:rPr>
          <w:szCs w:val="24"/>
        </w:rPr>
      </w:pPr>
    </w:p>
    <w:p>
      <w:pPr>
        <w:spacing w:after="88" w:line="360" w:lineRule="auto"/>
        <w:ind w:left="14" w:hanging="4"/>
        <w:rPr>
          <w:szCs w:val="24"/>
        </w:rPr>
      </w:pPr>
      <w:r>
        <w:rPr>
          <w:rFonts w:hint="eastAsia"/>
          <w:szCs w:val="24"/>
        </w:rPr>
        <w:t xml:space="preserve">响应供应商全称（加盖公章）: </w:t>
      </w:r>
    </w:p>
    <w:p>
      <w:pPr>
        <w:spacing w:after="88" w:line="360" w:lineRule="auto"/>
        <w:ind w:left="14" w:hanging="4"/>
        <w:rPr>
          <w:szCs w:val="24"/>
        </w:rPr>
      </w:pPr>
      <w:r>
        <w:rPr>
          <w:rFonts w:hint="eastAsia"/>
          <w:szCs w:val="24"/>
        </w:rPr>
        <w:t xml:space="preserve">法定代表人或其授权代表(签字或盖章)：               </w:t>
      </w:r>
    </w:p>
    <w:p>
      <w:pPr>
        <w:spacing w:after="88" w:line="360" w:lineRule="auto"/>
        <w:ind w:left="14" w:hanging="4"/>
        <w:rPr>
          <w:szCs w:val="24"/>
        </w:rPr>
      </w:pPr>
      <w:r>
        <w:rPr>
          <w:rFonts w:hint="eastAsia"/>
          <w:szCs w:val="24"/>
        </w:rPr>
        <w:t xml:space="preserve">日    期：     年   月   日 </w:t>
      </w:r>
    </w:p>
    <w:p>
      <w:pPr>
        <w:pStyle w:val="2"/>
        <w:spacing w:line="360" w:lineRule="auto"/>
        <w:ind w:left="480" w:firstLine="480"/>
      </w:pPr>
    </w:p>
    <w:p>
      <w:pPr>
        <w:spacing w:after="183" w:line="360" w:lineRule="auto"/>
        <w:ind w:left="14" w:hanging="4"/>
        <w:rPr>
          <w:szCs w:val="24"/>
        </w:rPr>
      </w:pPr>
      <w:r>
        <w:rPr>
          <w:rFonts w:hint="eastAsia"/>
          <w:szCs w:val="24"/>
        </w:rPr>
        <w:t>注：投标人应详细填写本文件，并按要求粘贴凭证复印件。本投标保证金汇款声明函应封装进“唱标信封” 内。</w:t>
      </w:r>
    </w:p>
    <w:p>
      <w:pPr>
        <w:spacing w:after="183" w:line="360" w:lineRule="auto"/>
        <w:ind w:left="14" w:hanging="4"/>
        <w:rPr>
          <w:szCs w:val="24"/>
        </w:rPr>
      </w:pPr>
    </w:p>
    <w:p>
      <w:pPr>
        <w:spacing w:after="0" w:line="360" w:lineRule="auto"/>
        <w:ind w:left="0" w:firstLine="0"/>
        <w:rPr>
          <w:szCs w:val="24"/>
        </w:rPr>
      </w:pPr>
    </w:p>
    <w:p>
      <w:pPr>
        <w:pStyle w:val="2"/>
        <w:ind w:left="480" w:firstLine="480"/>
      </w:pPr>
    </w:p>
    <w:p>
      <w:pPr>
        <w:pStyle w:val="2"/>
        <w:ind w:left="480" w:firstLine="480"/>
      </w:pPr>
    </w:p>
    <w:p>
      <w:pPr>
        <w:pStyle w:val="6"/>
        <w:rPr>
          <w:b/>
          <w:bCs/>
          <w:sz w:val="24"/>
          <w:szCs w:val="24"/>
        </w:rPr>
      </w:pPr>
      <w:bookmarkStart w:id="2739" w:name="_Toc77206904"/>
      <w:bookmarkStart w:id="2740" w:name="_Toc79057567"/>
      <w:r>
        <w:rPr>
          <w:rFonts w:hint="eastAsia"/>
          <w:b/>
          <w:bCs/>
          <w:sz w:val="24"/>
          <w:szCs w:val="24"/>
        </w:rPr>
        <w:t>（七）、</w:t>
      </w:r>
      <w:r>
        <w:rPr>
          <w:b/>
          <w:bCs/>
          <w:sz w:val="24"/>
          <w:szCs w:val="24"/>
        </w:rPr>
        <w:t>法定代表人证明及授权书</w:t>
      </w:r>
      <w:bookmarkEnd w:id="2739"/>
      <w:bookmarkEnd w:id="2740"/>
    </w:p>
    <w:p/>
    <w:p>
      <w:pPr>
        <w:jc w:val="center"/>
      </w:pPr>
      <w:bookmarkStart w:id="2741" w:name="_Toc31279"/>
      <w:r>
        <w:t>法定代表人证明及授权书</w:t>
      </w:r>
      <w:bookmarkEnd w:id="2741"/>
    </w:p>
    <w:p>
      <w:pPr>
        <w:spacing w:line="360" w:lineRule="auto"/>
        <w:rPr>
          <w:szCs w:val="24"/>
        </w:rPr>
      </w:pPr>
    </w:p>
    <w:p>
      <w:pPr>
        <w:spacing w:after="88" w:line="360" w:lineRule="auto"/>
        <w:ind w:left="14" w:hanging="4"/>
        <w:rPr>
          <w:szCs w:val="24"/>
          <w:u w:val="single"/>
        </w:rPr>
      </w:pPr>
      <w:r>
        <w:rPr>
          <w:szCs w:val="24"/>
        </w:rPr>
        <w:t>致:</w:t>
      </w:r>
      <w:r>
        <w:rPr>
          <w:rFonts w:hint="eastAsia"/>
          <w:bCs/>
          <w:szCs w:val="24"/>
          <w:u w:val="single"/>
        </w:rPr>
        <w:t>北京市房山区人民防空办公室</w:t>
      </w:r>
    </w:p>
    <w:p>
      <w:pPr>
        <w:spacing w:line="360" w:lineRule="auto"/>
        <w:ind w:left="0" w:firstLine="0"/>
        <w:rPr>
          <w:szCs w:val="24"/>
        </w:rPr>
      </w:pPr>
    </w:p>
    <w:p>
      <w:pPr>
        <w:spacing w:line="360" w:lineRule="auto"/>
        <w:ind w:left="0" w:firstLine="480" w:firstLineChars="200"/>
        <w:rPr>
          <w:szCs w:val="24"/>
        </w:rPr>
      </w:pPr>
      <w:r>
        <w:rPr>
          <w:szCs w:val="24"/>
        </w:rPr>
        <w:t>本授权证明：</w:t>
      </w:r>
      <w:r>
        <w:rPr>
          <w:rFonts w:hint="eastAsia"/>
          <w:szCs w:val="24"/>
          <w:u w:val="single"/>
        </w:rPr>
        <w:t xml:space="preserve">            </w:t>
      </w:r>
      <w:r>
        <w:rPr>
          <w:szCs w:val="24"/>
        </w:rPr>
        <w:t>（法定代表人姓名）是注册于</w:t>
      </w:r>
      <w:r>
        <w:rPr>
          <w:rFonts w:hint="eastAsia"/>
          <w:szCs w:val="24"/>
          <w:u w:val="single"/>
        </w:rPr>
        <w:t xml:space="preserve">      </w:t>
      </w:r>
      <w:r>
        <w:rPr>
          <w:szCs w:val="24"/>
        </w:rPr>
        <w:t>（省、市、县）的</w:t>
      </w:r>
      <w:r>
        <w:rPr>
          <w:rFonts w:hint="eastAsia"/>
          <w:szCs w:val="24"/>
          <w:u w:val="single"/>
        </w:rPr>
        <w:t xml:space="preserve">             </w:t>
      </w:r>
      <w:r>
        <w:rPr>
          <w:szCs w:val="24"/>
        </w:rPr>
        <w:t>（投标人名称）的法定代表人，现任</w:t>
      </w:r>
      <w:r>
        <w:rPr>
          <w:rFonts w:hint="eastAsia"/>
          <w:szCs w:val="24"/>
          <w:u w:val="single"/>
        </w:rPr>
        <w:t xml:space="preserve">           </w:t>
      </w:r>
      <w:r>
        <w:rPr>
          <w:szCs w:val="24"/>
        </w:rPr>
        <w:t>（法定代表人职务）。在此授权</w:t>
      </w:r>
      <w:r>
        <w:rPr>
          <w:rFonts w:hint="eastAsia"/>
          <w:szCs w:val="24"/>
          <w:u w:val="single"/>
        </w:rPr>
        <w:t xml:space="preserve">                   </w:t>
      </w:r>
      <w:r>
        <w:rPr>
          <w:szCs w:val="24"/>
        </w:rPr>
        <w:t>（被授权人姓名、职务）作为我公司的全权代理人，在</w:t>
      </w:r>
      <w:r>
        <w:rPr>
          <w:rFonts w:hint="eastAsia"/>
          <w:szCs w:val="24"/>
          <w:u w:val="single"/>
        </w:rPr>
        <w:t>北京市房山区人民防空办公室加州水郡西区、中冶蓝城地下人防工程维修工程</w:t>
      </w:r>
      <w:r>
        <w:rPr>
          <w:szCs w:val="24"/>
        </w:rPr>
        <w:t>（项目名称）的投标（项目编</w:t>
      </w:r>
      <w:r>
        <w:rPr>
          <w:rFonts w:hint="eastAsia"/>
          <w:szCs w:val="24"/>
        </w:rPr>
        <w:t>号</w:t>
      </w:r>
      <w:r>
        <w:rPr>
          <w:szCs w:val="24"/>
        </w:rPr>
        <w:t>为：</w:t>
      </w:r>
      <w:r>
        <w:rPr>
          <w:rFonts w:hint="eastAsia"/>
          <w:szCs w:val="24"/>
          <w:u w:val="single"/>
        </w:rPr>
        <w:t xml:space="preserve">         </w:t>
      </w:r>
      <w:r>
        <w:rPr>
          <w:szCs w:val="24"/>
        </w:rPr>
        <w:t>）及其合同执行过程中，以我公司的名义处理一切与之有关的事务。</w:t>
      </w:r>
    </w:p>
    <w:p>
      <w:pPr>
        <w:spacing w:line="360" w:lineRule="auto"/>
        <w:ind w:left="0" w:firstLine="0"/>
        <w:rPr>
          <w:szCs w:val="24"/>
        </w:rPr>
      </w:pPr>
      <w:r>
        <w:rPr>
          <w:szCs w:val="24"/>
        </w:rPr>
        <w:t>本授权书于  年</w:t>
      </w:r>
      <w:r>
        <w:rPr>
          <w:rFonts w:hint="eastAsia"/>
          <w:szCs w:val="24"/>
        </w:rPr>
        <w:t xml:space="preserve">  </w:t>
      </w:r>
      <w:r>
        <w:rPr>
          <w:szCs w:val="24"/>
        </w:rPr>
        <w:t>月 日</w:t>
      </w:r>
      <w:r>
        <w:rPr>
          <w:rFonts w:hint="eastAsia"/>
          <w:szCs w:val="24"/>
        </w:rPr>
        <w:t>至 年 月  日</w:t>
      </w:r>
    </w:p>
    <w:p>
      <w:pPr>
        <w:spacing w:line="360" w:lineRule="auto"/>
        <w:ind w:left="0" w:firstLine="0"/>
        <w:rPr>
          <w:szCs w:val="24"/>
        </w:rPr>
      </w:pPr>
    </w:p>
    <w:p>
      <w:pPr>
        <w:spacing w:line="360" w:lineRule="auto"/>
        <w:ind w:left="0" w:firstLine="0"/>
        <w:rPr>
          <w:szCs w:val="24"/>
        </w:rPr>
      </w:pPr>
      <w:r>
        <w:rPr>
          <w:szCs w:val="24"/>
        </w:rPr>
        <w:t>签字生效，特此声明。</w:t>
      </w:r>
    </w:p>
    <w:p>
      <w:pPr>
        <w:spacing w:after="95" w:line="360" w:lineRule="auto"/>
        <w:ind w:left="430" w:firstLine="0"/>
        <w:rPr>
          <w:szCs w:val="24"/>
        </w:rPr>
      </w:pPr>
    </w:p>
    <w:p>
      <w:pPr>
        <w:spacing w:after="95" w:line="360" w:lineRule="auto"/>
        <w:ind w:right="421"/>
        <w:rPr>
          <w:szCs w:val="24"/>
        </w:rPr>
      </w:pPr>
      <w:r>
        <w:rPr>
          <w:szCs w:val="24"/>
        </w:rPr>
        <w:t xml:space="preserve">法定代表人居民身份证正反面复印件粘贴处 </w:t>
      </w:r>
    </w:p>
    <w:p>
      <w:pPr>
        <w:spacing w:after="0" w:line="360" w:lineRule="auto"/>
        <w:ind w:left="430" w:right="9324" w:firstLine="0"/>
        <w:rPr>
          <w:szCs w:val="24"/>
        </w:rPr>
      </w:pPr>
    </w:p>
    <w:p>
      <w:pPr>
        <w:spacing w:after="95" w:line="360" w:lineRule="auto"/>
        <w:ind w:left="430" w:firstLine="0"/>
        <w:rPr>
          <w:szCs w:val="24"/>
        </w:rPr>
      </w:pPr>
    </w:p>
    <w:p>
      <w:pPr>
        <w:spacing w:after="95" w:line="360" w:lineRule="auto"/>
        <w:ind w:right="424"/>
        <w:rPr>
          <w:szCs w:val="24"/>
        </w:rPr>
      </w:pPr>
      <w:r>
        <w:rPr>
          <w:szCs w:val="24"/>
        </w:rPr>
        <w:t xml:space="preserve">被授权人(投标人授权代表) 居民身份证正反面复印件粘贴处 </w:t>
      </w:r>
    </w:p>
    <w:p>
      <w:pPr>
        <w:spacing w:after="95" w:line="360" w:lineRule="auto"/>
        <w:ind w:left="116" w:firstLine="0"/>
        <w:rPr>
          <w:szCs w:val="24"/>
        </w:rPr>
      </w:pPr>
    </w:p>
    <w:p>
      <w:pPr>
        <w:spacing w:after="95" w:line="360" w:lineRule="auto"/>
        <w:ind w:left="116" w:firstLine="0"/>
        <w:rPr>
          <w:szCs w:val="24"/>
        </w:rPr>
      </w:pPr>
    </w:p>
    <w:p>
      <w:pPr>
        <w:spacing w:after="49" w:line="360" w:lineRule="auto"/>
        <w:ind w:left="14" w:hanging="4"/>
        <w:rPr>
          <w:szCs w:val="24"/>
        </w:rPr>
      </w:pPr>
      <w:r>
        <w:rPr>
          <w:szCs w:val="24"/>
        </w:rPr>
        <w:t xml:space="preserve">响应供应商全称（加盖公章）：                    </w:t>
      </w:r>
    </w:p>
    <w:p>
      <w:pPr>
        <w:spacing w:after="3" w:line="360" w:lineRule="auto"/>
        <w:ind w:left="14" w:hanging="4"/>
        <w:rPr>
          <w:szCs w:val="24"/>
        </w:rPr>
      </w:pPr>
      <w:r>
        <w:rPr>
          <w:szCs w:val="24"/>
        </w:rPr>
        <w:t>法定代表人（签字或</w:t>
      </w:r>
      <w:r>
        <w:rPr>
          <w:rFonts w:hint="eastAsia"/>
          <w:szCs w:val="24"/>
        </w:rPr>
        <w:t>盖</w:t>
      </w:r>
      <w:r>
        <w:rPr>
          <w:szCs w:val="24"/>
        </w:rPr>
        <w:t xml:space="preserve">章）：                  </w:t>
      </w:r>
    </w:p>
    <w:p>
      <w:pPr>
        <w:spacing w:after="3" w:line="360" w:lineRule="auto"/>
        <w:ind w:left="14" w:hanging="4"/>
        <w:rPr>
          <w:szCs w:val="24"/>
        </w:rPr>
      </w:pPr>
      <w:r>
        <w:rPr>
          <w:szCs w:val="24"/>
        </w:rPr>
        <w:t>被授权人(投标人授权代表)（签字</w:t>
      </w:r>
      <w:r>
        <w:rPr>
          <w:rFonts w:hint="eastAsia"/>
          <w:szCs w:val="24"/>
        </w:rPr>
        <w:t>或盖章</w:t>
      </w:r>
      <w:r>
        <w:rPr>
          <w:szCs w:val="24"/>
        </w:rPr>
        <w:t>）</w:t>
      </w:r>
      <w:r>
        <w:rPr>
          <w:rFonts w:hint="eastAsia"/>
          <w:szCs w:val="24"/>
        </w:rPr>
        <w:t>:</w:t>
      </w:r>
    </w:p>
    <w:p>
      <w:pPr>
        <w:ind w:left="0" w:firstLine="0"/>
      </w:pPr>
      <w:bookmarkStart w:id="2742" w:name="_Toc77206905"/>
      <w:bookmarkStart w:id="2743" w:name="_Toc79057568"/>
    </w:p>
    <w:p>
      <w:pPr>
        <w:ind w:left="0" w:firstLine="0"/>
      </w:pPr>
    </w:p>
    <w:p>
      <w:pPr>
        <w:ind w:left="0" w:firstLine="0"/>
      </w:pPr>
    </w:p>
    <w:p>
      <w:pPr>
        <w:pStyle w:val="6"/>
        <w:rPr>
          <w:b/>
          <w:bCs/>
          <w:sz w:val="24"/>
          <w:szCs w:val="24"/>
        </w:rPr>
      </w:pPr>
      <w:r>
        <w:rPr>
          <w:rFonts w:hint="eastAsia"/>
          <w:b/>
          <w:bCs/>
          <w:sz w:val="24"/>
          <w:szCs w:val="24"/>
        </w:rPr>
        <w:t>（八）、</w:t>
      </w:r>
      <w:r>
        <w:rPr>
          <w:b/>
          <w:bCs/>
          <w:sz w:val="24"/>
          <w:szCs w:val="24"/>
        </w:rPr>
        <w:t>响应供应商简介</w:t>
      </w:r>
      <w:bookmarkEnd w:id="2742"/>
      <w:bookmarkEnd w:id="2743"/>
    </w:p>
    <w:p>
      <w:pPr>
        <w:jc w:val="center"/>
      </w:pPr>
      <w:bookmarkStart w:id="2744" w:name="_Toc26137"/>
      <w:r>
        <w:t>响应供应商简介</w:t>
      </w:r>
      <w:bookmarkEnd w:id="2744"/>
    </w:p>
    <w:tbl>
      <w:tblPr>
        <w:tblStyle w:val="36"/>
        <w:tblW w:w="9435" w:type="dxa"/>
        <w:tblInd w:w="-226" w:type="dxa"/>
        <w:tblLayout w:type="autofit"/>
        <w:tblCellMar>
          <w:top w:w="61" w:type="dxa"/>
          <w:left w:w="125" w:type="dxa"/>
          <w:bottom w:w="0" w:type="dxa"/>
          <w:right w:w="108" w:type="dxa"/>
        </w:tblCellMar>
      </w:tblPr>
      <w:tblGrid>
        <w:gridCol w:w="2317"/>
        <w:gridCol w:w="1290"/>
        <w:gridCol w:w="1235"/>
        <w:gridCol w:w="240"/>
        <w:gridCol w:w="1398"/>
        <w:gridCol w:w="240"/>
        <w:gridCol w:w="1581"/>
        <w:gridCol w:w="1134"/>
      </w:tblGrid>
      <w:tr>
        <w:tblPrEx>
          <w:tblCellMar>
            <w:top w:w="61" w:type="dxa"/>
            <w:left w:w="125" w:type="dxa"/>
            <w:bottom w:w="0" w:type="dxa"/>
            <w:right w:w="108" w:type="dxa"/>
          </w:tblCellMar>
        </w:tblPrEx>
        <w:trPr>
          <w:trHeight w:val="336" w:hRule="atLeast"/>
        </w:trPr>
        <w:tc>
          <w:tcPr>
            <w:tcW w:w="2317" w:type="dxa"/>
            <w:tcBorders>
              <w:top w:val="single" w:color="000000" w:sz="4" w:space="0"/>
              <w:left w:val="single" w:color="000000" w:sz="4" w:space="0"/>
              <w:bottom w:val="single" w:color="000000" w:sz="4" w:space="0"/>
              <w:right w:val="single" w:color="000000" w:sz="4" w:space="0"/>
            </w:tcBorders>
          </w:tcPr>
          <w:p>
            <w:pPr>
              <w:spacing w:after="0" w:line="360" w:lineRule="auto"/>
              <w:ind w:left="0" w:right="127" w:firstLine="0"/>
              <w:jc w:val="center"/>
              <w:rPr>
                <w:szCs w:val="24"/>
              </w:rPr>
            </w:pPr>
            <w:r>
              <w:rPr>
                <w:szCs w:val="24"/>
              </w:rPr>
              <w:t xml:space="preserve">供应商名称 </w:t>
            </w:r>
          </w:p>
        </w:tc>
        <w:tc>
          <w:tcPr>
            <w:tcW w:w="7118" w:type="dxa"/>
            <w:gridSpan w:val="7"/>
            <w:tcBorders>
              <w:top w:val="single" w:color="000000" w:sz="4" w:space="0"/>
              <w:left w:val="single" w:color="000000" w:sz="4" w:space="0"/>
              <w:bottom w:val="single" w:color="000000" w:sz="4" w:space="0"/>
              <w:right w:val="single" w:color="000000" w:sz="4" w:space="0"/>
            </w:tcBorders>
          </w:tcPr>
          <w:p>
            <w:pPr>
              <w:spacing w:after="160" w:line="360" w:lineRule="auto"/>
              <w:ind w:left="0" w:firstLine="0"/>
              <w:rPr>
                <w:szCs w:val="24"/>
              </w:rPr>
            </w:pPr>
          </w:p>
        </w:tc>
      </w:tr>
      <w:tr>
        <w:tblPrEx>
          <w:tblCellMar>
            <w:top w:w="61" w:type="dxa"/>
            <w:left w:w="125" w:type="dxa"/>
            <w:bottom w:w="0" w:type="dxa"/>
            <w:right w:w="108" w:type="dxa"/>
          </w:tblCellMar>
        </w:tblPrEx>
        <w:trPr>
          <w:trHeight w:val="335" w:hRule="atLeast"/>
        </w:trPr>
        <w:tc>
          <w:tcPr>
            <w:tcW w:w="2317" w:type="dxa"/>
            <w:tcBorders>
              <w:top w:val="single" w:color="000000" w:sz="4" w:space="0"/>
              <w:left w:val="single" w:color="000000" w:sz="4" w:space="0"/>
              <w:bottom w:val="single" w:color="000000" w:sz="4" w:space="0"/>
              <w:right w:val="single" w:color="000000" w:sz="4" w:space="0"/>
            </w:tcBorders>
          </w:tcPr>
          <w:p>
            <w:pPr>
              <w:spacing w:after="0" w:line="360" w:lineRule="auto"/>
              <w:ind w:left="0" w:right="128" w:firstLine="0"/>
              <w:jc w:val="center"/>
              <w:rPr>
                <w:szCs w:val="24"/>
              </w:rPr>
            </w:pPr>
            <w:r>
              <w:rPr>
                <w:szCs w:val="24"/>
              </w:rPr>
              <w:t xml:space="preserve">地址 </w:t>
            </w:r>
          </w:p>
        </w:tc>
        <w:tc>
          <w:tcPr>
            <w:tcW w:w="7118" w:type="dxa"/>
            <w:gridSpan w:val="7"/>
            <w:tcBorders>
              <w:top w:val="single" w:color="000000" w:sz="4" w:space="0"/>
              <w:left w:val="single" w:color="000000" w:sz="4" w:space="0"/>
              <w:bottom w:val="single" w:color="000000" w:sz="4" w:space="0"/>
              <w:right w:val="single" w:color="000000" w:sz="4" w:space="0"/>
            </w:tcBorders>
          </w:tcPr>
          <w:p>
            <w:pPr>
              <w:spacing w:after="160" w:line="360" w:lineRule="auto"/>
              <w:ind w:left="0" w:firstLine="0"/>
              <w:rPr>
                <w:szCs w:val="24"/>
              </w:rPr>
            </w:pPr>
          </w:p>
        </w:tc>
      </w:tr>
      <w:tr>
        <w:tblPrEx>
          <w:tblCellMar>
            <w:top w:w="61" w:type="dxa"/>
            <w:left w:w="125" w:type="dxa"/>
            <w:bottom w:w="0" w:type="dxa"/>
            <w:right w:w="108" w:type="dxa"/>
          </w:tblCellMar>
        </w:tblPrEx>
        <w:trPr>
          <w:trHeight w:val="335" w:hRule="atLeast"/>
        </w:trPr>
        <w:tc>
          <w:tcPr>
            <w:tcW w:w="2317" w:type="dxa"/>
            <w:tcBorders>
              <w:top w:val="single" w:color="000000" w:sz="4" w:space="0"/>
              <w:left w:val="single" w:color="000000" w:sz="4" w:space="0"/>
              <w:bottom w:val="single" w:color="000000" w:sz="4" w:space="0"/>
              <w:right w:val="single" w:color="000000" w:sz="4" w:space="0"/>
            </w:tcBorders>
          </w:tcPr>
          <w:p>
            <w:pPr>
              <w:spacing w:after="0" w:line="360" w:lineRule="auto"/>
              <w:ind w:left="0" w:right="128" w:firstLine="0"/>
              <w:jc w:val="center"/>
              <w:rPr>
                <w:szCs w:val="24"/>
              </w:rPr>
            </w:pPr>
            <w:r>
              <w:rPr>
                <w:szCs w:val="24"/>
              </w:rPr>
              <w:t xml:space="preserve">主管部门 </w:t>
            </w:r>
          </w:p>
        </w:tc>
        <w:tc>
          <w:tcPr>
            <w:tcW w:w="1290" w:type="dxa"/>
            <w:tcBorders>
              <w:top w:val="single" w:color="000000" w:sz="4" w:space="0"/>
              <w:left w:val="single" w:color="000000" w:sz="4" w:space="0"/>
              <w:bottom w:val="single" w:color="000000" w:sz="4" w:space="0"/>
              <w:right w:val="single" w:color="000000" w:sz="4" w:space="0"/>
            </w:tcBorders>
          </w:tcPr>
          <w:p>
            <w:pPr>
              <w:spacing w:after="0" w:line="360" w:lineRule="auto"/>
              <w:ind w:left="0" w:right="23" w:firstLine="0"/>
              <w:jc w:val="center"/>
              <w:rPr>
                <w:szCs w:val="24"/>
              </w:rPr>
            </w:pPr>
          </w:p>
        </w:tc>
        <w:tc>
          <w:tcPr>
            <w:tcW w:w="1475" w:type="dxa"/>
            <w:gridSpan w:val="2"/>
            <w:tcBorders>
              <w:top w:val="single" w:color="000000" w:sz="4" w:space="0"/>
              <w:left w:val="single" w:color="000000" w:sz="4" w:space="0"/>
              <w:bottom w:val="single" w:color="000000" w:sz="4" w:space="0"/>
              <w:right w:val="single" w:color="000000" w:sz="4" w:space="0"/>
            </w:tcBorders>
          </w:tcPr>
          <w:p>
            <w:pPr>
              <w:spacing w:after="160" w:line="360" w:lineRule="auto"/>
              <w:ind w:left="0" w:firstLine="0"/>
              <w:rPr>
                <w:szCs w:val="24"/>
              </w:rPr>
            </w:pPr>
            <w:r>
              <w:rPr>
                <w:szCs w:val="24"/>
              </w:rPr>
              <w:t xml:space="preserve">法人代表 </w:t>
            </w:r>
          </w:p>
        </w:tc>
        <w:tc>
          <w:tcPr>
            <w:tcW w:w="1638" w:type="dxa"/>
            <w:gridSpan w:val="2"/>
            <w:tcBorders>
              <w:top w:val="single" w:color="000000" w:sz="4" w:space="0"/>
              <w:left w:val="single" w:color="000000" w:sz="4" w:space="0"/>
              <w:bottom w:val="single" w:color="000000" w:sz="4" w:space="0"/>
              <w:right w:val="single" w:color="000000" w:sz="4" w:space="0"/>
            </w:tcBorders>
          </w:tcPr>
          <w:p>
            <w:pPr>
              <w:spacing w:after="160" w:line="360" w:lineRule="auto"/>
              <w:ind w:left="0" w:firstLine="0"/>
              <w:rPr>
                <w:szCs w:val="24"/>
              </w:rPr>
            </w:pPr>
          </w:p>
        </w:tc>
        <w:tc>
          <w:tcPr>
            <w:tcW w:w="1581" w:type="dxa"/>
            <w:tcBorders>
              <w:top w:val="single" w:color="000000" w:sz="4" w:space="0"/>
              <w:left w:val="single" w:color="000000" w:sz="4" w:space="0"/>
              <w:bottom w:val="single" w:color="000000" w:sz="4" w:space="0"/>
              <w:right w:val="single" w:color="000000" w:sz="4" w:space="0"/>
            </w:tcBorders>
          </w:tcPr>
          <w:p>
            <w:pPr>
              <w:spacing w:after="0" w:line="360" w:lineRule="auto"/>
              <w:ind w:left="0" w:right="127" w:firstLine="0"/>
              <w:jc w:val="center"/>
              <w:rPr>
                <w:szCs w:val="24"/>
              </w:rPr>
            </w:pPr>
            <w:r>
              <w:rPr>
                <w:szCs w:val="24"/>
              </w:rPr>
              <w:t xml:space="preserve">职务 </w:t>
            </w:r>
          </w:p>
        </w:tc>
        <w:tc>
          <w:tcPr>
            <w:tcW w:w="1134" w:type="dxa"/>
            <w:tcBorders>
              <w:top w:val="single" w:color="000000" w:sz="4" w:space="0"/>
              <w:left w:val="single" w:color="000000" w:sz="4" w:space="0"/>
              <w:bottom w:val="single" w:color="000000" w:sz="4" w:space="0"/>
              <w:right w:val="single" w:color="000000" w:sz="4" w:space="0"/>
            </w:tcBorders>
          </w:tcPr>
          <w:p>
            <w:pPr>
              <w:spacing w:after="0" w:line="360" w:lineRule="auto"/>
              <w:ind w:left="0" w:right="23" w:firstLine="0"/>
              <w:jc w:val="center"/>
              <w:rPr>
                <w:szCs w:val="24"/>
              </w:rPr>
            </w:pPr>
          </w:p>
        </w:tc>
      </w:tr>
      <w:tr>
        <w:tblPrEx>
          <w:tblCellMar>
            <w:top w:w="61" w:type="dxa"/>
            <w:left w:w="125" w:type="dxa"/>
            <w:bottom w:w="0" w:type="dxa"/>
            <w:right w:w="108" w:type="dxa"/>
          </w:tblCellMar>
        </w:tblPrEx>
        <w:trPr>
          <w:trHeight w:val="335" w:hRule="atLeast"/>
        </w:trPr>
        <w:tc>
          <w:tcPr>
            <w:tcW w:w="2317" w:type="dxa"/>
            <w:tcBorders>
              <w:top w:val="single" w:color="000000" w:sz="4" w:space="0"/>
              <w:left w:val="single" w:color="000000" w:sz="4" w:space="0"/>
              <w:bottom w:val="single" w:color="000000" w:sz="4" w:space="0"/>
              <w:right w:val="single" w:color="000000" w:sz="4" w:space="0"/>
            </w:tcBorders>
          </w:tcPr>
          <w:p>
            <w:pPr>
              <w:spacing w:after="0" w:line="360" w:lineRule="auto"/>
              <w:ind w:left="0" w:right="128" w:firstLine="0"/>
              <w:jc w:val="center"/>
              <w:rPr>
                <w:szCs w:val="24"/>
              </w:rPr>
            </w:pPr>
            <w:r>
              <w:rPr>
                <w:szCs w:val="24"/>
              </w:rPr>
              <w:t xml:space="preserve">经济类型 </w:t>
            </w:r>
          </w:p>
        </w:tc>
        <w:tc>
          <w:tcPr>
            <w:tcW w:w="1290" w:type="dxa"/>
            <w:tcBorders>
              <w:top w:val="single" w:color="000000" w:sz="4" w:space="0"/>
              <w:left w:val="single" w:color="000000" w:sz="4" w:space="0"/>
              <w:bottom w:val="single" w:color="000000" w:sz="4" w:space="0"/>
              <w:right w:val="single" w:color="000000" w:sz="4" w:space="0"/>
            </w:tcBorders>
          </w:tcPr>
          <w:p>
            <w:pPr>
              <w:spacing w:after="0" w:line="360" w:lineRule="auto"/>
              <w:ind w:left="0" w:right="23" w:firstLine="0"/>
              <w:jc w:val="center"/>
              <w:rPr>
                <w:szCs w:val="24"/>
              </w:rPr>
            </w:pPr>
          </w:p>
        </w:tc>
        <w:tc>
          <w:tcPr>
            <w:tcW w:w="1475" w:type="dxa"/>
            <w:gridSpan w:val="2"/>
            <w:tcBorders>
              <w:top w:val="single" w:color="000000" w:sz="4" w:space="0"/>
              <w:left w:val="single" w:color="000000" w:sz="4" w:space="0"/>
              <w:bottom w:val="single" w:color="000000" w:sz="4" w:space="0"/>
              <w:right w:val="single" w:color="000000" w:sz="4" w:space="0"/>
            </w:tcBorders>
          </w:tcPr>
          <w:p>
            <w:pPr>
              <w:spacing w:after="160" w:line="360" w:lineRule="auto"/>
              <w:ind w:left="0" w:firstLine="0"/>
              <w:rPr>
                <w:szCs w:val="24"/>
              </w:rPr>
            </w:pPr>
            <w:r>
              <w:rPr>
                <w:szCs w:val="24"/>
              </w:rPr>
              <w:t xml:space="preserve">授权代表 </w:t>
            </w:r>
          </w:p>
        </w:tc>
        <w:tc>
          <w:tcPr>
            <w:tcW w:w="1638" w:type="dxa"/>
            <w:gridSpan w:val="2"/>
            <w:tcBorders>
              <w:top w:val="single" w:color="000000" w:sz="4" w:space="0"/>
              <w:left w:val="single" w:color="000000" w:sz="4" w:space="0"/>
              <w:bottom w:val="single" w:color="000000" w:sz="4" w:space="0"/>
              <w:right w:val="single" w:color="000000" w:sz="4" w:space="0"/>
            </w:tcBorders>
          </w:tcPr>
          <w:p>
            <w:pPr>
              <w:spacing w:after="160" w:line="360" w:lineRule="auto"/>
              <w:ind w:left="0" w:firstLine="0"/>
              <w:rPr>
                <w:szCs w:val="24"/>
              </w:rPr>
            </w:pPr>
          </w:p>
        </w:tc>
        <w:tc>
          <w:tcPr>
            <w:tcW w:w="1581" w:type="dxa"/>
            <w:tcBorders>
              <w:top w:val="single" w:color="000000" w:sz="4" w:space="0"/>
              <w:left w:val="single" w:color="000000" w:sz="4" w:space="0"/>
              <w:bottom w:val="single" w:color="000000" w:sz="4" w:space="0"/>
              <w:right w:val="single" w:color="000000" w:sz="4" w:space="0"/>
            </w:tcBorders>
          </w:tcPr>
          <w:p>
            <w:pPr>
              <w:spacing w:after="0" w:line="360" w:lineRule="auto"/>
              <w:ind w:left="0" w:right="127" w:firstLine="0"/>
              <w:jc w:val="center"/>
              <w:rPr>
                <w:szCs w:val="24"/>
              </w:rPr>
            </w:pPr>
            <w:r>
              <w:rPr>
                <w:szCs w:val="24"/>
              </w:rPr>
              <w:t xml:space="preserve">职务 </w:t>
            </w:r>
          </w:p>
        </w:tc>
        <w:tc>
          <w:tcPr>
            <w:tcW w:w="1134" w:type="dxa"/>
            <w:tcBorders>
              <w:top w:val="single" w:color="000000" w:sz="4" w:space="0"/>
              <w:left w:val="single" w:color="000000" w:sz="4" w:space="0"/>
              <w:bottom w:val="single" w:color="000000" w:sz="4" w:space="0"/>
              <w:right w:val="single" w:color="000000" w:sz="4" w:space="0"/>
            </w:tcBorders>
          </w:tcPr>
          <w:p>
            <w:pPr>
              <w:spacing w:after="0" w:line="360" w:lineRule="auto"/>
              <w:ind w:left="0" w:right="23" w:firstLine="0"/>
              <w:jc w:val="center"/>
              <w:rPr>
                <w:szCs w:val="24"/>
              </w:rPr>
            </w:pPr>
          </w:p>
        </w:tc>
      </w:tr>
      <w:tr>
        <w:tblPrEx>
          <w:tblCellMar>
            <w:top w:w="61" w:type="dxa"/>
            <w:left w:w="125" w:type="dxa"/>
            <w:bottom w:w="0" w:type="dxa"/>
            <w:right w:w="108" w:type="dxa"/>
          </w:tblCellMar>
        </w:tblPrEx>
        <w:trPr>
          <w:trHeight w:val="335" w:hRule="atLeast"/>
        </w:trPr>
        <w:tc>
          <w:tcPr>
            <w:tcW w:w="2317" w:type="dxa"/>
            <w:tcBorders>
              <w:top w:val="single" w:color="000000" w:sz="4" w:space="0"/>
              <w:left w:val="single" w:color="000000" w:sz="4" w:space="0"/>
              <w:bottom w:val="single" w:color="000000" w:sz="4" w:space="0"/>
              <w:right w:val="single" w:color="000000" w:sz="4" w:space="0"/>
            </w:tcBorders>
          </w:tcPr>
          <w:p>
            <w:pPr>
              <w:spacing w:after="0" w:line="360" w:lineRule="auto"/>
              <w:ind w:left="0" w:right="128" w:firstLine="0"/>
              <w:jc w:val="center"/>
              <w:rPr>
                <w:szCs w:val="24"/>
              </w:rPr>
            </w:pPr>
            <w:r>
              <w:rPr>
                <w:szCs w:val="24"/>
              </w:rPr>
              <w:t xml:space="preserve">邮编 </w:t>
            </w:r>
          </w:p>
        </w:tc>
        <w:tc>
          <w:tcPr>
            <w:tcW w:w="1290" w:type="dxa"/>
            <w:tcBorders>
              <w:top w:val="single" w:color="000000" w:sz="4" w:space="0"/>
              <w:left w:val="single" w:color="000000" w:sz="4" w:space="0"/>
              <w:bottom w:val="single" w:color="000000" w:sz="4" w:space="0"/>
              <w:right w:val="single" w:color="000000" w:sz="4" w:space="0"/>
            </w:tcBorders>
          </w:tcPr>
          <w:p>
            <w:pPr>
              <w:spacing w:after="0" w:line="360" w:lineRule="auto"/>
              <w:ind w:left="0" w:right="23" w:firstLine="0"/>
              <w:jc w:val="center"/>
              <w:rPr>
                <w:szCs w:val="24"/>
              </w:rPr>
            </w:pPr>
          </w:p>
        </w:tc>
        <w:tc>
          <w:tcPr>
            <w:tcW w:w="1475" w:type="dxa"/>
            <w:gridSpan w:val="2"/>
            <w:tcBorders>
              <w:top w:val="single" w:color="000000" w:sz="4" w:space="0"/>
              <w:left w:val="single" w:color="000000" w:sz="4" w:space="0"/>
              <w:bottom w:val="single" w:color="000000" w:sz="4" w:space="0"/>
              <w:right w:val="single" w:color="000000" w:sz="4" w:space="0"/>
            </w:tcBorders>
          </w:tcPr>
          <w:p>
            <w:pPr>
              <w:spacing w:after="160" w:line="360" w:lineRule="auto"/>
              <w:ind w:left="0" w:firstLine="0"/>
              <w:rPr>
                <w:szCs w:val="24"/>
              </w:rPr>
            </w:pPr>
            <w:r>
              <w:rPr>
                <w:szCs w:val="24"/>
              </w:rPr>
              <w:t xml:space="preserve">电话 </w:t>
            </w:r>
          </w:p>
        </w:tc>
        <w:tc>
          <w:tcPr>
            <w:tcW w:w="1638" w:type="dxa"/>
            <w:gridSpan w:val="2"/>
            <w:tcBorders>
              <w:top w:val="single" w:color="000000" w:sz="4" w:space="0"/>
              <w:left w:val="single" w:color="000000" w:sz="4" w:space="0"/>
              <w:bottom w:val="single" w:color="000000" w:sz="4" w:space="0"/>
              <w:right w:val="single" w:color="000000" w:sz="4" w:space="0"/>
            </w:tcBorders>
          </w:tcPr>
          <w:p>
            <w:pPr>
              <w:spacing w:after="160" w:line="360" w:lineRule="auto"/>
              <w:ind w:left="0" w:firstLine="0"/>
              <w:rPr>
                <w:szCs w:val="24"/>
              </w:rPr>
            </w:pPr>
          </w:p>
        </w:tc>
        <w:tc>
          <w:tcPr>
            <w:tcW w:w="1581" w:type="dxa"/>
            <w:tcBorders>
              <w:top w:val="single" w:color="000000" w:sz="4" w:space="0"/>
              <w:left w:val="single" w:color="000000" w:sz="4" w:space="0"/>
              <w:bottom w:val="single" w:color="000000" w:sz="4" w:space="0"/>
              <w:right w:val="single" w:color="000000" w:sz="4" w:space="0"/>
            </w:tcBorders>
          </w:tcPr>
          <w:p>
            <w:pPr>
              <w:spacing w:after="0" w:line="360" w:lineRule="auto"/>
              <w:ind w:left="0" w:right="127" w:firstLine="0"/>
              <w:jc w:val="center"/>
              <w:rPr>
                <w:szCs w:val="24"/>
              </w:rPr>
            </w:pPr>
            <w:r>
              <w:rPr>
                <w:szCs w:val="24"/>
              </w:rPr>
              <w:t xml:space="preserve">传真 </w:t>
            </w:r>
          </w:p>
        </w:tc>
        <w:tc>
          <w:tcPr>
            <w:tcW w:w="1134" w:type="dxa"/>
            <w:tcBorders>
              <w:top w:val="single" w:color="000000" w:sz="4" w:space="0"/>
              <w:left w:val="single" w:color="000000" w:sz="4" w:space="0"/>
              <w:bottom w:val="single" w:color="000000" w:sz="4" w:space="0"/>
              <w:right w:val="single" w:color="000000" w:sz="4" w:space="0"/>
            </w:tcBorders>
          </w:tcPr>
          <w:p>
            <w:pPr>
              <w:spacing w:after="0" w:line="360" w:lineRule="auto"/>
              <w:ind w:left="0" w:right="23" w:firstLine="0"/>
              <w:jc w:val="center"/>
              <w:rPr>
                <w:szCs w:val="24"/>
              </w:rPr>
            </w:pPr>
          </w:p>
        </w:tc>
      </w:tr>
      <w:tr>
        <w:tblPrEx>
          <w:tblCellMar>
            <w:top w:w="61" w:type="dxa"/>
            <w:left w:w="125" w:type="dxa"/>
            <w:bottom w:w="0" w:type="dxa"/>
            <w:right w:w="108" w:type="dxa"/>
          </w:tblCellMar>
        </w:tblPrEx>
        <w:trPr>
          <w:trHeight w:val="640" w:hRule="atLeast"/>
        </w:trPr>
        <w:tc>
          <w:tcPr>
            <w:tcW w:w="231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88" w:firstLine="0"/>
              <w:rPr>
                <w:szCs w:val="24"/>
              </w:rPr>
            </w:pPr>
            <w:r>
              <w:rPr>
                <w:szCs w:val="24"/>
              </w:rPr>
              <w:t xml:space="preserve">单位简介及机构设置 </w:t>
            </w:r>
          </w:p>
        </w:tc>
        <w:tc>
          <w:tcPr>
            <w:tcW w:w="7118" w:type="dxa"/>
            <w:gridSpan w:val="7"/>
            <w:tcBorders>
              <w:top w:val="single" w:color="000000" w:sz="4" w:space="0"/>
              <w:left w:val="single" w:color="000000" w:sz="4" w:space="0"/>
              <w:bottom w:val="single" w:color="000000" w:sz="4" w:space="0"/>
              <w:right w:val="single" w:color="000000" w:sz="4" w:space="0"/>
            </w:tcBorders>
          </w:tcPr>
          <w:p>
            <w:pPr>
              <w:spacing w:after="160" w:line="360" w:lineRule="auto"/>
              <w:ind w:left="0" w:firstLine="0"/>
              <w:rPr>
                <w:szCs w:val="24"/>
              </w:rPr>
            </w:pPr>
          </w:p>
        </w:tc>
      </w:tr>
      <w:tr>
        <w:tblPrEx>
          <w:tblCellMar>
            <w:top w:w="61" w:type="dxa"/>
            <w:left w:w="125" w:type="dxa"/>
            <w:bottom w:w="0" w:type="dxa"/>
            <w:right w:w="108" w:type="dxa"/>
          </w:tblCellMar>
        </w:tblPrEx>
        <w:trPr>
          <w:trHeight w:val="721" w:hRule="atLeast"/>
        </w:trPr>
        <w:tc>
          <w:tcPr>
            <w:tcW w:w="231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127" w:firstLine="0"/>
              <w:jc w:val="center"/>
              <w:rPr>
                <w:szCs w:val="24"/>
              </w:rPr>
            </w:pPr>
            <w:r>
              <w:rPr>
                <w:szCs w:val="24"/>
              </w:rPr>
              <w:t xml:space="preserve">单位优势及特长 </w:t>
            </w:r>
          </w:p>
        </w:tc>
        <w:tc>
          <w:tcPr>
            <w:tcW w:w="7118" w:type="dxa"/>
            <w:gridSpan w:val="7"/>
            <w:tcBorders>
              <w:top w:val="single" w:color="000000" w:sz="4" w:space="0"/>
              <w:left w:val="single" w:color="000000" w:sz="4" w:space="0"/>
              <w:bottom w:val="single" w:color="000000" w:sz="4" w:space="0"/>
              <w:right w:val="single" w:color="000000" w:sz="4" w:space="0"/>
            </w:tcBorders>
          </w:tcPr>
          <w:p>
            <w:pPr>
              <w:spacing w:after="160" w:line="360" w:lineRule="auto"/>
              <w:ind w:left="0" w:firstLine="0"/>
              <w:rPr>
                <w:szCs w:val="24"/>
              </w:rPr>
            </w:pPr>
          </w:p>
        </w:tc>
      </w:tr>
      <w:tr>
        <w:tblPrEx>
          <w:tblCellMar>
            <w:top w:w="61" w:type="dxa"/>
            <w:left w:w="125" w:type="dxa"/>
            <w:bottom w:w="0" w:type="dxa"/>
            <w:right w:w="108" w:type="dxa"/>
          </w:tblCellMar>
        </w:tblPrEx>
        <w:trPr>
          <w:trHeight w:val="336" w:hRule="atLeast"/>
        </w:trPr>
        <w:tc>
          <w:tcPr>
            <w:tcW w:w="2317"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128" w:firstLine="0"/>
              <w:jc w:val="center"/>
              <w:rPr>
                <w:szCs w:val="24"/>
              </w:rPr>
            </w:pPr>
            <w:r>
              <w:rPr>
                <w:szCs w:val="24"/>
              </w:rPr>
              <w:t xml:space="preserve">单位概况 </w:t>
            </w:r>
          </w:p>
        </w:tc>
        <w:tc>
          <w:tcPr>
            <w:tcW w:w="1290" w:type="dxa"/>
            <w:tcBorders>
              <w:top w:val="single" w:color="000000" w:sz="4" w:space="0"/>
              <w:left w:val="single" w:color="000000" w:sz="4" w:space="0"/>
              <w:bottom w:val="single" w:color="000000" w:sz="4" w:space="0"/>
              <w:right w:val="single" w:color="000000" w:sz="4" w:space="0"/>
            </w:tcBorders>
          </w:tcPr>
          <w:p>
            <w:pPr>
              <w:spacing w:after="0" w:line="360" w:lineRule="auto"/>
              <w:ind w:left="98" w:firstLine="0"/>
              <w:rPr>
                <w:szCs w:val="24"/>
              </w:rPr>
            </w:pPr>
            <w:r>
              <w:rPr>
                <w:szCs w:val="24"/>
              </w:rPr>
              <w:t xml:space="preserve">注册资本 </w:t>
            </w:r>
          </w:p>
        </w:tc>
        <w:tc>
          <w:tcPr>
            <w:tcW w:w="1235" w:type="dxa"/>
            <w:tcBorders>
              <w:top w:val="single" w:color="000000" w:sz="4" w:space="0"/>
              <w:left w:val="single" w:color="000000" w:sz="4" w:space="0"/>
              <w:bottom w:val="single" w:color="000000" w:sz="4" w:space="0"/>
              <w:right w:val="single" w:color="000000" w:sz="4" w:space="0"/>
            </w:tcBorders>
          </w:tcPr>
          <w:p>
            <w:pPr>
              <w:spacing w:after="0" w:line="360" w:lineRule="auto"/>
              <w:ind w:left="0" w:right="128" w:firstLine="0"/>
              <w:jc w:val="center"/>
              <w:rPr>
                <w:szCs w:val="24"/>
              </w:rPr>
            </w:pPr>
            <w:r>
              <w:rPr>
                <w:szCs w:val="24"/>
              </w:rPr>
              <w:t xml:space="preserve">万元 </w:t>
            </w:r>
          </w:p>
        </w:tc>
        <w:tc>
          <w:tcPr>
            <w:tcW w:w="1638" w:type="dxa"/>
            <w:gridSpan w:val="2"/>
            <w:tcBorders>
              <w:top w:val="single" w:color="000000" w:sz="4" w:space="0"/>
              <w:left w:val="single" w:color="000000" w:sz="4" w:space="0"/>
              <w:bottom w:val="single" w:color="000000" w:sz="4" w:space="0"/>
              <w:right w:val="single" w:color="000000" w:sz="4" w:space="0"/>
            </w:tcBorders>
          </w:tcPr>
          <w:p>
            <w:pPr>
              <w:spacing w:after="0" w:line="360" w:lineRule="auto"/>
              <w:ind w:left="0" w:right="128" w:firstLine="0"/>
              <w:jc w:val="center"/>
              <w:rPr>
                <w:szCs w:val="24"/>
              </w:rPr>
            </w:pPr>
            <w:r>
              <w:rPr>
                <w:szCs w:val="24"/>
              </w:rPr>
              <w:t xml:space="preserve">占地面积 </w:t>
            </w:r>
          </w:p>
        </w:tc>
        <w:tc>
          <w:tcPr>
            <w:tcW w:w="2955" w:type="dxa"/>
            <w:gridSpan w:val="3"/>
            <w:tcBorders>
              <w:top w:val="single" w:color="000000" w:sz="4" w:space="0"/>
              <w:left w:val="single" w:color="000000" w:sz="4" w:space="0"/>
              <w:bottom w:val="single" w:color="000000" w:sz="4" w:space="0"/>
              <w:right w:val="single" w:color="000000" w:sz="4" w:space="0"/>
            </w:tcBorders>
          </w:tcPr>
          <w:p>
            <w:pPr>
              <w:spacing w:after="0" w:line="360" w:lineRule="auto"/>
              <w:ind w:left="0" w:right="127" w:firstLine="0"/>
              <w:jc w:val="center"/>
              <w:rPr>
                <w:szCs w:val="24"/>
              </w:rPr>
            </w:pPr>
            <w:r>
              <w:rPr>
                <w:szCs w:val="24"/>
              </w:rPr>
              <w:t xml:space="preserve">平方米 </w:t>
            </w:r>
          </w:p>
        </w:tc>
      </w:tr>
      <w:tr>
        <w:tblPrEx>
          <w:tblCellMar>
            <w:top w:w="61" w:type="dxa"/>
            <w:left w:w="125" w:type="dxa"/>
            <w:bottom w:w="0" w:type="dxa"/>
            <w:right w:w="108" w:type="dxa"/>
          </w:tblCellMar>
        </w:tblPrEx>
        <w:trPr>
          <w:trHeight w:val="335" w:hRule="atLeast"/>
        </w:trPr>
        <w:tc>
          <w:tcPr>
            <w:tcW w:w="0" w:type="auto"/>
            <w:vMerge w:val="continue"/>
            <w:tcBorders>
              <w:top w:val="nil"/>
              <w:left w:val="single" w:color="000000" w:sz="4" w:space="0"/>
              <w:bottom w:val="nil"/>
              <w:right w:val="single" w:color="000000" w:sz="4" w:space="0"/>
            </w:tcBorders>
          </w:tcPr>
          <w:p>
            <w:pPr>
              <w:spacing w:after="160" w:line="360" w:lineRule="auto"/>
              <w:ind w:left="0" w:firstLine="0"/>
              <w:rPr>
                <w:szCs w:val="24"/>
              </w:rPr>
            </w:pPr>
          </w:p>
        </w:tc>
        <w:tc>
          <w:tcPr>
            <w:tcW w:w="1290" w:type="dxa"/>
            <w:tcBorders>
              <w:top w:val="single" w:color="000000" w:sz="4" w:space="0"/>
              <w:left w:val="single" w:color="000000" w:sz="4" w:space="0"/>
              <w:bottom w:val="single" w:color="000000" w:sz="4" w:space="0"/>
              <w:right w:val="single" w:color="000000" w:sz="4" w:space="0"/>
            </w:tcBorders>
          </w:tcPr>
          <w:p>
            <w:pPr>
              <w:spacing w:after="0" w:line="360" w:lineRule="auto"/>
              <w:ind w:left="98" w:firstLine="0"/>
              <w:rPr>
                <w:szCs w:val="24"/>
              </w:rPr>
            </w:pPr>
            <w:r>
              <w:rPr>
                <w:szCs w:val="24"/>
              </w:rPr>
              <w:t xml:space="preserve">职工总数 </w:t>
            </w:r>
          </w:p>
        </w:tc>
        <w:tc>
          <w:tcPr>
            <w:tcW w:w="1235" w:type="dxa"/>
            <w:tcBorders>
              <w:top w:val="single" w:color="000000" w:sz="4" w:space="0"/>
              <w:left w:val="single" w:color="000000" w:sz="4" w:space="0"/>
              <w:bottom w:val="single" w:color="000000" w:sz="4" w:space="0"/>
              <w:right w:val="single" w:color="000000" w:sz="4" w:space="0"/>
            </w:tcBorders>
          </w:tcPr>
          <w:p>
            <w:pPr>
              <w:spacing w:after="0" w:line="360" w:lineRule="auto"/>
              <w:ind w:left="0" w:right="127" w:firstLine="0"/>
              <w:jc w:val="center"/>
              <w:rPr>
                <w:szCs w:val="24"/>
              </w:rPr>
            </w:pPr>
            <w:r>
              <w:rPr>
                <w:szCs w:val="24"/>
              </w:rPr>
              <w:t xml:space="preserve">人 </w:t>
            </w:r>
          </w:p>
        </w:tc>
        <w:tc>
          <w:tcPr>
            <w:tcW w:w="1638" w:type="dxa"/>
            <w:gridSpan w:val="2"/>
            <w:tcBorders>
              <w:top w:val="single" w:color="000000" w:sz="4" w:space="0"/>
              <w:left w:val="single" w:color="000000" w:sz="4" w:space="0"/>
              <w:bottom w:val="single" w:color="000000" w:sz="4" w:space="0"/>
              <w:right w:val="single" w:color="000000" w:sz="4" w:space="0"/>
            </w:tcBorders>
          </w:tcPr>
          <w:p>
            <w:pPr>
              <w:spacing w:after="0" w:line="360" w:lineRule="auto"/>
              <w:ind w:left="0" w:right="128" w:firstLine="0"/>
              <w:jc w:val="center"/>
              <w:rPr>
                <w:szCs w:val="24"/>
              </w:rPr>
            </w:pPr>
            <w:r>
              <w:rPr>
                <w:szCs w:val="24"/>
              </w:rPr>
              <w:t xml:space="preserve">建筑面积 </w:t>
            </w:r>
          </w:p>
        </w:tc>
        <w:tc>
          <w:tcPr>
            <w:tcW w:w="2955" w:type="dxa"/>
            <w:gridSpan w:val="3"/>
            <w:tcBorders>
              <w:top w:val="single" w:color="000000" w:sz="4" w:space="0"/>
              <w:left w:val="single" w:color="000000" w:sz="4" w:space="0"/>
              <w:bottom w:val="single" w:color="000000" w:sz="4" w:space="0"/>
              <w:right w:val="single" w:color="000000" w:sz="4" w:space="0"/>
            </w:tcBorders>
          </w:tcPr>
          <w:p>
            <w:pPr>
              <w:spacing w:after="0" w:line="360" w:lineRule="auto"/>
              <w:ind w:left="0" w:right="127" w:firstLine="0"/>
              <w:jc w:val="center"/>
              <w:rPr>
                <w:szCs w:val="24"/>
              </w:rPr>
            </w:pPr>
            <w:r>
              <w:rPr>
                <w:szCs w:val="24"/>
              </w:rPr>
              <w:t xml:space="preserve">平方米 </w:t>
            </w:r>
          </w:p>
        </w:tc>
      </w:tr>
      <w:tr>
        <w:tblPrEx>
          <w:tblCellMar>
            <w:top w:w="61" w:type="dxa"/>
            <w:left w:w="125" w:type="dxa"/>
            <w:bottom w:w="0" w:type="dxa"/>
            <w:right w:w="108" w:type="dxa"/>
          </w:tblCellMar>
        </w:tblPrEx>
        <w:trPr>
          <w:trHeight w:val="335" w:hRule="atLeast"/>
        </w:trPr>
        <w:tc>
          <w:tcPr>
            <w:tcW w:w="0" w:type="auto"/>
            <w:vMerge w:val="continue"/>
            <w:tcBorders>
              <w:top w:val="nil"/>
              <w:left w:val="single" w:color="000000" w:sz="4" w:space="0"/>
              <w:bottom w:val="nil"/>
              <w:right w:val="single" w:color="000000" w:sz="4" w:space="0"/>
            </w:tcBorders>
          </w:tcPr>
          <w:p>
            <w:pPr>
              <w:spacing w:after="160" w:line="360" w:lineRule="auto"/>
              <w:ind w:left="0" w:firstLine="0"/>
              <w:rPr>
                <w:szCs w:val="24"/>
              </w:rPr>
            </w:pPr>
          </w:p>
        </w:tc>
        <w:tc>
          <w:tcPr>
            <w:tcW w:w="2525" w:type="dxa"/>
            <w:gridSpan w:val="2"/>
            <w:tcBorders>
              <w:top w:val="single" w:color="000000" w:sz="4" w:space="0"/>
              <w:left w:val="single" w:color="000000" w:sz="4" w:space="0"/>
              <w:bottom w:val="single" w:color="000000" w:sz="4" w:space="0"/>
              <w:right w:val="single" w:color="000000" w:sz="4" w:space="0"/>
            </w:tcBorders>
            <w:vAlign w:val="center"/>
          </w:tcPr>
          <w:p>
            <w:pPr>
              <w:spacing w:after="0" w:line="360" w:lineRule="auto"/>
              <w:rPr>
                <w:szCs w:val="24"/>
              </w:rPr>
            </w:pPr>
            <w:r>
              <w:rPr>
                <w:rFonts w:hint="eastAsia"/>
                <w:szCs w:val="24"/>
              </w:rPr>
              <w:t>开户行地址</w:t>
            </w:r>
          </w:p>
        </w:tc>
        <w:tc>
          <w:tcPr>
            <w:tcW w:w="4593" w:type="dxa"/>
            <w:gridSpan w:val="5"/>
            <w:tcBorders>
              <w:top w:val="single" w:color="000000" w:sz="4" w:space="0"/>
              <w:left w:val="single" w:color="000000" w:sz="4" w:space="0"/>
              <w:bottom w:val="single" w:color="000000" w:sz="4" w:space="0"/>
              <w:right w:val="single" w:color="000000" w:sz="4" w:space="0"/>
            </w:tcBorders>
          </w:tcPr>
          <w:p>
            <w:pPr>
              <w:spacing w:after="0" w:line="360" w:lineRule="auto"/>
              <w:ind w:left="0" w:right="127" w:firstLine="0"/>
              <w:jc w:val="center"/>
              <w:rPr>
                <w:szCs w:val="24"/>
              </w:rPr>
            </w:pPr>
          </w:p>
        </w:tc>
      </w:tr>
      <w:tr>
        <w:tblPrEx>
          <w:tblCellMar>
            <w:top w:w="61" w:type="dxa"/>
            <w:left w:w="125" w:type="dxa"/>
            <w:bottom w:w="0" w:type="dxa"/>
            <w:right w:w="108" w:type="dxa"/>
          </w:tblCellMar>
        </w:tblPrEx>
        <w:trPr>
          <w:trHeight w:val="335" w:hRule="atLeast"/>
        </w:trPr>
        <w:tc>
          <w:tcPr>
            <w:tcW w:w="0" w:type="auto"/>
            <w:vMerge w:val="continue"/>
            <w:tcBorders>
              <w:top w:val="nil"/>
              <w:left w:val="single" w:color="000000" w:sz="4" w:space="0"/>
              <w:bottom w:val="single" w:color="000000" w:sz="4" w:space="0"/>
              <w:right w:val="single" w:color="000000" w:sz="4" w:space="0"/>
            </w:tcBorders>
          </w:tcPr>
          <w:p>
            <w:pPr>
              <w:spacing w:after="160" w:line="360" w:lineRule="auto"/>
              <w:ind w:left="0" w:firstLine="0"/>
              <w:rPr>
                <w:szCs w:val="24"/>
              </w:rPr>
            </w:pPr>
          </w:p>
        </w:tc>
        <w:tc>
          <w:tcPr>
            <w:tcW w:w="2525" w:type="dxa"/>
            <w:gridSpan w:val="2"/>
            <w:tcBorders>
              <w:top w:val="nil"/>
              <w:left w:val="single" w:color="000000" w:sz="4" w:space="0"/>
              <w:bottom w:val="single" w:color="000000" w:sz="4" w:space="0"/>
              <w:right w:val="single" w:color="000000" w:sz="4" w:space="0"/>
            </w:tcBorders>
          </w:tcPr>
          <w:p>
            <w:pPr>
              <w:spacing w:after="0" w:line="360" w:lineRule="auto"/>
              <w:ind w:left="0" w:right="128" w:firstLine="0"/>
              <w:rPr>
                <w:szCs w:val="24"/>
              </w:rPr>
            </w:pPr>
            <w:r>
              <w:rPr>
                <w:rFonts w:hint="eastAsia"/>
                <w:szCs w:val="24"/>
              </w:rPr>
              <w:t>开户行账号</w:t>
            </w:r>
          </w:p>
        </w:tc>
        <w:tc>
          <w:tcPr>
            <w:tcW w:w="4593" w:type="dxa"/>
            <w:gridSpan w:val="5"/>
            <w:tcBorders>
              <w:top w:val="single" w:color="000000" w:sz="4" w:space="0"/>
              <w:left w:val="single" w:color="000000" w:sz="4" w:space="0"/>
              <w:bottom w:val="single" w:color="000000" w:sz="4" w:space="0"/>
              <w:right w:val="single" w:color="000000" w:sz="4" w:space="0"/>
            </w:tcBorders>
          </w:tcPr>
          <w:p>
            <w:pPr>
              <w:spacing w:after="0" w:line="360" w:lineRule="auto"/>
              <w:ind w:left="0" w:right="127" w:firstLine="0"/>
              <w:jc w:val="center"/>
              <w:rPr>
                <w:szCs w:val="24"/>
              </w:rPr>
            </w:pPr>
          </w:p>
        </w:tc>
      </w:tr>
      <w:tr>
        <w:tblPrEx>
          <w:tblCellMar>
            <w:top w:w="61" w:type="dxa"/>
            <w:left w:w="125" w:type="dxa"/>
            <w:bottom w:w="0" w:type="dxa"/>
            <w:right w:w="108" w:type="dxa"/>
          </w:tblCellMar>
        </w:tblPrEx>
        <w:trPr>
          <w:trHeight w:val="1526" w:hRule="atLeast"/>
        </w:trPr>
        <w:tc>
          <w:tcPr>
            <w:tcW w:w="231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128" w:firstLine="0"/>
              <w:jc w:val="center"/>
              <w:rPr>
                <w:szCs w:val="24"/>
              </w:rPr>
            </w:pPr>
            <w:r>
              <w:rPr>
                <w:rFonts w:hint="eastAsia"/>
                <w:szCs w:val="24"/>
              </w:rPr>
              <w:t>经营范围</w:t>
            </w:r>
          </w:p>
        </w:tc>
        <w:tc>
          <w:tcPr>
            <w:tcW w:w="7118" w:type="dxa"/>
            <w:gridSpan w:val="7"/>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23" w:firstLine="0"/>
              <w:jc w:val="center"/>
              <w:rPr>
                <w:szCs w:val="24"/>
              </w:rPr>
            </w:pPr>
          </w:p>
        </w:tc>
      </w:tr>
    </w:tbl>
    <w:p>
      <w:pPr>
        <w:spacing w:after="49" w:line="360" w:lineRule="auto"/>
        <w:ind w:left="14" w:hanging="4"/>
        <w:rPr>
          <w:szCs w:val="24"/>
        </w:rPr>
      </w:pPr>
      <w:r>
        <w:rPr>
          <w:szCs w:val="24"/>
        </w:rPr>
        <w:t xml:space="preserve">响应供应商全称（加盖公章）：                    </w:t>
      </w:r>
    </w:p>
    <w:p>
      <w:pPr>
        <w:spacing w:after="3" w:line="360" w:lineRule="auto"/>
        <w:ind w:left="14" w:hanging="4"/>
        <w:rPr>
          <w:szCs w:val="24"/>
        </w:rPr>
      </w:pPr>
      <w:r>
        <w:rPr>
          <w:szCs w:val="24"/>
        </w:rPr>
        <w:t xml:space="preserve">法定代表人（签字或签章）：                  </w:t>
      </w:r>
    </w:p>
    <w:p>
      <w:pPr>
        <w:spacing w:after="520" w:line="360" w:lineRule="auto"/>
        <w:rPr>
          <w:szCs w:val="24"/>
        </w:rPr>
      </w:pPr>
      <w:r>
        <w:rPr>
          <w:szCs w:val="24"/>
        </w:rPr>
        <w:t>被授权人(投标人授权代表)（签字</w:t>
      </w:r>
      <w:r>
        <w:rPr>
          <w:rFonts w:hint="eastAsia"/>
          <w:szCs w:val="24"/>
        </w:rPr>
        <w:t>或盖章</w:t>
      </w:r>
      <w:r>
        <w:rPr>
          <w:szCs w:val="24"/>
        </w:rPr>
        <w:t>）：</w:t>
      </w:r>
    </w:p>
    <w:p>
      <w:pPr>
        <w:pStyle w:val="2"/>
        <w:ind w:left="480" w:firstLine="480"/>
      </w:pPr>
    </w:p>
    <w:p>
      <w:pPr>
        <w:pStyle w:val="2"/>
        <w:ind w:left="480" w:firstLine="480"/>
      </w:pPr>
    </w:p>
    <w:p>
      <w:pPr>
        <w:pStyle w:val="6"/>
        <w:rPr>
          <w:b/>
          <w:bCs/>
          <w:sz w:val="24"/>
          <w:szCs w:val="24"/>
        </w:rPr>
      </w:pPr>
      <w:bookmarkStart w:id="2745" w:name="_Toc77206906"/>
      <w:bookmarkStart w:id="2746" w:name="_Toc79057569"/>
      <w:r>
        <w:rPr>
          <w:rFonts w:hint="eastAsia"/>
          <w:b/>
          <w:bCs/>
          <w:sz w:val="24"/>
          <w:szCs w:val="24"/>
        </w:rPr>
        <w:t>（九）、</w:t>
      </w:r>
      <w:r>
        <w:rPr>
          <w:b/>
          <w:bCs/>
          <w:sz w:val="24"/>
          <w:szCs w:val="24"/>
        </w:rPr>
        <w:t>同意磋商文件条款说明</w:t>
      </w:r>
      <w:bookmarkEnd w:id="2745"/>
      <w:bookmarkEnd w:id="2746"/>
    </w:p>
    <w:p/>
    <w:p>
      <w:pPr>
        <w:pStyle w:val="2"/>
        <w:ind w:left="480" w:firstLine="480"/>
      </w:pPr>
    </w:p>
    <w:p>
      <w:pPr>
        <w:jc w:val="center"/>
      </w:pPr>
      <w:bookmarkStart w:id="2747" w:name="_Toc2959"/>
      <w:r>
        <w:t>同意磋商文件条款说明</w:t>
      </w:r>
      <w:bookmarkEnd w:id="2747"/>
    </w:p>
    <w:p>
      <w:pPr>
        <w:spacing w:after="0" w:line="360" w:lineRule="auto"/>
        <w:ind w:left="348" w:firstLine="0"/>
        <w:rPr>
          <w:szCs w:val="24"/>
        </w:rPr>
      </w:pPr>
    </w:p>
    <w:p>
      <w:pPr>
        <w:spacing w:after="257" w:line="360" w:lineRule="auto"/>
        <w:ind w:left="352" w:hanging="4"/>
        <w:rPr>
          <w:szCs w:val="24"/>
        </w:rPr>
      </w:pPr>
      <w:r>
        <w:rPr>
          <w:szCs w:val="24"/>
        </w:rPr>
        <w:t>致：</w:t>
      </w:r>
      <w:r>
        <w:rPr>
          <w:rFonts w:hint="eastAsia"/>
          <w:bCs/>
          <w:szCs w:val="24"/>
          <w:u w:val="single"/>
        </w:rPr>
        <w:t>北京市房山区人民防空办公室</w:t>
      </w:r>
    </w:p>
    <w:p>
      <w:pPr>
        <w:spacing w:line="360" w:lineRule="auto"/>
        <w:ind w:left="11" w:firstLine="480" w:firstLineChars="200"/>
        <w:rPr>
          <w:szCs w:val="24"/>
        </w:rPr>
      </w:pPr>
      <w:r>
        <w:rPr>
          <w:szCs w:val="24"/>
        </w:rPr>
        <w:t>为响应</w:t>
      </w:r>
      <w:r>
        <w:rPr>
          <w:rFonts w:hint="eastAsia"/>
          <w:szCs w:val="24"/>
        </w:rPr>
        <w:t>贵</w:t>
      </w:r>
      <w:r>
        <w:rPr>
          <w:szCs w:val="24"/>
        </w:rPr>
        <w:t>方组织的项目名称：</w:t>
      </w:r>
      <w:r>
        <w:rPr>
          <w:rFonts w:hint="eastAsia"/>
          <w:szCs w:val="24"/>
          <w:u w:val="single"/>
        </w:rPr>
        <w:t>北京市房山区人民防空办公室加州水郡西区、中冶蓝城地下人防工程维修工程</w:t>
      </w:r>
      <w:r>
        <w:rPr>
          <w:szCs w:val="24"/>
        </w:rPr>
        <w:t>的磋商【项目编号：</w:t>
      </w:r>
      <w:r>
        <w:rPr>
          <w:rFonts w:hint="eastAsia"/>
          <w:szCs w:val="24"/>
          <w:u w:val="single"/>
        </w:rPr>
        <w:t xml:space="preserve">           </w:t>
      </w:r>
      <w:r>
        <w:rPr>
          <w:szCs w:val="24"/>
        </w:rPr>
        <w:t xml:space="preserve"> 】，我方在参与响应前已详细研究了磋商文件的所有内容，包括修改文件（如果有的话）和所有已提供的参考资料以及有关附件，我方完全明白并认为此磋商文件没有倾向性，也没有存在排斥潜在响应供应商的内容，我方并同意磋商文件的相关条款。</w:t>
      </w:r>
    </w:p>
    <w:p>
      <w:pPr>
        <w:spacing w:line="360" w:lineRule="auto"/>
        <w:ind w:left="11" w:firstLine="480" w:firstLineChars="200"/>
        <w:rPr>
          <w:szCs w:val="24"/>
        </w:rPr>
      </w:pPr>
    </w:p>
    <w:p>
      <w:pPr>
        <w:spacing w:line="360" w:lineRule="auto"/>
        <w:ind w:left="11" w:firstLine="480" w:firstLineChars="200"/>
        <w:rPr>
          <w:szCs w:val="24"/>
        </w:rPr>
      </w:pPr>
      <w:r>
        <w:rPr>
          <w:szCs w:val="24"/>
        </w:rPr>
        <w:t>特此声明</w:t>
      </w:r>
    </w:p>
    <w:p>
      <w:pPr>
        <w:spacing w:after="250" w:line="360" w:lineRule="auto"/>
        <w:ind w:left="102" w:hanging="4"/>
        <w:rPr>
          <w:szCs w:val="24"/>
        </w:rPr>
      </w:pPr>
    </w:p>
    <w:p>
      <w:pPr>
        <w:spacing w:after="250" w:line="360" w:lineRule="auto"/>
        <w:ind w:left="102" w:hanging="4"/>
        <w:rPr>
          <w:szCs w:val="24"/>
        </w:rPr>
      </w:pPr>
    </w:p>
    <w:p>
      <w:pPr>
        <w:spacing w:line="360" w:lineRule="auto"/>
        <w:ind w:left="0" w:firstLine="0"/>
        <w:rPr>
          <w:szCs w:val="24"/>
        </w:rPr>
      </w:pPr>
      <w:r>
        <w:rPr>
          <w:szCs w:val="24"/>
        </w:rPr>
        <w:t xml:space="preserve">响应供应商全称（加盖公章）：  </w:t>
      </w:r>
    </w:p>
    <w:p>
      <w:pPr>
        <w:spacing w:line="360" w:lineRule="auto"/>
        <w:ind w:left="0" w:firstLine="0"/>
        <w:rPr>
          <w:szCs w:val="24"/>
        </w:rPr>
      </w:pPr>
      <w:r>
        <w:rPr>
          <w:szCs w:val="24"/>
        </w:rPr>
        <w:t>法定代表人或其授权代表（签字</w:t>
      </w:r>
      <w:r>
        <w:rPr>
          <w:rFonts w:hint="eastAsia"/>
          <w:szCs w:val="24"/>
        </w:rPr>
        <w:t>或盖章</w:t>
      </w:r>
      <w:r>
        <w:rPr>
          <w:szCs w:val="24"/>
        </w:rPr>
        <w:t xml:space="preserve">）：                     </w:t>
      </w:r>
    </w:p>
    <w:p>
      <w:pPr>
        <w:spacing w:line="360" w:lineRule="auto"/>
        <w:ind w:left="0" w:firstLine="0"/>
        <w:rPr>
          <w:szCs w:val="24"/>
        </w:rPr>
      </w:pPr>
      <w:r>
        <w:rPr>
          <w:szCs w:val="24"/>
        </w:rPr>
        <w:t xml:space="preserve">日    期：     年   月   日 </w:t>
      </w:r>
    </w:p>
    <w:p>
      <w:pPr>
        <w:spacing w:after="782" w:line="360" w:lineRule="auto"/>
        <w:ind w:left="102" w:hanging="4"/>
        <w:rPr>
          <w:rFonts w:cs="Times New Roman"/>
          <w:szCs w:val="24"/>
        </w:rPr>
      </w:pPr>
    </w:p>
    <w:p>
      <w:pPr>
        <w:pStyle w:val="2"/>
        <w:spacing w:line="360" w:lineRule="auto"/>
        <w:ind w:left="480" w:firstLine="480"/>
      </w:pPr>
    </w:p>
    <w:p>
      <w:pPr>
        <w:pStyle w:val="2"/>
        <w:spacing w:line="360" w:lineRule="auto"/>
        <w:ind w:left="480" w:firstLine="480"/>
      </w:pPr>
    </w:p>
    <w:p>
      <w:pPr>
        <w:pStyle w:val="2"/>
        <w:spacing w:line="360" w:lineRule="auto"/>
        <w:ind w:left="480" w:firstLine="480"/>
      </w:pPr>
    </w:p>
    <w:p>
      <w:pPr>
        <w:pStyle w:val="2"/>
        <w:spacing w:line="360" w:lineRule="auto"/>
        <w:ind w:left="480" w:firstLine="480"/>
      </w:pPr>
    </w:p>
    <w:p>
      <w:pPr>
        <w:pStyle w:val="2"/>
        <w:spacing w:line="360" w:lineRule="auto"/>
        <w:ind w:left="480" w:firstLine="480"/>
      </w:pPr>
    </w:p>
    <w:p>
      <w:pPr>
        <w:pStyle w:val="2"/>
        <w:spacing w:line="360" w:lineRule="auto"/>
        <w:ind w:left="480" w:firstLine="480"/>
      </w:pPr>
    </w:p>
    <w:p>
      <w:pPr>
        <w:pStyle w:val="2"/>
        <w:spacing w:line="360" w:lineRule="auto"/>
        <w:ind w:left="480" w:firstLine="480"/>
      </w:pPr>
    </w:p>
    <w:p>
      <w:pPr>
        <w:pStyle w:val="6"/>
        <w:rPr>
          <w:b/>
          <w:bCs/>
          <w:sz w:val="24"/>
          <w:szCs w:val="24"/>
        </w:rPr>
      </w:pPr>
      <w:bookmarkStart w:id="2748" w:name="_Toc79057570"/>
      <w:bookmarkStart w:id="2749" w:name="_Toc77206907"/>
      <w:r>
        <w:rPr>
          <w:rFonts w:hint="eastAsia"/>
          <w:b/>
          <w:bCs/>
          <w:sz w:val="24"/>
          <w:szCs w:val="24"/>
        </w:rPr>
        <w:t>（十）、与采购人需求差异表</w:t>
      </w:r>
      <w:bookmarkEnd w:id="2748"/>
      <w:bookmarkEnd w:id="2749"/>
    </w:p>
    <w:p>
      <w:pPr>
        <w:pStyle w:val="2"/>
        <w:spacing w:line="360" w:lineRule="auto"/>
        <w:ind w:left="0" w:leftChars="0" w:firstLine="0" w:firstLineChars="0"/>
      </w:pPr>
    </w:p>
    <w:p>
      <w:pPr>
        <w:jc w:val="center"/>
      </w:pPr>
      <w:bookmarkStart w:id="2750" w:name="_Toc22207"/>
      <w:r>
        <w:rPr>
          <w:rFonts w:hint="eastAsia"/>
        </w:rPr>
        <w:t>与采购人需求差异表</w:t>
      </w:r>
      <w:bookmarkEnd w:id="2750"/>
    </w:p>
    <w:p>
      <w:pPr>
        <w:pStyle w:val="2"/>
        <w:ind w:left="480" w:firstLine="480"/>
      </w:pPr>
    </w:p>
    <w:p>
      <w:pPr>
        <w:spacing w:line="360" w:lineRule="auto"/>
        <w:rPr>
          <w:szCs w:val="24"/>
        </w:rPr>
      </w:pPr>
      <w:r>
        <w:rPr>
          <w:rFonts w:hint="eastAsia"/>
          <w:szCs w:val="24"/>
        </w:rPr>
        <w:t>项目名称： 北京市房山区人民防空办公室加州水郡西区、中冶蓝城地下人防工程维修工程</w:t>
      </w:r>
    </w:p>
    <w:p>
      <w:pPr>
        <w:spacing w:line="360" w:lineRule="auto"/>
        <w:rPr>
          <w:szCs w:val="24"/>
        </w:rPr>
      </w:pPr>
      <w:r>
        <w:rPr>
          <w:rFonts w:hint="eastAsia"/>
          <w:szCs w:val="24"/>
        </w:rPr>
        <w:t xml:space="preserve">项目编号： </w:t>
      </w:r>
    </w:p>
    <w:tbl>
      <w:tblPr>
        <w:tblStyle w:val="36"/>
        <w:tblW w:w="9302" w:type="dxa"/>
        <w:tblInd w:w="-31" w:type="dxa"/>
        <w:tblLayout w:type="autofit"/>
        <w:tblCellMar>
          <w:top w:w="0" w:type="dxa"/>
          <w:left w:w="29" w:type="dxa"/>
          <w:bottom w:w="0" w:type="dxa"/>
          <w:right w:w="60" w:type="dxa"/>
        </w:tblCellMar>
      </w:tblPr>
      <w:tblGrid>
        <w:gridCol w:w="1501"/>
        <w:gridCol w:w="1067"/>
        <w:gridCol w:w="3015"/>
        <w:gridCol w:w="1860"/>
        <w:gridCol w:w="1859"/>
      </w:tblGrid>
      <w:tr>
        <w:tblPrEx>
          <w:tblCellMar>
            <w:top w:w="0" w:type="dxa"/>
            <w:left w:w="29" w:type="dxa"/>
            <w:bottom w:w="0" w:type="dxa"/>
            <w:right w:w="60" w:type="dxa"/>
          </w:tblCellMar>
        </w:tblPrEx>
        <w:trPr>
          <w:trHeight w:val="485" w:hRule="atLeast"/>
        </w:trPr>
        <w:tc>
          <w:tcPr>
            <w:tcW w:w="1501" w:type="dxa"/>
            <w:vMerge w:val="restart"/>
            <w:tcBorders>
              <w:top w:val="single" w:color="000000" w:sz="12" w:space="0"/>
              <w:left w:val="single" w:color="000000" w:sz="12" w:space="0"/>
              <w:bottom w:val="single" w:color="000000" w:sz="6" w:space="0"/>
              <w:right w:val="single" w:color="000000" w:sz="6" w:space="0"/>
            </w:tcBorders>
            <w:vAlign w:val="center"/>
          </w:tcPr>
          <w:p>
            <w:pPr>
              <w:spacing w:after="0" w:line="360" w:lineRule="auto"/>
              <w:ind w:left="32" w:firstLine="0"/>
              <w:jc w:val="center"/>
              <w:rPr>
                <w:sz w:val="21"/>
                <w:szCs w:val="21"/>
              </w:rPr>
            </w:pPr>
            <w:r>
              <w:rPr>
                <w:rFonts w:hint="eastAsia"/>
                <w:sz w:val="21"/>
                <w:szCs w:val="21"/>
              </w:rPr>
              <w:t xml:space="preserve">序号 </w:t>
            </w:r>
          </w:p>
        </w:tc>
        <w:tc>
          <w:tcPr>
            <w:tcW w:w="4082" w:type="dxa"/>
            <w:gridSpan w:val="2"/>
            <w:tcBorders>
              <w:top w:val="single" w:color="000000" w:sz="12" w:space="0"/>
              <w:left w:val="single" w:color="000000" w:sz="6" w:space="0"/>
              <w:bottom w:val="single" w:color="000000" w:sz="6" w:space="0"/>
              <w:right w:val="single" w:color="000000" w:sz="6" w:space="0"/>
            </w:tcBorders>
            <w:vAlign w:val="center"/>
          </w:tcPr>
          <w:p>
            <w:pPr>
              <w:spacing w:after="0" w:line="360" w:lineRule="auto"/>
              <w:ind w:left="31" w:firstLine="0"/>
              <w:jc w:val="center"/>
              <w:rPr>
                <w:sz w:val="21"/>
                <w:szCs w:val="21"/>
              </w:rPr>
            </w:pPr>
            <w:r>
              <w:rPr>
                <w:rFonts w:hint="eastAsia"/>
                <w:sz w:val="21"/>
                <w:szCs w:val="21"/>
              </w:rPr>
              <w:t xml:space="preserve">磋商文件要求 </w:t>
            </w:r>
          </w:p>
        </w:tc>
        <w:tc>
          <w:tcPr>
            <w:tcW w:w="3719" w:type="dxa"/>
            <w:gridSpan w:val="2"/>
            <w:tcBorders>
              <w:top w:val="single" w:color="000000" w:sz="12" w:space="0"/>
              <w:left w:val="single" w:color="000000" w:sz="6" w:space="0"/>
              <w:bottom w:val="single" w:color="000000" w:sz="6" w:space="0"/>
              <w:right w:val="single" w:color="000000" w:sz="12" w:space="0"/>
            </w:tcBorders>
            <w:vAlign w:val="center"/>
          </w:tcPr>
          <w:p>
            <w:pPr>
              <w:spacing w:after="0" w:line="360" w:lineRule="auto"/>
              <w:ind w:left="29" w:firstLine="0"/>
              <w:jc w:val="center"/>
              <w:rPr>
                <w:sz w:val="21"/>
                <w:szCs w:val="21"/>
              </w:rPr>
            </w:pPr>
            <w:r>
              <w:rPr>
                <w:rFonts w:hint="eastAsia"/>
                <w:sz w:val="21"/>
                <w:szCs w:val="21"/>
              </w:rPr>
              <w:t xml:space="preserve">响应文件内容 </w:t>
            </w:r>
          </w:p>
        </w:tc>
      </w:tr>
      <w:tr>
        <w:tblPrEx>
          <w:tblCellMar>
            <w:top w:w="0" w:type="dxa"/>
            <w:left w:w="29" w:type="dxa"/>
            <w:bottom w:w="0" w:type="dxa"/>
            <w:right w:w="60" w:type="dxa"/>
          </w:tblCellMar>
        </w:tblPrEx>
        <w:trPr>
          <w:trHeight w:val="552" w:hRule="atLeast"/>
        </w:trPr>
        <w:tc>
          <w:tcPr>
            <w:tcW w:w="0" w:type="auto"/>
            <w:vMerge w:val="continue"/>
            <w:tcBorders>
              <w:top w:val="nil"/>
              <w:left w:val="single" w:color="000000" w:sz="12" w:space="0"/>
              <w:bottom w:val="single" w:color="000000" w:sz="6" w:space="0"/>
              <w:right w:val="single" w:color="000000" w:sz="6" w:space="0"/>
            </w:tcBorders>
          </w:tcPr>
          <w:p>
            <w:pPr>
              <w:spacing w:after="160" w:line="360" w:lineRule="auto"/>
              <w:ind w:left="0" w:firstLine="0"/>
              <w:rPr>
                <w:sz w:val="21"/>
                <w:szCs w:val="21"/>
              </w:rPr>
            </w:pPr>
          </w:p>
        </w:tc>
        <w:tc>
          <w:tcPr>
            <w:tcW w:w="1067" w:type="dxa"/>
            <w:tcBorders>
              <w:top w:val="single" w:color="000000" w:sz="6" w:space="0"/>
              <w:left w:val="single" w:color="000000" w:sz="6" w:space="0"/>
              <w:bottom w:val="single" w:color="000000" w:sz="6" w:space="0"/>
              <w:right w:val="single" w:color="000000" w:sz="6" w:space="0"/>
            </w:tcBorders>
            <w:vAlign w:val="center"/>
          </w:tcPr>
          <w:p>
            <w:pPr>
              <w:spacing w:after="0" w:line="360" w:lineRule="auto"/>
              <w:ind w:left="31" w:firstLine="0"/>
              <w:jc w:val="both"/>
              <w:rPr>
                <w:sz w:val="21"/>
                <w:szCs w:val="21"/>
              </w:rPr>
            </w:pPr>
            <w:r>
              <w:rPr>
                <w:rFonts w:hint="eastAsia"/>
                <w:sz w:val="21"/>
                <w:szCs w:val="21"/>
              </w:rPr>
              <w:t>原条目</w:t>
            </w:r>
          </w:p>
        </w:tc>
        <w:tc>
          <w:tcPr>
            <w:tcW w:w="3015" w:type="dxa"/>
            <w:tcBorders>
              <w:top w:val="single" w:color="000000" w:sz="6" w:space="0"/>
              <w:left w:val="single" w:color="000000" w:sz="6" w:space="0"/>
              <w:bottom w:val="single" w:color="000000" w:sz="6" w:space="0"/>
              <w:right w:val="single" w:color="000000" w:sz="6" w:space="0"/>
            </w:tcBorders>
            <w:vAlign w:val="center"/>
          </w:tcPr>
          <w:p>
            <w:pPr>
              <w:spacing w:after="0" w:line="360" w:lineRule="auto"/>
              <w:ind w:left="31" w:firstLine="0"/>
              <w:jc w:val="center"/>
              <w:rPr>
                <w:sz w:val="21"/>
                <w:szCs w:val="21"/>
              </w:rPr>
            </w:pPr>
            <w:r>
              <w:rPr>
                <w:rFonts w:hint="eastAsia"/>
                <w:sz w:val="21"/>
                <w:szCs w:val="21"/>
              </w:rPr>
              <w:t xml:space="preserve">简要内容 </w:t>
            </w:r>
          </w:p>
        </w:tc>
        <w:tc>
          <w:tcPr>
            <w:tcW w:w="1860" w:type="dxa"/>
            <w:tcBorders>
              <w:top w:val="single" w:color="000000" w:sz="6" w:space="0"/>
              <w:left w:val="single" w:color="000000" w:sz="6" w:space="0"/>
              <w:bottom w:val="single" w:color="000000" w:sz="6" w:space="0"/>
              <w:right w:val="single" w:color="000000" w:sz="6" w:space="0"/>
            </w:tcBorders>
            <w:vAlign w:val="center"/>
          </w:tcPr>
          <w:p>
            <w:pPr>
              <w:spacing w:after="0" w:line="360" w:lineRule="auto"/>
              <w:ind w:left="29" w:firstLine="0"/>
              <w:jc w:val="center"/>
              <w:rPr>
                <w:sz w:val="21"/>
                <w:szCs w:val="21"/>
              </w:rPr>
            </w:pPr>
            <w:r>
              <w:rPr>
                <w:rFonts w:hint="eastAsia"/>
                <w:sz w:val="21"/>
                <w:szCs w:val="21"/>
              </w:rPr>
              <w:t xml:space="preserve">是否响应 </w:t>
            </w:r>
          </w:p>
        </w:tc>
        <w:tc>
          <w:tcPr>
            <w:tcW w:w="1859" w:type="dxa"/>
            <w:tcBorders>
              <w:top w:val="single" w:color="000000" w:sz="6" w:space="0"/>
              <w:left w:val="single" w:color="000000" w:sz="6" w:space="0"/>
              <w:bottom w:val="single" w:color="000000" w:sz="6" w:space="0"/>
              <w:right w:val="single" w:color="000000" w:sz="12" w:space="0"/>
            </w:tcBorders>
            <w:vAlign w:val="center"/>
          </w:tcPr>
          <w:p>
            <w:pPr>
              <w:spacing w:after="0" w:line="360" w:lineRule="auto"/>
              <w:ind w:left="29" w:firstLine="0"/>
              <w:jc w:val="center"/>
              <w:rPr>
                <w:sz w:val="21"/>
                <w:szCs w:val="21"/>
              </w:rPr>
            </w:pPr>
            <w:r>
              <w:rPr>
                <w:rFonts w:hint="eastAsia"/>
                <w:sz w:val="21"/>
                <w:szCs w:val="21"/>
              </w:rPr>
              <w:t xml:space="preserve">偏离说明 </w:t>
            </w:r>
          </w:p>
        </w:tc>
      </w:tr>
      <w:tr>
        <w:tblPrEx>
          <w:tblCellMar>
            <w:top w:w="0" w:type="dxa"/>
            <w:left w:w="29" w:type="dxa"/>
            <w:bottom w:w="0" w:type="dxa"/>
            <w:right w:w="60" w:type="dxa"/>
          </w:tblCellMar>
        </w:tblPrEx>
        <w:trPr>
          <w:trHeight w:val="491" w:hRule="atLeast"/>
        </w:trPr>
        <w:tc>
          <w:tcPr>
            <w:tcW w:w="1501" w:type="dxa"/>
            <w:tcBorders>
              <w:top w:val="single" w:color="000000" w:sz="6" w:space="0"/>
              <w:left w:val="single" w:color="000000" w:sz="12" w:space="0"/>
              <w:bottom w:val="single" w:color="000000" w:sz="6" w:space="0"/>
              <w:right w:val="single" w:color="000000" w:sz="6" w:space="0"/>
            </w:tcBorders>
            <w:vAlign w:val="center"/>
          </w:tcPr>
          <w:p>
            <w:pPr>
              <w:spacing w:after="0" w:line="360" w:lineRule="auto"/>
              <w:ind w:left="2" w:firstLine="0"/>
              <w:rPr>
                <w:sz w:val="21"/>
                <w:szCs w:val="21"/>
              </w:rPr>
            </w:pPr>
          </w:p>
          <w:p>
            <w:pPr>
              <w:pStyle w:val="2"/>
              <w:spacing w:line="360" w:lineRule="auto"/>
              <w:ind w:left="480"/>
              <w:rPr>
                <w:sz w:val="21"/>
                <w:szCs w:val="21"/>
              </w:rPr>
            </w:pPr>
          </w:p>
          <w:p>
            <w:pPr>
              <w:pStyle w:val="2"/>
              <w:spacing w:line="360" w:lineRule="auto"/>
              <w:ind w:left="480"/>
              <w:rPr>
                <w:sz w:val="21"/>
                <w:szCs w:val="21"/>
              </w:rPr>
            </w:pPr>
          </w:p>
        </w:tc>
        <w:tc>
          <w:tcPr>
            <w:tcW w:w="1067" w:type="dxa"/>
            <w:tcBorders>
              <w:top w:val="single" w:color="000000" w:sz="6" w:space="0"/>
              <w:left w:val="single" w:color="000000" w:sz="6" w:space="0"/>
              <w:bottom w:val="single" w:color="000000" w:sz="6" w:space="0"/>
              <w:right w:val="single" w:color="000000" w:sz="6" w:space="0"/>
            </w:tcBorders>
            <w:vAlign w:val="center"/>
          </w:tcPr>
          <w:p>
            <w:pPr>
              <w:spacing w:after="0" w:line="360" w:lineRule="auto"/>
              <w:ind w:left="1" w:firstLine="0"/>
              <w:rPr>
                <w:sz w:val="21"/>
                <w:szCs w:val="21"/>
              </w:rPr>
            </w:pPr>
            <w:r>
              <w:rPr>
                <w:rFonts w:hint="eastAsia"/>
                <w:sz w:val="21"/>
                <w:szCs w:val="21"/>
              </w:rPr>
              <w:t>一</w:t>
            </w:r>
          </w:p>
        </w:tc>
        <w:tc>
          <w:tcPr>
            <w:tcW w:w="3015" w:type="dxa"/>
            <w:tcBorders>
              <w:top w:val="single" w:color="000000" w:sz="6" w:space="0"/>
              <w:left w:val="single" w:color="000000" w:sz="6" w:space="0"/>
              <w:bottom w:val="single" w:color="000000" w:sz="6" w:space="0"/>
              <w:right w:val="single" w:color="000000" w:sz="6" w:space="0"/>
            </w:tcBorders>
            <w:vAlign w:val="center"/>
          </w:tcPr>
          <w:p>
            <w:pPr>
              <w:spacing w:after="0" w:line="360" w:lineRule="auto"/>
              <w:ind w:left="1" w:firstLine="0"/>
              <w:rPr>
                <w:sz w:val="21"/>
                <w:szCs w:val="21"/>
              </w:rPr>
            </w:pPr>
            <w:r>
              <w:rPr>
                <w:rFonts w:hint="eastAsia"/>
                <w:sz w:val="21"/>
                <w:szCs w:val="21"/>
              </w:rPr>
              <w:t xml:space="preserve">…… </w:t>
            </w:r>
          </w:p>
        </w:tc>
        <w:tc>
          <w:tcPr>
            <w:tcW w:w="1860" w:type="dxa"/>
            <w:tcBorders>
              <w:top w:val="single" w:color="000000" w:sz="6" w:space="0"/>
              <w:left w:val="single" w:color="000000" w:sz="6" w:space="0"/>
              <w:bottom w:val="single" w:color="000000" w:sz="6" w:space="0"/>
              <w:right w:val="single" w:color="000000" w:sz="6" w:space="0"/>
            </w:tcBorders>
            <w:vAlign w:val="center"/>
          </w:tcPr>
          <w:p>
            <w:pPr>
              <w:spacing w:after="0" w:line="360" w:lineRule="auto"/>
              <w:ind w:left="0" w:firstLine="0"/>
              <w:rPr>
                <w:sz w:val="21"/>
                <w:szCs w:val="21"/>
              </w:rPr>
            </w:pPr>
          </w:p>
        </w:tc>
        <w:tc>
          <w:tcPr>
            <w:tcW w:w="1859" w:type="dxa"/>
            <w:tcBorders>
              <w:top w:val="single" w:color="000000" w:sz="6" w:space="0"/>
              <w:left w:val="single" w:color="000000" w:sz="6" w:space="0"/>
              <w:bottom w:val="single" w:color="000000" w:sz="6" w:space="0"/>
              <w:right w:val="single" w:color="000000" w:sz="12" w:space="0"/>
            </w:tcBorders>
            <w:vAlign w:val="center"/>
          </w:tcPr>
          <w:p>
            <w:pPr>
              <w:spacing w:after="0" w:line="360" w:lineRule="auto"/>
              <w:ind w:left="0" w:firstLine="0"/>
              <w:rPr>
                <w:sz w:val="21"/>
                <w:szCs w:val="21"/>
              </w:rPr>
            </w:pPr>
          </w:p>
        </w:tc>
      </w:tr>
      <w:tr>
        <w:tblPrEx>
          <w:tblCellMar>
            <w:top w:w="0" w:type="dxa"/>
            <w:left w:w="29" w:type="dxa"/>
            <w:bottom w:w="0" w:type="dxa"/>
            <w:right w:w="60" w:type="dxa"/>
          </w:tblCellMar>
        </w:tblPrEx>
        <w:trPr>
          <w:trHeight w:val="512" w:hRule="atLeast"/>
        </w:trPr>
        <w:tc>
          <w:tcPr>
            <w:tcW w:w="1501" w:type="dxa"/>
            <w:tcBorders>
              <w:top w:val="single" w:color="000000" w:sz="6" w:space="0"/>
              <w:left w:val="single" w:color="000000" w:sz="12" w:space="0"/>
              <w:bottom w:val="single" w:color="000000" w:sz="6" w:space="0"/>
              <w:right w:val="single" w:color="000000" w:sz="6" w:space="0"/>
            </w:tcBorders>
            <w:vAlign w:val="center"/>
          </w:tcPr>
          <w:p>
            <w:pPr>
              <w:spacing w:after="0" w:line="360" w:lineRule="auto"/>
              <w:ind w:left="2" w:firstLine="0"/>
              <w:rPr>
                <w:sz w:val="21"/>
                <w:szCs w:val="21"/>
              </w:rPr>
            </w:pPr>
          </w:p>
          <w:p>
            <w:pPr>
              <w:pStyle w:val="2"/>
              <w:spacing w:line="360" w:lineRule="auto"/>
              <w:ind w:left="480"/>
              <w:rPr>
                <w:sz w:val="21"/>
                <w:szCs w:val="21"/>
              </w:rPr>
            </w:pPr>
          </w:p>
          <w:p>
            <w:pPr>
              <w:pStyle w:val="2"/>
              <w:spacing w:line="360" w:lineRule="auto"/>
              <w:ind w:left="480"/>
              <w:rPr>
                <w:sz w:val="21"/>
                <w:szCs w:val="21"/>
              </w:rPr>
            </w:pPr>
          </w:p>
        </w:tc>
        <w:tc>
          <w:tcPr>
            <w:tcW w:w="1067" w:type="dxa"/>
            <w:tcBorders>
              <w:top w:val="single" w:color="000000" w:sz="6" w:space="0"/>
              <w:left w:val="single" w:color="000000" w:sz="6" w:space="0"/>
              <w:bottom w:val="single" w:color="000000" w:sz="6" w:space="0"/>
              <w:right w:val="single" w:color="000000" w:sz="6" w:space="0"/>
            </w:tcBorders>
            <w:vAlign w:val="center"/>
          </w:tcPr>
          <w:p>
            <w:pPr>
              <w:spacing w:after="0" w:line="360" w:lineRule="auto"/>
              <w:ind w:left="1" w:firstLine="0"/>
              <w:rPr>
                <w:sz w:val="21"/>
                <w:szCs w:val="21"/>
              </w:rPr>
            </w:pPr>
            <w:r>
              <w:rPr>
                <w:rFonts w:hint="eastAsia"/>
                <w:sz w:val="21"/>
                <w:szCs w:val="21"/>
              </w:rPr>
              <w:t xml:space="preserve">二 </w:t>
            </w:r>
          </w:p>
        </w:tc>
        <w:tc>
          <w:tcPr>
            <w:tcW w:w="3015" w:type="dxa"/>
            <w:tcBorders>
              <w:top w:val="single" w:color="000000" w:sz="6" w:space="0"/>
              <w:left w:val="single" w:color="000000" w:sz="6" w:space="0"/>
              <w:bottom w:val="single" w:color="000000" w:sz="6" w:space="0"/>
              <w:right w:val="single" w:color="000000" w:sz="6" w:space="0"/>
            </w:tcBorders>
            <w:vAlign w:val="center"/>
          </w:tcPr>
          <w:p>
            <w:pPr>
              <w:spacing w:after="0" w:line="360" w:lineRule="auto"/>
              <w:ind w:left="1" w:firstLine="0"/>
              <w:rPr>
                <w:sz w:val="21"/>
                <w:szCs w:val="21"/>
              </w:rPr>
            </w:pPr>
            <w:r>
              <w:rPr>
                <w:rFonts w:hint="eastAsia"/>
                <w:sz w:val="21"/>
                <w:szCs w:val="21"/>
              </w:rPr>
              <w:t xml:space="preserve">…… </w:t>
            </w:r>
          </w:p>
        </w:tc>
        <w:tc>
          <w:tcPr>
            <w:tcW w:w="1860" w:type="dxa"/>
            <w:tcBorders>
              <w:top w:val="single" w:color="000000" w:sz="6" w:space="0"/>
              <w:left w:val="single" w:color="000000" w:sz="6" w:space="0"/>
              <w:bottom w:val="single" w:color="000000" w:sz="6" w:space="0"/>
              <w:right w:val="single" w:color="000000" w:sz="6" w:space="0"/>
            </w:tcBorders>
            <w:vAlign w:val="center"/>
          </w:tcPr>
          <w:p>
            <w:pPr>
              <w:spacing w:after="0" w:line="360" w:lineRule="auto"/>
              <w:ind w:left="0" w:firstLine="0"/>
              <w:rPr>
                <w:sz w:val="21"/>
                <w:szCs w:val="21"/>
              </w:rPr>
            </w:pPr>
          </w:p>
        </w:tc>
        <w:tc>
          <w:tcPr>
            <w:tcW w:w="1859" w:type="dxa"/>
            <w:tcBorders>
              <w:top w:val="single" w:color="000000" w:sz="6" w:space="0"/>
              <w:left w:val="single" w:color="000000" w:sz="6" w:space="0"/>
              <w:bottom w:val="single" w:color="000000" w:sz="6" w:space="0"/>
              <w:right w:val="single" w:color="000000" w:sz="12" w:space="0"/>
            </w:tcBorders>
            <w:vAlign w:val="center"/>
          </w:tcPr>
          <w:p>
            <w:pPr>
              <w:spacing w:after="0" w:line="360" w:lineRule="auto"/>
              <w:ind w:left="0" w:firstLine="0"/>
              <w:rPr>
                <w:sz w:val="21"/>
                <w:szCs w:val="21"/>
              </w:rPr>
            </w:pPr>
          </w:p>
        </w:tc>
      </w:tr>
      <w:tr>
        <w:tblPrEx>
          <w:tblCellMar>
            <w:top w:w="0" w:type="dxa"/>
            <w:left w:w="29" w:type="dxa"/>
            <w:bottom w:w="0" w:type="dxa"/>
            <w:right w:w="60" w:type="dxa"/>
          </w:tblCellMar>
        </w:tblPrEx>
        <w:trPr>
          <w:trHeight w:val="514" w:hRule="atLeast"/>
        </w:trPr>
        <w:tc>
          <w:tcPr>
            <w:tcW w:w="1501" w:type="dxa"/>
            <w:tcBorders>
              <w:top w:val="single" w:color="000000" w:sz="6" w:space="0"/>
              <w:left w:val="single" w:color="000000" w:sz="12" w:space="0"/>
              <w:bottom w:val="single" w:color="000000" w:sz="6" w:space="0"/>
              <w:right w:val="single" w:color="000000" w:sz="6" w:space="0"/>
            </w:tcBorders>
            <w:vAlign w:val="center"/>
          </w:tcPr>
          <w:p>
            <w:pPr>
              <w:spacing w:after="0" w:line="360" w:lineRule="auto"/>
              <w:ind w:left="2" w:firstLine="0"/>
              <w:rPr>
                <w:sz w:val="21"/>
                <w:szCs w:val="21"/>
              </w:rPr>
            </w:pPr>
          </w:p>
          <w:p>
            <w:pPr>
              <w:pStyle w:val="2"/>
              <w:spacing w:line="360" w:lineRule="auto"/>
              <w:ind w:left="480"/>
              <w:rPr>
                <w:sz w:val="21"/>
                <w:szCs w:val="21"/>
              </w:rPr>
            </w:pPr>
          </w:p>
          <w:p>
            <w:pPr>
              <w:pStyle w:val="2"/>
              <w:spacing w:line="360" w:lineRule="auto"/>
              <w:ind w:left="480"/>
              <w:rPr>
                <w:sz w:val="21"/>
                <w:szCs w:val="21"/>
              </w:rPr>
            </w:pPr>
          </w:p>
        </w:tc>
        <w:tc>
          <w:tcPr>
            <w:tcW w:w="1067" w:type="dxa"/>
            <w:tcBorders>
              <w:top w:val="single" w:color="000000" w:sz="6" w:space="0"/>
              <w:left w:val="single" w:color="000000" w:sz="6" w:space="0"/>
              <w:bottom w:val="single" w:color="000000" w:sz="6" w:space="0"/>
              <w:right w:val="single" w:color="000000" w:sz="6" w:space="0"/>
            </w:tcBorders>
            <w:vAlign w:val="center"/>
          </w:tcPr>
          <w:p>
            <w:pPr>
              <w:spacing w:after="0" w:line="360" w:lineRule="auto"/>
              <w:ind w:left="1" w:firstLine="0"/>
              <w:rPr>
                <w:sz w:val="21"/>
                <w:szCs w:val="21"/>
              </w:rPr>
            </w:pPr>
            <w:r>
              <w:rPr>
                <w:rFonts w:hint="eastAsia"/>
                <w:sz w:val="21"/>
                <w:szCs w:val="21"/>
              </w:rPr>
              <w:t xml:space="preserve">三 </w:t>
            </w:r>
          </w:p>
        </w:tc>
        <w:tc>
          <w:tcPr>
            <w:tcW w:w="3015" w:type="dxa"/>
            <w:tcBorders>
              <w:top w:val="single" w:color="000000" w:sz="6" w:space="0"/>
              <w:left w:val="single" w:color="000000" w:sz="6" w:space="0"/>
              <w:bottom w:val="single" w:color="000000" w:sz="6" w:space="0"/>
              <w:right w:val="single" w:color="000000" w:sz="6" w:space="0"/>
            </w:tcBorders>
            <w:vAlign w:val="center"/>
          </w:tcPr>
          <w:p>
            <w:pPr>
              <w:spacing w:after="0" w:line="360" w:lineRule="auto"/>
              <w:ind w:left="1" w:firstLine="0"/>
              <w:rPr>
                <w:sz w:val="21"/>
                <w:szCs w:val="21"/>
              </w:rPr>
            </w:pPr>
            <w:r>
              <w:rPr>
                <w:rFonts w:hint="eastAsia"/>
                <w:sz w:val="21"/>
                <w:szCs w:val="21"/>
              </w:rPr>
              <w:t xml:space="preserve">…… </w:t>
            </w:r>
          </w:p>
        </w:tc>
        <w:tc>
          <w:tcPr>
            <w:tcW w:w="1860" w:type="dxa"/>
            <w:tcBorders>
              <w:top w:val="single" w:color="000000" w:sz="6" w:space="0"/>
              <w:left w:val="single" w:color="000000" w:sz="6" w:space="0"/>
              <w:bottom w:val="single" w:color="000000" w:sz="6" w:space="0"/>
              <w:right w:val="single" w:color="000000" w:sz="6" w:space="0"/>
            </w:tcBorders>
            <w:vAlign w:val="center"/>
          </w:tcPr>
          <w:p>
            <w:pPr>
              <w:spacing w:after="0" w:line="360" w:lineRule="auto"/>
              <w:ind w:left="0" w:firstLine="0"/>
              <w:rPr>
                <w:sz w:val="21"/>
                <w:szCs w:val="21"/>
              </w:rPr>
            </w:pPr>
          </w:p>
        </w:tc>
        <w:tc>
          <w:tcPr>
            <w:tcW w:w="1859" w:type="dxa"/>
            <w:tcBorders>
              <w:top w:val="single" w:color="000000" w:sz="6" w:space="0"/>
              <w:left w:val="single" w:color="000000" w:sz="6" w:space="0"/>
              <w:bottom w:val="single" w:color="000000" w:sz="6" w:space="0"/>
              <w:right w:val="single" w:color="000000" w:sz="12" w:space="0"/>
            </w:tcBorders>
            <w:vAlign w:val="center"/>
          </w:tcPr>
          <w:p>
            <w:pPr>
              <w:spacing w:after="0" w:line="360" w:lineRule="auto"/>
              <w:ind w:left="0" w:firstLine="0"/>
              <w:rPr>
                <w:sz w:val="21"/>
                <w:szCs w:val="21"/>
              </w:rPr>
            </w:pPr>
          </w:p>
        </w:tc>
      </w:tr>
    </w:tbl>
    <w:p>
      <w:pPr>
        <w:spacing w:after="52" w:line="360" w:lineRule="auto"/>
        <w:ind w:left="0" w:firstLine="0"/>
        <w:rPr>
          <w:szCs w:val="24"/>
        </w:rPr>
      </w:pPr>
    </w:p>
    <w:p>
      <w:pPr>
        <w:spacing w:after="37" w:line="360" w:lineRule="auto"/>
        <w:ind w:left="587" w:hanging="481"/>
        <w:rPr>
          <w:sz w:val="21"/>
          <w:szCs w:val="21"/>
        </w:rPr>
      </w:pPr>
      <w:r>
        <w:rPr>
          <w:rFonts w:hint="eastAsia"/>
          <w:sz w:val="21"/>
          <w:szCs w:val="21"/>
        </w:rPr>
        <w:t>注：响应供应商应根据其提供的服务，逐条对照磋商文件《采购人需求》的内容要求填写，有差异的，不论是技术或商务上，均须在此表中列明两者的简要内容，以便查对和评审。除“偏离说明”栏所列的内容外，其余按《采购人需求》的内容执行，提供空表视为完全响应。</w:t>
      </w:r>
    </w:p>
    <w:p>
      <w:pPr>
        <w:spacing w:after="37" w:line="360" w:lineRule="auto"/>
        <w:ind w:left="0" w:firstLine="0"/>
        <w:rPr>
          <w:szCs w:val="24"/>
        </w:rPr>
      </w:pPr>
    </w:p>
    <w:p>
      <w:pPr>
        <w:spacing w:line="360" w:lineRule="auto"/>
        <w:ind w:left="0" w:firstLine="0"/>
      </w:pPr>
      <w:r>
        <w:rPr>
          <w:rFonts w:hint="eastAsia"/>
        </w:rPr>
        <w:t xml:space="preserve">响应供应商全称（加盖公章）：  </w:t>
      </w:r>
    </w:p>
    <w:p>
      <w:pPr>
        <w:spacing w:line="360" w:lineRule="auto"/>
        <w:ind w:left="0" w:firstLine="0"/>
      </w:pPr>
      <w:r>
        <w:rPr>
          <w:rFonts w:hint="eastAsia"/>
        </w:rPr>
        <w:t xml:space="preserve">法定代表人或其授权代表（签字或盖章）：                        </w:t>
      </w:r>
    </w:p>
    <w:p>
      <w:pPr>
        <w:spacing w:line="360" w:lineRule="auto"/>
        <w:ind w:left="0" w:firstLine="0"/>
      </w:pPr>
      <w:r>
        <w:rPr>
          <w:rFonts w:hint="eastAsia"/>
        </w:rPr>
        <w:t xml:space="preserve">日    期：     年   月   日 </w:t>
      </w:r>
    </w:p>
    <w:p>
      <w:pPr>
        <w:spacing w:line="360" w:lineRule="auto"/>
        <w:rPr>
          <w:rFonts w:cs="Arial"/>
          <w:b/>
        </w:rPr>
      </w:pPr>
      <w:bookmarkStart w:id="2751" w:name="_Toc79057571"/>
      <w:bookmarkStart w:id="2752" w:name="_Toc77206908"/>
      <w:bookmarkStart w:id="2753" w:name="_Toc7396"/>
      <w:r>
        <w:rPr>
          <w:rFonts w:hint="eastAsia"/>
          <w:b/>
          <w:bCs/>
          <w:szCs w:val="24"/>
        </w:rPr>
        <w:t>（十一）、</w:t>
      </w:r>
      <w:bookmarkEnd w:id="2751"/>
      <w:bookmarkEnd w:id="2752"/>
      <w:r>
        <w:rPr>
          <w:rFonts w:hint="eastAsia" w:cs="Arial"/>
          <w:b/>
        </w:rPr>
        <w:t>《</w:t>
      </w:r>
      <w:r>
        <w:rPr>
          <w:rFonts w:hint="eastAsia"/>
          <w:b/>
          <w:color w:val="595959"/>
          <w:kern w:val="0"/>
          <w:szCs w:val="20"/>
        </w:rPr>
        <w:t>中小企业声明函</w:t>
      </w:r>
      <w:r>
        <w:rPr>
          <w:rFonts w:hint="eastAsia" w:cs="Arial"/>
          <w:b/>
        </w:rPr>
        <w:t>》（格式）</w:t>
      </w:r>
    </w:p>
    <w:p>
      <w:pPr>
        <w:pStyle w:val="6"/>
        <w:rPr>
          <w:b/>
          <w:bCs/>
          <w:sz w:val="24"/>
          <w:szCs w:val="24"/>
        </w:rPr>
      </w:pPr>
    </w:p>
    <w:p/>
    <w:bookmarkEnd w:id="2753"/>
    <w:p>
      <w:pPr>
        <w:spacing w:line="360" w:lineRule="auto"/>
        <w:ind w:firstLine="480" w:firstLineChars="200"/>
        <w:jc w:val="center"/>
        <w:rPr>
          <w:color w:val="595959"/>
          <w:kern w:val="0"/>
          <w:szCs w:val="20"/>
        </w:rPr>
      </w:pPr>
      <w:bookmarkStart w:id="2754" w:name="_Toc77206909"/>
      <w:bookmarkStart w:id="2755" w:name="_Toc79057572"/>
      <w:bookmarkStart w:id="2756" w:name="_Toc1031"/>
      <w:r>
        <w:rPr>
          <w:rFonts w:hint="eastAsia"/>
          <w:color w:val="595959"/>
          <w:kern w:val="0"/>
          <w:szCs w:val="20"/>
        </w:rPr>
        <w:t>中小企业声明函(工程、服务)</w:t>
      </w:r>
    </w:p>
    <w:p>
      <w:pPr>
        <w:spacing w:line="360" w:lineRule="auto"/>
        <w:ind w:firstLine="480" w:firstLineChars="200"/>
        <w:jc w:val="center"/>
        <w:rPr>
          <w:color w:val="595959"/>
          <w:kern w:val="0"/>
          <w:szCs w:val="20"/>
        </w:rPr>
      </w:pPr>
    </w:p>
    <w:p>
      <w:pPr>
        <w:spacing w:line="360" w:lineRule="auto"/>
        <w:ind w:firstLine="480" w:firstLineChars="200"/>
        <w:rPr>
          <w:color w:val="595959"/>
          <w:kern w:val="0"/>
          <w:szCs w:val="20"/>
        </w:rPr>
      </w:pPr>
      <w:r>
        <w:rPr>
          <w:rFonts w:hint="eastAsia"/>
          <w:color w:val="595959"/>
          <w:kern w:val="0"/>
          <w:szCs w:val="20"/>
        </w:rPr>
        <w:t>本公司(联合体)郑重声明，根据《政府采购促进中小企业发展管理办法》(财库【2020】46号)的规定，本公司(联合体)参加</w:t>
      </w:r>
      <w:r>
        <w:rPr>
          <w:rFonts w:hint="eastAsia"/>
          <w:color w:val="595959"/>
          <w:kern w:val="0"/>
          <w:szCs w:val="20"/>
          <w:u w:val="single"/>
        </w:rPr>
        <w:t xml:space="preserve"> (单位名称)</w:t>
      </w:r>
      <w:r>
        <w:rPr>
          <w:rFonts w:hint="eastAsia"/>
          <w:color w:val="595959"/>
          <w:kern w:val="0"/>
          <w:szCs w:val="20"/>
        </w:rPr>
        <w:t>的_</w:t>
      </w:r>
      <w:r>
        <w:rPr>
          <w:rFonts w:hint="eastAsia"/>
          <w:color w:val="595959"/>
          <w:kern w:val="0"/>
          <w:szCs w:val="20"/>
          <w:u w:val="single"/>
        </w:rPr>
        <w:t xml:space="preserve"> (项目名称)</w:t>
      </w:r>
      <w:r>
        <w:rPr>
          <w:rFonts w:hint="eastAsia"/>
          <w:color w:val="595959"/>
          <w:kern w:val="0"/>
          <w:szCs w:val="20"/>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color w:val="595959"/>
          <w:kern w:val="0"/>
          <w:szCs w:val="20"/>
        </w:rPr>
      </w:pPr>
      <w:r>
        <w:rPr>
          <w:rFonts w:hint="eastAsia"/>
          <w:color w:val="595959"/>
          <w:kern w:val="0"/>
          <w:szCs w:val="20"/>
        </w:rPr>
        <w:t>1._</w:t>
      </w:r>
      <w:r>
        <w:rPr>
          <w:rFonts w:hint="eastAsia"/>
          <w:color w:val="595959"/>
          <w:kern w:val="0"/>
          <w:szCs w:val="20"/>
          <w:u w:val="single"/>
        </w:rPr>
        <w:t xml:space="preserve"> (标的名称)</w:t>
      </w:r>
      <w:r>
        <w:rPr>
          <w:rFonts w:hint="eastAsia"/>
          <w:color w:val="595959"/>
          <w:kern w:val="0"/>
          <w:szCs w:val="20"/>
        </w:rPr>
        <w:t>， 属于</w:t>
      </w:r>
      <w:r>
        <w:rPr>
          <w:rFonts w:hint="eastAsia"/>
          <w:color w:val="595959"/>
          <w:kern w:val="0"/>
          <w:szCs w:val="20"/>
          <w:u w:val="single"/>
        </w:rPr>
        <w:t>(采购文件中明确的所属行业)</w:t>
      </w:r>
      <w:r>
        <w:rPr>
          <w:rFonts w:hint="eastAsia"/>
          <w:color w:val="595959"/>
          <w:kern w:val="0"/>
          <w:szCs w:val="20"/>
        </w:rPr>
        <w:t>;承建(承接)企业为</w:t>
      </w:r>
      <w:r>
        <w:rPr>
          <w:rFonts w:hint="eastAsia"/>
          <w:color w:val="595959"/>
          <w:kern w:val="0"/>
          <w:szCs w:val="20"/>
          <w:u w:val="single"/>
        </w:rPr>
        <w:t>(企业名称)</w:t>
      </w:r>
      <w:r>
        <w:rPr>
          <w:rFonts w:hint="eastAsia"/>
          <w:color w:val="595959"/>
          <w:kern w:val="0"/>
          <w:szCs w:val="20"/>
        </w:rPr>
        <w:t>，从业人员__人， 营业收入为___万元， 资产总额为___万元</w:t>
      </w:r>
      <w:r>
        <w:rPr>
          <w:rFonts w:hint="eastAsia"/>
          <w:color w:val="595959"/>
          <w:kern w:val="0"/>
          <w:szCs w:val="20"/>
          <w:vertAlign w:val="superscript"/>
        </w:rPr>
        <w:t>1</w:t>
      </w:r>
      <w:r>
        <w:rPr>
          <w:rFonts w:hint="eastAsia"/>
          <w:color w:val="595959"/>
          <w:kern w:val="0"/>
          <w:szCs w:val="20"/>
        </w:rPr>
        <w:t>， 属于_</w:t>
      </w:r>
      <w:r>
        <w:rPr>
          <w:rFonts w:hint="eastAsia"/>
          <w:color w:val="595959"/>
          <w:kern w:val="0"/>
          <w:szCs w:val="20"/>
          <w:u w:val="single"/>
        </w:rPr>
        <w:t xml:space="preserve"> (中型企业、小型企业、微型企业)</w:t>
      </w:r>
      <w:r>
        <w:rPr>
          <w:rFonts w:hint="eastAsia"/>
          <w:color w:val="595959"/>
          <w:kern w:val="0"/>
          <w:szCs w:val="20"/>
        </w:rPr>
        <w:t>;</w:t>
      </w:r>
    </w:p>
    <w:p>
      <w:pPr>
        <w:spacing w:line="360" w:lineRule="auto"/>
        <w:ind w:firstLine="480" w:firstLineChars="200"/>
        <w:rPr>
          <w:color w:val="595959"/>
          <w:kern w:val="0"/>
          <w:szCs w:val="20"/>
        </w:rPr>
      </w:pPr>
      <w:r>
        <w:rPr>
          <w:rFonts w:hint="eastAsia"/>
          <w:color w:val="595959"/>
          <w:kern w:val="0"/>
          <w:szCs w:val="20"/>
        </w:rPr>
        <w:t>2._</w:t>
      </w:r>
      <w:r>
        <w:rPr>
          <w:rFonts w:hint="eastAsia"/>
          <w:color w:val="595959"/>
          <w:kern w:val="0"/>
          <w:szCs w:val="20"/>
          <w:u w:val="single"/>
        </w:rPr>
        <w:t xml:space="preserve"> (标的名称)</w:t>
      </w:r>
      <w:r>
        <w:rPr>
          <w:rFonts w:hint="eastAsia"/>
          <w:color w:val="595959"/>
          <w:kern w:val="0"/>
          <w:szCs w:val="20"/>
        </w:rPr>
        <w:t xml:space="preserve"> ，属于</w:t>
      </w:r>
      <w:r>
        <w:rPr>
          <w:rFonts w:hint="eastAsia"/>
          <w:color w:val="595959"/>
          <w:kern w:val="0"/>
          <w:szCs w:val="20"/>
          <w:u w:val="single"/>
        </w:rPr>
        <w:t>(采购文件中明确的所属行业</w:t>
      </w:r>
      <w:r>
        <w:rPr>
          <w:rFonts w:hint="eastAsia"/>
          <w:color w:val="595959"/>
          <w:kern w:val="0"/>
          <w:szCs w:val="20"/>
        </w:rPr>
        <w:t>) ;承建(承接)企业为_</w:t>
      </w:r>
      <w:r>
        <w:rPr>
          <w:rFonts w:hint="eastAsia"/>
          <w:color w:val="595959"/>
          <w:kern w:val="0"/>
          <w:szCs w:val="20"/>
          <w:u w:val="single"/>
        </w:rPr>
        <w:t xml:space="preserve"> (企业名称)</w:t>
      </w:r>
      <w:r>
        <w:rPr>
          <w:rFonts w:hint="eastAsia"/>
          <w:color w:val="595959"/>
          <w:kern w:val="0"/>
          <w:szCs w:val="20"/>
        </w:rPr>
        <w:t>，从业人员___人， 营业收入为___ 万元，资产总额为___万元，属于_</w:t>
      </w:r>
      <w:r>
        <w:rPr>
          <w:rFonts w:hint="eastAsia"/>
          <w:color w:val="595959"/>
          <w:kern w:val="0"/>
          <w:szCs w:val="20"/>
          <w:u w:val="single"/>
        </w:rPr>
        <w:t>(中型企业、小型企业、微型企业)</w:t>
      </w:r>
      <w:r>
        <w:rPr>
          <w:rFonts w:hint="eastAsia"/>
          <w:color w:val="595959"/>
          <w:kern w:val="0"/>
          <w:szCs w:val="20"/>
        </w:rPr>
        <w:t>;</w:t>
      </w:r>
    </w:p>
    <w:p>
      <w:pPr>
        <w:spacing w:line="360" w:lineRule="auto"/>
        <w:ind w:firstLine="480" w:firstLineChars="200"/>
        <w:rPr>
          <w:color w:val="595959"/>
          <w:kern w:val="0"/>
          <w:szCs w:val="20"/>
        </w:rPr>
      </w:pPr>
      <w:r>
        <w:rPr>
          <w:color w:val="595959"/>
          <w:kern w:val="0"/>
          <w:szCs w:val="20"/>
        </w:rPr>
        <w:t>……</w:t>
      </w:r>
    </w:p>
    <w:p>
      <w:pPr>
        <w:spacing w:line="360" w:lineRule="auto"/>
        <w:ind w:firstLine="480" w:firstLineChars="200"/>
        <w:rPr>
          <w:color w:val="595959"/>
          <w:kern w:val="0"/>
          <w:szCs w:val="20"/>
        </w:rPr>
      </w:pPr>
      <w:r>
        <w:rPr>
          <w:rFonts w:hint="eastAsia"/>
          <w:color w:val="595959"/>
          <w:kern w:val="0"/>
          <w:szCs w:val="20"/>
        </w:rPr>
        <w:t>以上企业，不属于大企业的分支机构，不存在控股股东为大企业的情形，也不存在与大企业的负责人为同一人的情形。</w:t>
      </w:r>
    </w:p>
    <w:p>
      <w:pPr>
        <w:spacing w:line="360" w:lineRule="auto"/>
        <w:ind w:firstLine="480" w:firstLineChars="200"/>
        <w:rPr>
          <w:color w:val="595959"/>
          <w:kern w:val="0"/>
          <w:szCs w:val="20"/>
        </w:rPr>
      </w:pPr>
      <w:r>
        <w:rPr>
          <w:rFonts w:hint="eastAsia"/>
          <w:color w:val="595959"/>
          <w:kern w:val="0"/>
          <w:szCs w:val="20"/>
        </w:rPr>
        <w:t>本企业对上述声明内容的真实性负责。如有虚假，将依法承担相应责任。</w:t>
      </w:r>
    </w:p>
    <w:p>
      <w:pPr>
        <w:spacing w:line="360" w:lineRule="auto"/>
        <w:ind w:firstLine="480" w:firstLineChars="200"/>
        <w:rPr>
          <w:color w:val="595959"/>
          <w:kern w:val="0"/>
          <w:szCs w:val="20"/>
        </w:rPr>
      </w:pPr>
    </w:p>
    <w:p>
      <w:pPr>
        <w:spacing w:line="360" w:lineRule="auto"/>
        <w:ind w:right="480" w:firstLine="480" w:firstLineChars="200"/>
        <w:jc w:val="center"/>
        <w:rPr>
          <w:color w:val="595959"/>
          <w:kern w:val="0"/>
          <w:szCs w:val="20"/>
        </w:rPr>
      </w:pPr>
      <w:r>
        <w:rPr>
          <w:rFonts w:hint="eastAsia"/>
          <w:color w:val="595959"/>
          <w:kern w:val="0"/>
          <w:szCs w:val="20"/>
        </w:rPr>
        <w:t xml:space="preserve">                                  企业名称(盖章):</w:t>
      </w:r>
    </w:p>
    <w:p>
      <w:pPr>
        <w:spacing w:line="360" w:lineRule="auto"/>
        <w:ind w:firstLine="480" w:firstLineChars="200"/>
        <w:jc w:val="right"/>
        <w:rPr>
          <w:color w:val="595959"/>
          <w:kern w:val="0"/>
          <w:szCs w:val="20"/>
        </w:rPr>
      </w:pPr>
    </w:p>
    <w:p>
      <w:pPr>
        <w:spacing w:line="360" w:lineRule="auto"/>
        <w:ind w:right="480" w:firstLine="5760" w:firstLineChars="2400"/>
        <w:rPr>
          <w:color w:val="595959"/>
          <w:kern w:val="0"/>
          <w:szCs w:val="20"/>
        </w:rPr>
      </w:pPr>
      <w:r>
        <w:rPr>
          <w:rFonts w:hint="eastAsia"/>
          <w:color w:val="595959"/>
          <w:kern w:val="0"/>
          <w:szCs w:val="20"/>
        </w:rPr>
        <w:t>日期:</w:t>
      </w:r>
    </w:p>
    <w:p>
      <w:pPr>
        <w:spacing w:line="360" w:lineRule="auto"/>
        <w:ind w:firstLine="480" w:firstLineChars="200"/>
        <w:rPr>
          <w:color w:val="595959"/>
          <w:kern w:val="0"/>
          <w:szCs w:val="20"/>
        </w:rPr>
      </w:pPr>
      <w:r>
        <w:rPr>
          <w:color w:val="595959"/>
          <w:kern w:val="0"/>
          <w:szCs w:val="20"/>
        </w:rPr>
        <w:t>________________________________________________________________</w:t>
      </w:r>
    </w:p>
    <w:p>
      <w:pPr>
        <w:pStyle w:val="124"/>
        <w:numPr>
          <w:ilvl w:val="0"/>
          <w:numId w:val="7"/>
        </w:numPr>
        <w:ind w:firstLineChars="0"/>
        <w:rPr>
          <w:color w:val="595959"/>
          <w:kern w:val="0"/>
          <w:sz w:val="18"/>
          <w:szCs w:val="20"/>
        </w:rPr>
      </w:pPr>
      <w:r>
        <w:rPr>
          <w:rFonts w:hint="eastAsia"/>
          <w:color w:val="595959"/>
          <w:kern w:val="0"/>
          <w:sz w:val="18"/>
          <w:szCs w:val="20"/>
        </w:rPr>
        <w:t>从业人员、营业收入、资产总额填报上一年度数据， 无上一年度数据的新成立企业可不填报。</w:t>
      </w:r>
    </w:p>
    <w:p/>
    <w:p/>
    <w:p>
      <w:pPr>
        <w:pStyle w:val="2"/>
        <w:ind w:left="480" w:firstLine="480"/>
      </w:pPr>
    </w:p>
    <w:p>
      <w:pPr>
        <w:spacing w:line="240" w:lineRule="atLeast"/>
        <w:ind w:firstLine="720" w:firstLineChars="300"/>
      </w:pPr>
    </w:p>
    <w:p>
      <w:pPr>
        <w:pStyle w:val="6"/>
        <w:rPr>
          <w:b/>
          <w:bCs/>
          <w:sz w:val="24"/>
          <w:szCs w:val="24"/>
        </w:rPr>
      </w:pPr>
      <w:r>
        <w:rPr>
          <w:rFonts w:hint="eastAsia"/>
          <w:b/>
          <w:bCs/>
          <w:sz w:val="24"/>
          <w:szCs w:val="24"/>
        </w:rPr>
        <w:t>（十二）、残疾人福利性单位声明函（如适用）</w:t>
      </w:r>
      <w:bookmarkEnd w:id="2754"/>
      <w:bookmarkEnd w:id="2755"/>
    </w:p>
    <w:bookmarkEnd w:id="2756"/>
    <w:p>
      <w:pPr>
        <w:spacing w:before="100" w:beforeAutospacing="1" w:after="100" w:afterAutospacing="1" w:line="360" w:lineRule="auto"/>
        <w:ind w:left="0" w:firstLine="0"/>
        <w:rPr>
          <w:rFonts w:cs="Arial"/>
          <w:szCs w:val="24"/>
        </w:rPr>
      </w:pPr>
    </w:p>
    <w:p>
      <w:pPr>
        <w:spacing w:line="360" w:lineRule="auto"/>
        <w:jc w:val="center"/>
        <w:rPr>
          <w:rStyle w:val="50"/>
          <w:rFonts w:ascii="宋体" w:hAnsi="宋体" w:eastAsia="宋体"/>
          <w:b w:val="0"/>
          <w:bCs/>
          <w:color w:val="auto"/>
          <w:szCs w:val="24"/>
        </w:rPr>
      </w:pPr>
      <w:r>
        <w:rPr>
          <w:rStyle w:val="50"/>
          <w:rFonts w:hint="eastAsia" w:ascii="宋体" w:hAnsi="宋体" w:eastAsia="宋体"/>
          <w:b w:val="0"/>
          <w:color w:val="auto"/>
          <w:szCs w:val="24"/>
        </w:rPr>
        <w:t>残疾人福利性单位声明函（</w:t>
      </w:r>
      <w:r>
        <w:rPr>
          <w:rFonts w:hint="eastAsia"/>
          <w:color w:val="auto"/>
          <w:szCs w:val="24"/>
        </w:rPr>
        <w:t>如适用）</w:t>
      </w:r>
    </w:p>
    <w:p>
      <w:pPr>
        <w:autoSpaceDE w:val="0"/>
        <w:autoSpaceDN w:val="0"/>
        <w:adjustRightInd w:val="0"/>
        <w:spacing w:line="360" w:lineRule="auto"/>
        <w:rPr>
          <w:szCs w:val="24"/>
        </w:rPr>
      </w:pPr>
    </w:p>
    <w:p>
      <w:pPr>
        <w:snapToGrid w:val="0"/>
        <w:spacing w:line="360" w:lineRule="auto"/>
        <w:ind w:firstLine="567"/>
        <w:rPr>
          <w:kern w:val="0"/>
          <w:szCs w:val="24"/>
        </w:rPr>
      </w:pPr>
      <w:r>
        <w:rPr>
          <w:rFonts w:hint="eastAsia"/>
          <w:kern w:val="0"/>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left="1157" w:leftChars="257" w:hanging="540"/>
        <w:rPr>
          <w:kern w:val="0"/>
          <w:szCs w:val="24"/>
        </w:rPr>
      </w:pPr>
      <w:r>
        <w:rPr>
          <w:rFonts w:hint="eastAsia"/>
          <w:kern w:val="0"/>
          <w:szCs w:val="24"/>
        </w:rPr>
        <w:t>本单位对上述声明的真实性负责。如有虚假，将依法承担相应责任。</w:t>
      </w:r>
    </w:p>
    <w:p>
      <w:pPr>
        <w:snapToGrid w:val="0"/>
        <w:spacing w:line="360" w:lineRule="auto"/>
        <w:ind w:left="1157" w:leftChars="257" w:hanging="540"/>
        <w:jc w:val="center"/>
        <w:rPr>
          <w:kern w:val="0"/>
          <w:szCs w:val="24"/>
        </w:rPr>
      </w:pPr>
    </w:p>
    <w:p>
      <w:pPr>
        <w:snapToGrid w:val="0"/>
        <w:spacing w:line="360" w:lineRule="auto"/>
        <w:ind w:left="1157" w:leftChars="257" w:hanging="540"/>
        <w:jc w:val="center"/>
        <w:rPr>
          <w:kern w:val="0"/>
          <w:szCs w:val="24"/>
        </w:rPr>
      </w:pPr>
    </w:p>
    <w:p>
      <w:pPr>
        <w:pStyle w:val="2"/>
        <w:ind w:left="480" w:firstLine="480"/>
      </w:pPr>
    </w:p>
    <w:p>
      <w:pPr>
        <w:pStyle w:val="2"/>
        <w:ind w:left="480" w:firstLine="480"/>
      </w:pPr>
    </w:p>
    <w:p>
      <w:pPr>
        <w:snapToGrid w:val="0"/>
        <w:spacing w:line="360" w:lineRule="auto"/>
        <w:ind w:left="12" w:leftChars="1"/>
        <w:rPr>
          <w:kern w:val="0"/>
          <w:szCs w:val="24"/>
        </w:rPr>
      </w:pPr>
      <w:r>
        <w:rPr>
          <w:rFonts w:hint="eastAsia"/>
          <w:kern w:val="0"/>
          <w:szCs w:val="24"/>
        </w:rPr>
        <w:t>供应商名称（盖章）：</w:t>
      </w:r>
    </w:p>
    <w:p>
      <w:pPr>
        <w:autoSpaceDE w:val="0"/>
        <w:autoSpaceDN w:val="0"/>
        <w:adjustRightInd w:val="0"/>
        <w:snapToGrid w:val="0"/>
        <w:spacing w:line="360" w:lineRule="auto"/>
        <w:ind w:left="0" w:right="480" w:firstLine="0"/>
        <w:rPr>
          <w:kern w:val="0"/>
          <w:szCs w:val="24"/>
        </w:rPr>
      </w:pPr>
      <w:r>
        <w:rPr>
          <w:rFonts w:hint="eastAsia"/>
          <w:kern w:val="0"/>
          <w:szCs w:val="24"/>
        </w:rPr>
        <w:t>日  期：</w:t>
      </w:r>
    </w:p>
    <w:p>
      <w:pPr>
        <w:spacing w:after="782" w:line="360" w:lineRule="auto"/>
        <w:ind w:left="102" w:hanging="4"/>
        <w:rPr>
          <w:rFonts w:cs="Times New Roman"/>
          <w:szCs w:val="24"/>
        </w:rPr>
      </w:pPr>
    </w:p>
    <w:p>
      <w:pPr>
        <w:pStyle w:val="2"/>
        <w:spacing w:line="360" w:lineRule="auto"/>
        <w:ind w:left="480" w:firstLine="480"/>
      </w:pPr>
    </w:p>
    <w:p>
      <w:pPr>
        <w:pStyle w:val="2"/>
        <w:spacing w:line="360" w:lineRule="auto"/>
        <w:ind w:left="480" w:firstLine="480"/>
      </w:pPr>
    </w:p>
    <w:p>
      <w:pPr>
        <w:pStyle w:val="2"/>
        <w:spacing w:line="360" w:lineRule="auto"/>
        <w:ind w:left="480" w:firstLine="480"/>
      </w:pPr>
    </w:p>
    <w:p>
      <w:pPr>
        <w:pStyle w:val="2"/>
        <w:spacing w:line="360" w:lineRule="auto"/>
        <w:ind w:left="480" w:firstLine="480"/>
      </w:pPr>
    </w:p>
    <w:p>
      <w:pPr>
        <w:pStyle w:val="2"/>
        <w:spacing w:line="360" w:lineRule="auto"/>
        <w:ind w:left="480" w:firstLine="480"/>
      </w:pPr>
    </w:p>
    <w:p>
      <w:pPr>
        <w:pStyle w:val="2"/>
        <w:spacing w:line="360" w:lineRule="auto"/>
        <w:ind w:left="480" w:firstLine="480"/>
      </w:pPr>
    </w:p>
    <w:p>
      <w:pPr>
        <w:pStyle w:val="2"/>
        <w:spacing w:line="360" w:lineRule="auto"/>
        <w:ind w:left="480" w:firstLine="480"/>
      </w:pPr>
    </w:p>
    <w:p>
      <w:pPr>
        <w:pStyle w:val="2"/>
        <w:spacing w:line="360" w:lineRule="auto"/>
        <w:ind w:left="480" w:firstLine="480"/>
      </w:pPr>
    </w:p>
    <w:p>
      <w:pPr>
        <w:pStyle w:val="6"/>
        <w:rPr>
          <w:b/>
          <w:bCs/>
          <w:sz w:val="24"/>
          <w:szCs w:val="24"/>
        </w:rPr>
      </w:pPr>
      <w:bookmarkStart w:id="2757" w:name="_Toc79057573"/>
      <w:bookmarkStart w:id="2758" w:name="_Toc77206910"/>
      <w:bookmarkStart w:id="2759" w:name="_Toc20439"/>
      <w:r>
        <w:rPr>
          <w:rFonts w:hint="eastAsia"/>
          <w:b/>
          <w:bCs/>
          <w:sz w:val="24"/>
          <w:szCs w:val="24"/>
        </w:rPr>
        <w:t>（十三）、供应商存在关联关系的单位情况说明</w:t>
      </w:r>
      <w:bookmarkEnd w:id="2757"/>
      <w:bookmarkEnd w:id="2758"/>
    </w:p>
    <w:p>
      <w:pPr>
        <w:ind w:left="0" w:firstLine="0"/>
      </w:pPr>
    </w:p>
    <w:p>
      <w:pPr>
        <w:jc w:val="center"/>
      </w:pPr>
      <w:r>
        <w:rPr>
          <w:rFonts w:hint="eastAsia"/>
        </w:rPr>
        <w:t>供应商存在关联关系的单位情况说明</w:t>
      </w:r>
      <w:bookmarkEnd w:id="2759"/>
    </w:p>
    <w:p>
      <w:pPr>
        <w:pStyle w:val="2"/>
        <w:ind w:left="480" w:firstLine="480"/>
      </w:pPr>
    </w:p>
    <w:p>
      <w:pPr>
        <w:pStyle w:val="2"/>
        <w:ind w:left="480" w:firstLine="480"/>
      </w:pPr>
    </w:p>
    <w:p>
      <w:pPr>
        <w:topLinePunct/>
        <w:spacing w:line="360" w:lineRule="auto"/>
        <w:rPr>
          <w:szCs w:val="24"/>
        </w:rPr>
      </w:pPr>
      <w:r>
        <w:rPr>
          <w:rFonts w:hint="eastAsia"/>
          <w:szCs w:val="24"/>
        </w:rPr>
        <w:t>备注：供应商应当依据自身存在的以下情形，如实披露与本单位存在关联关系的施工、监理、招标代理等单位情况。</w:t>
      </w:r>
    </w:p>
    <w:p>
      <w:pPr>
        <w:pStyle w:val="2"/>
        <w:ind w:left="480" w:firstLine="480"/>
      </w:pPr>
    </w:p>
    <w:p>
      <w:pPr>
        <w:pStyle w:val="2"/>
        <w:ind w:left="480" w:firstLine="480"/>
      </w:pPr>
    </w:p>
    <w:p>
      <w:pPr>
        <w:widowControl w:val="0"/>
        <w:topLinePunct/>
        <w:spacing w:after="0" w:line="360" w:lineRule="auto"/>
        <w:rPr>
          <w:szCs w:val="24"/>
        </w:rPr>
      </w:pPr>
      <w:r>
        <w:rPr>
          <w:rFonts w:hint="eastAsia"/>
          <w:szCs w:val="24"/>
        </w:rPr>
        <w:t>1、与本企业单位负责人为同一人的其他企业；</w:t>
      </w:r>
    </w:p>
    <w:p>
      <w:pPr>
        <w:widowControl w:val="0"/>
        <w:topLinePunct/>
        <w:spacing w:after="0" w:line="360" w:lineRule="auto"/>
        <w:rPr>
          <w:szCs w:val="24"/>
        </w:rPr>
      </w:pPr>
      <w:r>
        <w:rPr>
          <w:szCs w:val="24"/>
        </w:rPr>
        <w:t>2</w:t>
      </w:r>
      <w:r>
        <w:rPr>
          <w:rFonts w:hint="eastAsia"/>
          <w:szCs w:val="24"/>
        </w:rPr>
        <w:t>、与本企业存在控股、管理关系的其他企业；</w:t>
      </w:r>
    </w:p>
    <w:p>
      <w:pPr>
        <w:pStyle w:val="2"/>
        <w:spacing w:line="360" w:lineRule="auto"/>
        <w:ind w:left="480" w:firstLine="480"/>
      </w:pPr>
    </w:p>
    <w:p>
      <w:pPr>
        <w:pStyle w:val="2"/>
        <w:spacing w:line="360" w:lineRule="auto"/>
        <w:ind w:left="0" w:leftChars="0" w:firstLine="0" w:firstLineChars="0"/>
      </w:pPr>
    </w:p>
    <w:p>
      <w:pPr>
        <w:pStyle w:val="2"/>
        <w:spacing w:line="360" w:lineRule="auto"/>
        <w:ind w:left="0" w:leftChars="0" w:firstLine="0" w:firstLineChars="0"/>
      </w:pPr>
    </w:p>
    <w:p>
      <w:pPr>
        <w:pStyle w:val="2"/>
        <w:spacing w:line="360" w:lineRule="auto"/>
        <w:ind w:left="0" w:leftChars="0" w:firstLine="0" w:firstLineChars="0"/>
      </w:pPr>
    </w:p>
    <w:p>
      <w:pPr>
        <w:pStyle w:val="2"/>
        <w:spacing w:line="360" w:lineRule="auto"/>
        <w:ind w:left="0" w:leftChars="0" w:firstLine="0" w:firstLineChars="0"/>
      </w:pPr>
    </w:p>
    <w:p>
      <w:pPr>
        <w:snapToGrid w:val="0"/>
        <w:spacing w:line="360" w:lineRule="auto"/>
        <w:ind w:left="12" w:leftChars="1"/>
        <w:rPr>
          <w:kern w:val="0"/>
          <w:szCs w:val="24"/>
        </w:rPr>
      </w:pPr>
      <w:r>
        <w:rPr>
          <w:rFonts w:hint="eastAsia"/>
          <w:kern w:val="0"/>
          <w:szCs w:val="24"/>
        </w:rPr>
        <w:t>供应商名称（盖章）：</w:t>
      </w:r>
    </w:p>
    <w:p>
      <w:pPr>
        <w:autoSpaceDE w:val="0"/>
        <w:autoSpaceDN w:val="0"/>
        <w:adjustRightInd w:val="0"/>
        <w:snapToGrid w:val="0"/>
        <w:spacing w:line="360" w:lineRule="auto"/>
        <w:ind w:left="0" w:right="480" w:firstLine="0"/>
        <w:rPr>
          <w:kern w:val="0"/>
          <w:szCs w:val="24"/>
        </w:rPr>
      </w:pPr>
      <w:r>
        <w:rPr>
          <w:rFonts w:hint="eastAsia"/>
          <w:kern w:val="0"/>
          <w:szCs w:val="24"/>
        </w:rPr>
        <w:t>日  期：</w:t>
      </w:r>
    </w:p>
    <w:p>
      <w:pPr>
        <w:pStyle w:val="2"/>
        <w:spacing w:line="360" w:lineRule="auto"/>
        <w:ind w:left="0" w:leftChars="0" w:firstLine="0" w:firstLineChars="0"/>
      </w:pPr>
    </w:p>
    <w:p>
      <w:pPr>
        <w:pStyle w:val="2"/>
        <w:spacing w:line="360" w:lineRule="auto"/>
        <w:ind w:left="0" w:leftChars="0" w:firstLine="0" w:firstLineChars="0"/>
      </w:pPr>
    </w:p>
    <w:p>
      <w:pPr>
        <w:pStyle w:val="2"/>
        <w:spacing w:line="360" w:lineRule="auto"/>
        <w:ind w:left="0" w:leftChars="0" w:firstLine="0" w:firstLineChars="0"/>
      </w:pPr>
    </w:p>
    <w:p>
      <w:pPr>
        <w:pStyle w:val="2"/>
        <w:spacing w:line="360" w:lineRule="auto"/>
        <w:ind w:left="0" w:leftChars="0" w:firstLine="0" w:firstLineChars="0"/>
      </w:pPr>
    </w:p>
    <w:p>
      <w:pPr>
        <w:pStyle w:val="2"/>
        <w:spacing w:line="360" w:lineRule="auto"/>
        <w:ind w:left="0" w:leftChars="0" w:firstLine="0" w:firstLineChars="0"/>
      </w:pPr>
    </w:p>
    <w:p>
      <w:pPr>
        <w:pStyle w:val="2"/>
        <w:spacing w:line="360" w:lineRule="auto"/>
        <w:ind w:left="0" w:leftChars="0" w:firstLine="0" w:firstLineChars="0"/>
      </w:pPr>
    </w:p>
    <w:p>
      <w:pPr>
        <w:pStyle w:val="2"/>
        <w:spacing w:line="360" w:lineRule="auto"/>
        <w:ind w:left="0" w:leftChars="0" w:firstLine="0" w:firstLineChars="0"/>
      </w:pPr>
    </w:p>
    <w:p>
      <w:pPr>
        <w:pStyle w:val="2"/>
        <w:spacing w:line="360" w:lineRule="auto"/>
        <w:ind w:left="0" w:leftChars="0" w:firstLine="0" w:firstLineChars="0"/>
      </w:pPr>
    </w:p>
    <w:p>
      <w:pPr>
        <w:pStyle w:val="6"/>
        <w:rPr>
          <w:b/>
          <w:bCs/>
          <w:sz w:val="24"/>
          <w:szCs w:val="24"/>
        </w:rPr>
      </w:pPr>
      <w:bookmarkStart w:id="2760" w:name="_Toc77206911"/>
      <w:bookmarkStart w:id="2761" w:name="_Toc79057574"/>
      <w:r>
        <w:rPr>
          <w:rFonts w:hint="eastAsia"/>
          <w:b/>
          <w:bCs/>
          <w:sz w:val="24"/>
          <w:szCs w:val="24"/>
        </w:rPr>
        <w:t>（十四）、同类项目业绩情况一览表</w:t>
      </w:r>
      <w:bookmarkEnd w:id="2760"/>
      <w:bookmarkEnd w:id="2761"/>
    </w:p>
    <w:p>
      <w:pPr>
        <w:pStyle w:val="2"/>
        <w:spacing w:line="360" w:lineRule="auto"/>
        <w:ind w:left="0" w:leftChars="0" w:firstLine="0" w:firstLineChars="0"/>
      </w:pPr>
    </w:p>
    <w:p>
      <w:pPr>
        <w:jc w:val="center"/>
      </w:pPr>
      <w:bookmarkStart w:id="2762" w:name="_Toc7919"/>
      <w:r>
        <w:rPr>
          <w:rFonts w:hint="eastAsia"/>
        </w:rPr>
        <w:t>同类项目业绩情况一览表</w:t>
      </w:r>
      <w:bookmarkEnd w:id="2762"/>
    </w:p>
    <w:p>
      <w:pPr>
        <w:pStyle w:val="2"/>
        <w:ind w:left="480" w:firstLine="480"/>
      </w:pPr>
    </w:p>
    <w:p>
      <w:pPr>
        <w:spacing w:after="3" w:line="360" w:lineRule="auto"/>
        <w:ind w:left="4" w:hanging="4"/>
        <w:rPr>
          <w:szCs w:val="24"/>
        </w:rPr>
      </w:pPr>
      <w:r>
        <w:rPr>
          <w:rFonts w:hint="eastAsia"/>
          <w:szCs w:val="24"/>
        </w:rPr>
        <w:t>项目名称：北京市房山区人民防空办公室加州水郡西区、中冶蓝城地下人防工程维修工程</w:t>
      </w:r>
    </w:p>
    <w:p>
      <w:pPr>
        <w:spacing w:after="3" w:line="360" w:lineRule="auto"/>
        <w:ind w:left="4" w:hanging="4"/>
        <w:rPr>
          <w:szCs w:val="24"/>
        </w:rPr>
      </w:pPr>
      <w:r>
        <w:rPr>
          <w:rFonts w:hint="eastAsia"/>
          <w:szCs w:val="24"/>
        </w:rPr>
        <w:t>项目编号：</w:t>
      </w:r>
    </w:p>
    <w:tbl>
      <w:tblPr>
        <w:tblStyle w:val="36"/>
        <w:tblW w:w="8677" w:type="dxa"/>
        <w:tblInd w:w="-5" w:type="dxa"/>
        <w:tblLayout w:type="autofit"/>
        <w:tblCellMar>
          <w:top w:w="34" w:type="dxa"/>
          <w:left w:w="127" w:type="dxa"/>
          <w:bottom w:w="0" w:type="dxa"/>
          <w:right w:w="105" w:type="dxa"/>
        </w:tblCellMar>
      </w:tblPr>
      <w:tblGrid>
        <w:gridCol w:w="993"/>
        <w:gridCol w:w="1539"/>
        <w:gridCol w:w="1260"/>
        <w:gridCol w:w="1620"/>
        <w:gridCol w:w="1260"/>
        <w:gridCol w:w="2005"/>
      </w:tblGrid>
      <w:tr>
        <w:tblPrEx>
          <w:tblCellMar>
            <w:top w:w="34" w:type="dxa"/>
            <w:left w:w="127" w:type="dxa"/>
            <w:bottom w:w="0" w:type="dxa"/>
            <w:right w:w="105" w:type="dxa"/>
          </w:tblCellMar>
        </w:tblPrEx>
        <w:trPr>
          <w:trHeight w:val="691"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95" w:firstLine="0"/>
              <w:rPr>
                <w:sz w:val="21"/>
                <w:szCs w:val="21"/>
              </w:rPr>
            </w:pPr>
            <w:r>
              <w:rPr>
                <w:rFonts w:hint="eastAsia"/>
                <w:sz w:val="21"/>
                <w:szCs w:val="21"/>
              </w:rPr>
              <w:t xml:space="preserve">序号 </w:t>
            </w:r>
          </w:p>
        </w:tc>
        <w:tc>
          <w:tcPr>
            <w:tcW w:w="1539"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83" w:firstLine="0"/>
              <w:rPr>
                <w:sz w:val="21"/>
                <w:szCs w:val="21"/>
              </w:rPr>
            </w:pPr>
            <w:r>
              <w:rPr>
                <w:rFonts w:hint="eastAsia"/>
                <w:sz w:val="21"/>
                <w:szCs w:val="21"/>
              </w:rPr>
              <w:t xml:space="preserve">业主名称 </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83" w:firstLine="0"/>
              <w:rPr>
                <w:sz w:val="21"/>
                <w:szCs w:val="21"/>
              </w:rPr>
            </w:pPr>
            <w:r>
              <w:rPr>
                <w:rFonts w:hint="eastAsia"/>
                <w:sz w:val="21"/>
                <w:szCs w:val="21"/>
              </w:rPr>
              <w:t xml:space="preserve">项目名称 </w:t>
            </w:r>
          </w:p>
        </w:tc>
        <w:tc>
          <w:tcPr>
            <w:tcW w:w="1620" w:type="dxa"/>
            <w:tcBorders>
              <w:top w:val="single" w:color="000000" w:sz="4" w:space="0"/>
              <w:left w:val="single" w:color="000000" w:sz="4" w:space="0"/>
              <w:bottom w:val="single" w:color="000000" w:sz="4" w:space="0"/>
              <w:right w:val="single" w:color="000000" w:sz="4" w:space="0"/>
            </w:tcBorders>
          </w:tcPr>
          <w:p>
            <w:pPr>
              <w:spacing w:after="46" w:line="360" w:lineRule="auto"/>
              <w:ind w:left="0" w:right="22" w:firstLine="0"/>
              <w:jc w:val="center"/>
              <w:rPr>
                <w:sz w:val="21"/>
                <w:szCs w:val="21"/>
              </w:rPr>
            </w:pPr>
            <w:r>
              <w:rPr>
                <w:rFonts w:hint="eastAsia"/>
                <w:sz w:val="21"/>
                <w:szCs w:val="21"/>
              </w:rPr>
              <w:t xml:space="preserve">合同总价 </w:t>
            </w:r>
          </w:p>
          <w:p>
            <w:pPr>
              <w:spacing w:after="0" w:line="360" w:lineRule="auto"/>
              <w:ind w:left="0" w:firstLine="0"/>
              <w:jc w:val="both"/>
              <w:rPr>
                <w:sz w:val="21"/>
                <w:szCs w:val="21"/>
              </w:rPr>
            </w:pPr>
            <w:r>
              <w:rPr>
                <w:rFonts w:hint="eastAsia"/>
                <w:sz w:val="21"/>
                <w:szCs w:val="21"/>
              </w:rPr>
              <w:t>（单位/万元）</w:t>
            </w:r>
          </w:p>
        </w:tc>
        <w:tc>
          <w:tcPr>
            <w:tcW w:w="1260" w:type="dxa"/>
            <w:tcBorders>
              <w:top w:val="single" w:color="000000" w:sz="4" w:space="0"/>
              <w:left w:val="single" w:color="000000" w:sz="4" w:space="0"/>
              <w:bottom w:val="single" w:color="000000" w:sz="4" w:space="0"/>
              <w:right w:val="single" w:color="000000" w:sz="4" w:space="0"/>
            </w:tcBorders>
          </w:tcPr>
          <w:p>
            <w:pPr>
              <w:spacing w:after="0" w:line="360" w:lineRule="auto"/>
              <w:ind w:left="0" w:firstLine="0"/>
              <w:jc w:val="center"/>
              <w:rPr>
                <w:sz w:val="21"/>
                <w:szCs w:val="21"/>
              </w:rPr>
            </w:pPr>
            <w:r>
              <w:rPr>
                <w:rFonts w:hint="eastAsia"/>
                <w:sz w:val="21"/>
                <w:szCs w:val="21"/>
              </w:rPr>
              <w:t xml:space="preserve">签约及完成时间 </w:t>
            </w:r>
          </w:p>
        </w:tc>
        <w:tc>
          <w:tcPr>
            <w:tcW w:w="2005"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35" w:firstLine="0"/>
              <w:jc w:val="both"/>
              <w:rPr>
                <w:sz w:val="21"/>
                <w:szCs w:val="21"/>
              </w:rPr>
            </w:pPr>
            <w:r>
              <w:rPr>
                <w:rFonts w:hint="eastAsia"/>
                <w:sz w:val="21"/>
                <w:szCs w:val="21"/>
              </w:rPr>
              <w:t>单位联系人及电话</w:t>
            </w:r>
          </w:p>
        </w:tc>
      </w:tr>
      <w:tr>
        <w:tblPrEx>
          <w:tblCellMar>
            <w:top w:w="34" w:type="dxa"/>
            <w:left w:w="127" w:type="dxa"/>
            <w:bottom w:w="0" w:type="dxa"/>
            <w:right w:w="105" w:type="dxa"/>
          </w:tblCellMar>
        </w:tblPrEx>
        <w:trPr>
          <w:trHeight w:val="350" w:hRule="atLeast"/>
        </w:trPr>
        <w:tc>
          <w:tcPr>
            <w:tcW w:w="993" w:type="dxa"/>
            <w:tcBorders>
              <w:top w:val="single" w:color="000000" w:sz="4" w:space="0"/>
              <w:left w:val="single" w:color="000000" w:sz="4" w:space="0"/>
              <w:bottom w:val="single" w:color="000000" w:sz="4" w:space="0"/>
              <w:right w:val="single" w:color="000000" w:sz="4" w:space="0"/>
            </w:tcBorders>
          </w:tcPr>
          <w:p>
            <w:pPr>
              <w:spacing w:after="0" w:line="360" w:lineRule="auto"/>
              <w:ind w:left="80" w:firstLine="0"/>
              <w:jc w:val="center"/>
              <w:rPr>
                <w:sz w:val="21"/>
                <w:szCs w:val="21"/>
              </w:rPr>
            </w:pPr>
          </w:p>
        </w:tc>
        <w:tc>
          <w:tcPr>
            <w:tcW w:w="1539" w:type="dxa"/>
            <w:tcBorders>
              <w:top w:val="single" w:color="000000" w:sz="4" w:space="0"/>
              <w:left w:val="single" w:color="000000" w:sz="4" w:space="0"/>
              <w:bottom w:val="single" w:color="000000" w:sz="4" w:space="0"/>
              <w:right w:val="single" w:color="000000" w:sz="4" w:space="0"/>
            </w:tcBorders>
          </w:tcPr>
          <w:p>
            <w:pPr>
              <w:spacing w:after="0" w:line="360" w:lineRule="auto"/>
              <w:ind w:left="83" w:firstLine="0"/>
              <w:jc w:val="center"/>
              <w:rPr>
                <w:sz w:val="21"/>
                <w:szCs w:val="21"/>
              </w:rPr>
            </w:pPr>
          </w:p>
        </w:tc>
        <w:tc>
          <w:tcPr>
            <w:tcW w:w="1260" w:type="dxa"/>
            <w:tcBorders>
              <w:top w:val="single" w:color="000000" w:sz="4" w:space="0"/>
              <w:left w:val="single" w:color="000000" w:sz="4" w:space="0"/>
              <w:bottom w:val="single" w:color="000000" w:sz="4" w:space="0"/>
              <w:right w:val="single" w:color="000000" w:sz="4" w:space="0"/>
            </w:tcBorders>
          </w:tcPr>
          <w:p>
            <w:pPr>
              <w:spacing w:after="0" w:line="360" w:lineRule="auto"/>
              <w:ind w:left="83" w:firstLine="0"/>
              <w:jc w:val="center"/>
              <w:rPr>
                <w:sz w:val="21"/>
                <w:szCs w:val="21"/>
              </w:rPr>
            </w:pPr>
          </w:p>
        </w:tc>
        <w:tc>
          <w:tcPr>
            <w:tcW w:w="1620" w:type="dxa"/>
            <w:tcBorders>
              <w:top w:val="single" w:color="000000" w:sz="4" w:space="0"/>
              <w:left w:val="single" w:color="000000" w:sz="4" w:space="0"/>
              <w:bottom w:val="single" w:color="000000" w:sz="4" w:space="0"/>
              <w:right w:val="single" w:color="000000" w:sz="4" w:space="0"/>
            </w:tcBorders>
          </w:tcPr>
          <w:p>
            <w:pPr>
              <w:spacing w:after="0" w:line="360" w:lineRule="auto"/>
              <w:ind w:left="83" w:firstLine="0"/>
              <w:jc w:val="center"/>
              <w:rPr>
                <w:sz w:val="21"/>
                <w:szCs w:val="21"/>
              </w:rPr>
            </w:pPr>
          </w:p>
        </w:tc>
        <w:tc>
          <w:tcPr>
            <w:tcW w:w="1260" w:type="dxa"/>
            <w:tcBorders>
              <w:top w:val="single" w:color="000000" w:sz="4" w:space="0"/>
              <w:left w:val="single" w:color="000000" w:sz="4" w:space="0"/>
              <w:bottom w:val="single" w:color="000000" w:sz="4" w:space="0"/>
              <w:right w:val="single" w:color="000000" w:sz="4" w:space="0"/>
            </w:tcBorders>
          </w:tcPr>
          <w:p>
            <w:pPr>
              <w:spacing w:after="0" w:line="360" w:lineRule="auto"/>
              <w:ind w:left="83" w:firstLine="0"/>
              <w:jc w:val="center"/>
              <w:rPr>
                <w:sz w:val="21"/>
                <w:szCs w:val="21"/>
              </w:rPr>
            </w:pPr>
          </w:p>
        </w:tc>
        <w:tc>
          <w:tcPr>
            <w:tcW w:w="2005" w:type="dxa"/>
            <w:tcBorders>
              <w:top w:val="single" w:color="000000" w:sz="4" w:space="0"/>
              <w:left w:val="single" w:color="000000" w:sz="4" w:space="0"/>
              <w:bottom w:val="single" w:color="000000" w:sz="4" w:space="0"/>
              <w:right w:val="single" w:color="000000" w:sz="4" w:space="0"/>
            </w:tcBorders>
          </w:tcPr>
          <w:p>
            <w:pPr>
              <w:spacing w:after="0" w:line="360" w:lineRule="auto"/>
              <w:ind w:left="82" w:firstLine="0"/>
              <w:jc w:val="center"/>
              <w:rPr>
                <w:sz w:val="21"/>
                <w:szCs w:val="21"/>
              </w:rPr>
            </w:pPr>
          </w:p>
        </w:tc>
      </w:tr>
      <w:tr>
        <w:tblPrEx>
          <w:tblCellMar>
            <w:top w:w="34" w:type="dxa"/>
            <w:left w:w="127" w:type="dxa"/>
            <w:bottom w:w="0" w:type="dxa"/>
            <w:right w:w="105" w:type="dxa"/>
          </w:tblCellMar>
        </w:tblPrEx>
        <w:trPr>
          <w:trHeight w:val="350" w:hRule="atLeast"/>
        </w:trPr>
        <w:tc>
          <w:tcPr>
            <w:tcW w:w="993" w:type="dxa"/>
            <w:tcBorders>
              <w:top w:val="single" w:color="000000" w:sz="4" w:space="0"/>
              <w:left w:val="single" w:color="000000" w:sz="4" w:space="0"/>
              <w:bottom w:val="single" w:color="000000" w:sz="4" w:space="0"/>
              <w:right w:val="single" w:color="000000" w:sz="4" w:space="0"/>
            </w:tcBorders>
          </w:tcPr>
          <w:p>
            <w:pPr>
              <w:spacing w:after="0" w:line="360" w:lineRule="auto"/>
              <w:ind w:left="80" w:firstLine="0"/>
              <w:jc w:val="center"/>
              <w:rPr>
                <w:sz w:val="21"/>
                <w:szCs w:val="21"/>
              </w:rPr>
            </w:pPr>
          </w:p>
        </w:tc>
        <w:tc>
          <w:tcPr>
            <w:tcW w:w="1539" w:type="dxa"/>
            <w:tcBorders>
              <w:top w:val="single" w:color="000000" w:sz="4" w:space="0"/>
              <w:left w:val="single" w:color="000000" w:sz="4" w:space="0"/>
              <w:bottom w:val="single" w:color="000000" w:sz="4" w:space="0"/>
              <w:right w:val="single" w:color="000000" w:sz="4" w:space="0"/>
            </w:tcBorders>
          </w:tcPr>
          <w:p>
            <w:pPr>
              <w:spacing w:after="0" w:line="360" w:lineRule="auto"/>
              <w:ind w:left="83" w:firstLine="0"/>
              <w:jc w:val="center"/>
              <w:rPr>
                <w:sz w:val="21"/>
                <w:szCs w:val="21"/>
              </w:rPr>
            </w:pPr>
          </w:p>
        </w:tc>
        <w:tc>
          <w:tcPr>
            <w:tcW w:w="1260" w:type="dxa"/>
            <w:tcBorders>
              <w:top w:val="single" w:color="000000" w:sz="4" w:space="0"/>
              <w:left w:val="single" w:color="000000" w:sz="4" w:space="0"/>
              <w:bottom w:val="single" w:color="000000" w:sz="4" w:space="0"/>
              <w:right w:val="single" w:color="000000" w:sz="4" w:space="0"/>
            </w:tcBorders>
          </w:tcPr>
          <w:p>
            <w:pPr>
              <w:spacing w:after="0" w:line="360" w:lineRule="auto"/>
              <w:ind w:left="83" w:firstLine="0"/>
              <w:jc w:val="center"/>
              <w:rPr>
                <w:sz w:val="21"/>
                <w:szCs w:val="21"/>
              </w:rPr>
            </w:pPr>
          </w:p>
        </w:tc>
        <w:tc>
          <w:tcPr>
            <w:tcW w:w="1620" w:type="dxa"/>
            <w:tcBorders>
              <w:top w:val="single" w:color="000000" w:sz="4" w:space="0"/>
              <w:left w:val="single" w:color="000000" w:sz="4" w:space="0"/>
              <w:bottom w:val="single" w:color="000000" w:sz="4" w:space="0"/>
              <w:right w:val="single" w:color="000000" w:sz="4" w:space="0"/>
            </w:tcBorders>
          </w:tcPr>
          <w:p>
            <w:pPr>
              <w:spacing w:after="0" w:line="360" w:lineRule="auto"/>
              <w:ind w:left="83" w:firstLine="0"/>
              <w:jc w:val="center"/>
              <w:rPr>
                <w:sz w:val="21"/>
                <w:szCs w:val="21"/>
              </w:rPr>
            </w:pPr>
          </w:p>
        </w:tc>
        <w:tc>
          <w:tcPr>
            <w:tcW w:w="1260" w:type="dxa"/>
            <w:tcBorders>
              <w:top w:val="single" w:color="000000" w:sz="4" w:space="0"/>
              <w:left w:val="single" w:color="000000" w:sz="4" w:space="0"/>
              <w:bottom w:val="single" w:color="000000" w:sz="4" w:space="0"/>
              <w:right w:val="single" w:color="000000" w:sz="4" w:space="0"/>
            </w:tcBorders>
          </w:tcPr>
          <w:p>
            <w:pPr>
              <w:spacing w:after="0" w:line="360" w:lineRule="auto"/>
              <w:ind w:left="83" w:firstLine="0"/>
              <w:jc w:val="center"/>
              <w:rPr>
                <w:sz w:val="21"/>
                <w:szCs w:val="21"/>
              </w:rPr>
            </w:pPr>
          </w:p>
        </w:tc>
        <w:tc>
          <w:tcPr>
            <w:tcW w:w="2005" w:type="dxa"/>
            <w:tcBorders>
              <w:top w:val="single" w:color="000000" w:sz="4" w:space="0"/>
              <w:left w:val="single" w:color="000000" w:sz="4" w:space="0"/>
              <w:bottom w:val="single" w:color="000000" w:sz="4" w:space="0"/>
              <w:right w:val="single" w:color="000000" w:sz="4" w:space="0"/>
            </w:tcBorders>
          </w:tcPr>
          <w:p>
            <w:pPr>
              <w:spacing w:after="0" w:line="360" w:lineRule="auto"/>
              <w:ind w:left="82" w:firstLine="0"/>
              <w:jc w:val="center"/>
              <w:rPr>
                <w:sz w:val="21"/>
                <w:szCs w:val="21"/>
              </w:rPr>
            </w:pPr>
          </w:p>
        </w:tc>
      </w:tr>
      <w:tr>
        <w:tblPrEx>
          <w:tblCellMar>
            <w:top w:w="34" w:type="dxa"/>
            <w:left w:w="127" w:type="dxa"/>
            <w:bottom w:w="0" w:type="dxa"/>
            <w:right w:w="105" w:type="dxa"/>
          </w:tblCellMar>
        </w:tblPrEx>
        <w:trPr>
          <w:trHeight w:val="350" w:hRule="atLeast"/>
        </w:trPr>
        <w:tc>
          <w:tcPr>
            <w:tcW w:w="993" w:type="dxa"/>
            <w:tcBorders>
              <w:top w:val="single" w:color="000000" w:sz="4" w:space="0"/>
              <w:left w:val="single" w:color="000000" w:sz="4" w:space="0"/>
              <w:bottom w:val="single" w:color="000000" w:sz="4" w:space="0"/>
              <w:right w:val="single" w:color="000000" w:sz="4" w:space="0"/>
            </w:tcBorders>
          </w:tcPr>
          <w:p>
            <w:pPr>
              <w:spacing w:after="0" w:line="360" w:lineRule="auto"/>
              <w:ind w:left="80" w:firstLine="0"/>
              <w:jc w:val="center"/>
              <w:rPr>
                <w:sz w:val="21"/>
                <w:szCs w:val="21"/>
              </w:rPr>
            </w:pPr>
          </w:p>
        </w:tc>
        <w:tc>
          <w:tcPr>
            <w:tcW w:w="1539" w:type="dxa"/>
            <w:tcBorders>
              <w:top w:val="single" w:color="000000" w:sz="4" w:space="0"/>
              <w:left w:val="single" w:color="000000" w:sz="4" w:space="0"/>
              <w:bottom w:val="single" w:color="000000" w:sz="4" w:space="0"/>
              <w:right w:val="single" w:color="000000" w:sz="4" w:space="0"/>
            </w:tcBorders>
          </w:tcPr>
          <w:p>
            <w:pPr>
              <w:spacing w:after="0" w:line="360" w:lineRule="auto"/>
              <w:ind w:left="83" w:firstLine="0"/>
              <w:jc w:val="center"/>
              <w:rPr>
                <w:sz w:val="21"/>
                <w:szCs w:val="21"/>
              </w:rPr>
            </w:pPr>
          </w:p>
        </w:tc>
        <w:tc>
          <w:tcPr>
            <w:tcW w:w="1260" w:type="dxa"/>
            <w:tcBorders>
              <w:top w:val="single" w:color="000000" w:sz="4" w:space="0"/>
              <w:left w:val="single" w:color="000000" w:sz="4" w:space="0"/>
              <w:bottom w:val="single" w:color="000000" w:sz="4" w:space="0"/>
              <w:right w:val="single" w:color="000000" w:sz="4" w:space="0"/>
            </w:tcBorders>
          </w:tcPr>
          <w:p>
            <w:pPr>
              <w:spacing w:after="0" w:line="360" w:lineRule="auto"/>
              <w:ind w:left="83" w:firstLine="0"/>
              <w:jc w:val="center"/>
              <w:rPr>
                <w:sz w:val="21"/>
                <w:szCs w:val="21"/>
              </w:rPr>
            </w:pPr>
          </w:p>
        </w:tc>
        <w:tc>
          <w:tcPr>
            <w:tcW w:w="1620" w:type="dxa"/>
            <w:tcBorders>
              <w:top w:val="single" w:color="000000" w:sz="4" w:space="0"/>
              <w:left w:val="single" w:color="000000" w:sz="4" w:space="0"/>
              <w:bottom w:val="single" w:color="000000" w:sz="4" w:space="0"/>
              <w:right w:val="single" w:color="000000" w:sz="4" w:space="0"/>
            </w:tcBorders>
          </w:tcPr>
          <w:p>
            <w:pPr>
              <w:spacing w:after="0" w:line="360" w:lineRule="auto"/>
              <w:ind w:left="83" w:firstLine="0"/>
              <w:jc w:val="center"/>
              <w:rPr>
                <w:sz w:val="21"/>
                <w:szCs w:val="21"/>
              </w:rPr>
            </w:pPr>
          </w:p>
        </w:tc>
        <w:tc>
          <w:tcPr>
            <w:tcW w:w="1260" w:type="dxa"/>
            <w:tcBorders>
              <w:top w:val="single" w:color="000000" w:sz="4" w:space="0"/>
              <w:left w:val="single" w:color="000000" w:sz="4" w:space="0"/>
              <w:bottom w:val="single" w:color="000000" w:sz="4" w:space="0"/>
              <w:right w:val="single" w:color="000000" w:sz="4" w:space="0"/>
            </w:tcBorders>
          </w:tcPr>
          <w:p>
            <w:pPr>
              <w:spacing w:after="0" w:line="360" w:lineRule="auto"/>
              <w:ind w:left="83" w:firstLine="0"/>
              <w:jc w:val="center"/>
              <w:rPr>
                <w:sz w:val="21"/>
                <w:szCs w:val="21"/>
              </w:rPr>
            </w:pPr>
          </w:p>
        </w:tc>
        <w:tc>
          <w:tcPr>
            <w:tcW w:w="2005" w:type="dxa"/>
            <w:tcBorders>
              <w:top w:val="single" w:color="000000" w:sz="4" w:space="0"/>
              <w:left w:val="single" w:color="000000" w:sz="4" w:space="0"/>
              <w:bottom w:val="single" w:color="000000" w:sz="4" w:space="0"/>
              <w:right w:val="single" w:color="000000" w:sz="4" w:space="0"/>
            </w:tcBorders>
          </w:tcPr>
          <w:p>
            <w:pPr>
              <w:spacing w:after="0" w:line="360" w:lineRule="auto"/>
              <w:ind w:left="82" w:firstLine="0"/>
              <w:jc w:val="center"/>
              <w:rPr>
                <w:sz w:val="21"/>
                <w:szCs w:val="21"/>
              </w:rPr>
            </w:pPr>
          </w:p>
        </w:tc>
      </w:tr>
      <w:tr>
        <w:tblPrEx>
          <w:tblCellMar>
            <w:top w:w="34" w:type="dxa"/>
            <w:left w:w="127" w:type="dxa"/>
            <w:bottom w:w="0" w:type="dxa"/>
            <w:right w:w="105" w:type="dxa"/>
          </w:tblCellMar>
        </w:tblPrEx>
        <w:trPr>
          <w:trHeight w:val="350" w:hRule="atLeast"/>
        </w:trPr>
        <w:tc>
          <w:tcPr>
            <w:tcW w:w="993" w:type="dxa"/>
            <w:tcBorders>
              <w:top w:val="single" w:color="000000" w:sz="4" w:space="0"/>
              <w:left w:val="single" w:color="000000" w:sz="4" w:space="0"/>
              <w:bottom w:val="single" w:color="000000" w:sz="4" w:space="0"/>
              <w:right w:val="single" w:color="000000" w:sz="4" w:space="0"/>
            </w:tcBorders>
          </w:tcPr>
          <w:p>
            <w:pPr>
              <w:spacing w:after="0" w:line="360" w:lineRule="auto"/>
              <w:ind w:left="80" w:firstLine="0"/>
              <w:jc w:val="center"/>
              <w:rPr>
                <w:sz w:val="21"/>
                <w:szCs w:val="21"/>
              </w:rPr>
            </w:pPr>
          </w:p>
        </w:tc>
        <w:tc>
          <w:tcPr>
            <w:tcW w:w="1539" w:type="dxa"/>
            <w:tcBorders>
              <w:top w:val="single" w:color="000000" w:sz="4" w:space="0"/>
              <w:left w:val="single" w:color="000000" w:sz="4" w:space="0"/>
              <w:bottom w:val="single" w:color="000000" w:sz="4" w:space="0"/>
              <w:right w:val="single" w:color="000000" w:sz="4" w:space="0"/>
            </w:tcBorders>
          </w:tcPr>
          <w:p>
            <w:pPr>
              <w:spacing w:after="0" w:line="360" w:lineRule="auto"/>
              <w:ind w:left="83" w:firstLine="0"/>
              <w:jc w:val="center"/>
              <w:rPr>
                <w:sz w:val="21"/>
                <w:szCs w:val="21"/>
              </w:rPr>
            </w:pPr>
          </w:p>
        </w:tc>
        <w:tc>
          <w:tcPr>
            <w:tcW w:w="1260" w:type="dxa"/>
            <w:tcBorders>
              <w:top w:val="single" w:color="000000" w:sz="4" w:space="0"/>
              <w:left w:val="single" w:color="000000" w:sz="4" w:space="0"/>
              <w:bottom w:val="single" w:color="000000" w:sz="4" w:space="0"/>
              <w:right w:val="single" w:color="000000" w:sz="4" w:space="0"/>
            </w:tcBorders>
          </w:tcPr>
          <w:p>
            <w:pPr>
              <w:spacing w:after="0" w:line="360" w:lineRule="auto"/>
              <w:ind w:left="83" w:firstLine="0"/>
              <w:jc w:val="center"/>
              <w:rPr>
                <w:sz w:val="21"/>
                <w:szCs w:val="21"/>
              </w:rPr>
            </w:pPr>
          </w:p>
        </w:tc>
        <w:tc>
          <w:tcPr>
            <w:tcW w:w="1620" w:type="dxa"/>
            <w:tcBorders>
              <w:top w:val="single" w:color="000000" w:sz="4" w:space="0"/>
              <w:left w:val="single" w:color="000000" w:sz="4" w:space="0"/>
              <w:bottom w:val="single" w:color="000000" w:sz="4" w:space="0"/>
              <w:right w:val="single" w:color="000000" w:sz="4" w:space="0"/>
            </w:tcBorders>
          </w:tcPr>
          <w:p>
            <w:pPr>
              <w:spacing w:after="0" w:line="360" w:lineRule="auto"/>
              <w:ind w:left="83" w:firstLine="0"/>
              <w:jc w:val="center"/>
              <w:rPr>
                <w:sz w:val="21"/>
                <w:szCs w:val="21"/>
              </w:rPr>
            </w:pPr>
          </w:p>
        </w:tc>
        <w:tc>
          <w:tcPr>
            <w:tcW w:w="1260" w:type="dxa"/>
            <w:tcBorders>
              <w:top w:val="single" w:color="000000" w:sz="4" w:space="0"/>
              <w:left w:val="single" w:color="000000" w:sz="4" w:space="0"/>
              <w:bottom w:val="single" w:color="000000" w:sz="4" w:space="0"/>
              <w:right w:val="single" w:color="000000" w:sz="4" w:space="0"/>
            </w:tcBorders>
          </w:tcPr>
          <w:p>
            <w:pPr>
              <w:spacing w:after="0" w:line="360" w:lineRule="auto"/>
              <w:ind w:left="83" w:firstLine="0"/>
              <w:jc w:val="center"/>
              <w:rPr>
                <w:sz w:val="21"/>
                <w:szCs w:val="21"/>
              </w:rPr>
            </w:pPr>
          </w:p>
        </w:tc>
        <w:tc>
          <w:tcPr>
            <w:tcW w:w="2005" w:type="dxa"/>
            <w:tcBorders>
              <w:top w:val="single" w:color="000000" w:sz="4" w:space="0"/>
              <w:left w:val="single" w:color="000000" w:sz="4" w:space="0"/>
              <w:bottom w:val="single" w:color="000000" w:sz="4" w:space="0"/>
              <w:right w:val="single" w:color="000000" w:sz="4" w:space="0"/>
            </w:tcBorders>
          </w:tcPr>
          <w:p>
            <w:pPr>
              <w:spacing w:after="0" w:line="360" w:lineRule="auto"/>
              <w:ind w:left="82" w:firstLine="0"/>
              <w:jc w:val="center"/>
              <w:rPr>
                <w:sz w:val="21"/>
                <w:szCs w:val="21"/>
              </w:rPr>
            </w:pPr>
          </w:p>
        </w:tc>
      </w:tr>
      <w:tr>
        <w:tblPrEx>
          <w:tblCellMar>
            <w:top w:w="34" w:type="dxa"/>
            <w:left w:w="127" w:type="dxa"/>
            <w:bottom w:w="0" w:type="dxa"/>
            <w:right w:w="105" w:type="dxa"/>
          </w:tblCellMar>
        </w:tblPrEx>
        <w:trPr>
          <w:trHeight w:val="350" w:hRule="atLeast"/>
        </w:trPr>
        <w:tc>
          <w:tcPr>
            <w:tcW w:w="993" w:type="dxa"/>
            <w:tcBorders>
              <w:top w:val="single" w:color="000000" w:sz="4" w:space="0"/>
              <w:left w:val="single" w:color="000000" w:sz="4" w:space="0"/>
              <w:bottom w:val="single" w:color="000000" w:sz="4" w:space="0"/>
              <w:right w:val="single" w:color="000000" w:sz="4" w:space="0"/>
            </w:tcBorders>
          </w:tcPr>
          <w:p>
            <w:pPr>
              <w:spacing w:after="0" w:line="360" w:lineRule="auto"/>
              <w:ind w:left="80" w:firstLine="0"/>
              <w:jc w:val="center"/>
              <w:rPr>
                <w:sz w:val="21"/>
                <w:szCs w:val="21"/>
              </w:rPr>
            </w:pPr>
          </w:p>
        </w:tc>
        <w:tc>
          <w:tcPr>
            <w:tcW w:w="1539" w:type="dxa"/>
            <w:tcBorders>
              <w:top w:val="single" w:color="000000" w:sz="4" w:space="0"/>
              <w:left w:val="single" w:color="000000" w:sz="4" w:space="0"/>
              <w:bottom w:val="single" w:color="000000" w:sz="4" w:space="0"/>
              <w:right w:val="single" w:color="000000" w:sz="4" w:space="0"/>
            </w:tcBorders>
          </w:tcPr>
          <w:p>
            <w:pPr>
              <w:spacing w:after="0" w:line="360" w:lineRule="auto"/>
              <w:ind w:left="83" w:firstLine="0"/>
              <w:jc w:val="center"/>
              <w:rPr>
                <w:sz w:val="21"/>
                <w:szCs w:val="21"/>
              </w:rPr>
            </w:pPr>
          </w:p>
        </w:tc>
        <w:tc>
          <w:tcPr>
            <w:tcW w:w="1260" w:type="dxa"/>
            <w:tcBorders>
              <w:top w:val="single" w:color="000000" w:sz="4" w:space="0"/>
              <w:left w:val="single" w:color="000000" w:sz="4" w:space="0"/>
              <w:bottom w:val="single" w:color="000000" w:sz="4" w:space="0"/>
              <w:right w:val="single" w:color="000000" w:sz="4" w:space="0"/>
            </w:tcBorders>
          </w:tcPr>
          <w:p>
            <w:pPr>
              <w:spacing w:after="0" w:line="360" w:lineRule="auto"/>
              <w:ind w:left="83" w:firstLine="0"/>
              <w:jc w:val="center"/>
              <w:rPr>
                <w:sz w:val="21"/>
                <w:szCs w:val="21"/>
              </w:rPr>
            </w:pPr>
          </w:p>
        </w:tc>
        <w:tc>
          <w:tcPr>
            <w:tcW w:w="1620" w:type="dxa"/>
            <w:tcBorders>
              <w:top w:val="single" w:color="000000" w:sz="4" w:space="0"/>
              <w:left w:val="single" w:color="000000" w:sz="4" w:space="0"/>
              <w:bottom w:val="single" w:color="000000" w:sz="4" w:space="0"/>
              <w:right w:val="single" w:color="000000" w:sz="4" w:space="0"/>
            </w:tcBorders>
          </w:tcPr>
          <w:p>
            <w:pPr>
              <w:spacing w:after="0" w:line="360" w:lineRule="auto"/>
              <w:ind w:left="83" w:firstLine="0"/>
              <w:jc w:val="center"/>
              <w:rPr>
                <w:sz w:val="21"/>
                <w:szCs w:val="21"/>
              </w:rPr>
            </w:pPr>
          </w:p>
        </w:tc>
        <w:tc>
          <w:tcPr>
            <w:tcW w:w="1260" w:type="dxa"/>
            <w:tcBorders>
              <w:top w:val="single" w:color="000000" w:sz="4" w:space="0"/>
              <w:left w:val="single" w:color="000000" w:sz="4" w:space="0"/>
              <w:bottom w:val="single" w:color="000000" w:sz="4" w:space="0"/>
              <w:right w:val="single" w:color="000000" w:sz="4" w:space="0"/>
            </w:tcBorders>
          </w:tcPr>
          <w:p>
            <w:pPr>
              <w:spacing w:after="0" w:line="360" w:lineRule="auto"/>
              <w:ind w:left="83" w:firstLine="0"/>
              <w:jc w:val="center"/>
              <w:rPr>
                <w:sz w:val="21"/>
                <w:szCs w:val="21"/>
              </w:rPr>
            </w:pPr>
          </w:p>
        </w:tc>
        <w:tc>
          <w:tcPr>
            <w:tcW w:w="2005" w:type="dxa"/>
            <w:tcBorders>
              <w:top w:val="single" w:color="000000" w:sz="4" w:space="0"/>
              <w:left w:val="single" w:color="000000" w:sz="4" w:space="0"/>
              <w:bottom w:val="single" w:color="000000" w:sz="4" w:space="0"/>
              <w:right w:val="single" w:color="000000" w:sz="4" w:space="0"/>
            </w:tcBorders>
          </w:tcPr>
          <w:p>
            <w:pPr>
              <w:spacing w:after="0" w:line="360" w:lineRule="auto"/>
              <w:ind w:left="82" w:firstLine="0"/>
              <w:jc w:val="center"/>
              <w:rPr>
                <w:sz w:val="21"/>
                <w:szCs w:val="21"/>
              </w:rPr>
            </w:pPr>
          </w:p>
        </w:tc>
      </w:tr>
      <w:tr>
        <w:tblPrEx>
          <w:tblCellMar>
            <w:top w:w="34" w:type="dxa"/>
            <w:left w:w="127" w:type="dxa"/>
            <w:bottom w:w="0" w:type="dxa"/>
            <w:right w:w="105" w:type="dxa"/>
          </w:tblCellMar>
        </w:tblPrEx>
        <w:trPr>
          <w:trHeight w:val="350" w:hRule="atLeast"/>
        </w:trPr>
        <w:tc>
          <w:tcPr>
            <w:tcW w:w="993" w:type="dxa"/>
            <w:tcBorders>
              <w:top w:val="single" w:color="000000" w:sz="4" w:space="0"/>
              <w:left w:val="single" w:color="000000" w:sz="4" w:space="0"/>
              <w:bottom w:val="single" w:color="000000" w:sz="4" w:space="0"/>
              <w:right w:val="single" w:color="000000" w:sz="4" w:space="0"/>
            </w:tcBorders>
          </w:tcPr>
          <w:p>
            <w:pPr>
              <w:spacing w:after="0" w:line="360" w:lineRule="auto"/>
              <w:ind w:left="80" w:firstLine="0"/>
              <w:jc w:val="center"/>
              <w:rPr>
                <w:sz w:val="21"/>
                <w:szCs w:val="21"/>
              </w:rPr>
            </w:pPr>
          </w:p>
        </w:tc>
        <w:tc>
          <w:tcPr>
            <w:tcW w:w="1539" w:type="dxa"/>
            <w:tcBorders>
              <w:top w:val="single" w:color="000000" w:sz="4" w:space="0"/>
              <w:left w:val="single" w:color="000000" w:sz="4" w:space="0"/>
              <w:bottom w:val="single" w:color="000000" w:sz="4" w:space="0"/>
              <w:right w:val="single" w:color="000000" w:sz="4" w:space="0"/>
            </w:tcBorders>
          </w:tcPr>
          <w:p>
            <w:pPr>
              <w:spacing w:after="0" w:line="360" w:lineRule="auto"/>
              <w:ind w:left="83" w:firstLine="0"/>
              <w:jc w:val="center"/>
              <w:rPr>
                <w:sz w:val="21"/>
                <w:szCs w:val="21"/>
              </w:rPr>
            </w:pPr>
          </w:p>
        </w:tc>
        <w:tc>
          <w:tcPr>
            <w:tcW w:w="1260" w:type="dxa"/>
            <w:tcBorders>
              <w:top w:val="single" w:color="000000" w:sz="4" w:space="0"/>
              <w:left w:val="single" w:color="000000" w:sz="4" w:space="0"/>
              <w:bottom w:val="single" w:color="000000" w:sz="4" w:space="0"/>
              <w:right w:val="single" w:color="000000" w:sz="4" w:space="0"/>
            </w:tcBorders>
          </w:tcPr>
          <w:p>
            <w:pPr>
              <w:spacing w:after="0" w:line="360" w:lineRule="auto"/>
              <w:ind w:left="83" w:firstLine="0"/>
              <w:jc w:val="center"/>
              <w:rPr>
                <w:sz w:val="21"/>
                <w:szCs w:val="21"/>
              </w:rPr>
            </w:pPr>
          </w:p>
        </w:tc>
        <w:tc>
          <w:tcPr>
            <w:tcW w:w="1620" w:type="dxa"/>
            <w:tcBorders>
              <w:top w:val="single" w:color="000000" w:sz="4" w:space="0"/>
              <w:left w:val="single" w:color="000000" w:sz="4" w:space="0"/>
              <w:bottom w:val="single" w:color="000000" w:sz="4" w:space="0"/>
              <w:right w:val="single" w:color="000000" w:sz="4" w:space="0"/>
            </w:tcBorders>
          </w:tcPr>
          <w:p>
            <w:pPr>
              <w:spacing w:after="0" w:line="360" w:lineRule="auto"/>
              <w:ind w:left="83" w:firstLine="0"/>
              <w:jc w:val="center"/>
              <w:rPr>
                <w:sz w:val="21"/>
                <w:szCs w:val="21"/>
              </w:rPr>
            </w:pPr>
          </w:p>
        </w:tc>
        <w:tc>
          <w:tcPr>
            <w:tcW w:w="1260" w:type="dxa"/>
            <w:tcBorders>
              <w:top w:val="single" w:color="000000" w:sz="4" w:space="0"/>
              <w:left w:val="single" w:color="000000" w:sz="4" w:space="0"/>
              <w:bottom w:val="single" w:color="000000" w:sz="4" w:space="0"/>
              <w:right w:val="single" w:color="000000" w:sz="4" w:space="0"/>
            </w:tcBorders>
          </w:tcPr>
          <w:p>
            <w:pPr>
              <w:spacing w:after="0" w:line="360" w:lineRule="auto"/>
              <w:ind w:left="83" w:firstLine="0"/>
              <w:jc w:val="center"/>
              <w:rPr>
                <w:sz w:val="21"/>
                <w:szCs w:val="21"/>
              </w:rPr>
            </w:pPr>
          </w:p>
        </w:tc>
        <w:tc>
          <w:tcPr>
            <w:tcW w:w="2005" w:type="dxa"/>
            <w:tcBorders>
              <w:top w:val="single" w:color="000000" w:sz="4" w:space="0"/>
              <w:left w:val="single" w:color="000000" w:sz="4" w:space="0"/>
              <w:bottom w:val="single" w:color="000000" w:sz="4" w:space="0"/>
              <w:right w:val="single" w:color="000000" w:sz="4" w:space="0"/>
            </w:tcBorders>
          </w:tcPr>
          <w:p>
            <w:pPr>
              <w:spacing w:after="0" w:line="360" w:lineRule="auto"/>
              <w:ind w:left="82" w:firstLine="0"/>
              <w:jc w:val="center"/>
              <w:rPr>
                <w:sz w:val="21"/>
                <w:szCs w:val="21"/>
              </w:rPr>
            </w:pPr>
          </w:p>
        </w:tc>
      </w:tr>
      <w:tr>
        <w:tblPrEx>
          <w:tblCellMar>
            <w:top w:w="34" w:type="dxa"/>
            <w:left w:w="127" w:type="dxa"/>
            <w:bottom w:w="0" w:type="dxa"/>
            <w:right w:w="105" w:type="dxa"/>
          </w:tblCellMar>
        </w:tblPrEx>
        <w:trPr>
          <w:trHeight w:val="350" w:hRule="atLeast"/>
        </w:trPr>
        <w:tc>
          <w:tcPr>
            <w:tcW w:w="993" w:type="dxa"/>
            <w:tcBorders>
              <w:top w:val="single" w:color="000000" w:sz="4" w:space="0"/>
              <w:left w:val="single" w:color="000000" w:sz="4" w:space="0"/>
              <w:bottom w:val="single" w:color="000000" w:sz="4" w:space="0"/>
              <w:right w:val="single" w:color="000000" w:sz="4" w:space="0"/>
            </w:tcBorders>
          </w:tcPr>
          <w:p>
            <w:pPr>
              <w:spacing w:after="0" w:line="360" w:lineRule="auto"/>
              <w:ind w:left="80" w:firstLine="0"/>
              <w:jc w:val="center"/>
              <w:rPr>
                <w:sz w:val="21"/>
                <w:szCs w:val="21"/>
              </w:rPr>
            </w:pPr>
          </w:p>
        </w:tc>
        <w:tc>
          <w:tcPr>
            <w:tcW w:w="1539" w:type="dxa"/>
            <w:tcBorders>
              <w:top w:val="single" w:color="000000" w:sz="4" w:space="0"/>
              <w:left w:val="single" w:color="000000" w:sz="4" w:space="0"/>
              <w:bottom w:val="single" w:color="000000" w:sz="4" w:space="0"/>
              <w:right w:val="single" w:color="000000" w:sz="4" w:space="0"/>
            </w:tcBorders>
          </w:tcPr>
          <w:p>
            <w:pPr>
              <w:spacing w:after="0" w:line="360" w:lineRule="auto"/>
              <w:ind w:left="83" w:firstLine="0"/>
              <w:jc w:val="center"/>
              <w:rPr>
                <w:sz w:val="21"/>
                <w:szCs w:val="21"/>
              </w:rPr>
            </w:pPr>
          </w:p>
        </w:tc>
        <w:tc>
          <w:tcPr>
            <w:tcW w:w="1260" w:type="dxa"/>
            <w:tcBorders>
              <w:top w:val="single" w:color="000000" w:sz="4" w:space="0"/>
              <w:left w:val="single" w:color="000000" w:sz="4" w:space="0"/>
              <w:bottom w:val="single" w:color="000000" w:sz="4" w:space="0"/>
              <w:right w:val="single" w:color="000000" w:sz="4" w:space="0"/>
            </w:tcBorders>
          </w:tcPr>
          <w:p>
            <w:pPr>
              <w:spacing w:after="0" w:line="360" w:lineRule="auto"/>
              <w:ind w:left="83" w:firstLine="0"/>
              <w:jc w:val="center"/>
              <w:rPr>
                <w:sz w:val="21"/>
                <w:szCs w:val="21"/>
              </w:rPr>
            </w:pPr>
          </w:p>
        </w:tc>
        <w:tc>
          <w:tcPr>
            <w:tcW w:w="1620" w:type="dxa"/>
            <w:tcBorders>
              <w:top w:val="single" w:color="000000" w:sz="4" w:space="0"/>
              <w:left w:val="single" w:color="000000" w:sz="4" w:space="0"/>
              <w:bottom w:val="single" w:color="000000" w:sz="4" w:space="0"/>
              <w:right w:val="single" w:color="000000" w:sz="4" w:space="0"/>
            </w:tcBorders>
          </w:tcPr>
          <w:p>
            <w:pPr>
              <w:spacing w:after="0" w:line="360" w:lineRule="auto"/>
              <w:ind w:left="83" w:firstLine="0"/>
              <w:jc w:val="center"/>
              <w:rPr>
                <w:sz w:val="21"/>
                <w:szCs w:val="21"/>
              </w:rPr>
            </w:pPr>
          </w:p>
        </w:tc>
        <w:tc>
          <w:tcPr>
            <w:tcW w:w="1260" w:type="dxa"/>
            <w:tcBorders>
              <w:top w:val="single" w:color="000000" w:sz="4" w:space="0"/>
              <w:left w:val="single" w:color="000000" w:sz="4" w:space="0"/>
              <w:bottom w:val="single" w:color="000000" w:sz="4" w:space="0"/>
              <w:right w:val="single" w:color="000000" w:sz="4" w:space="0"/>
            </w:tcBorders>
          </w:tcPr>
          <w:p>
            <w:pPr>
              <w:spacing w:after="0" w:line="360" w:lineRule="auto"/>
              <w:ind w:left="83" w:firstLine="0"/>
              <w:jc w:val="center"/>
              <w:rPr>
                <w:sz w:val="21"/>
                <w:szCs w:val="21"/>
              </w:rPr>
            </w:pPr>
          </w:p>
        </w:tc>
        <w:tc>
          <w:tcPr>
            <w:tcW w:w="2005" w:type="dxa"/>
            <w:tcBorders>
              <w:top w:val="single" w:color="000000" w:sz="4" w:space="0"/>
              <w:left w:val="single" w:color="000000" w:sz="4" w:space="0"/>
              <w:bottom w:val="single" w:color="000000" w:sz="4" w:space="0"/>
              <w:right w:val="single" w:color="000000" w:sz="4" w:space="0"/>
            </w:tcBorders>
          </w:tcPr>
          <w:p>
            <w:pPr>
              <w:spacing w:after="0" w:line="360" w:lineRule="auto"/>
              <w:ind w:left="82" w:firstLine="0"/>
              <w:jc w:val="center"/>
              <w:rPr>
                <w:sz w:val="21"/>
                <w:szCs w:val="21"/>
              </w:rPr>
            </w:pPr>
          </w:p>
        </w:tc>
      </w:tr>
      <w:tr>
        <w:tblPrEx>
          <w:tblCellMar>
            <w:top w:w="34" w:type="dxa"/>
            <w:left w:w="127" w:type="dxa"/>
            <w:bottom w:w="0" w:type="dxa"/>
            <w:right w:w="105" w:type="dxa"/>
          </w:tblCellMar>
        </w:tblPrEx>
        <w:trPr>
          <w:trHeight w:val="350" w:hRule="atLeast"/>
        </w:trPr>
        <w:tc>
          <w:tcPr>
            <w:tcW w:w="993" w:type="dxa"/>
            <w:tcBorders>
              <w:top w:val="single" w:color="000000" w:sz="4" w:space="0"/>
              <w:left w:val="single" w:color="000000" w:sz="4" w:space="0"/>
              <w:bottom w:val="single" w:color="000000" w:sz="4" w:space="0"/>
              <w:right w:val="single" w:color="000000" w:sz="4" w:space="0"/>
            </w:tcBorders>
          </w:tcPr>
          <w:p>
            <w:pPr>
              <w:spacing w:after="0" w:line="360" w:lineRule="auto"/>
              <w:ind w:left="80" w:firstLine="0"/>
              <w:jc w:val="center"/>
              <w:rPr>
                <w:sz w:val="21"/>
                <w:szCs w:val="21"/>
              </w:rPr>
            </w:pPr>
          </w:p>
        </w:tc>
        <w:tc>
          <w:tcPr>
            <w:tcW w:w="1539" w:type="dxa"/>
            <w:tcBorders>
              <w:top w:val="single" w:color="000000" w:sz="4" w:space="0"/>
              <w:left w:val="single" w:color="000000" w:sz="4" w:space="0"/>
              <w:bottom w:val="single" w:color="000000" w:sz="4" w:space="0"/>
              <w:right w:val="single" w:color="000000" w:sz="4" w:space="0"/>
            </w:tcBorders>
          </w:tcPr>
          <w:p>
            <w:pPr>
              <w:spacing w:after="0" w:line="360" w:lineRule="auto"/>
              <w:ind w:left="83" w:firstLine="0"/>
              <w:jc w:val="center"/>
              <w:rPr>
                <w:sz w:val="21"/>
                <w:szCs w:val="21"/>
              </w:rPr>
            </w:pPr>
          </w:p>
        </w:tc>
        <w:tc>
          <w:tcPr>
            <w:tcW w:w="1260" w:type="dxa"/>
            <w:tcBorders>
              <w:top w:val="single" w:color="000000" w:sz="4" w:space="0"/>
              <w:left w:val="single" w:color="000000" w:sz="4" w:space="0"/>
              <w:bottom w:val="single" w:color="000000" w:sz="4" w:space="0"/>
              <w:right w:val="single" w:color="000000" w:sz="4" w:space="0"/>
            </w:tcBorders>
          </w:tcPr>
          <w:p>
            <w:pPr>
              <w:spacing w:after="0" w:line="360" w:lineRule="auto"/>
              <w:ind w:left="83" w:firstLine="0"/>
              <w:jc w:val="center"/>
              <w:rPr>
                <w:sz w:val="21"/>
                <w:szCs w:val="21"/>
              </w:rPr>
            </w:pPr>
          </w:p>
        </w:tc>
        <w:tc>
          <w:tcPr>
            <w:tcW w:w="1620" w:type="dxa"/>
            <w:tcBorders>
              <w:top w:val="single" w:color="000000" w:sz="4" w:space="0"/>
              <w:left w:val="single" w:color="000000" w:sz="4" w:space="0"/>
              <w:bottom w:val="single" w:color="000000" w:sz="4" w:space="0"/>
              <w:right w:val="single" w:color="000000" w:sz="4" w:space="0"/>
            </w:tcBorders>
          </w:tcPr>
          <w:p>
            <w:pPr>
              <w:spacing w:after="0" w:line="360" w:lineRule="auto"/>
              <w:ind w:left="83" w:firstLine="0"/>
              <w:jc w:val="center"/>
              <w:rPr>
                <w:sz w:val="21"/>
                <w:szCs w:val="21"/>
              </w:rPr>
            </w:pPr>
          </w:p>
        </w:tc>
        <w:tc>
          <w:tcPr>
            <w:tcW w:w="1260" w:type="dxa"/>
            <w:tcBorders>
              <w:top w:val="single" w:color="000000" w:sz="4" w:space="0"/>
              <w:left w:val="single" w:color="000000" w:sz="4" w:space="0"/>
              <w:bottom w:val="single" w:color="000000" w:sz="4" w:space="0"/>
              <w:right w:val="single" w:color="000000" w:sz="4" w:space="0"/>
            </w:tcBorders>
          </w:tcPr>
          <w:p>
            <w:pPr>
              <w:spacing w:after="0" w:line="360" w:lineRule="auto"/>
              <w:ind w:left="83" w:firstLine="0"/>
              <w:jc w:val="center"/>
              <w:rPr>
                <w:sz w:val="21"/>
                <w:szCs w:val="21"/>
              </w:rPr>
            </w:pPr>
          </w:p>
        </w:tc>
        <w:tc>
          <w:tcPr>
            <w:tcW w:w="2005" w:type="dxa"/>
            <w:tcBorders>
              <w:top w:val="single" w:color="000000" w:sz="4" w:space="0"/>
              <w:left w:val="single" w:color="000000" w:sz="4" w:space="0"/>
              <w:bottom w:val="single" w:color="000000" w:sz="4" w:space="0"/>
              <w:right w:val="single" w:color="000000" w:sz="4" w:space="0"/>
            </w:tcBorders>
          </w:tcPr>
          <w:p>
            <w:pPr>
              <w:spacing w:after="0" w:line="360" w:lineRule="auto"/>
              <w:ind w:left="82" w:firstLine="0"/>
              <w:jc w:val="center"/>
              <w:rPr>
                <w:sz w:val="21"/>
                <w:szCs w:val="21"/>
              </w:rPr>
            </w:pPr>
          </w:p>
        </w:tc>
      </w:tr>
    </w:tbl>
    <w:p>
      <w:pPr>
        <w:spacing w:after="29" w:line="360" w:lineRule="auto"/>
        <w:ind w:left="6" w:right="112" w:hanging="6"/>
        <w:rPr>
          <w:sz w:val="21"/>
          <w:szCs w:val="21"/>
        </w:rPr>
      </w:pPr>
    </w:p>
    <w:p>
      <w:pPr>
        <w:spacing w:after="29" w:line="360" w:lineRule="auto"/>
        <w:ind w:left="6" w:right="112" w:hanging="6"/>
        <w:rPr>
          <w:sz w:val="21"/>
          <w:szCs w:val="21"/>
        </w:rPr>
      </w:pPr>
      <w:r>
        <w:rPr>
          <w:rFonts w:hint="eastAsia"/>
          <w:sz w:val="21"/>
          <w:szCs w:val="21"/>
        </w:rPr>
        <w:t>注：请附上合同或验收报告等同类业绩评价证明资料，评审细则另有要求的，按评审细则提供。</w:t>
      </w:r>
    </w:p>
    <w:p>
      <w:pPr>
        <w:spacing w:after="29" w:line="360" w:lineRule="auto"/>
        <w:ind w:left="6" w:right="112" w:hanging="6"/>
        <w:rPr>
          <w:szCs w:val="24"/>
        </w:rPr>
      </w:pPr>
    </w:p>
    <w:p>
      <w:pPr>
        <w:spacing w:after="29" w:line="360" w:lineRule="auto"/>
        <w:ind w:left="6" w:right="112" w:hanging="6"/>
        <w:rPr>
          <w:szCs w:val="24"/>
        </w:rPr>
      </w:pPr>
    </w:p>
    <w:p>
      <w:pPr>
        <w:spacing w:after="29" w:line="360" w:lineRule="auto"/>
        <w:ind w:left="6" w:right="112" w:hanging="6"/>
        <w:rPr>
          <w:szCs w:val="24"/>
        </w:rPr>
      </w:pPr>
    </w:p>
    <w:p>
      <w:pPr>
        <w:spacing w:line="360" w:lineRule="auto"/>
        <w:ind w:left="0" w:firstLine="0"/>
      </w:pPr>
      <w:r>
        <w:rPr>
          <w:rFonts w:hint="eastAsia"/>
        </w:rPr>
        <w:t xml:space="preserve">响应供应商全称（加盖公章）: </w:t>
      </w:r>
    </w:p>
    <w:p>
      <w:pPr>
        <w:spacing w:line="360" w:lineRule="auto"/>
        <w:ind w:left="0" w:firstLine="0"/>
      </w:pPr>
      <w:r>
        <w:rPr>
          <w:rFonts w:hint="eastAsia"/>
        </w:rPr>
        <w:t xml:space="preserve">法定代表人或其授权代表(签字或盖章)：         </w:t>
      </w:r>
    </w:p>
    <w:p>
      <w:pPr>
        <w:spacing w:line="360" w:lineRule="auto"/>
        <w:ind w:left="0" w:firstLine="0"/>
      </w:pPr>
      <w:r>
        <w:t xml:space="preserve">日    期：     年   月   日 </w:t>
      </w:r>
    </w:p>
    <w:p>
      <w:pPr>
        <w:spacing w:after="564" w:line="360" w:lineRule="auto"/>
        <w:ind w:left="4" w:hanging="4"/>
        <w:rPr>
          <w:szCs w:val="24"/>
        </w:rPr>
      </w:pPr>
    </w:p>
    <w:p>
      <w:pPr>
        <w:pStyle w:val="2"/>
        <w:spacing w:line="360" w:lineRule="auto"/>
        <w:ind w:left="0" w:leftChars="0" w:firstLine="0" w:firstLineChars="0"/>
      </w:pPr>
    </w:p>
    <w:p>
      <w:pPr>
        <w:pStyle w:val="6"/>
        <w:rPr>
          <w:b/>
          <w:bCs/>
          <w:sz w:val="24"/>
          <w:szCs w:val="24"/>
        </w:rPr>
      </w:pPr>
      <w:bookmarkStart w:id="2763" w:name="_Toc79057575"/>
      <w:bookmarkStart w:id="2764" w:name="_Toc77206912"/>
      <w:bookmarkStart w:id="2765" w:name="_Toc14207"/>
      <w:r>
        <w:rPr>
          <w:rFonts w:hint="eastAsia"/>
          <w:b/>
          <w:bCs/>
          <w:sz w:val="24"/>
          <w:szCs w:val="24"/>
        </w:rPr>
        <w:t>（十五）、</w:t>
      </w:r>
      <w:r>
        <w:rPr>
          <w:b/>
          <w:bCs/>
          <w:sz w:val="24"/>
          <w:szCs w:val="24"/>
        </w:rPr>
        <w:t>拟派本项目负责人及主要人员情况表</w:t>
      </w:r>
      <w:bookmarkEnd w:id="2763"/>
      <w:bookmarkEnd w:id="2764"/>
    </w:p>
    <w:p/>
    <w:p>
      <w:pPr>
        <w:jc w:val="center"/>
      </w:pPr>
      <w:r>
        <w:t>拟派本项目负责人及主要人员情况表</w:t>
      </w:r>
      <w:bookmarkEnd w:id="2765"/>
    </w:p>
    <w:p>
      <w:pPr>
        <w:pStyle w:val="2"/>
        <w:ind w:left="480" w:firstLine="480"/>
      </w:pPr>
    </w:p>
    <w:p>
      <w:pPr>
        <w:spacing w:after="3" w:line="360" w:lineRule="auto"/>
        <w:ind w:left="4" w:hanging="4"/>
        <w:rPr>
          <w:szCs w:val="24"/>
        </w:rPr>
      </w:pPr>
      <w:r>
        <w:rPr>
          <w:rFonts w:hint="eastAsia"/>
          <w:szCs w:val="24"/>
        </w:rPr>
        <w:t>项目名称：北京市房山区人民防空办公室加州水郡西区、中冶蓝城地下人防工程维修工程</w:t>
      </w:r>
    </w:p>
    <w:p>
      <w:pPr>
        <w:spacing w:after="3" w:line="360" w:lineRule="auto"/>
        <w:ind w:left="4" w:hanging="4"/>
        <w:rPr>
          <w:szCs w:val="24"/>
        </w:rPr>
      </w:pPr>
      <w:r>
        <w:rPr>
          <w:rFonts w:hint="eastAsia"/>
          <w:szCs w:val="24"/>
        </w:rPr>
        <w:t xml:space="preserve">项目编号： </w:t>
      </w:r>
    </w:p>
    <w:tbl>
      <w:tblPr>
        <w:tblStyle w:val="36"/>
        <w:tblW w:w="8977" w:type="dxa"/>
        <w:tblInd w:w="0" w:type="dxa"/>
        <w:tblLayout w:type="autofit"/>
        <w:tblCellMar>
          <w:top w:w="34" w:type="dxa"/>
          <w:left w:w="118" w:type="dxa"/>
          <w:bottom w:w="0" w:type="dxa"/>
          <w:right w:w="108" w:type="dxa"/>
        </w:tblCellMar>
      </w:tblPr>
      <w:tblGrid>
        <w:gridCol w:w="1053"/>
        <w:gridCol w:w="1106"/>
        <w:gridCol w:w="216"/>
        <w:gridCol w:w="660"/>
        <w:gridCol w:w="204"/>
        <w:gridCol w:w="461"/>
        <w:gridCol w:w="619"/>
        <w:gridCol w:w="894"/>
        <w:gridCol w:w="184"/>
        <w:gridCol w:w="1104"/>
        <w:gridCol w:w="694"/>
        <w:gridCol w:w="494"/>
        <w:gridCol w:w="1288"/>
      </w:tblGrid>
      <w:tr>
        <w:tblPrEx>
          <w:tblCellMar>
            <w:top w:w="34" w:type="dxa"/>
            <w:left w:w="118" w:type="dxa"/>
            <w:bottom w:w="0" w:type="dxa"/>
            <w:right w:w="108" w:type="dxa"/>
          </w:tblCellMar>
        </w:tblPrEx>
        <w:trPr>
          <w:trHeight w:val="350" w:hRule="atLeast"/>
        </w:trPr>
        <w:tc>
          <w:tcPr>
            <w:tcW w:w="8977" w:type="dxa"/>
            <w:gridSpan w:val="13"/>
            <w:tcBorders>
              <w:top w:val="single" w:color="000000" w:sz="4" w:space="0"/>
              <w:left w:val="single" w:color="000000" w:sz="4" w:space="0"/>
              <w:bottom w:val="single" w:color="000000" w:sz="4" w:space="0"/>
              <w:right w:val="single" w:color="000000" w:sz="4" w:space="0"/>
            </w:tcBorders>
          </w:tcPr>
          <w:p>
            <w:pPr>
              <w:spacing w:after="0" w:line="360" w:lineRule="auto"/>
              <w:ind w:left="0" w:right="118" w:firstLine="0"/>
              <w:jc w:val="center"/>
              <w:rPr>
                <w:sz w:val="21"/>
                <w:szCs w:val="21"/>
              </w:rPr>
            </w:pPr>
            <w:r>
              <w:rPr>
                <w:rFonts w:hint="eastAsia"/>
                <w:sz w:val="21"/>
                <w:szCs w:val="21"/>
              </w:rPr>
              <w:t xml:space="preserve">拟派驻场项目负责人资料情况 </w:t>
            </w:r>
          </w:p>
        </w:tc>
      </w:tr>
      <w:tr>
        <w:tblPrEx>
          <w:tblCellMar>
            <w:top w:w="34" w:type="dxa"/>
            <w:left w:w="118" w:type="dxa"/>
            <w:bottom w:w="0" w:type="dxa"/>
            <w:right w:w="108" w:type="dxa"/>
          </w:tblCellMar>
        </w:tblPrEx>
        <w:trPr>
          <w:trHeight w:val="350" w:hRule="atLeast"/>
        </w:trPr>
        <w:tc>
          <w:tcPr>
            <w:tcW w:w="1053" w:type="dxa"/>
            <w:tcBorders>
              <w:top w:val="single" w:color="000000" w:sz="4" w:space="0"/>
              <w:left w:val="single" w:color="000000" w:sz="4" w:space="0"/>
              <w:bottom w:val="single" w:color="000000" w:sz="4" w:space="0"/>
              <w:right w:val="single" w:color="000000" w:sz="4" w:space="0"/>
            </w:tcBorders>
          </w:tcPr>
          <w:p>
            <w:pPr>
              <w:spacing w:after="0" w:line="360" w:lineRule="auto"/>
              <w:ind w:left="216" w:firstLine="0"/>
              <w:rPr>
                <w:sz w:val="21"/>
                <w:szCs w:val="21"/>
              </w:rPr>
            </w:pPr>
            <w:r>
              <w:rPr>
                <w:rFonts w:hint="eastAsia"/>
                <w:sz w:val="21"/>
                <w:szCs w:val="21"/>
              </w:rPr>
              <w:t xml:space="preserve">姓名 </w:t>
            </w:r>
          </w:p>
        </w:tc>
        <w:tc>
          <w:tcPr>
            <w:tcW w:w="1322" w:type="dxa"/>
            <w:gridSpan w:val="2"/>
            <w:tcBorders>
              <w:top w:val="single" w:color="000000" w:sz="4" w:space="0"/>
              <w:left w:val="single" w:color="000000" w:sz="4" w:space="0"/>
              <w:bottom w:val="single" w:color="000000" w:sz="4" w:space="0"/>
              <w:right w:val="single" w:color="000000" w:sz="4" w:space="0"/>
            </w:tcBorders>
          </w:tcPr>
          <w:p>
            <w:pPr>
              <w:spacing w:after="0" w:line="360" w:lineRule="auto"/>
              <w:ind w:left="21" w:firstLine="0"/>
              <w:jc w:val="center"/>
              <w:rPr>
                <w:sz w:val="21"/>
                <w:szCs w:val="21"/>
              </w:rPr>
            </w:pPr>
          </w:p>
        </w:tc>
        <w:tc>
          <w:tcPr>
            <w:tcW w:w="1325" w:type="dxa"/>
            <w:gridSpan w:val="3"/>
            <w:tcBorders>
              <w:top w:val="single" w:color="000000" w:sz="4" w:space="0"/>
              <w:left w:val="single" w:color="000000" w:sz="4" w:space="0"/>
              <w:bottom w:val="single" w:color="000000" w:sz="4" w:space="0"/>
              <w:right w:val="single" w:color="000000" w:sz="4" w:space="0"/>
            </w:tcBorders>
          </w:tcPr>
          <w:p>
            <w:pPr>
              <w:spacing w:after="0" w:line="360" w:lineRule="auto"/>
              <w:ind w:left="0" w:right="118" w:firstLine="0"/>
              <w:jc w:val="center"/>
              <w:rPr>
                <w:sz w:val="21"/>
                <w:szCs w:val="21"/>
              </w:rPr>
            </w:pPr>
            <w:r>
              <w:rPr>
                <w:rFonts w:hint="eastAsia"/>
                <w:sz w:val="21"/>
                <w:szCs w:val="21"/>
              </w:rPr>
              <w:t xml:space="preserve">性别 </w:t>
            </w:r>
          </w:p>
        </w:tc>
        <w:tc>
          <w:tcPr>
            <w:tcW w:w="1697" w:type="dxa"/>
            <w:gridSpan w:val="3"/>
            <w:tcBorders>
              <w:top w:val="single" w:color="000000" w:sz="4" w:space="0"/>
              <w:left w:val="single" w:color="000000" w:sz="4" w:space="0"/>
              <w:bottom w:val="single" w:color="000000" w:sz="4" w:space="0"/>
              <w:right w:val="single" w:color="000000" w:sz="4" w:space="0"/>
            </w:tcBorders>
          </w:tcPr>
          <w:p>
            <w:pPr>
              <w:spacing w:after="0" w:line="360" w:lineRule="auto"/>
              <w:ind w:left="0" w:right="13" w:firstLine="0"/>
              <w:jc w:val="center"/>
              <w:rPr>
                <w:sz w:val="21"/>
                <w:szCs w:val="21"/>
              </w:rPr>
            </w:pPr>
          </w:p>
        </w:tc>
        <w:tc>
          <w:tcPr>
            <w:tcW w:w="1798" w:type="dxa"/>
            <w:gridSpan w:val="2"/>
            <w:tcBorders>
              <w:top w:val="single" w:color="000000" w:sz="4" w:space="0"/>
              <w:left w:val="single" w:color="000000" w:sz="4" w:space="0"/>
              <w:bottom w:val="single" w:color="000000" w:sz="4" w:space="0"/>
              <w:right w:val="single" w:color="000000" w:sz="4" w:space="0"/>
            </w:tcBorders>
          </w:tcPr>
          <w:p>
            <w:pPr>
              <w:spacing w:after="0" w:line="360" w:lineRule="auto"/>
              <w:ind w:left="0" w:right="118" w:firstLine="0"/>
              <w:jc w:val="center"/>
              <w:rPr>
                <w:sz w:val="21"/>
                <w:szCs w:val="21"/>
              </w:rPr>
            </w:pPr>
            <w:r>
              <w:rPr>
                <w:rFonts w:hint="eastAsia"/>
                <w:sz w:val="21"/>
                <w:szCs w:val="21"/>
              </w:rPr>
              <w:t xml:space="preserve">年龄 </w:t>
            </w:r>
          </w:p>
        </w:tc>
        <w:tc>
          <w:tcPr>
            <w:tcW w:w="1782" w:type="dxa"/>
            <w:gridSpan w:val="2"/>
            <w:tcBorders>
              <w:top w:val="single" w:color="000000" w:sz="4" w:space="0"/>
              <w:left w:val="single" w:color="000000" w:sz="4" w:space="0"/>
              <w:bottom w:val="single" w:color="000000" w:sz="4" w:space="0"/>
              <w:right w:val="single" w:color="000000" w:sz="4" w:space="0"/>
            </w:tcBorders>
          </w:tcPr>
          <w:p>
            <w:pPr>
              <w:spacing w:after="0" w:line="360" w:lineRule="auto"/>
              <w:ind w:left="0" w:right="16" w:firstLine="0"/>
              <w:jc w:val="center"/>
              <w:rPr>
                <w:sz w:val="21"/>
                <w:szCs w:val="21"/>
              </w:rPr>
            </w:pPr>
          </w:p>
        </w:tc>
      </w:tr>
      <w:tr>
        <w:tblPrEx>
          <w:tblCellMar>
            <w:top w:w="34" w:type="dxa"/>
            <w:left w:w="118" w:type="dxa"/>
            <w:bottom w:w="0" w:type="dxa"/>
            <w:right w:w="108" w:type="dxa"/>
          </w:tblCellMar>
        </w:tblPrEx>
        <w:trPr>
          <w:trHeight w:val="350" w:hRule="atLeast"/>
        </w:trPr>
        <w:tc>
          <w:tcPr>
            <w:tcW w:w="1053" w:type="dxa"/>
            <w:tcBorders>
              <w:top w:val="single" w:color="000000" w:sz="4" w:space="0"/>
              <w:left w:val="single" w:color="000000" w:sz="4" w:space="0"/>
              <w:bottom w:val="single" w:color="000000" w:sz="4" w:space="0"/>
              <w:right w:val="single" w:color="000000" w:sz="4" w:space="0"/>
            </w:tcBorders>
          </w:tcPr>
          <w:p>
            <w:pPr>
              <w:spacing w:after="0" w:line="360" w:lineRule="auto"/>
              <w:ind w:left="216" w:firstLine="0"/>
              <w:rPr>
                <w:sz w:val="21"/>
                <w:szCs w:val="21"/>
              </w:rPr>
            </w:pPr>
            <w:r>
              <w:rPr>
                <w:rFonts w:hint="eastAsia"/>
                <w:sz w:val="21"/>
                <w:szCs w:val="21"/>
              </w:rPr>
              <w:t xml:space="preserve">职务 </w:t>
            </w:r>
          </w:p>
        </w:tc>
        <w:tc>
          <w:tcPr>
            <w:tcW w:w="1322" w:type="dxa"/>
            <w:gridSpan w:val="2"/>
            <w:tcBorders>
              <w:top w:val="single" w:color="000000" w:sz="4" w:space="0"/>
              <w:left w:val="single" w:color="000000" w:sz="4" w:space="0"/>
              <w:bottom w:val="single" w:color="000000" w:sz="4" w:space="0"/>
              <w:right w:val="single" w:color="000000" w:sz="4" w:space="0"/>
            </w:tcBorders>
          </w:tcPr>
          <w:p>
            <w:pPr>
              <w:spacing w:after="0" w:line="360" w:lineRule="auto"/>
              <w:ind w:left="21" w:firstLine="0"/>
              <w:jc w:val="center"/>
              <w:rPr>
                <w:sz w:val="21"/>
                <w:szCs w:val="21"/>
              </w:rPr>
            </w:pPr>
          </w:p>
        </w:tc>
        <w:tc>
          <w:tcPr>
            <w:tcW w:w="1325" w:type="dxa"/>
            <w:gridSpan w:val="3"/>
            <w:tcBorders>
              <w:top w:val="single" w:color="000000" w:sz="4" w:space="0"/>
              <w:left w:val="single" w:color="000000" w:sz="4" w:space="0"/>
              <w:bottom w:val="single" w:color="000000" w:sz="4" w:space="0"/>
              <w:right w:val="single" w:color="000000" w:sz="4" w:space="0"/>
            </w:tcBorders>
          </w:tcPr>
          <w:p>
            <w:pPr>
              <w:spacing w:after="0" w:line="360" w:lineRule="auto"/>
              <w:ind w:left="0" w:right="118" w:firstLine="0"/>
              <w:jc w:val="center"/>
              <w:rPr>
                <w:sz w:val="21"/>
                <w:szCs w:val="21"/>
              </w:rPr>
            </w:pPr>
            <w:r>
              <w:rPr>
                <w:rFonts w:hint="eastAsia"/>
                <w:sz w:val="21"/>
                <w:szCs w:val="21"/>
              </w:rPr>
              <w:t xml:space="preserve">职称 </w:t>
            </w:r>
          </w:p>
        </w:tc>
        <w:tc>
          <w:tcPr>
            <w:tcW w:w="1697" w:type="dxa"/>
            <w:gridSpan w:val="3"/>
            <w:tcBorders>
              <w:top w:val="single" w:color="000000" w:sz="4" w:space="0"/>
              <w:left w:val="single" w:color="000000" w:sz="4" w:space="0"/>
              <w:bottom w:val="single" w:color="000000" w:sz="4" w:space="0"/>
              <w:right w:val="single" w:color="000000" w:sz="4" w:space="0"/>
            </w:tcBorders>
          </w:tcPr>
          <w:p>
            <w:pPr>
              <w:spacing w:after="0" w:line="360" w:lineRule="auto"/>
              <w:ind w:left="0" w:right="13" w:firstLine="0"/>
              <w:jc w:val="center"/>
              <w:rPr>
                <w:sz w:val="21"/>
                <w:szCs w:val="21"/>
              </w:rPr>
            </w:pPr>
          </w:p>
        </w:tc>
        <w:tc>
          <w:tcPr>
            <w:tcW w:w="1798" w:type="dxa"/>
            <w:gridSpan w:val="2"/>
            <w:tcBorders>
              <w:top w:val="single" w:color="000000" w:sz="4" w:space="0"/>
              <w:left w:val="single" w:color="000000" w:sz="4" w:space="0"/>
              <w:bottom w:val="single" w:color="000000" w:sz="4" w:space="0"/>
              <w:right w:val="single" w:color="000000" w:sz="4" w:space="0"/>
            </w:tcBorders>
          </w:tcPr>
          <w:p>
            <w:pPr>
              <w:spacing w:after="0" w:line="360" w:lineRule="auto"/>
              <w:ind w:left="0" w:right="118" w:firstLine="0"/>
              <w:jc w:val="center"/>
              <w:rPr>
                <w:sz w:val="21"/>
                <w:szCs w:val="21"/>
              </w:rPr>
            </w:pPr>
            <w:r>
              <w:rPr>
                <w:rFonts w:hint="eastAsia"/>
                <w:sz w:val="21"/>
                <w:szCs w:val="21"/>
              </w:rPr>
              <w:t xml:space="preserve">学历 </w:t>
            </w:r>
          </w:p>
        </w:tc>
        <w:tc>
          <w:tcPr>
            <w:tcW w:w="1782" w:type="dxa"/>
            <w:gridSpan w:val="2"/>
            <w:tcBorders>
              <w:top w:val="single" w:color="000000" w:sz="4" w:space="0"/>
              <w:left w:val="single" w:color="000000" w:sz="4" w:space="0"/>
              <w:bottom w:val="single" w:color="000000" w:sz="4" w:space="0"/>
              <w:right w:val="single" w:color="000000" w:sz="4" w:space="0"/>
            </w:tcBorders>
          </w:tcPr>
          <w:p>
            <w:pPr>
              <w:spacing w:after="0" w:line="360" w:lineRule="auto"/>
              <w:ind w:left="0" w:right="16" w:firstLine="0"/>
              <w:jc w:val="center"/>
              <w:rPr>
                <w:sz w:val="21"/>
                <w:szCs w:val="21"/>
              </w:rPr>
            </w:pPr>
          </w:p>
        </w:tc>
      </w:tr>
      <w:tr>
        <w:tblPrEx>
          <w:tblCellMar>
            <w:top w:w="34" w:type="dxa"/>
            <w:left w:w="118" w:type="dxa"/>
            <w:bottom w:w="0" w:type="dxa"/>
            <w:right w:w="108" w:type="dxa"/>
          </w:tblCellMar>
        </w:tblPrEx>
        <w:trPr>
          <w:trHeight w:val="350" w:hRule="atLeast"/>
        </w:trPr>
        <w:tc>
          <w:tcPr>
            <w:tcW w:w="2375" w:type="dxa"/>
            <w:gridSpan w:val="3"/>
            <w:tcBorders>
              <w:top w:val="single" w:color="000000" w:sz="4" w:space="0"/>
              <w:left w:val="single" w:color="000000" w:sz="4" w:space="0"/>
              <w:bottom w:val="single" w:color="000000" w:sz="4" w:space="0"/>
              <w:right w:val="single" w:color="000000" w:sz="4" w:space="0"/>
            </w:tcBorders>
          </w:tcPr>
          <w:p>
            <w:pPr>
              <w:spacing w:after="0" w:line="360" w:lineRule="auto"/>
              <w:ind w:left="230" w:firstLine="0"/>
              <w:rPr>
                <w:sz w:val="21"/>
                <w:szCs w:val="21"/>
              </w:rPr>
            </w:pPr>
            <w:r>
              <w:rPr>
                <w:rFonts w:hint="eastAsia"/>
                <w:sz w:val="21"/>
                <w:szCs w:val="21"/>
              </w:rPr>
              <w:t xml:space="preserve">从事同类项目年限 </w:t>
            </w:r>
          </w:p>
        </w:tc>
        <w:tc>
          <w:tcPr>
            <w:tcW w:w="1325" w:type="dxa"/>
            <w:gridSpan w:val="3"/>
            <w:tcBorders>
              <w:top w:val="single" w:color="000000" w:sz="4" w:space="0"/>
              <w:left w:val="single" w:color="000000" w:sz="4" w:space="0"/>
              <w:bottom w:val="single" w:color="000000" w:sz="4" w:space="0"/>
              <w:right w:val="single" w:color="000000" w:sz="4" w:space="0"/>
            </w:tcBorders>
          </w:tcPr>
          <w:p>
            <w:pPr>
              <w:spacing w:after="0" w:line="360" w:lineRule="auto"/>
              <w:ind w:left="0" w:right="13" w:firstLine="0"/>
              <w:jc w:val="center"/>
              <w:rPr>
                <w:sz w:val="21"/>
                <w:szCs w:val="21"/>
              </w:rPr>
            </w:pPr>
          </w:p>
        </w:tc>
        <w:tc>
          <w:tcPr>
            <w:tcW w:w="1697" w:type="dxa"/>
            <w:gridSpan w:val="3"/>
            <w:tcBorders>
              <w:top w:val="single" w:color="000000" w:sz="4" w:space="0"/>
              <w:left w:val="single" w:color="000000" w:sz="4" w:space="0"/>
              <w:bottom w:val="single" w:color="000000" w:sz="4" w:space="0"/>
              <w:right w:val="single" w:color="000000" w:sz="4" w:space="0"/>
            </w:tcBorders>
          </w:tcPr>
          <w:p>
            <w:pPr>
              <w:spacing w:after="0" w:line="360" w:lineRule="auto"/>
              <w:ind w:left="101" w:firstLine="0"/>
              <w:rPr>
                <w:sz w:val="21"/>
                <w:szCs w:val="21"/>
              </w:rPr>
            </w:pPr>
            <w:r>
              <w:rPr>
                <w:rFonts w:hint="eastAsia"/>
                <w:sz w:val="21"/>
                <w:szCs w:val="21"/>
              </w:rPr>
              <w:t xml:space="preserve">具有认证资质 </w:t>
            </w:r>
          </w:p>
        </w:tc>
        <w:tc>
          <w:tcPr>
            <w:tcW w:w="3580" w:type="dxa"/>
            <w:gridSpan w:val="4"/>
            <w:tcBorders>
              <w:top w:val="single" w:color="000000" w:sz="4" w:space="0"/>
              <w:left w:val="single" w:color="000000" w:sz="4" w:space="0"/>
              <w:bottom w:val="single" w:color="000000" w:sz="4" w:space="0"/>
              <w:right w:val="single" w:color="000000" w:sz="4" w:space="0"/>
            </w:tcBorders>
          </w:tcPr>
          <w:p>
            <w:pPr>
              <w:spacing w:after="0" w:line="360" w:lineRule="auto"/>
              <w:ind w:left="0" w:right="14" w:firstLine="0"/>
              <w:jc w:val="center"/>
              <w:rPr>
                <w:sz w:val="21"/>
                <w:szCs w:val="21"/>
              </w:rPr>
            </w:pPr>
          </w:p>
        </w:tc>
      </w:tr>
      <w:tr>
        <w:tblPrEx>
          <w:tblCellMar>
            <w:top w:w="34" w:type="dxa"/>
            <w:left w:w="118" w:type="dxa"/>
            <w:bottom w:w="0" w:type="dxa"/>
            <w:right w:w="108" w:type="dxa"/>
          </w:tblCellMar>
        </w:tblPrEx>
        <w:trPr>
          <w:trHeight w:val="350" w:hRule="atLeast"/>
        </w:trPr>
        <w:tc>
          <w:tcPr>
            <w:tcW w:w="8977" w:type="dxa"/>
            <w:gridSpan w:val="13"/>
            <w:tcBorders>
              <w:top w:val="single" w:color="000000" w:sz="4" w:space="0"/>
              <w:left w:val="single" w:color="000000" w:sz="4" w:space="0"/>
              <w:bottom w:val="single" w:color="000000" w:sz="4" w:space="0"/>
              <w:right w:val="single" w:color="000000" w:sz="4" w:space="0"/>
            </w:tcBorders>
          </w:tcPr>
          <w:p>
            <w:pPr>
              <w:spacing w:after="0" w:line="360" w:lineRule="auto"/>
              <w:ind w:left="0" w:right="119" w:firstLine="0"/>
              <w:jc w:val="center"/>
              <w:rPr>
                <w:sz w:val="21"/>
                <w:szCs w:val="21"/>
              </w:rPr>
            </w:pPr>
            <w:r>
              <w:rPr>
                <w:rFonts w:hint="eastAsia"/>
                <w:sz w:val="21"/>
                <w:szCs w:val="21"/>
              </w:rPr>
              <w:t xml:space="preserve">已完成的部分同类项目情况 </w:t>
            </w:r>
          </w:p>
        </w:tc>
      </w:tr>
      <w:tr>
        <w:tblPrEx>
          <w:tblCellMar>
            <w:top w:w="34" w:type="dxa"/>
            <w:left w:w="118" w:type="dxa"/>
            <w:bottom w:w="0" w:type="dxa"/>
            <w:right w:w="108" w:type="dxa"/>
          </w:tblCellMar>
        </w:tblPrEx>
        <w:trPr>
          <w:trHeight w:val="691"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2" w:firstLine="0"/>
              <w:jc w:val="both"/>
              <w:rPr>
                <w:sz w:val="21"/>
                <w:szCs w:val="21"/>
              </w:rPr>
            </w:pPr>
            <w:r>
              <w:rPr>
                <w:rFonts w:hint="eastAsia"/>
                <w:sz w:val="21"/>
                <w:szCs w:val="21"/>
              </w:rPr>
              <w:t xml:space="preserve">用户单位 </w:t>
            </w:r>
          </w:p>
        </w:tc>
        <w:tc>
          <w:tcPr>
            <w:tcW w:w="1982" w:type="dxa"/>
            <w:gridSpan w:val="3"/>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91" w:firstLine="0"/>
              <w:jc w:val="center"/>
              <w:rPr>
                <w:sz w:val="21"/>
                <w:szCs w:val="21"/>
              </w:rPr>
            </w:pPr>
            <w:r>
              <w:rPr>
                <w:rFonts w:hint="eastAsia"/>
                <w:sz w:val="21"/>
                <w:szCs w:val="21"/>
              </w:rPr>
              <w:t xml:space="preserve">项目名称 </w:t>
            </w:r>
          </w:p>
        </w:tc>
        <w:tc>
          <w:tcPr>
            <w:tcW w:w="2178" w:type="dxa"/>
            <w:gridSpan w:val="4"/>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119" w:firstLine="0"/>
              <w:jc w:val="center"/>
              <w:rPr>
                <w:sz w:val="21"/>
                <w:szCs w:val="21"/>
              </w:rPr>
            </w:pPr>
            <w:r>
              <w:rPr>
                <w:rFonts w:hint="eastAsia"/>
                <w:sz w:val="21"/>
                <w:szCs w:val="21"/>
              </w:rPr>
              <w:t xml:space="preserve">项目时间 </w:t>
            </w:r>
          </w:p>
        </w:tc>
        <w:tc>
          <w:tcPr>
            <w:tcW w:w="2476" w:type="dxa"/>
            <w:gridSpan w:val="4"/>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0" w:right="119" w:firstLine="0"/>
              <w:jc w:val="center"/>
              <w:rPr>
                <w:sz w:val="21"/>
                <w:szCs w:val="21"/>
              </w:rPr>
            </w:pPr>
            <w:r>
              <w:rPr>
                <w:rFonts w:hint="eastAsia"/>
                <w:sz w:val="21"/>
                <w:szCs w:val="21"/>
              </w:rPr>
              <w:t xml:space="preserve">项目区域 </w:t>
            </w:r>
          </w:p>
        </w:tc>
        <w:tc>
          <w:tcPr>
            <w:tcW w:w="1288" w:type="dxa"/>
            <w:tcBorders>
              <w:top w:val="single" w:color="000000" w:sz="4" w:space="0"/>
              <w:left w:val="single" w:color="000000" w:sz="4" w:space="0"/>
              <w:bottom w:val="single" w:color="000000" w:sz="4" w:space="0"/>
              <w:right w:val="single" w:color="000000" w:sz="4" w:space="0"/>
            </w:tcBorders>
          </w:tcPr>
          <w:p>
            <w:pPr>
              <w:spacing w:after="0" w:line="360" w:lineRule="auto"/>
              <w:ind w:left="0" w:right="15" w:firstLine="0"/>
              <w:jc w:val="center"/>
              <w:rPr>
                <w:sz w:val="21"/>
                <w:szCs w:val="21"/>
              </w:rPr>
            </w:pPr>
            <w:r>
              <w:rPr>
                <w:rFonts w:hint="eastAsia"/>
                <w:sz w:val="21"/>
                <w:szCs w:val="21"/>
              </w:rPr>
              <w:t xml:space="preserve">项目效果简述 </w:t>
            </w:r>
          </w:p>
        </w:tc>
      </w:tr>
      <w:tr>
        <w:tblPrEx>
          <w:tblCellMar>
            <w:top w:w="34" w:type="dxa"/>
            <w:left w:w="118" w:type="dxa"/>
            <w:bottom w:w="0" w:type="dxa"/>
            <w:right w:w="108" w:type="dxa"/>
          </w:tblCellMar>
        </w:tblPrEx>
        <w:trPr>
          <w:trHeight w:val="350" w:hRule="atLeast"/>
        </w:trPr>
        <w:tc>
          <w:tcPr>
            <w:tcW w:w="1053" w:type="dxa"/>
            <w:tcBorders>
              <w:top w:val="single" w:color="000000" w:sz="4" w:space="0"/>
              <w:left w:val="single" w:color="000000" w:sz="4" w:space="0"/>
              <w:bottom w:val="single" w:color="000000" w:sz="4" w:space="0"/>
              <w:right w:val="single" w:color="000000" w:sz="4" w:space="0"/>
            </w:tcBorders>
          </w:tcPr>
          <w:p>
            <w:pPr>
              <w:spacing w:after="0" w:line="360" w:lineRule="auto"/>
              <w:ind w:left="0" w:right="92" w:firstLine="0"/>
              <w:jc w:val="center"/>
              <w:rPr>
                <w:sz w:val="21"/>
                <w:szCs w:val="21"/>
              </w:rPr>
            </w:pPr>
            <w:r>
              <w:rPr>
                <w:rFonts w:hint="eastAsia"/>
                <w:sz w:val="21"/>
                <w:szCs w:val="21"/>
              </w:rPr>
              <w:t xml:space="preserve">… </w:t>
            </w:r>
          </w:p>
        </w:tc>
        <w:tc>
          <w:tcPr>
            <w:tcW w:w="1982" w:type="dxa"/>
            <w:gridSpan w:val="3"/>
            <w:tcBorders>
              <w:top w:val="single" w:color="000000" w:sz="4" w:space="0"/>
              <w:left w:val="single" w:color="000000" w:sz="4" w:space="0"/>
              <w:bottom w:val="single" w:color="000000" w:sz="4" w:space="0"/>
              <w:right w:val="single" w:color="000000" w:sz="4" w:space="0"/>
            </w:tcBorders>
          </w:tcPr>
          <w:p>
            <w:pPr>
              <w:spacing w:after="0" w:line="360" w:lineRule="auto"/>
              <w:ind w:left="0" w:right="92" w:firstLine="0"/>
              <w:jc w:val="center"/>
              <w:rPr>
                <w:sz w:val="21"/>
                <w:szCs w:val="21"/>
              </w:rPr>
            </w:pPr>
            <w:r>
              <w:rPr>
                <w:rFonts w:hint="eastAsia"/>
                <w:sz w:val="21"/>
                <w:szCs w:val="21"/>
              </w:rPr>
              <w:t xml:space="preserve">… </w:t>
            </w:r>
          </w:p>
        </w:tc>
        <w:tc>
          <w:tcPr>
            <w:tcW w:w="2178" w:type="dxa"/>
            <w:gridSpan w:val="4"/>
            <w:tcBorders>
              <w:top w:val="single" w:color="000000" w:sz="4" w:space="0"/>
              <w:left w:val="single" w:color="000000" w:sz="4" w:space="0"/>
              <w:bottom w:val="single" w:color="000000" w:sz="4" w:space="0"/>
              <w:right w:val="single" w:color="000000" w:sz="4" w:space="0"/>
            </w:tcBorders>
          </w:tcPr>
          <w:p>
            <w:pPr>
              <w:spacing w:after="0" w:line="360" w:lineRule="auto"/>
              <w:ind w:left="0" w:right="118" w:firstLine="0"/>
              <w:jc w:val="center"/>
              <w:rPr>
                <w:sz w:val="21"/>
                <w:szCs w:val="21"/>
              </w:rPr>
            </w:pPr>
            <w:r>
              <w:rPr>
                <w:rFonts w:hint="eastAsia"/>
                <w:sz w:val="21"/>
                <w:szCs w:val="21"/>
              </w:rPr>
              <w:t xml:space="preserve">… </w:t>
            </w:r>
          </w:p>
        </w:tc>
        <w:tc>
          <w:tcPr>
            <w:tcW w:w="2476" w:type="dxa"/>
            <w:gridSpan w:val="4"/>
            <w:tcBorders>
              <w:top w:val="single" w:color="000000" w:sz="4" w:space="0"/>
              <w:left w:val="single" w:color="000000" w:sz="4" w:space="0"/>
              <w:bottom w:val="single" w:color="000000" w:sz="4" w:space="0"/>
              <w:right w:val="single" w:color="000000" w:sz="4" w:space="0"/>
            </w:tcBorders>
          </w:tcPr>
          <w:p>
            <w:pPr>
              <w:spacing w:after="0" w:line="360" w:lineRule="auto"/>
              <w:ind w:left="0" w:right="120" w:firstLine="0"/>
              <w:jc w:val="center"/>
              <w:rPr>
                <w:sz w:val="21"/>
                <w:szCs w:val="21"/>
              </w:rPr>
            </w:pPr>
            <w:r>
              <w:rPr>
                <w:rFonts w:hint="eastAsia"/>
                <w:sz w:val="21"/>
                <w:szCs w:val="21"/>
              </w:rPr>
              <w:t xml:space="preserve">… </w:t>
            </w:r>
          </w:p>
        </w:tc>
        <w:tc>
          <w:tcPr>
            <w:tcW w:w="1288" w:type="dxa"/>
            <w:tcBorders>
              <w:top w:val="single" w:color="000000" w:sz="4" w:space="0"/>
              <w:left w:val="single" w:color="000000" w:sz="4" w:space="0"/>
              <w:bottom w:val="single" w:color="000000" w:sz="4" w:space="0"/>
              <w:right w:val="single" w:color="000000" w:sz="4" w:space="0"/>
            </w:tcBorders>
          </w:tcPr>
          <w:p>
            <w:pPr>
              <w:spacing w:after="0" w:line="360" w:lineRule="auto"/>
              <w:ind w:left="0" w:right="120" w:firstLine="0"/>
              <w:jc w:val="center"/>
              <w:rPr>
                <w:sz w:val="21"/>
                <w:szCs w:val="21"/>
              </w:rPr>
            </w:pPr>
            <w:r>
              <w:rPr>
                <w:rFonts w:hint="eastAsia"/>
                <w:sz w:val="21"/>
                <w:szCs w:val="21"/>
              </w:rPr>
              <w:t xml:space="preserve">… </w:t>
            </w:r>
          </w:p>
        </w:tc>
      </w:tr>
      <w:tr>
        <w:tblPrEx>
          <w:tblCellMar>
            <w:top w:w="34" w:type="dxa"/>
            <w:left w:w="118" w:type="dxa"/>
            <w:bottom w:w="0" w:type="dxa"/>
            <w:right w:w="108" w:type="dxa"/>
          </w:tblCellMar>
        </w:tblPrEx>
        <w:trPr>
          <w:trHeight w:val="350" w:hRule="atLeast"/>
        </w:trPr>
        <w:tc>
          <w:tcPr>
            <w:tcW w:w="1053" w:type="dxa"/>
            <w:tcBorders>
              <w:top w:val="single" w:color="000000" w:sz="4" w:space="0"/>
              <w:left w:val="single" w:color="000000" w:sz="4" w:space="0"/>
              <w:bottom w:val="single" w:color="000000" w:sz="4" w:space="0"/>
              <w:right w:val="single" w:color="000000" w:sz="4" w:space="0"/>
            </w:tcBorders>
          </w:tcPr>
          <w:p>
            <w:pPr>
              <w:spacing w:after="0" w:line="360" w:lineRule="auto"/>
              <w:ind w:left="0" w:right="92" w:firstLine="0"/>
              <w:jc w:val="center"/>
              <w:rPr>
                <w:sz w:val="21"/>
                <w:szCs w:val="21"/>
              </w:rPr>
            </w:pPr>
          </w:p>
        </w:tc>
        <w:tc>
          <w:tcPr>
            <w:tcW w:w="1982" w:type="dxa"/>
            <w:gridSpan w:val="3"/>
            <w:tcBorders>
              <w:top w:val="single" w:color="000000" w:sz="4" w:space="0"/>
              <w:left w:val="single" w:color="000000" w:sz="4" w:space="0"/>
              <w:bottom w:val="single" w:color="000000" w:sz="4" w:space="0"/>
              <w:right w:val="single" w:color="000000" w:sz="4" w:space="0"/>
            </w:tcBorders>
          </w:tcPr>
          <w:p>
            <w:pPr>
              <w:spacing w:after="0" w:line="360" w:lineRule="auto"/>
              <w:ind w:left="0" w:right="92" w:firstLine="0"/>
              <w:jc w:val="center"/>
              <w:rPr>
                <w:sz w:val="21"/>
                <w:szCs w:val="21"/>
              </w:rPr>
            </w:pPr>
          </w:p>
        </w:tc>
        <w:tc>
          <w:tcPr>
            <w:tcW w:w="2178" w:type="dxa"/>
            <w:gridSpan w:val="4"/>
            <w:tcBorders>
              <w:top w:val="single" w:color="000000" w:sz="4" w:space="0"/>
              <w:left w:val="single" w:color="000000" w:sz="4" w:space="0"/>
              <w:bottom w:val="single" w:color="000000" w:sz="4" w:space="0"/>
              <w:right w:val="single" w:color="000000" w:sz="4" w:space="0"/>
            </w:tcBorders>
          </w:tcPr>
          <w:p>
            <w:pPr>
              <w:spacing w:after="0" w:line="360" w:lineRule="auto"/>
              <w:ind w:left="0" w:right="118" w:firstLine="0"/>
              <w:jc w:val="center"/>
              <w:rPr>
                <w:sz w:val="21"/>
                <w:szCs w:val="21"/>
              </w:rPr>
            </w:pPr>
          </w:p>
        </w:tc>
        <w:tc>
          <w:tcPr>
            <w:tcW w:w="2476" w:type="dxa"/>
            <w:gridSpan w:val="4"/>
            <w:tcBorders>
              <w:top w:val="single" w:color="000000" w:sz="4" w:space="0"/>
              <w:left w:val="single" w:color="000000" w:sz="4" w:space="0"/>
              <w:bottom w:val="single" w:color="000000" w:sz="4" w:space="0"/>
              <w:right w:val="single" w:color="000000" w:sz="4" w:space="0"/>
            </w:tcBorders>
          </w:tcPr>
          <w:p>
            <w:pPr>
              <w:spacing w:after="0" w:line="360" w:lineRule="auto"/>
              <w:ind w:left="0" w:right="120" w:firstLine="0"/>
              <w:jc w:val="center"/>
              <w:rPr>
                <w:sz w:val="21"/>
                <w:szCs w:val="21"/>
              </w:rPr>
            </w:pPr>
          </w:p>
        </w:tc>
        <w:tc>
          <w:tcPr>
            <w:tcW w:w="1288" w:type="dxa"/>
            <w:tcBorders>
              <w:top w:val="single" w:color="000000" w:sz="4" w:space="0"/>
              <w:left w:val="single" w:color="000000" w:sz="4" w:space="0"/>
              <w:bottom w:val="single" w:color="000000" w:sz="4" w:space="0"/>
              <w:right w:val="single" w:color="000000" w:sz="4" w:space="0"/>
            </w:tcBorders>
          </w:tcPr>
          <w:p>
            <w:pPr>
              <w:spacing w:after="0" w:line="360" w:lineRule="auto"/>
              <w:ind w:left="0" w:right="120" w:firstLine="0"/>
              <w:jc w:val="center"/>
              <w:rPr>
                <w:sz w:val="21"/>
                <w:szCs w:val="21"/>
              </w:rPr>
            </w:pPr>
          </w:p>
        </w:tc>
      </w:tr>
      <w:tr>
        <w:tblPrEx>
          <w:tblCellMar>
            <w:top w:w="34" w:type="dxa"/>
            <w:left w:w="118" w:type="dxa"/>
            <w:bottom w:w="0" w:type="dxa"/>
            <w:right w:w="108" w:type="dxa"/>
          </w:tblCellMar>
        </w:tblPrEx>
        <w:trPr>
          <w:trHeight w:val="350" w:hRule="atLeast"/>
        </w:trPr>
        <w:tc>
          <w:tcPr>
            <w:tcW w:w="1053" w:type="dxa"/>
            <w:tcBorders>
              <w:top w:val="single" w:color="000000" w:sz="4" w:space="0"/>
              <w:left w:val="single" w:color="000000" w:sz="4" w:space="0"/>
              <w:bottom w:val="single" w:color="000000" w:sz="4" w:space="0"/>
              <w:right w:val="single" w:color="000000" w:sz="4" w:space="0"/>
            </w:tcBorders>
          </w:tcPr>
          <w:p>
            <w:pPr>
              <w:spacing w:after="0" w:line="360" w:lineRule="auto"/>
              <w:ind w:left="0" w:right="92" w:firstLine="0"/>
              <w:jc w:val="center"/>
              <w:rPr>
                <w:sz w:val="21"/>
                <w:szCs w:val="21"/>
              </w:rPr>
            </w:pPr>
          </w:p>
        </w:tc>
        <w:tc>
          <w:tcPr>
            <w:tcW w:w="1982" w:type="dxa"/>
            <w:gridSpan w:val="3"/>
            <w:tcBorders>
              <w:top w:val="single" w:color="000000" w:sz="4" w:space="0"/>
              <w:left w:val="single" w:color="000000" w:sz="4" w:space="0"/>
              <w:bottom w:val="single" w:color="000000" w:sz="4" w:space="0"/>
              <w:right w:val="single" w:color="000000" w:sz="4" w:space="0"/>
            </w:tcBorders>
          </w:tcPr>
          <w:p>
            <w:pPr>
              <w:spacing w:after="0" w:line="360" w:lineRule="auto"/>
              <w:ind w:left="0" w:right="92" w:firstLine="0"/>
              <w:jc w:val="center"/>
              <w:rPr>
                <w:sz w:val="21"/>
                <w:szCs w:val="21"/>
              </w:rPr>
            </w:pPr>
          </w:p>
        </w:tc>
        <w:tc>
          <w:tcPr>
            <w:tcW w:w="2178" w:type="dxa"/>
            <w:gridSpan w:val="4"/>
            <w:tcBorders>
              <w:top w:val="single" w:color="000000" w:sz="4" w:space="0"/>
              <w:left w:val="single" w:color="000000" w:sz="4" w:space="0"/>
              <w:bottom w:val="single" w:color="000000" w:sz="4" w:space="0"/>
              <w:right w:val="single" w:color="000000" w:sz="4" w:space="0"/>
            </w:tcBorders>
          </w:tcPr>
          <w:p>
            <w:pPr>
              <w:spacing w:after="0" w:line="360" w:lineRule="auto"/>
              <w:ind w:left="0" w:right="118" w:firstLine="0"/>
              <w:jc w:val="center"/>
              <w:rPr>
                <w:sz w:val="21"/>
                <w:szCs w:val="21"/>
              </w:rPr>
            </w:pPr>
          </w:p>
        </w:tc>
        <w:tc>
          <w:tcPr>
            <w:tcW w:w="2476" w:type="dxa"/>
            <w:gridSpan w:val="4"/>
            <w:tcBorders>
              <w:top w:val="single" w:color="000000" w:sz="4" w:space="0"/>
              <w:left w:val="single" w:color="000000" w:sz="4" w:space="0"/>
              <w:bottom w:val="single" w:color="000000" w:sz="4" w:space="0"/>
              <w:right w:val="single" w:color="000000" w:sz="4" w:space="0"/>
            </w:tcBorders>
          </w:tcPr>
          <w:p>
            <w:pPr>
              <w:spacing w:after="0" w:line="360" w:lineRule="auto"/>
              <w:ind w:left="0" w:right="120" w:firstLine="0"/>
              <w:jc w:val="center"/>
              <w:rPr>
                <w:sz w:val="21"/>
                <w:szCs w:val="21"/>
              </w:rPr>
            </w:pPr>
          </w:p>
        </w:tc>
        <w:tc>
          <w:tcPr>
            <w:tcW w:w="1288" w:type="dxa"/>
            <w:tcBorders>
              <w:top w:val="single" w:color="000000" w:sz="4" w:space="0"/>
              <w:left w:val="single" w:color="000000" w:sz="4" w:space="0"/>
              <w:bottom w:val="single" w:color="000000" w:sz="4" w:space="0"/>
              <w:right w:val="single" w:color="000000" w:sz="4" w:space="0"/>
            </w:tcBorders>
          </w:tcPr>
          <w:p>
            <w:pPr>
              <w:spacing w:after="0" w:line="360" w:lineRule="auto"/>
              <w:ind w:left="0" w:right="120" w:firstLine="0"/>
              <w:jc w:val="center"/>
              <w:rPr>
                <w:sz w:val="21"/>
                <w:szCs w:val="21"/>
              </w:rPr>
            </w:pPr>
          </w:p>
        </w:tc>
      </w:tr>
      <w:tr>
        <w:tblPrEx>
          <w:tblCellMar>
            <w:top w:w="34" w:type="dxa"/>
            <w:left w:w="118" w:type="dxa"/>
            <w:bottom w:w="0" w:type="dxa"/>
            <w:right w:w="108" w:type="dxa"/>
          </w:tblCellMar>
        </w:tblPrEx>
        <w:trPr>
          <w:trHeight w:val="350" w:hRule="atLeast"/>
        </w:trPr>
        <w:tc>
          <w:tcPr>
            <w:tcW w:w="1053" w:type="dxa"/>
            <w:tcBorders>
              <w:top w:val="single" w:color="000000" w:sz="4" w:space="0"/>
              <w:left w:val="single" w:color="000000" w:sz="4" w:space="0"/>
              <w:bottom w:val="single" w:color="000000" w:sz="4" w:space="0"/>
              <w:right w:val="single" w:color="000000" w:sz="4" w:space="0"/>
            </w:tcBorders>
          </w:tcPr>
          <w:p>
            <w:pPr>
              <w:spacing w:after="0" w:line="360" w:lineRule="auto"/>
              <w:ind w:left="0" w:right="92" w:firstLine="0"/>
              <w:jc w:val="center"/>
              <w:rPr>
                <w:sz w:val="21"/>
                <w:szCs w:val="21"/>
              </w:rPr>
            </w:pPr>
          </w:p>
        </w:tc>
        <w:tc>
          <w:tcPr>
            <w:tcW w:w="1982" w:type="dxa"/>
            <w:gridSpan w:val="3"/>
            <w:tcBorders>
              <w:top w:val="single" w:color="000000" w:sz="4" w:space="0"/>
              <w:left w:val="single" w:color="000000" w:sz="4" w:space="0"/>
              <w:bottom w:val="single" w:color="000000" w:sz="4" w:space="0"/>
              <w:right w:val="single" w:color="000000" w:sz="4" w:space="0"/>
            </w:tcBorders>
          </w:tcPr>
          <w:p>
            <w:pPr>
              <w:spacing w:after="0" w:line="360" w:lineRule="auto"/>
              <w:ind w:left="0" w:right="92" w:firstLine="0"/>
              <w:jc w:val="center"/>
              <w:rPr>
                <w:sz w:val="21"/>
                <w:szCs w:val="21"/>
              </w:rPr>
            </w:pPr>
          </w:p>
        </w:tc>
        <w:tc>
          <w:tcPr>
            <w:tcW w:w="2178" w:type="dxa"/>
            <w:gridSpan w:val="4"/>
            <w:tcBorders>
              <w:top w:val="single" w:color="000000" w:sz="4" w:space="0"/>
              <w:left w:val="single" w:color="000000" w:sz="4" w:space="0"/>
              <w:bottom w:val="single" w:color="000000" w:sz="4" w:space="0"/>
              <w:right w:val="single" w:color="000000" w:sz="4" w:space="0"/>
            </w:tcBorders>
          </w:tcPr>
          <w:p>
            <w:pPr>
              <w:spacing w:after="0" w:line="360" w:lineRule="auto"/>
              <w:ind w:left="0" w:right="118" w:firstLine="0"/>
              <w:jc w:val="center"/>
              <w:rPr>
                <w:sz w:val="21"/>
                <w:szCs w:val="21"/>
              </w:rPr>
            </w:pPr>
          </w:p>
        </w:tc>
        <w:tc>
          <w:tcPr>
            <w:tcW w:w="2476" w:type="dxa"/>
            <w:gridSpan w:val="4"/>
            <w:tcBorders>
              <w:top w:val="single" w:color="000000" w:sz="4" w:space="0"/>
              <w:left w:val="single" w:color="000000" w:sz="4" w:space="0"/>
              <w:bottom w:val="single" w:color="000000" w:sz="4" w:space="0"/>
              <w:right w:val="single" w:color="000000" w:sz="4" w:space="0"/>
            </w:tcBorders>
          </w:tcPr>
          <w:p>
            <w:pPr>
              <w:spacing w:after="0" w:line="360" w:lineRule="auto"/>
              <w:ind w:left="0" w:right="120" w:firstLine="0"/>
              <w:jc w:val="center"/>
              <w:rPr>
                <w:sz w:val="21"/>
                <w:szCs w:val="21"/>
              </w:rPr>
            </w:pPr>
          </w:p>
        </w:tc>
        <w:tc>
          <w:tcPr>
            <w:tcW w:w="1288" w:type="dxa"/>
            <w:tcBorders>
              <w:top w:val="single" w:color="000000" w:sz="4" w:space="0"/>
              <w:left w:val="single" w:color="000000" w:sz="4" w:space="0"/>
              <w:bottom w:val="single" w:color="000000" w:sz="4" w:space="0"/>
              <w:right w:val="single" w:color="000000" w:sz="4" w:space="0"/>
            </w:tcBorders>
          </w:tcPr>
          <w:p>
            <w:pPr>
              <w:spacing w:after="0" w:line="360" w:lineRule="auto"/>
              <w:ind w:left="0" w:right="120" w:firstLine="0"/>
              <w:jc w:val="center"/>
              <w:rPr>
                <w:sz w:val="21"/>
                <w:szCs w:val="21"/>
              </w:rPr>
            </w:pPr>
          </w:p>
        </w:tc>
      </w:tr>
      <w:tr>
        <w:tblPrEx>
          <w:tblCellMar>
            <w:top w:w="34" w:type="dxa"/>
            <w:left w:w="118" w:type="dxa"/>
            <w:bottom w:w="0" w:type="dxa"/>
            <w:right w:w="108" w:type="dxa"/>
          </w:tblCellMar>
        </w:tblPrEx>
        <w:trPr>
          <w:trHeight w:val="350" w:hRule="atLeast"/>
        </w:trPr>
        <w:tc>
          <w:tcPr>
            <w:tcW w:w="8977" w:type="dxa"/>
            <w:gridSpan w:val="13"/>
            <w:tcBorders>
              <w:top w:val="single" w:color="000000" w:sz="4" w:space="0"/>
              <w:left w:val="single" w:color="000000" w:sz="4" w:space="0"/>
              <w:bottom w:val="single" w:color="000000" w:sz="4" w:space="0"/>
              <w:right w:val="single" w:color="000000" w:sz="4" w:space="0"/>
            </w:tcBorders>
          </w:tcPr>
          <w:p>
            <w:pPr>
              <w:spacing w:after="0" w:line="360" w:lineRule="auto"/>
              <w:ind w:left="0" w:right="118" w:firstLine="0"/>
              <w:jc w:val="center"/>
              <w:rPr>
                <w:sz w:val="21"/>
                <w:szCs w:val="21"/>
              </w:rPr>
            </w:pPr>
            <w:r>
              <w:rPr>
                <w:rFonts w:hint="eastAsia"/>
                <w:sz w:val="21"/>
                <w:szCs w:val="21"/>
              </w:rPr>
              <w:t xml:space="preserve">拟参与本项目主要技术及服务人员情况 </w:t>
            </w:r>
          </w:p>
        </w:tc>
      </w:tr>
      <w:tr>
        <w:tblPrEx>
          <w:tblCellMar>
            <w:top w:w="34" w:type="dxa"/>
            <w:left w:w="118" w:type="dxa"/>
            <w:bottom w:w="0" w:type="dxa"/>
            <w:right w:w="108" w:type="dxa"/>
          </w:tblCellMar>
        </w:tblPrEx>
        <w:trPr>
          <w:trHeight w:val="690"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181" w:firstLine="0"/>
              <w:rPr>
                <w:sz w:val="21"/>
                <w:szCs w:val="21"/>
              </w:rPr>
            </w:pPr>
            <w:r>
              <w:rPr>
                <w:rFonts w:hint="eastAsia"/>
                <w:sz w:val="21"/>
                <w:szCs w:val="21"/>
              </w:rPr>
              <w:t xml:space="preserve">姓名 </w:t>
            </w:r>
          </w:p>
        </w:tc>
        <w:tc>
          <w:tcPr>
            <w:tcW w:w="1106"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208" w:firstLine="0"/>
              <w:rPr>
                <w:sz w:val="21"/>
                <w:szCs w:val="21"/>
              </w:rPr>
            </w:pPr>
            <w:r>
              <w:rPr>
                <w:rFonts w:hint="eastAsia"/>
                <w:sz w:val="21"/>
                <w:szCs w:val="21"/>
              </w:rPr>
              <w:t xml:space="preserve">性别 </w:t>
            </w:r>
          </w:p>
        </w:tc>
        <w:tc>
          <w:tcPr>
            <w:tcW w:w="1080" w:type="dxa"/>
            <w:gridSpan w:val="3"/>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212" w:firstLine="0"/>
              <w:rPr>
                <w:sz w:val="21"/>
                <w:szCs w:val="21"/>
              </w:rPr>
            </w:pPr>
            <w:r>
              <w:rPr>
                <w:rFonts w:hint="eastAsia"/>
                <w:sz w:val="21"/>
                <w:szCs w:val="21"/>
              </w:rPr>
              <w:t xml:space="preserve">年龄 </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212" w:firstLine="0"/>
              <w:rPr>
                <w:sz w:val="21"/>
                <w:szCs w:val="21"/>
              </w:rPr>
            </w:pPr>
            <w:r>
              <w:rPr>
                <w:rFonts w:hint="eastAsia"/>
                <w:sz w:val="21"/>
                <w:szCs w:val="21"/>
              </w:rPr>
              <w:t xml:space="preserve">职称 </w:t>
            </w:r>
          </w:p>
        </w:tc>
        <w:tc>
          <w:tcPr>
            <w:tcW w:w="1078" w:type="dxa"/>
            <w:gridSpan w:val="2"/>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211" w:firstLine="0"/>
              <w:rPr>
                <w:sz w:val="21"/>
                <w:szCs w:val="21"/>
              </w:rPr>
            </w:pPr>
            <w:r>
              <w:rPr>
                <w:rFonts w:hint="eastAsia"/>
                <w:sz w:val="21"/>
                <w:szCs w:val="21"/>
              </w:rPr>
              <w:t xml:space="preserve">专业 </w:t>
            </w:r>
          </w:p>
        </w:tc>
        <w:tc>
          <w:tcPr>
            <w:tcW w:w="110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223" w:firstLine="0"/>
              <w:rPr>
                <w:sz w:val="21"/>
                <w:szCs w:val="21"/>
              </w:rPr>
            </w:pPr>
            <w:r>
              <w:rPr>
                <w:rFonts w:hint="eastAsia"/>
                <w:sz w:val="21"/>
                <w:szCs w:val="21"/>
              </w:rPr>
              <w:t xml:space="preserve">学历 </w:t>
            </w:r>
          </w:p>
        </w:tc>
        <w:tc>
          <w:tcPr>
            <w:tcW w:w="2476" w:type="dxa"/>
            <w:gridSpan w:val="3"/>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55" w:firstLine="0"/>
              <w:jc w:val="center"/>
              <w:rPr>
                <w:sz w:val="21"/>
                <w:szCs w:val="21"/>
              </w:rPr>
            </w:pPr>
            <w:r>
              <w:rPr>
                <w:rFonts w:hint="eastAsia"/>
                <w:sz w:val="21"/>
                <w:szCs w:val="21"/>
              </w:rPr>
              <w:t>经验年限</w:t>
            </w:r>
          </w:p>
        </w:tc>
      </w:tr>
      <w:tr>
        <w:tblPrEx>
          <w:tblCellMar>
            <w:top w:w="34" w:type="dxa"/>
            <w:left w:w="118" w:type="dxa"/>
            <w:bottom w:w="0" w:type="dxa"/>
            <w:right w:w="108" w:type="dxa"/>
          </w:tblCellMar>
        </w:tblPrEx>
        <w:trPr>
          <w:trHeight w:val="549" w:hRule="atLeast"/>
        </w:trPr>
        <w:tc>
          <w:tcPr>
            <w:tcW w:w="1053" w:type="dxa"/>
            <w:tcBorders>
              <w:top w:val="single" w:color="000000" w:sz="4" w:space="0"/>
              <w:left w:val="single" w:color="000000" w:sz="4" w:space="0"/>
              <w:bottom w:val="single" w:color="000000" w:sz="4" w:space="0"/>
              <w:right w:val="single" w:color="000000" w:sz="4" w:space="0"/>
            </w:tcBorders>
          </w:tcPr>
          <w:p>
            <w:pPr>
              <w:spacing w:after="0" w:line="360" w:lineRule="auto"/>
              <w:ind w:left="0" w:right="155" w:firstLine="0"/>
              <w:jc w:val="center"/>
              <w:rPr>
                <w:sz w:val="21"/>
                <w:szCs w:val="21"/>
              </w:rPr>
            </w:pPr>
            <w:r>
              <w:rPr>
                <w:rFonts w:hint="eastAsia"/>
                <w:sz w:val="21"/>
                <w:szCs w:val="21"/>
              </w:rPr>
              <w:t xml:space="preserve">… </w:t>
            </w:r>
          </w:p>
        </w:tc>
        <w:tc>
          <w:tcPr>
            <w:tcW w:w="1106" w:type="dxa"/>
            <w:tcBorders>
              <w:top w:val="single" w:color="000000" w:sz="4" w:space="0"/>
              <w:left w:val="single" w:color="000000" w:sz="4" w:space="0"/>
              <w:bottom w:val="single" w:color="000000" w:sz="4" w:space="0"/>
              <w:right w:val="single" w:color="000000" w:sz="4" w:space="0"/>
            </w:tcBorders>
          </w:tcPr>
          <w:p>
            <w:pPr>
              <w:spacing w:after="0" w:line="360" w:lineRule="auto"/>
              <w:ind w:left="0" w:right="155" w:firstLine="0"/>
              <w:jc w:val="center"/>
              <w:rPr>
                <w:sz w:val="21"/>
                <w:szCs w:val="21"/>
              </w:rPr>
            </w:pPr>
            <w:r>
              <w:rPr>
                <w:rFonts w:hint="eastAsia"/>
                <w:sz w:val="21"/>
                <w:szCs w:val="21"/>
              </w:rPr>
              <w:t xml:space="preserve">… </w:t>
            </w:r>
          </w:p>
        </w:tc>
        <w:tc>
          <w:tcPr>
            <w:tcW w:w="1080" w:type="dxa"/>
            <w:gridSpan w:val="3"/>
            <w:tcBorders>
              <w:top w:val="single" w:color="000000" w:sz="4" w:space="0"/>
              <w:left w:val="single" w:color="000000" w:sz="4" w:space="0"/>
              <w:bottom w:val="single" w:color="000000" w:sz="4" w:space="0"/>
              <w:right w:val="single" w:color="000000" w:sz="4" w:space="0"/>
            </w:tcBorders>
          </w:tcPr>
          <w:p>
            <w:pPr>
              <w:spacing w:after="0" w:line="360" w:lineRule="auto"/>
              <w:ind w:left="0" w:right="119" w:firstLine="0"/>
              <w:jc w:val="center"/>
              <w:rPr>
                <w:sz w:val="21"/>
                <w:szCs w:val="21"/>
              </w:rPr>
            </w:pPr>
            <w:r>
              <w:rPr>
                <w:rFonts w:hint="eastAsia"/>
                <w:sz w:val="21"/>
                <w:szCs w:val="21"/>
              </w:rPr>
              <w:t xml:space="preserve">… </w:t>
            </w:r>
          </w:p>
        </w:tc>
        <w:tc>
          <w:tcPr>
            <w:tcW w:w="1080" w:type="dxa"/>
            <w:gridSpan w:val="2"/>
            <w:tcBorders>
              <w:top w:val="single" w:color="000000" w:sz="4" w:space="0"/>
              <w:left w:val="single" w:color="000000" w:sz="4" w:space="0"/>
              <w:bottom w:val="single" w:color="000000" w:sz="4" w:space="0"/>
              <w:right w:val="single" w:color="000000" w:sz="4" w:space="0"/>
            </w:tcBorders>
          </w:tcPr>
          <w:p>
            <w:pPr>
              <w:spacing w:after="0" w:line="360" w:lineRule="auto"/>
              <w:ind w:left="0" w:right="119" w:firstLine="0"/>
              <w:jc w:val="center"/>
              <w:rPr>
                <w:sz w:val="21"/>
                <w:szCs w:val="21"/>
              </w:rPr>
            </w:pPr>
            <w:r>
              <w:rPr>
                <w:rFonts w:hint="eastAsia"/>
                <w:sz w:val="21"/>
                <w:szCs w:val="21"/>
              </w:rPr>
              <w:t xml:space="preserve">… </w:t>
            </w:r>
          </w:p>
        </w:tc>
        <w:tc>
          <w:tcPr>
            <w:tcW w:w="1078" w:type="dxa"/>
            <w:gridSpan w:val="2"/>
            <w:tcBorders>
              <w:top w:val="single" w:color="000000" w:sz="4" w:space="0"/>
              <w:left w:val="single" w:color="000000" w:sz="4" w:space="0"/>
              <w:bottom w:val="single" w:color="000000" w:sz="4" w:space="0"/>
              <w:right w:val="single" w:color="000000" w:sz="4" w:space="0"/>
            </w:tcBorders>
          </w:tcPr>
          <w:p>
            <w:pPr>
              <w:spacing w:after="0" w:line="360" w:lineRule="auto"/>
              <w:ind w:left="0" w:right="119" w:firstLine="0"/>
              <w:jc w:val="center"/>
              <w:rPr>
                <w:sz w:val="21"/>
                <w:szCs w:val="21"/>
              </w:rPr>
            </w:pPr>
            <w:r>
              <w:rPr>
                <w:rFonts w:hint="eastAsia"/>
                <w:sz w:val="21"/>
                <w:szCs w:val="21"/>
              </w:rPr>
              <w:t xml:space="preserve">… </w:t>
            </w:r>
          </w:p>
        </w:tc>
        <w:tc>
          <w:tcPr>
            <w:tcW w:w="1104" w:type="dxa"/>
            <w:tcBorders>
              <w:top w:val="single" w:color="000000" w:sz="4" w:space="0"/>
              <w:left w:val="single" w:color="000000" w:sz="4" w:space="0"/>
              <w:bottom w:val="single" w:color="000000" w:sz="4" w:space="0"/>
              <w:right w:val="single" w:color="000000" w:sz="4" w:space="0"/>
            </w:tcBorders>
          </w:tcPr>
          <w:p>
            <w:pPr>
              <w:spacing w:after="0" w:line="360" w:lineRule="auto"/>
              <w:ind w:left="0" w:right="119" w:firstLine="0"/>
              <w:jc w:val="center"/>
              <w:rPr>
                <w:sz w:val="21"/>
                <w:szCs w:val="21"/>
              </w:rPr>
            </w:pPr>
            <w:r>
              <w:rPr>
                <w:rFonts w:hint="eastAsia"/>
                <w:sz w:val="21"/>
                <w:szCs w:val="21"/>
              </w:rPr>
              <w:t xml:space="preserve">… </w:t>
            </w:r>
          </w:p>
        </w:tc>
        <w:tc>
          <w:tcPr>
            <w:tcW w:w="2476" w:type="dxa"/>
            <w:gridSpan w:val="3"/>
            <w:tcBorders>
              <w:top w:val="single" w:color="000000" w:sz="4" w:space="0"/>
              <w:left w:val="single" w:color="000000" w:sz="4" w:space="0"/>
              <w:bottom w:val="single" w:color="000000" w:sz="4" w:space="0"/>
              <w:right w:val="single" w:color="000000" w:sz="4" w:space="0"/>
            </w:tcBorders>
          </w:tcPr>
          <w:p>
            <w:pPr>
              <w:spacing w:after="0" w:line="360" w:lineRule="auto"/>
              <w:ind w:left="0" w:right="121" w:firstLine="0"/>
              <w:jc w:val="center"/>
              <w:rPr>
                <w:sz w:val="21"/>
                <w:szCs w:val="21"/>
              </w:rPr>
            </w:pPr>
            <w:r>
              <w:rPr>
                <w:rFonts w:hint="eastAsia"/>
                <w:sz w:val="21"/>
                <w:szCs w:val="21"/>
              </w:rPr>
              <w:t xml:space="preserve">… </w:t>
            </w:r>
          </w:p>
        </w:tc>
      </w:tr>
      <w:tr>
        <w:tblPrEx>
          <w:tblCellMar>
            <w:top w:w="34" w:type="dxa"/>
            <w:left w:w="118" w:type="dxa"/>
            <w:bottom w:w="0" w:type="dxa"/>
            <w:right w:w="108" w:type="dxa"/>
          </w:tblCellMar>
        </w:tblPrEx>
        <w:trPr>
          <w:trHeight w:val="549" w:hRule="atLeast"/>
        </w:trPr>
        <w:tc>
          <w:tcPr>
            <w:tcW w:w="1053" w:type="dxa"/>
            <w:tcBorders>
              <w:top w:val="single" w:color="000000" w:sz="4" w:space="0"/>
              <w:left w:val="single" w:color="000000" w:sz="4" w:space="0"/>
              <w:bottom w:val="single" w:color="000000" w:sz="4" w:space="0"/>
              <w:right w:val="single" w:color="000000" w:sz="4" w:space="0"/>
            </w:tcBorders>
          </w:tcPr>
          <w:p>
            <w:pPr>
              <w:spacing w:after="0" w:line="360" w:lineRule="auto"/>
              <w:ind w:left="0" w:right="155" w:firstLine="0"/>
              <w:jc w:val="center"/>
              <w:rPr>
                <w:sz w:val="21"/>
                <w:szCs w:val="21"/>
              </w:rPr>
            </w:pPr>
          </w:p>
        </w:tc>
        <w:tc>
          <w:tcPr>
            <w:tcW w:w="1106" w:type="dxa"/>
            <w:tcBorders>
              <w:top w:val="single" w:color="000000" w:sz="4" w:space="0"/>
              <w:left w:val="single" w:color="000000" w:sz="4" w:space="0"/>
              <w:bottom w:val="single" w:color="000000" w:sz="4" w:space="0"/>
              <w:right w:val="single" w:color="000000" w:sz="4" w:space="0"/>
            </w:tcBorders>
          </w:tcPr>
          <w:p>
            <w:pPr>
              <w:spacing w:after="0" w:line="360" w:lineRule="auto"/>
              <w:ind w:left="0" w:right="155" w:firstLine="0"/>
              <w:jc w:val="center"/>
              <w:rPr>
                <w:sz w:val="21"/>
                <w:szCs w:val="21"/>
              </w:rPr>
            </w:pPr>
          </w:p>
        </w:tc>
        <w:tc>
          <w:tcPr>
            <w:tcW w:w="1080" w:type="dxa"/>
            <w:gridSpan w:val="3"/>
            <w:tcBorders>
              <w:top w:val="single" w:color="000000" w:sz="4" w:space="0"/>
              <w:left w:val="single" w:color="000000" w:sz="4" w:space="0"/>
              <w:bottom w:val="single" w:color="000000" w:sz="4" w:space="0"/>
              <w:right w:val="single" w:color="000000" w:sz="4" w:space="0"/>
            </w:tcBorders>
          </w:tcPr>
          <w:p>
            <w:pPr>
              <w:spacing w:after="0" w:line="360" w:lineRule="auto"/>
              <w:ind w:left="0" w:right="119" w:firstLine="0"/>
              <w:jc w:val="center"/>
              <w:rPr>
                <w:sz w:val="21"/>
                <w:szCs w:val="21"/>
              </w:rPr>
            </w:pPr>
          </w:p>
        </w:tc>
        <w:tc>
          <w:tcPr>
            <w:tcW w:w="1080" w:type="dxa"/>
            <w:gridSpan w:val="2"/>
            <w:tcBorders>
              <w:top w:val="single" w:color="000000" w:sz="4" w:space="0"/>
              <w:left w:val="single" w:color="000000" w:sz="4" w:space="0"/>
              <w:bottom w:val="single" w:color="000000" w:sz="4" w:space="0"/>
              <w:right w:val="single" w:color="000000" w:sz="4" w:space="0"/>
            </w:tcBorders>
          </w:tcPr>
          <w:p>
            <w:pPr>
              <w:spacing w:after="0" w:line="360" w:lineRule="auto"/>
              <w:ind w:left="0" w:right="119" w:firstLine="0"/>
              <w:jc w:val="center"/>
              <w:rPr>
                <w:sz w:val="21"/>
                <w:szCs w:val="21"/>
              </w:rPr>
            </w:pPr>
          </w:p>
        </w:tc>
        <w:tc>
          <w:tcPr>
            <w:tcW w:w="1078" w:type="dxa"/>
            <w:gridSpan w:val="2"/>
            <w:tcBorders>
              <w:top w:val="single" w:color="000000" w:sz="4" w:space="0"/>
              <w:left w:val="single" w:color="000000" w:sz="4" w:space="0"/>
              <w:bottom w:val="single" w:color="000000" w:sz="4" w:space="0"/>
              <w:right w:val="single" w:color="000000" w:sz="4" w:space="0"/>
            </w:tcBorders>
          </w:tcPr>
          <w:p>
            <w:pPr>
              <w:spacing w:after="0" w:line="360" w:lineRule="auto"/>
              <w:ind w:left="0" w:right="119" w:firstLine="0"/>
              <w:jc w:val="center"/>
              <w:rPr>
                <w:sz w:val="21"/>
                <w:szCs w:val="21"/>
              </w:rPr>
            </w:pPr>
          </w:p>
        </w:tc>
        <w:tc>
          <w:tcPr>
            <w:tcW w:w="1104" w:type="dxa"/>
            <w:tcBorders>
              <w:top w:val="single" w:color="000000" w:sz="4" w:space="0"/>
              <w:left w:val="single" w:color="000000" w:sz="4" w:space="0"/>
              <w:bottom w:val="single" w:color="000000" w:sz="4" w:space="0"/>
              <w:right w:val="single" w:color="000000" w:sz="4" w:space="0"/>
            </w:tcBorders>
          </w:tcPr>
          <w:p>
            <w:pPr>
              <w:spacing w:after="0" w:line="360" w:lineRule="auto"/>
              <w:ind w:left="0" w:right="119" w:firstLine="0"/>
              <w:jc w:val="center"/>
              <w:rPr>
                <w:sz w:val="21"/>
                <w:szCs w:val="21"/>
              </w:rPr>
            </w:pPr>
          </w:p>
        </w:tc>
        <w:tc>
          <w:tcPr>
            <w:tcW w:w="2476" w:type="dxa"/>
            <w:gridSpan w:val="3"/>
            <w:tcBorders>
              <w:top w:val="single" w:color="000000" w:sz="4" w:space="0"/>
              <w:left w:val="single" w:color="000000" w:sz="4" w:space="0"/>
              <w:bottom w:val="single" w:color="000000" w:sz="4" w:space="0"/>
              <w:right w:val="single" w:color="000000" w:sz="4" w:space="0"/>
            </w:tcBorders>
          </w:tcPr>
          <w:p>
            <w:pPr>
              <w:spacing w:after="0" w:line="360" w:lineRule="auto"/>
              <w:ind w:left="0" w:right="121" w:firstLine="0"/>
              <w:jc w:val="center"/>
              <w:rPr>
                <w:sz w:val="21"/>
                <w:szCs w:val="21"/>
              </w:rPr>
            </w:pPr>
          </w:p>
        </w:tc>
      </w:tr>
      <w:tr>
        <w:tblPrEx>
          <w:tblCellMar>
            <w:top w:w="34" w:type="dxa"/>
            <w:left w:w="118" w:type="dxa"/>
            <w:bottom w:w="0" w:type="dxa"/>
            <w:right w:w="108" w:type="dxa"/>
          </w:tblCellMar>
        </w:tblPrEx>
        <w:trPr>
          <w:trHeight w:val="549" w:hRule="atLeast"/>
        </w:trPr>
        <w:tc>
          <w:tcPr>
            <w:tcW w:w="1053" w:type="dxa"/>
            <w:tcBorders>
              <w:top w:val="single" w:color="000000" w:sz="4" w:space="0"/>
              <w:left w:val="single" w:color="000000" w:sz="4" w:space="0"/>
              <w:bottom w:val="single" w:color="000000" w:sz="4" w:space="0"/>
              <w:right w:val="single" w:color="000000" w:sz="4" w:space="0"/>
            </w:tcBorders>
          </w:tcPr>
          <w:p>
            <w:pPr>
              <w:spacing w:after="0" w:line="360" w:lineRule="auto"/>
              <w:ind w:left="0" w:right="155" w:firstLine="0"/>
              <w:jc w:val="center"/>
              <w:rPr>
                <w:sz w:val="21"/>
                <w:szCs w:val="21"/>
              </w:rPr>
            </w:pPr>
          </w:p>
        </w:tc>
        <w:tc>
          <w:tcPr>
            <w:tcW w:w="1106" w:type="dxa"/>
            <w:tcBorders>
              <w:top w:val="single" w:color="000000" w:sz="4" w:space="0"/>
              <w:left w:val="single" w:color="000000" w:sz="4" w:space="0"/>
              <w:bottom w:val="single" w:color="000000" w:sz="4" w:space="0"/>
              <w:right w:val="single" w:color="000000" w:sz="4" w:space="0"/>
            </w:tcBorders>
          </w:tcPr>
          <w:p>
            <w:pPr>
              <w:spacing w:after="0" w:line="360" w:lineRule="auto"/>
              <w:ind w:left="0" w:right="155" w:firstLine="0"/>
              <w:jc w:val="center"/>
              <w:rPr>
                <w:sz w:val="21"/>
                <w:szCs w:val="21"/>
              </w:rPr>
            </w:pPr>
          </w:p>
        </w:tc>
        <w:tc>
          <w:tcPr>
            <w:tcW w:w="1080" w:type="dxa"/>
            <w:gridSpan w:val="3"/>
            <w:tcBorders>
              <w:top w:val="single" w:color="000000" w:sz="4" w:space="0"/>
              <w:left w:val="single" w:color="000000" w:sz="4" w:space="0"/>
              <w:bottom w:val="single" w:color="000000" w:sz="4" w:space="0"/>
              <w:right w:val="single" w:color="000000" w:sz="4" w:space="0"/>
            </w:tcBorders>
          </w:tcPr>
          <w:p>
            <w:pPr>
              <w:spacing w:after="0" w:line="360" w:lineRule="auto"/>
              <w:ind w:left="0" w:right="119" w:firstLine="0"/>
              <w:jc w:val="center"/>
              <w:rPr>
                <w:sz w:val="21"/>
                <w:szCs w:val="21"/>
              </w:rPr>
            </w:pPr>
          </w:p>
        </w:tc>
        <w:tc>
          <w:tcPr>
            <w:tcW w:w="1080" w:type="dxa"/>
            <w:gridSpan w:val="2"/>
            <w:tcBorders>
              <w:top w:val="single" w:color="000000" w:sz="4" w:space="0"/>
              <w:left w:val="single" w:color="000000" w:sz="4" w:space="0"/>
              <w:bottom w:val="single" w:color="000000" w:sz="4" w:space="0"/>
              <w:right w:val="single" w:color="000000" w:sz="4" w:space="0"/>
            </w:tcBorders>
          </w:tcPr>
          <w:p>
            <w:pPr>
              <w:spacing w:after="0" w:line="360" w:lineRule="auto"/>
              <w:ind w:left="0" w:right="119" w:firstLine="0"/>
              <w:jc w:val="center"/>
              <w:rPr>
                <w:sz w:val="21"/>
                <w:szCs w:val="21"/>
              </w:rPr>
            </w:pPr>
          </w:p>
        </w:tc>
        <w:tc>
          <w:tcPr>
            <w:tcW w:w="1078" w:type="dxa"/>
            <w:gridSpan w:val="2"/>
            <w:tcBorders>
              <w:top w:val="single" w:color="000000" w:sz="4" w:space="0"/>
              <w:left w:val="single" w:color="000000" w:sz="4" w:space="0"/>
              <w:bottom w:val="single" w:color="000000" w:sz="4" w:space="0"/>
              <w:right w:val="single" w:color="000000" w:sz="4" w:space="0"/>
            </w:tcBorders>
          </w:tcPr>
          <w:p>
            <w:pPr>
              <w:spacing w:after="0" w:line="360" w:lineRule="auto"/>
              <w:ind w:left="0" w:right="119" w:firstLine="0"/>
              <w:jc w:val="center"/>
              <w:rPr>
                <w:sz w:val="21"/>
                <w:szCs w:val="21"/>
              </w:rPr>
            </w:pPr>
          </w:p>
        </w:tc>
        <w:tc>
          <w:tcPr>
            <w:tcW w:w="1104" w:type="dxa"/>
            <w:tcBorders>
              <w:top w:val="single" w:color="000000" w:sz="4" w:space="0"/>
              <w:left w:val="single" w:color="000000" w:sz="4" w:space="0"/>
              <w:bottom w:val="single" w:color="000000" w:sz="4" w:space="0"/>
              <w:right w:val="single" w:color="000000" w:sz="4" w:space="0"/>
            </w:tcBorders>
          </w:tcPr>
          <w:p>
            <w:pPr>
              <w:spacing w:after="0" w:line="360" w:lineRule="auto"/>
              <w:ind w:left="0" w:right="119" w:firstLine="0"/>
              <w:jc w:val="center"/>
              <w:rPr>
                <w:sz w:val="21"/>
                <w:szCs w:val="21"/>
              </w:rPr>
            </w:pPr>
          </w:p>
        </w:tc>
        <w:tc>
          <w:tcPr>
            <w:tcW w:w="2476" w:type="dxa"/>
            <w:gridSpan w:val="3"/>
            <w:tcBorders>
              <w:top w:val="single" w:color="000000" w:sz="4" w:space="0"/>
              <w:left w:val="single" w:color="000000" w:sz="4" w:space="0"/>
              <w:bottom w:val="single" w:color="000000" w:sz="4" w:space="0"/>
              <w:right w:val="single" w:color="000000" w:sz="4" w:space="0"/>
            </w:tcBorders>
          </w:tcPr>
          <w:p>
            <w:pPr>
              <w:spacing w:after="0" w:line="360" w:lineRule="auto"/>
              <w:ind w:left="0" w:right="121" w:firstLine="0"/>
              <w:jc w:val="center"/>
              <w:rPr>
                <w:sz w:val="21"/>
                <w:szCs w:val="21"/>
              </w:rPr>
            </w:pPr>
          </w:p>
        </w:tc>
      </w:tr>
      <w:tr>
        <w:tblPrEx>
          <w:tblCellMar>
            <w:top w:w="34" w:type="dxa"/>
            <w:left w:w="118" w:type="dxa"/>
            <w:bottom w:w="0" w:type="dxa"/>
            <w:right w:w="108" w:type="dxa"/>
          </w:tblCellMar>
        </w:tblPrEx>
        <w:trPr>
          <w:trHeight w:val="549" w:hRule="atLeast"/>
        </w:trPr>
        <w:tc>
          <w:tcPr>
            <w:tcW w:w="1053" w:type="dxa"/>
            <w:tcBorders>
              <w:top w:val="single" w:color="000000" w:sz="4" w:space="0"/>
              <w:left w:val="single" w:color="000000" w:sz="4" w:space="0"/>
              <w:bottom w:val="single" w:color="000000" w:sz="4" w:space="0"/>
              <w:right w:val="single" w:color="000000" w:sz="4" w:space="0"/>
            </w:tcBorders>
          </w:tcPr>
          <w:p>
            <w:pPr>
              <w:spacing w:after="0" w:line="360" w:lineRule="auto"/>
              <w:ind w:left="0" w:right="155" w:firstLine="0"/>
              <w:jc w:val="center"/>
              <w:rPr>
                <w:sz w:val="21"/>
                <w:szCs w:val="21"/>
              </w:rPr>
            </w:pPr>
          </w:p>
        </w:tc>
        <w:tc>
          <w:tcPr>
            <w:tcW w:w="1106" w:type="dxa"/>
            <w:tcBorders>
              <w:top w:val="single" w:color="000000" w:sz="4" w:space="0"/>
              <w:left w:val="single" w:color="000000" w:sz="4" w:space="0"/>
              <w:bottom w:val="single" w:color="000000" w:sz="4" w:space="0"/>
              <w:right w:val="single" w:color="000000" w:sz="4" w:space="0"/>
            </w:tcBorders>
          </w:tcPr>
          <w:p>
            <w:pPr>
              <w:spacing w:after="0" w:line="360" w:lineRule="auto"/>
              <w:ind w:left="0" w:right="155" w:firstLine="0"/>
              <w:jc w:val="center"/>
              <w:rPr>
                <w:sz w:val="21"/>
                <w:szCs w:val="21"/>
              </w:rPr>
            </w:pPr>
          </w:p>
        </w:tc>
        <w:tc>
          <w:tcPr>
            <w:tcW w:w="1080" w:type="dxa"/>
            <w:gridSpan w:val="3"/>
            <w:tcBorders>
              <w:top w:val="single" w:color="000000" w:sz="4" w:space="0"/>
              <w:left w:val="single" w:color="000000" w:sz="4" w:space="0"/>
              <w:bottom w:val="single" w:color="000000" w:sz="4" w:space="0"/>
              <w:right w:val="single" w:color="000000" w:sz="4" w:space="0"/>
            </w:tcBorders>
          </w:tcPr>
          <w:p>
            <w:pPr>
              <w:spacing w:after="0" w:line="360" w:lineRule="auto"/>
              <w:ind w:left="0" w:right="119" w:firstLine="0"/>
              <w:jc w:val="center"/>
              <w:rPr>
                <w:sz w:val="21"/>
                <w:szCs w:val="21"/>
              </w:rPr>
            </w:pPr>
          </w:p>
        </w:tc>
        <w:tc>
          <w:tcPr>
            <w:tcW w:w="1080" w:type="dxa"/>
            <w:gridSpan w:val="2"/>
            <w:tcBorders>
              <w:top w:val="single" w:color="000000" w:sz="4" w:space="0"/>
              <w:left w:val="single" w:color="000000" w:sz="4" w:space="0"/>
              <w:bottom w:val="single" w:color="000000" w:sz="4" w:space="0"/>
              <w:right w:val="single" w:color="000000" w:sz="4" w:space="0"/>
            </w:tcBorders>
          </w:tcPr>
          <w:p>
            <w:pPr>
              <w:spacing w:after="0" w:line="360" w:lineRule="auto"/>
              <w:ind w:left="0" w:right="119" w:firstLine="0"/>
              <w:jc w:val="center"/>
              <w:rPr>
                <w:sz w:val="21"/>
                <w:szCs w:val="21"/>
              </w:rPr>
            </w:pPr>
          </w:p>
        </w:tc>
        <w:tc>
          <w:tcPr>
            <w:tcW w:w="1078" w:type="dxa"/>
            <w:gridSpan w:val="2"/>
            <w:tcBorders>
              <w:top w:val="single" w:color="000000" w:sz="4" w:space="0"/>
              <w:left w:val="single" w:color="000000" w:sz="4" w:space="0"/>
              <w:bottom w:val="single" w:color="000000" w:sz="4" w:space="0"/>
              <w:right w:val="single" w:color="000000" w:sz="4" w:space="0"/>
            </w:tcBorders>
          </w:tcPr>
          <w:p>
            <w:pPr>
              <w:spacing w:after="0" w:line="360" w:lineRule="auto"/>
              <w:ind w:left="0" w:right="119" w:firstLine="0"/>
              <w:jc w:val="center"/>
              <w:rPr>
                <w:sz w:val="21"/>
                <w:szCs w:val="21"/>
              </w:rPr>
            </w:pPr>
          </w:p>
        </w:tc>
        <w:tc>
          <w:tcPr>
            <w:tcW w:w="1104" w:type="dxa"/>
            <w:tcBorders>
              <w:top w:val="single" w:color="000000" w:sz="4" w:space="0"/>
              <w:left w:val="single" w:color="000000" w:sz="4" w:space="0"/>
              <w:bottom w:val="single" w:color="000000" w:sz="4" w:space="0"/>
              <w:right w:val="single" w:color="000000" w:sz="4" w:space="0"/>
            </w:tcBorders>
          </w:tcPr>
          <w:p>
            <w:pPr>
              <w:spacing w:after="0" w:line="360" w:lineRule="auto"/>
              <w:ind w:left="0" w:right="119" w:firstLine="0"/>
              <w:jc w:val="center"/>
              <w:rPr>
                <w:sz w:val="21"/>
                <w:szCs w:val="21"/>
              </w:rPr>
            </w:pPr>
          </w:p>
        </w:tc>
        <w:tc>
          <w:tcPr>
            <w:tcW w:w="2476" w:type="dxa"/>
            <w:gridSpan w:val="3"/>
            <w:tcBorders>
              <w:top w:val="single" w:color="000000" w:sz="4" w:space="0"/>
              <w:left w:val="single" w:color="000000" w:sz="4" w:space="0"/>
              <w:bottom w:val="single" w:color="000000" w:sz="4" w:space="0"/>
              <w:right w:val="single" w:color="000000" w:sz="4" w:space="0"/>
            </w:tcBorders>
          </w:tcPr>
          <w:p>
            <w:pPr>
              <w:spacing w:after="0" w:line="360" w:lineRule="auto"/>
              <w:ind w:left="0" w:right="121" w:firstLine="0"/>
              <w:jc w:val="center"/>
              <w:rPr>
                <w:sz w:val="21"/>
                <w:szCs w:val="21"/>
              </w:rPr>
            </w:pPr>
          </w:p>
        </w:tc>
      </w:tr>
      <w:tr>
        <w:tblPrEx>
          <w:tblCellMar>
            <w:top w:w="34" w:type="dxa"/>
            <w:left w:w="118" w:type="dxa"/>
            <w:bottom w:w="0" w:type="dxa"/>
            <w:right w:w="108" w:type="dxa"/>
          </w:tblCellMar>
        </w:tblPrEx>
        <w:trPr>
          <w:trHeight w:val="549" w:hRule="atLeast"/>
        </w:trPr>
        <w:tc>
          <w:tcPr>
            <w:tcW w:w="1053" w:type="dxa"/>
            <w:tcBorders>
              <w:top w:val="single" w:color="000000" w:sz="4" w:space="0"/>
              <w:left w:val="single" w:color="000000" w:sz="4" w:space="0"/>
              <w:bottom w:val="single" w:color="000000" w:sz="4" w:space="0"/>
              <w:right w:val="single" w:color="000000" w:sz="4" w:space="0"/>
            </w:tcBorders>
          </w:tcPr>
          <w:p>
            <w:pPr>
              <w:spacing w:after="0" w:line="360" w:lineRule="auto"/>
              <w:ind w:left="0" w:right="155" w:firstLine="0"/>
              <w:jc w:val="center"/>
              <w:rPr>
                <w:sz w:val="21"/>
                <w:szCs w:val="21"/>
              </w:rPr>
            </w:pPr>
          </w:p>
        </w:tc>
        <w:tc>
          <w:tcPr>
            <w:tcW w:w="1106" w:type="dxa"/>
            <w:tcBorders>
              <w:top w:val="single" w:color="000000" w:sz="4" w:space="0"/>
              <w:left w:val="single" w:color="000000" w:sz="4" w:space="0"/>
              <w:bottom w:val="single" w:color="000000" w:sz="4" w:space="0"/>
              <w:right w:val="single" w:color="000000" w:sz="4" w:space="0"/>
            </w:tcBorders>
          </w:tcPr>
          <w:p>
            <w:pPr>
              <w:spacing w:after="0" w:line="360" w:lineRule="auto"/>
              <w:ind w:left="0" w:right="155" w:firstLine="0"/>
              <w:jc w:val="center"/>
              <w:rPr>
                <w:sz w:val="21"/>
                <w:szCs w:val="21"/>
              </w:rPr>
            </w:pPr>
          </w:p>
        </w:tc>
        <w:tc>
          <w:tcPr>
            <w:tcW w:w="1080" w:type="dxa"/>
            <w:gridSpan w:val="3"/>
            <w:tcBorders>
              <w:top w:val="single" w:color="000000" w:sz="4" w:space="0"/>
              <w:left w:val="single" w:color="000000" w:sz="4" w:space="0"/>
              <w:bottom w:val="single" w:color="000000" w:sz="4" w:space="0"/>
              <w:right w:val="single" w:color="000000" w:sz="4" w:space="0"/>
            </w:tcBorders>
          </w:tcPr>
          <w:p>
            <w:pPr>
              <w:spacing w:after="0" w:line="360" w:lineRule="auto"/>
              <w:ind w:left="0" w:right="119" w:firstLine="0"/>
              <w:jc w:val="center"/>
              <w:rPr>
                <w:sz w:val="21"/>
                <w:szCs w:val="21"/>
              </w:rPr>
            </w:pPr>
          </w:p>
        </w:tc>
        <w:tc>
          <w:tcPr>
            <w:tcW w:w="1080" w:type="dxa"/>
            <w:gridSpan w:val="2"/>
            <w:tcBorders>
              <w:top w:val="single" w:color="000000" w:sz="4" w:space="0"/>
              <w:left w:val="single" w:color="000000" w:sz="4" w:space="0"/>
              <w:bottom w:val="single" w:color="000000" w:sz="4" w:space="0"/>
              <w:right w:val="single" w:color="000000" w:sz="4" w:space="0"/>
            </w:tcBorders>
          </w:tcPr>
          <w:p>
            <w:pPr>
              <w:spacing w:after="0" w:line="360" w:lineRule="auto"/>
              <w:ind w:left="0" w:right="119" w:firstLine="0"/>
              <w:jc w:val="center"/>
              <w:rPr>
                <w:sz w:val="21"/>
                <w:szCs w:val="21"/>
              </w:rPr>
            </w:pPr>
          </w:p>
        </w:tc>
        <w:tc>
          <w:tcPr>
            <w:tcW w:w="1078" w:type="dxa"/>
            <w:gridSpan w:val="2"/>
            <w:tcBorders>
              <w:top w:val="single" w:color="000000" w:sz="4" w:space="0"/>
              <w:left w:val="single" w:color="000000" w:sz="4" w:space="0"/>
              <w:bottom w:val="single" w:color="000000" w:sz="4" w:space="0"/>
              <w:right w:val="single" w:color="000000" w:sz="4" w:space="0"/>
            </w:tcBorders>
          </w:tcPr>
          <w:p>
            <w:pPr>
              <w:spacing w:after="0" w:line="360" w:lineRule="auto"/>
              <w:ind w:left="0" w:right="119" w:firstLine="0"/>
              <w:jc w:val="center"/>
              <w:rPr>
                <w:sz w:val="21"/>
                <w:szCs w:val="21"/>
              </w:rPr>
            </w:pPr>
          </w:p>
        </w:tc>
        <w:tc>
          <w:tcPr>
            <w:tcW w:w="1104" w:type="dxa"/>
            <w:tcBorders>
              <w:top w:val="single" w:color="000000" w:sz="4" w:space="0"/>
              <w:left w:val="single" w:color="000000" w:sz="4" w:space="0"/>
              <w:bottom w:val="single" w:color="000000" w:sz="4" w:space="0"/>
              <w:right w:val="single" w:color="000000" w:sz="4" w:space="0"/>
            </w:tcBorders>
          </w:tcPr>
          <w:p>
            <w:pPr>
              <w:spacing w:after="0" w:line="360" w:lineRule="auto"/>
              <w:ind w:left="0" w:right="119" w:firstLine="0"/>
              <w:jc w:val="center"/>
              <w:rPr>
                <w:sz w:val="21"/>
                <w:szCs w:val="21"/>
              </w:rPr>
            </w:pPr>
          </w:p>
        </w:tc>
        <w:tc>
          <w:tcPr>
            <w:tcW w:w="2476" w:type="dxa"/>
            <w:gridSpan w:val="3"/>
            <w:tcBorders>
              <w:top w:val="single" w:color="000000" w:sz="4" w:space="0"/>
              <w:left w:val="single" w:color="000000" w:sz="4" w:space="0"/>
              <w:bottom w:val="single" w:color="000000" w:sz="4" w:space="0"/>
              <w:right w:val="single" w:color="000000" w:sz="4" w:space="0"/>
            </w:tcBorders>
          </w:tcPr>
          <w:p>
            <w:pPr>
              <w:spacing w:after="0" w:line="360" w:lineRule="auto"/>
              <w:ind w:left="0" w:right="121" w:firstLine="0"/>
              <w:jc w:val="center"/>
              <w:rPr>
                <w:sz w:val="21"/>
                <w:szCs w:val="21"/>
              </w:rPr>
            </w:pPr>
          </w:p>
        </w:tc>
      </w:tr>
      <w:tr>
        <w:tblPrEx>
          <w:tblCellMar>
            <w:top w:w="34" w:type="dxa"/>
            <w:left w:w="118" w:type="dxa"/>
            <w:bottom w:w="0" w:type="dxa"/>
            <w:right w:w="108" w:type="dxa"/>
          </w:tblCellMar>
        </w:tblPrEx>
        <w:trPr>
          <w:trHeight w:val="549" w:hRule="atLeast"/>
        </w:trPr>
        <w:tc>
          <w:tcPr>
            <w:tcW w:w="1053" w:type="dxa"/>
            <w:tcBorders>
              <w:top w:val="single" w:color="000000" w:sz="4" w:space="0"/>
              <w:left w:val="single" w:color="000000" w:sz="4" w:space="0"/>
              <w:bottom w:val="single" w:color="000000" w:sz="4" w:space="0"/>
              <w:right w:val="single" w:color="000000" w:sz="4" w:space="0"/>
            </w:tcBorders>
          </w:tcPr>
          <w:p>
            <w:pPr>
              <w:spacing w:after="0" w:line="360" w:lineRule="auto"/>
              <w:ind w:left="0" w:right="155" w:firstLine="0"/>
              <w:jc w:val="center"/>
              <w:rPr>
                <w:sz w:val="21"/>
                <w:szCs w:val="21"/>
              </w:rPr>
            </w:pPr>
          </w:p>
        </w:tc>
        <w:tc>
          <w:tcPr>
            <w:tcW w:w="1106" w:type="dxa"/>
            <w:tcBorders>
              <w:top w:val="single" w:color="000000" w:sz="4" w:space="0"/>
              <w:left w:val="single" w:color="000000" w:sz="4" w:space="0"/>
              <w:bottom w:val="single" w:color="000000" w:sz="4" w:space="0"/>
              <w:right w:val="single" w:color="000000" w:sz="4" w:space="0"/>
            </w:tcBorders>
          </w:tcPr>
          <w:p>
            <w:pPr>
              <w:spacing w:after="0" w:line="360" w:lineRule="auto"/>
              <w:ind w:left="0" w:right="155" w:firstLine="0"/>
              <w:jc w:val="center"/>
              <w:rPr>
                <w:sz w:val="21"/>
                <w:szCs w:val="21"/>
              </w:rPr>
            </w:pPr>
          </w:p>
        </w:tc>
        <w:tc>
          <w:tcPr>
            <w:tcW w:w="1080" w:type="dxa"/>
            <w:gridSpan w:val="3"/>
            <w:tcBorders>
              <w:top w:val="single" w:color="000000" w:sz="4" w:space="0"/>
              <w:left w:val="single" w:color="000000" w:sz="4" w:space="0"/>
              <w:bottom w:val="single" w:color="000000" w:sz="4" w:space="0"/>
              <w:right w:val="single" w:color="000000" w:sz="4" w:space="0"/>
            </w:tcBorders>
          </w:tcPr>
          <w:p>
            <w:pPr>
              <w:spacing w:after="0" w:line="360" w:lineRule="auto"/>
              <w:ind w:left="0" w:right="119" w:firstLine="0"/>
              <w:jc w:val="center"/>
              <w:rPr>
                <w:sz w:val="21"/>
                <w:szCs w:val="21"/>
              </w:rPr>
            </w:pPr>
          </w:p>
        </w:tc>
        <w:tc>
          <w:tcPr>
            <w:tcW w:w="1080" w:type="dxa"/>
            <w:gridSpan w:val="2"/>
            <w:tcBorders>
              <w:top w:val="single" w:color="000000" w:sz="4" w:space="0"/>
              <w:left w:val="single" w:color="000000" w:sz="4" w:space="0"/>
              <w:bottom w:val="single" w:color="000000" w:sz="4" w:space="0"/>
              <w:right w:val="single" w:color="000000" w:sz="4" w:space="0"/>
            </w:tcBorders>
          </w:tcPr>
          <w:p>
            <w:pPr>
              <w:spacing w:after="0" w:line="360" w:lineRule="auto"/>
              <w:ind w:left="0" w:right="119" w:firstLine="0"/>
              <w:jc w:val="center"/>
              <w:rPr>
                <w:sz w:val="21"/>
                <w:szCs w:val="21"/>
              </w:rPr>
            </w:pPr>
          </w:p>
        </w:tc>
        <w:tc>
          <w:tcPr>
            <w:tcW w:w="1078" w:type="dxa"/>
            <w:gridSpan w:val="2"/>
            <w:tcBorders>
              <w:top w:val="single" w:color="000000" w:sz="4" w:space="0"/>
              <w:left w:val="single" w:color="000000" w:sz="4" w:space="0"/>
              <w:bottom w:val="single" w:color="000000" w:sz="4" w:space="0"/>
              <w:right w:val="single" w:color="000000" w:sz="4" w:space="0"/>
            </w:tcBorders>
          </w:tcPr>
          <w:p>
            <w:pPr>
              <w:spacing w:after="0" w:line="360" w:lineRule="auto"/>
              <w:ind w:left="0" w:right="119" w:firstLine="0"/>
              <w:jc w:val="center"/>
              <w:rPr>
                <w:sz w:val="21"/>
                <w:szCs w:val="21"/>
              </w:rPr>
            </w:pPr>
          </w:p>
        </w:tc>
        <w:tc>
          <w:tcPr>
            <w:tcW w:w="1104" w:type="dxa"/>
            <w:tcBorders>
              <w:top w:val="single" w:color="000000" w:sz="4" w:space="0"/>
              <w:left w:val="single" w:color="000000" w:sz="4" w:space="0"/>
              <w:bottom w:val="single" w:color="000000" w:sz="4" w:space="0"/>
              <w:right w:val="single" w:color="000000" w:sz="4" w:space="0"/>
            </w:tcBorders>
          </w:tcPr>
          <w:p>
            <w:pPr>
              <w:spacing w:after="0" w:line="360" w:lineRule="auto"/>
              <w:ind w:left="0" w:right="119" w:firstLine="0"/>
              <w:jc w:val="center"/>
              <w:rPr>
                <w:sz w:val="21"/>
                <w:szCs w:val="21"/>
              </w:rPr>
            </w:pPr>
          </w:p>
        </w:tc>
        <w:tc>
          <w:tcPr>
            <w:tcW w:w="2476" w:type="dxa"/>
            <w:gridSpan w:val="3"/>
            <w:tcBorders>
              <w:top w:val="single" w:color="000000" w:sz="4" w:space="0"/>
              <w:left w:val="single" w:color="000000" w:sz="4" w:space="0"/>
              <w:bottom w:val="single" w:color="000000" w:sz="4" w:space="0"/>
              <w:right w:val="single" w:color="000000" w:sz="4" w:space="0"/>
            </w:tcBorders>
          </w:tcPr>
          <w:p>
            <w:pPr>
              <w:spacing w:after="0" w:line="360" w:lineRule="auto"/>
              <w:ind w:left="0" w:right="121" w:firstLine="0"/>
              <w:jc w:val="center"/>
              <w:rPr>
                <w:sz w:val="21"/>
                <w:szCs w:val="21"/>
              </w:rPr>
            </w:pPr>
          </w:p>
        </w:tc>
      </w:tr>
      <w:tr>
        <w:tblPrEx>
          <w:tblCellMar>
            <w:top w:w="34" w:type="dxa"/>
            <w:left w:w="118" w:type="dxa"/>
            <w:bottom w:w="0" w:type="dxa"/>
            <w:right w:w="108" w:type="dxa"/>
          </w:tblCellMar>
        </w:tblPrEx>
        <w:trPr>
          <w:trHeight w:val="549" w:hRule="atLeast"/>
        </w:trPr>
        <w:tc>
          <w:tcPr>
            <w:tcW w:w="1053" w:type="dxa"/>
            <w:tcBorders>
              <w:top w:val="single" w:color="000000" w:sz="4" w:space="0"/>
              <w:left w:val="single" w:color="000000" w:sz="4" w:space="0"/>
              <w:bottom w:val="single" w:color="000000" w:sz="4" w:space="0"/>
              <w:right w:val="single" w:color="000000" w:sz="4" w:space="0"/>
            </w:tcBorders>
          </w:tcPr>
          <w:p>
            <w:pPr>
              <w:spacing w:after="0" w:line="360" w:lineRule="auto"/>
              <w:ind w:left="0" w:right="155" w:firstLine="0"/>
              <w:jc w:val="center"/>
              <w:rPr>
                <w:sz w:val="21"/>
                <w:szCs w:val="21"/>
              </w:rPr>
            </w:pPr>
          </w:p>
        </w:tc>
        <w:tc>
          <w:tcPr>
            <w:tcW w:w="1106" w:type="dxa"/>
            <w:tcBorders>
              <w:top w:val="single" w:color="000000" w:sz="4" w:space="0"/>
              <w:left w:val="single" w:color="000000" w:sz="4" w:space="0"/>
              <w:bottom w:val="single" w:color="000000" w:sz="4" w:space="0"/>
              <w:right w:val="single" w:color="000000" w:sz="4" w:space="0"/>
            </w:tcBorders>
          </w:tcPr>
          <w:p>
            <w:pPr>
              <w:spacing w:after="0" w:line="360" w:lineRule="auto"/>
              <w:ind w:left="0" w:right="155" w:firstLine="0"/>
              <w:jc w:val="center"/>
              <w:rPr>
                <w:sz w:val="21"/>
                <w:szCs w:val="21"/>
              </w:rPr>
            </w:pPr>
          </w:p>
        </w:tc>
        <w:tc>
          <w:tcPr>
            <w:tcW w:w="1080" w:type="dxa"/>
            <w:gridSpan w:val="3"/>
            <w:tcBorders>
              <w:top w:val="single" w:color="000000" w:sz="4" w:space="0"/>
              <w:left w:val="single" w:color="000000" w:sz="4" w:space="0"/>
              <w:bottom w:val="single" w:color="000000" w:sz="4" w:space="0"/>
              <w:right w:val="single" w:color="000000" w:sz="4" w:space="0"/>
            </w:tcBorders>
          </w:tcPr>
          <w:p>
            <w:pPr>
              <w:spacing w:after="0" w:line="360" w:lineRule="auto"/>
              <w:ind w:left="0" w:right="119" w:firstLine="0"/>
              <w:jc w:val="center"/>
              <w:rPr>
                <w:sz w:val="21"/>
                <w:szCs w:val="21"/>
              </w:rPr>
            </w:pPr>
          </w:p>
        </w:tc>
        <w:tc>
          <w:tcPr>
            <w:tcW w:w="1080" w:type="dxa"/>
            <w:gridSpan w:val="2"/>
            <w:tcBorders>
              <w:top w:val="single" w:color="000000" w:sz="4" w:space="0"/>
              <w:left w:val="single" w:color="000000" w:sz="4" w:space="0"/>
              <w:bottom w:val="single" w:color="000000" w:sz="4" w:space="0"/>
              <w:right w:val="single" w:color="000000" w:sz="4" w:space="0"/>
            </w:tcBorders>
          </w:tcPr>
          <w:p>
            <w:pPr>
              <w:spacing w:after="0" w:line="360" w:lineRule="auto"/>
              <w:ind w:left="0" w:right="119" w:firstLine="0"/>
              <w:jc w:val="center"/>
              <w:rPr>
                <w:sz w:val="21"/>
                <w:szCs w:val="21"/>
              </w:rPr>
            </w:pPr>
          </w:p>
        </w:tc>
        <w:tc>
          <w:tcPr>
            <w:tcW w:w="1078" w:type="dxa"/>
            <w:gridSpan w:val="2"/>
            <w:tcBorders>
              <w:top w:val="single" w:color="000000" w:sz="4" w:space="0"/>
              <w:left w:val="single" w:color="000000" w:sz="4" w:space="0"/>
              <w:bottom w:val="single" w:color="000000" w:sz="4" w:space="0"/>
              <w:right w:val="single" w:color="000000" w:sz="4" w:space="0"/>
            </w:tcBorders>
          </w:tcPr>
          <w:p>
            <w:pPr>
              <w:spacing w:after="0" w:line="360" w:lineRule="auto"/>
              <w:ind w:left="0" w:right="119" w:firstLine="0"/>
              <w:jc w:val="center"/>
              <w:rPr>
                <w:sz w:val="21"/>
                <w:szCs w:val="21"/>
              </w:rPr>
            </w:pPr>
          </w:p>
        </w:tc>
        <w:tc>
          <w:tcPr>
            <w:tcW w:w="1104" w:type="dxa"/>
            <w:tcBorders>
              <w:top w:val="single" w:color="000000" w:sz="4" w:space="0"/>
              <w:left w:val="single" w:color="000000" w:sz="4" w:space="0"/>
              <w:bottom w:val="single" w:color="000000" w:sz="4" w:space="0"/>
              <w:right w:val="single" w:color="000000" w:sz="4" w:space="0"/>
            </w:tcBorders>
          </w:tcPr>
          <w:p>
            <w:pPr>
              <w:spacing w:after="0" w:line="360" w:lineRule="auto"/>
              <w:ind w:left="0" w:right="119" w:firstLine="0"/>
              <w:jc w:val="center"/>
              <w:rPr>
                <w:sz w:val="21"/>
                <w:szCs w:val="21"/>
              </w:rPr>
            </w:pPr>
          </w:p>
        </w:tc>
        <w:tc>
          <w:tcPr>
            <w:tcW w:w="2476" w:type="dxa"/>
            <w:gridSpan w:val="3"/>
            <w:tcBorders>
              <w:top w:val="single" w:color="000000" w:sz="4" w:space="0"/>
              <w:left w:val="single" w:color="000000" w:sz="4" w:space="0"/>
              <w:bottom w:val="single" w:color="000000" w:sz="4" w:space="0"/>
              <w:right w:val="single" w:color="000000" w:sz="4" w:space="0"/>
            </w:tcBorders>
          </w:tcPr>
          <w:p>
            <w:pPr>
              <w:spacing w:after="0" w:line="360" w:lineRule="auto"/>
              <w:ind w:left="0" w:right="121" w:firstLine="0"/>
              <w:jc w:val="center"/>
              <w:rPr>
                <w:sz w:val="21"/>
                <w:szCs w:val="21"/>
              </w:rPr>
            </w:pPr>
          </w:p>
        </w:tc>
      </w:tr>
    </w:tbl>
    <w:p>
      <w:pPr>
        <w:spacing w:after="149" w:line="360" w:lineRule="auto"/>
        <w:ind w:left="620" w:hanging="620"/>
        <w:rPr>
          <w:sz w:val="21"/>
          <w:szCs w:val="21"/>
        </w:rPr>
      </w:pPr>
      <w:r>
        <w:rPr>
          <w:rFonts w:hint="eastAsia"/>
          <w:sz w:val="21"/>
          <w:szCs w:val="21"/>
        </w:rPr>
        <w:t xml:space="preserve">注：1.在合同执行期间，成交供应商派出项目负责人和专业专职的主要技术及服务人员，应在上表中列明； </w:t>
      </w:r>
    </w:p>
    <w:p>
      <w:pPr>
        <w:spacing w:after="29" w:line="360" w:lineRule="auto"/>
        <w:ind w:left="614" w:hanging="194"/>
        <w:rPr>
          <w:szCs w:val="24"/>
        </w:rPr>
      </w:pPr>
      <w:r>
        <w:rPr>
          <w:rFonts w:hint="eastAsia"/>
          <w:sz w:val="21"/>
          <w:szCs w:val="21"/>
        </w:rPr>
        <w:t>2.如有，可附上以上人员在本公司任职的外部证明材料（如加盖政府有关部门印章的打印日期在本项目投标截止日之前的《投保单》或《社会保险参保人员证明》，或单位代缴个人所得税税单等。</w:t>
      </w:r>
    </w:p>
    <w:p>
      <w:pPr>
        <w:pStyle w:val="2"/>
        <w:spacing w:line="360" w:lineRule="auto"/>
        <w:ind w:left="480" w:firstLine="480"/>
      </w:pPr>
    </w:p>
    <w:p>
      <w:pPr>
        <w:pStyle w:val="2"/>
        <w:spacing w:line="360" w:lineRule="auto"/>
        <w:ind w:left="480" w:firstLine="480"/>
      </w:pPr>
    </w:p>
    <w:p>
      <w:pPr>
        <w:spacing w:line="360" w:lineRule="auto"/>
        <w:ind w:left="0" w:firstLine="0"/>
      </w:pPr>
      <w:r>
        <w:rPr>
          <w:rFonts w:hint="eastAsia"/>
        </w:rPr>
        <w:t xml:space="preserve">响应供应商全称（加盖公章）: </w:t>
      </w:r>
    </w:p>
    <w:p>
      <w:pPr>
        <w:spacing w:line="360" w:lineRule="auto"/>
        <w:ind w:left="0" w:firstLine="0"/>
      </w:pPr>
      <w:r>
        <w:rPr>
          <w:rFonts w:hint="eastAsia"/>
        </w:rPr>
        <w:t xml:space="preserve">法定代表人或其授权代表(签字或盖章)：               </w:t>
      </w:r>
    </w:p>
    <w:p>
      <w:pPr>
        <w:spacing w:line="360" w:lineRule="auto"/>
        <w:ind w:left="0" w:firstLine="0"/>
      </w:pPr>
      <w:r>
        <w:rPr>
          <w:rFonts w:hint="eastAsia"/>
        </w:rPr>
        <w:t xml:space="preserve">日    期：     年   月   </w:t>
      </w:r>
      <w:r>
        <w:t>日</w:t>
      </w:r>
    </w:p>
    <w:p>
      <w:pPr>
        <w:pStyle w:val="2"/>
        <w:spacing w:line="360" w:lineRule="auto"/>
        <w:ind w:left="0" w:leftChars="0" w:firstLine="0" w:firstLineChars="0"/>
      </w:pPr>
    </w:p>
    <w:p>
      <w:pPr>
        <w:spacing w:after="3" w:line="360" w:lineRule="auto"/>
        <w:ind w:left="0" w:firstLine="0"/>
        <w:rPr>
          <w:szCs w:val="24"/>
        </w:rPr>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6"/>
        <w:rPr>
          <w:b/>
          <w:bCs/>
          <w:sz w:val="24"/>
          <w:szCs w:val="24"/>
        </w:rPr>
      </w:pPr>
      <w:bookmarkStart w:id="2766" w:name="_Toc77206913"/>
      <w:bookmarkStart w:id="2767" w:name="_Toc79057576"/>
      <w:r>
        <w:rPr>
          <w:rFonts w:hint="eastAsia"/>
          <w:b/>
          <w:bCs/>
          <w:sz w:val="24"/>
          <w:szCs w:val="24"/>
        </w:rPr>
        <w:t>（十六）、项目经理承诺书</w:t>
      </w:r>
      <w:bookmarkEnd w:id="2766"/>
      <w:bookmarkEnd w:id="2767"/>
    </w:p>
    <w:p>
      <w:pPr>
        <w:ind w:left="0" w:firstLine="0"/>
      </w:pPr>
    </w:p>
    <w:p>
      <w:pPr>
        <w:pStyle w:val="2"/>
        <w:ind w:left="480" w:firstLine="480"/>
      </w:pPr>
    </w:p>
    <w:p>
      <w:pPr>
        <w:jc w:val="center"/>
        <w:rPr>
          <w:rFonts w:ascii="黑体" w:eastAsia="黑体"/>
          <w:sz w:val="28"/>
          <w:szCs w:val="28"/>
        </w:rPr>
      </w:pPr>
      <w:r>
        <w:rPr>
          <w:rFonts w:hint="eastAsia" w:ascii="黑体" w:eastAsia="黑体"/>
          <w:sz w:val="28"/>
          <w:szCs w:val="28"/>
        </w:rPr>
        <w:t>承诺书</w:t>
      </w:r>
    </w:p>
    <w:p>
      <w:pPr>
        <w:spacing w:line="400" w:lineRule="exact"/>
      </w:pPr>
    </w:p>
    <w:p>
      <w:pPr>
        <w:spacing w:line="400" w:lineRule="exact"/>
      </w:pPr>
      <w:r>
        <w:rPr>
          <w:rFonts w:hint="eastAsia"/>
          <w:bCs/>
          <w:u w:val="single"/>
        </w:rPr>
        <w:t>北京市房山区人民防空办公室</w:t>
      </w:r>
      <w:r>
        <w:rPr>
          <w:rFonts w:hint="eastAsia"/>
        </w:rPr>
        <w:t>（招标人名称）：</w:t>
      </w:r>
    </w:p>
    <w:p>
      <w:pPr>
        <w:spacing w:line="400" w:lineRule="exact"/>
        <w:ind w:firstLine="480" w:firstLineChars="200"/>
      </w:pPr>
    </w:p>
    <w:p>
      <w:pPr>
        <w:spacing w:line="400" w:lineRule="exact"/>
        <w:ind w:firstLine="480" w:firstLineChars="200"/>
      </w:pPr>
      <w:r>
        <w:rPr>
          <w:rFonts w:hint="eastAsia"/>
        </w:rPr>
        <w:t>我方在此声明，我方拟派往</w:t>
      </w:r>
      <w:r>
        <w:rPr>
          <w:rFonts w:hint="eastAsia"/>
          <w:szCs w:val="21"/>
          <w:u w:val="single"/>
        </w:rPr>
        <w:t>北京市房山区人民防空办公室加州水郡西区、中冶蓝城地下人防工程维修工程</w:t>
      </w:r>
      <w:r>
        <w:rPr>
          <w:rFonts w:hint="eastAsia"/>
          <w:szCs w:val="21"/>
        </w:rPr>
        <w:t>（项目名称）（以下简称“本工程”）的</w:t>
      </w:r>
      <w:r>
        <w:rPr>
          <w:rFonts w:hint="eastAsia"/>
        </w:rPr>
        <w:t>项目经理</w:t>
      </w:r>
      <w:r>
        <w:rPr>
          <w:rFonts w:hint="eastAsia"/>
          <w:u w:val="single"/>
        </w:rPr>
        <w:t xml:space="preserve">              </w:t>
      </w:r>
      <w:r>
        <w:rPr>
          <w:rFonts w:hint="eastAsia"/>
        </w:rPr>
        <w:t>（项目经理姓名）现阶段没有担任任何在施建设工程项目的项目经理。</w:t>
      </w:r>
    </w:p>
    <w:p>
      <w:pPr>
        <w:spacing w:line="400" w:lineRule="exact"/>
        <w:ind w:firstLine="480" w:firstLineChars="200"/>
      </w:pPr>
      <w:r>
        <w:rPr>
          <w:rFonts w:hint="eastAsia"/>
        </w:rPr>
        <w:t>我方保证上述信息的真实和准确，并愿意承担因我方就此弄虚作假所引起的一切法律后果。</w:t>
      </w:r>
    </w:p>
    <w:p>
      <w:pPr>
        <w:spacing w:line="400" w:lineRule="exact"/>
      </w:pPr>
    </w:p>
    <w:p>
      <w:pPr>
        <w:spacing w:line="400" w:lineRule="exact"/>
      </w:pPr>
      <w:r>
        <w:rPr>
          <w:rFonts w:hint="eastAsia"/>
        </w:rPr>
        <w:t>特此承诺</w:t>
      </w:r>
    </w:p>
    <w:p>
      <w:pPr>
        <w:spacing w:line="400" w:lineRule="exact"/>
      </w:pPr>
    </w:p>
    <w:p>
      <w:pPr>
        <w:pStyle w:val="2"/>
        <w:ind w:left="480" w:firstLine="480"/>
      </w:pPr>
    </w:p>
    <w:p>
      <w:pPr>
        <w:pStyle w:val="2"/>
        <w:ind w:left="480" w:firstLine="480"/>
      </w:pPr>
    </w:p>
    <w:p>
      <w:pPr>
        <w:pStyle w:val="2"/>
        <w:ind w:left="480" w:firstLine="480"/>
      </w:pPr>
    </w:p>
    <w:p>
      <w:pPr>
        <w:pStyle w:val="2"/>
        <w:ind w:left="480" w:firstLine="480"/>
      </w:pPr>
    </w:p>
    <w:p>
      <w:pPr>
        <w:spacing w:line="360" w:lineRule="auto"/>
        <w:ind w:left="0" w:firstLine="0"/>
      </w:pPr>
      <w:r>
        <w:rPr>
          <w:rFonts w:hint="eastAsia"/>
        </w:rPr>
        <w:t xml:space="preserve">响应供应商全称（加盖公章）: </w:t>
      </w:r>
    </w:p>
    <w:p>
      <w:pPr>
        <w:spacing w:line="360" w:lineRule="auto"/>
        <w:ind w:left="0" w:firstLine="0"/>
      </w:pPr>
      <w:r>
        <w:rPr>
          <w:rFonts w:hint="eastAsia"/>
        </w:rPr>
        <w:t xml:space="preserve">法定代表人(签字)：               </w:t>
      </w:r>
    </w:p>
    <w:p>
      <w:pPr>
        <w:spacing w:line="360" w:lineRule="auto"/>
        <w:ind w:left="0" w:firstLine="0"/>
      </w:pPr>
      <w:r>
        <w:rPr>
          <w:rFonts w:hint="eastAsia"/>
        </w:rPr>
        <w:t xml:space="preserve">日    期：     年   月   </w:t>
      </w:r>
      <w:r>
        <w:t>日</w:t>
      </w: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6"/>
        <w:rPr>
          <w:b/>
          <w:bCs/>
          <w:sz w:val="24"/>
          <w:szCs w:val="24"/>
        </w:rPr>
      </w:pPr>
      <w:bookmarkStart w:id="2768" w:name="_Toc77206914"/>
      <w:bookmarkStart w:id="2769" w:name="_Toc79057577"/>
      <w:r>
        <w:rPr>
          <w:rFonts w:hint="eastAsia"/>
          <w:b/>
          <w:bCs/>
          <w:sz w:val="24"/>
          <w:szCs w:val="24"/>
        </w:rPr>
        <w:t>（十七）、近年发生的诉讼和仲裁情况</w:t>
      </w:r>
      <w:bookmarkEnd w:id="2768"/>
      <w:bookmarkEnd w:id="2769"/>
    </w:p>
    <w:p/>
    <w:p>
      <w:pPr>
        <w:pStyle w:val="2"/>
        <w:spacing w:line="360" w:lineRule="auto"/>
        <w:ind w:left="0" w:leftChars="0" w:firstLine="0" w:firstLineChars="0"/>
      </w:pPr>
      <w:r>
        <w:rPr>
          <w:rFonts w:hint="eastAsia"/>
        </w:rPr>
        <w:t>说明：</w:t>
      </w:r>
    </w:p>
    <w:p>
      <w:pPr>
        <w:pStyle w:val="2"/>
        <w:spacing w:line="360" w:lineRule="auto"/>
        <w:ind w:left="0" w:leftChars="0" w:firstLine="0" w:firstLineChars="0"/>
        <w:rPr>
          <w:bCs/>
        </w:rPr>
      </w:pPr>
      <w:r>
        <w:rPr>
          <w:rFonts w:hint="eastAsia"/>
        </w:rPr>
        <w:t>（1）投标人应说明相关情况，并附法院或仲裁机构作出的判决、裁决等有关法律文书复印件，具体年份要求为近</w:t>
      </w:r>
      <w:r>
        <w:rPr>
          <w:rFonts w:hint="eastAsia"/>
          <w:u w:val="single"/>
        </w:rPr>
        <w:t xml:space="preserve"> 三</w:t>
      </w:r>
      <w:r>
        <w:t>年</w:t>
      </w:r>
      <w:r>
        <w:rPr>
          <w:rFonts w:hint="eastAsia"/>
        </w:rPr>
        <w:t>，</w:t>
      </w:r>
      <w:r>
        <w:rPr>
          <w:rFonts w:hint="eastAsia"/>
          <w:bCs/>
        </w:rPr>
        <w:t>指</w:t>
      </w:r>
      <w:r>
        <w:rPr>
          <w:bCs/>
          <w:u w:val="single"/>
        </w:rPr>
        <w:t>2018</w:t>
      </w:r>
      <w:r>
        <w:rPr>
          <w:rFonts w:hint="eastAsia"/>
          <w:bCs/>
        </w:rPr>
        <w:t>年</w:t>
      </w:r>
      <w:r>
        <w:rPr>
          <w:rFonts w:hint="eastAsia"/>
          <w:bCs/>
          <w:u w:val="single"/>
        </w:rPr>
        <w:t>10</w:t>
      </w:r>
      <w:r>
        <w:rPr>
          <w:rFonts w:hint="eastAsia"/>
          <w:bCs/>
        </w:rPr>
        <w:t>月</w:t>
      </w:r>
      <w:r>
        <w:rPr>
          <w:bCs/>
          <w:u w:val="single"/>
        </w:rPr>
        <w:t>1</w:t>
      </w:r>
      <w:r>
        <w:rPr>
          <w:rFonts w:hint="eastAsia"/>
          <w:bCs/>
        </w:rPr>
        <w:t>日起至</w:t>
      </w:r>
      <w:r>
        <w:rPr>
          <w:bCs/>
          <w:u w:val="single"/>
        </w:rPr>
        <w:t>2021</w:t>
      </w:r>
      <w:r>
        <w:rPr>
          <w:rFonts w:hint="eastAsia"/>
          <w:bCs/>
        </w:rPr>
        <w:t>年</w:t>
      </w:r>
      <w:r>
        <w:rPr>
          <w:rFonts w:hint="eastAsia"/>
          <w:bCs/>
          <w:u w:val="single"/>
        </w:rPr>
        <w:t>10</w:t>
      </w:r>
      <w:r>
        <w:rPr>
          <w:rFonts w:hint="eastAsia"/>
          <w:bCs/>
        </w:rPr>
        <w:t>月</w:t>
      </w:r>
      <w:r>
        <w:rPr>
          <w:bCs/>
          <w:u w:val="single"/>
        </w:rPr>
        <w:t>1</w:t>
      </w:r>
      <w:r>
        <w:rPr>
          <w:rFonts w:hint="eastAsia"/>
          <w:bCs/>
        </w:rPr>
        <w:t>日止</w:t>
      </w:r>
      <w:r>
        <w:rPr>
          <w:rFonts w:hint="eastAsia"/>
        </w:rPr>
        <w:t>。</w:t>
      </w:r>
    </w:p>
    <w:p>
      <w:pPr>
        <w:pStyle w:val="2"/>
        <w:spacing w:line="360" w:lineRule="auto"/>
        <w:ind w:left="0" w:leftChars="0" w:firstLine="0" w:firstLineChars="0"/>
      </w:pPr>
      <w:r>
        <w:rPr>
          <w:rFonts w:hint="eastAsia"/>
        </w:rPr>
        <w:t>（2）近年发生的诉讼和仲裁情况仅限于投标人败诉的，且与履行施工承包合同有关的案件，不包括调解结案以及未裁决的仲裁或未终审判决的诉讼。</w:t>
      </w: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0" w:leftChars="0" w:firstLine="0" w:firstLineChars="0"/>
        <w:rPr>
          <w:bCs/>
        </w:rPr>
      </w:pPr>
      <w:r>
        <w:rPr>
          <w:rFonts w:hint="eastAsia"/>
          <w:bCs/>
        </w:rPr>
        <w:t>（十八）</w:t>
      </w:r>
      <w:r>
        <w:rPr>
          <w:bCs/>
        </w:rPr>
        <w:t>技术响应文件</w:t>
      </w:r>
    </w:p>
    <w:p>
      <w:pPr>
        <w:pStyle w:val="2"/>
        <w:ind w:left="0" w:leftChars="0" w:firstLine="0" w:firstLineChars="0"/>
      </w:pPr>
    </w:p>
    <w:p>
      <w:pPr>
        <w:pStyle w:val="5"/>
        <w:spacing w:line="360" w:lineRule="auto"/>
        <w:rPr>
          <w:rFonts w:ascii="宋体" w:hAnsi="宋体"/>
          <w:bCs/>
          <w:sz w:val="24"/>
          <w:szCs w:val="24"/>
        </w:rPr>
      </w:pPr>
      <w:bookmarkStart w:id="2770" w:name="_Toc79057578"/>
      <w:bookmarkStart w:id="2771" w:name="_Toc17403"/>
      <w:bookmarkStart w:id="2772" w:name="_Toc77206915"/>
      <w:bookmarkStart w:id="2773" w:name="_Toc86825550"/>
      <w:r>
        <w:rPr>
          <w:rFonts w:hint="eastAsia" w:ascii="宋体" w:hAnsi="宋体"/>
          <w:bCs/>
          <w:sz w:val="24"/>
          <w:szCs w:val="24"/>
        </w:rPr>
        <w:t>三</w:t>
      </w:r>
      <w:r>
        <w:rPr>
          <w:rFonts w:ascii="宋体" w:hAnsi="宋体"/>
          <w:bCs/>
          <w:sz w:val="24"/>
          <w:szCs w:val="24"/>
        </w:rPr>
        <w:t>、技术响应文件</w:t>
      </w:r>
      <w:bookmarkEnd w:id="2770"/>
      <w:bookmarkEnd w:id="2771"/>
      <w:bookmarkEnd w:id="2772"/>
      <w:bookmarkEnd w:id="2773"/>
    </w:p>
    <w:p/>
    <w:p>
      <w:pPr>
        <w:spacing w:line="360" w:lineRule="auto"/>
        <w:ind w:left="11" w:firstLine="480" w:firstLineChars="200"/>
        <w:rPr>
          <w:szCs w:val="21"/>
        </w:rPr>
      </w:pPr>
      <w:r>
        <w:rPr>
          <w:rFonts w:hint="eastAsia"/>
          <w:szCs w:val="21"/>
        </w:rPr>
        <w:t xml:space="preserve">1. </w:t>
      </w:r>
      <w:r>
        <w:rPr>
          <w:szCs w:val="21"/>
        </w:rPr>
        <w:t>投标人应</w:t>
      </w:r>
      <w:r>
        <w:rPr>
          <w:rFonts w:hint="eastAsia"/>
          <w:szCs w:val="21"/>
        </w:rPr>
        <w:t>根据招标文件情况，</w:t>
      </w:r>
      <w:r>
        <w:rPr>
          <w:szCs w:val="21"/>
        </w:rPr>
        <w:t>采用文字并结合图表形式</w:t>
      </w:r>
      <w:r>
        <w:rPr>
          <w:rFonts w:hint="eastAsia"/>
          <w:szCs w:val="21"/>
        </w:rPr>
        <w:t>，</w:t>
      </w:r>
      <w:r>
        <w:rPr>
          <w:szCs w:val="21"/>
        </w:rPr>
        <w:t>编制本</w:t>
      </w:r>
      <w:r>
        <w:rPr>
          <w:rFonts w:hint="eastAsia"/>
          <w:szCs w:val="21"/>
        </w:rPr>
        <w:t>项目</w:t>
      </w:r>
      <w:r>
        <w:rPr>
          <w:szCs w:val="21"/>
        </w:rPr>
        <w:t>的施工组织设计</w:t>
      </w:r>
      <w:r>
        <w:rPr>
          <w:rFonts w:hint="eastAsia"/>
          <w:szCs w:val="21"/>
        </w:rPr>
        <w:t>。</w:t>
      </w:r>
    </w:p>
    <w:p>
      <w:pPr>
        <w:pStyle w:val="2"/>
        <w:ind w:left="480" w:firstLine="480"/>
      </w:pPr>
    </w:p>
    <w:p>
      <w:pPr>
        <w:pStyle w:val="2"/>
        <w:ind w:left="0" w:leftChars="0" w:firstLine="480"/>
      </w:pPr>
      <w:r>
        <w:rPr>
          <w:rFonts w:hint="eastAsia"/>
        </w:rPr>
        <w:t>备注：</w:t>
      </w:r>
      <w:r>
        <w:t>按技术评审细则要求提供（格式自定）：</w:t>
      </w:r>
    </w:p>
    <w:p>
      <w:pPr>
        <w:pStyle w:val="2"/>
        <w:ind w:left="480" w:firstLine="480"/>
      </w:pPr>
    </w:p>
    <w:p>
      <w:pPr>
        <w:spacing w:after="0" w:line="360" w:lineRule="auto"/>
        <w:ind w:left="0" w:firstLine="0"/>
        <w:rPr>
          <w:szCs w:val="24"/>
        </w:rPr>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4"/>
        <w:spacing w:line="360" w:lineRule="auto"/>
        <w:jc w:val="center"/>
        <w:rPr>
          <w:rFonts w:ascii="宋体" w:hAnsi="宋体" w:eastAsia="宋体"/>
          <w:b/>
          <w:bCs/>
          <w:sz w:val="24"/>
          <w:szCs w:val="24"/>
        </w:rPr>
      </w:pPr>
      <w:bookmarkStart w:id="2774" w:name="_Toc86825551"/>
      <w:bookmarkStart w:id="2775" w:name="_Toc79057579"/>
      <w:bookmarkStart w:id="2776" w:name="_Toc77206916"/>
      <w:bookmarkStart w:id="2777" w:name="_Toc5137"/>
      <w:r>
        <w:rPr>
          <w:rFonts w:hint="eastAsia" w:ascii="宋体" w:hAnsi="宋体" w:eastAsia="宋体"/>
          <w:b/>
          <w:bCs/>
          <w:sz w:val="24"/>
          <w:szCs w:val="24"/>
        </w:rPr>
        <w:t>四、最终报价表</w:t>
      </w:r>
      <w:bookmarkEnd w:id="2774"/>
      <w:bookmarkEnd w:id="2775"/>
      <w:bookmarkEnd w:id="2776"/>
      <w:bookmarkEnd w:id="2777"/>
    </w:p>
    <w:p>
      <w:pPr>
        <w:spacing w:line="360" w:lineRule="auto"/>
        <w:rPr>
          <w:szCs w:val="24"/>
        </w:rPr>
      </w:pPr>
    </w:p>
    <w:tbl>
      <w:tblPr>
        <w:tblStyle w:val="36"/>
        <w:tblW w:w="90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8"/>
        <w:gridCol w:w="3512"/>
        <w:gridCol w:w="1436"/>
        <w:gridCol w:w="27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1398" w:type="dxa"/>
            <w:vAlign w:val="center"/>
          </w:tcPr>
          <w:p>
            <w:pPr>
              <w:spacing w:line="360" w:lineRule="auto"/>
              <w:rPr>
                <w:szCs w:val="24"/>
              </w:rPr>
            </w:pPr>
            <w:r>
              <w:rPr>
                <w:rFonts w:hint="eastAsia"/>
                <w:szCs w:val="24"/>
              </w:rPr>
              <w:t>项目名称</w:t>
            </w:r>
          </w:p>
        </w:tc>
        <w:tc>
          <w:tcPr>
            <w:tcW w:w="7681" w:type="dxa"/>
            <w:gridSpan w:val="3"/>
            <w:vAlign w:val="center"/>
          </w:tcPr>
          <w:p>
            <w:pPr>
              <w:spacing w:line="360" w:lineRule="auto"/>
              <w:rPr>
                <w:szCs w:val="24"/>
              </w:rPr>
            </w:pPr>
            <w:r>
              <w:rPr>
                <w:rFonts w:hint="eastAsia"/>
                <w:szCs w:val="24"/>
              </w:rPr>
              <w:t>北京市房山区人民防空办公室加州水郡西区、中冶蓝城地下人防工程维修工程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398" w:type="dxa"/>
            <w:vAlign w:val="center"/>
          </w:tcPr>
          <w:p>
            <w:pPr>
              <w:spacing w:line="360" w:lineRule="auto"/>
              <w:rPr>
                <w:szCs w:val="24"/>
              </w:rPr>
            </w:pPr>
            <w:r>
              <w:rPr>
                <w:rFonts w:hint="eastAsia"/>
                <w:szCs w:val="24"/>
              </w:rPr>
              <w:t>项目编号</w:t>
            </w:r>
          </w:p>
        </w:tc>
        <w:tc>
          <w:tcPr>
            <w:tcW w:w="7681" w:type="dxa"/>
            <w:gridSpan w:val="3"/>
            <w:vAlign w:val="center"/>
          </w:tcPr>
          <w:p>
            <w:pPr>
              <w:spacing w:line="360" w:lineRule="auto"/>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398" w:type="dxa"/>
            <w:vAlign w:val="center"/>
          </w:tcPr>
          <w:p>
            <w:pPr>
              <w:spacing w:line="360" w:lineRule="auto"/>
              <w:rPr>
                <w:szCs w:val="24"/>
              </w:rPr>
            </w:pPr>
            <w:r>
              <w:rPr>
                <w:rFonts w:hint="eastAsia"/>
                <w:szCs w:val="24"/>
              </w:rPr>
              <w:t>磋商时间</w:t>
            </w:r>
          </w:p>
        </w:tc>
        <w:tc>
          <w:tcPr>
            <w:tcW w:w="3512" w:type="dxa"/>
            <w:vAlign w:val="center"/>
          </w:tcPr>
          <w:p>
            <w:pPr>
              <w:spacing w:line="360" w:lineRule="auto"/>
              <w:ind w:left="120" w:hanging="120" w:hangingChars="50"/>
              <w:rPr>
                <w:szCs w:val="24"/>
              </w:rPr>
            </w:pPr>
          </w:p>
        </w:tc>
        <w:tc>
          <w:tcPr>
            <w:tcW w:w="1436" w:type="dxa"/>
            <w:vAlign w:val="center"/>
          </w:tcPr>
          <w:p>
            <w:pPr>
              <w:spacing w:line="360" w:lineRule="auto"/>
              <w:rPr>
                <w:szCs w:val="24"/>
              </w:rPr>
            </w:pPr>
            <w:r>
              <w:rPr>
                <w:rFonts w:hint="eastAsia"/>
                <w:szCs w:val="24"/>
              </w:rPr>
              <w:t>磋商地点</w:t>
            </w:r>
          </w:p>
        </w:tc>
        <w:tc>
          <w:tcPr>
            <w:tcW w:w="2733" w:type="dxa"/>
            <w:vAlign w:val="center"/>
          </w:tcPr>
          <w:p>
            <w:pPr>
              <w:spacing w:line="360" w:lineRule="auto"/>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1398" w:type="dxa"/>
            <w:vAlign w:val="center"/>
          </w:tcPr>
          <w:p>
            <w:pPr>
              <w:spacing w:line="360" w:lineRule="auto"/>
              <w:rPr>
                <w:szCs w:val="24"/>
              </w:rPr>
            </w:pPr>
            <w:r>
              <w:rPr>
                <w:rFonts w:hint="eastAsia"/>
                <w:szCs w:val="24"/>
              </w:rPr>
              <w:t>磋商单位</w:t>
            </w:r>
          </w:p>
        </w:tc>
        <w:tc>
          <w:tcPr>
            <w:tcW w:w="7681" w:type="dxa"/>
            <w:gridSpan w:val="3"/>
            <w:vAlign w:val="center"/>
          </w:tcPr>
          <w:p>
            <w:pPr>
              <w:spacing w:line="360" w:lineRule="auto"/>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6" w:hRule="atLeast"/>
        </w:trPr>
        <w:tc>
          <w:tcPr>
            <w:tcW w:w="1398" w:type="dxa"/>
            <w:vAlign w:val="center"/>
          </w:tcPr>
          <w:p>
            <w:pPr>
              <w:spacing w:line="360" w:lineRule="auto"/>
              <w:rPr>
                <w:szCs w:val="24"/>
              </w:rPr>
            </w:pPr>
            <w:r>
              <w:rPr>
                <w:rFonts w:hint="eastAsia"/>
                <w:szCs w:val="24"/>
              </w:rPr>
              <w:t>首次报价</w:t>
            </w:r>
          </w:p>
        </w:tc>
        <w:tc>
          <w:tcPr>
            <w:tcW w:w="7681" w:type="dxa"/>
            <w:gridSpan w:val="3"/>
            <w:vAlign w:val="center"/>
          </w:tcPr>
          <w:p>
            <w:pPr>
              <w:spacing w:line="360" w:lineRule="auto"/>
              <w:rPr>
                <w:szCs w:val="24"/>
              </w:rPr>
            </w:pPr>
            <w:r>
              <w:rPr>
                <w:rFonts w:hint="eastAsia"/>
                <w:szCs w:val="24"/>
              </w:rPr>
              <w:t>大写：人民币</w:t>
            </w:r>
          </w:p>
          <w:p>
            <w:pPr>
              <w:spacing w:line="360" w:lineRule="auto"/>
              <w:rPr>
                <w:szCs w:val="24"/>
                <w:u w:val="single"/>
              </w:rPr>
            </w:pPr>
            <w:r>
              <w:rPr>
                <w:rFonts w:hint="eastAsia"/>
                <w:szCs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6" w:hRule="atLeast"/>
        </w:trPr>
        <w:tc>
          <w:tcPr>
            <w:tcW w:w="1398" w:type="dxa"/>
            <w:vAlign w:val="center"/>
          </w:tcPr>
          <w:p>
            <w:pPr>
              <w:spacing w:line="360" w:lineRule="auto"/>
              <w:rPr>
                <w:szCs w:val="24"/>
              </w:rPr>
            </w:pPr>
            <w:r>
              <w:rPr>
                <w:rFonts w:hint="eastAsia"/>
                <w:szCs w:val="24"/>
              </w:rPr>
              <w:t>最终报价</w:t>
            </w:r>
          </w:p>
        </w:tc>
        <w:tc>
          <w:tcPr>
            <w:tcW w:w="7681" w:type="dxa"/>
            <w:gridSpan w:val="3"/>
            <w:vAlign w:val="center"/>
          </w:tcPr>
          <w:p>
            <w:pPr>
              <w:spacing w:line="360" w:lineRule="auto"/>
              <w:rPr>
                <w:szCs w:val="24"/>
                <w:u w:val="single"/>
              </w:rPr>
            </w:pPr>
            <w:r>
              <w:rPr>
                <w:rFonts w:hint="eastAsia"/>
                <w:szCs w:val="24"/>
              </w:rPr>
              <w:t>大写：人民币</w:t>
            </w:r>
          </w:p>
          <w:p>
            <w:pPr>
              <w:spacing w:line="360" w:lineRule="auto"/>
              <w:rPr>
                <w:szCs w:val="24"/>
                <w:u w:val="single"/>
              </w:rPr>
            </w:pPr>
            <w:r>
              <w:rPr>
                <w:rFonts w:hint="eastAsia"/>
                <w:szCs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8" w:hRule="atLeast"/>
        </w:trPr>
        <w:tc>
          <w:tcPr>
            <w:tcW w:w="9079" w:type="dxa"/>
            <w:gridSpan w:val="4"/>
            <w:vAlign w:val="center"/>
          </w:tcPr>
          <w:p>
            <w:pPr>
              <w:spacing w:line="360" w:lineRule="auto"/>
              <w:rPr>
                <w:szCs w:val="24"/>
              </w:rPr>
            </w:pPr>
          </w:p>
          <w:p>
            <w:pPr>
              <w:spacing w:line="360" w:lineRule="auto"/>
              <w:rPr>
                <w:szCs w:val="24"/>
              </w:rPr>
            </w:pPr>
            <w:r>
              <w:rPr>
                <w:rFonts w:hint="eastAsia"/>
                <w:szCs w:val="24"/>
              </w:rPr>
              <w:t>最终服务承诺：</w:t>
            </w: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r>
              <w:rPr>
                <w:rFonts w:hint="eastAsia"/>
                <w:szCs w:val="24"/>
              </w:rPr>
              <w:t xml:space="preserve">                                磋商单位：</w:t>
            </w:r>
          </w:p>
          <w:p>
            <w:pPr>
              <w:spacing w:line="360" w:lineRule="auto"/>
              <w:rPr>
                <w:szCs w:val="24"/>
              </w:rPr>
            </w:pPr>
            <w:r>
              <w:rPr>
                <w:rFonts w:hint="eastAsia"/>
                <w:szCs w:val="24"/>
              </w:rPr>
              <w:t xml:space="preserve">                                授权代理人（签字）</w:t>
            </w:r>
          </w:p>
          <w:p>
            <w:pPr>
              <w:spacing w:line="360" w:lineRule="auto"/>
              <w:rPr>
                <w:szCs w:val="24"/>
              </w:rPr>
            </w:pPr>
            <w:r>
              <w:rPr>
                <w:rFonts w:hint="eastAsia"/>
                <w:szCs w:val="24"/>
              </w:rPr>
              <w:t xml:space="preserve">                                日期：</w:t>
            </w:r>
          </w:p>
        </w:tc>
      </w:tr>
    </w:tbl>
    <w:p>
      <w:pPr>
        <w:spacing w:line="360" w:lineRule="auto"/>
        <w:rPr>
          <w:szCs w:val="24"/>
        </w:rPr>
      </w:pPr>
      <w:r>
        <w:rPr>
          <w:rFonts w:hint="eastAsia"/>
          <w:szCs w:val="24"/>
        </w:rPr>
        <w:t>注：1、本表一式二份要求供应商盖好公章装在档案袋中单独手持。</w:t>
      </w:r>
    </w:p>
    <w:p>
      <w:pPr>
        <w:spacing w:after="0" w:line="360" w:lineRule="auto"/>
        <w:ind w:left="0" w:firstLine="0"/>
        <w:rPr>
          <w:szCs w:val="24"/>
        </w:rPr>
      </w:pPr>
    </w:p>
    <w:sectPr>
      <w:footerReference r:id="rId22" w:type="default"/>
      <w:headerReference r:id="rId21" w:type="even"/>
      <w:footerReference r:id="rId23"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firstLine="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firstLine="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firstLine="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firstLine="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610" w:firstLine="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791" w:firstLine="0"/>
    </w:pPr>
    <w:r>
      <w:rPr>
        <w:rFonts w:ascii="Calibri" w:hAnsi="Calibri" w:eastAsia="Calibri" w:cs="Calibri"/>
        <w:sz w:val="22"/>
      </w:rPr>
      <w:pict>
        <v:group id="Group 64211" o:spid="_x0000_s2064" o:spt="203" style="position:absolute;left:0pt;margin-left:69.4pt;margin-top:786.15pt;height:0.5pt;width:438.5pt;mso-position-horizontal-relative:page;mso-position-vertical-relative:page;mso-wrap-distance-bottom:0pt;mso-wrap-distance-left:9pt;mso-wrap-distance-right:9pt;mso-wrap-distance-top:0pt;z-index:251661312;mso-width-relative:page;mso-height-relative:page;" coordsize="0,60962" o:gfxdata="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snR272wAAAA4BAAAPAAAAAAAAAAEAIAAAACIAAABkcnMv&#10;ZG93bnJldi54bWxQSwECFAAUAAAACACHTuJASAlJYzkCAACUBQAADgAAAAAAAAABACAAAAAqAQAA&#10;ZHJzL2Uyb0RvYy54bWxQSwUGAAAAAAYABgBZAQAA1QUAAAAA&#10;">
          <o:lock v:ext="edit"/>
          <v:shape id="Shape 68328" o:spid="_x0000_s2065" o:spt="100" style="position:absolute;left:0;top:0;height:0;width:0;" fillcolor="#000000" filled="t" stroked="f" coordsize="5568697,9144" o:gfxdata="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2DkFb4A&#10;AADeAAAADwAAAAAAAAABACAAAAAiAAAAZHJzL2Rvd25yZXYueG1sUEsBAhQAFAAAAAgAh07iQDMv&#10;BZ47AAAAOQAAABAAAAAAAAAAAQAgAAAADQEAAGRycy9zaGFwZXhtbC54bWxQSwUGAAAAAAYABgBb&#10;AQAAtwMAAAAA&#10;" adj="" path="m0,0l5568697,0,5568697,9144,0,9144,0,0e">
            <v:path o:connecttype="segments"/>
            <v:fill on="t" focussize="0,0"/>
            <v:stroke on="f" weight="0pt" miterlimit="1" joinstyle="miter"/>
            <v:imagedata o:title=""/>
            <o:lock v:ext="edit"/>
          </v:shape>
          <w10:wrap type="square"/>
        </v:group>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791" w:firstLine="0"/>
    </w:pPr>
    <w:r>
      <w:rPr>
        <w:rFonts w:ascii="Calibri" w:hAnsi="Calibri" w:eastAsia="Calibri" w:cs="Calibri"/>
        <w:sz w:val="22"/>
      </w:rPr>
      <w:pict>
        <v:group id="Group 64149" o:spid="_x0000_s2058" o:spt="203" style="position:absolute;left:0pt;margin-left:69.4pt;margin-top:786.15pt;height:0.5pt;width:438.5pt;mso-position-horizontal-relative:page;mso-position-vertical-relative:page;mso-wrap-distance-bottom:0pt;mso-wrap-distance-left:9pt;mso-wrap-distance-right:9pt;mso-wrap-distance-top:0pt;z-index:251662336;mso-width-relative:page;mso-height-relative:page;" coordsize="0,60962" o:gfxdata="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ydHbvbAAAADgEAAA8AAAAAAAAAAQAgAAAAIgAAAGRycy9k&#10;b3ducmV2LnhtbFBLAQIUABQAAAAIAIdO4kAf9ekBOAIAAJQFAAAOAAAAAAAAAAEAIAAAACoBAABk&#10;cnMvZTJvRG9jLnhtbFBLBQYAAAAABgAGAFkBAADUBQAAAAA=&#10;">
          <o:lock v:ext="edit"/>
          <v:shape id="Shape 68324" o:spid="_x0000_s2059" o:spt="100" style="position:absolute;left:0;top:0;height:0;width:0;" fillcolor="#000000" filled="t" stroked="f" coordsize="5568697,9144" o:gfxdata="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i3u&#10;EMEAAADeAAAADwAAAAAAAAABACAAAAAiAAAAZHJzL2Rvd25yZXYueG1sUEsBAhQAFAAAAAgAh07i&#10;QDMvBZ47AAAAOQAAABAAAAAAAAAAAQAgAAAAEAEAAGRycy9zaGFwZXhtbC54bWxQSwUGAAAAAAYA&#10;BgBbAQAAugMAAAAA&#10;" adj="" path="m0,0l5568697,0,5568697,9144,0,9144,0,0e">
            <v:path o:connecttype="segments"/>
            <v:fill on="t" focussize="0,0"/>
            <v:stroke on="f" weight="0pt" miterlimit="1" joinstyle="miter"/>
            <v:imagedata o:title=""/>
            <o:lock v:ext="edit"/>
          </v:shape>
          <w10:wrap type="square"/>
        </v:group>
      </w:pict>
    </w:r>
    <w:r>
      <w:rPr>
        <w:sz w:val="18"/>
      </w:rPr>
      <w:t>第</w:t>
    </w:r>
    <w:r>
      <w:fldChar w:fldCharType="begin"/>
    </w:r>
    <w:r>
      <w:instrText xml:space="preserve"> PAGE   \* MERGEFORMAT </w:instrText>
    </w:r>
    <w:r>
      <w:fldChar w:fldCharType="separate"/>
    </w:r>
    <w:r>
      <w:rPr>
        <w:rFonts w:ascii="Times New Roman" w:hAnsi="Times New Roman" w:eastAsia="Times New Roman" w:cs="Times New Roman"/>
        <w:sz w:val="18"/>
      </w:rPr>
      <w:t>10</w:t>
    </w:r>
    <w:r>
      <w:rPr>
        <w:rFonts w:ascii="Times New Roman" w:hAnsi="Times New Roman" w:eastAsia="Times New Roman" w:cs="Times New Roman"/>
        <w:sz w:val="18"/>
      </w:rPr>
      <w:fldChar w:fldCharType="end"/>
    </w:r>
    <w:r>
      <w:rPr>
        <w:sz w:val="18"/>
      </w:rPr>
      <w:t>页共</w:t>
    </w:r>
    <w:r>
      <w:fldChar w:fldCharType="begin"/>
    </w:r>
    <w:r>
      <w:instrText xml:space="preserve"> NUMPAGES   \* MERGEFORMAT </w:instrText>
    </w:r>
    <w:r>
      <w:fldChar w:fldCharType="separate"/>
    </w:r>
    <w:r>
      <w:t>133</w:t>
    </w:r>
    <w:r>
      <w:fldChar w:fldCharType="end"/>
    </w:r>
    <w:r>
      <w:rPr>
        <w:sz w:val="18"/>
      </w:rPr>
      <w:t>页广州群生招标代理有限公司韶关分公司编制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firstLine="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firstLine="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fldChar w:fldCharType="separate"/>
    </w:r>
    <w:r>
      <w:rPr>
        <w:lang w:val="zh-CN"/>
      </w:rPr>
      <w:t>225</w:t>
    </w:r>
    <w:r>
      <w:rPr>
        <w:lang w:val="zh-CN"/>
      </w:rPr>
      <w:fldChar w:fldCharType="end"/>
    </w:r>
  </w:p>
  <w:p>
    <w:pPr>
      <w:tabs>
        <w:tab w:val="left" w:pos="466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2" w:lineRule="auto"/>
      </w:pPr>
      <w:r>
        <w:separator/>
      </w:r>
    </w:p>
  </w:footnote>
  <w:footnote w:type="continuationSeparator" w:id="1">
    <w:p>
      <w:pPr>
        <w:spacing w:before="0" w:after="0" w:line="26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135"/>
      </w:tabs>
      <w:spacing w:after="0" w:line="259" w:lineRule="auto"/>
      <w:ind w:left="0" w:firstLine="0"/>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60"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60" w:firstLine="0"/>
      <w:jc w:val="center"/>
    </w:pPr>
    <w:r>
      <w:rPr>
        <w:rFonts w:ascii="Calibri" w:hAnsi="Calibri" w:eastAsia="Calibri" w:cs="Calibri"/>
        <w:sz w:val="22"/>
      </w:rPr>
      <w:pict>
        <v:group id="Group 64126" o:spid="_x0000_s2060" o:spt="203" style="position:absolute;left:0pt;margin-left:69.4pt;margin-top:54.35pt;height:2.9pt;width:456.5pt;mso-position-horizontal-relative:page;mso-position-vertical-relative:page;mso-wrap-distance-bottom:0pt;mso-wrap-distance-left:9pt;mso-wrap-distance-right:9pt;mso-wrap-distance-top:0pt;z-index:251660288;mso-width-relative:page;mso-height-relative:page;" coordsize="0,365762" o:gfxdata="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9dGYGdoAAAAMAQAADwAAAAAAAAABACAAAAAiAAAAZHJzL2Rvd25yZXYueG1s&#10;UEsBAhQAFAAAAAgAh07iQIPa2gVoAgAAdAgAAA4AAAAAAAAAAQAgAAAAKQEAAGRycy9lMm9Eb2Mu&#10;eG1sUEsFBgAAAAAGAAYAWQEAAAMGAAAAAA==&#10;">
          <o:lock v:ext="edit"/>
          <v:shape id="Shape 68292" o:spid="_x0000_s2062" o:spt="100" style="position:absolute;left:0;top:0;height:0;width:0;" fillcolor="#000000" filled="t" stroked="f" coordsize="5797297,12192" o:gfxdata="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aDsy74A&#10;AADeAAAADwAAAAAAAAABACAAAAAiAAAAZHJzL2Rvd25yZXYueG1sUEsBAhQAFAAAAAgAh07iQDMv&#10;BZ47AAAAOQAAABAAAAAAAAAAAQAgAAAADQEAAGRycy9zaGFwZXhtbC54bWxQSwUGAAAAAAYABgBb&#10;AQAAtwMAAAAA&#10;" adj="" path="m0,0l5797297,0,5797297,12192,0,12192,0,0e">
            <v:path o:connecttype="segments"/>
            <v:fill on="t" focussize="0,0"/>
            <v:stroke on="f" weight="0pt" miterlimit="1" joinstyle="miter"/>
            <v:imagedata o:title=""/>
            <o:lock v:ext="edit"/>
          </v:shape>
          <v:shape id="Shape 68293" o:spid="_x0000_s2061" o:spt="100" style="position:absolute;left:0;top:0;height:0;width:0;" fillcolor="#000000" filled="t" stroked="f" coordsize="5797297,12192" o:gfxdata="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uxJUL4A&#10;AADeAAAADwAAAAAAAAABACAAAAAiAAAAZHJzL2Rvd25yZXYueG1sUEsBAhQAFAAAAAgAh07iQDMv&#10;BZ47AAAAOQAAABAAAAAAAAAAAQAgAAAADQEAAGRycy9zaGFwZXhtbC54bWxQSwUGAAAAAAYABgBb&#10;AQAAtwMAAAAA&#10;" adj="" path="m0,0l5797297,0,5797297,12192,0,12192,0,0e">
            <v:path o:connecttype="segments"/>
            <v:fill on="t" focussize="0,0"/>
            <v:stroke on="f" weight="0pt" miterlimit="1" joinstyle="miter"/>
            <v:imagedata o:title=""/>
            <o:lock v:ext="edit"/>
          </v:shape>
          <w10:wrap type="square"/>
        </v:group>
      </w:pict>
    </w:r>
    <w:r>
      <w:rPr>
        <w:sz w:val="18"/>
      </w:rPr>
      <w:t xml:space="preserve">广东省韶关监狱至城背村公路建设工程项目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03"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099D6F"/>
    <w:multiLevelType w:val="singleLevel"/>
    <w:tmpl w:val="CA099D6F"/>
    <w:lvl w:ilvl="0" w:tentative="0">
      <w:start w:val="9"/>
      <w:numFmt w:val="chineseCounting"/>
      <w:suff w:val="nothing"/>
      <w:lvlText w:val="%1、"/>
      <w:lvlJc w:val="left"/>
      <w:rPr>
        <w:rFonts w:hint="eastAsia"/>
      </w:rPr>
    </w:lvl>
  </w:abstractNum>
  <w:abstractNum w:abstractNumId="1">
    <w:nsid w:val="01B662A7"/>
    <w:multiLevelType w:val="multilevel"/>
    <w:tmpl w:val="01B662A7"/>
    <w:lvl w:ilvl="0" w:tentative="0">
      <w:start w:val="1"/>
      <w:numFmt w:val="decimal"/>
      <w:lvlText w:val="（%1）"/>
      <w:lvlJc w:val="left"/>
      <w:pPr>
        <w:ind w:left="170"/>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08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80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52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24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96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68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40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12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2">
    <w:nsid w:val="0E370C23"/>
    <w:multiLevelType w:val="multilevel"/>
    <w:tmpl w:val="0E370C23"/>
    <w:lvl w:ilvl="0" w:tentative="0">
      <w:start w:val="1"/>
      <w:numFmt w:val="decimal"/>
      <w:lvlText w:val="（%1）"/>
      <w:lvlJc w:val="left"/>
      <w:pPr>
        <w:ind w:left="766"/>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3">
    <w:nsid w:val="1064737B"/>
    <w:multiLevelType w:val="multilevel"/>
    <w:tmpl w:val="1064737B"/>
    <w:lvl w:ilvl="0" w:tentative="0">
      <w:start w:val="1"/>
      <w:numFmt w:val="decimal"/>
      <w:lvlText w:val="（%1）"/>
      <w:lvlJc w:val="left"/>
      <w:pPr>
        <w:ind w:left="1"/>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188"/>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908"/>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628"/>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348"/>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068"/>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788"/>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508"/>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228"/>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4">
    <w:nsid w:val="17D03F68"/>
    <w:multiLevelType w:val="multilevel"/>
    <w:tmpl w:val="17D03F68"/>
    <w:lvl w:ilvl="0" w:tentative="0">
      <w:start w:val="1"/>
      <w:numFmt w:val="decimal"/>
      <w:lvlText w:val="%1."/>
      <w:lvlJc w:val="left"/>
      <w:pPr>
        <w:ind w:left="970"/>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620"/>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340"/>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60"/>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80"/>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500"/>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220"/>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940"/>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60"/>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5">
    <w:nsid w:val="19C374AB"/>
    <w:multiLevelType w:val="multilevel"/>
    <w:tmpl w:val="19C374A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1096934"/>
    <w:multiLevelType w:val="multilevel"/>
    <w:tmpl w:val="61096934"/>
    <w:lvl w:ilvl="0" w:tentative="0">
      <w:start w:val="1"/>
      <w:numFmt w:val="decimal"/>
      <w:lvlText w:val="（%1）"/>
      <w:lvlJc w:val="left"/>
      <w:pPr>
        <w:ind w:left="176"/>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宋体" w:hAnsi="宋体" w:eastAsia="宋体" w:cs="宋体"/>
        <w:b w:val="0"/>
        <w:i w:val="0"/>
        <w:strike w:val="0"/>
        <w:dstrike w:val="0"/>
        <w:color w:val="000000"/>
        <w:sz w:val="24"/>
        <w:szCs w:val="24"/>
        <w:u w:val="none" w:color="000000"/>
        <w:shd w:val="clear" w:color="auto" w:fill="auto"/>
        <w:vertAlign w:val="baseline"/>
      </w:rPr>
    </w:lvl>
  </w:abstractNum>
  <w:num w:numId="1">
    <w:abstractNumId w:val="0"/>
  </w:num>
  <w:num w:numId="2">
    <w:abstractNumId w:val="6"/>
  </w:num>
  <w:num w:numId="3">
    <w:abstractNumId w:val="2"/>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evenAndOddHeaders w:val="1"/>
  <w:characterSpacingControl w:val="doNotCompress"/>
  <w:hdrShapeDefaults>
    <o:shapelayout v:ext="edit">
      <o:idmap v:ext="edit" data="2"/>
    </o:shapelayout>
  </w:hdrShapeDefaults>
  <w:footnotePr>
    <w:footnote w:id="0"/>
    <w:footnote w:id="1"/>
  </w:footnotePr>
  <w:endnotePr>
    <w:endnote w:id="0"/>
    <w:endnote w:id="1"/>
  </w:endnotePr>
  <w:compat>
    <w:useFELayout/>
    <w:compatSetting w:name="compatibilityMode" w:uri="http://schemas.microsoft.com/office/word" w:val="12"/>
  </w:compat>
  <w:rsids>
    <w:rsidRoot w:val="000C64EB"/>
    <w:rsid w:val="0000573E"/>
    <w:rsid w:val="000178F6"/>
    <w:rsid w:val="000237D1"/>
    <w:rsid w:val="00031635"/>
    <w:rsid w:val="00031F6E"/>
    <w:rsid w:val="00032B8D"/>
    <w:rsid w:val="00036FF6"/>
    <w:rsid w:val="000433B6"/>
    <w:rsid w:val="00043A75"/>
    <w:rsid w:val="00047AC0"/>
    <w:rsid w:val="00057614"/>
    <w:rsid w:val="00070C85"/>
    <w:rsid w:val="00070D35"/>
    <w:rsid w:val="00081FB8"/>
    <w:rsid w:val="000A5CF4"/>
    <w:rsid w:val="000B18DC"/>
    <w:rsid w:val="000C1153"/>
    <w:rsid w:val="000C1929"/>
    <w:rsid w:val="000C64EB"/>
    <w:rsid w:val="000D0FD0"/>
    <w:rsid w:val="000D10CF"/>
    <w:rsid w:val="000F39CA"/>
    <w:rsid w:val="00101E6B"/>
    <w:rsid w:val="0010247E"/>
    <w:rsid w:val="001051BD"/>
    <w:rsid w:val="001068AD"/>
    <w:rsid w:val="001142CD"/>
    <w:rsid w:val="00116B20"/>
    <w:rsid w:val="00150AF6"/>
    <w:rsid w:val="001541D5"/>
    <w:rsid w:val="0016255F"/>
    <w:rsid w:val="0016650B"/>
    <w:rsid w:val="001712D1"/>
    <w:rsid w:val="00183619"/>
    <w:rsid w:val="00184F24"/>
    <w:rsid w:val="00190821"/>
    <w:rsid w:val="001A50B8"/>
    <w:rsid w:val="001B25BF"/>
    <w:rsid w:val="001B3CE4"/>
    <w:rsid w:val="001B4497"/>
    <w:rsid w:val="001C61D0"/>
    <w:rsid w:val="001D3490"/>
    <w:rsid w:val="001D423F"/>
    <w:rsid w:val="001D5035"/>
    <w:rsid w:val="001D6584"/>
    <w:rsid w:val="001E0F3A"/>
    <w:rsid w:val="001F3240"/>
    <w:rsid w:val="001F483B"/>
    <w:rsid w:val="001F4873"/>
    <w:rsid w:val="00203AB6"/>
    <w:rsid w:val="00204202"/>
    <w:rsid w:val="00204CB6"/>
    <w:rsid w:val="002051D2"/>
    <w:rsid w:val="00210AFA"/>
    <w:rsid w:val="00210C95"/>
    <w:rsid w:val="00217BF9"/>
    <w:rsid w:val="00221D3F"/>
    <w:rsid w:val="00226F22"/>
    <w:rsid w:val="00233A0B"/>
    <w:rsid w:val="0023465E"/>
    <w:rsid w:val="00236C60"/>
    <w:rsid w:val="00246441"/>
    <w:rsid w:val="00247F63"/>
    <w:rsid w:val="00251FC8"/>
    <w:rsid w:val="002521A2"/>
    <w:rsid w:val="00266523"/>
    <w:rsid w:val="00280F20"/>
    <w:rsid w:val="002848A5"/>
    <w:rsid w:val="00292008"/>
    <w:rsid w:val="002924B7"/>
    <w:rsid w:val="00296696"/>
    <w:rsid w:val="002B410E"/>
    <w:rsid w:val="002C260E"/>
    <w:rsid w:val="002C3347"/>
    <w:rsid w:val="002D42CB"/>
    <w:rsid w:val="002F2E0A"/>
    <w:rsid w:val="002F69E5"/>
    <w:rsid w:val="00303698"/>
    <w:rsid w:val="003044F8"/>
    <w:rsid w:val="00304578"/>
    <w:rsid w:val="00304AA3"/>
    <w:rsid w:val="00313990"/>
    <w:rsid w:val="003209A4"/>
    <w:rsid w:val="00324531"/>
    <w:rsid w:val="003265BF"/>
    <w:rsid w:val="0033367B"/>
    <w:rsid w:val="00337901"/>
    <w:rsid w:val="00337E5B"/>
    <w:rsid w:val="003539FE"/>
    <w:rsid w:val="00353A3A"/>
    <w:rsid w:val="003655C3"/>
    <w:rsid w:val="00380513"/>
    <w:rsid w:val="00381CB8"/>
    <w:rsid w:val="003822A7"/>
    <w:rsid w:val="003835BB"/>
    <w:rsid w:val="0038409B"/>
    <w:rsid w:val="00390BB2"/>
    <w:rsid w:val="003A4BEB"/>
    <w:rsid w:val="003A7F54"/>
    <w:rsid w:val="003B4745"/>
    <w:rsid w:val="003C1091"/>
    <w:rsid w:val="003C47EF"/>
    <w:rsid w:val="003C74C2"/>
    <w:rsid w:val="003D73CC"/>
    <w:rsid w:val="003E3737"/>
    <w:rsid w:val="003E3987"/>
    <w:rsid w:val="003E6BAC"/>
    <w:rsid w:val="00403388"/>
    <w:rsid w:val="00410115"/>
    <w:rsid w:val="0042710D"/>
    <w:rsid w:val="00434855"/>
    <w:rsid w:val="004365F9"/>
    <w:rsid w:val="0043758C"/>
    <w:rsid w:val="0044534F"/>
    <w:rsid w:val="004474CB"/>
    <w:rsid w:val="00447A0E"/>
    <w:rsid w:val="00454089"/>
    <w:rsid w:val="00457B72"/>
    <w:rsid w:val="00465440"/>
    <w:rsid w:val="004678E2"/>
    <w:rsid w:val="004915D5"/>
    <w:rsid w:val="004A02FF"/>
    <w:rsid w:val="004A1683"/>
    <w:rsid w:val="004A25F0"/>
    <w:rsid w:val="004A2A13"/>
    <w:rsid w:val="004A7C54"/>
    <w:rsid w:val="004B1B73"/>
    <w:rsid w:val="004B44A0"/>
    <w:rsid w:val="004B487F"/>
    <w:rsid w:val="004B73A6"/>
    <w:rsid w:val="004C2A2A"/>
    <w:rsid w:val="004C47B5"/>
    <w:rsid w:val="004C70C3"/>
    <w:rsid w:val="004D0F71"/>
    <w:rsid w:val="004D2065"/>
    <w:rsid w:val="004D25B2"/>
    <w:rsid w:val="004D4418"/>
    <w:rsid w:val="004D7556"/>
    <w:rsid w:val="004F113B"/>
    <w:rsid w:val="004F1655"/>
    <w:rsid w:val="004F6F24"/>
    <w:rsid w:val="00503BB5"/>
    <w:rsid w:val="00506E3E"/>
    <w:rsid w:val="00530877"/>
    <w:rsid w:val="00532155"/>
    <w:rsid w:val="00534B68"/>
    <w:rsid w:val="0054116B"/>
    <w:rsid w:val="0054215E"/>
    <w:rsid w:val="00545C04"/>
    <w:rsid w:val="00545EF3"/>
    <w:rsid w:val="00570B1B"/>
    <w:rsid w:val="00571D6C"/>
    <w:rsid w:val="00576EDA"/>
    <w:rsid w:val="00587CCD"/>
    <w:rsid w:val="00590583"/>
    <w:rsid w:val="005932FC"/>
    <w:rsid w:val="005A1F04"/>
    <w:rsid w:val="005A584B"/>
    <w:rsid w:val="005B2A77"/>
    <w:rsid w:val="005B3B3B"/>
    <w:rsid w:val="005B3D42"/>
    <w:rsid w:val="005B45F3"/>
    <w:rsid w:val="005C2FAA"/>
    <w:rsid w:val="005D2F7E"/>
    <w:rsid w:val="005E6FC4"/>
    <w:rsid w:val="005F0510"/>
    <w:rsid w:val="005F1E7D"/>
    <w:rsid w:val="0060496B"/>
    <w:rsid w:val="00604E1C"/>
    <w:rsid w:val="0060543B"/>
    <w:rsid w:val="006070B0"/>
    <w:rsid w:val="006145E3"/>
    <w:rsid w:val="00626EE4"/>
    <w:rsid w:val="00633CE7"/>
    <w:rsid w:val="00634EDF"/>
    <w:rsid w:val="00635762"/>
    <w:rsid w:val="00644134"/>
    <w:rsid w:val="00665B00"/>
    <w:rsid w:val="00673239"/>
    <w:rsid w:val="0069158B"/>
    <w:rsid w:val="00692374"/>
    <w:rsid w:val="006B1139"/>
    <w:rsid w:val="006B5E8D"/>
    <w:rsid w:val="006C43FB"/>
    <w:rsid w:val="006D0388"/>
    <w:rsid w:val="006D7036"/>
    <w:rsid w:val="006E415E"/>
    <w:rsid w:val="006E5EF1"/>
    <w:rsid w:val="006E7F72"/>
    <w:rsid w:val="006F0492"/>
    <w:rsid w:val="006F4653"/>
    <w:rsid w:val="00700B53"/>
    <w:rsid w:val="00701728"/>
    <w:rsid w:val="007030D8"/>
    <w:rsid w:val="00704406"/>
    <w:rsid w:val="0072037A"/>
    <w:rsid w:val="00722850"/>
    <w:rsid w:val="00722B43"/>
    <w:rsid w:val="00727222"/>
    <w:rsid w:val="007274E0"/>
    <w:rsid w:val="00740616"/>
    <w:rsid w:val="007409BD"/>
    <w:rsid w:val="00754122"/>
    <w:rsid w:val="007635A9"/>
    <w:rsid w:val="007665C0"/>
    <w:rsid w:val="00774FA3"/>
    <w:rsid w:val="0077562F"/>
    <w:rsid w:val="00787D13"/>
    <w:rsid w:val="00790997"/>
    <w:rsid w:val="00797D71"/>
    <w:rsid w:val="007A4125"/>
    <w:rsid w:val="007A4240"/>
    <w:rsid w:val="007B6F4B"/>
    <w:rsid w:val="007C4D77"/>
    <w:rsid w:val="007D4045"/>
    <w:rsid w:val="00807675"/>
    <w:rsid w:val="00812C9B"/>
    <w:rsid w:val="00815D07"/>
    <w:rsid w:val="00821FCD"/>
    <w:rsid w:val="00823D1C"/>
    <w:rsid w:val="00825BD9"/>
    <w:rsid w:val="00830991"/>
    <w:rsid w:val="0085053C"/>
    <w:rsid w:val="0085364E"/>
    <w:rsid w:val="0086003D"/>
    <w:rsid w:val="00872C3D"/>
    <w:rsid w:val="0088363B"/>
    <w:rsid w:val="008910BD"/>
    <w:rsid w:val="008A29B8"/>
    <w:rsid w:val="008A5EF4"/>
    <w:rsid w:val="008A6D6B"/>
    <w:rsid w:val="008B1396"/>
    <w:rsid w:val="008C3A4E"/>
    <w:rsid w:val="008D02D5"/>
    <w:rsid w:val="008D1FE0"/>
    <w:rsid w:val="008D58D0"/>
    <w:rsid w:val="008E3039"/>
    <w:rsid w:val="008F4612"/>
    <w:rsid w:val="009005A2"/>
    <w:rsid w:val="00915155"/>
    <w:rsid w:val="00937177"/>
    <w:rsid w:val="00945238"/>
    <w:rsid w:val="00945AB3"/>
    <w:rsid w:val="00954185"/>
    <w:rsid w:val="009730BF"/>
    <w:rsid w:val="00974743"/>
    <w:rsid w:val="00977B2F"/>
    <w:rsid w:val="009901C3"/>
    <w:rsid w:val="00994575"/>
    <w:rsid w:val="009A1E2B"/>
    <w:rsid w:val="009B3AA5"/>
    <w:rsid w:val="009B7A69"/>
    <w:rsid w:val="009C58C1"/>
    <w:rsid w:val="009C6481"/>
    <w:rsid w:val="009D7BFB"/>
    <w:rsid w:val="009E2D5A"/>
    <w:rsid w:val="009E75C5"/>
    <w:rsid w:val="009F34A7"/>
    <w:rsid w:val="009F4CDD"/>
    <w:rsid w:val="009F4F47"/>
    <w:rsid w:val="009F5B8E"/>
    <w:rsid w:val="00A013C4"/>
    <w:rsid w:val="00A04F48"/>
    <w:rsid w:val="00A14EC6"/>
    <w:rsid w:val="00A41D99"/>
    <w:rsid w:val="00A43466"/>
    <w:rsid w:val="00A56F09"/>
    <w:rsid w:val="00A710D5"/>
    <w:rsid w:val="00A71372"/>
    <w:rsid w:val="00A738CC"/>
    <w:rsid w:val="00A81B8F"/>
    <w:rsid w:val="00A850C8"/>
    <w:rsid w:val="00A87354"/>
    <w:rsid w:val="00A94C02"/>
    <w:rsid w:val="00A95D14"/>
    <w:rsid w:val="00AA27AE"/>
    <w:rsid w:val="00AB0395"/>
    <w:rsid w:val="00AB1AD4"/>
    <w:rsid w:val="00AC70A5"/>
    <w:rsid w:val="00AD24E3"/>
    <w:rsid w:val="00AE3A59"/>
    <w:rsid w:val="00AF4218"/>
    <w:rsid w:val="00B04FA0"/>
    <w:rsid w:val="00B20249"/>
    <w:rsid w:val="00B31946"/>
    <w:rsid w:val="00B31BAC"/>
    <w:rsid w:val="00B36E8D"/>
    <w:rsid w:val="00B423B6"/>
    <w:rsid w:val="00B4244A"/>
    <w:rsid w:val="00B4653F"/>
    <w:rsid w:val="00B556EE"/>
    <w:rsid w:val="00B56200"/>
    <w:rsid w:val="00B74E15"/>
    <w:rsid w:val="00B81E12"/>
    <w:rsid w:val="00B82308"/>
    <w:rsid w:val="00B82B97"/>
    <w:rsid w:val="00B83C05"/>
    <w:rsid w:val="00B91369"/>
    <w:rsid w:val="00B92323"/>
    <w:rsid w:val="00B94E1B"/>
    <w:rsid w:val="00B96A7E"/>
    <w:rsid w:val="00BA1B2A"/>
    <w:rsid w:val="00BA4592"/>
    <w:rsid w:val="00BA474F"/>
    <w:rsid w:val="00BA7346"/>
    <w:rsid w:val="00BB3D17"/>
    <w:rsid w:val="00BD1FC9"/>
    <w:rsid w:val="00BD7344"/>
    <w:rsid w:val="00BE4139"/>
    <w:rsid w:val="00BE4449"/>
    <w:rsid w:val="00C016F5"/>
    <w:rsid w:val="00C31AB8"/>
    <w:rsid w:val="00C36529"/>
    <w:rsid w:val="00C4265C"/>
    <w:rsid w:val="00C4431E"/>
    <w:rsid w:val="00C54C74"/>
    <w:rsid w:val="00C63BE4"/>
    <w:rsid w:val="00C64DE8"/>
    <w:rsid w:val="00C8070D"/>
    <w:rsid w:val="00C84956"/>
    <w:rsid w:val="00C95B81"/>
    <w:rsid w:val="00C97F00"/>
    <w:rsid w:val="00CB269C"/>
    <w:rsid w:val="00CB355D"/>
    <w:rsid w:val="00CC4AA5"/>
    <w:rsid w:val="00CD5C22"/>
    <w:rsid w:val="00CD6F91"/>
    <w:rsid w:val="00CF082F"/>
    <w:rsid w:val="00D172CB"/>
    <w:rsid w:val="00D3732A"/>
    <w:rsid w:val="00D37763"/>
    <w:rsid w:val="00D43CD2"/>
    <w:rsid w:val="00D45E72"/>
    <w:rsid w:val="00D5298C"/>
    <w:rsid w:val="00D62E1B"/>
    <w:rsid w:val="00D63402"/>
    <w:rsid w:val="00D70669"/>
    <w:rsid w:val="00D748AF"/>
    <w:rsid w:val="00D86300"/>
    <w:rsid w:val="00D94BBC"/>
    <w:rsid w:val="00DB409F"/>
    <w:rsid w:val="00DB4F10"/>
    <w:rsid w:val="00DC29B3"/>
    <w:rsid w:val="00DC722D"/>
    <w:rsid w:val="00DD0828"/>
    <w:rsid w:val="00DD25CA"/>
    <w:rsid w:val="00DD3DDE"/>
    <w:rsid w:val="00DD7124"/>
    <w:rsid w:val="00DE009A"/>
    <w:rsid w:val="00DF4154"/>
    <w:rsid w:val="00DF6D96"/>
    <w:rsid w:val="00E114B0"/>
    <w:rsid w:val="00E12751"/>
    <w:rsid w:val="00E168B8"/>
    <w:rsid w:val="00E278AA"/>
    <w:rsid w:val="00E35D98"/>
    <w:rsid w:val="00E37440"/>
    <w:rsid w:val="00E470EF"/>
    <w:rsid w:val="00E5079D"/>
    <w:rsid w:val="00E50882"/>
    <w:rsid w:val="00E61CF6"/>
    <w:rsid w:val="00E7081D"/>
    <w:rsid w:val="00E8072F"/>
    <w:rsid w:val="00E86D19"/>
    <w:rsid w:val="00E964BB"/>
    <w:rsid w:val="00E97ACF"/>
    <w:rsid w:val="00EA7E06"/>
    <w:rsid w:val="00EB02DB"/>
    <w:rsid w:val="00EB3998"/>
    <w:rsid w:val="00EC6814"/>
    <w:rsid w:val="00EE12BD"/>
    <w:rsid w:val="00EE319F"/>
    <w:rsid w:val="00EF1DE6"/>
    <w:rsid w:val="00EF3B99"/>
    <w:rsid w:val="00EF4F1A"/>
    <w:rsid w:val="00EF7B26"/>
    <w:rsid w:val="00F05058"/>
    <w:rsid w:val="00F117CA"/>
    <w:rsid w:val="00F123B7"/>
    <w:rsid w:val="00F12CD0"/>
    <w:rsid w:val="00F13923"/>
    <w:rsid w:val="00F1733E"/>
    <w:rsid w:val="00F2586C"/>
    <w:rsid w:val="00F272CA"/>
    <w:rsid w:val="00F27CA0"/>
    <w:rsid w:val="00F31638"/>
    <w:rsid w:val="00F3224A"/>
    <w:rsid w:val="00F4297A"/>
    <w:rsid w:val="00F46B50"/>
    <w:rsid w:val="00F7630D"/>
    <w:rsid w:val="00F83EBD"/>
    <w:rsid w:val="00F87AF1"/>
    <w:rsid w:val="00F9592D"/>
    <w:rsid w:val="00FA08BF"/>
    <w:rsid w:val="00FA79E8"/>
    <w:rsid w:val="00FB3EA4"/>
    <w:rsid w:val="00FB6A3A"/>
    <w:rsid w:val="00FD5195"/>
    <w:rsid w:val="00FE4D1F"/>
    <w:rsid w:val="00FF1F10"/>
    <w:rsid w:val="00FF547B"/>
    <w:rsid w:val="00FF5A32"/>
    <w:rsid w:val="06B44DFF"/>
    <w:rsid w:val="0B616868"/>
    <w:rsid w:val="0C2E22FF"/>
    <w:rsid w:val="0CA12A09"/>
    <w:rsid w:val="0CCC70C2"/>
    <w:rsid w:val="0D202FB6"/>
    <w:rsid w:val="0DBF2EDC"/>
    <w:rsid w:val="10057011"/>
    <w:rsid w:val="13431745"/>
    <w:rsid w:val="169F6CF8"/>
    <w:rsid w:val="17286854"/>
    <w:rsid w:val="18FF15BE"/>
    <w:rsid w:val="1BFB3B78"/>
    <w:rsid w:val="27B87673"/>
    <w:rsid w:val="338A06D2"/>
    <w:rsid w:val="367D675A"/>
    <w:rsid w:val="38634CD9"/>
    <w:rsid w:val="3992624D"/>
    <w:rsid w:val="3ABE72AF"/>
    <w:rsid w:val="3BB60333"/>
    <w:rsid w:val="3F75739A"/>
    <w:rsid w:val="410F60D6"/>
    <w:rsid w:val="412329FB"/>
    <w:rsid w:val="437F3910"/>
    <w:rsid w:val="44294575"/>
    <w:rsid w:val="44B52D55"/>
    <w:rsid w:val="44CE48FB"/>
    <w:rsid w:val="47B33257"/>
    <w:rsid w:val="47F156C6"/>
    <w:rsid w:val="48B973A7"/>
    <w:rsid w:val="5831420A"/>
    <w:rsid w:val="590A300C"/>
    <w:rsid w:val="599C19A0"/>
    <w:rsid w:val="5E05725C"/>
    <w:rsid w:val="6113100A"/>
    <w:rsid w:val="63B53883"/>
    <w:rsid w:val="67C506A6"/>
    <w:rsid w:val="68343AAA"/>
    <w:rsid w:val="73414A8C"/>
    <w:rsid w:val="745D47A0"/>
    <w:rsid w:val="757833C9"/>
    <w:rsid w:val="760363D6"/>
    <w:rsid w:val="77205275"/>
    <w:rsid w:val="77E7619D"/>
    <w:rsid w:val="7C2F1C78"/>
    <w:rsid w:val="7CD23482"/>
    <w:rsid w:val="7DAF4566"/>
    <w:rsid w:val="7F475C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qFormat="1" w:unhideWhenUsed="0" w:uiPriority="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qFormat="1" w:unhideWhenUsed="0" w:uiPriority="0" w:semiHidden="0" w:name="Body Text First Indent 2"/>
    <w:lsdException w:uiPriority="99"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99" w:semiHidden="0" w:name="Strong"/>
    <w:lsdException w:qFormat="1" w:unhideWhenUsed="0" w:uiPriority="20" w:semiHidden="0" w:name="Emphasis"/>
    <w:lsdException w:qFormat="1" w:unhideWhenUsed="0" w:uiPriority="0"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4" w:line="262" w:lineRule="auto"/>
      <w:ind w:left="10" w:hanging="10"/>
    </w:pPr>
    <w:rPr>
      <w:rFonts w:ascii="宋体" w:hAnsi="宋体" w:eastAsia="宋体" w:cs="宋体"/>
      <w:color w:val="000000"/>
      <w:kern w:val="2"/>
      <w:sz w:val="24"/>
      <w:szCs w:val="22"/>
      <w:lang w:val="en-US" w:eastAsia="zh-CN" w:bidi="ar-SA"/>
    </w:rPr>
  </w:style>
  <w:style w:type="paragraph" w:styleId="4">
    <w:name w:val="heading 1"/>
    <w:basedOn w:val="1"/>
    <w:next w:val="1"/>
    <w:link w:val="45"/>
    <w:qFormat/>
    <w:uiPriority w:val="0"/>
    <w:pPr>
      <w:keepNext/>
      <w:keepLines/>
      <w:spacing w:line="265" w:lineRule="auto"/>
      <w:ind w:right="2497"/>
      <w:jc w:val="right"/>
      <w:outlineLvl w:val="0"/>
    </w:pPr>
    <w:rPr>
      <w:rFonts w:ascii="黑体" w:hAnsi="黑体" w:eastAsia="黑体" w:cs="黑体"/>
      <w:sz w:val="48"/>
    </w:rPr>
  </w:style>
  <w:style w:type="paragraph" w:styleId="5">
    <w:name w:val="heading 2"/>
    <w:next w:val="1"/>
    <w:link w:val="46"/>
    <w:unhideWhenUsed/>
    <w:qFormat/>
    <w:uiPriority w:val="0"/>
    <w:pPr>
      <w:keepNext/>
      <w:keepLines/>
      <w:spacing w:line="265" w:lineRule="auto"/>
      <w:ind w:left="10" w:right="2497" w:hanging="10"/>
      <w:jc w:val="center"/>
      <w:outlineLvl w:val="1"/>
    </w:pPr>
    <w:rPr>
      <w:rFonts w:ascii="黑体" w:hAnsi="黑体" w:eastAsia="宋体" w:cs="黑体"/>
      <w:b/>
      <w:color w:val="000000"/>
      <w:kern w:val="2"/>
      <w:sz w:val="36"/>
      <w:szCs w:val="22"/>
      <w:lang w:val="en-US" w:eastAsia="zh-CN" w:bidi="ar-SA"/>
    </w:rPr>
  </w:style>
  <w:style w:type="paragraph" w:styleId="6">
    <w:name w:val="heading 3"/>
    <w:basedOn w:val="1"/>
    <w:next w:val="1"/>
    <w:link w:val="47"/>
    <w:unhideWhenUsed/>
    <w:qFormat/>
    <w:uiPriority w:val="0"/>
    <w:pPr>
      <w:keepNext/>
      <w:keepLines/>
      <w:spacing w:line="259" w:lineRule="auto"/>
      <w:ind w:right="174"/>
      <w:outlineLvl w:val="2"/>
    </w:pPr>
    <w:rPr>
      <w:sz w:val="32"/>
    </w:rPr>
  </w:style>
  <w:style w:type="paragraph" w:styleId="7">
    <w:name w:val="heading 4"/>
    <w:next w:val="1"/>
    <w:link w:val="48"/>
    <w:unhideWhenUsed/>
    <w:qFormat/>
    <w:uiPriority w:val="0"/>
    <w:pPr>
      <w:keepNext/>
      <w:keepLines/>
      <w:spacing w:line="259" w:lineRule="auto"/>
      <w:ind w:left="191" w:hanging="10"/>
      <w:outlineLvl w:val="3"/>
    </w:pPr>
    <w:rPr>
      <w:rFonts w:ascii="宋体" w:hAnsi="宋体" w:eastAsia="宋体" w:cs="宋体"/>
      <w:color w:val="000000"/>
      <w:kern w:val="2"/>
      <w:sz w:val="30"/>
      <w:szCs w:val="22"/>
      <w:lang w:val="en-US" w:eastAsia="zh-CN" w:bidi="ar-SA"/>
    </w:rPr>
  </w:style>
  <w:style w:type="paragraph" w:styleId="8">
    <w:name w:val="heading 5"/>
    <w:basedOn w:val="1"/>
    <w:next w:val="1"/>
    <w:link w:val="49"/>
    <w:qFormat/>
    <w:uiPriority w:val="0"/>
    <w:pPr>
      <w:keepNext/>
      <w:keepLines/>
      <w:widowControl w:val="0"/>
      <w:adjustRightInd w:val="0"/>
      <w:spacing w:before="280" w:after="290" w:line="376" w:lineRule="atLeast"/>
      <w:ind w:left="0" w:firstLine="0"/>
      <w:jc w:val="both"/>
      <w:textAlignment w:val="baseline"/>
      <w:outlineLvl w:val="4"/>
    </w:pPr>
    <w:rPr>
      <w:rFonts w:ascii="Times New Roman" w:hAnsi="Times New Roman" w:cs="Times New Roman"/>
      <w:b/>
      <w:color w:val="auto"/>
      <w:kern w:val="0"/>
      <w:sz w:val="28"/>
      <w:szCs w:val="20"/>
    </w:rPr>
  </w:style>
  <w:style w:type="paragraph" w:styleId="9">
    <w:name w:val="heading 6"/>
    <w:basedOn w:val="1"/>
    <w:next w:val="1"/>
    <w:link w:val="50"/>
    <w:qFormat/>
    <w:uiPriority w:val="0"/>
    <w:pPr>
      <w:keepNext/>
      <w:keepLines/>
      <w:widowControl w:val="0"/>
      <w:adjustRightInd w:val="0"/>
      <w:spacing w:before="240" w:after="64" w:line="320" w:lineRule="atLeast"/>
      <w:ind w:left="0" w:firstLine="0"/>
      <w:jc w:val="both"/>
      <w:textAlignment w:val="baseline"/>
      <w:outlineLvl w:val="5"/>
    </w:pPr>
    <w:rPr>
      <w:rFonts w:ascii="Arial" w:hAnsi="Arial" w:eastAsia="黑体" w:cs="Times New Roman"/>
      <w:b/>
      <w:color w:val="auto"/>
      <w:kern w:val="0"/>
      <w:szCs w:val="20"/>
    </w:rPr>
  </w:style>
  <w:style w:type="paragraph" w:styleId="10">
    <w:name w:val="heading 7"/>
    <w:basedOn w:val="1"/>
    <w:next w:val="1"/>
    <w:link w:val="51"/>
    <w:qFormat/>
    <w:uiPriority w:val="0"/>
    <w:pPr>
      <w:keepNext/>
      <w:keepLines/>
      <w:widowControl w:val="0"/>
      <w:adjustRightInd w:val="0"/>
      <w:spacing w:before="240" w:after="64" w:line="320" w:lineRule="atLeast"/>
      <w:ind w:left="0" w:firstLine="0"/>
      <w:jc w:val="both"/>
      <w:textAlignment w:val="baseline"/>
      <w:outlineLvl w:val="6"/>
    </w:pPr>
    <w:rPr>
      <w:rFonts w:ascii="Times New Roman" w:hAnsi="Times New Roman" w:cs="Times New Roman"/>
      <w:b/>
      <w:color w:val="auto"/>
      <w:kern w:val="0"/>
      <w:szCs w:val="20"/>
    </w:rPr>
  </w:style>
  <w:style w:type="paragraph" w:styleId="11">
    <w:name w:val="heading 8"/>
    <w:basedOn w:val="1"/>
    <w:next w:val="1"/>
    <w:link w:val="52"/>
    <w:qFormat/>
    <w:uiPriority w:val="0"/>
    <w:pPr>
      <w:keepNext/>
      <w:keepLines/>
      <w:widowControl w:val="0"/>
      <w:adjustRightInd w:val="0"/>
      <w:spacing w:before="240" w:after="64" w:line="320" w:lineRule="atLeast"/>
      <w:ind w:left="0" w:firstLine="0"/>
      <w:jc w:val="both"/>
      <w:textAlignment w:val="baseline"/>
      <w:outlineLvl w:val="7"/>
    </w:pPr>
    <w:rPr>
      <w:rFonts w:ascii="Arial" w:hAnsi="Arial" w:eastAsia="黑体" w:cs="Times New Roman"/>
      <w:color w:val="auto"/>
      <w:kern w:val="0"/>
      <w:szCs w:val="20"/>
    </w:rPr>
  </w:style>
  <w:style w:type="paragraph" w:styleId="12">
    <w:name w:val="heading 9"/>
    <w:basedOn w:val="1"/>
    <w:next w:val="1"/>
    <w:link w:val="53"/>
    <w:qFormat/>
    <w:uiPriority w:val="0"/>
    <w:pPr>
      <w:keepNext/>
      <w:keepLines/>
      <w:widowControl w:val="0"/>
      <w:adjustRightInd w:val="0"/>
      <w:spacing w:before="240" w:after="64" w:line="320" w:lineRule="atLeast"/>
      <w:ind w:left="0" w:firstLine="0"/>
      <w:jc w:val="both"/>
      <w:textAlignment w:val="baseline"/>
      <w:outlineLvl w:val="8"/>
    </w:pPr>
    <w:rPr>
      <w:rFonts w:ascii="Arial" w:hAnsi="Arial" w:eastAsia="黑体" w:cs="Times New Roman"/>
      <w:color w:val="auto"/>
      <w:kern w:val="0"/>
      <w:sz w:val="21"/>
      <w:szCs w:val="20"/>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link w:val="44"/>
    <w:qFormat/>
    <w:uiPriority w:val="0"/>
    <w:pPr>
      <w:spacing w:after="120"/>
      <w:ind w:left="200" w:leftChars="200"/>
    </w:pPr>
    <w:rPr>
      <w:szCs w:val="24"/>
    </w:rPr>
  </w:style>
  <w:style w:type="paragraph" w:styleId="13">
    <w:name w:val="Normal Indent"/>
    <w:basedOn w:val="1"/>
    <w:qFormat/>
    <w:uiPriority w:val="0"/>
    <w:pPr>
      <w:widowControl w:val="0"/>
      <w:spacing w:after="0" w:line="240" w:lineRule="auto"/>
      <w:ind w:left="0" w:firstLine="420" w:firstLineChars="200"/>
      <w:jc w:val="both"/>
    </w:pPr>
    <w:rPr>
      <w:rFonts w:ascii="Times New Roman" w:hAnsi="Times New Roman" w:cs="Times New Roman"/>
      <w:color w:val="auto"/>
      <w:sz w:val="21"/>
      <w:szCs w:val="24"/>
    </w:rPr>
  </w:style>
  <w:style w:type="paragraph" w:styleId="14">
    <w:name w:val="index 5"/>
    <w:basedOn w:val="1"/>
    <w:next w:val="1"/>
    <w:semiHidden/>
    <w:qFormat/>
    <w:uiPriority w:val="0"/>
    <w:pPr>
      <w:widowControl w:val="0"/>
      <w:spacing w:after="0" w:line="240" w:lineRule="auto"/>
      <w:ind w:left="800" w:leftChars="800" w:firstLine="0"/>
      <w:jc w:val="both"/>
    </w:pPr>
    <w:rPr>
      <w:rFonts w:ascii="Times New Roman" w:hAnsi="Times New Roman" w:cs="Times New Roman"/>
      <w:color w:val="auto"/>
      <w:sz w:val="21"/>
      <w:szCs w:val="24"/>
    </w:rPr>
  </w:style>
  <w:style w:type="paragraph" w:styleId="15">
    <w:name w:val="Document Map"/>
    <w:basedOn w:val="1"/>
    <w:link w:val="107"/>
    <w:semiHidden/>
    <w:qFormat/>
    <w:uiPriority w:val="0"/>
    <w:pPr>
      <w:widowControl w:val="0"/>
      <w:shd w:val="clear" w:color="auto" w:fill="000080"/>
      <w:spacing w:after="0" w:line="240" w:lineRule="auto"/>
      <w:ind w:left="0" w:firstLine="0"/>
      <w:jc w:val="both"/>
    </w:pPr>
    <w:rPr>
      <w:rFonts w:ascii="Times New Roman" w:hAnsi="Times New Roman" w:cs="Times New Roman"/>
      <w:color w:val="auto"/>
      <w:sz w:val="21"/>
      <w:szCs w:val="24"/>
    </w:rPr>
  </w:style>
  <w:style w:type="paragraph" w:styleId="16">
    <w:name w:val="annotation text"/>
    <w:basedOn w:val="1"/>
    <w:link w:val="103"/>
    <w:semiHidden/>
    <w:qFormat/>
    <w:uiPriority w:val="0"/>
    <w:pPr>
      <w:widowControl w:val="0"/>
      <w:spacing w:after="0" w:line="240" w:lineRule="auto"/>
      <w:ind w:left="0" w:firstLine="0"/>
    </w:pPr>
    <w:rPr>
      <w:rFonts w:ascii="Times New Roman" w:hAnsi="Times New Roman" w:cs="Times New Roman"/>
      <w:color w:val="auto"/>
      <w:sz w:val="21"/>
      <w:szCs w:val="24"/>
    </w:rPr>
  </w:style>
  <w:style w:type="paragraph" w:styleId="17">
    <w:name w:val="Body Text 3"/>
    <w:basedOn w:val="1"/>
    <w:link w:val="73"/>
    <w:qFormat/>
    <w:uiPriority w:val="0"/>
    <w:pPr>
      <w:widowControl w:val="0"/>
      <w:spacing w:after="120" w:line="240" w:lineRule="auto"/>
      <w:ind w:left="0" w:firstLine="0"/>
      <w:jc w:val="both"/>
    </w:pPr>
    <w:rPr>
      <w:rFonts w:ascii="Times New Roman" w:hAnsi="Times New Roman" w:cs="Times New Roman"/>
      <w:color w:val="auto"/>
      <w:sz w:val="16"/>
      <w:szCs w:val="16"/>
    </w:rPr>
  </w:style>
  <w:style w:type="paragraph" w:styleId="18">
    <w:name w:val="Body Text"/>
    <w:basedOn w:val="1"/>
    <w:link w:val="68"/>
    <w:qFormat/>
    <w:uiPriority w:val="0"/>
    <w:pPr>
      <w:widowControl w:val="0"/>
      <w:spacing w:after="0" w:line="240" w:lineRule="auto"/>
      <w:ind w:left="0" w:firstLine="0"/>
      <w:jc w:val="both"/>
    </w:pPr>
    <w:rPr>
      <w:rFonts w:ascii="Times New Roman" w:hAnsi="Times New Roman" w:eastAsia="黑体" w:cs="Times New Roman"/>
      <w:color w:val="auto"/>
      <w:sz w:val="36"/>
      <w:szCs w:val="24"/>
    </w:rPr>
  </w:style>
  <w:style w:type="paragraph" w:styleId="19">
    <w:name w:val="Block Text"/>
    <w:basedOn w:val="1"/>
    <w:qFormat/>
    <w:uiPriority w:val="0"/>
    <w:pPr>
      <w:widowControl w:val="0"/>
      <w:spacing w:after="120" w:line="240" w:lineRule="auto"/>
      <w:ind w:left="1440" w:leftChars="700" w:right="1440" w:rightChars="700" w:firstLine="0"/>
      <w:jc w:val="both"/>
    </w:pPr>
    <w:rPr>
      <w:rFonts w:ascii="Times New Roman" w:hAnsi="Times New Roman" w:cs="Times New Roman"/>
      <w:color w:val="auto"/>
      <w:sz w:val="21"/>
      <w:szCs w:val="24"/>
    </w:rPr>
  </w:style>
  <w:style w:type="paragraph" w:styleId="20">
    <w:name w:val="toc 3"/>
    <w:basedOn w:val="1"/>
    <w:next w:val="1"/>
    <w:unhideWhenUsed/>
    <w:qFormat/>
    <w:uiPriority w:val="39"/>
    <w:pPr>
      <w:ind w:left="840" w:leftChars="400"/>
    </w:pPr>
  </w:style>
  <w:style w:type="paragraph" w:styleId="21">
    <w:name w:val="Plain Text"/>
    <w:basedOn w:val="1"/>
    <w:link w:val="101"/>
    <w:uiPriority w:val="0"/>
    <w:pPr>
      <w:widowControl w:val="0"/>
      <w:spacing w:after="0" w:line="240" w:lineRule="auto"/>
      <w:ind w:left="0" w:firstLine="0"/>
      <w:jc w:val="both"/>
    </w:pPr>
    <w:rPr>
      <w:rFonts w:hAnsi="Courier New" w:cs="Times New Roman"/>
      <w:color w:val="auto"/>
      <w:sz w:val="21"/>
      <w:szCs w:val="21"/>
    </w:rPr>
  </w:style>
  <w:style w:type="paragraph" w:styleId="22">
    <w:name w:val="Date"/>
    <w:basedOn w:val="1"/>
    <w:next w:val="1"/>
    <w:link w:val="75"/>
    <w:uiPriority w:val="0"/>
    <w:pPr>
      <w:widowControl w:val="0"/>
      <w:adjustRightInd w:val="0"/>
      <w:spacing w:after="0" w:line="360" w:lineRule="atLeast"/>
      <w:ind w:left="0" w:firstLine="0"/>
      <w:jc w:val="both"/>
    </w:pPr>
    <w:rPr>
      <w:rFonts w:hAnsi="Times New Roman" w:cs="Times New Roman"/>
      <w:color w:val="auto"/>
      <w:kern w:val="0"/>
      <w:szCs w:val="20"/>
    </w:rPr>
  </w:style>
  <w:style w:type="paragraph" w:styleId="23">
    <w:name w:val="Body Text Indent 2"/>
    <w:basedOn w:val="1"/>
    <w:link w:val="83"/>
    <w:uiPriority w:val="0"/>
    <w:pPr>
      <w:widowControl w:val="0"/>
      <w:spacing w:after="120" w:line="480" w:lineRule="auto"/>
      <w:ind w:left="420" w:leftChars="200" w:firstLine="0"/>
      <w:jc w:val="both"/>
    </w:pPr>
    <w:rPr>
      <w:rFonts w:ascii="Times New Roman" w:hAnsi="Times New Roman" w:cs="Times New Roman"/>
      <w:color w:val="auto"/>
      <w:sz w:val="21"/>
      <w:szCs w:val="24"/>
    </w:rPr>
  </w:style>
  <w:style w:type="paragraph" w:styleId="24">
    <w:name w:val="Balloon Text"/>
    <w:basedOn w:val="1"/>
    <w:link w:val="54"/>
    <w:semiHidden/>
    <w:unhideWhenUsed/>
    <w:qFormat/>
    <w:uiPriority w:val="0"/>
    <w:pPr>
      <w:spacing w:after="0" w:line="240" w:lineRule="auto"/>
    </w:pPr>
    <w:rPr>
      <w:sz w:val="18"/>
      <w:szCs w:val="18"/>
    </w:rPr>
  </w:style>
  <w:style w:type="paragraph" w:styleId="25">
    <w:name w:val="footer"/>
    <w:basedOn w:val="1"/>
    <w:link w:val="55"/>
    <w:unhideWhenUsed/>
    <w:qFormat/>
    <w:uiPriority w:val="0"/>
    <w:pPr>
      <w:tabs>
        <w:tab w:val="center" w:pos="4153"/>
        <w:tab w:val="right" w:pos="8306"/>
      </w:tabs>
      <w:snapToGrid w:val="0"/>
    </w:pPr>
    <w:rPr>
      <w:sz w:val="18"/>
    </w:rPr>
  </w:style>
  <w:style w:type="paragraph" w:styleId="26">
    <w:name w:val="header"/>
    <w:basedOn w:val="1"/>
    <w:link w:val="79"/>
    <w:qFormat/>
    <w:uiPriority w:val="0"/>
    <w:pPr>
      <w:widowControl w:val="0"/>
      <w:pBdr>
        <w:bottom w:val="single" w:color="auto" w:sz="6" w:space="1"/>
      </w:pBdr>
      <w:tabs>
        <w:tab w:val="center" w:pos="4153"/>
        <w:tab w:val="right" w:pos="8306"/>
      </w:tabs>
      <w:snapToGrid w:val="0"/>
      <w:spacing w:after="0" w:line="240" w:lineRule="auto"/>
      <w:ind w:left="0" w:firstLine="0"/>
      <w:jc w:val="center"/>
    </w:pPr>
    <w:rPr>
      <w:rFonts w:ascii="Times New Roman" w:hAnsi="Times New Roman" w:cs="Times New Roman"/>
      <w:color w:val="auto"/>
      <w:sz w:val="18"/>
      <w:szCs w:val="18"/>
    </w:rPr>
  </w:style>
  <w:style w:type="paragraph" w:styleId="27">
    <w:name w:val="toc 1"/>
    <w:next w:val="1"/>
    <w:hidden/>
    <w:qFormat/>
    <w:uiPriority w:val="39"/>
    <w:pPr>
      <w:spacing w:after="101" w:line="484" w:lineRule="auto"/>
      <w:ind w:left="15" w:right="15"/>
      <w:jc w:val="both"/>
    </w:pPr>
    <w:rPr>
      <w:rFonts w:ascii="Times New Roman" w:hAnsi="Times New Roman" w:eastAsia="Times New Roman" w:cs="Times New Roman"/>
      <w:color w:val="000000"/>
      <w:kern w:val="2"/>
      <w:sz w:val="28"/>
      <w:szCs w:val="22"/>
      <w:lang w:val="en-US" w:eastAsia="zh-CN" w:bidi="ar-SA"/>
    </w:rPr>
  </w:style>
  <w:style w:type="paragraph" w:styleId="28">
    <w:name w:val="List"/>
    <w:basedOn w:val="1"/>
    <w:qFormat/>
    <w:uiPriority w:val="0"/>
    <w:pPr>
      <w:widowControl w:val="0"/>
      <w:adjustRightInd w:val="0"/>
      <w:spacing w:after="0" w:line="360" w:lineRule="atLeast"/>
      <w:ind w:left="420" w:hanging="420"/>
    </w:pPr>
    <w:rPr>
      <w:rFonts w:hint="eastAsia" w:hAnsi="Times New Roman" w:cs="Times New Roman"/>
      <w:color w:val="auto"/>
      <w:kern w:val="0"/>
      <w:szCs w:val="20"/>
    </w:rPr>
  </w:style>
  <w:style w:type="paragraph" w:styleId="29">
    <w:name w:val="Body Text Indent 3"/>
    <w:basedOn w:val="1"/>
    <w:link w:val="85"/>
    <w:qFormat/>
    <w:uiPriority w:val="0"/>
    <w:pPr>
      <w:widowControl w:val="0"/>
      <w:spacing w:after="120" w:line="240" w:lineRule="auto"/>
      <w:ind w:left="420" w:leftChars="200" w:firstLine="0"/>
      <w:jc w:val="both"/>
    </w:pPr>
    <w:rPr>
      <w:rFonts w:ascii="Times New Roman" w:hAnsi="Times New Roman" w:cs="Times New Roman"/>
      <w:color w:val="auto"/>
      <w:sz w:val="16"/>
      <w:szCs w:val="16"/>
    </w:rPr>
  </w:style>
  <w:style w:type="paragraph" w:styleId="30">
    <w:name w:val="toc 2"/>
    <w:basedOn w:val="1"/>
    <w:next w:val="1"/>
    <w:unhideWhenUsed/>
    <w:qFormat/>
    <w:uiPriority w:val="39"/>
    <w:pPr>
      <w:ind w:left="420" w:leftChars="200"/>
    </w:pPr>
  </w:style>
  <w:style w:type="paragraph" w:styleId="31">
    <w:name w:val="Body Text 2"/>
    <w:basedOn w:val="1"/>
    <w:link w:val="70"/>
    <w:uiPriority w:val="0"/>
    <w:pPr>
      <w:widowControl w:val="0"/>
      <w:spacing w:after="0" w:line="240" w:lineRule="auto"/>
      <w:ind w:left="0" w:firstLine="0"/>
      <w:jc w:val="center"/>
    </w:pPr>
    <w:rPr>
      <w:rFonts w:ascii="Times New Roman" w:hAnsi="Times New Roman" w:eastAsia="黑体" w:cs="Times New Roman"/>
      <w:bCs/>
      <w:color w:val="auto"/>
      <w:sz w:val="72"/>
      <w:szCs w:val="24"/>
    </w:rPr>
  </w:style>
  <w:style w:type="paragraph" w:styleId="32">
    <w:name w:val="Normal (Web)"/>
    <w:basedOn w:val="1"/>
    <w:qFormat/>
    <w:uiPriority w:val="0"/>
    <w:pPr>
      <w:spacing w:before="100" w:beforeAutospacing="1" w:after="100" w:afterAutospacing="1" w:line="320" w:lineRule="atLeast"/>
      <w:ind w:left="0" w:firstLine="0"/>
    </w:pPr>
    <w:rPr>
      <w:rFonts w:ascii="??" w:hAnsi="??"/>
      <w:color w:val="333333"/>
      <w:kern w:val="0"/>
      <w:sz w:val="18"/>
      <w:szCs w:val="18"/>
    </w:rPr>
  </w:style>
  <w:style w:type="paragraph" w:styleId="33">
    <w:name w:val="index 1"/>
    <w:basedOn w:val="1"/>
    <w:next w:val="1"/>
    <w:semiHidden/>
    <w:qFormat/>
    <w:uiPriority w:val="0"/>
    <w:pPr>
      <w:widowControl w:val="0"/>
      <w:spacing w:after="0" w:line="220" w:lineRule="exact"/>
      <w:ind w:left="0" w:firstLine="0"/>
      <w:jc w:val="center"/>
    </w:pPr>
    <w:rPr>
      <w:rFonts w:ascii="仿宋_GB2312" w:hAnsi="Times New Roman" w:eastAsia="仿宋_GB2312" w:cs="Times New Roman"/>
      <w:color w:val="auto"/>
      <w:sz w:val="21"/>
      <w:szCs w:val="21"/>
    </w:rPr>
  </w:style>
  <w:style w:type="paragraph" w:styleId="34">
    <w:name w:val="Title"/>
    <w:basedOn w:val="1"/>
    <w:link w:val="81"/>
    <w:qFormat/>
    <w:uiPriority w:val="0"/>
    <w:pPr>
      <w:widowControl w:val="0"/>
      <w:adjustRightInd w:val="0"/>
      <w:spacing w:before="240" w:after="60" w:line="360" w:lineRule="atLeast"/>
      <w:ind w:left="0" w:firstLine="0"/>
      <w:jc w:val="center"/>
      <w:outlineLvl w:val="0"/>
    </w:pPr>
    <w:rPr>
      <w:rFonts w:ascii="Arial" w:hAnsi="Arial" w:cs="Times New Roman"/>
      <w:b/>
      <w:color w:val="auto"/>
      <w:kern w:val="0"/>
      <w:sz w:val="32"/>
      <w:szCs w:val="20"/>
    </w:rPr>
  </w:style>
  <w:style w:type="paragraph" w:styleId="35">
    <w:name w:val="annotation subject"/>
    <w:basedOn w:val="16"/>
    <w:next w:val="16"/>
    <w:link w:val="105"/>
    <w:semiHidden/>
    <w:uiPriority w:val="0"/>
    <w:rPr>
      <w:b/>
      <w:bCs/>
    </w:rPr>
  </w:style>
  <w:style w:type="table" w:styleId="37">
    <w:name w:val="Table Grid"/>
    <w:basedOn w:val="3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99"/>
    <w:rPr>
      <w:b/>
      <w:bCs/>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basedOn w:val="38"/>
    <w:unhideWhenUsed/>
    <w:qFormat/>
    <w:uiPriority w:val="99"/>
    <w:rPr>
      <w:color w:val="0563C1" w:themeColor="hyperlink"/>
      <w:u w:val="single"/>
    </w:rPr>
  </w:style>
  <w:style w:type="character" w:styleId="43">
    <w:name w:val="annotation reference"/>
    <w:qFormat/>
    <w:uiPriority w:val="0"/>
    <w:rPr>
      <w:sz w:val="21"/>
      <w:szCs w:val="21"/>
    </w:rPr>
  </w:style>
  <w:style w:type="character" w:customStyle="1" w:styleId="44">
    <w:name w:val="正文文本缩进 Char"/>
    <w:link w:val="3"/>
    <w:qFormat/>
    <w:uiPriority w:val="0"/>
    <w:rPr>
      <w:rFonts w:ascii="宋体" w:hAnsi="宋体" w:eastAsia="宋体" w:cs="宋体"/>
      <w:color w:val="000000"/>
      <w:kern w:val="2"/>
      <w:sz w:val="24"/>
      <w:szCs w:val="24"/>
    </w:rPr>
  </w:style>
  <w:style w:type="character" w:customStyle="1" w:styleId="45">
    <w:name w:val="标题 1 Char1"/>
    <w:link w:val="4"/>
    <w:qFormat/>
    <w:uiPriority w:val="0"/>
    <w:rPr>
      <w:rFonts w:ascii="黑体" w:hAnsi="黑体" w:eastAsia="黑体" w:cs="黑体"/>
      <w:color w:val="000000"/>
      <w:sz w:val="48"/>
    </w:rPr>
  </w:style>
  <w:style w:type="character" w:customStyle="1" w:styleId="46">
    <w:name w:val="标题 2 Char1"/>
    <w:link w:val="5"/>
    <w:qFormat/>
    <w:uiPriority w:val="0"/>
    <w:rPr>
      <w:rFonts w:ascii="黑体" w:hAnsi="黑体" w:eastAsia="宋体" w:cs="黑体"/>
      <w:b/>
      <w:color w:val="000000"/>
      <w:sz w:val="36"/>
    </w:rPr>
  </w:style>
  <w:style w:type="character" w:customStyle="1" w:styleId="47">
    <w:name w:val="标题 3 Char1"/>
    <w:link w:val="6"/>
    <w:qFormat/>
    <w:uiPriority w:val="0"/>
    <w:rPr>
      <w:rFonts w:ascii="宋体" w:hAnsi="宋体" w:eastAsia="宋体" w:cs="宋体"/>
      <w:color w:val="000000"/>
      <w:sz w:val="32"/>
    </w:rPr>
  </w:style>
  <w:style w:type="character" w:customStyle="1" w:styleId="48">
    <w:name w:val="标题 4 Char1"/>
    <w:link w:val="7"/>
    <w:qFormat/>
    <w:uiPriority w:val="0"/>
    <w:rPr>
      <w:rFonts w:ascii="宋体" w:hAnsi="宋体" w:eastAsia="宋体" w:cs="宋体"/>
      <w:color w:val="000000"/>
      <w:sz w:val="30"/>
    </w:rPr>
  </w:style>
  <w:style w:type="character" w:customStyle="1" w:styleId="49">
    <w:name w:val="标题 5 Char"/>
    <w:link w:val="8"/>
    <w:qFormat/>
    <w:uiPriority w:val="0"/>
    <w:rPr>
      <w:rFonts w:ascii="Times New Roman" w:hAnsi="Times New Roman" w:eastAsia="宋体" w:cs="Times New Roman"/>
      <w:b/>
      <w:sz w:val="28"/>
    </w:rPr>
  </w:style>
  <w:style w:type="character" w:customStyle="1" w:styleId="50">
    <w:name w:val="标题 6 Char"/>
    <w:link w:val="9"/>
    <w:qFormat/>
    <w:uiPriority w:val="0"/>
    <w:rPr>
      <w:rFonts w:ascii="Arial" w:hAnsi="Arial" w:eastAsia="黑体" w:cs="Times New Roman"/>
      <w:b/>
      <w:sz w:val="24"/>
    </w:rPr>
  </w:style>
  <w:style w:type="character" w:customStyle="1" w:styleId="51">
    <w:name w:val="标题 7 Char"/>
    <w:link w:val="10"/>
    <w:uiPriority w:val="0"/>
    <w:rPr>
      <w:rFonts w:ascii="Times New Roman" w:hAnsi="Times New Roman" w:eastAsia="宋体" w:cs="Times New Roman"/>
      <w:b/>
      <w:sz w:val="24"/>
    </w:rPr>
  </w:style>
  <w:style w:type="character" w:customStyle="1" w:styleId="52">
    <w:name w:val="标题 8 Char"/>
    <w:link w:val="11"/>
    <w:qFormat/>
    <w:uiPriority w:val="0"/>
    <w:rPr>
      <w:rFonts w:ascii="Arial" w:hAnsi="Arial" w:eastAsia="黑体" w:cs="Times New Roman"/>
      <w:sz w:val="24"/>
    </w:rPr>
  </w:style>
  <w:style w:type="character" w:customStyle="1" w:styleId="53">
    <w:name w:val="标题 9 Char"/>
    <w:link w:val="12"/>
    <w:qFormat/>
    <w:uiPriority w:val="0"/>
    <w:rPr>
      <w:rFonts w:ascii="Arial" w:hAnsi="Arial" w:eastAsia="黑体" w:cs="Times New Roman"/>
      <w:sz w:val="21"/>
    </w:rPr>
  </w:style>
  <w:style w:type="character" w:customStyle="1" w:styleId="54">
    <w:name w:val="批注框文本 Char1"/>
    <w:basedOn w:val="38"/>
    <w:link w:val="24"/>
    <w:semiHidden/>
    <w:qFormat/>
    <w:uiPriority w:val="99"/>
    <w:rPr>
      <w:rFonts w:ascii="宋体" w:hAnsi="宋体" w:cs="宋体"/>
      <w:color w:val="000000"/>
      <w:kern w:val="2"/>
      <w:sz w:val="18"/>
      <w:szCs w:val="18"/>
    </w:rPr>
  </w:style>
  <w:style w:type="character" w:customStyle="1" w:styleId="55">
    <w:name w:val="页脚 Char1"/>
    <w:basedOn w:val="38"/>
    <w:link w:val="25"/>
    <w:qFormat/>
    <w:uiPriority w:val="99"/>
    <w:rPr>
      <w:rFonts w:ascii="宋体" w:hAnsi="宋体" w:cs="宋体"/>
      <w:color w:val="000000"/>
      <w:kern w:val="2"/>
      <w:sz w:val="18"/>
      <w:szCs w:val="22"/>
    </w:rPr>
  </w:style>
  <w:style w:type="table" w:customStyle="1" w:styleId="56">
    <w:name w:val="TableGrid"/>
    <w:qFormat/>
    <w:uiPriority w:val="0"/>
    <w:tblPr>
      <w:tblCellMar>
        <w:top w:w="0" w:type="dxa"/>
        <w:left w:w="0" w:type="dxa"/>
        <w:bottom w:w="0" w:type="dxa"/>
        <w:right w:w="0" w:type="dxa"/>
      </w:tblCellMar>
    </w:tblPr>
  </w:style>
  <w:style w:type="paragraph" w:styleId="57">
    <w:name w:val="List Paragraph"/>
    <w:basedOn w:val="1"/>
    <w:qFormat/>
    <w:uiPriority w:val="34"/>
    <w:pPr>
      <w:ind w:firstLine="420" w:firstLineChars="200"/>
    </w:pPr>
  </w:style>
  <w:style w:type="paragraph" w:customStyle="1" w:styleId="58">
    <w:name w:val="TOC 标题1"/>
    <w:basedOn w:val="4"/>
    <w:next w:val="1"/>
    <w:unhideWhenUsed/>
    <w:qFormat/>
    <w:uiPriority w:val="39"/>
    <w:pPr>
      <w:spacing w:before="240" w:after="0" w:line="259" w:lineRule="auto"/>
      <w:ind w:left="0" w:right="0" w:firstLine="0"/>
      <w:jc w:val="left"/>
      <w:outlineLvl w:val="9"/>
    </w:pPr>
    <w:rPr>
      <w:rFonts w:asciiTheme="majorHAnsi" w:hAnsiTheme="majorHAnsi" w:eastAsiaTheme="majorEastAsia" w:cstheme="majorBidi"/>
      <w:color w:val="2F5496" w:themeColor="accent1" w:themeShade="BF"/>
      <w:kern w:val="0"/>
      <w:sz w:val="32"/>
      <w:szCs w:val="32"/>
    </w:rPr>
  </w:style>
  <w:style w:type="character" w:customStyle="1" w:styleId="59">
    <w:name w:val="Unresolved Mention"/>
    <w:basedOn w:val="38"/>
    <w:semiHidden/>
    <w:unhideWhenUsed/>
    <w:uiPriority w:val="99"/>
    <w:rPr>
      <w:color w:val="605E5C"/>
      <w:shd w:val="clear" w:color="auto" w:fill="E1DFDD"/>
    </w:rPr>
  </w:style>
  <w:style w:type="paragraph" w:customStyle="1" w:styleId="60">
    <w:name w:val="样式 标题 2 + Times New Roman 四号 非加粗 段前: 5 磅 段后: 0 磅 行距: 固定值 20..."/>
    <w:basedOn w:val="5"/>
    <w:qFormat/>
    <w:uiPriority w:val="0"/>
    <w:pPr>
      <w:widowControl w:val="0"/>
      <w:spacing w:before="100" w:line="400" w:lineRule="exact"/>
      <w:ind w:left="0" w:right="0" w:firstLine="0"/>
      <w:jc w:val="both"/>
    </w:pPr>
    <w:rPr>
      <w:rFonts w:ascii="Times New Roman" w:hAnsi="Times New Roman" w:eastAsia="黑体" w:cs="宋体"/>
      <w:b w:val="0"/>
      <w:color w:val="auto"/>
      <w:sz w:val="28"/>
      <w:szCs w:val="20"/>
    </w:rPr>
  </w:style>
  <w:style w:type="character" w:customStyle="1" w:styleId="61">
    <w:name w:val="页脚 Char"/>
    <w:uiPriority w:val="99"/>
    <w:rPr>
      <w:rFonts w:ascii="MingLiU" w:eastAsia="MingLiU"/>
      <w:sz w:val="18"/>
      <w:szCs w:val="18"/>
      <w:lang w:eastAsia="zh-TW"/>
    </w:rPr>
  </w:style>
  <w:style w:type="character" w:customStyle="1" w:styleId="62">
    <w:name w:val="标题 2 Char"/>
    <w:uiPriority w:val="0"/>
    <w:rPr>
      <w:rFonts w:ascii="Arial" w:hAnsi="Arial" w:eastAsia="黑体"/>
      <w:b/>
      <w:bCs/>
      <w:kern w:val="2"/>
      <w:sz w:val="32"/>
      <w:szCs w:val="32"/>
      <w:lang w:val="en-US" w:eastAsia="zh-CN" w:bidi="ar-SA"/>
    </w:rPr>
  </w:style>
  <w:style w:type="character" w:customStyle="1" w:styleId="63">
    <w:name w:val="标题 5 字符"/>
    <w:basedOn w:val="38"/>
    <w:semiHidden/>
    <w:uiPriority w:val="9"/>
    <w:rPr>
      <w:rFonts w:ascii="宋体" w:hAnsi="宋体" w:eastAsia="宋体" w:cs="宋体"/>
      <w:b/>
      <w:bCs/>
      <w:color w:val="000000"/>
      <w:kern w:val="2"/>
      <w:sz w:val="28"/>
      <w:szCs w:val="28"/>
    </w:rPr>
  </w:style>
  <w:style w:type="character" w:customStyle="1" w:styleId="64">
    <w:name w:val="标题 6 字符"/>
    <w:basedOn w:val="38"/>
    <w:semiHidden/>
    <w:uiPriority w:val="9"/>
    <w:rPr>
      <w:rFonts w:asciiTheme="majorHAnsi" w:hAnsiTheme="majorHAnsi" w:eastAsiaTheme="majorEastAsia" w:cstheme="majorBidi"/>
      <w:b/>
      <w:bCs/>
      <w:color w:val="000000"/>
      <w:kern w:val="2"/>
      <w:sz w:val="24"/>
      <w:szCs w:val="24"/>
    </w:rPr>
  </w:style>
  <w:style w:type="character" w:customStyle="1" w:styleId="65">
    <w:name w:val="标题 7 字符"/>
    <w:basedOn w:val="38"/>
    <w:semiHidden/>
    <w:qFormat/>
    <w:uiPriority w:val="9"/>
    <w:rPr>
      <w:rFonts w:ascii="宋体" w:hAnsi="宋体" w:eastAsia="宋体" w:cs="宋体"/>
      <w:b/>
      <w:bCs/>
      <w:color w:val="000000"/>
      <w:kern w:val="2"/>
      <w:sz w:val="24"/>
      <w:szCs w:val="24"/>
    </w:rPr>
  </w:style>
  <w:style w:type="character" w:customStyle="1" w:styleId="66">
    <w:name w:val="标题 8 字符"/>
    <w:basedOn w:val="38"/>
    <w:semiHidden/>
    <w:uiPriority w:val="9"/>
    <w:rPr>
      <w:rFonts w:asciiTheme="majorHAnsi" w:hAnsiTheme="majorHAnsi" w:eastAsiaTheme="majorEastAsia" w:cstheme="majorBidi"/>
      <w:color w:val="000000"/>
      <w:kern w:val="2"/>
      <w:sz w:val="24"/>
      <w:szCs w:val="24"/>
    </w:rPr>
  </w:style>
  <w:style w:type="character" w:customStyle="1" w:styleId="67">
    <w:name w:val="标题 9 字符"/>
    <w:basedOn w:val="38"/>
    <w:semiHidden/>
    <w:uiPriority w:val="9"/>
    <w:rPr>
      <w:rFonts w:asciiTheme="majorHAnsi" w:hAnsiTheme="majorHAnsi" w:eastAsiaTheme="majorEastAsia" w:cstheme="majorBidi"/>
      <w:color w:val="000000"/>
      <w:kern w:val="2"/>
      <w:sz w:val="21"/>
      <w:szCs w:val="21"/>
    </w:rPr>
  </w:style>
  <w:style w:type="character" w:customStyle="1" w:styleId="68">
    <w:name w:val="正文文本 Char"/>
    <w:link w:val="18"/>
    <w:uiPriority w:val="0"/>
    <w:rPr>
      <w:rFonts w:ascii="Times New Roman" w:hAnsi="Times New Roman" w:eastAsia="黑体" w:cs="Times New Roman"/>
      <w:kern w:val="2"/>
      <w:sz w:val="36"/>
      <w:szCs w:val="24"/>
    </w:rPr>
  </w:style>
  <w:style w:type="character" w:customStyle="1" w:styleId="69">
    <w:name w:val="正文文本 字符"/>
    <w:basedOn w:val="38"/>
    <w:semiHidden/>
    <w:uiPriority w:val="99"/>
    <w:rPr>
      <w:rFonts w:ascii="宋体" w:hAnsi="宋体" w:eastAsia="宋体" w:cs="宋体"/>
      <w:color w:val="000000"/>
      <w:kern w:val="2"/>
      <w:sz w:val="24"/>
      <w:szCs w:val="22"/>
    </w:rPr>
  </w:style>
  <w:style w:type="character" w:customStyle="1" w:styleId="70">
    <w:name w:val="正文文本 2 Char"/>
    <w:link w:val="31"/>
    <w:uiPriority w:val="0"/>
    <w:rPr>
      <w:rFonts w:ascii="Times New Roman" w:hAnsi="Times New Roman" w:eastAsia="黑体" w:cs="Times New Roman"/>
      <w:bCs/>
      <w:kern w:val="2"/>
      <w:sz w:val="72"/>
      <w:szCs w:val="24"/>
    </w:rPr>
  </w:style>
  <w:style w:type="character" w:customStyle="1" w:styleId="71">
    <w:name w:val="正文文本 2 字符"/>
    <w:basedOn w:val="38"/>
    <w:semiHidden/>
    <w:uiPriority w:val="99"/>
    <w:rPr>
      <w:rFonts w:ascii="宋体" w:hAnsi="宋体" w:eastAsia="宋体" w:cs="宋体"/>
      <w:color w:val="000000"/>
      <w:kern w:val="2"/>
      <w:sz w:val="24"/>
      <w:szCs w:val="22"/>
    </w:rPr>
  </w:style>
  <w:style w:type="paragraph" w:customStyle="1" w:styleId="72">
    <w:name w:val="3"/>
    <w:basedOn w:val="1"/>
    <w:next w:val="17"/>
    <w:uiPriority w:val="0"/>
    <w:pPr>
      <w:widowControl w:val="0"/>
      <w:spacing w:after="0" w:line="240" w:lineRule="auto"/>
      <w:ind w:left="0" w:firstLine="0"/>
      <w:jc w:val="both"/>
    </w:pPr>
    <w:rPr>
      <w:rFonts w:hAnsi="Times New Roman" w:cs="Times New Roman"/>
      <w:color w:val="auto"/>
      <w:szCs w:val="20"/>
    </w:rPr>
  </w:style>
  <w:style w:type="character" w:customStyle="1" w:styleId="73">
    <w:name w:val="正文文本 3 Char"/>
    <w:link w:val="17"/>
    <w:uiPriority w:val="0"/>
    <w:rPr>
      <w:rFonts w:ascii="Times New Roman" w:hAnsi="Times New Roman" w:eastAsia="宋体" w:cs="Times New Roman"/>
      <w:kern w:val="2"/>
      <w:sz w:val="16"/>
      <w:szCs w:val="16"/>
    </w:rPr>
  </w:style>
  <w:style w:type="character" w:customStyle="1" w:styleId="74">
    <w:name w:val="正文文本 3 字符"/>
    <w:basedOn w:val="38"/>
    <w:semiHidden/>
    <w:uiPriority w:val="99"/>
    <w:rPr>
      <w:rFonts w:ascii="宋体" w:hAnsi="宋体" w:eastAsia="宋体" w:cs="宋体"/>
      <w:color w:val="000000"/>
      <w:kern w:val="2"/>
      <w:sz w:val="16"/>
      <w:szCs w:val="16"/>
    </w:rPr>
  </w:style>
  <w:style w:type="character" w:customStyle="1" w:styleId="75">
    <w:name w:val="日期 Char"/>
    <w:link w:val="22"/>
    <w:uiPriority w:val="0"/>
    <w:rPr>
      <w:rFonts w:ascii="宋体" w:hAnsi="Times New Roman" w:eastAsia="宋体" w:cs="Times New Roman"/>
      <w:sz w:val="24"/>
    </w:rPr>
  </w:style>
  <w:style w:type="character" w:customStyle="1" w:styleId="76">
    <w:name w:val="日期 字符"/>
    <w:basedOn w:val="38"/>
    <w:semiHidden/>
    <w:uiPriority w:val="99"/>
    <w:rPr>
      <w:rFonts w:ascii="宋体" w:hAnsi="宋体" w:eastAsia="宋体" w:cs="宋体"/>
      <w:color w:val="000000"/>
      <w:kern w:val="2"/>
      <w:sz w:val="24"/>
      <w:szCs w:val="22"/>
    </w:rPr>
  </w:style>
  <w:style w:type="paragraph" w:customStyle="1" w:styleId="77">
    <w:name w:val="样式 标题 3 + (中文) 黑体 小四 非加粗 段前: 7.8 磅 段后: 0 磅 行距: 固定值 20 磅"/>
    <w:basedOn w:val="6"/>
    <w:uiPriority w:val="0"/>
    <w:pPr>
      <w:widowControl w:val="0"/>
      <w:spacing w:after="0" w:line="400" w:lineRule="exact"/>
      <w:ind w:left="0" w:right="0" w:firstLine="0"/>
      <w:jc w:val="both"/>
    </w:pPr>
    <w:rPr>
      <w:rFonts w:ascii="Times New Roman" w:hAnsi="Times New Roman" w:eastAsia="黑体" w:cs="Times New Roman"/>
      <w:color w:val="auto"/>
      <w:sz w:val="24"/>
      <w:szCs w:val="20"/>
    </w:rPr>
  </w:style>
  <w:style w:type="paragraph" w:customStyle="1" w:styleId="78">
    <w:name w:val="2"/>
    <w:basedOn w:val="1"/>
    <w:next w:val="3"/>
    <w:qFormat/>
    <w:uiPriority w:val="0"/>
    <w:pPr>
      <w:widowControl w:val="0"/>
      <w:spacing w:after="0" w:line="240" w:lineRule="auto"/>
      <w:ind w:left="432" w:firstLine="0"/>
      <w:jc w:val="both"/>
    </w:pPr>
    <w:rPr>
      <w:rFonts w:ascii="Times New Roman" w:hAnsi="Times New Roman" w:cs="Times New Roman"/>
      <w:color w:val="auto"/>
      <w:sz w:val="21"/>
      <w:szCs w:val="20"/>
    </w:rPr>
  </w:style>
  <w:style w:type="character" w:customStyle="1" w:styleId="79">
    <w:name w:val="页眉 Char"/>
    <w:link w:val="26"/>
    <w:qFormat/>
    <w:uiPriority w:val="0"/>
    <w:rPr>
      <w:rFonts w:ascii="Times New Roman" w:hAnsi="Times New Roman" w:eastAsia="宋体" w:cs="Times New Roman"/>
      <w:kern w:val="2"/>
      <w:sz w:val="18"/>
      <w:szCs w:val="18"/>
    </w:rPr>
  </w:style>
  <w:style w:type="character" w:customStyle="1" w:styleId="80">
    <w:name w:val="页眉 字符"/>
    <w:basedOn w:val="38"/>
    <w:semiHidden/>
    <w:qFormat/>
    <w:uiPriority w:val="99"/>
    <w:rPr>
      <w:rFonts w:ascii="宋体" w:hAnsi="宋体" w:eastAsia="宋体" w:cs="宋体"/>
      <w:color w:val="000000"/>
      <w:kern w:val="2"/>
      <w:sz w:val="18"/>
      <w:szCs w:val="18"/>
    </w:rPr>
  </w:style>
  <w:style w:type="character" w:customStyle="1" w:styleId="81">
    <w:name w:val="标题 Char"/>
    <w:link w:val="34"/>
    <w:qFormat/>
    <w:uiPriority w:val="0"/>
    <w:rPr>
      <w:rFonts w:ascii="Arial" w:hAnsi="Arial" w:eastAsia="宋体" w:cs="Times New Roman"/>
      <w:b/>
      <w:sz w:val="32"/>
    </w:rPr>
  </w:style>
  <w:style w:type="character" w:customStyle="1" w:styleId="82">
    <w:name w:val="标题 字符"/>
    <w:basedOn w:val="38"/>
    <w:qFormat/>
    <w:uiPriority w:val="10"/>
    <w:rPr>
      <w:rFonts w:asciiTheme="majorHAnsi" w:hAnsiTheme="majorHAnsi" w:eastAsiaTheme="majorEastAsia" w:cstheme="majorBidi"/>
      <w:b/>
      <w:bCs/>
      <w:color w:val="000000"/>
      <w:kern w:val="2"/>
      <w:sz w:val="32"/>
      <w:szCs w:val="32"/>
    </w:rPr>
  </w:style>
  <w:style w:type="character" w:customStyle="1" w:styleId="83">
    <w:name w:val="正文文本缩进 2 Char"/>
    <w:link w:val="23"/>
    <w:qFormat/>
    <w:uiPriority w:val="0"/>
    <w:rPr>
      <w:rFonts w:ascii="Times New Roman" w:hAnsi="Times New Roman" w:eastAsia="宋体" w:cs="Times New Roman"/>
      <w:kern w:val="2"/>
      <w:sz w:val="21"/>
      <w:szCs w:val="24"/>
    </w:rPr>
  </w:style>
  <w:style w:type="character" w:customStyle="1" w:styleId="84">
    <w:name w:val="正文文本缩进 2 字符"/>
    <w:basedOn w:val="38"/>
    <w:semiHidden/>
    <w:uiPriority w:val="99"/>
    <w:rPr>
      <w:rFonts w:ascii="宋体" w:hAnsi="宋体" w:eastAsia="宋体" w:cs="宋体"/>
      <w:color w:val="000000"/>
      <w:kern w:val="2"/>
      <w:sz w:val="24"/>
      <w:szCs w:val="22"/>
    </w:rPr>
  </w:style>
  <w:style w:type="character" w:customStyle="1" w:styleId="85">
    <w:name w:val="正文文本缩进 3 Char"/>
    <w:link w:val="29"/>
    <w:uiPriority w:val="0"/>
    <w:rPr>
      <w:rFonts w:ascii="Times New Roman" w:hAnsi="Times New Roman" w:eastAsia="宋体" w:cs="Times New Roman"/>
      <w:kern w:val="2"/>
      <w:sz w:val="16"/>
      <w:szCs w:val="16"/>
    </w:rPr>
  </w:style>
  <w:style w:type="character" w:customStyle="1" w:styleId="86">
    <w:name w:val="正文文本缩进 3 字符"/>
    <w:basedOn w:val="38"/>
    <w:semiHidden/>
    <w:uiPriority w:val="99"/>
    <w:rPr>
      <w:rFonts w:ascii="宋体" w:hAnsi="宋体" w:eastAsia="宋体" w:cs="宋体"/>
      <w:color w:val="000000"/>
      <w:kern w:val="2"/>
      <w:sz w:val="16"/>
      <w:szCs w:val="16"/>
    </w:rPr>
  </w:style>
  <w:style w:type="character" w:customStyle="1" w:styleId="87">
    <w:name w:val="Char Char"/>
    <w:qFormat/>
    <w:uiPriority w:val="0"/>
    <w:rPr>
      <w:rFonts w:ascii="Arial" w:hAnsi="Arial" w:eastAsia="黑体"/>
      <w:b/>
      <w:bCs/>
      <w:kern w:val="2"/>
      <w:sz w:val="32"/>
      <w:szCs w:val="32"/>
      <w:lang w:val="en-US" w:eastAsia="zh-CN" w:bidi="ar-SA"/>
    </w:rPr>
  </w:style>
  <w:style w:type="paragraph" w:customStyle="1" w:styleId="88">
    <w:name w:val="_Style 79"/>
    <w:basedOn w:val="1"/>
    <w:next w:val="57"/>
    <w:qFormat/>
    <w:uiPriority w:val="34"/>
    <w:pPr>
      <w:widowControl w:val="0"/>
      <w:spacing w:after="0" w:line="240" w:lineRule="auto"/>
      <w:ind w:left="0" w:firstLine="420" w:firstLineChars="200"/>
      <w:jc w:val="both"/>
    </w:pPr>
    <w:rPr>
      <w:rFonts w:ascii="Times New Roman" w:hAnsi="Times New Roman" w:cs="Times New Roman"/>
      <w:color w:val="auto"/>
      <w:sz w:val="21"/>
      <w:szCs w:val="24"/>
    </w:rPr>
  </w:style>
  <w:style w:type="paragraph" w:customStyle="1" w:styleId="89">
    <w:name w:val="样式 标题 1 + 黑体 三号 非加粗 居中 段前: 6 磅 段后: 6 磅 行距: 固定值 20 磅"/>
    <w:basedOn w:val="4"/>
    <w:qFormat/>
    <w:uiPriority w:val="0"/>
    <w:pPr>
      <w:widowControl w:val="0"/>
      <w:spacing w:before="120" w:after="120" w:line="400" w:lineRule="exact"/>
      <w:ind w:left="0" w:right="0" w:firstLine="0"/>
      <w:jc w:val="center"/>
    </w:pPr>
    <w:rPr>
      <w:rFonts w:cs="宋体"/>
      <w:color w:val="auto"/>
      <w:kern w:val="44"/>
      <w:sz w:val="32"/>
      <w:szCs w:val="20"/>
    </w:rPr>
  </w:style>
  <w:style w:type="paragraph" w:customStyle="1" w:styleId="90">
    <w:name w:val="Char1"/>
    <w:basedOn w:val="1"/>
    <w:qFormat/>
    <w:uiPriority w:val="0"/>
    <w:pPr>
      <w:widowControl w:val="0"/>
      <w:spacing w:after="0" w:line="240" w:lineRule="auto"/>
      <w:ind w:left="0" w:firstLine="0"/>
      <w:jc w:val="both"/>
    </w:pPr>
    <w:rPr>
      <w:rFonts w:ascii="Tahoma" w:hAnsi="Tahoma" w:cs="Times New Roman"/>
      <w:color w:val="auto"/>
      <w:szCs w:val="20"/>
    </w:rPr>
  </w:style>
  <w:style w:type="paragraph" w:customStyle="1" w:styleId="91">
    <w:name w:val="1"/>
    <w:basedOn w:val="1"/>
    <w:qFormat/>
    <w:uiPriority w:val="0"/>
    <w:pPr>
      <w:widowControl w:val="0"/>
      <w:spacing w:after="0" w:line="240" w:lineRule="auto"/>
      <w:ind w:left="0" w:firstLine="0"/>
      <w:jc w:val="both"/>
    </w:pPr>
    <w:rPr>
      <w:rFonts w:ascii="Times New Roman" w:hAnsi="Times New Roman" w:cs="Times New Roman"/>
      <w:color w:val="auto"/>
      <w:sz w:val="21"/>
      <w:szCs w:val="24"/>
    </w:rPr>
  </w:style>
  <w:style w:type="character" w:customStyle="1" w:styleId="92">
    <w:name w:val="font161"/>
    <w:qFormat/>
    <w:uiPriority w:val="0"/>
    <w:rPr>
      <w:b/>
      <w:bCs/>
      <w:sz w:val="32"/>
      <w:szCs w:val="32"/>
    </w:rPr>
  </w:style>
  <w:style w:type="paragraph" w:customStyle="1" w:styleId="93">
    <w:name w:val="6'"/>
    <w:basedOn w:val="1"/>
    <w:qFormat/>
    <w:uiPriority w:val="0"/>
    <w:pPr>
      <w:widowControl w:val="0"/>
      <w:autoSpaceDE w:val="0"/>
      <w:autoSpaceDN w:val="0"/>
      <w:adjustRightInd w:val="0"/>
      <w:snapToGrid w:val="0"/>
      <w:spacing w:after="0" w:line="320" w:lineRule="exact"/>
      <w:ind w:left="0" w:firstLine="0"/>
      <w:jc w:val="center"/>
      <w:textAlignment w:val="baseline"/>
    </w:pPr>
    <w:rPr>
      <w:rFonts w:ascii="Times New Roman" w:hAnsi="Times New Roman" w:cs="Times New Roman"/>
      <w:color w:val="auto"/>
      <w:spacing w:val="20"/>
      <w:kern w:val="28"/>
      <w:sz w:val="21"/>
      <w:szCs w:val="20"/>
    </w:rPr>
  </w:style>
  <w:style w:type="paragraph" w:customStyle="1" w:styleId="94">
    <w:name w:val="表格"/>
    <w:basedOn w:val="1"/>
    <w:qFormat/>
    <w:uiPriority w:val="0"/>
    <w:pPr>
      <w:widowControl w:val="0"/>
      <w:spacing w:after="0" w:line="240" w:lineRule="auto"/>
      <w:ind w:left="0" w:firstLine="0"/>
      <w:jc w:val="center"/>
      <w:textAlignment w:val="center"/>
    </w:pPr>
    <w:rPr>
      <w:rFonts w:ascii="华文细黑" w:hAnsi="华文细黑" w:cs="Times New Roman"/>
      <w:color w:val="auto"/>
      <w:kern w:val="0"/>
      <w:sz w:val="21"/>
      <w:szCs w:val="20"/>
    </w:rPr>
  </w:style>
  <w:style w:type="paragraph" w:customStyle="1" w:styleId="95">
    <w:name w:val="表格文字"/>
    <w:basedOn w:val="1"/>
    <w:uiPriority w:val="0"/>
    <w:pPr>
      <w:widowControl w:val="0"/>
      <w:adjustRightInd w:val="0"/>
      <w:spacing w:after="0" w:line="420" w:lineRule="atLeast"/>
      <w:ind w:left="0" w:firstLine="0"/>
      <w:textAlignment w:val="baseline"/>
    </w:pPr>
    <w:rPr>
      <w:rFonts w:ascii="Times New Roman" w:hAnsi="Times New Roman" w:cs="Times New Roman"/>
      <w:color w:val="auto"/>
      <w:kern w:val="0"/>
      <w:sz w:val="21"/>
      <w:szCs w:val="20"/>
    </w:rPr>
  </w:style>
  <w:style w:type="paragraph" w:customStyle="1" w:styleId="96">
    <w:name w:val="XW正文"/>
    <w:basedOn w:val="3"/>
    <w:uiPriority w:val="0"/>
    <w:pPr>
      <w:widowControl w:val="0"/>
      <w:adjustRightInd w:val="0"/>
      <w:snapToGrid w:val="0"/>
      <w:spacing w:after="0" w:line="300" w:lineRule="auto"/>
      <w:ind w:left="0" w:leftChars="0" w:firstLine="520" w:firstLineChars="200"/>
    </w:pPr>
    <w:rPr>
      <w:rFonts w:ascii="Times New Roman" w:hAnsi="Times New Roman" w:cs="Times New Roman"/>
      <w:color w:val="auto"/>
      <w:kern w:val="0"/>
      <w:sz w:val="21"/>
    </w:rPr>
  </w:style>
  <w:style w:type="paragraph" w:customStyle="1" w:styleId="97">
    <w:name w:val="金安桥正文"/>
    <w:basedOn w:val="3"/>
    <w:uiPriority w:val="0"/>
    <w:pPr>
      <w:widowControl w:val="0"/>
      <w:adjustRightInd w:val="0"/>
      <w:spacing w:after="0" w:line="300" w:lineRule="auto"/>
      <w:ind w:left="0" w:leftChars="0" w:firstLine="200" w:firstLineChars="200"/>
    </w:pPr>
    <w:rPr>
      <w:rFonts w:ascii="Times New Roman" w:hAnsi="Times New Roman" w:cs="Times New Roman"/>
      <w:color w:val="auto"/>
      <w:kern w:val="0"/>
      <w:szCs w:val="20"/>
    </w:rPr>
  </w:style>
  <w:style w:type="character" w:customStyle="1" w:styleId="98">
    <w:name w:val="样式 粉红"/>
    <w:uiPriority w:val="0"/>
    <w:rPr>
      <w:color w:val="auto"/>
      <w:u w:val="none"/>
    </w:rPr>
  </w:style>
  <w:style w:type="paragraph" w:customStyle="1" w:styleId="99">
    <w:name w:val="xl24"/>
    <w:basedOn w:val="1"/>
    <w:qFormat/>
    <w:uiPriority w:val="0"/>
    <w:pPr>
      <w:spacing w:before="100" w:after="100" w:line="240" w:lineRule="auto"/>
      <w:ind w:left="0" w:firstLine="0"/>
      <w:jc w:val="center"/>
      <w:textAlignment w:val="center"/>
    </w:pPr>
    <w:rPr>
      <w:rFonts w:cs="Times New Roman"/>
      <w:color w:val="auto"/>
      <w:kern w:val="0"/>
      <w:szCs w:val="20"/>
    </w:rPr>
  </w:style>
  <w:style w:type="character" w:customStyle="1" w:styleId="100">
    <w:name w:val="Char Char1"/>
    <w:uiPriority w:val="0"/>
    <w:rPr>
      <w:rFonts w:eastAsia="宋体"/>
      <w:kern w:val="2"/>
      <w:sz w:val="24"/>
      <w:lang w:val="en-US" w:eastAsia="zh-CN" w:bidi="ar-SA"/>
    </w:rPr>
  </w:style>
  <w:style w:type="character" w:customStyle="1" w:styleId="101">
    <w:name w:val="纯文本 Char"/>
    <w:link w:val="21"/>
    <w:uiPriority w:val="0"/>
    <w:rPr>
      <w:rFonts w:ascii="宋体" w:hAnsi="Courier New" w:eastAsia="宋体" w:cs="Times New Roman"/>
      <w:kern w:val="2"/>
      <w:sz w:val="21"/>
      <w:szCs w:val="21"/>
    </w:rPr>
  </w:style>
  <w:style w:type="character" w:customStyle="1" w:styleId="102">
    <w:name w:val="纯文本 字符"/>
    <w:basedOn w:val="38"/>
    <w:semiHidden/>
    <w:qFormat/>
    <w:uiPriority w:val="99"/>
    <w:rPr>
      <w:rFonts w:hAnsi="Courier New" w:cs="Courier New" w:asciiTheme="minorEastAsia"/>
      <w:color w:val="000000"/>
      <w:kern w:val="2"/>
      <w:sz w:val="24"/>
      <w:szCs w:val="22"/>
    </w:rPr>
  </w:style>
  <w:style w:type="character" w:customStyle="1" w:styleId="103">
    <w:name w:val="批注文字 Char"/>
    <w:link w:val="16"/>
    <w:semiHidden/>
    <w:uiPriority w:val="0"/>
    <w:rPr>
      <w:rFonts w:ascii="Times New Roman" w:hAnsi="Times New Roman" w:eastAsia="宋体" w:cs="Times New Roman"/>
      <w:kern w:val="2"/>
      <w:sz w:val="21"/>
      <w:szCs w:val="24"/>
    </w:rPr>
  </w:style>
  <w:style w:type="character" w:customStyle="1" w:styleId="104">
    <w:name w:val="批注文字 字符"/>
    <w:basedOn w:val="38"/>
    <w:semiHidden/>
    <w:uiPriority w:val="99"/>
    <w:rPr>
      <w:rFonts w:ascii="宋体" w:hAnsi="宋体" w:eastAsia="宋体" w:cs="宋体"/>
      <w:color w:val="000000"/>
      <w:kern w:val="2"/>
      <w:sz w:val="24"/>
      <w:szCs w:val="22"/>
    </w:rPr>
  </w:style>
  <w:style w:type="character" w:customStyle="1" w:styleId="105">
    <w:name w:val="批注主题 Char"/>
    <w:link w:val="35"/>
    <w:semiHidden/>
    <w:uiPriority w:val="0"/>
    <w:rPr>
      <w:rFonts w:ascii="Times New Roman" w:hAnsi="Times New Roman" w:eastAsia="宋体" w:cs="Times New Roman"/>
      <w:b/>
      <w:bCs/>
      <w:kern w:val="2"/>
      <w:sz w:val="21"/>
      <w:szCs w:val="24"/>
    </w:rPr>
  </w:style>
  <w:style w:type="character" w:customStyle="1" w:styleId="106">
    <w:name w:val="批注主题 字符"/>
    <w:basedOn w:val="104"/>
    <w:semiHidden/>
    <w:qFormat/>
    <w:uiPriority w:val="99"/>
    <w:rPr>
      <w:rFonts w:ascii="宋体" w:hAnsi="宋体" w:eastAsia="宋体" w:cs="宋体"/>
      <w:b/>
      <w:bCs/>
      <w:color w:val="000000"/>
      <w:kern w:val="2"/>
      <w:sz w:val="24"/>
      <w:szCs w:val="22"/>
    </w:rPr>
  </w:style>
  <w:style w:type="character" w:customStyle="1" w:styleId="107">
    <w:name w:val="文档结构图 Char"/>
    <w:link w:val="15"/>
    <w:semiHidden/>
    <w:uiPriority w:val="0"/>
    <w:rPr>
      <w:rFonts w:ascii="Times New Roman" w:hAnsi="Times New Roman" w:eastAsia="宋体" w:cs="Times New Roman"/>
      <w:kern w:val="2"/>
      <w:sz w:val="21"/>
      <w:szCs w:val="24"/>
      <w:shd w:val="clear" w:color="auto" w:fill="000080"/>
    </w:rPr>
  </w:style>
  <w:style w:type="character" w:customStyle="1" w:styleId="108">
    <w:name w:val="文档结构图 字符"/>
    <w:basedOn w:val="38"/>
    <w:semiHidden/>
    <w:qFormat/>
    <w:uiPriority w:val="99"/>
    <w:rPr>
      <w:rFonts w:ascii="Microsoft YaHei UI" w:hAnsi="宋体" w:eastAsia="Microsoft YaHei UI" w:cs="宋体"/>
      <w:color w:val="000000"/>
      <w:kern w:val="2"/>
      <w:sz w:val="18"/>
      <w:szCs w:val="18"/>
    </w:rPr>
  </w:style>
  <w:style w:type="paragraph" w:customStyle="1" w:styleId="109">
    <w:name w:val="TOC 标题2"/>
    <w:basedOn w:val="4"/>
    <w:next w:val="1"/>
    <w:qFormat/>
    <w:uiPriority w:val="39"/>
    <w:pPr>
      <w:spacing w:before="480" w:after="0" w:line="276" w:lineRule="auto"/>
      <w:ind w:left="0" w:right="0" w:firstLine="0"/>
      <w:jc w:val="left"/>
      <w:outlineLvl w:val="9"/>
    </w:pPr>
    <w:rPr>
      <w:rFonts w:ascii="Cambria" w:hAnsi="Cambria" w:eastAsia="宋体" w:cs="Times New Roman"/>
      <w:b/>
      <w:bCs/>
      <w:color w:val="365F91"/>
      <w:kern w:val="0"/>
      <w:sz w:val="28"/>
      <w:szCs w:val="28"/>
    </w:rPr>
  </w:style>
  <w:style w:type="paragraph" w:customStyle="1" w:styleId="110">
    <w:name w:val="Char Char Char Char"/>
    <w:basedOn w:val="1"/>
    <w:qFormat/>
    <w:uiPriority w:val="0"/>
    <w:pPr>
      <w:spacing w:after="160" w:line="240" w:lineRule="exact"/>
      <w:ind w:left="0" w:firstLine="0"/>
    </w:pPr>
    <w:rPr>
      <w:rFonts w:ascii="Times New Roman" w:hAnsi="Times New Roman" w:cs="Times New Roman"/>
      <w:color w:val="auto"/>
      <w:sz w:val="21"/>
      <w:szCs w:val="20"/>
    </w:rPr>
  </w:style>
  <w:style w:type="paragraph" w:customStyle="1" w:styleId="111">
    <w:name w:val="p17"/>
    <w:basedOn w:val="1"/>
    <w:uiPriority w:val="0"/>
    <w:pPr>
      <w:spacing w:after="0" w:line="240" w:lineRule="auto"/>
      <w:ind w:left="0" w:firstLine="0"/>
      <w:jc w:val="both"/>
    </w:pPr>
    <w:rPr>
      <w:rFonts w:ascii="Times New Roman" w:hAnsi="Times New Roman" w:cs="Times New Roman"/>
      <w:color w:val="auto"/>
      <w:kern w:val="0"/>
      <w:sz w:val="21"/>
      <w:szCs w:val="21"/>
    </w:rPr>
  </w:style>
  <w:style w:type="character" w:customStyle="1" w:styleId="112">
    <w:name w:val="Char Char2"/>
    <w:qFormat/>
    <w:uiPriority w:val="0"/>
    <w:rPr>
      <w:rFonts w:ascii="Arial" w:hAnsi="Arial" w:eastAsia="黑体"/>
      <w:b/>
      <w:bCs/>
      <w:kern w:val="2"/>
      <w:sz w:val="32"/>
      <w:szCs w:val="32"/>
      <w:lang w:val="en-US" w:eastAsia="zh-CN" w:bidi="ar-SA"/>
    </w:rPr>
  </w:style>
  <w:style w:type="paragraph" w:customStyle="1" w:styleId="113">
    <w:name w:val="Char11"/>
    <w:basedOn w:val="1"/>
    <w:qFormat/>
    <w:uiPriority w:val="0"/>
    <w:pPr>
      <w:widowControl w:val="0"/>
      <w:spacing w:after="0" w:line="240" w:lineRule="auto"/>
      <w:ind w:left="0" w:firstLine="0"/>
      <w:jc w:val="both"/>
    </w:pPr>
    <w:rPr>
      <w:rFonts w:ascii="Tahoma" w:hAnsi="Tahoma" w:cs="Times New Roman"/>
      <w:color w:val="auto"/>
      <w:szCs w:val="20"/>
    </w:rPr>
  </w:style>
  <w:style w:type="character" w:customStyle="1" w:styleId="114">
    <w:name w:val="Char Char11"/>
    <w:qFormat/>
    <w:uiPriority w:val="0"/>
    <w:rPr>
      <w:rFonts w:eastAsia="宋体"/>
      <w:kern w:val="2"/>
      <w:sz w:val="24"/>
      <w:lang w:val="en-US" w:eastAsia="zh-CN" w:bidi="ar-SA"/>
    </w:rPr>
  </w:style>
  <w:style w:type="paragraph" w:customStyle="1" w:styleId="115">
    <w:name w:val="Char Char Char Char1"/>
    <w:basedOn w:val="1"/>
    <w:qFormat/>
    <w:uiPriority w:val="0"/>
    <w:pPr>
      <w:spacing w:after="160" w:line="240" w:lineRule="exact"/>
      <w:ind w:left="0" w:firstLine="0"/>
    </w:pPr>
    <w:rPr>
      <w:rFonts w:ascii="Times New Roman" w:hAnsi="Times New Roman" w:cs="Times New Roman"/>
      <w:color w:val="auto"/>
      <w:sz w:val="21"/>
      <w:szCs w:val="20"/>
    </w:rPr>
  </w:style>
  <w:style w:type="character" w:customStyle="1" w:styleId="116">
    <w:name w:val="标题 2 Char Char"/>
    <w:uiPriority w:val="0"/>
    <w:rPr>
      <w:rFonts w:ascii="Arial" w:hAnsi="Arial" w:eastAsia="黑体" w:cs="Times New Roman"/>
      <w:b/>
      <w:bCs/>
      <w:kern w:val="2"/>
      <w:sz w:val="32"/>
      <w:szCs w:val="32"/>
      <w:lang w:val="en-US" w:eastAsia="zh-CN" w:bidi="ar-SA"/>
    </w:rPr>
  </w:style>
  <w:style w:type="character" w:customStyle="1" w:styleId="117">
    <w:name w:val="标题 1 Char"/>
    <w:uiPriority w:val="0"/>
    <w:rPr>
      <w:b/>
      <w:bCs/>
      <w:kern w:val="44"/>
      <w:sz w:val="44"/>
      <w:szCs w:val="44"/>
    </w:rPr>
  </w:style>
  <w:style w:type="character" w:customStyle="1" w:styleId="118">
    <w:name w:val="标题 3 Char"/>
    <w:uiPriority w:val="0"/>
    <w:rPr>
      <w:b/>
      <w:bCs/>
      <w:kern w:val="2"/>
      <w:sz w:val="32"/>
      <w:szCs w:val="32"/>
    </w:rPr>
  </w:style>
  <w:style w:type="character" w:customStyle="1" w:styleId="119">
    <w:name w:val="标题 4 Char"/>
    <w:uiPriority w:val="0"/>
    <w:rPr>
      <w:rFonts w:ascii="Arial" w:hAnsi="Arial" w:eastAsia="黑体"/>
      <w:b/>
      <w:sz w:val="28"/>
    </w:rPr>
  </w:style>
  <w:style w:type="paragraph" w:customStyle="1" w:styleId="120">
    <w:name w:val="内文"/>
    <w:basedOn w:val="1"/>
    <w:qFormat/>
    <w:uiPriority w:val="0"/>
    <w:pPr>
      <w:widowControl w:val="0"/>
      <w:spacing w:after="0" w:line="400" w:lineRule="exact"/>
      <w:ind w:left="0" w:firstLine="420" w:firstLineChars="200"/>
      <w:jc w:val="both"/>
    </w:pPr>
    <w:rPr>
      <w:rFonts w:ascii="Times New Roman" w:hAnsi="Times New Roman" w:cs="Times New Roman"/>
      <w:sz w:val="21"/>
      <w:szCs w:val="24"/>
    </w:rPr>
  </w:style>
  <w:style w:type="paragraph" w:customStyle="1" w:styleId="121">
    <w:name w:val="_Style 117"/>
    <w:basedOn w:val="1"/>
    <w:next w:val="57"/>
    <w:qFormat/>
    <w:uiPriority w:val="34"/>
    <w:pPr>
      <w:widowControl w:val="0"/>
      <w:spacing w:after="0" w:line="240" w:lineRule="auto"/>
      <w:ind w:left="0" w:firstLine="420" w:firstLineChars="200"/>
      <w:jc w:val="both"/>
    </w:pPr>
    <w:rPr>
      <w:rFonts w:ascii="Times New Roman" w:hAnsi="Times New Roman" w:cs="Times New Roman"/>
      <w:color w:val="auto"/>
      <w:sz w:val="21"/>
      <w:szCs w:val="24"/>
    </w:rPr>
  </w:style>
  <w:style w:type="paragraph" w:customStyle="1" w:styleId="122">
    <w:name w:val="修订1"/>
    <w:hidden/>
    <w:semiHidden/>
    <w:uiPriority w:val="99"/>
    <w:rPr>
      <w:rFonts w:ascii="Times New Roman" w:hAnsi="Times New Roman" w:eastAsia="宋体" w:cs="Times New Roman"/>
      <w:kern w:val="2"/>
      <w:sz w:val="21"/>
      <w:szCs w:val="24"/>
      <w:lang w:val="en-US" w:eastAsia="zh-CN" w:bidi="ar-SA"/>
    </w:rPr>
  </w:style>
  <w:style w:type="character" w:customStyle="1" w:styleId="123">
    <w:name w:val="批注框文本 Char"/>
    <w:semiHidden/>
    <w:uiPriority w:val="0"/>
    <w:rPr>
      <w:kern w:val="2"/>
      <w:sz w:val="18"/>
      <w:szCs w:val="18"/>
    </w:rPr>
  </w:style>
  <w:style w:type="paragraph" w:customStyle="1" w:styleId="124">
    <w:name w:val="列出段落4"/>
    <w:basedOn w:val="1"/>
    <w:qFormat/>
    <w:uiPriority w:val="34"/>
    <w:pPr>
      <w:ind w:firstLine="420" w:firstLineChars="200"/>
    </w:pPr>
  </w:style>
  <w:style w:type="paragraph" w:customStyle="1" w:styleId="125">
    <w:name w:val="WPSOffice手动目录 1"/>
    <w:uiPriority w:val="0"/>
    <w:rPr>
      <w:rFonts w:asciiTheme="minorHAnsi" w:hAnsiTheme="minorHAnsi" w:eastAsiaTheme="minorEastAsia" w:cstheme="minorBidi"/>
      <w:lang w:val="en-US" w:eastAsia="zh-CN" w:bidi="ar-SA"/>
    </w:rPr>
  </w:style>
  <w:style w:type="paragraph" w:customStyle="1" w:styleId="126">
    <w:name w:val="WPSOffice手动目录 2"/>
    <w:uiPriority w:val="0"/>
    <w:pPr>
      <w:ind w:left="200" w:leftChars="2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wmf"/><Relationship Id="rId26" Type="http://schemas.openxmlformats.org/officeDocument/2006/relationships/oleObject" Target="embeddings/oleObject1.bin"/><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header" Target="header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2"/>
    <customShpInfo spid="_x0000_s2061"/>
    <customShpInfo spid="_x0000_s2060"/>
    <customShpInfo spid="_x0000_s2065"/>
    <customShpInfo spid="_x0000_s2064"/>
    <customShpInfo spid="_x0000_s2059"/>
    <customShpInfo spid="_x0000_s2058"/>
    <customShpInfo spid="_x0000_s1027"/>
    <customShpInfo spid="_x0000_s1028"/>
    <customShpInfo spid="_x0000_s1029"/>
    <customShpInfo spid="_x0000_s1026"/>
  </customShpExts>
</s:customData>
</file>

<file path=customXml/item2.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342768-4021-402D-AB68-628449EC35DC}">
  <ds:schemaRefs/>
</ds:datastoreItem>
</file>

<file path=docProps/app.xml><?xml version="1.0" encoding="utf-8"?>
<Properties xmlns="http://schemas.openxmlformats.org/officeDocument/2006/extended-properties" xmlns:vt="http://schemas.openxmlformats.org/officeDocument/2006/docPropsVTypes">
  <Template>Normal</Template>
  <Pages>133</Pages>
  <Words>12928</Words>
  <Characters>73695</Characters>
  <Lines>614</Lines>
  <Paragraphs>172</Paragraphs>
  <TotalTime>272</TotalTime>
  <ScaleCrop>false</ScaleCrop>
  <LinksUpToDate>false</LinksUpToDate>
  <CharactersWithSpaces>86451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2019-03-10T15:48:00Z</dcterms:created>
  <dc:creator>Administrator</dc:creator>
  <cp:lastModifiedBy>lenovo</cp:lastModifiedBy>
  <cp:lastPrinted>2021-11-25T06:42:51Z</cp:lastPrinted>
  <dcterms:modified xsi:type="dcterms:W3CDTF">2021-11-25T07:35:04Z</dcterms:modified>
  <dc:title>&lt;4D6963726F736F667420576F7264202D2064646464646464645FB6A8B8E5A3A9B9E3B6ABCAA1C9D8B9D8BCE0D3FCD6C1B3C7B1B3B4E5B9ABC2B7BDA8C9E8B9A4B3CCCFEEC4BFA3A830373035B6A8B8E5A3A9&gt;</dc:title>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A07812F442BC45E68CCFFB746FB45F58</vt:lpwstr>
  </property>
</Properties>
</file>