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北京市福利彩票发行中心</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kern w:val="0"/>
          <w:sz w:val="28"/>
          <w:szCs w:val="28"/>
          <w:u w:val="single"/>
        </w:rPr>
        <w:t>广播电台宣传项目</w:t>
      </w:r>
    </w:p>
    <w:p>
      <w:pPr>
        <w:ind w:firstLine="560" w:firstLineChars="200"/>
        <w:rPr>
          <w:rFonts w:ascii="仿宋" w:hAnsi="仿宋" w:eastAsia="仿宋"/>
          <w:sz w:val="28"/>
          <w:szCs w:val="28"/>
          <w:u w:val="single"/>
        </w:rPr>
      </w:pPr>
      <w:r>
        <w:rPr>
          <w:rFonts w:hint="eastAsia" w:ascii="仿宋" w:hAnsi="仿宋" w:eastAsia="仿宋"/>
          <w:sz w:val="28"/>
          <w:szCs w:val="28"/>
        </w:rPr>
        <w:t>拟采购的货物或服务的说明：</w:t>
      </w:r>
      <w:r>
        <w:rPr>
          <w:rFonts w:ascii="仿宋" w:hAnsi="仿宋" w:eastAsia="仿宋"/>
          <w:sz w:val="28"/>
          <w:szCs w:val="28"/>
          <w:u w:val="single"/>
        </w:rPr>
        <w:t>2022年，</w:t>
      </w:r>
      <w:r>
        <w:rPr>
          <w:rFonts w:hint="eastAsia" w:ascii="仿宋" w:hAnsi="仿宋" w:eastAsia="仿宋"/>
          <w:sz w:val="28"/>
          <w:szCs w:val="28"/>
          <w:u w:val="single"/>
        </w:rPr>
        <w:t>北京市福利彩票发行中心</w:t>
      </w:r>
      <w:r>
        <w:rPr>
          <w:rFonts w:ascii="仿宋" w:hAnsi="仿宋" w:eastAsia="仿宋"/>
          <w:sz w:val="28"/>
          <w:szCs w:val="28"/>
          <w:u w:val="single"/>
        </w:rPr>
        <w:t>继续在北京广播电视台采取多台组合形式, 发挥其收视优势，面向庞大受众群体投放福彩公益广告、福彩游戏营销派奖广告等。宣传福彩发行宗旨、传播福利彩票品牌公益性及游戏趣味性，吸引更多社会大众关注福彩、支持福彩，进一步提升福彩品牌形象，扩大品牌影响力。</w:t>
      </w:r>
    </w:p>
    <w:p>
      <w:pPr>
        <w:ind w:firstLine="560" w:firstLineChars="200"/>
        <w:rPr>
          <w:rFonts w:ascii="仿宋" w:hAnsi="仿宋" w:eastAsia="仿宋"/>
          <w:sz w:val="28"/>
          <w:szCs w:val="28"/>
          <w:u w:val="single"/>
        </w:rPr>
      </w:pPr>
      <w:r>
        <w:rPr>
          <w:rFonts w:hint="eastAsia" w:ascii="仿宋" w:hAnsi="仿宋" w:eastAsia="仿宋"/>
          <w:sz w:val="28"/>
          <w:szCs w:val="28"/>
        </w:rPr>
        <w:t>拟采购的货物或服务的预算金额：</w:t>
      </w:r>
      <w:r>
        <w:rPr>
          <w:rFonts w:hint="eastAsia" w:ascii="仿宋" w:hAnsi="仿宋" w:eastAsia="仿宋"/>
          <w:sz w:val="28"/>
          <w:szCs w:val="28"/>
          <w:u w:val="single"/>
        </w:rPr>
        <w:t>人民币</w:t>
      </w:r>
      <w:r>
        <w:rPr>
          <w:rFonts w:ascii="仿宋" w:hAnsi="仿宋" w:eastAsia="仿宋"/>
          <w:sz w:val="28"/>
          <w:szCs w:val="28"/>
          <w:u w:val="single"/>
        </w:rPr>
        <w:t>198</w:t>
      </w:r>
      <w:r>
        <w:rPr>
          <w:rFonts w:hint="eastAsia" w:ascii="仿宋" w:hAnsi="仿宋" w:eastAsia="仿宋"/>
          <w:sz w:val="28"/>
          <w:szCs w:val="28"/>
          <w:u w:val="single"/>
        </w:rPr>
        <w:t>万元</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p>
    <w:p>
      <w:pPr>
        <w:ind w:firstLine="560" w:firstLineChars="200"/>
        <w:rPr>
          <w:rFonts w:ascii="仿宋" w:hAnsi="仿宋" w:eastAsia="仿宋"/>
          <w:sz w:val="28"/>
          <w:szCs w:val="28"/>
          <w:u w:val="single"/>
        </w:rPr>
      </w:pPr>
      <w:r>
        <w:rPr>
          <w:rFonts w:hint="eastAsia" w:ascii="仿宋" w:hAnsi="仿宋" w:eastAsia="仿宋"/>
          <w:sz w:val="28"/>
          <w:szCs w:val="28"/>
          <w:u w:val="single"/>
        </w:rPr>
        <w:t>北京市福利彩票发行中心拟2</w:t>
      </w:r>
      <w:r>
        <w:rPr>
          <w:rFonts w:ascii="仿宋" w:hAnsi="仿宋" w:eastAsia="仿宋"/>
          <w:sz w:val="28"/>
          <w:szCs w:val="28"/>
          <w:u w:val="single"/>
        </w:rPr>
        <w:t>022</w:t>
      </w:r>
      <w:r>
        <w:rPr>
          <w:rFonts w:hint="eastAsia" w:ascii="仿宋" w:hAnsi="仿宋" w:eastAsia="仿宋"/>
          <w:sz w:val="28"/>
          <w:szCs w:val="28"/>
          <w:u w:val="single"/>
        </w:rPr>
        <w:t>年继续在北京广播电视台采取多台组合形式</w:t>
      </w:r>
      <w:r>
        <w:rPr>
          <w:rFonts w:ascii="仿宋" w:hAnsi="仿宋" w:eastAsia="仿宋"/>
          <w:sz w:val="28"/>
          <w:szCs w:val="28"/>
          <w:u w:val="single"/>
        </w:rPr>
        <w:t>, 发挥其收视优势，面向庞大受众群体投放福彩公益广告、福彩游戏营销派奖广告等。宣传福彩发行宗旨、传播福利彩票品牌公益性及游戏趣味性，吸引更多社会大众关注福彩、支持福彩，进一步提升福彩品牌形象，扩大品牌影响力。</w:t>
      </w:r>
    </w:p>
    <w:p>
      <w:pPr>
        <w:ind w:firstLine="560" w:firstLineChars="200"/>
        <w:rPr>
          <w:rFonts w:ascii="仿宋" w:hAnsi="仿宋" w:eastAsia="仿宋"/>
          <w:sz w:val="28"/>
          <w:szCs w:val="28"/>
          <w:u w:val="single"/>
        </w:rPr>
      </w:pPr>
      <w:r>
        <w:rPr>
          <w:rFonts w:hint="eastAsia" w:ascii="仿宋" w:hAnsi="仿宋" w:eastAsia="仿宋"/>
          <w:sz w:val="28"/>
          <w:szCs w:val="28"/>
          <w:u w:val="single"/>
        </w:rPr>
        <w:t>北京柏雅传媒广告有限责任公司是北京广播电视台2</w:t>
      </w:r>
      <w:r>
        <w:rPr>
          <w:rFonts w:ascii="仿宋" w:hAnsi="仿宋" w:eastAsia="仿宋"/>
          <w:sz w:val="28"/>
          <w:szCs w:val="28"/>
          <w:u w:val="single"/>
        </w:rPr>
        <w:t>022</w:t>
      </w:r>
      <w:r>
        <w:rPr>
          <w:rFonts w:hint="eastAsia" w:ascii="仿宋" w:hAnsi="仿宋" w:eastAsia="仿宋"/>
          <w:sz w:val="28"/>
          <w:szCs w:val="28"/>
          <w:u w:val="single"/>
        </w:rPr>
        <w:t>年度广播广告代理授权公司，经北京广播电视台授权，独家代理北京市福利彩票发行中心2</w:t>
      </w:r>
      <w:r>
        <w:rPr>
          <w:rFonts w:ascii="仿宋" w:hAnsi="仿宋" w:eastAsia="仿宋"/>
          <w:sz w:val="28"/>
          <w:szCs w:val="28"/>
          <w:u w:val="single"/>
        </w:rPr>
        <w:t>022</w:t>
      </w:r>
      <w:r>
        <w:rPr>
          <w:rFonts w:hint="eastAsia" w:ascii="仿宋" w:hAnsi="仿宋" w:eastAsia="仿宋"/>
          <w:sz w:val="28"/>
          <w:szCs w:val="28"/>
          <w:u w:val="single"/>
        </w:rPr>
        <w:t>年度在北京广播电视台所有广播广告投放业务及提供相关服务。</w:t>
      </w:r>
    </w:p>
    <w:p>
      <w:pPr>
        <w:ind w:firstLine="560" w:firstLineChars="200"/>
        <w:rPr>
          <w:rFonts w:ascii="仿宋" w:hAnsi="仿宋" w:eastAsia="仿宋"/>
          <w:sz w:val="28"/>
          <w:szCs w:val="28"/>
          <w:u w:val="single"/>
        </w:rPr>
      </w:pPr>
      <w:r>
        <w:rPr>
          <w:rFonts w:hint="eastAsia" w:ascii="仿宋" w:hAnsi="仿宋" w:eastAsia="仿宋"/>
          <w:sz w:val="28"/>
          <w:szCs w:val="28"/>
          <w:u w:val="single"/>
        </w:rPr>
        <w:t>综上，为落实该项工作，北京柏雅传媒广告有限责任公司拥有唯一性。故该项目只能向北京柏雅传媒广告有限责任公司以单一来源方式进行采购。</w:t>
      </w: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北京柏雅传媒广告有限责任公司</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北京市东城区广渠门南小街</w:t>
      </w:r>
      <w:r>
        <w:rPr>
          <w:rFonts w:ascii="仿宋" w:hAnsi="仿宋" w:eastAsia="仿宋"/>
          <w:sz w:val="28"/>
          <w:szCs w:val="28"/>
          <w:u w:val="single"/>
        </w:rPr>
        <w:t>1号楼2单元0501号</w:t>
      </w: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三、公示期限</w:t>
      </w:r>
    </w:p>
    <w:p>
      <w:pPr>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2022年04月02日至2022年04月12日</w:t>
      </w: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四、其他补充事宜：</w:t>
      </w:r>
    </w:p>
    <w:p>
      <w:pPr>
        <w:spacing w:line="360" w:lineRule="auto"/>
        <w:ind w:firstLine="560" w:firstLineChars="200"/>
        <w:rPr>
          <w:rFonts w:ascii="仿宋" w:hAnsi="仿宋" w:eastAsia="仿宋"/>
          <w:sz w:val="28"/>
          <w:szCs w:val="28"/>
        </w:rPr>
      </w:pPr>
      <w:r>
        <w:rPr>
          <w:rFonts w:ascii="仿宋" w:hAnsi="仿宋" w:eastAsia="仿宋"/>
          <w:sz w:val="28"/>
          <w:szCs w:val="28"/>
        </w:rPr>
        <w:t>4.1</w:t>
      </w:r>
      <w:r>
        <w:rPr>
          <w:rFonts w:hint="eastAsia" w:ascii="仿宋" w:hAnsi="仿宋" w:eastAsia="仿宋"/>
          <w:kern w:val="0"/>
          <w:sz w:val="28"/>
          <w:szCs w:val="28"/>
        </w:rPr>
        <w:t>本公告同时在中国政府采购网（</w:t>
      </w:r>
      <w:r>
        <w:rPr>
          <w:rFonts w:ascii="仿宋" w:hAnsi="仿宋" w:eastAsia="仿宋"/>
          <w:kern w:val="0"/>
          <w:sz w:val="28"/>
          <w:szCs w:val="28"/>
        </w:rPr>
        <w:t>http://www.ccgp.gov.cn</w:t>
      </w:r>
      <w:r>
        <w:rPr>
          <w:rFonts w:hint="eastAsia" w:ascii="仿宋" w:hAnsi="仿宋" w:eastAsia="仿宋"/>
          <w:kern w:val="0"/>
          <w:sz w:val="28"/>
          <w:szCs w:val="28"/>
        </w:rPr>
        <w:t>）、北京市政府采购网（</w:t>
      </w:r>
      <w:r>
        <w:rPr>
          <w:rFonts w:ascii="仿宋" w:hAnsi="仿宋" w:eastAsia="仿宋"/>
          <w:kern w:val="0"/>
          <w:sz w:val="28"/>
          <w:szCs w:val="28"/>
        </w:rPr>
        <w:t>http://www.ccgp-beijing.gov.cn/</w:t>
      </w:r>
      <w:r>
        <w:rPr>
          <w:rFonts w:hint="eastAsia" w:ascii="仿宋" w:hAnsi="仿宋" w:eastAsia="仿宋"/>
          <w:kern w:val="0"/>
          <w:sz w:val="28"/>
          <w:szCs w:val="28"/>
        </w:rPr>
        <w:t>）以及北京汇诚金桥国际招标咨询有限公司网站（</w:t>
      </w:r>
      <w:r>
        <w:rPr>
          <w:rFonts w:ascii="仿宋" w:hAnsi="仿宋" w:eastAsia="仿宋"/>
          <w:kern w:val="0"/>
          <w:sz w:val="28"/>
          <w:szCs w:val="28"/>
        </w:rPr>
        <w:t>http://www.hcjq.net/</w:t>
      </w:r>
      <w:r>
        <w:rPr>
          <w:rFonts w:hint="eastAsia" w:ascii="仿宋" w:hAnsi="仿宋" w:eastAsia="仿宋"/>
          <w:kern w:val="0"/>
          <w:sz w:val="28"/>
          <w:szCs w:val="28"/>
        </w:rPr>
        <w:t>）发布。</w:t>
      </w:r>
    </w:p>
    <w:p>
      <w:pPr>
        <w:spacing w:line="360" w:lineRule="auto"/>
        <w:ind w:firstLine="560" w:firstLineChars="200"/>
        <w:rPr>
          <w:rFonts w:ascii="仿宋" w:hAnsi="仿宋" w:eastAsia="仿宋"/>
          <w:sz w:val="28"/>
          <w:szCs w:val="28"/>
        </w:rPr>
      </w:pPr>
      <w:r>
        <w:rPr>
          <w:rFonts w:ascii="仿宋" w:hAnsi="仿宋" w:eastAsia="仿宋"/>
          <w:sz w:val="28"/>
          <w:szCs w:val="28"/>
        </w:rPr>
        <w:t>4.2</w:t>
      </w:r>
      <w:r>
        <w:rPr>
          <w:rFonts w:hint="eastAsia" w:ascii="仿宋" w:hAnsi="仿宋" w:eastAsia="仿宋"/>
          <w:sz w:val="28"/>
          <w:szCs w:val="28"/>
        </w:rPr>
        <w:t>有关单位和个人如对公示内容有异议，请在2022年04月12日1</w:t>
      </w:r>
      <w:r>
        <w:rPr>
          <w:rFonts w:ascii="仿宋" w:hAnsi="仿宋" w:eastAsia="仿宋"/>
          <w:sz w:val="28"/>
          <w:szCs w:val="28"/>
        </w:rPr>
        <w:t>7:00</w:t>
      </w:r>
      <w:r>
        <w:rPr>
          <w:rFonts w:hint="eastAsia" w:ascii="仿宋" w:hAnsi="仿宋" w:eastAsia="仿宋"/>
          <w:sz w:val="28"/>
          <w:szCs w:val="28"/>
        </w:rPr>
        <w:t>（北京时间）之前以实名书面（包括联系人、地址、联系电话）形式向采购人、采购代理机构反馈。</w:t>
      </w: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采购人</w:t>
      </w:r>
    </w:p>
    <w:p>
      <w:pPr>
        <w:spacing w:line="360" w:lineRule="auto"/>
        <w:ind w:firstLine="560" w:firstLineChars="200"/>
        <w:rPr>
          <w:rFonts w:hint="eastAsia" w:ascii="仿宋" w:hAnsi="仿宋" w:eastAsia="仿宋"/>
          <w:sz w:val="28"/>
          <w:szCs w:val="28"/>
          <w:u w:val="single"/>
        </w:rPr>
      </w:pPr>
      <w:r>
        <w:rPr>
          <w:rFonts w:hint="eastAsia" w:ascii="仿宋" w:hAnsi="仿宋" w:eastAsia="仿宋"/>
          <w:kern w:val="0"/>
          <w:sz w:val="28"/>
          <w:szCs w:val="28"/>
        </w:rPr>
        <w:t>联 系 人：</w:t>
      </w:r>
      <w:r>
        <w:rPr>
          <w:rFonts w:hint="eastAsia" w:ascii="仿宋" w:hAnsi="仿宋" w:eastAsia="仿宋"/>
          <w:sz w:val="28"/>
          <w:szCs w:val="28"/>
          <w:u w:val="single"/>
          <w:lang w:val="en-US" w:eastAsia="zh-CN"/>
        </w:rPr>
        <w:t>姜</w:t>
      </w:r>
      <w:r>
        <w:rPr>
          <w:rFonts w:hint="eastAsia" w:ascii="仿宋" w:hAnsi="仿宋" w:eastAsia="仿宋"/>
          <w:sz w:val="28"/>
          <w:szCs w:val="28"/>
          <w:u w:val="single"/>
        </w:rPr>
        <w:t>老师</w:t>
      </w:r>
      <w:bookmarkStart w:id="2" w:name="_GoBack"/>
      <w:bookmarkEnd w:id="2"/>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北京市西城区西直门外南路4号</w:t>
      </w:r>
    </w:p>
    <w:p>
      <w:pPr>
        <w:spacing w:line="360" w:lineRule="auto"/>
        <w:ind w:firstLine="560" w:firstLineChars="200"/>
        <w:rPr>
          <w:rFonts w:hint="eastAsia" w:ascii="仿宋" w:hAnsi="仿宋" w:eastAsia="仿宋"/>
          <w:sz w:val="28"/>
          <w:szCs w:val="28"/>
          <w:u w:val="single"/>
        </w:rPr>
      </w:pPr>
      <w:r>
        <w:rPr>
          <w:rFonts w:hint="eastAsia" w:ascii="仿宋" w:hAnsi="仿宋" w:eastAsia="仿宋"/>
          <w:kern w:val="0"/>
          <w:sz w:val="28"/>
          <w:szCs w:val="28"/>
        </w:rPr>
        <w:t>联系电话：</w:t>
      </w:r>
      <w:r>
        <w:rPr>
          <w:rFonts w:hint="eastAsia" w:ascii="仿宋" w:hAnsi="仿宋" w:eastAsia="仿宋"/>
          <w:sz w:val="28"/>
          <w:szCs w:val="28"/>
          <w:u w:val="single"/>
        </w:rPr>
        <w:t>010-62037</w:t>
      </w:r>
      <w:r>
        <w:rPr>
          <w:rFonts w:hint="eastAsia" w:ascii="仿宋" w:hAnsi="仿宋" w:eastAsia="仿宋"/>
          <w:sz w:val="28"/>
          <w:szCs w:val="28"/>
          <w:u w:val="single"/>
          <w:lang w:val="en-US" w:eastAsia="zh-CN"/>
        </w:rPr>
        <w:t>021</w:t>
      </w:r>
    </w:p>
    <w:p>
      <w:pPr>
        <w:ind w:firstLine="565" w:firstLineChars="20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财政部门</w:t>
      </w:r>
    </w:p>
    <w:p>
      <w:pPr>
        <w:ind w:firstLine="565" w:firstLineChars="202"/>
        <w:rPr>
          <w:rFonts w:ascii="仿宋" w:hAnsi="仿宋" w:eastAsia="仿宋"/>
          <w:sz w:val="28"/>
          <w:szCs w:val="28"/>
        </w:rPr>
      </w:pPr>
      <w:r>
        <w:rPr>
          <w:rFonts w:hint="eastAsia" w:ascii="仿宋" w:hAnsi="仿宋" w:eastAsia="仿宋"/>
          <w:sz w:val="28"/>
          <w:szCs w:val="28"/>
        </w:rPr>
        <w:t>联</w:t>
      </w:r>
      <w:r>
        <w:rPr>
          <w:rFonts w:ascii="仿宋" w:hAnsi="仿宋" w:eastAsia="仿宋"/>
          <w:sz w:val="28"/>
          <w:szCs w:val="28"/>
        </w:rPr>
        <w:t xml:space="preserve"> </w:t>
      </w:r>
      <w:r>
        <w:rPr>
          <w:rFonts w:hint="eastAsia" w:ascii="仿宋" w:hAnsi="仿宋" w:eastAsia="仿宋"/>
          <w:sz w:val="28"/>
          <w:szCs w:val="28"/>
        </w:rPr>
        <w:t>系</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rPr>
        <w:t>采购处</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北京市通州区承安路3号</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010-55592405</w:t>
      </w:r>
    </w:p>
    <w:p>
      <w:pPr>
        <w:ind w:firstLine="565" w:firstLineChars="20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采购代理机构</w:t>
      </w:r>
    </w:p>
    <w:p>
      <w:pPr>
        <w:ind w:firstLine="565" w:firstLineChars="202"/>
        <w:rPr>
          <w:rFonts w:ascii="仿宋" w:hAnsi="仿宋" w:eastAsia="仿宋"/>
          <w:sz w:val="28"/>
          <w:szCs w:val="28"/>
        </w:rPr>
      </w:pPr>
      <w:r>
        <w:rPr>
          <w:rFonts w:hint="eastAsia" w:ascii="仿宋" w:hAnsi="仿宋" w:eastAsia="仿宋"/>
          <w:sz w:val="28"/>
          <w:szCs w:val="28"/>
        </w:rPr>
        <w:t>联</w:t>
      </w:r>
      <w:r>
        <w:rPr>
          <w:rFonts w:ascii="仿宋" w:hAnsi="仿宋" w:eastAsia="仿宋"/>
          <w:sz w:val="28"/>
          <w:szCs w:val="28"/>
        </w:rPr>
        <w:t xml:space="preserve"> </w:t>
      </w:r>
      <w:r>
        <w:rPr>
          <w:rFonts w:hint="eastAsia" w:ascii="仿宋" w:hAnsi="仿宋" w:eastAsia="仿宋"/>
          <w:sz w:val="28"/>
          <w:szCs w:val="28"/>
        </w:rPr>
        <w:t>系</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rPr>
        <w:t>庞妍、吴少丹</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北京市东城区朝内大街南竹杆胡同6号北京INN3号楼9层</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010-65913057、65244576、65915614、65951037（传真）</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六、附件</w:t>
      </w:r>
    </w:p>
    <w:p>
      <w:r>
        <w:rPr>
          <w:rFonts w:hint="eastAsia" w:ascii="仿宋" w:hAnsi="仿宋" w:eastAsia="仿宋"/>
          <w:sz w:val="28"/>
          <w:szCs w:val="28"/>
        </w:rPr>
        <w:t>专业人员论证意见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A0"/>
    <w:rsid w:val="00007102"/>
    <w:rsid w:val="0001421C"/>
    <w:rsid w:val="00042DAE"/>
    <w:rsid w:val="00043AD5"/>
    <w:rsid w:val="000F1F05"/>
    <w:rsid w:val="001C023D"/>
    <w:rsid w:val="001E2E54"/>
    <w:rsid w:val="0020083B"/>
    <w:rsid w:val="002430A9"/>
    <w:rsid w:val="002448FD"/>
    <w:rsid w:val="00276863"/>
    <w:rsid w:val="00293ADB"/>
    <w:rsid w:val="002B1153"/>
    <w:rsid w:val="0035163B"/>
    <w:rsid w:val="00355825"/>
    <w:rsid w:val="00381153"/>
    <w:rsid w:val="00396C9A"/>
    <w:rsid w:val="003C3DC2"/>
    <w:rsid w:val="004556CF"/>
    <w:rsid w:val="004E3D30"/>
    <w:rsid w:val="004E461D"/>
    <w:rsid w:val="004E7C8A"/>
    <w:rsid w:val="005742B1"/>
    <w:rsid w:val="00593EBC"/>
    <w:rsid w:val="006119B0"/>
    <w:rsid w:val="00644D4D"/>
    <w:rsid w:val="006608AB"/>
    <w:rsid w:val="0067735D"/>
    <w:rsid w:val="006A5783"/>
    <w:rsid w:val="006B69B2"/>
    <w:rsid w:val="006C3547"/>
    <w:rsid w:val="006F10B2"/>
    <w:rsid w:val="007573C3"/>
    <w:rsid w:val="007932C7"/>
    <w:rsid w:val="008532E9"/>
    <w:rsid w:val="00861A4A"/>
    <w:rsid w:val="0087470C"/>
    <w:rsid w:val="00944BD0"/>
    <w:rsid w:val="00A42D63"/>
    <w:rsid w:val="00A92523"/>
    <w:rsid w:val="00AE295F"/>
    <w:rsid w:val="00AF48BD"/>
    <w:rsid w:val="00B17974"/>
    <w:rsid w:val="00B26B15"/>
    <w:rsid w:val="00C015FE"/>
    <w:rsid w:val="00C95982"/>
    <w:rsid w:val="00DA6D0B"/>
    <w:rsid w:val="00E018A0"/>
    <w:rsid w:val="00E061E2"/>
    <w:rsid w:val="00E938AB"/>
    <w:rsid w:val="00EA1DE0"/>
    <w:rsid w:val="00EF3551"/>
    <w:rsid w:val="00F04517"/>
    <w:rsid w:val="00F46B3B"/>
    <w:rsid w:val="00F5709A"/>
    <w:rsid w:val="00F80A19"/>
    <w:rsid w:val="00FB6DCA"/>
    <w:rsid w:val="0DA96B36"/>
    <w:rsid w:val="13161855"/>
    <w:rsid w:val="13B9068B"/>
    <w:rsid w:val="18F428E6"/>
    <w:rsid w:val="26FF1F23"/>
    <w:rsid w:val="2D74332E"/>
    <w:rsid w:val="323E225D"/>
    <w:rsid w:val="38B35BC1"/>
    <w:rsid w:val="470E18B5"/>
    <w:rsid w:val="4861447D"/>
    <w:rsid w:val="49761F7E"/>
    <w:rsid w:val="4ABC32F4"/>
    <w:rsid w:val="4CD86E50"/>
    <w:rsid w:val="54BE3D06"/>
    <w:rsid w:val="56DC1A51"/>
    <w:rsid w:val="5D4076C3"/>
    <w:rsid w:val="66980AE7"/>
    <w:rsid w:val="6F06269E"/>
    <w:rsid w:val="7556166D"/>
    <w:rsid w:val="768326CE"/>
    <w:rsid w:val="7A442450"/>
    <w:rsid w:val="7B356058"/>
    <w:rsid w:val="7DEF23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qFormat/>
    <w:uiPriority w:val="99"/>
    <w:pPr>
      <w:jc w:val="left"/>
    </w:pPr>
    <w:rPr>
      <w:rFonts w:ascii="Times New Roman" w:hAnsi="Times New Roman" w:eastAsia="宋体"/>
      <w:szCs w:val="24"/>
    </w:rPr>
  </w:style>
  <w:style w:type="paragraph" w:styleId="4">
    <w:name w:val="Balloon Text"/>
    <w:basedOn w:val="1"/>
    <w:link w:val="17"/>
    <w:semiHidden/>
    <w:qFormat/>
    <w:uiPriority w:val="99"/>
    <w:rPr>
      <w:sz w:val="18"/>
      <w:szCs w:val="18"/>
    </w:rPr>
  </w:style>
  <w:style w:type="paragraph" w:styleId="5">
    <w:name w:val="footer"/>
    <w:basedOn w:val="1"/>
    <w:link w:val="32"/>
    <w:unhideWhenUsed/>
    <w:qFormat/>
    <w:uiPriority w:val="99"/>
    <w:pPr>
      <w:tabs>
        <w:tab w:val="center" w:pos="4153"/>
        <w:tab w:val="right" w:pos="8306"/>
      </w:tabs>
      <w:snapToGrid w:val="0"/>
      <w:jc w:val="left"/>
    </w:pPr>
    <w:rPr>
      <w:sz w:val="18"/>
      <w:szCs w:val="18"/>
    </w:rPr>
  </w:style>
  <w:style w:type="paragraph" w:styleId="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semiHidden/>
    <w:unhideWhenUsed/>
    <w:qFormat/>
    <w:uiPriority w:val="99"/>
    <w:rPr>
      <w:rFonts w:hint="eastAsia" w:ascii="微软雅黑" w:hAnsi="微软雅黑" w:eastAsia="微软雅黑" w:cs="微软雅黑"/>
      <w:color w:val="02396F"/>
      <w:u w:val="single"/>
    </w:rPr>
  </w:style>
  <w:style w:type="character" w:styleId="12">
    <w:name w:val="Hyperlink"/>
    <w:semiHidden/>
    <w:unhideWhenUsed/>
    <w:qFormat/>
    <w:uiPriority w:val="99"/>
    <w:rPr>
      <w:rFonts w:hint="eastAsia" w:ascii="微软雅黑" w:hAnsi="微软雅黑" w:eastAsia="微软雅黑" w:cs="微软雅黑"/>
      <w:color w:val="02396F"/>
      <w:u w:val="single"/>
    </w:rPr>
  </w:style>
  <w:style w:type="character" w:styleId="13">
    <w:name w:val="annotation reference"/>
    <w:semiHidden/>
    <w:qFormat/>
    <w:uiPriority w:val="99"/>
    <w:rPr>
      <w:rFonts w:cs="Times New Roman"/>
      <w:sz w:val="21"/>
      <w:szCs w:val="21"/>
    </w:rPr>
  </w:style>
  <w:style w:type="character" w:customStyle="1" w:styleId="14">
    <w:name w:val="标题 1 字符"/>
    <w:link w:val="2"/>
    <w:qFormat/>
    <w:locked/>
    <w:uiPriority w:val="99"/>
    <w:rPr>
      <w:rFonts w:ascii="宋体" w:hAnsi="宋体" w:eastAsia="宋体" w:cs="宋体"/>
      <w:b/>
      <w:bCs/>
      <w:kern w:val="36"/>
      <w:sz w:val="48"/>
      <w:szCs w:val="48"/>
    </w:rPr>
  </w:style>
  <w:style w:type="paragraph" w:styleId="15">
    <w:name w:val="List Paragraph"/>
    <w:basedOn w:val="1"/>
    <w:qFormat/>
    <w:uiPriority w:val="99"/>
    <w:pPr>
      <w:ind w:firstLine="420" w:firstLineChars="200"/>
    </w:pPr>
    <w:rPr>
      <w:rFonts w:ascii="Times New Roman" w:hAnsi="Times New Roman" w:eastAsia="宋体"/>
      <w:szCs w:val="21"/>
    </w:rPr>
  </w:style>
  <w:style w:type="character" w:customStyle="1" w:styleId="16">
    <w:name w:val="批注文字 字符"/>
    <w:basedOn w:val="10"/>
    <w:link w:val="3"/>
    <w:semiHidden/>
    <w:qFormat/>
    <w:uiPriority w:val="99"/>
  </w:style>
  <w:style w:type="character" w:customStyle="1" w:styleId="17">
    <w:name w:val="批注框文本 字符"/>
    <w:link w:val="4"/>
    <w:semiHidden/>
    <w:qFormat/>
    <w:uiPriority w:val="99"/>
    <w:rPr>
      <w:sz w:val="0"/>
      <w:szCs w:val="0"/>
    </w:rPr>
  </w:style>
  <w:style w:type="character" w:customStyle="1" w:styleId="18">
    <w:name w:val="prev2"/>
    <w:qFormat/>
    <w:uiPriority w:val="0"/>
    <w:rPr>
      <w:color w:val="888888"/>
    </w:rPr>
  </w:style>
  <w:style w:type="character" w:customStyle="1" w:styleId="19">
    <w:name w:val="prev3"/>
    <w:qFormat/>
    <w:uiPriority w:val="0"/>
    <w:rPr>
      <w:rFonts w:ascii="微软雅黑" w:hAnsi="微软雅黑" w:eastAsia="微软雅黑" w:cs="微软雅黑"/>
      <w:sz w:val="21"/>
      <w:szCs w:val="21"/>
    </w:rPr>
  </w:style>
  <w:style w:type="character" w:customStyle="1" w:styleId="20">
    <w:name w:val="gjfg"/>
    <w:basedOn w:val="10"/>
    <w:uiPriority w:val="0"/>
  </w:style>
  <w:style w:type="character" w:customStyle="1" w:styleId="21">
    <w:name w:val="redfilefwwh"/>
    <w:qFormat/>
    <w:uiPriority w:val="0"/>
    <w:rPr>
      <w:color w:val="BA2636"/>
      <w:sz w:val="18"/>
      <w:szCs w:val="18"/>
    </w:rPr>
  </w:style>
  <w:style w:type="character" w:customStyle="1" w:styleId="22">
    <w:name w:val="cfdate"/>
    <w:qFormat/>
    <w:uiPriority w:val="0"/>
    <w:rPr>
      <w:color w:val="333333"/>
      <w:sz w:val="18"/>
      <w:szCs w:val="18"/>
    </w:rPr>
  </w:style>
  <w:style w:type="character" w:customStyle="1" w:styleId="23">
    <w:name w:val="next"/>
    <w:qFormat/>
    <w:uiPriority w:val="0"/>
    <w:rPr>
      <w:color w:val="888888"/>
    </w:rPr>
  </w:style>
  <w:style w:type="character" w:customStyle="1" w:styleId="24">
    <w:name w:val="next1"/>
    <w:qFormat/>
    <w:uiPriority w:val="0"/>
    <w:rPr>
      <w:rFonts w:hint="eastAsia" w:ascii="微软雅黑" w:hAnsi="微软雅黑" w:eastAsia="微软雅黑" w:cs="微软雅黑"/>
      <w:sz w:val="21"/>
      <w:szCs w:val="21"/>
    </w:rPr>
  </w:style>
  <w:style w:type="character" w:customStyle="1" w:styleId="25">
    <w:name w:val="displayarti"/>
    <w:qFormat/>
    <w:uiPriority w:val="0"/>
    <w:rPr>
      <w:color w:val="FFFFFF"/>
      <w:shd w:val="clear" w:color="auto" w:fill="A00000"/>
    </w:rPr>
  </w:style>
  <w:style w:type="character" w:customStyle="1" w:styleId="26">
    <w:name w:val="redfilenumber"/>
    <w:qFormat/>
    <w:uiPriority w:val="0"/>
    <w:rPr>
      <w:color w:val="BA2636"/>
      <w:sz w:val="18"/>
      <w:szCs w:val="18"/>
    </w:rPr>
  </w:style>
  <w:style w:type="character" w:customStyle="1" w:styleId="27">
    <w:name w:val="qxdate"/>
    <w:qFormat/>
    <w:uiPriority w:val="0"/>
    <w:rPr>
      <w:color w:val="333333"/>
      <w:sz w:val="18"/>
      <w:szCs w:val="18"/>
    </w:rPr>
  </w:style>
  <w:style w:type="character" w:customStyle="1" w:styleId="28">
    <w:name w:val="next2"/>
    <w:qFormat/>
    <w:uiPriority w:val="0"/>
    <w:rPr>
      <w:rFonts w:ascii="微软雅黑" w:hAnsi="微软雅黑" w:eastAsia="微软雅黑" w:cs="微软雅黑"/>
      <w:sz w:val="21"/>
      <w:szCs w:val="21"/>
    </w:rPr>
  </w:style>
  <w:style w:type="character" w:customStyle="1" w:styleId="29">
    <w:name w:val="prev"/>
    <w:qFormat/>
    <w:uiPriority w:val="0"/>
    <w:rPr>
      <w:rFonts w:hint="eastAsia" w:ascii="微软雅黑" w:hAnsi="微软雅黑" w:eastAsia="微软雅黑" w:cs="微软雅黑"/>
      <w:sz w:val="21"/>
      <w:szCs w:val="21"/>
    </w:rPr>
  </w:style>
  <w:style w:type="character" w:customStyle="1" w:styleId="30">
    <w:name w:val="prev1"/>
    <w:qFormat/>
    <w:uiPriority w:val="0"/>
    <w:rPr>
      <w:color w:val="888888"/>
    </w:rPr>
  </w:style>
  <w:style w:type="character" w:customStyle="1" w:styleId="31">
    <w:name w:val="页眉 字符"/>
    <w:link w:val="6"/>
    <w:qFormat/>
    <w:uiPriority w:val="99"/>
    <w:rPr>
      <w:rFonts w:ascii="等线" w:hAnsi="等线" w:eastAsia="等线"/>
      <w:kern w:val="2"/>
      <w:sz w:val="18"/>
      <w:szCs w:val="18"/>
    </w:rPr>
  </w:style>
  <w:style w:type="character" w:customStyle="1" w:styleId="32">
    <w:name w:val="页脚 字符"/>
    <w:link w:val="5"/>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871</Words>
  <Characters>1041</Characters>
  <Lines>7</Lines>
  <Paragraphs>2</Paragraphs>
  <TotalTime>152</TotalTime>
  <ScaleCrop>false</ScaleCrop>
  <LinksUpToDate>false</LinksUpToDate>
  <CharactersWithSpaces>1049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李琪</cp:lastModifiedBy>
  <cp:lastPrinted>2022-04-02T02:08:12Z</cp:lastPrinted>
  <dcterms:modified xsi:type="dcterms:W3CDTF">2022-04-02T02:32:59Z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94BE13CF5270420A8610C04BA8EF7E06</vt:lpwstr>
  </property>
</Properties>
</file>