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宋体"/>
          <w:bCs/>
          <w:kern w:val="0"/>
          <w:sz w:val="48"/>
          <w:szCs w:val="48"/>
        </w:rPr>
      </w:pPr>
    </w:p>
    <w:p>
      <w:pPr>
        <w:spacing w:line="600" w:lineRule="auto"/>
        <w:jc w:val="center"/>
        <w:rPr>
          <w:rFonts w:hint="eastAsia"/>
          <w:b/>
          <w:bCs/>
          <w:sz w:val="40"/>
          <w:szCs w:val="36"/>
        </w:rPr>
      </w:pPr>
      <w:r>
        <w:rPr>
          <w:rFonts w:hint="eastAsia"/>
          <w:b/>
          <w:bCs/>
          <w:sz w:val="40"/>
          <w:szCs w:val="36"/>
        </w:rPr>
        <w:t>门头沟区村庄水土保持及安全防护</w:t>
      </w:r>
    </w:p>
    <w:p>
      <w:pPr>
        <w:spacing w:line="600" w:lineRule="auto"/>
        <w:jc w:val="center"/>
        <w:rPr>
          <w:b/>
          <w:bCs/>
          <w:sz w:val="40"/>
          <w:szCs w:val="36"/>
        </w:rPr>
      </w:pPr>
      <w:r>
        <w:rPr>
          <w:rFonts w:hint="eastAsia"/>
          <w:b/>
          <w:bCs/>
          <w:sz w:val="40"/>
          <w:szCs w:val="36"/>
        </w:rPr>
        <w:t>设施修复项目清水镇黄塔村</w:t>
      </w:r>
    </w:p>
    <w:p>
      <w:pPr>
        <w:spacing w:line="360" w:lineRule="auto"/>
        <w:ind w:left="3520" w:hanging="3520" w:hangingChars="1100"/>
        <w:jc w:val="center"/>
        <w:rPr>
          <w:rFonts w:ascii="华文中宋" w:hAnsi="华文中宋" w:eastAsia="华文中宋"/>
          <w:sz w:val="32"/>
          <w:szCs w:val="32"/>
        </w:rPr>
      </w:pPr>
    </w:p>
    <w:p>
      <w:pPr>
        <w:spacing w:line="360" w:lineRule="auto"/>
        <w:ind w:left="4840" w:hanging="4840" w:hangingChars="1100"/>
        <w:jc w:val="center"/>
        <w:rPr>
          <w:rFonts w:ascii="华文中宋" w:hAnsi="华文中宋" w:eastAsia="华文中宋"/>
          <w:sz w:val="44"/>
          <w:szCs w:val="44"/>
        </w:rPr>
      </w:pPr>
    </w:p>
    <w:p>
      <w:pPr>
        <w:spacing w:line="360" w:lineRule="auto"/>
        <w:ind w:left="4840" w:hanging="4840" w:hangingChars="1100"/>
        <w:jc w:val="center"/>
        <w:rPr>
          <w:rFonts w:ascii="华文中宋" w:hAnsi="华文中宋" w:eastAsia="华文中宋"/>
          <w:sz w:val="44"/>
          <w:szCs w:val="44"/>
        </w:rPr>
      </w:pPr>
    </w:p>
    <w:p>
      <w:pPr>
        <w:spacing w:line="360" w:lineRule="auto"/>
        <w:ind w:left="4840" w:hanging="4840" w:hangingChars="1100"/>
        <w:jc w:val="center"/>
        <w:rPr>
          <w:rFonts w:ascii="华文中宋" w:hAnsi="华文中宋" w:eastAsia="华文中宋"/>
          <w:sz w:val="44"/>
          <w:szCs w:val="44"/>
        </w:rPr>
      </w:pPr>
    </w:p>
    <w:p>
      <w:pPr>
        <w:spacing w:line="360" w:lineRule="auto"/>
        <w:ind w:left="5280" w:hanging="5280" w:hangingChars="1100"/>
        <w:jc w:val="center"/>
        <w:rPr>
          <w:rFonts w:hint="eastAsia" w:ascii="黑体" w:hAnsi="黑体" w:eastAsia="黑体" w:cs="宋体"/>
          <w:bCs/>
          <w:sz w:val="48"/>
          <w:szCs w:val="48"/>
          <w:lang w:eastAsia="zh-CN"/>
        </w:rPr>
      </w:pPr>
      <w:r>
        <w:rPr>
          <w:rFonts w:hint="eastAsia" w:ascii="黑体" w:hAnsi="黑体" w:eastAsia="黑体" w:cs="宋体"/>
          <w:bCs/>
          <w:kern w:val="0"/>
          <w:sz w:val="48"/>
          <w:szCs w:val="48"/>
          <w:lang w:eastAsia="zh-CN"/>
        </w:rPr>
        <w:t>施</w:t>
      </w:r>
      <w:r>
        <w:rPr>
          <w:rFonts w:hint="eastAsia" w:ascii="黑体" w:hAnsi="黑体" w:eastAsia="黑体" w:cs="宋体"/>
          <w:bCs/>
          <w:kern w:val="0"/>
          <w:sz w:val="48"/>
          <w:szCs w:val="48"/>
          <w:lang w:val="en-US" w:eastAsia="zh-CN"/>
        </w:rPr>
        <w:t xml:space="preserve">  </w:t>
      </w:r>
      <w:r>
        <w:rPr>
          <w:rFonts w:hint="eastAsia" w:ascii="黑体" w:hAnsi="黑体" w:eastAsia="黑体" w:cs="宋体"/>
          <w:bCs/>
          <w:kern w:val="0"/>
          <w:sz w:val="48"/>
          <w:szCs w:val="48"/>
          <w:lang w:eastAsia="zh-CN"/>
        </w:rPr>
        <w:t>工</w:t>
      </w:r>
      <w:r>
        <w:rPr>
          <w:rFonts w:hint="eastAsia" w:ascii="黑体" w:hAnsi="黑体" w:eastAsia="黑体" w:cs="宋体"/>
          <w:bCs/>
          <w:kern w:val="0"/>
          <w:sz w:val="48"/>
          <w:szCs w:val="48"/>
          <w:lang w:val="en-US" w:eastAsia="zh-CN"/>
        </w:rPr>
        <w:t xml:space="preserve">  </w:t>
      </w:r>
      <w:r>
        <w:rPr>
          <w:rFonts w:hint="eastAsia" w:ascii="黑体" w:hAnsi="黑体" w:eastAsia="黑体" w:cs="宋体"/>
          <w:bCs/>
          <w:kern w:val="0"/>
          <w:sz w:val="48"/>
          <w:szCs w:val="48"/>
          <w:lang w:eastAsia="zh-CN"/>
        </w:rPr>
        <w:t>合</w:t>
      </w:r>
      <w:r>
        <w:rPr>
          <w:rFonts w:hint="eastAsia" w:ascii="黑体" w:hAnsi="黑体" w:eastAsia="黑体" w:cs="宋体"/>
          <w:bCs/>
          <w:kern w:val="0"/>
          <w:sz w:val="48"/>
          <w:szCs w:val="48"/>
          <w:lang w:val="en-US" w:eastAsia="zh-CN"/>
        </w:rPr>
        <w:t xml:space="preserve">  </w:t>
      </w:r>
      <w:r>
        <w:rPr>
          <w:rFonts w:hint="eastAsia" w:ascii="黑体" w:hAnsi="黑体" w:eastAsia="黑体" w:cs="宋体"/>
          <w:bCs/>
          <w:kern w:val="0"/>
          <w:sz w:val="48"/>
          <w:szCs w:val="48"/>
          <w:lang w:eastAsia="zh-CN"/>
        </w:rPr>
        <w:t>同</w:t>
      </w:r>
    </w:p>
    <w:p>
      <w:pPr>
        <w:pStyle w:val="2"/>
      </w:pPr>
    </w:p>
    <w:p>
      <w:pPr>
        <w:spacing w:line="360" w:lineRule="auto"/>
        <w:ind w:left="3520" w:hanging="3520" w:hangingChars="1100"/>
        <w:jc w:val="center"/>
        <w:rPr>
          <w:rFonts w:ascii="华文中宋" w:hAnsi="华文中宋" w:eastAsia="华文中宋"/>
          <w:sz w:val="32"/>
          <w:szCs w:val="32"/>
        </w:rPr>
      </w:pPr>
    </w:p>
    <w:p>
      <w:pPr>
        <w:spacing w:line="360" w:lineRule="auto"/>
        <w:ind w:left="3520" w:hanging="3520" w:hangingChars="1100"/>
        <w:jc w:val="center"/>
        <w:rPr>
          <w:rFonts w:ascii="华文中宋" w:hAnsi="华文中宋" w:eastAsia="华文中宋"/>
          <w:sz w:val="32"/>
          <w:szCs w:val="32"/>
        </w:rPr>
      </w:pPr>
    </w:p>
    <w:p>
      <w:pPr>
        <w:spacing w:line="360" w:lineRule="auto"/>
        <w:ind w:left="3520" w:hanging="3520" w:hangingChars="1100"/>
        <w:jc w:val="center"/>
        <w:rPr>
          <w:rFonts w:ascii="华文中宋" w:hAnsi="华文中宋" w:eastAsia="华文中宋"/>
          <w:sz w:val="32"/>
          <w:szCs w:val="32"/>
        </w:rPr>
      </w:pPr>
    </w:p>
    <w:p>
      <w:pPr>
        <w:pStyle w:val="2"/>
      </w:pPr>
    </w:p>
    <w:p>
      <w:pPr>
        <w:pStyle w:val="2"/>
      </w:pPr>
    </w:p>
    <w:p>
      <w:pPr>
        <w:pStyle w:val="2"/>
      </w:pPr>
    </w:p>
    <w:p>
      <w:pPr>
        <w:pStyle w:val="2"/>
      </w:pPr>
    </w:p>
    <w:p>
      <w:pPr>
        <w:pStyle w:val="2"/>
      </w:pPr>
    </w:p>
    <w:p>
      <w:pPr>
        <w:pStyle w:val="2"/>
      </w:pPr>
    </w:p>
    <w:p>
      <w:pPr>
        <w:ind w:firstLine="1807" w:firstLineChars="600"/>
        <w:jc w:val="both"/>
        <w:rPr>
          <w:rFonts w:ascii="黑体" w:eastAsia="黑体"/>
          <w:b/>
          <w:sz w:val="30"/>
          <w:szCs w:val="30"/>
        </w:rPr>
      </w:pPr>
      <w:r>
        <w:rPr>
          <w:rFonts w:hint="eastAsia" w:ascii="黑体" w:eastAsia="黑体"/>
          <w:b/>
          <w:sz w:val="30"/>
          <w:szCs w:val="30"/>
        </w:rPr>
        <w:t>采购人：北京市门头沟区清水镇人民政府</w:t>
      </w:r>
    </w:p>
    <w:p>
      <w:pPr>
        <w:ind w:firstLine="1807" w:firstLineChars="600"/>
        <w:jc w:val="both"/>
        <w:rPr>
          <w:rFonts w:hint="eastAsia" w:ascii="黑体" w:eastAsia="黑体"/>
          <w:b/>
          <w:sz w:val="30"/>
          <w:szCs w:val="30"/>
          <w:lang w:eastAsia="zh-CN"/>
        </w:rPr>
      </w:pPr>
      <w:r>
        <w:rPr>
          <w:rFonts w:hint="eastAsia" w:ascii="黑体" w:eastAsia="黑体"/>
          <w:b/>
          <w:sz w:val="30"/>
          <w:szCs w:val="30"/>
          <w:lang w:eastAsia="zh-CN"/>
        </w:rPr>
        <w:t>承包人：北京玉河源水务建设有限公司</w:t>
      </w:r>
    </w:p>
    <w:p>
      <w:pPr>
        <w:jc w:val="center"/>
        <w:rPr>
          <w:sz w:val="30"/>
          <w:szCs w:val="30"/>
        </w:rPr>
      </w:pPr>
      <w:r>
        <w:rPr>
          <w:rFonts w:hint="eastAsia" w:ascii="黑体" w:eastAsia="黑体"/>
          <w:b/>
          <w:sz w:val="30"/>
          <w:szCs w:val="30"/>
        </w:rPr>
        <w:t>2022年</w:t>
      </w:r>
      <w:r>
        <w:rPr>
          <w:rFonts w:hint="eastAsia" w:ascii="黑体" w:eastAsia="黑体"/>
          <w:b/>
          <w:sz w:val="30"/>
          <w:szCs w:val="30"/>
          <w:lang w:val="en-US" w:eastAsia="zh-CN"/>
        </w:rPr>
        <w:t>7</w:t>
      </w:r>
      <w:r>
        <w:rPr>
          <w:rFonts w:hint="eastAsia" w:ascii="黑体" w:eastAsia="黑体"/>
          <w:b/>
          <w:sz w:val="30"/>
          <w:szCs w:val="30"/>
        </w:rPr>
        <w:t>月</w:t>
      </w:r>
    </w:p>
    <w:p/>
    <w:p/>
    <w:p/>
    <w:p>
      <w:pPr>
        <w:pStyle w:val="2"/>
      </w:pPr>
    </w:p>
    <w:p>
      <w:pPr>
        <w:pStyle w:val="2"/>
      </w:pPr>
    </w:p>
    <w:p>
      <w:pPr>
        <w:pStyle w:val="2"/>
      </w:pPr>
    </w:p>
    <w:p>
      <w:pPr>
        <w:pStyle w:val="2"/>
      </w:pPr>
    </w:p>
    <w:p>
      <w:pPr>
        <w:pStyle w:val="2"/>
      </w:pPr>
    </w:p>
    <w:p>
      <w:pPr>
        <w:pStyle w:val="2"/>
      </w:pPr>
    </w:p>
    <w:p>
      <w:pPr>
        <w:pStyle w:val="2"/>
      </w:pPr>
    </w:p>
    <w:p>
      <w:pPr>
        <w:pStyle w:val="20"/>
        <w:tabs>
          <w:tab w:val="left" w:pos="8931"/>
        </w:tabs>
        <w:spacing w:before="163" w:beforeLines="50" w:after="0"/>
        <w:jc w:val="center"/>
        <w:rPr>
          <w:rFonts w:ascii="宋体" w:hAnsi="宋体"/>
          <w:b/>
          <w:sz w:val="32"/>
          <w:szCs w:val="32"/>
        </w:rPr>
        <w:sectPr>
          <w:footerReference r:id="rId3" w:type="default"/>
          <w:pgSz w:w="11907" w:h="16840"/>
          <w:pgMar w:top="1701" w:right="1191" w:bottom="1304" w:left="1701" w:header="851" w:footer="992" w:gutter="0"/>
          <w:pgNumType w:start="0"/>
          <w:cols w:space="720" w:num="1"/>
          <w:titlePg/>
          <w:docGrid w:type="lines" w:linePitch="326" w:charSpace="0"/>
        </w:sectPr>
      </w:pPr>
    </w:p>
    <w:p>
      <w:pPr>
        <w:pStyle w:val="20"/>
        <w:tabs>
          <w:tab w:val="left" w:pos="8931"/>
        </w:tabs>
        <w:spacing w:before="163" w:beforeLines="50" w:after="0"/>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pStyle w:val="20"/>
        <w:tabs>
          <w:tab w:val="left" w:pos="8931"/>
        </w:tabs>
        <w:spacing w:before="163" w:beforeLines="50" w:after="0"/>
        <w:jc w:val="center"/>
        <w:rPr>
          <w:rFonts w:ascii="宋体" w:hAnsi="宋体"/>
          <w:b/>
          <w:sz w:val="24"/>
          <w:szCs w:val="24"/>
        </w:rPr>
      </w:pPr>
    </w:p>
    <w:p>
      <w:pPr>
        <w:pStyle w:val="31"/>
        <w:tabs>
          <w:tab w:val="right" w:leader="dot" w:pos="9015"/>
          <w:tab w:val="clear" w:pos="8296"/>
        </w:tabs>
      </w:pPr>
      <w:r>
        <w:rPr>
          <w:rFonts w:ascii="宋体" w:hAnsi="宋体" w:eastAsia="宋体"/>
          <w:b w:val="0"/>
          <w:sz w:val="28"/>
          <w:szCs w:val="28"/>
        </w:rPr>
        <w:fldChar w:fldCharType="begin"/>
      </w:r>
      <w:r>
        <w:rPr>
          <w:rStyle w:val="56"/>
          <w:rFonts w:ascii="宋体" w:hAnsi="宋体" w:eastAsia="宋体"/>
          <w:b w:val="0"/>
          <w:sz w:val="28"/>
          <w:szCs w:val="28"/>
        </w:rPr>
        <w:instrText xml:space="preserve"> TOC \o "1-3" \h \z \u </w:instrText>
      </w:r>
      <w:r>
        <w:rPr>
          <w:rFonts w:ascii="宋体" w:hAnsi="宋体" w:eastAsia="宋体"/>
          <w:b w:val="0"/>
          <w:sz w:val="28"/>
          <w:szCs w:val="28"/>
        </w:rPr>
        <w:fldChar w:fldCharType="separate"/>
      </w:r>
      <w:r>
        <w:rPr>
          <w:rFonts w:ascii="宋体" w:hAnsi="宋体" w:eastAsia="宋体"/>
          <w:szCs w:val="28"/>
        </w:rPr>
        <w:fldChar w:fldCharType="begin"/>
      </w:r>
      <w:r>
        <w:rPr>
          <w:rFonts w:ascii="宋体" w:hAnsi="宋体" w:eastAsia="宋体"/>
          <w:szCs w:val="28"/>
        </w:rPr>
        <w:instrText xml:space="preserve"> HYPERLINK \l _Toc10994 </w:instrText>
      </w:r>
      <w:r>
        <w:rPr>
          <w:rFonts w:ascii="宋体" w:hAnsi="宋体" w:eastAsia="宋体"/>
          <w:szCs w:val="28"/>
        </w:rPr>
        <w:fldChar w:fldCharType="separate"/>
      </w:r>
      <w:r>
        <w:rPr>
          <w:rFonts w:hint="eastAsia"/>
        </w:rPr>
        <w:t>第一</w:t>
      </w:r>
      <w:r>
        <w:rPr>
          <w:rFonts w:hint="eastAsia"/>
          <w:lang w:eastAsia="zh-CN"/>
        </w:rPr>
        <w:t>章</w:t>
      </w:r>
      <w:r>
        <w:rPr>
          <w:rFonts w:hint="eastAsia"/>
        </w:rPr>
        <w:t xml:space="preserve"> 通用合同条款</w:t>
      </w:r>
      <w:r>
        <w:tab/>
      </w:r>
      <w:r>
        <w:fldChar w:fldCharType="begin"/>
      </w:r>
      <w:r>
        <w:instrText xml:space="preserve"> PAGEREF _Toc10994 \h </w:instrText>
      </w:r>
      <w:r>
        <w:fldChar w:fldCharType="separate"/>
      </w:r>
      <w:r>
        <w:t>1</w:t>
      </w:r>
      <w:r>
        <w:fldChar w:fldCharType="end"/>
      </w:r>
      <w:r>
        <w:rPr>
          <w:rFonts w:ascii="宋体" w:hAnsi="宋体" w:eastAsia="宋体"/>
          <w:szCs w:val="28"/>
        </w:rPr>
        <w:fldChar w:fldCharType="end"/>
      </w:r>
    </w:p>
    <w:p>
      <w:pPr>
        <w:pStyle w:val="31"/>
        <w:tabs>
          <w:tab w:val="right" w:leader="dot" w:pos="9015"/>
          <w:tab w:val="clear" w:pos="8296"/>
        </w:tabs>
      </w:pPr>
      <w:r>
        <w:rPr>
          <w:rFonts w:hAnsi="宋体"/>
          <w:szCs w:val="28"/>
        </w:rPr>
        <w:fldChar w:fldCharType="begin"/>
      </w:r>
      <w:r>
        <w:rPr>
          <w:rFonts w:hAnsi="宋体"/>
          <w:szCs w:val="28"/>
        </w:rPr>
        <w:instrText xml:space="preserve"> HYPERLINK \l _Toc2250 </w:instrText>
      </w:r>
      <w:r>
        <w:rPr>
          <w:rFonts w:hAnsi="宋体"/>
          <w:szCs w:val="28"/>
        </w:rPr>
        <w:fldChar w:fldCharType="separate"/>
      </w:r>
      <w:r>
        <w:t>第二</w:t>
      </w:r>
      <w:r>
        <w:rPr>
          <w:rFonts w:hint="eastAsia"/>
          <w:lang w:eastAsia="zh-CN"/>
        </w:rPr>
        <w:t>章</w:t>
      </w:r>
      <w:r>
        <w:rPr>
          <w:rFonts w:hint="eastAsia"/>
          <w:lang w:val="en-US" w:eastAsia="zh-CN"/>
        </w:rPr>
        <w:t xml:space="preserve"> </w:t>
      </w:r>
      <w:r>
        <w:t>专用合同条款</w:t>
      </w:r>
      <w:r>
        <w:tab/>
      </w:r>
      <w:r>
        <w:fldChar w:fldCharType="begin"/>
      </w:r>
      <w:r>
        <w:instrText xml:space="preserve"> PAGEREF _Toc2250 \h </w:instrText>
      </w:r>
      <w:r>
        <w:fldChar w:fldCharType="separate"/>
      </w:r>
      <w:r>
        <w:t>61</w:t>
      </w:r>
      <w:r>
        <w:fldChar w:fldCharType="end"/>
      </w:r>
      <w:r>
        <w:rPr>
          <w:rFonts w:hAnsi="宋体"/>
          <w:szCs w:val="28"/>
        </w:rPr>
        <w:fldChar w:fldCharType="end"/>
      </w:r>
    </w:p>
    <w:p>
      <w:pPr>
        <w:pStyle w:val="31"/>
        <w:tabs>
          <w:tab w:val="right" w:leader="dot" w:pos="9015"/>
          <w:tab w:val="clear" w:pos="8296"/>
        </w:tabs>
      </w:pPr>
      <w:r>
        <w:rPr>
          <w:rFonts w:hAnsi="宋体"/>
          <w:szCs w:val="28"/>
        </w:rPr>
        <w:fldChar w:fldCharType="begin"/>
      </w:r>
      <w:r>
        <w:rPr>
          <w:rFonts w:hAnsi="宋体"/>
          <w:szCs w:val="28"/>
        </w:rPr>
        <w:instrText xml:space="preserve"> HYPERLINK \l _Toc19099 </w:instrText>
      </w:r>
      <w:r>
        <w:rPr>
          <w:rFonts w:hAnsi="宋体"/>
          <w:szCs w:val="28"/>
        </w:rPr>
        <w:fldChar w:fldCharType="separate"/>
      </w:r>
      <w:r>
        <w:rPr>
          <w:rFonts w:hint="eastAsia"/>
          <w:lang w:eastAsia="zh-CN"/>
        </w:rPr>
        <w:t>第三章</w:t>
      </w:r>
      <w:r>
        <w:rPr>
          <w:rFonts w:hint="eastAsia"/>
          <w:lang w:val="en-US" w:eastAsia="zh-CN"/>
        </w:rPr>
        <w:t xml:space="preserve"> </w:t>
      </w:r>
      <w:r>
        <w:rPr>
          <w:rFonts w:hint="eastAsia"/>
        </w:rPr>
        <w:t>合同协议书</w:t>
      </w:r>
      <w:r>
        <w:tab/>
      </w:r>
      <w:r>
        <w:fldChar w:fldCharType="begin"/>
      </w:r>
      <w:r>
        <w:instrText xml:space="preserve"> PAGEREF _Toc19099 \h </w:instrText>
      </w:r>
      <w:r>
        <w:fldChar w:fldCharType="separate"/>
      </w:r>
      <w:r>
        <w:t>77</w:t>
      </w:r>
      <w:r>
        <w:fldChar w:fldCharType="end"/>
      </w:r>
      <w:r>
        <w:rPr>
          <w:rFonts w:hAnsi="宋体"/>
          <w:szCs w:val="28"/>
        </w:rPr>
        <w:fldChar w:fldCharType="end"/>
      </w:r>
    </w:p>
    <w:p>
      <w:pPr>
        <w:pStyle w:val="31"/>
        <w:tabs>
          <w:tab w:val="right" w:leader="dot" w:pos="9015"/>
          <w:tab w:val="clear" w:pos="8296"/>
        </w:tabs>
      </w:pPr>
      <w:r>
        <w:rPr>
          <w:rFonts w:hAnsi="宋体"/>
          <w:szCs w:val="28"/>
        </w:rPr>
        <w:fldChar w:fldCharType="begin"/>
      </w:r>
      <w:r>
        <w:rPr>
          <w:rFonts w:hAnsi="宋体"/>
          <w:szCs w:val="28"/>
        </w:rPr>
        <w:instrText xml:space="preserve"> HYPERLINK \l _Toc4616 </w:instrText>
      </w:r>
      <w:r>
        <w:rPr>
          <w:rFonts w:hAnsi="宋体"/>
          <w:szCs w:val="28"/>
        </w:rPr>
        <w:fldChar w:fldCharType="separate"/>
      </w:r>
      <w:r>
        <w:rPr>
          <w:rFonts w:hint="eastAsia"/>
          <w:lang w:eastAsia="zh-CN"/>
        </w:rPr>
        <w:t>第四章</w:t>
      </w:r>
      <w:r>
        <w:rPr>
          <w:rFonts w:hint="eastAsia"/>
          <w:lang w:val="en-US" w:eastAsia="zh-CN"/>
        </w:rPr>
        <w:t xml:space="preserve"> </w:t>
      </w:r>
      <w:r>
        <w:rPr>
          <w:rFonts w:hint="eastAsia"/>
        </w:rPr>
        <w:t>建设工程廉政责任书</w:t>
      </w:r>
      <w:r>
        <w:tab/>
      </w:r>
      <w:r>
        <w:fldChar w:fldCharType="begin"/>
      </w:r>
      <w:r>
        <w:instrText xml:space="preserve"> PAGEREF _Toc4616 \h </w:instrText>
      </w:r>
      <w:r>
        <w:fldChar w:fldCharType="separate"/>
      </w:r>
      <w:r>
        <w:t>80</w:t>
      </w:r>
      <w:r>
        <w:fldChar w:fldCharType="end"/>
      </w:r>
      <w:r>
        <w:rPr>
          <w:rFonts w:hAnsi="宋体"/>
          <w:szCs w:val="28"/>
        </w:rPr>
        <w:fldChar w:fldCharType="end"/>
      </w:r>
    </w:p>
    <w:p>
      <w:pPr>
        <w:pStyle w:val="24"/>
        <w:tabs>
          <w:tab w:val="right" w:pos="8789"/>
        </w:tabs>
        <w:snapToGrid w:val="0"/>
        <w:spacing w:line="600" w:lineRule="exact"/>
        <w:rPr>
          <w:rStyle w:val="56"/>
          <w:rFonts w:hAnsi="宋体"/>
          <w:b w:val="0"/>
          <w:szCs w:val="24"/>
        </w:rPr>
        <w:sectPr>
          <w:footerReference r:id="rId5" w:type="first"/>
          <w:footerReference r:id="rId4" w:type="default"/>
          <w:pgSz w:w="11907" w:h="16840"/>
          <w:pgMar w:top="1701" w:right="1191" w:bottom="1304" w:left="1701" w:header="851" w:footer="992" w:gutter="0"/>
          <w:pgNumType w:start="0"/>
          <w:cols w:space="720" w:num="1"/>
          <w:titlePg/>
          <w:docGrid w:type="lines" w:linePitch="326" w:charSpace="0"/>
        </w:sectPr>
      </w:pPr>
      <w:r>
        <w:rPr>
          <w:rFonts w:hAnsi="宋体"/>
          <w:szCs w:val="28"/>
        </w:rPr>
        <w:fldChar w:fldCharType="end"/>
      </w:r>
      <w:bookmarkStart w:id="0" w:name="_Toc156793380"/>
    </w:p>
    <w:bookmarkEnd w:id="0"/>
    <w:p>
      <w:pPr>
        <w:rPr>
          <w:color w:val="000000"/>
          <w:sz w:val="28"/>
          <w:szCs w:val="28"/>
        </w:rPr>
      </w:pPr>
      <w:bookmarkStart w:id="1" w:name="_Toc241459657"/>
      <w:bookmarkStart w:id="2" w:name="_Toc156793383"/>
      <w:bookmarkStart w:id="3" w:name="_Toc150221985"/>
      <w:bookmarkStart w:id="4" w:name="_Toc35401305"/>
    </w:p>
    <w:p>
      <w:pPr>
        <w:rPr>
          <w:color w:val="000000"/>
          <w:sz w:val="28"/>
          <w:szCs w:val="28"/>
        </w:rPr>
      </w:pPr>
    </w:p>
    <w:p>
      <w:pPr>
        <w:pStyle w:val="3"/>
        <w:bidi w:val="0"/>
      </w:pPr>
      <w:bookmarkStart w:id="5" w:name="_Toc342296261"/>
      <w:bookmarkStart w:id="6" w:name="_Toc5880"/>
      <w:bookmarkStart w:id="7" w:name="_Toc489003594"/>
      <w:bookmarkStart w:id="8" w:name="_Toc10994"/>
      <w:r>
        <w:rPr>
          <w:rFonts w:hint="eastAsia"/>
        </w:rPr>
        <w:t>第一</w:t>
      </w:r>
      <w:r>
        <w:rPr>
          <w:rFonts w:hint="eastAsia"/>
          <w:lang w:eastAsia="zh-CN"/>
        </w:rPr>
        <w:t>章</w:t>
      </w:r>
      <w:r>
        <w:rPr>
          <w:rFonts w:hint="eastAsia"/>
        </w:rPr>
        <w:t xml:space="preserve"> 通用合同条款</w:t>
      </w:r>
      <w:bookmarkEnd w:id="1"/>
      <w:bookmarkEnd w:id="5"/>
      <w:bookmarkEnd w:id="6"/>
      <w:bookmarkEnd w:id="7"/>
      <w:bookmarkEnd w:id="8"/>
    </w:p>
    <w:p>
      <w:pPr>
        <w:rPr>
          <w:rFonts w:ascii="Arial" w:hAnsi="Arial" w:cs="Arial"/>
          <w:color w:val="000000"/>
        </w:rPr>
      </w:pP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1.一般约定</w:t>
      </w:r>
    </w:p>
    <w:p>
      <w:pPr>
        <w:spacing w:line="360" w:lineRule="auto"/>
        <w:rPr>
          <w:rFonts w:hint="eastAsia" w:ascii="宋体" w:hAnsi="宋体" w:eastAsia="宋体" w:cs="宋体"/>
          <w:color w:val="000000"/>
          <w:sz w:val="24"/>
          <w:szCs w:val="24"/>
        </w:rPr>
      </w:pPr>
      <w:bookmarkStart w:id="9" w:name="_bookmark87"/>
      <w:bookmarkEnd w:id="9"/>
      <w:r>
        <w:rPr>
          <w:rFonts w:hint="eastAsia" w:ascii="宋体" w:hAnsi="宋体" w:eastAsia="宋体" w:cs="宋体"/>
          <w:color w:val="000000"/>
          <w:sz w:val="24"/>
          <w:szCs w:val="24"/>
        </w:rPr>
        <w:t>1.1</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词语定义</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合同条款通用部分、合同条款专用部分中的下列词语应具有本款所赋予的含义。</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w:t>
      </w:r>
      <w:r>
        <w:rPr>
          <w:rFonts w:hint="eastAsia" w:ascii="宋体" w:hAnsi="宋体" w:eastAsia="宋体" w:cs="宋体"/>
          <w:color w:val="000000"/>
          <w:sz w:val="24"/>
          <w:szCs w:val="24"/>
        </w:rPr>
        <w:tab/>
      </w:r>
      <w:r>
        <w:rPr>
          <w:rFonts w:hint="eastAsia" w:ascii="宋体" w:hAnsi="宋体" w:eastAsia="宋体" w:cs="宋体"/>
          <w:color w:val="000000"/>
          <w:sz w:val="24"/>
          <w:szCs w:val="24"/>
        </w:rPr>
        <w:t>合同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1.1.1.1</w:t>
      </w:r>
      <w:r>
        <w:rPr>
          <w:rFonts w:hint="eastAsia" w:ascii="宋体" w:hAnsi="宋体" w:eastAsia="宋体" w:cs="宋体"/>
          <w:color w:val="000000"/>
          <w:sz w:val="24"/>
          <w:szCs w:val="24"/>
        </w:rPr>
        <w:tab/>
      </w:r>
      <w:r>
        <w:rPr>
          <w:rFonts w:hint="eastAsia" w:ascii="宋体" w:hAnsi="宋体" w:eastAsia="宋体" w:cs="宋体"/>
          <w:color w:val="000000"/>
          <w:sz w:val="24"/>
          <w:szCs w:val="24"/>
        </w:rPr>
        <w:t>合同文件（或称合同）：指合同协议书、中标通知书、投标函及投标函附录、合同条款专用部分、合同条款通用部分、技术标准和要求、图纸、已标价工程量清单，以及其他合同文件。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1.1.1.2</w:t>
      </w:r>
      <w:r>
        <w:rPr>
          <w:rFonts w:hint="eastAsia" w:ascii="宋体" w:hAnsi="宋体" w:eastAsia="宋体" w:cs="宋体"/>
          <w:color w:val="000000"/>
          <w:sz w:val="24"/>
          <w:szCs w:val="24"/>
        </w:rPr>
        <w:tab/>
      </w:r>
      <w:r>
        <w:rPr>
          <w:rFonts w:hint="eastAsia" w:ascii="宋体" w:hAnsi="宋体" w:eastAsia="宋体" w:cs="宋体"/>
          <w:color w:val="000000"/>
          <w:sz w:val="24"/>
          <w:szCs w:val="24"/>
        </w:rPr>
        <w:t>合同协议书：指第 1.5 款所指的合同协议书。</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1.1.1.3</w:t>
      </w:r>
      <w:r>
        <w:rPr>
          <w:rFonts w:hint="eastAsia" w:ascii="宋体" w:hAnsi="宋体" w:eastAsia="宋体" w:cs="宋体"/>
          <w:color w:val="000000"/>
          <w:sz w:val="24"/>
          <w:szCs w:val="24"/>
        </w:rPr>
        <w:tab/>
      </w:r>
      <w:r>
        <w:rPr>
          <w:rFonts w:hint="eastAsia" w:ascii="宋体" w:hAnsi="宋体" w:eastAsia="宋体" w:cs="宋体"/>
          <w:color w:val="000000"/>
          <w:sz w:val="24"/>
          <w:szCs w:val="24"/>
        </w:rPr>
        <w:t>中标通知书：指发包人通知承包人中标的函件。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1.1.1.4</w:t>
      </w:r>
      <w:r>
        <w:rPr>
          <w:rFonts w:hint="eastAsia" w:ascii="宋体" w:hAnsi="宋体" w:eastAsia="宋体" w:cs="宋体"/>
          <w:color w:val="000000"/>
          <w:sz w:val="24"/>
          <w:szCs w:val="24"/>
        </w:rPr>
        <w:tab/>
      </w:r>
      <w:r>
        <w:rPr>
          <w:rFonts w:hint="eastAsia" w:ascii="宋体" w:hAnsi="宋体" w:eastAsia="宋体" w:cs="宋体"/>
          <w:color w:val="000000"/>
          <w:sz w:val="24"/>
          <w:szCs w:val="24"/>
        </w:rPr>
        <w:t>投标函：指构成合同文件组成部分的由承包人填写并签署的投标函。</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1.1.1.5</w:t>
      </w:r>
      <w:r>
        <w:rPr>
          <w:rFonts w:hint="eastAsia" w:ascii="宋体" w:hAnsi="宋体" w:eastAsia="宋体" w:cs="宋体"/>
          <w:color w:val="000000"/>
          <w:sz w:val="24"/>
          <w:szCs w:val="24"/>
        </w:rPr>
        <w:tab/>
      </w:r>
      <w:r>
        <w:rPr>
          <w:rFonts w:hint="eastAsia" w:ascii="宋体" w:hAnsi="宋体" w:eastAsia="宋体" w:cs="宋体"/>
          <w:color w:val="000000"/>
          <w:sz w:val="24"/>
          <w:szCs w:val="24"/>
        </w:rPr>
        <w:t>投标函附录：指附在投标函后构成合同文件的投标函附录。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1.1.1.6</w:t>
      </w:r>
      <w:r>
        <w:rPr>
          <w:rFonts w:hint="eastAsia" w:ascii="宋体" w:hAnsi="宋体" w:eastAsia="宋体" w:cs="宋体"/>
          <w:color w:val="000000"/>
          <w:sz w:val="24"/>
          <w:szCs w:val="24"/>
        </w:rPr>
        <w:tab/>
      </w:r>
      <w:r>
        <w:rPr>
          <w:rFonts w:hint="eastAsia" w:ascii="宋体" w:hAnsi="宋体" w:eastAsia="宋体" w:cs="宋体"/>
          <w:color w:val="000000"/>
          <w:sz w:val="24"/>
          <w:szCs w:val="24"/>
        </w:rPr>
        <w:t>合同条款：指构成合同文件组成部分的合同条款通用部分和（或）合同条款专用部分。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1.1.1.7</w:t>
      </w:r>
      <w:r>
        <w:rPr>
          <w:rFonts w:hint="eastAsia" w:ascii="宋体" w:hAnsi="宋体" w:eastAsia="宋体" w:cs="宋体"/>
          <w:color w:val="000000"/>
          <w:sz w:val="24"/>
          <w:szCs w:val="24"/>
        </w:rPr>
        <w:tab/>
      </w:r>
      <w:r>
        <w:rPr>
          <w:rFonts w:hint="eastAsia" w:ascii="宋体" w:hAnsi="宋体" w:eastAsia="宋体" w:cs="宋体"/>
          <w:color w:val="000000"/>
          <w:sz w:val="24"/>
          <w:szCs w:val="24"/>
        </w:rPr>
        <w:t>技术标准和要求：指构成合同文件组成部分的名为技术标准和要求的文件，包括合同双方当事人约定对其所作的修改或补充。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1.1.1.8</w:t>
      </w:r>
      <w:r>
        <w:rPr>
          <w:rFonts w:hint="eastAsia" w:ascii="宋体" w:hAnsi="宋体" w:eastAsia="宋体" w:cs="宋体"/>
          <w:color w:val="000000"/>
          <w:sz w:val="24"/>
          <w:szCs w:val="24"/>
        </w:rPr>
        <w:tab/>
      </w:r>
      <w:r>
        <w:rPr>
          <w:rFonts w:hint="eastAsia" w:ascii="宋体" w:hAnsi="宋体" w:eastAsia="宋体" w:cs="宋体"/>
          <w:color w:val="000000"/>
          <w:sz w:val="24"/>
          <w:szCs w:val="24"/>
        </w:rPr>
        <w:t>图纸：指包含在合同中的工程图纸，以及由发包人按合同约定提供的任何补充和修改的图纸，包括配套的说明。</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1.1.1.9</w:t>
      </w:r>
      <w:r>
        <w:rPr>
          <w:rFonts w:hint="eastAsia" w:ascii="宋体" w:hAnsi="宋体" w:eastAsia="宋体" w:cs="宋体"/>
          <w:color w:val="000000"/>
          <w:sz w:val="24"/>
          <w:szCs w:val="24"/>
        </w:rPr>
        <w:tab/>
      </w:r>
      <w:r>
        <w:rPr>
          <w:rFonts w:hint="eastAsia" w:ascii="宋体" w:hAnsi="宋体" w:eastAsia="宋体" w:cs="宋体"/>
          <w:color w:val="000000"/>
          <w:sz w:val="24"/>
          <w:szCs w:val="24"/>
        </w:rPr>
        <w:t>已标价工程量清单：指构成合同文件组成部分的由承包人按照规定的格式和要求填写并标明价格的工程量清单。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1.1.1.10</w:t>
      </w:r>
      <w:r>
        <w:rPr>
          <w:rFonts w:hint="eastAsia" w:ascii="宋体" w:hAnsi="宋体" w:eastAsia="宋体" w:cs="宋体"/>
          <w:color w:val="000000"/>
          <w:sz w:val="24"/>
          <w:szCs w:val="24"/>
        </w:rPr>
        <w:tab/>
      </w:r>
      <w:r>
        <w:rPr>
          <w:rFonts w:hint="eastAsia" w:ascii="宋体" w:hAnsi="宋体" w:eastAsia="宋体" w:cs="宋体"/>
          <w:color w:val="000000"/>
          <w:sz w:val="24"/>
          <w:szCs w:val="24"/>
        </w:rPr>
        <w:t>其他合同文件：指经合同双方当事人确认构成合同文件的其他文件。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w:t>
      </w:r>
      <w:r>
        <w:rPr>
          <w:rFonts w:hint="eastAsia" w:ascii="宋体" w:hAnsi="宋体" w:eastAsia="宋体" w:cs="宋体"/>
          <w:color w:val="000000"/>
          <w:sz w:val="24"/>
          <w:szCs w:val="24"/>
        </w:rPr>
        <w:tab/>
      </w:r>
      <w:r>
        <w:rPr>
          <w:rFonts w:hint="eastAsia" w:ascii="宋体" w:hAnsi="宋体" w:eastAsia="宋体" w:cs="宋体"/>
          <w:color w:val="000000"/>
          <w:sz w:val="24"/>
          <w:szCs w:val="24"/>
        </w:rPr>
        <w:t>合同当事人和人员</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1.1.2.1</w:t>
      </w:r>
      <w:r>
        <w:rPr>
          <w:rFonts w:hint="eastAsia" w:ascii="宋体" w:hAnsi="宋体" w:eastAsia="宋体" w:cs="宋体"/>
          <w:color w:val="000000"/>
          <w:sz w:val="24"/>
          <w:szCs w:val="24"/>
        </w:rPr>
        <w:tab/>
      </w:r>
      <w:r>
        <w:rPr>
          <w:rFonts w:hint="eastAsia" w:ascii="宋体" w:hAnsi="宋体" w:eastAsia="宋体" w:cs="宋体"/>
          <w:color w:val="000000"/>
          <w:sz w:val="24"/>
          <w:szCs w:val="24"/>
        </w:rPr>
        <w:t>合同当事人：指发包人和（或）承包人。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1.1.2.2 发包人：指合同协议书中约定，具有工程发包主体资格和承诺按照合同约定的条件、期限和方式向承包人支付工程价款的当事人，以及取得该当事人资格的合法继承人。发包人名称见合同条款专用部分。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1.1.2.3 承包人：指合同协议书中约定，具有合同工程承包主体资格，并承诺按照合同约定进行施工、竣工、交付并承担质量缺陷保修责任的当事人，以及取得该当事人资格的合法继承人。承包人名称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1.1.2.4</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承包人项目经理：指承包人派驻施工场地的全权负责人。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1.1.2.5</w:t>
      </w:r>
      <w:r>
        <w:rPr>
          <w:rFonts w:hint="eastAsia" w:ascii="宋体" w:hAnsi="宋体" w:eastAsia="宋体" w:cs="宋体"/>
          <w:color w:val="000000"/>
          <w:sz w:val="24"/>
          <w:szCs w:val="24"/>
        </w:rPr>
        <w:tab/>
      </w:r>
      <w:r>
        <w:rPr>
          <w:rFonts w:hint="eastAsia" w:ascii="宋体" w:hAnsi="宋体" w:eastAsia="宋体" w:cs="宋体"/>
          <w:color w:val="000000"/>
          <w:sz w:val="24"/>
          <w:szCs w:val="24"/>
        </w:rPr>
        <w:t>分包人：指从承包人处分包合同中某一部分工程，并与其签订分包合同的分包人。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1.1.2.6</w:t>
      </w:r>
      <w:r>
        <w:rPr>
          <w:rFonts w:hint="eastAsia" w:ascii="宋体" w:hAnsi="宋体" w:eastAsia="宋体" w:cs="宋体"/>
          <w:color w:val="000000"/>
          <w:sz w:val="24"/>
          <w:szCs w:val="24"/>
        </w:rPr>
        <w:tab/>
      </w:r>
      <w:r>
        <w:rPr>
          <w:rFonts w:hint="eastAsia" w:ascii="宋体" w:hAnsi="宋体" w:eastAsia="宋体" w:cs="宋体"/>
          <w:color w:val="000000"/>
          <w:sz w:val="24"/>
          <w:szCs w:val="24"/>
        </w:rPr>
        <w:t>监理人：指发包人委托的对合同履行实施管理的法人或其他组织。监理人名称见合同条款专用部分。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1.1.2.7</w:t>
      </w:r>
      <w:r>
        <w:rPr>
          <w:rFonts w:hint="eastAsia" w:ascii="宋体" w:hAnsi="宋体" w:eastAsia="宋体" w:cs="宋体"/>
          <w:color w:val="000000"/>
          <w:sz w:val="24"/>
          <w:szCs w:val="24"/>
        </w:rPr>
        <w:tab/>
      </w:r>
      <w:r>
        <w:rPr>
          <w:rFonts w:hint="eastAsia" w:ascii="宋体" w:hAnsi="宋体" w:eastAsia="宋体" w:cs="宋体"/>
          <w:color w:val="000000"/>
          <w:sz w:val="24"/>
          <w:szCs w:val="24"/>
        </w:rPr>
        <w:t>总监理工程师（总监）：指由监理人委派常驻施工场地对合同履行实施管理的全权负责人。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1.1.2.8</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发包人代表：指由发包人指定的派驻施工场地（现场）的全权代表。发包人代表相关信息见合同条款专用部分。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1.1.2.9</w:t>
      </w:r>
      <w:r>
        <w:rPr>
          <w:rFonts w:hint="eastAsia" w:ascii="宋体" w:hAnsi="宋体" w:eastAsia="宋体" w:cs="宋体"/>
          <w:color w:val="000000"/>
          <w:sz w:val="24"/>
          <w:szCs w:val="24"/>
        </w:rPr>
        <w:tab/>
      </w:r>
      <w:r>
        <w:rPr>
          <w:rFonts w:hint="eastAsia" w:ascii="宋体" w:hAnsi="宋体" w:eastAsia="宋体" w:cs="宋体"/>
          <w:color w:val="000000"/>
          <w:sz w:val="24"/>
          <w:szCs w:val="24"/>
        </w:rPr>
        <w:t>专业分包人：指根据合同条款第 15.8.1 项的约定，由发包人和承包人以招标方式选择的分包人。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1.1.2.10</w:t>
      </w:r>
      <w:r>
        <w:rPr>
          <w:rFonts w:hint="eastAsia" w:ascii="宋体" w:hAnsi="宋体" w:eastAsia="宋体" w:cs="宋体"/>
          <w:color w:val="000000"/>
          <w:sz w:val="24"/>
          <w:szCs w:val="24"/>
        </w:rPr>
        <w:tab/>
      </w:r>
      <w:r>
        <w:rPr>
          <w:rFonts w:hint="eastAsia" w:ascii="宋体" w:hAnsi="宋体" w:eastAsia="宋体" w:cs="宋体"/>
          <w:color w:val="000000"/>
          <w:sz w:val="24"/>
          <w:szCs w:val="24"/>
        </w:rPr>
        <w:t>专项供应商：指根据合同条款第 15.8.1 项的约定，由发包人和承包人以招标方式选择的供应商。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1.1.2.11</w:t>
      </w:r>
      <w:r>
        <w:rPr>
          <w:rFonts w:hint="eastAsia" w:ascii="宋体" w:hAnsi="宋体" w:eastAsia="宋体" w:cs="宋体"/>
          <w:color w:val="000000"/>
          <w:sz w:val="24"/>
          <w:szCs w:val="24"/>
        </w:rPr>
        <w:tab/>
      </w:r>
      <w:r>
        <w:rPr>
          <w:rFonts w:hint="eastAsia" w:ascii="宋体" w:hAnsi="宋体" w:eastAsia="宋体" w:cs="宋体"/>
          <w:color w:val="000000"/>
          <w:sz w:val="24"/>
          <w:szCs w:val="24"/>
        </w:rPr>
        <w:t>独立承包人：指与发包人直接订立工程承包合同，负责实施与工程有关的其他工作的当事人。</w:t>
      </w:r>
    </w:p>
    <w:p>
      <w:pPr>
        <w:numPr>
          <w:ilvl w:val="2"/>
          <w:numId w:val="2"/>
        </w:numPr>
        <w:spacing w:line="360" w:lineRule="auto"/>
        <w:ind w:lef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工程和设备</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1.1.3.1</w:t>
      </w:r>
      <w:r>
        <w:rPr>
          <w:rFonts w:hint="eastAsia" w:ascii="宋体" w:hAnsi="宋体" w:eastAsia="宋体" w:cs="宋体"/>
          <w:color w:val="000000"/>
          <w:sz w:val="24"/>
          <w:szCs w:val="24"/>
        </w:rPr>
        <w:tab/>
      </w:r>
      <w:r>
        <w:rPr>
          <w:rFonts w:hint="eastAsia" w:ascii="宋体" w:hAnsi="宋体" w:eastAsia="宋体" w:cs="宋体"/>
          <w:color w:val="000000"/>
          <w:sz w:val="24"/>
          <w:szCs w:val="24"/>
        </w:rPr>
        <w:t>工程：指永久工程和（或）临时工程。</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1.1.3.2</w:t>
      </w:r>
      <w:r>
        <w:rPr>
          <w:rFonts w:hint="eastAsia" w:ascii="宋体" w:hAnsi="宋体" w:eastAsia="宋体" w:cs="宋体"/>
          <w:color w:val="000000"/>
          <w:sz w:val="24"/>
          <w:szCs w:val="24"/>
        </w:rPr>
        <w:tab/>
      </w:r>
      <w:r>
        <w:rPr>
          <w:rFonts w:hint="eastAsia" w:ascii="宋体" w:hAnsi="宋体" w:eastAsia="宋体" w:cs="宋体"/>
          <w:color w:val="000000"/>
          <w:sz w:val="24"/>
          <w:szCs w:val="24"/>
        </w:rPr>
        <w:t>永久工程：指按照合同约定所需建造、完成并移交给发包人的工程，包括工程设备。永久工程的约定见合同条款专用部分。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1.1.3.3</w:t>
      </w:r>
      <w:r>
        <w:rPr>
          <w:rFonts w:hint="eastAsia" w:ascii="宋体" w:hAnsi="宋体" w:eastAsia="宋体" w:cs="宋体"/>
          <w:color w:val="000000"/>
          <w:sz w:val="24"/>
          <w:szCs w:val="24"/>
        </w:rPr>
        <w:tab/>
      </w:r>
      <w:r>
        <w:rPr>
          <w:rFonts w:hint="eastAsia" w:ascii="宋体" w:hAnsi="宋体" w:eastAsia="宋体" w:cs="宋体"/>
          <w:color w:val="000000"/>
          <w:sz w:val="24"/>
          <w:szCs w:val="24"/>
        </w:rPr>
        <w:t>临时工程：指为完成合同约定的永久工程所修建的各类临时性工程，不包括施工设备。临时工程的约定见合同条款专用部分。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1.1.3.4</w:t>
      </w:r>
      <w:r>
        <w:rPr>
          <w:rFonts w:hint="eastAsia" w:ascii="宋体" w:hAnsi="宋体" w:eastAsia="宋体" w:cs="宋体"/>
          <w:color w:val="000000"/>
          <w:sz w:val="24"/>
          <w:szCs w:val="24"/>
        </w:rPr>
        <w:tab/>
      </w:r>
      <w:r>
        <w:rPr>
          <w:rFonts w:hint="eastAsia" w:ascii="宋体" w:hAnsi="宋体" w:eastAsia="宋体" w:cs="宋体"/>
          <w:color w:val="000000"/>
          <w:sz w:val="24"/>
          <w:szCs w:val="24"/>
        </w:rPr>
        <w:t>单位工程：指具有相对独立的设计文件，能够独立组织施工并能形成独立使用功能的永久工程的组成部分。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1.1.3.5</w:t>
      </w:r>
      <w:r>
        <w:rPr>
          <w:rFonts w:hint="eastAsia" w:ascii="宋体" w:hAnsi="宋体" w:eastAsia="宋体" w:cs="宋体"/>
          <w:color w:val="000000"/>
          <w:sz w:val="24"/>
          <w:szCs w:val="24"/>
        </w:rPr>
        <w:tab/>
      </w:r>
      <w:r>
        <w:rPr>
          <w:rFonts w:hint="eastAsia" w:ascii="宋体" w:hAnsi="宋体" w:eastAsia="宋体" w:cs="宋体"/>
          <w:color w:val="000000"/>
          <w:sz w:val="24"/>
          <w:szCs w:val="24"/>
        </w:rPr>
        <w:t>工程设备：指构成或计划构成永久工程一部分的机电设备、金属结构设备、仪器装置及其他类似的设备和装置。</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1.1.3.6</w:t>
      </w:r>
      <w:r>
        <w:rPr>
          <w:rFonts w:hint="eastAsia" w:ascii="宋体" w:hAnsi="宋体" w:eastAsia="宋体" w:cs="宋体"/>
          <w:color w:val="000000"/>
          <w:sz w:val="24"/>
          <w:szCs w:val="24"/>
        </w:rPr>
        <w:tab/>
      </w:r>
      <w:r>
        <w:rPr>
          <w:rFonts w:hint="eastAsia" w:ascii="宋体" w:hAnsi="宋体" w:eastAsia="宋体" w:cs="宋体"/>
          <w:color w:val="000000"/>
          <w:sz w:val="24"/>
          <w:szCs w:val="24"/>
        </w:rPr>
        <w:t>施工设备：指为完成合同约定的各项工作所需的设备、器具和其他物品，不包括临时工程和材料。</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1.1.3.7</w:t>
      </w:r>
      <w:r>
        <w:rPr>
          <w:rFonts w:hint="eastAsia" w:ascii="宋体" w:hAnsi="宋体" w:eastAsia="宋体" w:cs="宋体"/>
          <w:color w:val="000000"/>
          <w:sz w:val="24"/>
          <w:szCs w:val="24"/>
        </w:rPr>
        <w:tab/>
      </w:r>
      <w:r>
        <w:rPr>
          <w:rFonts w:hint="eastAsia" w:ascii="宋体" w:hAnsi="宋体" w:eastAsia="宋体" w:cs="宋体"/>
          <w:color w:val="000000"/>
          <w:sz w:val="24"/>
          <w:szCs w:val="24"/>
        </w:rPr>
        <w:t>临时设施：指为完成合同约定的各项工作所服务的临时性生产和生活设施。</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1.1.3.8</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承包人设备：指承包人自带的施工设备。</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1.1.3.9</w:t>
      </w:r>
      <w:r>
        <w:rPr>
          <w:rFonts w:hint="eastAsia" w:ascii="宋体" w:hAnsi="宋体" w:eastAsia="宋体" w:cs="宋体"/>
          <w:color w:val="000000"/>
          <w:sz w:val="24"/>
          <w:szCs w:val="24"/>
        </w:rPr>
        <w:tab/>
      </w:r>
      <w:r>
        <w:rPr>
          <w:rFonts w:hint="eastAsia" w:ascii="宋体" w:hAnsi="宋体" w:eastAsia="宋体" w:cs="宋体"/>
          <w:color w:val="000000"/>
          <w:sz w:val="24"/>
          <w:szCs w:val="24"/>
        </w:rPr>
        <w:t>施工场地（或称工地、现场）：指用于合同工程施工的场所，以及在合同中指定作为施工场地组成部分的其他场所，包括永久占地和临时占地。</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1.1.3.10</w:t>
      </w:r>
      <w:r>
        <w:rPr>
          <w:rFonts w:hint="eastAsia" w:ascii="宋体" w:hAnsi="宋体" w:eastAsia="宋体" w:cs="宋体"/>
          <w:color w:val="000000"/>
          <w:sz w:val="24"/>
          <w:szCs w:val="24"/>
        </w:rPr>
        <w:tab/>
      </w:r>
      <w:r>
        <w:rPr>
          <w:rFonts w:hint="eastAsia" w:ascii="宋体" w:hAnsi="宋体" w:eastAsia="宋体" w:cs="宋体"/>
          <w:color w:val="000000"/>
          <w:sz w:val="24"/>
          <w:szCs w:val="24"/>
        </w:rPr>
        <w:t>永久占地：指为实施合同工程需永久占用的土地。永久占地的约定见合同条款专用部分。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1.1.3.11</w:t>
      </w:r>
      <w:r>
        <w:rPr>
          <w:rFonts w:hint="eastAsia" w:ascii="宋体" w:hAnsi="宋体" w:eastAsia="宋体" w:cs="宋体"/>
          <w:color w:val="000000"/>
          <w:sz w:val="24"/>
          <w:szCs w:val="24"/>
        </w:rPr>
        <w:tab/>
      </w:r>
      <w:r>
        <w:rPr>
          <w:rFonts w:hint="eastAsia" w:ascii="宋体" w:hAnsi="宋体" w:eastAsia="宋体" w:cs="宋体"/>
          <w:color w:val="000000"/>
          <w:sz w:val="24"/>
          <w:szCs w:val="24"/>
        </w:rPr>
        <w:t>临时占地：指为实施合同工程需临时占用的土地。临时占地的约定见合同条款专用部分。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1.1.3.12</w:t>
      </w:r>
      <w:r>
        <w:rPr>
          <w:rFonts w:hint="eastAsia" w:ascii="宋体" w:hAnsi="宋体" w:eastAsia="宋体" w:cs="宋体"/>
          <w:color w:val="000000"/>
          <w:sz w:val="24"/>
          <w:szCs w:val="24"/>
        </w:rPr>
        <w:tab/>
      </w:r>
      <w:r>
        <w:rPr>
          <w:rFonts w:hint="eastAsia" w:ascii="宋体" w:hAnsi="宋体" w:eastAsia="宋体" w:cs="宋体"/>
          <w:color w:val="000000"/>
          <w:sz w:val="24"/>
          <w:szCs w:val="24"/>
        </w:rPr>
        <w:t>材料：指构成或将构成永久工程组成部分的各类物品(工程设备除外)，包括合同中可能约定的承包人仅负责供应的材料。</w:t>
      </w:r>
    </w:p>
    <w:p>
      <w:pPr>
        <w:numPr>
          <w:ilvl w:val="2"/>
          <w:numId w:val="2"/>
        </w:numPr>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1.1.4.1</w:t>
      </w:r>
      <w:r>
        <w:rPr>
          <w:rFonts w:hint="eastAsia" w:ascii="宋体" w:hAnsi="宋体" w:eastAsia="宋体" w:cs="宋体"/>
          <w:color w:val="000000"/>
          <w:sz w:val="24"/>
          <w:szCs w:val="24"/>
        </w:rPr>
        <w:tab/>
      </w:r>
      <w:r>
        <w:rPr>
          <w:rFonts w:hint="eastAsia" w:ascii="宋体" w:hAnsi="宋体" w:eastAsia="宋体" w:cs="宋体"/>
          <w:color w:val="000000"/>
          <w:sz w:val="24"/>
          <w:szCs w:val="24"/>
        </w:rPr>
        <w:t>开工通知：指监理人按第 11.1 款通知承包人开工的函件。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1.1.4.2</w:t>
      </w:r>
      <w:r>
        <w:rPr>
          <w:rFonts w:hint="eastAsia" w:ascii="宋体" w:hAnsi="宋体" w:eastAsia="宋体" w:cs="宋体"/>
          <w:color w:val="000000"/>
          <w:sz w:val="24"/>
          <w:szCs w:val="24"/>
        </w:rPr>
        <w:tab/>
      </w:r>
      <w:r>
        <w:rPr>
          <w:rFonts w:hint="eastAsia" w:ascii="宋体" w:hAnsi="宋体" w:eastAsia="宋体" w:cs="宋体"/>
          <w:color w:val="000000"/>
          <w:sz w:val="24"/>
          <w:szCs w:val="24"/>
        </w:rPr>
        <w:t>开工日期：指监理人按第 11.1 款发出的开工通知中写明的开工日期。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1.1.4.3</w:t>
      </w:r>
      <w:r>
        <w:rPr>
          <w:rFonts w:hint="eastAsia" w:ascii="宋体" w:hAnsi="宋体" w:eastAsia="宋体" w:cs="宋体"/>
          <w:color w:val="000000"/>
          <w:sz w:val="24"/>
          <w:szCs w:val="24"/>
        </w:rPr>
        <w:tab/>
      </w:r>
      <w:r>
        <w:rPr>
          <w:rFonts w:hint="eastAsia" w:ascii="宋体" w:hAnsi="宋体" w:eastAsia="宋体" w:cs="宋体"/>
          <w:color w:val="000000"/>
          <w:sz w:val="24"/>
          <w:szCs w:val="24"/>
        </w:rPr>
        <w:t>工期：指承包人在投标函中承诺的完成合同工程所需的期限，包括按第</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 款、第 11.4 款和第 11.6 款约定所作的变更。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1.1.4.4</w:t>
      </w:r>
      <w:r>
        <w:rPr>
          <w:rFonts w:hint="eastAsia" w:ascii="宋体" w:hAnsi="宋体" w:eastAsia="宋体" w:cs="宋体"/>
          <w:color w:val="000000"/>
          <w:sz w:val="24"/>
          <w:szCs w:val="24"/>
        </w:rPr>
        <w:tab/>
      </w:r>
      <w:r>
        <w:rPr>
          <w:rFonts w:hint="eastAsia" w:ascii="宋体" w:hAnsi="宋体" w:eastAsia="宋体" w:cs="宋体"/>
          <w:color w:val="000000"/>
          <w:sz w:val="24"/>
          <w:szCs w:val="24"/>
        </w:rPr>
        <w:t>竣工日期：指第 1.1.4.3 目约定工期届满时的日期。实际竣工日期以工程接收证书中写明的日期为准。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1.1.4.5</w:t>
      </w:r>
      <w:r>
        <w:rPr>
          <w:rFonts w:hint="eastAsia" w:ascii="宋体" w:hAnsi="宋体" w:eastAsia="宋体" w:cs="宋体"/>
          <w:color w:val="000000"/>
          <w:sz w:val="24"/>
          <w:szCs w:val="24"/>
        </w:rPr>
        <w:tab/>
      </w:r>
      <w:r>
        <w:rPr>
          <w:rFonts w:hint="eastAsia" w:ascii="宋体" w:hAnsi="宋体" w:eastAsia="宋体" w:cs="宋体"/>
          <w:color w:val="000000"/>
          <w:sz w:val="24"/>
          <w:szCs w:val="24"/>
        </w:rPr>
        <w:t>缺陷责任期：指履行第 19.2 款约定的缺陷责任的期限，包括根据第19.3款约定所作的延长。缺陷责任期的具体期限见合同条款专用部分。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1.1.4.6</w:t>
      </w:r>
      <w:r>
        <w:rPr>
          <w:rFonts w:hint="eastAsia" w:ascii="宋体" w:hAnsi="宋体" w:eastAsia="宋体" w:cs="宋体"/>
          <w:color w:val="000000"/>
          <w:sz w:val="24"/>
          <w:szCs w:val="24"/>
        </w:rPr>
        <w:tab/>
      </w:r>
      <w:r>
        <w:rPr>
          <w:rFonts w:hint="eastAsia" w:ascii="宋体" w:hAnsi="宋体" w:eastAsia="宋体" w:cs="宋体"/>
          <w:color w:val="000000"/>
          <w:sz w:val="24"/>
          <w:szCs w:val="24"/>
        </w:rPr>
        <w:t>基准日期：指投标截止时间前 28 天的日期。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1.1.4.7</w:t>
      </w:r>
      <w:r>
        <w:rPr>
          <w:rFonts w:hint="eastAsia" w:ascii="宋体" w:hAnsi="宋体" w:eastAsia="宋体" w:cs="宋体"/>
          <w:color w:val="000000"/>
          <w:sz w:val="24"/>
          <w:szCs w:val="24"/>
        </w:rPr>
        <w:tab/>
      </w:r>
      <w:r>
        <w:rPr>
          <w:rFonts w:hint="eastAsia" w:ascii="宋体" w:hAnsi="宋体" w:eastAsia="宋体" w:cs="宋体"/>
          <w:color w:val="000000"/>
          <w:sz w:val="24"/>
          <w:szCs w:val="24"/>
        </w:rPr>
        <w:t>天：除特别指明外，指日历天。合同中按天计算时间的，开始当天不计入，从次日开始计算。期限最后一天的截止时间为当天 24:00。</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1.1.4.8 保修期：是根据现行有关法律规定，在合同条款第 19.7 款中约定的由承包人负责对合同约定的保修范围内发生的质量问题履行保修义务并对造成的损失承担赔偿责任的期限。</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1.1.5</w:t>
      </w:r>
      <w:r>
        <w:rPr>
          <w:rFonts w:hint="eastAsia" w:ascii="宋体" w:hAnsi="宋体" w:eastAsia="宋体" w:cs="宋体"/>
          <w:color w:val="000000"/>
          <w:sz w:val="24"/>
          <w:szCs w:val="24"/>
        </w:rPr>
        <w:tab/>
      </w:r>
      <w:r>
        <w:rPr>
          <w:rFonts w:hint="eastAsia" w:ascii="宋体" w:hAnsi="宋体" w:eastAsia="宋体" w:cs="宋体"/>
          <w:color w:val="000000"/>
          <w:sz w:val="24"/>
          <w:szCs w:val="24"/>
        </w:rPr>
        <w:t>合同价格和费用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1.1.5.1</w:t>
      </w:r>
      <w:r>
        <w:rPr>
          <w:rFonts w:hint="eastAsia" w:ascii="宋体" w:hAnsi="宋体" w:eastAsia="宋体" w:cs="宋体"/>
          <w:color w:val="000000"/>
          <w:sz w:val="24"/>
          <w:szCs w:val="24"/>
        </w:rPr>
        <w:tab/>
      </w:r>
      <w:r>
        <w:rPr>
          <w:rFonts w:hint="eastAsia" w:ascii="宋体" w:hAnsi="宋体" w:eastAsia="宋体" w:cs="宋体"/>
          <w:color w:val="000000"/>
          <w:sz w:val="24"/>
          <w:szCs w:val="24"/>
        </w:rPr>
        <w:t>签约合同价：指签定合同时合同协议书中写明的，包括了暂列金额、暂估价的合同总金额。</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1.1.5.2</w:t>
      </w:r>
      <w:r>
        <w:rPr>
          <w:rFonts w:hint="eastAsia" w:ascii="宋体" w:hAnsi="宋体" w:eastAsia="宋体" w:cs="宋体"/>
          <w:color w:val="000000"/>
          <w:sz w:val="24"/>
          <w:szCs w:val="24"/>
        </w:rPr>
        <w:tab/>
      </w:r>
      <w:r>
        <w:rPr>
          <w:rFonts w:hint="eastAsia" w:ascii="宋体" w:hAnsi="宋体" w:eastAsia="宋体" w:cs="宋体"/>
          <w:color w:val="000000"/>
          <w:sz w:val="24"/>
          <w:szCs w:val="24"/>
        </w:rPr>
        <w:t>合同价格：指承包人按合同约定完成了包括缺陷责任期内的全部承包工作后，发包人应付给承包人的金额，包括在履行合同过程中按合同约定进行的变更和调整。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1.1.5.3 费用：指为履行合同所发生的或将要发生的所有合理开支，包括管理费和应分摊的其他费用，但不包括利润。</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1.1.5.4 暂列金额：指已标价工程量清单中所列的暂列金额，用于在签订协议书时尚未确定或不可预见变更的施工及其所需材料、工程设备、服务等的金额，包括以计日工方式支付的金额。</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1.1.5.5 暂估价：指发包人在工程量清单中给定的用于支付必然发生但暂时不能确定价格的材料、设备以及专业工程的金额。</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1.1.5.6 计日工：指对零星工作采取的一种计价方式，按合同中的计日工子目及其单价计价付款。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1.1.5.7 质量保证金（或称保留金）：指按第 17.4.1 项约定用于保证在缺陷责任期内履行缺陷修复义务的金额。</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1.1.6</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书面形式 书面形式：指合同文件、信函、电报、传真等可以有形地表现所载内容的形式。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1.1.7</w:t>
      </w:r>
      <w:r>
        <w:rPr>
          <w:rFonts w:hint="eastAsia" w:ascii="宋体" w:hAnsi="宋体" w:eastAsia="宋体" w:cs="宋体"/>
          <w:color w:val="000000"/>
          <w:sz w:val="24"/>
          <w:szCs w:val="24"/>
        </w:rPr>
        <w:tab/>
      </w:r>
      <w:r>
        <w:rPr>
          <w:rFonts w:hint="eastAsia" w:ascii="宋体" w:hAnsi="宋体" w:eastAsia="宋体" w:cs="宋体"/>
          <w:color w:val="000000"/>
          <w:sz w:val="24"/>
          <w:szCs w:val="24"/>
        </w:rPr>
        <w:t>争议评审组</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争议评审组：是由发包人和承包人共同聘请的人员组成的独立、公正的第三方临时性组织，一般由一名或者三名合同管理和（或）工程管理专家组成。争议评审组负责对发包人和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（或）承包人提请进行评审的本合同项下的争议进行评审并在规定的期限内给出评审意见， 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1.1.8</w:t>
      </w:r>
      <w:r>
        <w:rPr>
          <w:rFonts w:hint="eastAsia" w:ascii="宋体" w:hAnsi="宋体" w:eastAsia="宋体" w:cs="宋体"/>
          <w:color w:val="000000"/>
          <w:sz w:val="24"/>
          <w:szCs w:val="24"/>
        </w:rPr>
        <w:tab/>
      </w:r>
      <w:r>
        <w:rPr>
          <w:rFonts w:hint="eastAsia" w:ascii="宋体" w:hAnsi="宋体" w:eastAsia="宋体" w:cs="宋体"/>
          <w:color w:val="000000"/>
          <w:sz w:val="24"/>
          <w:szCs w:val="24"/>
        </w:rPr>
        <w:t>其他需要补充的内容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其他需要补充的内容见合同条款专用部分。</w:t>
      </w:r>
    </w:p>
    <w:p>
      <w:pPr>
        <w:numPr>
          <w:ilvl w:val="1"/>
          <w:numId w:val="2"/>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语言文字</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除专用术语外，合同使用的语言文字为中文。必要时专用术语应附有中文注释。</w:t>
      </w:r>
    </w:p>
    <w:p>
      <w:pPr>
        <w:numPr>
          <w:ilvl w:val="1"/>
          <w:numId w:val="2"/>
        </w:numPr>
        <w:spacing w:line="360" w:lineRule="auto"/>
        <w:rPr>
          <w:rFonts w:hint="eastAsia" w:ascii="宋体" w:hAnsi="宋体" w:eastAsia="宋体" w:cs="宋体"/>
          <w:color w:val="000000"/>
          <w:sz w:val="24"/>
          <w:szCs w:val="24"/>
        </w:rPr>
      </w:pPr>
      <w:bookmarkStart w:id="10" w:name="_bookmark89"/>
      <w:bookmarkEnd w:id="10"/>
      <w:r>
        <w:rPr>
          <w:rFonts w:hint="eastAsia" w:ascii="宋体" w:hAnsi="宋体" w:eastAsia="宋体" w:cs="宋体"/>
          <w:color w:val="000000"/>
          <w:sz w:val="24"/>
          <w:szCs w:val="24"/>
        </w:rPr>
        <w:t xml:space="preserve">  法律</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适用于合同的法律包括中华人民共和国法律、行政法规、部门规章，以及工程所在地的地方法规、自治条例、单行条例和地方政府规章。</w:t>
      </w:r>
    </w:p>
    <w:p>
      <w:pPr>
        <w:numPr>
          <w:ilvl w:val="1"/>
          <w:numId w:val="2"/>
        </w:numPr>
        <w:spacing w:line="360" w:lineRule="auto"/>
        <w:rPr>
          <w:rFonts w:hint="eastAsia" w:ascii="宋体" w:hAnsi="宋体" w:eastAsia="宋体" w:cs="宋体"/>
          <w:color w:val="000000"/>
          <w:sz w:val="24"/>
          <w:szCs w:val="24"/>
        </w:rPr>
      </w:pPr>
      <w:bookmarkStart w:id="11" w:name="_bookmark90"/>
      <w:bookmarkEnd w:id="11"/>
      <w:r>
        <w:rPr>
          <w:rFonts w:hint="eastAsia" w:ascii="宋体" w:hAnsi="宋体" w:eastAsia="宋体" w:cs="宋体"/>
          <w:color w:val="000000"/>
          <w:sz w:val="24"/>
          <w:szCs w:val="24"/>
        </w:rPr>
        <w:t xml:space="preserve">  合同文件的优先顺序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组成合同的各项文件应互相解释，互为说明。除合同条款专用部分另有约定外，解释合 同文件的优先顺序如下：</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（1）合同协议书；</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（2）中标通知书；</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（3）投标函及投标函附录；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（5）合同条款通用部分；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（6）技术标准和要求；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（7）图纸；</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（8）已标价工程量清单；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（9）其他合同文件。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附注：构成合同文件的图纸与技术标准和要求之间有矛盾或者不一致的，应以其中要求较严格的标准为准。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合同双方在合同履行过程中签署的不背离合同实质性内容的补充协议，应当视为合同文件的有效组成部分，其解释顺序视其内容与其他合同文件的相互关系而定。</w:t>
      </w:r>
    </w:p>
    <w:p>
      <w:pPr>
        <w:spacing w:line="360" w:lineRule="auto"/>
        <w:rPr>
          <w:rFonts w:hint="eastAsia" w:ascii="宋体" w:hAnsi="宋体" w:eastAsia="宋体" w:cs="宋体"/>
          <w:color w:val="000000"/>
          <w:sz w:val="24"/>
          <w:szCs w:val="24"/>
        </w:rPr>
      </w:pPr>
      <w:bookmarkStart w:id="12" w:name="_bookmark91"/>
      <w:bookmarkEnd w:id="12"/>
      <w:r>
        <w:rPr>
          <w:rFonts w:hint="eastAsia" w:ascii="宋体" w:hAnsi="宋体" w:eastAsia="宋体" w:cs="宋体"/>
          <w:color w:val="000000"/>
          <w:sz w:val="24"/>
          <w:szCs w:val="24"/>
        </w:rPr>
        <w:t xml:space="preserve">1.5   </w:t>
      </w:r>
      <w:r>
        <w:rPr>
          <w:rFonts w:hint="eastAsia" w:ascii="宋体" w:hAnsi="宋体" w:eastAsia="宋体" w:cs="宋体"/>
          <w:color w:val="000000"/>
          <w:sz w:val="24"/>
          <w:szCs w:val="24"/>
        </w:rPr>
        <w:tab/>
      </w:r>
      <w:r>
        <w:rPr>
          <w:rFonts w:hint="eastAsia" w:ascii="宋体" w:hAnsi="宋体" w:eastAsia="宋体" w:cs="宋体"/>
          <w:color w:val="000000"/>
          <w:sz w:val="24"/>
          <w:szCs w:val="24"/>
        </w:rPr>
        <w:t>合同协议书</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指由发包人与承包人共同签署的用于明确当事人合同关系的文件。承包人按照中标通知 书规定的时间与发包人签订的合同协议书，除法律另有规定或合同条款专用部分另有约定 外，发包人和承包人的法定代表人或其委托代理人在合同协议书上签字并盖单位章后，合同 生效。合同生效的条件见合同条款专用部分。</w:t>
      </w:r>
    </w:p>
    <w:p>
      <w:pPr>
        <w:spacing w:line="360" w:lineRule="auto"/>
        <w:rPr>
          <w:rFonts w:hint="eastAsia" w:ascii="宋体" w:hAnsi="宋体" w:eastAsia="宋体" w:cs="宋体"/>
          <w:color w:val="000000"/>
          <w:sz w:val="24"/>
          <w:szCs w:val="24"/>
        </w:rPr>
      </w:pPr>
      <w:bookmarkStart w:id="13" w:name="_bookmark92"/>
      <w:bookmarkEnd w:id="13"/>
      <w:r>
        <w:rPr>
          <w:rFonts w:hint="eastAsia" w:ascii="宋体" w:hAnsi="宋体" w:eastAsia="宋体" w:cs="宋体"/>
          <w:color w:val="000000"/>
          <w:sz w:val="24"/>
          <w:szCs w:val="24"/>
        </w:rPr>
        <w:t>1.6</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图纸和承包人文件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w:t>
      </w:r>
      <w:r>
        <w:rPr>
          <w:rFonts w:hint="eastAsia" w:ascii="宋体" w:hAnsi="宋体" w:eastAsia="宋体" w:cs="宋体"/>
          <w:color w:val="000000"/>
          <w:sz w:val="24"/>
          <w:szCs w:val="24"/>
        </w:rPr>
        <w:tab/>
      </w:r>
      <w:r>
        <w:rPr>
          <w:rFonts w:hint="eastAsia" w:ascii="宋体" w:hAnsi="宋体" w:eastAsia="宋体" w:cs="宋体"/>
          <w:color w:val="000000"/>
          <w:sz w:val="24"/>
          <w:szCs w:val="24"/>
        </w:rPr>
        <w:t>图纸的提供</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（1）发包人按照合同约定向承包人提供图纸。发包人未按时提供图纸造成工期延误的，按第 11.3 款的约定办理。承包人需要增加图纸套数的，发包人应代为复制，复制费用由承包人承担。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（2）依据合同条款专用部分第 10.1 款约定制定的合同进度计划，或依据合同条款专用部分第 10.2 款约定修订的合同进度计划，经监理人批准后 7 日内，承包人应当根据合同进度计划或合同进度计划修订和本项约定的图纸提供期限和数量，编制或者修改图纸供应计划 并报送监理人，其中应当载明承包人对各最新版本图纸(包括第 1.6.3 项约定的图纸修改图)的最迟需求时间，监理人应当在收到图纸供应计划后 7 天内批复或提出修改意见，否则该图 纸供应计划视为得到批准。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（3）经监理人批准最新的图纸供应计划对合同双方有合同约束力，应当作为发包人或 者监理人向承包人提供图纸的主要依据。发包人或者监理人不按照图纸供应计划提供图纸而 导致承包人费用增加和（或）工期延误的，由发包人承担赔偿责任。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（4）承包人未按照约定的时间向监理人提交图纸供应计划,致使发包人或者监理人未能 在约定的时间内提供相应图纸或者承包人未按照图纸供应计划组织施工所造成的费用增加 和（或）工期延误由承包人承担。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（5）发包人提供图纸的期限、数量和其他约定见合同条款专用部分。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承包人提供的文件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（1）由承包人提供的文件包括部分工程的大样图、加工图等，承包人应当按照约定的 范围、数量和期限报送监理人，监理人应当在约定的期限内批复。承包人提供文件的范围、 数量、期限和监理人批复期限以及其他约定见合同条款专用部分。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（2）除合同条款第 4.1.10 项约定的由承包人提供的设计文件外，本项约定的其他应由 承包人提供的文件，包括必要的加工图和大样图，均不能作为合同计量与支付的依据文件。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1.6.3   图纸的修改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图纸需要修改和补充的，监理人应当按照合同条款第 1.6.1（2）目约定的有合同约束 力的图纸供应计划，签发图纸修改图给承包人。承包人应按修改后的图纸施工。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1.6.4   图纸的错误</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承包人发现发包人提供的图纸存在明显错误或疏忽，应及时通知监理人。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1.6.5</w:t>
      </w:r>
      <w:r>
        <w:rPr>
          <w:rFonts w:hint="eastAsia" w:ascii="宋体" w:hAnsi="宋体" w:eastAsia="宋体" w:cs="宋体"/>
          <w:color w:val="000000"/>
          <w:sz w:val="24"/>
          <w:szCs w:val="24"/>
        </w:rPr>
        <w:tab/>
      </w:r>
      <w:r>
        <w:rPr>
          <w:rFonts w:hint="eastAsia" w:ascii="宋体" w:hAnsi="宋体" w:eastAsia="宋体" w:cs="宋体"/>
          <w:color w:val="000000"/>
          <w:sz w:val="24"/>
          <w:szCs w:val="24"/>
        </w:rPr>
        <w:t>图纸和承包人文件的保管</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监理人和承包人均应在施工场地各保存一套完整的包含第 1.6.1 项、第 1.6.2 项、第1.6.3 项约定内容的图纸和承包人文件。</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1.7    联络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1.7.1</w:t>
      </w:r>
      <w:r>
        <w:rPr>
          <w:rFonts w:hint="eastAsia" w:ascii="宋体" w:hAnsi="宋体" w:eastAsia="宋体" w:cs="宋体"/>
          <w:color w:val="000000"/>
          <w:sz w:val="24"/>
          <w:szCs w:val="24"/>
        </w:rPr>
        <w:tab/>
      </w:r>
      <w:r>
        <w:rPr>
          <w:rFonts w:hint="eastAsia" w:ascii="宋体" w:hAnsi="宋体" w:eastAsia="宋体" w:cs="宋体"/>
          <w:color w:val="000000"/>
          <w:sz w:val="24"/>
          <w:szCs w:val="24"/>
        </w:rPr>
        <w:t>与合同有关的通知、批准、证明、证书、指示、要求、请求、同意、意见、确定和决定等，均应采用书面形式。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1.7.2</w:t>
      </w:r>
      <w:r>
        <w:rPr>
          <w:rFonts w:hint="eastAsia" w:ascii="宋体" w:hAnsi="宋体" w:eastAsia="宋体" w:cs="宋体"/>
          <w:color w:val="000000"/>
          <w:sz w:val="24"/>
          <w:szCs w:val="24"/>
        </w:rPr>
        <w:tab/>
      </w:r>
      <w:r>
        <w:rPr>
          <w:rFonts w:hint="eastAsia" w:ascii="宋体" w:hAnsi="宋体" w:eastAsia="宋体" w:cs="宋体"/>
          <w:color w:val="000000"/>
          <w:sz w:val="24"/>
          <w:szCs w:val="24"/>
        </w:rPr>
        <w:t>第 1.7.1 项中的通知、批准、证明、证书、指示、要求、请求、同意、意见、确定和决定等来往函件，均应在合同约定的期限内送达指定地点和接收人，并办理签收手续。</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（1）联络来往信函的送达期限：合同约定了发出期限的，送达期限为合同约定的发出 期限后的 24 小时内；合同约定了通知、提供或者报送期限的，通知、提供或者报送期限即为送达期限。</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（2）发包人指定的接收人和接收地点见合同条款专用部分。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（3）监理人指定的接收人和接收地点见合同条款专用部分。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（4）承包人指定的接收人为合同协议书中载明的承包人项目经理本人或者项目经理的 授权代表。承包人应在收到开工通知后 7 天内，按照合同条款第 4.5.4 项的约定，将授权代表其接收来往信函的项目经理的授权代表姓名和授权范围通知监理人。除合同另有约定外，承包人施工场地管理机构的办公地点即为承包人指定的接收地点。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numPr>
          <w:ilvl w:val="1"/>
          <w:numId w:val="3"/>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转让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除合同另有约定外，未经对方当事人同意，一方当事人不得将合同权利全部或部分转让 给第三人，也不得全部或部分转移合同义务。</w:t>
      </w:r>
    </w:p>
    <w:p>
      <w:pPr>
        <w:numPr>
          <w:ilvl w:val="1"/>
          <w:numId w:val="3"/>
        </w:numPr>
        <w:spacing w:line="360" w:lineRule="auto"/>
        <w:rPr>
          <w:rFonts w:hint="eastAsia" w:ascii="宋体" w:hAnsi="宋体" w:eastAsia="宋体" w:cs="宋体"/>
          <w:color w:val="000000"/>
          <w:sz w:val="24"/>
          <w:szCs w:val="24"/>
        </w:rPr>
      </w:pPr>
      <w:bookmarkStart w:id="14" w:name="_bookmark95"/>
      <w:bookmarkEnd w:id="14"/>
      <w:r>
        <w:rPr>
          <w:rFonts w:hint="eastAsia" w:ascii="宋体" w:hAnsi="宋体" w:eastAsia="宋体" w:cs="宋体"/>
          <w:color w:val="000000"/>
          <w:sz w:val="24"/>
          <w:szCs w:val="24"/>
        </w:rPr>
        <w:t xml:space="preserve">   严禁贿赂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合同双方当事人不得以贿赂或变相贿赂的方式，谋取不当利益或损害对方权益。因贿赂 造成对方损失的，行为人应赔偿损失，并承担相应的法律责任。</w:t>
      </w:r>
    </w:p>
    <w:p>
      <w:pPr>
        <w:spacing w:line="360" w:lineRule="auto"/>
        <w:rPr>
          <w:rFonts w:hint="eastAsia" w:ascii="宋体" w:hAnsi="宋体" w:eastAsia="宋体" w:cs="宋体"/>
          <w:color w:val="000000"/>
          <w:sz w:val="24"/>
          <w:szCs w:val="24"/>
        </w:rPr>
      </w:pPr>
      <w:bookmarkStart w:id="15" w:name="_bookmark96"/>
      <w:bookmarkEnd w:id="15"/>
      <w:r>
        <w:rPr>
          <w:rFonts w:hint="eastAsia" w:ascii="宋体" w:hAnsi="宋体" w:eastAsia="宋体" w:cs="宋体"/>
          <w:color w:val="000000"/>
          <w:sz w:val="24"/>
          <w:szCs w:val="24"/>
        </w:rPr>
        <w:t>1.10</w:t>
      </w:r>
      <w:r>
        <w:rPr>
          <w:rFonts w:hint="eastAsia" w:ascii="宋体" w:hAnsi="宋体" w:eastAsia="宋体" w:cs="宋体"/>
          <w:color w:val="000000"/>
          <w:sz w:val="24"/>
          <w:szCs w:val="24"/>
        </w:rPr>
        <w:tab/>
      </w:r>
      <w:r>
        <w:rPr>
          <w:rFonts w:hint="eastAsia" w:ascii="宋体" w:hAnsi="宋体" w:eastAsia="宋体" w:cs="宋体"/>
          <w:color w:val="000000"/>
          <w:sz w:val="24"/>
          <w:szCs w:val="24"/>
        </w:rPr>
        <w:t>化石、文物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1.10.1 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 工期延误由发包人承担。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1.10.2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承包人发现文物后不及时报告或隐瞒不报，致使文物丢失或损坏的，应赔偿损 失，并承担相应的法律责任。</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1.11</w:t>
      </w:r>
      <w:r>
        <w:rPr>
          <w:rFonts w:hint="eastAsia" w:ascii="宋体" w:hAnsi="宋体" w:eastAsia="宋体" w:cs="宋体"/>
          <w:color w:val="000000"/>
          <w:sz w:val="24"/>
          <w:szCs w:val="24"/>
        </w:rPr>
        <w:tab/>
      </w:r>
      <w:r>
        <w:rPr>
          <w:rFonts w:hint="eastAsia" w:ascii="宋体" w:hAnsi="宋体" w:eastAsia="宋体" w:cs="宋体"/>
          <w:color w:val="000000"/>
          <w:sz w:val="24"/>
          <w:szCs w:val="24"/>
        </w:rPr>
        <w:t>专利技术</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1.11.1 承包人在使用任何材料、承包人设备、工程设备或采用施工工艺时，因侵犯专利权或其他知识产权所引起的责任，由承包人承担，但由于遵照发包人提供的设计或技术标准和要求引起的除外。</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承包人在投标文件中采用专利技术的，专利技术的使用费包含在投标报价内。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1.11.3</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承包人的技术秘密和声明需要保密的资料和信息，发包人和监理人不得为合同以外的目的泄露给他人。</w:t>
      </w:r>
    </w:p>
    <w:p>
      <w:pPr>
        <w:spacing w:line="360" w:lineRule="auto"/>
        <w:rPr>
          <w:rFonts w:hint="eastAsia" w:ascii="宋体" w:hAnsi="宋体" w:eastAsia="宋体" w:cs="宋体"/>
          <w:color w:val="000000"/>
          <w:sz w:val="24"/>
          <w:szCs w:val="24"/>
        </w:rPr>
      </w:pPr>
      <w:bookmarkStart w:id="16" w:name="_bookmark98"/>
      <w:bookmarkEnd w:id="16"/>
      <w:r>
        <w:rPr>
          <w:rFonts w:hint="eastAsia" w:ascii="宋体" w:hAnsi="宋体" w:eastAsia="宋体" w:cs="宋体"/>
          <w:color w:val="000000"/>
          <w:sz w:val="24"/>
          <w:szCs w:val="24"/>
        </w:rPr>
        <w:t>1.12</w:t>
      </w:r>
      <w:r>
        <w:rPr>
          <w:rFonts w:hint="eastAsia" w:ascii="宋体" w:hAnsi="宋体" w:eastAsia="宋体" w:cs="宋体"/>
          <w:color w:val="000000"/>
          <w:sz w:val="24"/>
          <w:szCs w:val="24"/>
        </w:rPr>
        <w:tab/>
      </w:r>
      <w:r>
        <w:rPr>
          <w:rFonts w:hint="eastAsia" w:ascii="宋体" w:hAnsi="宋体" w:eastAsia="宋体" w:cs="宋体"/>
          <w:color w:val="000000"/>
          <w:sz w:val="24"/>
          <w:szCs w:val="24"/>
        </w:rPr>
        <w:t>图纸和文件的保密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1.12.1</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发包人提供的图纸和文件，未经发包人同意，承包人不得为合同以外的目的泄露给他人或公开发表与引用。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承包人提供的文件，未经承包人同意，发包人和监理人不得为合同以外的目的泄露给他人或公开发表与引用。</w:t>
      </w:r>
    </w:p>
    <w:p>
      <w:pPr>
        <w:spacing w:line="360" w:lineRule="auto"/>
        <w:rPr>
          <w:rFonts w:hint="eastAsia" w:ascii="宋体" w:hAnsi="宋体" w:eastAsia="宋体" w:cs="宋体"/>
          <w:color w:val="000000"/>
          <w:sz w:val="24"/>
          <w:szCs w:val="24"/>
        </w:rPr>
      </w:pPr>
      <w:bookmarkStart w:id="17" w:name="_bookmark99"/>
      <w:bookmarkEnd w:id="17"/>
      <w:r>
        <w:rPr>
          <w:rFonts w:hint="eastAsia" w:ascii="宋体" w:hAnsi="宋体" w:eastAsia="宋体" w:cs="宋体"/>
          <w:color w:val="000000"/>
          <w:sz w:val="24"/>
          <w:szCs w:val="24"/>
        </w:rPr>
        <w:t>2.发包人义务</w:t>
      </w:r>
    </w:p>
    <w:p>
      <w:pPr>
        <w:spacing w:line="360" w:lineRule="auto"/>
        <w:rPr>
          <w:rFonts w:hint="eastAsia" w:ascii="宋体" w:hAnsi="宋体" w:eastAsia="宋体" w:cs="宋体"/>
          <w:color w:val="000000"/>
          <w:sz w:val="24"/>
          <w:szCs w:val="24"/>
        </w:rPr>
      </w:pPr>
      <w:bookmarkStart w:id="18" w:name="_bookmark100"/>
      <w:bookmarkEnd w:id="18"/>
      <w:r>
        <w:rPr>
          <w:rFonts w:hint="eastAsia" w:ascii="宋体" w:hAnsi="宋体" w:eastAsia="宋体" w:cs="宋体"/>
          <w:color w:val="000000"/>
          <w:sz w:val="24"/>
          <w:szCs w:val="24"/>
        </w:rPr>
        <w:t>2.1</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遵守法律</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发包人在履行合同过程中应遵守法律，并保证承包人免于承担因发包人违反法律而引起的任何责任。</w:t>
      </w:r>
    </w:p>
    <w:p>
      <w:pPr>
        <w:spacing w:line="360" w:lineRule="auto"/>
        <w:rPr>
          <w:rFonts w:hint="eastAsia" w:ascii="宋体" w:hAnsi="宋体" w:eastAsia="宋体" w:cs="宋体"/>
          <w:color w:val="000000"/>
          <w:sz w:val="24"/>
          <w:szCs w:val="24"/>
        </w:rPr>
      </w:pPr>
      <w:bookmarkStart w:id="19" w:name="_bookmark101"/>
      <w:bookmarkEnd w:id="19"/>
      <w:r>
        <w:rPr>
          <w:rFonts w:hint="eastAsia" w:ascii="宋体" w:hAnsi="宋体" w:eastAsia="宋体" w:cs="宋体"/>
          <w:color w:val="000000"/>
          <w:sz w:val="24"/>
          <w:szCs w:val="24"/>
        </w:rPr>
        <w:t xml:space="preserve">2.2  </w:t>
      </w:r>
      <w:r>
        <w:rPr>
          <w:rFonts w:hint="eastAsia" w:ascii="宋体" w:hAnsi="宋体" w:eastAsia="宋体" w:cs="宋体"/>
          <w:color w:val="000000"/>
          <w:sz w:val="24"/>
          <w:szCs w:val="24"/>
        </w:rPr>
        <w:tab/>
      </w:r>
      <w:r>
        <w:rPr>
          <w:rFonts w:hint="eastAsia" w:ascii="宋体" w:hAnsi="宋体" w:eastAsia="宋体" w:cs="宋体"/>
          <w:color w:val="000000"/>
          <w:sz w:val="24"/>
          <w:szCs w:val="24"/>
        </w:rPr>
        <w:t>发出开工通知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发包人应委托监理人按第 11.1 款的约定向承包人发出开工通知。</w:t>
      </w:r>
    </w:p>
    <w:p>
      <w:pPr>
        <w:spacing w:line="360" w:lineRule="auto"/>
        <w:rPr>
          <w:rFonts w:hint="eastAsia" w:ascii="宋体" w:hAnsi="宋体" w:eastAsia="宋体" w:cs="宋体"/>
          <w:color w:val="000000"/>
          <w:sz w:val="24"/>
          <w:szCs w:val="24"/>
        </w:rPr>
      </w:pPr>
      <w:bookmarkStart w:id="20" w:name="_bookmark102"/>
      <w:bookmarkEnd w:id="20"/>
      <w:r>
        <w:rPr>
          <w:rFonts w:hint="eastAsia" w:ascii="宋体" w:hAnsi="宋体" w:eastAsia="宋体" w:cs="宋体"/>
          <w:color w:val="000000"/>
          <w:sz w:val="24"/>
          <w:szCs w:val="24"/>
        </w:rPr>
        <w:t>2.3</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提供施工场地</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应在约定期限前确保施工场地具备施工条件并移交给承包人，具体施工条件在“技术标准和要求”第一节“一般要求”中约定。发包人最迟应当在移交施工场地的同时向承包人提供施工场地内地下管线和地下设施等有关资料，并保证资料的真实、准确和完整。</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发包人移交施工场地的期限见合同条款专用部分。</w:t>
      </w:r>
    </w:p>
    <w:p>
      <w:pPr>
        <w:wordWrap w:val="0"/>
        <w:spacing w:line="360" w:lineRule="auto"/>
        <w:rPr>
          <w:rFonts w:hint="eastAsia" w:ascii="宋体" w:hAnsi="宋体" w:eastAsia="宋体" w:cs="宋体"/>
          <w:color w:val="000000"/>
          <w:sz w:val="24"/>
          <w:szCs w:val="24"/>
        </w:rPr>
      </w:pPr>
      <w:bookmarkStart w:id="21" w:name="_bookmark103"/>
      <w:bookmarkEnd w:id="21"/>
      <w:r>
        <w:rPr>
          <w:rFonts w:hint="eastAsia" w:ascii="宋体" w:hAnsi="宋体" w:eastAsia="宋体" w:cs="宋体"/>
          <w:color w:val="000000"/>
          <w:sz w:val="24"/>
          <w:szCs w:val="24"/>
        </w:rPr>
        <w:t>2.4    协助承包人办理证件和批件</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发包人应协助承包人办理法律规定的有关施工证件和批件。</w:t>
      </w:r>
    </w:p>
    <w:p>
      <w:pPr>
        <w:wordWrap w:val="0"/>
        <w:spacing w:line="360" w:lineRule="auto"/>
        <w:rPr>
          <w:rFonts w:hint="eastAsia" w:ascii="宋体" w:hAnsi="宋体" w:eastAsia="宋体" w:cs="宋体"/>
          <w:color w:val="000000"/>
          <w:sz w:val="24"/>
          <w:szCs w:val="24"/>
        </w:rPr>
      </w:pPr>
      <w:bookmarkStart w:id="22" w:name="_bookmark104"/>
      <w:bookmarkEnd w:id="22"/>
      <w:r>
        <w:rPr>
          <w:rFonts w:hint="eastAsia" w:ascii="宋体" w:hAnsi="宋体" w:eastAsia="宋体" w:cs="宋体"/>
          <w:color w:val="000000"/>
          <w:sz w:val="24"/>
          <w:szCs w:val="24"/>
        </w:rPr>
        <w:t>2.5    组织设计交底</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发包人应根据批准的合同进度计划，组织设计单位向承包人进行设计交底。 </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发包人应在第 11.1.1 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pPr>
        <w:wordWrap w:val="0"/>
        <w:spacing w:line="360" w:lineRule="auto"/>
        <w:rPr>
          <w:rFonts w:hint="eastAsia" w:ascii="宋体" w:hAnsi="宋体" w:eastAsia="宋体" w:cs="宋体"/>
          <w:color w:val="000000"/>
          <w:sz w:val="24"/>
          <w:szCs w:val="24"/>
        </w:rPr>
      </w:pPr>
      <w:bookmarkStart w:id="23" w:name="_bookmark105"/>
      <w:bookmarkEnd w:id="23"/>
      <w:r>
        <w:rPr>
          <w:rFonts w:hint="eastAsia" w:ascii="宋体" w:hAnsi="宋体" w:eastAsia="宋体" w:cs="宋体"/>
          <w:color w:val="000000"/>
          <w:sz w:val="24"/>
          <w:szCs w:val="24"/>
        </w:rPr>
        <w:t>2.6    支付合同价款</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发包人应按合同约定向承包人及时支付合同价款。</w:t>
      </w:r>
    </w:p>
    <w:p>
      <w:pPr>
        <w:wordWrap w:val="0"/>
        <w:spacing w:line="360" w:lineRule="auto"/>
        <w:rPr>
          <w:rFonts w:hint="eastAsia" w:ascii="宋体" w:hAnsi="宋体" w:eastAsia="宋体" w:cs="宋体"/>
          <w:color w:val="000000"/>
          <w:sz w:val="24"/>
          <w:szCs w:val="24"/>
        </w:rPr>
      </w:pPr>
      <w:bookmarkStart w:id="24" w:name="_bookmark106"/>
      <w:bookmarkEnd w:id="24"/>
      <w:r>
        <w:rPr>
          <w:rFonts w:hint="eastAsia" w:ascii="宋体" w:hAnsi="宋体" w:eastAsia="宋体" w:cs="宋体"/>
          <w:color w:val="000000"/>
          <w:sz w:val="24"/>
          <w:szCs w:val="24"/>
        </w:rPr>
        <w:t>2.7    组织竣工验收</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发包人应按合同约定及时组织竣工验收。</w:t>
      </w:r>
    </w:p>
    <w:p>
      <w:pPr>
        <w:wordWrap w:val="0"/>
        <w:spacing w:line="360" w:lineRule="auto"/>
        <w:rPr>
          <w:rFonts w:hint="eastAsia" w:ascii="宋体" w:hAnsi="宋体" w:eastAsia="宋体" w:cs="宋体"/>
          <w:color w:val="000000"/>
          <w:sz w:val="24"/>
          <w:szCs w:val="24"/>
        </w:rPr>
      </w:pPr>
      <w:bookmarkStart w:id="25" w:name="_bookmark107"/>
      <w:bookmarkEnd w:id="25"/>
      <w:r>
        <w:rPr>
          <w:rFonts w:hint="eastAsia" w:ascii="宋体" w:hAnsi="宋体" w:eastAsia="宋体" w:cs="宋体"/>
          <w:color w:val="000000"/>
          <w:sz w:val="24"/>
          <w:szCs w:val="24"/>
        </w:rPr>
        <w:t>2.8    向承包人提交支付担保</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（1）发包人要求承包人提交履约担保的，除合同条款专用部分另有约定的，在承包人按合同条款第 4.2 款向发包人递交符合合同约定的履约担保的同时，发包人应当按照金额和条件对等的原则和合同文件中规定的格式或者其他经过承包人事先认可的格式向承包人递交一份支付担保。发包人提供支付担保格式见合同条款专用部分附件六。</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（2）支付担保的有效期应当自本合同生效之日起至发包人实际支付竣工付款之日止。</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（3）发包人无法获得一份不带具体截止日期的履约担保，支付担保中应当约定有“变 更工程竣工付款支付日期的，保证期间按照变更后的竣工付款支付日期做相应调整”或类似约定的条款。</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（4）支付担保应当在发包人付清竣工付款之日后 28 天内退还给发包人；承包人不承担发包人与支付担保有关的任何利息或其它类似的费用或者收益。</w:t>
      </w:r>
    </w:p>
    <w:p>
      <w:pPr>
        <w:wordWrap w:val="0"/>
        <w:spacing w:line="360" w:lineRule="auto"/>
        <w:rPr>
          <w:rFonts w:hint="eastAsia" w:ascii="宋体" w:hAnsi="宋体" w:eastAsia="宋体" w:cs="宋体"/>
          <w:color w:val="000000"/>
          <w:sz w:val="24"/>
          <w:szCs w:val="24"/>
        </w:rPr>
      </w:pPr>
      <w:bookmarkStart w:id="26" w:name="_bookmark108"/>
      <w:bookmarkEnd w:id="26"/>
      <w:r>
        <w:rPr>
          <w:rFonts w:hint="eastAsia" w:ascii="宋体" w:hAnsi="宋体" w:eastAsia="宋体" w:cs="宋体"/>
          <w:color w:val="000000"/>
          <w:sz w:val="24"/>
          <w:szCs w:val="24"/>
        </w:rPr>
        <w:t>2.9    办理工程质量监督手续</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发包人应按有关规定及时办理工程质量监督手续。</w:t>
      </w:r>
    </w:p>
    <w:p>
      <w:pPr>
        <w:spacing w:line="360" w:lineRule="auto"/>
        <w:rPr>
          <w:rFonts w:hint="eastAsia" w:ascii="宋体" w:hAnsi="宋体" w:eastAsia="宋体" w:cs="宋体"/>
          <w:color w:val="000000"/>
          <w:sz w:val="24"/>
          <w:szCs w:val="24"/>
        </w:rPr>
      </w:pPr>
      <w:bookmarkStart w:id="27" w:name="_bookmark109"/>
      <w:bookmarkEnd w:id="27"/>
      <w:r>
        <w:rPr>
          <w:rFonts w:hint="eastAsia" w:ascii="宋体" w:hAnsi="宋体" w:eastAsia="宋体" w:cs="宋体"/>
          <w:color w:val="000000"/>
          <w:sz w:val="24"/>
          <w:szCs w:val="24"/>
        </w:rPr>
        <w:t>2.10</w:t>
      </w:r>
      <w:r>
        <w:rPr>
          <w:rFonts w:hint="eastAsia" w:ascii="宋体" w:hAnsi="宋体" w:eastAsia="宋体" w:cs="宋体"/>
          <w:color w:val="000000"/>
          <w:sz w:val="24"/>
          <w:szCs w:val="24"/>
        </w:rPr>
        <w:tab/>
      </w:r>
      <w:r>
        <w:rPr>
          <w:rFonts w:hint="eastAsia" w:ascii="宋体" w:hAnsi="宋体" w:eastAsia="宋体" w:cs="宋体"/>
          <w:color w:val="000000"/>
          <w:sz w:val="24"/>
          <w:szCs w:val="24"/>
        </w:rPr>
        <w:t>环境保护责任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发包人对建筑垃圾处理、施工扬尘治理负总责。</w:t>
      </w:r>
    </w:p>
    <w:p>
      <w:pPr>
        <w:spacing w:line="360" w:lineRule="auto"/>
        <w:rPr>
          <w:rFonts w:hint="eastAsia" w:ascii="宋体" w:hAnsi="宋体" w:eastAsia="宋体" w:cs="宋体"/>
          <w:color w:val="000000"/>
          <w:sz w:val="24"/>
          <w:szCs w:val="24"/>
        </w:rPr>
      </w:pPr>
      <w:bookmarkStart w:id="28" w:name="_bookmark110"/>
      <w:bookmarkEnd w:id="28"/>
      <w:r>
        <w:rPr>
          <w:rFonts w:hint="eastAsia" w:ascii="宋体" w:hAnsi="宋体" w:eastAsia="宋体" w:cs="宋体"/>
          <w:color w:val="000000"/>
          <w:sz w:val="24"/>
          <w:szCs w:val="24"/>
        </w:rPr>
        <w:t>2.11</w:t>
      </w:r>
      <w:r>
        <w:rPr>
          <w:rFonts w:hint="eastAsia" w:ascii="宋体" w:hAnsi="宋体" w:eastAsia="宋体" w:cs="宋体"/>
          <w:color w:val="000000"/>
          <w:sz w:val="24"/>
          <w:szCs w:val="24"/>
        </w:rPr>
        <w:tab/>
      </w:r>
      <w:r>
        <w:rPr>
          <w:rFonts w:hint="eastAsia" w:ascii="宋体" w:hAnsi="宋体" w:eastAsia="宋体" w:cs="宋体"/>
          <w:color w:val="000000"/>
          <w:sz w:val="24"/>
          <w:szCs w:val="24"/>
        </w:rPr>
        <w:t>移交工程档案</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发包人应根据建设行政主管部门和（或）城市建设档案管理机构的规定，收集、整理、立卷、归档工程资料，并按规定时间向建设行政主管部门或者城市建设档案管理机构移交规定的工程档案。</w:t>
      </w:r>
    </w:p>
    <w:p>
      <w:pPr>
        <w:spacing w:line="360" w:lineRule="auto"/>
        <w:rPr>
          <w:rFonts w:hint="eastAsia" w:ascii="宋体" w:hAnsi="宋体" w:eastAsia="宋体" w:cs="宋体"/>
          <w:color w:val="000000"/>
          <w:sz w:val="24"/>
          <w:szCs w:val="24"/>
        </w:rPr>
      </w:pPr>
      <w:bookmarkStart w:id="29" w:name="_bookmark111"/>
      <w:bookmarkEnd w:id="29"/>
      <w:r>
        <w:rPr>
          <w:rFonts w:hint="eastAsia" w:ascii="宋体" w:hAnsi="宋体" w:eastAsia="宋体" w:cs="宋体"/>
          <w:color w:val="000000"/>
          <w:sz w:val="24"/>
          <w:szCs w:val="24"/>
        </w:rPr>
        <w:t>2.12</w:t>
      </w:r>
      <w:r>
        <w:rPr>
          <w:rFonts w:hint="eastAsia" w:ascii="宋体" w:hAnsi="宋体" w:eastAsia="宋体" w:cs="宋体"/>
          <w:color w:val="000000"/>
          <w:sz w:val="24"/>
          <w:szCs w:val="24"/>
        </w:rPr>
        <w:tab/>
      </w:r>
      <w:r>
        <w:rPr>
          <w:rFonts w:hint="eastAsia" w:ascii="宋体" w:hAnsi="宋体" w:eastAsia="宋体" w:cs="宋体"/>
          <w:color w:val="000000"/>
          <w:sz w:val="24"/>
          <w:szCs w:val="24"/>
        </w:rPr>
        <w:t>批准和确认</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rPr>
          <w:rFonts w:hint="eastAsia" w:ascii="宋体" w:hAnsi="宋体" w:eastAsia="宋体" w:cs="宋体"/>
          <w:color w:val="000000"/>
          <w:sz w:val="24"/>
          <w:szCs w:val="24"/>
        </w:rPr>
      </w:pPr>
      <w:bookmarkStart w:id="30" w:name="_bookmark112"/>
      <w:bookmarkEnd w:id="30"/>
      <w:r>
        <w:rPr>
          <w:rFonts w:hint="eastAsia" w:ascii="宋体" w:hAnsi="宋体" w:eastAsia="宋体" w:cs="宋体"/>
          <w:color w:val="000000"/>
          <w:sz w:val="24"/>
          <w:szCs w:val="24"/>
        </w:rPr>
        <w:t>2.13</w:t>
      </w:r>
      <w:r>
        <w:rPr>
          <w:rFonts w:hint="eastAsia" w:ascii="宋体" w:hAnsi="宋体" w:eastAsia="宋体" w:cs="宋体"/>
          <w:color w:val="000000"/>
          <w:sz w:val="24"/>
          <w:szCs w:val="24"/>
        </w:rPr>
        <w:tab/>
      </w:r>
      <w:r>
        <w:rPr>
          <w:rFonts w:hint="eastAsia" w:ascii="宋体" w:hAnsi="宋体" w:eastAsia="宋体" w:cs="宋体"/>
          <w:color w:val="000000"/>
          <w:sz w:val="24"/>
          <w:szCs w:val="24"/>
        </w:rPr>
        <w:t>其他义务</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发包人应履行的其他义务见合同条款专用部分。</w:t>
      </w:r>
    </w:p>
    <w:p>
      <w:pPr>
        <w:spacing w:line="360" w:lineRule="auto"/>
        <w:rPr>
          <w:rFonts w:hint="eastAsia" w:ascii="宋体" w:hAnsi="宋体" w:eastAsia="宋体" w:cs="宋体"/>
          <w:color w:val="000000"/>
          <w:sz w:val="24"/>
          <w:szCs w:val="24"/>
        </w:rPr>
      </w:pPr>
      <w:bookmarkStart w:id="31" w:name="_bookmark113"/>
      <w:bookmarkEnd w:id="31"/>
      <w:r>
        <w:rPr>
          <w:rFonts w:hint="eastAsia" w:ascii="宋体" w:hAnsi="宋体" w:eastAsia="宋体" w:cs="宋体"/>
          <w:color w:val="000000"/>
          <w:sz w:val="24"/>
          <w:szCs w:val="24"/>
        </w:rPr>
        <w:t>3.监理人</w:t>
      </w:r>
    </w:p>
    <w:p>
      <w:pPr>
        <w:spacing w:line="360" w:lineRule="auto"/>
        <w:rPr>
          <w:rFonts w:hint="eastAsia" w:ascii="宋体" w:hAnsi="宋体" w:eastAsia="宋体" w:cs="宋体"/>
          <w:color w:val="000000"/>
          <w:sz w:val="24"/>
          <w:szCs w:val="24"/>
        </w:rPr>
      </w:pPr>
      <w:bookmarkStart w:id="32" w:name="_bookmark114"/>
      <w:bookmarkEnd w:id="32"/>
      <w:r>
        <w:rPr>
          <w:rFonts w:hint="eastAsia" w:ascii="宋体" w:hAnsi="宋体" w:eastAsia="宋体" w:cs="宋体"/>
          <w:color w:val="000000"/>
          <w:sz w:val="24"/>
          <w:szCs w:val="24"/>
        </w:rPr>
        <w:t>3.1</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监理人的职责和权力</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3.1.1 监理人受发包人委托，享有合同约定的权力。监理人在行使某项权力前需要经发包人事先批准，合同条款通用部分没有指明的，应在合同中指明。监理人履行须经发包人批准行使的权力时，应当向承包人出示其行使该权力已经取得发包人批准的文件或者其他合法有效的证明。发包人需批准明确行使的权力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3.1.2 监理人发出的任何指示应视为已得到发包人的批准，但监理人无权免除或变更合同约定的发包人和承包人的权利、义务和责任。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3.1.3 合同约定应由承包人承担的义务和责任，不因监理人对承包人提交文件的审查或批准，对工程、材料和设备的检查和检验，以及为实施监理作出的指示等职务行为而减轻或解除。</w:t>
      </w:r>
    </w:p>
    <w:p>
      <w:pPr>
        <w:spacing w:line="360" w:lineRule="auto"/>
        <w:rPr>
          <w:rFonts w:hint="eastAsia" w:ascii="宋体" w:hAnsi="宋体" w:eastAsia="宋体" w:cs="宋体"/>
          <w:color w:val="000000"/>
          <w:sz w:val="24"/>
          <w:szCs w:val="24"/>
        </w:rPr>
      </w:pPr>
      <w:bookmarkStart w:id="33" w:name="_bookmark115"/>
      <w:bookmarkEnd w:id="33"/>
      <w:r>
        <w:rPr>
          <w:rFonts w:hint="eastAsia" w:ascii="宋体" w:hAnsi="宋体" w:eastAsia="宋体" w:cs="宋体"/>
          <w:color w:val="000000"/>
          <w:sz w:val="24"/>
          <w:szCs w:val="24"/>
        </w:rPr>
        <w:t xml:space="preserve">3.2  </w:t>
      </w:r>
      <w:r>
        <w:rPr>
          <w:rFonts w:hint="eastAsia" w:ascii="宋体" w:hAnsi="宋体" w:eastAsia="宋体" w:cs="宋体"/>
          <w:color w:val="000000"/>
          <w:sz w:val="24"/>
          <w:szCs w:val="24"/>
        </w:rPr>
        <w:tab/>
      </w:r>
      <w:r>
        <w:rPr>
          <w:rFonts w:hint="eastAsia" w:ascii="宋体" w:hAnsi="宋体" w:eastAsia="宋体" w:cs="宋体"/>
          <w:color w:val="000000"/>
          <w:sz w:val="24"/>
          <w:szCs w:val="24"/>
        </w:rPr>
        <w:t>总监理工程师</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发包人应在发出开工通知前将总监理工程师的任命通知承包人。总监理工程师更换时， 应在调离 14 天前通知承包人。总监理工程师短期离开施工场地的，应委派代表代行其职责， 并通知承包人。</w:t>
      </w:r>
    </w:p>
    <w:p>
      <w:pPr>
        <w:spacing w:line="360" w:lineRule="auto"/>
        <w:rPr>
          <w:rFonts w:hint="eastAsia" w:ascii="宋体" w:hAnsi="宋体" w:eastAsia="宋体" w:cs="宋体"/>
          <w:color w:val="000000"/>
          <w:sz w:val="24"/>
          <w:szCs w:val="24"/>
        </w:rPr>
      </w:pPr>
      <w:bookmarkStart w:id="34" w:name="_bookmark116"/>
      <w:bookmarkEnd w:id="34"/>
      <w:r>
        <w:rPr>
          <w:rFonts w:hint="eastAsia" w:ascii="宋体" w:hAnsi="宋体" w:eastAsia="宋体" w:cs="宋体"/>
          <w:color w:val="000000"/>
          <w:sz w:val="24"/>
          <w:szCs w:val="24"/>
        </w:rPr>
        <w:t>3.3</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监理人员</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3.3.1 总监理工程师可以授权其他监理人员负责执行其指派的一项或多项监理工作。 总监理工程师应将被授权监理人员的姓名及其授权范围通知承包人。被授权的监理人员在授 权范围内发出的指示视为已得到总监理工程师的同意，与总监理工程师发出的指示具有同等 效力。总监理工程师撤销某项授权时，应将撤销授权的决定及时通知承包人。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3.3.2</w:t>
      </w:r>
      <w:r>
        <w:rPr>
          <w:rFonts w:hint="eastAsia" w:ascii="宋体" w:hAnsi="宋体" w:eastAsia="宋体" w:cs="宋体"/>
          <w:color w:val="000000"/>
          <w:sz w:val="24"/>
          <w:szCs w:val="24"/>
        </w:rPr>
        <w:tab/>
      </w:r>
      <w:r>
        <w:rPr>
          <w:rFonts w:hint="eastAsia" w:ascii="宋体" w:hAnsi="宋体" w:eastAsia="宋体" w:cs="宋体"/>
          <w:color w:val="000000"/>
          <w:sz w:val="24"/>
          <w:szCs w:val="24"/>
        </w:rPr>
        <w:t>监理人员对承包人的任何工作、工程或其采用的材料和工程设备未在约定的或合理的期限内提出否定意见的，视为已获批准，但不影响监理人在以后拒绝该项工作、工程、 材料或工程设备的权利。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3.3.3</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承包人对总监理工程师授权的监理人员发出的指示有疑问的，可向总监理工程师提出书面异议，总监理工程师应在48小时内对该指示予以确认、更改或撤销。</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3.3.4</w:t>
      </w:r>
      <w:r>
        <w:rPr>
          <w:rFonts w:hint="eastAsia" w:ascii="宋体" w:hAnsi="宋体" w:eastAsia="宋体" w:cs="宋体"/>
          <w:color w:val="000000"/>
          <w:sz w:val="24"/>
          <w:szCs w:val="24"/>
        </w:rPr>
        <w:tab/>
      </w:r>
      <w:r>
        <w:rPr>
          <w:rFonts w:hint="eastAsia" w:ascii="宋体" w:hAnsi="宋体" w:eastAsia="宋体" w:cs="宋体"/>
          <w:color w:val="000000"/>
          <w:sz w:val="24"/>
          <w:szCs w:val="24"/>
        </w:rPr>
        <w:t>总监理工程师不应将合同条款通用部分第3.5款约定应由总监理工程师作出确定的权力授权或者委托给其他监理人员。</w:t>
      </w:r>
    </w:p>
    <w:p>
      <w:pPr>
        <w:spacing w:line="360" w:lineRule="auto"/>
        <w:rPr>
          <w:rFonts w:hint="eastAsia" w:ascii="宋体" w:hAnsi="宋体" w:eastAsia="宋体" w:cs="宋体"/>
          <w:color w:val="000000"/>
          <w:sz w:val="24"/>
          <w:szCs w:val="24"/>
        </w:rPr>
      </w:pPr>
      <w:bookmarkStart w:id="35" w:name="_bookmark117"/>
      <w:bookmarkEnd w:id="35"/>
      <w:r>
        <w:rPr>
          <w:rFonts w:hint="eastAsia" w:ascii="宋体" w:hAnsi="宋体" w:eastAsia="宋体" w:cs="宋体"/>
          <w:color w:val="000000"/>
          <w:sz w:val="24"/>
          <w:szCs w:val="24"/>
        </w:rPr>
        <w:t>3.4</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监理人的指示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3.4.1</w:t>
      </w:r>
      <w:r>
        <w:rPr>
          <w:rFonts w:hint="eastAsia" w:ascii="宋体" w:hAnsi="宋体" w:eastAsia="宋体" w:cs="宋体"/>
          <w:color w:val="000000"/>
          <w:sz w:val="24"/>
          <w:szCs w:val="24"/>
        </w:rPr>
        <w:tab/>
      </w:r>
      <w:r>
        <w:rPr>
          <w:rFonts w:hint="eastAsia" w:ascii="宋体" w:hAnsi="宋体" w:eastAsia="宋体" w:cs="宋体"/>
          <w:color w:val="000000"/>
          <w:sz w:val="24"/>
          <w:szCs w:val="24"/>
        </w:rPr>
        <w:t>监理人应按第3.1款的约定向承包人发出指示，监理人的指示应加盖监理人授权的施工场地机构章，并由总监理工程师或总监理工程师按第3.3.1项约定授权的监理人员 签字。</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承包人收到监理人按第3.4.1项作出的指示后，应遵照执行。指示构成变更的，应按第 15 条处理。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3.4.3</w:t>
      </w:r>
      <w:r>
        <w:rPr>
          <w:rFonts w:hint="eastAsia" w:ascii="宋体" w:hAnsi="宋体" w:eastAsia="宋体" w:cs="宋体"/>
          <w:color w:val="000000"/>
          <w:sz w:val="24"/>
          <w:szCs w:val="24"/>
        </w:rPr>
        <w:tab/>
      </w:r>
      <w:r>
        <w:rPr>
          <w:rFonts w:hint="eastAsia" w:ascii="宋体" w:hAnsi="宋体" w:eastAsia="宋体" w:cs="宋体"/>
          <w:color w:val="000000"/>
          <w:sz w:val="24"/>
          <w:szCs w:val="24"/>
        </w:rPr>
        <w:t>在紧急情况下，总监理工程师或被授权的监理人员可以当场签发临时书面指示，承包人应遵照执行。承包人应在收到上述临时书面指示后24小时内，向监理人发出书面确认函。监理人在收到书面确认函后 24 小时内未予答复的，该书面确认函应被视为监理人的 正式指示。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3.4.4</w:t>
      </w:r>
      <w:r>
        <w:rPr>
          <w:rFonts w:hint="eastAsia" w:ascii="宋体" w:hAnsi="宋体" w:eastAsia="宋体" w:cs="宋体"/>
          <w:color w:val="000000"/>
          <w:sz w:val="24"/>
          <w:szCs w:val="24"/>
        </w:rPr>
        <w:tab/>
      </w:r>
      <w:r>
        <w:rPr>
          <w:rFonts w:hint="eastAsia" w:ascii="宋体" w:hAnsi="宋体" w:eastAsia="宋体" w:cs="宋体"/>
          <w:color w:val="000000"/>
          <w:sz w:val="24"/>
          <w:szCs w:val="24"/>
        </w:rPr>
        <w:t>除合同另有约定外，承包人只从总监理工程师或按第3.3.1项被授权的监理人员处取得指示。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3.4.5 由于监理人未能按合同约定发出指示、指示延误或指示错误而导致承包人费用增加和（或）工期延误的，由发包人承担相应责任。</w:t>
      </w:r>
    </w:p>
    <w:p>
      <w:pPr>
        <w:spacing w:line="360" w:lineRule="auto"/>
        <w:rPr>
          <w:rFonts w:hint="eastAsia" w:ascii="宋体" w:hAnsi="宋体" w:eastAsia="宋体" w:cs="宋体"/>
          <w:color w:val="000000"/>
          <w:sz w:val="24"/>
          <w:szCs w:val="24"/>
        </w:rPr>
      </w:pPr>
      <w:bookmarkStart w:id="36" w:name="_bookmark118"/>
      <w:bookmarkEnd w:id="36"/>
      <w:r>
        <w:rPr>
          <w:rFonts w:hint="eastAsia" w:ascii="宋体" w:hAnsi="宋体" w:eastAsia="宋体" w:cs="宋体"/>
          <w:color w:val="000000"/>
          <w:sz w:val="24"/>
          <w:szCs w:val="24"/>
        </w:rPr>
        <w:t>3.5</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商定或确定</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3.5.1 总监理工程师应按照本款对任何事项进行商定或确定时，总监理工程师应与合同当事人协商，尽量达成一致。不能达成一致的，总监理工程师应认真研究后审慎确定。</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w:t>
      </w:r>
      <w:r>
        <w:rPr>
          <w:rFonts w:hint="eastAsia" w:ascii="宋体" w:hAnsi="宋体" w:eastAsia="宋体" w:cs="宋体"/>
          <w:color w:val="000000"/>
          <w:sz w:val="24"/>
          <w:szCs w:val="24"/>
        </w:rPr>
        <w:tab/>
      </w:r>
      <w:r>
        <w:rPr>
          <w:rFonts w:hint="eastAsia" w:ascii="宋体" w:hAnsi="宋体" w:eastAsia="宋体" w:cs="宋体"/>
          <w:color w:val="000000"/>
          <w:sz w:val="24"/>
          <w:szCs w:val="24"/>
        </w:rPr>
        <w:t>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需要作出修改的，按修改后的结果执行。</w:t>
      </w:r>
    </w:p>
    <w:p>
      <w:pPr>
        <w:spacing w:line="360" w:lineRule="auto"/>
        <w:rPr>
          <w:rFonts w:hint="eastAsia" w:ascii="宋体" w:hAnsi="宋体" w:eastAsia="宋体" w:cs="宋体"/>
          <w:color w:val="000000"/>
          <w:sz w:val="24"/>
          <w:szCs w:val="24"/>
        </w:rPr>
      </w:pPr>
      <w:bookmarkStart w:id="37" w:name="_bookmark119"/>
      <w:bookmarkEnd w:id="37"/>
      <w:r>
        <w:rPr>
          <w:rFonts w:hint="eastAsia" w:ascii="宋体" w:hAnsi="宋体" w:eastAsia="宋体" w:cs="宋体"/>
          <w:color w:val="000000"/>
          <w:sz w:val="24"/>
          <w:szCs w:val="24"/>
        </w:rPr>
        <w:t>3.6</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监理人的宽恕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spacing w:line="360" w:lineRule="auto"/>
        <w:rPr>
          <w:rFonts w:hint="eastAsia" w:ascii="宋体" w:hAnsi="宋体" w:eastAsia="宋体" w:cs="宋体"/>
          <w:color w:val="000000"/>
          <w:sz w:val="24"/>
          <w:szCs w:val="24"/>
        </w:rPr>
      </w:pPr>
      <w:bookmarkStart w:id="38" w:name="_bookmark120"/>
      <w:bookmarkEnd w:id="38"/>
      <w:r>
        <w:rPr>
          <w:rFonts w:hint="eastAsia" w:ascii="宋体" w:hAnsi="宋体" w:eastAsia="宋体" w:cs="宋体"/>
          <w:color w:val="000000"/>
          <w:sz w:val="24"/>
          <w:szCs w:val="24"/>
        </w:rPr>
        <w:t>4.承包人</w:t>
      </w:r>
    </w:p>
    <w:p>
      <w:pPr>
        <w:spacing w:line="360" w:lineRule="auto"/>
        <w:rPr>
          <w:rFonts w:hint="eastAsia" w:ascii="宋体" w:hAnsi="宋体" w:eastAsia="宋体" w:cs="宋体"/>
          <w:color w:val="000000"/>
          <w:sz w:val="24"/>
          <w:szCs w:val="24"/>
        </w:rPr>
      </w:pPr>
      <w:bookmarkStart w:id="39" w:name="_bookmark121"/>
      <w:bookmarkEnd w:id="39"/>
      <w:r>
        <w:rPr>
          <w:rFonts w:hint="eastAsia" w:ascii="宋体" w:hAnsi="宋体" w:eastAsia="宋体" w:cs="宋体"/>
          <w:color w:val="000000"/>
          <w:sz w:val="24"/>
          <w:szCs w:val="24"/>
        </w:rPr>
        <w:t>4.1</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承包人的一般义务</w:t>
      </w:r>
    </w:p>
    <w:p>
      <w:pPr>
        <w:numPr>
          <w:ilvl w:val="2"/>
          <w:numId w:val="4"/>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遵守法律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承包人在履行合同过程中应遵守法律，并保证发包人免于承担因承包人违反法律而引起的任何责任。</w:t>
      </w:r>
    </w:p>
    <w:p>
      <w:pPr>
        <w:numPr>
          <w:ilvl w:val="2"/>
          <w:numId w:val="4"/>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依法纳税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承包人应按有关法律规定纳税，应缴纳的税金包括在合同价格内。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4.1.3</w:t>
      </w:r>
      <w:r>
        <w:rPr>
          <w:rFonts w:hint="eastAsia" w:ascii="宋体" w:hAnsi="宋体" w:eastAsia="宋体" w:cs="宋体"/>
          <w:color w:val="000000"/>
          <w:sz w:val="24"/>
          <w:szCs w:val="24"/>
        </w:rPr>
        <w:tab/>
      </w:r>
      <w:r>
        <w:rPr>
          <w:rFonts w:hint="eastAsia" w:ascii="宋体" w:hAnsi="宋体" w:eastAsia="宋体" w:cs="宋体"/>
          <w:color w:val="000000"/>
          <w:sz w:val="24"/>
          <w:szCs w:val="24"/>
        </w:rPr>
        <w:t>完成各项承包工作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承包人应按合同约定以及监理人根据第3.4款作出的指示，实施、完成全部工程，并修补工程中的任何缺陷。除第5.2款约定由发包人提供的材料和工程设备和第6.2款约定由发包人提供的施工设备和临时设施外，承包人应负责提供为完成合同工作所需的劳务、材料、施工设备、工程设备和其他物品，并按照合同约定负责临时设施的设计、建造、运行、维护、管理和拆除工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包人还应当依法合规建立施工扬尘综合治理、建筑垃圾、土方和砂石清运与消纳、严禁使用高排放非道路移动机械和行业挥发性有机物治理（如建筑外墙涂装、钢结构等鼓励使用水性漆替代油性漆）等责任制，制定具体的管控机制和实施方案，严格落实。</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4.1.4</w:t>
      </w:r>
      <w:r>
        <w:rPr>
          <w:rFonts w:hint="eastAsia" w:ascii="宋体" w:hAnsi="宋体" w:eastAsia="宋体" w:cs="宋体"/>
          <w:color w:val="000000"/>
          <w:sz w:val="24"/>
          <w:szCs w:val="24"/>
        </w:rPr>
        <w:tab/>
      </w:r>
      <w:r>
        <w:rPr>
          <w:rFonts w:hint="eastAsia" w:ascii="宋体" w:hAnsi="宋体" w:eastAsia="宋体" w:cs="宋体"/>
          <w:color w:val="000000"/>
          <w:sz w:val="24"/>
          <w:szCs w:val="24"/>
        </w:rPr>
        <w:t>对施工作业和施工方法的完备性负责</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承包人应按合同约定的工作内容和施工进度要求，编制施工组织设计和施工措施计划，并对所有施工作业和施工方法的完备性和安全可靠性负责。</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4.1.5</w:t>
      </w:r>
      <w:r>
        <w:rPr>
          <w:rFonts w:hint="eastAsia" w:ascii="宋体" w:hAnsi="宋体" w:eastAsia="宋体" w:cs="宋体"/>
          <w:color w:val="000000"/>
          <w:sz w:val="24"/>
          <w:szCs w:val="24"/>
        </w:rPr>
        <w:tab/>
      </w:r>
      <w:r>
        <w:rPr>
          <w:rFonts w:hint="eastAsia" w:ascii="宋体" w:hAnsi="宋体" w:eastAsia="宋体" w:cs="宋体"/>
          <w:color w:val="000000"/>
          <w:sz w:val="24"/>
          <w:szCs w:val="24"/>
        </w:rPr>
        <w:t>保证工程施工和人员的安全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承包人应按照第9.2款约定采取施工安全措施，确保工程及其人员、材料、设备和设施的安全，防止因工程施工造成的人身伤害和财产损失。</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4.1.6</w:t>
      </w:r>
      <w:r>
        <w:rPr>
          <w:rFonts w:hint="eastAsia" w:ascii="宋体" w:hAnsi="宋体" w:eastAsia="宋体" w:cs="宋体"/>
          <w:color w:val="000000"/>
          <w:sz w:val="24"/>
          <w:szCs w:val="24"/>
        </w:rPr>
        <w:tab/>
      </w:r>
      <w:r>
        <w:rPr>
          <w:rFonts w:hint="eastAsia" w:ascii="宋体" w:hAnsi="宋体" w:eastAsia="宋体" w:cs="宋体"/>
          <w:color w:val="000000"/>
          <w:sz w:val="24"/>
          <w:szCs w:val="24"/>
        </w:rPr>
        <w:t>负责施工场地及其周边环境与生态的保护工作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承包人应按照第9.4款约定负责施工场地及其周边环境与生态的保护工作。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4.1.7</w:t>
      </w:r>
      <w:r>
        <w:rPr>
          <w:rFonts w:hint="eastAsia" w:ascii="宋体" w:hAnsi="宋体" w:eastAsia="宋体" w:cs="宋体"/>
          <w:color w:val="000000"/>
          <w:sz w:val="24"/>
          <w:szCs w:val="24"/>
        </w:rPr>
        <w:tab/>
      </w:r>
      <w:r>
        <w:rPr>
          <w:rFonts w:hint="eastAsia" w:ascii="宋体" w:hAnsi="宋体" w:eastAsia="宋体" w:cs="宋体"/>
          <w:color w:val="000000"/>
          <w:sz w:val="24"/>
          <w:szCs w:val="24"/>
        </w:rPr>
        <w:t>避免施工对公众与他人的利益造成损害</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4.1.8</w:t>
      </w:r>
      <w:r>
        <w:rPr>
          <w:rFonts w:hint="eastAsia" w:ascii="宋体" w:hAnsi="宋体" w:eastAsia="宋体" w:cs="宋体"/>
          <w:color w:val="000000"/>
          <w:sz w:val="24"/>
          <w:szCs w:val="24"/>
        </w:rPr>
        <w:tab/>
      </w:r>
      <w:r>
        <w:rPr>
          <w:rFonts w:hint="eastAsia" w:ascii="宋体" w:hAnsi="宋体" w:eastAsia="宋体" w:cs="宋体"/>
          <w:color w:val="000000"/>
          <w:sz w:val="24"/>
          <w:szCs w:val="24"/>
        </w:rPr>
        <w:t>为他人提供方便</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（2）承包人还应按照监理人指示为独立承包人以外的他人在施工场地或者附近实施与合同工程有关的其他工作提供可能的条件，可能发生费用由监理人按合同条款通用部分第3.5款商定或者确定。</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4.1.9</w:t>
      </w:r>
      <w:r>
        <w:rPr>
          <w:rFonts w:hint="eastAsia" w:ascii="宋体" w:hAnsi="宋体" w:eastAsia="宋体" w:cs="宋体"/>
          <w:color w:val="000000"/>
          <w:sz w:val="24"/>
          <w:szCs w:val="24"/>
        </w:rPr>
        <w:tab/>
      </w:r>
      <w:r>
        <w:rPr>
          <w:rFonts w:hint="eastAsia" w:ascii="宋体" w:hAnsi="宋体" w:eastAsia="宋体" w:cs="宋体"/>
          <w:color w:val="000000"/>
          <w:sz w:val="24"/>
          <w:szCs w:val="24"/>
        </w:rPr>
        <w:t>工程的维护和照管</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工程接收证书颁发前，承包人应负责照管和维护工程。工程接收证书颁发时尚有部分未竣工工程的，承包人还应负责该未竣工工程的照管和维护工作，直至竣工后移交给发包人为止。</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4.1.10</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承包人的设计工作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发包人委托，在其设计资质等级和业务允许的范围内，完成约定的施工图设计或与工程配套的设计工作，经监理人确认后使用，发包人承担由此发生的费用和合理。由承包人负责完成的设计文件属于合同条款第1.6.2项约定的承包人提供的文件，承包人应按照合同条款专用部分第1.6.2项约定的期限和数量提交，由此发生的费用被认为已经包括在承包人的签约合同价（投标总报价）中。承包人承担的施工图设计或与工程配套的设计工作内 容见合同条款专用部分。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4.1.11</w:t>
      </w:r>
      <w:r>
        <w:rPr>
          <w:rFonts w:hint="eastAsia" w:ascii="宋体" w:hAnsi="宋体" w:eastAsia="宋体" w:cs="宋体"/>
          <w:color w:val="000000"/>
          <w:sz w:val="24"/>
          <w:szCs w:val="24"/>
        </w:rPr>
        <w:tab/>
      </w:r>
      <w:r>
        <w:rPr>
          <w:rFonts w:hint="eastAsia" w:ascii="宋体" w:hAnsi="宋体" w:eastAsia="宋体" w:cs="宋体"/>
          <w:color w:val="000000"/>
          <w:sz w:val="24"/>
          <w:szCs w:val="24"/>
        </w:rPr>
        <w:t>农民工工资保证金</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承包人应在银行设立工资保证金专用账户，专项用于发生欠薪时支付农民工工资的应急保障。账户内资金启用应当经建设主管部门和劳动保障行政部门批准。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4.1.12</w:t>
      </w:r>
      <w:r>
        <w:rPr>
          <w:rFonts w:hint="eastAsia" w:ascii="宋体" w:hAnsi="宋体" w:eastAsia="宋体" w:cs="宋体"/>
          <w:color w:val="000000"/>
          <w:sz w:val="24"/>
          <w:szCs w:val="24"/>
        </w:rPr>
        <w:tab/>
      </w:r>
      <w:r>
        <w:rPr>
          <w:rFonts w:hint="eastAsia" w:ascii="宋体" w:hAnsi="宋体" w:eastAsia="宋体" w:cs="宋体"/>
          <w:color w:val="000000"/>
          <w:sz w:val="24"/>
          <w:szCs w:val="24"/>
        </w:rPr>
        <w:t>其他义务</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承包人应履行的其他义务见合同条款专用部分。</w:t>
      </w:r>
    </w:p>
    <w:p>
      <w:pPr>
        <w:spacing w:line="360" w:lineRule="auto"/>
        <w:rPr>
          <w:rFonts w:hint="eastAsia" w:ascii="宋体" w:hAnsi="宋体" w:eastAsia="宋体" w:cs="宋体"/>
          <w:color w:val="000000"/>
          <w:sz w:val="24"/>
          <w:szCs w:val="24"/>
        </w:rPr>
      </w:pPr>
      <w:bookmarkStart w:id="40" w:name="_bookmark122"/>
      <w:bookmarkEnd w:id="40"/>
      <w:r>
        <w:rPr>
          <w:rFonts w:hint="eastAsia" w:ascii="宋体" w:hAnsi="宋体" w:eastAsia="宋体" w:cs="宋体"/>
          <w:color w:val="000000"/>
          <w:sz w:val="24"/>
          <w:szCs w:val="24"/>
        </w:rPr>
        <w:t>4.2 履约担保</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4.2.1</w:t>
      </w:r>
      <w:r>
        <w:rPr>
          <w:rFonts w:hint="eastAsia" w:ascii="宋体" w:hAnsi="宋体" w:eastAsia="宋体" w:cs="宋体"/>
          <w:color w:val="000000"/>
          <w:sz w:val="24"/>
          <w:szCs w:val="24"/>
        </w:rPr>
        <w:tab/>
      </w:r>
      <w:r>
        <w:rPr>
          <w:rFonts w:hint="eastAsia" w:ascii="宋体" w:hAnsi="宋体" w:eastAsia="宋体" w:cs="宋体"/>
          <w:color w:val="000000"/>
          <w:sz w:val="24"/>
          <w:szCs w:val="24"/>
        </w:rPr>
        <w:t>履约担保的格式和金额</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见合同条款专用部分。承包人履约担保格式见合同条款专用部分附件五。</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4.2.2</w:t>
      </w:r>
      <w:r>
        <w:rPr>
          <w:rFonts w:hint="eastAsia" w:ascii="宋体" w:hAnsi="宋体" w:eastAsia="宋体" w:cs="宋体"/>
          <w:color w:val="000000"/>
          <w:sz w:val="24"/>
          <w:szCs w:val="24"/>
        </w:rPr>
        <w:tab/>
      </w:r>
      <w:r>
        <w:rPr>
          <w:rFonts w:hint="eastAsia" w:ascii="宋体" w:hAnsi="宋体" w:eastAsia="宋体" w:cs="宋体"/>
          <w:color w:val="000000"/>
          <w:sz w:val="24"/>
          <w:szCs w:val="24"/>
        </w:rPr>
        <w:t>履约担保的有效期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履约担保的有效期应当自本合同生效之日起至发包人签认并由监理人向承包人出具工程接收证书之日止。如果承包人无法获得一份不带具体截止日期的担保，履约担保中就应当约定有“变更工程竣工日期的，保证期间按照变更后的竣工日期做相应调整”或类似约定的条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4.2.3</w:t>
      </w:r>
      <w:r>
        <w:rPr>
          <w:rFonts w:hint="eastAsia" w:ascii="宋体" w:hAnsi="宋体" w:eastAsia="宋体" w:cs="宋体"/>
          <w:color w:val="000000"/>
          <w:sz w:val="24"/>
          <w:szCs w:val="24"/>
        </w:rPr>
        <w:tab/>
      </w:r>
      <w:r>
        <w:rPr>
          <w:rFonts w:hint="eastAsia" w:ascii="宋体" w:hAnsi="宋体" w:eastAsia="宋体" w:cs="宋体"/>
          <w:color w:val="000000"/>
          <w:sz w:val="24"/>
          <w:szCs w:val="24"/>
        </w:rPr>
        <w:t>履约担保的退还</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履约担保应在监理人向承包人颁发（出具）工程接收证书之日后 28 天内退还给承包人。发包人不承担承包人与履约担保有关的任何利息或其它类似的费用或者收益。</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4.2.4</w:t>
      </w:r>
      <w:r>
        <w:rPr>
          <w:rFonts w:hint="eastAsia" w:ascii="宋体" w:hAnsi="宋体" w:eastAsia="宋体" w:cs="宋体"/>
          <w:color w:val="000000"/>
          <w:sz w:val="24"/>
          <w:szCs w:val="24"/>
        </w:rPr>
        <w:tab/>
      </w:r>
      <w:r>
        <w:rPr>
          <w:rFonts w:hint="eastAsia" w:ascii="宋体" w:hAnsi="宋体" w:eastAsia="宋体" w:cs="宋体"/>
          <w:color w:val="000000"/>
          <w:sz w:val="24"/>
          <w:szCs w:val="24"/>
        </w:rPr>
        <w:t>通知义务</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不管履约担保条款中如何约定，发包人根据担保条款提出索赔或兑现要求28天前，应通知承包人并说明导致此类索赔或兑现的违约性质或原因。相应地，不管第2.8款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pPr>
        <w:spacing w:line="360" w:lineRule="auto"/>
        <w:rPr>
          <w:rFonts w:hint="eastAsia" w:ascii="宋体" w:hAnsi="宋体" w:eastAsia="宋体" w:cs="宋体"/>
          <w:color w:val="000000"/>
          <w:sz w:val="24"/>
          <w:szCs w:val="24"/>
        </w:rPr>
      </w:pPr>
      <w:bookmarkStart w:id="41" w:name="_bookmark123"/>
      <w:bookmarkEnd w:id="41"/>
      <w:r>
        <w:rPr>
          <w:rFonts w:hint="eastAsia" w:ascii="宋体" w:hAnsi="宋体" w:eastAsia="宋体" w:cs="宋体"/>
          <w:color w:val="000000"/>
          <w:sz w:val="24"/>
          <w:szCs w:val="24"/>
        </w:rPr>
        <w:t>4.3   分包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4.3.1</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承包人不得将其承包的全部工程转包给第三人，或将其承包的全部工程肢解后以分包的名义转包给第三人。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承包人不得将工程主体、关键性工作分包给第三人。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4.3.3</w:t>
      </w:r>
      <w:r>
        <w:rPr>
          <w:rFonts w:hint="eastAsia" w:ascii="宋体" w:hAnsi="宋体" w:eastAsia="宋体" w:cs="宋体"/>
          <w:color w:val="000000"/>
          <w:sz w:val="24"/>
          <w:szCs w:val="24"/>
        </w:rPr>
        <w:tab/>
      </w:r>
      <w:r>
        <w:rPr>
          <w:rFonts w:hint="eastAsia" w:ascii="宋体" w:hAnsi="宋体" w:eastAsia="宋体" w:cs="宋体"/>
          <w:color w:val="000000"/>
          <w:sz w:val="24"/>
          <w:szCs w:val="24"/>
        </w:rPr>
        <w:t>未经发包人同意，承包人不得将其自行施工范围工程的其他部分或工作分包给第三人。发包人同意承包人分包的非主体、非关键性工作包括：</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（1）投标函附录约定的分包工程；</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（2）除投标函附录中约定的分包内容外，经过发包人和监理人同意的其他非主体、非关键性工作，但分包人应当经过发包人和监理人审批。发包人和监理人有权拒绝承包人的分包请求和承包人选择的分包人。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4.3.4 发包人在工程量清单中给定暂估价的专业工程，包括从暂列金额开支的专业工程，达到依法应当招标的规模标准的，以及虽未达到规定的规模标准但合同中约定采用招标方式实施的，应当按第15.8.1项的约定，由发包人和承包人以招标方式确定专业分包人。除项目审批部门有特别核准外，暂估价的专业工程的招标应当采用与施工总承包同样的招标方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4.3.5</w:t>
      </w:r>
      <w:r>
        <w:rPr>
          <w:rFonts w:hint="eastAsia" w:ascii="宋体" w:hAnsi="宋体" w:eastAsia="宋体" w:cs="宋体"/>
          <w:color w:val="000000"/>
          <w:sz w:val="24"/>
          <w:szCs w:val="24"/>
        </w:rPr>
        <w:tab/>
      </w:r>
      <w:r>
        <w:rPr>
          <w:rFonts w:hint="eastAsia" w:ascii="宋体" w:hAnsi="宋体" w:eastAsia="宋体" w:cs="宋体"/>
          <w:color w:val="000000"/>
          <w:sz w:val="24"/>
          <w:szCs w:val="24"/>
        </w:rPr>
        <w:t>在相关分包合同签订并报送有关建设行政主管部门备案后7天内，承包人应当将一份副本提交给监理人，承包人应保障分包工作不得再次分包。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4.3.6</w:t>
      </w:r>
      <w:r>
        <w:rPr>
          <w:rFonts w:hint="eastAsia" w:ascii="宋体" w:hAnsi="宋体" w:eastAsia="宋体" w:cs="宋体"/>
          <w:color w:val="000000"/>
          <w:sz w:val="24"/>
          <w:szCs w:val="24"/>
        </w:rPr>
        <w:tab/>
      </w:r>
      <w:r>
        <w:rPr>
          <w:rFonts w:hint="eastAsia" w:ascii="宋体" w:hAnsi="宋体" w:eastAsia="宋体" w:cs="宋体"/>
          <w:color w:val="000000"/>
          <w:sz w:val="24"/>
          <w:szCs w:val="24"/>
        </w:rPr>
        <w:t>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4.3.7</w:t>
      </w:r>
      <w:r>
        <w:rPr>
          <w:rFonts w:hint="eastAsia" w:ascii="宋体" w:hAnsi="宋体" w:eastAsia="宋体" w:cs="宋体"/>
          <w:color w:val="000000"/>
          <w:sz w:val="24"/>
          <w:szCs w:val="24"/>
        </w:rPr>
        <w:tab/>
      </w:r>
      <w:r>
        <w:rPr>
          <w:rFonts w:hint="eastAsia" w:ascii="宋体" w:hAnsi="宋体" w:eastAsia="宋体" w:cs="宋体"/>
          <w:color w:val="000000"/>
          <w:sz w:val="24"/>
          <w:szCs w:val="24"/>
        </w:rPr>
        <w:t>未经发包人和监理人审批同意的分包工程和分包人，发包人有权拒绝验收分包工程和支付相应款项，由此引起的承包人费用增加和（或）延误的工期由承包人承担。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4.3.8</w:t>
      </w:r>
      <w:r>
        <w:rPr>
          <w:rFonts w:hint="eastAsia" w:ascii="宋体" w:hAnsi="宋体" w:eastAsia="宋体" w:cs="宋体"/>
          <w:color w:val="000000"/>
          <w:sz w:val="24"/>
          <w:szCs w:val="24"/>
        </w:rPr>
        <w:tab/>
      </w:r>
      <w:r>
        <w:rPr>
          <w:rFonts w:hint="eastAsia" w:ascii="宋体" w:hAnsi="宋体" w:eastAsia="宋体" w:cs="宋体"/>
          <w:color w:val="000000"/>
          <w:sz w:val="24"/>
          <w:szCs w:val="24"/>
        </w:rPr>
        <w:t>分包人的资格能力应与其分包工程的标准和规模相适应。</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4.3.9</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发包人同意的分包工程，承包人应向发包人和监理人提供合同副本。</w:t>
      </w:r>
    </w:p>
    <w:p>
      <w:pPr>
        <w:numPr>
          <w:ilvl w:val="2"/>
          <w:numId w:val="5"/>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承包人应与分包人就分包工程向发包人承担连带责任。</w:t>
      </w:r>
    </w:p>
    <w:p>
      <w:pPr>
        <w:spacing w:line="360" w:lineRule="auto"/>
        <w:rPr>
          <w:rFonts w:hint="eastAsia" w:ascii="宋体" w:hAnsi="宋体" w:eastAsia="宋体" w:cs="宋体"/>
          <w:color w:val="000000"/>
          <w:sz w:val="24"/>
          <w:szCs w:val="24"/>
        </w:rPr>
      </w:pPr>
      <w:bookmarkStart w:id="42" w:name="_bookmark124"/>
      <w:bookmarkEnd w:id="42"/>
      <w:r>
        <w:rPr>
          <w:rFonts w:hint="eastAsia" w:ascii="宋体" w:hAnsi="宋体" w:eastAsia="宋体" w:cs="宋体"/>
          <w:color w:val="000000"/>
          <w:sz w:val="24"/>
          <w:szCs w:val="24"/>
        </w:rPr>
        <w:t>4.4  联合体</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4.4.1</w:t>
      </w:r>
      <w:r>
        <w:rPr>
          <w:rFonts w:hint="eastAsia" w:ascii="宋体" w:hAnsi="宋体" w:eastAsia="宋体" w:cs="宋体"/>
          <w:color w:val="000000"/>
          <w:sz w:val="24"/>
          <w:szCs w:val="24"/>
        </w:rPr>
        <w:tab/>
      </w:r>
      <w:r>
        <w:rPr>
          <w:rFonts w:hint="eastAsia" w:ascii="宋体" w:hAnsi="宋体" w:eastAsia="宋体" w:cs="宋体"/>
          <w:color w:val="000000"/>
          <w:sz w:val="24"/>
          <w:szCs w:val="24"/>
        </w:rPr>
        <w:t>联合体各方应共同与发包人签订合同协议书。联合体各方应为履行合同承担连带责任。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4.4.2 联合体协议经发包人确认后作为合同附件。在履行合同过程中，未经发包人同意，不得修改联合体协议。</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4.4.3 联合体牵头人负责与发包人和监理人联系，并接受指示，负责组织联合体各成员全面履行合同。</w:t>
      </w:r>
    </w:p>
    <w:p>
      <w:pPr>
        <w:spacing w:line="360" w:lineRule="auto"/>
        <w:rPr>
          <w:rFonts w:hint="eastAsia" w:ascii="宋体" w:hAnsi="宋体" w:eastAsia="宋体" w:cs="宋体"/>
          <w:color w:val="000000"/>
          <w:sz w:val="24"/>
          <w:szCs w:val="24"/>
        </w:rPr>
      </w:pPr>
      <w:bookmarkStart w:id="43" w:name="_bookmark125"/>
      <w:bookmarkEnd w:id="43"/>
      <w:r>
        <w:rPr>
          <w:rFonts w:hint="eastAsia" w:ascii="宋体" w:hAnsi="宋体" w:eastAsia="宋体" w:cs="宋体"/>
          <w:color w:val="000000"/>
          <w:sz w:val="24"/>
          <w:szCs w:val="24"/>
        </w:rPr>
        <w:t>4.5</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承包人项目经理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4.5.1 承包人项目经理必须与承包人投标时所承诺的人员一致，并在根据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14天前通知发包人和监理人。承包人项目经理短期离开施工场地，应事先征得监理人同意，并委派代表代行其职责。</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4.5.2 承包人项目经理应按合同约定以及监理人按第 3.4 款作出的指示，负责组织合同工程的实施。在情况紧急且无法与监理人取得联系时，可采取保证工程和人员生命财产安全的紧急措施，并在采取措施后24小时内向监理人提交书面报告。</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4.5.3 承包人为履行合同发出的一切函件均应盖有承包人授权的施工场地管理机构章，并由承包人项目经理或其授权代表签字。</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4.5.4 承包人项目经理可以授权其下属人员履行其某项职责，但事先应将这些人员的姓名和授权范围通知监理人。</w:t>
      </w:r>
    </w:p>
    <w:p>
      <w:pPr>
        <w:spacing w:line="360" w:lineRule="auto"/>
        <w:rPr>
          <w:rFonts w:hint="eastAsia" w:ascii="宋体" w:hAnsi="宋体" w:eastAsia="宋体" w:cs="宋体"/>
          <w:color w:val="000000"/>
          <w:sz w:val="24"/>
          <w:szCs w:val="24"/>
        </w:rPr>
      </w:pPr>
      <w:bookmarkStart w:id="44" w:name="_bookmark126"/>
      <w:bookmarkEnd w:id="44"/>
      <w:r>
        <w:rPr>
          <w:rFonts w:hint="eastAsia" w:ascii="宋体" w:hAnsi="宋体" w:eastAsia="宋体" w:cs="宋体"/>
          <w:color w:val="000000"/>
          <w:sz w:val="24"/>
          <w:szCs w:val="24"/>
        </w:rPr>
        <w:t>4.6</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承包人人员的管理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4.6.1 承包人应在接到开工通知后 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4.6.2 为完成合同约定的各项工作，承包人应向施工场地派遣或雇佣足够数量的下列人员：</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（1）具有相应资格的专业技工和合格的普工；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（2）具有相应施工经验的技术人员；</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（3）具有相应岗位资格的各级管理人员。</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4.6.3</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承包人安排在施工场地的主要管理人员和技术骨干应相对稳定。承包人更换主要管理人员和技术骨干时，应取得监理人的同意。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4.6.4</w:t>
      </w:r>
      <w:r>
        <w:rPr>
          <w:rFonts w:hint="eastAsia" w:ascii="宋体" w:hAnsi="宋体" w:eastAsia="宋体" w:cs="宋体"/>
          <w:color w:val="000000"/>
          <w:sz w:val="24"/>
          <w:szCs w:val="24"/>
        </w:rPr>
        <w:tab/>
      </w:r>
      <w:r>
        <w:rPr>
          <w:rFonts w:hint="eastAsia" w:ascii="宋体" w:hAnsi="宋体" w:eastAsia="宋体" w:cs="宋体"/>
          <w:color w:val="000000"/>
          <w:sz w:val="24"/>
          <w:szCs w:val="24"/>
        </w:rPr>
        <w:t>特殊岗位的工作人员均应持有相应的资格证明，监理人有权随时检查。监理人认为有必要时，可进行现场考核。</w:t>
      </w:r>
    </w:p>
    <w:p>
      <w:pPr>
        <w:spacing w:line="360" w:lineRule="auto"/>
        <w:rPr>
          <w:rFonts w:hint="eastAsia" w:ascii="宋体" w:hAnsi="宋体" w:eastAsia="宋体" w:cs="宋体"/>
          <w:color w:val="000000"/>
          <w:sz w:val="24"/>
          <w:szCs w:val="24"/>
        </w:rPr>
      </w:pPr>
      <w:bookmarkStart w:id="45" w:name="_bookmark127"/>
      <w:bookmarkEnd w:id="45"/>
      <w:r>
        <w:rPr>
          <w:rFonts w:hint="eastAsia" w:ascii="宋体" w:hAnsi="宋体" w:eastAsia="宋体" w:cs="宋体"/>
          <w:color w:val="000000"/>
          <w:sz w:val="24"/>
          <w:szCs w:val="24"/>
        </w:rPr>
        <w:t>4.7</w:t>
      </w:r>
      <w:r>
        <w:rPr>
          <w:rFonts w:hint="eastAsia" w:ascii="宋体" w:hAnsi="宋体" w:eastAsia="宋体" w:cs="宋体"/>
          <w:color w:val="000000"/>
          <w:sz w:val="24"/>
          <w:szCs w:val="24"/>
        </w:rPr>
        <w:tab/>
      </w:r>
      <w:r>
        <w:rPr>
          <w:rFonts w:hint="eastAsia" w:ascii="宋体" w:hAnsi="宋体" w:eastAsia="宋体" w:cs="宋体"/>
          <w:color w:val="000000"/>
          <w:sz w:val="24"/>
          <w:szCs w:val="24"/>
        </w:rPr>
        <w:t>撤换承包人项目经理和其他人员</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承包人应对其项目经理和其他人员进行有效管理。监理人要求撤换不能胜任本职工作、行为不端或玩忽职守的承包人项目经理和其他人员的，承包人应予以撤换。</w:t>
      </w:r>
    </w:p>
    <w:p>
      <w:pPr>
        <w:spacing w:line="360" w:lineRule="auto"/>
        <w:rPr>
          <w:rFonts w:hint="eastAsia" w:ascii="宋体" w:hAnsi="宋体" w:eastAsia="宋体" w:cs="宋体"/>
          <w:color w:val="000000"/>
          <w:sz w:val="24"/>
          <w:szCs w:val="24"/>
        </w:rPr>
      </w:pPr>
      <w:bookmarkStart w:id="46" w:name="_bookmark128"/>
      <w:bookmarkEnd w:id="46"/>
      <w:r>
        <w:rPr>
          <w:rFonts w:hint="eastAsia" w:ascii="宋体" w:hAnsi="宋体" w:eastAsia="宋体" w:cs="宋体"/>
          <w:color w:val="000000"/>
          <w:sz w:val="24"/>
          <w:szCs w:val="24"/>
        </w:rPr>
        <w:t>4.8</w:t>
      </w:r>
      <w:r>
        <w:rPr>
          <w:rFonts w:hint="eastAsia" w:ascii="宋体" w:hAnsi="宋体" w:eastAsia="宋体" w:cs="宋体"/>
          <w:color w:val="000000"/>
          <w:sz w:val="24"/>
          <w:szCs w:val="24"/>
        </w:rPr>
        <w:tab/>
      </w:r>
      <w:r>
        <w:rPr>
          <w:rFonts w:hint="eastAsia" w:ascii="宋体" w:hAnsi="宋体" w:eastAsia="宋体" w:cs="宋体"/>
          <w:color w:val="000000"/>
          <w:sz w:val="24"/>
          <w:szCs w:val="24"/>
        </w:rPr>
        <w:t>保障承包人人员的合法权益</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4.8.1</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承包人应与其雇佣的人员签订劳动合同，并按时发放工资。</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4.8.3</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承包人应为其雇佣人员提供必要的食宿条件，以及符合环境保护和卫生要求的生活环境，在远离城镇的施工场地，还应配备必要的伤病防治和急救的医务人员与医疗设施。</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4.8.5</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承包人应按有关法律规定和合同约定，为其雇佣人员办理保险。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4.8.6</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承包人应负责处理其雇佣人员因工伤亡事故的善后事宜。</w:t>
      </w:r>
    </w:p>
    <w:p>
      <w:pPr>
        <w:spacing w:line="360" w:lineRule="auto"/>
        <w:rPr>
          <w:rFonts w:hint="eastAsia" w:ascii="宋体" w:hAnsi="宋体" w:eastAsia="宋体" w:cs="宋体"/>
          <w:color w:val="000000"/>
          <w:sz w:val="24"/>
          <w:szCs w:val="24"/>
        </w:rPr>
      </w:pPr>
      <w:bookmarkStart w:id="47" w:name="_bookmark129"/>
      <w:bookmarkEnd w:id="47"/>
      <w:r>
        <w:rPr>
          <w:rFonts w:hint="eastAsia" w:ascii="宋体" w:hAnsi="宋体" w:eastAsia="宋体" w:cs="宋体"/>
          <w:color w:val="000000"/>
          <w:sz w:val="24"/>
          <w:szCs w:val="24"/>
        </w:rPr>
        <w:t>4.9</w:t>
      </w:r>
      <w:r>
        <w:rPr>
          <w:rFonts w:hint="eastAsia" w:ascii="宋体" w:hAnsi="宋体" w:eastAsia="宋体" w:cs="宋体"/>
          <w:color w:val="000000"/>
          <w:sz w:val="24"/>
          <w:szCs w:val="24"/>
        </w:rPr>
        <w:tab/>
      </w:r>
      <w:r>
        <w:rPr>
          <w:rFonts w:hint="eastAsia" w:ascii="宋体" w:hAnsi="宋体" w:eastAsia="宋体" w:cs="宋体"/>
          <w:color w:val="000000"/>
          <w:sz w:val="24"/>
          <w:szCs w:val="24"/>
        </w:rPr>
        <w:t>工程价款应专款专用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发包人按合同约定支付给承包人的各项价款应专用于合同工程。</w:t>
      </w:r>
    </w:p>
    <w:p>
      <w:pPr>
        <w:spacing w:line="360" w:lineRule="auto"/>
        <w:rPr>
          <w:rFonts w:hint="eastAsia" w:ascii="宋体" w:hAnsi="宋体" w:eastAsia="宋体" w:cs="宋体"/>
          <w:color w:val="000000"/>
          <w:sz w:val="24"/>
          <w:szCs w:val="24"/>
        </w:rPr>
      </w:pPr>
      <w:bookmarkStart w:id="48" w:name="_bookmark130"/>
      <w:bookmarkEnd w:id="48"/>
      <w:r>
        <w:rPr>
          <w:rFonts w:hint="eastAsia" w:ascii="宋体" w:hAnsi="宋体" w:eastAsia="宋体" w:cs="宋体"/>
          <w:color w:val="000000"/>
          <w:sz w:val="24"/>
          <w:szCs w:val="24"/>
        </w:rPr>
        <w:t>4.10</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承包人现场查勘</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4.10.1</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发包人应将其持有的现场地质勘探资料、水文气象资料提供给承包人，并对其准确性负责。但承包人应对其阅读上述有关资料后所作出的解释和推断负责。</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4.10.2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对施工场地和周围环境进行查勘，并收集有关地质、水文、气象条件、交通条件、风俗习惯以及其他为完成合同工作有关的当地资料。在全部合同工作中，应视为承包人已充分估计了应承担的责任和风险。</w:t>
      </w:r>
    </w:p>
    <w:p>
      <w:pPr>
        <w:spacing w:line="360" w:lineRule="auto"/>
        <w:rPr>
          <w:rFonts w:hint="eastAsia" w:ascii="宋体" w:hAnsi="宋体" w:eastAsia="宋体" w:cs="宋体"/>
          <w:color w:val="000000"/>
          <w:sz w:val="24"/>
          <w:szCs w:val="24"/>
        </w:rPr>
      </w:pPr>
      <w:bookmarkStart w:id="49" w:name="_bookmark131"/>
      <w:bookmarkEnd w:id="49"/>
      <w:r>
        <w:rPr>
          <w:rFonts w:hint="eastAsia" w:ascii="宋体" w:hAnsi="宋体" w:eastAsia="宋体" w:cs="宋体"/>
          <w:color w:val="000000"/>
          <w:sz w:val="24"/>
          <w:szCs w:val="24"/>
        </w:rPr>
        <w:t>4.11</w:t>
      </w:r>
      <w:r>
        <w:rPr>
          <w:rFonts w:hint="eastAsia" w:ascii="宋体" w:hAnsi="宋体" w:eastAsia="宋体" w:cs="宋体"/>
          <w:color w:val="000000"/>
          <w:sz w:val="24"/>
          <w:szCs w:val="24"/>
        </w:rPr>
        <w:tab/>
      </w:r>
      <w:r>
        <w:rPr>
          <w:rFonts w:hint="eastAsia" w:ascii="宋体" w:hAnsi="宋体" w:eastAsia="宋体" w:cs="宋体"/>
          <w:color w:val="000000"/>
          <w:sz w:val="24"/>
          <w:szCs w:val="24"/>
        </w:rPr>
        <w:t>不利物质条件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4.11.1 不利物质条件一般是指承包人在施工场地遇到的不可预见的自然物质条件、非自然的物质障碍和污染物，包括地下和水文条件，但不包括气候条件。不利物质条件的具体范围见合同条款专用部分。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4.11.2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承包人遇到不利物质条件时，应采取适应不利物质条件的合理措施继续施工，并及时通知监理人。监理人应当及时发出指示，指示构成变更的，按第 15 条约定办理。监理人没有发出指示的，承包人因采取合理措施增加的费用和（或）工期延误，由发包人承担。</w:t>
      </w:r>
    </w:p>
    <w:p>
      <w:pPr>
        <w:spacing w:line="360" w:lineRule="auto"/>
        <w:rPr>
          <w:rFonts w:hint="eastAsia" w:ascii="宋体" w:hAnsi="宋体" w:eastAsia="宋体" w:cs="宋体"/>
          <w:color w:val="000000"/>
          <w:sz w:val="24"/>
          <w:szCs w:val="24"/>
        </w:rPr>
      </w:pPr>
      <w:bookmarkStart w:id="50" w:name="_bookmark132"/>
      <w:bookmarkEnd w:id="50"/>
      <w:r>
        <w:rPr>
          <w:rFonts w:hint="eastAsia" w:ascii="宋体" w:hAnsi="宋体" w:eastAsia="宋体" w:cs="宋体"/>
          <w:color w:val="000000"/>
          <w:sz w:val="24"/>
          <w:szCs w:val="24"/>
        </w:rPr>
        <w:t>5.材料和工程设备</w:t>
      </w:r>
    </w:p>
    <w:p>
      <w:pPr>
        <w:spacing w:line="360" w:lineRule="auto"/>
        <w:rPr>
          <w:rFonts w:hint="eastAsia" w:ascii="宋体" w:hAnsi="宋体" w:eastAsia="宋体" w:cs="宋体"/>
          <w:color w:val="000000"/>
          <w:sz w:val="24"/>
          <w:szCs w:val="24"/>
        </w:rPr>
      </w:pPr>
      <w:bookmarkStart w:id="51" w:name="_bookmark133"/>
      <w:bookmarkEnd w:id="51"/>
      <w:r>
        <w:rPr>
          <w:rFonts w:hint="eastAsia" w:ascii="宋体" w:hAnsi="宋体" w:eastAsia="宋体" w:cs="宋体"/>
          <w:color w:val="000000"/>
          <w:sz w:val="24"/>
          <w:szCs w:val="24"/>
        </w:rPr>
        <w:t>5.1</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承包人提供的材料和工程设备</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5.1.1</w:t>
      </w:r>
      <w:r>
        <w:rPr>
          <w:rFonts w:hint="eastAsia" w:ascii="宋体" w:hAnsi="宋体" w:eastAsia="宋体" w:cs="宋体"/>
          <w:color w:val="000000"/>
          <w:sz w:val="24"/>
          <w:szCs w:val="24"/>
        </w:rPr>
        <w:tab/>
      </w:r>
      <w:r>
        <w:rPr>
          <w:rFonts w:hint="eastAsia" w:ascii="宋体" w:hAnsi="宋体" w:eastAsia="宋体" w:cs="宋体"/>
          <w:color w:val="000000"/>
          <w:sz w:val="24"/>
          <w:szCs w:val="24"/>
        </w:rPr>
        <w:t>除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第15.8.1 项的约定，由发包人和承包人以招标方式确定专项供应商。承包人负责提供的主要材料和工程设备清单见合同条款专用部分“附件三：承包人提供的材料和工程设备一览表”。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5.1.3 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pPr>
        <w:spacing w:line="360" w:lineRule="auto"/>
        <w:rPr>
          <w:rFonts w:hint="eastAsia" w:ascii="宋体" w:hAnsi="宋体" w:eastAsia="宋体" w:cs="宋体"/>
          <w:color w:val="000000"/>
          <w:sz w:val="24"/>
          <w:szCs w:val="24"/>
        </w:rPr>
      </w:pPr>
      <w:bookmarkStart w:id="52" w:name="_bookmark134"/>
      <w:bookmarkEnd w:id="52"/>
      <w:r>
        <w:rPr>
          <w:rFonts w:hint="eastAsia" w:ascii="宋体" w:hAnsi="宋体" w:eastAsia="宋体" w:cs="宋体"/>
          <w:color w:val="000000"/>
          <w:sz w:val="24"/>
          <w:szCs w:val="24"/>
        </w:rPr>
        <w:t>5.2</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发包人提供的材料和工程设备</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5.2.1</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发包人负责提供的材料和工程设备的名称、规格、数量、价格、交货方式、交货地点和计划交货日期等见合同条款专用部分“附件四：发包人提供的材料和工程设备一览表”。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5.2.2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承包人应根据合同进度计划的安排，向监理人报送要求发包人交货的日期计划。 发包人应按照监理人与合同双方当事人商定的交货日期，向承包人提交材料和工程设备。</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5.2.3 发包人应在材料和工程设备到货 7 天前通知承包人，承包人应会同监理人在约定的时间内，赴交货地点共同进行验收。由发包人提供的材料和工程设备验收后，由承包人负责接收、运输和保管。</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5.2.4 发包人要求向承包人提前交货的，承包人不得拒绝，但发包人应承担承包人由此增加的费用。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5.2.5 承包人要求更改交货日期或地点的，应事先报请监理人批准。由于承包人要求更改交货时间或地点所增加的费用和（或）工期延误由承包人承担。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5.2.6</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发包人提供的材料和工程设备的规格、数量或质量不符合合同要求，或由于发包人原因发生交货日期延误及交货地点变更等情况的，发包人应承担由此增加的费用和（或）工期延误。</w:t>
      </w:r>
    </w:p>
    <w:p>
      <w:pPr>
        <w:spacing w:line="360" w:lineRule="auto"/>
        <w:rPr>
          <w:rFonts w:hint="eastAsia" w:ascii="宋体" w:hAnsi="宋体" w:eastAsia="宋体" w:cs="宋体"/>
          <w:color w:val="000000"/>
          <w:sz w:val="24"/>
          <w:szCs w:val="24"/>
        </w:rPr>
      </w:pPr>
      <w:bookmarkStart w:id="53" w:name="_bookmark135"/>
      <w:bookmarkEnd w:id="53"/>
      <w:r>
        <w:rPr>
          <w:rFonts w:hint="eastAsia" w:ascii="宋体" w:hAnsi="宋体" w:eastAsia="宋体" w:cs="宋体"/>
          <w:color w:val="000000"/>
          <w:sz w:val="24"/>
          <w:szCs w:val="24"/>
        </w:rPr>
        <w:t>5.3</w:t>
      </w:r>
      <w:r>
        <w:rPr>
          <w:rFonts w:hint="eastAsia" w:ascii="宋体" w:hAnsi="宋体" w:eastAsia="宋体" w:cs="宋体"/>
          <w:color w:val="000000"/>
          <w:sz w:val="24"/>
          <w:szCs w:val="24"/>
        </w:rPr>
        <w:tab/>
      </w:r>
      <w:r>
        <w:rPr>
          <w:rFonts w:hint="eastAsia" w:ascii="宋体" w:hAnsi="宋体" w:eastAsia="宋体" w:cs="宋体"/>
          <w:color w:val="000000"/>
          <w:sz w:val="24"/>
          <w:szCs w:val="24"/>
        </w:rPr>
        <w:t>材料和工程设备专用于合同工程</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5.3.1</w:t>
      </w:r>
      <w:r>
        <w:rPr>
          <w:rFonts w:hint="eastAsia" w:ascii="宋体" w:hAnsi="宋体" w:eastAsia="宋体" w:cs="宋体"/>
          <w:color w:val="000000"/>
          <w:sz w:val="24"/>
          <w:szCs w:val="24"/>
        </w:rPr>
        <w:tab/>
      </w:r>
      <w:r>
        <w:rPr>
          <w:rFonts w:hint="eastAsia" w:ascii="宋体" w:hAnsi="宋体" w:eastAsia="宋体" w:cs="宋体"/>
          <w:color w:val="000000"/>
          <w:sz w:val="24"/>
          <w:szCs w:val="24"/>
        </w:rPr>
        <w:t>运入施工场地的材料、工程设备，包括备品备件、安装专用工器具与随机资料，必须专用于合同工程，未经监理人同意，承包人不得运出施工场地或挪作他用。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spacing w:line="360" w:lineRule="auto"/>
        <w:rPr>
          <w:rFonts w:hint="eastAsia" w:ascii="宋体" w:hAnsi="宋体" w:eastAsia="宋体" w:cs="宋体"/>
          <w:color w:val="000000"/>
          <w:sz w:val="24"/>
          <w:szCs w:val="24"/>
        </w:rPr>
      </w:pPr>
      <w:bookmarkStart w:id="54" w:name="_bookmark136"/>
      <w:bookmarkEnd w:id="54"/>
      <w:r>
        <w:rPr>
          <w:rFonts w:hint="eastAsia" w:ascii="宋体" w:hAnsi="宋体" w:eastAsia="宋体" w:cs="宋体"/>
          <w:color w:val="000000"/>
          <w:sz w:val="24"/>
          <w:szCs w:val="24"/>
        </w:rPr>
        <w:t>5.4</w:t>
      </w:r>
      <w:r>
        <w:rPr>
          <w:rFonts w:hint="eastAsia" w:ascii="宋体" w:hAnsi="宋体" w:eastAsia="宋体" w:cs="宋体"/>
          <w:color w:val="000000"/>
          <w:sz w:val="24"/>
          <w:szCs w:val="24"/>
        </w:rPr>
        <w:tab/>
      </w:r>
      <w:r>
        <w:rPr>
          <w:rFonts w:hint="eastAsia" w:ascii="宋体" w:hAnsi="宋体" w:eastAsia="宋体" w:cs="宋体"/>
          <w:color w:val="000000"/>
          <w:sz w:val="24"/>
          <w:szCs w:val="24"/>
        </w:rPr>
        <w:t>禁止使用不合格的材料和工程设备</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5.4.1 监理人有权拒绝承包人提供的不合格材料或工程设备，并要求承包人立即进行更换。监理人应在更换后再次进行检查和检验，由此增加的费用和（或）工期延误由承包人承担。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5.4.2 监理人发现承包人使用了不合格的材料和工程设备，应即时发出指示要求承包人立即改正，并禁止在工程中继续使用不合格的材料和工程设备。</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5.4.3 发包人提供的材料或工程设备不符合合同要求的，承包人有权拒绝，并可要求发包人更换，由此增加的费用和（或）工期延误由发包人承担。</w:t>
      </w:r>
    </w:p>
    <w:p>
      <w:pPr>
        <w:spacing w:line="360" w:lineRule="auto"/>
        <w:ind w:firstLine="480" w:firstLineChars="200"/>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bookmarkStart w:id="55" w:name="_bookmark137"/>
      <w:bookmarkEnd w:id="55"/>
      <w:r>
        <w:rPr>
          <w:rFonts w:hint="eastAsia" w:ascii="宋体" w:hAnsi="宋体" w:eastAsia="宋体" w:cs="宋体"/>
          <w:color w:val="000000"/>
          <w:sz w:val="24"/>
          <w:szCs w:val="24"/>
        </w:rPr>
        <w:t>6.施工设备和临时设施</w:t>
      </w:r>
    </w:p>
    <w:p>
      <w:pPr>
        <w:spacing w:line="360" w:lineRule="auto"/>
        <w:rPr>
          <w:rFonts w:hint="eastAsia" w:ascii="宋体" w:hAnsi="宋体" w:eastAsia="宋体" w:cs="宋体"/>
          <w:color w:val="000000"/>
          <w:sz w:val="24"/>
          <w:szCs w:val="24"/>
        </w:rPr>
      </w:pPr>
      <w:bookmarkStart w:id="56" w:name="_bookmark138"/>
      <w:bookmarkEnd w:id="56"/>
      <w:r>
        <w:rPr>
          <w:rFonts w:hint="eastAsia" w:ascii="宋体" w:hAnsi="宋体" w:eastAsia="宋体" w:cs="宋体"/>
          <w:color w:val="000000"/>
          <w:sz w:val="24"/>
          <w:szCs w:val="24"/>
        </w:rPr>
        <w:t>6.1</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承包人提供的施工设备和临时设施</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6.1.1 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6.1.2</w:t>
      </w:r>
      <w:r>
        <w:rPr>
          <w:rFonts w:hint="eastAsia" w:ascii="宋体" w:hAnsi="宋体" w:eastAsia="宋体" w:cs="宋体"/>
          <w:color w:val="000000"/>
          <w:sz w:val="24"/>
          <w:szCs w:val="24"/>
        </w:rPr>
        <w:tab/>
      </w:r>
      <w:r>
        <w:rPr>
          <w:rFonts w:hint="eastAsia" w:ascii="宋体" w:hAnsi="宋体" w:eastAsia="宋体" w:cs="宋体"/>
          <w:color w:val="000000"/>
          <w:sz w:val="24"/>
          <w:szCs w:val="24"/>
        </w:rPr>
        <w:t>除合同另有约定外，承包人应承担自行修建临时设施的费用，需要临时占地的，应由发包人办理申请手续并承担相应费用。承包人自行修建临时设施的范围以及所需临时占地见合同条款专用部分。</w:t>
      </w:r>
    </w:p>
    <w:p>
      <w:pPr>
        <w:spacing w:line="360" w:lineRule="auto"/>
        <w:rPr>
          <w:rFonts w:hint="eastAsia" w:ascii="宋体" w:hAnsi="宋体" w:eastAsia="宋体" w:cs="宋体"/>
          <w:color w:val="000000"/>
          <w:sz w:val="24"/>
          <w:szCs w:val="24"/>
        </w:rPr>
      </w:pPr>
      <w:bookmarkStart w:id="57" w:name="_bookmark139"/>
      <w:bookmarkEnd w:id="57"/>
      <w:r>
        <w:rPr>
          <w:rFonts w:hint="eastAsia" w:ascii="宋体" w:hAnsi="宋体" w:eastAsia="宋体" w:cs="宋体"/>
          <w:color w:val="000000"/>
          <w:sz w:val="24"/>
          <w:szCs w:val="24"/>
        </w:rPr>
        <w:t>6.2</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发包人提供的施工设备和临时设施</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发包人提供的施工设备或临时设施，以及相关运行、维护、拆除、清运费用的承担人见合同条款专用部分。</w:t>
      </w:r>
    </w:p>
    <w:p>
      <w:pPr>
        <w:spacing w:line="360" w:lineRule="auto"/>
        <w:rPr>
          <w:rFonts w:hint="eastAsia" w:ascii="宋体" w:hAnsi="宋体" w:eastAsia="宋体" w:cs="宋体"/>
          <w:color w:val="000000"/>
          <w:sz w:val="24"/>
          <w:szCs w:val="24"/>
        </w:rPr>
      </w:pPr>
      <w:bookmarkStart w:id="58" w:name="_bookmark140"/>
      <w:bookmarkEnd w:id="58"/>
      <w:r>
        <w:rPr>
          <w:rFonts w:hint="eastAsia" w:ascii="宋体" w:hAnsi="宋体" w:eastAsia="宋体" w:cs="宋体"/>
          <w:color w:val="000000"/>
          <w:sz w:val="24"/>
          <w:szCs w:val="24"/>
        </w:rPr>
        <w:t>6.3</w:t>
      </w:r>
      <w:r>
        <w:rPr>
          <w:rFonts w:hint="eastAsia" w:ascii="宋体" w:hAnsi="宋体" w:eastAsia="宋体" w:cs="宋体"/>
          <w:color w:val="000000"/>
          <w:sz w:val="24"/>
          <w:szCs w:val="24"/>
        </w:rPr>
        <w:tab/>
      </w:r>
      <w:r>
        <w:rPr>
          <w:rFonts w:hint="eastAsia" w:ascii="宋体" w:hAnsi="宋体" w:eastAsia="宋体" w:cs="宋体"/>
          <w:color w:val="000000"/>
          <w:sz w:val="24"/>
          <w:szCs w:val="24"/>
        </w:rPr>
        <w:t>要求承包人增加或更换施工设备</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承包人使用的施工设备不能满足合同进度计划和（或）质量要求时，监理人有权要求承包人增加或更换施工设备，承包人应及时增加或更换，由此增加的费用和（或）工期延误由承包人承担。</w:t>
      </w:r>
    </w:p>
    <w:p>
      <w:pPr>
        <w:spacing w:line="360" w:lineRule="auto"/>
        <w:rPr>
          <w:rFonts w:hint="eastAsia" w:ascii="宋体" w:hAnsi="宋体" w:eastAsia="宋体" w:cs="宋体"/>
          <w:color w:val="000000"/>
          <w:sz w:val="24"/>
          <w:szCs w:val="24"/>
        </w:rPr>
      </w:pPr>
      <w:bookmarkStart w:id="59" w:name="_bookmark141"/>
      <w:bookmarkEnd w:id="59"/>
      <w:r>
        <w:rPr>
          <w:rFonts w:hint="eastAsia" w:ascii="宋体" w:hAnsi="宋体" w:eastAsia="宋体" w:cs="宋体"/>
          <w:color w:val="000000"/>
          <w:sz w:val="24"/>
          <w:szCs w:val="24"/>
        </w:rPr>
        <w:t>6.4</w:t>
      </w:r>
      <w:r>
        <w:rPr>
          <w:rFonts w:hint="eastAsia" w:ascii="宋体" w:hAnsi="宋体" w:eastAsia="宋体" w:cs="宋体"/>
          <w:color w:val="000000"/>
          <w:sz w:val="24"/>
          <w:szCs w:val="24"/>
        </w:rPr>
        <w:tab/>
      </w:r>
      <w:r>
        <w:rPr>
          <w:rFonts w:hint="eastAsia" w:ascii="宋体" w:hAnsi="宋体" w:eastAsia="宋体" w:cs="宋体"/>
          <w:color w:val="000000"/>
          <w:sz w:val="24"/>
          <w:szCs w:val="24"/>
        </w:rPr>
        <w:t>施工设备和临时设施专用于合同工程</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6.4.1 除为第 4.1.8 项约定的其他独立承包人和监理人指示的他人提供条件外,承包人运入施工场地的所有施工设备以及在施工场地建设的临时设施仅限于用于合同工程。未经监理人同意，不得将上述施工设备和临时设施中的任何部分运出施工场地或挪作他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6.4.2</w:t>
      </w:r>
      <w:r>
        <w:rPr>
          <w:rFonts w:hint="eastAsia" w:ascii="宋体" w:hAnsi="宋体" w:eastAsia="宋体" w:cs="宋体"/>
          <w:color w:val="000000"/>
          <w:sz w:val="24"/>
          <w:szCs w:val="24"/>
        </w:rPr>
        <w:tab/>
      </w:r>
      <w:r>
        <w:rPr>
          <w:rFonts w:hint="eastAsia" w:ascii="宋体" w:hAnsi="宋体" w:eastAsia="宋体" w:cs="宋体"/>
          <w:color w:val="000000"/>
          <w:sz w:val="24"/>
          <w:szCs w:val="24"/>
        </w:rPr>
        <w:t>经监理人同意，承包人可根据合同进度计划撤走闲置的施工设备。</w:t>
      </w:r>
    </w:p>
    <w:p>
      <w:pPr>
        <w:spacing w:line="360" w:lineRule="auto"/>
        <w:rPr>
          <w:rFonts w:hint="eastAsia" w:ascii="宋体" w:hAnsi="宋体" w:eastAsia="宋体" w:cs="宋体"/>
          <w:color w:val="000000"/>
          <w:sz w:val="24"/>
          <w:szCs w:val="24"/>
        </w:rPr>
      </w:pPr>
      <w:bookmarkStart w:id="60" w:name="_bookmark142"/>
      <w:bookmarkEnd w:id="60"/>
      <w:r>
        <w:rPr>
          <w:rFonts w:hint="eastAsia" w:ascii="宋体" w:hAnsi="宋体" w:eastAsia="宋体" w:cs="宋体"/>
          <w:color w:val="000000"/>
          <w:sz w:val="24"/>
          <w:szCs w:val="24"/>
        </w:rPr>
        <w:t>7.交通运输</w:t>
      </w:r>
    </w:p>
    <w:p>
      <w:pPr>
        <w:spacing w:line="360" w:lineRule="auto"/>
        <w:rPr>
          <w:rFonts w:hint="eastAsia" w:ascii="宋体" w:hAnsi="宋体" w:eastAsia="宋体" w:cs="宋体"/>
          <w:color w:val="000000"/>
          <w:sz w:val="24"/>
          <w:szCs w:val="24"/>
        </w:rPr>
      </w:pPr>
      <w:bookmarkStart w:id="61" w:name="_bookmark143"/>
      <w:bookmarkEnd w:id="61"/>
      <w:r>
        <w:rPr>
          <w:rFonts w:hint="eastAsia" w:ascii="宋体" w:hAnsi="宋体" w:eastAsia="宋体" w:cs="宋体"/>
          <w:color w:val="000000"/>
          <w:sz w:val="24"/>
          <w:szCs w:val="24"/>
        </w:rPr>
        <w:t>7.1</w:t>
      </w:r>
      <w:r>
        <w:rPr>
          <w:rFonts w:hint="eastAsia" w:ascii="宋体" w:hAnsi="宋体" w:eastAsia="宋体" w:cs="宋体"/>
          <w:color w:val="000000"/>
          <w:sz w:val="24"/>
          <w:szCs w:val="24"/>
        </w:rPr>
        <w:tab/>
      </w:r>
      <w:r>
        <w:rPr>
          <w:rFonts w:hint="eastAsia" w:ascii="宋体" w:hAnsi="宋体" w:eastAsia="宋体" w:cs="宋体"/>
          <w:color w:val="000000"/>
          <w:sz w:val="24"/>
          <w:szCs w:val="24"/>
        </w:rPr>
        <w:t>道路通行权和场外设施</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pPr>
        <w:spacing w:line="360" w:lineRule="auto"/>
        <w:rPr>
          <w:rFonts w:hint="eastAsia" w:ascii="宋体" w:hAnsi="宋体" w:eastAsia="宋体" w:cs="宋体"/>
          <w:color w:val="000000"/>
          <w:sz w:val="24"/>
          <w:szCs w:val="24"/>
        </w:rPr>
      </w:pPr>
      <w:bookmarkStart w:id="62" w:name="_bookmark144"/>
      <w:bookmarkEnd w:id="62"/>
      <w:r>
        <w:rPr>
          <w:rFonts w:hint="eastAsia" w:ascii="宋体" w:hAnsi="宋体" w:eastAsia="宋体" w:cs="宋体"/>
          <w:color w:val="000000"/>
          <w:sz w:val="24"/>
          <w:szCs w:val="24"/>
        </w:rPr>
        <w:t>7.2</w:t>
      </w:r>
      <w:r>
        <w:rPr>
          <w:rFonts w:hint="eastAsia" w:ascii="宋体" w:hAnsi="宋体" w:eastAsia="宋体" w:cs="宋体"/>
          <w:color w:val="000000"/>
          <w:sz w:val="24"/>
          <w:szCs w:val="24"/>
        </w:rPr>
        <w:tab/>
      </w:r>
      <w:r>
        <w:rPr>
          <w:rFonts w:hint="eastAsia" w:ascii="宋体" w:hAnsi="宋体" w:eastAsia="宋体" w:cs="宋体"/>
          <w:color w:val="000000"/>
          <w:sz w:val="24"/>
          <w:szCs w:val="24"/>
        </w:rPr>
        <w:t>场内施工道路</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7.2.1 除合同条款专用部分另有约定外，承包人应负责修建、维修、养护和管理施工所需的临时道路和交通设施，包括维修、养护和管理发包人提供的道路和交通设施，并承担相应费用。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7.2.2</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发包人和监理人有权无偿使用承包人修建的临时道路和交通设施，不需要交纳任何费用。</w:t>
      </w:r>
    </w:p>
    <w:p>
      <w:pPr>
        <w:spacing w:line="360" w:lineRule="auto"/>
        <w:rPr>
          <w:rFonts w:hint="eastAsia" w:ascii="宋体" w:hAnsi="宋体" w:eastAsia="宋体" w:cs="宋体"/>
          <w:color w:val="000000"/>
          <w:sz w:val="24"/>
          <w:szCs w:val="24"/>
        </w:rPr>
      </w:pPr>
      <w:bookmarkStart w:id="63" w:name="_bookmark145"/>
      <w:bookmarkEnd w:id="63"/>
      <w:r>
        <w:rPr>
          <w:rFonts w:hint="eastAsia" w:ascii="宋体" w:hAnsi="宋体" w:eastAsia="宋体" w:cs="宋体"/>
          <w:color w:val="000000"/>
          <w:sz w:val="24"/>
          <w:szCs w:val="24"/>
        </w:rPr>
        <w:t>7.3</w:t>
      </w:r>
      <w:r>
        <w:rPr>
          <w:rFonts w:hint="eastAsia" w:ascii="宋体" w:hAnsi="宋体" w:eastAsia="宋体" w:cs="宋体"/>
          <w:color w:val="000000"/>
          <w:sz w:val="24"/>
          <w:szCs w:val="24"/>
        </w:rPr>
        <w:tab/>
      </w:r>
      <w:r>
        <w:rPr>
          <w:rFonts w:hint="eastAsia" w:ascii="宋体" w:hAnsi="宋体" w:eastAsia="宋体" w:cs="宋体"/>
          <w:color w:val="000000"/>
          <w:sz w:val="24"/>
          <w:szCs w:val="24"/>
        </w:rPr>
        <w:t>场外交通</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7.3.1</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承包人车辆外出行驶所需的场外公共道路的通行费、养路费和税款等由承包人承担。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7.3.2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承包人应遵守有关交通法规，严格按照道路和桥梁的限制荷重安全行驶，并服从交通管理部门的检查和监督。</w:t>
      </w:r>
    </w:p>
    <w:p>
      <w:pPr>
        <w:spacing w:line="360" w:lineRule="auto"/>
        <w:rPr>
          <w:rFonts w:hint="eastAsia" w:ascii="宋体" w:hAnsi="宋体" w:eastAsia="宋体" w:cs="宋体"/>
          <w:color w:val="000000"/>
          <w:sz w:val="24"/>
          <w:szCs w:val="24"/>
        </w:rPr>
      </w:pPr>
      <w:bookmarkStart w:id="64" w:name="_bookmark146"/>
      <w:bookmarkEnd w:id="64"/>
      <w:r>
        <w:rPr>
          <w:rFonts w:hint="eastAsia" w:ascii="宋体" w:hAnsi="宋体" w:eastAsia="宋体" w:cs="宋体"/>
          <w:color w:val="000000"/>
          <w:sz w:val="24"/>
          <w:szCs w:val="24"/>
        </w:rPr>
        <w:t>7.4</w:t>
      </w:r>
      <w:r>
        <w:rPr>
          <w:rFonts w:hint="eastAsia" w:ascii="宋体" w:hAnsi="宋体" w:eastAsia="宋体" w:cs="宋体"/>
          <w:color w:val="000000"/>
          <w:sz w:val="24"/>
          <w:szCs w:val="24"/>
        </w:rPr>
        <w:tab/>
      </w:r>
      <w:r>
        <w:rPr>
          <w:rFonts w:hint="eastAsia" w:ascii="宋体" w:hAnsi="宋体" w:eastAsia="宋体" w:cs="宋体"/>
          <w:color w:val="000000"/>
          <w:sz w:val="24"/>
          <w:szCs w:val="24"/>
        </w:rPr>
        <w:t>超大件和超重件的运输</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pPr>
        <w:spacing w:line="360" w:lineRule="auto"/>
        <w:rPr>
          <w:rFonts w:hint="eastAsia" w:ascii="宋体" w:hAnsi="宋体" w:eastAsia="宋体" w:cs="宋体"/>
          <w:color w:val="000000"/>
          <w:sz w:val="24"/>
          <w:szCs w:val="24"/>
        </w:rPr>
      </w:pPr>
      <w:bookmarkStart w:id="65" w:name="_bookmark147"/>
      <w:bookmarkEnd w:id="65"/>
      <w:r>
        <w:rPr>
          <w:rFonts w:hint="eastAsia" w:ascii="宋体" w:hAnsi="宋体" w:eastAsia="宋体" w:cs="宋体"/>
          <w:color w:val="000000"/>
          <w:sz w:val="24"/>
          <w:szCs w:val="24"/>
        </w:rPr>
        <w:t>7.5</w:t>
      </w:r>
      <w:r>
        <w:rPr>
          <w:rFonts w:hint="eastAsia" w:ascii="宋体" w:hAnsi="宋体" w:eastAsia="宋体" w:cs="宋体"/>
          <w:color w:val="000000"/>
          <w:sz w:val="24"/>
          <w:szCs w:val="24"/>
        </w:rPr>
        <w:tab/>
      </w:r>
      <w:r>
        <w:rPr>
          <w:rFonts w:hint="eastAsia" w:ascii="宋体" w:hAnsi="宋体" w:eastAsia="宋体" w:cs="宋体"/>
          <w:color w:val="000000"/>
          <w:sz w:val="24"/>
          <w:szCs w:val="24"/>
        </w:rPr>
        <w:t>道路和桥梁的损坏责任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因承包人运输造成施工场地内外公共道路和桥梁损坏的，由承包人承担修复损坏的全部费用和可能引起的赔偿。</w:t>
      </w:r>
    </w:p>
    <w:p>
      <w:pPr>
        <w:spacing w:line="360" w:lineRule="auto"/>
        <w:rPr>
          <w:rFonts w:hint="eastAsia" w:ascii="宋体" w:hAnsi="宋体" w:eastAsia="宋体" w:cs="宋体"/>
          <w:color w:val="000000"/>
          <w:sz w:val="24"/>
          <w:szCs w:val="24"/>
        </w:rPr>
      </w:pPr>
      <w:bookmarkStart w:id="66" w:name="_bookmark148"/>
      <w:bookmarkEnd w:id="66"/>
      <w:r>
        <w:rPr>
          <w:rFonts w:hint="eastAsia" w:ascii="宋体" w:hAnsi="宋体" w:eastAsia="宋体" w:cs="宋体"/>
          <w:color w:val="000000"/>
          <w:sz w:val="24"/>
          <w:szCs w:val="24"/>
        </w:rPr>
        <w:t>7.6</w:t>
      </w:r>
      <w:r>
        <w:rPr>
          <w:rFonts w:hint="eastAsia" w:ascii="宋体" w:hAnsi="宋体" w:eastAsia="宋体" w:cs="宋体"/>
          <w:color w:val="000000"/>
          <w:sz w:val="24"/>
          <w:szCs w:val="24"/>
        </w:rPr>
        <w:tab/>
      </w:r>
      <w:r>
        <w:rPr>
          <w:rFonts w:hint="eastAsia" w:ascii="宋体" w:hAnsi="宋体" w:eastAsia="宋体" w:cs="宋体"/>
          <w:color w:val="000000"/>
          <w:sz w:val="24"/>
          <w:szCs w:val="24"/>
        </w:rPr>
        <w:t>水路和航空运输</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本条上述各款的内容适用于水路运输和航空运输，其中“道路”一词的涵义包括河道、航线、船闸、机场、码头、堤防以及水路或航空运输中其他相似结构物；“车辆”一词的涵义包括船舶和飞机等。</w:t>
      </w:r>
    </w:p>
    <w:p>
      <w:pPr>
        <w:spacing w:line="360" w:lineRule="auto"/>
        <w:rPr>
          <w:rFonts w:hint="eastAsia" w:ascii="宋体" w:hAnsi="宋体" w:eastAsia="宋体" w:cs="宋体"/>
          <w:color w:val="000000"/>
          <w:sz w:val="24"/>
          <w:szCs w:val="24"/>
        </w:rPr>
      </w:pPr>
      <w:bookmarkStart w:id="67" w:name="_bookmark149"/>
      <w:bookmarkEnd w:id="67"/>
      <w:r>
        <w:rPr>
          <w:rFonts w:hint="eastAsia" w:ascii="宋体" w:hAnsi="宋体" w:eastAsia="宋体" w:cs="宋体"/>
          <w:color w:val="000000"/>
          <w:sz w:val="24"/>
          <w:szCs w:val="24"/>
        </w:rPr>
        <w:t>8.测量放线</w:t>
      </w:r>
    </w:p>
    <w:p>
      <w:pPr>
        <w:spacing w:line="360" w:lineRule="auto"/>
        <w:rPr>
          <w:rFonts w:hint="eastAsia" w:ascii="宋体" w:hAnsi="宋体" w:eastAsia="宋体" w:cs="宋体"/>
          <w:color w:val="000000"/>
          <w:sz w:val="24"/>
          <w:szCs w:val="24"/>
        </w:rPr>
      </w:pPr>
      <w:bookmarkStart w:id="68" w:name="_bookmark150"/>
      <w:bookmarkEnd w:id="68"/>
      <w:r>
        <w:rPr>
          <w:rFonts w:hint="eastAsia" w:ascii="宋体" w:hAnsi="宋体" w:eastAsia="宋体" w:cs="宋体"/>
          <w:color w:val="000000"/>
          <w:sz w:val="24"/>
          <w:szCs w:val="24"/>
        </w:rPr>
        <w:t>8.1</w:t>
      </w:r>
      <w:r>
        <w:rPr>
          <w:rFonts w:hint="eastAsia" w:ascii="宋体" w:hAnsi="宋体" w:eastAsia="宋体" w:cs="宋体"/>
          <w:color w:val="000000"/>
          <w:sz w:val="24"/>
          <w:szCs w:val="24"/>
        </w:rPr>
        <w:tab/>
      </w:r>
      <w:r>
        <w:rPr>
          <w:rFonts w:hint="eastAsia" w:ascii="宋体" w:hAnsi="宋体" w:eastAsia="宋体" w:cs="宋体"/>
          <w:color w:val="000000"/>
          <w:sz w:val="24"/>
          <w:szCs w:val="24"/>
        </w:rPr>
        <w:t>施工控制网</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8.1.1</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发包人应在合同约定的期限内，通过监理人向承包人提供测量基准点、基准线</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和水准点及其书面资料。向承包人提供测量基准点、基准线和水准点及其书面资料的期限见合同条款专用部分。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8.1.2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根据国家测绘基准、测绘系统和工程测量技术规范，按上述基准点（线）以及合同工程精度要求，测设施工控制网，承包人测设施工控制网的其他要求见合同条款专用部分。并将施工控制网资料在约定期限内报送监理人审批，其报送监理人审批的期限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8.1.3</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承包人应负责管理施工控制网点。施工控制网点丢失或损坏的，承包人应及时修复，并承担施工控制网点的管理与修复费用。工程竣工后将施工控制网点移交发包人。</w:t>
      </w:r>
    </w:p>
    <w:p>
      <w:pPr>
        <w:spacing w:line="360" w:lineRule="auto"/>
        <w:rPr>
          <w:rFonts w:hint="eastAsia" w:ascii="宋体" w:hAnsi="宋体" w:eastAsia="宋体" w:cs="宋体"/>
          <w:color w:val="000000"/>
          <w:sz w:val="24"/>
          <w:szCs w:val="24"/>
        </w:rPr>
      </w:pPr>
      <w:bookmarkStart w:id="69" w:name="_bookmark151"/>
      <w:bookmarkEnd w:id="69"/>
      <w:r>
        <w:rPr>
          <w:rFonts w:hint="eastAsia" w:ascii="宋体" w:hAnsi="宋体" w:eastAsia="宋体" w:cs="宋体"/>
          <w:color w:val="000000"/>
          <w:sz w:val="24"/>
          <w:szCs w:val="24"/>
        </w:rPr>
        <w:t>8.2</w:t>
      </w:r>
      <w:r>
        <w:rPr>
          <w:rFonts w:hint="eastAsia" w:ascii="宋体" w:hAnsi="宋体" w:eastAsia="宋体" w:cs="宋体"/>
          <w:color w:val="000000"/>
          <w:sz w:val="24"/>
          <w:szCs w:val="24"/>
        </w:rPr>
        <w:tab/>
      </w:r>
      <w:r>
        <w:rPr>
          <w:rFonts w:hint="eastAsia" w:ascii="宋体" w:hAnsi="宋体" w:eastAsia="宋体" w:cs="宋体"/>
          <w:color w:val="000000"/>
          <w:sz w:val="24"/>
          <w:szCs w:val="24"/>
        </w:rPr>
        <w:t>施工测量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8.2.1</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承包人应负责施工过程中的全部施工测量放线工作，并配置合格的人员、仪器、设备和其他物品。</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8.2.2</w:t>
      </w:r>
      <w:r>
        <w:rPr>
          <w:rFonts w:hint="eastAsia" w:ascii="宋体" w:hAnsi="宋体" w:eastAsia="宋体" w:cs="宋体"/>
          <w:color w:val="000000"/>
          <w:sz w:val="24"/>
          <w:szCs w:val="24"/>
        </w:rPr>
        <w:tab/>
      </w:r>
      <w:r>
        <w:rPr>
          <w:rFonts w:hint="eastAsia" w:ascii="宋体" w:hAnsi="宋体" w:eastAsia="宋体" w:cs="宋体"/>
          <w:color w:val="000000"/>
          <w:sz w:val="24"/>
          <w:szCs w:val="24"/>
        </w:rPr>
        <w:t>监理人可以指示承包人进行抽样复测，当复测中发现错误或出现超过合同约定的误差时，承包人应按监理人指示进行修正或补测，并承担相应的复测费用。</w:t>
      </w:r>
    </w:p>
    <w:p>
      <w:pPr>
        <w:spacing w:line="360" w:lineRule="auto"/>
        <w:rPr>
          <w:rFonts w:hint="eastAsia" w:ascii="宋体" w:hAnsi="宋体" w:eastAsia="宋体" w:cs="宋体"/>
          <w:color w:val="000000"/>
          <w:sz w:val="24"/>
          <w:szCs w:val="24"/>
        </w:rPr>
      </w:pPr>
      <w:bookmarkStart w:id="70" w:name="_bookmark152"/>
      <w:bookmarkEnd w:id="70"/>
      <w:r>
        <w:rPr>
          <w:rFonts w:hint="eastAsia" w:ascii="宋体" w:hAnsi="宋体" w:eastAsia="宋体" w:cs="宋体"/>
          <w:color w:val="000000"/>
          <w:sz w:val="24"/>
          <w:szCs w:val="24"/>
        </w:rPr>
        <w:t>8.3</w:t>
      </w:r>
      <w:r>
        <w:rPr>
          <w:rFonts w:hint="eastAsia" w:ascii="宋体" w:hAnsi="宋体" w:eastAsia="宋体" w:cs="宋体"/>
          <w:color w:val="000000"/>
          <w:sz w:val="24"/>
          <w:szCs w:val="24"/>
        </w:rPr>
        <w:tab/>
      </w:r>
      <w:r>
        <w:rPr>
          <w:rFonts w:hint="eastAsia" w:ascii="宋体" w:hAnsi="宋体" w:eastAsia="宋体" w:cs="宋体"/>
          <w:color w:val="000000"/>
          <w:sz w:val="24"/>
          <w:szCs w:val="24"/>
        </w:rPr>
        <w:t>基准资料错误的责任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承包人发现发包人提供的上述基准资料存在明显错误或疏忽的，应及时通知监理人。</w:t>
      </w:r>
    </w:p>
    <w:p>
      <w:pPr>
        <w:spacing w:line="360" w:lineRule="auto"/>
        <w:rPr>
          <w:rFonts w:hint="eastAsia" w:ascii="宋体" w:hAnsi="宋体" w:eastAsia="宋体" w:cs="宋体"/>
          <w:color w:val="000000"/>
          <w:sz w:val="24"/>
          <w:szCs w:val="24"/>
        </w:rPr>
      </w:pPr>
      <w:bookmarkStart w:id="71" w:name="_bookmark153"/>
      <w:bookmarkEnd w:id="71"/>
      <w:r>
        <w:rPr>
          <w:rFonts w:hint="eastAsia" w:ascii="宋体" w:hAnsi="宋体" w:eastAsia="宋体" w:cs="宋体"/>
          <w:color w:val="000000"/>
          <w:sz w:val="24"/>
          <w:szCs w:val="24"/>
        </w:rPr>
        <w:t>8.4</w:t>
      </w:r>
      <w:r>
        <w:rPr>
          <w:rFonts w:hint="eastAsia" w:ascii="宋体" w:hAnsi="宋体" w:eastAsia="宋体" w:cs="宋体"/>
          <w:color w:val="000000"/>
          <w:sz w:val="24"/>
          <w:szCs w:val="24"/>
        </w:rPr>
        <w:tab/>
      </w:r>
      <w:r>
        <w:rPr>
          <w:rFonts w:hint="eastAsia" w:ascii="宋体" w:hAnsi="宋体" w:eastAsia="宋体" w:cs="宋体"/>
          <w:color w:val="000000"/>
          <w:sz w:val="24"/>
          <w:szCs w:val="24"/>
        </w:rPr>
        <w:t>监理人使用施工控制网</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监理人需要使用施工控制网的，承包人应提供必要的协助，发包人不再为此支付费用。</w:t>
      </w:r>
    </w:p>
    <w:p>
      <w:pPr>
        <w:spacing w:line="360" w:lineRule="auto"/>
        <w:rPr>
          <w:rFonts w:hint="eastAsia" w:ascii="宋体" w:hAnsi="宋体" w:eastAsia="宋体" w:cs="宋体"/>
          <w:color w:val="000000"/>
          <w:sz w:val="24"/>
          <w:szCs w:val="24"/>
        </w:rPr>
      </w:pPr>
      <w:bookmarkStart w:id="72" w:name="_bookmark154"/>
      <w:bookmarkEnd w:id="72"/>
      <w:r>
        <w:rPr>
          <w:rFonts w:hint="eastAsia" w:ascii="宋体" w:hAnsi="宋体" w:eastAsia="宋体" w:cs="宋体"/>
          <w:color w:val="000000"/>
          <w:sz w:val="24"/>
          <w:szCs w:val="24"/>
        </w:rPr>
        <w:t>9.施工安全、治安保卫和环境保护</w:t>
      </w:r>
    </w:p>
    <w:p>
      <w:pPr>
        <w:spacing w:line="360" w:lineRule="auto"/>
        <w:rPr>
          <w:rFonts w:hint="eastAsia" w:ascii="宋体" w:hAnsi="宋体" w:eastAsia="宋体" w:cs="宋体"/>
          <w:color w:val="000000"/>
          <w:sz w:val="24"/>
          <w:szCs w:val="24"/>
        </w:rPr>
      </w:pPr>
      <w:bookmarkStart w:id="73" w:name="_bookmark155"/>
      <w:bookmarkEnd w:id="73"/>
      <w:r>
        <w:rPr>
          <w:rFonts w:hint="eastAsia" w:ascii="宋体" w:hAnsi="宋体" w:eastAsia="宋体" w:cs="宋体"/>
          <w:color w:val="000000"/>
          <w:sz w:val="24"/>
          <w:szCs w:val="24"/>
        </w:rPr>
        <w:t>9.1</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发包人的施工安全责任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9.1.1</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发包人应按合同约定履行安全职责，授权监理人按合同约定的安全工作内容监督、检查承包人安全工作的实施，组织承包人和有关单位进行安全检查。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9.1.2</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发包人应对其现场机构雇佣的全部人员的工伤事故承担责任，但由于承包人原因造成发包人人员工伤的，应由承包人承担责任。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9.1.3</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发包人应负责赔偿以下各种情况造成的第三者人身伤亡和财产损失：</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（1）工程或工程的任何部分对土地的占用所造成的第三者财产损失；</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（2）由于发包人原因在施工场地及其毗邻地带造成的第三者人身伤亡和财产损失。</w:t>
      </w:r>
    </w:p>
    <w:p>
      <w:pPr>
        <w:spacing w:line="360" w:lineRule="auto"/>
        <w:rPr>
          <w:rFonts w:hint="eastAsia" w:ascii="宋体" w:hAnsi="宋体" w:eastAsia="宋体" w:cs="宋体"/>
          <w:color w:val="000000"/>
          <w:sz w:val="24"/>
          <w:szCs w:val="24"/>
        </w:rPr>
      </w:pPr>
      <w:bookmarkStart w:id="74" w:name="_bookmark156"/>
      <w:bookmarkEnd w:id="74"/>
      <w:r>
        <w:rPr>
          <w:rFonts w:hint="eastAsia" w:ascii="宋体" w:hAnsi="宋体" w:eastAsia="宋体" w:cs="宋体"/>
          <w:color w:val="000000"/>
          <w:sz w:val="24"/>
          <w:szCs w:val="24"/>
        </w:rPr>
        <w:t>9.2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承包人的施工安全责任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9.2.2 承包人应加强施工作业安全管理，特别应加强易燃、易爆材料、火工器材、有毒与腐蚀性材料、行业挥发性有机物和其他危险品的管理，以及对爆破作业和地下工程施工等危险作业的管理。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9.2.3 承包人应严格按照国家安全标准制定施工安全操作规程，配备必要的安全生产和劳动保护设施，加强对承包人人员的安全教育，并发放安全工作手册和劳动保护用具。</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9.2.4 承包人应按监理人的指示制定应对灾害的紧急预案，报送监理人审批。承包人还应按预案做好安全检查，配置必要的救助物资和器材，切实保护好有关人员的人身和财产安全。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9.2.5 合同约定的安全作业环境及安全施工措施所需费用应遵守有关规定，并包括在相关工作的合同价格中。因采取合同未约定的安全作业环境及安全施工措施增加的费用，由监理人按第 3.5 款商定或确定。</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9.2.6 承包人应对其履行合同所雇佣的全部人员，包括分包人人员的工伤事故承担责任，但由于发包人原因造成承包人人员工伤事故的，应由发包人承担责任。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9.2.7 由于承包人原因在施工场地内及其毗邻地带造成的第三者人员伤亡和财产损失，由承包人负责赔偿。</w:t>
      </w:r>
    </w:p>
    <w:p>
      <w:pPr>
        <w:spacing w:line="360" w:lineRule="auto"/>
        <w:rPr>
          <w:rFonts w:hint="eastAsia" w:ascii="宋体" w:hAnsi="宋体" w:eastAsia="宋体" w:cs="宋体"/>
          <w:color w:val="000000"/>
          <w:sz w:val="24"/>
          <w:szCs w:val="24"/>
        </w:rPr>
      </w:pPr>
      <w:bookmarkStart w:id="75" w:name="_bookmark157"/>
      <w:bookmarkEnd w:id="75"/>
      <w:r>
        <w:rPr>
          <w:rFonts w:hint="eastAsia" w:ascii="宋体" w:hAnsi="宋体" w:eastAsia="宋体" w:cs="宋体"/>
          <w:color w:val="000000"/>
          <w:sz w:val="24"/>
          <w:szCs w:val="24"/>
        </w:rPr>
        <w:t>9.3</w:t>
      </w:r>
      <w:r>
        <w:rPr>
          <w:rFonts w:hint="eastAsia" w:ascii="宋体" w:hAnsi="宋体" w:eastAsia="宋体" w:cs="宋体"/>
          <w:color w:val="000000"/>
          <w:sz w:val="24"/>
          <w:szCs w:val="24"/>
        </w:rPr>
        <w:tab/>
      </w:r>
      <w:r>
        <w:rPr>
          <w:rFonts w:hint="eastAsia" w:ascii="宋体" w:hAnsi="宋体" w:eastAsia="宋体" w:cs="宋体"/>
          <w:color w:val="000000"/>
          <w:sz w:val="24"/>
          <w:szCs w:val="24"/>
        </w:rPr>
        <w:t>治安保卫</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9.3.1 发包人应与当地公安部门协商，在现场建立治安管理机构或联防组织，负责统一管理施工场地的治安保卫事项，履行合同工程的治安保卫职责。</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9.3.2 发包人和承包人除应协助现场治安管理机构或联防组织维护施工场地的社会治安外，还应做好包括生活区在内的各自管辖区的治安保卫工作。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9.3.3</w:t>
      </w:r>
      <w:r>
        <w:rPr>
          <w:rFonts w:hint="eastAsia" w:ascii="宋体" w:hAnsi="宋体" w:eastAsia="宋体" w:cs="宋体"/>
          <w:color w:val="000000"/>
          <w:sz w:val="24"/>
          <w:szCs w:val="24"/>
        </w:rPr>
        <w:tab/>
      </w:r>
      <w:r>
        <w:rPr>
          <w:rFonts w:hint="eastAsia" w:ascii="宋体" w:hAnsi="宋体" w:eastAsia="宋体" w:cs="宋体"/>
          <w:color w:val="000000"/>
          <w:sz w:val="24"/>
          <w:szCs w:val="24"/>
        </w:rPr>
        <w:t>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见合同条款专用部分。</w:t>
      </w:r>
    </w:p>
    <w:p>
      <w:pPr>
        <w:spacing w:line="360" w:lineRule="auto"/>
        <w:rPr>
          <w:rFonts w:hint="eastAsia" w:ascii="宋体" w:hAnsi="宋体" w:eastAsia="宋体" w:cs="宋体"/>
          <w:color w:val="000000"/>
          <w:sz w:val="24"/>
          <w:szCs w:val="24"/>
        </w:rPr>
      </w:pPr>
      <w:bookmarkStart w:id="76" w:name="_bookmark158"/>
      <w:bookmarkEnd w:id="76"/>
      <w:r>
        <w:rPr>
          <w:rFonts w:hint="eastAsia" w:ascii="宋体" w:hAnsi="宋体" w:eastAsia="宋体" w:cs="宋体"/>
          <w:color w:val="000000"/>
          <w:sz w:val="24"/>
          <w:szCs w:val="24"/>
        </w:rPr>
        <w:t>9.4 环境保护</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9.4.1</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承包人在施工过程中，应遵守有关环境保护的法律，履行合同约定的环境保护义务，并对违反法律和合同约定义务所造成的环境破坏、人身伤害和财产损失负责。</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9.4.2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建立施工扬尘治理、建筑垃圾、土方和砂石清运与消纳、严禁使用高排放非道路移动机械和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9.4.3</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承包人应在合同条款专用部分约定的时限内，按合同约定的环保工作内容，编制施工环保措施计划（包含第 9.4.2 项约定的实施方案内容），报送监理人审批。监理人在合同条款专用部分约定的期限内给予批复。</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9.4.4</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9.4.5</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承包人应按合同约定采取有效措施，对施工开挖的边坡及时进行支护,维护排水设施，并进行水土保护，避免因施工造成的地质灾害。</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9.4.6</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承包人应按国家饮用水管理标准定期对饮用水源进行监测，防止施工活动污染饮用水源。</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9.4.7</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承包人应按合同约定，加强对噪声、粉尘、废气、废水和废油的控制，努力降低噪声，控制粉尘和废气浓度，做好废水和废油的治理和排放。</w:t>
      </w:r>
    </w:p>
    <w:p>
      <w:pPr>
        <w:spacing w:line="360" w:lineRule="auto"/>
        <w:rPr>
          <w:rFonts w:hint="eastAsia" w:ascii="宋体" w:hAnsi="宋体" w:eastAsia="宋体" w:cs="宋体"/>
          <w:color w:val="000000"/>
          <w:sz w:val="24"/>
          <w:szCs w:val="24"/>
        </w:rPr>
      </w:pPr>
      <w:bookmarkStart w:id="77" w:name="_bookmark159"/>
      <w:bookmarkEnd w:id="77"/>
      <w:r>
        <w:rPr>
          <w:rFonts w:hint="eastAsia" w:ascii="宋体" w:hAnsi="宋体" w:eastAsia="宋体" w:cs="宋体"/>
          <w:color w:val="000000"/>
          <w:sz w:val="24"/>
          <w:szCs w:val="24"/>
        </w:rPr>
        <w:t>9.5 事故处理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60" w:lineRule="auto"/>
        <w:rPr>
          <w:rFonts w:hint="eastAsia" w:ascii="宋体" w:hAnsi="宋体" w:eastAsia="宋体" w:cs="宋体"/>
          <w:color w:val="000000"/>
          <w:sz w:val="24"/>
          <w:szCs w:val="24"/>
        </w:rPr>
      </w:pPr>
      <w:bookmarkStart w:id="78" w:name="_bookmark160"/>
      <w:bookmarkEnd w:id="78"/>
      <w:r>
        <w:rPr>
          <w:rFonts w:hint="eastAsia" w:ascii="宋体" w:hAnsi="宋体" w:eastAsia="宋体" w:cs="宋体"/>
          <w:color w:val="000000"/>
          <w:sz w:val="24"/>
          <w:szCs w:val="24"/>
        </w:rPr>
        <w:t>10.进度计划</w:t>
      </w:r>
    </w:p>
    <w:p>
      <w:pPr>
        <w:spacing w:line="360" w:lineRule="auto"/>
        <w:rPr>
          <w:rFonts w:hint="eastAsia" w:ascii="宋体" w:hAnsi="宋体" w:eastAsia="宋体" w:cs="宋体"/>
          <w:color w:val="000000"/>
          <w:sz w:val="24"/>
          <w:szCs w:val="24"/>
        </w:rPr>
      </w:pPr>
      <w:bookmarkStart w:id="79" w:name="_bookmark161"/>
      <w:bookmarkEnd w:id="79"/>
      <w:r>
        <w:rPr>
          <w:rFonts w:hint="eastAsia" w:ascii="宋体" w:hAnsi="宋体" w:eastAsia="宋体" w:cs="宋体"/>
          <w:color w:val="000000"/>
          <w:sz w:val="24"/>
          <w:szCs w:val="24"/>
        </w:rPr>
        <w:t>10.1 合同进度计划</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10.1.1 承包人应当在收到监理人按照第 11.1.1 项发出的开工通知后7天内，编制详细的施工进度计划和施工方案说明报送监理人，施工进度计划中应载明要求发包人组织设计人进行阶段性工程设计交底的时间。监理人应在收到承包人报送的相关进度计划和施工方案说明后 14 天内批复或提出修改意见，否则该进度计划视为已得到批准。经监理人批准的施工进度计划称合同进度计划，是控制合同工程进度的依据。承包人编制施工进度计划和施工方案说明的内容见合同条款专用部分。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10.1.2 承包人还应根据合同进度计划，按照第 10.1.1 项相关约定编制更为详细的分阶段或分项进度计划，报监理人审批。承包人编制分阶段或分项施工进度计划和施工方案说明的内容及时限要求见合同条款专用部分。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10.1.3 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pPr>
        <w:spacing w:line="360" w:lineRule="auto"/>
        <w:rPr>
          <w:rFonts w:hint="eastAsia" w:ascii="宋体" w:hAnsi="宋体" w:eastAsia="宋体" w:cs="宋体"/>
          <w:color w:val="000000"/>
          <w:sz w:val="24"/>
          <w:szCs w:val="24"/>
        </w:rPr>
      </w:pPr>
      <w:bookmarkStart w:id="80" w:name="_bookmark162"/>
      <w:bookmarkEnd w:id="80"/>
      <w:r>
        <w:rPr>
          <w:rFonts w:hint="eastAsia" w:ascii="宋体" w:hAnsi="宋体" w:eastAsia="宋体" w:cs="宋体"/>
          <w:color w:val="000000"/>
          <w:sz w:val="24"/>
          <w:szCs w:val="24"/>
        </w:rPr>
        <w:t>10.2 合同进度计划的修订</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10.2.1 不论何种原因造成工程的实际进度与第 10.1 款的合同进度计划不符时，承包人可以在合同条款专用部分约定的期限内向监理人提交修订合同进度计划的申请报告，并附有关措施和相关资料，报监理人审批；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10.2.2</w:t>
      </w:r>
      <w:r>
        <w:rPr>
          <w:rFonts w:hint="eastAsia" w:ascii="宋体" w:hAnsi="宋体" w:eastAsia="宋体" w:cs="宋体"/>
          <w:color w:val="000000"/>
          <w:sz w:val="24"/>
          <w:szCs w:val="24"/>
        </w:rPr>
        <w:tab/>
      </w:r>
      <w:r>
        <w:rPr>
          <w:rFonts w:hint="eastAsia" w:ascii="宋体" w:hAnsi="宋体" w:eastAsia="宋体" w:cs="宋体"/>
          <w:color w:val="000000"/>
          <w:sz w:val="24"/>
          <w:szCs w:val="24"/>
        </w:rPr>
        <w:t>监理人也可以直接向承包人作出修订合同进度计划的指示，承包人应按该指示修订合同进度计划，报监理人审批。监理人应在合同条款专用部分约定的期限内完成批复。监理人在批复前应获得发包人同意。</w:t>
      </w:r>
    </w:p>
    <w:p>
      <w:pPr>
        <w:spacing w:line="360" w:lineRule="auto"/>
        <w:rPr>
          <w:rFonts w:hint="eastAsia" w:ascii="宋体" w:hAnsi="宋体" w:eastAsia="宋体" w:cs="宋体"/>
          <w:color w:val="000000"/>
          <w:sz w:val="24"/>
          <w:szCs w:val="24"/>
        </w:rPr>
      </w:pPr>
      <w:bookmarkStart w:id="81" w:name="_bookmark163"/>
      <w:bookmarkEnd w:id="81"/>
      <w:r>
        <w:rPr>
          <w:rFonts w:hint="eastAsia" w:ascii="宋体" w:hAnsi="宋体" w:eastAsia="宋体" w:cs="宋体"/>
          <w:color w:val="000000"/>
          <w:sz w:val="24"/>
          <w:szCs w:val="24"/>
        </w:rPr>
        <w:t>11.开工和竣工</w:t>
      </w:r>
    </w:p>
    <w:p>
      <w:pPr>
        <w:spacing w:line="360" w:lineRule="auto"/>
        <w:rPr>
          <w:rFonts w:hint="eastAsia" w:ascii="宋体" w:hAnsi="宋体" w:eastAsia="宋体" w:cs="宋体"/>
          <w:color w:val="000000"/>
          <w:sz w:val="24"/>
          <w:szCs w:val="24"/>
        </w:rPr>
      </w:pPr>
      <w:bookmarkStart w:id="82" w:name="_bookmark164"/>
      <w:bookmarkEnd w:id="82"/>
      <w:r>
        <w:rPr>
          <w:rFonts w:hint="eastAsia" w:ascii="宋体" w:hAnsi="宋体" w:eastAsia="宋体" w:cs="宋体"/>
          <w:color w:val="000000"/>
          <w:sz w:val="24"/>
          <w:szCs w:val="24"/>
        </w:rPr>
        <w:t>11.1  开工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11.1.1 监理人应在开工日期 7 天前向承包人发出开工通知。监理人在发出开工通知前应获得发包人同意。工期自监理人发出的开工通知中载明的开工日期起计算。承包人应在开工日期后尽快施工。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11.1.2 承包人应按第 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numPr>
          <w:ilvl w:val="1"/>
          <w:numId w:val="6"/>
        </w:numPr>
        <w:spacing w:line="360" w:lineRule="auto"/>
        <w:ind w:left="0" w:firstLine="0"/>
        <w:rPr>
          <w:rFonts w:hint="eastAsia" w:ascii="宋体" w:hAnsi="宋体" w:eastAsia="宋体" w:cs="宋体"/>
          <w:color w:val="000000"/>
          <w:sz w:val="24"/>
          <w:szCs w:val="24"/>
        </w:rPr>
      </w:pPr>
      <w:bookmarkStart w:id="83" w:name="_bookmark165"/>
      <w:bookmarkEnd w:id="83"/>
      <w:r>
        <w:rPr>
          <w:rFonts w:hint="eastAsia" w:ascii="宋体" w:hAnsi="宋体" w:eastAsia="宋体" w:cs="宋体"/>
          <w:color w:val="000000"/>
          <w:sz w:val="24"/>
          <w:szCs w:val="24"/>
        </w:rPr>
        <w:t xml:space="preserve"> 竣工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承包人应在第 1.1.4.3 目约定的期限内完成合同工程。实际竣工日期在接收证书中写明。</w:t>
      </w:r>
    </w:p>
    <w:p>
      <w:pPr>
        <w:spacing w:line="360" w:lineRule="auto"/>
        <w:rPr>
          <w:rFonts w:hint="eastAsia" w:ascii="宋体" w:hAnsi="宋体" w:eastAsia="宋体" w:cs="宋体"/>
          <w:color w:val="000000"/>
          <w:sz w:val="24"/>
          <w:szCs w:val="24"/>
        </w:rPr>
      </w:pPr>
      <w:bookmarkStart w:id="84" w:name="_bookmark166"/>
      <w:bookmarkEnd w:id="84"/>
      <w:r>
        <w:rPr>
          <w:rFonts w:hint="eastAsia" w:ascii="宋体" w:hAnsi="宋体" w:eastAsia="宋体" w:cs="宋体"/>
          <w:color w:val="000000"/>
          <w:sz w:val="24"/>
          <w:szCs w:val="24"/>
        </w:rPr>
        <w:t>11.3</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发包人的工期延误</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在履行合同过程中，由于发包人的下列原因造成承包人关键线路工期延误的，承包人有权要求发包人延长工期和（或）增加费用。需要修订合同进度计划的，按照第10.2款的约定办理。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（1）增加合同工作内容；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（2）改变合同中任何一项工作的质量要求或其他特性；</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（3）发包人迟延提供材料、工程设备或变更交货地点的；</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（4）因发包人原因导致的暂停施工；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（5）提供图纸延误；</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（6）未按合同约定及时支付预付款、进度款；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（7）因发包人原因不能按照监理人发出的开工通知中载明的开工日期开工；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（8）发包人造成工期延误的其他原因见合同条款专用部分。</w:t>
      </w:r>
    </w:p>
    <w:p>
      <w:pPr>
        <w:spacing w:line="360" w:lineRule="auto"/>
        <w:rPr>
          <w:rFonts w:hint="eastAsia" w:ascii="宋体" w:hAnsi="宋体" w:eastAsia="宋体" w:cs="宋体"/>
          <w:color w:val="000000"/>
          <w:sz w:val="24"/>
          <w:szCs w:val="24"/>
        </w:rPr>
      </w:pPr>
      <w:bookmarkStart w:id="85" w:name="_bookmark167"/>
      <w:bookmarkEnd w:id="85"/>
      <w:r>
        <w:rPr>
          <w:rFonts w:hint="eastAsia" w:ascii="宋体" w:hAnsi="宋体" w:eastAsia="宋体" w:cs="宋体"/>
          <w:color w:val="000000"/>
          <w:sz w:val="24"/>
          <w:szCs w:val="24"/>
        </w:rPr>
        <w:t>11.4</w:t>
      </w:r>
      <w:r>
        <w:rPr>
          <w:rFonts w:hint="eastAsia" w:ascii="宋体" w:hAnsi="宋体" w:eastAsia="宋体" w:cs="宋体"/>
          <w:color w:val="000000"/>
          <w:sz w:val="24"/>
          <w:szCs w:val="24"/>
        </w:rPr>
        <w:tab/>
      </w:r>
      <w:r>
        <w:rPr>
          <w:rFonts w:hint="eastAsia" w:ascii="宋体" w:hAnsi="宋体" w:eastAsia="宋体" w:cs="宋体"/>
          <w:color w:val="000000"/>
          <w:sz w:val="24"/>
          <w:szCs w:val="24"/>
        </w:rPr>
        <w:t>异常恶劣的气候条件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由于出现异常恶劣气候的条件导致工期延误的，承包人有权要求发包人延长工期。异常恶劣的气候条件的范围和标准见合同条款专用部分。</w:t>
      </w:r>
    </w:p>
    <w:p>
      <w:pPr>
        <w:spacing w:line="360" w:lineRule="auto"/>
        <w:rPr>
          <w:rFonts w:hint="eastAsia" w:ascii="宋体" w:hAnsi="宋体" w:eastAsia="宋体" w:cs="宋体"/>
          <w:color w:val="000000"/>
          <w:sz w:val="24"/>
          <w:szCs w:val="24"/>
        </w:rPr>
      </w:pPr>
      <w:bookmarkStart w:id="86" w:name="_bookmark168"/>
      <w:bookmarkEnd w:id="86"/>
      <w:r>
        <w:rPr>
          <w:rFonts w:hint="eastAsia" w:ascii="宋体" w:hAnsi="宋体" w:eastAsia="宋体" w:cs="宋体"/>
          <w:color w:val="000000"/>
          <w:sz w:val="24"/>
          <w:szCs w:val="24"/>
        </w:rPr>
        <w:t>11.5 承包人的工期延误</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11.5.1</w:t>
      </w:r>
      <w:r>
        <w:rPr>
          <w:rFonts w:hint="eastAsia" w:ascii="宋体" w:hAnsi="宋体" w:eastAsia="宋体" w:cs="宋体"/>
          <w:color w:val="000000"/>
          <w:sz w:val="24"/>
          <w:szCs w:val="24"/>
        </w:rPr>
        <w:tab/>
      </w:r>
      <w:r>
        <w:rPr>
          <w:rFonts w:hint="eastAsia" w:ascii="宋体" w:hAnsi="宋体" w:eastAsia="宋体" w:cs="宋体"/>
          <w:color w:val="000000"/>
          <w:sz w:val="24"/>
          <w:szCs w:val="24"/>
        </w:rPr>
        <w:t>由于承包人原因，未能按合同进度计划完成工作，或监理人认为承包人施工进度不能满足合同工期要求的，承包人应采取措施加快进度，并承担加快进度所增加的费用。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11.5.2</w:t>
      </w:r>
      <w:r>
        <w:rPr>
          <w:rFonts w:hint="eastAsia" w:ascii="宋体" w:hAnsi="宋体" w:eastAsia="宋体" w:cs="宋体"/>
          <w:color w:val="000000"/>
          <w:sz w:val="24"/>
          <w:szCs w:val="24"/>
        </w:rPr>
        <w:tab/>
      </w:r>
      <w:r>
        <w:rPr>
          <w:rFonts w:hint="eastAsia" w:ascii="宋体" w:hAnsi="宋体" w:eastAsia="宋体" w:cs="宋体"/>
          <w:color w:val="000000"/>
          <w:sz w:val="24"/>
          <w:szCs w:val="24"/>
        </w:rPr>
        <w:t>由于承包人原因造成不能按期竣工的，按照合同约定的竣工日期（包括按合同工期延长）后 7 天内，监理人应当按第 23.4.1 项的约定书面通知承包人,说明发包人有权得到逾期竣工违约金，逾期竣工违约金计算标准和计算方法见合同条款专用部分。但最终逾期竣工违约金的金额不应超过合同约定的逾期竣工违约金最高限额。逾期竣工违约金最高限额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11.5.3</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承包人支付逾期竣工违约金，不免除承包人完成工程及修补缺陷的义务。</w:t>
      </w:r>
    </w:p>
    <w:p>
      <w:pPr>
        <w:spacing w:line="360" w:lineRule="auto"/>
        <w:rPr>
          <w:rFonts w:hint="eastAsia" w:ascii="宋体" w:hAnsi="宋体" w:eastAsia="宋体" w:cs="宋体"/>
          <w:color w:val="000000"/>
          <w:sz w:val="24"/>
          <w:szCs w:val="24"/>
        </w:rPr>
      </w:pPr>
      <w:bookmarkStart w:id="87" w:name="_bookmark169"/>
      <w:bookmarkEnd w:id="87"/>
      <w:r>
        <w:rPr>
          <w:rFonts w:hint="eastAsia" w:ascii="宋体" w:hAnsi="宋体" w:eastAsia="宋体" w:cs="宋体"/>
          <w:color w:val="000000"/>
          <w:sz w:val="24"/>
          <w:szCs w:val="24"/>
        </w:rPr>
        <w:t>11.6 工期提前</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见合同条款专用部分。</w:t>
      </w:r>
    </w:p>
    <w:p>
      <w:pPr>
        <w:spacing w:line="360" w:lineRule="auto"/>
        <w:rPr>
          <w:rFonts w:hint="eastAsia" w:ascii="宋体" w:hAnsi="宋体" w:eastAsia="宋体" w:cs="宋体"/>
          <w:color w:val="000000"/>
          <w:sz w:val="24"/>
          <w:szCs w:val="24"/>
        </w:rPr>
      </w:pPr>
      <w:bookmarkStart w:id="88" w:name="_bookmark170"/>
      <w:bookmarkEnd w:id="88"/>
      <w:r>
        <w:rPr>
          <w:rFonts w:hint="eastAsia" w:ascii="宋体" w:hAnsi="宋体" w:eastAsia="宋体" w:cs="宋体"/>
          <w:color w:val="000000"/>
          <w:sz w:val="24"/>
          <w:szCs w:val="24"/>
        </w:rPr>
        <w:t>12.暂停施工</w:t>
      </w:r>
    </w:p>
    <w:p>
      <w:pPr>
        <w:spacing w:line="360" w:lineRule="auto"/>
        <w:rPr>
          <w:rFonts w:hint="eastAsia" w:ascii="宋体" w:hAnsi="宋体" w:eastAsia="宋体" w:cs="宋体"/>
          <w:color w:val="000000"/>
          <w:sz w:val="24"/>
          <w:szCs w:val="24"/>
        </w:rPr>
      </w:pPr>
      <w:bookmarkStart w:id="89" w:name="_bookmark171"/>
      <w:bookmarkEnd w:id="89"/>
      <w:r>
        <w:rPr>
          <w:rFonts w:hint="eastAsia" w:ascii="宋体" w:hAnsi="宋体" w:eastAsia="宋体" w:cs="宋体"/>
          <w:color w:val="000000"/>
          <w:sz w:val="24"/>
          <w:szCs w:val="24"/>
        </w:rPr>
        <w:t>12.1 承包人暂停施工的责任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因下列情形暂停施工增加的费用和（或）工期延误由承包人承担：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（1）承包人违约引起的暂停施工；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（2）由于承包人原因为工程合理施工和安全保障所必需的暂停施工；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（3）承包人擅自暂停施工；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（4）承包人承担暂停施工责任的其他情形见合同条款专用部分。</w:t>
      </w:r>
    </w:p>
    <w:p>
      <w:pPr>
        <w:spacing w:line="360" w:lineRule="auto"/>
        <w:rPr>
          <w:rFonts w:hint="eastAsia" w:ascii="宋体" w:hAnsi="宋体" w:eastAsia="宋体" w:cs="宋体"/>
          <w:color w:val="000000"/>
          <w:sz w:val="24"/>
          <w:szCs w:val="24"/>
        </w:rPr>
      </w:pPr>
      <w:bookmarkStart w:id="90" w:name="_bookmark172"/>
      <w:bookmarkEnd w:id="90"/>
      <w:r>
        <w:rPr>
          <w:rFonts w:hint="eastAsia" w:ascii="宋体" w:hAnsi="宋体" w:eastAsia="宋体" w:cs="宋体"/>
          <w:color w:val="000000"/>
          <w:sz w:val="24"/>
          <w:szCs w:val="24"/>
        </w:rPr>
        <w:t>12.2 发包人暂停施工的责任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由于发包人原因引起的暂停施工造成工期延误的，承包人有权要求发包人延长工期和（或）增加费用。</w:t>
      </w:r>
    </w:p>
    <w:p>
      <w:pPr>
        <w:spacing w:line="360" w:lineRule="auto"/>
        <w:rPr>
          <w:rFonts w:hint="eastAsia" w:ascii="宋体" w:hAnsi="宋体" w:eastAsia="宋体" w:cs="宋体"/>
          <w:color w:val="000000"/>
          <w:sz w:val="24"/>
          <w:szCs w:val="24"/>
        </w:rPr>
      </w:pPr>
      <w:bookmarkStart w:id="91" w:name="_bookmark173"/>
      <w:bookmarkEnd w:id="91"/>
      <w:r>
        <w:rPr>
          <w:rFonts w:hint="eastAsia" w:ascii="宋体" w:hAnsi="宋体" w:eastAsia="宋体" w:cs="宋体"/>
          <w:color w:val="000000"/>
          <w:sz w:val="24"/>
          <w:szCs w:val="24"/>
        </w:rPr>
        <w:t>12.3 监理人暂停施工指示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12.3.1 监理人认为有必要时，可向承包人作出暂停施工的指示，承包人应按监理人指示暂停施工。不论由于何种原因引起的暂停施工，暂停施工期间承包人应负责妥善保护工程并提供安全保障。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12.3.2 由于发包人的原因发生暂停施工的紧急情况，且监理人未及时下达暂停施工指示的，承包人可先暂停施工，并及时向监理人提出暂停施工的书面请求。监理人应在接到书面请求后的 24 小时内予以答复，逾期未答复的，视为同意承包人的暂停施工请求。</w:t>
      </w:r>
    </w:p>
    <w:p>
      <w:pPr>
        <w:spacing w:line="360" w:lineRule="auto"/>
        <w:rPr>
          <w:rFonts w:hint="eastAsia" w:ascii="宋体" w:hAnsi="宋体" w:eastAsia="宋体" w:cs="宋体"/>
          <w:color w:val="000000"/>
          <w:sz w:val="24"/>
          <w:szCs w:val="24"/>
        </w:rPr>
      </w:pPr>
      <w:bookmarkStart w:id="92" w:name="_bookmark174"/>
      <w:bookmarkEnd w:id="92"/>
      <w:r>
        <w:rPr>
          <w:rFonts w:hint="eastAsia" w:ascii="宋体" w:hAnsi="宋体" w:eastAsia="宋体" w:cs="宋体"/>
          <w:color w:val="000000"/>
          <w:sz w:val="24"/>
          <w:szCs w:val="24"/>
        </w:rPr>
        <w:t>12.4 暂停施工后的复工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12.4.2 承包人无故拖延和拒绝复工的，由此增加的费用和工期延误由承包人承担；因发包人原因无法按时复工的，承包人有权要求发包人延长工期和（或）增加费用。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12.4.3 根据第 12.4.1 款的约定，监理人发出复工通知后，监理人应和承包人一起对 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12.4.4 暂停施工持续 56 天以上，按合同约定由承包人提供的材料和工程设备，由于暂停施工原因导致承包人在暂停施工前已经订购但被暂停运至施工现场的，发包人应按照承包人订购合同的约定支付相应的订购款项。</w:t>
      </w:r>
    </w:p>
    <w:p>
      <w:pPr>
        <w:spacing w:line="360" w:lineRule="auto"/>
        <w:rPr>
          <w:rFonts w:hint="eastAsia" w:ascii="宋体" w:hAnsi="宋体" w:eastAsia="宋体" w:cs="宋体"/>
          <w:color w:val="000000"/>
          <w:sz w:val="24"/>
          <w:szCs w:val="24"/>
        </w:rPr>
      </w:pPr>
      <w:bookmarkStart w:id="93" w:name="_bookmark175"/>
      <w:bookmarkEnd w:id="93"/>
      <w:r>
        <w:rPr>
          <w:rFonts w:hint="eastAsia" w:ascii="宋体" w:hAnsi="宋体" w:eastAsia="宋体" w:cs="宋体"/>
          <w:color w:val="000000"/>
          <w:sz w:val="24"/>
          <w:szCs w:val="24"/>
        </w:rPr>
        <w:t>12.5 暂停施工持续56天以上</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12.5.1</w:t>
      </w:r>
      <w:r>
        <w:rPr>
          <w:rFonts w:hint="eastAsia" w:ascii="宋体" w:hAnsi="宋体" w:eastAsia="宋体" w:cs="宋体"/>
          <w:color w:val="000000"/>
          <w:sz w:val="24"/>
          <w:szCs w:val="24"/>
        </w:rPr>
        <w:tab/>
      </w:r>
      <w:r>
        <w:rPr>
          <w:rFonts w:hint="eastAsia" w:ascii="宋体" w:hAnsi="宋体" w:eastAsia="宋体" w:cs="宋体"/>
          <w:color w:val="000000"/>
          <w:sz w:val="24"/>
          <w:szCs w:val="24"/>
        </w:rPr>
        <w:t>监理人发出暂停施工指示后 56 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12.5.2</w:t>
      </w:r>
      <w:r>
        <w:rPr>
          <w:rFonts w:hint="eastAsia" w:ascii="宋体" w:hAnsi="宋体" w:eastAsia="宋体" w:cs="宋体"/>
          <w:color w:val="000000"/>
          <w:sz w:val="24"/>
          <w:szCs w:val="24"/>
        </w:rPr>
        <w:tab/>
      </w:r>
      <w:r>
        <w:rPr>
          <w:rFonts w:hint="eastAsia" w:ascii="宋体" w:hAnsi="宋体" w:eastAsia="宋体" w:cs="宋体"/>
          <w:color w:val="000000"/>
          <w:sz w:val="24"/>
          <w:szCs w:val="24"/>
        </w:rPr>
        <w:t>由于承包人责任引起的暂停施工，如承包人在收到监理人暂停施工指示后56天内不认真采取有效的复工措施，造成工期延误，可视为承包人违约，应按第 22.1 款的规定办理。</w:t>
      </w:r>
    </w:p>
    <w:p>
      <w:pPr>
        <w:spacing w:line="360" w:lineRule="auto"/>
        <w:rPr>
          <w:rFonts w:hint="eastAsia" w:ascii="宋体" w:hAnsi="宋体" w:eastAsia="宋体" w:cs="宋体"/>
          <w:color w:val="000000"/>
          <w:sz w:val="24"/>
          <w:szCs w:val="24"/>
        </w:rPr>
      </w:pPr>
      <w:bookmarkStart w:id="94" w:name="_bookmark176"/>
      <w:bookmarkEnd w:id="94"/>
      <w:r>
        <w:rPr>
          <w:rFonts w:hint="eastAsia" w:ascii="宋体" w:hAnsi="宋体" w:eastAsia="宋体" w:cs="宋体"/>
          <w:color w:val="000000"/>
          <w:sz w:val="24"/>
          <w:szCs w:val="24"/>
        </w:rPr>
        <w:t>13.工程质量</w:t>
      </w:r>
    </w:p>
    <w:p>
      <w:pPr>
        <w:spacing w:line="360" w:lineRule="auto"/>
        <w:rPr>
          <w:rFonts w:hint="eastAsia" w:ascii="宋体" w:hAnsi="宋体" w:eastAsia="宋体" w:cs="宋体"/>
          <w:color w:val="000000"/>
          <w:sz w:val="24"/>
          <w:szCs w:val="24"/>
        </w:rPr>
      </w:pPr>
      <w:bookmarkStart w:id="95" w:name="_bookmark177"/>
      <w:bookmarkEnd w:id="95"/>
      <w:r>
        <w:rPr>
          <w:rFonts w:hint="eastAsia" w:ascii="宋体" w:hAnsi="宋体" w:eastAsia="宋体" w:cs="宋体"/>
          <w:color w:val="000000"/>
          <w:sz w:val="24"/>
          <w:szCs w:val="24"/>
        </w:rPr>
        <w:t>13.1</w:t>
      </w:r>
      <w:r>
        <w:rPr>
          <w:rFonts w:hint="eastAsia" w:ascii="宋体" w:hAnsi="宋体" w:eastAsia="宋体" w:cs="宋体"/>
          <w:color w:val="000000"/>
          <w:sz w:val="24"/>
          <w:szCs w:val="24"/>
        </w:rPr>
        <w:tab/>
      </w:r>
      <w:r>
        <w:rPr>
          <w:rFonts w:hint="eastAsia" w:ascii="宋体" w:hAnsi="宋体" w:eastAsia="宋体" w:cs="宋体"/>
          <w:color w:val="000000"/>
          <w:sz w:val="24"/>
          <w:szCs w:val="24"/>
        </w:rPr>
        <w:t>工程质量要求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13.1.1</w:t>
      </w:r>
      <w:r>
        <w:rPr>
          <w:rFonts w:hint="eastAsia" w:ascii="宋体" w:hAnsi="宋体" w:eastAsia="宋体" w:cs="宋体"/>
          <w:color w:val="000000"/>
          <w:sz w:val="24"/>
          <w:szCs w:val="24"/>
        </w:rPr>
        <w:tab/>
      </w:r>
      <w:r>
        <w:rPr>
          <w:rFonts w:hint="eastAsia" w:ascii="宋体" w:hAnsi="宋体" w:eastAsia="宋体" w:cs="宋体"/>
          <w:color w:val="000000"/>
          <w:sz w:val="24"/>
          <w:szCs w:val="24"/>
        </w:rPr>
        <w:t>工程质量验收按合同约定验收标准执行。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13.1.2 因承包人原因造成工程质量达不到合同约定验收标准的，监理人有权要求承包人返工直至符合合同要求为止，由此造成的费用增加和（或）工期延误由承包人承担。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13.1.3 因发包人原因造成工程质量达不到合同约定验收标准的，发包人应承担由于承包人返工造成的费用增加和（或）工期延误。</w:t>
      </w:r>
    </w:p>
    <w:p>
      <w:pPr>
        <w:spacing w:line="360" w:lineRule="auto"/>
        <w:rPr>
          <w:rFonts w:hint="eastAsia" w:ascii="宋体" w:hAnsi="宋体" w:eastAsia="宋体" w:cs="宋体"/>
          <w:color w:val="000000"/>
          <w:sz w:val="24"/>
          <w:szCs w:val="24"/>
        </w:rPr>
      </w:pPr>
      <w:bookmarkStart w:id="96" w:name="_bookmark178"/>
      <w:bookmarkEnd w:id="96"/>
      <w:r>
        <w:rPr>
          <w:rFonts w:hint="eastAsia" w:ascii="宋体" w:hAnsi="宋体" w:eastAsia="宋体" w:cs="宋体"/>
          <w:color w:val="000000"/>
          <w:sz w:val="24"/>
          <w:szCs w:val="24"/>
        </w:rPr>
        <w:t>13.2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承包人的质量管理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13.2.1</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期限内完成审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13.2.2 承包人应加强对施工人员的质量教育和技术培训，定期考核施工人员的劳动技能，严格执行规范和操作规程。</w:t>
      </w:r>
    </w:p>
    <w:p>
      <w:pPr>
        <w:spacing w:line="360" w:lineRule="auto"/>
        <w:rPr>
          <w:rFonts w:hint="eastAsia" w:ascii="宋体" w:hAnsi="宋体" w:eastAsia="宋体" w:cs="宋体"/>
          <w:color w:val="000000"/>
          <w:sz w:val="24"/>
          <w:szCs w:val="24"/>
        </w:rPr>
      </w:pPr>
      <w:bookmarkStart w:id="97" w:name="_bookmark179"/>
      <w:bookmarkEnd w:id="97"/>
      <w:r>
        <w:rPr>
          <w:rFonts w:hint="eastAsia" w:ascii="宋体" w:hAnsi="宋体" w:eastAsia="宋体" w:cs="宋体"/>
          <w:color w:val="000000"/>
          <w:sz w:val="24"/>
          <w:szCs w:val="24"/>
        </w:rPr>
        <w:t>13.3</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承包人的质量检查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pPr>
        <w:spacing w:line="360" w:lineRule="auto"/>
        <w:rPr>
          <w:rFonts w:hint="eastAsia" w:ascii="宋体" w:hAnsi="宋体" w:eastAsia="宋体" w:cs="宋体"/>
          <w:color w:val="000000"/>
          <w:sz w:val="24"/>
          <w:szCs w:val="24"/>
        </w:rPr>
      </w:pPr>
      <w:bookmarkStart w:id="98" w:name="_bookmark180"/>
      <w:bookmarkEnd w:id="98"/>
      <w:r>
        <w:rPr>
          <w:rFonts w:hint="eastAsia" w:ascii="宋体" w:hAnsi="宋体" w:eastAsia="宋体" w:cs="宋体"/>
          <w:color w:val="000000"/>
          <w:sz w:val="24"/>
          <w:szCs w:val="24"/>
        </w:rPr>
        <w:t>13.4</w:t>
      </w:r>
      <w:r>
        <w:rPr>
          <w:rFonts w:hint="eastAsia" w:ascii="宋体" w:hAnsi="宋体" w:eastAsia="宋体" w:cs="宋体"/>
          <w:color w:val="000000"/>
          <w:sz w:val="24"/>
          <w:szCs w:val="24"/>
        </w:rPr>
        <w:tab/>
      </w:r>
      <w:r>
        <w:rPr>
          <w:rFonts w:hint="eastAsia" w:ascii="宋体" w:hAnsi="宋体" w:eastAsia="宋体" w:cs="宋体"/>
          <w:color w:val="000000"/>
          <w:sz w:val="24"/>
          <w:szCs w:val="24"/>
        </w:rPr>
        <w:t>监理人的质量检查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见合同条款专用部分。</w:t>
      </w:r>
    </w:p>
    <w:p>
      <w:pPr>
        <w:spacing w:line="360" w:lineRule="auto"/>
        <w:rPr>
          <w:rFonts w:hint="eastAsia" w:ascii="宋体" w:hAnsi="宋体" w:eastAsia="宋体" w:cs="宋体"/>
          <w:color w:val="000000"/>
          <w:sz w:val="24"/>
          <w:szCs w:val="24"/>
        </w:rPr>
      </w:pPr>
      <w:bookmarkStart w:id="99" w:name="_bookmark181"/>
      <w:bookmarkEnd w:id="99"/>
      <w:r>
        <w:rPr>
          <w:rFonts w:hint="eastAsia" w:ascii="宋体" w:hAnsi="宋体" w:eastAsia="宋体" w:cs="宋体"/>
          <w:color w:val="000000"/>
          <w:sz w:val="24"/>
          <w:szCs w:val="24"/>
        </w:rPr>
        <w:t>13.5</w:t>
      </w:r>
      <w:r>
        <w:rPr>
          <w:rFonts w:hint="eastAsia" w:ascii="宋体" w:hAnsi="宋体" w:eastAsia="宋体" w:cs="宋体"/>
          <w:color w:val="000000"/>
          <w:sz w:val="24"/>
          <w:szCs w:val="24"/>
        </w:rPr>
        <w:tab/>
      </w:r>
      <w:r>
        <w:rPr>
          <w:rFonts w:hint="eastAsia" w:ascii="宋体" w:hAnsi="宋体" w:eastAsia="宋体" w:cs="宋体"/>
          <w:color w:val="000000"/>
          <w:sz w:val="24"/>
          <w:szCs w:val="24"/>
        </w:rPr>
        <w:t>工程隐蔽部位覆盖前的检查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13.5.1</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通知监理人检查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13.5.2</w:t>
      </w:r>
      <w:r>
        <w:rPr>
          <w:rFonts w:hint="eastAsia" w:ascii="宋体" w:hAnsi="宋体" w:eastAsia="宋体" w:cs="宋体"/>
          <w:color w:val="000000"/>
          <w:sz w:val="24"/>
          <w:szCs w:val="24"/>
        </w:rPr>
        <w:tab/>
      </w:r>
      <w:r>
        <w:rPr>
          <w:rFonts w:hint="eastAsia" w:ascii="宋体" w:hAnsi="宋体" w:eastAsia="宋体" w:cs="宋体"/>
          <w:color w:val="000000"/>
          <w:sz w:val="24"/>
          <w:szCs w:val="24"/>
        </w:rPr>
        <w:t>监理人未到场检查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监理人未按第 13.5.1 项约定的时间进行检查的，除监理人另有指示外，承包人可自行完成覆盖工作，并作相应记录报送监理人，监理人应签字确认。监理人事后对检查记录有疑问的，可按第 13.5.3 项的约定重新检查。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13.5.3</w:t>
      </w:r>
      <w:r>
        <w:rPr>
          <w:rFonts w:hint="eastAsia" w:ascii="宋体" w:hAnsi="宋体" w:eastAsia="宋体" w:cs="宋体"/>
          <w:color w:val="000000"/>
          <w:sz w:val="24"/>
          <w:szCs w:val="24"/>
        </w:rPr>
        <w:tab/>
      </w:r>
      <w:r>
        <w:rPr>
          <w:rFonts w:hint="eastAsia" w:ascii="宋体" w:hAnsi="宋体" w:eastAsia="宋体" w:cs="宋体"/>
          <w:color w:val="000000"/>
          <w:sz w:val="24"/>
          <w:szCs w:val="24"/>
        </w:rPr>
        <w:t>监理人重新检查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经检验证明工程质量不符合合同要求的，由此增加的费用和（或）工期延误由承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13.5.4</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承包人私自覆盖</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承包人未通知监理人到场检查，私自将工程隐蔽部位覆盖的，监理人有权指示承包人钻孔探测或揭开检查，由此增加的费用和（或）工期延误由承包人承担。</w:t>
      </w:r>
    </w:p>
    <w:p>
      <w:pPr>
        <w:spacing w:line="360" w:lineRule="auto"/>
        <w:rPr>
          <w:rFonts w:hint="eastAsia" w:ascii="宋体" w:hAnsi="宋体" w:eastAsia="宋体" w:cs="宋体"/>
          <w:color w:val="000000"/>
          <w:sz w:val="24"/>
          <w:szCs w:val="24"/>
        </w:rPr>
      </w:pPr>
      <w:bookmarkStart w:id="100" w:name="_bookmark182"/>
      <w:bookmarkEnd w:id="100"/>
      <w:r>
        <w:rPr>
          <w:rFonts w:hint="eastAsia" w:ascii="宋体" w:hAnsi="宋体" w:eastAsia="宋体" w:cs="宋体"/>
          <w:color w:val="000000"/>
          <w:sz w:val="24"/>
          <w:szCs w:val="24"/>
        </w:rPr>
        <w:t>13.6</w:t>
      </w:r>
      <w:r>
        <w:rPr>
          <w:rFonts w:hint="eastAsia" w:ascii="宋体" w:hAnsi="宋体" w:eastAsia="宋体" w:cs="宋体"/>
          <w:color w:val="000000"/>
          <w:sz w:val="24"/>
          <w:szCs w:val="24"/>
        </w:rPr>
        <w:tab/>
      </w:r>
      <w:r>
        <w:rPr>
          <w:rFonts w:hint="eastAsia" w:ascii="宋体" w:hAnsi="宋体" w:eastAsia="宋体" w:cs="宋体"/>
          <w:color w:val="000000"/>
          <w:sz w:val="24"/>
          <w:szCs w:val="24"/>
        </w:rPr>
        <w:t>清除不合格工程</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13.6.1</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13.6.2 由于发包人提供的材料或工程设备不合格造成的工程不合格，需要承包人采取措施补救的，发包人应承担由此增加的费用和（或）工期延误。</w:t>
      </w:r>
    </w:p>
    <w:p>
      <w:pPr>
        <w:spacing w:line="360" w:lineRule="auto"/>
        <w:rPr>
          <w:rFonts w:hint="eastAsia" w:ascii="宋体" w:hAnsi="宋体" w:eastAsia="宋体" w:cs="宋体"/>
          <w:color w:val="000000"/>
          <w:sz w:val="24"/>
          <w:szCs w:val="24"/>
        </w:rPr>
      </w:pPr>
      <w:bookmarkStart w:id="101" w:name="_bookmark183"/>
      <w:bookmarkEnd w:id="101"/>
      <w:r>
        <w:rPr>
          <w:rFonts w:hint="eastAsia" w:ascii="宋体" w:hAnsi="宋体" w:eastAsia="宋体" w:cs="宋体"/>
          <w:color w:val="000000"/>
          <w:sz w:val="24"/>
          <w:szCs w:val="24"/>
        </w:rPr>
        <w:t>13.7</w:t>
      </w:r>
      <w:r>
        <w:rPr>
          <w:rFonts w:hint="eastAsia" w:ascii="宋体" w:hAnsi="宋体" w:eastAsia="宋体" w:cs="宋体"/>
          <w:color w:val="000000"/>
          <w:sz w:val="24"/>
          <w:szCs w:val="24"/>
        </w:rPr>
        <w:tab/>
      </w:r>
      <w:r>
        <w:rPr>
          <w:rFonts w:hint="eastAsia" w:ascii="宋体" w:hAnsi="宋体" w:eastAsia="宋体" w:cs="宋体"/>
          <w:color w:val="000000"/>
          <w:sz w:val="24"/>
          <w:szCs w:val="24"/>
        </w:rPr>
        <w:t>质量争议</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发包人和承包人对工程质量有争议的，除可按第 24 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spacing w:line="360" w:lineRule="auto"/>
        <w:rPr>
          <w:rFonts w:hint="eastAsia" w:ascii="宋体" w:hAnsi="宋体" w:eastAsia="宋体" w:cs="宋体"/>
          <w:color w:val="000000"/>
          <w:sz w:val="24"/>
          <w:szCs w:val="24"/>
        </w:rPr>
      </w:pPr>
      <w:bookmarkStart w:id="102" w:name="_bookmark184"/>
      <w:bookmarkEnd w:id="102"/>
      <w:r>
        <w:rPr>
          <w:rFonts w:hint="eastAsia" w:ascii="宋体" w:hAnsi="宋体" w:eastAsia="宋体" w:cs="宋体"/>
          <w:color w:val="000000"/>
          <w:sz w:val="24"/>
          <w:szCs w:val="24"/>
        </w:rPr>
        <w:t>14.试验和检验</w:t>
      </w:r>
    </w:p>
    <w:p>
      <w:pPr>
        <w:spacing w:line="360" w:lineRule="auto"/>
        <w:rPr>
          <w:rFonts w:hint="eastAsia" w:ascii="宋体" w:hAnsi="宋体" w:eastAsia="宋体" w:cs="宋体"/>
          <w:color w:val="000000"/>
          <w:sz w:val="24"/>
          <w:szCs w:val="24"/>
        </w:rPr>
      </w:pPr>
      <w:bookmarkStart w:id="103" w:name="_bookmark185"/>
      <w:bookmarkEnd w:id="103"/>
      <w:r>
        <w:rPr>
          <w:rFonts w:hint="eastAsia" w:ascii="宋体" w:hAnsi="宋体" w:eastAsia="宋体" w:cs="宋体"/>
          <w:color w:val="000000"/>
          <w:sz w:val="24"/>
          <w:szCs w:val="24"/>
        </w:rPr>
        <w:t>14.1</w:t>
      </w:r>
      <w:r>
        <w:rPr>
          <w:rFonts w:hint="eastAsia" w:ascii="宋体" w:hAnsi="宋体" w:eastAsia="宋体" w:cs="宋体"/>
          <w:color w:val="000000"/>
          <w:sz w:val="24"/>
          <w:szCs w:val="24"/>
        </w:rPr>
        <w:tab/>
      </w:r>
      <w:r>
        <w:rPr>
          <w:rFonts w:hint="eastAsia" w:ascii="宋体" w:hAnsi="宋体" w:eastAsia="宋体" w:cs="宋体"/>
          <w:color w:val="000000"/>
          <w:sz w:val="24"/>
          <w:szCs w:val="24"/>
        </w:rPr>
        <w:t>材料、工程设备和工程的试验和检验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14.1.2 监理人未按合同约定派员参加试验和检验的，除监理人另有指示外，承包人可自行试验和检验，并应立即将试验和检验结果报送监理人，监理人应签字确认。</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pPr>
        <w:spacing w:line="360" w:lineRule="auto"/>
        <w:rPr>
          <w:rFonts w:hint="eastAsia" w:ascii="宋体" w:hAnsi="宋体" w:eastAsia="宋体" w:cs="宋体"/>
          <w:color w:val="000000"/>
          <w:sz w:val="24"/>
          <w:szCs w:val="24"/>
        </w:rPr>
      </w:pPr>
      <w:bookmarkStart w:id="104" w:name="_bookmark186"/>
      <w:bookmarkEnd w:id="104"/>
      <w:r>
        <w:rPr>
          <w:rFonts w:hint="eastAsia" w:ascii="宋体" w:hAnsi="宋体" w:eastAsia="宋体" w:cs="宋体"/>
          <w:color w:val="000000"/>
          <w:sz w:val="24"/>
          <w:szCs w:val="24"/>
        </w:rPr>
        <w:t>14.2</w:t>
      </w:r>
      <w:r>
        <w:rPr>
          <w:rFonts w:hint="eastAsia" w:ascii="宋体" w:hAnsi="宋体" w:eastAsia="宋体" w:cs="宋体"/>
          <w:color w:val="000000"/>
          <w:sz w:val="24"/>
          <w:szCs w:val="24"/>
        </w:rPr>
        <w:tab/>
      </w:r>
      <w:r>
        <w:rPr>
          <w:rFonts w:hint="eastAsia" w:ascii="宋体" w:hAnsi="宋体" w:eastAsia="宋体" w:cs="宋体"/>
          <w:color w:val="000000"/>
          <w:sz w:val="24"/>
          <w:szCs w:val="24"/>
        </w:rPr>
        <w:t>现场材料试验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14.2.1 承包人根据合同约定或监理人指示进行的现场材料试验，应由承包人提供试验场所、试验人员、试验设备器材以及其他必要的试验条件。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14.2.2 监理人在必要时可以使用承包人的试验场所、试验设备器材以及其他试验条件，进行以工程质量检查为目的的复核性材料试验，承包人应予以协助。</w:t>
      </w:r>
    </w:p>
    <w:p>
      <w:pPr>
        <w:spacing w:line="360" w:lineRule="auto"/>
        <w:rPr>
          <w:rFonts w:hint="eastAsia" w:ascii="宋体" w:hAnsi="宋体" w:eastAsia="宋体" w:cs="宋体"/>
          <w:color w:val="000000"/>
          <w:sz w:val="24"/>
          <w:szCs w:val="24"/>
        </w:rPr>
      </w:pPr>
      <w:bookmarkStart w:id="105" w:name="_bookmark187"/>
      <w:bookmarkEnd w:id="105"/>
      <w:r>
        <w:rPr>
          <w:rFonts w:hint="eastAsia" w:ascii="宋体" w:hAnsi="宋体" w:eastAsia="宋体" w:cs="宋体"/>
          <w:color w:val="000000"/>
          <w:sz w:val="24"/>
          <w:szCs w:val="24"/>
        </w:rPr>
        <w:t>14.3</w:t>
      </w:r>
      <w:r>
        <w:rPr>
          <w:rFonts w:hint="eastAsia" w:ascii="宋体" w:hAnsi="宋体" w:eastAsia="宋体" w:cs="宋体"/>
          <w:color w:val="000000"/>
          <w:sz w:val="24"/>
          <w:szCs w:val="24"/>
        </w:rPr>
        <w:tab/>
      </w:r>
      <w:r>
        <w:rPr>
          <w:rFonts w:hint="eastAsia" w:ascii="宋体" w:hAnsi="宋体" w:eastAsia="宋体" w:cs="宋体"/>
          <w:color w:val="000000"/>
          <w:sz w:val="24"/>
          <w:szCs w:val="24"/>
        </w:rPr>
        <w:t>现场工艺试验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承包人应按合同约定或监理人指示进行现场工艺试验。对大型的现场工艺试验，监理人认为必要时，应由承包人根据监理人提出的工艺试验要求，编制工艺试验措施计划，报送监理人审批。</w:t>
      </w:r>
    </w:p>
    <w:p>
      <w:pPr>
        <w:spacing w:line="360" w:lineRule="auto"/>
        <w:rPr>
          <w:rFonts w:hint="eastAsia" w:ascii="宋体" w:hAnsi="宋体" w:eastAsia="宋体" w:cs="宋体"/>
          <w:color w:val="000000"/>
          <w:sz w:val="24"/>
          <w:szCs w:val="24"/>
        </w:rPr>
      </w:pPr>
      <w:bookmarkStart w:id="106" w:name="_bookmark188"/>
      <w:bookmarkEnd w:id="106"/>
      <w:r>
        <w:rPr>
          <w:rFonts w:hint="eastAsia" w:ascii="宋体" w:hAnsi="宋体" w:eastAsia="宋体" w:cs="宋体"/>
          <w:color w:val="000000"/>
          <w:sz w:val="24"/>
          <w:szCs w:val="24"/>
        </w:rPr>
        <w:t>15.变更</w:t>
      </w:r>
    </w:p>
    <w:p>
      <w:pPr>
        <w:spacing w:line="360" w:lineRule="auto"/>
        <w:rPr>
          <w:rFonts w:hint="eastAsia" w:ascii="宋体" w:hAnsi="宋体" w:eastAsia="宋体" w:cs="宋体"/>
          <w:color w:val="000000"/>
          <w:sz w:val="24"/>
          <w:szCs w:val="24"/>
        </w:rPr>
      </w:pPr>
      <w:bookmarkStart w:id="107" w:name="_bookmark189"/>
      <w:bookmarkEnd w:id="107"/>
      <w:r>
        <w:rPr>
          <w:rFonts w:hint="eastAsia" w:ascii="宋体" w:hAnsi="宋体" w:eastAsia="宋体" w:cs="宋体"/>
          <w:color w:val="000000"/>
          <w:sz w:val="24"/>
          <w:szCs w:val="24"/>
        </w:rPr>
        <w:t>15.1</w:t>
      </w:r>
      <w:r>
        <w:rPr>
          <w:rFonts w:hint="eastAsia" w:ascii="宋体" w:hAnsi="宋体" w:eastAsia="宋体" w:cs="宋体"/>
          <w:color w:val="000000"/>
          <w:sz w:val="24"/>
          <w:szCs w:val="24"/>
        </w:rPr>
        <w:tab/>
      </w:r>
      <w:r>
        <w:rPr>
          <w:rFonts w:hint="eastAsia" w:ascii="宋体" w:hAnsi="宋体" w:eastAsia="宋体" w:cs="宋体"/>
          <w:color w:val="000000"/>
          <w:sz w:val="24"/>
          <w:szCs w:val="24"/>
        </w:rPr>
        <w:t>变更的范围和内容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15.1.1</w:t>
      </w:r>
      <w:r>
        <w:rPr>
          <w:rFonts w:hint="eastAsia" w:ascii="宋体" w:hAnsi="宋体" w:eastAsia="宋体" w:cs="宋体"/>
          <w:color w:val="000000"/>
          <w:sz w:val="24"/>
          <w:szCs w:val="24"/>
        </w:rPr>
        <w:tab/>
      </w:r>
      <w:r>
        <w:rPr>
          <w:rFonts w:hint="eastAsia" w:ascii="宋体" w:hAnsi="宋体" w:eastAsia="宋体" w:cs="宋体"/>
          <w:color w:val="000000"/>
          <w:sz w:val="24"/>
          <w:szCs w:val="24"/>
        </w:rPr>
        <w:t>在履行合同中发生以下情形之一，应按照本条规定进行变更。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（1）取消合同中任何一项工作，但被取消的工作不能转由发包人或其他人实施；</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（2）改变合同中任何一项工作的质量或其他特性；</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（3）改变合同工程的基线、标高、位置或尺寸；</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（4）改变合同中任何一项工作的施工时间或改变已批准的施工工艺或顺序；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（5）为完成工程需要追加的额外工作；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（6）变更的其他情形见合同条款专用部分。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15.1.2 发包人违背第 15.1（1）目的约定，将被取消的合同中的工作转由发包人或其他人实施的，承包人可向监理人发出通知，要求发包人采取有效措施纠正违约行为，发包人在监理人收到承包人通知后 28 天内仍不纠正违约行为的，应当赔偿承包人损失并承担由此引起的其他责任。承包人应当按第 23.1（1）项的约定，在上述28天期限到期后的28天内，向监理人递交索赔意向通知书,并按第 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spacing w:line="360" w:lineRule="auto"/>
        <w:rPr>
          <w:rFonts w:hint="eastAsia" w:ascii="宋体" w:hAnsi="宋体" w:eastAsia="宋体" w:cs="宋体"/>
          <w:color w:val="000000"/>
          <w:sz w:val="24"/>
          <w:szCs w:val="24"/>
        </w:rPr>
      </w:pPr>
      <w:bookmarkStart w:id="108" w:name="_bookmark190"/>
      <w:bookmarkEnd w:id="108"/>
      <w:r>
        <w:rPr>
          <w:rFonts w:hint="eastAsia" w:ascii="宋体" w:hAnsi="宋体" w:eastAsia="宋体" w:cs="宋体"/>
          <w:color w:val="000000"/>
          <w:sz w:val="24"/>
          <w:szCs w:val="24"/>
        </w:rPr>
        <w:t>15.2  变更权</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在履行合同过程中，经发包人同意，监理人可按第 15.3 款约定的变更程序向承包人作出变更指示，承包人应遵照执行。没有监理人的变更指示，承包人不得擅自变更。</w:t>
      </w:r>
    </w:p>
    <w:p>
      <w:pPr>
        <w:numPr>
          <w:ilvl w:val="1"/>
          <w:numId w:val="7"/>
        </w:numPr>
        <w:spacing w:line="360" w:lineRule="auto"/>
        <w:rPr>
          <w:rFonts w:hint="eastAsia" w:ascii="宋体" w:hAnsi="宋体" w:eastAsia="宋体" w:cs="宋体"/>
          <w:color w:val="000000"/>
          <w:sz w:val="24"/>
          <w:szCs w:val="24"/>
        </w:rPr>
      </w:pPr>
      <w:bookmarkStart w:id="109" w:name="_bookmark191"/>
      <w:bookmarkEnd w:id="109"/>
      <w:r>
        <w:rPr>
          <w:rFonts w:hint="eastAsia" w:ascii="宋体" w:hAnsi="宋体" w:eastAsia="宋体" w:cs="宋体"/>
          <w:color w:val="000000"/>
          <w:sz w:val="24"/>
          <w:szCs w:val="24"/>
        </w:rPr>
        <w:t xml:space="preserve"> 变更程序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15.3.1变更的提出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在合同履行过程中，可能发生第15.1.1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（2）在合同履行过程中，发生第 15.1.1 项约定情形的，监理人应按照第 15.3.3 项约定 向承包人发出变更指示。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（3）承包人收到监理人按合同约定发出的图纸和文件，经检查认为其中存在第 15.1.1 项约定情形的，可向监理人提出书面变更建议。变更建议应阐明要求变更的依据，并附必要的图纸和说明。监理人收到承包人书面建议后，应与发包人共同研究，确认存在变更的，应在收到承包人书面建议后的 14 天内作出变更指示。经研究后不同意作为变更的，应由监理人书面答复承包人。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（4）若承包人收到监理人的变更意向书后认为难以实施此项变更，应立即通知监理人，说明原因并附详细依据。监理人与承包人和发包人协商后确定撤销、改变或不改变原变更意向书。</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15.3.2  变更估价</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（1）除合同条款专用部分对期限另有约定外，承包人应在收到变更指示或变更意向书后的 14 天内，向监理人提交变更报价书，报价内容应根据第 15.4 款约定的估价原则，详细开列变更工作的价格组成及其依据，并附必要的施工方法说明和有关图纸。承包人提交变更报价书的期限见合同条款专用部分。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（2）变更工作影响工期的，承包人应提出调整工期的具体细节。监理人认为有必要时，可要求承包人提交要求提前或延长工期的施工进度计划，及相应施工措施等详细资料。</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（3）除合同条款专用部分对期限另有约定外，监理人收到承包人变更报价书后的14天内，根据第 15.4 款约定的估价原则，按照第 3.5 款商定或确定变更价格。监理人商定或确定变更价格的期限见合同条款专用部分。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（4）收到变更指示后，如承包人未在规定的期限内提交变更报价书的，监理人可自行决定是否调整合同价款以及如果监理人决定调整合同价款时，相应调整的具体金额。</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15.3.3  变更指示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（1）变更指示只能由监理人发出。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（2）变更指示应说明变更的目的、范围、变更内容以及变更的工程量及其进度和技术要求，并附有关图纸和文件。承包人收到变更指示后，应按变更指示进行变更工作。</w:t>
      </w:r>
    </w:p>
    <w:p>
      <w:pPr>
        <w:spacing w:line="360" w:lineRule="auto"/>
        <w:rPr>
          <w:rFonts w:hint="eastAsia" w:ascii="宋体" w:hAnsi="宋体" w:eastAsia="宋体" w:cs="宋体"/>
          <w:color w:val="000000"/>
          <w:sz w:val="24"/>
          <w:szCs w:val="24"/>
        </w:rPr>
      </w:pPr>
      <w:bookmarkStart w:id="110" w:name="_bookmark192"/>
      <w:bookmarkEnd w:id="110"/>
      <w:r>
        <w:rPr>
          <w:rFonts w:hint="eastAsia" w:ascii="宋体" w:hAnsi="宋体" w:eastAsia="宋体" w:cs="宋体"/>
          <w:color w:val="000000"/>
          <w:sz w:val="24"/>
          <w:szCs w:val="24"/>
        </w:rPr>
        <w:t>15.4</w:t>
      </w:r>
      <w:r>
        <w:rPr>
          <w:rFonts w:hint="eastAsia" w:ascii="宋体" w:hAnsi="宋体" w:eastAsia="宋体" w:cs="宋体"/>
          <w:color w:val="000000"/>
          <w:sz w:val="24"/>
          <w:szCs w:val="24"/>
        </w:rPr>
        <w:tab/>
      </w:r>
      <w:r>
        <w:rPr>
          <w:rFonts w:hint="eastAsia" w:ascii="宋体" w:hAnsi="宋体" w:eastAsia="宋体" w:cs="宋体"/>
          <w:color w:val="000000"/>
          <w:sz w:val="24"/>
          <w:szCs w:val="24"/>
        </w:rPr>
        <w:t>变更的估价原则</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因工程量清单漏项（仅适用于合同协议书约定采用单价合同形式时）或变更引起的价格调整按照本款约定处理。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15.4.1</w:t>
      </w:r>
      <w:r>
        <w:rPr>
          <w:rFonts w:hint="eastAsia" w:ascii="宋体" w:hAnsi="宋体" w:eastAsia="宋体" w:cs="宋体"/>
          <w:color w:val="000000"/>
          <w:sz w:val="24"/>
          <w:szCs w:val="24"/>
        </w:rPr>
        <w:tab/>
      </w:r>
      <w:r>
        <w:rPr>
          <w:rFonts w:hint="eastAsia" w:ascii="宋体" w:hAnsi="宋体" w:eastAsia="宋体" w:cs="宋体"/>
          <w:color w:val="000000"/>
          <w:sz w:val="24"/>
          <w:szCs w:val="24"/>
        </w:rPr>
        <w:t>已标价工程量清单中有适用于变更工作的子目的，采用该子目的单价。</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15.4.2</w:t>
      </w:r>
      <w:r>
        <w:rPr>
          <w:rFonts w:hint="eastAsia" w:ascii="宋体" w:hAnsi="宋体" w:eastAsia="宋体" w:cs="宋体"/>
          <w:color w:val="000000"/>
          <w:sz w:val="24"/>
          <w:szCs w:val="24"/>
        </w:rPr>
        <w:tab/>
      </w:r>
      <w:r>
        <w:rPr>
          <w:rFonts w:hint="eastAsia" w:ascii="宋体" w:hAnsi="宋体" w:eastAsia="宋体" w:cs="宋体"/>
          <w:color w:val="000000"/>
          <w:sz w:val="24"/>
          <w:szCs w:val="24"/>
        </w:rPr>
        <w:t>已标价工程量清单中无适用于变更工作的子目，但有类似子目的，可在合理范围内参照类似子目的单价，由监理人按第 3.5 款商定或确定变更工作的单价。</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15.4.3</w:t>
      </w:r>
      <w:r>
        <w:rPr>
          <w:rFonts w:hint="eastAsia" w:ascii="宋体" w:hAnsi="宋体" w:eastAsia="宋体" w:cs="宋体"/>
          <w:color w:val="000000"/>
          <w:sz w:val="24"/>
          <w:szCs w:val="24"/>
        </w:rPr>
        <w:tab/>
      </w:r>
      <w:r>
        <w:rPr>
          <w:rFonts w:hint="eastAsia" w:ascii="宋体" w:hAnsi="宋体" w:eastAsia="宋体" w:cs="宋体"/>
          <w:color w:val="000000"/>
          <w:sz w:val="24"/>
          <w:szCs w:val="24"/>
        </w:rPr>
        <w:t>已标价工程量清单中无适用或类似子目的单价，可按照成本加利润的原则，由监理人按第 3.5 款商定或确定变更工作的单价。</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15.4.4</w:t>
      </w:r>
      <w:r>
        <w:rPr>
          <w:rFonts w:hint="eastAsia" w:ascii="宋体" w:hAnsi="宋体" w:eastAsia="宋体" w:cs="宋体"/>
          <w:color w:val="000000"/>
          <w:sz w:val="24"/>
          <w:szCs w:val="24"/>
        </w:rPr>
        <w:tab/>
      </w:r>
      <w:r>
        <w:rPr>
          <w:rFonts w:hint="eastAsia" w:ascii="宋体" w:hAnsi="宋体" w:eastAsia="宋体" w:cs="宋体"/>
          <w:color w:val="000000"/>
          <w:sz w:val="24"/>
          <w:szCs w:val="24"/>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 3.5 款商定或确定变更措施项目的费用。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15.4.5 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15.4.6</w:t>
      </w:r>
      <w:r>
        <w:rPr>
          <w:rFonts w:hint="eastAsia" w:ascii="宋体" w:hAnsi="宋体" w:eastAsia="宋体" w:cs="宋体"/>
          <w:color w:val="000000"/>
          <w:sz w:val="24"/>
          <w:szCs w:val="24"/>
        </w:rPr>
        <w:tab/>
      </w:r>
      <w:r>
        <w:rPr>
          <w:rFonts w:hint="eastAsia" w:ascii="宋体" w:hAnsi="宋体" w:eastAsia="宋体" w:cs="宋体"/>
          <w:color w:val="000000"/>
          <w:sz w:val="24"/>
          <w:szCs w:val="24"/>
        </w:rPr>
        <w:t>因变更引起价格调整的其他处理方式见合同条款专用部分。</w:t>
      </w:r>
    </w:p>
    <w:p>
      <w:pPr>
        <w:spacing w:line="360" w:lineRule="auto"/>
        <w:rPr>
          <w:rFonts w:hint="eastAsia" w:ascii="宋体" w:hAnsi="宋体" w:eastAsia="宋体" w:cs="宋体"/>
          <w:color w:val="000000"/>
          <w:sz w:val="24"/>
          <w:szCs w:val="24"/>
        </w:rPr>
      </w:pPr>
      <w:bookmarkStart w:id="111" w:name="_bookmark193"/>
      <w:bookmarkEnd w:id="111"/>
      <w:r>
        <w:rPr>
          <w:rFonts w:hint="eastAsia" w:ascii="宋体" w:hAnsi="宋体" w:eastAsia="宋体" w:cs="宋体"/>
          <w:color w:val="000000"/>
          <w:sz w:val="24"/>
          <w:szCs w:val="24"/>
        </w:rPr>
        <w:t>15.5</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承包人的合理化建议</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 15.3.3 项约定向承包人发出变更指示。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15.5.2 承包人提出的合理化建议降低了合同价格、缩短了工期或者提高了工程经济效益的，发包人可按国家有关规定给予奖励。对承包人提出合理化建议的奖励方法见合同条款专用部分。</w:t>
      </w:r>
    </w:p>
    <w:p>
      <w:pPr>
        <w:numPr>
          <w:ilvl w:val="1"/>
          <w:numId w:val="8"/>
        </w:numPr>
        <w:spacing w:line="360" w:lineRule="auto"/>
        <w:rPr>
          <w:rFonts w:hint="eastAsia" w:ascii="宋体" w:hAnsi="宋体" w:eastAsia="宋体" w:cs="宋体"/>
          <w:color w:val="000000"/>
          <w:sz w:val="24"/>
          <w:szCs w:val="24"/>
        </w:rPr>
      </w:pPr>
      <w:bookmarkStart w:id="112" w:name="_bookmark194"/>
      <w:bookmarkEnd w:id="112"/>
      <w:r>
        <w:rPr>
          <w:rFonts w:hint="eastAsia" w:ascii="宋体" w:hAnsi="宋体" w:eastAsia="宋体" w:cs="宋体"/>
          <w:color w:val="000000"/>
          <w:sz w:val="24"/>
          <w:szCs w:val="24"/>
        </w:rPr>
        <w:t xml:space="preserve"> 暂列金额</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暂列金额只能按照监理人的指示使用，并对合同价格进行相应调整。</w:t>
      </w:r>
    </w:p>
    <w:p>
      <w:pPr>
        <w:numPr>
          <w:ilvl w:val="1"/>
          <w:numId w:val="8"/>
        </w:numPr>
        <w:spacing w:line="360" w:lineRule="auto"/>
        <w:rPr>
          <w:rFonts w:hint="eastAsia" w:ascii="宋体" w:hAnsi="宋体" w:eastAsia="宋体" w:cs="宋体"/>
          <w:color w:val="000000"/>
          <w:sz w:val="24"/>
          <w:szCs w:val="24"/>
        </w:rPr>
      </w:pPr>
      <w:bookmarkStart w:id="113" w:name="_bookmark195"/>
      <w:bookmarkEnd w:id="113"/>
      <w:r>
        <w:rPr>
          <w:rFonts w:hint="eastAsia" w:ascii="宋体" w:hAnsi="宋体" w:eastAsia="宋体" w:cs="宋体"/>
          <w:color w:val="000000"/>
          <w:sz w:val="24"/>
          <w:szCs w:val="24"/>
        </w:rPr>
        <w:t>计日工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15.7.1</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发包人认为有必要时，由监理人通知承包人以计日工方式实施变更的零星工作。其价款按列入已标价工程量清单中的计日工计价子目及其单价进行计算。</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15.7.2 采用计日工计价的任何一项变更工作，应从暂列金额中支付，承包人应在该项变更的实施过程中，每天提交以下报表和有关凭证报送监理人审批：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（1）工作名称、内容和数量；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（2）投入该工作所有人员的姓名、工种、级别和耗用工时；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（3）投入该工作的材料类别和数量；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（4）投入该工作的施工设备型号、台数和耗用台时；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（5）监理人要求提交的其他资料和凭证。</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15.7.3 计日工由承包人汇总后，按第 17.3.2 项的约定列入进度付款申请单，由监理人复核并经发包人同意后列入进度付款。</w:t>
      </w:r>
    </w:p>
    <w:p>
      <w:pPr>
        <w:spacing w:line="360" w:lineRule="auto"/>
        <w:rPr>
          <w:rFonts w:hint="eastAsia" w:ascii="宋体" w:hAnsi="宋体" w:eastAsia="宋体" w:cs="宋体"/>
          <w:color w:val="000000"/>
          <w:sz w:val="24"/>
          <w:szCs w:val="24"/>
        </w:rPr>
      </w:pPr>
      <w:bookmarkStart w:id="114" w:name="_bookmark196"/>
      <w:bookmarkEnd w:id="114"/>
      <w:r>
        <w:rPr>
          <w:rFonts w:hint="eastAsia" w:ascii="宋体" w:hAnsi="宋体" w:eastAsia="宋体" w:cs="宋体"/>
          <w:color w:val="000000"/>
          <w:sz w:val="24"/>
          <w:szCs w:val="24"/>
        </w:rPr>
        <w:t>15.8  暂估价</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15.8.1 发包人在工程量清单中给定暂估价的材料和工程设备及专业工程属于依法必须招标的范围并达到规定的规模标准的，由发包人和承包人采用招标方式选择专项供应商或专业分包人。发包人和承包人的权利义务关系约定如下：</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（1）由承包人作为招标人，依法组织招标工作并接受有管辖权的建设工程招标投标行政监督部门的监督。</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（2）与组织招标工作有关的费用应当被认为已经包括在承包人的签约合同价（投标总报价）中。</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（3）中标金额与工程量清单中所列的暂估价的金额差以及相应的税金等其他费用列入合同价格。</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给予批准或者提出修改意见，经发包人批准的相关文件，由承包人负责誊清整理并准备出开 展实际招标工作所需要的份数，通过监理人报发包人核查并加盖发包人印章，发包人在相关 文件上加盖印章只表明相关文件经过发包人审核批准。最终发出的文件应当分别报送一份给 发包人和监理人备查。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（6）如果发、承包任何一方委派评标代表，评标委员会应当由七人以上单数构成。除发包人或者承包人自愿放弃委派评标代表的权利外，招标人评标代表应当分别由发包人和承包人等额委派。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（7）设有标底的，承包人应当在开标前提前 48 小时将标底报发包人审核认可，发包人应当在收到承包人报送的标底后 24 小时内给予批准或者提出修改意见。承包人和发包人应当共同制定标底保密措施，不得提前泄露标底。标底的最终审核和决定权属于发包人。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（8）设有招标控制价的，承包人应当在招标文件发出前提前 7 天将招标控制价报发包人审核认可，发包人应当在收到承包人报送的招标控制价后 72 小时内给予认可或者提出修改意见。招标控制价的最终审核和决定权属于发包人，未经发包人认可，承包人不得发出招标文件。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（9）承包人在收到相关招标项目评标委员会提交的评标报告后，应当在 24 小时内通过监理人转报发包人核查，发包人应当在监理人收到承包人报送的评标报告后 48 小时内核查完毕，评标报告经过发包人核查认可后，承包人才可以开始后续程序，依法确定中标人并发出中标通知书。</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（11）发包人对承包人报送文件进行审批或提出的修改意见应当合理，并符合现行有关法律法规的规定。</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15.8.2</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发包人在工程量清单中给定暂估价的材料和工程设备不属于依法必须招标的范围或未达到规定的规模标准的，应由承包人按第 5.1 款的约定提供。经监理人确认的材料、工程设备的价格与工程量清单中所列的暂估价的金额差以及相应的税金等其他费用列入合同价格。</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15.8.3</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发包人在工程量清单中给定暂估价的专业工程不属于依法必须招标的范围或未达到规定的规模标准的，由监理人按照第 15.4 款进行估价，但合同条款专用部分另有约定的除外。经估价的专业工程与工程量清单中所列的暂估价的金额差以及相应的税金等其他费用列入合同价格。</w:t>
      </w:r>
    </w:p>
    <w:p>
      <w:pPr>
        <w:spacing w:line="360" w:lineRule="auto"/>
        <w:rPr>
          <w:rFonts w:hint="eastAsia" w:ascii="宋体" w:hAnsi="宋体" w:eastAsia="宋体" w:cs="宋体"/>
          <w:color w:val="000000"/>
          <w:sz w:val="24"/>
          <w:szCs w:val="24"/>
        </w:rPr>
      </w:pPr>
      <w:bookmarkStart w:id="115" w:name="_bookmark197"/>
      <w:bookmarkEnd w:id="115"/>
      <w:r>
        <w:rPr>
          <w:rFonts w:hint="eastAsia" w:ascii="宋体" w:hAnsi="宋体" w:eastAsia="宋体" w:cs="宋体"/>
          <w:color w:val="000000"/>
          <w:sz w:val="24"/>
          <w:szCs w:val="24"/>
        </w:rPr>
        <w:t>16.价格调整</w:t>
      </w:r>
    </w:p>
    <w:p>
      <w:pPr>
        <w:spacing w:line="360" w:lineRule="auto"/>
        <w:rPr>
          <w:rFonts w:hint="eastAsia" w:ascii="宋体" w:hAnsi="宋体" w:eastAsia="宋体" w:cs="宋体"/>
          <w:color w:val="000000"/>
          <w:sz w:val="24"/>
          <w:szCs w:val="24"/>
        </w:rPr>
      </w:pPr>
      <w:bookmarkStart w:id="116" w:name="_bookmark198"/>
      <w:bookmarkEnd w:id="116"/>
      <w:r>
        <w:rPr>
          <w:rFonts w:hint="eastAsia" w:ascii="宋体" w:hAnsi="宋体" w:eastAsia="宋体" w:cs="宋体"/>
          <w:color w:val="000000"/>
          <w:sz w:val="24"/>
          <w:szCs w:val="24"/>
        </w:rPr>
        <w:t>16.1</w:t>
      </w:r>
      <w:r>
        <w:rPr>
          <w:rFonts w:hint="eastAsia" w:ascii="宋体" w:hAnsi="宋体" w:eastAsia="宋体" w:cs="宋体"/>
          <w:color w:val="000000"/>
          <w:sz w:val="24"/>
          <w:szCs w:val="24"/>
        </w:rPr>
        <w:tab/>
      </w:r>
      <w:r>
        <w:rPr>
          <w:rFonts w:hint="eastAsia" w:ascii="宋体" w:hAnsi="宋体" w:eastAsia="宋体" w:cs="宋体"/>
          <w:color w:val="000000"/>
          <w:sz w:val="24"/>
          <w:szCs w:val="24"/>
        </w:rPr>
        <w:t>物价波动引起的价格调整</w:t>
      </w:r>
    </w:p>
    <w:p>
      <w:pPr>
        <w:spacing w:line="360"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除合同条款专用部分另有约定外，因物价波动引起的价格调整按照本款约定处理。 16.1.1 采用价格指数调整价格差额</w:t>
      </w:r>
    </w:p>
    <w:p>
      <w:pPr>
        <w:numPr>
          <w:ilvl w:val="3"/>
          <w:numId w:val="9"/>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价格调整公式 因人工、材料和设备等价格波动影响合同价格时，根据投标函附录中的价格指数和权</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重表约定的数据，按以下公式计算差额并调整合同价格。</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△P= P0{A+[</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QUOTE </w:instrText>
      </w:r>
      <w:r>
        <w:rPr>
          <w:rFonts w:hint="eastAsia" w:ascii="宋体" w:hAnsi="宋体" w:eastAsia="宋体" w:cs="宋体"/>
          <w:color w:val="000000"/>
          <w:position w:val="-36"/>
          <w:sz w:val="24"/>
          <w:szCs w:val="24"/>
        </w:rPr>
        <w:pict>
          <v:shape id="_x0000_i1025" o:spt="75" type="#_x0000_t75" style="height:34.5pt;width:257.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420&quot;/&gt;&lt;w:drawingGridHorizontalSpacing w:val=&quot;105&quot;/&gt;&lt;w:drawingGridVerticalSpacing w:val=&quot;156&quot;/&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dontAllowFieldEndSelect/&gt;&lt;w:useWord2002TableStyleRules/&gt;&lt;w:dontGrowAutofit/&gt;&lt;w:useFELayout/&gt;&lt;/w:compat&gt;&lt;wsp:rsids&gt;&lt;wsp:rsidRoot wsp:val=&quot;005F24DA&quot;/&gt;&lt;wsp:rsid wsp:val=&quot;00000281&quot;/&gt;&lt;wsp:rsid wsp:val=&quot;0000068F&quot;/&gt;&lt;wsp:rsid wsp:val=&quot;00001115&quot;/&gt;&lt;wsp:rsid wsp:val=&quot;00001301&quot;/&gt;&lt;wsp:rsid wsp:val=&quot;00001423&quot;/&gt;&lt;wsp:rsid wsp:val=&quot;00001EB4&quot;/&gt;&lt;wsp:rsid wsp:val=&quot;00001EC2&quot;/&gt;&lt;wsp:rsid wsp:val=&quot;00001FA3&quot;/&gt;&lt;wsp:rsid wsp:val=&quot;00002198&quot;/&gt;&lt;wsp:rsid wsp:val=&quot;00002342&quot;/&gt;&lt;wsp:rsid wsp:val=&quot;000024AC&quot;/&gt;&lt;wsp:rsid wsp:val=&quot;00002561&quot;/&gt;&lt;wsp:rsid wsp:val=&quot;00002C07&quot;/&gt;&lt;wsp:rsid wsp:val=&quot;00002E21&quot;/&gt;&lt;wsp:rsid wsp:val=&quot;00002FDA&quot;/&gt;&lt;wsp:rsid wsp:val=&quot;00003468&quot;/&gt;&lt;wsp:rsid wsp:val=&quot;00003755&quot;/&gt;&lt;wsp:rsid wsp:val=&quot;00003DF5&quot;/&gt;&lt;wsp:rsid wsp:val=&quot;00004804&quot;/&gt;&lt;wsp:rsid wsp:val=&quot;0000530A&quot;/&gt;&lt;wsp:rsid wsp:val=&quot;0000585C&quot;/&gt;&lt;wsp:rsid wsp:val=&quot;00005D3E&quot;/&gt;&lt;wsp:rsid wsp:val=&quot;00006061&quot;/&gt;&lt;wsp:rsid wsp:val=&quot;000068F4&quot;/&gt;&lt;wsp:rsid wsp:val=&quot;0000705F&quot;/&gt;&lt;wsp:rsid wsp:val=&quot;000071FA&quot;/&gt;&lt;wsp:rsid wsp:val=&quot;00007905&quot;/&gt;&lt;wsp:rsid wsp:val=&quot;00007DD1&quot;/&gt;&lt;wsp:rsid wsp:val=&quot;000110BB&quot;/&gt;&lt;wsp:rsid wsp:val=&quot;00011182&quot;/&gt;&lt;wsp:rsid wsp:val=&quot;00011996&quot;/&gt;&lt;wsp:rsid wsp:val=&quot;00011A8F&quot;/&gt;&lt;wsp:rsid wsp:val=&quot;00011F2D&quot;/&gt;&lt;wsp:rsid wsp:val=&quot;000121F1&quot;/&gt;&lt;wsp:rsid wsp:val=&quot;00012BB7&quot;/&gt;&lt;wsp:rsid wsp:val=&quot;000137B7&quot;/&gt;&lt;wsp:rsid wsp:val=&quot;00014556&quot;/&gt;&lt;wsp:rsid wsp:val=&quot;000146D4&quot;/&gt;&lt;wsp:rsid wsp:val=&quot;00014B3D&quot;/&gt;&lt;wsp:rsid wsp:val=&quot;000150A8&quot;/&gt;&lt;wsp:rsid wsp:val=&quot;000155A3&quot;/&gt;&lt;wsp:rsid wsp:val=&quot;00015C29&quot;/&gt;&lt;wsp:rsid wsp:val=&quot;00016D27&quot;/&gt;&lt;wsp:rsid wsp:val=&quot;00017975&quot;/&gt;&lt;wsp:rsid wsp:val=&quot;00020BEF&quot;/&gt;&lt;wsp:rsid wsp:val=&quot;00021BC8&quot;/&gt;&lt;wsp:rsid wsp:val=&quot;00021E3C&quot;/&gt;&lt;wsp:rsid wsp:val=&quot;000225B2&quot;/&gt;&lt;wsp:rsid wsp:val=&quot;000229D4&quot;/&gt;&lt;wsp:rsid wsp:val=&quot;0002372C&quot;/&gt;&lt;wsp:rsid wsp:val=&quot;00024EEE&quot;/&gt;&lt;wsp:rsid wsp:val=&quot;00026024&quot;/&gt;&lt;wsp:rsid wsp:val=&quot;00026691&quot;/&gt;&lt;wsp:rsid wsp:val=&quot;0002674E&quot;/&gt;&lt;wsp:rsid wsp:val=&quot;00026935&quot;/&gt;&lt;wsp:rsid wsp:val=&quot;00026B36&quot;/&gt;&lt;wsp:rsid wsp:val=&quot;00026FEF&quot;/&gt;&lt;wsp:rsid wsp:val=&quot;000277C3&quot;/&gt;&lt;wsp:rsid wsp:val=&quot;00030C9B&quot;/&gt;&lt;wsp:rsid wsp:val=&quot;0003170D&quot;/&gt;&lt;wsp:rsid wsp:val=&quot;00032742&quot;/&gt;&lt;wsp:rsid wsp:val=&quot;0003275D&quot;/&gt;&lt;wsp:rsid wsp:val=&quot;00032AD8&quot;/&gt;&lt;wsp:rsid wsp:val=&quot;00033F9C&quot;/&gt;&lt;wsp:rsid wsp:val=&quot;00034951&quot;/&gt;&lt;wsp:rsid wsp:val=&quot;0003539B&quot;/&gt;&lt;wsp:rsid wsp:val=&quot;000356F0&quot;/&gt;&lt;wsp:rsid wsp:val=&quot;00035DF4&quot;/&gt;&lt;wsp:rsid wsp:val=&quot;00036341&quot;/&gt;&lt;wsp:rsid wsp:val=&quot;000364EB&quot;/&gt;&lt;wsp:rsid wsp:val=&quot;0003775C&quot;/&gt;&lt;wsp:rsid wsp:val=&quot;000409AD&quot;/&gt;&lt;wsp:rsid wsp:val=&quot;00040C4C&quot;/&gt;&lt;wsp:rsid wsp:val=&quot;00041F97&quot;/&gt;&lt;wsp:rsid wsp:val=&quot;00042731&quot;/&gt;&lt;wsp:rsid wsp:val=&quot;000429C4&quot;/&gt;&lt;wsp:rsid wsp:val=&quot;00042EDF&quot;/&gt;&lt;wsp:rsid wsp:val=&quot;00042F99&quot;/&gt;&lt;wsp:rsid wsp:val=&quot;00043153&quot;/&gt;&lt;wsp:rsid wsp:val=&quot;0004427A&quot;/&gt;&lt;wsp:rsid wsp:val=&quot;00045074&quot;/&gt;&lt;wsp:rsid wsp:val=&quot;0004532F&quot;/&gt;&lt;wsp:rsid wsp:val=&quot;0004553D&quot;/&gt;&lt;wsp:rsid wsp:val=&quot;00045864&quot;/&gt;&lt;wsp:rsid wsp:val=&quot;0004596B&quot;/&gt;&lt;wsp:rsid wsp:val=&quot;00046DC9&quot;/&gt;&lt;wsp:rsid wsp:val=&quot;00047F2C&quot;/&gt;&lt;wsp:rsid wsp:val=&quot;00050118&quot;/&gt;&lt;wsp:rsid wsp:val=&quot;00050F8A&quot;/&gt;&lt;wsp:rsid wsp:val=&quot;00051724&quot;/&gt;&lt;wsp:rsid wsp:val=&quot;00052376&quot;/&gt;&lt;wsp:rsid wsp:val=&quot;00052B2A&quot;/&gt;&lt;wsp:rsid wsp:val=&quot;0005492E&quot;/&gt;&lt;wsp:rsid wsp:val=&quot;00054E42&quot;/&gt;&lt;wsp:rsid wsp:val=&quot;000550A5&quot;/&gt;&lt;wsp:rsid wsp:val=&quot;00055B4B&quot;/&gt;&lt;wsp:rsid wsp:val=&quot;00055C82&quot;/&gt;&lt;wsp:rsid wsp:val=&quot;00056A9F&quot;/&gt;&lt;wsp:rsid wsp:val=&quot;00056BC3&quot;/&gt;&lt;wsp:rsid wsp:val=&quot;00057155&quot;/&gt;&lt;wsp:rsid wsp:val=&quot;00060503&quot;/&gt;&lt;wsp:rsid wsp:val=&quot;00060A5B&quot;/&gt;&lt;wsp:rsid wsp:val=&quot;00060AA8&quot;/&gt;&lt;wsp:rsid wsp:val=&quot;0006119D&quot;/&gt;&lt;wsp:rsid wsp:val=&quot;000613C2&quot;/&gt;&lt;wsp:rsid wsp:val=&quot;00062107&quot;/&gt;&lt;wsp:rsid wsp:val=&quot;00062321&quot;/&gt;&lt;wsp:rsid wsp:val=&quot;000636C6&quot;/&gt;&lt;wsp:rsid wsp:val=&quot;00063AF2&quot;/&gt;&lt;wsp:rsid wsp:val=&quot;00064863&quot;/&gt;&lt;wsp:rsid wsp:val=&quot;00064D89&quot;/&gt;&lt;wsp:rsid wsp:val=&quot;000655F6&quot;/&gt;&lt;wsp:rsid wsp:val=&quot;000659E7&quot;/&gt;&lt;wsp:rsid wsp:val=&quot;00065A7F&quot;/&gt;&lt;wsp:rsid wsp:val=&quot;00066617&quot;/&gt;&lt;wsp:rsid wsp:val=&quot;00066DEE&quot;/&gt;&lt;wsp:rsid wsp:val=&quot;00067EE4&quot;/&gt;&lt;wsp:rsid wsp:val=&quot;000708DC&quot;/&gt;&lt;wsp:rsid wsp:val=&quot;0007172E&quot;/&gt;&lt;wsp:rsid wsp:val=&quot;00071C80&quot;/&gt;&lt;wsp:rsid wsp:val=&quot;00071ECA&quot;/&gt;&lt;wsp:rsid wsp:val=&quot;00071F03&quot;/&gt;&lt;wsp:rsid wsp:val=&quot;00073E73&quot;/&gt;&lt;wsp:rsid wsp:val=&quot;00075288&quot;/&gt;&lt;wsp:rsid wsp:val=&quot;00075D3A&quot;/&gt;&lt;wsp:rsid wsp:val=&quot;00076C78&quot;/&gt;&lt;wsp:rsid wsp:val=&quot;0007707A&quot;/&gt;&lt;wsp:rsid wsp:val=&quot;000771A6&quot;/&gt;&lt;wsp:rsid wsp:val=&quot;00077518&quot;/&gt;&lt;wsp:rsid wsp:val=&quot;00077D0D&quot;/&gt;&lt;wsp:rsid wsp:val=&quot;0008107C&quot;/&gt;&lt;wsp:rsid wsp:val=&quot;0008186A&quot;/&gt;&lt;wsp:rsid wsp:val=&quot;00081ADB&quot;/&gt;&lt;wsp:rsid wsp:val=&quot;00082178&quot;/&gt;&lt;wsp:rsid wsp:val=&quot;00082227&quot;/&gt;&lt;wsp:rsid wsp:val=&quot;0008342C&quot;/&gt;&lt;wsp:rsid wsp:val=&quot;00083CBF&quot;/&gt;&lt;wsp:rsid wsp:val=&quot;000845D2&quot;/&gt;&lt;wsp:rsid wsp:val=&quot;00085CC8&quot;/&gt;&lt;wsp:rsid wsp:val=&quot;000866A6&quot;/&gt;&lt;wsp:rsid wsp:val=&quot;00086A6D&quot;/&gt;&lt;wsp:rsid wsp:val=&quot;00086B5E&quot;/&gt;&lt;wsp:rsid wsp:val=&quot;00086FB2&quot;/&gt;&lt;wsp:rsid wsp:val=&quot;000874C8&quot;/&gt;&lt;wsp:rsid wsp:val=&quot;00087E85&quot;/&gt;&lt;wsp:rsid wsp:val=&quot;00087F37&quot;/&gt;&lt;wsp:rsid wsp:val=&quot;00090FD2&quot;/&gt;&lt;wsp:rsid wsp:val=&quot;000911D2&quot;/&gt;&lt;wsp:rsid wsp:val=&quot;00091433&quot;/&gt;&lt;wsp:rsid wsp:val=&quot;00092EDC&quot;/&gt;&lt;wsp:rsid wsp:val=&quot;000930EB&quot;/&gt;&lt;wsp:rsid wsp:val=&quot;000942B3&quot;/&gt;&lt;wsp:rsid wsp:val=&quot;00094F99&quot;/&gt;&lt;wsp:rsid wsp:val=&quot;000972D8&quot;/&gt;&lt;wsp:rsid wsp:val=&quot;00097640&quot;/&gt;&lt;wsp:rsid wsp:val=&quot;000A0241&quot;/&gt;&lt;wsp:rsid wsp:val=&quot;000A0307&quot;/&gt;&lt;wsp:rsid wsp:val=&quot;000A0FE1&quot;/&gt;&lt;wsp:rsid wsp:val=&quot;000A17E4&quot;/&gt;&lt;wsp:rsid wsp:val=&quot;000A2282&quot;/&gt;&lt;wsp:rsid wsp:val=&quot;000A2704&quot;/&gt;&lt;wsp:rsid wsp:val=&quot;000A2799&quot;/&gt;&lt;wsp:rsid wsp:val=&quot;000A2AC9&quot;/&gt;&lt;wsp:rsid wsp:val=&quot;000A2BDD&quot;/&gt;&lt;wsp:rsid wsp:val=&quot;000A2C98&quot;/&gt;&lt;wsp:rsid wsp:val=&quot;000A2E0D&quot;/&gt;&lt;wsp:rsid wsp:val=&quot;000A350B&quot;/&gt;&lt;wsp:rsid wsp:val=&quot;000A4033&quot;/&gt;&lt;wsp:rsid wsp:val=&quot;000A4D11&quot;/&gt;&lt;wsp:rsid wsp:val=&quot;000A4D1C&quot;/&gt;&lt;wsp:rsid wsp:val=&quot;000A4E25&quot;/&gt;&lt;wsp:rsid wsp:val=&quot;000A53F0&quot;/&gt;&lt;wsp:rsid wsp:val=&quot;000A5A5D&quot;/&gt;&lt;wsp:rsid wsp:val=&quot;000A621E&quot;/&gt;&lt;wsp:rsid wsp:val=&quot;000A6C8F&quot;/&gt;&lt;wsp:rsid wsp:val=&quot;000A6E99&quot;/&gt;&lt;wsp:rsid wsp:val=&quot;000A6FEB&quot;/&gt;&lt;wsp:rsid wsp:val=&quot;000A70F7&quot;/&gt;&lt;wsp:rsid wsp:val=&quot;000A7F93&quot;/&gt;&lt;wsp:rsid wsp:val=&quot;000B0BE0&quot;/&gt;&lt;wsp:rsid wsp:val=&quot;000B1368&quot;/&gt;&lt;wsp:rsid wsp:val=&quot;000B268E&quot;/&gt;&lt;wsp:rsid wsp:val=&quot;000B284C&quot;/&gt;&lt;wsp:rsid wsp:val=&quot;000B2E23&quot;/&gt;&lt;wsp:rsid wsp:val=&quot;000B3EBF&quot;/&gt;&lt;wsp:rsid wsp:val=&quot;000B4179&quot;/&gt;&lt;wsp:rsid wsp:val=&quot;000B49C2&quot;/&gt;&lt;wsp:rsid wsp:val=&quot;000B4AA0&quot;/&gt;&lt;wsp:rsid wsp:val=&quot;000B50E4&quot;/&gt;&lt;wsp:rsid wsp:val=&quot;000B5ED3&quot;/&gt;&lt;wsp:rsid wsp:val=&quot;000B5EDB&quot;/&gt;&lt;wsp:rsid wsp:val=&quot;000B64C5&quot;/&gt;&lt;wsp:rsid wsp:val=&quot;000B670A&quot;/&gt;&lt;wsp:rsid wsp:val=&quot;000B6749&quot;/&gt;&lt;wsp:rsid wsp:val=&quot;000B746C&quot;/&gt;&lt;wsp:rsid wsp:val=&quot;000B7E6A&quot;/&gt;&lt;wsp:rsid wsp:val=&quot;000C0369&quot;/&gt;&lt;wsp:rsid wsp:val=&quot;000C1075&quot;/&gt;&lt;wsp:rsid wsp:val=&quot;000C1946&quot;/&gt;&lt;wsp:rsid wsp:val=&quot;000C3877&quot;/&gt;&lt;wsp:rsid wsp:val=&quot;000C3C06&quot;/&gt;&lt;wsp:rsid wsp:val=&quot;000C4030&quot;/&gt;&lt;wsp:rsid wsp:val=&quot;000C4C6C&quot;/&gt;&lt;wsp:rsid wsp:val=&quot;000C4E86&quot;/&gt;&lt;wsp:rsid wsp:val=&quot;000C5206&quot;/&gt;&lt;wsp:rsid wsp:val=&quot;000C5700&quot;/&gt;&lt;wsp:rsid wsp:val=&quot;000C669F&quot;/&gt;&lt;wsp:rsid wsp:val=&quot;000C6713&quot;/&gt;&lt;wsp:rsid wsp:val=&quot;000C67EB&quot;/&gt;&lt;wsp:rsid wsp:val=&quot;000D0719&quot;/&gt;&lt;wsp:rsid wsp:val=&quot;000D0822&quot;/&gt;&lt;wsp:rsid wsp:val=&quot;000D0C82&quot;/&gt;&lt;wsp:rsid wsp:val=&quot;000D0D86&quot;/&gt;&lt;wsp:rsid wsp:val=&quot;000D0FDB&quot;/&gt;&lt;wsp:rsid wsp:val=&quot;000D2272&quot;/&gt;&lt;wsp:rsid wsp:val=&quot;000D2FB3&quot;/&gt;&lt;wsp:rsid wsp:val=&quot;000D3157&quot;/&gt;&lt;wsp:rsid wsp:val=&quot;000D3808&quot;/&gt;&lt;wsp:rsid wsp:val=&quot;000D4FE0&quot;/&gt;&lt;wsp:rsid wsp:val=&quot;000D56A5&quot;/&gt;&lt;wsp:rsid wsp:val=&quot;000D5AB5&quot;/&gt;&lt;wsp:rsid wsp:val=&quot;000D7968&quot;/&gt;&lt;wsp:rsid wsp:val=&quot;000E0232&quot;/&gt;&lt;wsp:rsid wsp:val=&quot;000E0443&quot;/&gt;&lt;wsp:rsid wsp:val=&quot;000E094F&quot;/&gt;&lt;wsp:rsid wsp:val=&quot;000E0B0A&quot;/&gt;&lt;wsp:rsid wsp:val=&quot;000E0DAC&quot;/&gt;&lt;wsp:rsid wsp:val=&quot;000E137D&quot;/&gt;&lt;wsp:rsid wsp:val=&quot;000E14FC&quot;/&gt;&lt;wsp:rsid wsp:val=&quot;000E1CE2&quot;/&gt;&lt;wsp:rsid wsp:val=&quot;000E1E36&quot;/&gt;&lt;wsp:rsid wsp:val=&quot;000E2121&quot;/&gt;&lt;wsp:rsid wsp:val=&quot;000E2235&quot;/&gt;&lt;wsp:rsid wsp:val=&quot;000E2704&quot;/&gt;&lt;wsp:rsid wsp:val=&quot;000E3721&quot;/&gt;&lt;wsp:rsid wsp:val=&quot;000E3ECA&quot;/&gt;&lt;wsp:rsid wsp:val=&quot;000E42EA&quot;/&gt;&lt;wsp:rsid wsp:val=&quot;000E4C3F&quot;/&gt;&lt;wsp:rsid wsp:val=&quot;000E4D88&quot;/&gt;&lt;wsp:rsid wsp:val=&quot;000E6870&quot;/&gt;&lt;wsp:rsid wsp:val=&quot;000E70ED&quot;/&gt;&lt;wsp:rsid wsp:val=&quot;000E71E3&quot;/&gt;&lt;wsp:rsid wsp:val=&quot;000F036E&quot;/&gt;&lt;wsp:rsid wsp:val=&quot;000F08C5&quot;/&gt;&lt;wsp:rsid wsp:val=&quot;000F0A8F&quot;/&gt;&lt;wsp:rsid wsp:val=&quot;000F11E4&quot;/&gt;&lt;wsp:rsid wsp:val=&quot;000F1231&quot;/&gt;&lt;wsp:rsid wsp:val=&quot;000F13F7&quot;/&gt;&lt;wsp:rsid wsp:val=&quot;000F2925&quot;/&gt;&lt;wsp:rsid wsp:val=&quot;000F31E7&quot;/&gt;&lt;wsp:rsid wsp:val=&quot;000F3BD2&quot;/&gt;&lt;wsp:rsid wsp:val=&quot;000F3F84&quot;/&gt;&lt;wsp:rsid wsp:val=&quot;000F4152&quot;/&gt;&lt;wsp:rsid wsp:val=&quot;000F429A&quot;/&gt;&lt;wsp:rsid wsp:val=&quot;000F47F8&quot;/&gt;&lt;wsp:rsid wsp:val=&quot;000F4E54&quot;/&gt;&lt;wsp:rsid wsp:val=&quot;000F5302&quot;/&gt;&lt;wsp:rsid wsp:val=&quot;000F61BF&quot;/&gt;&lt;wsp:rsid wsp:val=&quot;000F6767&quot;/&gt;&lt;wsp:rsid wsp:val=&quot;000F6D34&quot;/&gt;&lt;wsp:rsid wsp:val=&quot;000F7211&quot;/&gt;&lt;wsp:rsid wsp:val=&quot;001007BC&quot;/&gt;&lt;wsp:rsid wsp:val=&quot;00101E67&quot;/&gt;&lt;wsp:rsid wsp:val=&quot;00101F99&quot;/&gt;&lt;wsp:rsid wsp:val=&quot;00104B9A&quot;/&gt;&lt;wsp:rsid wsp:val=&quot;001060B5&quot;/&gt;&lt;wsp:rsid wsp:val=&quot;001062C6&quot;/&gt;&lt;wsp:rsid wsp:val=&quot;00107156&quot;/&gt;&lt;wsp:rsid wsp:val=&quot;00107668&quot;/&gt;&lt;wsp:rsid wsp:val=&quot;00107BE5&quot;/&gt;&lt;wsp:rsid wsp:val=&quot;00111F4A&quot;/&gt;&lt;wsp:rsid wsp:val=&quot;00112D75&quot;/&gt;&lt;wsp:rsid wsp:val=&quot;00113012&quot;/&gt;&lt;wsp:rsid wsp:val=&quot;00113122&quot;/&gt;&lt;wsp:rsid wsp:val=&quot;00115CAC&quot;/&gt;&lt;wsp:rsid wsp:val=&quot;00115F85&quot;/&gt;&lt;wsp:rsid wsp:val=&quot;001161B8&quot;/&gt;&lt;wsp:rsid wsp:val=&quot;001169FE&quot;/&gt;&lt;wsp:rsid wsp:val=&quot;00120201&quot;/&gt;&lt;wsp:rsid wsp:val=&quot;00120290&quot;/&gt;&lt;wsp:rsid wsp:val=&quot;00120520&quot;/&gt;&lt;wsp:rsid wsp:val=&quot;0012079B&quot;/&gt;&lt;wsp:rsid wsp:val=&quot;00120B8A&quot;/&gt;&lt;wsp:rsid wsp:val=&quot;00120D37&quot;/&gt;&lt;wsp:rsid wsp:val=&quot;0012144F&quot;/&gt;&lt;wsp:rsid wsp:val=&quot;00121572&quot;/&gt;&lt;wsp:rsid wsp:val=&quot;00121AFC&quot;/&gt;&lt;wsp:rsid wsp:val=&quot;00121D8D&quot;/&gt;&lt;wsp:rsid wsp:val=&quot;00123151&quot;/&gt;&lt;wsp:rsid wsp:val=&quot;001231C7&quot;/&gt;&lt;wsp:rsid wsp:val=&quot;00123E74&quot;/&gt;&lt;wsp:rsid wsp:val=&quot;001241A0&quot;/&gt;&lt;wsp:rsid wsp:val=&quot;0012445B&quot;/&gt;&lt;wsp:rsid wsp:val=&quot;001248D0&quot;/&gt;&lt;wsp:rsid wsp:val=&quot;00125BBC&quot;/&gt;&lt;wsp:rsid wsp:val=&quot;00127E2F&quot;/&gt;&lt;wsp:rsid wsp:val=&quot;00127FF6&quot;/&gt;&lt;wsp:rsid wsp:val=&quot;00130639&quot;/&gt;&lt;wsp:rsid wsp:val=&quot;001308AF&quot;/&gt;&lt;wsp:rsid wsp:val=&quot;00132D7C&quot;/&gt;&lt;wsp:rsid wsp:val=&quot;0013415D&quot;/&gt;&lt;wsp:rsid wsp:val=&quot;001342B8&quot;/&gt;&lt;wsp:rsid wsp:val=&quot;001345C4&quot;/&gt;&lt;wsp:rsid wsp:val=&quot;00134706&quot;/&gt;&lt;wsp:rsid wsp:val=&quot;00134B9A&quot;/&gt;&lt;wsp:rsid wsp:val=&quot;0013561D&quot;/&gt;&lt;wsp:rsid wsp:val=&quot;00135973&quot;/&gt;&lt;wsp:rsid wsp:val=&quot;00135F6E&quot;/&gt;&lt;wsp:rsid wsp:val=&quot;00136CE5&quot;/&gt;&lt;wsp:rsid wsp:val=&quot;00136DC6&quot;/&gt;&lt;wsp:rsid wsp:val=&quot;00137CFB&quot;/&gt;&lt;wsp:rsid wsp:val=&quot;0014029E&quot;/&gt;&lt;wsp:rsid wsp:val=&quot;001402D6&quot;/&gt;&lt;wsp:rsid wsp:val=&quot;00140D15&quot;/&gt;&lt;wsp:rsid wsp:val=&quot;001411B6&quot;/&gt;&lt;wsp:rsid wsp:val=&quot;0014199F&quot;/&gt;&lt;wsp:rsid wsp:val=&quot;00142D4A&quot;/&gt;&lt;wsp:rsid wsp:val=&quot;00142F03&quot;/&gt;&lt;wsp:rsid wsp:val=&quot;00142F50&quot;/&gt;&lt;wsp:rsid wsp:val=&quot;001436B0&quot;/&gt;&lt;wsp:rsid wsp:val=&quot;00144156&quot;/&gt;&lt;wsp:rsid wsp:val=&quot;001441F8&quot;/&gt;&lt;wsp:rsid wsp:val=&quot;001445E9&quot;/&gt;&lt;wsp:rsid wsp:val=&quot;001446F3&quot;/&gt;&lt;wsp:rsid wsp:val=&quot;001455C6&quot;/&gt;&lt;wsp:rsid wsp:val=&quot;00145FB6&quot;/&gt;&lt;wsp:rsid wsp:val=&quot;00146370&quot;/&gt;&lt;wsp:rsid wsp:val=&quot;00146D8E&quot;/&gt;&lt;wsp:rsid wsp:val=&quot;00147D36&quot;/&gt;&lt;wsp:rsid wsp:val=&quot;001515D8&quot;/&gt;&lt;wsp:rsid wsp:val=&quot;00151B6A&quot;/&gt;&lt;wsp:rsid wsp:val=&quot;00152223&quot;/&gt;&lt;wsp:rsid wsp:val=&quot;00152C71&quot;/&gt;&lt;wsp:rsid wsp:val=&quot;00152EB7&quot;/&gt;&lt;wsp:rsid wsp:val=&quot;00153512&quot;/&gt;&lt;wsp:rsid wsp:val=&quot;001541E8&quot;/&gt;&lt;wsp:rsid wsp:val=&quot;00154348&quot;/&gt;&lt;wsp:rsid wsp:val=&quot;0015683E&quot;/&gt;&lt;wsp:rsid wsp:val=&quot;0015687B&quot;/&gt;&lt;wsp:rsid wsp:val=&quot;00157384&quot;/&gt;&lt;wsp:rsid wsp:val=&quot;00157B44&quot;/&gt;&lt;wsp:rsid wsp:val=&quot;00157FA1&quot;/&gt;&lt;wsp:rsid wsp:val=&quot;00160C61&quot;/&gt;&lt;wsp:rsid wsp:val=&quot;00160DE3&quot;/&gt;&lt;wsp:rsid wsp:val=&quot;0016170A&quot;/&gt;&lt;wsp:rsid wsp:val=&quot;00161BE4&quot;/&gt;&lt;wsp:rsid wsp:val=&quot;00161FE6&quot;/&gt;&lt;wsp:rsid wsp:val=&quot;001625ED&quot;/&gt;&lt;wsp:rsid wsp:val=&quot;00163A5F&quot;/&gt;&lt;wsp:rsid wsp:val=&quot;001642C5&quot;/&gt;&lt;wsp:rsid wsp:val=&quot;001643F3&quot;/&gt;&lt;wsp:rsid wsp:val=&quot;00164E10&quot;/&gt;&lt;wsp:rsid wsp:val=&quot;00164F00&quot;/&gt;&lt;wsp:rsid wsp:val=&quot;00164F70&quot;/&gt;&lt;wsp:rsid wsp:val=&quot;00165BDF&quot;/&gt;&lt;wsp:rsid wsp:val=&quot;00165C34&quot;/&gt;&lt;wsp:rsid wsp:val=&quot;00165CE4&quot;/&gt;&lt;wsp:rsid wsp:val=&quot;00166B13&quot;/&gt;&lt;wsp:rsid wsp:val=&quot;00167F15&quot;/&gt;&lt;wsp:rsid wsp:val=&quot;001724D4&quot;/&gt;&lt;wsp:rsid wsp:val=&quot;00172D51&quot;/&gt;&lt;wsp:rsid wsp:val=&quot;00173CEB&quot;/&gt;&lt;wsp:rsid wsp:val=&quot;00174BDB&quot;/&gt;&lt;wsp:rsid wsp:val=&quot;0017558E&quot;/&gt;&lt;wsp:rsid wsp:val=&quot;0017577E&quot;/&gt;&lt;wsp:rsid wsp:val=&quot;00177153&quot;/&gt;&lt;wsp:rsid wsp:val=&quot;0017720D&quot;/&gt;&lt;wsp:rsid wsp:val=&quot;00180685&quot;/&gt;&lt;wsp:rsid wsp:val=&quot;00180C94&quot;/&gt;&lt;wsp:rsid wsp:val=&quot;00181523&quot;/&gt;&lt;wsp:rsid wsp:val=&quot;00182D05&quot;/&gt;&lt;wsp:rsid wsp:val=&quot;001830F0&quot;/&gt;&lt;wsp:rsid wsp:val=&quot;00183BC8&quot;/&gt;&lt;wsp:rsid wsp:val=&quot;00184961&quot;/&gt;&lt;wsp:rsid wsp:val=&quot;001849DA&quot;/&gt;&lt;wsp:rsid wsp:val=&quot;00184AC7&quot;/&gt;&lt;wsp:rsid wsp:val=&quot;001855F3&quot;/&gt;&lt;wsp:rsid wsp:val=&quot;0018595F&quot;/&gt;&lt;wsp:rsid wsp:val=&quot;001867D3&quot;/&gt;&lt;wsp:rsid wsp:val=&quot;001876F2&quot;/&gt;&lt;wsp:rsid wsp:val=&quot;001879D2&quot;/&gt;&lt;wsp:rsid wsp:val=&quot;0019051F&quot;/&gt;&lt;wsp:rsid wsp:val=&quot;00191623&quot;/&gt;&lt;wsp:rsid wsp:val=&quot;001929BF&quot;/&gt;&lt;wsp:rsid wsp:val=&quot;00192C1D&quot;/&gt;&lt;wsp:rsid wsp:val=&quot;00193A8F&quot;/&gt;&lt;wsp:rsid wsp:val=&quot;00193AED&quot;/&gt;&lt;wsp:rsid wsp:val=&quot;00194028&quot;/&gt;&lt;wsp:rsid wsp:val=&quot;0019421A&quot;/&gt;&lt;wsp:rsid wsp:val=&quot;001946FD&quot;/&gt;&lt;wsp:rsid wsp:val=&quot;00194E33&quot;/&gt;&lt;wsp:rsid wsp:val=&quot;0019604E&quot;/&gt;&lt;wsp:rsid wsp:val=&quot;00196665&quot;/&gt;&lt;wsp:rsid wsp:val=&quot;001A0079&quot;/&gt;&lt;wsp:rsid wsp:val=&quot;001A02B1&quot;/&gt;&lt;wsp:rsid wsp:val=&quot;001A21DA&quot;/&gt;&lt;wsp:rsid wsp:val=&quot;001A3116&quot;/&gt;&lt;wsp:rsid wsp:val=&quot;001A4ADE&quot;/&gt;&lt;wsp:rsid wsp:val=&quot;001A4FE2&quot;/&gt;&lt;wsp:rsid wsp:val=&quot;001A5010&quot;/&gt;&lt;wsp:rsid wsp:val=&quot;001A540E&quot;/&gt;&lt;wsp:rsid wsp:val=&quot;001A5F1A&quot;/&gt;&lt;wsp:rsid wsp:val=&quot;001A5F45&quot;/&gt;&lt;wsp:rsid wsp:val=&quot;001B0278&quot;/&gt;&lt;wsp:rsid wsp:val=&quot;001B04ED&quot;/&gt;&lt;wsp:rsid wsp:val=&quot;001B2367&quot;/&gt;&lt;wsp:rsid wsp:val=&quot;001B2B5F&quot;/&gt;&lt;wsp:rsid wsp:val=&quot;001B4425&quot;/&gt;&lt;wsp:rsid wsp:val=&quot;001B551F&quot;/&gt;&lt;wsp:rsid wsp:val=&quot;001B5A93&quot;/&gt;&lt;wsp:rsid wsp:val=&quot;001B5D48&quot;/&gt;&lt;wsp:rsid wsp:val=&quot;001B67EB&quot;/&gt;&lt;wsp:rsid wsp:val=&quot;001B6E67&quot;/&gt;&lt;wsp:rsid wsp:val=&quot;001B7785&quot;/&gt;&lt;wsp:rsid wsp:val=&quot;001C081A&quot;/&gt;&lt;wsp:rsid wsp:val=&quot;001C12F0&quot;/&gt;&lt;wsp:rsid wsp:val=&quot;001C1309&quot;/&gt;&lt;wsp:rsid wsp:val=&quot;001C13E2&quot;/&gt;&lt;wsp:rsid wsp:val=&quot;001C2EEA&quot;/&gt;&lt;wsp:rsid wsp:val=&quot;001C35EF&quot;/&gt;&lt;wsp:rsid wsp:val=&quot;001C4017&quot;/&gt;&lt;wsp:rsid wsp:val=&quot;001C5070&quot;/&gt;&lt;wsp:rsid wsp:val=&quot;001C5234&quot;/&gt;&lt;wsp:rsid wsp:val=&quot;001C533C&quot;/&gt;&lt;wsp:rsid wsp:val=&quot;001C5375&quot;/&gt;&lt;wsp:rsid wsp:val=&quot;001C583F&quot;/&gt;&lt;wsp:rsid wsp:val=&quot;001C58F7&quot;/&gt;&lt;wsp:rsid wsp:val=&quot;001C6EAC&quot;/&gt;&lt;wsp:rsid wsp:val=&quot;001C734A&quot;/&gt;&lt;wsp:rsid wsp:val=&quot;001C7670&quot;/&gt;&lt;wsp:rsid wsp:val=&quot;001C7BA2&quot;/&gt;&lt;wsp:rsid wsp:val=&quot;001D033A&quot;/&gt;&lt;wsp:rsid wsp:val=&quot;001D0F26&quot;/&gt;&lt;wsp:rsid wsp:val=&quot;001D170E&quot;/&gt;&lt;wsp:rsid wsp:val=&quot;001D21A1&quot;/&gt;&lt;wsp:rsid wsp:val=&quot;001D2591&quot;/&gt;&lt;wsp:rsid wsp:val=&quot;001D351F&quot;/&gt;&lt;wsp:rsid wsp:val=&quot;001D4965&quot;/&gt;&lt;wsp:rsid wsp:val=&quot;001D4ABB&quot;/&gt;&lt;wsp:rsid wsp:val=&quot;001D526E&quot;/&gt;&lt;wsp:rsid wsp:val=&quot;001D57EE&quot;/&gt;&lt;wsp:rsid wsp:val=&quot;001D7147&quot;/&gt;&lt;wsp:rsid wsp:val=&quot;001E0016&quot;/&gt;&lt;wsp:rsid wsp:val=&quot;001E04A5&quot;/&gt;&lt;wsp:rsid wsp:val=&quot;001E0709&quot;/&gt;&lt;wsp:rsid wsp:val=&quot;001E0D94&quot;/&gt;&lt;wsp:rsid wsp:val=&quot;001E11B8&quot;/&gt;&lt;wsp:rsid wsp:val=&quot;001E141A&quot;/&gt;&lt;wsp:rsid wsp:val=&quot;001E16FB&quot;/&gt;&lt;wsp:rsid wsp:val=&quot;001E1773&quot;/&gt;&lt;wsp:rsid wsp:val=&quot;001E191C&quot;/&gt;&lt;wsp:rsid wsp:val=&quot;001E20E7&quot;/&gt;&lt;wsp:rsid wsp:val=&quot;001E253F&quot;/&gt;&lt;wsp:rsid wsp:val=&quot;001E2679&quot;/&gt;&lt;wsp:rsid wsp:val=&quot;001E27F5&quot;/&gt;&lt;wsp:rsid wsp:val=&quot;001E35FA&quot;/&gt;&lt;wsp:rsid wsp:val=&quot;001E4298&quot;/&gt;&lt;wsp:rsid wsp:val=&quot;001E46B6&quot;/&gt;&lt;wsp:rsid wsp:val=&quot;001E6CBB&quot;/&gt;&lt;wsp:rsid wsp:val=&quot;001E74B5&quot;/&gt;&lt;wsp:rsid wsp:val=&quot;001F0A61&quot;/&gt;&lt;wsp:rsid wsp:val=&quot;001F126E&quot;/&gt;&lt;wsp:rsid wsp:val=&quot;001F1ED8&quot;/&gt;&lt;wsp:rsid wsp:val=&quot;001F21F9&quot;/&gt;&lt;wsp:rsid wsp:val=&quot;001F2312&quot;/&gt;&lt;wsp:rsid wsp:val=&quot;001F231A&quot;/&gt;&lt;wsp:rsid wsp:val=&quot;001F2759&quot;/&gt;&lt;wsp:rsid wsp:val=&quot;001F2EC0&quot;/&gt;&lt;wsp:rsid wsp:val=&quot;001F32FB&quot;/&gt;&lt;wsp:rsid wsp:val=&quot;001F3549&quot;/&gt;&lt;wsp:rsid wsp:val=&quot;001F4B83&quot;/&gt;&lt;wsp:rsid wsp:val=&quot;001F5141&quot;/&gt;&lt;wsp:rsid wsp:val=&quot;001F5644&quot;/&gt;&lt;wsp:rsid wsp:val=&quot;001F6754&quot;/&gt;&lt;wsp:rsid wsp:val=&quot;002000DE&quot;/&gt;&lt;wsp:rsid wsp:val=&quot;0020012D&quot;/&gt;&lt;wsp:rsid wsp:val=&quot;002007F1&quot;/&gt;&lt;wsp:rsid wsp:val=&quot;00201181&quot;/&gt;&lt;wsp:rsid wsp:val=&quot;00201512&quot;/&gt;&lt;wsp:rsid wsp:val=&quot;002016A6&quot;/&gt;&lt;wsp:rsid wsp:val=&quot;00201DF9&quot;/&gt;&lt;wsp:rsid wsp:val=&quot;00203108&quot;/&gt;&lt;wsp:rsid wsp:val=&quot;00204011&quot;/&gt;&lt;wsp:rsid wsp:val=&quot;00204973&quot;/&gt;&lt;wsp:rsid wsp:val=&quot;00205995&quot;/&gt;&lt;wsp:rsid wsp:val=&quot;00205F6E&quot;/&gt;&lt;wsp:rsid wsp:val=&quot;00206580&quot;/&gt;&lt;wsp:rsid wsp:val=&quot;0020697F&quot;/&gt;&lt;wsp:rsid wsp:val=&quot;00206D98&quot;/&gt;&lt;wsp:rsid wsp:val=&quot;0020702C&quot;/&gt;&lt;wsp:rsid wsp:val=&quot;00210165&quot;/&gt;&lt;wsp:rsid wsp:val=&quot;002102A7&quot;/&gt;&lt;wsp:rsid wsp:val=&quot;002121C1&quot;/&gt;&lt;wsp:rsid wsp:val=&quot;0021353A&quot;/&gt;&lt;wsp:rsid wsp:val=&quot;00213741&quot;/&gt;&lt;wsp:rsid wsp:val=&quot;00214418&quot;/&gt;&lt;wsp:rsid wsp:val=&quot;002145DC&quot;/&gt;&lt;wsp:rsid wsp:val=&quot;0021494D&quot;/&gt;&lt;wsp:rsid wsp:val=&quot;0021499D&quot;/&gt;&lt;wsp:rsid wsp:val=&quot;00214F39&quot;/&gt;&lt;wsp:rsid wsp:val=&quot;00217E0C&quot;/&gt;&lt;wsp:rsid wsp:val=&quot;00217F88&quot;/&gt;&lt;wsp:rsid wsp:val=&quot;00220EA6&quot;/&gt;&lt;wsp:rsid wsp:val=&quot;00220F33&quot;/&gt;&lt;wsp:rsid wsp:val=&quot;0022144A&quot;/&gt;&lt;wsp:rsid wsp:val=&quot;00221BC8&quot;/&gt;&lt;wsp:rsid wsp:val=&quot;00221E25&quot;/&gt;&lt;wsp:rsid wsp:val=&quot;00222606&quot;/&gt;&lt;wsp:rsid wsp:val=&quot;00223166&quot;/&gt;&lt;wsp:rsid wsp:val=&quot;0022333C&quot;/&gt;&lt;wsp:rsid wsp:val=&quot;002245C3&quot;/&gt;&lt;wsp:rsid wsp:val=&quot;00224658&quot;/&gt;&lt;wsp:rsid wsp:val=&quot;00224E7B&quot;/&gt;&lt;wsp:rsid wsp:val=&quot;00224FF1&quot;/&gt;&lt;wsp:rsid wsp:val=&quot;0022536B&quot;/&gt;&lt;wsp:rsid wsp:val=&quot;00225533&quot;/&gt;&lt;wsp:rsid wsp:val=&quot;002264B9&quot;/&gt;&lt;wsp:rsid wsp:val=&quot;00226EA4&quot;/&gt;&lt;wsp:rsid wsp:val=&quot;00227A6D&quot;/&gt;&lt;wsp:rsid wsp:val=&quot;00227B88&quot;/&gt;&lt;wsp:rsid wsp:val=&quot;00230727&quot;/&gt;&lt;wsp:rsid wsp:val=&quot;00230965&quot;/&gt;&lt;wsp:rsid wsp:val=&quot;002313CF&quot;/&gt;&lt;wsp:rsid wsp:val=&quot;002314A6&quot;/&gt;&lt;wsp:rsid wsp:val=&quot;0023158F&quot;/&gt;&lt;wsp:rsid wsp:val=&quot;002328A8&quot;/&gt;&lt;wsp:rsid wsp:val=&quot;00232977&quot;/&gt;&lt;wsp:rsid wsp:val=&quot;00232DFC&quot;/&gt;&lt;wsp:rsid wsp:val=&quot;00232DFD&quot;/&gt;&lt;wsp:rsid wsp:val=&quot;00232E2A&quot;/&gt;&lt;wsp:rsid wsp:val=&quot;00233816&quot;/&gt;&lt;wsp:rsid wsp:val=&quot;00234530&quot;/&gt;&lt;wsp:rsid wsp:val=&quot;00234B5B&quot;/&gt;&lt;wsp:rsid wsp:val=&quot;00234B6F&quot;/&gt;&lt;wsp:rsid wsp:val=&quot;002350A3&quot;/&gt;&lt;wsp:rsid wsp:val=&quot;00236972&quot;/&gt;&lt;wsp:rsid wsp:val=&quot;00240423&quot;/&gt;&lt;wsp:rsid wsp:val=&quot;00240966&quot;/&gt;&lt;wsp:rsid wsp:val=&quot;00240D77&quot;/&gt;&lt;wsp:rsid wsp:val=&quot;00240F39&quot;/&gt;&lt;wsp:rsid wsp:val=&quot;0024104F&quot;/&gt;&lt;wsp:rsid wsp:val=&quot;00241667&quot;/&gt;&lt;wsp:rsid wsp:val=&quot;00241776&quot;/&gt;&lt;wsp:rsid wsp:val=&quot;0024364D&quot;/&gt;&lt;wsp:rsid wsp:val=&quot;002441FF&quot;/&gt;&lt;wsp:rsid wsp:val=&quot;002447B8&quot;/&gt;&lt;wsp:rsid wsp:val=&quot;0024521B&quot;/&gt;&lt;wsp:rsid wsp:val=&quot;00245459&quot;/&gt;&lt;wsp:rsid wsp:val=&quot;0024556B&quot;/&gt;&lt;wsp:rsid wsp:val=&quot;00245F06&quot;/&gt;&lt;wsp:rsid wsp:val=&quot;00246CDF&quot;/&gt;&lt;wsp:rsid wsp:val=&quot;00246D60&quot;/&gt;&lt;wsp:rsid wsp:val=&quot;0024785E&quot;/&gt;&lt;wsp:rsid wsp:val=&quot;002478BE&quot;/&gt;&lt;wsp:rsid wsp:val=&quot;00250AAD&quot;/&gt;&lt;wsp:rsid wsp:val=&quot;00250C1D&quot;/&gt;&lt;wsp:rsid wsp:val=&quot;002517E6&quot;/&gt;&lt;wsp:rsid wsp:val=&quot;00252499&quot;/&gt;&lt;wsp:rsid wsp:val=&quot;00253E56&quot;/&gt;&lt;wsp:rsid wsp:val=&quot;00254928&quot;/&gt;&lt;wsp:rsid wsp:val=&quot;00254F43&quot;/&gt;&lt;wsp:rsid wsp:val=&quot;0025584A&quot;/&gt;&lt;wsp:rsid wsp:val=&quot;00255C93&quot;/&gt;&lt;wsp:rsid wsp:val=&quot;002566EB&quot;/&gt;&lt;wsp:rsid wsp:val=&quot;00256BB8&quot;/&gt;&lt;wsp:rsid wsp:val=&quot;0025705F&quot;/&gt;&lt;wsp:rsid wsp:val=&quot;00257DC4&quot;/&gt;&lt;wsp:rsid wsp:val=&quot;00261189&quot;/&gt;&lt;wsp:rsid wsp:val=&quot;0026192A&quot;/&gt;&lt;wsp:rsid wsp:val=&quot;00262842&quot;/&gt;&lt;wsp:rsid wsp:val=&quot;00262B69&quot;/&gt;&lt;wsp:rsid wsp:val=&quot;00262FAF&quot;/&gt;&lt;wsp:rsid wsp:val=&quot;00263FFE&quot;/&gt;&lt;wsp:rsid wsp:val=&quot;002643F0&quot;/&gt;&lt;wsp:rsid wsp:val=&quot;00264AAD&quot;/&gt;&lt;wsp:rsid wsp:val=&quot;00264F9B&quot;/&gt;&lt;wsp:rsid wsp:val=&quot;00265173&quot;/&gt;&lt;wsp:rsid wsp:val=&quot;00265293&quot;/&gt;&lt;wsp:rsid wsp:val=&quot;002655D5&quot;/&gt;&lt;wsp:rsid wsp:val=&quot;00265884&quot;/&gt;&lt;wsp:rsid wsp:val=&quot;00266844&quot;/&gt;&lt;wsp:rsid wsp:val=&quot;00266A84&quot;/&gt;&lt;wsp:rsid wsp:val=&quot;00266BB1&quot;/&gt;&lt;wsp:rsid wsp:val=&quot;00267312&quot;/&gt;&lt;wsp:rsid wsp:val=&quot;00267368&quot;/&gt;&lt;wsp:rsid wsp:val=&quot;00267956&quot;/&gt;&lt;wsp:rsid wsp:val=&quot;0027049C&quot;/&gt;&lt;wsp:rsid wsp:val=&quot;002715F4&quot;/&gt;&lt;wsp:rsid wsp:val=&quot;0027225E&quot;/&gt;&lt;wsp:rsid wsp:val=&quot;00272728&quot;/&gt;&lt;wsp:rsid wsp:val=&quot;00272883&quot;/&gt;&lt;wsp:rsid wsp:val=&quot;00272DE5&quot;/&gt;&lt;wsp:rsid wsp:val=&quot;00272FE5&quot;/&gt;&lt;wsp:rsid wsp:val=&quot;00274755&quot;/&gt;&lt;wsp:rsid wsp:val=&quot;00275FC5&quot;/&gt;&lt;wsp:rsid wsp:val=&quot;0027672A&quot;/&gt;&lt;wsp:rsid wsp:val=&quot;00277B04&quot;/&gt;&lt;wsp:rsid wsp:val=&quot;00281668&quot;/&gt;&lt;wsp:rsid wsp:val=&quot;00281B5D&quot;/&gt;&lt;wsp:rsid wsp:val=&quot;00281FB0&quot;/&gt;&lt;wsp:rsid wsp:val=&quot;002822B2&quot;/&gt;&lt;wsp:rsid wsp:val=&quot;00282748&quot;/&gt;&lt;wsp:rsid wsp:val=&quot;00282BDC&quot;/&gt;&lt;wsp:rsid wsp:val=&quot;00282E35&quot;/&gt;&lt;wsp:rsid wsp:val=&quot;002835E8&quot;/&gt;&lt;wsp:rsid wsp:val=&quot;00283E79&quot;/&gt;&lt;wsp:rsid wsp:val=&quot;0028418E&quot;/&gt;&lt;wsp:rsid wsp:val=&quot;002841A4&quot;/&gt;&lt;wsp:rsid wsp:val=&quot;002854F0&quot;/&gt;&lt;wsp:rsid wsp:val=&quot;00285A02&quot;/&gt;&lt;wsp:rsid wsp:val=&quot;00287459&quot;/&gt;&lt;wsp:rsid wsp:val=&quot;00287524&quot;/&gt;&lt;wsp:rsid wsp:val=&quot;00287B51&quot;/&gt;&lt;wsp:rsid wsp:val=&quot;0029029A&quot;/&gt;&lt;wsp:rsid wsp:val=&quot;0029084B&quot;/&gt;&lt;wsp:rsid wsp:val=&quot;00291C01&quot;/&gt;&lt;wsp:rsid wsp:val=&quot;00291FC6&quot;/&gt;&lt;wsp:rsid wsp:val=&quot;00292932&quot;/&gt;&lt;wsp:rsid wsp:val=&quot;00292CFE&quot;/&gt;&lt;wsp:rsid wsp:val=&quot;00292F3B&quot;/&gt;&lt;wsp:rsid wsp:val=&quot;002937B5&quot;/&gt;&lt;wsp:rsid wsp:val=&quot;0029475F&quot;/&gt;&lt;wsp:rsid wsp:val=&quot;00294E5C&quot;/&gt;&lt;wsp:rsid wsp:val=&quot;002950A2&quot;/&gt;&lt;wsp:rsid wsp:val=&quot;002954CF&quot;/&gt;&lt;wsp:rsid wsp:val=&quot;00295944&quot;/&gt;&lt;wsp:rsid wsp:val=&quot;00295A84&quot;/&gt;&lt;wsp:rsid wsp:val=&quot;00295FB4&quot;/&gt;&lt;wsp:rsid wsp:val=&quot;002964F1&quot;/&gt;&lt;wsp:rsid wsp:val=&quot;002A0240&quot;/&gt;&lt;wsp:rsid wsp:val=&quot;002A1906&quot;/&gt;&lt;wsp:rsid wsp:val=&quot;002A1D08&quot;/&gt;&lt;wsp:rsid wsp:val=&quot;002A22C7&quot;/&gt;&lt;wsp:rsid wsp:val=&quot;002A30E3&quot;/&gt;&lt;wsp:rsid wsp:val=&quot;002A36A1&quot;/&gt;&lt;wsp:rsid wsp:val=&quot;002A3869&quot;/&gt;&lt;wsp:rsid wsp:val=&quot;002A4766&quot;/&gt;&lt;wsp:rsid wsp:val=&quot;002A4B0C&quot;/&gt;&lt;wsp:rsid wsp:val=&quot;002A50C9&quot;/&gt;&lt;wsp:rsid wsp:val=&quot;002A5328&quot;/&gt;&lt;wsp:rsid wsp:val=&quot;002A575C&quot;/&gt;&lt;wsp:rsid wsp:val=&quot;002A57B7&quot;/&gt;&lt;wsp:rsid wsp:val=&quot;002A5F32&quot;/&gt;&lt;wsp:rsid wsp:val=&quot;002A6149&quot;/&gt;&lt;wsp:rsid wsp:val=&quot;002A6908&quot;/&gt;&lt;wsp:rsid wsp:val=&quot;002A6F56&quot;/&gt;&lt;wsp:rsid wsp:val=&quot;002A7856&quot;/&gt;&lt;wsp:rsid wsp:val=&quot;002B10DB&quot;/&gt;&lt;wsp:rsid wsp:val=&quot;002B120F&quot;/&gt;&lt;wsp:rsid wsp:val=&quot;002B1360&quot;/&gt;&lt;wsp:rsid wsp:val=&quot;002B143C&quot;/&gt;&lt;wsp:rsid wsp:val=&quot;002B17BD&quot;/&gt;&lt;wsp:rsid wsp:val=&quot;002B1D05&quot;/&gt;&lt;wsp:rsid wsp:val=&quot;002B1FFF&quot;/&gt;&lt;wsp:rsid wsp:val=&quot;002B2307&quot;/&gt;&lt;wsp:rsid wsp:val=&quot;002B2988&quot;/&gt;&lt;wsp:rsid wsp:val=&quot;002B2E6C&quot;/&gt;&lt;wsp:rsid wsp:val=&quot;002B3AB9&quot;/&gt;&lt;wsp:rsid wsp:val=&quot;002B4D57&quot;/&gt;&lt;wsp:rsid wsp:val=&quot;002B520D&quot;/&gt;&lt;wsp:rsid wsp:val=&quot;002B537D&quot;/&gt;&lt;wsp:rsid wsp:val=&quot;002B5694&quot;/&gt;&lt;wsp:rsid wsp:val=&quot;002B59F0&quot;/&gt;&lt;wsp:rsid wsp:val=&quot;002B7377&quot;/&gt;&lt;wsp:rsid wsp:val=&quot;002B7B83&quot;/&gt;&lt;wsp:rsid wsp:val=&quot;002B7E96&quot;/&gt;&lt;wsp:rsid wsp:val=&quot;002C11C2&quot;/&gt;&lt;wsp:rsid wsp:val=&quot;002C11F7&quot;/&gt;&lt;wsp:rsid wsp:val=&quot;002C1A35&quot;/&gt;&lt;wsp:rsid wsp:val=&quot;002C2A72&quot;/&gt;&lt;wsp:rsid wsp:val=&quot;002C3229&quot;/&gt;&lt;wsp:rsid wsp:val=&quot;002C3576&quot;/&gt;&lt;wsp:rsid wsp:val=&quot;002C3BA7&quot;/&gt;&lt;wsp:rsid wsp:val=&quot;002C45A2&quot;/&gt;&lt;wsp:rsid wsp:val=&quot;002C4B0B&quot;/&gt;&lt;wsp:rsid wsp:val=&quot;002C4F26&quot;/&gt;&lt;wsp:rsid wsp:val=&quot;002C518F&quot;/&gt;&lt;wsp:rsid wsp:val=&quot;002C562D&quot;/&gt;&lt;wsp:rsid wsp:val=&quot;002C69E8&quot;/&gt;&lt;wsp:rsid wsp:val=&quot;002C7257&quot;/&gt;&lt;wsp:rsid wsp:val=&quot;002C7873&quot;/&gt;&lt;wsp:rsid wsp:val=&quot;002C7F31&quot;/&gt;&lt;wsp:rsid wsp:val=&quot;002D034F&quot;/&gt;&lt;wsp:rsid wsp:val=&quot;002D18A6&quot;/&gt;&lt;wsp:rsid wsp:val=&quot;002D1C08&quot;/&gt;&lt;wsp:rsid wsp:val=&quot;002D1FBA&quot;/&gt;&lt;wsp:rsid wsp:val=&quot;002D1FBC&quot;/&gt;&lt;wsp:rsid wsp:val=&quot;002D229F&quot;/&gt;&lt;wsp:rsid wsp:val=&quot;002D24BB&quot;/&gt;&lt;wsp:rsid wsp:val=&quot;002D2DED&quot;/&gt;&lt;wsp:rsid wsp:val=&quot;002D3304&quot;/&gt;&lt;wsp:rsid wsp:val=&quot;002D36B1&quot;/&gt;&lt;wsp:rsid wsp:val=&quot;002D36E4&quot;/&gt;&lt;wsp:rsid wsp:val=&quot;002D379A&quot;/&gt;&lt;wsp:rsid wsp:val=&quot;002D57CB&quot;/&gt;&lt;wsp:rsid wsp:val=&quot;002D69DF&quot;/&gt;&lt;wsp:rsid wsp:val=&quot;002D6BE2&quot;/&gt;&lt;wsp:rsid wsp:val=&quot;002D7BF4&quot;/&gt;&lt;wsp:rsid wsp:val=&quot;002E067B&quot;/&gt;&lt;wsp:rsid wsp:val=&quot;002E076B&quot;/&gt;&lt;wsp:rsid wsp:val=&quot;002E07A7&quot;/&gt;&lt;wsp:rsid wsp:val=&quot;002E0D5F&quot;/&gt;&lt;wsp:rsid wsp:val=&quot;002E0E55&quot;/&gt;&lt;wsp:rsid wsp:val=&quot;002E1A46&quot;/&gt;&lt;wsp:rsid wsp:val=&quot;002E1CFC&quot;/&gt;&lt;wsp:rsid wsp:val=&quot;002E23E5&quot;/&gt;&lt;wsp:rsid wsp:val=&quot;002E2676&quot;/&gt;&lt;wsp:rsid wsp:val=&quot;002E587E&quot;/&gt;&lt;wsp:rsid wsp:val=&quot;002E66E3&quot;/&gt;&lt;wsp:rsid wsp:val=&quot;002E69B7&quot;/&gt;&lt;wsp:rsid wsp:val=&quot;002E6D0C&quot;/&gt;&lt;wsp:rsid wsp:val=&quot;002E706A&quot;/&gt;&lt;wsp:rsid wsp:val=&quot;002F0515&quot;/&gt;&lt;wsp:rsid wsp:val=&quot;002F1415&quot;/&gt;&lt;wsp:rsid wsp:val=&quot;002F14F5&quot;/&gt;&lt;wsp:rsid wsp:val=&quot;002F2298&quot;/&gt;&lt;wsp:rsid wsp:val=&quot;002F2B19&quot;/&gt;&lt;wsp:rsid wsp:val=&quot;002F30BA&quot;/&gt;&lt;wsp:rsid wsp:val=&quot;002F374B&quot;/&gt;&lt;wsp:rsid wsp:val=&quot;002F4601&quot;/&gt;&lt;wsp:rsid wsp:val=&quot;002F567C&quot;/&gt;&lt;wsp:rsid wsp:val=&quot;002F7AAE&quot;/&gt;&lt;wsp:rsid wsp:val=&quot;002F7C59&quot;/&gt;&lt;wsp:rsid wsp:val=&quot;00301424&quot;/&gt;&lt;wsp:rsid wsp:val=&quot;003019DB&quot;/&gt;&lt;wsp:rsid wsp:val=&quot;003038D0&quot;/&gt;&lt;wsp:rsid wsp:val=&quot;00303F20&quot;/&gt;&lt;wsp:rsid wsp:val=&quot;00303FAC&quot;/&gt;&lt;wsp:rsid wsp:val=&quot;00304465&quot;/&gt;&lt;wsp:rsid wsp:val=&quot;003045A9&quot;/&gt;&lt;wsp:rsid wsp:val=&quot;0030488F&quot;/&gt;&lt;wsp:rsid wsp:val=&quot;00306559&quot;/&gt;&lt;wsp:rsid wsp:val=&quot;00307248&quot;/&gt;&lt;wsp:rsid wsp:val=&quot;003073F5&quot;/&gt;&lt;wsp:rsid wsp:val=&quot;00307ACC&quot;/&gt;&lt;wsp:rsid wsp:val=&quot;00307BA9&quot;/&gt;&lt;wsp:rsid wsp:val=&quot;00307E5E&quot;/&gt;&lt;wsp:rsid wsp:val=&quot;003100FB&quot;/&gt;&lt;wsp:rsid wsp:val=&quot;0031039F&quot;/&gt;&lt;wsp:rsid wsp:val=&quot;00310499&quot;/&gt;&lt;wsp:rsid wsp:val=&quot;003105D0&quot;/&gt;&lt;wsp:rsid wsp:val=&quot;00311254&quot;/&gt;&lt;wsp:rsid wsp:val=&quot;0031167B&quot;/&gt;&lt;wsp:rsid wsp:val=&quot;00311994&quot;/&gt;&lt;wsp:rsid wsp:val=&quot;00311FB2&quot;/&gt;&lt;wsp:rsid wsp:val=&quot;003123AC&quot;/&gt;&lt;wsp:rsid wsp:val=&quot;00312C17&quot;/&gt;&lt;wsp:rsid wsp:val=&quot;003136DF&quot;/&gt;&lt;wsp:rsid wsp:val=&quot;00313C0D&quot;/&gt;&lt;wsp:rsid wsp:val=&quot;00313DE3&quot;/&gt;&lt;wsp:rsid wsp:val=&quot;003146D8&quot;/&gt;&lt;wsp:rsid wsp:val=&quot;00315701&quot;/&gt;&lt;wsp:rsid wsp:val=&quot;003161B5&quot;/&gt;&lt;wsp:rsid wsp:val=&quot;0031674B&quot;/&gt;&lt;wsp:rsid wsp:val=&quot;003169EC&quot;/&gt;&lt;wsp:rsid wsp:val=&quot;00316B31&quot;/&gt;&lt;wsp:rsid wsp:val=&quot;00317430&quot;/&gt;&lt;wsp:rsid wsp:val=&quot;00317462&quot;/&gt;&lt;wsp:rsid wsp:val=&quot;003179EA&quot;/&gt;&lt;wsp:rsid wsp:val=&quot;003208A9&quot;/&gt;&lt;wsp:rsid wsp:val=&quot;00321393&quot;/&gt;&lt;wsp:rsid wsp:val=&quot;0032156D&quot;/&gt;&lt;wsp:rsid wsp:val=&quot;003219D8&quot;/&gt;&lt;wsp:rsid wsp:val=&quot;00322347&quot;/&gt;&lt;wsp:rsid wsp:val=&quot;003226D5&quot;/&gt;&lt;wsp:rsid wsp:val=&quot;00322F60&quot;/&gt;&lt;wsp:rsid wsp:val=&quot;00323938&quot;/&gt;&lt;wsp:rsid wsp:val=&quot;00323D6C&quot;/&gt;&lt;wsp:rsid wsp:val=&quot;00323F7B&quot;/&gt;&lt;wsp:rsid wsp:val=&quot;00324D66&quot;/&gt;&lt;wsp:rsid wsp:val=&quot;00325AC5&quot;/&gt;&lt;wsp:rsid wsp:val=&quot;00325D44&quot;/&gt;&lt;wsp:rsid wsp:val=&quot;00326432&quot;/&gt;&lt;wsp:rsid wsp:val=&quot;00326C36&quot;/&gt;&lt;wsp:rsid wsp:val=&quot;00326EBA&quot;/&gt;&lt;wsp:rsid wsp:val=&quot;003278F5&quot;/&gt;&lt;wsp:rsid wsp:val=&quot;00331B6A&quot;/&gt;&lt;wsp:rsid wsp:val=&quot;00331BD1&quot;/&gt;&lt;wsp:rsid wsp:val=&quot;00332384&quot;/&gt;&lt;wsp:rsid wsp:val=&quot;0033245F&quot;/&gt;&lt;wsp:rsid wsp:val=&quot;003325A8&quot;/&gt;&lt;wsp:rsid wsp:val=&quot;0033329C&quot;/&gt;&lt;wsp:rsid wsp:val=&quot;00333EFE&quot;/&gt;&lt;wsp:rsid wsp:val=&quot;00334B1A&quot;/&gt;&lt;wsp:rsid wsp:val=&quot;00335104&quot;/&gt;&lt;wsp:rsid wsp:val=&quot;00335212&quot;/&gt;&lt;wsp:rsid wsp:val=&quot;00335991&quot;/&gt;&lt;wsp:rsid wsp:val=&quot;00335D7B&quot;/&gt;&lt;wsp:rsid wsp:val=&quot;00335F05&quot;/&gt;&lt;wsp:rsid wsp:val=&quot;00335FBB&quot;/&gt;&lt;wsp:rsid wsp:val=&quot;00337637&quot;/&gt;&lt;wsp:rsid wsp:val=&quot;0033784B&quot;/&gt;&lt;wsp:rsid wsp:val=&quot;00340184&quot;/&gt;&lt;wsp:rsid wsp:val=&quot;00340303&quot;/&gt;&lt;wsp:rsid wsp:val=&quot;0034055B&quot;/&gt;&lt;wsp:rsid wsp:val=&quot;003412CE&quot;/&gt;&lt;wsp:rsid wsp:val=&quot;00341538&quot;/&gt;&lt;wsp:rsid wsp:val=&quot;003415BB&quot;/&gt;&lt;wsp:rsid wsp:val=&quot;003421A8&quot;/&gt;&lt;wsp:rsid wsp:val=&quot;003423D8&quot;/&gt;&lt;wsp:rsid wsp:val=&quot;0034253C&quot;/&gt;&lt;wsp:rsid wsp:val=&quot;003430B8&quot;/&gt;&lt;wsp:rsid wsp:val=&quot;0034407E&quot;/&gt;&lt;wsp:rsid wsp:val=&quot;00346B42&quot;/&gt;&lt;wsp:rsid wsp:val=&quot;00347968&quot;/&gt;&lt;wsp:rsid wsp:val=&quot;00347A66&quot;/&gt;&lt;wsp:rsid wsp:val=&quot;00347F76&quot;/&gt;&lt;wsp:rsid wsp:val=&quot;00350044&quot;/&gt;&lt;wsp:rsid wsp:val=&quot;003503F8&quot;/&gt;&lt;wsp:rsid wsp:val=&quot;003505C9&quot;/&gt;&lt;wsp:rsid wsp:val=&quot;00350E1B&quot;/&gt;&lt;wsp:rsid wsp:val=&quot;00351095&quot;/&gt;&lt;wsp:rsid wsp:val=&quot;00351457&quot;/&gt;&lt;wsp:rsid wsp:val=&quot;003516DF&quot;/&gt;&lt;wsp:rsid wsp:val=&quot;00351CD7&quot;/&gt;&lt;wsp:rsid wsp:val=&quot;00352215&quot;/&gt;&lt;wsp:rsid wsp:val=&quot;003522EC&quot;/&gt;&lt;wsp:rsid wsp:val=&quot;00352847&quot;/&gt;&lt;wsp:rsid wsp:val=&quot;00352EEA&quot;/&gt;&lt;wsp:rsid wsp:val=&quot;003533D9&quot;/&gt;&lt;wsp:rsid wsp:val=&quot;003541C7&quot;/&gt;&lt;wsp:rsid wsp:val=&quot;0035431F&quot;/&gt;&lt;wsp:rsid wsp:val=&quot;00355097&quot;/&gt;&lt;wsp:rsid wsp:val=&quot;00355E85&quot;/&gt;&lt;wsp:rsid wsp:val=&quot;00356807&quot;/&gt;&lt;wsp:rsid wsp:val=&quot;00356DA0&quot;/&gt;&lt;wsp:rsid wsp:val=&quot;0035703B&quot;/&gt;&lt;wsp:rsid wsp:val=&quot;00360363&quot;/&gt;&lt;wsp:rsid wsp:val=&quot;003608C6&quot;/&gt;&lt;wsp:rsid wsp:val=&quot;00360E30&quot;/&gt;&lt;wsp:rsid wsp:val=&quot;0036116B&quot;/&gt;&lt;wsp:rsid wsp:val=&quot;00361D33&quot;/&gt;&lt;wsp:rsid wsp:val=&quot;003622E8&quot;/&gt;&lt;wsp:rsid wsp:val=&quot;00362B74&quot;/&gt;&lt;wsp:rsid wsp:val=&quot;00363399&quot;/&gt;&lt;wsp:rsid wsp:val=&quot;003637F8&quot;/&gt;&lt;wsp:rsid wsp:val=&quot;00363B49&quot;/&gt;&lt;wsp:rsid wsp:val=&quot;00364D2B&quot;/&gt;&lt;wsp:rsid wsp:val=&quot;0036626A&quot;/&gt;&lt;wsp:rsid wsp:val=&quot;0036676F&quot;/&gt;&lt;wsp:rsid wsp:val=&quot;00366C70&quot;/&gt;&lt;wsp:rsid wsp:val=&quot;00367AD4&quot;/&gt;&lt;wsp:rsid wsp:val=&quot;00367C28&quot;/&gt;&lt;wsp:rsid wsp:val=&quot;003704EE&quot;/&gt;&lt;wsp:rsid wsp:val=&quot;00370B9A&quot;/&gt;&lt;wsp:rsid wsp:val=&quot;003714A2&quot;/&gt;&lt;wsp:rsid wsp:val=&quot;00371892&quot;/&gt;&lt;wsp:rsid wsp:val=&quot;00371CB3&quot;/&gt;&lt;wsp:rsid wsp:val=&quot;003721BF&quot;/&gt;&lt;wsp:rsid wsp:val=&quot;0037224D&quot;/&gt;&lt;wsp:rsid wsp:val=&quot;0037273D&quot;/&gt;&lt;wsp:rsid wsp:val=&quot;00372ED3&quot;/&gt;&lt;wsp:rsid wsp:val=&quot;00373324&quot;/&gt;&lt;wsp:rsid wsp:val=&quot;00373C60&quot;/&gt;&lt;wsp:rsid wsp:val=&quot;00373E85&quot;/&gt;&lt;wsp:rsid wsp:val=&quot;00374506&quot;/&gt;&lt;wsp:rsid wsp:val=&quot;00374932&quot;/&gt;&lt;wsp:rsid wsp:val=&quot;00376327&quot;/&gt;&lt;wsp:rsid wsp:val=&quot;0037633D&quot;/&gt;&lt;wsp:rsid wsp:val=&quot;003767E7&quot;/&gt;&lt;wsp:rsid wsp:val=&quot;0037692E&quot;/&gt;&lt;wsp:rsid wsp:val=&quot;00376BE3&quot;/&gt;&lt;wsp:rsid wsp:val=&quot;00376C40&quot;/&gt;&lt;wsp:rsid wsp:val=&quot;00376E86&quot;/&gt;&lt;wsp:rsid wsp:val=&quot;0037789F&quot;/&gt;&lt;wsp:rsid wsp:val=&quot;00377AE9&quot;/&gt;&lt;wsp:rsid wsp:val=&quot;00380177&quot;/&gt;&lt;wsp:rsid wsp:val=&quot;00380853&quot;/&gt;&lt;wsp:rsid wsp:val=&quot;00381053&quot;/&gt;&lt;wsp:rsid wsp:val=&quot;00381056&quot;/&gt;&lt;wsp:rsid wsp:val=&quot;0038168D&quot;/&gt;&lt;wsp:rsid wsp:val=&quot;003824BF&quot;/&gt;&lt;wsp:rsid wsp:val=&quot;00382E54&quot;/&gt;&lt;wsp:rsid wsp:val=&quot;00383725&quot;/&gt;&lt;wsp:rsid wsp:val=&quot;00385B46&quot;/&gt;&lt;wsp:rsid wsp:val=&quot;00385C46&quot;/&gt;&lt;wsp:rsid wsp:val=&quot;00386191&quot;/&gt;&lt;wsp:rsid wsp:val=&quot;003871A5&quot;/&gt;&lt;wsp:rsid wsp:val=&quot;00387230&quot;/&gt;&lt;wsp:rsid wsp:val=&quot;0038727A&quot;/&gt;&lt;wsp:rsid wsp:val=&quot;003874D9&quot;/&gt;&lt;wsp:rsid wsp:val=&quot;0038754C&quot;/&gt;&lt;wsp:rsid wsp:val=&quot;0039045D&quot;/&gt;&lt;wsp:rsid wsp:val=&quot;0039055E&quot;/&gt;&lt;wsp:rsid wsp:val=&quot;00391310&quot;/&gt;&lt;wsp:rsid wsp:val=&quot;0039231E&quot;/&gt;&lt;wsp:rsid wsp:val=&quot;00392A4A&quot;/&gt;&lt;wsp:rsid wsp:val=&quot;0039382E&quot;/&gt;&lt;wsp:rsid wsp:val=&quot;003949AA&quot;/&gt;&lt;wsp:rsid wsp:val=&quot;003955BA&quot;/&gt;&lt;wsp:rsid wsp:val=&quot;00395A1D&quot;/&gt;&lt;wsp:rsid wsp:val=&quot;00395C8A&quot;/&gt;&lt;wsp:rsid wsp:val=&quot;003971D1&quot;/&gt;&lt;wsp:rsid wsp:val=&quot;003A1655&quot;/&gt;&lt;wsp:rsid wsp:val=&quot;003A1BEE&quot;/&gt;&lt;wsp:rsid wsp:val=&quot;003A218D&quot;/&gt;&lt;wsp:rsid wsp:val=&quot;003A2789&quot;/&gt;&lt;wsp:rsid wsp:val=&quot;003A2DBC&quot;/&gt;&lt;wsp:rsid wsp:val=&quot;003A3310&quot;/&gt;&lt;wsp:rsid wsp:val=&quot;003A3DF1&quot;/&gt;&lt;wsp:rsid wsp:val=&quot;003A42AB&quot;/&gt;&lt;wsp:rsid wsp:val=&quot;003A47F4&quot;/&gt;&lt;wsp:rsid wsp:val=&quot;003A6C97&quot;/&gt;&lt;wsp:rsid wsp:val=&quot;003A7062&quot;/&gt;&lt;wsp:rsid wsp:val=&quot;003A7745&quot;/&gt;&lt;wsp:rsid wsp:val=&quot;003B01ED&quot;/&gt;&lt;wsp:rsid wsp:val=&quot;003B031F&quot;/&gt;&lt;wsp:rsid wsp:val=&quot;003B0873&quot;/&gt;&lt;wsp:rsid wsp:val=&quot;003B1817&quot;/&gt;&lt;wsp:rsid wsp:val=&quot;003B1EA6&quot;/&gt;&lt;wsp:rsid wsp:val=&quot;003B21EF&quot;/&gt;&lt;wsp:rsid wsp:val=&quot;003B2FAA&quot;/&gt;&lt;wsp:rsid wsp:val=&quot;003B6689&quot;/&gt;&lt;wsp:rsid wsp:val=&quot;003B6B12&quot;/&gt;&lt;wsp:rsid wsp:val=&quot;003B716C&quot;/&gt;&lt;wsp:rsid wsp:val=&quot;003C196F&quot;/&gt;&lt;wsp:rsid wsp:val=&quot;003C29DD&quot;/&gt;&lt;wsp:rsid wsp:val=&quot;003C3003&quot;/&gt;&lt;wsp:rsid wsp:val=&quot;003C3900&quot;/&gt;&lt;wsp:rsid wsp:val=&quot;003C4B43&quot;/&gt;&lt;wsp:rsid wsp:val=&quot;003C5267&quot;/&gt;&lt;wsp:rsid wsp:val=&quot;003C6605&quot;/&gt;&lt;wsp:rsid wsp:val=&quot;003C6A44&quot;/&gt;&lt;wsp:rsid wsp:val=&quot;003C6C66&quot;/&gt;&lt;wsp:rsid wsp:val=&quot;003C7191&quot;/&gt;&lt;wsp:rsid wsp:val=&quot;003C7463&quot;/&gt;&lt;wsp:rsid wsp:val=&quot;003D05C1&quot;/&gt;&lt;wsp:rsid wsp:val=&quot;003D0A55&quot;/&gt;&lt;wsp:rsid wsp:val=&quot;003D13AB&quot;/&gt;&lt;wsp:rsid wsp:val=&quot;003D232E&quot;/&gt;&lt;wsp:rsid wsp:val=&quot;003D37FA&quot;/&gt;&lt;wsp:rsid wsp:val=&quot;003D3AA0&quot;/&gt;&lt;wsp:rsid wsp:val=&quot;003D51A7&quot;/&gt;&lt;wsp:rsid wsp:val=&quot;003D5816&quot;/&gt;&lt;wsp:rsid wsp:val=&quot;003D5CDB&quot;/&gt;&lt;wsp:rsid wsp:val=&quot;003D6C92&quot;/&gt;&lt;wsp:rsid wsp:val=&quot;003D7F48&quot;/&gt;&lt;wsp:rsid wsp:val=&quot;003E0EC5&quot;/&gt;&lt;wsp:rsid wsp:val=&quot;003E1062&quot;/&gt;&lt;wsp:rsid wsp:val=&quot;003E11A4&quot;/&gt;&lt;wsp:rsid wsp:val=&quot;003E1EA5&quot;/&gt;&lt;wsp:rsid wsp:val=&quot;003E22AB&quot;/&gt;&lt;wsp:rsid wsp:val=&quot;003E2C57&quot;/&gt;&lt;wsp:rsid wsp:val=&quot;003E47F1&quot;/&gt;&lt;wsp:rsid wsp:val=&quot;003E6142&quot;/&gt;&lt;wsp:rsid wsp:val=&quot;003E7540&quot;/&gt;&lt;wsp:rsid wsp:val=&quot;003E7AFF&quot;/&gt;&lt;wsp:rsid wsp:val=&quot;003F04BB&quot;/&gt;&lt;wsp:rsid wsp:val=&quot;003F2E0A&quot;/&gt;&lt;wsp:rsid wsp:val=&quot;003F3158&quot;/&gt;&lt;wsp:rsid wsp:val=&quot;003F3E86&quot;/&gt;&lt;wsp:rsid wsp:val=&quot;003F4AB3&quot;/&gt;&lt;wsp:rsid wsp:val=&quot;003F51E3&quot;/&gt;&lt;wsp:rsid wsp:val=&quot;003F59F1&quot;/&gt;&lt;wsp:rsid wsp:val=&quot;003F68BA&quot;/&gt;&lt;wsp:rsid wsp:val=&quot;003F6CBB&quot;/&gt;&lt;wsp:rsid wsp:val=&quot;003F6F24&quot;/&gt;&lt;wsp:rsid wsp:val=&quot;003F7B4C&quot;/&gt;&lt;wsp:rsid wsp:val=&quot;003F7B81&quot;/&gt;&lt;wsp:rsid wsp:val=&quot;004009A7&quot;/&gt;&lt;wsp:rsid wsp:val=&quot;00400C74&quot;/&gt;&lt;wsp:rsid wsp:val=&quot;00401EE8&quot;/&gt;&lt;wsp:rsid wsp:val=&quot;004026C1&quot;/&gt;&lt;wsp:rsid wsp:val=&quot;00402CB4&quot;/&gt;&lt;wsp:rsid wsp:val=&quot;00403EA6&quot;/&gt;&lt;wsp:rsid wsp:val=&quot;004040CE&quot;/&gt;&lt;wsp:rsid wsp:val=&quot;0040410C&quot;/&gt;&lt;wsp:rsid wsp:val=&quot;004041EE&quot;/&gt;&lt;wsp:rsid wsp:val=&quot;00404F27&quot;/&gt;&lt;wsp:rsid wsp:val=&quot;00404FF8&quot;/&gt;&lt;wsp:rsid wsp:val=&quot;004057A3&quot;/&gt;&lt;wsp:rsid wsp:val=&quot;0040673A&quot;/&gt;&lt;wsp:rsid wsp:val=&quot;00406748&quot;/&gt;&lt;wsp:rsid wsp:val=&quot;00406AB5&quot;/&gt;&lt;wsp:rsid wsp:val=&quot;004074C0&quot;/&gt;&lt;wsp:rsid wsp:val=&quot;00407DED&quot;/&gt;&lt;wsp:rsid wsp:val=&quot;00407ED5&quot;/&gt;&lt;wsp:rsid wsp:val=&quot;004102A6&quot;/&gt;&lt;wsp:rsid wsp:val=&quot;004102F4&quot;/&gt;&lt;wsp:rsid wsp:val=&quot;00411915&quot;/&gt;&lt;wsp:rsid wsp:val=&quot;004119D3&quot;/&gt;&lt;wsp:rsid wsp:val=&quot;00411E99&quot;/&gt;&lt;wsp:rsid wsp:val=&quot;00413C04&quot;/&gt;&lt;wsp:rsid wsp:val=&quot;004150F2&quot;/&gt;&lt;wsp:rsid wsp:val=&quot;00415882&quot;/&gt;&lt;wsp:rsid wsp:val=&quot;004162ED&quot;/&gt;&lt;wsp:rsid wsp:val=&quot;00416424&quot;/&gt;&lt;wsp:rsid wsp:val=&quot;00416B84&quot;/&gt;&lt;wsp:rsid wsp:val=&quot;00416F0A&quot;/&gt;&lt;wsp:rsid wsp:val=&quot;00416F93&quot;/&gt;&lt;wsp:rsid wsp:val=&quot;004200B3&quot;/&gt;&lt;wsp:rsid wsp:val=&quot;00421364&quot;/&gt;&lt;wsp:rsid wsp:val=&quot;004218C3&quot;/&gt;&lt;wsp:rsid wsp:val=&quot;00422350&quot;/&gt;&lt;wsp:rsid wsp:val=&quot;0042252E&quot;/&gt;&lt;wsp:rsid wsp:val=&quot;00422591&quot;/&gt;&lt;wsp:rsid wsp:val=&quot;00422AD7&quot;/&gt;&lt;wsp:rsid wsp:val=&quot;0042351B&quot;/&gt;&lt;wsp:rsid wsp:val=&quot;00423A69&quot;/&gt;&lt;wsp:rsid wsp:val=&quot;004241F6&quot;/&gt;&lt;wsp:rsid wsp:val=&quot;00424659&quot;/&gt;&lt;wsp:rsid wsp:val=&quot;004301A0&quot;/&gt;&lt;wsp:rsid wsp:val=&quot;0043077C&quot;/&gt;&lt;wsp:rsid wsp:val=&quot;0043094E&quot;/&gt;&lt;wsp:rsid wsp:val=&quot;00430C54&quot;/&gt;&lt;wsp:rsid wsp:val=&quot;00431154&quot;/&gt;&lt;wsp:rsid wsp:val=&quot;00431535&quot;/&gt;&lt;wsp:rsid wsp:val=&quot;004315DD&quot;/&gt;&lt;wsp:rsid wsp:val=&quot;00432265&quot;/&gt;&lt;wsp:rsid wsp:val=&quot;00432B60&quot;/&gt;&lt;wsp:rsid wsp:val=&quot;00432FCF&quot;/&gt;&lt;wsp:rsid wsp:val=&quot;00434357&quot;/&gt;&lt;wsp:rsid wsp:val=&quot;00434683&quot;/&gt;&lt;wsp:rsid wsp:val=&quot;00434765&quot;/&gt;&lt;wsp:rsid wsp:val=&quot;00436448&quot;/&gt;&lt;wsp:rsid wsp:val=&quot;00436FE7&quot;/&gt;&lt;wsp:rsid wsp:val=&quot;00437C54&quot;/&gt;&lt;wsp:rsid wsp:val=&quot;00440647&quot;/&gt;&lt;wsp:rsid wsp:val=&quot;00440CF7&quot;/&gt;&lt;wsp:rsid wsp:val=&quot;00440EC1&quot;/&gt;&lt;wsp:rsid wsp:val=&quot;00441387&quot;/&gt;&lt;wsp:rsid wsp:val=&quot;00442986&quot;/&gt;&lt;wsp:rsid wsp:val=&quot;004438D2&quot;/&gt;&lt;wsp:rsid wsp:val=&quot;00443F18&quot;/&gt;&lt;wsp:rsid wsp:val=&quot;00444AE0&quot;/&gt;&lt;wsp:rsid wsp:val=&quot;004456DE&quot;/&gt;&lt;wsp:rsid wsp:val=&quot;00446CA1&quot;/&gt;&lt;wsp:rsid wsp:val=&quot;00447161&quot;/&gt;&lt;wsp:rsid wsp:val=&quot;00447B07&quot;/&gt;&lt;wsp:rsid wsp:val=&quot;00447C22&quot;/&gt;&lt;wsp:rsid wsp:val=&quot;004500C6&quot;/&gt;&lt;wsp:rsid wsp:val=&quot;004511EB&quot;/&gt;&lt;wsp:rsid wsp:val=&quot;00451DF5&quot;/&gt;&lt;wsp:rsid wsp:val=&quot;00452084&quot;/&gt;&lt;wsp:rsid wsp:val=&quot;004521CF&quot;/&gt;&lt;wsp:rsid wsp:val=&quot;0045263B&quot;/&gt;&lt;wsp:rsid wsp:val=&quot;00454CD6&quot;/&gt;&lt;wsp:rsid wsp:val=&quot;00454D04&quot;/&gt;&lt;wsp:rsid wsp:val=&quot;00455408&quot;/&gt;&lt;wsp:rsid wsp:val=&quot;004554B5&quot;/&gt;&lt;wsp:rsid wsp:val=&quot;004558C1&quot;/&gt;&lt;wsp:rsid wsp:val=&quot;00456805&quot;/&gt;&lt;wsp:rsid wsp:val=&quot;00456DE9&quot;/&gt;&lt;wsp:rsid wsp:val=&quot;00456E1A&quot;/&gt;&lt;wsp:rsid wsp:val=&quot;00457F11&quot;/&gt;&lt;wsp:rsid wsp:val=&quot;00460818&quot;/&gt;&lt;wsp:rsid wsp:val=&quot;00460B70&quot;/&gt;&lt;wsp:rsid wsp:val=&quot;00460C83&quot;/&gt;&lt;wsp:rsid wsp:val=&quot;00461638&quot;/&gt;&lt;wsp:rsid wsp:val=&quot;00461A03&quot;/&gt;&lt;wsp:rsid wsp:val=&quot;00463640&quot;/&gt;&lt;wsp:rsid wsp:val=&quot;00464C4E&quot;/&gt;&lt;wsp:rsid wsp:val=&quot;004658EE&quot;/&gt;&lt;wsp:rsid wsp:val=&quot;00466C97&quot;/&gt;&lt;wsp:rsid wsp:val=&quot;00466D7D&quot;/&gt;&lt;wsp:rsid wsp:val=&quot;0046701F&quot;/&gt;&lt;wsp:rsid wsp:val=&quot;004673BC&quot;/&gt;&lt;wsp:rsid wsp:val=&quot;00467416&quot;/&gt;&lt;wsp:rsid wsp:val=&quot;004676F2&quot;/&gt;&lt;wsp:rsid wsp:val=&quot;0046795F&quot;/&gt;&lt;wsp:rsid wsp:val=&quot;00467B00&quot;/&gt;&lt;wsp:rsid wsp:val=&quot;00470FA0&quot;/&gt;&lt;wsp:rsid wsp:val=&quot;004714DD&quot;/&gt;&lt;wsp:rsid wsp:val=&quot;004718F7&quot;/&gt;&lt;wsp:rsid wsp:val=&quot;0047193B&quot;/&gt;&lt;wsp:rsid wsp:val=&quot;00471E6E&quot;/&gt;&lt;wsp:rsid wsp:val=&quot;004726BA&quot;/&gt;&lt;wsp:rsid wsp:val=&quot;0047323D&quot;/&gt;&lt;wsp:rsid wsp:val=&quot;00474EB8&quot;/&gt;&lt;wsp:rsid wsp:val=&quot;00475B64&quot;/&gt;&lt;wsp:rsid wsp:val=&quot;004772BA&quot;/&gt;&lt;wsp:rsid wsp:val=&quot;004775B5&quot;/&gt;&lt;wsp:rsid wsp:val=&quot;0048022F&quot;/&gt;&lt;wsp:rsid wsp:val=&quot;004802BF&quot;/&gt;&lt;wsp:rsid wsp:val=&quot;004809C2&quot;/&gt;&lt;wsp:rsid wsp:val=&quot;00480A7C&quot;/&gt;&lt;wsp:rsid wsp:val=&quot;00480FE8&quot;/&gt;&lt;wsp:rsid wsp:val=&quot;0048116A&quot;/&gt;&lt;wsp:rsid wsp:val=&quot;00481A71&quot;/&gt;&lt;wsp:rsid wsp:val=&quot;004839E6&quot;/&gt;&lt;wsp:rsid wsp:val=&quot;00483DB2&quot;/&gt;&lt;wsp:rsid wsp:val=&quot;00484F78&quot;/&gt;&lt;wsp:rsid wsp:val=&quot;004851B1&quot;/&gt;&lt;wsp:rsid wsp:val=&quot;00485D0D&quot;/&gt;&lt;wsp:rsid wsp:val=&quot;00486575&quot;/&gt;&lt;wsp:rsid wsp:val=&quot;004869B6&quot;/&gt;&lt;wsp:rsid wsp:val=&quot;004869CE&quot;/&gt;&lt;wsp:rsid wsp:val=&quot;004903A9&quot;/&gt;&lt;wsp:rsid wsp:val=&quot;004904A4&quot;/&gt;&lt;wsp:rsid wsp:val=&quot;00490892&quot;/&gt;&lt;wsp:rsid wsp:val=&quot;004935E0&quot;/&gt;&lt;wsp:rsid wsp:val=&quot;00494B87&quot;/&gt;&lt;wsp:rsid wsp:val=&quot;00494E94&quot;/&gt;&lt;wsp:rsid wsp:val=&quot;00495050&quot;/&gt;&lt;wsp:rsid wsp:val=&quot;00495424&quot;/&gt;&lt;wsp:rsid wsp:val=&quot;004959EF&quot;/&gt;&lt;wsp:rsid wsp:val=&quot;00495A0B&quot;/&gt;&lt;wsp:rsid wsp:val=&quot;00495BD5&quot;/&gt;&lt;wsp:rsid wsp:val=&quot;00496837&quot;/&gt;&lt;wsp:rsid wsp:val=&quot;00496D59&quot;/&gt;&lt;wsp:rsid wsp:val=&quot;004978EA&quot;/&gt;&lt;wsp:rsid wsp:val=&quot;00497B59&quot;/&gt;&lt;wsp:rsid wsp:val=&quot;00497DC0&quot;/&gt;&lt;wsp:rsid wsp:val=&quot;004A07CC&quot;/&gt;&lt;wsp:rsid wsp:val=&quot;004A0A5B&quot;/&gt;&lt;wsp:rsid wsp:val=&quot;004A13F5&quot;/&gt;&lt;wsp:rsid wsp:val=&quot;004A1E4E&quot;/&gt;&lt;wsp:rsid wsp:val=&quot;004A2A42&quot;/&gt;&lt;wsp:rsid wsp:val=&quot;004A3086&quot;/&gt;&lt;wsp:rsid wsp:val=&quot;004A3A92&quot;/&gt;&lt;wsp:rsid wsp:val=&quot;004A3DF3&quot;/&gt;&lt;wsp:rsid wsp:val=&quot;004A4C8A&quot;/&gt;&lt;wsp:rsid wsp:val=&quot;004A57C3&quot;/&gt;&lt;wsp:rsid wsp:val=&quot;004A59B6&quot;/&gt;&lt;wsp:rsid wsp:val=&quot;004A5B64&quot;/&gt;&lt;wsp:rsid wsp:val=&quot;004A60AD&quot;/&gt;&lt;wsp:rsid wsp:val=&quot;004A6973&quot;/&gt;&lt;wsp:rsid wsp:val=&quot;004A6B19&quot;/&gt;&lt;wsp:rsid wsp:val=&quot;004A6C0B&quot;/&gt;&lt;wsp:rsid wsp:val=&quot;004A6C44&quot;/&gt;&lt;wsp:rsid wsp:val=&quot;004A7498&quot;/&gt;&lt;wsp:rsid wsp:val=&quot;004A76A4&quot;/&gt;&lt;wsp:rsid wsp:val=&quot;004A7AE6&quot;/&gt;&lt;wsp:rsid wsp:val=&quot;004B130B&quot;/&gt;&lt;wsp:rsid wsp:val=&quot;004B1DEB&quot;/&gt;&lt;wsp:rsid wsp:val=&quot;004B1E8F&quot;/&gt;&lt;wsp:rsid wsp:val=&quot;004B20CA&quot;/&gt;&lt;wsp:rsid wsp:val=&quot;004B2C31&quot;/&gt;&lt;wsp:rsid wsp:val=&quot;004B33C9&quot;/&gt;&lt;wsp:rsid wsp:val=&quot;004B33E8&quot;/&gt;&lt;wsp:rsid wsp:val=&quot;004B3D17&quot;/&gt;&lt;wsp:rsid wsp:val=&quot;004B44F1&quot;/&gt;&lt;wsp:rsid wsp:val=&quot;004B47C9&quot;/&gt;&lt;wsp:rsid wsp:val=&quot;004B4F15&quot;/&gt;&lt;wsp:rsid wsp:val=&quot;004B4FD5&quot;/&gt;&lt;wsp:rsid wsp:val=&quot;004B504A&quot;/&gt;&lt;wsp:rsid wsp:val=&quot;004B5485&quot;/&gt;&lt;wsp:rsid wsp:val=&quot;004B59B4&quot;/&gt;&lt;wsp:rsid wsp:val=&quot;004B5E12&quot;/&gt;&lt;wsp:rsid wsp:val=&quot;004B61B6&quot;/&gt;&lt;wsp:rsid wsp:val=&quot;004B64A5&quot;/&gt;&lt;wsp:rsid wsp:val=&quot;004B685D&quot;/&gt;&lt;wsp:rsid wsp:val=&quot;004B693B&quot;/&gt;&lt;wsp:rsid wsp:val=&quot;004B77B1&quot;/&gt;&lt;wsp:rsid wsp:val=&quot;004C0436&quot;/&gt;&lt;wsp:rsid wsp:val=&quot;004C0526&quot;/&gt;&lt;wsp:rsid wsp:val=&quot;004C08C0&quot;/&gt;&lt;wsp:rsid wsp:val=&quot;004C0B91&quot;/&gt;&lt;wsp:rsid wsp:val=&quot;004C2A94&quot;/&gt;&lt;wsp:rsid wsp:val=&quot;004C3559&quot;/&gt;&lt;wsp:rsid wsp:val=&quot;004C3C1C&quot;/&gt;&lt;wsp:rsid wsp:val=&quot;004C3C9C&quot;/&gt;&lt;wsp:rsid wsp:val=&quot;004C4054&quot;/&gt;&lt;wsp:rsid wsp:val=&quot;004C53B3&quot;/&gt;&lt;wsp:rsid wsp:val=&quot;004C54B8&quot;/&gt;&lt;wsp:rsid wsp:val=&quot;004C5644&quot;/&gt;&lt;wsp:rsid wsp:val=&quot;004C5764&quot;/&gt;&lt;wsp:rsid wsp:val=&quot;004C6CDA&quot;/&gt;&lt;wsp:rsid wsp:val=&quot;004C7159&quot;/&gt;&lt;wsp:rsid wsp:val=&quot;004C769F&quot;/&gt;&lt;wsp:rsid wsp:val=&quot;004C7A48&quot;/&gt;&lt;wsp:rsid wsp:val=&quot;004D06CD&quot;/&gt;&lt;wsp:rsid wsp:val=&quot;004D0B97&quot;/&gt;&lt;wsp:rsid wsp:val=&quot;004D1B23&quot;/&gt;&lt;wsp:rsid wsp:val=&quot;004D1CF9&quot;/&gt;&lt;wsp:rsid wsp:val=&quot;004D1D17&quot;/&gt;&lt;wsp:rsid wsp:val=&quot;004D251B&quot;/&gt;&lt;wsp:rsid wsp:val=&quot;004D289D&quot;/&gt;&lt;wsp:rsid wsp:val=&quot;004D2C20&quot;/&gt;&lt;wsp:rsid wsp:val=&quot;004D2EEE&quot;/&gt;&lt;wsp:rsid wsp:val=&quot;004D5059&quot;/&gt;&lt;wsp:rsid wsp:val=&quot;004D5642&quot;/&gt;&lt;wsp:rsid wsp:val=&quot;004D59CE&quot;/&gt;&lt;wsp:rsid wsp:val=&quot;004D5A8B&quot;/&gt;&lt;wsp:rsid wsp:val=&quot;004D6588&quot;/&gt;&lt;wsp:rsid wsp:val=&quot;004D7781&quot;/&gt;&lt;wsp:rsid wsp:val=&quot;004E0994&quot;/&gt;&lt;wsp:rsid wsp:val=&quot;004E39B8&quot;/&gt;&lt;wsp:rsid wsp:val=&quot;004E39CD&quot;/&gt;&lt;wsp:rsid wsp:val=&quot;004E3C45&quot;/&gt;&lt;wsp:rsid wsp:val=&quot;004E3F47&quot;/&gt;&lt;wsp:rsid wsp:val=&quot;004E4259&quot;/&gt;&lt;wsp:rsid wsp:val=&quot;004E44FD&quot;/&gt;&lt;wsp:rsid wsp:val=&quot;004E45F5&quot;/&gt;&lt;wsp:rsid wsp:val=&quot;004E4DAF&quot;/&gt;&lt;wsp:rsid wsp:val=&quot;004E5AEE&quot;/&gt;&lt;wsp:rsid wsp:val=&quot;004E5E8F&quot;/&gt;&lt;wsp:rsid wsp:val=&quot;004E5F29&quot;/&gt;&lt;wsp:rsid wsp:val=&quot;004E61D7&quot;/&gt;&lt;wsp:rsid wsp:val=&quot;004E6416&quot;/&gt;&lt;wsp:rsid wsp:val=&quot;004E6AEF&quot;/&gt;&lt;wsp:rsid wsp:val=&quot;004E6B3B&quot;/&gt;&lt;wsp:rsid wsp:val=&quot;004E7225&quot;/&gt;&lt;wsp:rsid wsp:val=&quot;004E739E&quot;/&gt;&lt;wsp:rsid wsp:val=&quot;004E7464&quot;/&gt;&lt;wsp:rsid wsp:val=&quot;004E7A68&quot;/&gt;&lt;wsp:rsid wsp:val=&quot;004F0AA1&quot;/&gt;&lt;wsp:rsid wsp:val=&quot;004F0F75&quot;/&gt;&lt;wsp:rsid wsp:val=&quot;004F22DB&quot;/&gt;&lt;wsp:rsid wsp:val=&quot;004F2ECF&quot;/&gt;&lt;wsp:rsid wsp:val=&quot;004F330D&quot;/&gt;&lt;wsp:rsid wsp:val=&quot;004F362C&quot;/&gt;&lt;wsp:rsid wsp:val=&quot;004F51EB&quot;/&gt;&lt;wsp:rsid wsp:val=&quot;004F5305&quot;/&gt;&lt;wsp:rsid wsp:val=&quot;004F5853&quot;/&gt;&lt;wsp:rsid wsp:val=&quot;004F6215&quot;/&gt;&lt;wsp:rsid wsp:val=&quot;004F66CA&quot;/&gt;&lt;wsp:rsid wsp:val=&quot;004F785B&quot;/&gt;&lt;wsp:rsid wsp:val=&quot;004F7EC0&quot;/&gt;&lt;wsp:rsid wsp:val=&quot;005006BC&quot;/&gt;&lt;wsp:rsid wsp:val=&quot;0050077D&quot;/&gt;&lt;wsp:rsid wsp:val=&quot;0050078F&quot;/&gt;&lt;wsp:rsid wsp:val=&quot;00501E9E&quot;/&gt;&lt;wsp:rsid wsp:val=&quot;00501FD8&quot;/&gt;&lt;wsp:rsid wsp:val=&quot;00502805&quot;/&gt;&lt;wsp:rsid wsp:val=&quot;0050306B&quot;/&gt;&lt;wsp:rsid wsp:val=&quot;005033D6&quot;/&gt;&lt;wsp:rsid wsp:val=&quot;00503F29&quot;/&gt;&lt;wsp:rsid wsp:val=&quot;00503FD4&quot;/&gt;&lt;wsp:rsid wsp:val=&quot;005040EE&quot;/&gt;&lt;wsp:rsid wsp:val=&quot;005048AE&quot;/&gt;&lt;wsp:rsid wsp:val=&quot;00504C0B&quot;/&gt;&lt;wsp:rsid wsp:val=&quot;0050551A&quot;/&gt;&lt;wsp:rsid wsp:val=&quot;005055FA&quot;/&gt;&lt;wsp:rsid wsp:val=&quot;00505E59&quot;/&gt;&lt;wsp:rsid wsp:val=&quot;0050658F&quot;/&gt;&lt;wsp:rsid wsp:val=&quot;00506AAA&quot;/&gt;&lt;wsp:rsid wsp:val=&quot;00506D3F&quot;/&gt;&lt;wsp:rsid wsp:val=&quot;005074BF&quot;/&gt;&lt;wsp:rsid wsp:val=&quot;00507924&quot;/&gt;&lt;wsp:rsid wsp:val=&quot;005103B3&quot;/&gt;&lt;wsp:rsid wsp:val=&quot;00510A25&quot;/&gt;&lt;wsp:rsid wsp:val=&quot;00511045&quot;/&gt;&lt;wsp:rsid wsp:val=&quot;00511A2E&quot;/&gt;&lt;wsp:rsid wsp:val=&quot;00511C27&quot;/&gt;&lt;wsp:rsid wsp:val=&quot;00512084&quot;/&gt;&lt;wsp:rsid wsp:val=&quot;0051226A&quot;/&gt;&lt;wsp:rsid wsp:val=&quot;00512366&quot;/&gt;&lt;wsp:rsid wsp:val=&quot;00513EB7&quot;/&gt;&lt;wsp:rsid wsp:val=&quot;0051401F&quot;/&gt;&lt;wsp:rsid wsp:val=&quot;00514A94&quot;/&gt;&lt;wsp:rsid wsp:val=&quot;00514A95&quot;/&gt;&lt;wsp:rsid wsp:val=&quot;00514C8A&quot;/&gt;&lt;wsp:rsid wsp:val=&quot;00516B8C&quot;/&gt;&lt;wsp:rsid wsp:val=&quot;00516E6C&quot;/&gt;&lt;wsp:rsid wsp:val=&quot;0051763F&quot;/&gt;&lt;wsp:rsid wsp:val=&quot;00517973&quot;/&gt;&lt;wsp:rsid wsp:val=&quot;00517D90&quot;/&gt;&lt;wsp:rsid wsp:val=&quot;00520124&quot;/&gt;&lt;wsp:rsid wsp:val=&quot;005209F3&quot;/&gt;&lt;wsp:rsid wsp:val=&quot;0052154E&quot;/&gt;&lt;wsp:rsid wsp:val=&quot;00521AC4&quot;/&gt;&lt;wsp:rsid wsp:val=&quot;00522034&quot;/&gt;&lt;wsp:rsid wsp:val=&quot;0052225A&quot;/&gt;&lt;wsp:rsid wsp:val=&quot;0052274A&quot;/&gt;&lt;wsp:rsid wsp:val=&quot;0052306E&quot;/&gt;&lt;wsp:rsid wsp:val=&quot;005237B7&quot;/&gt;&lt;wsp:rsid wsp:val=&quot;00523941&quot;/&gt;&lt;wsp:rsid wsp:val=&quot;00524133&quot;/&gt;&lt;wsp:rsid wsp:val=&quot;00524467&quot;/&gt;&lt;wsp:rsid wsp:val=&quot;00526783&quot;/&gt;&lt;wsp:rsid wsp:val=&quot;00526F23&quot;/&gt;&lt;wsp:rsid wsp:val=&quot;00526F95&quot;/&gt;&lt;wsp:rsid wsp:val=&quot;00527255&quot;/&gt;&lt;wsp:rsid wsp:val=&quot;005276F8&quot;/&gt;&lt;wsp:rsid wsp:val=&quot;0053044A&quot;/&gt;&lt;wsp:rsid wsp:val=&quot;0053072D&quot;/&gt;&lt;wsp:rsid wsp:val=&quot;00530CCC&quot;/&gt;&lt;wsp:rsid wsp:val=&quot;005311A7&quot;/&gt;&lt;wsp:rsid wsp:val=&quot;005313E8&quot;/&gt;&lt;wsp:rsid wsp:val=&quot;00531CE4&quot;/&gt;&lt;wsp:rsid wsp:val=&quot;00532F43&quot;/&gt;&lt;wsp:rsid wsp:val=&quot;005361D6&quot;/&gt;&lt;wsp:rsid wsp:val=&quot;0053623F&quot;/&gt;&lt;wsp:rsid wsp:val=&quot;00536B7A&quot;/&gt;&lt;wsp:rsid wsp:val=&quot;00536CD1&quot;/&gt;&lt;wsp:rsid wsp:val=&quot;00536D36&quot;/&gt;&lt;wsp:rsid wsp:val=&quot;005376BA&quot;/&gt;&lt;wsp:rsid wsp:val=&quot;00537910&quot;/&gt;&lt;wsp:rsid wsp:val=&quot;005416C4&quot;/&gt;&lt;wsp:rsid wsp:val=&quot;00541969&quot;/&gt;&lt;wsp:rsid wsp:val=&quot;00541E71&quot;/&gt;&lt;wsp:rsid wsp:val=&quot;00541F10&quot;/&gt;&lt;wsp:rsid wsp:val=&quot;005421CB&quot;/&gt;&lt;wsp:rsid wsp:val=&quot;005423F5&quot;/&gt;&lt;wsp:rsid wsp:val=&quot;00542EB7&quot;/&gt;&lt;wsp:rsid wsp:val=&quot;00543232&quot;/&gt;&lt;wsp:rsid wsp:val=&quot;00543489&quot;/&gt;&lt;wsp:rsid wsp:val=&quot;00543641&quot;/&gt;&lt;wsp:rsid wsp:val=&quot;005449B7&quot;/&gt;&lt;wsp:rsid wsp:val=&quot;00544A27&quot;/&gt;&lt;wsp:rsid wsp:val=&quot;00545118&quot;/&gt;&lt;wsp:rsid wsp:val=&quot;00545665&quot;/&gt;&lt;wsp:rsid wsp:val=&quot;00545D3F&quot;/&gt;&lt;wsp:rsid wsp:val=&quot;00545F8F&quot;/&gt;&lt;wsp:rsid wsp:val=&quot;00546330&quot;/&gt;&lt;wsp:rsid wsp:val=&quot;0054677B&quot;/&gt;&lt;wsp:rsid wsp:val=&quot;00550463&quot;/&gt;&lt;wsp:rsid wsp:val=&quot;00550D26&quot;/&gt;&lt;wsp:rsid wsp:val=&quot;00551953&quot;/&gt;&lt;wsp:rsid wsp:val=&quot;005523ED&quot;/&gt;&lt;wsp:rsid wsp:val=&quot;0055256C&quot;/&gt;&lt;wsp:rsid wsp:val=&quot;0055467B&quot;/&gt;&lt;wsp:rsid wsp:val=&quot;00554792&quot;/&gt;&lt;wsp:rsid wsp:val=&quot;005556D3&quot;/&gt;&lt;wsp:rsid wsp:val=&quot;005559DF&quot;/&gt;&lt;wsp:rsid wsp:val=&quot;00555F26&quot;/&gt;&lt;wsp:rsid wsp:val=&quot;00556598&quot;/&gt;&lt;wsp:rsid wsp:val=&quot;00556EB3&quot;/&gt;&lt;wsp:rsid wsp:val=&quot;00557811&quot;/&gt;&lt;wsp:rsid wsp:val=&quot;005579D2&quot;/&gt;&lt;wsp:rsid wsp:val=&quot;00557CF8&quot;/&gt;&lt;wsp:rsid wsp:val=&quot;00560953&quot;/&gt;&lt;wsp:rsid wsp:val=&quot;005610A3&quot;/&gt;&lt;wsp:rsid wsp:val=&quot;00561135&quot;/&gt;&lt;wsp:rsid wsp:val=&quot;00561BDA&quot;/&gt;&lt;wsp:rsid wsp:val=&quot;0056217C&quot;/&gt;&lt;wsp:rsid wsp:val=&quot;00563183&quot;/&gt;&lt;wsp:rsid wsp:val=&quot;00563702&quot;/&gt;&lt;wsp:rsid wsp:val=&quot;00563A74&quot;/&gt;&lt;wsp:rsid wsp:val=&quot;00563BCA&quot;/&gt;&lt;wsp:rsid wsp:val=&quot;005652C8&quot;/&gt;&lt;wsp:rsid wsp:val=&quot;005656E7&quot;/&gt;&lt;wsp:rsid wsp:val=&quot;00565BF0&quot;/&gt;&lt;wsp:rsid wsp:val=&quot;005665B6&quot;/&gt;&lt;wsp:rsid wsp:val=&quot;00566784&quot;/&gt;&lt;wsp:rsid wsp:val=&quot;0056727A&quot;/&gt;&lt;wsp:rsid wsp:val=&quot;00567A66&quot;/&gt;&lt;wsp:rsid wsp:val=&quot;00571001&quot;/&gt;&lt;wsp:rsid wsp:val=&quot;005714EE&quot;/&gt;&lt;wsp:rsid wsp:val=&quot;00571878&quot;/&gt;&lt;wsp:rsid wsp:val=&quot;00571FFF&quot;/&gt;&lt;wsp:rsid wsp:val=&quot;00572AE6&quot;/&gt;&lt;wsp:rsid wsp:val=&quot;00572F1A&quot;/&gt;&lt;wsp:rsid wsp:val=&quot;00573C58&quot;/&gt;&lt;wsp:rsid wsp:val=&quot;00573CE9&quot;/&gt;&lt;wsp:rsid wsp:val=&quot;00574369&quot;/&gt;&lt;wsp:rsid wsp:val=&quot;00574506&quot;/&gt;&lt;wsp:rsid wsp:val=&quot;00574C8A&quot;/&gt;&lt;wsp:rsid wsp:val=&quot;00574DCE&quot;/&gt;&lt;wsp:rsid wsp:val=&quot;00574FF7&quot;/&gt;&lt;wsp:rsid wsp:val=&quot;00575D01&quot;/&gt;&lt;wsp:rsid wsp:val=&quot;005771FE&quot;/&gt;&lt;wsp:rsid wsp:val=&quot;00577AD7&quot;/&gt;&lt;wsp:rsid wsp:val=&quot;0058014D&quot;/&gt;&lt;wsp:rsid wsp:val=&quot;005809C8&quot;/&gt;&lt;wsp:rsid wsp:val=&quot;00580E9C&quot;/&gt;&lt;wsp:rsid wsp:val=&quot;005815CA&quot;/&gt;&lt;wsp:rsid wsp:val=&quot;0058185E&quot;/&gt;&lt;wsp:rsid wsp:val=&quot;00581A4B&quot;/&gt;&lt;wsp:rsid wsp:val=&quot;0058422D&quot;/&gt;&lt;wsp:rsid wsp:val=&quot;0058455B&quot;/&gt;&lt;wsp:rsid wsp:val=&quot;00584DE0&quot;/&gt;&lt;wsp:rsid wsp:val=&quot;00585281&quot;/&gt;&lt;wsp:rsid wsp:val=&quot;00586CDC&quot;/&gt;&lt;wsp:rsid wsp:val=&quot;00587453&quot;/&gt;&lt;wsp:rsid wsp:val=&quot;0058767A&quot;/&gt;&lt;wsp:rsid wsp:val=&quot;005902AB&quot;/&gt;&lt;wsp:rsid wsp:val=&quot;00590483&quot;/&gt;&lt;wsp:rsid wsp:val=&quot;0059180B&quot;/&gt;&lt;wsp:rsid wsp:val=&quot;0059185A&quot;/&gt;&lt;wsp:rsid wsp:val=&quot;00591F84&quot;/&gt;&lt;wsp:rsid wsp:val=&quot;00592595&quot;/&gt;&lt;wsp:rsid wsp:val=&quot;005942E0&quot;/&gt;&lt;wsp:rsid wsp:val=&quot;00594425&quot;/&gt;&lt;wsp:rsid wsp:val=&quot;005947FF&quot;/&gt;&lt;wsp:rsid wsp:val=&quot;00595EE1&quot;/&gt;&lt;wsp:rsid wsp:val=&quot;0059631A&quot;/&gt;&lt;wsp:rsid wsp:val=&quot;005966FA&quot;/&gt;&lt;wsp:rsid wsp:val=&quot;00596E42&quot;/&gt;&lt;wsp:rsid wsp:val=&quot;00597EBD&quot;/&gt;&lt;wsp:rsid wsp:val=&quot;005A12FB&quot;/&gt;&lt;wsp:rsid wsp:val=&quot;005A18B3&quot;/&gt;&lt;wsp:rsid wsp:val=&quot;005A238D&quot;/&gt;&lt;wsp:rsid wsp:val=&quot;005A27CD&quot;/&gt;&lt;wsp:rsid wsp:val=&quot;005A2BFC&quot;/&gt;&lt;wsp:rsid wsp:val=&quot;005A5BAA&quot;/&gt;&lt;wsp:rsid wsp:val=&quot;005A68DF&quot;/&gt;&lt;wsp:rsid wsp:val=&quot;005A6A7B&quot;/&gt;&lt;wsp:rsid wsp:val=&quot;005A79E5&quot;/&gt;&lt;wsp:rsid wsp:val=&quot;005B0022&quot;/&gt;&lt;wsp:rsid wsp:val=&quot;005B00CC&quot;/&gt;&lt;wsp:rsid wsp:val=&quot;005B02F0&quot;/&gt;&lt;wsp:rsid wsp:val=&quot;005B09F3&quot;/&gt;&lt;wsp:rsid wsp:val=&quot;005B0FF4&quot;/&gt;&lt;wsp:rsid wsp:val=&quot;005B1544&quot;/&gt;&lt;wsp:rsid wsp:val=&quot;005B2319&quot;/&gt;&lt;wsp:rsid wsp:val=&quot;005B2A05&quot;/&gt;&lt;wsp:rsid wsp:val=&quot;005B34BF&quot;/&gt;&lt;wsp:rsid wsp:val=&quot;005B39EC&quot;/&gt;&lt;wsp:rsid wsp:val=&quot;005B39F6&quot;/&gt;&lt;wsp:rsid wsp:val=&quot;005B3B4B&quot;/&gt;&lt;wsp:rsid wsp:val=&quot;005B4828&quot;/&gt;&lt;wsp:rsid wsp:val=&quot;005B4986&quot;/&gt;&lt;wsp:rsid wsp:val=&quot;005B5476&quot;/&gt;&lt;wsp:rsid wsp:val=&quot;005B580A&quot;/&gt;&lt;wsp:rsid wsp:val=&quot;005B5999&quot;/&gt;&lt;wsp:rsid wsp:val=&quot;005B5AD1&quot;/&gt;&lt;wsp:rsid wsp:val=&quot;005B6063&quot;/&gt;&lt;wsp:rsid wsp:val=&quot;005B746B&quot;/&gt;&lt;wsp:rsid wsp:val=&quot;005B7AF5&quot;/&gt;&lt;wsp:rsid wsp:val=&quot;005C08BE&quot;/&gt;&lt;wsp:rsid wsp:val=&quot;005C15F9&quot;/&gt;&lt;wsp:rsid wsp:val=&quot;005C20B0&quot;/&gt;&lt;wsp:rsid wsp:val=&quot;005C2B4C&quot;/&gt;&lt;wsp:rsid wsp:val=&quot;005C31B4&quot;/&gt;&lt;wsp:rsid wsp:val=&quot;005C3E8C&quot;/&gt;&lt;wsp:rsid wsp:val=&quot;005C424F&quot;/&gt;&lt;wsp:rsid wsp:val=&quot;005C4531&quot;/&gt;&lt;wsp:rsid wsp:val=&quot;005C5382&quot;/&gt;&lt;wsp:rsid wsp:val=&quot;005C54CB&quot;/&gt;&lt;wsp:rsid wsp:val=&quot;005C5813&quot;/&gt;&lt;wsp:rsid wsp:val=&quot;005C6621&quot;/&gt;&lt;wsp:rsid wsp:val=&quot;005C6D5B&quot;/&gt;&lt;wsp:rsid wsp:val=&quot;005C76EB&quot;/&gt;&lt;wsp:rsid wsp:val=&quot;005D05C5&quot;/&gt;&lt;wsp:rsid wsp:val=&quot;005D0FA5&quot;/&gt;&lt;wsp:rsid wsp:val=&quot;005D1A45&quot;/&gt;&lt;wsp:rsid wsp:val=&quot;005D253D&quot;/&gt;&lt;wsp:rsid wsp:val=&quot;005D27F0&quot;/&gt;&lt;wsp:rsid wsp:val=&quot;005D2903&quot;/&gt;&lt;wsp:rsid wsp:val=&quot;005D4822&quot;/&gt;&lt;wsp:rsid wsp:val=&quot;005D4DA3&quot;/&gt;&lt;wsp:rsid wsp:val=&quot;005D4FC4&quot;/&gt;&lt;wsp:rsid wsp:val=&quot;005D7808&quot;/&gt;&lt;wsp:rsid wsp:val=&quot;005D7EAD&quot;/&gt;&lt;wsp:rsid wsp:val=&quot;005D7EFD&quot;/&gt;&lt;wsp:rsid wsp:val=&quot;005D7FB9&quot;/&gt;&lt;wsp:rsid wsp:val=&quot;005E143D&quot;/&gt;&lt;wsp:rsid wsp:val=&quot;005E1C74&quot;/&gt;&lt;wsp:rsid wsp:val=&quot;005E1D6F&quot;/&gt;&lt;wsp:rsid wsp:val=&quot;005E37D1&quot;/&gt;&lt;wsp:rsid wsp:val=&quot;005E3CF5&quot;/&gt;&lt;wsp:rsid wsp:val=&quot;005E41E8&quot;/&gt;&lt;wsp:rsid wsp:val=&quot;005E4330&quot;/&gt;&lt;wsp:rsid wsp:val=&quot;005E47C4&quot;/&gt;&lt;wsp:rsid wsp:val=&quot;005E5135&quot;/&gt;&lt;wsp:rsid wsp:val=&quot;005E54D8&quot;/&gt;&lt;wsp:rsid wsp:val=&quot;005E5962&quot;/&gt;&lt;wsp:rsid wsp:val=&quot;005E5D43&quot;/&gt;&lt;wsp:rsid wsp:val=&quot;005E625F&quot;/&gt;&lt;wsp:rsid wsp:val=&quot;005E7FD9&quot;/&gt;&lt;wsp:rsid wsp:val=&quot;005F002B&quot;/&gt;&lt;wsp:rsid wsp:val=&quot;005F0099&quot;/&gt;&lt;wsp:rsid wsp:val=&quot;005F11F1&quot;/&gt;&lt;wsp:rsid wsp:val=&quot;005F1378&quot;/&gt;&lt;wsp:rsid wsp:val=&quot;005F1388&quot;/&gt;&lt;wsp:rsid wsp:val=&quot;005F14A8&quot;/&gt;&lt;wsp:rsid wsp:val=&quot;005F2105&quot;/&gt;&lt;wsp:rsid wsp:val=&quot;005F24DA&quot;/&gt;&lt;wsp:rsid wsp:val=&quot;005F2707&quot;/&gt;&lt;wsp:rsid wsp:val=&quot;005F3511&quot;/&gt;&lt;wsp:rsid wsp:val=&quot;005F3F0D&quot;/&gt;&lt;wsp:rsid wsp:val=&quot;005F40C3&quot;/&gt;&lt;wsp:rsid wsp:val=&quot;005F42B2&quot;/&gt;&lt;wsp:rsid wsp:val=&quot;005F4BB4&quot;/&gt;&lt;wsp:rsid wsp:val=&quot;005F4C0F&quot;/&gt;&lt;wsp:rsid wsp:val=&quot;005F4C2A&quot;/&gt;&lt;wsp:rsid wsp:val=&quot;005F4C82&quot;/&gt;&lt;wsp:rsid wsp:val=&quot;005F4CEB&quot;/&gt;&lt;wsp:rsid wsp:val=&quot;005F54BD&quot;/&gt;&lt;wsp:rsid wsp:val=&quot;005F59A6&quot;/&gt;&lt;wsp:rsid wsp:val=&quot;005F59B6&quot;/&gt;&lt;wsp:rsid wsp:val=&quot;005F5E03&quot;/&gt;&lt;wsp:rsid wsp:val=&quot;005F5F97&quot;/&gt;&lt;wsp:rsid wsp:val=&quot;005F62F7&quot;/&gt;&lt;wsp:rsid wsp:val=&quot;005F6A8D&quot;/&gt;&lt;wsp:rsid wsp:val=&quot;005F6F0B&quot;/&gt;&lt;wsp:rsid wsp:val=&quot;005F7682&quot;/&gt;&lt;wsp:rsid wsp:val=&quot;005F77DF&quot;/&gt;&lt;wsp:rsid wsp:val=&quot;00600093&quot;/&gt;&lt;wsp:rsid wsp:val=&quot;006004FB&quot;/&gt;&lt;wsp:rsid wsp:val=&quot;006007B5&quot;/&gt;&lt;wsp:rsid wsp:val=&quot;00600A81&quot;/&gt;&lt;wsp:rsid wsp:val=&quot;006012F6&quot;/&gt;&lt;wsp:rsid wsp:val=&quot;00602DE2&quot;/&gt;&lt;wsp:rsid wsp:val=&quot;006035F2&quot;/&gt;&lt;wsp:rsid wsp:val=&quot;00603EB4&quot;/&gt;&lt;wsp:rsid wsp:val=&quot;00605257&quot;/&gt;&lt;wsp:rsid wsp:val=&quot;006052BA&quot;/&gt;&lt;wsp:rsid wsp:val=&quot;00605FBD&quot;/&gt;&lt;wsp:rsid wsp:val=&quot;00606300&quot;/&gt;&lt;wsp:rsid wsp:val=&quot;0060655F&quot;/&gt;&lt;wsp:rsid wsp:val=&quot;00606A9A&quot;/&gt;&lt;wsp:rsid wsp:val=&quot;00606BE2&quot;/&gt;&lt;wsp:rsid wsp:val=&quot;00606C8C&quot;/&gt;&lt;wsp:rsid wsp:val=&quot;006071E3&quot;/&gt;&lt;wsp:rsid wsp:val=&quot;006073AA&quot;/&gt;&lt;wsp:rsid wsp:val=&quot;006104EB&quot;/&gt;&lt;wsp:rsid wsp:val=&quot;006106CB&quot;/&gt;&lt;wsp:rsid wsp:val=&quot;00610953&quot;/&gt;&lt;wsp:rsid wsp:val=&quot;00610C6D&quot;/&gt;&lt;wsp:rsid wsp:val=&quot;00610C71&quot;/&gt;&lt;wsp:rsid wsp:val=&quot;00610F15&quot;/&gt;&lt;wsp:rsid wsp:val=&quot;00611B1F&quot;/&gt;&lt;wsp:rsid wsp:val=&quot;00611D8D&quot;/&gt;&lt;wsp:rsid wsp:val=&quot;006125BB&quot;/&gt;&lt;wsp:rsid wsp:val=&quot;00612892&quot;/&gt;&lt;wsp:rsid wsp:val=&quot;00613095&quot;/&gt;&lt;wsp:rsid wsp:val=&quot;006134C9&quot;/&gt;&lt;wsp:rsid wsp:val=&quot;006146B6&quot;/&gt;&lt;wsp:rsid wsp:val=&quot;00614840&quot;/&gt;&lt;wsp:rsid wsp:val=&quot;0061490F&quot;/&gt;&lt;wsp:rsid wsp:val=&quot;00614AED&quot;/&gt;&lt;wsp:rsid wsp:val=&quot;00614CF1&quot;/&gt;&lt;wsp:rsid wsp:val=&quot;00615274&quot;/&gt;&lt;wsp:rsid wsp:val=&quot;00615784&quot;/&gt;&lt;wsp:rsid wsp:val=&quot;0061603F&quot;/&gt;&lt;wsp:rsid wsp:val=&quot;0061679E&quot;/&gt;&lt;wsp:rsid wsp:val=&quot;006172BB&quot;/&gt;&lt;wsp:rsid wsp:val=&quot;00617A2E&quot;/&gt;&lt;wsp:rsid wsp:val=&quot;00617B10&quot;/&gt;&lt;wsp:rsid wsp:val=&quot;00617EF1&quot;/&gt;&lt;wsp:rsid wsp:val=&quot;00620EB5&quot;/&gt;&lt;wsp:rsid wsp:val=&quot;00621053&quot;/&gt;&lt;wsp:rsid wsp:val=&quot;00621E90&quot;/&gt;&lt;wsp:rsid wsp:val=&quot;00621EFC&quot;/&gt;&lt;wsp:rsid wsp:val=&quot;00622BCE&quot;/&gt;&lt;wsp:rsid wsp:val=&quot;00622E98&quot;/&gt;&lt;wsp:rsid wsp:val=&quot;00624008&quot;/&gt;&lt;wsp:rsid wsp:val=&quot;00624285&quot;/&gt;&lt;wsp:rsid wsp:val=&quot;00624C98&quot;/&gt;&lt;wsp:rsid wsp:val=&quot;00624CD7&quot;/&gt;&lt;wsp:rsid wsp:val=&quot;00625105&quot;/&gt;&lt;wsp:rsid wsp:val=&quot;00625DE6&quot;/&gt;&lt;wsp:rsid wsp:val=&quot;00625E65&quot;/&gt;&lt;wsp:rsid wsp:val=&quot;006269D2&quot;/&gt;&lt;wsp:rsid wsp:val=&quot;00627982&quot;/&gt;&lt;wsp:rsid wsp:val=&quot;00627FE1&quot;/&gt;&lt;wsp:rsid wsp:val=&quot;006303E6&quot;/&gt;&lt;wsp:rsid wsp:val=&quot;00630A4C&quot;/&gt;&lt;wsp:rsid wsp:val=&quot;00631E33&quot;/&gt;&lt;wsp:rsid wsp:val=&quot;0063258B&quot;/&gt;&lt;wsp:rsid wsp:val=&quot;006325CD&quot;/&gt;&lt;wsp:rsid wsp:val=&quot;006333BE&quot;/&gt;&lt;wsp:rsid wsp:val=&quot;00633E73&quot;/&gt;&lt;wsp:rsid wsp:val=&quot;006349A9&quot;/&gt;&lt;wsp:rsid wsp:val=&quot;00635A28&quot;/&gt;&lt;wsp:rsid wsp:val=&quot;00635B90&quot;/&gt;&lt;wsp:rsid wsp:val=&quot;006362E7&quot;/&gt;&lt;wsp:rsid wsp:val=&quot;0063698F&quot;/&gt;&lt;wsp:rsid wsp:val=&quot;00636B13&quot;/&gt;&lt;wsp:rsid wsp:val=&quot;00636F62&quot;/&gt;&lt;wsp:rsid wsp:val=&quot;00637AF3&quot;/&gt;&lt;wsp:rsid wsp:val=&quot;00640377&quot;/&gt;&lt;wsp:rsid wsp:val=&quot;00640F9E&quot;/&gt;&lt;wsp:rsid wsp:val=&quot;006423FD&quot;/&gt;&lt;wsp:rsid wsp:val=&quot;00642F2D&quot;/&gt;&lt;wsp:rsid wsp:val=&quot;006437D9&quot;/&gt;&lt;wsp:rsid wsp:val=&quot;00645296&quot;/&gt;&lt;wsp:rsid wsp:val=&quot;006452B6&quot;/&gt;&lt;wsp:rsid wsp:val=&quot;00645485&quot;/&gt;&lt;wsp:rsid wsp:val=&quot;0064680F&quot;/&gt;&lt;wsp:rsid wsp:val=&quot;00646A03&quot;/&gt;&lt;wsp:rsid wsp:val=&quot;00646BF9&quot;/&gt;&lt;wsp:rsid wsp:val=&quot;0064750C&quot;/&gt;&lt;wsp:rsid wsp:val=&quot;00647615&quot;/&gt;&lt;wsp:rsid wsp:val=&quot;00647CAB&quot;/&gt;&lt;wsp:rsid wsp:val=&quot;0065061B&quot;/&gt;&lt;wsp:rsid wsp:val=&quot;00650B89&quot;/&gt;&lt;wsp:rsid wsp:val=&quot;0065108C&quot;/&gt;&lt;wsp:rsid wsp:val=&quot;006511E4&quot;/&gt;&lt;wsp:rsid wsp:val=&quot;00651212&quot;/&gt;&lt;wsp:rsid wsp:val=&quot;00652283&quot;/&gt;&lt;wsp:rsid wsp:val=&quot;00654045&quot;/&gt;&lt;wsp:rsid wsp:val=&quot;006541C3&quot;/&gt;&lt;wsp:rsid wsp:val=&quot;00654B76&quot;/&gt;&lt;wsp:rsid wsp:val=&quot;0065692E&quot;/&gt;&lt;wsp:rsid wsp:val=&quot;00657C23&quot;/&gt;&lt;wsp:rsid wsp:val=&quot;0066109B&quot;/&gt;&lt;wsp:rsid wsp:val=&quot;006617F0&quot;/&gt;&lt;wsp:rsid wsp:val=&quot;0066181E&quot;/&gt;&lt;wsp:rsid wsp:val=&quot;00661A64&quot;/&gt;&lt;wsp:rsid wsp:val=&quot;006623D5&quot;/&gt;&lt;wsp:rsid wsp:val=&quot;00662873&quot;/&gt;&lt;wsp:rsid wsp:val=&quot;00663520&quot;/&gt;&lt;wsp:rsid wsp:val=&quot;006635BE&quot;/&gt;&lt;wsp:rsid wsp:val=&quot;006638AF&quot;/&gt;&lt;wsp:rsid wsp:val=&quot;00663F14&quot;/&gt;&lt;wsp:rsid wsp:val=&quot;00664CAA&quot;/&gt;&lt;wsp:rsid wsp:val=&quot;00664FD1&quot;/&gt;&lt;wsp:rsid wsp:val=&quot;00666B7A&quot;/&gt;&lt;wsp:rsid wsp:val=&quot;00666D04&quot;/&gt;&lt;wsp:rsid wsp:val=&quot;00666EB3&quot;/&gt;&lt;wsp:rsid wsp:val=&quot;00670143&quot;/&gt;&lt;wsp:rsid wsp:val=&quot;006701D6&quot;/&gt;&lt;wsp:rsid wsp:val=&quot;00670618&quot;/&gt;&lt;wsp:rsid wsp:val=&quot;00670BFC&quot;/&gt;&lt;wsp:rsid wsp:val=&quot;00670C26&quot;/&gt;&lt;wsp:rsid wsp:val=&quot;00670D19&quot;/&gt;&lt;wsp:rsid wsp:val=&quot;00670E42&quot;/&gt;&lt;wsp:rsid wsp:val=&quot;00672FD9&quot;/&gt;&lt;wsp:rsid wsp:val=&quot;006732C2&quot;/&gt;&lt;wsp:rsid wsp:val=&quot;0067337C&quot;/&gt;&lt;wsp:rsid wsp:val=&quot;00673452&quot;/&gt;&lt;wsp:rsid wsp:val=&quot;00673857&quot;/&gt;&lt;wsp:rsid wsp:val=&quot;00675325&quot;/&gt;&lt;wsp:rsid wsp:val=&quot;00675C90&quot;/&gt;&lt;wsp:rsid wsp:val=&quot;00675E39&quot;/&gt;&lt;wsp:rsid wsp:val=&quot;00675F19&quot;/&gt;&lt;wsp:rsid wsp:val=&quot;00676ACC&quot;/&gt;&lt;wsp:rsid wsp:val=&quot;00676BC6&quot;/&gt;&lt;wsp:rsid wsp:val=&quot;00677A90&quot;/&gt;&lt;wsp:rsid wsp:val=&quot;00677CEA&quot;/&gt;&lt;wsp:rsid wsp:val=&quot;00677F08&quot;/&gt;&lt;wsp:rsid wsp:val=&quot;00680EE7&quot;/&gt;&lt;wsp:rsid wsp:val=&quot;0068105A&quot;/&gt;&lt;wsp:rsid wsp:val=&quot;006813EA&quot;/&gt;&lt;wsp:rsid wsp:val=&quot;0068179B&quot;/&gt;&lt;wsp:rsid wsp:val=&quot;00682486&quot;/&gt;&lt;wsp:rsid wsp:val=&quot;0068354B&quot;/&gt;&lt;wsp:rsid wsp:val=&quot;00683C16&quot;/&gt;&lt;wsp:rsid wsp:val=&quot;00683C27&quot;/&gt;&lt;wsp:rsid wsp:val=&quot;006844E9&quot;/&gt;&lt;wsp:rsid wsp:val=&quot;00684AED&quot;/&gt;&lt;wsp:rsid wsp:val=&quot;00684BF4&quot;/&gt;&lt;wsp:rsid wsp:val=&quot;00685206&quot;/&gt;&lt;wsp:rsid wsp:val=&quot;0068670E&quot;/&gt;&lt;wsp:rsid wsp:val=&quot;0068685E&quot;/&gt;&lt;wsp:rsid wsp:val=&quot;0068696D&quot;/&gt;&lt;wsp:rsid wsp:val=&quot;00686CC3&quot;/&gt;&lt;wsp:rsid wsp:val=&quot;00690B66&quot;/&gt;&lt;wsp:rsid wsp:val=&quot;006912DD&quot;/&gt;&lt;wsp:rsid wsp:val=&quot;00691E1F&quot;/&gt;&lt;wsp:rsid wsp:val=&quot;00691F46&quot;/&gt;&lt;wsp:rsid wsp:val=&quot;006935DF&quot;/&gt;&lt;wsp:rsid wsp:val=&quot;00694355&quot;/&gt;&lt;wsp:rsid wsp:val=&quot;00694B65&quot;/&gt;&lt;wsp:rsid wsp:val=&quot;00694D75&quot;/&gt;&lt;wsp:rsid wsp:val=&quot;006953BD&quot;/&gt;&lt;wsp:rsid wsp:val=&quot;0069683D&quot;/&gt;&lt;wsp:rsid wsp:val=&quot;006969B6&quot;/&gt;&lt;wsp:rsid wsp:val=&quot;00697190&quot;/&gt;&lt;wsp:rsid wsp:val=&quot;006971B4&quot;/&gt;&lt;wsp:rsid wsp:val=&quot;006A0049&quot;/&gt;&lt;wsp:rsid wsp:val=&quot;006A042E&quot;/&gt;&lt;wsp:rsid wsp:val=&quot;006A0465&quot;/&gt;&lt;wsp:rsid wsp:val=&quot;006A0EB0&quot;/&gt;&lt;wsp:rsid wsp:val=&quot;006A137E&quot;/&gt;&lt;wsp:rsid wsp:val=&quot;006A1A55&quot;/&gt;&lt;wsp:rsid wsp:val=&quot;006A1D02&quot;/&gt;&lt;wsp:rsid wsp:val=&quot;006A1E07&quot;/&gt;&lt;wsp:rsid wsp:val=&quot;006A2B03&quot;/&gt;&lt;wsp:rsid wsp:val=&quot;006A2F42&quot;/&gt;&lt;wsp:rsid wsp:val=&quot;006A3599&quot;/&gt;&lt;wsp:rsid wsp:val=&quot;006A39D7&quot;/&gt;&lt;wsp:rsid wsp:val=&quot;006A3D3F&quot;/&gt;&lt;wsp:rsid wsp:val=&quot;006A3F44&quot;/&gt;&lt;wsp:rsid wsp:val=&quot;006A5178&quot;/&gt;&lt;wsp:rsid wsp:val=&quot;006A67E3&quot;/&gt;&lt;wsp:rsid wsp:val=&quot;006A700C&quot;/&gt;&lt;wsp:rsid wsp:val=&quot;006A732B&quot;/&gt;&lt;wsp:rsid wsp:val=&quot;006A7D98&quot;/&gt;&lt;wsp:rsid wsp:val=&quot;006A7E5C&quot;/&gt;&lt;wsp:rsid wsp:val=&quot;006A7EC7&quot;/&gt;&lt;wsp:rsid wsp:val=&quot;006B038A&quot;/&gt;&lt;wsp:rsid wsp:val=&quot;006B0930&quot;/&gt;&lt;wsp:rsid wsp:val=&quot;006B0A6F&quot;/&gt;&lt;wsp:rsid wsp:val=&quot;006B0CED&quot;/&gt;&lt;wsp:rsid wsp:val=&quot;006B106B&quot;/&gt;&lt;wsp:rsid wsp:val=&quot;006B28C1&quot;/&gt;&lt;wsp:rsid wsp:val=&quot;006B2E9B&quot;/&gt;&lt;wsp:rsid wsp:val=&quot;006B3302&quot;/&gt;&lt;wsp:rsid wsp:val=&quot;006B3E9D&quot;/&gt;&lt;wsp:rsid wsp:val=&quot;006B49EC&quot;/&gt;&lt;wsp:rsid wsp:val=&quot;006B4DA5&quot;/&gt;&lt;wsp:rsid wsp:val=&quot;006B4F77&quot;/&gt;&lt;wsp:rsid wsp:val=&quot;006B6C05&quot;/&gt;&lt;wsp:rsid wsp:val=&quot;006B6D07&quot;/&gt;&lt;wsp:rsid wsp:val=&quot;006B7709&quot;/&gt;&lt;wsp:rsid wsp:val=&quot;006C0A6A&quot;/&gt;&lt;wsp:rsid wsp:val=&quot;006C0ABA&quot;/&gt;&lt;wsp:rsid wsp:val=&quot;006C1376&quot;/&gt;&lt;wsp:rsid wsp:val=&quot;006C186B&quot;/&gt;&lt;wsp:rsid wsp:val=&quot;006C1D51&quot;/&gt;&lt;wsp:rsid wsp:val=&quot;006C26B2&quot;/&gt;&lt;wsp:rsid wsp:val=&quot;006C2795&quot;/&gt;&lt;wsp:rsid wsp:val=&quot;006C2F06&quot;/&gt;&lt;wsp:rsid wsp:val=&quot;006C37A4&quot;/&gt;&lt;wsp:rsid wsp:val=&quot;006C46A1&quot;/&gt;&lt;wsp:rsid wsp:val=&quot;006C4AFA&quot;/&gt;&lt;wsp:rsid wsp:val=&quot;006C5C68&quot;/&gt;&lt;wsp:rsid wsp:val=&quot;006C63B6&quot;/&gt;&lt;wsp:rsid wsp:val=&quot;006C63DD&quot;/&gt;&lt;wsp:rsid wsp:val=&quot;006C6637&quot;/&gt;&lt;wsp:rsid wsp:val=&quot;006D0DDA&quot;/&gt;&lt;wsp:rsid wsp:val=&quot;006D1479&quot;/&gt;&lt;wsp:rsid wsp:val=&quot;006D18AD&quot;/&gt;&lt;wsp:rsid wsp:val=&quot;006D1C85&quot;/&gt;&lt;wsp:rsid wsp:val=&quot;006D267E&quot;/&gt;&lt;wsp:rsid wsp:val=&quot;006D334C&quot;/&gt;&lt;wsp:rsid wsp:val=&quot;006D43FE&quot;/&gt;&lt;wsp:rsid wsp:val=&quot;006D495B&quot;/&gt;&lt;wsp:rsid wsp:val=&quot;006D5736&quot;/&gt;&lt;wsp:rsid wsp:val=&quot;006D5B00&quot;/&gt;&lt;wsp:rsid wsp:val=&quot;006D6089&quot;/&gt;&lt;wsp:rsid wsp:val=&quot;006D60DF&quot;/&gt;&lt;wsp:rsid wsp:val=&quot;006E01D8&quot;/&gt;&lt;wsp:rsid wsp:val=&quot;006E08DD&quot;/&gt;&lt;wsp:rsid wsp:val=&quot;006E11E8&quot;/&gt;&lt;wsp:rsid wsp:val=&quot;006E1660&quot;/&gt;&lt;wsp:rsid wsp:val=&quot;006E1F29&quot;/&gt;&lt;wsp:rsid wsp:val=&quot;006E1F81&quot;/&gt;&lt;wsp:rsid wsp:val=&quot;006E2BD9&quot;/&gt;&lt;wsp:rsid wsp:val=&quot;006E2D20&quot;/&gt;&lt;wsp:rsid wsp:val=&quot;006E3615&quot;/&gt;&lt;wsp:rsid wsp:val=&quot;006E5DF6&quot;/&gt;&lt;wsp:rsid wsp:val=&quot;006E6A9B&quot;/&gt;&lt;wsp:rsid wsp:val=&quot;006E7169&quot;/&gt;&lt;wsp:rsid wsp:val=&quot;006E74AD&quot;/&gt;&lt;wsp:rsid wsp:val=&quot;006F06FB&quot;/&gt;&lt;wsp:rsid wsp:val=&quot;006F6C7A&quot;/&gt;&lt;wsp:rsid wsp:val=&quot;006F7620&quot;/&gt;&lt;wsp:rsid wsp:val=&quot;00700AFE&quot;/&gt;&lt;wsp:rsid wsp:val=&quot;00702604&quot;/&gt;&lt;wsp:rsid wsp:val=&quot;007026E8&quot;/&gt;&lt;wsp:rsid wsp:val=&quot;00702CEC&quot;/&gt;&lt;wsp:rsid wsp:val=&quot;00702F97&quot;/&gt;&lt;wsp:rsid wsp:val=&quot;0070304C&quot;/&gt;&lt;wsp:rsid wsp:val=&quot;007036E2&quot;/&gt;&lt;wsp:rsid wsp:val=&quot;00703EBE&quot;/&gt;&lt;wsp:rsid wsp:val=&quot;007041F1&quot;/&gt;&lt;wsp:rsid wsp:val=&quot;00704AA5&quot;/&gt;&lt;wsp:rsid wsp:val=&quot;00704AE9&quot;/&gt;&lt;wsp:rsid wsp:val=&quot;00705574&quot;/&gt;&lt;wsp:rsid wsp:val=&quot;00705788&quot;/&gt;&lt;wsp:rsid wsp:val=&quot;00705899&quot;/&gt;&lt;wsp:rsid wsp:val=&quot;007062D0&quot;/&gt;&lt;wsp:rsid wsp:val=&quot;007065FA&quot;/&gt;&lt;wsp:rsid wsp:val=&quot;00706971&quot;/&gt;&lt;wsp:rsid wsp:val=&quot;00706B83&quot;/&gt;&lt;wsp:rsid wsp:val=&quot;00707A0E&quot;/&gt;&lt;wsp:rsid wsp:val=&quot;00707A74&quot;/&gt;&lt;wsp:rsid wsp:val=&quot;007100AC&quot;/&gt;&lt;wsp:rsid wsp:val=&quot;00711BDE&quot;/&gt;&lt;wsp:rsid wsp:val=&quot;00711DD5&quot;/&gt;&lt;wsp:rsid wsp:val=&quot;00711ED7&quot;/&gt;&lt;wsp:rsid wsp:val=&quot;00712864&quot;/&gt;&lt;wsp:rsid wsp:val=&quot;007133C2&quot;/&gt;&lt;wsp:rsid wsp:val=&quot;00713CD3&quot;/&gt;&lt;wsp:rsid wsp:val=&quot;00714C7C&quot;/&gt;&lt;wsp:rsid wsp:val=&quot;007156E9&quot;/&gt;&lt;wsp:rsid wsp:val=&quot;00715CCF&quot;/&gt;&lt;wsp:rsid wsp:val=&quot;00715E83&quot;/&gt;&lt;wsp:rsid wsp:val=&quot;007160EA&quot;/&gt;&lt;wsp:rsid wsp:val=&quot;0071792A&quot;/&gt;&lt;wsp:rsid wsp:val=&quot;00717FCC&quot;/&gt;&lt;wsp:rsid wsp:val=&quot;007207D1&quot;/&gt;&lt;wsp:rsid wsp:val=&quot;00720906&quot;/&gt;&lt;wsp:rsid wsp:val=&quot;00720E51&quot;/&gt;&lt;wsp:rsid wsp:val=&quot;00720F63&quot;/&gt;&lt;wsp:rsid wsp:val=&quot;00721544&quot;/&gt;&lt;wsp:rsid wsp:val=&quot;007223F3&quot;/&gt;&lt;wsp:rsid wsp:val=&quot;007229F7&quot;/&gt;&lt;wsp:rsid wsp:val=&quot;00723A94&quot;/&gt;&lt;wsp:rsid wsp:val=&quot;007256AC&quot;/&gt;&lt;wsp:rsid wsp:val=&quot;007257E3&quot;/&gt;&lt;wsp:rsid wsp:val=&quot;00726B3F&quot;/&gt;&lt;wsp:rsid wsp:val=&quot;00727879&quot;/&gt;&lt;wsp:rsid wsp:val=&quot;007307FD&quot;/&gt;&lt;wsp:rsid wsp:val=&quot;007317C8&quot;/&gt;&lt;wsp:rsid wsp:val=&quot;00731AFA&quot;/&gt;&lt;wsp:rsid wsp:val=&quot;00732CD7&quot;/&gt;&lt;wsp:rsid wsp:val=&quot;00733DB9&quot;/&gt;&lt;wsp:rsid wsp:val=&quot;00734367&quot;/&gt;&lt;wsp:rsid wsp:val=&quot;00734392&quot;/&gt;&lt;wsp:rsid wsp:val=&quot;00734EC8&quot;/&gt;&lt;wsp:rsid wsp:val=&quot;00734EE9&quot;/&gt;&lt;wsp:rsid wsp:val=&quot;007356CF&quot;/&gt;&lt;wsp:rsid wsp:val=&quot;007363BD&quot;/&gt;&lt;wsp:rsid wsp:val=&quot;007368B3&quot;/&gt;&lt;wsp:rsid wsp:val=&quot;0073726C&quot;/&gt;&lt;wsp:rsid wsp:val=&quot;00740139&quot;/&gt;&lt;wsp:rsid wsp:val=&quot;00740B2E&quot;/&gt;&lt;wsp:rsid wsp:val=&quot;00740C36&quot;/&gt;&lt;wsp:rsid wsp:val=&quot;00740F53&quot;/&gt;&lt;wsp:rsid wsp:val=&quot;007412A5&quot;/&gt;&lt;wsp:rsid wsp:val=&quot;0074131E&quot;/&gt;&lt;wsp:rsid wsp:val=&quot;007418CF&quot;/&gt;&lt;wsp:rsid wsp:val=&quot;00742080&quot;/&gt;&lt;wsp:rsid wsp:val=&quot;007423A0&quot;/&gt;&lt;wsp:rsid wsp:val=&quot;00743092&quot;/&gt;&lt;wsp:rsid wsp:val=&quot;007431B5&quot;/&gt;&lt;wsp:rsid wsp:val=&quot;007441AE&quot;/&gt;&lt;wsp:rsid wsp:val=&quot;007449B9&quot;/&gt;&lt;wsp:rsid wsp:val=&quot;00744F09&quot;/&gt;&lt;wsp:rsid wsp:val=&quot;00745289&quot;/&gt;&lt;wsp:rsid wsp:val=&quot;00745346&quot;/&gt;&lt;wsp:rsid wsp:val=&quot;00745807&quot;/&gt;&lt;wsp:rsid wsp:val=&quot;00745AE9&quot;/&gt;&lt;wsp:rsid wsp:val=&quot;00745D97&quot;/&gt;&lt;wsp:rsid wsp:val=&quot;007464F9&quot;/&gt;&lt;wsp:rsid wsp:val=&quot;00746639&quot;/&gt;&lt;wsp:rsid wsp:val=&quot;00747073&quot;/&gt;&lt;wsp:rsid wsp:val=&quot;00747DD3&quot;/&gt;&lt;wsp:rsid wsp:val=&quot;00747EAD&quot;/&gt;&lt;wsp:rsid wsp:val=&quot;00750238&quot;/&gt;&lt;wsp:rsid wsp:val=&quot;00750B04&quot;/&gt;&lt;wsp:rsid wsp:val=&quot;00751295&quot;/&gt;&lt;wsp:rsid wsp:val=&quot;00751B8F&quot;/&gt;&lt;wsp:rsid wsp:val=&quot;00752004&quot;/&gt;&lt;wsp:rsid wsp:val=&quot;007531B7&quot;/&gt;&lt;wsp:rsid wsp:val=&quot;00753510&quot;/&gt;&lt;wsp:rsid wsp:val=&quot;00753C1D&quot;/&gt;&lt;wsp:rsid wsp:val=&quot;0075474C&quot;/&gt;&lt;wsp:rsid wsp:val=&quot;0075479B&quot;/&gt;&lt;wsp:rsid wsp:val=&quot;00754BE1&quot;/&gt;&lt;wsp:rsid wsp:val=&quot;00754C62&quot;/&gt;&lt;wsp:rsid wsp:val=&quot;00754DD9&quot;/&gt;&lt;wsp:rsid wsp:val=&quot;00755976&quot;/&gt;&lt;wsp:rsid wsp:val=&quot;00756370&quot;/&gt;&lt;wsp:rsid wsp:val=&quot;00756FAE&quot;/&gt;&lt;wsp:rsid wsp:val=&quot;007575F5&quot;/&gt;&lt;wsp:rsid wsp:val=&quot;00757E88&quot;/&gt;&lt;wsp:rsid wsp:val=&quot;00761159&quot;/&gt;&lt;wsp:rsid wsp:val=&quot;00761689&quot;/&gt;&lt;wsp:rsid wsp:val=&quot;007618E5&quot;/&gt;&lt;wsp:rsid wsp:val=&quot;00761AB7&quot;/&gt;&lt;wsp:rsid wsp:val=&quot;00761B0F&quot;/&gt;&lt;wsp:rsid wsp:val=&quot;00761E8A&quot;/&gt;&lt;wsp:rsid wsp:val=&quot;00762BAE&quot;/&gt;&lt;wsp:rsid wsp:val=&quot;00762C4D&quot;/&gt;&lt;wsp:rsid wsp:val=&quot;0076302B&quot;/&gt;&lt;wsp:rsid wsp:val=&quot;00763C76&quot;/&gt;&lt;wsp:rsid wsp:val=&quot;007640EA&quot;/&gt;&lt;wsp:rsid wsp:val=&quot;00764C2B&quot;/&gt;&lt;wsp:rsid wsp:val=&quot;00764D38&quot;/&gt;&lt;wsp:rsid wsp:val=&quot;00764E76&quot;/&gt;&lt;wsp:rsid wsp:val=&quot;00764F7C&quot;/&gt;&lt;wsp:rsid wsp:val=&quot;0076501A&quot;/&gt;&lt;wsp:rsid wsp:val=&quot;007656C5&quot;/&gt;&lt;wsp:rsid wsp:val=&quot;00765C45&quot;/&gt;&lt;wsp:rsid wsp:val=&quot;007661F7&quot;/&gt;&lt;wsp:rsid wsp:val=&quot;00766550&quot;/&gt;&lt;wsp:rsid wsp:val=&quot;00766E05&quot;/&gt;&lt;wsp:rsid wsp:val=&quot;00767842&quot;/&gt;&lt;wsp:rsid wsp:val=&quot;00770502&quot;/&gt;&lt;wsp:rsid wsp:val=&quot;00770E5C&quot;/&gt;&lt;wsp:rsid wsp:val=&quot;00771791&quot;/&gt;&lt;wsp:rsid wsp:val=&quot;00771A11&quot;/&gt;&lt;wsp:rsid wsp:val=&quot;00771D62&quot;/&gt;&lt;wsp:rsid wsp:val=&quot;00772702&quot;/&gt;&lt;wsp:rsid wsp:val=&quot;00772999&quot;/&gt;&lt;wsp:rsid wsp:val=&quot;007729A8&quot;/&gt;&lt;wsp:rsid wsp:val=&quot;007735A9&quot;/&gt;&lt;wsp:rsid wsp:val=&quot;00773A56&quot;/&gt;&lt;wsp:rsid wsp:val=&quot;00773C1B&quot;/&gt;&lt;wsp:rsid wsp:val=&quot;007740BD&quot;/&gt;&lt;wsp:rsid wsp:val=&quot;0077428F&quot;/&gt;&lt;wsp:rsid wsp:val=&quot;00774554&quot;/&gt;&lt;wsp:rsid wsp:val=&quot;00775BFA&quot;/&gt;&lt;wsp:rsid wsp:val=&quot;00775CCC&quot;/&gt;&lt;wsp:rsid wsp:val=&quot;00775DFE&quot;/&gt;&lt;wsp:rsid wsp:val=&quot;007768F7&quot;/&gt;&lt;wsp:rsid wsp:val=&quot;007773F6&quot;/&gt;&lt;wsp:rsid wsp:val=&quot;0077771D&quot;/&gt;&lt;wsp:rsid wsp:val=&quot;00777E6A&quot;/&gt;&lt;wsp:rsid wsp:val=&quot;0078065E&quot;/&gt;&lt;wsp:rsid wsp:val=&quot;00780F80&quot;/&gt;&lt;wsp:rsid wsp:val=&quot;0078179A&quot;/&gt;&lt;wsp:rsid wsp:val=&quot;00781981&quot;/&gt;&lt;wsp:rsid wsp:val=&quot;00781EAF&quot;/&gt;&lt;wsp:rsid wsp:val=&quot;007827FD&quot;/&gt;&lt;wsp:rsid wsp:val=&quot;007829AC&quot;/&gt;&lt;wsp:rsid wsp:val=&quot;00782C37&quot;/&gt;&lt;wsp:rsid wsp:val=&quot;00783857&quot;/&gt;&lt;wsp:rsid wsp:val=&quot;00783DA4&quot;/&gt;&lt;wsp:rsid wsp:val=&quot;00784628&quot;/&gt;&lt;wsp:rsid wsp:val=&quot;00784ACD&quot;/&gt;&lt;wsp:rsid wsp:val=&quot;00785FB3&quot;/&gt;&lt;wsp:rsid wsp:val=&quot;00786246&quot;/&gt;&lt;wsp:rsid wsp:val=&quot;00786AD9&quot;/&gt;&lt;wsp:rsid wsp:val=&quot;007872B4&quot;/&gt;&lt;wsp:rsid wsp:val=&quot;007873D6&quot;/&gt;&lt;wsp:rsid wsp:val=&quot;00787F86&quot;/&gt;&lt;wsp:rsid wsp:val=&quot;00791504&quot;/&gt;&lt;wsp:rsid wsp:val=&quot;00791BC4&quot;/&gt;&lt;wsp:rsid wsp:val=&quot;00792012&quot;/&gt;&lt;wsp:rsid wsp:val=&quot;00792AF9&quot;/&gt;&lt;wsp:rsid wsp:val=&quot;00792EF2&quot;/&gt;&lt;wsp:rsid wsp:val=&quot;007936DA&quot;/&gt;&lt;wsp:rsid wsp:val=&quot;0079380A&quot;/&gt;&lt;wsp:rsid wsp:val=&quot;00794199&quot;/&gt;&lt;wsp:rsid wsp:val=&quot;00794722&quot;/&gt;&lt;wsp:rsid wsp:val=&quot;007957D3&quot;/&gt;&lt;wsp:rsid wsp:val=&quot;00796492&quot;/&gt;&lt;wsp:rsid wsp:val=&quot;007972E7&quot;/&gt;&lt;wsp:rsid wsp:val=&quot;00797CC2&quot;/&gt;&lt;wsp:rsid wsp:val=&quot;007A0741&quot;/&gt;&lt;wsp:rsid wsp:val=&quot;007A077A&quot;/&gt;&lt;wsp:rsid wsp:val=&quot;007A48C8&quot;/&gt;&lt;wsp:rsid wsp:val=&quot;007A4B5C&quot;/&gt;&lt;wsp:rsid wsp:val=&quot;007A5792&quot;/&gt;&lt;wsp:rsid wsp:val=&quot;007A5D8B&quot;/&gt;&lt;wsp:rsid wsp:val=&quot;007A6772&quot;/&gt;&lt;wsp:rsid wsp:val=&quot;007B125B&quot;/&gt;&lt;wsp:rsid wsp:val=&quot;007B1476&quot;/&gt;&lt;wsp:rsid wsp:val=&quot;007B18ED&quot;/&gt;&lt;wsp:rsid wsp:val=&quot;007B1C1B&quot;/&gt;&lt;wsp:rsid wsp:val=&quot;007B1C30&quot;/&gt;&lt;wsp:rsid wsp:val=&quot;007B232C&quot;/&gt;&lt;wsp:rsid wsp:val=&quot;007B300E&quot;/&gt;&lt;wsp:rsid wsp:val=&quot;007B3181&quot;/&gt;&lt;wsp:rsid wsp:val=&quot;007B32BA&quot;/&gt;&lt;wsp:rsid wsp:val=&quot;007B34E4&quot;/&gt;&lt;wsp:rsid wsp:val=&quot;007B3940&quot;/&gt;&lt;wsp:rsid wsp:val=&quot;007B406A&quot;/&gt;&lt;wsp:rsid wsp:val=&quot;007B4F06&quot;/&gt;&lt;wsp:rsid wsp:val=&quot;007B5A28&quot;/&gt;&lt;wsp:rsid wsp:val=&quot;007B5B6B&quot;/&gt;&lt;wsp:rsid wsp:val=&quot;007B61B8&quot;/&gt;&lt;wsp:rsid wsp:val=&quot;007B644F&quot;/&gt;&lt;wsp:rsid wsp:val=&quot;007B77A1&quot;/&gt;&lt;wsp:rsid wsp:val=&quot;007C0025&quot;/&gt;&lt;wsp:rsid wsp:val=&quot;007C00AB&quot;/&gt;&lt;wsp:rsid wsp:val=&quot;007C16CB&quot;/&gt;&lt;wsp:rsid wsp:val=&quot;007C1C85&quot;/&gt;&lt;wsp:rsid wsp:val=&quot;007C24A6&quot;/&gt;&lt;wsp:rsid wsp:val=&quot;007C2728&quot;/&gt;&lt;wsp:rsid wsp:val=&quot;007C29D2&quot;/&gt;&lt;wsp:rsid wsp:val=&quot;007C40A7&quot;/&gt;&lt;wsp:rsid wsp:val=&quot;007C456D&quot;/&gt;&lt;wsp:rsid wsp:val=&quot;007C55B2&quot;/&gt;&lt;wsp:rsid wsp:val=&quot;007C58D0&quot;/&gt;&lt;wsp:rsid wsp:val=&quot;007C6E88&quot;/&gt;&lt;wsp:rsid wsp:val=&quot;007C736F&quot;/&gt;&lt;wsp:rsid wsp:val=&quot;007C76C1&quot;/&gt;&lt;wsp:rsid wsp:val=&quot;007C7A21&quot;/&gt;&lt;wsp:rsid wsp:val=&quot;007C7D0C&quot;/&gt;&lt;wsp:rsid wsp:val=&quot;007D051F&quot;/&gt;&lt;wsp:rsid wsp:val=&quot;007D0603&quot;/&gt;&lt;wsp:rsid wsp:val=&quot;007D10B2&quot;/&gt;&lt;wsp:rsid wsp:val=&quot;007D1F39&quot;/&gt;&lt;wsp:rsid wsp:val=&quot;007D1FD3&quot;/&gt;&lt;wsp:rsid wsp:val=&quot;007D264C&quot;/&gt;&lt;wsp:rsid wsp:val=&quot;007D29FC&quot;/&gt;&lt;wsp:rsid wsp:val=&quot;007D2F38&quot;/&gt;&lt;wsp:rsid wsp:val=&quot;007D3802&quot;/&gt;&lt;wsp:rsid wsp:val=&quot;007D54CE&quot;/&gt;&lt;wsp:rsid wsp:val=&quot;007D5A2B&quot;/&gt;&lt;wsp:rsid wsp:val=&quot;007D6A20&quot;/&gt;&lt;wsp:rsid wsp:val=&quot;007D711C&quot;/&gt;&lt;wsp:rsid wsp:val=&quot;007E0110&quot;/&gt;&lt;wsp:rsid wsp:val=&quot;007E0400&quot;/&gt;&lt;wsp:rsid wsp:val=&quot;007E1A92&quot;/&gt;&lt;wsp:rsid wsp:val=&quot;007E2640&quot;/&gt;&lt;wsp:rsid wsp:val=&quot;007E333C&quot;/&gt;&lt;wsp:rsid wsp:val=&quot;007E3BC1&quot;/&gt;&lt;wsp:rsid wsp:val=&quot;007E480B&quot;/&gt;&lt;wsp:rsid wsp:val=&quot;007E4A63&quot;/&gt;&lt;wsp:rsid wsp:val=&quot;007E5409&quot;/&gt;&lt;wsp:rsid wsp:val=&quot;007E5FB0&quot;/&gt;&lt;wsp:rsid wsp:val=&quot;007E7DF0&quot;/&gt;&lt;wsp:rsid wsp:val=&quot;007F016E&quot;/&gt;&lt;wsp:rsid wsp:val=&quot;007F042C&quot;/&gt;&lt;wsp:rsid wsp:val=&quot;007F0BB3&quot;/&gt;&lt;wsp:rsid wsp:val=&quot;007F1C28&quot;/&gt;&lt;wsp:rsid wsp:val=&quot;007F28E5&quot;/&gt;&lt;wsp:rsid wsp:val=&quot;007F2CF3&quot;/&gt;&lt;wsp:rsid wsp:val=&quot;007F30C5&quot;/&gt;&lt;wsp:rsid wsp:val=&quot;007F3BEB&quot;/&gt;&lt;wsp:rsid wsp:val=&quot;007F6788&quot;/&gt;&lt;wsp:rsid wsp:val=&quot;007F68A1&quot;/&gt;&lt;wsp:rsid wsp:val=&quot;007F72AC&quot;/&gt;&lt;wsp:rsid wsp:val=&quot;007F7F13&quot;/&gt;&lt;wsp:rsid wsp:val=&quot;00800CEA&quot;/&gt;&lt;wsp:rsid wsp:val=&quot;0080297F&quot;/&gt;&lt;wsp:rsid wsp:val=&quot;00802DFA&quot;/&gt;&lt;wsp:rsid wsp:val=&quot;00802F07&quot;/&gt;&lt;wsp:rsid wsp:val=&quot;0080361E&quot;/&gt;&lt;wsp:rsid wsp:val=&quot;008048DA&quot;/&gt;&lt;wsp:rsid wsp:val=&quot;00804A22&quot;/&gt;&lt;wsp:rsid wsp:val=&quot;00804A39&quot;/&gt;&lt;wsp:rsid wsp:val=&quot;00804DD8&quot;/&gt;&lt;wsp:rsid wsp:val=&quot;00805B1B&quot;/&gt;&lt;wsp:rsid wsp:val=&quot;00806393&quot;/&gt;&lt;wsp:rsid wsp:val=&quot;0080641D&quot;/&gt;&lt;wsp:rsid wsp:val=&quot;008066C7&quot;/&gt;&lt;wsp:rsid wsp:val=&quot;008070DD&quot;/&gt;&lt;wsp:rsid wsp:val=&quot;0080733B&quot;/&gt;&lt;wsp:rsid wsp:val=&quot;00807368&quot;/&gt;&lt;wsp:rsid wsp:val=&quot;00807961&quot;/&gt;&lt;wsp:rsid wsp:val=&quot;00807BE5&quot;/&gt;&lt;wsp:rsid wsp:val=&quot;00810561&quot;/&gt;&lt;wsp:rsid wsp:val=&quot;00811487&quot;/&gt;&lt;wsp:rsid wsp:val=&quot;00811521&quot;/&gt;&lt;wsp:rsid wsp:val=&quot;0081211E&quot;/&gt;&lt;wsp:rsid wsp:val=&quot;00812413&quot;/&gt;&lt;wsp:rsid wsp:val=&quot;008137BD&quot;/&gt;&lt;wsp:rsid wsp:val=&quot;00813C9B&quot;/&gt;&lt;wsp:rsid wsp:val=&quot;00813D32&quot;/&gt;&lt;wsp:rsid wsp:val=&quot;0081540D&quot;/&gt;&lt;wsp:rsid wsp:val=&quot;008155F4&quot;/&gt;&lt;wsp:rsid wsp:val=&quot;00815AA1&quot;/&gt;&lt;wsp:rsid wsp:val=&quot;008164A5&quot;/&gt;&lt;wsp:rsid wsp:val=&quot;00816B23&quot;/&gt;&lt;wsp:rsid wsp:val=&quot;00816BEB&quot;/&gt;&lt;wsp:rsid wsp:val=&quot;00816C7D&quot;/&gt;&lt;wsp:rsid wsp:val=&quot;00817465&quot;/&gt;&lt;wsp:rsid wsp:val=&quot;00817FCA&quot;/&gt;&lt;wsp:rsid wsp:val=&quot;00820203&quot;/&gt;&lt;wsp:rsid wsp:val=&quot;008202F7&quot;/&gt;&lt;wsp:rsid wsp:val=&quot;00821648&quot;/&gt;&lt;wsp:rsid wsp:val=&quot;008262BF&quot;/&gt;&lt;wsp:rsid wsp:val=&quot;00826BC1&quot;/&gt;&lt;wsp:rsid wsp:val=&quot;008279B8&quot;/&gt;&lt;wsp:rsid wsp:val=&quot;00831557&quot;/&gt;&lt;wsp:rsid wsp:val=&quot;00831D50&quot;/&gt;&lt;wsp:rsid wsp:val=&quot;00832A64&quot;/&gt;&lt;wsp:rsid wsp:val=&quot;00832DC0&quot;/&gt;&lt;wsp:rsid wsp:val=&quot;0083329B&quot;/&gt;&lt;wsp:rsid wsp:val=&quot;00833DDC&quot;/&gt;&lt;wsp:rsid wsp:val=&quot;00834519&quot;/&gt;&lt;wsp:rsid wsp:val=&quot;00835A35&quot;/&gt;&lt;wsp:rsid wsp:val=&quot;00835F86&quot;/&gt;&lt;wsp:rsid wsp:val=&quot;008378C8&quot;/&gt;&lt;wsp:rsid wsp:val=&quot;00840CD3&quot;/&gt;&lt;wsp:rsid wsp:val=&quot;00840E6F&quot;/&gt;&lt;wsp:rsid wsp:val=&quot;00841B86&quot;/&gt;&lt;wsp:rsid wsp:val=&quot;00841D65&quot;/&gt;&lt;wsp:rsid wsp:val=&quot;00841EDB&quot;/&gt;&lt;wsp:rsid wsp:val=&quot;008439EE&quot;/&gt;&lt;wsp:rsid wsp:val=&quot;00843CCC&quot;/&gt;&lt;wsp:rsid wsp:val=&quot;00844037&quot;/&gt;&lt;wsp:rsid wsp:val=&quot;008440EB&quot;/&gt;&lt;wsp:rsid wsp:val=&quot;00844429&quot;/&gt;&lt;wsp:rsid wsp:val=&quot;00845084&quot;/&gt;&lt;wsp:rsid wsp:val=&quot;00845B1B&quot;/&gt;&lt;wsp:rsid wsp:val=&quot;00845B4C&quot;/&gt;&lt;wsp:rsid wsp:val=&quot;00845CF5&quot;/&gt;&lt;wsp:rsid wsp:val=&quot;00846AE9&quot;/&gt;&lt;wsp:rsid wsp:val=&quot;00846DF2&quot;/&gt;&lt;wsp:rsid wsp:val=&quot;00847711&quot;/&gt;&lt;wsp:rsid wsp:val=&quot;00847824&quot;/&gt;&lt;wsp:rsid wsp:val=&quot;00847AFE&quot;/&gt;&lt;wsp:rsid wsp:val=&quot;0085062A&quot;/&gt;&lt;wsp:rsid wsp:val=&quot;00850990&quot;/&gt;&lt;wsp:rsid wsp:val=&quot;00851303&quot;/&gt;&lt;wsp:rsid wsp:val=&quot;00851614&quot;/&gt;&lt;wsp:rsid wsp:val=&quot;0085162A&quot;/&gt;&lt;wsp:rsid wsp:val=&quot;00851A1D&quot;/&gt;&lt;wsp:rsid wsp:val=&quot;00851E16&quot;/&gt;&lt;wsp:rsid wsp:val=&quot;00852147&quot;/&gt;&lt;wsp:rsid wsp:val=&quot;008521B9&quot;/&gt;&lt;wsp:rsid wsp:val=&quot;00852CE2&quot;/&gt;&lt;wsp:rsid wsp:val=&quot;008536C2&quot;/&gt;&lt;wsp:rsid wsp:val=&quot;00853797&quot;/&gt;&lt;wsp:rsid wsp:val=&quot;00853B51&quot;/&gt;&lt;wsp:rsid wsp:val=&quot;0085669B&quot;/&gt;&lt;wsp:rsid wsp:val=&quot;00856914&quot;/&gt;&lt;wsp:rsid wsp:val=&quot;0085743D&quot;/&gt;&lt;wsp:rsid wsp:val=&quot;00860BA8&quot;/&gt;&lt;wsp:rsid wsp:val=&quot;00860D69&quot;/&gt;&lt;wsp:rsid wsp:val=&quot;00860FC0&quot;/&gt;&lt;wsp:rsid wsp:val=&quot;008612CF&quot;/&gt;&lt;wsp:rsid wsp:val=&quot;008623C6&quot;/&gt;&lt;wsp:rsid wsp:val=&quot;00863407&quot;/&gt;&lt;wsp:rsid wsp:val=&quot;0086340E&quot;/&gt;&lt;wsp:rsid wsp:val=&quot;0086413A&quot;/&gt;&lt;wsp:rsid wsp:val=&quot;00864948&quot;/&gt;&lt;wsp:rsid wsp:val=&quot;00864BD5&quot;/&gt;&lt;wsp:rsid wsp:val=&quot;00865AD3&quot;/&gt;&lt;wsp:rsid wsp:val=&quot;00865BBC&quot;/&gt;&lt;wsp:rsid wsp:val=&quot;008662F9&quot;/&gt;&lt;wsp:rsid wsp:val=&quot;00866310&quot;/&gt;&lt;wsp:rsid wsp:val=&quot;008679B1&quot;/&gt;&lt;wsp:rsid wsp:val=&quot;00867E9A&quot;/&gt;&lt;wsp:rsid wsp:val=&quot;0087176A&quot;/&gt;&lt;wsp:rsid wsp:val=&quot;008719EE&quot;/&gt;&lt;wsp:rsid wsp:val=&quot;00871F64&quot;/&gt;&lt;wsp:rsid wsp:val=&quot;00872302&quot;/&gt;&lt;wsp:rsid wsp:val=&quot;00872C8D&quot;/&gt;&lt;wsp:rsid wsp:val=&quot;00873A37&quot;/&gt;&lt;wsp:rsid wsp:val=&quot;00874241&quot;/&gt;&lt;wsp:rsid wsp:val=&quot;00874C9E&quot;/&gt;&lt;wsp:rsid wsp:val=&quot;00874DDB&quot;/&gt;&lt;wsp:rsid wsp:val=&quot;00875267&quot;/&gt;&lt;wsp:rsid wsp:val=&quot;0087646C&quot;/&gt;&lt;wsp:rsid wsp:val=&quot;0087675E&quot;/&gt;&lt;wsp:rsid wsp:val=&quot;00877137&quot;/&gt;&lt;wsp:rsid wsp:val=&quot;00877B90&quot;/&gt;&lt;wsp:rsid wsp:val=&quot;00877F59&quot;/&gt;&lt;wsp:rsid wsp:val=&quot;00880713&quot;/&gt;&lt;wsp:rsid wsp:val=&quot;00882AC3&quot;/&gt;&lt;wsp:rsid wsp:val=&quot;008830E0&quot;/&gt;&lt;wsp:rsid wsp:val=&quot;008832B4&quot;/&gt;&lt;wsp:rsid wsp:val=&quot;00883B3C&quot;/&gt;&lt;wsp:rsid wsp:val=&quot;00883D6B&quot;/&gt;&lt;wsp:rsid wsp:val=&quot;00884863&quot;/&gt;&lt;wsp:rsid wsp:val=&quot;00884A9E&quot;/&gt;&lt;wsp:rsid wsp:val=&quot;00884B5E&quot;/&gt;&lt;wsp:rsid wsp:val=&quot;00885582&quot;/&gt;&lt;wsp:rsid wsp:val=&quot;0088586E&quot;/&gt;&lt;wsp:rsid wsp:val=&quot;00885B82&quot;/&gt;&lt;wsp:rsid wsp:val=&quot;00885DBF&quot;/&gt;&lt;wsp:rsid wsp:val=&quot;00885F4D&quot;/&gt;&lt;wsp:rsid wsp:val=&quot;00890300&quot;/&gt;&lt;wsp:rsid wsp:val=&quot;00890313&quot;/&gt;&lt;wsp:rsid wsp:val=&quot;008907EE&quot;/&gt;&lt;wsp:rsid wsp:val=&quot;00891F0D&quot;/&gt;&lt;wsp:rsid wsp:val=&quot;00892C02&quot;/&gt;&lt;wsp:rsid wsp:val=&quot;008933F9&quot;/&gt;&lt;wsp:rsid wsp:val=&quot;00893EE8&quot;/&gt;&lt;wsp:rsid wsp:val=&quot;00894412&quot;/&gt;&lt;wsp:rsid wsp:val=&quot;008949D5&quot;/&gt;&lt;wsp:rsid wsp:val=&quot;00894C07&quot;/&gt;&lt;wsp:rsid wsp:val=&quot;00895005&quot;/&gt;&lt;wsp:rsid wsp:val=&quot;0089513D&quot;/&gt;&lt;wsp:rsid wsp:val=&quot;008957A6&quot;/&gt;&lt;wsp:rsid wsp:val=&quot;00895C95&quot;/&gt;&lt;wsp:rsid wsp:val=&quot;008978A9&quot;/&gt;&lt;wsp:rsid wsp:val=&quot;00897E8A&quot;/&gt;&lt;wsp:rsid wsp:val=&quot;00897F28&quot;/&gt;&lt;wsp:rsid wsp:val=&quot;008A04AA&quot;/&gt;&lt;wsp:rsid wsp:val=&quot;008A04D8&quot;/&gt;&lt;wsp:rsid wsp:val=&quot;008A056B&quot;/&gt;&lt;wsp:rsid wsp:val=&quot;008A09DD&quot;/&gt;&lt;wsp:rsid wsp:val=&quot;008A0B89&quot;/&gt;&lt;wsp:rsid wsp:val=&quot;008A16E0&quot;/&gt;&lt;wsp:rsid wsp:val=&quot;008A1BEC&quot;/&gt;&lt;wsp:rsid wsp:val=&quot;008A1DCA&quot;/&gt;&lt;wsp:rsid wsp:val=&quot;008A300A&quot;/&gt;&lt;wsp:rsid wsp:val=&quot;008A30FD&quot;/&gt;&lt;wsp:rsid wsp:val=&quot;008A3F8D&quot;/&gt;&lt;wsp:rsid wsp:val=&quot;008A437E&quot;/&gt;&lt;wsp:rsid wsp:val=&quot;008A4609&quot;/&gt;&lt;wsp:rsid wsp:val=&quot;008A52B9&quot;/&gt;&lt;wsp:rsid wsp:val=&quot;008A551D&quot;/&gt;&lt;wsp:rsid wsp:val=&quot;008A58F7&quot;/&gt;&lt;wsp:rsid wsp:val=&quot;008A724A&quot;/&gt;&lt;wsp:rsid wsp:val=&quot;008A79DC&quot;/&gt;&lt;wsp:rsid wsp:val=&quot;008B01D2&quot;/&gt;&lt;wsp:rsid wsp:val=&quot;008B10A7&quot;/&gt;&lt;wsp:rsid wsp:val=&quot;008B419F&quot;/&gt;&lt;wsp:rsid wsp:val=&quot;008B4BD1&quot;/&gt;&lt;wsp:rsid wsp:val=&quot;008B4C14&quot;/&gt;&lt;wsp:rsid wsp:val=&quot;008B4DFB&quot;/&gt;&lt;wsp:rsid wsp:val=&quot;008B4E59&quot;/&gt;&lt;wsp:rsid wsp:val=&quot;008B4FD8&quot;/&gt;&lt;wsp:rsid wsp:val=&quot;008B5A22&quot;/&gt;&lt;wsp:rsid wsp:val=&quot;008B5B43&quot;/&gt;&lt;wsp:rsid wsp:val=&quot;008B681B&quot;/&gt;&lt;wsp:rsid wsp:val=&quot;008B6FF9&quot;/&gt;&lt;wsp:rsid wsp:val=&quot;008B7BF1&quot;/&gt;&lt;wsp:rsid wsp:val=&quot;008C0FB3&quot;/&gt;&lt;wsp:rsid wsp:val=&quot;008C137D&quot;/&gt;&lt;wsp:rsid wsp:val=&quot;008C1389&quot;/&gt;&lt;wsp:rsid wsp:val=&quot;008C15AD&quot;/&gt;&lt;wsp:rsid wsp:val=&quot;008C1CAA&quot;/&gt;&lt;wsp:rsid wsp:val=&quot;008C2C13&quot;/&gt;&lt;wsp:rsid wsp:val=&quot;008C2EBD&quot;/&gt;&lt;wsp:rsid wsp:val=&quot;008C4A20&quot;/&gt;&lt;wsp:rsid wsp:val=&quot;008C5DBE&quot;/&gt;&lt;wsp:rsid wsp:val=&quot;008C6169&quot;/&gt;&lt;wsp:rsid wsp:val=&quot;008C62AA&quot;/&gt;&lt;wsp:rsid wsp:val=&quot;008C64E6&quot;/&gt;&lt;wsp:rsid wsp:val=&quot;008C67F6&quot;/&gt;&lt;wsp:rsid wsp:val=&quot;008D05B8&quot;/&gt;&lt;wsp:rsid wsp:val=&quot;008D0EBB&quot;/&gt;&lt;wsp:rsid wsp:val=&quot;008D1346&quot;/&gt;&lt;wsp:rsid wsp:val=&quot;008D15BC&quot;/&gt;&lt;wsp:rsid wsp:val=&quot;008D1F4B&quot;/&gt;&lt;wsp:rsid wsp:val=&quot;008D32F6&quot;/&gt;&lt;wsp:rsid wsp:val=&quot;008D3BAE&quot;/&gt;&lt;wsp:rsid wsp:val=&quot;008D5158&quot;/&gt;&lt;wsp:rsid wsp:val=&quot;008D520A&quot;/&gt;&lt;wsp:rsid wsp:val=&quot;008D57BD&quot;/&gt;&lt;wsp:rsid wsp:val=&quot;008D5BB6&quot;/&gt;&lt;wsp:rsid wsp:val=&quot;008D63FF&quot;/&gt;&lt;wsp:rsid wsp:val=&quot;008D6A19&quot;/&gt;&lt;wsp:rsid wsp:val=&quot;008D74C7&quot;/&gt;&lt;wsp:rsid wsp:val=&quot;008D758A&quot;/&gt;&lt;wsp:rsid wsp:val=&quot;008D76C1&quot;/&gt;&lt;wsp:rsid wsp:val=&quot;008D7934&quot;/&gt;&lt;wsp:rsid wsp:val=&quot;008E028E&quot;/&gt;&lt;wsp:rsid wsp:val=&quot;008E10C5&quot;/&gt;&lt;wsp:rsid wsp:val=&quot;008E154E&quot;/&gt;&lt;wsp:rsid wsp:val=&quot;008E181C&quot;/&gt;&lt;wsp:rsid wsp:val=&quot;008E1A46&quot;/&gt;&lt;wsp:rsid wsp:val=&quot;008E1E4C&quot;/&gt;&lt;wsp:rsid wsp:val=&quot;008E2673&quot;/&gt;&lt;wsp:rsid wsp:val=&quot;008E27DC&quot;/&gt;&lt;wsp:rsid wsp:val=&quot;008E4633&quot;/&gt;&lt;wsp:rsid wsp:val=&quot;008E4EA3&quot;/&gt;&lt;wsp:rsid wsp:val=&quot;008E523A&quot;/&gt;&lt;wsp:rsid wsp:val=&quot;008E558B&quot;/&gt;&lt;wsp:rsid wsp:val=&quot;008E5CE9&quot;/&gt;&lt;wsp:rsid wsp:val=&quot;008E6282&quot;/&gt;&lt;wsp:rsid wsp:val=&quot;008E64FB&quot;/&gt;&lt;wsp:rsid wsp:val=&quot;008E661D&quot;/&gt;&lt;wsp:rsid wsp:val=&quot;008E786C&quot;/&gt;&lt;wsp:rsid wsp:val=&quot;008F05AF&quot;/&gt;&lt;wsp:rsid wsp:val=&quot;008F1226&quot;/&gt;&lt;wsp:rsid wsp:val=&quot;008F1336&quot;/&gt;&lt;wsp:rsid wsp:val=&quot;008F20BA&quot;/&gt;&lt;wsp:rsid wsp:val=&quot;008F2461&quot;/&gt;&lt;wsp:rsid wsp:val=&quot;008F2A79&quot;/&gt;&lt;wsp:rsid wsp:val=&quot;008F3B39&quot;/&gt;&lt;wsp:rsid wsp:val=&quot;008F477D&quot;/&gt;&lt;wsp:rsid wsp:val=&quot;008F4F80&quot;/&gt;&lt;wsp:rsid wsp:val=&quot;008F540E&quot;/&gt;&lt;wsp:rsid wsp:val=&quot;008F54A2&quot;/&gt;&lt;wsp:rsid wsp:val=&quot;008F70C8&quot;/&gt;&lt;wsp:rsid wsp:val=&quot;008F770A&quot;/&gt;&lt;wsp:rsid wsp:val=&quot;0090051D&quot;/&gt;&lt;wsp:rsid wsp:val=&quot;009008B1&quot;/&gt;&lt;wsp:rsid wsp:val=&quot;00900BF8&quot;/&gt;&lt;wsp:rsid wsp:val=&quot;009029C7&quot;/&gt;&lt;wsp:rsid wsp:val=&quot;0090398C&quot;/&gt;&lt;wsp:rsid wsp:val=&quot;00903D9E&quot;/&gt;&lt;wsp:rsid wsp:val=&quot;00903DCE&quot;/&gt;&lt;wsp:rsid wsp:val=&quot;009047D8&quot;/&gt;&lt;wsp:rsid wsp:val=&quot;009061FC&quot;/&gt;&lt;wsp:rsid wsp:val=&quot;00906875&quot;/&gt;&lt;wsp:rsid wsp:val=&quot;00906F94&quot;/&gt;&lt;wsp:rsid wsp:val=&quot;00907B59&quot;/&gt;&lt;wsp:rsid wsp:val=&quot;00907E85&quot;/&gt;&lt;wsp:rsid wsp:val=&quot;00910334&quot;/&gt;&lt;wsp:rsid wsp:val=&quot;00912356&quot;/&gt;&lt;wsp:rsid wsp:val=&quot;00912F78&quot;/&gt;&lt;wsp:rsid wsp:val=&quot;00912FE6&quot;/&gt;&lt;wsp:rsid wsp:val=&quot;0091320B&quot;/&gt;&lt;wsp:rsid wsp:val=&quot;00913C8D&quot;/&gt;&lt;wsp:rsid wsp:val=&quot;009142E9&quot;/&gt;&lt;wsp:rsid wsp:val=&quot;00914FF9&quot;/&gt;&lt;wsp:rsid wsp:val=&quot;00915522&quot;/&gt;&lt;wsp:rsid wsp:val=&quot;00915E58&quot;/&gt;&lt;wsp:rsid wsp:val=&quot;00915FFD&quot;/&gt;&lt;wsp:rsid wsp:val=&quot;00916778&quot;/&gt;&lt;wsp:rsid wsp:val=&quot;0091705C&quot;/&gt;&lt;wsp:rsid wsp:val=&quot;0091795C&quot;/&gt;&lt;wsp:rsid wsp:val=&quot;00917A1B&quot;/&gt;&lt;wsp:rsid wsp:val=&quot;00917F12&quot;/&gt;&lt;wsp:rsid wsp:val=&quot;00920349&quot;/&gt;&lt;wsp:rsid wsp:val=&quot;009210B2&quot;/&gt;&lt;wsp:rsid wsp:val=&quot;00921427&quot;/&gt;&lt;wsp:rsid wsp:val=&quot;00921D99&quot;/&gt;&lt;wsp:rsid wsp:val=&quot;009245D5&quot;/&gt;&lt;wsp:rsid wsp:val=&quot;00924EDA&quot;/&gt;&lt;wsp:rsid wsp:val=&quot;0092505B&quot;/&gt;&lt;wsp:rsid wsp:val=&quot;009250C2&quot;/&gt;&lt;wsp:rsid wsp:val=&quot;00925692&quot;/&gt;&lt;wsp:rsid wsp:val=&quot;00926952&quot;/&gt;&lt;wsp:rsid wsp:val=&quot;0093086E&quot;/&gt;&lt;wsp:rsid wsp:val=&quot;00930D9F&quot;/&gt;&lt;wsp:rsid wsp:val=&quot;0093116C&quot;/&gt;&lt;wsp:rsid wsp:val=&quot;00932124&quot;/&gt;&lt;wsp:rsid wsp:val=&quot;009322B4&quot;/&gt;&lt;wsp:rsid wsp:val=&quot;00932827&quot;/&gt;&lt;wsp:rsid wsp:val=&quot;00932F1C&quot;/&gt;&lt;wsp:rsid wsp:val=&quot;009339B7&quot;/&gt;&lt;wsp:rsid wsp:val=&quot;00933A63&quot;/&gt;&lt;wsp:rsid wsp:val=&quot;00933D64&quot;/&gt;&lt;wsp:rsid wsp:val=&quot;009342C5&quot;/&gt;&lt;wsp:rsid wsp:val=&quot;00934782&quot;/&gt;&lt;wsp:rsid wsp:val=&quot;009353FD&quot;/&gt;&lt;wsp:rsid wsp:val=&quot;00936781&quot;/&gt;&lt;wsp:rsid wsp:val=&quot;00936D42&quot;/&gt;&lt;wsp:rsid wsp:val=&quot;009370EA&quot;/&gt;&lt;wsp:rsid wsp:val=&quot;00937860&quot;/&gt;&lt;wsp:rsid wsp:val=&quot;00937F96&quot;/&gt;&lt;wsp:rsid wsp:val=&quot;0094023B&quot;/&gt;&lt;wsp:rsid wsp:val=&quot;00941685&quot;/&gt;&lt;wsp:rsid wsp:val=&quot;009426EF&quot;/&gt;&lt;wsp:rsid wsp:val=&quot;00942B7F&quot;/&gt;&lt;wsp:rsid wsp:val=&quot;00943FE3&quot;/&gt;&lt;wsp:rsid wsp:val=&quot;00944EBE&quot;/&gt;&lt;wsp:rsid wsp:val=&quot;00944F15&quot;/&gt;&lt;wsp:rsid wsp:val=&quot;00945734&quot;/&gt;&lt;wsp:rsid wsp:val=&quot;00945B73&quot;/&gt;&lt;wsp:rsid wsp:val=&quot;00945F48&quot;/&gt;&lt;wsp:rsid wsp:val=&quot;0094630C&quot;/&gt;&lt;wsp:rsid wsp:val=&quot;00946EE3&quot;/&gt;&lt;wsp:rsid wsp:val=&quot;009471A3&quot;/&gt;&lt;wsp:rsid wsp:val=&quot;0094720F&quot;/&gt;&lt;wsp:rsid wsp:val=&quot;00947267&quot;/&gt;&lt;wsp:rsid wsp:val=&quot;00947574&quot;/&gt;&lt;wsp:rsid wsp:val=&quot;009504B1&quot;/&gt;&lt;wsp:rsid wsp:val=&quot;009505C1&quot;/&gt;&lt;wsp:rsid wsp:val=&quot;00950B87&quot;/&gt;&lt;wsp:rsid wsp:val=&quot;00950D59&quot;/&gt;&lt;wsp:rsid wsp:val=&quot;0095233D&quot;/&gt;&lt;wsp:rsid wsp:val=&quot;009525C7&quot;/&gt;&lt;wsp:rsid wsp:val=&quot;0095293C&quot;/&gt;&lt;wsp:rsid wsp:val=&quot;00952FA2&quot;/&gt;&lt;wsp:rsid wsp:val=&quot;009540CB&quot;/&gt;&lt;wsp:rsid wsp:val=&quot;009549CC&quot;/&gt;&lt;wsp:rsid wsp:val=&quot;00955AB9&quot;/&gt;&lt;wsp:rsid wsp:val=&quot;00955C9C&quot;/&gt;&lt;wsp:rsid wsp:val=&quot;0095619B&quot;/&gt;&lt;wsp:rsid wsp:val=&quot;00956EAB&quot;/&gt;&lt;wsp:rsid wsp:val=&quot;00957226&quot;/&gt;&lt;wsp:rsid wsp:val=&quot;009574D5&quot;/&gt;&lt;wsp:rsid wsp:val=&quot;009579BA&quot;/&gt;&lt;wsp:rsid wsp:val=&quot;00960A0D&quot;/&gt;&lt;wsp:rsid wsp:val=&quot;00960ED4&quot;/&gt;&lt;wsp:rsid wsp:val=&quot;00960F89&quot;/&gt;&lt;wsp:rsid wsp:val=&quot;00962A0A&quot;/&gt;&lt;wsp:rsid wsp:val=&quot;00962A55&quot;/&gt;&lt;wsp:rsid wsp:val=&quot;00963035&quot;/&gt;&lt;wsp:rsid wsp:val=&quot;009639AE&quot;/&gt;&lt;wsp:rsid wsp:val=&quot;00963DB3&quot;/&gt;&lt;wsp:rsid wsp:val=&quot;00965143&quot;/&gt;&lt;wsp:rsid wsp:val=&quot;00966DEA&quot;/&gt;&lt;wsp:rsid wsp:val=&quot;00967274&quot;/&gt;&lt;wsp:rsid wsp:val=&quot;00967A0A&quot;/&gt;&lt;wsp:rsid wsp:val=&quot;00967FA6&quot;/&gt;&lt;wsp:rsid wsp:val=&quot;009702F3&quot;/&gt;&lt;wsp:rsid wsp:val=&quot;00970B59&quot;/&gt;&lt;wsp:rsid wsp:val=&quot;0097113F&quot;/&gt;&lt;wsp:rsid wsp:val=&quot;009713B5&quot;/&gt;&lt;wsp:rsid wsp:val=&quot;00971CFA&quot;/&gt;&lt;wsp:rsid wsp:val=&quot;009724AC&quot;/&gt;&lt;wsp:rsid wsp:val=&quot;00972902&quot;/&gt;&lt;wsp:rsid wsp:val=&quot;00972C58&quot;/&gt;&lt;wsp:rsid wsp:val=&quot;00973042&quot;/&gt;&lt;wsp:rsid wsp:val=&quot;0097386B&quot;/&gt;&lt;wsp:rsid wsp:val=&quot;00973A65&quot;/&gt;&lt;wsp:rsid wsp:val=&quot;00973B2D&quot;/&gt;&lt;wsp:rsid wsp:val=&quot;00973D0F&quot;/&gt;&lt;wsp:rsid wsp:val=&quot;00975412&quot;/&gt;&lt;wsp:rsid wsp:val=&quot;00977A11&quot;/&gt;&lt;wsp:rsid wsp:val=&quot;00977AA3&quot;/&gt;&lt;wsp:rsid wsp:val=&quot;009817D6&quot;/&gt;&lt;wsp:rsid wsp:val=&quot;00981D8B&quot;/&gt;&lt;wsp:rsid wsp:val=&quot;00982616&quot;/&gt;&lt;wsp:rsid wsp:val=&quot;00982A17&quot;/&gt;&lt;wsp:rsid wsp:val=&quot;00982AAD&quot;/&gt;&lt;wsp:rsid wsp:val=&quot;00983B7A&quot;/&gt;&lt;wsp:rsid wsp:val=&quot;00983DCA&quot;/&gt;&lt;wsp:rsid wsp:val=&quot;00984496&quot;/&gt;&lt;wsp:rsid wsp:val=&quot;00985481&quot;/&gt;&lt;wsp:rsid wsp:val=&quot;009855FE&quot;/&gt;&lt;wsp:rsid wsp:val=&quot;00986183&quot;/&gt;&lt;wsp:rsid wsp:val=&quot;00986651&quot;/&gt;&lt;wsp:rsid wsp:val=&quot;0098721C&quot;/&gt;&lt;wsp:rsid wsp:val=&quot;00987730&quot;/&gt;&lt;wsp:rsid wsp:val=&quot;00991532&quot;/&gt;&lt;wsp:rsid wsp:val=&quot;0099178F&quot;/&gt;&lt;wsp:rsid wsp:val=&quot;00992381&quot;/&gt;&lt;wsp:rsid wsp:val=&quot;00992FED&quot;/&gt;&lt;wsp:rsid wsp:val=&quot;00993DC6&quot;/&gt;&lt;wsp:rsid wsp:val=&quot;00995333&quot;/&gt;&lt;wsp:rsid wsp:val=&quot;009957CE&quot;/&gt;&lt;wsp:rsid wsp:val=&quot;00996B83&quot;/&gt;&lt;wsp:rsid wsp:val=&quot;009A00F2&quot;/&gt;&lt;wsp:rsid wsp:val=&quot;009A0C70&quot;/&gt;&lt;wsp:rsid wsp:val=&quot;009A14BD&quot;/&gt;&lt;wsp:rsid wsp:val=&quot;009A1607&quot;/&gt;&lt;wsp:rsid wsp:val=&quot;009A1637&quot;/&gt;&lt;wsp:rsid wsp:val=&quot;009A1D8D&quot;/&gt;&lt;wsp:rsid wsp:val=&quot;009A2447&quot;/&gt;&lt;wsp:rsid wsp:val=&quot;009A2C43&quot;/&gt;&lt;wsp:rsid wsp:val=&quot;009A2E6E&quot;/&gt;&lt;wsp:rsid wsp:val=&quot;009A331B&quot;/&gt;&lt;wsp:rsid wsp:val=&quot;009A3332&quot;/&gt;&lt;wsp:rsid wsp:val=&quot;009A3344&quot;/&gt;&lt;wsp:rsid wsp:val=&quot;009A3477&quot;/&gt;&lt;wsp:rsid wsp:val=&quot;009A367A&quot;/&gt;&lt;wsp:rsid wsp:val=&quot;009A5120&quot;/&gt;&lt;wsp:rsid wsp:val=&quot;009A6A75&quot;/&gt;&lt;wsp:rsid wsp:val=&quot;009A7102&quot;/&gt;&lt;wsp:rsid wsp:val=&quot;009A735B&quot;/&gt;&lt;wsp:rsid wsp:val=&quot;009A76DE&quot;/&gt;&lt;wsp:rsid wsp:val=&quot;009A7762&quot;/&gt;&lt;wsp:rsid wsp:val=&quot;009A7905&quot;/&gt;&lt;wsp:rsid wsp:val=&quot;009B0481&quot;/&gt;&lt;wsp:rsid wsp:val=&quot;009B0FA1&quot;/&gt;&lt;wsp:rsid wsp:val=&quot;009B0FF1&quot;/&gt;&lt;wsp:rsid wsp:val=&quot;009B1C8A&quot;/&gt;&lt;wsp:rsid wsp:val=&quot;009B1DFA&quot;/&gt;&lt;wsp:rsid wsp:val=&quot;009B22F9&quot;/&gt;&lt;wsp:rsid wsp:val=&quot;009B2BC8&quot;/&gt;&lt;wsp:rsid wsp:val=&quot;009B351C&quot;/&gt;&lt;wsp:rsid wsp:val=&quot;009B4088&quot;/&gt;&lt;wsp:rsid wsp:val=&quot;009B442E&quot;/&gt;&lt;wsp:rsid wsp:val=&quot;009B5235&quot;/&gt;&lt;wsp:rsid wsp:val=&quot;009B52B1&quot;/&gt;&lt;wsp:rsid wsp:val=&quot;009B6AE2&quot;/&gt;&lt;wsp:rsid wsp:val=&quot;009B72F0&quot;/&gt;&lt;wsp:rsid wsp:val=&quot;009B75F2&quot;/&gt;&lt;wsp:rsid wsp:val=&quot;009C0347&quot;/&gt;&lt;wsp:rsid wsp:val=&quot;009C13EB&quot;/&gt;&lt;wsp:rsid wsp:val=&quot;009C1DDB&quot;/&gt;&lt;wsp:rsid wsp:val=&quot;009C1DF1&quot;/&gt;&lt;wsp:rsid wsp:val=&quot;009C1EDB&quot;/&gt;&lt;wsp:rsid wsp:val=&quot;009C1F59&quot;/&gt;&lt;wsp:rsid wsp:val=&quot;009C2C3D&quot;/&gt;&lt;wsp:rsid wsp:val=&quot;009C2F22&quot;/&gt;&lt;wsp:rsid wsp:val=&quot;009C31C6&quot;/&gt;&lt;wsp:rsid wsp:val=&quot;009C325C&quot;/&gt;&lt;wsp:rsid wsp:val=&quot;009C3392&quot;/&gt;&lt;wsp:rsid wsp:val=&quot;009C48FD&quot;/&gt;&lt;wsp:rsid wsp:val=&quot;009C4A0B&quot;/&gt;&lt;wsp:rsid wsp:val=&quot;009C4AAF&quot;/&gt;&lt;wsp:rsid wsp:val=&quot;009C4BE8&quot;/&gt;&lt;wsp:rsid wsp:val=&quot;009C5278&quot;/&gt;&lt;wsp:rsid wsp:val=&quot;009C52E4&quot;/&gt;&lt;wsp:rsid wsp:val=&quot;009C5A47&quot;/&gt;&lt;wsp:rsid wsp:val=&quot;009C66EB&quot;/&gt;&lt;wsp:rsid wsp:val=&quot;009C77BA&quot;/&gt;&lt;wsp:rsid wsp:val=&quot;009D0A78&quot;/&gt;&lt;wsp:rsid wsp:val=&quot;009D14BB&quot;/&gt;&lt;wsp:rsid wsp:val=&quot;009D240C&quot;/&gt;&lt;wsp:rsid wsp:val=&quot;009D2590&quot;/&gt;&lt;wsp:rsid wsp:val=&quot;009D3DCA&quot;/&gt;&lt;wsp:rsid wsp:val=&quot;009D3E5D&quot;/&gt;&lt;wsp:rsid wsp:val=&quot;009D42B0&quot;/&gt;&lt;wsp:rsid wsp:val=&quot;009D4C83&quot;/&gt;&lt;wsp:rsid wsp:val=&quot;009D55FC&quot;/&gt;&lt;wsp:rsid wsp:val=&quot;009D7072&quot;/&gt;&lt;wsp:rsid wsp:val=&quot;009D775C&quot;/&gt;&lt;wsp:rsid wsp:val=&quot;009D7E30&quot;/&gt;&lt;wsp:rsid wsp:val=&quot;009E09C2&quot;/&gt;&lt;wsp:rsid wsp:val=&quot;009E0A6D&quot;/&gt;&lt;wsp:rsid wsp:val=&quot;009E0DA9&quot;/&gt;&lt;wsp:rsid wsp:val=&quot;009E0FAB&quot;/&gt;&lt;wsp:rsid wsp:val=&quot;009E13E3&quot;/&gt;&lt;wsp:rsid wsp:val=&quot;009E1624&quot;/&gt;&lt;wsp:rsid wsp:val=&quot;009E177C&quot;/&gt;&lt;wsp:rsid wsp:val=&quot;009E1817&quot;/&gt;&lt;wsp:rsid wsp:val=&quot;009E19DD&quot;/&gt;&lt;wsp:rsid wsp:val=&quot;009E1CC7&quot;/&gt;&lt;wsp:rsid wsp:val=&quot;009E1F1F&quot;/&gt;&lt;wsp:rsid wsp:val=&quot;009E2AC9&quot;/&gt;&lt;wsp:rsid wsp:val=&quot;009E332D&quot;/&gt;&lt;wsp:rsid wsp:val=&quot;009E479D&quot;/&gt;&lt;wsp:rsid wsp:val=&quot;009E4BF4&quot;/&gt;&lt;wsp:rsid wsp:val=&quot;009E5216&quot;/&gt;&lt;wsp:rsid wsp:val=&quot;009E6120&quot;/&gt;&lt;wsp:rsid wsp:val=&quot;009E689D&quot;/&gt;&lt;wsp:rsid wsp:val=&quot;009E74F4&quot;/&gt;&lt;wsp:rsid wsp:val=&quot;009E75FD&quot;/&gt;&lt;wsp:rsid wsp:val=&quot;009E7AFE&quot;/&gt;&lt;wsp:rsid wsp:val=&quot;009E7FD2&quot;/&gt;&lt;wsp:rsid wsp:val=&quot;009F005F&quot;/&gt;&lt;wsp:rsid wsp:val=&quot;009F106A&quot;/&gt;&lt;wsp:rsid wsp:val=&quot;009F2476&quot;/&gt;&lt;wsp:rsid wsp:val=&quot;009F295D&quot;/&gt;&lt;wsp:rsid wsp:val=&quot;009F2CA6&quot;/&gt;&lt;wsp:rsid wsp:val=&quot;009F3142&quot;/&gt;&lt;wsp:rsid wsp:val=&quot;009F3A8F&quot;/&gt;&lt;wsp:rsid wsp:val=&quot;009F3E00&quot;/&gt;&lt;wsp:rsid wsp:val=&quot;009F4AAE&quot;/&gt;&lt;wsp:rsid wsp:val=&quot;009F56E6&quot;/&gt;&lt;wsp:rsid wsp:val=&quot;009F604D&quot;/&gt;&lt;wsp:rsid wsp:val=&quot;009F6C1E&quot;/&gt;&lt;wsp:rsid wsp:val=&quot;009F6DA7&quot;/&gt;&lt;wsp:rsid wsp:val=&quot;009F71DB&quot;/&gt;&lt;wsp:rsid wsp:val=&quot;009F79CA&quot;/&gt;&lt;wsp:rsid wsp:val=&quot;00A00CD2&quot;/&gt;&lt;wsp:rsid wsp:val=&quot;00A0104F&quot;/&gt;&lt;wsp:rsid wsp:val=&quot;00A01127&quot;/&gt;&lt;wsp:rsid wsp:val=&quot;00A0206D&quot;/&gt;&lt;wsp:rsid wsp:val=&quot;00A02278&quot;/&gt;&lt;wsp:rsid wsp:val=&quot;00A02D30&quot;/&gt;&lt;wsp:rsid wsp:val=&quot;00A033FD&quot;/&gt;&lt;wsp:rsid wsp:val=&quot;00A03CFB&quot;/&gt;&lt;wsp:rsid wsp:val=&quot;00A04C5D&quot;/&gt;&lt;wsp:rsid wsp:val=&quot;00A061A7&quot;/&gt;&lt;wsp:rsid wsp:val=&quot;00A06457&quot;/&gt;&lt;wsp:rsid wsp:val=&quot;00A065D6&quot;/&gt;&lt;wsp:rsid wsp:val=&quot;00A06E2B&quot;/&gt;&lt;wsp:rsid wsp:val=&quot;00A0754E&quot;/&gt;&lt;wsp:rsid wsp:val=&quot;00A07E2C&quot;/&gt;&lt;wsp:rsid wsp:val=&quot;00A105E9&quot;/&gt;&lt;wsp:rsid wsp:val=&quot;00A1081D&quot;/&gt;&lt;wsp:rsid wsp:val=&quot;00A109F8&quot;/&gt;&lt;wsp:rsid wsp:val=&quot;00A10CCA&quot;/&gt;&lt;wsp:rsid wsp:val=&quot;00A10F7B&quot;/&gt;&lt;wsp:rsid wsp:val=&quot;00A11767&quot;/&gt;&lt;wsp:rsid wsp:val=&quot;00A1185B&quot;/&gt;&lt;wsp:rsid wsp:val=&quot;00A118AA&quot;/&gt;&lt;wsp:rsid wsp:val=&quot;00A11AE7&quot;/&gt;&lt;wsp:rsid wsp:val=&quot;00A12629&quot;/&gt;&lt;wsp:rsid wsp:val=&quot;00A12CFE&quot;/&gt;&lt;wsp:rsid wsp:val=&quot;00A12DAA&quot;/&gt;&lt;wsp:rsid wsp:val=&quot;00A13265&quot;/&gt;&lt;wsp:rsid wsp:val=&quot;00A13ED5&quot;/&gt;&lt;wsp:rsid wsp:val=&quot;00A14478&quot;/&gt;&lt;wsp:rsid wsp:val=&quot;00A14F9E&quot;/&gt;&lt;wsp:rsid wsp:val=&quot;00A15714&quot;/&gt;&lt;wsp:rsid wsp:val=&quot;00A15765&quot;/&gt;&lt;wsp:rsid wsp:val=&quot;00A15ABE&quot;/&gt;&lt;wsp:rsid wsp:val=&quot;00A1689E&quot;/&gt;&lt;wsp:rsid wsp:val=&quot;00A17B2F&quot;/&gt;&lt;wsp:rsid wsp:val=&quot;00A2003C&quot;/&gt;&lt;wsp:rsid wsp:val=&quot;00A2018B&quot;/&gt;&lt;wsp:rsid wsp:val=&quot;00A202C8&quot;/&gt;&lt;wsp:rsid wsp:val=&quot;00A206C6&quot;/&gt;&lt;wsp:rsid wsp:val=&quot;00A209B5&quot;/&gt;&lt;wsp:rsid wsp:val=&quot;00A20BA5&quot;/&gt;&lt;wsp:rsid wsp:val=&quot;00A21C8D&quot;/&gt;&lt;wsp:rsid wsp:val=&quot;00A21ED8&quot;/&gt;&lt;wsp:rsid wsp:val=&quot;00A23387&quot;/&gt;&lt;wsp:rsid wsp:val=&quot;00A2358B&quot;/&gt;&lt;wsp:rsid wsp:val=&quot;00A24395&quot;/&gt;&lt;wsp:rsid wsp:val=&quot;00A245D3&quot;/&gt;&lt;wsp:rsid wsp:val=&quot;00A246B0&quot;/&gt;&lt;wsp:rsid wsp:val=&quot;00A24A4D&quot;/&gt;&lt;wsp:rsid wsp:val=&quot;00A24D79&quot;/&gt;&lt;wsp:rsid wsp:val=&quot;00A24EC0&quot;/&gt;&lt;wsp:rsid wsp:val=&quot;00A25016&quot;/&gt;&lt;wsp:rsid wsp:val=&quot;00A251AB&quot;/&gt;&lt;wsp:rsid wsp:val=&quot;00A257AF&quot;/&gt;&lt;wsp:rsid wsp:val=&quot;00A25BBC&quot;/&gt;&lt;wsp:rsid wsp:val=&quot;00A26143&quot;/&gt;&lt;wsp:rsid wsp:val=&quot;00A261E7&quot;/&gt;&lt;wsp:rsid wsp:val=&quot;00A26400&quot;/&gt;&lt;wsp:rsid wsp:val=&quot;00A2662E&quot;/&gt;&lt;wsp:rsid wsp:val=&quot;00A2690E&quot;/&gt;&lt;wsp:rsid wsp:val=&quot;00A26C92&quot;/&gt;&lt;wsp:rsid wsp:val=&quot;00A2733C&quot;/&gt;&lt;wsp:rsid wsp:val=&quot;00A27355&quot;/&gt;&lt;wsp:rsid wsp:val=&quot;00A279D3&quot;/&gt;&lt;wsp:rsid wsp:val=&quot;00A30189&quot;/&gt;&lt;wsp:rsid wsp:val=&quot;00A302E7&quot;/&gt;&lt;wsp:rsid wsp:val=&quot;00A31820&quot;/&gt;&lt;wsp:rsid wsp:val=&quot;00A33A59&quot;/&gt;&lt;wsp:rsid wsp:val=&quot;00A34534&quot;/&gt;&lt;wsp:rsid wsp:val=&quot;00A35710&quot;/&gt;&lt;wsp:rsid wsp:val=&quot;00A358CD&quot;/&gt;&lt;wsp:rsid wsp:val=&quot;00A377D9&quot;/&gt;&lt;wsp:rsid wsp:val=&quot;00A4004B&quot;/&gt;&lt;wsp:rsid wsp:val=&quot;00A40159&quot;/&gt;&lt;wsp:rsid wsp:val=&quot;00A40A40&quot;/&gt;&lt;wsp:rsid wsp:val=&quot;00A40B4B&quot;/&gt;&lt;wsp:rsid wsp:val=&quot;00A41510&quot;/&gt;&lt;wsp:rsid wsp:val=&quot;00A4258F&quot;/&gt;&lt;wsp:rsid wsp:val=&quot;00A42620&quot;/&gt;&lt;wsp:rsid wsp:val=&quot;00A43E1D&quot;/&gt;&lt;wsp:rsid wsp:val=&quot;00A44074&quot;/&gt;&lt;wsp:rsid wsp:val=&quot;00A44209&quot;/&gt;&lt;wsp:rsid wsp:val=&quot;00A44FFF&quot;/&gt;&lt;wsp:rsid wsp:val=&quot;00A45038&quot;/&gt;&lt;wsp:rsid wsp:val=&quot;00A4543F&quot;/&gt;&lt;wsp:rsid wsp:val=&quot;00A45B4F&quot;/&gt;&lt;wsp:rsid wsp:val=&quot;00A4659F&quot;/&gt;&lt;wsp:rsid wsp:val=&quot;00A46FC0&quot;/&gt;&lt;wsp:rsid wsp:val=&quot;00A50ABA&quot;/&gt;&lt;wsp:rsid wsp:val=&quot;00A50D62&quot;/&gt;&lt;wsp:rsid wsp:val=&quot;00A51018&quot;/&gt;&lt;wsp:rsid wsp:val=&quot;00A513D6&quot;/&gt;&lt;wsp:rsid wsp:val=&quot;00A51BE7&quot;/&gt;&lt;wsp:rsid wsp:val=&quot;00A52485&quot;/&gt;&lt;wsp:rsid wsp:val=&quot;00A527C5&quot;/&gt;&lt;wsp:rsid wsp:val=&quot;00A529F0&quot;/&gt;&lt;wsp:rsid wsp:val=&quot;00A53D2D&quot;/&gt;&lt;wsp:rsid wsp:val=&quot;00A5443E&quot;/&gt;&lt;wsp:rsid wsp:val=&quot;00A544B4&quot;/&gt;&lt;wsp:rsid wsp:val=&quot;00A54883&quot;/&gt;&lt;wsp:rsid wsp:val=&quot;00A548E9&quot;/&gt;&lt;wsp:rsid wsp:val=&quot;00A54AC0&quot;/&gt;&lt;wsp:rsid wsp:val=&quot;00A54E98&quot;/&gt;&lt;wsp:rsid wsp:val=&quot;00A556D8&quot;/&gt;&lt;wsp:rsid wsp:val=&quot;00A5716D&quot;/&gt;&lt;wsp:rsid wsp:val=&quot;00A57AC1&quot;/&gt;&lt;wsp:rsid wsp:val=&quot;00A57D05&quot;/&gt;&lt;wsp:rsid wsp:val=&quot;00A60D60&quot;/&gt;&lt;wsp:rsid wsp:val=&quot;00A61546&quot;/&gt;&lt;wsp:rsid wsp:val=&quot;00A6219F&quot;/&gt;&lt;wsp:rsid wsp:val=&quot;00A622CB&quot;/&gt;&lt;wsp:rsid wsp:val=&quot;00A62B9D&quot;/&gt;&lt;wsp:rsid wsp:val=&quot;00A6377D&quot;/&gt;&lt;wsp:rsid wsp:val=&quot;00A64907&quot;/&gt;&lt;wsp:rsid wsp:val=&quot;00A651B6&quot;/&gt;&lt;wsp:rsid wsp:val=&quot;00A65E78&quot;/&gt;&lt;wsp:rsid wsp:val=&quot;00A66643&quot;/&gt;&lt;wsp:rsid wsp:val=&quot;00A67667&quot;/&gt;&lt;wsp:rsid wsp:val=&quot;00A67B81&quot;/&gt;&lt;wsp:rsid wsp:val=&quot;00A702A9&quot;/&gt;&lt;wsp:rsid wsp:val=&quot;00A7059B&quot;/&gt;&lt;wsp:rsid wsp:val=&quot;00A70AFE&quot;/&gt;&lt;wsp:rsid wsp:val=&quot;00A7139A&quot;/&gt;&lt;wsp:rsid wsp:val=&quot;00A722E2&quot;/&gt;&lt;wsp:rsid wsp:val=&quot;00A7369F&quot;/&gt;&lt;wsp:rsid wsp:val=&quot;00A736CD&quot;/&gt;&lt;wsp:rsid wsp:val=&quot;00A74C7C&quot;/&gt;&lt;wsp:rsid wsp:val=&quot;00A77784&quot;/&gt;&lt;wsp:rsid wsp:val=&quot;00A77B95&quot;/&gt;&lt;wsp:rsid wsp:val=&quot;00A800C3&quot;/&gt;&lt;wsp:rsid wsp:val=&quot;00A80AD6&quot;/&gt;&lt;wsp:rsid wsp:val=&quot;00A80B54&quot;/&gt;&lt;wsp:rsid wsp:val=&quot;00A81014&quot;/&gt;&lt;wsp:rsid wsp:val=&quot;00A81351&quot;/&gt;&lt;wsp:rsid wsp:val=&quot;00A81748&quot;/&gt;&lt;wsp:rsid wsp:val=&quot;00A82534&quot;/&gt;&lt;wsp:rsid wsp:val=&quot;00A82A45&quot;/&gt;&lt;wsp:rsid wsp:val=&quot;00A82C83&quot;/&gt;&lt;wsp:rsid wsp:val=&quot;00A8379D&quot;/&gt;&lt;wsp:rsid wsp:val=&quot;00A83A7D&quot;/&gt;&lt;wsp:rsid wsp:val=&quot;00A83FC6&quot;/&gt;&lt;wsp:rsid wsp:val=&quot;00A84837&quot;/&gt;&lt;wsp:rsid wsp:val=&quot;00A84AB3&quot;/&gt;&lt;wsp:rsid wsp:val=&quot;00A8532D&quot;/&gt;&lt;wsp:rsid wsp:val=&quot;00A85531&quot;/&gt;&lt;wsp:rsid wsp:val=&quot;00A85875&quot;/&gt;&lt;wsp:rsid wsp:val=&quot;00A858CD&quot;/&gt;&lt;wsp:rsid wsp:val=&quot;00A85B58&quot;/&gt;&lt;wsp:rsid wsp:val=&quot;00A85BEB&quot;/&gt;&lt;wsp:rsid wsp:val=&quot;00A86A80&quot;/&gt;&lt;wsp:rsid wsp:val=&quot;00A86CAC&quot;/&gt;&lt;wsp:rsid wsp:val=&quot;00A904C9&quot;/&gt;&lt;wsp:rsid wsp:val=&quot;00A90A57&quot;/&gt;&lt;wsp:rsid wsp:val=&quot;00A9134A&quot;/&gt;&lt;wsp:rsid wsp:val=&quot;00A918D8&quot;/&gt;&lt;wsp:rsid wsp:val=&quot;00A91E84&quot;/&gt;&lt;wsp:rsid wsp:val=&quot;00A92A83&quot;/&gt;&lt;wsp:rsid wsp:val=&quot;00A937F3&quot;/&gt;&lt;wsp:rsid wsp:val=&quot;00A961FF&quot;/&gt;&lt;wsp:rsid wsp:val=&quot;00A96BAD&quot;/&gt;&lt;wsp:rsid wsp:val=&quot;00A96C07&quot;/&gt;&lt;wsp:rsid wsp:val=&quot;00A9792D&quot;/&gt;&lt;wsp:rsid wsp:val=&quot;00A97CF1&quot;/&gt;&lt;wsp:rsid wsp:val=&quot;00AA0240&quot;/&gt;&lt;wsp:rsid wsp:val=&quot;00AA0510&quot;/&gt;&lt;wsp:rsid wsp:val=&quot;00AA154E&quot;/&gt;&lt;wsp:rsid wsp:val=&quot;00AA16C6&quot;/&gt;&lt;wsp:rsid wsp:val=&quot;00AA1773&quot;/&gt;&lt;wsp:rsid wsp:val=&quot;00AA2BE7&quot;/&gt;&lt;wsp:rsid wsp:val=&quot;00AA467E&quot;/&gt;&lt;wsp:rsid wsp:val=&quot;00AA4770&quot;/&gt;&lt;wsp:rsid wsp:val=&quot;00AA497A&quot;/&gt;&lt;wsp:rsid wsp:val=&quot;00AA4BA8&quot;/&gt;&lt;wsp:rsid wsp:val=&quot;00AA4BFD&quot;/&gt;&lt;wsp:rsid wsp:val=&quot;00AA5391&quot;/&gt;&lt;wsp:rsid wsp:val=&quot;00AA6E2F&quot;/&gt;&lt;wsp:rsid wsp:val=&quot;00AA700D&quot;/&gt;&lt;wsp:rsid wsp:val=&quot;00AA70FC&quot;/&gt;&lt;wsp:rsid wsp:val=&quot;00AA785A&quot;/&gt;&lt;wsp:rsid wsp:val=&quot;00AA79F3&quot;/&gt;&lt;wsp:rsid wsp:val=&quot;00AA7E87&quot;/&gt;&lt;wsp:rsid wsp:val=&quot;00AB017D&quot;/&gt;&lt;wsp:rsid wsp:val=&quot;00AB0515&quot;/&gt;&lt;wsp:rsid wsp:val=&quot;00AB08CC&quot;/&gt;&lt;wsp:rsid wsp:val=&quot;00AB0F90&quot;/&gt;&lt;wsp:rsid wsp:val=&quot;00AB1004&quot;/&gt;&lt;wsp:rsid wsp:val=&quot;00AB130E&quot;/&gt;&lt;wsp:rsid wsp:val=&quot;00AB1460&quot;/&gt;&lt;wsp:rsid wsp:val=&quot;00AB2C7C&quot;/&gt;&lt;wsp:rsid wsp:val=&quot;00AB325C&quot;/&gt;&lt;wsp:rsid wsp:val=&quot;00AB33C9&quot;/&gt;&lt;wsp:rsid wsp:val=&quot;00AB35AD&quot;/&gt;&lt;wsp:rsid wsp:val=&quot;00AB4623&quot;/&gt;&lt;wsp:rsid wsp:val=&quot;00AB56B5&quot;/&gt;&lt;wsp:rsid wsp:val=&quot;00AB5A92&quot;/&gt;&lt;wsp:rsid wsp:val=&quot;00AB5DE3&quot;/&gt;&lt;wsp:rsid wsp:val=&quot;00AB6332&quot;/&gt;&lt;wsp:rsid wsp:val=&quot;00AB6540&quot;/&gt;&lt;wsp:rsid wsp:val=&quot;00AB655B&quot;/&gt;&lt;wsp:rsid wsp:val=&quot;00AB65B4&quot;/&gt;&lt;wsp:rsid wsp:val=&quot;00AB680C&quot;/&gt;&lt;wsp:rsid wsp:val=&quot;00AB6B35&quot;/&gt;&lt;wsp:rsid wsp:val=&quot;00AB6BBD&quot;/&gt;&lt;wsp:rsid wsp:val=&quot;00AB7C06&quot;/&gt;&lt;wsp:rsid wsp:val=&quot;00AC147A&quot;/&gt;&lt;wsp:rsid wsp:val=&quot;00AC1D93&quot;/&gt;&lt;wsp:rsid wsp:val=&quot;00AC1EBF&quot;/&gt;&lt;wsp:rsid wsp:val=&quot;00AC1ECF&quot;/&gt;&lt;wsp:rsid wsp:val=&quot;00AC3018&quot;/&gt;&lt;wsp:rsid wsp:val=&quot;00AC375B&quot;/&gt;&lt;wsp:rsid wsp:val=&quot;00AC4709&quot;/&gt;&lt;wsp:rsid wsp:val=&quot;00AC5F70&quot;/&gt;&lt;wsp:rsid wsp:val=&quot;00AC60E0&quot;/&gt;&lt;wsp:rsid wsp:val=&quot;00AC6199&quot;/&gt;&lt;wsp:rsid wsp:val=&quot;00AC6560&quot;/&gt;&lt;wsp:rsid wsp:val=&quot;00AC6EAD&quot;/&gt;&lt;wsp:rsid wsp:val=&quot;00AC7AC7&quot;/&gt;&lt;wsp:rsid wsp:val=&quot;00AC7E96&quot;/&gt;&lt;wsp:rsid wsp:val=&quot;00AC7F51&quot;/&gt;&lt;wsp:rsid wsp:val=&quot;00AD0268&quot;/&gt;&lt;wsp:rsid wsp:val=&quot;00AD0712&quot;/&gt;&lt;wsp:rsid wsp:val=&quot;00AD0840&quot;/&gt;&lt;wsp:rsid wsp:val=&quot;00AD1242&quot;/&gt;&lt;wsp:rsid wsp:val=&quot;00AD1356&quot;/&gt;&lt;wsp:rsid wsp:val=&quot;00AD1B67&quot;/&gt;&lt;wsp:rsid wsp:val=&quot;00AD2BF3&quot;/&gt;&lt;wsp:rsid wsp:val=&quot;00AD2C15&quot;/&gt;&lt;wsp:rsid wsp:val=&quot;00AD39F5&quot;/&gt;&lt;wsp:rsid wsp:val=&quot;00AD4933&quot;/&gt;&lt;wsp:rsid wsp:val=&quot;00AD65AB&quot;/&gt;&lt;wsp:rsid wsp:val=&quot;00AD7CD9&quot;/&gt;&lt;wsp:rsid wsp:val=&quot;00AE0905&quot;/&gt;&lt;wsp:rsid wsp:val=&quot;00AE09F6&quot;/&gt;&lt;wsp:rsid wsp:val=&quot;00AE0EDA&quot;/&gt;&lt;wsp:rsid wsp:val=&quot;00AE1345&quot;/&gt;&lt;wsp:rsid wsp:val=&quot;00AE1770&quot;/&gt;&lt;wsp:rsid wsp:val=&quot;00AE1E30&quot;/&gt;&lt;wsp:rsid wsp:val=&quot;00AE2037&quot;/&gt;&lt;wsp:rsid wsp:val=&quot;00AE21DD&quot;/&gt;&lt;wsp:rsid wsp:val=&quot;00AE25E3&quot;/&gt;&lt;wsp:rsid wsp:val=&quot;00AE28FC&quot;/&gt;&lt;wsp:rsid wsp:val=&quot;00AE2A60&quot;/&gt;&lt;wsp:rsid wsp:val=&quot;00AE30BA&quot;/&gt;&lt;wsp:rsid wsp:val=&quot;00AE350D&quot;/&gt;&lt;wsp:rsid wsp:val=&quot;00AE4587&quot;/&gt;&lt;wsp:rsid wsp:val=&quot;00AE4BF4&quot;/&gt;&lt;wsp:rsid wsp:val=&quot;00AE67A2&quot;/&gt;&lt;wsp:rsid wsp:val=&quot;00AE762C&quot;/&gt;&lt;wsp:rsid wsp:val=&quot;00AE785F&quot;/&gt;&lt;wsp:rsid wsp:val=&quot;00AF0169&quot;/&gt;&lt;wsp:rsid wsp:val=&quot;00AF19A7&quot;/&gt;&lt;wsp:rsid wsp:val=&quot;00AF1C99&quot;/&gt;&lt;wsp:rsid wsp:val=&quot;00AF2B13&quot;/&gt;&lt;wsp:rsid wsp:val=&quot;00AF2E98&quot;/&gt;&lt;wsp:rsid wsp:val=&quot;00AF3615&quot;/&gt;&lt;wsp:rsid wsp:val=&quot;00AF3879&quot;/&gt;&lt;wsp:rsid wsp:val=&quot;00AF4A95&quot;/&gt;&lt;wsp:rsid wsp:val=&quot;00AF4AF0&quot;/&gt;&lt;wsp:rsid wsp:val=&quot;00AF5379&quot;/&gt;&lt;wsp:rsid wsp:val=&quot;00AF5798&quot;/&gt;&lt;wsp:rsid wsp:val=&quot;00AF5E65&quot;/&gt;&lt;wsp:rsid wsp:val=&quot;00AF5F22&quot;/&gt;&lt;wsp:rsid wsp:val=&quot;00AF7EDA&quot;/&gt;&lt;wsp:rsid wsp:val=&quot;00B012D4&quot;/&gt;&lt;wsp:rsid wsp:val=&quot;00B0170B&quot;/&gt;&lt;wsp:rsid wsp:val=&quot;00B01F2D&quot;/&gt;&lt;wsp:rsid wsp:val=&quot;00B02032&quot;/&gt;&lt;wsp:rsid wsp:val=&quot;00B028F0&quot;/&gt;&lt;wsp:rsid wsp:val=&quot;00B02DD8&quot;/&gt;&lt;wsp:rsid wsp:val=&quot;00B032E6&quot;/&gt;&lt;wsp:rsid wsp:val=&quot;00B03D0D&quot;/&gt;&lt;wsp:rsid wsp:val=&quot;00B047A6&quot;/&gt;&lt;wsp:rsid wsp:val=&quot;00B048FB&quot;/&gt;&lt;wsp:rsid wsp:val=&quot;00B04CFD&quot;/&gt;&lt;wsp:rsid wsp:val=&quot;00B04E79&quot;/&gt;&lt;wsp:rsid wsp:val=&quot;00B059AA&quot;/&gt;&lt;wsp:rsid wsp:val=&quot;00B06238&quot;/&gt;&lt;wsp:rsid wsp:val=&quot;00B07574&quot;/&gt;&lt;wsp:rsid wsp:val=&quot;00B07722&quot;/&gt;&lt;wsp:rsid wsp:val=&quot;00B07A59&quot;/&gt;&lt;wsp:rsid wsp:val=&quot;00B1239B&quot;/&gt;&lt;wsp:rsid wsp:val=&quot;00B129C5&quot;/&gt;&lt;wsp:rsid wsp:val=&quot;00B133CF&quot;/&gt;&lt;wsp:rsid wsp:val=&quot;00B1448E&quot;/&gt;&lt;wsp:rsid wsp:val=&quot;00B144B3&quot;/&gt;&lt;wsp:rsid wsp:val=&quot;00B14A18&quot;/&gt;&lt;wsp:rsid wsp:val=&quot;00B1558B&quot;/&gt;&lt;wsp:rsid wsp:val=&quot;00B15B2B&quot;/&gt;&lt;wsp:rsid wsp:val=&quot;00B15B93&quot;/&gt;&lt;wsp:rsid wsp:val=&quot;00B16BEB&quot;/&gt;&lt;wsp:rsid wsp:val=&quot;00B16F8A&quot;/&gt;&lt;wsp:rsid wsp:val=&quot;00B20D0D&quot;/&gt;&lt;wsp:rsid wsp:val=&quot;00B20ED6&quot;/&gt;&lt;wsp:rsid wsp:val=&quot;00B210B6&quot;/&gt;&lt;wsp:rsid wsp:val=&quot;00B21430&quot;/&gt;&lt;wsp:rsid wsp:val=&quot;00B219FA&quot;/&gt;&lt;wsp:rsid wsp:val=&quot;00B228D8&quot;/&gt;&lt;wsp:rsid wsp:val=&quot;00B22C7B&quot;/&gt;&lt;wsp:rsid wsp:val=&quot;00B2330A&quot;/&gt;&lt;wsp:rsid wsp:val=&quot;00B238C6&quot;/&gt;&lt;wsp:rsid wsp:val=&quot;00B2457D&quot;/&gt;&lt;wsp:rsid wsp:val=&quot;00B26E04&quot;/&gt;&lt;wsp:rsid wsp:val=&quot;00B26E18&quot;/&gt;&lt;wsp:rsid wsp:val=&quot;00B270AB&quot;/&gt;&lt;wsp:rsid wsp:val=&quot;00B27F25&quot;/&gt;&lt;wsp:rsid wsp:val=&quot;00B30FC9&quot;/&gt;&lt;wsp:rsid wsp:val=&quot;00B310E5&quot;/&gt;&lt;wsp:rsid wsp:val=&quot;00B31F9B&quot;/&gt;&lt;wsp:rsid wsp:val=&quot;00B32495&quot;/&gt;&lt;wsp:rsid wsp:val=&quot;00B3255A&quot;/&gt;&lt;wsp:rsid wsp:val=&quot;00B32763&quot;/&gt;&lt;wsp:rsid wsp:val=&quot;00B33689&quot;/&gt;&lt;wsp:rsid wsp:val=&quot;00B33BC7&quot;/&gt;&lt;wsp:rsid wsp:val=&quot;00B34167&quot;/&gt;&lt;wsp:rsid wsp:val=&quot;00B3431D&quot;/&gt;&lt;wsp:rsid wsp:val=&quot;00B3461A&quot;/&gt;&lt;wsp:rsid wsp:val=&quot;00B34E2E&quot;/&gt;&lt;wsp:rsid wsp:val=&quot;00B34F9E&quot;/&gt;&lt;wsp:rsid wsp:val=&quot;00B35EB1&quot;/&gt;&lt;wsp:rsid wsp:val=&quot;00B409E7&quot;/&gt;&lt;wsp:rsid wsp:val=&quot;00B41035&quot;/&gt;&lt;wsp:rsid wsp:val=&quot;00B41290&quot;/&gt;&lt;wsp:rsid wsp:val=&quot;00B41BCC&quot;/&gt;&lt;wsp:rsid wsp:val=&quot;00B41EE1&quot;/&gt;&lt;wsp:rsid wsp:val=&quot;00B42838&quot;/&gt;&lt;wsp:rsid wsp:val=&quot;00B437B4&quot;/&gt;&lt;wsp:rsid wsp:val=&quot;00B43ADB&quot;/&gt;&lt;wsp:rsid wsp:val=&quot;00B43E54&quot;/&gt;&lt;wsp:rsid wsp:val=&quot;00B43E72&quot;/&gt;&lt;wsp:rsid wsp:val=&quot;00B44D3F&quot;/&gt;&lt;wsp:rsid wsp:val=&quot;00B466A5&quot;/&gt;&lt;wsp:rsid wsp:val=&quot;00B466E2&quot;/&gt;&lt;wsp:rsid wsp:val=&quot;00B476E8&quot;/&gt;&lt;wsp:rsid wsp:val=&quot;00B51264&quot;/&gt;&lt;wsp:rsid wsp:val=&quot;00B51271&quot;/&gt;&lt;wsp:rsid wsp:val=&quot;00B51464&quot;/&gt;&lt;wsp:rsid wsp:val=&quot;00B515A0&quot;/&gt;&lt;wsp:rsid wsp:val=&quot;00B51B09&quot;/&gt;&lt;wsp:rsid wsp:val=&quot;00B5278E&quot;/&gt;&lt;wsp:rsid wsp:val=&quot;00B53E7F&quot;/&gt;&lt;wsp:rsid wsp:val=&quot;00B54ACA&quot;/&gt;&lt;wsp:rsid wsp:val=&quot;00B553BC&quot;/&gt;&lt;wsp:rsid wsp:val=&quot;00B55DAD&quot;/&gt;&lt;wsp:rsid wsp:val=&quot;00B56AD4&quot;/&gt;&lt;wsp:rsid wsp:val=&quot;00B56B9E&quot;/&gt;&lt;wsp:rsid wsp:val=&quot;00B57317&quot;/&gt;&lt;wsp:rsid wsp:val=&quot;00B573C3&quot;/&gt;&lt;wsp:rsid wsp:val=&quot;00B57B98&quot;/&gt;&lt;wsp:rsid wsp:val=&quot;00B60C94&quot;/&gt;&lt;wsp:rsid wsp:val=&quot;00B618AB&quot;/&gt;&lt;wsp:rsid wsp:val=&quot;00B61C63&quot;/&gt;&lt;wsp:rsid wsp:val=&quot;00B625CE&quot;/&gt;&lt;wsp:rsid wsp:val=&quot;00B62BEA&quot;/&gt;&lt;wsp:rsid wsp:val=&quot;00B630F6&quot;/&gt;&lt;wsp:rsid wsp:val=&quot;00B6318D&quot;/&gt;&lt;wsp:rsid wsp:val=&quot;00B63A31&quot;/&gt;&lt;wsp:rsid wsp:val=&quot;00B64468&quot;/&gt;&lt;wsp:rsid wsp:val=&quot;00B64C68&quot;/&gt;&lt;wsp:rsid wsp:val=&quot;00B6542F&quot;/&gt;&lt;wsp:rsid wsp:val=&quot;00B667A7&quot;/&gt;&lt;wsp:rsid wsp:val=&quot;00B66975&quot;/&gt;&lt;wsp:rsid wsp:val=&quot;00B67517&quot;/&gt;&lt;wsp:rsid wsp:val=&quot;00B7017B&quot;/&gt;&lt;wsp:rsid wsp:val=&quot;00B7064B&quot;/&gt;&lt;wsp:rsid wsp:val=&quot;00B70916&quot;/&gt;&lt;wsp:rsid wsp:val=&quot;00B70B7E&quot;/&gt;&lt;wsp:rsid wsp:val=&quot;00B70C95&quot;/&gt;&lt;wsp:rsid wsp:val=&quot;00B70CAA&quot;/&gt;&lt;wsp:rsid wsp:val=&quot;00B71FCB&quot;/&gt;&lt;wsp:rsid wsp:val=&quot;00B721C9&quot;/&gt;&lt;wsp:rsid wsp:val=&quot;00B722B1&quot;/&gt;&lt;wsp:rsid wsp:val=&quot;00B727D5&quot;/&gt;&lt;wsp:rsid wsp:val=&quot;00B750AB&quot;/&gt;&lt;wsp:rsid wsp:val=&quot;00B75192&quot;/&gt;&lt;wsp:rsid wsp:val=&quot;00B752ED&quot;/&gt;&lt;wsp:rsid wsp:val=&quot;00B75C2B&quot;/&gt;&lt;wsp:rsid wsp:val=&quot;00B75F52&quot;/&gt;&lt;wsp:rsid wsp:val=&quot;00B762C2&quot;/&gt;&lt;wsp:rsid wsp:val=&quot;00B77A73&quot;/&gt;&lt;wsp:rsid wsp:val=&quot;00B806DE&quot;/&gt;&lt;wsp:rsid wsp:val=&quot;00B80D09&quot;/&gt;&lt;wsp:rsid wsp:val=&quot;00B80F11&quot;/&gt;&lt;wsp:rsid wsp:val=&quot;00B818D2&quot;/&gt;&lt;wsp:rsid wsp:val=&quot;00B81B93&quot;/&gt;&lt;wsp:rsid wsp:val=&quot;00B82A3B&quot;/&gt;&lt;wsp:rsid wsp:val=&quot;00B83627&quot;/&gt;&lt;wsp:rsid wsp:val=&quot;00B84402&quot;/&gt;&lt;wsp:rsid wsp:val=&quot;00B8499D&quot;/&gt;&lt;wsp:rsid wsp:val=&quot;00B85A96&quot;/&gt;&lt;wsp:rsid wsp:val=&quot;00B85CB1&quot;/&gt;&lt;wsp:rsid wsp:val=&quot;00B8679B&quot;/&gt;&lt;wsp:rsid wsp:val=&quot;00B86928&quot;/&gt;&lt;wsp:rsid wsp:val=&quot;00B87356&quot;/&gt;&lt;wsp:rsid wsp:val=&quot;00B87C94&quot;/&gt;&lt;wsp:rsid wsp:val=&quot;00B87EF4&quot;/&gt;&lt;wsp:rsid wsp:val=&quot;00B907F9&quot;/&gt;&lt;wsp:rsid wsp:val=&quot;00B91824&quot;/&gt;&lt;wsp:rsid wsp:val=&quot;00B91BD1&quot;/&gt;&lt;wsp:rsid wsp:val=&quot;00B92032&quot;/&gt;&lt;wsp:rsid wsp:val=&quot;00B922DD&quot;/&gt;&lt;wsp:rsid wsp:val=&quot;00B92570&quot;/&gt;&lt;wsp:rsid wsp:val=&quot;00B930CD&quot;/&gt;&lt;wsp:rsid wsp:val=&quot;00B931E6&quot;/&gt;&lt;wsp:rsid wsp:val=&quot;00B933AF&quot;/&gt;&lt;wsp:rsid wsp:val=&quot;00B936F8&quot;/&gt;&lt;wsp:rsid wsp:val=&quot;00B93995&quot;/&gt;&lt;wsp:rsid wsp:val=&quot;00B93C8C&quot;/&gt;&lt;wsp:rsid wsp:val=&quot;00B93EA7&quot;/&gt;&lt;wsp:rsid wsp:val=&quot;00B949F2&quot;/&gt;&lt;wsp:rsid wsp:val=&quot;00B94A9E&quot;/&gt;&lt;wsp:rsid wsp:val=&quot;00B959B0&quot;/&gt;&lt;wsp:rsid wsp:val=&quot;00B95A46&quot;/&gt;&lt;wsp:rsid wsp:val=&quot;00B96592&quot;/&gt;&lt;wsp:rsid wsp:val=&quot;00B97846&quot;/&gt;&lt;wsp:rsid wsp:val=&quot;00B97E08&quot;/&gt;&lt;wsp:rsid wsp:val=&quot;00BA0BF6&quot;/&gt;&lt;wsp:rsid wsp:val=&quot;00BA16E2&quot;/&gt;&lt;wsp:rsid wsp:val=&quot;00BA1D99&quot;/&gt;&lt;wsp:rsid wsp:val=&quot;00BA1F17&quot;/&gt;&lt;wsp:rsid wsp:val=&quot;00BA22F2&quot;/&gt;&lt;wsp:rsid wsp:val=&quot;00BA2EC5&quot;/&gt;&lt;wsp:rsid wsp:val=&quot;00BA3CE5&quot;/&gt;&lt;wsp:rsid wsp:val=&quot;00BA443A&quot;/&gt;&lt;wsp:rsid wsp:val=&quot;00BA4E99&quot;/&gt;&lt;wsp:rsid wsp:val=&quot;00BA4F72&quot;/&gt;&lt;wsp:rsid wsp:val=&quot;00BA5EFB&quot;/&gt;&lt;wsp:rsid wsp:val=&quot;00BA5FD5&quot;/&gt;&lt;wsp:rsid wsp:val=&quot;00BA62AD&quot;/&gt;&lt;wsp:rsid wsp:val=&quot;00BA687D&quot;/&gt;&lt;wsp:rsid wsp:val=&quot;00BA6F79&quot;/&gt;&lt;wsp:rsid wsp:val=&quot;00BB0121&quot;/&gt;&lt;wsp:rsid wsp:val=&quot;00BB07B6&quot;/&gt;&lt;wsp:rsid wsp:val=&quot;00BB07C8&quot;/&gt;&lt;wsp:rsid wsp:val=&quot;00BB0898&quot;/&gt;&lt;wsp:rsid wsp:val=&quot;00BB09BB&quot;/&gt;&lt;wsp:rsid wsp:val=&quot;00BB1564&quot;/&gt;&lt;wsp:rsid wsp:val=&quot;00BB1E7D&quot;/&gt;&lt;wsp:rsid wsp:val=&quot;00BB226C&quot;/&gt;&lt;wsp:rsid wsp:val=&quot;00BB2A99&quot;/&gt;&lt;wsp:rsid wsp:val=&quot;00BB3201&quot;/&gt;&lt;wsp:rsid wsp:val=&quot;00BB3957&quot;/&gt;&lt;wsp:rsid wsp:val=&quot;00BB514F&quot;/&gt;&lt;wsp:rsid wsp:val=&quot;00BB5232&quot;/&gt;&lt;wsp:rsid wsp:val=&quot;00BB5239&quot;/&gt;&lt;wsp:rsid wsp:val=&quot;00BB5A9C&quot;/&gt;&lt;wsp:rsid wsp:val=&quot;00BB65F5&quot;/&gt;&lt;wsp:rsid wsp:val=&quot;00BB7891&quot;/&gt;&lt;wsp:rsid wsp:val=&quot;00BB7957&quot;/&gt;&lt;wsp:rsid wsp:val=&quot;00BB797E&quot;/&gt;&lt;wsp:rsid wsp:val=&quot;00BB7EF8&quot;/&gt;&lt;wsp:rsid wsp:val=&quot;00BC0254&quot;/&gt;&lt;wsp:rsid wsp:val=&quot;00BC028E&quot;/&gt;&lt;wsp:rsid wsp:val=&quot;00BC06DA&quot;/&gt;&lt;wsp:rsid wsp:val=&quot;00BC0A44&quot;/&gt;&lt;wsp:rsid wsp:val=&quot;00BC0DCF&quot;/&gt;&lt;wsp:rsid wsp:val=&quot;00BC2060&quot;/&gt;&lt;wsp:rsid wsp:val=&quot;00BC25C9&quot;/&gt;&lt;wsp:rsid wsp:val=&quot;00BC26E4&quot;/&gt;&lt;wsp:rsid wsp:val=&quot;00BC2767&quot;/&gt;&lt;wsp:rsid wsp:val=&quot;00BC3DC6&quot;/&gt;&lt;wsp:rsid wsp:val=&quot;00BC3F8B&quot;/&gt;&lt;wsp:rsid wsp:val=&quot;00BC458E&quot;/&gt;&lt;wsp:rsid wsp:val=&quot;00BC4C6B&quot;/&gt;&lt;wsp:rsid wsp:val=&quot;00BC4CBC&quot;/&gt;&lt;wsp:rsid wsp:val=&quot;00BC61FB&quot;/&gt;&lt;wsp:rsid wsp:val=&quot;00BC626F&quot;/&gt;&lt;wsp:rsid wsp:val=&quot;00BC639E&quot;/&gt;&lt;wsp:rsid wsp:val=&quot;00BC6EF2&quot;/&gt;&lt;wsp:rsid wsp:val=&quot;00BD005A&quot;/&gt;&lt;wsp:rsid wsp:val=&quot;00BD03D8&quot;/&gt;&lt;wsp:rsid wsp:val=&quot;00BD04F0&quot;/&gt;&lt;wsp:rsid wsp:val=&quot;00BD1111&quot;/&gt;&lt;wsp:rsid wsp:val=&quot;00BD158F&quot;/&gt;&lt;wsp:rsid wsp:val=&quot;00BD196F&quot;/&gt;&lt;wsp:rsid wsp:val=&quot;00BD1D1B&quot;/&gt;&lt;wsp:rsid wsp:val=&quot;00BD25E7&quot;/&gt;&lt;wsp:rsid wsp:val=&quot;00BD3E4F&quot;/&gt;&lt;wsp:rsid wsp:val=&quot;00BD4104&quot;/&gt;&lt;wsp:rsid wsp:val=&quot;00BD4C33&quot;/&gt;&lt;wsp:rsid wsp:val=&quot;00BD4CD7&quot;/&gt;&lt;wsp:rsid wsp:val=&quot;00BD4E8E&quot;/&gt;&lt;wsp:rsid wsp:val=&quot;00BD51A0&quot;/&gt;&lt;wsp:rsid wsp:val=&quot;00BD52BB&quot;/&gt;&lt;wsp:rsid wsp:val=&quot;00BD5765&quot;/&gt;&lt;wsp:rsid wsp:val=&quot;00BD6A0A&quot;/&gt;&lt;wsp:rsid wsp:val=&quot;00BD7271&quot;/&gt;&lt;wsp:rsid wsp:val=&quot;00BD7311&quot;/&gt;&lt;wsp:rsid wsp:val=&quot;00BE0810&quot;/&gt;&lt;wsp:rsid wsp:val=&quot;00BE29C6&quot;/&gt;&lt;wsp:rsid wsp:val=&quot;00BE337A&quot;/&gt;&lt;wsp:rsid wsp:val=&quot;00BE3553&quot;/&gt;&lt;wsp:rsid wsp:val=&quot;00BE3A23&quot;/&gt;&lt;wsp:rsid wsp:val=&quot;00BE4284&quot;/&gt;&lt;wsp:rsid wsp:val=&quot;00BE4B44&quot;/&gt;&lt;wsp:rsid wsp:val=&quot;00BE5578&quot;/&gt;&lt;wsp:rsid wsp:val=&quot;00BE5F74&quot;/&gt;&lt;wsp:rsid wsp:val=&quot;00BE7023&quot;/&gt;&lt;wsp:rsid wsp:val=&quot;00BF0A6E&quot;/&gt;&lt;wsp:rsid wsp:val=&quot;00BF0FE8&quot;/&gt;&lt;wsp:rsid wsp:val=&quot;00BF133F&quot;/&gt;&lt;wsp:rsid wsp:val=&quot;00BF1DE7&quot;/&gt;&lt;wsp:rsid wsp:val=&quot;00BF1FD5&quot;/&gt;&lt;wsp:rsid wsp:val=&quot;00BF239E&quot;/&gt;&lt;wsp:rsid wsp:val=&quot;00BF3136&quot;/&gt;&lt;wsp:rsid wsp:val=&quot;00BF35BE&quot;/&gt;&lt;wsp:rsid wsp:val=&quot;00BF381F&quot;/&gt;&lt;wsp:rsid wsp:val=&quot;00BF39FF&quot;/&gt;&lt;wsp:rsid wsp:val=&quot;00BF3CE7&quot;/&gt;&lt;wsp:rsid wsp:val=&quot;00BF4A97&quot;/&gt;&lt;wsp:rsid wsp:val=&quot;00BF50D5&quot;/&gt;&lt;wsp:rsid wsp:val=&quot;00BF64DA&quot;/&gt;&lt;wsp:rsid wsp:val=&quot;00BF7114&quot;/&gt;&lt;wsp:rsid wsp:val=&quot;00BF7606&quot;/&gt;&lt;wsp:rsid wsp:val=&quot;00BF7D33&quot;/&gt;&lt;wsp:rsid wsp:val=&quot;00C014E2&quot;/&gt;&lt;wsp:rsid wsp:val=&quot;00C01890&quot;/&gt;&lt;wsp:rsid wsp:val=&quot;00C021D3&quot;/&gt;&lt;wsp:rsid wsp:val=&quot;00C023A9&quot;/&gt;&lt;wsp:rsid wsp:val=&quot;00C0338F&quot;/&gt;&lt;wsp:rsid wsp:val=&quot;00C03785&quot;/&gt;&lt;wsp:rsid wsp:val=&quot;00C03A26&quot;/&gt;&lt;wsp:rsid wsp:val=&quot;00C03A27&quot;/&gt;&lt;wsp:rsid wsp:val=&quot;00C03B65&quot;/&gt;&lt;wsp:rsid wsp:val=&quot;00C05061&quot;/&gt;&lt;wsp:rsid wsp:val=&quot;00C05200&quot;/&gt;&lt;wsp:rsid wsp:val=&quot;00C0634D&quot;/&gt;&lt;wsp:rsid wsp:val=&quot;00C06AEB&quot;/&gt;&lt;wsp:rsid wsp:val=&quot;00C06BD4&quot;/&gt;&lt;wsp:rsid wsp:val=&quot;00C06F12&quot;/&gt;&lt;wsp:rsid wsp:val=&quot;00C06FDC&quot;/&gt;&lt;wsp:rsid wsp:val=&quot;00C07315&quot;/&gt;&lt;wsp:rsid wsp:val=&quot;00C07F44&quot;/&gt;&lt;wsp:rsid wsp:val=&quot;00C10035&quot;/&gt;&lt;wsp:rsid wsp:val=&quot;00C11039&quot;/&gt;&lt;wsp:rsid wsp:val=&quot;00C11929&quot;/&gt;&lt;wsp:rsid wsp:val=&quot;00C11E71&quot;/&gt;&lt;wsp:rsid wsp:val=&quot;00C1225D&quot;/&gt;&lt;wsp:rsid wsp:val=&quot;00C1227F&quot;/&gt;&lt;wsp:rsid wsp:val=&quot;00C12CF1&quot;/&gt;&lt;wsp:rsid wsp:val=&quot;00C132E1&quot;/&gt;&lt;wsp:rsid wsp:val=&quot;00C13AD5&quot;/&gt;&lt;wsp:rsid wsp:val=&quot;00C13B99&quot;/&gt;&lt;wsp:rsid wsp:val=&quot;00C14C1D&quot;/&gt;&lt;wsp:rsid wsp:val=&quot;00C14C8C&quot;/&gt;&lt;wsp:rsid wsp:val=&quot;00C1546C&quot;/&gt;&lt;wsp:rsid wsp:val=&quot;00C15B27&quot;/&gt;&lt;wsp:rsid wsp:val=&quot;00C1623E&quot;/&gt;&lt;wsp:rsid wsp:val=&quot;00C1665D&quot;/&gt;&lt;wsp:rsid wsp:val=&quot;00C16700&quot;/&gt;&lt;wsp:rsid wsp:val=&quot;00C17385&quot;/&gt;&lt;wsp:rsid wsp:val=&quot;00C1775A&quot;/&gt;&lt;wsp:rsid wsp:val=&quot;00C20662&quot;/&gt;&lt;wsp:rsid wsp:val=&quot;00C20691&quot;/&gt;&lt;wsp:rsid wsp:val=&quot;00C20DDF&quot;/&gt;&lt;wsp:rsid wsp:val=&quot;00C20EE9&quot;/&gt;&lt;wsp:rsid wsp:val=&quot;00C2158E&quot;/&gt;&lt;wsp:rsid wsp:val=&quot;00C21648&quot;/&gt;&lt;wsp:rsid wsp:val=&quot;00C2216E&quot;/&gt;&lt;wsp:rsid wsp:val=&quot;00C22551&quot;/&gt;&lt;wsp:rsid wsp:val=&quot;00C2280E&quot;/&gt;&lt;wsp:rsid wsp:val=&quot;00C22E63&quot;/&gt;&lt;wsp:rsid wsp:val=&quot;00C23E85&quot;/&gt;&lt;wsp:rsid wsp:val=&quot;00C24002&quot;/&gt;&lt;wsp:rsid wsp:val=&quot;00C2443A&quot;/&gt;&lt;wsp:rsid wsp:val=&quot;00C246C7&quot;/&gt;&lt;wsp:rsid wsp:val=&quot;00C248F5&quot;/&gt;&lt;wsp:rsid wsp:val=&quot;00C25BC4&quot;/&gt;&lt;wsp:rsid wsp:val=&quot;00C25E54&quot;/&gt;&lt;wsp:rsid wsp:val=&quot;00C25E97&quot;/&gt;&lt;wsp:rsid wsp:val=&quot;00C25F8A&quot;/&gt;&lt;wsp:rsid wsp:val=&quot;00C2661A&quot;/&gt;&lt;wsp:rsid wsp:val=&quot;00C26715&quot;/&gt;&lt;wsp:rsid wsp:val=&quot;00C27307&quot;/&gt;&lt;wsp:rsid wsp:val=&quot;00C275B6&quot;/&gt;&lt;wsp:rsid wsp:val=&quot;00C278D1&quot;/&gt;&lt;wsp:rsid wsp:val=&quot;00C30246&quot;/&gt;&lt;wsp:rsid wsp:val=&quot;00C3045C&quot;/&gt;&lt;wsp:rsid wsp:val=&quot;00C30600&quot;/&gt;&lt;wsp:rsid wsp:val=&quot;00C31358&quot;/&gt;&lt;wsp:rsid wsp:val=&quot;00C314E4&quot;/&gt;&lt;wsp:rsid wsp:val=&quot;00C31D70&quot;/&gt;&lt;wsp:rsid wsp:val=&quot;00C31E7A&quot;/&gt;&lt;wsp:rsid wsp:val=&quot;00C32351&quot;/&gt;&lt;wsp:rsid wsp:val=&quot;00C3318C&quot;/&gt;&lt;wsp:rsid wsp:val=&quot;00C3329A&quot;/&gt;&lt;wsp:rsid wsp:val=&quot;00C33CB8&quot;/&gt;&lt;wsp:rsid wsp:val=&quot;00C3406D&quot;/&gt;&lt;wsp:rsid wsp:val=&quot;00C3432A&quot;/&gt;&lt;wsp:rsid wsp:val=&quot;00C3434E&quot;/&gt;&lt;wsp:rsid wsp:val=&quot;00C34A1D&quot;/&gt;&lt;wsp:rsid wsp:val=&quot;00C34CAC&quot;/&gt;&lt;wsp:rsid wsp:val=&quot;00C34EAC&quot;/&gt;&lt;wsp:rsid wsp:val=&quot;00C34F2D&quot;/&gt;&lt;wsp:rsid wsp:val=&quot;00C353E8&quot;/&gt;&lt;wsp:rsid wsp:val=&quot;00C35981&quot;/&gt;&lt;wsp:rsid wsp:val=&quot;00C359A2&quot;/&gt;&lt;wsp:rsid wsp:val=&quot;00C3630A&quot;/&gt;&lt;wsp:rsid wsp:val=&quot;00C36759&quot;/&gt;&lt;wsp:rsid wsp:val=&quot;00C36987&quot;/&gt;&lt;wsp:rsid wsp:val=&quot;00C374D6&quot;/&gt;&lt;wsp:rsid wsp:val=&quot;00C3754D&quot;/&gt;&lt;wsp:rsid wsp:val=&quot;00C375BD&quot;/&gt;&lt;wsp:rsid wsp:val=&quot;00C378A3&quot;/&gt;&lt;wsp:rsid wsp:val=&quot;00C37DE2&quot;/&gt;&lt;wsp:rsid wsp:val=&quot;00C4001A&quot;/&gt;&lt;wsp:rsid wsp:val=&quot;00C40882&quot;/&gt;&lt;wsp:rsid wsp:val=&quot;00C4089D&quot;/&gt;&lt;wsp:rsid wsp:val=&quot;00C40994&quot;/&gt;&lt;wsp:rsid wsp:val=&quot;00C40A42&quot;/&gt;&lt;wsp:rsid wsp:val=&quot;00C414E8&quot;/&gt;&lt;wsp:rsid wsp:val=&quot;00C41588&quot;/&gt;&lt;wsp:rsid wsp:val=&quot;00C41C68&quot;/&gt;&lt;wsp:rsid wsp:val=&quot;00C41DE6&quot;/&gt;&lt;wsp:rsid wsp:val=&quot;00C42587&quot;/&gt;&lt;wsp:rsid wsp:val=&quot;00C42767&quot;/&gt;&lt;wsp:rsid wsp:val=&quot;00C42BC8&quot;/&gt;&lt;wsp:rsid wsp:val=&quot;00C42D06&quot;/&gt;&lt;wsp:rsid wsp:val=&quot;00C445C6&quot;/&gt;&lt;wsp:rsid wsp:val=&quot;00C4478E&quot;/&gt;&lt;wsp:rsid wsp:val=&quot;00C453BB&quot;/&gt;&lt;wsp:rsid wsp:val=&quot;00C459F6&quot;/&gt;&lt;wsp:rsid wsp:val=&quot;00C45A76&quot;/&gt;&lt;wsp:rsid wsp:val=&quot;00C45C4B&quot;/&gt;&lt;wsp:rsid wsp:val=&quot;00C4602D&quot;/&gt;&lt;wsp:rsid wsp:val=&quot;00C462A3&quot;/&gt;&lt;wsp:rsid wsp:val=&quot;00C462AA&quot;/&gt;&lt;wsp:rsid wsp:val=&quot;00C470AB&quot;/&gt;&lt;wsp:rsid wsp:val=&quot;00C500CB&quot;/&gt;&lt;wsp:rsid wsp:val=&quot;00C503B4&quot;/&gt;&lt;wsp:rsid wsp:val=&quot;00C517BC&quot;/&gt;&lt;wsp:rsid wsp:val=&quot;00C51A93&quot;/&gt;&lt;wsp:rsid wsp:val=&quot;00C52FAF&quot;/&gt;&lt;wsp:rsid wsp:val=&quot;00C52FF2&quot;/&gt;&lt;wsp:rsid wsp:val=&quot;00C531D2&quot;/&gt;&lt;wsp:rsid wsp:val=&quot;00C53637&quot;/&gt;&lt;wsp:rsid wsp:val=&quot;00C536DB&quot;/&gt;&lt;wsp:rsid wsp:val=&quot;00C54840&quot;/&gt;&lt;wsp:rsid wsp:val=&quot;00C548C2&quot;/&gt;&lt;wsp:rsid wsp:val=&quot;00C557BC&quot;/&gt;&lt;wsp:rsid wsp:val=&quot;00C55A95&quot;/&gt;&lt;wsp:rsid wsp:val=&quot;00C55E10&quot;/&gt;&lt;wsp:rsid wsp:val=&quot;00C55E4E&quot;/&gt;&lt;wsp:rsid wsp:val=&quot;00C5609A&quot;/&gt;&lt;wsp:rsid wsp:val=&quot;00C60825&quot;/&gt;&lt;wsp:rsid wsp:val=&quot;00C60EAD&quot;/&gt;&lt;wsp:rsid wsp:val=&quot;00C61CB8&quot;/&gt;&lt;wsp:rsid wsp:val=&quot;00C63A17&quot;/&gt;&lt;wsp:rsid wsp:val=&quot;00C6776E&quot;/&gt;&lt;wsp:rsid wsp:val=&quot;00C70567&quot;/&gt;&lt;wsp:rsid wsp:val=&quot;00C70A0C&quot;/&gt;&lt;wsp:rsid wsp:val=&quot;00C70FC9&quot;/&gt;&lt;wsp:rsid wsp:val=&quot;00C723A3&quot;/&gt;&lt;wsp:rsid wsp:val=&quot;00C726BE&quot;/&gt;&lt;wsp:rsid wsp:val=&quot;00C72D28&quot;/&gt;&lt;wsp:rsid wsp:val=&quot;00C73CEB&quot;/&gt;&lt;wsp:rsid wsp:val=&quot;00C74DA6&quot;/&gt;&lt;wsp:rsid wsp:val=&quot;00C74E79&quot;/&gt;&lt;wsp:rsid wsp:val=&quot;00C75506&quot;/&gt;&lt;wsp:rsid wsp:val=&quot;00C75B24&quot;/&gt;&lt;wsp:rsid wsp:val=&quot;00C75B33&quot;/&gt;&lt;wsp:rsid wsp:val=&quot;00C7612A&quot;/&gt;&lt;wsp:rsid wsp:val=&quot;00C76530&quot;/&gt;&lt;wsp:rsid wsp:val=&quot;00C766A3&quot;/&gt;&lt;wsp:rsid wsp:val=&quot;00C76BDB&quot;/&gt;&lt;wsp:rsid wsp:val=&quot;00C80121&quot;/&gt;&lt;wsp:rsid wsp:val=&quot;00C8142A&quot;/&gt;&lt;wsp:rsid wsp:val=&quot;00C817BD&quot;/&gt;&lt;wsp:rsid wsp:val=&quot;00C81DD7&quot;/&gt;&lt;wsp:rsid wsp:val=&quot;00C8267D&quot;/&gt;&lt;wsp:rsid wsp:val=&quot;00C82906&quot;/&gt;&lt;wsp:rsid wsp:val=&quot;00C82CC4&quot;/&gt;&lt;wsp:rsid wsp:val=&quot;00C84384&quot;/&gt;&lt;wsp:rsid wsp:val=&quot;00C8456A&quot;/&gt;&lt;wsp:rsid wsp:val=&quot;00C846AE&quot;/&gt;&lt;wsp:rsid wsp:val=&quot;00C84966&quot;/&gt;&lt;wsp:rsid wsp:val=&quot;00C85DB5&quot;/&gt;&lt;wsp:rsid wsp:val=&quot;00C873E5&quot;/&gt;&lt;wsp:rsid wsp:val=&quot;00C94696&quot;/&gt;&lt;wsp:rsid wsp:val=&quot;00C952C5&quot;/&gt;&lt;wsp:rsid wsp:val=&quot;00C963A8&quot;/&gt;&lt;wsp:rsid wsp:val=&quot;00C9666F&quot;/&gt;&lt;wsp:rsid wsp:val=&quot;00C96A54&quot;/&gt;&lt;wsp:rsid wsp:val=&quot;00C96F94&quot;/&gt;&lt;wsp:rsid wsp:val=&quot;00C9732F&quot;/&gt;&lt;wsp:rsid wsp:val=&quot;00CA0AE5&quot;/&gt;&lt;wsp:rsid wsp:val=&quot;00CA0E6F&quot;/&gt;&lt;wsp:rsid wsp:val=&quot;00CA3EE9&quot;/&gt;&lt;wsp:rsid wsp:val=&quot;00CA4ACE&quot;/&gt;&lt;wsp:rsid wsp:val=&quot;00CA5461&quot;/&gt;&lt;wsp:rsid wsp:val=&quot;00CA5651&quot;/&gt;&lt;wsp:rsid wsp:val=&quot;00CA5AF1&quot;/&gt;&lt;wsp:rsid wsp:val=&quot;00CA5D3C&quot;/&gt;&lt;wsp:rsid wsp:val=&quot;00CA5E81&quot;/&gt;&lt;wsp:rsid wsp:val=&quot;00CA6148&quot;/&gt;&lt;wsp:rsid wsp:val=&quot;00CA6AFE&quot;/&gt;&lt;wsp:rsid wsp:val=&quot;00CA79CA&quot;/&gt;&lt;wsp:rsid wsp:val=&quot;00CA7D1D&quot;/&gt;&lt;wsp:rsid wsp:val=&quot;00CB0573&quot;/&gt;&lt;wsp:rsid wsp:val=&quot;00CB0996&quot;/&gt;&lt;wsp:rsid wsp:val=&quot;00CB0B37&quot;/&gt;&lt;wsp:rsid wsp:val=&quot;00CB0EF0&quot;/&gt;&lt;wsp:rsid wsp:val=&quot;00CB1ABF&quot;/&gt;&lt;wsp:rsid wsp:val=&quot;00CB203D&quot;/&gt;&lt;wsp:rsid wsp:val=&quot;00CB2B58&quot;/&gt;&lt;wsp:rsid wsp:val=&quot;00CB2E3B&quot;/&gt;&lt;wsp:rsid wsp:val=&quot;00CB2F5E&quot;/&gt;&lt;wsp:rsid wsp:val=&quot;00CB3058&quot;/&gt;&lt;wsp:rsid wsp:val=&quot;00CB3368&quot;/&gt;&lt;wsp:rsid wsp:val=&quot;00CB36FA&quot;/&gt;&lt;wsp:rsid wsp:val=&quot;00CB38F0&quot;/&gt;&lt;wsp:rsid wsp:val=&quot;00CB3BBB&quot;/&gt;&lt;wsp:rsid wsp:val=&quot;00CB3FCA&quot;/&gt;&lt;wsp:rsid wsp:val=&quot;00CB4B44&quot;/&gt;&lt;wsp:rsid wsp:val=&quot;00CB5BC6&quot;/&gt;&lt;wsp:rsid wsp:val=&quot;00CB5E2C&quot;/&gt;&lt;wsp:rsid wsp:val=&quot;00CB6A83&quot;/&gt;&lt;wsp:rsid wsp:val=&quot;00CB6B3E&quot;/&gt;&lt;wsp:rsid wsp:val=&quot;00CB6EA3&quot;/&gt;&lt;wsp:rsid wsp:val=&quot;00CB7275&quot;/&gt;&lt;wsp:rsid wsp:val=&quot;00CB7322&quot;/&gt;&lt;wsp:rsid wsp:val=&quot;00CB772D&quot;/&gt;&lt;wsp:rsid wsp:val=&quot;00CB7B5A&quot;/&gt;&lt;wsp:rsid wsp:val=&quot;00CC0045&quot;/&gt;&lt;wsp:rsid wsp:val=&quot;00CC0801&quot;/&gt;&lt;wsp:rsid wsp:val=&quot;00CC0D8E&quot;/&gt;&lt;wsp:rsid wsp:val=&quot;00CC1CB5&quot;/&gt;&lt;wsp:rsid wsp:val=&quot;00CC1EE5&quot;/&gt;&lt;wsp:rsid wsp:val=&quot;00CC1FB2&quot;/&gt;&lt;wsp:rsid wsp:val=&quot;00CC2CBC&quot;/&gt;&lt;wsp:rsid wsp:val=&quot;00CC343A&quot;/&gt;&lt;wsp:rsid wsp:val=&quot;00CC46D8&quot;/&gt;&lt;wsp:rsid wsp:val=&quot;00CC4C2B&quot;/&gt;&lt;wsp:rsid wsp:val=&quot;00CC515F&quot;/&gt;&lt;wsp:rsid wsp:val=&quot;00CC5785&quot;/&gt;&lt;wsp:rsid wsp:val=&quot;00CC5DE2&quot;/&gt;&lt;wsp:rsid wsp:val=&quot;00CC7199&quot;/&gt;&lt;wsp:rsid wsp:val=&quot;00CC7BCE&quot;/&gt;&lt;wsp:rsid wsp:val=&quot;00CD0418&quot;/&gt;&lt;wsp:rsid wsp:val=&quot;00CD05AC&quot;/&gt;&lt;wsp:rsid wsp:val=&quot;00CD17D0&quot;/&gt;&lt;wsp:rsid wsp:val=&quot;00CD1812&quot;/&gt;&lt;wsp:rsid wsp:val=&quot;00CD2431&quot;/&gt;&lt;wsp:rsid wsp:val=&quot;00CD39E1&quot;/&gt;&lt;wsp:rsid wsp:val=&quot;00CD449A&quot;/&gt;&lt;wsp:rsid wsp:val=&quot;00CD44B5&quot;/&gt;&lt;wsp:rsid wsp:val=&quot;00CD51E4&quot;/&gt;&lt;wsp:rsid wsp:val=&quot;00CD6584&quot;/&gt;&lt;wsp:rsid wsp:val=&quot;00CD6E52&quot;/&gt;&lt;wsp:rsid wsp:val=&quot;00CD71D6&quot;/&gt;&lt;wsp:rsid wsp:val=&quot;00CD744B&quot;/&gt;&lt;wsp:rsid wsp:val=&quot;00CD7924&quot;/&gt;&lt;wsp:rsid wsp:val=&quot;00CE0451&quot;/&gt;&lt;wsp:rsid wsp:val=&quot;00CE1AF8&quot;/&gt;&lt;wsp:rsid wsp:val=&quot;00CE1D6F&quot;/&gt;&lt;wsp:rsid wsp:val=&quot;00CE23E2&quot;/&gt;&lt;wsp:rsid wsp:val=&quot;00CE2EC2&quot;/&gt;&lt;wsp:rsid wsp:val=&quot;00CE2F35&quot;/&gt;&lt;wsp:rsid wsp:val=&quot;00CE3734&quot;/&gt;&lt;wsp:rsid wsp:val=&quot;00CE3C4C&quot;/&gt;&lt;wsp:rsid wsp:val=&quot;00CE4D2E&quot;/&gt;&lt;wsp:rsid wsp:val=&quot;00CE5170&quot;/&gt;&lt;wsp:rsid wsp:val=&quot;00CE7066&quot;/&gt;&lt;wsp:rsid wsp:val=&quot;00CE7281&quot;/&gt;&lt;wsp:rsid wsp:val=&quot;00CE72AD&quot;/&gt;&lt;wsp:rsid wsp:val=&quot;00CE7A00&quot;/&gt;&lt;wsp:rsid wsp:val=&quot;00CE7C75&quot;/&gt;&lt;wsp:rsid wsp:val=&quot;00CE7E1B&quot;/&gt;&lt;wsp:rsid wsp:val=&quot;00CF056E&quot;/&gt;&lt;wsp:rsid wsp:val=&quot;00CF0759&quot;/&gt;&lt;wsp:rsid wsp:val=&quot;00CF1294&quot;/&gt;&lt;wsp:rsid wsp:val=&quot;00CF1E1E&quot;/&gt;&lt;wsp:rsid wsp:val=&quot;00CF1F2C&quot;/&gt;&lt;wsp:rsid wsp:val=&quot;00CF2193&quot;/&gt;&lt;wsp:rsid wsp:val=&quot;00CF28F8&quot;/&gt;&lt;wsp:rsid wsp:val=&quot;00CF2C34&quot;/&gt;&lt;wsp:rsid wsp:val=&quot;00CF2D49&quot;/&gt;&lt;wsp:rsid wsp:val=&quot;00CF448C&quot;/&gt;&lt;wsp:rsid wsp:val=&quot;00CF5962&quot;/&gt;&lt;wsp:rsid wsp:val=&quot;00CF59A3&quot;/&gt;&lt;wsp:rsid wsp:val=&quot;00CF5D17&quot;/&gt;&lt;wsp:rsid wsp:val=&quot;00CF6006&quot;/&gt;&lt;wsp:rsid wsp:val=&quot;00CF61D4&quot;/&gt;&lt;wsp:rsid wsp:val=&quot;00CF67C5&quot;/&gt;&lt;wsp:rsid wsp:val=&quot;00CF74AF&quot;/&gt;&lt;wsp:rsid wsp:val=&quot;00CF7581&quot;/&gt;&lt;wsp:rsid wsp:val=&quot;00CF78FB&quot;/&gt;&lt;wsp:rsid wsp:val=&quot;00D001A4&quot;/&gt;&lt;wsp:rsid wsp:val=&quot;00D0078E&quot;/&gt;&lt;wsp:rsid wsp:val=&quot;00D00BBE&quot;/&gt;&lt;wsp:rsid wsp:val=&quot;00D01220&quot;/&gt;&lt;wsp:rsid wsp:val=&quot;00D01CFD&quot;/&gt;&lt;wsp:rsid wsp:val=&quot;00D01FAF&quot;/&gt;&lt;wsp:rsid wsp:val=&quot;00D02616&quot;/&gt;&lt;wsp:rsid wsp:val=&quot;00D02E33&quot;/&gt;&lt;wsp:rsid wsp:val=&quot;00D03252&quot;/&gt;&lt;wsp:rsid wsp:val=&quot;00D03C47&quot;/&gt;&lt;wsp:rsid wsp:val=&quot;00D066FE&quot;/&gt;&lt;wsp:rsid wsp:val=&quot;00D06D2F&quot;/&gt;&lt;wsp:rsid wsp:val=&quot;00D075C3&quot;/&gt;&lt;wsp:rsid wsp:val=&quot;00D1123D&quot;/&gt;&lt;wsp:rsid wsp:val=&quot;00D11B60&quot;/&gt;&lt;wsp:rsid wsp:val=&quot;00D12FD4&quot;/&gt;&lt;wsp:rsid wsp:val=&quot;00D1361F&quot;/&gt;&lt;wsp:rsid wsp:val=&quot;00D139A3&quot;/&gt;&lt;wsp:rsid wsp:val=&quot;00D13A20&quot;/&gt;&lt;wsp:rsid wsp:val=&quot;00D13EF5&quot;/&gt;&lt;wsp:rsid wsp:val=&quot;00D1448B&quot;/&gt;&lt;wsp:rsid wsp:val=&quot;00D14595&quot;/&gt;&lt;wsp:rsid wsp:val=&quot;00D14CFA&quot;/&gt;&lt;wsp:rsid wsp:val=&quot;00D14D4F&quot;/&gt;&lt;wsp:rsid wsp:val=&quot;00D15AB0&quot;/&gt;&lt;wsp:rsid wsp:val=&quot;00D16031&quot;/&gt;&lt;wsp:rsid wsp:val=&quot;00D16113&quot;/&gt;&lt;wsp:rsid wsp:val=&quot;00D16167&quot;/&gt;&lt;wsp:rsid wsp:val=&quot;00D16DA1&quot;/&gt;&lt;wsp:rsid wsp:val=&quot;00D1726C&quot;/&gt;&lt;wsp:rsid wsp:val=&quot;00D1772A&quot;/&gt;&lt;wsp:rsid wsp:val=&quot;00D20535&quot;/&gt;&lt;wsp:rsid wsp:val=&quot;00D216CE&quot;/&gt;&lt;wsp:rsid wsp:val=&quot;00D21716&quot;/&gt;&lt;wsp:rsid wsp:val=&quot;00D22CAB&quot;/&gt;&lt;wsp:rsid wsp:val=&quot;00D240F3&quot;/&gt;&lt;wsp:rsid wsp:val=&quot;00D25D12&quot;/&gt;&lt;wsp:rsid wsp:val=&quot;00D25D78&quot;/&gt;&lt;wsp:rsid wsp:val=&quot;00D26899&quot;/&gt;&lt;wsp:rsid wsp:val=&quot;00D26AC1&quot;/&gt;&lt;wsp:rsid wsp:val=&quot;00D27726&quot;/&gt;&lt;wsp:rsid wsp:val=&quot;00D27BA8&quot;/&gt;&lt;wsp:rsid wsp:val=&quot;00D309B1&quot;/&gt;&lt;wsp:rsid wsp:val=&quot;00D326B5&quot;/&gt;&lt;wsp:rsid wsp:val=&quot;00D3304A&quot;/&gt;&lt;wsp:rsid wsp:val=&quot;00D332B2&quot;/&gt;&lt;wsp:rsid wsp:val=&quot;00D33B5A&quot;/&gt;&lt;wsp:rsid wsp:val=&quot;00D3444E&quot;/&gt;&lt;wsp:rsid wsp:val=&quot;00D346D4&quot;/&gt;&lt;wsp:rsid wsp:val=&quot;00D357D8&quot;/&gt;&lt;wsp:rsid wsp:val=&quot;00D35A1A&quot;/&gt;&lt;wsp:rsid wsp:val=&quot;00D35F9E&quot;/&gt;&lt;wsp:rsid wsp:val=&quot;00D36097&quot;/&gt;&lt;wsp:rsid wsp:val=&quot;00D36A3D&quot;/&gt;&lt;wsp:rsid wsp:val=&quot;00D373F0&quot;/&gt;&lt;wsp:rsid wsp:val=&quot;00D40808&quot;/&gt;&lt;wsp:rsid wsp:val=&quot;00D41497&quot;/&gt;&lt;wsp:rsid wsp:val=&quot;00D41E60&quot;/&gt;&lt;wsp:rsid wsp:val=&quot;00D42CBF&quot;/&gt;&lt;wsp:rsid wsp:val=&quot;00D43370&quot;/&gt;&lt;wsp:rsid wsp:val=&quot;00D43459&quot;/&gt;&lt;wsp:rsid wsp:val=&quot;00D43780&quot;/&gt;&lt;wsp:rsid wsp:val=&quot;00D43F94&quot;/&gt;&lt;wsp:rsid wsp:val=&quot;00D4491D&quot;/&gt;&lt;wsp:rsid wsp:val=&quot;00D44A21&quot;/&gt;&lt;wsp:rsid wsp:val=&quot;00D44CD5&quot;/&gt;&lt;wsp:rsid wsp:val=&quot;00D45558&quot;/&gt;&lt;wsp:rsid wsp:val=&quot;00D45924&quot;/&gt;&lt;wsp:rsid wsp:val=&quot;00D46515&quot;/&gt;&lt;wsp:rsid wsp:val=&quot;00D46DCD&quot;/&gt;&lt;wsp:rsid wsp:val=&quot;00D47025&quot;/&gt;&lt;wsp:rsid wsp:val=&quot;00D47213&quot;/&gt;&lt;wsp:rsid wsp:val=&quot;00D47A19&quot;/&gt;&lt;wsp:rsid wsp:val=&quot;00D47E76&quot;/&gt;&lt;wsp:rsid wsp:val=&quot;00D506DF&quot;/&gt;&lt;wsp:rsid wsp:val=&quot;00D5099D&quot;/&gt;&lt;wsp:rsid wsp:val=&quot;00D51A4A&quot;/&gt;&lt;wsp:rsid wsp:val=&quot;00D51E12&quot;/&gt;&lt;wsp:rsid wsp:val=&quot;00D51F1E&quot;/&gt;&lt;wsp:rsid wsp:val=&quot;00D537EC&quot;/&gt;&lt;wsp:rsid wsp:val=&quot;00D5395C&quot;/&gt;&lt;wsp:rsid wsp:val=&quot;00D53F7D&quot;/&gt;&lt;wsp:rsid wsp:val=&quot;00D540C5&quot;/&gt;&lt;wsp:rsid wsp:val=&quot;00D54633&quot;/&gt;&lt;wsp:rsid wsp:val=&quot;00D54D55&quot;/&gt;&lt;wsp:rsid wsp:val=&quot;00D553B4&quot;/&gt;&lt;wsp:rsid wsp:val=&quot;00D5573D&quot;/&gt;&lt;wsp:rsid wsp:val=&quot;00D56420&quot;/&gt;&lt;wsp:rsid wsp:val=&quot;00D5692B&quot;/&gt;&lt;wsp:rsid wsp:val=&quot;00D572AE&quot;/&gt;&lt;wsp:rsid wsp:val=&quot;00D57577&quot;/&gt;&lt;wsp:rsid wsp:val=&quot;00D612D2&quot;/&gt;&lt;wsp:rsid wsp:val=&quot;00D62984&quot;/&gt;&lt;wsp:rsid wsp:val=&quot;00D62D76&quot;/&gt;&lt;wsp:rsid wsp:val=&quot;00D62E2F&quot;/&gt;&lt;wsp:rsid wsp:val=&quot;00D62E86&quot;/&gt;&lt;wsp:rsid wsp:val=&quot;00D63586&quot;/&gt;&lt;wsp:rsid wsp:val=&quot;00D63C19&quot;/&gt;&lt;wsp:rsid wsp:val=&quot;00D63C23&quot;/&gt;&lt;wsp:rsid wsp:val=&quot;00D63C51&quot;/&gt;&lt;wsp:rsid wsp:val=&quot;00D64C66&quot;/&gt;&lt;wsp:rsid wsp:val=&quot;00D67265&quot;/&gt;&lt;wsp:rsid wsp:val=&quot;00D7052E&quot;/&gt;&lt;wsp:rsid wsp:val=&quot;00D705F0&quot;/&gt;&lt;wsp:rsid wsp:val=&quot;00D71DFF&quot;/&gt;&lt;wsp:rsid wsp:val=&quot;00D722D2&quot;/&gt;&lt;wsp:rsid wsp:val=&quot;00D72B17&quot;/&gt;&lt;wsp:rsid wsp:val=&quot;00D72D6F&quot;/&gt;&lt;wsp:rsid wsp:val=&quot;00D73043&quot;/&gt;&lt;wsp:rsid wsp:val=&quot;00D73586&quot;/&gt;&lt;wsp:rsid wsp:val=&quot;00D73F42&quot;/&gt;&lt;wsp:rsid wsp:val=&quot;00D73F8F&quot;/&gt;&lt;wsp:rsid wsp:val=&quot;00D7417F&quot;/&gt;&lt;wsp:rsid wsp:val=&quot;00D745F2&quot;/&gt;&lt;wsp:rsid wsp:val=&quot;00D74F20&quot;/&gt;&lt;wsp:rsid wsp:val=&quot;00D75DF8&quot;/&gt;&lt;wsp:rsid wsp:val=&quot;00D76826&quot;/&gt;&lt;wsp:rsid wsp:val=&quot;00D76B80&quot;/&gt;&lt;wsp:rsid wsp:val=&quot;00D771F9&quot;/&gt;&lt;wsp:rsid wsp:val=&quot;00D80847&quot;/&gt;&lt;wsp:rsid wsp:val=&quot;00D809AD&quot;/&gt;&lt;wsp:rsid wsp:val=&quot;00D81737&quot;/&gt;&lt;wsp:rsid wsp:val=&quot;00D81C85&quot;/&gt;&lt;wsp:rsid wsp:val=&quot;00D82111&quot;/&gt;&lt;wsp:rsid wsp:val=&quot;00D8315A&quot;/&gt;&lt;wsp:rsid wsp:val=&quot;00D83397&quot;/&gt;&lt;wsp:rsid wsp:val=&quot;00D8367E&quot;/&gt;&lt;wsp:rsid wsp:val=&quot;00D84536&quot;/&gt;&lt;wsp:rsid wsp:val=&quot;00D84E19&quot;/&gt;&lt;wsp:rsid wsp:val=&quot;00D852E6&quot;/&gt;&lt;wsp:rsid wsp:val=&quot;00D855EC&quot;/&gt;&lt;wsp:rsid wsp:val=&quot;00D85CB0&quot;/&gt;&lt;wsp:rsid wsp:val=&quot;00D85F54&quot;/&gt;&lt;wsp:rsid wsp:val=&quot;00D86253&quot;/&gt;&lt;wsp:rsid wsp:val=&quot;00D863A3&quot;/&gt;&lt;wsp:rsid wsp:val=&quot;00D86412&quot;/&gt;&lt;wsp:rsid wsp:val=&quot;00D86548&quot;/&gt;&lt;wsp:rsid wsp:val=&quot;00D8724C&quot;/&gt;&lt;wsp:rsid wsp:val=&quot;00D87385&quot;/&gt;&lt;wsp:rsid wsp:val=&quot;00D91528&quot;/&gt;&lt;wsp:rsid wsp:val=&quot;00D91BEE&quot;/&gt;&lt;wsp:rsid wsp:val=&quot;00D91D20&quot;/&gt;&lt;wsp:rsid wsp:val=&quot;00D92685&quot;/&gt;&lt;wsp:rsid wsp:val=&quot;00D9330B&quot;/&gt;&lt;wsp:rsid wsp:val=&quot;00D93693&quot;/&gt;&lt;wsp:rsid wsp:val=&quot;00D9371F&quot;/&gt;&lt;wsp:rsid wsp:val=&quot;00D939F8&quot;/&gt;&lt;wsp:rsid wsp:val=&quot;00D943B4&quot;/&gt;&lt;wsp:rsid wsp:val=&quot;00D9449C&quot;/&gt;&lt;wsp:rsid wsp:val=&quot;00D9499B&quot;/&gt;&lt;wsp:rsid wsp:val=&quot;00D94DF6&quot;/&gt;&lt;wsp:rsid wsp:val=&quot;00D95ABD&quot;/&gt;&lt;wsp:rsid wsp:val=&quot;00D95F00&quot;/&gt;&lt;wsp:rsid wsp:val=&quot;00D9697A&quot;/&gt;&lt;wsp:rsid wsp:val=&quot;00D96A6E&quot;/&gt;&lt;wsp:rsid wsp:val=&quot;00DA0643&quot;/&gt;&lt;wsp:rsid wsp:val=&quot;00DA0A20&quot;/&gt;&lt;wsp:rsid wsp:val=&quot;00DA0C8C&quot;/&gt;&lt;wsp:rsid wsp:val=&quot;00DA0EDA&quot;/&gt;&lt;wsp:rsid wsp:val=&quot;00DA1255&quot;/&gt;&lt;wsp:rsid wsp:val=&quot;00DA1B18&quot;/&gt;&lt;wsp:rsid wsp:val=&quot;00DA1CD1&quot;/&gt;&lt;wsp:rsid wsp:val=&quot;00DA2D6D&quot;/&gt;&lt;wsp:rsid wsp:val=&quot;00DA3462&quot;/&gt;&lt;wsp:rsid wsp:val=&quot;00DA5523&quot;/&gt;&lt;wsp:rsid wsp:val=&quot;00DA55FA&quot;/&gt;&lt;wsp:rsid wsp:val=&quot;00DA5778&quot;/&gt;&lt;wsp:rsid wsp:val=&quot;00DA57B5&quot;/&gt;&lt;wsp:rsid wsp:val=&quot;00DA5934&quot;/&gt;&lt;wsp:rsid wsp:val=&quot;00DA7601&quot;/&gt;&lt;wsp:rsid wsp:val=&quot;00DA763A&quot;/&gt;&lt;wsp:rsid wsp:val=&quot;00DA797F&quot;/&gt;&lt;wsp:rsid wsp:val=&quot;00DB00A6&quot;/&gt;&lt;wsp:rsid wsp:val=&quot;00DB00B6&quot;/&gt;&lt;wsp:rsid wsp:val=&quot;00DB0787&quot;/&gt;&lt;wsp:rsid wsp:val=&quot;00DB1DD7&quot;/&gt;&lt;wsp:rsid wsp:val=&quot;00DB1E25&quot;/&gt;&lt;wsp:rsid wsp:val=&quot;00DB2172&quot;/&gt;&lt;wsp:rsid wsp:val=&quot;00DB28D9&quot;/&gt;&lt;wsp:rsid wsp:val=&quot;00DB2CD3&quot;/&gt;&lt;wsp:rsid wsp:val=&quot;00DB3191&quot;/&gt;&lt;wsp:rsid wsp:val=&quot;00DB328E&quot;/&gt;&lt;wsp:rsid wsp:val=&quot;00DB3298&quot;/&gt;&lt;wsp:rsid wsp:val=&quot;00DB367B&quot;/&gt;&lt;wsp:rsid wsp:val=&quot;00DB37F3&quot;/&gt;&lt;wsp:rsid wsp:val=&quot;00DB3E3C&quot;/&gt;&lt;wsp:rsid wsp:val=&quot;00DB3F13&quot;/&gt;&lt;wsp:rsid wsp:val=&quot;00DB49AF&quot;/&gt;&lt;wsp:rsid wsp:val=&quot;00DB5998&quot;/&gt;&lt;wsp:rsid wsp:val=&quot;00DB6341&quot;/&gt;&lt;wsp:rsid wsp:val=&quot;00DB6C85&quot;/&gt;&lt;wsp:rsid wsp:val=&quot;00DB78ED&quot;/&gt;&lt;wsp:rsid wsp:val=&quot;00DB7F39&quot;/&gt;&lt;wsp:rsid wsp:val=&quot;00DC0C3B&quot;/&gt;&lt;wsp:rsid wsp:val=&quot;00DC0DA7&quot;/&gt;&lt;wsp:rsid wsp:val=&quot;00DC176A&quot;/&gt;&lt;wsp:rsid wsp:val=&quot;00DC1861&quot;/&gt;&lt;wsp:rsid wsp:val=&quot;00DC2137&quot;/&gt;&lt;wsp:rsid wsp:val=&quot;00DC28F6&quot;/&gt;&lt;wsp:rsid wsp:val=&quot;00DC3889&quot;/&gt;&lt;wsp:rsid wsp:val=&quot;00DC400A&quot;/&gt;&lt;wsp:rsid wsp:val=&quot;00DC58A1&quot;/&gt;&lt;wsp:rsid wsp:val=&quot;00DC5BAA&quot;/&gt;&lt;wsp:rsid wsp:val=&quot;00DC5E80&quot;/&gt;&lt;wsp:rsid wsp:val=&quot;00DC653F&quot;/&gt;&lt;wsp:rsid wsp:val=&quot;00DC6C57&quot;/&gt;&lt;wsp:rsid wsp:val=&quot;00DC71AD&quot;/&gt;&lt;wsp:rsid wsp:val=&quot;00DC7D26&quot;/&gt;&lt;wsp:rsid wsp:val=&quot;00DD0C5B&quot;/&gt;&lt;wsp:rsid wsp:val=&quot;00DD151E&quot;/&gt;&lt;wsp:rsid wsp:val=&quot;00DD1A93&quot;/&gt;&lt;wsp:rsid wsp:val=&quot;00DD23C5&quot;/&gt;&lt;wsp:rsid wsp:val=&quot;00DD2531&quot;/&gt;&lt;wsp:rsid wsp:val=&quot;00DD282E&quot;/&gt;&lt;wsp:rsid wsp:val=&quot;00DD2FCD&quot;/&gt;&lt;wsp:rsid wsp:val=&quot;00DD329B&quot;/&gt;&lt;wsp:rsid wsp:val=&quot;00DD37C0&quot;/&gt;&lt;wsp:rsid wsp:val=&quot;00DD4806&quot;/&gt;&lt;wsp:rsid wsp:val=&quot;00DD4926&quot;/&gt;&lt;wsp:rsid wsp:val=&quot;00DD5288&quot;/&gt;&lt;wsp:rsid wsp:val=&quot;00DD5EFB&quot;/&gt;&lt;wsp:rsid wsp:val=&quot;00DD6151&quot;/&gt;&lt;wsp:rsid wsp:val=&quot;00DD620A&quot;/&gt;&lt;wsp:rsid wsp:val=&quot;00DD6F11&quot;/&gt;&lt;wsp:rsid wsp:val=&quot;00DD70F1&quot;/&gt;&lt;wsp:rsid wsp:val=&quot;00DD7B87&quot;/&gt;&lt;wsp:rsid wsp:val=&quot;00DE0001&quot;/&gt;&lt;wsp:rsid wsp:val=&quot;00DE0A94&quot;/&gt;&lt;wsp:rsid wsp:val=&quot;00DE136F&quot;/&gt;&lt;wsp:rsid wsp:val=&quot;00DE1C90&quot;/&gt;&lt;wsp:rsid wsp:val=&quot;00DE1F4E&quot;/&gt;&lt;wsp:rsid wsp:val=&quot;00DE2625&quot;/&gt;&lt;wsp:rsid wsp:val=&quot;00DE2CA8&quot;/&gt;&lt;wsp:rsid wsp:val=&quot;00DE2DC3&quot;/&gt;&lt;wsp:rsid wsp:val=&quot;00DE38CC&quot;/&gt;&lt;wsp:rsid wsp:val=&quot;00DE48C1&quot;/&gt;&lt;wsp:rsid wsp:val=&quot;00DE4ACB&quot;/&gt;&lt;wsp:rsid wsp:val=&quot;00DE5CBF&quot;/&gt;&lt;wsp:rsid wsp:val=&quot;00DE5CE9&quot;/&gt;&lt;wsp:rsid wsp:val=&quot;00DE61CD&quot;/&gt;&lt;wsp:rsid wsp:val=&quot;00DE64CD&quot;/&gt;&lt;wsp:rsid wsp:val=&quot;00DE66BB&quot;/&gt;&lt;wsp:rsid wsp:val=&quot;00DE66FF&quot;/&gt;&lt;wsp:rsid wsp:val=&quot;00DE7265&quot;/&gt;&lt;wsp:rsid wsp:val=&quot;00DE7D9B&quot;/&gt;&lt;wsp:rsid wsp:val=&quot;00DF1A51&quot;/&gt;&lt;wsp:rsid wsp:val=&quot;00DF1BA6&quot;/&gt;&lt;wsp:rsid wsp:val=&quot;00DF2C47&quot;/&gt;&lt;wsp:rsid wsp:val=&quot;00DF3BED&quot;/&gt;&lt;wsp:rsid wsp:val=&quot;00DF3C37&quot;/&gt;&lt;wsp:rsid wsp:val=&quot;00DF4EEC&quot;/&gt;&lt;wsp:rsid wsp:val=&quot;00DF4FF6&quot;/&gt;&lt;wsp:rsid wsp:val=&quot;00DF6019&quot;/&gt;&lt;wsp:rsid wsp:val=&quot;00DF6045&quot;/&gt;&lt;wsp:rsid wsp:val=&quot;00DF661E&quot;/&gt;&lt;wsp:rsid wsp:val=&quot;00DF672B&quot;/&gt;&lt;wsp:rsid wsp:val=&quot;00DF6786&quot;/&gt;&lt;wsp:rsid wsp:val=&quot;00DF6D6A&quot;/&gt;&lt;wsp:rsid wsp:val=&quot;00DF6F87&quot;/&gt;&lt;wsp:rsid wsp:val=&quot;00DF7701&quot;/&gt;&lt;wsp:rsid wsp:val=&quot;00E00EFD&quot;/&gt;&lt;wsp:rsid wsp:val=&quot;00E01130&quot;/&gt;&lt;wsp:rsid wsp:val=&quot;00E01828&quot;/&gt;&lt;wsp:rsid wsp:val=&quot;00E019E8&quot;/&gt;&lt;wsp:rsid wsp:val=&quot;00E02074&quot;/&gt;&lt;wsp:rsid wsp:val=&quot;00E024E4&quot;/&gt;&lt;wsp:rsid wsp:val=&quot;00E02526&quot;/&gt;&lt;wsp:rsid wsp:val=&quot;00E025AF&quot;/&gt;&lt;wsp:rsid wsp:val=&quot;00E02FED&quot;/&gt;&lt;wsp:rsid wsp:val=&quot;00E03061&quot;/&gt;&lt;wsp:rsid wsp:val=&quot;00E036F4&quot;/&gt;&lt;wsp:rsid wsp:val=&quot;00E04099&quot;/&gt;&lt;wsp:rsid wsp:val=&quot;00E0485B&quot;/&gt;&lt;wsp:rsid wsp:val=&quot;00E05882&quot;/&gt;&lt;wsp:rsid wsp:val=&quot;00E074B2&quot;/&gt;&lt;wsp:rsid wsp:val=&quot;00E07598&quot;/&gt;&lt;wsp:rsid wsp:val=&quot;00E07BB2&quot;/&gt;&lt;wsp:rsid wsp:val=&quot;00E07C40&quot;/&gt;&lt;wsp:rsid wsp:val=&quot;00E10084&quot;/&gt;&lt;wsp:rsid wsp:val=&quot;00E10528&quot;/&gt;&lt;wsp:rsid wsp:val=&quot;00E10553&quot;/&gt;&lt;wsp:rsid wsp:val=&quot;00E10F3B&quot;/&gt;&lt;wsp:rsid wsp:val=&quot;00E11C42&quot;/&gt;&lt;wsp:rsid wsp:val=&quot;00E12817&quot;/&gt;&lt;wsp:rsid wsp:val=&quot;00E1333F&quot;/&gt;&lt;wsp:rsid wsp:val=&quot;00E134BB&quot;/&gt;&lt;wsp:rsid wsp:val=&quot;00E13697&quot;/&gt;&lt;wsp:rsid wsp:val=&quot;00E13C78&quot;/&gt;&lt;wsp:rsid wsp:val=&quot;00E13FBF&quot;/&gt;&lt;wsp:rsid wsp:val=&quot;00E14279&quot;/&gt;&lt;wsp:rsid wsp:val=&quot;00E15043&quot;/&gt;&lt;wsp:rsid wsp:val=&quot;00E157ED&quot;/&gt;&lt;wsp:rsid wsp:val=&quot;00E15815&quot;/&gt;&lt;wsp:rsid wsp:val=&quot;00E15819&quot;/&gt;&lt;wsp:rsid wsp:val=&quot;00E1683B&quot;/&gt;&lt;wsp:rsid wsp:val=&quot;00E16940&quot;/&gt;&lt;wsp:rsid wsp:val=&quot;00E1780E&quot;/&gt;&lt;wsp:rsid wsp:val=&quot;00E203D4&quot;/&gt;&lt;wsp:rsid wsp:val=&quot;00E21794&quot;/&gt;&lt;wsp:rsid wsp:val=&quot;00E22688&quot;/&gt;&lt;wsp:rsid wsp:val=&quot;00E22B39&quot;/&gt;&lt;wsp:rsid wsp:val=&quot;00E23F38&quot;/&gt;&lt;wsp:rsid wsp:val=&quot;00E2487D&quot;/&gt;&lt;wsp:rsid wsp:val=&quot;00E25B2B&quot;/&gt;&lt;wsp:rsid wsp:val=&quot;00E25D75&quot;/&gt;&lt;wsp:rsid wsp:val=&quot;00E26CD3&quot;/&gt;&lt;wsp:rsid wsp:val=&quot;00E27B77&quot;/&gt;&lt;wsp:rsid wsp:val=&quot;00E30240&quot;/&gt;&lt;wsp:rsid wsp:val=&quot;00E30273&quot;/&gt;&lt;wsp:rsid wsp:val=&quot;00E303EB&quot;/&gt;&lt;wsp:rsid wsp:val=&quot;00E30656&quot;/&gt;&lt;wsp:rsid wsp:val=&quot;00E3071D&quot;/&gt;&lt;wsp:rsid wsp:val=&quot;00E31148&quot;/&gt;&lt;wsp:rsid wsp:val=&quot;00E32587&quot;/&gt;&lt;wsp:rsid wsp:val=&quot;00E32CA4&quot;/&gt;&lt;wsp:rsid wsp:val=&quot;00E32DB9&quot;/&gt;&lt;wsp:rsid wsp:val=&quot;00E33070&quot;/&gt;&lt;wsp:rsid wsp:val=&quot;00E338AA&quot;/&gt;&lt;wsp:rsid wsp:val=&quot;00E34888&quot;/&gt;&lt;wsp:rsid wsp:val=&quot;00E34CCD&quot;/&gt;&lt;wsp:rsid wsp:val=&quot;00E371B0&quot;/&gt;&lt;wsp:rsid wsp:val=&quot;00E37346&quot;/&gt;&lt;wsp:rsid wsp:val=&quot;00E3740E&quot;/&gt;&lt;wsp:rsid wsp:val=&quot;00E37E0E&quot;/&gt;&lt;wsp:rsid wsp:val=&quot;00E40E2B&quot;/&gt;&lt;wsp:rsid wsp:val=&quot;00E41F50&quot;/&gt;&lt;wsp:rsid wsp:val=&quot;00E429F7&quot;/&gt;&lt;wsp:rsid wsp:val=&quot;00E42C62&quot;/&gt;&lt;wsp:rsid wsp:val=&quot;00E42F37&quot;/&gt;&lt;wsp:rsid wsp:val=&quot;00E42F74&quot;/&gt;&lt;wsp:rsid wsp:val=&quot;00E442F8&quot;/&gt;&lt;wsp:rsid wsp:val=&quot;00E4447F&quot;/&gt;&lt;wsp:rsid wsp:val=&quot;00E45347&quot;/&gt;&lt;wsp:rsid wsp:val=&quot;00E455C7&quot;/&gt;&lt;wsp:rsid wsp:val=&quot;00E47C35&quot;/&gt;&lt;wsp:rsid wsp:val=&quot;00E50813&quot;/&gt;&lt;wsp:rsid wsp:val=&quot;00E512E9&quot;/&gt;&lt;wsp:rsid wsp:val=&quot;00E513E5&quot;/&gt;&lt;wsp:rsid wsp:val=&quot;00E515AD&quot;/&gt;&lt;wsp:rsid wsp:val=&quot;00E51BD2&quot;/&gt;&lt;wsp:rsid wsp:val=&quot;00E51BEB&quot;/&gt;&lt;wsp:rsid wsp:val=&quot;00E51D04&quot;/&gt;&lt;wsp:rsid wsp:val=&quot;00E5207A&quot;/&gt;&lt;wsp:rsid wsp:val=&quot;00E526AC&quot;/&gt;&lt;wsp:rsid wsp:val=&quot;00E5270D&quot;/&gt;&lt;wsp:rsid wsp:val=&quot;00E52967&quot;/&gt;&lt;wsp:rsid wsp:val=&quot;00E5377F&quot;/&gt;&lt;wsp:rsid wsp:val=&quot;00E53BFE&quot;/&gt;&lt;wsp:rsid wsp:val=&quot;00E53E15&quot;/&gt;&lt;wsp:rsid wsp:val=&quot;00E53E20&quot;/&gt;&lt;wsp:rsid wsp:val=&quot;00E54506&quot;/&gt;&lt;wsp:rsid wsp:val=&quot;00E54912&quot;/&gt;&lt;wsp:rsid wsp:val=&quot;00E54E6C&quot;/&gt;&lt;wsp:rsid wsp:val=&quot;00E55304&quot;/&gt;&lt;wsp:rsid wsp:val=&quot;00E55F6B&quot;/&gt;&lt;wsp:rsid wsp:val=&quot;00E55FD3&quot;/&gt;&lt;wsp:rsid wsp:val=&quot;00E56EA4&quot;/&gt;&lt;wsp:rsid wsp:val=&quot;00E57697&quot;/&gt;&lt;wsp:rsid wsp:val=&quot;00E57734&quot;/&gt;&lt;wsp:rsid wsp:val=&quot;00E60768&quot;/&gt;&lt;wsp:rsid wsp:val=&quot;00E60A42&quot;/&gt;&lt;wsp:rsid wsp:val=&quot;00E614CE&quot;/&gt;&lt;wsp:rsid wsp:val=&quot;00E62179&quot;/&gt;&lt;wsp:rsid wsp:val=&quot;00E62373&quot;/&gt;&lt;wsp:rsid wsp:val=&quot;00E62449&quot;/&gt;&lt;wsp:rsid wsp:val=&quot;00E62780&quot;/&gt;&lt;wsp:rsid wsp:val=&quot;00E62847&quot;/&gt;&lt;wsp:rsid wsp:val=&quot;00E63D5E&quot;/&gt;&lt;wsp:rsid wsp:val=&quot;00E64DCB&quot;/&gt;&lt;wsp:rsid wsp:val=&quot;00E6522B&quot;/&gt;&lt;wsp:rsid wsp:val=&quot;00E65D67&quot;/&gt;&lt;wsp:rsid wsp:val=&quot;00E6650B&quot;/&gt;&lt;wsp:rsid wsp:val=&quot;00E66E16&quot;/&gt;&lt;wsp:rsid wsp:val=&quot;00E670EF&quot;/&gt;&lt;wsp:rsid wsp:val=&quot;00E672CA&quot;/&gt;&lt;wsp:rsid wsp:val=&quot;00E676FB&quot;/&gt;&lt;wsp:rsid wsp:val=&quot;00E70507&quot;/&gt;&lt;wsp:rsid wsp:val=&quot;00E70B85&quot;/&gt;&lt;wsp:rsid wsp:val=&quot;00E70F52&quot;/&gt;&lt;wsp:rsid wsp:val=&quot;00E71B69&quot;/&gt;&lt;wsp:rsid wsp:val=&quot;00E74003&quot;/&gt;&lt;wsp:rsid wsp:val=&quot;00E74B27&quot;/&gt;&lt;wsp:rsid wsp:val=&quot;00E74EF6&quot;/&gt;&lt;wsp:rsid wsp:val=&quot;00E75089&quot;/&gt;&lt;wsp:rsid wsp:val=&quot;00E752DB&quot;/&gt;&lt;wsp:rsid wsp:val=&quot;00E7599A&quot;/&gt;&lt;wsp:rsid wsp:val=&quot;00E75E30&quot;/&gt;&lt;wsp:rsid wsp:val=&quot;00E75F8F&quot;/&gt;&lt;wsp:rsid wsp:val=&quot;00E763E3&quot;/&gt;&lt;wsp:rsid wsp:val=&quot;00E76419&quot;/&gt;&lt;wsp:rsid wsp:val=&quot;00E77274&quot;/&gt;&lt;wsp:rsid wsp:val=&quot;00E7752F&quot;/&gt;&lt;wsp:rsid wsp:val=&quot;00E779B3&quot;/&gt;&lt;wsp:rsid wsp:val=&quot;00E77D94&quot;/&gt;&lt;wsp:rsid wsp:val=&quot;00E77FF5&quot;/&gt;&lt;wsp:rsid wsp:val=&quot;00E811D0&quot;/&gt;&lt;wsp:rsid wsp:val=&quot;00E82387&quot;/&gt;&lt;wsp:rsid wsp:val=&quot;00E823CB&quot;/&gt;&lt;wsp:rsid wsp:val=&quot;00E8346F&quot;/&gt;&lt;wsp:rsid wsp:val=&quot;00E8362D&quot;/&gt;&lt;wsp:rsid wsp:val=&quot;00E83C3D&quot;/&gt;&lt;wsp:rsid wsp:val=&quot;00E83D44&quot;/&gt;&lt;wsp:rsid wsp:val=&quot;00E84151&quot;/&gt;&lt;wsp:rsid wsp:val=&quot;00E84605&quot;/&gt;&lt;wsp:rsid wsp:val=&quot;00E847B4&quot;/&gt;&lt;wsp:rsid wsp:val=&quot;00E84B55&quot;/&gt;&lt;wsp:rsid wsp:val=&quot;00E85ABF&quot;/&gt;&lt;wsp:rsid wsp:val=&quot;00E85B23&quot;/&gt;&lt;wsp:rsid wsp:val=&quot;00E861E3&quot;/&gt;&lt;wsp:rsid wsp:val=&quot;00E86656&quot;/&gt;&lt;wsp:rsid wsp:val=&quot;00E87555&quot;/&gt;&lt;wsp:rsid wsp:val=&quot;00E8763E&quot;/&gt;&lt;wsp:rsid wsp:val=&quot;00E87651&quot;/&gt;&lt;wsp:rsid wsp:val=&quot;00E87B30&quot;/&gt;&lt;wsp:rsid wsp:val=&quot;00E87FE7&quot;/&gt;&lt;wsp:rsid wsp:val=&quot;00E90180&quot;/&gt;&lt;wsp:rsid wsp:val=&quot;00E91340&quot;/&gt;&lt;wsp:rsid wsp:val=&quot;00E9163F&quot;/&gt;&lt;wsp:rsid wsp:val=&quot;00E9168A&quot;/&gt;&lt;wsp:rsid wsp:val=&quot;00E91834&quot;/&gt;&lt;wsp:rsid wsp:val=&quot;00E9193C&quot;/&gt;&lt;wsp:rsid wsp:val=&quot;00E92669&quot;/&gt;&lt;wsp:rsid wsp:val=&quot;00E926B8&quot;/&gt;&lt;wsp:rsid wsp:val=&quot;00E92E24&quot;/&gt;&lt;wsp:rsid wsp:val=&quot;00E93D1A&quot;/&gt;&lt;wsp:rsid wsp:val=&quot;00E941E4&quot;/&gt;&lt;wsp:rsid wsp:val=&quot;00E95C4D&quot;/&gt;&lt;wsp:rsid wsp:val=&quot;00E95D78&quot;/&gt;&lt;wsp:rsid wsp:val=&quot;00E95ED1&quot;/&gt;&lt;wsp:rsid wsp:val=&quot;00E961F1&quot;/&gt;&lt;wsp:rsid wsp:val=&quot;00E9719A&quot;/&gt;&lt;wsp:rsid wsp:val=&quot;00E972C3&quot;/&gt;&lt;wsp:rsid wsp:val=&quot;00EA0977&quot;/&gt;&lt;wsp:rsid wsp:val=&quot;00EA09E5&quot;/&gt;&lt;wsp:rsid wsp:val=&quot;00EA152B&quot;/&gt;&lt;wsp:rsid wsp:val=&quot;00EA2050&quot;/&gt;&lt;wsp:rsid wsp:val=&quot;00EA238A&quot;/&gt;&lt;wsp:rsid wsp:val=&quot;00EA25DD&quot;/&gt;&lt;wsp:rsid wsp:val=&quot;00EA2FA6&quot;/&gt;&lt;wsp:rsid wsp:val=&quot;00EA342B&quot;/&gt;&lt;wsp:rsid wsp:val=&quot;00EA38BE&quot;/&gt;&lt;wsp:rsid wsp:val=&quot;00EA41C5&quot;/&gt;&lt;wsp:rsid wsp:val=&quot;00EA4313&quot;/&gt;&lt;wsp:rsid wsp:val=&quot;00EA56DE&quot;/&gt;&lt;wsp:rsid wsp:val=&quot;00EA6B15&quot;/&gt;&lt;wsp:rsid wsp:val=&quot;00EB0990&quot;/&gt;&lt;wsp:rsid wsp:val=&quot;00EB21AA&quot;/&gt;&lt;wsp:rsid wsp:val=&quot;00EB2563&quot;/&gt;&lt;wsp:rsid wsp:val=&quot;00EB4421&quot;/&gt;&lt;wsp:rsid wsp:val=&quot;00EB4A6C&quot;/&gt;&lt;wsp:rsid wsp:val=&quot;00EB4D22&quot;/&gt;&lt;wsp:rsid wsp:val=&quot;00EB518D&quot;/&gt;&lt;wsp:rsid wsp:val=&quot;00EB6884&quot;/&gt;&lt;wsp:rsid wsp:val=&quot;00EB6E45&quot;/&gt;&lt;wsp:rsid wsp:val=&quot;00EB726C&quot;/&gt;&lt;wsp:rsid wsp:val=&quot;00EB766D&quot;/&gt;&lt;wsp:rsid wsp:val=&quot;00EC0608&quot;/&gt;&lt;wsp:rsid wsp:val=&quot;00EC068A&quot;/&gt;&lt;wsp:rsid wsp:val=&quot;00EC073F&quot;/&gt;&lt;wsp:rsid wsp:val=&quot;00EC1A94&quot;/&gt;&lt;wsp:rsid wsp:val=&quot;00EC1AD0&quot;/&gt;&lt;wsp:rsid wsp:val=&quot;00EC23DE&quot;/&gt;&lt;wsp:rsid wsp:val=&quot;00EC285E&quot;/&gt;&lt;wsp:rsid wsp:val=&quot;00EC29A0&quot;/&gt;&lt;wsp:rsid wsp:val=&quot;00EC2C64&quot;/&gt;&lt;wsp:rsid wsp:val=&quot;00EC31B0&quot;/&gt;&lt;wsp:rsid wsp:val=&quot;00EC43FC&quot;/&gt;&lt;wsp:rsid wsp:val=&quot;00EC5112&quot;/&gt;&lt;wsp:rsid wsp:val=&quot;00EC5854&quot;/&gt;&lt;wsp:rsid wsp:val=&quot;00EC5C58&quot;/&gt;&lt;wsp:rsid wsp:val=&quot;00EC6035&quot;/&gt;&lt;wsp:rsid wsp:val=&quot;00EC72C0&quot;/&gt;&lt;wsp:rsid wsp:val=&quot;00EC770B&quot;/&gt;&lt;wsp:rsid wsp:val=&quot;00ED134B&quot;/&gt;&lt;wsp:rsid wsp:val=&quot;00ED2546&quot;/&gt;&lt;wsp:rsid wsp:val=&quot;00ED2671&quot;/&gt;&lt;wsp:rsid wsp:val=&quot;00ED300C&quot;/&gt;&lt;wsp:rsid wsp:val=&quot;00ED304A&quot;/&gt;&lt;wsp:rsid wsp:val=&quot;00ED3CA3&quot;/&gt;&lt;wsp:rsid wsp:val=&quot;00ED4720&quot;/&gt;&lt;wsp:rsid wsp:val=&quot;00ED5535&quot;/&gt;&lt;wsp:rsid wsp:val=&quot;00ED5601&quot;/&gt;&lt;wsp:rsid wsp:val=&quot;00ED5B9A&quot;/&gt;&lt;wsp:rsid wsp:val=&quot;00ED5EB0&quot;/&gt;&lt;wsp:rsid wsp:val=&quot;00ED64A8&quot;/&gt;&lt;wsp:rsid wsp:val=&quot;00ED66AB&quot;/&gt;&lt;wsp:rsid wsp:val=&quot;00ED6A2A&quot;/&gt;&lt;wsp:rsid wsp:val=&quot;00ED6DCE&quot;/&gt;&lt;wsp:rsid wsp:val=&quot;00ED7D94&quot;/&gt;&lt;wsp:rsid wsp:val=&quot;00EE2275&quot;/&gt;&lt;wsp:rsid wsp:val=&quot;00EE256A&quot;/&gt;&lt;wsp:rsid wsp:val=&quot;00EE2591&quot;/&gt;&lt;wsp:rsid wsp:val=&quot;00EE2CAE&quot;/&gt;&lt;wsp:rsid wsp:val=&quot;00EE4738&quot;/&gt;&lt;wsp:rsid wsp:val=&quot;00EE4917&quot;/&gt;&lt;wsp:rsid wsp:val=&quot;00EE4B7B&quot;/&gt;&lt;wsp:rsid wsp:val=&quot;00EE50B8&quot;/&gt;&lt;wsp:rsid wsp:val=&quot;00EE50C0&quot;/&gt;&lt;wsp:rsid wsp:val=&quot;00EE5259&quot;/&gt;&lt;wsp:rsid wsp:val=&quot;00EE5BD9&quot;/&gt;&lt;wsp:rsid wsp:val=&quot;00EE5E8A&quot;/&gt;&lt;wsp:rsid wsp:val=&quot;00EE640A&quot;/&gt;&lt;wsp:rsid wsp:val=&quot;00EE6F79&quot;/&gt;&lt;wsp:rsid wsp:val=&quot;00EE7867&quot;/&gt;&lt;wsp:rsid wsp:val=&quot;00EF0CB9&quot;/&gt;&lt;wsp:rsid wsp:val=&quot;00EF0DCA&quot;/&gt;&lt;wsp:rsid wsp:val=&quot;00EF1498&quot;/&gt;&lt;wsp:rsid wsp:val=&quot;00EF1E56&quot;/&gt;&lt;wsp:rsid wsp:val=&quot;00EF28D7&quot;/&gt;&lt;wsp:rsid wsp:val=&quot;00EF2C0F&quot;/&gt;&lt;wsp:rsid wsp:val=&quot;00EF2F33&quot;/&gt;&lt;wsp:rsid wsp:val=&quot;00EF443B&quot;/&gt;&lt;wsp:rsid wsp:val=&quot;00EF4784&quot;/&gt;&lt;wsp:rsid wsp:val=&quot;00EF6292&quot;/&gt;&lt;wsp:rsid wsp:val=&quot;00EF6C1A&quot;/&gt;&lt;wsp:rsid wsp:val=&quot;00EF6DFC&quot;/&gt;&lt;wsp:rsid wsp:val=&quot;00EF74D8&quot;/&gt;&lt;wsp:rsid wsp:val=&quot;00EF7A99&quot;/&gt;&lt;wsp:rsid wsp:val=&quot;00F00B56&quot;/&gt;&lt;wsp:rsid wsp:val=&quot;00F0117A&quot;/&gt;&lt;wsp:rsid wsp:val=&quot;00F013B3&quot;/&gt;&lt;wsp:rsid wsp:val=&quot;00F01AF7&quot;/&gt;&lt;wsp:rsid wsp:val=&quot;00F0410D&quot;/&gt;&lt;wsp:rsid wsp:val=&quot;00F042C2&quot;/&gt;&lt;wsp:rsid wsp:val=&quot;00F044CA&quot;/&gt;&lt;wsp:rsid wsp:val=&quot;00F047D3&quot;/&gt;&lt;wsp:rsid wsp:val=&quot;00F04DEE&quot;/&gt;&lt;wsp:rsid wsp:val=&quot;00F055B3&quot;/&gt;&lt;wsp:rsid wsp:val=&quot;00F056FB&quot;/&gt;&lt;wsp:rsid wsp:val=&quot;00F0622A&quot;/&gt;&lt;wsp:rsid wsp:val=&quot;00F06257&quot;/&gt;&lt;wsp:rsid wsp:val=&quot;00F0648F&quot;/&gt;&lt;wsp:rsid wsp:val=&quot;00F069F2&quot;/&gt;&lt;wsp:rsid wsp:val=&quot;00F07385&quot;/&gt;&lt;wsp:rsid wsp:val=&quot;00F075B5&quot;/&gt;&lt;wsp:rsid wsp:val=&quot;00F07B02&quot;/&gt;&lt;wsp:rsid wsp:val=&quot;00F07EBC&quot;/&gt;&lt;wsp:rsid wsp:val=&quot;00F1085A&quot;/&gt;&lt;wsp:rsid wsp:val=&quot;00F1090C&quot;/&gt;&lt;wsp:rsid wsp:val=&quot;00F11A3F&quot;/&gt;&lt;wsp:rsid wsp:val=&quot;00F125F0&quot;/&gt;&lt;wsp:rsid wsp:val=&quot;00F1278E&quot;/&gt;&lt;wsp:rsid wsp:val=&quot;00F12842&quot;/&gt;&lt;wsp:rsid wsp:val=&quot;00F12EEB&quot;/&gt;&lt;wsp:rsid wsp:val=&quot;00F13759&quot;/&gt;&lt;wsp:rsid wsp:val=&quot;00F145F3&quot;/&gt;&lt;wsp:rsid wsp:val=&quot;00F15C61&quot;/&gt;&lt;wsp:rsid wsp:val=&quot;00F15F63&quot;/&gt;&lt;wsp:rsid wsp:val=&quot;00F15FFB&quot;/&gt;&lt;wsp:rsid wsp:val=&quot;00F16676&quot;/&gt;&lt;wsp:rsid wsp:val=&quot;00F16A3E&quot;/&gt;&lt;wsp:rsid wsp:val=&quot;00F176DB&quot;/&gt;&lt;wsp:rsid wsp:val=&quot;00F20814&quot;/&gt;&lt;wsp:rsid wsp:val=&quot;00F20A2C&quot;/&gt;&lt;wsp:rsid wsp:val=&quot;00F20D55&quot;/&gt;&lt;wsp:rsid wsp:val=&quot;00F20DCE&quot;/&gt;&lt;wsp:rsid wsp:val=&quot;00F219E0&quot;/&gt;&lt;wsp:rsid wsp:val=&quot;00F21D5E&quot;/&gt;&lt;wsp:rsid wsp:val=&quot;00F225BF&quot;/&gt;&lt;wsp:rsid wsp:val=&quot;00F22E65&quot;/&gt;&lt;wsp:rsid wsp:val=&quot;00F22EA5&quot;/&gt;&lt;wsp:rsid wsp:val=&quot;00F2391D&quot;/&gt;&lt;wsp:rsid wsp:val=&quot;00F241C1&quot;/&gt;&lt;wsp:rsid wsp:val=&quot;00F244D0&quot;/&gt;&lt;wsp:rsid wsp:val=&quot;00F24576&quot;/&gt;&lt;wsp:rsid wsp:val=&quot;00F2480D&quot;/&gt;&lt;wsp:rsid wsp:val=&quot;00F254D0&quot;/&gt;&lt;wsp:rsid wsp:val=&quot;00F25E76&quot;/&gt;&lt;wsp:rsid wsp:val=&quot;00F269CD&quot;/&gt;&lt;wsp:rsid wsp:val=&quot;00F26AFF&quot;/&gt;&lt;wsp:rsid wsp:val=&quot;00F26C9C&quot;/&gt;&lt;wsp:rsid wsp:val=&quot;00F27010&quot;/&gt;&lt;wsp:rsid wsp:val=&quot;00F277AC&quot;/&gt;&lt;wsp:rsid wsp:val=&quot;00F27B02&quot;/&gt;&lt;wsp:rsid wsp:val=&quot;00F27FD1&quot;/&gt;&lt;wsp:rsid wsp:val=&quot;00F30E6D&quot;/&gt;&lt;wsp:rsid wsp:val=&quot;00F31009&quot;/&gt;&lt;wsp:rsid wsp:val=&quot;00F310E2&quot;/&gt;&lt;wsp:rsid wsp:val=&quot;00F3195C&quot;/&gt;&lt;wsp:rsid wsp:val=&quot;00F31EFB&quot;/&gt;&lt;wsp:rsid wsp:val=&quot;00F32051&quot;/&gt;&lt;wsp:rsid wsp:val=&quot;00F32904&quot;/&gt;&lt;wsp:rsid wsp:val=&quot;00F33204&quot;/&gt;&lt;wsp:rsid wsp:val=&quot;00F33329&quot;/&gt;&lt;wsp:rsid wsp:val=&quot;00F333A4&quot;/&gt;&lt;wsp:rsid wsp:val=&quot;00F33FA2&quot;/&gt;&lt;wsp:rsid wsp:val=&quot;00F346E7&quot;/&gt;&lt;wsp:rsid wsp:val=&quot;00F34986&quot;/&gt;&lt;wsp:rsid wsp:val=&quot;00F34B8A&quot;/&gt;&lt;wsp:rsid wsp:val=&quot;00F35397&quot;/&gt;&lt;wsp:rsid wsp:val=&quot;00F35911&quot;/&gt;&lt;wsp:rsid wsp:val=&quot;00F35BE0&quot;/&gt;&lt;wsp:rsid wsp:val=&quot;00F364EF&quot;/&gt;&lt;wsp:rsid wsp:val=&quot;00F36EFF&quot;/&gt;&lt;wsp:rsid wsp:val=&quot;00F3710F&quot;/&gt;&lt;wsp:rsid wsp:val=&quot;00F37303&quot;/&gt;&lt;wsp:rsid wsp:val=&quot;00F37486&quot;/&gt;&lt;wsp:rsid wsp:val=&quot;00F37CB8&quot;/&gt;&lt;wsp:rsid wsp:val=&quot;00F4026E&quot;/&gt;&lt;wsp:rsid wsp:val=&quot;00F40C7C&quot;/&gt;&lt;wsp:rsid wsp:val=&quot;00F40DD2&quot;/&gt;&lt;wsp:rsid wsp:val=&quot;00F40EA0&quot;/&gt;&lt;wsp:rsid wsp:val=&quot;00F4118B&quot;/&gt;&lt;wsp:rsid wsp:val=&quot;00F41766&quot;/&gt;&lt;wsp:rsid wsp:val=&quot;00F42261&quot;/&gt;&lt;wsp:rsid wsp:val=&quot;00F42989&quot;/&gt;&lt;wsp:rsid wsp:val=&quot;00F42A04&quot;/&gt;&lt;wsp:rsid wsp:val=&quot;00F42F15&quot;/&gt;&lt;wsp:rsid wsp:val=&quot;00F42FA6&quot;/&gt;&lt;wsp:rsid wsp:val=&quot;00F4304C&quot;/&gt;&lt;wsp:rsid wsp:val=&quot;00F4306A&quot;/&gt;&lt;wsp:rsid wsp:val=&quot;00F43239&quot;/&gt;&lt;wsp:rsid wsp:val=&quot;00F437A9&quot;/&gt;&lt;wsp:rsid wsp:val=&quot;00F4397A&quot;/&gt;&lt;wsp:rsid wsp:val=&quot;00F43C97&quot;/&gt;&lt;wsp:rsid wsp:val=&quot;00F43E1E&quot;/&gt;&lt;wsp:rsid wsp:val=&quot;00F44106&quot;/&gt;&lt;wsp:rsid wsp:val=&quot;00F44AF8&quot;/&gt;&lt;wsp:rsid wsp:val=&quot;00F44C53&quot;/&gt;&lt;wsp:rsid wsp:val=&quot;00F464F6&quot;/&gt;&lt;wsp:rsid wsp:val=&quot;00F473ED&quot;/&gt;&lt;wsp:rsid wsp:val=&quot;00F477EE&quot;/&gt;&lt;wsp:rsid wsp:val=&quot;00F50220&quot;/&gt;&lt;wsp:rsid wsp:val=&quot;00F5088E&quot;/&gt;&lt;wsp:rsid wsp:val=&quot;00F5163A&quot;/&gt;&lt;wsp:rsid wsp:val=&quot;00F5319C&quot;/&gt;&lt;wsp:rsid wsp:val=&quot;00F54453&quot;/&gt;&lt;wsp:rsid wsp:val=&quot;00F54510&quot;/&gt;&lt;wsp:rsid wsp:val=&quot;00F56CD6&quot;/&gt;&lt;wsp:rsid wsp:val=&quot;00F579CA&quot;/&gt;&lt;wsp:rsid wsp:val=&quot;00F57B19&quot;/&gt;&lt;wsp:rsid wsp:val=&quot;00F60359&quot;/&gt;&lt;wsp:rsid wsp:val=&quot;00F60791&quot;/&gt;&lt;wsp:rsid wsp:val=&quot;00F620B8&quot;/&gt;&lt;wsp:rsid wsp:val=&quot;00F62369&quot;/&gt;&lt;wsp:rsid wsp:val=&quot;00F62E3A&quot;/&gt;&lt;wsp:rsid wsp:val=&quot;00F6362E&quot;/&gt;&lt;wsp:rsid wsp:val=&quot;00F63643&quot;/&gt;&lt;wsp:rsid wsp:val=&quot;00F652D6&quot;/&gt;&lt;wsp:rsid wsp:val=&quot;00F655E1&quot;/&gt;&lt;wsp:rsid wsp:val=&quot;00F65A02&quot;/&gt;&lt;wsp:rsid wsp:val=&quot;00F660F6&quot;/&gt;&lt;wsp:rsid wsp:val=&quot;00F66376&quot;/&gt;&lt;wsp:rsid wsp:val=&quot;00F66B13&quot;/&gt;&lt;wsp:rsid wsp:val=&quot;00F66D32&quot;/&gt;&lt;wsp:rsid wsp:val=&quot;00F67430&quot;/&gt;&lt;wsp:rsid wsp:val=&quot;00F67B89&quot;/&gt;&lt;wsp:rsid wsp:val=&quot;00F702B0&quot;/&gt;&lt;wsp:rsid wsp:val=&quot;00F70AF0&quot;/&gt;&lt;wsp:rsid wsp:val=&quot;00F7126F&quot;/&gt;&lt;wsp:rsid wsp:val=&quot;00F71C29&quot;/&gt;&lt;wsp:rsid wsp:val=&quot;00F71ED7&quot;/&gt;&lt;wsp:rsid wsp:val=&quot;00F72A8D&quot;/&gt;&lt;wsp:rsid wsp:val=&quot;00F72D7C&quot;/&gt;&lt;wsp:rsid wsp:val=&quot;00F73219&quot;/&gt;&lt;wsp:rsid wsp:val=&quot;00F73388&quot;/&gt;&lt;wsp:rsid wsp:val=&quot;00F75710&quot;/&gt;&lt;wsp:rsid wsp:val=&quot;00F75A8D&quot;/&gt;&lt;wsp:rsid wsp:val=&quot;00F75FFC&quot;/&gt;&lt;wsp:rsid wsp:val=&quot;00F7657D&quot;/&gt;&lt;wsp:rsid wsp:val=&quot;00F76802&quot;/&gt;&lt;wsp:rsid wsp:val=&quot;00F77370&quot;/&gt;&lt;wsp:rsid wsp:val=&quot;00F77C4D&quot;/&gt;&lt;wsp:rsid wsp:val=&quot;00F800F5&quot;/&gt;&lt;wsp:rsid wsp:val=&quot;00F80A39&quot;/&gt;&lt;wsp:rsid wsp:val=&quot;00F810DF&quot;/&gt;&lt;wsp:rsid wsp:val=&quot;00F81529&quot;/&gt;&lt;wsp:rsid wsp:val=&quot;00F81B1E&quot;/&gt;&lt;wsp:rsid wsp:val=&quot;00F81EC8&quot;/&gt;&lt;wsp:rsid wsp:val=&quot;00F81F9B&quot;/&gt;&lt;wsp:rsid wsp:val=&quot;00F82CA6&quot;/&gt;&lt;wsp:rsid wsp:val=&quot;00F832EA&quot;/&gt;&lt;wsp:rsid wsp:val=&quot;00F83675&quot;/&gt;&lt;wsp:rsid wsp:val=&quot;00F83E8F&quot;/&gt;&lt;wsp:rsid wsp:val=&quot;00F85BE9&quot;/&gt;&lt;wsp:rsid wsp:val=&quot;00F85E93&quot;/&gt;&lt;wsp:rsid wsp:val=&quot;00F8689B&quot;/&gt;&lt;wsp:rsid wsp:val=&quot;00F87525&quot;/&gt;&lt;wsp:rsid wsp:val=&quot;00F87B83&quot;/&gt;&lt;wsp:rsid wsp:val=&quot;00F87E4F&quot;/&gt;&lt;wsp:rsid wsp:val=&quot;00F90B1A&quot;/&gt;&lt;wsp:rsid wsp:val=&quot;00F90DCD&quot;/&gt;&lt;wsp:rsid wsp:val=&quot;00F91449&quot;/&gt;&lt;wsp:rsid wsp:val=&quot;00F920FA&quot;/&gt;&lt;wsp:rsid wsp:val=&quot;00F922E0&quot;/&gt;&lt;wsp:rsid wsp:val=&quot;00F927BD&quot;/&gt;&lt;wsp:rsid wsp:val=&quot;00F9377D&quot;/&gt;&lt;wsp:rsid wsp:val=&quot;00F939FD&quot;/&gt;&lt;wsp:rsid wsp:val=&quot;00F93B2B&quot;/&gt;&lt;wsp:rsid wsp:val=&quot;00F94513&quot;/&gt;&lt;wsp:rsid wsp:val=&quot;00F946B9&quot;/&gt;&lt;wsp:rsid wsp:val=&quot;00F966FB&quot;/&gt;&lt;wsp:rsid wsp:val=&quot;00F96FDA&quot;/&gt;&lt;wsp:rsid wsp:val=&quot;00F97443&quot;/&gt;&lt;wsp:rsid wsp:val=&quot;00F97E2C&quot;/&gt;&lt;wsp:rsid wsp:val=&quot;00FA01D5&quot;/&gt;&lt;wsp:rsid wsp:val=&quot;00FA09BF&quot;/&gt;&lt;wsp:rsid wsp:val=&quot;00FA169E&quot;/&gt;&lt;wsp:rsid wsp:val=&quot;00FA2B96&quot;/&gt;&lt;wsp:rsid wsp:val=&quot;00FA3562&quot;/&gt;&lt;wsp:rsid wsp:val=&quot;00FA37BE&quot;/&gt;&lt;wsp:rsid wsp:val=&quot;00FA3C0E&quot;/&gt;&lt;wsp:rsid wsp:val=&quot;00FA3F8C&quot;/&gt;&lt;wsp:rsid wsp:val=&quot;00FA4D71&quot;/&gt;&lt;wsp:rsid wsp:val=&quot;00FA4DD9&quot;/&gt;&lt;wsp:rsid wsp:val=&quot;00FA5327&quot;/&gt;&lt;wsp:rsid wsp:val=&quot;00FA6739&quot;/&gt;&lt;wsp:rsid wsp:val=&quot;00FA70A8&quot;/&gt;&lt;wsp:rsid wsp:val=&quot;00FA7154&quot;/&gt;&lt;wsp:rsid wsp:val=&quot;00FB0BFB&quot;/&gt;&lt;wsp:rsid wsp:val=&quot;00FB0FD9&quot;/&gt;&lt;wsp:rsid wsp:val=&quot;00FB14CF&quot;/&gt;&lt;wsp:rsid wsp:val=&quot;00FB176B&quot;/&gt;&lt;wsp:rsid wsp:val=&quot;00FB1853&quot;/&gt;&lt;wsp:rsid wsp:val=&quot;00FB2325&quot;/&gt;&lt;wsp:rsid wsp:val=&quot;00FB24C3&quot;/&gt;&lt;wsp:rsid wsp:val=&quot;00FB255D&quot;/&gt;&lt;wsp:rsid wsp:val=&quot;00FB298D&quot;/&gt;&lt;wsp:rsid wsp:val=&quot;00FB5300&quot;/&gt;&lt;wsp:rsid wsp:val=&quot;00FB53E3&quot;/&gt;&lt;wsp:rsid wsp:val=&quot;00FB60FC&quot;/&gt;&lt;wsp:rsid wsp:val=&quot;00FB6177&quot;/&gt;&lt;wsp:rsid wsp:val=&quot;00FB65D2&quot;/&gt;&lt;wsp:rsid wsp:val=&quot;00FB783D&quot;/&gt;&lt;wsp:rsid wsp:val=&quot;00FB7932&quot;/&gt;&lt;wsp:rsid wsp:val=&quot;00FC08AA&quot;/&gt;&lt;wsp:rsid wsp:val=&quot;00FC134E&quot;/&gt;&lt;wsp:rsid wsp:val=&quot;00FC1B4B&quot;/&gt;&lt;wsp:rsid wsp:val=&quot;00FC2274&quot;/&gt;&lt;wsp:rsid wsp:val=&quot;00FC22E2&quot;/&gt;&lt;wsp:rsid wsp:val=&quot;00FC2436&quot;/&gt;&lt;wsp:rsid wsp:val=&quot;00FC2630&quot;/&gt;&lt;wsp:rsid wsp:val=&quot;00FC26F2&quot;/&gt;&lt;wsp:rsid wsp:val=&quot;00FC310A&quot;/&gt;&lt;wsp:rsid wsp:val=&quot;00FC362C&quot;/&gt;&lt;wsp:rsid wsp:val=&quot;00FC36B0&quot;/&gt;&lt;wsp:rsid wsp:val=&quot;00FC3CF6&quot;/&gt;&lt;wsp:rsid wsp:val=&quot;00FC41E0&quot;/&gt;&lt;wsp:rsid wsp:val=&quot;00FC4641&quot;/&gt;&lt;wsp:rsid wsp:val=&quot;00FC58D0&quot;/&gt;&lt;wsp:rsid wsp:val=&quot;00FC643B&quot;/&gt;&lt;wsp:rsid wsp:val=&quot;00FC65DD&quot;/&gt;&lt;wsp:rsid wsp:val=&quot;00FC6836&quot;/&gt;&lt;wsp:rsid wsp:val=&quot;00FC6C1D&quot;/&gt;&lt;wsp:rsid wsp:val=&quot;00FC6E32&quot;/&gt;&lt;wsp:rsid wsp:val=&quot;00FD0254&quot;/&gt;&lt;wsp:rsid wsp:val=&quot;00FD0510&quot;/&gt;&lt;wsp:rsid wsp:val=&quot;00FD0597&quot;/&gt;&lt;wsp:rsid wsp:val=&quot;00FD0795&quot;/&gt;&lt;wsp:rsid wsp:val=&quot;00FD0BE3&quot;/&gt;&lt;wsp:rsid wsp:val=&quot;00FD135B&quot;/&gt;&lt;wsp:rsid wsp:val=&quot;00FD1DD8&quot;/&gt;&lt;wsp:rsid wsp:val=&quot;00FD2C1E&quot;/&gt;&lt;wsp:rsid wsp:val=&quot;00FD2E6E&quot;/&gt;&lt;wsp:rsid wsp:val=&quot;00FD30BA&quot;/&gt;&lt;wsp:rsid wsp:val=&quot;00FD31EB&quot;/&gt;&lt;wsp:rsid wsp:val=&quot;00FD3279&quot;/&gt;&lt;wsp:rsid wsp:val=&quot;00FD3481&quot;/&gt;&lt;wsp:rsid wsp:val=&quot;00FD3945&quot;/&gt;&lt;wsp:rsid wsp:val=&quot;00FD47E5&quot;/&gt;&lt;wsp:rsid wsp:val=&quot;00FD4A71&quot;/&gt;&lt;wsp:rsid wsp:val=&quot;00FD5020&quot;/&gt;&lt;wsp:rsid wsp:val=&quot;00FD55DA&quot;/&gt;&lt;wsp:rsid wsp:val=&quot;00FD578F&quot;/&gt;&lt;wsp:rsid wsp:val=&quot;00FD62C9&quot;/&gt;&lt;wsp:rsid wsp:val=&quot;00FD7742&quot;/&gt;&lt;wsp:rsid wsp:val=&quot;00FD7F91&quot;/&gt;&lt;wsp:rsid wsp:val=&quot;00FE0B34&quot;/&gt;&lt;wsp:rsid wsp:val=&quot;00FE1195&quot;/&gt;&lt;wsp:rsid wsp:val=&quot;00FE11FD&quot;/&gt;&lt;wsp:rsid wsp:val=&quot;00FE1233&quot;/&gt;&lt;wsp:rsid wsp:val=&quot;00FE1605&quot;/&gt;&lt;wsp:rsid wsp:val=&quot;00FE1882&quot;/&gt;&lt;wsp:rsid wsp:val=&quot;00FE2033&quot;/&gt;&lt;wsp:rsid wsp:val=&quot;00FE27AB&quot;/&gt;&lt;wsp:rsid wsp:val=&quot;00FE2914&quot;/&gt;&lt;wsp:rsid wsp:val=&quot;00FE2E78&quot;/&gt;&lt;wsp:rsid wsp:val=&quot;00FE3782&quot;/&gt;&lt;wsp:rsid wsp:val=&quot;00FE4145&quot;/&gt;&lt;wsp:rsid wsp:val=&quot;00FE5874&quot;/&gt;&lt;wsp:rsid wsp:val=&quot;00FE5AF1&quot;/&gt;&lt;wsp:rsid wsp:val=&quot;00FE5C0B&quot;/&gt;&lt;wsp:rsid wsp:val=&quot;00FE6529&quot;/&gt;&lt;wsp:rsid wsp:val=&quot;00FE7C9B&quot;/&gt;&lt;wsp:rsid wsp:val=&quot;00FF0854&quot;/&gt;&lt;wsp:rsid wsp:val=&quot;00FF096C&quot;/&gt;&lt;wsp:rsid wsp:val=&quot;00FF0D17&quot;/&gt;&lt;wsp:rsid wsp:val=&quot;00FF2FD0&quot;/&gt;&lt;wsp:rsid wsp:val=&quot;00FF3280&quot;/&gt;&lt;wsp:rsid wsp:val=&quot;00FF3755&quot;/&gt;&lt;wsp:rsid wsp:val=&quot;00FF37AA&quot;/&gt;&lt;wsp:rsid wsp:val=&quot;00FF4918&quot;/&gt;&lt;wsp:rsid wsp:val=&quot;00FF5700&quot;/&gt;&lt;wsp:rsid wsp:val=&quot;00FF587C&quot;/&gt;&lt;wsp:rsid wsp:val=&quot;00FF5D6C&quot;/&gt;&lt;wsp:rsid wsp:val=&quot;00FF685B&quot;/&gt;&lt;wsp:rsid wsp:val=&quot;00FF6DFB&quot;/&gt;&lt;wsp:rsid wsp:val=&quot;00FF7865&quot;/&gt;&lt;wsp:rsid wsp:val=&quot;00FF78C8&quot;/&gt;&lt;wsp:rsid wsp:val=&quot;00FF7DD4&quot;/&gt;&lt;wsp:rsid wsp:val=&quot;03007808&quot;/&gt;&lt;wsp:rsid wsp:val=&quot;07D546B8&quot;/&gt;&lt;wsp:rsid wsp:val=&quot;0CE546D2&quot;/&gt;&lt;wsp:rsid wsp:val=&quot;0D3005AD&quot;/&gt;&lt;wsp:rsid wsp:val=&quot;0D854B58&quot;/&gt;&lt;wsp:rsid wsp:val=&quot;0E3B66AF&quot;/&gt;&lt;wsp:rsid wsp:val=&quot;0E8605CD&quot;/&gt;&lt;wsp:rsid wsp:val=&quot;11890573&quot;/&gt;&lt;wsp:rsid wsp:val=&quot;124F57DF&quot;/&gt;&lt;wsp:rsid wsp:val=&quot;16102207&quot;/&gt;&lt;wsp:rsid wsp:val=&quot;16604BC4&quot;/&gt;&lt;wsp:rsid wsp:val=&quot;16886097&quot;/&gt;&lt;wsp:rsid wsp:val=&quot;17FA76B3&quot;/&gt;&lt;wsp:rsid wsp:val=&quot;1BC560E0&quot;/&gt;&lt;wsp:rsid wsp:val=&quot;1C873C84&quot;/&gt;&lt;wsp:rsid wsp:val=&quot;1E023912&quot;/&gt;&lt;wsp:rsid wsp:val=&quot;22566213&quot;/&gt;&lt;wsp:rsid wsp:val=&quot;226108F8&quot;/&gt;&lt;wsp:rsid wsp:val=&quot;23A44E1D&quot;/&gt;&lt;wsp:rsid wsp:val=&quot;258D450D&quot;/&gt;&lt;wsp:rsid wsp:val=&quot;25915454&quot;/&gt;&lt;wsp:rsid wsp:val=&quot;260444A2&quot;/&gt;&lt;wsp:rsid wsp:val=&quot;2757025E&quot;/&gt;&lt;wsp:rsid wsp:val=&quot;292367A9&quot;/&gt;&lt;wsp:rsid wsp:val=&quot;2CBF1D45&quot;/&gt;&lt;wsp:rsid wsp:val=&quot;304013AF&quot;/&gt;&lt;wsp:rsid wsp:val=&quot;35840943&quot;/&gt;&lt;wsp:rsid wsp:val=&quot;36122C64&quot;/&gt;&lt;wsp:rsid wsp:val=&quot;39264BF8&quot;/&gt;&lt;wsp:rsid wsp:val=&quot;3965489F&quot;/&gt;&lt;wsp:rsid wsp:val=&quot;40544262&quot;/&gt;&lt;wsp:rsid wsp:val=&quot;41D56338&quot;/&gt;&lt;wsp:rsid wsp:val=&quot;433B6BBE&quot;/&gt;&lt;wsp:rsid wsp:val=&quot;43410157&quot;/&gt;&lt;wsp:rsid wsp:val=&quot;473B6A40&quot;/&gt;&lt;wsp:rsid wsp:val=&quot;48895087&quot;/&gt;&lt;wsp:rsid wsp:val=&quot;48DD6E76&quot;/&gt;&lt;wsp:rsid wsp:val=&quot;49470156&quot;/&gt;&lt;wsp:rsid wsp:val=&quot;4AE147C4&quot;/&gt;&lt;wsp:rsid wsp:val=&quot;4B87462C&quot;/&gt;&lt;wsp:rsid wsp:val=&quot;4B9F0EE8&quot;/&gt;&lt;wsp:rsid wsp:val=&quot;4C0219BA&quot;/&gt;&lt;wsp:rsid wsp:val=&quot;4D3E12BA&quot;/&gt;&lt;wsp:rsid wsp:val=&quot;4D7F2256&quot;/&gt;&lt;wsp:rsid wsp:val=&quot;4E60677B&quot;/&gt;&lt;wsp:rsid wsp:val=&quot;4EAA5766&quot;/&gt;&lt;wsp:rsid wsp:val=&quot;4F844C27&quot;/&gt;&lt;wsp:rsid wsp:val=&quot;53323B29&quot;/&gt;&lt;wsp:rsid wsp:val=&quot;56932897&quot;/&gt;&lt;wsp:rsid wsp:val=&quot;59A23247&quot;/&gt;&lt;wsp:rsid wsp:val=&quot;59E11315&quot;/&gt;&lt;wsp:rsid wsp:val=&quot;59EE6A83&quot;/&gt;&lt;wsp:rsid wsp:val=&quot;5D6B0047&quot;/&gt;&lt;wsp:rsid wsp:val=&quot;5DAD18CF&quot;/&gt;&lt;wsp:rsid wsp:val=&quot;61CC1BDE&quot;/&gt;&lt;wsp:rsid wsp:val=&quot;67A76ED7&quot;/&gt;&lt;wsp:rsid wsp:val=&quot;6D3F4311&quot;/&gt;&lt;wsp:rsid wsp:val=&quot;6F16027C&quot;/&gt;&lt;wsp:rsid wsp:val=&quot;74273F80&quot;/&gt;&lt;wsp:rsid wsp:val=&quot;74297212&quot;/&gt;&lt;wsp:rsid wsp:val=&quot;743543DE&quot;/&gt;&lt;wsp:rsid wsp:val=&quot;75AE196E&quot;/&gt;&lt;wsp:rsid wsp:val=&quot;76013AC6&quot;/&gt;&lt;wsp:rsid wsp:val=&quot;78CB06C0&quot;/&gt;&lt;wsp:rsid wsp:val=&quot;79AA571F&quot;/&gt;&lt;wsp:rsid wsp:val=&quot;7A06224A&quot;/&gt;&lt;wsp:rsid wsp:val=&quot;7B4530A9&quot;/&gt;&lt;wsp:rsid wsp:val=&quot;7C2076DB&quot;/&gt;&lt;/wsp:rsids&gt;&lt;/w:docPr&gt;&lt;w:body&gt;&lt;wx:sect&gt;&lt;w:p wsp:rsidR=&quot;00000000&quot; wsp:rsidRDefault=&quot;002A50C9&quot; wsp:rsidP=&quot;002A50C9&quot;&gt;&lt;m:oMathPara&gt;&lt;m:oMath&gt;&lt;m:sSub&gt;&lt;m:sSubPr&gt;&lt;m:ctrlPr&gt;&lt;w:rPr&gt;&lt;w:rFonts w:ascii=&quot;Cambria Math&quot; w:h-ansi=&quot;Cambria Math&quot; w:cs=&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1&lt;/m:t&gt;&lt;/m:r&gt;&lt;/m:sub&gt;&lt;/m:sSub&gt;&lt;m:r&gt;&lt;m:rPr&gt;&lt;m:sty m:val=&quot;p&quot;/&gt;&lt;/m:rPr&gt;&lt;w:rPr&gt;&lt;w:rFonts w:ascii=&quot;Cambria Math&quot; w:h-ansi=&quot;Cambria Math&quot;/&gt;&lt;wx:font wx:val=&quot;Cambria Math&quot;/&gt;&lt;w:sz w:val=&quot;28&quot;/&gt;&lt;w:sz-cs w:val=&quot;28&quot;/&gt;&lt;/w:rPr&gt;&lt;m:t&gt;脳&lt;/m:t&gt;&lt;/m:r&gt;&lt;m:f&gt;&lt;m:fPr&gt;&lt;m:ctrlPr&gt;&lt;w:rPr&gt;&lt;w:rFonts w:ascii=&quot;Cambria Math&quot; w:h-ansi=&quot;Cambria Math&quot; w:cs=&quot;Times New Roman&quot;/&gt;&lt;wx:font wxmmmmmmmmmm:val=&quot;Cambria Math&quot;/&gt;&lt;w:sz w:val=&quot;28&quot;/&gt;&lt;w:sz-cs w:val=&quot;28&quot;/&gt;&lt;/w:rPr&gt;&lt;/m:ctrlPr&gt;&lt;/m:fPr&gt;&lt;m:num&gt;&lt;m:sSub&gt;&lt;m:sSubPr&gt;&lt;m:ctrlPr&gt;&lt;w:rPr&gt;&lt;w:rFonts w:ascii=&quot;Cambria Math&quot; w:h-ansi=&quot;Cambria Math&quot; w:cs=&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t1&lt;/m:t&gt;&lt;/m:r&gt;&lt;/m:sub&gt;&lt;/m:sSub&gt;&lt;/m:num&gt;&lt;m:den&gt;&lt;m:sSub&gt;&lt;m:sSubPr&gt;&lt;m:ctrlPr&gt;&lt;w:rPr&gt;&lt;w:rFonts w:ascii=&quot;Cambria Math&quot; w:h-ansi=&quot;Cambria Math&quot; w:cs=&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01&lt;/m:t&gt;&lt;/m:r&gt;&lt;/m:sub&gt;&lt;/m:sSub&gt;&lt;/m:den&gt;&lt;/m:f&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 w:cs=&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脳&lt;/m:t&gt;&lt;/m:r&gt;&lt;m:f&gt;&lt;m:fPr&gt;&lt;m:ctrlPr&gt;&lt;w:rPr&gt;&lt;w:rFonts w:ascii=&quot;Cambria Math&quot; w:h-ansi=&quot;Cambria Math&quot; w:cs=&quot;Times New Roman&quot;/&gt;&lt;wx:font wx:val=&quot;Cambria: hM-aatnhs&quot;i/=&gt;&quot;&lt;Cw:sz w:val=&quot;28&quot;/&gt;&lt;w:sz-cs w:val=&quot;28&quot;/&gt;&lt;/w:rPr&gt;&lt;/m:ctrlPr&gt;&lt;/m:fPr&gt;&lt;m:num&gt;&lt;m:sSub&gt;&lt;m:sSubPr&gt;&lt;m:ctrlPr&gt;&lt;w:rPr&gt;&lt;w:rFonts w:ascii=&quot;Cambria Math&quot; w:h-ansi=&quot;Cambria Math&quot; w:cs=&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t2&lt;/m:t&gt;&lt;/m:r&gt;&lt;/m:sub&gt;&lt;/m:sSub&gt;&lt;/m:num&gt;&lt;m:den&gt;&lt;m:sSub&gt;&lt;m:sSubPr&gt;&lt;m:ctrlPr&gt;&lt;w:rPr&gt;&lt;w:rFonts w:ascii=&quot;Cambria Math&quot; w:h-ansi=&quot;Cambria Math&quot; w:cs=&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2&lt;/m:t&gt;&lt;/m:r&gt;&lt;/m:sub&gt;&lt;/m:sSub&gt;&lt;/m:den&gt;&lt;/m:f&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 w:cs=&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3&lt;/m:t&gt;&lt;/m:r&gt;&lt;/m:sub&gt;&lt;/m:sSub&gt;&lt;m:r&gt;&lt;m:rPr&gt;&lt;m:sty m:val=&quot;p&quot;/&gt;&lt;/m:rPr&gt;&lt;w:rPr&gt;&lt;w:rFonts w:ascii=&quot;Cambria Math&quot; w:h-ansi=&quot;Cambria Math&quot;/&gt;&lt;wx:font wx:val=&quot;Cambria Math&quot;/&gt;&lt;w:sz w:val=&quot;28&quot;/&gt;&lt;w:sz-cs w:val=&quot;28&quot;/&gt;&lt;/w:rPr&gt;&lt;m:t&gt;脳&lt;/m:t&gt;&lt;/m:r&gt;&lt;m:f&gt;&lt;m:fPr&gt;&lt;m:ctrlPr&gt;&lt;w:rPr&gt;&lt;w:rFonts w:ascii=&quot;Cambria Math&quot; w:h-ansi=&quot;Cambria Math&quot; w:cs=&quot;Times New Roman&quot;/&gt;&lt;wx:font wx:val=&quot;Cambria Math&quot;/&gt;&lt;w:sz w:val=&quot;28&quot;/&gt;&lt;w:sz-cs w:val=&quot;28&quot;/&gt;&lt;/w:rPr&gt;&lt;/m:ctrlPr&gt;&lt;/m2:f&quot;Pr&gt;&gt;&lt;wm:snu-m&gt;s&lt;mw:svSulb&gt;&lt;m:sSubPr&gt;&lt;m:ctrlPr&gt;&lt;w:rPr&gt;&lt;w:rFonts w:ascii=&quot;Cambria Math&quot; w:h-ansi=&quot;Cambria Math&quot; w:cs=&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t&lt;/m:t&gt;&lt;/m:r&gt;&lt;m:r&gt;&lt;m:rPr&gt;&lt;m:sty m:val=&quot;p&quot;/&gt;&lt;/m:rPr&gt;&lt;w:rPr&gt;&lt;w:rFonts w:ascii=&quot;Cambria Math&quot; w:h-ansi=&quot;Cambria Math&quot;/&gt;&lt;wx:font wx:val=&quot;Cambria Math&quot;/&gt;&lt;w:sz w:val=&quot;28&quot;/&gt;&lt;w:sz-cs w:val=&quot;28&quot;/&gt;&lt;/w:rPr&gt;&lt;m:t&gt;3&lt;/m:t&gt;&lt;/m:r&gt;&lt;/m:sub&gt;&lt;/m:sSub&gt;&lt;/m:num&gt;&lt;m:den&gt;&lt;m:sSub&gt;&lt;m:sSubPr&gt;&lt;m:ctrlPr&gt;&lt;w:rPr&gt;&lt;w:rFonts w:ascii=&quot;Cambria Math&quot; w:h-ansi=&quot;Cambria Math&quot; w:cs=&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3&lt;/m:t&gt;&lt;/m:r&gt;&lt;/m:sub&gt;&lt;/m:sSub&gt;&lt;/m:den&gt;&lt;/m:f&gt;&lt;m:r&gt;&lt;w:rPr&gt;&lt;w:rFonts w:ascii=&quot;Cambria Math&quot; w:h-ansi=&quot;Cambria Math&quot;/&gt;&lt;wx:font wx:val=&quot;Cambria Math&quot;/&gt;&lt;w:i/&gt;&lt;w:sz w:val=&quot;28&quot;/&gt;&lt;w:sz-cs w:val=&quot;28&quot;/&gt;&lt;/w:rPr&gt;&lt;m:t&gt;+&lt;/m:t&gt;&lt;/m:r&gt;&lt;m:r&gt;&lt;w:rPr&gt;&lt;w:rFonts w:ascii=&quot;Cambria Math&quot; w:h-ansi=&quot;Cambria Math&quot; w:hint=&quot;fareast&quot;/&gt;&lt;wx:font wx:val=&quot;瀹嬩綋&quot;/&gt;i=&quot;&lt;w:Cami/&gt;bri&lt;w:a Msz athw:v&quot; wal=:h-&quot;28ans&quot;/&gt;i=&quot;&lt;w:Camsz-cs w:val=&quot;28&quot;/&gt;&lt;/w:rPr&gt;&lt;m:t&gt;鈭?/m:t&gt;&lt;/m:r&gt;&lt;m:r&gt;&lt;w:rPr&gt;&lt;w:rFonts w:ascii=&quot;Cambria Math&quot; w:h-ansi=&quot;Cambria Math&quot;/&gt;&lt;wx:font wx:val=&quot;Cambria Math&quot;/&gt;&lt;w:i/&gt;&lt;w:sz w:val=&quot;28&quot;/&gt;&lt;w:sz-cs w:val=&quot;28&quot;/&gt;&lt;/w:rPr&gt;&lt;&quot;m:t&gt;+&lt;m/m:t&gt;&lt;i/m:r&gt;&lt;Mm:sSubh&gt;&lt;m:sSwubPr&gt;&lt;-m:ctrlsPr&gt;&lt;w:&quot;rPr&gt;&lt;amw:rFonts w:ascii=&quot;Cambria Math&quot; w:h-ansi=&quot;Cambria Math&quot; w:cs=&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n&lt;/m:t&gt;&lt;/m:r&gt;&lt;/m:sub&gt;&lt;/m:sSub&gt;&lt;m:r&gt;&lt;m:rPr&gt;&lt;m:sty m:val=&quot;p&quot;/&gt;&lt;/m:rPr&gt;&lt;w:rPr&gt;&lt;w:rFonts w:ascii=&quot;Cambria Math&quot; w:h-ansi=&quot;Cambria Math&quot;/&gt;&lt;wx:font wx:val=&quot;Cambria Math&quot;/&gt;&lt;w:sz w:val=&quot;28&quot;/&gt;&lt;w:sz-cs w:val=&quot;28&quot;/&gt;&lt;/w:rPr&gt;&lt;m:t&gt;脳&lt;//m:t&gt;&lt;/-m:r&gt;&lt;m:f&gt;&lt;m:fPr&gt;&lt;m:ctrlPr&gt;&lt;w:rPr&gt;&lt;w:rFonts w:ascii=&quot;Cambria Math&quot; w:h-ansi=&quot;Cambria Math&quot; w:cs=&quot;Times New Roman&quot;/&gt;&lt;wx:font wx:val=&quot;Cambria Math&quot;/&gt;&lt;w:sz w:val=&quot;28&quot;/&gt;&lt;w:sz-cs w:val=&quot;28&quot;/&gt;&lt;/w:r/Pr&gt;&lt;/m: ctrlPr&gt;&quot;&lt;/m:fPrw&gt;&lt;m:num &gt;&lt;m:sSu&quot;b&gt;&lt;m:sS/ubPr&gt;&lt;m&lt;:ctrlPr&gt;&lt;w:rPr&gt;&lt;w:rFonts w:ascii=&quot;Cambria Math&quot; w:h-ansi=&quot;Cambria Math&quot; w:cs=&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t&lt;/m:t&gt;&lt;/m:r&gt;&lt;m:r&gt;&lt;m:rPr&gt;&lt;m:sty m:val=&quot;p&quot;/&gt;&lt;/m:rPr&gt;&lt;w:rPr&gt;&lt;w:rFonts w:ascii=&quot;Cambria Math&quot; w:h-ansi=&quot;Cambria Math&quot;/&gt;&lt;wx:font wx:val=&quot;Cambria Math&quot;/&gt;&lt;w:sz w:val=&quot;28&quot;/&gt;&lt;w:sz-cs w:val=&quot;28&quot;/&gt;&lt;/w:rPr&gt;&lt;m:t&gt;n&lt;/m:t&gt;&lt;/m:r&gt;&lt;/m:sub&gt;&lt;/m:sSub&gt;&lt;/m:num&gt;&lt;m:den&gt;&lt;m:sSub&gt;&lt;m:sSubPr&gt;&lt;m:ctrlPr&gt;&lt;w:rPr&gt;&lt;w:rFonts w:ascii=&quot;Cambria Math&quot; w:h-ansi=&quot;Cambria Math&quot; w:cs=&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n&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path/>
            <v:fill on="f" focussize="0,0"/>
            <v:stroke on="f" joinstyle="miter"/>
            <v:imagedata r:id="rId12" chromakey="#FFFFFF" o:title=""/>
            <o:lock v:ext="edit" aspectratio="t"/>
            <w10:wrap type="none"/>
            <w10:anchorlock/>
          </v:shape>
        </w:pict>
      </w:r>
      <w:r>
        <w:rPr>
          <w:rFonts w:hint="eastAsia" w:ascii="宋体" w:hAnsi="宋体" w:eastAsia="宋体" w:cs="宋体"/>
          <w:color w:val="000000"/>
          <w:sz w:val="24"/>
          <w:szCs w:val="24"/>
        </w:rPr>
        <w:instrText xml:space="preserve"> </w:instrText>
      </w:r>
      <w:r>
        <w:rPr>
          <w:rFonts w:hint="eastAsia" w:ascii="宋体" w:hAnsi="宋体" w:eastAsia="宋体" w:cs="宋体"/>
          <w:color w:val="000000"/>
          <w:sz w:val="24"/>
          <w:szCs w:val="24"/>
        </w:rPr>
        <w:fldChar w:fldCharType="separate"/>
      </w:r>
      <w:r>
        <w:rPr>
          <w:rFonts w:hint="eastAsia" w:ascii="宋体" w:hAnsi="宋体" w:eastAsia="宋体" w:cs="宋体"/>
          <w:color w:val="000000"/>
          <w:position w:val="-36"/>
          <w:sz w:val="24"/>
          <w:szCs w:val="24"/>
        </w:rPr>
        <w:pict>
          <v:shape id="_x0000_i1026" o:spt="75" type="#_x0000_t75" style="height:34.5pt;width:257.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420&quot;/&gt;&lt;w:drawingGridHorizontalSpacing w:val=&quot;105&quot;/&gt;&lt;w:drawingGridVerticalSpacing w:val=&quot;156&quot;/&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dontAllowFieldEndSelect/&gt;&lt;w:useWord2002TableStyleRules/&gt;&lt;w:dontGrowAutofit/&gt;&lt;w:useFELayout/&gt;&lt;/w:compat&gt;&lt;wsp:rsids&gt;&lt;wsp:rsidRoot wsp:val=&quot;005F24DA&quot;/&gt;&lt;wsp:rsid wsp:val=&quot;00000281&quot;/&gt;&lt;wsp:rsid wsp:val=&quot;0000068F&quot;/&gt;&lt;wsp:rsid wsp:val=&quot;00001115&quot;/&gt;&lt;wsp:rsid wsp:val=&quot;00001301&quot;/&gt;&lt;wsp:rsid wsp:val=&quot;00001423&quot;/&gt;&lt;wsp:rsid wsp:val=&quot;00001EB4&quot;/&gt;&lt;wsp:rsid wsp:val=&quot;00001EC2&quot;/&gt;&lt;wsp:rsid wsp:val=&quot;00001FA3&quot;/&gt;&lt;wsp:rsid wsp:val=&quot;00002198&quot;/&gt;&lt;wsp:rsid wsp:val=&quot;00002342&quot;/&gt;&lt;wsp:rsid wsp:val=&quot;000024AC&quot;/&gt;&lt;wsp:rsid wsp:val=&quot;00002561&quot;/&gt;&lt;wsp:rsid wsp:val=&quot;00002C07&quot;/&gt;&lt;wsp:rsid wsp:val=&quot;00002E21&quot;/&gt;&lt;wsp:rsid wsp:val=&quot;00002FDA&quot;/&gt;&lt;wsp:rsid wsp:val=&quot;00003468&quot;/&gt;&lt;wsp:rsid wsp:val=&quot;00003755&quot;/&gt;&lt;wsp:rsid wsp:val=&quot;00003DF5&quot;/&gt;&lt;wsp:rsid wsp:val=&quot;00004804&quot;/&gt;&lt;wsp:rsid wsp:val=&quot;0000530A&quot;/&gt;&lt;wsp:rsid wsp:val=&quot;0000585C&quot;/&gt;&lt;wsp:rsid wsp:val=&quot;00005D3E&quot;/&gt;&lt;wsp:rsid wsp:val=&quot;00006061&quot;/&gt;&lt;wsp:rsid wsp:val=&quot;000068F4&quot;/&gt;&lt;wsp:rsid wsp:val=&quot;0000705F&quot;/&gt;&lt;wsp:rsid wsp:val=&quot;000071FA&quot;/&gt;&lt;wsp:rsid wsp:val=&quot;00007905&quot;/&gt;&lt;wsp:rsid wsp:val=&quot;00007DD1&quot;/&gt;&lt;wsp:rsid wsp:val=&quot;000110BB&quot;/&gt;&lt;wsp:rsid wsp:val=&quot;00011182&quot;/&gt;&lt;wsp:rsid wsp:val=&quot;00011996&quot;/&gt;&lt;wsp:rsid wsp:val=&quot;00011A8F&quot;/&gt;&lt;wsp:rsid wsp:val=&quot;00011F2D&quot;/&gt;&lt;wsp:rsid wsp:val=&quot;000121F1&quot;/&gt;&lt;wsp:rsid wsp:val=&quot;00012BB7&quot;/&gt;&lt;wsp:rsid wsp:val=&quot;000137B7&quot;/&gt;&lt;wsp:rsid wsp:val=&quot;00014556&quot;/&gt;&lt;wsp:rsid wsp:val=&quot;000146D4&quot;/&gt;&lt;wsp:rsid wsp:val=&quot;00014B3D&quot;/&gt;&lt;wsp:rsid wsp:val=&quot;000150A8&quot;/&gt;&lt;wsp:rsid wsp:val=&quot;000155A3&quot;/&gt;&lt;wsp:rsid wsp:val=&quot;00015C29&quot;/&gt;&lt;wsp:rsid wsp:val=&quot;00016D27&quot;/&gt;&lt;wsp:rsid wsp:val=&quot;00017975&quot;/&gt;&lt;wsp:rsid wsp:val=&quot;00020BEF&quot;/&gt;&lt;wsp:rsid wsp:val=&quot;00021BC8&quot;/&gt;&lt;wsp:rsid wsp:val=&quot;00021E3C&quot;/&gt;&lt;wsp:rsid wsp:val=&quot;000225B2&quot;/&gt;&lt;wsp:rsid wsp:val=&quot;000229D4&quot;/&gt;&lt;wsp:rsid wsp:val=&quot;0002372C&quot;/&gt;&lt;wsp:rsid wsp:val=&quot;00024EEE&quot;/&gt;&lt;wsp:rsid wsp:val=&quot;00026024&quot;/&gt;&lt;wsp:rsid wsp:val=&quot;00026691&quot;/&gt;&lt;wsp:rsid wsp:val=&quot;0002674E&quot;/&gt;&lt;wsp:rsid wsp:val=&quot;00026935&quot;/&gt;&lt;wsp:rsid wsp:val=&quot;00026B36&quot;/&gt;&lt;wsp:rsid wsp:val=&quot;00026FEF&quot;/&gt;&lt;wsp:rsid wsp:val=&quot;000277C3&quot;/&gt;&lt;wsp:rsid wsp:val=&quot;00030C9B&quot;/&gt;&lt;wsp:rsid wsp:val=&quot;0003170D&quot;/&gt;&lt;wsp:rsid wsp:val=&quot;00032742&quot;/&gt;&lt;wsp:rsid wsp:val=&quot;0003275D&quot;/&gt;&lt;wsp:rsid wsp:val=&quot;00032AD8&quot;/&gt;&lt;wsp:rsid wsp:val=&quot;00033F9C&quot;/&gt;&lt;wsp:rsid wsp:val=&quot;00034951&quot;/&gt;&lt;wsp:rsid wsp:val=&quot;0003539B&quot;/&gt;&lt;wsp:rsid wsp:val=&quot;000356F0&quot;/&gt;&lt;wsp:rsid wsp:val=&quot;00035DF4&quot;/&gt;&lt;wsp:rsid wsp:val=&quot;00036341&quot;/&gt;&lt;wsp:rsid wsp:val=&quot;000364EB&quot;/&gt;&lt;wsp:rsid wsp:val=&quot;0003775C&quot;/&gt;&lt;wsp:rsid wsp:val=&quot;000409AD&quot;/&gt;&lt;wsp:rsid wsp:val=&quot;00040C4C&quot;/&gt;&lt;wsp:rsid wsp:val=&quot;00041F97&quot;/&gt;&lt;wsp:rsid wsp:val=&quot;00042731&quot;/&gt;&lt;wsp:rsid wsp:val=&quot;000429C4&quot;/&gt;&lt;wsp:rsid wsp:val=&quot;00042EDF&quot;/&gt;&lt;wsp:rsid wsp:val=&quot;00042F99&quot;/&gt;&lt;wsp:rsid wsp:val=&quot;00043153&quot;/&gt;&lt;wsp:rsid wsp:val=&quot;0004427A&quot;/&gt;&lt;wsp:rsid wsp:val=&quot;00045074&quot;/&gt;&lt;wsp:rsid wsp:val=&quot;0004532F&quot;/&gt;&lt;wsp:rsid wsp:val=&quot;0004553D&quot;/&gt;&lt;wsp:rsid wsp:val=&quot;00045864&quot;/&gt;&lt;wsp:rsid wsp:val=&quot;0004596B&quot;/&gt;&lt;wsp:rsid wsp:val=&quot;00046DC9&quot;/&gt;&lt;wsp:rsid wsp:val=&quot;00047F2C&quot;/&gt;&lt;wsp:rsid wsp:val=&quot;00050118&quot;/&gt;&lt;wsp:rsid wsp:val=&quot;00050F8A&quot;/&gt;&lt;wsp:rsid wsp:val=&quot;00051724&quot;/&gt;&lt;wsp:rsid wsp:val=&quot;00052376&quot;/&gt;&lt;wsp:rsid wsp:val=&quot;00052B2A&quot;/&gt;&lt;wsp:rsid wsp:val=&quot;0005492E&quot;/&gt;&lt;wsp:rsid wsp:val=&quot;00054E42&quot;/&gt;&lt;wsp:rsid wsp:val=&quot;000550A5&quot;/&gt;&lt;wsp:rsid wsp:val=&quot;00055B4B&quot;/&gt;&lt;wsp:rsid wsp:val=&quot;00055C82&quot;/&gt;&lt;wsp:rsid wsp:val=&quot;00056A9F&quot;/&gt;&lt;wsp:rsid wsp:val=&quot;00056BC3&quot;/&gt;&lt;wsp:rsid wsp:val=&quot;00057155&quot;/&gt;&lt;wsp:rsid wsp:val=&quot;00060503&quot;/&gt;&lt;wsp:rsid wsp:val=&quot;00060A5B&quot;/&gt;&lt;wsp:rsid wsp:val=&quot;00060AA8&quot;/&gt;&lt;wsp:rsid wsp:val=&quot;0006119D&quot;/&gt;&lt;wsp:rsid wsp:val=&quot;000613C2&quot;/&gt;&lt;wsp:rsid wsp:val=&quot;00062107&quot;/&gt;&lt;wsp:rsid wsp:val=&quot;00062321&quot;/&gt;&lt;wsp:rsid wsp:val=&quot;000636C6&quot;/&gt;&lt;wsp:rsid wsp:val=&quot;00063AF2&quot;/&gt;&lt;wsp:rsid wsp:val=&quot;00064863&quot;/&gt;&lt;wsp:rsid wsp:val=&quot;00064D89&quot;/&gt;&lt;wsp:rsid wsp:val=&quot;000655F6&quot;/&gt;&lt;wsp:rsid wsp:val=&quot;000659E7&quot;/&gt;&lt;wsp:rsid wsp:val=&quot;00065A7F&quot;/&gt;&lt;wsp:rsid wsp:val=&quot;00066617&quot;/&gt;&lt;wsp:rsid wsp:val=&quot;00066DEE&quot;/&gt;&lt;wsp:rsid wsp:val=&quot;00067EE4&quot;/&gt;&lt;wsp:rsid wsp:val=&quot;000708DC&quot;/&gt;&lt;wsp:rsid wsp:val=&quot;0007172E&quot;/&gt;&lt;wsp:rsid wsp:val=&quot;00071C80&quot;/&gt;&lt;wsp:rsid wsp:val=&quot;00071ECA&quot;/&gt;&lt;wsp:rsid wsp:val=&quot;00071F03&quot;/&gt;&lt;wsp:rsid wsp:val=&quot;00073E73&quot;/&gt;&lt;wsp:rsid wsp:val=&quot;00075288&quot;/&gt;&lt;wsp:rsid wsp:val=&quot;00075D3A&quot;/&gt;&lt;wsp:rsid wsp:val=&quot;00076C78&quot;/&gt;&lt;wsp:rsid wsp:val=&quot;0007707A&quot;/&gt;&lt;wsp:rsid wsp:val=&quot;000771A6&quot;/&gt;&lt;wsp:rsid wsp:val=&quot;00077518&quot;/&gt;&lt;wsp:rsid wsp:val=&quot;00077D0D&quot;/&gt;&lt;wsp:rsid wsp:val=&quot;0008107C&quot;/&gt;&lt;wsp:rsid wsp:val=&quot;0008186A&quot;/&gt;&lt;wsp:rsid wsp:val=&quot;00081ADB&quot;/&gt;&lt;wsp:rsid wsp:val=&quot;00082178&quot;/&gt;&lt;wsp:rsid wsp:val=&quot;00082227&quot;/&gt;&lt;wsp:rsid wsp:val=&quot;0008342C&quot;/&gt;&lt;wsp:rsid wsp:val=&quot;00083CBF&quot;/&gt;&lt;wsp:rsid wsp:val=&quot;000845D2&quot;/&gt;&lt;wsp:rsid wsp:val=&quot;00085CC8&quot;/&gt;&lt;wsp:rsid wsp:val=&quot;000866A6&quot;/&gt;&lt;wsp:rsid wsp:val=&quot;00086A6D&quot;/&gt;&lt;wsp:rsid wsp:val=&quot;00086B5E&quot;/&gt;&lt;wsp:rsid wsp:val=&quot;00086FB2&quot;/&gt;&lt;wsp:rsid wsp:val=&quot;000874C8&quot;/&gt;&lt;wsp:rsid wsp:val=&quot;00087E85&quot;/&gt;&lt;wsp:rsid wsp:val=&quot;00087F37&quot;/&gt;&lt;wsp:rsid wsp:val=&quot;00090FD2&quot;/&gt;&lt;wsp:rsid wsp:val=&quot;000911D2&quot;/&gt;&lt;wsp:rsid wsp:val=&quot;00091433&quot;/&gt;&lt;wsp:rsid wsp:val=&quot;00092EDC&quot;/&gt;&lt;wsp:rsid wsp:val=&quot;000930EB&quot;/&gt;&lt;wsp:rsid wsp:val=&quot;000942B3&quot;/&gt;&lt;wsp:rsid wsp:val=&quot;00094F99&quot;/&gt;&lt;wsp:rsid wsp:val=&quot;000972D8&quot;/&gt;&lt;wsp:rsid wsp:val=&quot;00097640&quot;/&gt;&lt;wsp:rsid wsp:val=&quot;000A0241&quot;/&gt;&lt;wsp:rsid wsp:val=&quot;000A0307&quot;/&gt;&lt;wsp:rsid wsp:val=&quot;000A0FE1&quot;/&gt;&lt;wsp:rsid wsp:val=&quot;000A17E4&quot;/&gt;&lt;wsp:rsid wsp:val=&quot;000A2282&quot;/&gt;&lt;wsp:rsid wsp:val=&quot;000A2704&quot;/&gt;&lt;wsp:rsid wsp:val=&quot;000A2799&quot;/&gt;&lt;wsp:rsid wsp:val=&quot;000A2AC9&quot;/&gt;&lt;wsp:rsid wsp:val=&quot;000A2BDD&quot;/&gt;&lt;wsp:rsid wsp:val=&quot;000A2C98&quot;/&gt;&lt;wsp:rsid wsp:val=&quot;000A2E0D&quot;/&gt;&lt;wsp:rsid wsp:val=&quot;000A350B&quot;/&gt;&lt;wsp:rsid wsp:val=&quot;000A4033&quot;/&gt;&lt;wsp:rsid wsp:val=&quot;000A4D11&quot;/&gt;&lt;wsp:rsid wsp:val=&quot;000A4D1C&quot;/&gt;&lt;wsp:rsid wsp:val=&quot;000A4E25&quot;/&gt;&lt;wsp:rsid wsp:val=&quot;000A53F0&quot;/&gt;&lt;wsp:rsid wsp:val=&quot;000A5A5D&quot;/&gt;&lt;wsp:rsid wsp:val=&quot;000A621E&quot;/&gt;&lt;wsp:rsid wsp:val=&quot;000A6C8F&quot;/&gt;&lt;wsp:rsid wsp:val=&quot;000A6E99&quot;/&gt;&lt;wsp:rsid wsp:val=&quot;000A6FEB&quot;/&gt;&lt;wsp:rsid wsp:val=&quot;000A70F7&quot;/&gt;&lt;wsp:rsid wsp:val=&quot;000A7F93&quot;/&gt;&lt;wsp:rsid wsp:val=&quot;000B0BE0&quot;/&gt;&lt;wsp:rsid wsp:val=&quot;000B1368&quot;/&gt;&lt;wsp:rsid wsp:val=&quot;000B268E&quot;/&gt;&lt;wsp:rsid wsp:val=&quot;000B284C&quot;/&gt;&lt;wsp:rsid wsp:val=&quot;000B2E23&quot;/&gt;&lt;wsp:rsid wsp:val=&quot;000B3EBF&quot;/&gt;&lt;wsp:rsid wsp:val=&quot;000B4179&quot;/&gt;&lt;wsp:rsid wsp:val=&quot;000B49C2&quot;/&gt;&lt;wsp:rsid wsp:val=&quot;000B4AA0&quot;/&gt;&lt;wsp:rsid wsp:val=&quot;000B50E4&quot;/&gt;&lt;wsp:rsid wsp:val=&quot;000B5ED3&quot;/&gt;&lt;wsp:rsid wsp:val=&quot;000B5EDB&quot;/&gt;&lt;wsp:rsid wsp:val=&quot;000B64C5&quot;/&gt;&lt;wsp:rsid wsp:val=&quot;000B670A&quot;/&gt;&lt;wsp:rsid wsp:val=&quot;000B6749&quot;/&gt;&lt;wsp:rsid wsp:val=&quot;000B746C&quot;/&gt;&lt;wsp:rsid wsp:val=&quot;000B7E6A&quot;/&gt;&lt;wsp:rsid wsp:val=&quot;000C0369&quot;/&gt;&lt;wsp:rsid wsp:val=&quot;000C1075&quot;/&gt;&lt;wsp:rsid wsp:val=&quot;000C1946&quot;/&gt;&lt;wsp:rsid wsp:val=&quot;000C3877&quot;/&gt;&lt;wsp:rsid wsp:val=&quot;000C3C06&quot;/&gt;&lt;wsp:rsid wsp:val=&quot;000C4030&quot;/&gt;&lt;wsp:rsid wsp:val=&quot;000C4C6C&quot;/&gt;&lt;wsp:rsid wsp:val=&quot;000C4E86&quot;/&gt;&lt;wsp:rsid wsp:val=&quot;000C5206&quot;/&gt;&lt;wsp:rsid wsp:val=&quot;000C5700&quot;/&gt;&lt;wsp:rsid wsp:val=&quot;000C669F&quot;/&gt;&lt;wsp:rsid wsp:val=&quot;000C6713&quot;/&gt;&lt;wsp:rsid wsp:val=&quot;000C67EB&quot;/&gt;&lt;wsp:rsid wsp:val=&quot;000D0719&quot;/&gt;&lt;wsp:rsid wsp:val=&quot;000D0822&quot;/&gt;&lt;wsp:rsid wsp:val=&quot;000D0C82&quot;/&gt;&lt;wsp:rsid wsp:val=&quot;000D0D86&quot;/&gt;&lt;wsp:rsid wsp:val=&quot;000D0FDB&quot;/&gt;&lt;wsp:rsid wsp:val=&quot;000D2272&quot;/&gt;&lt;wsp:rsid wsp:val=&quot;000D2FB3&quot;/&gt;&lt;wsp:rsid wsp:val=&quot;000D3157&quot;/&gt;&lt;wsp:rsid wsp:val=&quot;000D3808&quot;/&gt;&lt;wsp:rsid wsp:val=&quot;000D4FE0&quot;/&gt;&lt;wsp:rsid wsp:val=&quot;000D56A5&quot;/&gt;&lt;wsp:rsid wsp:val=&quot;000D5AB5&quot;/&gt;&lt;wsp:rsid wsp:val=&quot;000D7968&quot;/&gt;&lt;wsp:rsid wsp:val=&quot;000E0232&quot;/&gt;&lt;wsp:rsid wsp:val=&quot;000E0443&quot;/&gt;&lt;wsp:rsid wsp:val=&quot;000E094F&quot;/&gt;&lt;wsp:rsid wsp:val=&quot;000E0B0A&quot;/&gt;&lt;wsp:rsid wsp:val=&quot;000E0DAC&quot;/&gt;&lt;wsp:rsid wsp:val=&quot;000E137D&quot;/&gt;&lt;wsp:rsid wsp:val=&quot;000E14FC&quot;/&gt;&lt;wsp:rsid wsp:val=&quot;000E1CE2&quot;/&gt;&lt;wsp:rsid wsp:val=&quot;000E1E36&quot;/&gt;&lt;wsp:rsid wsp:val=&quot;000E2121&quot;/&gt;&lt;wsp:rsid wsp:val=&quot;000E2235&quot;/&gt;&lt;wsp:rsid wsp:val=&quot;000E2704&quot;/&gt;&lt;wsp:rsid wsp:val=&quot;000E3721&quot;/&gt;&lt;wsp:rsid wsp:val=&quot;000E3ECA&quot;/&gt;&lt;wsp:rsid wsp:val=&quot;000E42EA&quot;/&gt;&lt;wsp:rsid wsp:val=&quot;000E4C3F&quot;/&gt;&lt;wsp:rsid wsp:val=&quot;000E4D88&quot;/&gt;&lt;wsp:rsid wsp:val=&quot;000E6870&quot;/&gt;&lt;wsp:rsid wsp:val=&quot;000E70ED&quot;/&gt;&lt;wsp:rsid wsp:val=&quot;000E71E3&quot;/&gt;&lt;wsp:rsid wsp:val=&quot;000F036E&quot;/&gt;&lt;wsp:rsid wsp:val=&quot;000F08C5&quot;/&gt;&lt;wsp:rsid wsp:val=&quot;000F0A8F&quot;/&gt;&lt;wsp:rsid wsp:val=&quot;000F11E4&quot;/&gt;&lt;wsp:rsid wsp:val=&quot;000F1231&quot;/&gt;&lt;wsp:rsid wsp:val=&quot;000F13F7&quot;/&gt;&lt;wsp:rsid wsp:val=&quot;000F2925&quot;/&gt;&lt;wsp:rsid wsp:val=&quot;000F31E7&quot;/&gt;&lt;wsp:rsid wsp:val=&quot;000F3BD2&quot;/&gt;&lt;wsp:rsid wsp:val=&quot;000F3F84&quot;/&gt;&lt;wsp:rsid wsp:val=&quot;000F4152&quot;/&gt;&lt;wsp:rsid wsp:val=&quot;000F429A&quot;/&gt;&lt;wsp:rsid wsp:val=&quot;000F47F8&quot;/&gt;&lt;wsp:rsid wsp:val=&quot;000F4E54&quot;/&gt;&lt;wsp:rsid wsp:val=&quot;000F5302&quot;/&gt;&lt;wsp:rsid wsp:val=&quot;000F61BF&quot;/&gt;&lt;wsp:rsid wsp:val=&quot;000F6767&quot;/&gt;&lt;wsp:rsid wsp:val=&quot;000F6D34&quot;/&gt;&lt;wsp:rsid wsp:val=&quot;000F7211&quot;/&gt;&lt;wsp:rsid wsp:val=&quot;001007BC&quot;/&gt;&lt;wsp:rsid wsp:val=&quot;00101E67&quot;/&gt;&lt;wsp:rsid wsp:val=&quot;00101F99&quot;/&gt;&lt;wsp:rsid wsp:val=&quot;00104B9A&quot;/&gt;&lt;wsp:rsid wsp:val=&quot;001060B5&quot;/&gt;&lt;wsp:rsid wsp:val=&quot;001062C6&quot;/&gt;&lt;wsp:rsid wsp:val=&quot;00107156&quot;/&gt;&lt;wsp:rsid wsp:val=&quot;00107668&quot;/&gt;&lt;wsp:rsid wsp:val=&quot;00107BE5&quot;/&gt;&lt;wsp:rsid wsp:val=&quot;00111F4A&quot;/&gt;&lt;wsp:rsid wsp:val=&quot;00112D75&quot;/&gt;&lt;wsp:rsid wsp:val=&quot;00113012&quot;/&gt;&lt;wsp:rsid wsp:val=&quot;00113122&quot;/&gt;&lt;wsp:rsid wsp:val=&quot;00115CAC&quot;/&gt;&lt;wsp:rsid wsp:val=&quot;00115F85&quot;/&gt;&lt;wsp:rsid wsp:val=&quot;001161B8&quot;/&gt;&lt;wsp:rsid wsp:val=&quot;001169FE&quot;/&gt;&lt;wsp:rsid wsp:val=&quot;00120201&quot;/&gt;&lt;wsp:rsid wsp:val=&quot;00120290&quot;/&gt;&lt;wsp:rsid wsp:val=&quot;00120520&quot;/&gt;&lt;wsp:rsid wsp:val=&quot;0012079B&quot;/&gt;&lt;wsp:rsid wsp:val=&quot;00120B8A&quot;/&gt;&lt;wsp:rsid wsp:val=&quot;00120D37&quot;/&gt;&lt;wsp:rsid wsp:val=&quot;0012144F&quot;/&gt;&lt;wsp:rsid wsp:val=&quot;00121572&quot;/&gt;&lt;wsp:rsid wsp:val=&quot;00121AFC&quot;/&gt;&lt;wsp:rsid wsp:val=&quot;00121D8D&quot;/&gt;&lt;wsp:rsid wsp:val=&quot;00123151&quot;/&gt;&lt;wsp:rsid wsp:val=&quot;001231C7&quot;/&gt;&lt;wsp:rsid wsp:val=&quot;00123E74&quot;/&gt;&lt;wsp:rsid wsp:val=&quot;001241A0&quot;/&gt;&lt;wsp:rsid wsp:val=&quot;0012445B&quot;/&gt;&lt;wsp:rsid wsp:val=&quot;001248D0&quot;/&gt;&lt;wsp:rsid wsp:val=&quot;00125BBC&quot;/&gt;&lt;wsp:rsid wsp:val=&quot;00127E2F&quot;/&gt;&lt;wsp:rsid wsp:val=&quot;00127FF6&quot;/&gt;&lt;wsp:rsid wsp:val=&quot;00130639&quot;/&gt;&lt;wsp:rsid wsp:val=&quot;001308AF&quot;/&gt;&lt;wsp:rsid wsp:val=&quot;00132D7C&quot;/&gt;&lt;wsp:rsid wsp:val=&quot;0013415D&quot;/&gt;&lt;wsp:rsid wsp:val=&quot;001342B8&quot;/&gt;&lt;wsp:rsid wsp:val=&quot;001345C4&quot;/&gt;&lt;wsp:rsid wsp:val=&quot;00134706&quot;/&gt;&lt;wsp:rsid wsp:val=&quot;00134B9A&quot;/&gt;&lt;wsp:rsid wsp:val=&quot;0013561D&quot;/&gt;&lt;wsp:rsid wsp:val=&quot;00135973&quot;/&gt;&lt;wsp:rsid wsp:val=&quot;00135F6E&quot;/&gt;&lt;wsp:rsid wsp:val=&quot;00136CE5&quot;/&gt;&lt;wsp:rsid wsp:val=&quot;00136DC6&quot;/&gt;&lt;wsp:rsid wsp:val=&quot;00137CFB&quot;/&gt;&lt;wsp:rsid wsp:val=&quot;0014029E&quot;/&gt;&lt;wsp:rsid wsp:val=&quot;001402D6&quot;/&gt;&lt;wsp:rsid wsp:val=&quot;00140D15&quot;/&gt;&lt;wsp:rsid wsp:val=&quot;001411B6&quot;/&gt;&lt;wsp:rsid wsp:val=&quot;0014199F&quot;/&gt;&lt;wsp:rsid wsp:val=&quot;00142D4A&quot;/&gt;&lt;wsp:rsid wsp:val=&quot;00142F03&quot;/&gt;&lt;wsp:rsid wsp:val=&quot;00142F50&quot;/&gt;&lt;wsp:rsid wsp:val=&quot;001436B0&quot;/&gt;&lt;wsp:rsid wsp:val=&quot;00144156&quot;/&gt;&lt;wsp:rsid wsp:val=&quot;001441F8&quot;/&gt;&lt;wsp:rsid wsp:val=&quot;001445E9&quot;/&gt;&lt;wsp:rsid wsp:val=&quot;001446F3&quot;/&gt;&lt;wsp:rsid wsp:val=&quot;001455C6&quot;/&gt;&lt;wsp:rsid wsp:val=&quot;00145FB6&quot;/&gt;&lt;wsp:rsid wsp:val=&quot;00146370&quot;/&gt;&lt;wsp:rsid wsp:val=&quot;00146D8E&quot;/&gt;&lt;wsp:rsid wsp:val=&quot;00147D36&quot;/&gt;&lt;wsp:rsid wsp:val=&quot;001515D8&quot;/&gt;&lt;wsp:rsid wsp:val=&quot;00151B6A&quot;/&gt;&lt;wsp:rsid wsp:val=&quot;00152223&quot;/&gt;&lt;wsp:rsid wsp:val=&quot;00152C71&quot;/&gt;&lt;wsp:rsid wsp:val=&quot;00152EB7&quot;/&gt;&lt;wsp:rsid wsp:val=&quot;00153512&quot;/&gt;&lt;wsp:rsid wsp:val=&quot;001541E8&quot;/&gt;&lt;wsp:rsid wsp:val=&quot;00154348&quot;/&gt;&lt;wsp:rsid wsp:val=&quot;0015683E&quot;/&gt;&lt;wsp:rsid wsp:val=&quot;0015687B&quot;/&gt;&lt;wsp:rsid wsp:val=&quot;00157384&quot;/&gt;&lt;wsp:rsid wsp:val=&quot;00157B44&quot;/&gt;&lt;wsp:rsid wsp:val=&quot;00157FA1&quot;/&gt;&lt;wsp:rsid wsp:val=&quot;00160C61&quot;/&gt;&lt;wsp:rsid wsp:val=&quot;00160DE3&quot;/&gt;&lt;wsp:rsid wsp:val=&quot;0016170A&quot;/&gt;&lt;wsp:rsid wsp:val=&quot;00161BE4&quot;/&gt;&lt;wsp:rsid wsp:val=&quot;00161FE6&quot;/&gt;&lt;wsp:rsid wsp:val=&quot;001625ED&quot;/&gt;&lt;wsp:rsid wsp:val=&quot;00163A5F&quot;/&gt;&lt;wsp:rsid wsp:val=&quot;001642C5&quot;/&gt;&lt;wsp:rsid wsp:val=&quot;001643F3&quot;/&gt;&lt;wsp:rsid wsp:val=&quot;00164E10&quot;/&gt;&lt;wsp:rsid wsp:val=&quot;00164F00&quot;/&gt;&lt;wsp:rsid wsp:val=&quot;00164F70&quot;/&gt;&lt;wsp:rsid wsp:val=&quot;00165BDF&quot;/&gt;&lt;wsp:rsid wsp:val=&quot;00165C34&quot;/&gt;&lt;wsp:rsid wsp:val=&quot;00165CE4&quot;/&gt;&lt;wsp:rsid wsp:val=&quot;00166B13&quot;/&gt;&lt;wsp:rsid wsp:val=&quot;00167F15&quot;/&gt;&lt;wsp:rsid wsp:val=&quot;001724D4&quot;/&gt;&lt;wsp:rsid wsp:val=&quot;00172D51&quot;/&gt;&lt;wsp:rsid wsp:val=&quot;00173CEB&quot;/&gt;&lt;wsp:rsid wsp:val=&quot;00174BDB&quot;/&gt;&lt;wsp:rsid wsp:val=&quot;0017558E&quot;/&gt;&lt;wsp:rsid wsp:val=&quot;0017577E&quot;/&gt;&lt;wsp:rsid wsp:val=&quot;00177153&quot;/&gt;&lt;wsp:rsid wsp:val=&quot;0017720D&quot;/&gt;&lt;wsp:rsid wsp:val=&quot;00180685&quot;/&gt;&lt;wsp:rsid wsp:val=&quot;00180C94&quot;/&gt;&lt;wsp:rsid wsp:val=&quot;00181523&quot;/&gt;&lt;wsp:rsid wsp:val=&quot;00182D05&quot;/&gt;&lt;wsp:rsid wsp:val=&quot;001830F0&quot;/&gt;&lt;wsp:rsid wsp:val=&quot;00183BC8&quot;/&gt;&lt;wsp:rsid wsp:val=&quot;00184961&quot;/&gt;&lt;wsp:rsid wsp:val=&quot;001849DA&quot;/&gt;&lt;wsp:rsid wsp:val=&quot;00184AC7&quot;/&gt;&lt;wsp:rsid wsp:val=&quot;001855F3&quot;/&gt;&lt;wsp:rsid wsp:val=&quot;0018595F&quot;/&gt;&lt;wsp:rsid wsp:val=&quot;001867D3&quot;/&gt;&lt;wsp:rsid wsp:val=&quot;001876F2&quot;/&gt;&lt;wsp:rsid wsp:val=&quot;001879D2&quot;/&gt;&lt;wsp:rsid wsp:val=&quot;0019051F&quot;/&gt;&lt;wsp:rsid wsp:val=&quot;00191623&quot;/&gt;&lt;wsp:rsid wsp:val=&quot;001929BF&quot;/&gt;&lt;wsp:rsid wsp:val=&quot;00192C1D&quot;/&gt;&lt;wsp:rsid wsp:val=&quot;00193A8F&quot;/&gt;&lt;wsp:rsid wsp:val=&quot;00193AED&quot;/&gt;&lt;wsp:rsid wsp:val=&quot;00194028&quot;/&gt;&lt;wsp:rsid wsp:val=&quot;0019421A&quot;/&gt;&lt;wsp:rsid wsp:val=&quot;001946FD&quot;/&gt;&lt;wsp:rsid wsp:val=&quot;00194E33&quot;/&gt;&lt;wsp:rsid wsp:val=&quot;0019604E&quot;/&gt;&lt;wsp:rsid wsp:val=&quot;00196665&quot;/&gt;&lt;wsp:rsid wsp:val=&quot;001A0079&quot;/&gt;&lt;wsp:rsid wsp:val=&quot;001A02B1&quot;/&gt;&lt;wsp:rsid wsp:val=&quot;001A21DA&quot;/&gt;&lt;wsp:rsid wsp:val=&quot;001A3116&quot;/&gt;&lt;wsp:rsid wsp:val=&quot;001A4ADE&quot;/&gt;&lt;wsp:rsid wsp:val=&quot;001A4FE2&quot;/&gt;&lt;wsp:rsid wsp:val=&quot;001A5010&quot;/&gt;&lt;wsp:rsid wsp:val=&quot;001A540E&quot;/&gt;&lt;wsp:rsid wsp:val=&quot;001A5F1A&quot;/&gt;&lt;wsp:rsid wsp:val=&quot;001A5F45&quot;/&gt;&lt;wsp:rsid wsp:val=&quot;001B0278&quot;/&gt;&lt;wsp:rsid wsp:val=&quot;001B04ED&quot;/&gt;&lt;wsp:rsid wsp:val=&quot;001B2367&quot;/&gt;&lt;wsp:rsid wsp:val=&quot;001B2B5F&quot;/&gt;&lt;wsp:rsid wsp:val=&quot;001B4425&quot;/&gt;&lt;wsp:rsid wsp:val=&quot;001B551F&quot;/&gt;&lt;wsp:rsid wsp:val=&quot;001B5A93&quot;/&gt;&lt;wsp:rsid wsp:val=&quot;001B5D48&quot;/&gt;&lt;wsp:rsid wsp:val=&quot;001B67EB&quot;/&gt;&lt;wsp:rsid wsp:val=&quot;001B6E67&quot;/&gt;&lt;wsp:rsid wsp:val=&quot;001B7785&quot;/&gt;&lt;wsp:rsid wsp:val=&quot;001C081A&quot;/&gt;&lt;wsp:rsid wsp:val=&quot;001C12F0&quot;/&gt;&lt;wsp:rsid wsp:val=&quot;001C1309&quot;/&gt;&lt;wsp:rsid wsp:val=&quot;001C13E2&quot;/&gt;&lt;wsp:rsid wsp:val=&quot;001C2EEA&quot;/&gt;&lt;wsp:rsid wsp:val=&quot;001C35EF&quot;/&gt;&lt;wsp:rsid wsp:val=&quot;001C4017&quot;/&gt;&lt;wsp:rsid wsp:val=&quot;001C5070&quot;/&gt;&lt;wsp:rsid wsp:val=&quot;001C5234&quot;/&gt;&lt;wsp:rsid wsp:val=&quot;001C533C&quot;/&gt;&lt;wsp:rsid wsp:val=&quot;001C5375&quot;/&gt;&lt;wsp:rsid wsp:val=&quot;001C583F&quot;/&gt;&lt;wsp:rsid wsp:val=&quot;001C58F7&quot;/&gt;&lt;wsp:rsid wsp:val=&quot;001C6EAC&quot;/&gt;&lt;wsp:rsid wsp:val=&quot;001C734A&quot;/&gt;&lt;wsp:rsid wsp:val=&quot;001C7670&quot;/&gt;&lt;wsp:rsid wsp:val=&quot;001C7BA2&quot;/&gt;&lt;wsp:rsid wsp:val=&quot;001D033A&quot;/&gt;&lt;wsp:rsid wsp:val=&quot;001D0F26&quot;/&gt;&lt;wsp:rsid wsp:val=&quot;001D170E&quot;/&gt;&lt;wsp:rsid wsp:val=&quot;001D21A1&quot;/&gt;&lt;wsp:rsid wsp:val=&quot;001D2591&quot;/&gt;&lt;wsp:rsid wsp:val=&quot;001D351F&quot;/&gt;&lt;wsp:rsid wsp:val=&quot;001D4965&quot;/&gt;&lt;wsp:rsid wsp:val=&quot;001D4ABB&quot;/&gt;&lt;wsp:rsid wsp:val=&quot;001D526E&quot;/&gt;&lt;wsp:rsid wsp:val=&quot;001D57EE&quot;/&gt;&lt;wsp:rsid wsp:val=&quot;001D7147&quot;/&gt;&lt;wsp:rsid wsp:val=&quot;001E0016&quot;/&gt;&lt;wsp:rsid wsp:val=&quot;001E04A5&quot;/&gt;&lt;wsp:rsid wsp:val=&quot;001E0709&quot;/&gt;&lt;wsp:rsid wsp:val=&quot;001E0D94&quot;/&gt;&lt;wsp:rsid wsp:val=&quot;001E11B8&quot;/&gt;&lt;wsp:rsid wsp:val=&quot;001E141A&quot;/&gt;&lt;wsp:rsid wsp:val=&quot;001E16FB&quot;/&gt;&lt;wsp:rsid wsp:val=&quot;001E1773&quot;/&gt;&lt;wsp:rsid wsp:val=&quot;001E191C&quot;/&gt;&lt;wsp:rsid wsp:val=&quot;001E20E7&quot;/&gt;&lt;wsp:rsid wsp:val=&quot;001E253F&quot;/&gt;&lt;wsp:rsid wsp:val=&quot;001E2679&quot;/&gt;&lt;wsp:rsid wsp:val=&quot;001E27F5&quot;/&gt;&lt;wsp:rsid wsp:val=&quot;001E35FA&quot;/&gt;&lt;wsp:rsid wsp:val=&quot;001E4298&quot;/&gt;&lt;wsp:rsid wsp:val=&quot;001E46B6&quot;/&gt;&lt;wsp:rsid wsp:val=&quot;001E6CBB&quot;/&gt;&lt;wsp:rsid wsp:val=&quot;001E74B5&quot;/&gt;&lt;wsp:rsid wsp:val=&quot;001F0A61&quot;/&gt;&lt;wsp:rsid wsp:val=&quot;001F126E&quot;/&gt;&lt;wsp:rsid wsp:val=&quot;001F1ED8&quot;/&gt;&lt;wsp:rsid wsp:val=&quot;001F21F9&quot;/&gt;&lt;wsp:rsid wsp:val=&quot;001F2312&quot;/&gt;&lt;wsp:rsid wsp:val=&quot;001F231A&quot;/&gt;&lt;wsp:rsid wsp:val=&quot;001F2759&quot;/&gt;&lt;wsp:rsid wsp:val=&quot;001F2EC0&quot;/&gt;&lt;wsp:rsid wsp:val=&quot;001F32FB&quot;/&gt;&lt;wsp:rsid wsp:val=&quot;001F3549&quot;/&gt;&lt;wsp:rsid wsp:val=&quot;001F4B83&quot;/&gt;&lt;wsp:rsid wsp:val=&quot;001F5141&quot;/&gt;&lt;wsp:rsid wsp:val=&quot;001F5644&quot;/&gt;&lt;wsp:rsid wsp:val=&quot;001F6754&quot;/&gt;&lt;wsp:rsid wsp:val=&quot;002000DE&quot;/&gt;&lt;wsp:rsid wsp:val=&quot;0020012D&quot;/&gt;&lt;wsp:rsid wsp:val=&quot;002007F1&quot;/&gt;&lt;wsp:rsid wsp:val=&quot;00201181&quot;/&gt;&lt;wsp:rsid wsp:val=&quot;00201512&quot;/&gt;&lt;wsp:rsid wsp:val=&quot;002016A6&quot;/&gt;&lt;wsp:rsid wsp:val=&quot;00201DF9&quot;/&gt;&lt;wsp:rsid wsp:val=&quot;00203108&quot;/&gt;&lt;wsp:rsid wsp:val=&quot;00204011&quot;/&gt;&lt;wsp:rsid wsp:val=&quot;00204973&quot;/&gt;&lt;wsp:rsid wsp:val=&quot;00205995&quot;/&gt;&lt;wsp:rsid wsp:val=&quot;00205F6E&quot;/&gt;&lt;wsp:rsid wsp:val=&quot;00206580&quot;/&gt;&lt;wsp:rsid wsp:val=&quot;0020697F&quot;/&gt;&lt;wsp:rsid wsp:val=&quot;00206D98&quot;/&gt;&lt;wsp:rsid wsp:val=&quot;0020702C&quot;/&gt;&lt;wsp:rsid wsp:val=&quot;00210165&quot;/&gt;&lt;wsp:rsid wsp:val=&quot;002102A7&quot;/&gt;&lt;wsp:rsid wsp:val=&quot;002121C1&quot;/&gt;&lt;wsp:rsid wsp:val=&quot;0021353A&quot;/&gt;&lt;wsp:rsid wsp:val=&quot;00213741&quot;/&gt;&lt;wsp:rsid wsp:val=&quot;00214418&quot;/&gt;&lt;wsp:rsid wsp:val=&quot;002145DC&quot;/&gt;&lt;wsp:rsid wsp:val=&quot;0021494D&quot;/&gt;&lt;wsp:rsid wsp:val=&quot;0021499D&quot;/&gt;&lt;wsp:rsid wsp:val=&quot;00214F39&quot;/&gt;&lt;wsp:rsid wsp:val=&quot;00217E0C&quot;/&gt;&lt;wsp:rsid wsp:val=&quot;00217F88&quot;/&gt;&lt;wsp:rsid wsp:val=&quot;00220EA6&quot;/&gt;&lt;wsp:rsid wsp:val=&quot;00220F33&quot;/&gt;&lt;wsp:rsid wsp:val=&quot;0022144A&quot;/&gt;&lt;wsp:rsid wsp:val=&quot;00221BC8&quot;/&gt;&lt;wsp:rsid wsp:val=&quot;00221E25&quot;/&gt;&lt;wsp:rsid wsp:val=&quot;00222606&quot;/&gt;&lt;wsp:rsid wsp:val=&quot;00223166&quot;/&gt;&lt;wsp:rsid wsp:val=&quot;0022333C&quot;/&gt;&lt;wsp:rsid wsp:val=&quot;002245C3&quot;/&gt;&lt;wsp:rsid wsp:val=&quot;00224658&quot;/&gt;&lt;wsp:rsid wsp:val=&quot;00224E7B&quot;/&gt;&lt;wsp:rsid wsp:val=&quot;00224FF1&quot;/&gt;&lt;wsp:rsid wsp:val=&quot;0022536B&quot;/&gt;&lt;wsp:rsid wsp:val=&quot;00225533&quot;/&gt;&lt;wsp:rsid wsp:val=&quot;002264B9&quot;/&gt;&lt;wsp:rsid wsp:val=&quot;00226EA4&quot;/&gt;&lt;wsp:rsid wsp:val=&quot;00227A6D&quot;/&gt;&lt;wsp:rsid wsp:val=&quot;00227B88&quot;/&gt;&lt;wsp:rsid wsp:val=&quot;00230727&quot;/&gt;&lt;wsp:rsid wsp:val=&quot;00230965&quot;/&gt;&lt;wsp:rsid wsp:val=&quot;002313CF&quot;/&gt;&lt;wsp:rsid wsp:val=&quot;002314A6&quot;/&gt;&lt;wsp:rsid wsp:val=&quot;0023158F&quot;/&gt;&lt;wsp:rsid wsp:val=&quot;002328A8&quot;/&gt;&lt;wsp:rsid wsp:val=&quot;00232977&quot;/&gt;&lt;wsp:rsid wsp:val=&quot;00232DFC&quot;/&gt;&lt;wsp:rsid wsp:val=&quot;00232DFD&quot;/&gt;&lt;wsp:rsid wsp:val=&quot;00232E2A&quot;/&gt;&lt;wsp:rsid wsp:val=&quot;00233816&quot;/&gt;&lt;wsp:rsid wsp:val=&quot;00234530&quot;/&gt;&lt;wsp:rsid wsp:val=&quot;00234B5B&quot;/&gt;&lt;wsp:rsid wsp:val=&quot;00234B6F&quot;/&gt;&lt;wsp:rsid wsp:val=&quot;002350A3&quot;/&gt;&lt;wsp:rsid wsp:val=&quot;00236972&quot;/&gt;&lt;wsp:rsid wsp:val=&quot;00240423&quot;/&gt;&lt;wsp:rsid wsp:val=&quot;00240966&quot;/&gt;&lt;wsp:rsid wsp:val=&quot;00240D77&quot;/&gt;&lt;wsp:rsid wsp:val=&quot;00240F39&quot;/&gt;&lt;wsp:rsid wsp:val=&quot;0024104F&quot;/&gt;&lt;wsp:rsid wsp:val=&quot;00241667&quot;/&gt;&lt;wsp:rsid wsp:val=&quot;00241776&quot;/&gt;&lt;wsp:rsid wsp:val=&quot;0024364D&quot;/&gt;&lt;wsp:rsid wsp:val=&quot;002441FF&quot;/&gt;&lt;wsp:rsid wsp:val=&quot;002447B8&quot;/&gt;&lt;wsp:rsid wsp:val=&quot;0024521B&quot;/&gt;&lt;wsp:rsid wsp:val=&quot;00245459&quot;/&gt;&lt;wsp:rsid wsp:val=&quot;0024556B&quot;/&gt;&lt;wsp:rsid wsp:val=&quot;00245F06&quot;/&gt;&lt;wsp:rsid wsp:val=&quot;00246CDF&quot;/&gt;&lt;wsp:rsid wsp:val=&quot;00246D60&quot;/&gt;&lt;wsp:rsid wsp:val=&quot;0024785E&quot;/&gt;&lt;wsp:rsid wsp:val=&quot;002478BE&quot;/&gt;&lt;wsp:rsid wsp:val=&quot;00250AAD&quot;/&gt;&lt;wsp:rsid wsp:val=&quot;00250C1D&quot;/&gt;&lt;wsp:rsid wsp:val=&quot;002517E6&quot;/&gt;&lt;wsp:rsid wsp:val=&quot;00252499&quot;/&gt;&lt;wsp:rsid wsp:val=&quot;00253E56&quot;/&gt;&lt;wsp:rsid wsp:val=&quot;00254928&quot;/&gt;&lt;wsp:rsid wsp:val=&quot;00254F43&quot;/&gt;&lt;wsp:rsid wsp:val=&quot;0025584A&quot;/&gt;&lt;wsp:rsid wsp:val=&quot;00255C93&quot;/&gt;&lt;wsp:rsid wsp:val=&quot;002566EB&quot;/&gt;&lt;wsp:rsid wsp:val=&quot;00256BB8&quot;/&gt;&lt;wsp:rsid wsp:val=&quot;0025705F&quot;/&gt;&lt;wsp:rsid wsp:val=&quot;00257DC4&quot;/&gt;&lt;wsp:rsid wsp:val=&quot;00261189&quot;/&gt;&lt;wsp:rsid wsp:val=&quot;0026192A&quot;/&gt;&lt;wsp:rsid wsp:val=&quot;00262842&quot;/&gt;&lt;wsp:rsid wsp:val=&quot;00262B69&quot;/&gt;&lt;wsp:rsid wsp:val=&quot;00262FAF&quot;/&gt;&lt;wsp:rsid wsp:val=&quot;00263FFE&quot;/&gt;&lt;wsp:rsid wsp:val=&quot;002643F0&quot;/&gt;&lt;wsp:rsid wsp:val=&quot;00264AAD&quot;/&gt;&lt;wsp:rsid wsp:val=&quot;00264F9B&quot;/&gt;&lt;wsp:rsid wsp:val=&quot;00265173&quot;/&gt;&lt;wsp:rsid wsp:val=&quot;00265293&quot;/&gt;&lt;wsp:rsid wsp:val=&quot;002655D5&quot;/&gt;&lt;wsp:rsid wsp:val=&quot;00265884&quot;/&gt;&lt;wsp:rsid wsp:val=&quot;00266844&quot;/&gt;&lt;wsp:rsid wsp:val=&quot;00266A84&quot;/&gt;&lt;wsp:rsid wsp:val=&quot;00266BB1&quot;/&gt;&lt;wsp:rsid wsp:val=&quot;00267312&quot;/&gt;&lt;wsp:rsid wsp:val=&quot;00267368&quot;/&gt;&lt;wsp:rsid wsp:val=&quot;00267956&quot;/&gt;&lt;wsp:rsid wsp:val=&quot;0027049C&quot;/&gt;&lt;wsp:rsid wsp:val=&quot;002715F4&quot;/&gt;&lt;wsp:rsid wsp:val=&quot;0027225E&quot;/&gt;&lt;wsp:rsid wsp:val=&quot;00272728&quot;/&gt;&lt;wsp:rsid wsp:val=&quot;00272883&quot;/&gt;&lt;wsp:rsid wsp:val=&quot;00272DE5&quot;/&gt;&lt;wsp:rsid wsp:val=&quot;00272FE5&quot;/&gt;&lt;wsp:rsid wsp:val=&quot;00274755&quot;/&gt;&lt;wsp:rsid wsp:val=&quot;00275FC5&quot;/&gt;&lt;wsp:rsid wsp:val=&quot;0027672A&quot;/&gt;&lt;wsp:rsid wsp:val=&quot;00277B04&quot;/&gt;&lt;wsp:rsid wsp:val=&quot;00281668&quot;/&gt;&lt;wsp:rsid wsp:val=&quot;00281B5D&quot;/&gt;&lt;wsp:rsid wsp:val=&quot;00281FB0&quot;/&gt;&lt;wsp:rsid wsp:val=&quot;002822B2&quot;/&gt;&lt;wsp:rsid wsp:val=&quot;00282748&quot;/&gt;&lt;wsp:rsid wsp:val=&quot;00282BDC&quot;/&gt;&lt;wsp:rsid wsp:val=&quot;00282E35&quot;/&gt;&lt;wsp:rsid wsp:val=&quot;002835E8&quot;/&gt;&lt;wsp:rsid wsp:val=&quot;00283E79&quot;/&gt;&lt;wsp:rsid wsp:val=&quot;0028418E&quot;/&gt;&lt;wsp:rsid wsp:val=&quot;002841A4&quot;/&gt;&lt;wsp:rsid wsp:val=&quot;002854F0&quot;/&gt;&lt;wsp:rsid wsp:val=&quot;00285A02&quot;/&gt;&lt;wsp:rsid wsp:val=&quot;00287459&quot;/&gt;&lt;wsp:rsid wsp:val=&quot;00287524&quot;/&gt;&lt;wsp:rsid wsp:val=&quot;00287B51&quot;/&gt;&lt;wsp:rsid wsp:val=&quot;0029029A&quot;/&gt;&lt;wsp:rsid wsp:val=&quot;0029084B&quot;/&gt;&lt;wsp:rsid wsp:val=&quot;00291C01&quot;/&gt;&lt;wsp:rsid wsp:val=&quot;00291FC6&quot;/&gt;&lt;wsp:rsid wsp:val=&quot;00292932&quot;/&gt;&lt;wsp:rsid wsp:val=&quot;00292CFE&quot;/&gt;&lt;wsp:rsid wsp:val=&quot;00292F3B&quot;/&gt;&lt;wsp:rsid wsp:val=&quot;002937B5&quot;/&gt;&lt;wsp:rsid wsp:val=&quot;0029475F&quot;/&gt;&lt;wsp:rsid wsp:val=&quot;00294E5C&quot;/&gt;&lt;wsp:rsid wsp:val=&quot;002950A2&quot;/&gt;&lt;wsp:rsid wsp:val=&quot;002954CF&quot;/&gt;&lt;wsp:rsid wsp:val=&quot;00295944&quot;/&gt;&lt;wsp:rsid wsp:val=&quot;00295A84&quot;/&gt;&lt;wsp:rsid wsp:val=&quot;00295FB4&quot;/&gt;&lt;wsp:rsid wsp:val=&quot;002964F1&quot;/&gt;&lt;wsp:rsid wsp:val=&quot;002A0240&quot;/&gt;&lt;wsp:rsid wsp:val=&quot;002A1906&quot;/&gt;&lt;wsp:rsid wsp:val=&quot;002A1D08&quot;/&gt;&lt;wsp:rsid wsp:val=&quot;002A22C7&quot;/&gt;&lt;wsp:rsid wsp:val=&quot;002A30E3&quot;/&gt;&lt;wsp:rsid wsp:val=&quot;002A36A1&quot;/&gt;&lt;wsp:rsid wsp:val=&quot;002A3869&quot;/&gt;&lt;wsp:rsid wsp:val=&quot;002A4766&quot;/&gt;&lt;wsp:rsid wsp:val=&quot;002A4B0C&quot;/&gt;&lt;wsp:rsid wsp:val=&quot;002A50C9&quot;/&gt;&lt;wsp:rsid wsp:val=&quot;002A5328&quot;/&gt;&lt;wsp:rsid wsp:val=&quot;002A575C&quot;/&gt;&lt;wsp:rsid wsp:val=&quot;002A57B7&quot;/&gt;&lt;wsp:rsid wsp:val=&quot;002A5F32&quot;/&gt;&lt;wsp:rsid wsp:val=&quot;002A6149&quot;/&gt;&lt;wsp:rsid wsp:val=&quot;002A6908&quot;/&gt;&lt;wsp:rsid wsp:val=&quot;002A6F56&quot;/&gt;&lt;wsp:rsid wsp:val=&quot;002A7856&quot;/&gt;&lt;wsp:rsid wsp:val=&quot;002B10DB&quot;/&gt;&lt;wsp:rsid wsp:val=&quot;002B120F&quot;/&gt;&lt;wsp:rsid wsp:val=&quot;002B1360&quot;/&gt;&lt;wsp:rsid wsp:val=&quot;002B143C&quot;/&gt;&lt;wsp:rsid wsp:val=&quot;002B17BD&quot;/&gt;&lt;wsp:rsid wsp:val=&quot;002B1D05&quot;/&gt;&lt;wsp:rsid wsp:val=&quot;002B1FFF&quot;/&gt;&lt;wsp:rsid wsp:val=&quot;002B2307&quot;/&gt;&lt;wsp:rsid wsp:val=&quot;002B2988&quot;/&gt;&lt;wsp:rsid wsp:val=&quot;002B2E6C&quot;/&gt;&lt;wsp:rsid wsp:val=&quot;002B3AB9&quot;/&gt;&lt;wsp:rsid wsp:val=&quot;002B4D57&quot;/&gt;&lt;wsp:rsid wsp:val=&quot;002B520D&quot;/&gt;&lt;wsp:rsid wsp:val=&quot;002B537D&quot;/&gt;&lt;wsp:rsid wsp:val=&quot;002B5694&quot;/&gt;&lt;wsp:rsid wsp:val=&quot;002B59F0&quot;/&gt;&lt;wsp:rsid wsp:val=&quot;002B7377&quot;/&gt;&lt;wsp:rsid wsp:val=&quot;002B7B83&quot;/&gt;&lt;wsp:rsid wsp:val=&quot;002B7E96&quot;/&gt;&lt;wsp:rsid wsp:val=&quot;002C11C2&quot;/&gt;&lt;wsp:rsid wsp:val=&quot;002C11F7&quot;/&gt;&lt;wsp:rsid wsp:val=&quot;002C1A35&quot;/&gt;&lt;wsp:rsid wsp:val=&quot;002C2A72&quot;/&gt;&lt;wsp:rsid wsp:val=&quot;002C3229&quot;/&gt;&lt;wsp:rsid wsp:val=&quot;002C3576&quot;/&gt;&lt;wsp:rsid wsp:val=&quot;002C3BA7&quot;/&gt;&lt;wsp:rsid wsp:val=&quot;002C45A2&quot;/&gt;&lt;wsp:rsid wsp:val=&quot;002C4B0B&quot;/&gt;&lt;wsp:rsid wsp:val=&quot;002C4F26&quot;/&gt;&lt;wsp:rsid wsp:val=&quot;002C518F&quot;/&gt;&lt;wsp:rsid wsp:val=&quot;002C562D&quot;/&gt;&lt;wsp:rsid wsp:val=&quot;002C69E8&quot;/&gt;&lt;wsp:rsid wsp:val=&quot;002C7257&quot;/&gt;&lt;wsp:rsid wsp:val=&quot;002C7873&quot;/&gt;&lt;wsp:rsid wsp:val=&quot;002C7F31&quot;/&gt;&lt;wsp:rsid wsp:val=&quot;002D034F&quot;/&gt;&lt;wsp:rsid wsp:val=&quot;002D18A6&quot;/&gt;&lt;wsp:rsid wsp:val=&quot;002D1C08&quot;/&gt;&lt;wsp:rsid wsp:val=&quot;002D1FBA&quot;/&gt;&lt;wsp:rsid wsp:val=&quot;002D1FBC&quot;/&gt;&lt;wsp:rsid wsp:val=&quot;002D229F&quot;/&gt;&lt;wsp:rsid wsp:val=&quot;002D24BB&quot;/&gt;&lt;wsp:rsid wsp:val=&quot;002D2DED&quot;/&gt;&lt;wsp:rsid wsp:val=&quot;002D3304&quot;/&gt;&lt;wsp:rsid wsp:val=&quot;002D36B1&quot;/&gt;&lt;wsp:rsid wsp:val=&quot;002D36E4&quot;/&gt;&lt;wsp:rsid wsp:val=&quot;002D379A&quot;/&gt;&lt;wsp:rsid wsp:val=&quot;002D57CB&quot;/&gt;&lt;wsp:rsid wsp:val=&quot;002D69DF&quot;/&gt;&lt;wsp:rsid wsp:val=&quot;002D6BE2&quot;/&gt;&lt;wsp:rsid wsp:val=&quot;002D7BF4&quot;/&gt;&lt;wsp:rsid wsp:val=&quot;002E067B&quot;/&gt;&lt;wsp:rsid wsp:val=&quot;002E076B&quot;/&gt;&lt;wsp:rsid wsp:val=&quot;002E07A7&quot;/&gt;&lt;wsp:rsid wsp:val=&quot;002E0D5F&quot;/&gt;&lt;wsp:rsid wsp:val=&quot;002E0E55&quot;/&gt;&lt;wsp:rsid wsp:val=&quot;002E1A46&quot;/&gt;&lt;wsp:rsid wsp:val=&quot;002E1CFC&quot;/&gt;&lt;wsp:rsid wsp:val=&quot;002E23E5&quot;/&gt;&lt;wsp:rsid wsp:val=&quot;002E2676&quot;/&gt;&lt;wsp:rsid wsp:val=&quot;002E587E&quot;/&gt;&lt;wsp:rsid wsp:val=&quot;002E66E3&quot;/&gt;&lt;wsp:rsid wsp:val=&quot;002E69B7&quot;/&gt;&lt;wsp:rsid wsp:val=&quot;002E6D0C&quot;/&gt;&lt;wsp:rsid wsp:val=&quot;002E706A&quot;/&gt;&lt;wsp:rsid wsp:val=&quot;002F0515&quot;/&gt;&lt;wsp:rsid wsp:val=&quot;002F1415&quot;/&gt;&lt;wsp:rsid wsp:val=&quot;002F14F5&quot;/&gt;&lt;wsp:rsid wsp:val=&quot;002F2298&quot;/&gt;&lt;wsp:rsid wsp:val=&quot;002F2B19&quot;/&gt;&lt;wsp:rsid wsp:val=&quot;002F30BA&quot;/&gt;&lt;wsp:rsid wsp:val=&quot;002F374B&quot;/&gt;&lt;wsp:rsid wsp:val=&quot;002F4601&quot;/&gt;&lt;wsp:rsid wsp:val=&quot;002F567C&quot;/&gt;&lt;wsp:rsid wsp:val=&quot;002F7AAE&quot;/&gt;&lt;wsp:rsid wsp:val=&quot;002F7C59&quot;/&gt;&lt;wsp:rsid wsp:val=&quot;00301424&quot;/&gt;&lt;wsp:rsid wsp:val=&quot;003019DB&quot;/&gt;&lt;wsp:rsid wsp:val=&quot;003038D0&quot;/&gt;&lt;wsp:rsid wsp:val=&quot;00303F20&quot;/&gt;&lt;wsp:rsid wsp:val=&quot;00303FAC&quot;/&gt;&lt;wsp:rsid wsp:val=&quot;00304465&quot;/&gt;&lt;wsp:rsid wsp:val=&quot;003045A9&quot;/&gt;&lt;wsp:rsid wsp:val=&quot;0030488F&quot;/&gt;&lt;wsp:rsid wsp:val=&quot;00306559&quot;/&gt;&lt;wsp:rsid wsp:val=&quot;00307248&quot;/&gt;&lt;wsp:rsid wsp:val=&quot;003073F5&quot;/&gt;&lt;wsp:rsid wsp:val=&quot;00307ACC&quot;/&gt;&lt;wsp:rsid wsp:val=&quot;00307BA9&quot;/&gt;&lt;wsp:rsid wsp:val=&quot;00307E5E&quot;/&gt;&lt;wsp:rsid wsp:val=&quot;003100FB&quot;/&gt;&lt;wsp:rsid wsp:val=&quot;0031039F&quot;/&gt;&lt;wsp:rsid wsp:val=&quot;00310499&quot;/&gt;&lt;wsp:rsid wsp:val=&quot;003105D0&quot;/&gt;&lt;wsp:rsid wsp:val=&quot;00311254&quot;/&gt;&lt;wsp:rsid wsp:val=&quot;0031167B&quot;/&gt;&lt;wsp:rsid wsp:val=&quot;00311994&quot;/&gt;&lt;wsp:rsid wsp:val=&quot;00311FB2&quot;/&gt;&lt;wsp:rsid wsp:val=&quot;003123AC&quot;/&gt;&lt;wsp:rsid wsp:val=&quot;00312C17&quot;/&gt;&lt;wsp:rsid wsp:val=&quot;003136DF&quot;/&gt;&lt;wsp:rsid wsp:val=&quot;00313C0D&quot;/&gt;&lt;wsp:rsid wsp:val=&quot;00313DE3&quot;/&gt;&lt;wsp:rsid wsp:val=&quot;003146D8&quot;/&gt;&lt;wsp:rsid wsp:val=&quot;00315701&quot;/&gt;&lt;wsp:rsid wsp:val=&quot;003161B5&quot;/&gt;&lt;wsp:rsid wsp:val=&quot;0031674B&quot;/&gt;&lt;wsp:rsid wsp:val=&quot;003169EC&quot;/&gt;&lt;wsp:rsid wsp:val=&quot;00316B31&quot;/&gt;&lt;wsp:rsid wsp:val=&quot;00317430&quot;/&gt;&lt;wsp:rsid wsp:val=&quot;00317462&quot;/&gt;&lt;wsp:rsid wsp:val=&quot;003179EA&quot;/&gt;&lt;wsp:rsid wsp:val=&quot;003208A9&quot;/&gt;&lt;wsp:rsid wsp:val=&quot;00321393&quot;/&gt;&lt;wsp:rsid wsp:val=&quot;0032156D&quot;/&gt;&lt;wsp:rsid wsp:val=&quot;003219D8&quot;/&gt;&lt;wsp:rsid wsp:val=&quot;00322347&quot;/&gt;&lt;wsp:rsid wsp:val=&quot;003226D5&quot;/&gt;&lt;wsp:rsid wsp:val=&quot;00322F60&quot;/&gt;&lt;wsp:rsid wsp:val=&quot;00323938&quot;/&gt;&lt;wsp:rsid wsp:val=&quot;00323D6C&quot;/&gt;&lt;wsp:rsid wsp:val=&quot;00323F7B&quot;/&gt;&lt;wsp:rsid wsp:val=&quot;00324D66&quot;/&gt;&lt;wsp:rsid wsp:val=&quot;00325AC5&quot;/&gt;&lt;wsp:rsid wsp:val=&quot;00325D44&quot;/&gt;&lt;wsp:rsid wsp:val=&quot;00326432&quot;/&gt;&lt;wsp:rsid wsp:val=&quot;00326C36&quot;/&gt;&lt;wsp:rsid wsp:val=&quot;00326EBA&quot;/&gt;&lt;wsp:rsid wsp:val=&quot;003278F5&quot;/&gt;&lt;wsp:rsid wsp:val=&quot;00331B6A&quot;/&gt;&lt;wsp:rsid wsp:val=&quot;00331BD1&quot;/&gt;&lt;wsp:rsid wsp:val=&quot;00332384&quot;/&gt;&lt;wsp:rsid wsp:val=&quot;0033245F&quot;/&gt;&lt;wsp:rsid wsp:val=&quot;003325A8&quot;/&gt;&lt;wsp:rsid wsp:val=&quot;0033329C&quot;/&gt;&lt;wsp:rsid wsp:val=&quot;00333EFE&quot;/&gt;&lt;wsp:rsid wsp:val=&quot;00334B1A&quot;/&gt;&lt;wsp:rsid wsp:val=&quot;00335104&quot;/&gt;&lt;wsp:rsid wsp:val=&quot;00335212&quot;/&gt;&lt;wsp:rsid wsp:val=&quot;00335991&quot;/&gt;&lt;wsp:rsid wsp:val=&quot;00335D7B&quot;/&gt;&lt;wsp:rsid wsp:val=&quot;00335F05&quot;/&gt;&lt;wsp:rsid wsp:val=&quot;00335FBB&quot;/&gt;&lt;wsp:rsid wsp:val=&quot;00337637&quot;/&gt;&lt;wsp:rsid wsp:val=&quot;0033784B&quot;/&gt;&lt;wsp:rsid wsp:val=&quot;00340184&quot;/&gt;&lt;wsp:rsid wsp:val=&quot;00340303&quot;/&gt;&lt;wsp:rsid wsp:val=&quot;0034055B&quot;/&gt;&lt;wsp:rsid wsp:val=&quot;003412CE&quot;/&gt;&lt;wsp:rsid wsp:val=&quot;00341538&quot;/&gt;&lt;wsp:rsid wsp:val=&quot;003415BB&quot;/&gt;&lt;wsp:rsid wsp:val=&quot;003421A8&quot;/&gt;&lt;wsp:rsid wsp:val=&quot;003423D8&quot;/&gt;&lt;wsp:rsid wsp:val=&quot;0034253C&quot;/&gt;&lt;wsp:rsid wsp:val=&quot;003430B8&quot;/&gt;&lt;wsp:rsid wsp:val=&quot;0034407E&quot;/&gt;&lt;wsp:rsid wsp:val=&quot;00346B42&quot;/&gt;&lt;wsp:rsid wsp:val=&quot;00347968&quot;/&gt;&lt;wsp:rsid wsp:val=&quot;00347A66&quot;/&gt;&lt;wsp:rsid wsp:val=&quot;00347F76&quot;/&gt;&lt;wsp:rsid wsp:val=&quot;00350044&quot;/&gt;&lt;wsp:rsid wsp:val=&quot;003503F8&quot;/&gt;&lt;wsp:rsid wsp:val=&quot;003505C9&quot;/&gt;&lt;wsp:rsid wsp:val=&quot;00350E1B&quot;/&gt;&lt;wsp:rsid wsp:val=&quot;00351095&quot;/&gt;&lt;wsp:rsid wsp:val=&quot;00351457&quot;/&gt;&lt;wsp:rsid wsp:val=&quot;003516DF&quot;/&gt;&lt;wsp:rsid wsp:val=&quot;00351CD7&quot;/&gt;&lt;wsp:rsid wsp:val=&quot;00352215&quot;/&gt;&lt;wsp:rsid wsp:val=&quot;003522EC&quot;/&gt;&lt;wsp:rsid wsp:val=&quot;00352847&quot;/&gt;&lt;wsp:rsid wsp:val=&quot;00352EEA&quot;/&gt;&lt;wsp:rsid wsp:val=&quot;003533D9&quot;/&gt;&lt;wsp:rsid wsp:val=&quot;003541C7&quot;/&gt;&lt;wsp:rsid wsp:val=&quot;0035431F&quot;/&gt;&lt;wsp:rsid wsp:val=&quot;00355097&quot;/&gt;&lt;wsp:rsid wsp:val=&quot;00355E85&quot;/&gt;&lt;wsp:rsid wsp:val=&quot;00356807&quot;/&gt;&lt;wsp:rsid wsp:val=&quot;00356DA0&quot;/&gt;&lt;wsp:rsid wsp:val=&quot;0035703B&quot;/&gt;&lt;wsp:rsid wsp:val=&quot;00360363&quot;/&gt;&lt;wsp:rsid wsp:val=&quot;003608C6&quot;/&gt;&lt;wsp:rsid wsp:val=&quot;00360E30&quot;/&gt;&lt;wsp:rsid wsp:val=&quot;0036116B&quot;/&gt;&lt;wsp:rsid wsp:val=&quot;00361D33&quot;/&gt;&lt;wsp:rsid wsp:val=&quot;003622E8&quot;/&gt;&lt;wsp:rsid wsp:val=&quot;00362B74&quot;/&gt;&lt;wsp:rsid wsp:val=&quot;00363399&quot;/&gt;&lt;wsp:rsid wsp:val=&quot;003637F8&quot;/&gt;&lt;wsp:rsid wsp:val=&quot;00363B49&quot;/&gt;&lt;wsp:rsid wsp:val=&quot;00364D2B&quot;/&gt;&lt;wsp:rsid wsp:val=&quot;0036626A&quot;/&gt;&lt;wsp:rsid wsp:val=&quot;0036676F&quot;/&gt;&lt;wsp:rsid wsp:val=&quot;00366C70&quot;/&gt;&lt;wsp:rsid wsp:val=&quot;00367AD4&quot;/&gt;&lt;wsp:rsid wsp:val=&quot;00367C28&quot;/&gt;&lt;wsp:rsid wsp:val=&quot;003704EE&quot;/&gt;&lt;wsp:rsid wsp:val=&quot;00370B9A&quot;/&gt;&lt;wsp:rsid wsp:val=&quot;003714A2&quot;/&gt;&lt;wsp:rsid wsp:val=&quot;00371892&quot;/&gt;&lt;wsp:rsid wsp:val=&quot;00371CB3&quot;/&gt;&lt;wsp:rsid wsp:val=&quot;003721BF&quot;/&gt;&lt;wsp:rsid wsp:val=&quot;0037224D&quot;/&gt;&lt;wsp:rsid wsp:val=&quot;0037273D&quot;/&gt;&lt;wsp:rsid wsp:val=&quot;00372ED3&quot;/&gt;&lt;wsp:rsid wsp:val=&quot;00373324&quot;/&gt;&lt;wsp:rsid wsp:val=&quot;00373C60&quot;/&gt;&lt;wsp:rsid wsp:val=&quot;00373E85&quot;/&gt;&lt;wsp:rsid wsp:val=&quot;00374506&quot;/&gt;&lt;wsp:rsid wsp:val=&quot;00374932&quot;/&gt;&lt;wsp:rsid wsp:val=&quot;00376327&quot;/&gt;&lt;wsp:rsid wsp:val=&quot;0037633D&quot;/&gt;&lt;wsp:rsid wsp:val=&quot;003767E7&quot;/&gt;&lt;wsp:rsid wsp:val=&quot;0037692E&quot;/&gt;&lt;wsp:rsid wsp:val=&quot;00376BE3&quot;/&gt;&lt;wsp:rsid wsp:val=&quot;00376C40&quot;/&gt;&lt;wsp:rsid wsp:val=&quot;00376E86&quot;/&gt;&lt;wsp:rsid wsp:val=&quot;0037789F&quot;/&gt;&lt;wsp:rsid wsp:val=&quot;00377AE9&quot;/&gt;&lt;wsp:rsid wsp:val=&quot;00380177&quot;/&gt;&lt;wsp:rsid wsp:val=&quot;00380853&quot;/&gt;&lt;wsp:rsid wsp:val=&quot;00381053&quot;/&gt;&lt;wsp:rsid wsp:val=&quot;00381056&quot;/&gt;&lt;wsp:rsid wsp:val=&quot;0038168D&quot;/&gt;&lt;wsp:rsid wsp:val=&quot;003824BF&quot;/&gt;&lt;wsp:rsid wsp:val=&quot;00382E54&quot;/&gt;&lt;wsp:rsid wsp:val=&quot;00383725&quot;/&gt;&lt;wsp:rsid wsp:val=&quot;00385B46&quot;/&gt;&lt;wsp:rsid wsp:val=&quot;00385C46&quot;/&gt;&lt;wsp:rsid wsp:val=&quot;00386191&quot;/&gt;&lt;wsp:rsid wsp:val=&quot;003871A5&quot;/&gt;&lt;wsp:rsid wsp:val=&quot;00387230&quot;/&gt;&lt;wsp:rsid wsp:val=&quot;0038727A&quot;/&gt;&lt;wsp:rsid wsp:val=&quot;003874D9&quot;/&gt;&lt;wsp:rsid wsp:val=&quot;0038754C&quot;/&gt;&lt;wsp:rsid wsp:val=&quot;0039045D&quot;/&gt;&lt;wsp:rsid wsp:val=&quot;0039055E&quot;/&gt;&lt;wsp:rsid wsp:val=&quot;00391310&quot;/&gt;&lt;wsp:rsid wsp:val=&quot;0039231E&quot;/&gt;&lt;wsp:rsid wsp:val=&quot;00392A4A&quot;/&gt;&lt;wsp:rsid wsp:val=&quot;0039382E&quot;/&gt;&lt;wsp:rsid wsp:val=&quot;003949AA&quot;/&gt;&lt;wsp:rsid wsp:val=&quot;003955BA&quot;/&gt;&lt;wsp:rsid wsp:val=&quot;00395A1D&quot;/&gt;&lt;wsp:rsid wsp:val=&quot;00395C8A&quot;/&gt;&lt;wsp:rsid wsp:val=&quot;003971D1&quot;/&gt;&lt;wsp:rsid wsp:val=&quot;003A1655&quot;/&gt;&lt;wsp:rsid wsp:val=&quot;003A1BEE&quot;/&gt;&lt;wsp:rsid wsp:val=&quot;003A218D&quot;/&gt;&lt;wsp:rsid wsp:val=&quot;003A2789&quot;/&gt;&lt;wsp:rsid wsp:val=&quot;003A2DBC&quot;/&gt;&lt;wsp:rsid wsp:val=&quot;003A3310&quot;/&gt;&lt;wsp:rsid wsp:val=&quot;003A3DF1&quot;/&gt;&lt;wsp:rsid wsp:val=&quot;003A42AB&quot;/&gt;&lt;wsp:rsid wsp:val=&quot;003A47F4&quot;/&gt;&lt;wsp:rsid wsp:val=&quot;003A6C97&quot;/&gt;&lt;wsp:rsid wsp:val=&quot;003A7062&quot;/&gt;&lt;wsp:rsid wsp:val=&quot;003A7745&quot;/&gt;&lt;wsp:rsid wsp:val=&quot;003B01ED&quot;/&gt;&lt;wsp:rsid wsp:val=&quot;003B031F&quot;/&gt;&lt;wsp:rsid wsp:val=&quot;003B0873&quot;/&gt;&lt;wsp:rsid wsp:val=&quot;003B1817&quot;/&gt;&lt;wsp:rsid wsp:val=&quot;003B1EA6&quot;/&gt;&lt;wsp:rsid wsp:val=&quot;003B21EF&quot;/&gt;&lt;wsp:rsid wsp:val=&quot;003B2FAA&quot;/&gt;&lt;wsp:rsid wsp:val=&quot;003B6689&quot;/&gt;&lt;wsp:rsid wsp:val=&quot;003B6B12&quot;/&gt;&lt;wsp:rsid wsp:val=&quot;003B716C&quot;/&gt;&lt;wsp:rsid wsp:val=&quot;003C196F&quot;/&gt;&lt;wsp:rsid wsp:val=&quot;003C29DD&quot;/&gt;&lt;wsp:rsid wsp:val=&quot;003C3003&quot;/&gt;&lt;wsp:rsid wsp:val=&quot;003C3900&quot;/&gt;&lt;wsp:rsid wsp:val=&quot;003C4B43&quot;/&gt;&lt;wsp:rsid wsp:val=&quot;003C5267&quot;/&gt;&lt;wsp:rsid wsp:val=&quot;003C6605&quot;/&gt;&lt;wsp:rsid wsp:val=&quot;003C6A44&quot;/&gt;&lt;wsp:rsid wsp:val=&quot;003C6C66&quot;/&gt;&lt;wsp:rsid wsp:val=&quot;003C7191&quot;/&gt;&lt;wsp:rsid wsp:val=&quot;003C7463&quot;/&gt;&lt;wsp:rsid wsp:val=&quot;003D05C1&quot;/&gt;&lt;wsp:rsid wsp:val=&quot;003D0A55&quot;/&gt;&lt;wsp:rsid wsp:val=&quot;003D13AB&quot;/&gt;&lt;wsp:rsid wsp:val=&quot;003D232E&quot;/&gt;&lt;wsp:rsid wsp:val=&quot;003D37FA&quot;/&gt;&lt;wsp:rsid wsp:val=&quot;003D3AA0&quot;/&gt;&lt;wsp:rsid wsp:val=&quot;003D51A7&quot;/&gt;&lt;wsp:rsid wsp:val=&quot;003D5816&quot;/&gt;&lt;wsp:rsid wsp:val=&quot;003D5CDB&quot;/&gt;&lt;wsp:rsid wsp:val=&quot;003D6C92&quot;/&gt;&lt;wsp:rsid wsp:val=&quot;003D7F48&quot;/&gt;&lt;wsp:rsid wsp:val=&quot;003E0EC5&quot;/&gt;&lt;wsp:rsid wsp:val=&quot;003E1062&quot;/&gt;&lt;wsp:rsid wsp:val=&quot;003E11A4&quot;/&gt;&lt;wsp:rsid wsp:val=&quot;003E1EA5&quot;/&gt;&lt;wsp:rsid wsp:val=&quot;003E22AB&quot;/&gt;&lt;wsp:rsid wsp:val=&quot;003E2C57&quot;/&gt;&lt;wsp:rsid wsp:val=&quot;003E47F1&quot;/&gt;&lt;wsp:rsid wsp:val=&quot;003E6142&quot;/&gt;&lt;wsp:rsid wsp:val=&quot;003E7540&quot;/&gt;&lt;wsp:rsid wsp:val=&quot;003E7AFF&quot;/&gt;&lt;wsp:rsid wsp:val=&quot;003F04BB&quot;/&gt;&lt;wsp:rsid wsp:val=&quot;003F2E0A&quot;/&gt;&lt;wsp:rsid wsp:val=&quot;003F3158&quot;/&gt;&lt;wsp:rsid wsp:val=&quot;003F3E86&quot;/&gt;&lt;wsp:rsid wsp:val=&quot;003F4AB3&quot;/&gt;&lt;wsp:rsid wsp:val=&quot;003F51E3&quot;/&gt;&lt;wsp:rsid wsp:val=&quot;003F59F1&quot;/&gt;&lt;wsp:rsid wsp:val=&quot;003F68BA&quot;/&gt;&lt;wsp:rsid wsp:val=&quot;003F6CBB&quot;/&gt;&lt;wsp:rsid wsp:val=&quot;003F6F24&quot;/&gt;&lt;wsp:rsid wsp:val=&quot;003F7B4C&quot;/&gt;&lt;wsp:rsid wsp:val=&quot;003F7B81&quot;/&gt;&lt;wsp:rsid wsp:val=&quot;004009A7&quot;/&gt;&lt;wsp:rsid wsp:val=&quot;00400C74&quot;/&gt;&lt;wsp:rsid wsp:val=&quot;00401EE8&quot;/&gt;&lt;wsp:rsid wsp:val=&quot;004026C1&quot;/&gt;&lt;wsp:rsid wsp:val=&quot;00402CB4&quot;/&gt;&lt;wsp:rsid wsp:val=&quot;00403EA6&quot;/&gt;&lt;wsp:rsid wsp:val=&quot;004040CE&quot;/&gt;&lt;wsp:rsid wsp:val=&quot;0040410C&quot;/&gt;&lt;wsp:rsid wsp:val=&quot;004041EE&quot;/&gt;&lt;wsp:rsid wsp:val=&quot;00404F27&quot;/&gt;&lt;wsp:rsid wsp:val=&quot;00404FF8&quot;/&gt;&lt;wsp:rsid wsp:val=&quot;004057A3&quot;/&gt;&lt;wsp:rsid wsp:val=&quot;0040673A&quot;/&gt;&lt;wsp:rsid wsp:val=&quot;00406748&quot;/&gt;&lt;wsp:rsid wsp:val=&quot;00406AB5&quot;/&gt;&lt;wsp:rsid wsp:val=&quot;004074C0&quot;/&gt;&lt;wsp:rsid wsp:val=&quot;00407DED&quot;/&gt;&lt;wsp:rsid wsp:val=&quot;00407ED5&quot;/&gt;&lt;wsp:rsid wsp:val=&quot;004102A6&quot;/&gt;&lt;wsp:rsid wsp:val=&quot;004102F4&quot;/&gt;&lt;wsp:rsid wsp:val=&quot;00411915&quot;/&gt;&lt;wsp:rsid wsp:val=&quot;004119D3&quot;/&gt;&lt;wsp:rsid wsp:val=&quot;00411E99&quot;/&gt;&lt;wsp:rsid wsp:val=&quot;00413C04&quot;/&gt;&lt;wsp:rsid wsp:val=&quot;004150F2&quot;/&gt;&lt;wsp:rsid wsp:val=&quot;00415882&quot;/&gt;&lt;wsp:rsid wsp:val=&quot;004162ED&quot;/&gt;&lt;wsp:rsid wsp:val=&quot;00416424&quot;/&gt;&lt;wsp:rsid wsp:val=&quot;00416B84&quot;/&gt;&lt;wsp:rsid wsp:val=&quot;00416F0A&quot;/&gt;&lt;wsp:rsid wsp:val=&quot;00416F93&quot;/&gt;&lt;wsp:rsid wsp:val=&quot;004200B3&quot;/&gt;&lt;wsp:rsid wsp:val=&quot;00421364&quot;/&gt;&lt;wsp:rsid wsp:val=&quot;004218C3&quot;/&gt;&lt;wsp:rsid wsp:val=&quot;00422350&quot;/&gt;&lt;wsp:rsid wsp:val=&quot;0042252E&quot;/&gt;&lt;wsp:rsid wsp:val=&quot;00422591&quot;/&gt;&lt;wsp:rsid wsp:val=&quot;00422AD7&quot;/&gt;&lt;wsp:rsid wsp:val=&quot;0042351B&quot;/&gt;&lt;wsp:rsid wsp:val=&quot;00423A69&quot;/&gt;&lt;wsp:rsid wsp:val=&quot;004241F6&quot;/&gt;&lt;wsp:rsid wsp:val=&quot;00424659&quot;/&gt;&lt;wsp:rsid wsp:val=&quot;004301A0&quot;/&gt;&lt;wsp:rsid wsp:val=&quot;0043077C&quot;/&gt;&lt;wsp:rsid wsp:val=&quot;0043094E&quot;/&gt;&lt;wsp:rsid wsp:val=&quot;00430C54&quot;/&gt;&lt;wsp:rsid wsp:val=&quot;00431154&quot;/&gt;&lt;wsp:rsid wsp:val=&quot;00431535&quot;/&gt;&lt;wsp:rsid wsp:val=&quot;004315DD&quot;/&gt;&lt;wsp:rsid wsp:val=&quot;00432265&quot;/&gt;&lt;wsp:rsid wsp:val=&quot;00432B60&quot;/&gt;&lt;wsp:rsid wsp:val=&quot;00432FCF&quot;/&gt;&lt;wsp:rsid wsp:val=&quot;00434357&quot;/&gt;&lt;wsp:rsid wsp:val=&quot;00434683&quot;/&gt;&lt;wsp:rsid wsp:val=&quot;00434765&quot;/&gt;&lt;wsp:rsid wsp:val=&quot;00436448&quot;/&gt;&lt;wsp:rsid wsp:val=&quot;00436FE7&quot;/&gt;&lt;wsp:rsid wsp:val=&quot;00437C54&quot;/&gt;&lt;wsp:rsid wsp:val=&quot;00440647&quot;/&gt;&lt;wsp:rsid wsp:val=&quot;00440CF7&quot;/&gt;&lt;wsp:rsid wsp:val=&quot;00440EC1&quot;/&gt;&lt;wsp:rsid wsp:val=&quot;00441387&quot;/&gt;&lt;wsp:rsid wsp:val=&quot;00442986&quot;/&gt;&lt;wsp:rsid wsp:val=&quot;004438D2&quot;/&gt;&lt;wsp:rsid wsp:val=&quot;00443F18&quot;/&gt;&lt;wsp:rsid wsp:val=&quot;00444AE0&quot;/&gt;&lt;wsp:rsid wsp:val=&quot;004456DE&quot;/&gt;&lt;wsp:rsid wsp:val=&quot;00446CA1&quot;/&gt;&lt;wsp:rsid wsp:val=&quot;00447161&quot;/&gt;&lt;wsp:rsid wsp:val=&quot;00447B07&quot;/&gt;&lt;wsp:rsid wsp:val=&quot;00447C22&quot;/&gt;&lt;wsp:rsid wsp:val=&quot;004500C6&quot;/&gt;&lt;wsp:rsid wsp:val=&quot;004511EB&quot;/&gt;&lt;wsp:rsid wsp:val=&quot;00451DF5&quot;/&gt;&lt;wsp:rsid wsp:val=&quot;00452084&quot;/&gt;&lt;wsp:rsid wsp:val=&quot;004521CF&quot;/&gt;&lt;wsp:rsid wsp:val=&quot;0045263B&quot;/&gt;&lt;wsp:rsid wsp:val=&quot;00454CD6&quot;/&gt;&lt;wsp:rsid wsp:val=&quot;00454D04&quot;/&gt;&lt;wsp:rsid wsp:val=&quot;00455408&quot;/&gt;&lt;wsp:rsid wsp:val=&quot;004554B5&quot;/&gt;&lt;wsp:rsid wsp:val=&quot;004558C1&quot;/&gt;&lt;wsp:rsid wsp:val=&quot;00456805&quot;/&gt;&lt;wsp:rsid wsp:val=&quot;00456DE9&quot;/&gt;&lt;wsp:rsid wsp:val=&quot;00456E1A&quot;/&gt;&lt;wsp:rsid wsp:val=&quot;00457F11&quot;/&gt;&lt;wsp:rsid wsp:val=&quot;00460818&quot;/&gt;&lt;wsp:rsid wsp:val=&quot;00460B70&quot;/&gt;&lt;wsp:rsid wsp:val=&quot;00460C83&quot;/&gt;&lt;wsp:rsid wsp:val=&quot;00461638&quot;/&gt;&lt;wsp:rsid wsp:val=&quot;00461A03&quot;/&gt;&lt;wsp:rsid wsp:val=&quot;00463640&quot;/&gt;&lt;wsp:rsid wsp:val=&quot;00464C4E&quot;/&gt;&lt;wsp:rsid wsp:val=&quot;004658EE&quot;/&gt;&lt;wsp:rsid wsp:val=&quot;00466C97&quot;/&gt;&lt;wsp:rsid wsp:val=&quot;00466D7D&quot;/&gt;&lt;wsp:rsid wsp:val=&quot;0046701F&quot;/&gt;&lt;wsp:rsid wsp:val=&quot;004673BC&quot;/&gt;&lt;wsp:rsid wsp:val=&quot;00467416&quot;/&gt;&lt;wsp:rsid wsp:val=&quot;004676F2&quot;/&gt;&lt;wsp:rsid wsp:val=&quot;0046795F&quot;/&gt;&lt;wsp:rsid wsp:val=&quot;00467B00&quot;/&gt;&lt;wsp:rsid wsp:val=&quot;00470FA0&quot;/&gt;&lt;wsp:rsid wsp:val=&quot;004714DD&quot;/&gt;&lt;wsp:rsid wsp:val=&quot;004718F7&quot;/&gt;&lt;wsp:rsid wsp:val=&quot;0047193B&quot;/&gt;&lt;wsp:rsid wsp:val=&quot;00471E6E&quot;/&gt;&lt;wsp:rsid wsp:val=&quot;004726BA&quot;/&gt;&lt;wsp:rsid wsp:val=&quot;0047323D&quot;/&gt;&lt;wsp:rsid wsp:val=&quot;00474EB8&quot;/&gt;&lt;wsp:rsid wsp:val=&quot;00475B64&quot;/&gt;&lt;wsp:rsid wsp:val=&quot;004772BA&quot;/&gt;&lt;wsp:rsid wsp:val=&quot;004775B5&quot;/&gt;&lt;wsp:rsid wsp:val=&quot;0048022F&quot;/&gt;&lt;wsp:rsid wsp:val=&quot;004802BF&quot;/&gt;&lt;wsp:rsid wsp:val=&quot;004809C2&quot;/&gt;&lt;wsp:rsid wsp:val=&quot;00480A7C&quot;/&gt;&lt;wsp:rsid wsp:val=&quot;00480FE8&quot;/&gt;&lt;wsp:rsid wsp:val=&quot;0048116A&quot;/&gt;&lt;wsp:rsid wsp:val=&quot;00481A71&quot;/&gt;&lt;wsp:rsid wsp:val=&quot;004839E6&quot;/&gt;&lt;wsp:rsid wsp:val=&quot;00483DB2&quot;/&gt;&lt;wsp:rsid wsp:val=&quot;00484F78&quot;/&gt;&lt;wsp:rsid wsp:val=&quot;004851B1&quot;/&gt;&lt;wsp:rsid wsp:val=&quot;00485D0D&quot;/&gt;&lt;wsp:rsid wsp:val=&quot;00486575&quot;/&gt;&lt;wsp:rsid wsp:val=&quot;004869B6&quot;/&gt;&lt;wsp:rsid wsp:val=&quot;004869CE&quot;/&gt;&lt;wsp:rsid wsp:val=&quot;004903A9&quot;/&gt;&lt;wsp:rsid wsp:val=&quot;004904A4&quot;/&gt;&lt;wsp:rsid wsp:val=&quot;00490892&quot;/&gt;&lt;wsp:rsid wsp:val=&quot;004935E0&quot;/&gt;&lt;wsp:rsid wsp:val=&quot;00494B87&quot;/&gt;&lt;wsp:rsid wsp:val=&quot;00494E94&quot;/&gt;&lt;wsp:rsid wsp:val=&quot;00495050&quot;/&gt;&lt;wsp:rsid wsp:val=&quot;00495424&quot;/&gt;&lt;wsp:rsid wsp:val=&quot;004959EF&quot;/&gt;&lt;wsp:rsid wsp:val=&quot;00495A0B&quot;/&gt;&lt;wsp:rsid wsp:val=&quot;00495BD5&quot;/&gt;&lt;wsp:rsid wsp:val=&quot;00496837&quot;/&gt;&lt;wsp:rsid wsp:val=&quot;00496D59&quot;/&gt;&lt;wsp:rsid wsp:val=&quot;004978EA&quot;/&gt;&lt;wsp:rsid wsp:val=&quot;00497B59&quot;/&gt;&lt;wsp:rsid wsp:val=&quot;00497DC0&quot;/&gt;&lt;wsp:rsid wsp:val=&quot;004A07CC&quot;/&gt;&lt;wsp:rsid wsp:val=&quot;004A0A5B&quot;/&gt;&lt;wsp:rsid wsp:val=&quot;004A13F5&quot;/&gt;&lt;wsp:rsid wsp:val=&quot;004A1E4E&quot;/&gt;&lt;wsp:rsid wsp:val=&quot;004A2A42&quot;/&gt;&lt;wsp:rsid wsp:val=&quot;004A3086&quot;/&gt;&lt;wsp:rsid wsp:val=&quot;004A3A92&quot;/&gt;&lt;wsp:rsid wsp:val=&quot;004A3DF3&quot;/&gt;&lt;wsp:rsid wsp:val=&quot;004A4C8A&quot;/&gt;&lt;wsp:rsid wsp:val=&quot;004A57C3&quot;/&gt;&lt;wsp:rsid wsp:val=&quot;004A59B6&quot;/&gt;&lt;wsp:rsid wsp:val=&quot;004A5B64&quot;/&gt;&lt;wsp:rsid wsp:val=&quot;004A60AD&quot;/&gt;&lt;wsp:rsid wsp:val=&quot;004A6973&quot;/&gt;&lt;wsp:rsid wsp:val=&quot;004A6B19&quot;/&gt;&lt;wsp:rsid wsp:val=&quot;004A6C0B&quot;/&gt;&lt;wsp:rsid wsp:val=&quot;004A6C44&quot;/&gt;&lt;wsp:rsid wsp:val=&quot;004A7498&quot;/&gt;&lt;wsp:rsid wsp:val=&quot;004A76A4&quot;/&gt;&lt;wsp:rsid wsp:val=&quot;004A7AE6&quot;/&gt;&lt;wsp:rsid wsp:val=&quot;004B130B&quot;/&gt;&lt;wsp:rsid wsp:val=&quot;004B1DEB&quot;/&gt;&lt;wsp:rsid wsp:val=&quot;004B1E8F&quot;/&gt;&lt;wsp:rsid wsp:val=&quot;004B20CA&quot;/&gt;&lt;wsp:rsid wsp:val=&quot;004B2C31&quot;/&gt;&lt;wsp:rsid wsp:val=&quot;004B33C9&quot;/&gt;&lt;wsp:rsid wsp:val=&quot;004B33E8&quot;/&gt;&lt;wsp:rsid wsp:val=&quot;004B3D17&quot;/&gt;&lt;wsp:rsid wsp:val=&quot;004B44F1&quot;/&gt;&lt;wsp:rsid wsp:val=&quot;004B47C9&quot;/&gt;&lt;wsp:rsid wsp:val=&quot;004B4F15&quot;/&gt;&lt;wsp:rsid wsp:val=&quot;004B4FD5&quot;/&gt;&lt;wsp:rsid wsp:val=&quot;004B504A&quot;/&gt;&lt;wsp:rsid wsp:val=&quot;004B5485&quot;/&gt;&lt;wsp:rsid wsp:val=&quot;004B59B4&quot;/&gt;&lt;wsp:rsid wsp:val=&quot;004B5E12&quot;/&gt;&lt;wsp:rsid wsp:val=&quot;004B61B6&quot;/&gt;&lt;wsp:rsid wsp:val=&quot;004B64A5&quot;/&gt;&lt;wsp:rsid wsp:val=&quot;004B685D&quot;/&gt;&lt;wsp:rsid wsp:val=&quot;004B693B&quot;/&gt;&lt;wsp:rsid wsp:val=&quot;004B77B1&quot;/&gt;&lt;wsp:rsid wsp:val=&quot;004C0436&quot;/&gt;&lt;wsp:rsid wsp:val=&quot;004C0526&quot;/&gt;&lt;wsp:rsid wsp:val=&quot;004C08C0&quot;/&gt;&lt;wsp:rsid wsp:val=&quot;004C0B91&quot;/&gt;&lt;wsp:rsid wsp:val=&quot;004C2A94&quot;/&gt;&lt;wsp:rsid wsp:val=&quot;004C3559&quot;/&gt;&lt;wsp:rsid wsp:val=&quot;004C3C1C&quot;/&gt;&lt;wsp:rsid wsp:val=&quot;004C3C9C&quot;/&gt;&lt;wsp:rsid wsp:val=&quot;004C4054&quot;/&gt;&lt;wsp:rsid wsp:val=&quot;004C53B3&quot;/&gt;&lt;wsp:rsid wsp:val=&quot;004C54B8&quot;/&gt;&lt;wsp:rsid wsp:val=&quot;004C5644&quot;/&gt;&lt;wsp:rsid wsp:val=&quot;004C5764&quot;/&gt;&lt;wsp:rsid wsp:val=&quot;004C6CDA&quot;/&gt;&lt;wsp:rsid wsp:val=&quot;004C7159&quot;/&gt;&lt;wsp:rsid wsp:val=&quot;004C769F&quot;/&gt;&lt;wsp:rsid wsp:val=&quot;004C7A48&quot;/&gt;&lt;wsp:rsid wsp:val=&quot;004D06CD&quot;/&gt;&lt;wsp:rsid wsp:val=&quot;004D0B97&quot;/&gt;&lt;wsp:rsid wsp:val=&quot;004D1B23&quot;/&gt;&lt;wsp:rsid wsp:val=&quot;004D1CF9&quot;/&gt;&lt;wsp:rsid wsp:val=&quot;004D1D17&quot;/&gt;&lt;wsp:rsid wsp:val=&quot;004D251B&quot;/&gt;&lt;wsp:rsid wsp:val=&quot;004D289D&quot;/&gt;&lt;wsp:rsid wsp:val=&quot;004D2C20&quot;/&gt;&lt;wsp:rsid wsp:val=&quot;004D2EEE&quot;/&gt;&lt;wsp:rsid wsp:val=&quot;004D5059&quot;/&gt;&lt;wsp:rsid wsp:val=&quot;004D5642&quot;/&gt;&lt;wsp:rsid wsp:val=&quot;004D59CE&quot;/&gt;&lt;wsp:rsid wsp:val=&quot;004D5A8B&quot;/&gt;&lt;wsp:rsid wsp:val=&quot;004D6588&quot;/&gt;&lt;wsp:rsid wsp:val=&quot;004D7781&quot;/&gt;&lt;wsp:rsid wsp:val=&quot;004E0994&quot;/&gt;&lt;wsp:rsid wsp:val=&quot;004E39B8&quot;/&gt;&lt;wsp:rsid wsp:val=&quot;004E39CD&quot;/&gt;&lt;wsp:rsid wsp:val=&quot;004E3C45&quot;/&gt;&lt;wsp:rsid wsp:val=&quot;004E3F47&quot;/&gt;&lt;wsp:rsid wsp:val=&quot;004E4259&quot;/&gt;&lt;wsp:rsid wsp:val=&quot;004E44FD&quot;/&gt;&lt;wsp:rsid wsp:val=&quot;004E45F5&quot;/&gt;&lt;wsp:rsid wsp:val=&quot;004E4DAF&quot;/&gt;&lt;wsp:rsid wsp:val=&quot;004E5AEE&quot;/&gt;&lt;wsp:rsid wsp:val=&quot;004E5E8F&quot;/&gt;&lt;wsp:rsid wsp:val=&quot;004E5F29&quot;/&gt;&lt;wsp:rsid wsp:val=&quot;004E61D7&quot;/&gt;&lt;wsp:rsid wsp:val=&quot;004E6416&quot;/&gt;&lt;wsp:rsid wsp:val=&quot;004E6AEF&quot;/&gt;&lt;wsp:rsid wsp:val=&quot;004E6B3B&quot;/&gt;&lt;wsp:rsid wsp:val=&quot;004E7225&quot;/&gt;&lt;wsp:rsid wsp:val=&quot;004E739E&quot;/&gt;&lt;wsp:rsid wsp:val=&quot;004E7464&quot;/&gt;&lt;wsp:rsid wsp:val=&quot;004E7A68&quot;/&gt;&lt;wsp:rsid wsp:val=&quot;004F0AA1&quot;/&gt;&lt;wsp:rsid wsp:val=&quot;004F0F75&quot;/&gt;&lt;wsp:rsid wsp:val=&quot;004F22DB&quot;/&gt;&lt;wsp:rsid wsp:val=&quot;004F2ECF&quot;/&gt;&lt;wsp:rsid wsp:val=&quot;004F330D&quot;/&gt;&lt;wsp:rsid wsp:val=&quot;004F362C&quot;/&gt;&lt;wsp:rsid wsp:val=&quot;004F51EB&quot;/&gt;&lt;wsp:rsid wsp:val=&quot;004F5305&quot;/&gt;&lt;wsp:rsid wsp:val=&quot;004F5853&quot;/&gt;&lt;wsp:rsid wsp:val=&quot;004F6215&quot;/&gt;&lt;wsp:rsid wsp:val=&quot;004F66CA&quot;/&gt;&lt;wsp:rsid wsp:val=&quot;004F785B&quot;/&gt;&lt;wsp:rsid wsp:val=&quot;004F7EC0&quot;/&gt;&lt;wsp:rsid wsp:val=&quot;005006BC&quot;/&gt;&lt;wsp:rsid wsp:val=&quot;0050077D&quot;/&gt;&lt;wsp:rsid wsp:val=&quot;0050078F&quot;/&gt;&lt;wsp:rsid wsp:val=&quot;00501E9E&quot;/&gt;&lt;wsp:rsid wsp:val=&quot;00501FD8&quot;/&gt;&lt;wsp:rsid wsp:val=&quot;00502805&quot;/&gt;&lt;wsp:rsid wsp:val=&quot;0050306B&quot;/&gt;&lt;wsp:rsid wsp:val=&quot;005033D6&quot;/&gt;&lt;wsp:rsid wsp:val=&quot;00503F29&quot;/&gt;&lt;wsp:rsid wsp:val=&quot;00503FD4&quot;/&gt;&lt;wsp:rsid wsp:val=&quot;005040EE&quot;/&gt;&lt;wsp:rsid wsp:val=&quot;005048AE&quot;/&gt;&lt;wsp:rsid wsp:val=&quot;00504C0B&quot;/&gt;&lt;wsp:rsid wsp:val=&quot;0050551A&quot;/&gt;&lt;wsp:rsid wsp:val=&quot;005055FA&quot;/&gt;&lt;wsp:rsid wsp:val=&quot;00505E59&quot;/&gt;&lt;wsp:rsid wsp:val=&quot;0050658F&quot;/&gt;&lt;wsp:rsid wsp:val=&quot;00506AAA&quot;/&gt;&lt;wsp:rsid wsp:val=&quot;00506D3F&quot;/&gt;&lt;wsp:rsid wsp:val=&quot;005074BF&quot;/&gt;&lt;wsp:rsid wsp:val=&quot;00507924&quot;/&gt;&lt;wsp:rsid wsp:val=&quot;005103B3&quot;/&gt;&lt;wsp:rsid wsp:val=&quot;00510A25&quot;/&gt;&lt;wsp:rsid wsp:val=&quot;00511045&quot;/&gt;&lt;wsp:rsid wsp:val=&quot;00511A2E&quot;/&gt;&lt;wsp:rsid wsp:val=&quot;00511C27&quot;/&gt;&lt;wsp:rsid wsp:val=&quot;00512084&quot;/&gt;&lt;wsp:rsid wsp:val=&quot;0051226A&quot;/&gt;&lt;wsp:rsid wsp:val=&quot;00512366&quot;/&gt;&lt;wsp:rsid wsp:val=&quot;00513EB7&quot;/&gt;&lt;wsp:rsid wsp:val=&quot;0051401F&quot;/&gt;&lt;wsp:rsid wsp:val=&quot;00514A94&quot;/&gt;&lt;wsp:rsid wsp:val=&quot;00514A95&quot;/&gt;&lt;wsp:rsid wsp:val=&quot;00514C8A&quot;/&gt;&lt;wsp:rsid wsp:val=&quot;00516B8C&quot;/&gt;&lt;wsp:rsid wsp:val=&quot;00516E6C&quot;/&gt;&lt;wsp:rsid wsp:val=&quot;0051763F&quot;/&gt;&lt;wsp:rsid wsp:val=&quot;00517973&quot;/&gt;&lt;wsp:rsid wsp:val=&quot;00517D90&quot;/&gt;&lt;wsp:rsid wsp:val=&quot;00520124&quot;/&gt;&lt;wsp:rsid wsp:val=&quot;005209F3&quot;/&gt;&lt;wsp:rsid wsp:val=&quot;0052154E&quot;/&gt;&lt;wsp:rsid wsp:val=&quot;00521AC4&quot;/&gt;&lt;wsp:rsid wsp:val=&quot;00522034&quot;/&gt;&lt;wsp:rsid wsp:val=&quot;0052225A&quot;/&gt;&lt;wsp:rsid wsp:val=&quot;0052274A&quot;/&gt;&lt;wsp:rsid wsp:val=&quot;0052306E&quot;/&gt;&lt;wsp:rsid wsp:val=&quot;005237B7&quot;/&gt;&lt;wsp:rsid wsp:val=&quot;00523941&quot;/&gt;&lt;wsp:rsid wsp:val=&quot;00524133&quot;/&gt;&lt;wsp:rsid wsp:val=&quot;00524467&quot;/&gt;&lt;wsp:rsid wsp:val=&quot;00526783&quot;/&gt;&lt;wsp:rsid wsp:val=&quot;00526F23&quot;/&gt;&lt;wsp:rsid wsp:val=&quot;00526F95&quot;/&gt;&lt;wsp:rsid wsp:val=&quot;00527255&quot;/&gt;&lt;wsp:rsid wsp:val=&quot;005276F8&quot;/&gt;&lt;wsp:rsid wsp:val=&quot;0053044A&quot;/&gt;&lt;wsp:rsid wsp:val=&quot;0053072D&quot;/&gt;&lt;wsp:rsid wsp:val=&quot;00530CCC&quot;/&gt;&lt;wsp:rsid wsp:val=&quot;005311A7&quot;/&gt;&lt;wsp:rsid wsp:val=&quot;005313E8&quot;/&gt;&lt;wsp:rsid wsp:val=&quot;00531CE4&quot;/&gt;&lt;wsp:rsid wsp:val=&quot;00532F43&quot;/&gt;&lt;wsp:rsid wsp:val=&quot;005361D6&quot;/&gt;&lt;wsp:rsid wsp:val=&quot;0053623F&quot;/&gt;&lt;wsp:rsid wsp:val=&quot;00536B7A&quot;/&gt;&lt;wsp:rsid wsp:val=&quot;00536CD1&quot;/&gt;&lt;wsp:rsid wsp:val=&quot;00536D36&quot;/&gt;&lt;wsp:rsid wsp:val=&quot;005376BA&quot;/&gt;&lt;wsp:rsid wsp:val=&quot;00537910&quot;/&gt;&lt;wsp:rsid wsp:val=&quot;005416C4&quot;/&gt;&lt;wsp:rsid wsp:val=&quot;00541969&quot;/&gt;&lt;wsp:rsid wsp:val=&quot;00541E71&quot;/&gt;&lt;wsp:rsid wsp:val=&quot;00541F10&quot;/&gt;&lt;wsp:rsid wsp:val=&quot;005421CB&quot;/&gt;&lt;wsp:rsid wsp:val=&quot;005423F5&quot;/&gt;&lt;wsp:rsid wsp:val=&quot;00542EB7&quot;/&gt;&lt;wsp:rsid wsp:val=&quot;00543232&quot;/&gt;&lt;wsp:rsid wsp:val=&quot;00543489&quot;/&gt;&lt;wsp:rsid wsp:val=&quot;00543641&quot;/&gt;&lt;wsp:rsid wsp:val=&quot;005449B7&quot;/&gt;&lt;wsp:rsid wsp:val=&quot;00544A27&quot;/&gt;&lt;wsp:rsid wsp:val=&quot;00545118&quot;/&gt;&lt;wsp:rsid wsp:val=&quot;00545665&quot;/&gt;&lt;wsp:rsid wsp:val=&quot;00545D3F&quot;/&gt;&lt;wsp:rsid wsp:val=&quot;00545F8F&quot;/&gt;&lt;wsp:rsid wsp:val=&quot;00546330&quot;/&gt;&lt;wsp:rsid wsp:val=&quot;0054677B&quot;/&gt;&lt;wsp:rsid wsp:val=&quot;00550463&quot;/&gt;&lt;wsp:rsid wsp:val=&quot;00550D26&quot;/&gt;&lt;wsp:rsid wsp:val=&quot;00551953&quot;/&gt;&lt;wsp:rsid wsp:val=&quot;005523ED&quot;/&gt;&lt;wsp:rsid wsp:val=&quot;0055256C&quot;/&gt;&lt;wsp:rsid wsp:val=&quot;0055467B&quot;/&gt;&lt;wsp:rsid wsp:val=&quot;00554792&quot;/&gt;&lt;wsp:rsid wsp:val=&quot;005556D3&quot;/&gt;&lt;wsp:rsid wsp:val=&quot;005559DF&quot;/&gt;&lt;wsp:rsid wsp:val=&quot;00555F26&quot;/&gt;&lt;wsp:rsid wsp:val=&quot;00556598&quot;/&gt;&lt;wsp:rsid wsp:val=&quot;00556EB3&quot;/&gt;&lt;wsp:rsid wsp:val=&quot;00557811&quot;/&gt;&lt;wsp:rsid wsp:val=&quot;005579D2&quot;/&gt;&lt;wsp:rsid wsp:val=&quot;00557CF8&quot;/&gt;&lt;wsp:rsid wsp:val=&quot;00560953&quot;/&gt;&lt;wsp:rsid wsp:val=&quot;005610A3&quot;/&gt;&lt;wsp:rsid wsp:val=&quot;00561135&quot;/&gt;&lt;wsp:rsid wsp:val=&quot;00561BDA&quot;/&gt;&lt;wsp:rsid wsp:val=&quot;0056217C&quot;/&gt;&lt;wsp:rsid wsp:val=&quot;00563183&quot;/&gt;&lt;wsp:rsid wsp:val=&quot;00563702&quot;/&gt;&lt;wsp:rsid wsp:val=&quot;00563A74&quot;/&gt;&lt;wsp:rsid wsp:val=&quot;00563BCA&quot;/&gt;&lt;wsp:rsid wsp:val=&quot;005652C8&quot;/&gt;&lt;wsp:rsid wsp:val=&quot;005656E7&quot;/&gt;&lt;wsp:rsid wsp:val=&quot;00565BF0&quot;/&gt;&lt;wsp:rsid wsp:val=&quot;005665B6&quot;/&gt;&lt;wsp:rsid wsp:val=&quot;00566784&quot;/&gt;&lt;wsp:rsid wsp:val=&quot;0056727A&quot;/&gt;&lt;wsp:rsid wsp:val=&quot;00567A66&quot;/&gt;&lt;wsp:rsid wsp:val=&quot;00571001&quot;/&gt;&lt;wsp:rsid wsp:val=&quot;005714EE&quot;/&gt;&lt;wsp:rsid wsp:val=&quot;00571878&quot;/&gt;&lt;wsp:rsid wsp:val=&quot;00571FFF&quot;/&gt;&lt;wsp:rsid wsp:val=&quot;00572AE6&quot;/&gt;&lt;wsp:rsid wsp:val=&quot;00572F1A&quot;/&gt;&lt;wsp:rsid wsp:val=&quot;00573C58&quot;/&gt;&lt;wsp:rsid wsp:val=&quot;00573CE9&quot;/&gt;&lt;wsp:rsid wsp:val=&quot;00574369&quot;/&gt;&lt;wsp:rsid wsp:val=&quot;00574506&quot;/&gt;&lt;wsp:rsid wsp:val=&quot;00574C8A&quot;/&gt;&lt;wsp:rsid wsp:val=&quot;00574DCE&quot;/&gt;&lt;wsp:rsid wsp:val=&quot;00574FF7&quot;/&gt;&lt;wsp:rsid wsp:val=&quot;00575D01&quot;/&gt;&lt;wsp:rsid wsp:val=&quot;005771FE&quot;/&gt;&lt;wsp:rsid wsp:val=&quot;00577AD7&quot;/&gt;&lt;wsp:rsid wsp:val=&quot;0058014D&quot;/&gt;&lt;wsp:rsid wsp:val=&quot;005809C8&quot;/&gt;&lt;wsp:rsid wsp:val=&quot;00580E9C&quot;/&gt;&lt;wsp:rsid wsp:val=&quot;005815CA&quot;/&gt;&lt;wsp:rsid wsp:val=&quot;0058185E&quot;/&gt;&lt;wsp:rsid wsp:val=&quot;00581A4B&quot;/&gt;&lt;wsp:rsid wsp:val=&quot;0058422D&quot;/&gt;&lt;wsp:rsid wsp:val=&quot;0058455B&quot;/&gt;&lt;wsp:rsid wsp:val=&quot;00584DE0&quot;/&gt;&lt;wsp:rsid wsp:val=&quot;00585281&quot;/&gt;&lt;wsp:rsid wsp:val=&quot;00586CDC&quot;/&gt;&lt;wsp:rsid wsp:val=&quot;00587453&quot;/&gt;&lt;wsp:rsid wsp:val=&quot;0058767A&quot;/&gt;&lt;wsp:rsid wsp:val=&quot;005902AB&quot;/&gt;&lt;wsp:rsid wsp:val=&quot;00590483&quot;/&gt;&lt;wsp:rsid wsp:val=&quot;0059180B&quot;/&gt;&lt;wsp:rsid wsp:val=&quot;0059185A&quot;/&gt;&lt;wsp:rsid wsp:val=&quot;00591F84&quot;/&gt;&lt;wsp:rsid wsp:val=&quot;00592595&quot;/&gt;&lt;wsp:rsid wsp:val=&quot;005942E0&quot;/&gt;&lt;wsp:rsid wsp:val=&quot;00594425&quot;/&gt;&lt;wsp:rsid wsp:val=&quot;005947FF&quot;/&gt;&lt;wsp:rsid wsp:val=&quot;00595EE1&quot;/&gt;&lt;wsp:rsid wsp:val=&quot;0059631A&quot;/&gt;&lt;wsp:rsid wsp:val=&quot;005966FA&quot;/&gt;&lt;wsp:rsid wsp:val=&quot;00596E42&quot;/&gt;&lt;wsp:rsid wsp:val=&quot;00597EBD&quot;/&gt;&lt;wsp:rsid wsp:val=&quot;005A12FB&quot;/&gt;&lt;wsp:rsid wsp:val=&quot;005A18B3&quot;/&gt;&lt;wsp:rsid wsp:val=&quot;005A238D&quot;/&gt;&lt;wsp:rsid wsp:val=&quot;005A27CD&quot;/&gt;&lt;wsp:rsid wsp:val=&quot;005A2BFC&quot;/&gt;&lt;wsp:rsid wsp:val=&quot;005A5BAA&quot;/&gt;&lt;wsp:rsid wsp:val=&quot;005A68DF&quot;/&gt;&lt;wsp:rsid wsp:val=&quot;005A6A7B&quot;/&gt;&lt;wsp:rsid wsp:val=&quot;005A79E5&quot;/&gt;&lt;wsp:rsid wsp:val=&quot;005B0022&quot;/&gt;&lt;wsp:rsid wsp:val=&quot;005B00CC&quot;/&gt;&lt;wsp:rsid wsp:val=&quot;005B02F0&quot;/&gt;&lt;wsp:rsid wsp:val=&quot;005B09F3&quot;/&gt;&lt;wsp:rsid wsp:val=&quot;005B0FF4&quot;/&gt;&lt;wsp:rsid wsp:val=&quot;005B1544&quot;/&gt;&lt;wsp:rsid wsp:val=&quot;005B2319&quot;/&gt;&lt;wsp:rsid wsp:val=&quot;005B2A05&quot;/&gt;&lt;wsp:rsid wsp:val=&quot;005B34BF&quot;/&gt;&lt;wsp:rsid wsp:val=&quot;005B39EC&quot;/&gt;&lt;wsp:rsid wsp:val=&quot;005B39F6&quot;/&gt;&lt;wsp:rsid wsp:val=&quot;005B3B4B&quot;/&gt;&lt;wsp:rsid wsp:val=&quot;005B4828&quot;/&gt;&lt;wsp:rsid wsp:val=&quot;005B4986&quot;/&gt;&lt;wsp:rsid wsp:val=&quot;005B5476&quot;/&gt;&lt;wsp:rsid wsp:val=&quot;005B580A&quot;/&gt;&lt;wsp:rsid wsp:val=&quot;005B5999&quot;/&gt;&lt;wsp:rsid wsp:val=&quot;005B5AD1&quot;/&gt;&lt;wsp:rsid wsp:val=&quot;005B6063&quot;/&gt;&lt;wsp:rsid wsp:val=&quot;005B746B&quot;/&gt;&lt;wsp:rsid wsp:val=&quot;005B7AF5&quot;/&gt;&lt;wsp:rsid wsp:val=&quot;005C08BE&quot;/&gt;&lt;wsp:rsid wsp:val=&quot;005C15F9&quot;/&gt;&lt;wsp:rsid wsp:val=&quot;005C20B0&quot;/&gt;&lt;wsp:rsid wsp:val=&quot;005C2B4C&quot;/&gt;&lt;wsp:rsid wsp:val=&quot;005C31B4&quot;/&gt;&lt;wsp:rsid wsp:val=&quot;005C3E8C&quot;/&gt;&lt;wsp:rsid wsp:val=&quot;005C424F&quot;/&gt;&lt;wsp:rsid wsp:val=&quot;005C4531&quot;/&gt;&lt;wsp:rsid wsp:val=&quot;005C5382&quot;/&gt;&lt;wsp:rsid wsp:val=&quot;005C54CB&quot;/&gt;&lt;wsp:rsid wsp:val=&quot;005C5813&quot;/&gt;&lt;wsp:rsid wsp:val=&quot;005C6621&quot;/&gt;&lt;wsp:rsid wsp:val=&quot;005C6D5B&quot;/&gt;&lt;wsp:rsid wsp:val=&quot;005C76EB&quot;/&gt;&lt;wsp:rsid wsp:val=&quot;005D05C5&quot;/&gt;&lt;wsp:rsid wsp:val=&quot;005D0FA5&quot;/&gt;&lt;wsp:rsid wsp:val=&quot;005D1A45&quot;/&gt;&lt;wsp:rsid wsp:val=&quot;005D253D&quot;/&gt;&lt;wsp:rsid wsp:val=&quot;005D27F0&quot;/&gt;&lt;wsp:rsid wsp:val=&quot;005D2903&quot;/&gt;&lt;wsp:rsid wsp:val=&quot;005D4822&quot;/&gt;&lt;wsp:rsid wsp:val=&quot;005D4DA3&quot;/&gt;&lt;wsp:rsid wsp:val=&quot;005D4FC4&quot;/&gt;&lt;wsp:rsid wsp:val=&quot;005D7808&quot;/&gt;&lt;wsp:rsid wsp:val=&quot;005D7EAD&quot;/&gt;&lt;wsp:rsid wsp:val=&quot;005D7EFD&quot;/&gt;&lt;wsp:rsid wsp:val=&quot;005D7FB9&quot;/&gt;&lt;wsp:rsid wsp:val=&quot;005E143D&quot;/&gt;&lt;wsp:rsid wsp:val=&quot;005E1C74&quot;/&gt;&lt;wsp:rsid wsp:val=&quot;005E1D6F&quot;/&gt;&lt;wsp:rsid wsp:val=&quot;005E37D1&quot;/&gt;&lt;wsp:rsid wsp:val=&quot;005E3CF5&quot;/&gt;&lt;wsp:rsid wsp:val=&quot;005E41E8&quot;/&gt;&lt;wsp:rsid wsp:val=&quot;005E4330&quot;/&gt;&lt;wsp:rsid wsp:val=&quot;005E47C4&quot;/&gt;&lt;wsp:rsid wsp:val=&quot;005E5135&quot;/&gt;&lt;wsp:rsid wsp:val=&quot;005E54D8&quot;/&gt;&lt;wsp:rsid wsp:val=&quot;005E5962&quot;/&gt;&lt;wsp:rsid wsp:val=&quot;005E5D43&quot;/&gt;&lt;wsp:rsid wsp:val=&quot;005E625F&quot;/&gt;&lt;wsp:rsid wsp:val=&quot;005E7FD9&quot;/&gt;&lt;wsp:rsid wsp:val=&quot;005F002B&quot;/&gt;&lt;wsp:rsid wsp:val=&quot;005F0099&quot;/&gt;&lt;wsp:rsid wsp:val=&quot;005F11F1&quot;/&gt;&lt;wsp:rsid wsp:val=&quot;005F1378&quot;/&gt;&lt;wsp:rsid wsp:val=&quot;005F1388&quot;/&gt;&lt;wsp:rsid wsp:val=&quot;005F14A8&quot;/&gt;&lt;wsp:rsid wsp:val=&quot;005F2105&quot;/&gt;&lt;wsp:rsid wsp:val=&quot;005F24DA&quot;/&gt;&lt;wsp:rsid wsp:val=&quot;005F2707&quot;/&gt;&lt;wsp:rsid wsp:val=&quot;005F3511&quot;/&gt;&lt;wsp:rsid wsp:val=&quot;005F3F0D&quot;/&gt;&lt;wsp:rsid wsp:val=&quot;005F40C3&quot;/&gt;&lt;wsp:rsid wsp:val=&quot;005F42B2&quot;/&gt;&lt;wsp:rsid wsp:val=&quot;005F4BB4&quot;/&gt;&lt;wsp:rsid wsp:val=&quot;005F4C0F&quot;/&gt;&lt;wsp:rsid wsp:val=&quot;005F4C2A&quot;/&gt;&lt;wsp:rsid wsp:val=&quot;005F4C82&quot;/&gt;&lt;wsp:rsid wsp:val=&quot;005F4CEB&quot;/&gt;&lt;wsp:rsid wsp:val=&quot;005F54BD&quot;/&gt;&lt;wsp:rsid wsp:val=&quot;005F59A6&quot;/&gt;&lt;wsp:rsid wsp:val=&quot;005F59B6&quot;/&gt;&lt;wsp:rsid wsp:val=&quot;005F5E03&quot;/&gt;&lt;wsp:rsid wsp:val=&quot;005F5F97&quot;/&gt;&lt;wsp:rsid wsp:val=&quot;005F62F7&quot;/&gt;&lt;wsp:rsid wsp:val=&quot;005F6A8D&quot;/&gt;&lt;wsp:rsid wsp:val=&quot;005F6F0B&quot;/&gt;&lt;wsp:rsid wsp:val=&quot;005F7682&quot;/&gt;&lt;wsp:rsid wsp:val=&quot;005F77DF&quot;/&gt;&lt;wsp:rsid wsp:val=&quot;00600093&quot;/&gt;&lt;wsp:rsid wsp:val=&quot;006004FB&quot;/&gt;&lt;wsp:rsid wsp:val=&quot;006007B5&quot;/&gt;&lt;wsp:rsid wsp:val=&quot;00600A81&quot;/&gt;&lt;wsp:rsid wsp:val=&quot;006012F6&quot;/&gt;&lt;wsp:rsid wsp:val=&quot;00602DE2&quot;/&gt;&lt;wsp:rsid wsp:val=&quot;006035F2&quot;/&gt;&lt;wsp:rsid wsp:val=&quot;00603EB4&quot;/&gt;&lt;wsp:rsid wsp:val=&quot;00605257&quot;/&gt;&lt;wsp:rsid wsp:val=&quot;006052BA&quot;/&gt;&lt;wsp:rsid wsp:val=&quot;00605FBD&quot;/&gt;&lt;wsp:rsid wsp:val=&quot;00606300&quot;/&gt;&lt;wsp:rsid wsp:val=&quot;0060655F&quot;/&gt;&lt;wsp:rsid wsp:val=&quot;00606A9A&quot;/&gt;&lt;wsp:rsid wsp:val=&quot;00606BE2&quot;/&gt;&lt;wsp:rsid wsp:val=&quot;00606C8C&quot;/&gt;&lt;wsp:rsid wsp:val=&quot;006071E3&quot;/&gt;&lt;wsp:rsid wsp:val=&quot;006073AA&quot;/&gt;&lt;wsp:rsid wsp:val=&quot;006104EB&quot;/&gt;&lt;wsp:rsid wsp:val=&quot;006106CB&quot;/&gt;&lt;wsp:rsid wsp:val=&quot;00610953&quot;/&gt;&lt;wsp:rsid wsp:val=&quot;00610C6D&quot;/&gt;&lt;wsp:rsid wsp:val=&quot;00610C71&quot;/&gt;&lt;wsp:rsid wsp:val=&quot;00610F15&quot;/&gt;&lt;wsp:rsid wsp:val=&quot;00611B1F&quot;/&gt;&lt;wsp:rsid wsp:val=&quot;00611D8D&quot;/&gt;&lt;wsp:rsid wsp:val=&quot;006125BB&quot;/&gt;&lt;wsp:rsid wsp:val=&quot;00612892&quot;/&gt;&lt;wsp:rsid wsp:val=&quot;00613095&quot;/&gt;&lt;wsp:rsid wsp:val=&quot;006134C9&quot;/&gt;&lt;wsp:rsid wsp:val=&quot;006146B6&quot;/&gt;&lt;wsp:rsid wsp:val=&quot;00614840&quot;/&gt;&lt;wsp:rsid wsp:val=&quot;0061490F&quot;/&gt;&lt;wsp:rsid wsp:val=&quot;00614AED&quot;/&gt;&lt;wsp:rsid wsp:val=&quot;00614CF1&quot;/&gt;&lt;wsp:rsid wsp:val=&quot;00615274&quot;/&gt;&lt;wsp:rsid wsp:val=&quot;00615784&quot;/&gt;&lt;wsp:rsid wsp:val=&quot;0061603F&quot;/&gt;&lt;wsp:rsid wsp:val=&quot;0061679E&quot;/&gt;&lt;wsp:rsid wsp:val=&quot;006172BB&quot;/&gt;&lt;wsp:rsid wsp:val=&quot;00617A2E&quot;/&gt;&lt;wsp:rsid wsp:val=&quot;00617B10&quot;/&gt;&lt;wsp:rsid wsp:val=&quot;00617EF1&quot;/&gt;&lt;wsp:rsid wsp:val=&quot;00620EB5&quot;/&gt;&lt;wsp:rsid wsp:val=&quot;00621053&quot;/&gt;&lt;wsp:rsid wsp:val=&quot;00621E90&quot;/&gt;&lt;wsp:rsid wsp:val=&quot;00621EFC&quot;/&gt;&lt;wsp:rsid wsp:val=&quot;00622BCE&quot;/&gt;&lt;wsp:rsid wsp:val=&quot;00622E98&quot;/&gt;&lt;wsp:rsid wsp:val=&quot;00624008&quot;/&gt;&lt;wsp:rsid wsp:val=&quot;00624285&quot;/&gt;&lt;wsp:rsid wsp:val=&quot;00624C98&quot;/&gt;&lt;wsp:rsid wsp:val=&quot;00624CD7&quot;/&gt;&lt;wsp:rsid wsp:val=&quot;00625105&quot;/&gt;&lt;wsp:rsid wsp:val=&quot;00625DE6&quot;/&gt;&lt;wsp:rsid wsp:val=&quot;00625E65&quot;/&gt;&lt;wsp:rsid wsp:val=&quot;006269D2&quot;/&gt;&lt;wsp:rsid wsp:val=&quot;00627982&quot;/&gt;&lt;wsp:rsid wsp:val=&quot;00627FE1&quot;/&gt;&lt;wsp:rsid wsp:val=&quot;006303E6&quot;/&gt;&lt;wsp:rsid wsp:val=&quot;00630A4C&quot;/&gt;&lt;wsp:rsid wsp:val=&quot;00631E33&quot;/&gt;&lt;wsp:rsid wsp:val=&quot;0063258B&quot;/&gt;&lt;wsp:rsid wsp:val=&quot;006325CD&quot;/&gt;&lt;wsp:rsid wsp:val=&quot;006333BE&quot;/&gt;&lt;wsp:rsid wsp:val=&quot;00633E73&quot;/&gt;&lt;wsp:rsid wsp:val=&quot;006349A9&quot;/&gt;&lt;wsp:rsid wsp:val=&quot;00635A28&quot;/&gt;&lt;wsp:rsid wsp:val=&quot;00635B90&quot;/&gt;&lt;wsp:rsid wsp:val=&quot;006362E7&quot;/&gt;&lt;wsp:rsid wsp:val=&quot;0063698F&quot;/&gt;&lt;wsp:rsid wsp:val=&quot;00636B13&quot;/&gt;&lt;wsp:rsid wsp:val=&quot;00636F62&quot;/&gt;&lt;wsp:rsid wsp:val=&quot;00637AF3&quot;/&gt;&lt;wsp:rsid wsp:val=&quot;00640377&quot;/&gt;&lt;wsp:rsid wsp:val=&quot;00640F9E&quot;/&gt;&lt;wsp:rsid wsp:val=&quot;006423FD&quot;/&gt;&lt;wsp:rsid wsp:val=&quot;00642F2D&quot;/&gt;&lt;wsp:rsid wsp:val=&quot;006437D9&quot;/&gt;&lt;wsp:rsid wsp:val=&quot;00645296&quot;/&gt;&lt;wsp:rsid wsp:val=&quot;006452B6&quot;/&gt;&lt;wsp:rsid wsp:val=&quot;00645485&quot;/&gt;&lt;wsp:rsid wsp:val=&quot;0064680F&quot;/&gt;&lt;wsp:rsid wsp:val=&quot;00646A03&quot;/&gt;&lt;wsp:rsid wsp:val=&quot;00646BF9&quot;/&gt;&lt;wsp:rsid wsp:val=&quot;0064750C&quot;/&gt;&lt;wsp:rsid wsp:val=&quot;00647615&quot;/&gt;&lt;wsp:rsid wsp:val=&quot;00647CAB&quot;/&gt;&lt;wsp:rsid wsp:val=&quot;0065061B&quot;/&gt;&lt;wsp:rsid wsp:val=&quot;00650B89&quot;/&gt;&lt;wsp:rsid wsp:val=&quot;0065108C&quot;/&gt;&lt;wsp:rsid wsp:val=&quot;006511E4&quot;/&gt;&lt;wsp:rsid wsp:val=&quot;00651212&quot;/&gt;&lt;wsp:rsid wsp:val=&quot;00652283&quot;/&gt;&lt;wsp:rsid wsp:val=&quot;00654045&quot;/&gt;&lt;wsp:rsid wsp:val=&quot;006541C3&quot;/&gt;&lt;wsp:rsid wsp:val=&quot;00654B76&quot;/&gt;&lt;wsp:rsid wsp:val=&quot;0065692E&quot;/&gt;&lt;wsp:rsid wsp:val=&quot;00657C23&quot;/&gt;&lt;wsp:rsid wsp:val=&quot;0066109B&quot;/&gt;&lt;wsp:rsid wsp:val=&quot;006617F0&quot;/&gt;&lt;wsp:rsid wsp:val=&quot;0066181E&quot;/&gt;&lt;wsp:rsid wsp:val=&quot;00661A64&quot;/&gt;&lt;wsp:rsid wsp:val=&quot;006623D5&quot;/&gt;&lt;wsp:rsid wsp:val=&quot;00662873&quot;/&gt;&lt;wsp:rsid wsp:val=&quot;00663520&quot;/&gt;&lt;wsp:rsid wsp:val=&quot;006635BE&quot;/&gt;&lt;wsp:rsid wsp:val=&quot;006638AF&quot;/&gt;&lt;wsp:rsid wsp:val=&quot;00663F14&quot;/&gt;&lt;wsp:rsid wsp:val=&quot;00664CAA&quot;/&gt;&lt;wsp:rsid wsp:val=&quot;00664FD1&quot;/&gt;&lt;wsp:rsid wsp:val=&quot;00666B7A&quot;/&gt;&lt;wsp:rsid wsp:val=&quot;00666D04&quot;/&gt;&lt;wsp:rsid wsp:val=&quot;00666EB3&quot;/&gt;&lt;wsp:rsid wsp:val=&quot;00670143&quot;/&gt;&lt;wsp:rsid wsp:val=&quot;006701D6&quot;/&gt;&lt;wsp:rsid wsp:val=&quot;00670618&quot;/&gt;&lt;wsp:rsid wsp:val=&quot;00670BFC&quot;/&gt;&lt;wsp:rsid wsp:val=&quot;00670C26&quot;/&gt;&lt;wsp:rsid wsp:val=&quot;00670D19&quot;/&gt;&lt;wsp:rsid wsp:val=&quot;00670E42&quot;/&gt;&lt;wsp:rsid wsp:val=&quot;00672FD9&quot;/&gt;&lt;wsp:rsid wsp:val=&quot;006732C2&quot;/&gt;&lt;wsp:rsid wsp:val=&quot;0067337C&quot;/&gt;&lt;wsp:rsid wsp:val=&quot;00673452&quot;/&gt;&lt;wsp:rsid wsp:val=&quot;00673857&quot;/&gt;&lt;wsp:rsid wsp:val=&quot;00675325&quot;/&gt;&lt;wsp:rsid wsp:val=&quot;00675C90&quot;/&gt;&lt;wsp:rsid wsp:val=&quot;00675E39&quot;/&gt;&lt;wsp:rsid wsp:val=&quot;00675F19&quot;/&gt;&lt;wsp:rsid wsp:val=&quot;00676ACC&quot;/&gt;&lt;wsp:rsid wsp:val=&quot;00676BC6&quot;/&gt;&lt;wsp:rsid wsp:val=&quot;00677A90&quot;/&gt;&lt;wsp:rsid wsp:val=&quot;00677CEA&quot;/&gt;&lt;wsp:rsid wsp:val=&quot;00677F08&quot;/&gt;&lt;wsp:rsid wsp:val=&quot;00680EE7&quot;/&gt;&lt;wsp:rsid wsp:val=&quot;0068105A&quot;/&gt;&lt;wsp:rsid wsp:val=&quot;006813EA&quot;/&gt;&lt;wsp:rsid wsp:val=&quot;0068179B&quot;/&gt;&lt;wsp:rsid wsp:val=&quot;00682486&quot;/&gt;&lt;wsp:rsid wsp:val=&quot;0068354B&quot;/&gt;&lt;wsp:rsid wsp:val=&quot;00683C16&quot;/&gt;&lt;wsp:rsid wsp:val=&quot;00683C27&quot;/&gt;&lt;wsp:rsid wsp:val=&quot;006844E9&quot;/&gt;&lt;wsp:rsid wsp:val=&quot;00684AED&quot;/&gt;&lt;wsp:rsid wsp:val=&quot;00684BF4&quot;/&gt;&lt;wsp:rsid wsp:val=&quot;00685206&quot;/&gt;&lt;wsp:rsid wsp:val=&quot;0068670E&quot;/&gt;&lt;wsp:rsid wsp:val=&quot;0068685E&quot;/&gt;&lt;wsp:rsid wsp:val=&quot;0068696D&quot;/&gt;&lt;wsp:rsid wsp:val=&quot;00686CC3&quot;/&gt;&lt;wsp:rsid wsp:val=&quot;00690B66&quot;/&gt;&lt;wsp:rsid wsp:val=&quot;006912DD&quot;/&gt;&lt;wsp:rsid wsp:val=&quot;00691E1F&quot;/&gt;&lt;wsp:rsid wsp:val=&quot;00691F46&quot;/&gt;&lt;wsp:rsid wsp:val=&quot;006935DF&quot;/&gt;&lt;wsp:rsid wsp:val=&quot;00694355&quot;/&gt;&lt;wsp:rsid wsp:val=&quot;00694B65&quot;/&gt;&lt;wsp:rsid wsp:val=&quot;00694D75&quot;/&gt;&lt;wsp:rsid wsp:val=&quot;006953BD&quot;/&gt;&lt;wsp:rsid wsp:val=&quot;0069683D&quot;/&gt;&lt;wsp:rsid wsp:val=&quot;006969B6&quot;/&gt;&lt;wsp:rsid wsp:val=&quot;00697190&quot;/&gt;&lt;wsp:rsid wsp:val=&quot;006971B4&quot;/&gt;&lt;wsp:rsid wsp:val=&quot;006A0049&quot;/&gt;&lt;wsp:rsid wsp:val=&quot;006A042E&quot;/&gt;&lt;wsp:rsid wsp:val=&quot;006A0465&quot;/&gt;&lt;wsp:rsid wsp:val=&quot;006A0EB0&quot;/&gt;&lt;wsp:rsid wsp:val=&quot;006A137E&quot;/&gt;&lt;wsp:rsid wsp:val=&quot;006A1A55&quot;/&gt;&lt;wsp:rsid wsp:val=&quot;006A1D02&quot;/&gt;&lt;wsp:rsid wsp:val=&quot;006A1E07&quot;/&gt;&lt;wsp:rsid wsp:val=&quot;006A2B03&quot;/&gt;&lt;wsp:rsid wsp:val=&quot;006A2F42&quot;/&gt;&lt;wsp:rsid wsp:val=&quot;006A3599&quot;/&gt;&lt;wsp:rsid wsp:val=&quot;006A39D7&quot;/&gt;&lt;wsp:rsid wsp:val=&quot;006A3D3F&quot;/&gt;&lt;wsp:rsid wsp:val=&quot;006A3F44&quot;/&gt;&lt;wsp:rsid wsp:val=&quot;006A5178&quot;/&gt;&lt;wsp:rsid wsp:val=&quot;006A67E3&quot;/&gt;&lt;wsp:rsid wsp:val=&quot;006A700C&quot;/&gt;&lt;wsp:rsid wsp:val=&quot;006A732B&quot;/&gt;&lt;wsp:rsid wsp:val=&quot;006A7D98&quot;/&gt;&lt;wsp:rsid wsp:val=&quot;006A7E5C&quot;/&gt;&lt;wsp:rsid wsp:val=&quot;006A7EC7&quot;/&gt;&lt;wsp:rsid wsp:val=&quot;006B038A&quot;/&gt;&lt;wsp:rsid wsp:val=&quot;006B0930&quot;/&gt;&lt;wsp:rsid wsp:val=&quot;006B0A6F&quot;/&gt;&lt;wsp:rsid wsp:val=&quot;006B0CED&quot;/&gt;&lt;wsp:rsid wsp:val=&quot;006B106B&quot;/&gt;&lt;wsp:rsid wsp:val=&quot;006B28C1&quot;/&gt;&lt;wsp:rsid wsp:val=&quot;006B2E9B&quot;/&gt;&lt;wsp:rsid wsp:val=&quot;006B3302&quot;/&gt;&lt;wsp:rsid wsp:val=&quot;006B3E9D&quot;/&gt;&lt;wsp:rsid wsp:val=&quot;006B49EC&quot;/&gt;&lt;wsp:rsid wsp:val=&quot;006B4DA5&quot;/&gt;&lt;wsp:rsid wsp:val=&quot;006B4F77&quot;/&gt;&lt;wsp:rsid wsp:val=&quot;006B6C05&quot;/&gt;&lt;wsp:rsid wsp:val=&quot;006B6D07&quot;/&gt;&lt;wsp:rsid wsp:val=&quot;006B7709&quot;/&gt;&lt;wsp:rsid wsp:val=&quot;006C0A6A&quot;/&gt;&lt;wsp:rsid wsp:val=&quot;006C0ABA&quot;/&gt;&lt;wsp:rsid wsp:val=&quot;006C1376&quot;/&gt;&lt;wsp:rsid wsp:val=&quot;006C186B&quot;/&gt;&lt;wsp:rsid wsp:val=&quot;006C1D51&quot;/&gt;&lt;wsp:rsid wsp:val=&quot;006C26B2&quot;/&gt;&lt;wsp:rsid wsp:val=&quot;006C2795&quot;/&gt;&lt;wsp:rsid wsp:val=&quot;006C2F06&quot;/&gt;&lt;wsp:rsid wsp:val=&quot;006C37A4&quot;/&gt;&lt;wsp:rsid wsp:val=&quot;006C46A1&quot;/&gt;&lt;wsp:rsid wsp:val=&quot;006C4AFA&quot;/&gt;&lt;wsp:rsid wsp:val=&quot;006C5C68&quot;/&gt;&lt;wsp:rsid wsp:val=&quot;006C63B6&quot;/&gt;&lt;wsp:rsid wsp:val=&quot;006C63DD&quot;/&gt;&lt;wsp:rsid wsp:val=&quot;006C6637&quot;/&gt;&lt;wsp:rsid wsp:val=&quot;006D0DDA&quot;/&gt;&lt;wsp:rsid wsp:val=&quot;006D1479&quot;/&gt;&lt;wsp:rsid wsp:val=&quot;006D18AD&quot;/&gt;&lt;wsp:rsid wsp:val=&quot;006D1C85&quot;/&gt;&lt;wsp:rsid wsp:val=&quot;006D267E&quot;/&gt;&lt;wsp:rsid wsp:val=&quot;006D334C&quot;/&gt;&lt;wsp:rsid wsp:val=&quot;006D43FE&quot;/&gt;&lt;wsp:rsid wsp:val=&quot;006D495B&quot;/&gt;&lt;wsp:rsid wsp:val=&quot;006D5736&quot;/&gt;&lt;wsp:rsid wsp:val=&quot;006D5B00&quot;/&gt;&lt;wsp:rsid wsp:val=&quot;006D6089&quot;/&gt;&lt;wsp:rsid wsp:val=&quot;006D60DF&quot;/&gt;&lt;wsp:rsid wsp:val=&quot;006E01D8&quot;/&gt;&lt;wsp:rsid wsp:val=&quot;006E08DD&quot;/&gt;&lt;wsp:rsid wsp:val=&quot;006E11E8&quot;/&gt;&lt;wsp:rsid wsp:val=&quot;006E1660&quot;/&gt;&lt;wsp:rsid wsp:val=&quot;006E1F29&quot;/&gt;&lt;wsp:rsid wsp:val=&quot;006E1F81&quot;/&gt;&lt;wsp:rsid wsp:val=&quot;006E2BD9&quot;/&gt;&lt;wsp:rsid wsp:val=&quot;006E2D20&quot;/&gt;&lt;wsp:rsid wsp:val=&quot;006E3615&quot;/&gt;&lt;wsp:rsid wsp:val=&quot;006E5DF6&quot;/&gt;&lt;wsp:rsid wsp:val=&quot;006E6A9B&quot;/&gt;&lt;wsp:rsid wsp:val=&quot;006E7169&quot;/&gt;&lt;wsp:rsid wsp:val=&quot;006E74AD&quot;/&gt;&lt;wsp:rsid wsp:val=&quot;006F06FB&quot;/&gt;&lt;wsp:rsid wsp:val=&quot;006F6C7A&quot;/&gt;&lt;wsp:rsid wsp:val=&quot;006F7620&quot;/&gt;&lt;wsp:rsid wsp:val=&quot;00700AFE&quot;/&gt;&lt;wsp:rsid wsp:val=&quot;00702604&quot;/&gt;&lt;wsp:rsid wsp:val=&quot;007026E8&quot;/&gt;&lt;wsp:rsid wsp:val=&quot;00702CEC&quot;/&gt;&lt;wsp:rsid wsp:val=&quot;00702F97&quot;/&gt;&lt;wsp:rsid wsp:val=&quot;0070304C&quot;/&gt;&lt;wsp:rsid wsp:val=&quot;007036E2&quot;/&gt;&lt;wsp:rsid wsp:val=&quot;00703EBE&quot;/&gt;&lt;wsp:rsid wsp:val=&quot;007041F1&quot;/&gt;&lt;wsp:rsid wsp:val=&quot;00704AA5&quot;/&gt;&lt;wsp:rsid wsp:val=&quot;00704AE9&quot;/&gt;&lt;wsp:rsid wsp:val=&quot;00705574&quot;/&gt;&lt;wsp:rsid wsp:val=&quot;00705788&quot;/&gt;&lt;wsp:rsid wsp:val=&quot;00705899&quot;/&gt;&lt;wsp:rsid wsp:val=&quot;007062D0&quot;/&gt;&lt;wsp:rsid wsp:val=&quot;007065FA&quot;/&gt;&lt;wsp:rsid wsp:val=&quot;00706971&quot;/&gt;&lt;wsp:rsid wsp:val=&quot;00706B83&quot;/&gt;&lt;wsp:rsid wsp:val=&quot;00707A0E&quot;/&gt;&lt;wsp:rsid wsp:val=&quot;00707A74&quot;/&gt;&lt;wsp:rsid wsp:val=&quot;007100AC&quot;/&gt;&lt;wsp:rsid wsp:val=&quot;00711BDE&quot;/&gt;&lt;wsp:rsid wsp:val=&quot;00711DD5&quot;/&gt;&lt;wsp:rsid wsp:val=&quot;00711ED7&quot;/&gt;&lt;wsp:rsid wsp:val=&quot;00712864&quot;/&gt;&lt;wsp:rsid wsp:val=&quot;007133C2&quot;/&gt;&lt;wsp:rsid wsp:val=&quot;00713CD3&quot;/&gt;&lt;wsp:rsid wsp:val=&quot;00714C7C&quot;/&gt;&lt;wsp:rsid wsp:val=&quot;007156E9&quot;/&gt;&lt;wsp:rsid wsp:val=&quot;00715CCF&quot;/&gt;&lt;wsp:rsid wsp:val=&quot;00715E83&quot;/&gt;&lt;wsp:rsid wsp:val=&quot;007160EA&quot;/&gt;&lt;wsp:rsid wsp:val=&quot;0071792A&quot;/&gt;&lt;wsp:rsid wsp:val=&quot;00717FCC&quot;/&gt;&lt;wsp:rsid wsp:val=&quot;007207D1&quot;/&gt;&lt;wsp:rsid wsp:val=&quot;00720906&quot;/&gt;&lt;wsp:rsid wsp:val=&quot;00720E51&quot;/&gt;&lt;wsp:rsid wsp:val=&quot;00720F63&quot;/&gt;&lt;wsp:rsid wsp:val=&quot;00721544&quot;/&gt;&lt;wsp:rsid wsp:val=&quot;007223F3&quot;/&gt;&lt;wsp:rsid wsp:val=&quot;007229F7&quot;/&gt;&lt;wsp:rsid wsp:val=&quot;00723A94&quot;/&gt;&lt;wsp:rsid wsp:val=&quot;007256AC&quot;/&gt;&lt;wsp:rsid wsp:val=&quot;007257E3&quot;/&gt;&lt;wsp:rsid wsp:val=&quot;00726B3F&quot;/&gt;&lt;wsp:rsid wsp:val=&quot;00727879&quot;/&gt;&lt;wsp:rsid wsp:val=&quot;007307FD&quot;/&gt;&lt;wsp:rsid wsp:val=&quot;007317C8&quot;/&gt;&lt;wsp:rsid wsp:val=&quot;00731AFA&quot;/&gt;&lt;wsp:rsid wsp:val=&quot;00732CD7&quot;/&gt;&lt;wsp:rsid wsp:val=&quot;00733DB9&quot;/&gt;&lt;wsp:rsid wsp:val=&quot;00734367&quot;/&gt;&lt;wsp:rsid wsp:val=&quot;00734392&quot;/&gt;&lt;wsp:rsid wsp:val=&quot;00734EC8&quot;/&gt;&lt;wsp:rsid wsp:val=&quot;00734EE9&quot;/&gt;&lt;wsp:rsid wsp:val=&quot;007356CF&quot;/&gt;&lt;wsp:rsid wsp:val=&quot;007363BD&quot;/&gt;&lt;wsp:rsid wsp:val=&quot;007368B3&quot;/&gt;&lt;wsp:rsid wsp:val=&quot;0073726C&quot;/&gt;&lt;wsp:rsid wsp:val=&quot;00740139&quot;/&gt;&lt;wsp:rsid wsp:val=&quot;00740B2E&quot;/&gt;&lt;wsp:rsid wsp:val=&quot;00740C36&quot;/&gt;&lt;wsp:rsid wsp:val=&quot;00740F53&quot;/&gt;&lt;wsp:rsid wsp:val=&quot;007412A5&quot;/&gt;&lt;wsp:rsid wsp:val=&quot;0074131E&quot;/&gt;&lt;wsp:rsid wsp:val=&quot;007418CF&quot;/&gt;&lt;wsp:rsid wsp:val=&quot;00742080&quot;/&gt;&lt;wsp:rsid wsp:val=&quot;007423A0&quot;/&gt;&lt;wsp:rsid wsp:val=&quot;00743092&quot;/&gt;&lt;wsp:rsid wsp:val=&quot;007431B5&quot;/&gt;&lt;wsp:rsid wsp:val=&quot;007441AE&quot;/&gt;&lt;wsp:rsid wsp:val=&quot;007449B9&quot;/&gt;&lt;wsp:rsid wsp:val=&quot;00744F09&quot;/&gt;&lt;wsp:rsid wsp:val=&quot;00745289&quot;/&gt;&lt;wsp:rsid wsp:val=&quot;00745346&quot;/&gt;&lt;wsp:rsid wsp:val=&quot;00745807&quot;/&gt;&lt;wsp:rsid wsp:val=&quot;00745AE9&quot;/&gt;&lt;wsp:rsid wsp:val=&quot;00745D97&quot;/&gt;&lt;wsp:rsid wsp:val=&quot;007464F9&quot;/&gt;&lt;wsp:rsid wsp:val=&quot;00746639&quot;/&gt;&lt;wsp:rsid wsp:val=&quot;00747073&quot;/&gt;&lt;wsp:rsid wsp:val=&quot;00747DD3&quot;/&gt;&lt;wsp:rsid wsp:val=&quot;00747EAD&quot;/&gt;&lt;wsp:rsid wsp:val=&quot;00750238&quot;/&gt;&lt;wsp:rsid wsp:val=&quot;00750B04&quot;/&gt;&lt;wsp:rsid wsp:val=&quot;00751295&quot;/&gt;&lt;wsp:rsid wsp:val=&quot;00751B8F&quot;/&gt;&lt;wsp:rsid wsp:val=&quot;00752004&quot;/&gt;&lt;wsp:rsid wsp:val=&quot;007531B7&quot;/&gt;&lt;wsp:rsid wsp:val=&quot;00753510&quot;/&gt;&lt;wsp:rsid wsp:val=&quot;00753C1D&quot;/&gt;&lt;wsp:rsid wsp:val=&quot;0075474C&quot;/&gt;&lt;wsp:rsid wsp:val=&quot;0075479B&quot;/&gt;&lt;wsp:rsid wsp:val=&quot;00754BE1&quot;/&gt;&lt;wsp:rsid wsp:val=&quot;00754C62&quot;/&gt;&lt;wsp:rsid wsp:val=&quot;00754DD9&quot;/&gt;&lt;wsp:rsid wsp:val=&quot;00755976&quot;/&gt;&lt;wsp:rsid wsp:val=&quot;00756370&quot;/&gt;&lt;wsp:rsid wsp:val=&quot;00756FAE&quot;/&gt;&lt;wsp:rsid wsp:val=&quot;007575F5&quot;/&gt;&lt;wsp:rsid wsp:val=&quot;00757E88&quot;/&gt;&lt;wsp:rsid wsp:val=&quot;00761159&quot;/&gt;&lt;wsp:rsid wsp:val=&quot;00761689&quot;/&gt;&lt;wsp:rsid wsp:val=&quot;007618E5&quot;/&gt;&lt;wsp:rsid wsp:val=&quot;00761AB7&quot;/&gt;&lt;wsp:rsid wsp:val=&quot;00761B0F&quot;/&gt;&lt;wsp:rsid wsp:val=&quot;00761E8A&quot;/&gt;&lt;wsp:rsid wsp:val=&quot;00762BAE&quot;/&gt;&lt;wsp:rsid wsp:val=&quot;00762C4D&quot;/&gt;&lt;wsp:rsid wsp:val=&quot;0076302B&quot;/&gt;&lt;wsp:rsid wsp:val=&quot;00763C76&quot;/&gt;&lt;wsp:rsid wsp:val=&quot;007640EA&quot;/&gt;&lt;wsp:rsid wsp:val=&quot;00764C2B&quot;/&gt;&lt;wsp:rsid wsp:val=&quot;00764D38&quot;/&gt;&lt;wsp:rsid wsp:val=&quot;00764E76&quot;/&gt;&lt;wsp:rsid wsp:val=&quot;00764F7C&quot;/&gt;&lt;wsp:rsid wsp:val=&quot;0076501A&quot;/&gt;&lt;wsp:rsid wsp:val=&quot;007656C5&quot;/&gt;&lt;wsp:rsid wsp:val=&quot;00765C45&quot;/&gt;&lt;wsp:rsid wsp:val=&quot;007661F7&quot;/&gt;&lt;wsp:rsid wsp:val=&quot;00766550&quot;/&gt;&lt;wsp:rsid wsp:val=&quot;00766E05&quot;/&gt;&lt;wsp:rsid wsp:val=&quot;00767842&quot;/&gt;&lt;wsp:rsid wsp:val=&quot;00770502&quot;/&gt;&lt;wsp:rsid wsp:val=&quot;00770E5C&quot;/&gt;&lt;wsp:rsid wsp:val=&quot;00771791&quot;/&gt;&lt;wsp:rsid wsp:val=&quot;00771A11&quot;/&gt;&lt;wsp:rsid wsp:val=&quot;00771D62&quot;/&gt;&lt;wsp:rsid wsp:val=&quot;00772702&quot;/&gt;&lt;wsp:rsid wsp:val=&quot;00772999&quot;/&gt;&lt;wsp:rsid wsp:val=&quot;007729A8&quot;/&gt;&lt;wsp:rsid wsp:val=&quot;007735A9&quot;/&gt;&lt;wsp:rsid wsp:val=&quot;00773A56&quot;/&gt;&lt;wsp:rsid wsp:val=&quot;00773C1B&quot;/&gt;&lt;wsp:rsid wsp:val=&quot;007740BD&quot;/&gt;&lt;wsp:rsid wsp:val=&quot;0077428F&quot;/&gt;&lt;wsp:rsid wsp:val=&quot;00774554&quot;/&gt;&lt;wsp:rsid wsp:val=&quot;00775BFA&quot;/&gt;&lt;wsp:rsid wsp:val=&quot;00775CCC&quot;/&gt;&lt;wsp:rsid wsp:val=&quot;00775DFE&quot;/&gt;&lt;wsp:rsid wsp:val=&quot;007768F7&quot;/&gt;&lt;wsp:rsid wsp:val=&quot;007773F6&quot;/&gt;&lt;wsp:rsid wsp:val=&quot;0077771D&quot;/&gt;&lt;wsp:rsid wsp:val=&quot;00777E6A&quot;/&gt;&lt;wsp:rsid wsp:val=&quot;0078065E&quot;/&gt;&lt;wsp:rsid wsp:val=&quot;00780F80&quot;/&gt;&lt;wsp:rsid wsp:val=&quot;0078179A&quot;/&gt;&lt;wsp:rsid wsp:val=&quot;00781981&quot;/&gt;&lt;wsp:rsid wsp:val=&quot;00781EAF&quot;/&gt;&lt;wsp:rsid wsp:val=&quot;007827FD&quot;/&gt;&lt;wsp:rsid wsp:val=&quot;007829AC&quot;/&gt;&lt;wsp:rsid wsp:val=&quot;00782C37&quot;/&gt;&lt;wsp:rsid wsp:val=&quot;00783857&quot;/&gt;&lt;wsp:rsid wsp:val=&quot;00783DA4&quot;/&gt;&lt;wsp:rsid wsp:val=&quot;00784628&quot;/&gt;&lt;wsp:rsid wsp:val=&quot;00784ACD&quot;/&gt;&lt;wsp:rsid wsp:val=&quot;00785FB3&quot;/&gt;&lt;wsp:rsid wsp:val=&quot;00786246&quot;/&gt;&lt;wsp:rsid wsp:val=&quot;00786AD9&quot;/&gt;&lt;wsp:rsid wsp:val=&quot;007872B4&quot;/&gt;&lt;wsp:rsid wsp:val=&quot;007873D6&quot;/&gt;&lt;wsp:rsid wsp:val=&quot;00787F86&quot;/&gt;&lt;wsp:rsid wsp:val=&quot;00791504&quot;/&gt;&lt;wsp:rsid wsp:val=&quot;00791BC4&quot;/&gt;&lt;wsp:rsid wsp:val=&quot;00792012&quot;/&gt;&lt;wsp:rsid wsp:val=&quot;00792AF9&quot;/&gt;&lt;wsp:rsid wsp:val=&quot;00792EF2&quot;/&gt;&lt;wsp:rsid wsp:val=&quot;007936DA&quot;/&gt;&lt;wsp:rsid wsp:val=&quot;0079380A&quot;/&gt;&lt;wsp:rsid wsp:val=&quot;00794199&quot;/&gt;&lt;wsp:rsid wsp:val=&quot;00794722&quot;/&gt;&lt;wsp:rsid wsp:val=&quot;007957D3&quot;/&gt;&lt;wsp:rsid wsp:val=&quot;00796492&quot;/&gt;&lt;wsp:rsid wsp:val=&quot;007972E7&quot;/&gt;&lt;wsp:rsid wsp:val=&quot;00797CC2&quot;/&gt;&lt;wsp:rsid wsp:val=&quot;007A0741&quot;/&gt;&lt;wsp:rsid wsp:val=&quot;007A077A&quot;/&gt;&lt;wsp:rsid wsp:val=&quot;007A48C8&quot;/&gt;&lt;wsp:rsid wsp:val=&quot;007A4B5C&quot;/&gt;&lt;wsp:rsid wsp:val=&quot;007A5792&quot;/&gt;&lt;wsp:rsid wsp:val=&quot;007A5D8B&quot;/&gt;&lt;wsp:rsid wsp:val=&quot;007A6772&quot;/&gt;&lt;wsp:rsid wsp:val=&quot;007B125B&quot;/&gt;&lt;wsp:rsid wsp:val=&quot;007B1476&quot;/&gt;&lt;wsp:rsid wsp:val=&quot;007B18ED&quot;/&gt;&lt;wsp:rsid wsp:val=&quot;007B1C1B&quot;/&gt;&lt;wsp:rsid wsp:val=&quot;007B1C30&quot;/&gt;&lt;wsp:rsid wsp:val=&quot;007B232C&quot;/&gt;&lt;wsp:rsid wsp:val=&quot;007B300E&quot;/&gt;&lt;wsp:rsid wsp:val=&quot;007B3181&quot;/&gt;&lt;wsp:rsid wsp:val=&quot;007B32BA&quot;/&gt;&lt;wsp:rsid wsp:val=&quot;007B34E4&quot;/&gt;&lt;wsp:rsid wsp:val=&quot;007B3940&quot;/&gt;&lt;wsp:rsid wsp:val=&quot;007B406A&quot;/&gt;&lt;wsp:rsid wsp:val=&quot;007B4F06&quot;/&gt;&lt;wsp:rsid wsp:val=&quot;007B5A28&quot;/&gt;&lt;wsp:rsid wsp:val=&quot;007B5B6B&quot;/&gt;&lt;wsp:rsid wsp:val=&quot;007B61B8&quot;/&gt;&lt;wsp:rsid wsp:val=&quot;007B644F&quot;/&gt;&lt;wsp:rsid wsp:val=&quot;007B77A1&quot;/&gt;&lt;wsp:rsid wsp:val=&quot;007C0025&quot;/&gt;&lt;wsp:rsid wsp:val=&quot;007C00AB&quot;/&gt;&lt;wsp:rsid wsp:val=&quot;007C16CB&quot;/&gt;&lt;wsp:rsid wsp:val=&quot;007C1C85&quot;/&gt;&lt;wsp:rsid wsp:val=&quot;007C24A6&quot;/&gt;&lt;wsp:rsid wsp:val=&quot;007C2728&quot;/&gt;&lt;wsp:rsid wsp:val=&quot;007C29D2&quot;/&gt;&lt;wsp:rsid wsp:val=&quot;007C40A7&quot;/&gt;&lt;wsp:rsid wsp:val=&quot;007C456D&quot;/&gt;&lt;wsp:rsid wsp:val=&quot;007C55B2&quot;/&gt;&lt;wsp:rsid wsp:val=&quot;007C58D0&quot;/&gt;&lt;wsp:rsid wsp:val=&quot;007C6E88&quot;/&gt;&lt;wsp:rsid wsp:val=&quot;007C736F&quot;/&gt;&lt;wsp:rsid wsp:val=&quot;007C76C1&quot;/&gt;&lt;wsp:rsid wsp:val=&quot;007C7A21&quot;/&gt;&lt;wsp:rsid wsp:val=&quot;007C7D0C&quot;/&gt;&lt;wsp:rsid wsp:val=&quot;007D051F&quot;/&gt;&lt;wsp:rsid wsp:val=&quot;007D0603&quot;/&gt;&lt;wsp:rsid wsp:val=&quot;007D10B2&quot;/&gt;&lt;wsp:rsid wsp:val=&quot;007D1F39&quot;/&gt;&lt;wsp:rsid wsp:val=&quot;007D1FD3&quot;/&gt;&lt;wsp:rsid wsp:val=&quot;007D264C&quot;/&gt;&lt;wsp:rsid wsp:val=&quot;007D29FC&quot;/&gt;&lt;wsp:rsid wsp:val=&quot;007D2F38&quot;/&gt;&lt;wsp:rsid wsp:val=&quot;007D3802&quot;/&gt;&lt;wsp:rsid wsp:val=&quot;007D54CE&quot;/&gt;&lt;wsp:rsid wsp:val=&quot;007D5A2B&quot;/&gt;&lt;wsp:rsid wsp:val=&quot;007D6A20&quot;/&gt;&lt;wsp:rsid wsp:val=&quot;007D711C&quot;/&gt;&lt;wsp:rsid wsp:val=&quot;007E0110&quot;/&gt;&lt;wsp:rsid wsp:val=&quot;007E0400&quot;/&gt;&lt;wsp:rsid wsp:val=&quot;007E1A92&quot;/&gt;&lt;wsp:rsid wsp:val=&quot;007E2640&quot;/&gt;&lt;wsp:rsid wsp:val=&quot;007E333C&quot;/&gt;&lt;wsp:rsid wsp:val=&quot;007E3BC1&quot;/&gt;&lt;wsp:rsid wsp:val=&quot;007E480B&quot;/&gt;&lt;wsp:rsid wsp:val=&quot;007E4A63&quot;/&gt;&lt;wsp:rsid wsp:val=&quot;007E5409&quot;/&gt;&lt;wsp:rsid wsp:val=&quot;007E5FB0&quot;/&gt;&lt;wsp:rsid wsp:val=&quot;007E7DF0&quot;/&gt;&lt;wsp:rsid wsp:val=&quot;007F016E&quot;/&gt;&lt;wsp:rsid wsp:val=&quot;007F042C&quot;/&gt;&lt;wsp:rsid wsp:val=&quot;007F0BB3&quot;/&gt;&lt;wsp:rsid wsp:val=&quot;007F1C28&quot;/&gt;&lt;wsp:rsid wsp:val=&quot;007F28E5&quot;/&gt;&lt;wsp:rsid wsp:val=&quot;007F2CF3&quot;/&gt;&lt;wsp:rsid wsp:val=&quot;007F30C5&quot;/&gt;&lt;wsp:rsid wsp:val=&quot;007F3BEB&quot;/&gt;&lt;wsp:rsid wsp:val=&quot;007F6788&quot;/&gt;&lt;wsp:rsid wsp:val=&quot;007F68A1&quot;/&gt;&lt;wsp:rsid wsp:val=&quot;007F72AC&quot;/&gt;&lt;wsp:rsid wsp:val=&quot;007F7F13&quot;/&gt;&lt;wsp:rsid wsp:val=&quot;00800CEA&quot;/&gt;&lt;wsp:rsid wsp:val=&quot;0080297F&quot;/&gt;&lt;wsp:rsid wsp:val=&quot;00802DFA&quot;/&gt;&lt;wsp:rsid wsp:val=&quot;00802F07&quot;/&gt;&lt;wsp:rsid wsp:val=&quot;0080361E&quot;/&gt;&lt;wsp:rsid wsp:val=&quot;008048DA&quot;/&gt;&lt;wsp:rsid wsp:val=&quot;00804A22&quot;/&gt;&lt;wsp:rsid wsp:val=&quot;00804A39&quot;/&gt;&lt;wsp:rsid wsp:val=&quot;00804DD8&quot;/&gt;&lt;wsp:rsid wsp:val=&quot;00805B1B&quot;/&gt;&lt;wsp:rsid wsp:val=&quot;00806393&quot;/&gt;&lt;wsp:rsid wsp:val=&quot;0080641D&quot;/&gt;&lt;wsp:rsid wsp:val=&quot;008066C7&quot;/&gt;&lt;wsp:rsid wsp:val=&quot;008070DD&quot;/&gt;&lt;wsp:rsid wsp:val=&quot;0080733B&quot;/&gt;&lt;wsp:rsid wsp:val=&quot;00807368&quot;/&gt;&lt;wsp:rsid wsp:val=&quot;00807961&quot;/&gt;&lt;wsp:rsid wsp:val=&quot;00807BE5&quot;/&gt;&lt;wsp:rsid wsp:val=&quot;00810561&quot;/&gt;&lt;wsp:rsid wsp:val=&quot;00811487&quot;/&gt;&lt;wsp:rsid wsp:val=&quot;00811521&quot;/&gt;&lt;wsp:rsid wsp:val=&quot;0081211E&quot;/&gt;&lt;wsp:rsid wsp:val=&quot;00812413&quot;/&gt;&lt;wsp:rsid wsp:val=&quot;008137BD&quot;/&gt;&lt;wsp:rsid wsp:val=&quot;00813C9B&quot;/&gt;&lt;wsp:rsid wsp:val=&quot;00813D32&quot;/&gt;&lt;wsp:rsid wsp:val=&quot;0081540D&quot;/&gt;&lt;wsp:rsid wsp:val=&quot;008155F4&quot;/&gt;&lt;wsp:rsid wsp:val=&quot;00815AA1&quot;/&gt;&lt;wsp:rsid wsp:val=&quot;008164A5&quot;/&gt;&lt;wsp:rsid wsp:val=&quot;00816B23&quot;/&gt;&lt;wsp:rsid wsp:val=&quot;00816BEB&quot;/&gt;&lt;wsp:rsid wsp:val=&quot;00816C7D&quot;/&gt;&lt;wsp:rsid wsp:val=&quot;00817465&quot;/&gt;&lt;wsp:rsid wsp:val=&quot;00817FCA&quot;/&gt;&lt;wsp:rsid wsp:val=&quot;00820203&quot;/&gt;&lt;wsp:rsid wsp:val=&quot;008202F7&quot;/&gt;&lt;wsp:rsid wsp:val=&quot;00821648&quot;/&gt;&lt;wsp:rsid wsp:val=&quot;008262BF&quot;/&gt;&lt;wsp:rsid wsp:val=&quot;00826BC1&quot;/&gt;&lt;wsp:rsid wsp:val=&quot;008279B8&quot;/&gt;&lt;wsp:rsid wsp:val=&quot;00831557&quot;/&gt;&lt;wsp:rsid wsp:val=&quot;00831D50&quot;/&gt;&lt;wsp:rsid wsp:val=&quot;00832A64&quot;/&gt;&lt;wsp:rsid wsp:val=&quot;00832DC0&quot;/&gt;&lt;wsp:rsid wsp:val=&quot;0083329B&quot;/&gt;&lt;wsp:rsid wsp:val=&quot;00833DDC&quot;/&gt;&lt;wsp:rsid wsp:val=&quot;00834519&quot;/&gt;&lt;wsp:rsid wsp:val=&quot;00835A35&quot;/&gt;&lt;wsp:rsid wsp:val=&quot;00835F86&quot;/&gt;&lt;wsp:rsid wsp:val=&quot;008378C8&quot;/&gt;&lt;wsp:rsid wsp:val=&quot;00840CD3&quot;/&gt;&lt;wsp:rsid wsp:val=&quot;00840E6F&quot;/&gt;&lt;wsp:rsid wsp:val=&quot;00841B86&quot;/&gt;&lt;wsp:rsid wsp:val=&quot;00841D65&quot;/&gt;&lt;wsp:rsid wsp:val=&quot;00841EDB&quot;/&gt;&lt;wsp:rsid wsp:val=&quot;008439EE&quot;/&gt;&lt;wsp:rsid wsp:val=&quot;00843CCC&quot;/&gt;&lt;wsp:rsid wsp:val=&quot;00844037&quot;/&gt;&lt;wsp:rsid wsp:val=&quot;008440EB&quot;/&gt;&lt;wsp:rsid wsp:val=&quot;00844429&quot;/&gt;&lt;wsp:rsid wsp:val=&quot;00845084&quot;/&gt;&lt;wsp:rsid wsp:val=&quot;00845B1B&quot;/&gt;&lt;wsp:rsid wsp:val=&quot;00845B4C&quot;/&gt;&lt;wsp:rsid wsp:val=&quot;00845CF5&quot;/&gt;&lt;wsp:rsid wsp:val=&quot;00846AE9&quot;/&gt;&lt;wsp:rsid wsp:val=&quot;00846DF2&quot;/&gt;&lt;wsp:rsid wsp:val=&quot;00847711&quot;/&gt;&lt;wsp:rsid wsp:val=&quot;00847824&quot;/&gt;&lt;wsp:rsid wsp:val=&quot;00847AFE&quot;/&gt;&lt;wsp:rsid wsp:val=&quot;0085062A&quot;/&gt;&lt;wsp:rsid wsp:val=&quot;00850990&quot;/&gt;&lt;wsp:rsid wsp:val=&quot;00851303&quot;/&gt;&lt;wsp:rsid wsp:val=&quot;00851614&quot;/&gt;&lt;wsp:rsid wsp:val=&quot;0085162A&quot;/&gt;&lt;wsp:rsid wsp:val=&quot;00851A1D&quot;/&gt;&lt;wsp:rsid wsp:val=&quot;00851E16&quot;/&gt;&lt;wsp:rsid wsp:val=&quot;00852147&quot;/&gt;&lt;wsp:rsid wsp:val=&quot;008521B9&quot;/&gt;&lt;wsp:rsid wsp:val=&quot;00852CE2&quot;/&gt;&lt;wsp:rsid wsp:val=&quot;008536C2&quot;/&gt;&lt;wsp:rsid wsp:val=&quot;00853797&quot;/&gt;&lt;wsp:rsid wsp:val=&quot;00853B51&quot;/&gt;&lt;wsp:rsid wsp:val=&quot;0085669B&quot;/&gt;&lt;wsp:rsid wsp:val=&quot;00856914&quot;/&gt;&lt;wsp:rsid wsp:val=&quot;0085743D&quot;/&gt;&lt;wsp:rsid wsp:val=&quot;00860BA8&quot;/&gt;&lt;wsp:rsid wsp:val=&quot;00860D69&quot;/&gt;&lt;wsp:rsid wsp:val=&quot;00860FC0&quot;/&gt;&lt;wsp:rsid wsp:val=&quot;008612CF&quot;/&gt;&lt;wsp:rsid wsp:val=&quot;008623C6&quot;/&gt;&lt;wsp:rsid wsp:val=&quot;00863407&quot;/&gt;&lt;wsp:rsid wsp:val=&quot;0086340E&quot;/&gt;&lt;wsp:rsid wsp:val=&quot;0086413A&quot;/&gt;&lt;wsp:rsid wsp:val=&quot;00864948&quot;/&gt;&lt;wsp:rsid wsp:val=&quot;00864BD5&quot;/&gt;&lt;wsp:rsid wsp:val=&quot;00865AD3&quot;/&gt;&lt;wsp:rsid wsp:val=&quot;00865BBC&quot;/&gt;&lt;wsp:rsid wsp:val=&quot;008662F9&quot;/&gt;&lt;wsp:rsid wsp:val=&quot;00866310&quot;/&gt;&lt;wsp:rsid wsp:val=&quot;008679B1&quot;/&gt;&lt;wsp:rsid wsp:val=&quot;00867E9A&quot;/&gt;&lt;wsp:rsid wsp:val=&quot;0087176A&quot;/&gt;&lt;wsp:rsid wsp:val=&quot;008719EE&quot;/&gt;&lt;wsp:rsid wsp:val=&quot;00871F64&quot;/&gt;&lt;wsp:rsid wsp:val=&quot;00872302&quot;/&gt;&lt;wsp:rsid wsp:val=&quot;00872C8D&quot;/&gt;&lt;wsp:rsid wsp:val=&quot;00873A37&quot;/&gt;&lt;wsp:rsid wsp:val=&quot;00874241&quot;/&gt;&lt;wsp:rsid wsp:val=&quot;00874C9E&quot;/&gt;&lt;wsp:rsid wsp:val=&quot;00874DDB&quot;/&gt;&lt;wsp:rsid wsp:val=&quot;00875267&quot;/&gt;&lt;wsp:rsid wsp:val=&quot;0087646C&quot;/&gt;&lt;wsp:rsid wsp:val=&quot;0087675E&quot;/&gt;&lt;wsp:rsid wsp:val=&quot;00877137&quot;/&gt;&lt;wsp:rsid wsp:val=&quot;00877B90&quot;/&gt;&lt;wsp:rsid wsp:val=&quot;00877F59&quot;/&gt;&lt;wsp:rsid wsp:val=&quot;00880713&quot;/&gt;&lt;wsp:rsid wsp:val=&quot;00882AC3&quot;/&gt;&lt;wsp:rsid wsp:val=&quot;008830E0&quot;/&gt;&lt;wsp:rsid wsp:val=&quot;008832B4&quot;/&gt;&lt;wsp:rsid wsp:val=&quot;00883B3C&quot;/&gt;&lt;wsp:rsid wsp:val=&quot;00883D6B&quot;/&gt;&lt;wsp:rsid wsp:val=&quot;00884863&quot;/&gt;&lt;wsp:rsid wsp:val=&quot;00884A9E&quot;/&gt;&lt;wsp:rsid wsp:val=&quot;00884B5E&quot;/&gt;&lt;wsp:rsid wsp:val=&quot;00885582&quot;/&gt;&lt;wsp:rsid wsp:val=&quot;0088586E&quot;/&gt;&lt;wsp:rsid wsp:val=&quot;00885B82&quot;/&gt;&lt;wsp:rsid wsp:val=&quot;00885DBF&quot;/&gt;&lt;wsp:rsid wsp:val=&quot;00885F4D&quot;/&gt;&lt;wsp:rsid wsp:val=&quot;00890300&quot;/&gt;&lt;wsp:rsid wsp:val=&quot;00890313&quot;/&gt;&lt;wsp:rsid wsp:val=&quot;008907EE&quot;/&gt;&lt;wsp:rsid wsp:val=&quot;00891F0D&quot;/&gt;&lt;wsp:rsid wsp:val=&quot;00892C02&quot;/&gt;&lt;wsp:rsid wsp:val=&quot;008933F9&quot;/&gt;&lt;wsp:rsid wsp:val=&quot;00893EE8&quot;/&gt;&lt;wsp:rsid wsp:val=&quot;00894412&quot;/&gt;&lt;wsp:rsid wsp:val=&quot;008949D5&quot;/&gt;&lt;wsp:rsid wsp:val=&quot;00894C07&quot;/&gt;&lt;wsp:rsid wsp:val=&quot;00895005&quot;/&gt;&lt;wsp:rsid wsp:val=&quot;0089513D&quot;/&gt;&lt;wsp:rsid wsp:val=&quot;008957A6&quot;/&gt;&lt;wsp:rsid wsp:val=&quot;00895C95&quot;/&gt;&lt;wsp:rsid wsp:val=&quot;008978A9&quot;/&gt;&lt;wsp:rsid wsp:val=&quot;00897E8A&quot;/&gt;&lt;wsp:rsid wsp:val=&quot;00897F28&quot;/&gt;&lt;wsp:rsid wsp:val=&quot;008A04AA&quot;/&gt;&lt;wsp:rsid wsp:val=&quot;008A04D8&quot;/&gt;&lt;wsp:rsid wsp:val=&quot;008A056B&quot;/&gt;&lt;wsp:rsid wsp:val=&quot;008A09DD&quot;/&gt;&lt;wsp:rsid wsp:val=&quot;008A0B89&quot;/&gt;&lt;wsp:rsid wsp:val=&quot;008A16E0&quot;/&gt;&lt;wsp:rsid wsp:val=&quot;008A1BEC&quot;/&gt;&lt;wsp:rsid wsp:val=&quot;008A1DCA&quot;/&gt;&lt;wsp:rsid wsp:val=&quot;008A300A&quot;/&gt;&lt;wsp:rsid wsp:val=&quot;008A30FD&quot;/&gt;&lt;wsp:rsid wsp:val=&quot;008A3F8D&quot;/&gt;&lt;wsp:rsid wsp:val=&quot;008A437E&quot;/&gt;&lt;wsp:rsid wsp:val=&quot;008A4609&quot;/&gt;&lt;wsp:rsid wsp:val=&quot;008A52B9&quot;/&gt;&lt;wsp:rsid wsp:val=&quot;008A551D&quot;/&gt;&lt;wsp:rsid wsp:val=&quot;008A58F7&quot;/&gt;&lt;wsp:rsid wsp:val=&quot;008A724A&quot;/&gt;&lt;wsp:rsid wsp:val=&quot;008A79DC&quot;/&gt;&lt;wsp:rsid wsp:val=&quot;008B01D2&quot;/&gt;&lt;wsp:rsid wsp:val=&quot;008B10A7&quot;/&gt;&lt;wsp:rsid wsp:val=&quot;008B419F&quot;/&gt;&lt;wsp:rsid wsp:val=&quot;008B4BD1&quot;/&gt;&lt;wsp:rsid wsp:val=&quot;008B4C14&quot;/&gt;&lt;wsp:rsid wsp:val=&quot;008B4DFB&quot;/&gt;&lt;wsp:rsid wsp:val=&quot;008B4E59&quot;/&gt;&lt;wsp:rsid wsp:val=&quot;008B4FD8&quot;/&gt;&lt;wsp:rsid wsp:val=&quot;008B5A22&quot;/&gt;&lt;wsp:rsid wsp:val=&quot;008B5B43&quot;/&gt;&lt;wsp:rsid wsp:val=&quot;008B681B&quot;/&gt;&lt;wsp:rsid wsp:val=&quot;008B6FF9&quot;/&gt;&lt;wsp:rsid wsp:val=&quot;008B7BF1&quot;/&gt;&lt;wsp:rsid wsp:val=&quot;008C0FB3&quot;/&gt;&lt;wsp:rsid wsp:val=&quot;008C137D&quot;/&gt;&lt;wsp:rsid wsp:val=&quot;008C1389&quot;/&gt;&lt;wsp:rsid wsp:val=&quot;008C15AD&quot;/&gt;&lt;wsp:rsid wsp:val=&quot;008C1CAA&quot;/&gt;&lt;wsp:rsid wsp:val=&quot;008C2C13&quot;/&gt;&lt;wsp:rsid wsp:val=&quot;008C2EBD&quot;/&gt;&lt;wsp:rsid wsp:val=&quot;008C4A20&quot;/&gt;&lt;wsp:rsid wsp:val=&quot;008C5DBE&quot;/&gt;&lt;wsp:rsid wsp:val=&quot;008C6169&quot;/&gt;&lt;wsp:rsid wsp:val=&quot;008C62AA&quot;/&gt;&lt;wsp:rsid wsp:val=&quot;008C64E6&quot;/&gt;&lt;wsp:rsid wsp:val=&quot;008C67F6&quot;/&gt;&lt;wsp:rsid wsp:val=&quot;008D05B8&quot;/&gt;&lt;wsp:rsid wsp:val=&quot;008D0EBB&quot;/&gt;&lt;wsp:rsid wsp:val=&quot;008D1346&quot;/&gt;&lt;wsp:rsid wsp:val=&quot;008D15BC&quot;/&gt;&lt;wsp:rsid wsp:val=&quot;008D1F4B&quot;/&gt;&lt;wsp:rsid wsp:val=&quot;008D32F6&quot;/&gt;&lt;wsp:rsid wsp:val=&quot;008D3BAE&quot;/&gt;&lt;wsp:rsid wsp:val=&quot;008D5158&quot;/&gt;&lt;wsp:rsid wsp:val=&quot;008D520A&quot;/&gt;&lt;wsp:rsid wsp:val=&quot;008D57BD&quot;/&gt;&lt;wsp:rsid wsp:val=&quot;008D5BB6&quot;/&gt;&lt;wsp:rsid wsp:val=&quot;008D63FF&quot;/&gt;&lt;wsp:rsid wsp:val=&quot;008D6A19&quot;/&gt;&lt;wsp:rsid wsp:val=&quot;008D74C7&quot;/&gt;&lt;wsp:rsid wsp:val=&quot;008D758A&quot;/&gt;&lt;wsp:rsid wsp:val=&quot;008D76C1&quot;/&gt;&lt;wsp:rsid wsp:val=&quot;008D7934&quot;/&gt;&lt;wsp:rsid wsp:val=&quot;008E028E&quot;/&gt;&lt;wsp:rsid wsp:val=&quot;008E10C5&quot;/&gt;&lt;wsp:rsid wsp:val=&quot;008E154E&quot;/&gt;&lt;wsp:rsid wsp:val=&quot;008E181C&quot;/&gt;&lt;wsp:rsid wsp:val=&quot;008E1A46&quot;/&gt;&lt;wsp:rsid wsp:val=&quot;008E1E4C&quot;/&gt;&lt;wsp:rsid wsp:val=&quot;008E2673&quot;/&gt;&lt;wsp:rsid wsp:val=&quot;008E27DC&quot;/&gt;&lt;wsp:rsid wsp:val=&quot;008E4633&quot;/&gt;&lt;wsp:rsid wsp:val=&quot;008E4EA3&quot;/&gt;&lt;wsp:rsid wsp:val=&quot;008E523A&quot;/&gt;&lt;wsp:rsid wsp:val=&quot;008E558B&quot;/&gt;&lt;wsp:rsid wsp:val=&quot;008E5CE9&quot;/&gt;&lt;wsp:rsid wsp:val=&quot;008E6282&quot;/&gt;&lt;wsp:rsid wsp:val=&quot;008E64FB&quot;/&gt;&lt;wsp:rsid wsp:val=&quot;008E661D&quot;/&gt;&lt;wsp:rsid wsp:val=&quot;008E786C&quot;/&gt;&lt;wsp:rsid wsp:val=&quot;008F05AF&quot;/&gt;&lt;wsp:rsid wsp:val=&quot;008F1226&quot;/&gt;&lt;wsp:rsid wsp:val=&quot;008F1336&quot;/&gt;&lt;wsp:rsid wsp:val=&quot;008F20BA&quot;/&gt;&lt;wsp:rsid wsp:val=&quot;008F2461&quot;/&gt;&lt;wsp:rsid wsp:val=&quot;008F2A79&quot;/&gt;&lt;wsp:rsid wsp:val=&quot;008F3B39&quot;/&gt;&lt;wsp:rsid wsp:val=&quot;008F477D&quot;/&gt;&lt;wsp:rsid wsp:val=&quot;008F4F80&quot;/&gt;&lt;wsp:rsid wsp:val=&quot;008F540E&quot;/&gt;&lt;wsp:rsid wsp:val=&quot;008F54A2&quot;/&gt;&lt;wsp:rsid wsp:val=&quot;008F70C8&quot;/&gt;&lt;wsp:rsid wsp:val=&quot;008F770A&quot;/&gt;&lt;wsp:rsid wsp:val=&quot;0090051D&quot;/&gt;&lt;wsp:rsid wsp:val=&quot;009008B1&quot;/&gt;&lt;wsp:rsid wsp:val=&quot;00900BF8&quot;/&gt;&lt;wsp:rsid wsp:val=&quot;009029C7&quot;/&gt;&lt;wsp:rsid wsp:val=&quot;0090398C&quot;/&gt;&lt;wsp:rsid wsp:val=&quot;00903D9E&quot;/&gt;&lt;wsp:rsid wsp:val=&quot;00903DCE&quot;/&gt;&lt;wsp:rsid wsp:val=&quot;009047D8&quot;/&gt;&lt;wsp:rsid wsp:val=&quot;009061FC&quot;/&gt;&lt;wsp:rsid wsp:val=&quot;00906875&quot;/&gt;&lt;wsp:rsid wsp:val=&quot;00906F94&quot;/&gt;&lt;wsp:rsid wsp:val=&quot;00907B59&quot;/&gt;&lt;wsp:rsid wsp:val=&quot;00907E85&quot;/&gt;&lt;wsp:rsid wsp:val=&quot;00910334&quot;/&gt;&lt;wsp:rsid wsp:val=&quot;00912356&quot;/&gt;&lt;wsp:rsid wsp:val=&quot;00912F78&quot;/&gt;&lt;wsp:rsid wsp:val=&quot;00912FE6&quot;/&gt;&lt;wsp:rsid wsp:val=&quot;0091320B&quot;/&gt;&lt;wsp:rsid wsp:val=&quot;00913C8D&quot;/&gt;&lt;wsp:rsid wsp:val=&quot;009142E9&quot;/&gt;&lt;wsp:rsid wsp:val=&quot;00914FF9&quot;/&gt;&lt;wsp:rsid wsp:val=&quot;00915522&quot;/&gt;&lt;wsp:rsid wsp:val=&quot;00915E58&quot;/&gt;&lt;wsp:rsid wsp:val=&quot;00915FFD&quot;/&gt;&lt;wsp:rsid wsp:val=&quot;00916778&quot;/&gt;&lt;wsp:rsid wsp:val=&quot;0091705C&quot;/&gt;&lt;wsp:rsid wsp:val=&quot;0091795C&quot;/&gt;&lt;wsp:rsid wsp:val=&quot;00917A1B&quot;/&gt;&lt;wsp:rsid wsp:val=&quot;00917F12&quot;/&gt;&lt;wsp:rsid wsp:val=&quot;00920349&quot;/&gt;&lt;wsp:rsid wsp:val=&quot;009210B2&quot;/&gt;&lt;wsp:rsid wsp:val=&quot;00921427&quot;/&gt;&lt;wsp:rsid wsp:val=&quot;00921D99&quot;/&gt;&lt;wsp:rsid wsp:val=&quot;009245D5&quot;/&gt;&lt;wsp:rsid wsp:val=&quot;00924EDA&quot;/&gt;&lt;wsp:rsid wsp:val=&quot;0092505B&quot;/&gt;&lt;wsp:rsid wsp:val=&quot;009250C2&quot;/&gt;&lt;wsp:rsid wsp:val=&quot;00925692&quot;/&gt;&lt;wsp:rsid wsp:val=&quot;00926952&quot;/&gt;&lt;wsp:rsid wsp:val=&quot;0093086E&quot;/&gt;&lt;wsp:rsid wsp:val=&quot;00930D9F&quot;/&gt;&lt;wsp:rsid wsp:val=&quot;0093116C&quot;/&gt;&lt;wsp:rsid wsp:val=&quot;00932124&quot;/&gt;&lt;wsp:rsid wsp:val=&quot;009322B4&quot;/&gt;&lt;wsp:rsid wsp:val=&quot;00932827&quot;/&gt;&lt;wsp:rsid wsp:val=&quot;00932F1C&quot;/&gt;&lt;wsp:rsid wsp:val=&quot;009339B7&quot;/&gt;&lt;wsp:rsid wsp:val=&quot;00933A63&quot;/&gt;&lt;wsp:rsid wsp:val=&quot;00933D64&quot;/&gt;&lt;wsp:rsid wsp:val=&quot;009342C5&quot;/&gt;&lt;wsp:rsid wsp:val=&quot;00934782&quot;/&gt;&lt;wsp:rsid wsp:val=&quot;009353FD&quot;/&gt;&lt;wsp:rsid wsp:val=&quot;00936781&quot;/&gt;&lt;wsp:rsid wsp:val=&quot;00936D42&quot;/&gt;&lt;wsp:rsid wsp:val=&quot;009370EA&quot;/&gt;&lt;wsp:rsid wsp:val=&quot;00937860&quot;/&gt;&lt;wsp:rsid wsp:val=&quot;00937F96&quot;/&gt;&lt;wsp:rsid wsp:val=&quot;0094023B&quot;/&gt;&lt;wsp:rsid wsp:val=&quot;00941685&quot;/&gt;&lt;wsp:rsid wsp:val=&quot;009426EF&quot;/&gt;&lt;wsp:rsid wsp:val=&quot;00942B7F&quot;/&gt;&lt;wsp:rsid wsp:val=&quot;00943FE3&quot;/&gt;&lt;wsp:rsid wsp:val=&quot;00944EBE&quot;/&gt;&lt;wsp:rsid wsp:val=&quot;00944F15&quot;/&gt;&lt;wsp:rsid wsp:val=&quot;00945734&quot;/&gt;&lt;wsp:rsid wsp:val=&quot;00945B73&quot;/&gt;&lt;wsp:rsid wsp:val=&quot;00945F48&quot;/&gt;&lt;wsp:rsid wsp:val=&quot;0094630C&quot;/&gt;&lt;wsp:rsid wsp:val=&quot;00946EE3&quot;/&gt;&lt;wsp:rsid wsp:val=&quot;009471A3&quot;/&gt;&lt;wsp:rsid wsp:val=&quot;0094720F&quot;/&gt;&lt;wsp:rsid wsp:val=&quot;00947267&quot;/&gt;&lt;wsp:rsid wsp:val=&quot;00947574&quot;/&gt;&lt;wsp:rsid wsp:val=&quot;009504B1&quot;/&gt;&lt;wsp:rsid wsp:val=&quot;009505C1&quot;/&gt;&lt;wsp:rsid wsp:val=&quot;00950B87&quot;/&gt;&lt;wsp:rsid wsp:val=&quot;00950D59&quot;/&gt;&lt;wsp:rsid wsp:val=&quot;0095233D&quot;/&gt;&lt;wsp:rsid wsp:val=&quot;009525C7&quot;/&gt;&lt;wsp:rsid wsp:val=&quot;0095293C&quot;/&gt;&lt;wsp:rsid wsp:val=&quot;00952FA2&quot;/&gt;&lt;wsp:rsid wsp:val=&quot;009540CB&quot;/&gt;&lt;wsp:rsid wsp:val=&quot;009549CC&quot;/&gt;&lt;wsp:rsid wsp:val=&quot;00955AB9&quot;/&gt;&lt;wsp:rsid wsp:val=&quot;00955C9C&quot;/&gt;&lt;wsp:rsid wsp:val=&quot;0095619B&quot;/&gt;&lt;wsp:rsid wsp:val=&quot;00956EAB&quot;/&gt;&lt;wsp:rsid wsp:val=&quot;00957226&quot;/&gt;&lt;wsp:rsid wsp:val=&quot;009574D5&quot;/&gt;&lt;wsp:rsid wsp:val=&quot;009579BA&quot;/&gt;&lt;wsp:rsid wsp:val=&quot;00960A0D&quot;/&gt;&lt;wsp:rsid wsp:val=&quot;00960ED4&quot;/&gt;&lt;wsp:rsid wsp:val=&quot;00960F89&quot;/&gt;&lt;wsp:rsid wsp:val=&quot;00962A0A&quot;/&gt;&lt;wsp:rsid wsp:val=&quot;00962A55&quot;/&gt;&lt;wsp:rsid wsp:val=&quot;00963035&quot;/&gt;&lt;wsp:rsid wsp:val=&quot;009639AE&quot;/&gt;&lt;wsp:rsid wsp:val=&quot;00963DB3&quot;/&gt;&lt;wsp:rsid wsp:val=&quot;00965143&quot;/&gt;&lt;wsp:rsid wsp:val=&quot;00966DEA&quot;/&gt;&lt;wsp:rsid wsp:val=&quot;00967274&quot;/&gt;&lt;wsp:rsid wsp:val=&quot;00967A0A&quot;/&gt;&lt;wsp:rsid wsp:val=&quot;00967FA6&quot;/&gt;&lt;wsp:rsid wsp:val=&quot;009702F3&quot;/&gt;&lt;wsp:rsid wsp:val=&quot;00970B59&quot;/&gt;&lt;wsp:rsid wsp:val=&quot;0097113F&quot;/&gt;&lt;wsp:rsid wsp:val=&quot;009713B5&quot;/&gt;&lt;wsp:rsid wsp:val=&quot;00971CFA&quot;/&gt;&lt;wsp:rsid wsp:val=&quot;009724AC&quot;/&gt;&lt;wsp:rsid wsp:val=&quot;00972902&quot;/&gt;&lt;wsp:rsid wsp:val=&quot;00972C58&quot;/&gt;&lt;wsp:rsid wsp:val=&quot;00973042&quot;/&gt;&lt;wsp:rsid wsp:val=&quot;0097386B&quot;/&gt;&lt;wsp:rsid wsp:val=&quot;00973A65&quot;/&gt;&lt;wsp:rsid wsp:val=&quot;00973B2D&quot;/&gt;&lt;wsp:rsid wsp:val=&quot;00973D0F&quot;/&gt;&lt;wsp:rsid wsp:val=&quot;00975412&quot;/&gt;&lt;wsp:rsid wsp:val=&quot;00977A11&quot;/&gt;&lt;wsp:rsid wsp:val=&quot;00977AA3&quot;/&gt;&lt;wsp:rsid wsp:val=&quot;009817D6&quot;/&gt;&lt;wsp:rsid wsp:val=&quot;00981D8B&quot;/&gt;&lt;wsp:rsid wsp:val=&quot;00982616&quot;/&gt;&lt;wsp:rsid wsp:val=&quot;00982A17&quot;/&gt;&lt;wsp:rsid wsp:val=&quot;00982AAD&quot;/&gt;&lt;wsp:rsid wsp:val=&quot;00983B7A&quot;/&gt;&lt;wsp:rsid wsp:val=&quot;00983DCA&quot;/&gt;&lt;wsp:rsid wsp:val=&quot;00984496&quot;/&gt;&lt;wsp:rsid wsp:val=&quot;00985481&quot;/&gt;&lt;wsp:rsid wsp:val=&quot;009855FE&quot;/&gt;&lt;wsp:rsid wsp:val=&quot;00986183&quot;/&gt;&lt;wsp:rsid wsp:val=&quot;00986651&quot;/&gt;&lt;wsp:rsid wsp:val=&quot;0098721C&quot;/&gt;&lt;wsp:rsid wsp:val=&quot;00987730&quot;/&gt;&lt;wsp:rsid wsp:val=&quot;00991532&quot;/&gt;&lt;wsp:rsid wsp:val=&quot;0099178F&quot;/&gt;&lt;wsp:rsid wsp:val=&quot;00992381&quot;/&gt;&lt;wsp:rsid wsp:val=&quot;00992FED&quot;/&gt;&lt;wsp:rsid wsp:val=&quot;00993DC6&quot;/&gt;&lt;wsp:rsid wsp:val=&quot;00995333&quot;/&gt;&lt;wsp:rsid wsp:val=&quot;009957CE&quot;/&gt;&lt;wsp:rsid wsp:val=&quot;00996B83&quot;/&gt;&lt;wsp:rsid wsp:val=&quot;009A00F2&quot;/&gt;&lt;wsp:rsid wsp:val=&quot;009A0C70&quot;/&gt;&lt;wsp:rsid wsp:val=&quot;009A14BD&quot;/&gt;&lt;wsp:rsid wsp:val=&quot;009A1607&quot;/&gt;&lt;wsp:rsid wsp:val=&quot;009A1637&quot;/&gt;&lt;wsp:rsid wsp:val=&quot;009A1D8D&quot;/&gt;&lt;wsp:rsid wsp:val=&quot;009A2447&quot;/&gt;&lt;wsp:rsid wsp:val=&quot;009A2C43&quot;/&gt;&lt;wsp:rsid wsp:val=&quot;009A2E6E&quot;/&gt;&lt;wsp:rsid wsp:val=&quot;009A331B&quot;/&gt;&lt;wsp:rsid wsp:val=&quot;009A3332&quot;/&gt;&lt;wsp:rsid wsp:val=&quot;009A3344&quot;/&gt;&lt;wsp:rsid wsp:val=&quot;009A3477&quot;/&gt;&lt;wsp:rsid wsp:val=&quot;009A367A&quot;/&gt;&lt;wsp:rsid wsp:val=&quot;009A5120&quot;/&gt;&lt;wsp:rsid wsp:val=&quot;009A6A75&quot;/&gt;&lt;wsp:rsid wsp:val=&quot;009A7102&quot;/&gt;&lt;wsp:rsid wsp:val=&quot;009A735B&quot;/&gt;&lt;wsp:rsid wsp:val=&quot;009A76DE&quot;/&gt;&lt;wsp:rsid wsp:val=&quot;009A7762&quot;/&gt;&lt;wsp:rsid wsp:val=&quot;009A7905&quot;/&gt;&lt;wsp:rsid wsp:val=&quot;009B0481&quot;/&gt;&lt;wsp:rsid wsp:val=&quot;009B0FA1&quot;/&gt;&lt;wsp:rsid wsp:val=&quot;009B0FF1&quot;/&gt;&lt;wsp:rsid wsp:val=&quot;009B1C8A&quot;/&gt;&lt;wsp:rsid wsp:val=&quot;009B1DFA&quot;/&gt;&lt;wsp:rsid wsp:val=&quot;009B22F9&quot;/&gt;&lt;wsp:rsid wsp:val=&quot;009B2BC8&quot;/&gt;&lt;wsp:rsid wsp:val=&quot;009B351C&quot;/&gt;&lt;wsp:rsid wsp:val=&quot;009B4088&quot;/&gt;&lt;wsp:rsid wsp:val=&quot;009B442E&quot;/&gt;&lt;wsp:rsid wsp:val=&quot;009B5235&quot;/&gt;&lt;wsp:rsid wsp:val=&quot;009B52B1&quot;/&gt;&lt;wsp:rsid wsp:val=&quot;009B6AE2&quot;/&gt;&lt;wsp:rsid wsp:val=&quot;009B72F0&quot;/&gt;&lt;wsp:rsid wsp:val=&quot;009B75F2&quot;/&gt;&lt;wsp:rsid wsp:val=&quot;009C0347&quot;/&gt;&lt;wsp:rsid wsp:val=&quot;009C13EB&quot;/&gt;&lt;wsp:rsid wsp:val=&quot;009C1DDB&quot;/&gt;&lt;wsp:rsid wsp:val=&quot;009C1DF1&quot;/&gt;&lt;wsp:rsid wsp:val=&quot;009C1EDB&quot;/&gt;&lt;wsp:rsid wsp:val=&quot;009C1F59&quot;/&gt;&lt;wsp:rsid wsp:val=&quot;009C2C3D&quot;/&gt;&lt;wsp:rsid wsp:val=&quot;009C2F22&quot;/&gt;&lt;wsp:rsid wsp:val=&quot;009C31C6&quot;/&gt;&lt;wsp:rsid wsp:val=&quot;009C325C&quot;/&gt;&lt;wsp:rsid wsp:val=&quot;009C3392&quot;/&gt;&lt;wsp:rsid wsp:val=&quot;009C48FD&quot;/&gt;&lt;wsp:rsid wsp:val=&quot;009C4A0B&quot;/&gt;&lt;wsp:rsid wsp:val=&quot;009C4AAF&quot;/&gt;&lt;wsp:rsid wsp:val=&quot;009C4BE8&quot;/&gt;&lt;wsp:rsid wsp:val=&quot;009C5278&quot;/&gt;&lt;wsp:rsid wsp:val=&quot;009C52E4&quot;/&gt;&lt;wsp:rsid wsp:val=&quot;009C5A47&quot;/&gt;&lt;wsp:rsid wsp:val=&quot;009C66EB&quot;/&gt;&lt;wsp:rsid wsp:val=&quot;009C77BA&quot;/&gt;&lt;wsp:rsid wsp:val=&quot;009D0A78&quot;/&gt;&lt;wsp:rsid wsp:val=&quot;009D14BB&quot;/&gt;&lt;wsp:rsid wsp:val=&quot;009D240C&quot;/&gt;&lt;wsp:rsid wsp:val=&quot;009D2590&quot;/&gt;&lt;wsp:rsid wsp:val=&quot;009D3DCA&quot;/&gt;&lt;wsp:rsid wsp:val=&quot;009D3E5D&quot;/&gt;&lt;wsp:rsid wsp:val=&quot;009D42B0&quot;/&gt;&lt;wsp:rsid wsp:val=&quot;009D4C83&quot;/&gt;&lt;wsp:rsid wsp:val=&quot;009D55FC&quot;/&gt;&lt;wsp:rsid wsp:val=&quot;009D7072&quot;/&gt;&lt;wsp:rsid wsp:val=&quot;009D775C&quot;/&gt;&lt;wsp:rsid wsp:val=&quot;009D7E30&quot;/&gt;&lt;wsp:rsid wsp:val=&quot;009E09C2&quot;/&gt;&lt;wsp:rsid wsp:val=&quot;009E0A6D&quot;/&gt;&lt;wsp:rsid wsp:val=&quot;009E0DA9&quot;/&gt;&lt;wsp:rsid wsp:val=&quot;009E0FAB&quot;/&gt;&lt;wsp:rsid wsp:val=&quot;009E13E3&quot;/&gt;&lt;wsp:rsid wsp:val=&quot;009E1624&quot;/&gt;&lt;wsp:rsid wsp:val=&quot;009E177C&quot;/&gt;&lt;wsp:rsid wsp:val=&quot;009E1817&quot;/&gt;&lt;wsp:rsid wsp:val=&quot;009E19DD&quot;/&gt;&lt;wsp:rsid wsp:val=&quot;009E1CC7&quot;/&gt;&lt;wsp:rsid wsp:val=&quot;009E1F1F&quot;/&gt;&lt;wsp:rsid wsp:val=&quot;009E2AC9&quot;/&gt;&lt;wsp:rsid wsp:val=&quot;009E332D&quot;/&gt;&lt;wsp:rsid wsp:val=&quot;009E479D&quot;/&gt;&lt;wsp:rsid wsp:val=&quot;009E4BF4&quot;/&gt;&lt;wsp:rsid wsp:val=&quot;009E5216&quot;/&gt;&lt;wsp:rsid wsp:val=&quot;009E6120&quot;/&gt;&lt;wsp:rsid wsp:val=&quot;009E689D&quot;/&gt;&lt;wsp:rsid wsp:val=&quot;009E74F4&quot;/&gt;&lt;wsp:rsid wsp:val=&quot;009E75FD&quot;/&gt;&lt;wsp:rsid wsp:val=&quot;009E7AFE&quot;/&gt;&lt;wsp:rsid wsp:val=&quot;009E7FD2&quot;/&gt;&lt;wsp:rsid wsp:val=&quot;009F005F&quot;/&gt;&lt;wsp:rsid wsp:val=&quot;009F106A&quot;/&gt;&lt;wsp:rsid wsp:val=&quot;009F2476&quot;/&gt;&lt;wsp:rsid wsp:val=&quot;009F295D&quot;/&gt;&lt;wsp:rsid wsp:val=&quot;009F2CA6&quot;/&gt;&lt;wsp:rsid wsp:val=&quot;009F3142&quot;/&gt;&lt;wsp:rsid wsp:val=&quot;009F3A8F&quot;/&gt;&lt;wsp:rsid wsp:val=&quot;009F3E00&quot;/&gt;&lt;wsp:rsid wsp:val=&quot;009F4AAE&quot;/&gt;&lt;wsp:rsid wsp:val=&quot;009F56E6&quot;/&gt;&lt;wsp:rsid wsp:val=&quot;009F604D&quot;/&gt;&lt;wsp:rsid wsp:val=&quot;009F6C1E&quot;/&gt;&lt;wsp:rsid wsp:val=&quot;009F6DA7&quot;/&gt;&lt;wsp:rsid wsp:val=&quot;009F71DB&quot;/&gt;&lt;wsp:rsid wsp:val=&quot;009F79CA&quot;/&gt;&lt;wsp:rsid wsp:val=&quot;00A00CD2&quot;/&gt;&lt;wsp:rsid wsp:val=&quot;00A0104F&quot;/&gt;&lt;wsp:rsid wsp:val=&quot;00A01127&quot;/&gt;&lt;wsp:rsid wsp:val=&quot;00A0206D&quot;/&gt;&lt;wsp:rsid wsp:val=&quot;00A02278&quot;/&gt;&lt;wsp:rsid wsp:val=&quot;00A02D30&quot;/&gt;&lt;wsp:rsid wsp:val=&quot;00A033FD&quot;/&gt;&lt;wsp:rsid wsp:val=&quot;00A03CFB&quot;/&gt;&lt;wsp:rsid wsp:val=&quot;00A04C5D&quot;/&gt;&lt;wsp:rsid wsp:val=&quot;00A061A7&quot;/&gt;&lt;wsp:rsid wsp:val=&quot;00A06457&quot;/&gt;&lt;wsp:rsid wsp:val=&quot;00A065D6&quot;/&gt;&lt;wsp:rsid wsp:val=&quot;00A06E2B&quot;/&gt;&lt;wsp:rsid wsp:val=&quot;00A0754E&quot;/&gt;&lt;wsp:rsid wsp:val=&quot;00A07E2C&quot;/&gt;&lt;wsp:rsid wsp:val=&quot;00A105E9&quot;/&gt;&lt;wsp:rsid wsp:val=&quot;00A1081D&quot;/&gt;&lt;wsp:rsid wsp:val=&quot;00A109F8&quot;/&gt;&lt;wsp:rsid wsp:val=&quot;00A10CCA&quot;/&gt;&lt;wsp:rsid wsp:val=&quot;00A10F7B&quot;/&gt;&lt;wsp:rsid wsp:val=&quot;00A11767&quot;/&gt;&lt;wsp:rsid wsp:val=&quot;00A1185B&quot;/&gt;&lt;wsp:rsid wsp:val=&quot;00A118AA&quot;/&gt;&lt;wsp:rsid wsp:val=&quot;00A11AE7&quot;/&gt;&lt;wsp:rsid wsp:val=&quot;00A12629&quot;/&gt;&lt;wsp:rsid wsp:val=&quot;00A12CFE&quot;/&gt;&lt;wsp:rsid wsp:val=&quot;00A12DAA&quot;/&gt;&lt;wsp:rsid wsp:val=&quot;00A13265&quot;/&gt;&lt;wsp:rsid wsp:val=&quot;00A13ED5&quot;/&gt;&lt;wsp:rsid wsp:val=&quot;00A14478&quot;/&gt;&lt;wsp:rsid wsp:val=&quot;00A14F9E&quot;/&gt;&lt;wsp:rsid wsp:val=&quot;00A15714&quot;/&gt;&lt;wsp:rsid wsp:val=&quot;00A15765&quot;/&gt;&lt;wsp:rsid wsp:val=&quot;00A15ABE&quot;/&gt;&lt;wsp:rsid wsp:val=&quot;00A1689E&quot;/&gt;&lt;wsp:rsid wsp:val=&quot;00A17B2F&quot;/&gt;&lt;wsp:rsid wsp:val=&quot;00A2003C&quot;/&gt;&lt;wsp:rsid wsp:val=&quot;00A2018B&quot;/&gt;&lt;wsp:rsid wsp:val=&quot;00A202C8&quot;/&gt;&lt;wsp:rsid wsp:val=&quot;00A206C6&quot;/&gt;&lt;wsp:rsid wsp:val=&quot;00A209B5&quot;/&gt;&lt;wsp:rsid wsp:val=&quot;00A20BA5&quot;/&gt;&lt;wsp:rsid wsp:val=&quot;00A21C8D&quot;/&gt;&lt;wsp:rsid wsp:val=&quot;00A21ED8&quot;/&gt;&lt;wsp:rsid wsp:val=&quot;00A23387&quot;/&gt;&lt;wsp:rsid wsp:val=&quot;00A2358B&quot;/&gt;&lt;wsp:rsid wsp:val=&quot;00A24395&quot;/&gt;&lt;wsp:rsid wsp:val=&quot;00A245D3&quot;/&gt;&lt;wsp:rsid wsp:val=&quot;00A246B0&quot;/&gt;&lt;wsp:rsid wsp:val=&quot;00A24A4D&quot;/&gt;&lt;wsp:rsid wsp:val=&quot;00A24D79&quot;/&gt;&lt;wsp:rsid wsp:val=&quot;00A24EC0&quot;/&gt;&lt;wsp:rsid wsp:val=&quot;00A25016&quot;/&gt;&lt;wsp:rsid wsp:val=&quot;00A251AB&quot;/&gt;&lt;wsp:rsid wsp:val=&quot;00A257AF&quot;/&gt;&lt;wsp:rsid wsp:val=&quot;00A25BBC&quot;/&gt;&lt;wsp:rsid wsp:val=&quot;00A26143&quot;/&gt;&lt;wsp:rsid wsp:val=&quot;00A261E7&quot;/&gt;&lt;wsp:rsid wsp:val=&quot;00A26400&quot;/&gt;&lt;wsp:rsid wsp:val=&quot;00A2662E&quot;/&gt;&lt;wsp:rsid wsp:val=&quot;00A2690E&quot;/&gt;&lt;wsp:rsid wsp:val=&quot;00A26C92&quot;/&gt;&lt;wsp:rsid wsp:val=&quot;00A2733C&quot;/&gt;&lt;wsp:rsid wsp:val=&quot;00A27355&quot;/&gt;&lt;wsp:rsid wsp:val=&quot;00A279D3&quot;/&gt;&lt;wsp:rsid wsp:val=&quot;00A30189&quot;/&gt;&lt;wsp:rsid wsp:val=&quot;00A302E7&quot;/&gt;&lt;wsp:rsid wsp:val=&quot;00A31820&quot;/&gt;&lt;wsp:rsid wsp:val=&quot;00A33A59&quot;/&gt;&lt;wsp:rsid wsp:val=&quot;00A34534&quot;/&gt;&lt;wsp:rsid wsp:val=&quot;00A35710&quot;/&gt;&lt;wsp:rsid wsp:val=&quot;00A358CD&quot;/&gt;&lt;wsp:rsid wsp:val=&quot;00A377D9&quot;/&gt;&lt;wsp:rsid wsp:val=&quot;00A4004B&quot;/&gt;&lt;wsp:rsid wsp:val=&quot;00A40159&quot;/&gt;&lt;wsp:rsid wsp:val=&quot;00A40A40&quot;/&gt;&lt;wsp:rsid wsp:val=&quot;00A40B4B&quot;/&gt;&lt;wsp:rsid wsp:val=&quot;00A41510&quot;/&gt;&lt;wsp:rsid wsp:val=&quot;00A4258F&quot;/&gt;&lt;wsp:rsid wsp:val=&quot;00A42620&quot;/&gt;&lt;wsp:rsid wsp:val=&quot;00A43E1D&quot;/&gt;&lt;wsp:rsid wsp:val=&quot;00A44074&quot;/&gt;&lt;wsp:rsid wsp:val=&quot;00A44209&quot;/&gt;&lt;wsp:rsid wsp:val=&quot;00A44FFF&quot;/&gt;&lt;wsp:rsid wsp:val=&quot;00A45038&quot;/&gt;&lt;wsp:rsid wsp:val=&quot;00A4543F&quot;/&gt;&lt;wsp:rsid wsp:val=&quot;00A45B4F&quot;/&gt;&lt;wsp:rsid wsp:val=&quot;00A4659F&quot;/&gt;&lt;wsp:rsid wsp:val=&quot;00A46FC0&quot;/&gt;&lt;wsp:rsid wsp:val=&quot;00A50ABA&quot;/&gt;&lt;wsp:rsid wsp:val=&quot;00A50D62&quot;/&gt;&lt;wsp:rsid wsp:val=&quot;00A51018&quot;/&gt;&lt;wsp:rsid wsp:val=&quot;00A513D6&quot;/&gt;&lt;wsp:rsid wsp:val=&quot;00A51BE7&quot;/&gt;&lt;wsp:rsid wsp:val=&quot;00A52485&quot;/&gt;&lt;wsp:rsid wsp:val=&quot;00A527C5&quot;/&gt;&lt;wsp:rsid wsp:val=&quot;00A529F0&quot;/&gt;&lt;wsp:rsid wsp:val=&quot;00A53D2D&quot;/&gt;&lt;wsp:rsid wsp:val=&quot;00A5443E&quot;/&gt;&lt;wsp:rsid wsp:val=&quot;00A544B4&quot;/&gt;&lt;wsp:rsid wsp:val=&quot;00A54883&quot;/&gt;&lt;wsp:rsid wsp:val=&quot;00A548E9&quot;/&gt;&lt;wsp:rsid wsp:val=&quot;00A54AC0&quot;/&gt;&lt;wsp:rsid wsp:val=&quot;00A54E98&quot;/&gt;&lt;wsp:rsid wsp:val=&quot;00A556D8&quot;/&gt;&lt;wsp:rsid wsp:val=&quot;00A5716D&quot;/&gt;&lt;wsp:rsid wsp:val=&quot;00A57AC1&quot;/&gt;&lt;wsp:rsid wsp:val=&quot;00A57D05&quot;/&gt;&lt;wsp:rsid wsp:val=&quot;00A60D60&quot;/&gt;&lt;wsp:rsid wsp:val=&quot;00A61546&quot;/&gt;&lt;wsp:rsid wsp:val=&quot;00A6219F&quot;/&gt;&lt;wsp:rsid wsp:val=&quot;00A622CB&quot;/&gt;&lt;wsp:rsid wsp:val=&quot;00A62B9D&quot;/&gt;&lt;wsp:rsid wsp:val=&quot;00A6377D&quot;/&gt;&lt;wsp:rsid wsp:val=&quot;00A64907&quot;/&gt;&lt;wsp:rsid wsp:val=&quot;00A651B6&quot;/&gt;&lt;wsp:rsid wsp:val=&quot;00A65E78&quot;/&gt;&lt;wsp:rsid wsp:val=&quot;00A66643&quot;/&gt;&lt;wsp:rsid wsp:val=&quot;00A67667&quot;/&gt;&lt;wsp:rsid wsp:val=&quot;00A67B81&quot;/&gt;&lt;wsp:rsid wsp:val=&quot;00A702A9&quot;/&gt;&lt;wsp:rsid wsp:val=&quot;00A7059B&quot;/&gt;&lt;wsp:rsid wsp:val=&quot;00A70AFE&quot;/&gt;&lt;wsp:rsid wsp:val=&quot;00A7139A&quot;/&gt;&lt;wsp:rsid wsp:val=&quot;00A722E2&quot;/&gt;&lt;wsp:rsid wsp:val=&quot;00A7369F&quot;/&gt;&lt;wsp:rsid wsp:val=&quot;00A736CD&quot;/&gt;&lt;wsp:rsid wsp:val=&quot;00A74C7C&quot;/&gt;&lt;wsp:rsid wsp:val=&quot;00A77784&quot;/&gt;&lt;wsp:rsid wsp:val=&quot;00A77B95&quot;/&gt;&lt;wsp:rsid wsp:val=&quot;00A800C3&quot;/&gt;&lt;wsp:rsid wsp:val=&quot;00A80AD6&quot;/&gt;&lt;wsp:rsid wsp:val=&quot;00A80B54&quot;/&gt;&lt;wsp:rsid wsp:val=&quot;00A81014&quot;/&gt;&lt;wsp:rsid wsp:val=&quot;00A81351&quot;/&gt;&lt;wsp:rsid wsp:val=&quot;00A81748&quot;/&gt;&lt;wsp:rsid wsp:val=&quot;00A82534&quot;/&gt;&lt;wsp:rsid wsp:val=&quot;00A82A45&quot;/&gt;&lt;wsp:rsid wsp:val=&quot;00A82C83&quot;/&gt;&lt;wsp:rsid wsp:val=&quot;00A8379D&quot;/&gt;&lt;wsp:rsid wsp:val=&quot;00A83A7D&quot;/&gt;&lt;wsp:rsid wsp:val=&quot;00A83FC6&quot;/&gt;&lt;wsp:rsid wsp:val=&quot;00A84837&quot;/&gt;&lt;wsp:rsid wsp:val=&quot;00A84AB3&quot;/&gt;&lt;wsp:rsid wsp:val=&quot;00A8532D&quot;/&gt;&lt;wsp:rsid wsp:val=&quot;00A85531&quot;/&gt;&lt;wsp:rsid wsp:val=&quot;00A85875&quot;/&gt;&lt;wsp:rsid wsp:val=&quot;00A858CD&quot;/&gt;&lt;wsp:rsid wsp:val=&quot;00A85B58&quot;/&gt;&lt;wsp:rsid wsp:val=&quot;00A85BEB&quot;/&gt;&lt;wsp:rsid wsp:val=&quot;00A86A80&quot;/&gt;&lt;wsp:rsid wsp:val=&quot;00A86CAC&quot;/&gt;&lt;wsp:rsid wsp:val=&quot;00A904C9&quot;/&gt;&lt;wsp:rsid wsp:val=&quot;00A90A57&quot;/&gt;&lt;wsp:rsid wsp:val=&quot;00A9134A&quot;/&gt;&lt;wsp:rsid wsp:val=&quot;00A918D8&quot;/&gt;&lt;wsp:rsid wsp:val=&quot;00A91E84&quot;/&gt;&lt;wsp:rsid wsp:val=&quot;00A92A83&quot;/&gt;&lt;wsp:rsid wsp:val=&quot;00A937F3&quot;/&gt;&lt;wsp:rsid wsp:val=&quot;00A961FF&quot;/&gt;&lt;wsp:rsid wsp:val=&quot;00A96BAD&quot;/&gt;&lt;wsp:rsid wsp:val=&quot;00A96C07&quot;/&gt;&lt;wsp:rsid wsp:val=&quot;00A9792D&quot;/&gt;&lt;wsp:rsid wsp:val=&quot;00A97CF1&quot;/&gt;&lt;wsp:rsid wsp:val=&quot;00AA0240&quot;/&gt;&lt;wsp:rsid wsp:val=&quot;00AA0510&quot;/&gt;&lt;wsp:rsid wsp:val=&quot;00AA154E&quot;/&gt;&lt;wsp:rsid wsp:val=&quot;00AA16C6&quot;/&gt;&lt;wsp:rsid wsp:val=&quot;00AA1773&quot;/&gt;&lt;wsp:rsid wsp:val=&quot;00AA2BE7&quot;/&gt;&lt;wsp:rsid wsp:val=&quot;00AA467E&quot;/&gt;&lt;wsp:rsid wsp:val=&quot;00AA4770&quot;/&gt;&lt;wsp:rsid wsp:val=&quot;00AA497A&quot;/&gt;&lt;wsp:rsid wsp:val=&quot;00AA4BA8&quot;/&gt;&lt;wsp:rsid wsp:val=&quot;00AA4BFD&quot;/&gt;&lt;wsp:rsid wsp:val=&quot;00AA5391&quot;/&gt;&lt;wsp:rsid wsp:val=&quot;00AA6E2F&quot;/&gt;&lt;wsp:rsid wsp:val=&quot;00AA700D&quot;/&gt;&lt;wsp:rsid wsp:val=&quot;00AA70FC&quot;/&gt;&lt;wsp:rsid wsp:val=&quot;00AA785A&quot;/&gt;&lt;wsp:rsid wsp:val=&quot;00AA79F3&quot;/&gt;&lt;wsp:rsid wsp:val=&quot;00AA7E87&quot;/&gt;&lt;wsp:rsid wsp:val=&quot;00AB017D&quot;/&gt;&lt;wsp:rsid wsp:val=&quot;00AB0515&quot;/&gt;&lt;wsp:rsid wsp:val=&quot;00AB08CC&quot;/&gt;&lt;wsp:rsid wsp:val=&quot;00AB0F90&quot;/&gt;&lt;wsp:rsid wsp:val=&quot;00AB1004&quot;/&gt;&lt;wsp:rsid wsp:val=&quot;00AB130E&quot;/&gt;&lt;wsp:rsid wsp:val=&quot;00AB1460&quot;/&gt;&lt;wsp:rsid wsp:val=&quot;00AB2C7C&quot;/&gt;&lt;wsp:rsid wsp:val=&quot;00AB325C&quot;/&gt;&lt;wsp:rsid wsp:val=&quot;00AB33C9&quot;/&gt;&lt;wsp:rsid wsp:val=&quot;00AB35AD&quot;/&gt;&lt;wsp:rsid wsp:val=&quot;00AB4623&quot;/&gt;&lt;wsp:rsid wsp:val=&quot;00AB56B5&quot;/&gt;&lt;wsp:rsid wsp:val=&quot;00AB5A92&quot;/&gt;&lt;wsp:rsid wsp:val=&quot;00AB5DE3&quot;/&gt;&lt;wsp:rsid wsp:val=&quot;00AB6332&quot;/&gt;&lt;wsp:rsid wsp:val=&quot;00AB6540&quot;/&gt;&lt;wsp:rsid wsp:val=&quot;00AB655B&quot;/&gt;&lt;wsp:rsid wsp:val=&quot;00AB65B4&quot;/&gt;&lt;wsp:rsid wsp:val=&quot;00AB680C&quot;/&gt;&lt;wsp:rsid wsp:val=&quot;00AB6B35&quot;/&gt;&lt;wsp:rsid wsp:val=&quot;00AB6BBD&quot;/&gt;&lt;wsp:rsid wsp:val=&quot;00AB7C06&quot;/&gt;&lt;wsp:rsid wsp:val=&quot;00AC147A&quot;/&gt;&lt;wsp:rsid wsp:val=&quot;00AC1D93&quot;/&gt;&lt;wsp:rsid wsp:val=&quot;00AC1EBF&quot;/&gt;&lt;wsp:rsid wsp:val=&quot;00AC1ECF&quot;/&gt;&lt;wsp:rsid wsp:val=&quot;00AC3018&quot;/&gt;&lt;wsp:rsid wsp:val=&quot;00AC375B&quot;/&gt;&lt;wsp:rsid wsp:val=&quot;00AC4709&quot;/&gt;&lt;wsp:rsid wsp:val=&quot;00AC5F70&quot;/&gt;&lt;wsp:rsid wsp:val=&quot;00AC60E0&quot;/&gt;&lt;wsp:rsid wsp:val=&quot;00AC6199&quot;/&gt;&lt;wsp:rsid wsp:val=&quot;00AC6560&quot;/&gt;&lt;wsp:rsid wsp:val=&quot;00AC6EAD&quot;/&gt;&lt;wsp:rsid wsp:val=&quot;00AC7AC7&quot;/&gt;&lt;wsp:rsid wsp:val=&quot;00AC7E96&quot;/&gt;&lt;wsp:rsid wsp:val=&quot;00AC7F51&quot;/&gt;&lt;wsp:rsid wsp:val=&quot;00AD0268&quot;/&gt;&lt;wsp:rsid wsp:val=&quot;00AD0712&quot;/&gt;&lt;wsp:rsid wsp:val=&quot;00AD0840&quot;/&gt;&lt;wsp:rsid wsp:val=&quot;00AD1242&quot;/&gt;&lt;wsp:rsid wsp:val=&quot;00AD1356&quot;/&gt;&lt;wsp:rsid wsp:val=&quot;00AD1B67&quot;/&gt;&lt;wsp:rsid wsp:val=&quot;00AD2BF3&quot;/&gt;&lt;wsp:rsid wsp:val=&quot;00AD2C15&quot;/&gt;&lt;wsp:rsid wsp:val=&quot;00AD39F5&quot;/&gt;&lt;wsp:rsid wsp:val=&quot;00AD4933&quot;/&gt;&lt;wsp:rsid wsp:val=&quot;00AD65AB&quot;/&gt;&lt;wsp:rsid wsp:val=&quot;00AD7CD9&quot;/&gt;&lt;wsp:rsid wsp:val=&quot;00AE0905&quot;/&gt;&lt;wsp:rsid wsp:val=&quot;00AE09F6&quot;/&gt;&lt;wsp:rsid wsp:val=&quot;00AE0EDA&quot;/&gt;&lt;wsp:rsid wsp:val=&quot;00AE1345&quot;/&gt;&lt;wsp:rsid wsp:val=&quot;00AE1770&quot;/&gt;&lt;wsp:rsid wsp:val=&quot;00AE1E30&quot;/&gt;&lt;wsp:rsid wsp:val=&quot;00AE2037&quot;/&gt;&lt;wsp:rsid wsp:val=&quot;00AE21DD&quot;/&gt;&lt;wsp:rsid wsp:val=&quot;00AE25E3&quot;/&gt;&lt;wsp:rsid wsp:val=&quot;00AE28FC&quot;/&gt;&lt;wsp:rsid wsp:val=&quot;00AE2A60&quot;/&gt;&lt;wsp:rsid wsp:val=&quot;00AE30BA&quot;/&gt;&lt;wsp:rsid wsp:val=&quot;00AE350D&quot;/&gt;&lt;wsp:rsid wsp:val=&quot;00AE4587&quot;/&gt;&lt;wsp:rsid wsp:val=&quot;00AE4BF4&quot;/&gt;&lt;wsp:rsid wsp:val=&quot;00AE67A2&quot;/&gt;&lt;wsp:rsid wsp:val=&quot;00AE762C&quot;/&gt;&lt;wsp:rsid wsp:val=&quot;00AE785F&quot;/&gt;&lt;wsp:rsid wsp:val=&quot;00AF0169&quot;/&gt;&lt;wsp:rsid wsp:val=&quot;00AF19A7&quot;/&gt;&lt;wsp:rsid wsp:val=&quot;00AF1C99&quot;/&gt;&lt;wsp:rsid wsp:val=&quot;00AF2B13&quot;/&gt;&lt;wsp:rsid wsp:val=&quot;00AF2E98&quot;/&gt;&lt;wsp:rsid wsp:val=&quot;00AF3615&quot;/&gt;&lt;wsp:rsid wsp:val=&quot;00AF3879&quot;/&gt;&lt;wsp:rsid wsp:val=&quot;00AF4A95&quot;/&gt;&lt;wsp:rsid wsp:val=&quot;00AF4AF0&quot;/&gt;&lt;wsp:rsid wsp:val=&quot;00AF5379&quot;/&gt;&lt;wsp:rsid wsp:val=&quot;00AF5798&quot;/&gt;&lt;wsp:rsid wsp:val=&quot;00AF5E65&quot;/&gt;&lt;wsp:rsid wsp:val=&quot;00AF5F22&quot;/&gt;&lt;wsp:rsid wsp:val=&quot;00AF7EDA&quot;/&gt;&lt;wsp:rsid wsp:val=&quot;00B012D4&quot;/&gt;&lt;wsp:rsid wsp:val=&quot;00B0170B&quot;/&gt;&lt;wsp:rsid wsp:val=&quot;00B01F2D&quot;/&gt;&lt;wsp:rsid wsp:val=&quot;00B02032&quot;/&gt;&lt;wsp:rsid wsp:val=&quot;00B028F0&quot;/&gt;&lt;wsp:rsid wsp:val=&quot;00B02DD8&quot;/&gt;&lt;wsp:rsid wsp:val=&quot;00B032E6&quot;/&gt;&lt;wsp:rsid wsp:val=&quot;00B03D0D&quot;/&gt;&lt;wsp:rsid wsp:val=&quot;00B047A6&quot;/&gt;&lt;wsp:rsid wsp:val=&quot;00B048FB&quot;/&gt;&lt;wsp:rsid wsp:val=&quot;00B04CFD&quot;/&gt;&lt;wsp:rsid wsp:val=&quot;00B04E79&quot;/&gt;&lt;wsp:rsid wsp:val=&quot;00B059AA&quot;/&gt;&lt;wsp:rsid wsp:val=&quot;00B06238&quot;/&gt;&lt;wsp:rsid wsp:val=&quot;00B07574&quot;/&gt;&lt;wsp:rsid wsp:val=&quot;00B07722&quot;/&gt;&lt;wsp:rsid wsp:val=&quot;00B07A59&quot;/&gt;&lt;wsp:rsid wsp:val=&quot;00B1239B&quot;/&gt;&lt;wsp:rsid wsp:val=&quot;00B129C5&quot;/&gt;&lt;wsp:rsid wsp:val=&quot;00B133CF&quot;/&gt;&lt;wsp:rsid wsp:val=&quot;00B1448E&quot;/&gt;&lt;wsp:rsid wsp:val=&quot;00B144B3&quot;/&gt;&lt;wsp:rsid wsp:val=&quot;00B14A18&quot;/&gt;&lt;wsp:rsid wsp:val=&quot;00B1558B&quot;/&gt;&lt;wsp:rsid wsp:val=&quot;00B15B2B&quot;/&gt;&lt;wsp:rsid wsp:val=&quot;00B15B93&quot;/&gt;&lt;wsp:rsid wsp:val=&quot;00B16BEB&quot;/&gt;&lt;wsp:rsid wsp:val=&quot;00B16F8A&quot;/&gt;&lt;wsp:rsid wsp:val=&quot;00B20D0D&quot;/&gt;&lt;wsp:rsid wsp:val=&quot;00B20ED6&quot;/&gt;&lt;wsp:rsid wsp:val=&quot;00B210B6&quot;/&gt;&lt;wsp:rsid wsp:val=&quot;00B21430&quot;/&gt;&lt;wsp:rsid wsp:val=&quot;00B219FA&quot;/&gt;&lt;wsp:rsid wsp:val=&quot;00B228D8&quot;/&gt;&lt;wsp:rsid wsp:val=&quot;00B22C7B&quot;/&gt;&lt;wsp:rsid wsp:val=&quot;00B2330A&quot;/&gt;&lt;wsp:rsid wsp:val=&quot;00B238C6&quot;/&gt;&lt;wsp:rsid wsp:val=&quot;00B2457D&quot;/&gt;&lt;wsp:rsid wsp:val=&quot;00B26E04&quot;/&gt;&lt;wsp:rsid wsp:val=&quot;00B26E18&quot;/&gt;&lt;wsp:rsid wsp:val=&quot;00B270AB&quot;/&gt;&lt;wsp:rsid wsp:val=&quot;00B27F25&quot;/&gt;&lt;wsp:rsid wsp:val=&quot;00B30FC9&quot;/&gt;&lt;wsp:rsid wsp:val=&quot;00B310E5&quot;/&gt;&lt;wsp:rsid wsp:val=&quot;00B31F9B&quot;/&gt;&lt;wsp:rsid wsp:val=&quot;00B32495&quot;/&gt;&lt;wsp:rsid wsp:val=&quot;00B3255A&quot;/&gt;&lt;wsp:rsid wsp:val=&quot;00B32763&quot;/&gt;&lt;wsp:rsid wsp:val=&quot;00B33689&quot;/&gt;&lt;wsp:rsid wsp:val=&quot;00B33BC7&quot;/&gt;&lt;wsp:rsid wsp:val=&quot;00B34167&quot;/&gt;&lt;wsp:rsid wsp:val=&quot;00B3431D&quot;/&gt;&lt;wsp:rsid wsp:val=&quot;00B3461A&quot;/&gt;&lt;wsp:rsid wsp:val=&quot;00B34E2E&quot;/&gt;&lt;wsp:rsid wsp:val=&quot;00B34F9E&quot;/&gt;&lt;wsp:rsid wsp:val=&quot;00B35EB1&quot;/&gt;&lt;wsp:rsid wsp:val=&quot;00B409E7&quot;/&gt;&lt;wsp:rsid wsp:val=&quot;00B41035&quot;/&gt;&lt;wsp:rsid wsp:val=&quot;00B41290&quot;/&gt;&lt;wsp:rsid wsp:val=&quot;00B41BCC&quot;/&gt;&lt;wsp:rsid wsp:val=&quot;00B41EE1&quot;/&gt;&lt;wsp:rsid wsp:val=&quot;00B42838&quot;/&gt;&lt;wsp:rsid wsp:val=&quot;00B437B4&quot;/&gt;&lt;wsp:rsid wsp:val=&quot;00B43ADB&quot;/&gt;&lt;wsp:rsid wsp:val=&quot;00B43E54&quot;/&gt;&lt;wsp:rsid wsp:val=&quot;00B43E72&quot;/&gt;&lt;wsp:rsid wsp:val=&quot;00B44D3F&quot;/&gt;&lt;wsp:rsid wsp:val=&quot;00B466A5&quot;/&gt;&lt;wsp:rsid wsp:val=&quot;00B466E2&quot;/&gt;&lt;wsp:rsid wsp:val=&quot;00B476E8&quot;/&gt;&lt;wsp:rsid wsp:val=&quot;00B51264&quot;/&gt;&lt;wsp:rsid wsp:val=&quot;00B51271&quot;/&gt;&lt;wsp:rsid wsp:val=&quot;00B51464&quot;/&gt;&lt;wsp:rsid wsp:val=&quot;00B515A0&quot;/&gt;&lt;wsp:rsid wsp:val=&quot;00B51B09&quot;/&gt;&lt;wsp:rsid wsp:val=&quot;00B5278E&quot;/&gt;&lt;wsp:rsid wsp:val=&quot;00B53E7F&quot;/&gt;&lt;wsp:rsid wsp:val=&quot;00B54ACA&quot;/&gt;&lt;wsp:rsid wsp:val=&quot;00B553BC&quot;/&gt;&lt;wsp:rsid wsp:val=&quot;00B55DAD&quot;/&gt;&lt;wsp:rsid wsp:val=&quot;00B56AD4&quot;/&gt;&lt;wsp:rsid wsp:val=&quot;00B56B9E&quot;/&gt;&lt;wsp:rsid wsp:val=&quot;00B57317&quot;/&gt;&lt;wsp:rsid wsp:val=&quot;00B573C3&quot;/&gt;&lt;wsp:rsid wsp:val=&quot;00B57B98&quot;/&gt;&lt;wsp:rsid wsp:val=&quot;00B60C94&quot;/&gt;&lt;wsp:rsid wsp:val=&quot;00B618AB&quot;/&gt;&lt;wsp:rsid wsp:val=&quot;00B61C63&quot;/&gt;&lt;wsp:rsid wsp:val=&quot;00B625CE&quot;/&gt;&lt;wsp:rsid wsp:val=&quot;00B62BEA&quot;/&gt;&lt;wsp:rsid wsp:val=&quot;00B630F6&quot;/&gt;&lt;wsp:rsid wsp:val=&quot;00B6318D&quot;/&gt;&lt;wsp:rsid wsp:val=&quot;00B63A31&quot;/&gt;&lt;wsp:rsid wsp:val=&quot;00B64468&quot;/&gt;&lt;wsp:rsid wsp:val=&quot;00B64C68&quot;/&gt;&lt;wsp:rsid wsp:val=&quot;00B6542F&quot;/&gt;&lt;wsp:rsid wsp:val=&quot;00B667A7&quot;/&gt;&lt;wsp:rsid wsp:val=&quot;00B66975&quot;/&gt;&lt;wsp:rsid wsp:val=&quot;00B67517&quot;/&gt;&lt;wsp:rsid wsp:val=&quot;00B7017B&quot;/&gt;&lt;wsp:rsid wsp:val=&quot;00B7064B&quot;/&gt;&lt;wsp:rsid wsp:val=&quot;00B70916&quot;/&gt;&lt;wsp:rsid wsp:val=&quot;00B70B7E&quot;/&gt;&lt;wsp:rsid wsp:val=&quot;00B70C95&quot;/&gt;&lt;wsp:rsid wsp:val=&quot;00B70CAA&quot;/&gt;&lt;wsp:rsid wsp:val=&quot;00B71FCB&quot;/&gt;&lt;wsp:rsid wsp:val=&quot;00B721C9&quot;/&gt;&lt;wsp:rsid wsp:val=&quot;00B722B1&quot;/&gt;&lt;wsp:rsid wsp:val=&quot;00B727D5&quot;/&gt;&lt;wsp:rsid wsp:val=&quot;00B750AB&quot;/&gt;&lt;wsp:rsid wsp:val=&quot;00B75192&quot;/&gt;&lt;wsp:rsid wsp:val=&quot;00B752ED&quot;/&gt;&lt;wsp:rsid wsp:val=&quot;00B75C2B&quot;/&gt;&lt;wsp:rsid wsp:val=&quot;00B75F52&quot;/&gt;&lt;wsp:rsid wsp:val=&quot;00B762C2&quot;/&gt;&lt;wsp:rsid wsp:val=&quot;00B77A73&quot;/&gt;&lt;wsp:rsid wsp:val=&quot;00B806DE&quot;/&gt;&lt;wsp:rsid wsp:val=&quot;00B80D09&quot;/&gt;&lt;wsp:rsid wsp:val=&quot;00B80F11&quot;/&gt;&lt;wsp:rsid wsp:val=&quot;00B818D2&quot;/&gt;&lt;wsp:rsid wsp:val=&quot;00B81B93&quot;/&gt;&lt;wsp:rsid wsp:val=&quot;00B82A3B&quot;/&gt;&lt;wsp:rsid wsp:val=&quot;00B83627&quot;/&gt;&lt;wsp:rsid wsp:val=&quot;00B84402&quot;/&gt;&lt;wsp:rsid wsp:val=&quot;00B8499D&quot;/&gt;&lt;wsp:rsid wsp:val=&quot;00B85A96&quot;/&gt;&lt;wsp:rsid wsp:val=&quot;00B85CB1&quot;/&gt;&lt;wsp:rsid wsp:val=&quot;00B8679B&quot;/&gt;&lt;wsp:rsid wsp:val=&quot;00B86928&quot;/&gt;&lt;wsp:rsid wsp:val=&quot;00B87356&quot;/&gt;&lt;wsp:rsid wsp:val=&quot;00B87C94&quot;/&gt;&lt;wsp:rsid wsp:val=&quot;00B87EF4&quot;/&gt;&lt;wsp:rsid wsp:val=&quot;00B907F9&quot;/&gt;&lt;wsp:rsid wsp:val=&quot;00B91824&quot;/&gt;&lt;wsp:rsid wsp:val=&quot;00B91BD1&quot;/&gt;&lt;wsp:rsid wsp:val=&quot;00B92032&quot;/&gt;&lt;wsp:rsid wsp:val=&quot;00B922DD&quot;/&gt;&lt;wsp:rsid wsp:val=&quot;00B92570&quot;/&gt;&lt;wsp:rsid wsp:val=&quot;00B930CD&quot;/&gt;&lt;wsp:rsid wsp:val=&quot;00B931E6&quot;/&gt;&lt;wsp:rsid wsp:val=&quot;00B933AF&quot;/&gt;&lt;wsp:rsid wsp:val=&quot;00B936F8&quot;/&gt;&lt;wsp:rsid wsp:val=&quot;00B93995&quot;/&gt;&lt;wsp:rsid wsp:val=&quot;00B93C8C&quot;/&gt;&lt;wsp:rsid wsp:val=&quot;00B93EA7&quot;/&gt;&lt;wsp:rsid wsp:val=&quot;00B949F2&quot;/&gt;&lt;wsp:rsid wsp:val=&quot;00B94A9E&quot;/&gt;&lt;wsp:rsid wsp:val=&quot;00B959B0&quot;/&gt;&lt;wsp:rsid wsp:val=&quot;00B95A46&quot;/&gt;&lt;wsp:rsid wsp:val=&quot;00B96592&quot;/&gt;&lt;wsp:rsid wsp:val=&quot;00B97846&quot;/&gt;&lt;wsp:rsid wsp:val=&quot;00B97E08&quot;/&gt;&lt;wsp:rsid wsp:val=&quot;00BA0BF6&quot;/&gt;&lt;wsp:rsid wsp:val=&quot;00BA16E2&quot;/&gt;&lt;wsp:rsid wsp:val=&quot;00BA1D99&quot;/&gt;&lt;wsp:rsid wsp:val=&quot;00BA1F17&quot;/&gt;&lt;wsp:rsid wsp:val=&quot;00BA22F2&quot;/&gt;&lt;wsp:rsid wsp:val=&quot;00BA2EC5&quot;/&gt;&lt;wsp:rsid wsp:val=&quot;00BA3CE5&quot;/&gt;&lt;wsp:rsid wsp:val=&quot;00BA443A&quot;/&gt;&lt;wsp:rsid wsp:val=&quot;00BA4E99&quot;/&gt;&lt;wsp:rsid wsp:val=&quot;00BA4F72&quot;/&gt;&lt;wsp:rsid wsp:val=&quot;00BA5EFB&quot;/&gt;&lt;wsp:rsid wsp:val=&quot;00BA5FD5&quot;/&gt;&lt;wsp:rsid wsp:val=&quot;00BA62AD&quot;/&gt;&lt;wsp:rsid wsp:val=&quot;00BA687D&quot;/&gt;&lt;wsp:rsid wsp:val=&quot;00BA6F79&quot;/&gt;&lt;wsp:rsid wsp:val=&quot;00BB0121&quot;/&gt;&lt;wsp:rsid wsp:val=&quot;00BB07B6&quot;/&gt;&lt;wsp:rsid wsp:val=&quot;00BB07C8&quot;/&gt;&lt;wsp:rsid wsp:val=&quot;00BB0898&quot;/&gt;&lt;wsp:rsid wsp:val=&quot;00BB09BB&quot;/&gt;&lt;wsp:rsid wsp:val=&quot;00BB1564&quot;/&gt;&lt;wsp:rsid wsp:val=&quot;00BB1E7D&quot;/&gt;&lt;wsp:rsid wsp:val=&quot;00BB226C&quot;/&gt;&lt;wsp:rsid wsp:val=&quot;00BB2A99&quot;/&gt;&lt;wsp:rsid wsp:val=&quot;00BB3201&quot;/&gt;&lt;wsp:rsid wsp:val=&quot;00BB3957&quot;/&gt;&lt;wsp:rsid wsp:val=&quot;00BB514F&quot;/&gt;&lt;wsp:rsid wsp:val=&quot;00BB5232&quot;/&gt;&lt;wsp:rsid wsp:val=&quot;00BB5239&quot;/&gt;&lt;wsp:rsid wsp:val=&quot;00BB5A9C&quot;/&gt;&lt;wsp:rsid wsp:val=&quot;00BB65F5&quot;/&gt;&lt;wsp:rsid wsp:val=&quot;00BB7891&quot;/&gt;&lt;wsp:rsid wsp:val=&quot;00BB7957&quot;/&gt;&lt;wsp:rsid wsp:val=&quot;00BB797E&quot;/&gt;&lt;wsp:rsid wsp:val=&quot;00BB7EF8&quot;/&gt;&lt;wsp:rsid wsp:val=&quot;00BC0254&quot;/&gt;&lt;wsp:rsid wsp:val=&quot;00BC028E&quot;/&gt;&lt;wsp:rsid wsp:val=&quot;00BC06DA&quot;/&gt;&lt;wsp:rsid wsp:val=&quot;00BC0A44&quot;/&gt;&lt;wsp:rsid wsp:val=&quot;00BC0DCF&quot;/&gt;&lt;wsp:rsid wsp:val=&quot;00BC2060&quot;/&gt;&lt;wsp:rsid wsp:val=&quot;00BC25C9&quot;/&gt;&lt;wsp:rsid wsp:val=&quot;00BC26E4&quot;/&gt;&lt;wsp:rsid wsp:val=&quot;00BC2767&quot;/&gt;&lt;wsp:rsid wsp:val=&quot;00BC3DC6&quot;/&gt;&lt;wsp:rsid wsp:val=&quot;00BC3F8B&quot;/&gt;&lt;wsp:rsid wsp:val=&quot;00BC458E&quot;/&gt;&lt;wsp:rsid wsp:val=&quot;00BC4C6B&quot;/&gt;&lt;wsp:rsid wsp:val=&quot;00BC4CBC&quot;/&gt;&lt;wsp:rsid wsp:val=&quot;00BC61FB&quot;/&gt;&lt;wsp:rsid wsp:val=&quot;00BC626F&quot;/&gt;&lt;wsp:rsid wsp:val=&quot;00BC639E&quot;/&gt;&lt;wsp:rsid wsp:val=&quot;00BC6EF2&quot;/&gt;&lt;wsp:rsid wsp:val=&quot;00BD005A&quot;/&gt;&lt;wsp:rsid wsp:val=&quot;00BD03D8&quot;/&gt;&lt;wsp:rsid wsp:val=&quot;00BD04F0&quot;/&gt;&lt;wsp:rsid wsp:val=&quot;00BD1111&quot;/&gt;&lt;wsp:rsid wsp:val=&quot;00BD158F&quot;/&gt;&lt;wsp:rsid wsp:val=&quot;00BD196F&quot;/&gt;&lt;wsp:rsid wsp:val=&quot;00BD1D1B&quot;/&gt;&lt;wsp:rsid wsp:val=&quot;00BD25E7&quot;/&gt;&lt;wsp:rsid wsp:val=&quot;00BD3E4F&quot;/&gt;&lt;wsp:rsid wsp:val=&quot;00BD4104&quot;/&gt;&lt;wsp:rsid wsp:val=&quot;00BD4C33&quot;/&gt;&lt;wsp:rsid wsp:val=&quot;00BD4CD7&quot;/&gt;&lt;wsp:rsid wsp:val=&quot;00BD4E8E&quot;/&gt;&lt;wsp:rsid wsp:val=&quot;00BD51A0&quot;/&gt;&lt;wsp:rsid wsp:val=&quot;00BD52BB&quot;/&gt;&lt;wsp:rsid wsp:val=&quot;00BD5765&quot;/&gt;&lt;wsp:rsid wsp:val=&quot;00BD6A0A&quot;/&gt;&lt;wsp:rsid wsp:val=&quot;00BD7271&quot;/&gt;&lt;wsp:rsid wsp:val=&quot;00BD7311&quot;/&gt;&lt;wsp:rsid wsp:val=&quot;00BE0810&quot;/&gt;&lt;wsp:rsid wsp:val=&quot;00BE29C6&quot;/&gt;&lt;wsp:rsid wsp:val=&quot;00BE337A&quot;/&gt;&lt;wsp:rsid wsp:val=&quot;00BE3553&quot;/&gt;&lt;wsp:rsid wsp:val=&quot;00BE3A23&quot;/&gt;&lt;wsp:rsid wsp:val=&quot;00BE4284&quot;/&gt;&lt;wsp:rsid wsp:val=&quot;00BE4B44&quot;/&gt;&lt;wsp:rsid wsp:val=&quot;00BE5578&quot;/&gt;&lt;wsp:rsid wsp:val=&quot;00BE5F74&quot;/&gt;&lt;wsp:rsid wsp:val=&quot;00BE7023&quot;/&gt;&lt;wsp:rsid wsp:val=&quot;00BF0A6E&quot;/&gt;&lt;wsp:rsid wsp:val=&quot;00BF0FE8&quot;/&gt;&lt;wsp:rsid wsp:val=&quot;00BF133F&quot;/&gt;&lt;wsp:rsid wsp:val=&quot;00BF1DE7&quot;/&gt;&lt;wsp:rsid wsp:val=&quot;00BF1FD5&quot;/&gt;&lt;wsp:rsid wsp:val=&quot;00BF239E&quot;/&gt;&lt;wsp:rsid wsp:val=&quot;00BF3136&quot;/&gt;&lt;wsp:rsid wsp:val=&quot;00BF35BE&quot;/&gt;&lt;wsp:rsid wsp:val=&quot;00BF381F&quot;/&gt;&lt;wsp:rsid wsp:val=&quot;00BF39FF&quot;/&gt;&lt;wsp:rsid wsp:val=&quot;00BF3CE7&quot;/&gt;&lt;wsp:rsid wsp:val=&quot;00BF4A97&quot;/&gt;&lt;wsp:rsid wsp:val=&quot;00BF50D5&quot;/&gt;&lt;wsp:rsid wsp:val=&quot;00BF64DA&quot;/&gt;&lt;wsp:rsid wsp:val=&quot;00BF7114&quot;/&gt;&lt;wsp:rsid wsp:val=&quot;00BF7606&quot;/&gt;&lt;wsp:rsid wsp:val=&quot;00BF7D33&quot;/&gt;&lt;wsp:rsid wsp:val=&quot;00C014E2&quot;/&gt;&lt;wsp:rsid wsp:val=&quot;00C01890&quot;/&gt;&lt;wsp:rsid wsp:val=&quot;00C021D3&quot;/&gt;&lt;wsp:rsid wsp:val=&quot;00C023A9&quot;/&gt;&lt;wsp:rsid wsp:val=&quot;00C0338F&quot;/&gt;&lt;wsp:rsid wsp:val=&quot;00C03785&quot;/&gt;&lt;wsp:rsid wsp:val=&quot;00C03A26&quot;/&gt;&lt;wsp:rsid wsp:val=&quot;00C03A27&quot;/&gt;&lt;wsp:rsid wsp:val=&quot;00C03B65&quot;/&gt;&lt;wsp:rsid wsp:val=&quot;00C05061&quot;/&gt;&lt;wsp:rsid wsp:val=&quot;00C05200&quot;/&gt;&lt;wsp:rsid wsp:val=&quot;00C0634D&quot;/&gt;&lt;wsp:rsid wsp:val=&quot;00C06AEB&quot;/&gt;&lt;wsp:rsid wsp:val=&quot;00C06BD4&quot;/&gt;&lt;wsp:rsid wsp:val=&quot;00C06F12&quot;/&gt;&lt;wsp:rsid wsp:val=&quot;00C06FDC&quot;/&gt;&lt;wsp:rsid wsp:val=&quot;00C07315&quot;/&gt;&lt;wsp:rsid wsp:val=&quot;00C07F44&quot;/&gt;&lt;wsp:rsid wsp:val=&quot;00C10035&quot;/&gt;&lt;wsp:rsid wsp:val=&quot;00C11039&quot;/&gt;&lt;wsp:rsid wsp:val=&quot;00C11929&quot;/&gt;&lt;wsp:rsid wsp:val=&quot;00C11E71&quot;/&gt;&lt;wsp:rsid wsp:val=&quot;00C1225D&quot;/&gt;&lt;wsp:rsid wsp:val=&quot;00C1227F&quot;/&gt;&lt;wsp:rsid wsp:val=&quot;00C12CF1&quot;/&gt;&lt;wsp:rsid wsp:val=&quot;00C132E1&quot;/&gt;&lt;wsp:rsid wsp:val=&quot;00C13AD5&quot;/&gt;&lt;wsp:rsid wsp:val=&quot;00C13B99&quot;/&gt;&lt;wsp:rsid wsp:val=&quot;00C14C1D&quot;/&gt;&lt;wsp:rsid wsp:val=&quot;00C14C8C&quot;/&gt;&lt;wsp:rsid wsp:val=&quot;00C1546C&quot;/&gt;&lt;wsp:rsid wsp:val=&quot;00C15B27&quot;/&gt;&lt;wsp:rsid wsp:val=&quot;00C1623E&quot;/&gt;&lt;wsp:rsid wsp:val=&quot;00C1665D&quot;/&gt;&lt;wsp:rsid wsp:val=&quot;00C16700&quot;/&gt;&lt;wsp:rsid wsp:val=&quot;00C17385&quot;/&gt;&lt;wsp:rsid wsp:val=&quot;00C1775A&quot;/&gt;&lt;wsp:rsid wsp:val=&quot;00C20662&quot;/&gt;&lt;wsp:rsid wsp:val=&quot;00C20691&quot;/&gt;&lt;wsp:rsid wsp:val=&quot;00C20DDF&quot;/&gt;&lt;wsp:rsid wsp:val=&quot;00C20EE9&quot;/&gt;&lt;wsp:rsid wsp:val=&quot;00C2158E&quot;/&gt;&lt;wsp:rsid wsp:val=&quot;00C21648&quot;/&gt;&lt;wsp:rsid wsp:val=&quot;00C2216E&quot;/&gt;&lt;wsp:rsid wsp:val=&quot;00C22551&quot;/&gt;&lt;wsp:rsid wsp:val=&quot;00C2280E&quot;/&gt;&lt;wsp:rsid wsp:val=&quot;00C22E63&quot;/&gt;&lt;wsp:rsid wsp:val=&quot;00C23E85&quot;/&gt;&lt;wsp:rsid wsp:val=&quot;00C24002&quot;/&gt;&lt;wsp:rsid wsp:val=&quot;00C2443A&quot;/&gt;&lt;wsp:rsid wsp:val=&quot;00C246C7&quot;/&gt;&lt;wsp:rsid wsp:val=&quot;00C248F5&quot;/&gt;&lt;wsp:rsid wsp:val=&quot;00C25BC4&quot;/&gt;&lt;wsp:rsid wsp:val=&quot;00C25E54&quot;/&gt;&lt;wsp:rsid wsp:val=&quot;00C25E97&quot;/&gt;&lt;wsp:rsid wsp:val=&quot;00C25F8A&quot;/&gt;&lt;wsp:rsid wsp:val=&quot;00C2661A&quot;/&gt;&lt;wsp:rsid wsp:val=&quot;00C26715&quot;/&gt;&lt;wsp:rsid wsp:val=&quot;00C27307&quot;/&gt;&lt;wsp:rsid wsp:val=&quot;00C275B6&quot;/&gt;&lt;wsp:rsid wsp:val=&quot;00C278D1&quot;/&gt;&lt;wsp:rsid wsp:val=&quot;00C30246&quot;/&gt;&lt;wsp:rsid wsp:val=&quot;00C3045C&quot;/&gt;&lt;wsp:rsid wsp:val=&quot;00C30600&quot;/&gt;&lt;wsp:rsid wsp:val=&quot;00C31358&quot;/&gt;&lt;wsp:rsid wsp:val=&quot;00C314E4&quot;/&gt;&lt;wsp:rsid wsp:val=&quot;00C31D70&quot;/&gt;&lt;wsp:rsid wsp:val=&quot;00C31E7A&quot;/&gt;&lt;wsp:rsid wsp:val=&quot;00C32351&quot;/&gt;&lt;wsp:rsid wsp:val=&quot;00C3318C&quot;/&gt;&lt;wsp:rsid wsp:val=&quot;00C3329A&quot;/&gt;&lt;wsp:rsid wsp:val=&quot;00C33CB8&quot;/&gt;&lt;wsp:rsid wsp:val=&quot;00C3406D&quot;/&gt;&lt;wsp:rsid wsp:val=&quot;00C3432A&quot;/&gt;&lt;wsp:rsid wsp:val=&quot;00C3434E&quot;/&gt;&lt;wsp:rsid wsp:val=&quot;00C34A1D&quot;/&gt;&lt;wsp:rsid wsp:val=&quot;00C34CAC&quot;/&gt;&lt;wsp:rsid wsp:val=&quot;00C34EAC&quot;/&gt;&lt;wsp:rsid wsp:val=&quot;00C34F2D&quot;/&gt;&lt;wsp:rsid wsp:val=&quot;00C353E8&quot;/&gt;&lt;wsp:rsid wsp:val=&quot;00C35981&quot;/&gt;&lt;wsp:rsid wsp:val=&quot;00C359A2&quot;/&gt;&lt;wsp:rsid wsp:val=&quot;00C3630A&quot;/&gt;&lt;wsp:rsid wsp:val=&quot;00C36759&quot;/&gt;&lt;wsp:rsid wsp:val=&quot;00C36987&quot;/&gt;&lt;wsp:rsid wsp:val=&quot;00C374D6&quot;/&gt;&lt;wsp:rsid wsp:val=&quot;00C3754D&quot;/&gt;&lt;wsp:rsid wsp:val=&quot;00C375BD&quot;/&gt;&lt;wsp:rsid wsp:val=&quot;00C378A3&quot;/&gt;&lt;wsp:rsid wsp:val=&quot;00C37DE2&quot;/&gt;&lt;wsp:rsid wsp:val=&quot;00C4001A&quot;/&gt;&lt;wsp:rsid wsp:val=&quot;00C40882&quot;/&gt;&lt;wsp:rsid wsp:val=&quot;00C4089D&quot;/&gt;&lt;wsp:rsid wsp:val=&quot;00C40994&quot;/&gt;&lt;wsp:rsid wsp:val=&quot;00C40A42&quot;/&gt;&lt;wsp:rsid wsp:val=&quot;00C414E8&quot;/&gt;&lt;wsp:rsid wsp:val=&quot;00C41588&quot;/&gt;&lt;wsp:rsid wsp:val=&quot;00C41C68&quot;/&gt;&lt;wsp:rsid wsp:val=&quot;00C41DE6&quot;/&gt;&lt;wsp:rsid wsp:val=&quot;00C42587&quot;/&gt;&lt;wsp:rsid wsp:val=&quot;00C42767&quot;/&gt;&lt;wsp:rsid wsp:val=&quot;00C42BC8&quot;/&gt;&lt;wsp:rsid wsp:val=&quot;00C42D06&quot;/&gt;&lt;wsp:rsid wsp:val=&quot;00C445C6&quot;/&gt;&lt;wsp:rsid wsp:val=&quot;00C4478E&quot;/&gt;&lt;wsp:rsid wsp:val=&quot;00C453BB&quot;/&gt;&lt;wsp:rsid wsp:val=&quot;00C459F6&quot;/&gt;&lt;wsp:rsid wsp:val=&quot;00C45A76&quot;/&gt;&lt;wsp:rsid wsp:val=&quot;00C45C4B&quot;/&gt;&lt;wsp:rsid wsp:val=&quot;00C4602D&quot;/&gt;&lt;wsp:rsid wsp:val=&quot;00C462A3&quot;/&gt;&lt;wsp:rsid wsp:val=&quot;00C462AA&quot;/&gt;&lt;wsp:rsid wsp:val=&quot;00C470AB&quot;/&gt;&lt;wsp:rsid wsp:val=&quot;00C500CB&quot;/&gt;&lt;wsp:rsid wsp:val=&quot;00C503B4&quot;/&gt;&lt;wsp:rsid wsp:val=&quot;00C517BC&quot;/&gt;&lt;wsp:rsid wsp:val=&quot;00C51A93&quot;/&gt;&lt;wsp:rsid wsp:val=&quot;00C52FAF&quot;/&gt;&lt;wsp:rsid wsp:val=&quot;00C52FF2&quot;/&gt;&lt;wsp:rsid wsp:val=&quot;00C531D2&quot;/&gt;&lt;wsp:rsid wsp:val=&quot;00C53637&quot;/&gt;&lt;wsp:rsid wsp:val=&quot;00C536DB&quot;/&gt;&lt;wsp:rsid wsp:val=&quot;00C54840&quot;/&gt;&lt;wsp:rsid wsp:val=&quot;00C548C2&quot;/&gt;&lt;wsp:rsid wsp:val=&quot;00C557BC&quot;/&gt;&lt;wsp:rsid wsp:val=&quot;00C55A95&quot;/&gt;&lt;wsp:rsid wsp:val=&quot;00C55E10&quot;/&gt;&lt;wsp:rsid wsp:val=&quot;00C55E4E&quot;/&gt;&lt;wsp:rsid wsp:val=&quot;00C5609A&quot;/&gt;&lt;wsp:rsid wsp:val=&quot;00C60825&quot;/&gt;&lt;wsp:rsid wsp:val=&quot;00C60EAD&quot;/&gt;&lt;wsp:rsid wsp:val=&quot;00C61CB8&quot;/&gt;&lt;wsp:rsid wsp:val=&quot;00C63A17&quot;/&gt;&lt;wsp:rsid wsp:val=&quot;00C6776E&quot;/&gt;&lt;wsp:rsid wsp:val=&quot;00C70567&quot;/&gt;&lt;wsp:rsid wsp:val=&quot;00C70A0C&quot;/&gt;&lt;wsp:rsid wsp:val=&quot;00C70FC9&quot;/&gt;&lt;wsp:rsid wsp:val=&quot;00C723A3&quot;/&gt;&lt;wsp:rsid wsp:val=&quot;00C726BE&quot;/&gt;&lt;wsp:rsid wsp:val=&quot;00C72D28&quot;/&gt;&lt;wsp:rsid wsp:val=&quot;00C73CEB&quot;/&gt;&lt;wsp:rsid wsp:val=&quot;00C74DA6&quot;/&gt;&lt;wsp:rsid wsp:val=&quot;00C74E79&quot;/&gt;&lt;wsp:rsid wsp:val=&quot;00C75506&quot;/&gt;&lt;wsp:rsid wsp:val=&quot;00C75B24&quot;/&gt;&lt;wsp:rsid wsp:val=&quot;00C75B33&quot;/&gt;&lt;wsp:rsid wsp:val=&quot;00C7612A&quot;/&gt;&lt;wsp:rsid wsp:val=&quot;00C76530&quot;/&gt;&lt;wsp:rsid wsp:val=&quot;00C766A3&quot;/&gt;&lt;wsp:rsid wsp:val=&quot;00C76BDB&quot;/&gt;&lt;wsp:rsid wsp:val=&quot;00C80121&quot;/&gt;&lt;wsp:rsid wsp:val=&quot;00C8142A&quot;/&gt;&lt;wsp:rsid wsp:val=&quot;00C817BD&quot;/&gt;&lt;wsp:rsid wsp:val=&quot;00C81DD7&quot;/&gt;&lt;wsp:rsid wsp:val=&quot;00C8267D&quot;/&gt;&lt;wsp:rsid wsp:val=&quot;00C82906&quot;/&gt;&lt;wsp:rsid wsp:val=&quot;00C82CC4&quot;/&gt;&lt;wsp:rsid wsp:val=&quot;00C84384&quot;/&gt;&lt;wsp:rsid wsp:val=&quot;00C8456A&quot;/&gt;&lt;wsp:rsid wsp:val=&quot;00C846AE&quot;/&gt;&lt;wsp:rsid wsp:val=&quot;00C84966&quot;/&gt;&lt;wsp:rsid wsp:val=&quot;00C85DB5&quot;/&gt;&lt;wsp:rsid wsp:val=&quot;00C873E5&quot;/&gt;&lt;wsp:rsid wsp:val=&quot;00C94696&quot;/&gt;&lt;wsp:rsid wsp:val=&quot;00C952C5&quot;/&gt;&lt;wsp:rsid wsp:val=&quot;00C963A8&quot;/&gt;&lt;wsp:rsid wsp:val=&quot;00C9666F&quot;/&gt;&lt;wsp:rsid wsp:val=&quot;00C96A54&quot;/&gt;&lt;wsp:rsid wsp:val=&quot;00C96F94&quot;/&gt;&lt;wsp:rsid wsp:val=&quot;00C9732F&quot;/&gt;&lt;wsp:rsid wsp:val=&quot;00CA0AE5&quot;/&gt;&lt;wsp:rsid wsp:val=&quot;00CA0E6F&quot;/&gt;&lt;wsp:rsid wsp:val=&quot;00CA3EE9&quot;/&gt;&lt;wsp:rsid wsp:val=&quot;00CA4ACE&quot;/&gt;&lt;wsp:rsid wsp:val=&quot;00CA5461&quot;/&gt;&lt;wsp:rsid wsp:val=&quot;00CA5651&quot;/&gt;&lt;wsp:rsid wsp:val=&quot;00CA5AF1&quot;/&gt;&lt;wsp:rsid wsp:val=&quot;00CA5D3C&quot;/&gt;&lt;wsp:rsid wsp:val=&quot;00CA5E81&quot;/&gt;&lt;wsp:rsid wsp:val=&quot;00CA6148&quot;/&gt;&lt;wsp:rsid wsp:val=&quot;00CA6AFE&quot;/&gt;&lt;wsp:rsid wsp:val=&quot;00CA79CA&quot;/&gt;&lt;wsp:rsid wsp:val=&quot;00CA7D1D&quot;/&gt;&lt;wsp:rsid wsp:val=&quot;00CB0573&quot;/&gt;&lt;wsp:rsid wsp:val=&quot;00CB0996&quot;/&gt;&lt;wsp:rsid wsp:val=&quot;00CB0B37&quot;/&gt;&lt;wsp:rsid wsp:val=&quot;00CB0EF0&quot;/&gt;&lt;wsp:rsid wsp:val=&quot;00CB1ABF&quot;/&gt;&lt;wsp:rsid wsp:val=&quot;00CB203D&quot;/&gt;&lt;wsp:rsid wsp:val=&quot;00CB2B58&quot;/&gt;&lt;wsp:rsid wsp:val=&quot;00CB2E3B&quot;/&gt;&lt;wsp:rsid wsp:val=&quot;00CB2F5E&quot;/&gt;&lt;wsp:rsid wsp:val=&quot;00CB3058&quot;/&gt;&lt;wsp:rsid wsp:val=&quot;00CB3368&quot;/&gt;&lt;wsp:rsid wsp:val=&quot;00CB36FA&quot;/&gt;&lt;wsp:rsid wsp:val=&quot;00CB38F0&quot;/&gt;&lt;wsp:rsid wsp:val=&quot;00CB3BBB&quot;/&gt;&lt;wsp:rsid wsp:val=&quot;00CB3FCA&quot;/&gt;&lt;wsp:rsid wsp:val=&quot;00CB4B44&quot;/&gt;&lt;wsp:rsid wsp:val=&quot;00CB5BC6&quot;/&gt;&lt;wsp:rsid wsp:val=&quot;00CB5E2C&quot;/&gt;&lt;wsp:rsid wsp:val=&quot;00CB6A83&quot;/&gt;&lt;wsp:rsid wsp:val=&quot;00CB6B3E&quot;/&gt;&lt;wsp:rsid wsp:val=&quot;00CB6EA3&quot;/&gt;&lt;wsp:rsid wsp:val=&quot;00CB7275&quot;/&gt;&lt;wsp:rsid wsp:val=&quot;00CB7322&quot;/&gt;&lt;wsp:rsid wsp:val=&quot;00CB772D&quot;/&gt;&lt;wsp:rsid wsp:val=&quot;00CB7B5A&quot;/&gt;&lt;wsp:rsid wsp:val=&quot;00CC0045&quot;/&gt;&lt;wsp:rsid wsp:val=&quot;00CC0801&quot;/&gt;&lt;wsp:rsid wsp:val=&quot;00CC0D8E&quot;/&gt;&lt;wsp:rsid wsp:val=&quot;00CC1CB5&quot;/&gt;&lt;wsp:rsid wsp:val=&quot;00CC1EE5&quot;/&gt;&lt;wsp:rsid wsp:val=&quot;00CC1FB2&quot;/&gt;&lt;wsp:rsid wsp:val=&quot;00CC2CBC&quot;/&gt;&lt;wsp:rsid wsp:val=&quot;00CC343A&quot;/&gt;&lt;wsp:rsid wsp:val=&quot;00CC46D8&quot;/&gt;&lt;wsp:rsid wsp:val=&quot;00CC4C2B&quot;/&gt;&lt;wsp:rsid wsp:val=&quot;00CC515F&quot;/&gt;&lt;wsp:rsid wsp:val=&quot;00CC5785&quot;/&gt;&lt;wsp:rsid wsp:val=&quot;00CC5DE2&quot;/&gt;&lt;wsp:rsid wsp:val=&quot;00CC7199&quot;/&gt;&lt;wsp:rsid wsp:val=&quot;00CC7BCE&quot;/&gt;&lt;wsp:rsid wsp:val=&quot;00CD0418&quot;/&gt;&lt;wsp:rsid wsp:val=&quot;00CD05AC&quot;/&gt;&lt;wsp:rsid wsp:val=&quot;00CD17D0&quot;/&gt;&lt;wsp:rsid wsp:val=&quot;00CD1812&quot;/&gt;&lt;wsp:rsid wsp:val=&quot;00CD2431&quot;/&gt;&lt;wsp:rsid wsp:val=&quot;00CD39E1&quot;/&gt;&lt;wsp:rsid wsp:val=&quot;00CD449A&quot;/&gt;&lt;wsp:rsid wsp:val=&quot;00CD44B5&quot;/&gt;&lt;wsp:rsid wsp:val=&quot;00CD51E4&quot;/&gt;&lt;wsp:rsid wsp:val=&quot;00CD6584&quot;/&gt;&lt;wsp:rsid wsp:val=&quot;00CD6E52&quot;/&gt;&lt;wsp:rsid wsp:val=&quot;00CD71D6&quot;/&gt;&lt;wsp:rsid wsp:val=&quot;00CD744B&quot;/&gt;&lt;wsp:rsid wsp:val=&quot;00CD7924&quot;/&gt;&lt;wsp:rsid wsp:val=&quot;00CE0451&quot;/&gt;&lt;wsp:rsid wsp:val=&quot;00CE1AF8&quot;/&gt;&lt;wsp:rsid wsp:val=&quot;00CE1D6F&quot;/&gt;&lt;wsp:rsid wsp:val=&quot;00CE23E2&quot;/&gt;&lt;wsp:rsid wsp:val=&quot;00CE2EC2&quot;/&gt;&lt;wsp:rsid wsp:val=&quot;00CE2F35&quot;/&gt;&lt;wsp:rsid wsp:val=&quot;00CE3734&quot;/&gt;&lt;wsp:rsid wsp:val=&quot;00CE3C4C&quot;/&gt;&lt;wsp:rsid wsp:val=&quot;00CE4D2E&quot;/&gt;&lt;wsp:rsid wsp:val=&quot;00CE5170&quot;/&gt;&lt;wsp:rsid wsp:val=&quot;00CE7066&quot;/&gt;&lt;wsp:rsid wsp:val=&quot;00CE7281&quot;/&gt;&lt;wsp:rsid wsp:val=&quot;00CE72AD&quot;/&gt;&lt;wsp:rsid wsp:val=&quot;00CE7A00&quot;/&gt;&lt;wsp:rsid wsp:val=&quot;00CE7C75&quot;/&gt;&lt;wsp:rsid wsp:val=&quot;00CE7E1B&quot;/&gt;&lt;wsp:rsid wsp:val=&quot;00CF056E&quot;/&gt;&lt;wsp:rsid wsp:val=&quot;00CF0759&quot;/&gt;&lt;wsp:rsid wsp:val=&quot;00CF1294&quot;/&gt;&lt;wsp:rsid wsp:val=&quot;00CF1E1E&quot;/&gt;&lt;wsp:rsid wsp:val=&quot;00CF1F2C&quot;/&gt;&lt;wsp:rsid wsp:val=&quot;00CF2193&quot;/&gt;&lt;wsp:rsid wsp:val=&quot;00CF28F8&quot;/&gt;&lt;wsp:rsid wsp:val=&quot;00CF2C34&quot;/&gt;&lt;wsp:rsid wsp:val=&quot;00CF2D49&quot;/&gt;&lt;wsp:rsid wsp:val=&quot;00CF448C&quot;/&gt;&lt;wsp:rsid wsp:val=&quot;00CF5962&quot;/&gt;&lt;wsp:rsid wsp:val=&quot;00CF59A3&quot;/&gt;&lt;wsp:rsid wsp:val=&quot;00CF5D17&quot;/&gt;&lt;wsp:rsid wsp:val=&quot;00CF6006&quot;/&gt;&lt;wsp:rsid wsp:val=&quot;00CF61D4&quot;/&gt;&lt;wsp:rsid wsp:val=&quot;00CF67C5&quot;/&gt;&lt;wsp:rsid wsp:val=&quot;00CF74AF&quot;/&gt;&lt;wsp:rsid wsp:val=&quot;00CF7581&quot;/&gt;&lt;wsp:rsid wsp:val=&quot;00CF78FB&quot;/&gt;&lt;wsp:rsid wsp:val=&quot;00D001A4&quot;/&gt;&lt;wsp:rsid wsp:val=&quot;00D0078E&quot;/&gt;&lt;wsp:rsid wsp:val=&quot;00D00BBE&quot;/&gt;&lt;wsp:rsid wsp:val=&quot;00D01220&quot;/&gt;&lt;wsp:rsid wsp:val=&quot;00D01CFD&quot;/&gt;&lt;wsp:rsid wsp:val=&quot;00D01FAF&quot;/&gt;&lt;wsp:rsid wsp:val=&quot;00D02616&quot;/&gt;&lt;wsp:rsid wsp:val=&quot;00D02E33&quot;/&gt;&lt;wsp:rsid wsp:val=&quot;00D03252&quot;/&gt;&lt;wsp:rsid wsp:val=&quot;00D03C47&quot;/&gt;&lt;wsp:rsid wsp:val=&quot;00D066FE&quot;/&gt;&lt;wsp:rsid wsp:val=&quot;00D06D2F&quot;/&gt;&lt;wsp:rsid wsp:val=&quot;00D075C3&quot;/&gt;&lt;wsp:rsid wsp:val=&quot;00D1123D&quot;/&gt;&lt;wsp:rsid wsp:val=&quot;00D11B60&quot;/&gt;&lt;wsp:rsid wsp:val=&quot;00D12FD4&quot;/&gt;&lt;wsp:rsid wsp:val=&quot;00D1361F&quot;/&gt;&lt;wsp:rsid wsp:val=&quot;00D139A3&quot;/&gt;&lt;wsp:rsid wsp:val=&quot;00D13A20&quot;/&gt;&lt;wsp:rsid wsp:val=&quot;00D13EF5&quot;/&gt;&lt;wsp:rsid wsp:val=&quot;00D1448B&quot;/&gt;&lt;wsp:rsid wsp:val=&quot;00D14595&quot;/&gt;&lt;wsp:rsid wsp:val=&quot;00D14CFA&quot;/&gt;&lt;wsp:rsid wsp:val=&quot;00D14D4F&quot;/&gt;&lt;wsp:rsid wsp:val=&quot;00D15AB0&quot;/&gt;&lt;wsp:rsid wsp:val=&quot;00D16031&quot;/&gt;&lt;wsp:rsid wsp:val=&quot;00D16113&quot;/&gt;&lt;wsp:rsid wsp:val=&quot;00D16167&quot;/&gt;&lt;wsp:rsid wsp:val=&quot;00D16DA1&quot;/&gt;&lt;wsp:rsid wsp:val=&quot;00D1726C&quot;/&gt;&lt;wsp:rsid wsp:val=&quot;00D1772A&quot;/&gt;&lt;wsp:rsid wsp:val=&quot;00D20535&quot;/&gt;&lt;wsp:rsid wsp:val=&quot;00D216CE&quot;/&gt;&lt;wsp:rsid wsp:val=&quot;00D21716&quot;/&gt;&lt;wsp:rsid wsp:val=&quot;00D22CAB&quot;/&gt;&lt;wsp:rsid wsp:val=&quot;00D240F3&quot;/&gt;&lt;wsp:rsid wsp:val=&quot;00D25D12&quot;/&gt;&lt;wsp:rsid wsp:val=&quot;00D25D78&quot;/&gt;&lt;wsp:rsid wsp:val=&quot;00D26899&quot;/&gt;&lt;wsp:rsid wsp:val=&quot;00D26AC1&quot;/&gt;&lt;wsp:rsid wsp:val=&quot;00D27726&quot;/&gt;&lt;wsp:rsid wsp:val=&quot;00D27BA8&quot;/&gt;&lt;wsp:rsid wsp:val=&quot;00D309B1&quot;/&gt;&lt;wsp:rsid wsp:val=&quot;00D326B5&quot;/&gt;&lt;wsp:rsid wsp:val=&quot;00D3304A&quot;/&gt;&lt;wsp:rsid wsp:val=&quot;00D332B2&quot;/&gt;&lt;wsp:rsid wsp:val=&quot;00D33B5A&quot;/&gt;&lt;wsp:rsid wsp:val=&quot;00D3444E&quot;/&gt;&lt;wsp:rsid wsp:val=&quot;00D346D4&quot;/&gt;&lt;wsp:rsid wsp:val=&quot;00D357D8&quot;/&gt;&lt;wsp:rsid wsp:val=&quot;00D35A1A&quot;/&gt;&lt;wsp:rsid wsp:val=&quot;00D35F9E&quot;/&gt;&lt;wsp:rsid wsp:val=&quot;00D36097&quot;/&gt;&lt;wsp:rsid wsp:val=&quot;00D36A3D&quot;/&gt;&lt;wsp:rsid wsp:val=&quot;00D373F0&quot;/&gt;&lt;wsp:rsid wsp:val=&quot;00D40808&quot;/&gt;&lt;wsp:rsid wsp:val=&quot;00D41497&quot;/&gt;&lt;wsp:rsid wsp:val=&quot;00D41E60&quot;/&gt;&lt;wsp:rsid wsp:val=&quot;00D42CBF&quot;/&gt;&lt;wsp:rsid wsp:val=&quot;00D43370&quot;/&gt;&lt;wsp:rsid wsp:val=&quot;00D43459&quot;/&gt;&lt;wsp:rsid wsp:val=&quot;00D43780&quot;/&gt;&lt;wsp:rsid wsp:val=&quot;00D43F94&quot;/&gt;&lt;wsp:rsid wsp:val=&quot;00D4491D&quot;/&gt;&lt;wsp:rsid wsp:val=&quot;00D44A21&quot;/&gt;&lt;wsp:rsid wsp:val=&quot;00D44CD5&quot;/&gt;&lt;wsp:rsid wsp:val=&quot;00D45558&quot;/&gt;&lt;wsp:rsid wsp:val=&quot;00D45924&quot;/&gt;&lt;wsp:rsid wsp:val=&quot;00D46515&quot;/&gt;&lt;wsp:rsid wsp:val=&quot;00D46DCD&quot;/&gt;&lt;wsp:rsid wsp:val=&quot;00D47025&quot;/&gt;&lt;wsp:rsid wsp:val=&quot;00D47213&quot;/&gt;&lt;wsp:rsid wsp:val=&quot;00D47A19&quot;/&gt;&lt;wsp:rsid wsp:val=&quot;00D47E76&quot;/&gt;&lt;wsp:rsid wsp:val=&quot;00D506DF&quot;/&gt;&lt;wsp:rsid wsp:val=&quot;00D5099D&quot;/&gt;&lt;wsp:rsid wsp:val=&quot;00D51A4A&quot;/&gt;&lt;wsp:rsid wsp:val=&quot;00D51E12&quot;/&gt;&lt;wsp:rsid wsp:val=&quot;00D51F1E&quot;/&gt;&lt;wsp:rsid wsp:val=&quot;00D537EC&quot;/&gt;&lt;wsp:rsid wsp:val=&quot;00D5395C&quot;/&gt;&lt;wsp:rsid wsp:val=&quot;00D53F7D&quot;/&gt;&lt;wsp:rsid wsp:val=&quot;00D540C5&quot;/&gt;&lt;wsp:rsid wsp:val=&quot;00D54633&quot;/&gt;&lt;wsp:rsid wsp:val=&quot;00D54D55&quot;/&gt;&lt;wsp:rsid wsp:val=&quot;00D553B4&quot;/&gt;&lt;wsp:rsid wsp:val=&quot;00D5573D&quot;/&gt;&lt;wsp:rsid wsp:val=&quot;00D56420&quot;/&gt;&lt;wsp:rsid wsp:val=&quot;00D5692B&quot;/&gt;&lt;wsp:rsid wsp:val=&quot;00D572AE&quot;/&gt;&lt;wsp:rsid wsp:val=&quot;00D57577&quot;/&gt;&lt;wsp:rsid wsp:val=&quot;00D612D2&quot;/&gt;&lt;wsp:rsid wsp:val=&quot;00D62984&quot;/&gt;&lt;wsp:rsid wsp:val=&quot;00D62D76&quot;/&gt;&lt;wsp:rsid wsp:val=&quot;00D62E2F&quot;/&gt;&lt;wsp:rsid wsp:val=&quot;00D62E86&quot;/&gt;&lt;wsp:rsid wsp:val=&quot;00D63586&quot;/&gt;&lt;wsp:rsid wsp:val=&quot;00D63C19&quot;/&gt;&lt;wsp:rsid wsp:val=&quot;00D63C23&quot;/&gt;&lt;wsp:rsid wsp:val=&quot;00D63C51&quot;/&gt;&lt;wsp:rsid wsp:val=&quot;00D64C66&quot;/&gt;&lt;wsp:rsid wsp:val=&quot;00D67265&quot;/&gt;&lt;wsp:rsid wsp:val=&quot;00D7052E&quot;/&gt;&lt;wsp:rsid wsp:val=&quot;00D705F0&quot;/&gt;&lt;wsp:rsid wsp:val=&quot;00D71DFF&quot;/&gt;&lt;wsp:rsid wsp:val=&quot;00D722D2&quot;/&gt;&lt;wsp:rsid wsp:val=&quot;00D72B17&quot;/&gt;&lt;wsp:rsid wsp:val=&quot;00D72D6F&quot;/&gt;&lt;wsp:rsid wsp:val=&quot;00D73043&quot;/&gt;&lt;wsp:rsid wsp:val=&quot;00D73586&quot;/&gt;&lt;wsp:rsid wsp:val=&quot;00D73F42&quot;/&gt;&lt;wsp:rsid wsp:val=&quot;00D73F8F&quot;/&gt;&lt;wsp:rsid wsp:val=&quot;00D7417F&quot;/&gt;&lt;wsp:rsid wsp:val=&quot;00D745F2&quot;/&gt;&lt;wsp:rsid wsp:val=&quot;00D74F20&quot;/&gt;&lt;wsp:rsid wsp:val=&quot;00D75DF8&quot;/&gt;&lt;wsp:rsid wsp:val=&quot;00D76826&quot;/&gt;&lt;wsp:rsid wsp:val=&quot;00D76B80&quot;/&gt;&lt;wsp:rsid wsp:val=&quot;00D771F9&quot;/&gt;&lt;wsp:rsid wsp:val=&quot;00D80847&quot;/&gt;&lt;wsp:rsid wsp:val=&quot;00D809AD&quot;/&gt;&lt;wsp:rsid wsp:val=&quot;00D81737&quot;/&gt;&lt;wsp:rsid wsp:val=&quot;00D81C85&quot;/&gt;&lt;wsp:rsid wsp:val=&quot;00D82111&quot;/&gt;&lt;wsp:rsid wsp:val=&quot;00D8315A&quot;/&gt;&lt;wsp:rsid wsp:val=&quot;00D83397&quot;/&gt;&lt;wsp:rsid wsp:val=&quot;00D8367E&quot;/&gt;&lt;wsp:rsid wsp:val=&quot;00D84536&quot;/&gt;&lt;wsp:rsid wsp:val=&quot;00D84E19&quot;/&gt;&lt;wsp:rsid wsp:val=&quot;00D852E6&quot;/&gt;&lt;wsp:rsid wsp:val=&quot;00D855EC&quot;/&gt;&lt;wsp:rsid wsp:val=&quot;00D85CB0&quot;/&gt;&lt;wsp:rsid wsp:val=&quot;00D85F54&quot;/&gt;&lt;wsp:rsid wsp:val=&quot;00D86253&quot;/&gt;&lt;wsp:rsid wsp:val=&quot;00D863A3&quot;/&gt;&lt;wsp:rsid wsp:val=&quot;00D86412&quot;/&gt;&lt;wsp:rsid wsp:val=&quot;00D86548&quot;/&gt;&lt;wsp:rsid wsp:val=&quot;00D8724C&quot;/&gt;&lt;wsp:rsid wsp:val=&quot;00D87385&quot;/&gt;&lt;wsp:rsid wsp:val=&quot;00D91528&quot;/&gt;&lt;wsp:rsid wsp:val=&quot;00D91BEE&quot;/&gt;&lt;wsp:rsid wsp:val=&quot;00D91D20&quot;/&gt;&lt;wsp:rsid wsp:val=&quot;00D92685&quot;/&gt;&lt;wsp:rsid wsp:val=&quot;00D9330B&quot;/&gt;&lt;wsp:rsid wsp:val=&quot;00D93693&quot;/&gt;&lt;wsp:rsid wsp:val=&quot;00D9371F&quot;/&gt;&lt;wsp:rsid wsp:val=&quot;00D939F8&quot;/&gt;&lt;wsp:rsid wsp:val=&quot;00D943B4&quot;/&gt;&lt;wsp:rsid wsp:val=&quot;00D9449C&quot;/&gt;&lt;wsp:rsid wsp:val=&quot;00D9499B&quot;/&gt;&lt;wsp:rsid wsp:val=&quot;00D94DF6&quot;/&gt;&lt;wsp:rsid wsp:val=&quot;00D95ABD&quot;/&gt;&lt;wsp:rsid wsp:val=&quot;00D95F00&quot;/&gt;&lt;wsp:rsid wsp:val=&quot;00D9697A&quot;/&gt;&lt;wsp:rsid wsp:val=&quot;00D96A6E&quot;/&gt;&lt;wsp:rsid wsp:val=&quot;00DA0643&quot;/&gt;&lt;wsp:rsid wsp:val=&quot;00DA0A20&quot;/&gt;&lt;wsp:rsid wsp:val=&quot;00DA0C8C&quot;/&gt;&lt;wsp:rsid wsp:val=&quot;00DA0EDA&quot;/&gt;&lt;wsp:rsid wsp:val=&quot;00DA1255&quot;/&gt;&lt;wsp:rsid wsp:val=&quot;00DA1B18&quot;/&gt;&lt;wsp:rsid wsp:val=&quot;00DA1CD1&quot;/&gt;&lt;wsp:rsid wsp:val=&quot;00DA2D6D&quot;/&gt;&lt;wsp:rsid wsp:val=&quot;00DA3462&quot;/&gt;&lt;wsp:rsid wsp:val=&quot;00DA5523&quot;/&gt;&lt;wsp:rsid wsp:val=&quot;00DA55FA&quot;/&gt;&lt;wsp:rsid wsp:val=&quot;00DA5778&quot;/&gt;&lt;wsp:rsid wsp:val=&quot;00DA57B5&quot;/&gt;&lt;wsp:rsid wsp:val=&quot;00DA5934&quot;/&gt;&lt;wsp:rsid wsp:val=&quot;00DA7601&quot;/&gt;&lt;wsp:rsid wsp:val=&quot;00DA763A&quot;/&gt;&lt;wsp:rsid wsp:val=&quot;00DA797F&quot;/&gt;&lt;wsp:rsid wsp:val=&quot;00DB00A6&quot;/&gt;&lt;wsp:rsid wsp:val=&quot;00DB00B6&quot;/&gt;&lt;wsp:rsid wsp:val=&quot;00DB0787&quot;/&gt;&lt;wsp:rsid wsp:val=&quot;00DB1DD7&quot;/&gt;&lt;wsp:rsid wsp:val=&quot;00DB1E25&quot;/&gt;&lt;wsp:rsid wsp:val=&quot;00DB2172&quot;/&gt;&lt;wsp:rsid wsp:val=&quot;00DB28D9&quot;/&gt;&lt;wsp:rsid wsp:val=&quot;00DB2CD3&quot;/&gt;&lt;wsp:rsid wsp:val=&quot;00DB3191&quot;/&gt;&lt;wsp:rsid wsp:val=&quot;00DB328E&quot;/&gt;&lt;wsp:rsid wsp:val=&quot;00DB3298&quot;/&gt;&lt;wsp:rsid wsp:val=&quot;00DB367B&quot;/&gt;&lt;wsp:rsid wsp:val=&quot;00DB37F3&quot;/&gt;&lt;wsp:rsid wsp:val=&quot;00DB3E3C&quot;/&gt;&lt;wsp:rsid wsp:val=&quot;00DB3F13&quot;/&gt;&lt;wsp:rsid wsp:val=&quot;00DB49AF&quot;/&gt;&lt;wsp:rsid wsp:val=&quot;00DB5998&quot;/&gt;&lt;wsp:rsid wsp:val=&quot;00DB6341&quot;/&gt;&lt;wsp:rsid wsp:val=&quot;00DB6C85&quot;/&gt;&lt;wsp:rsid wsp:val=&quot;00DB78ED&quot;/&gt;&lt;wsp:rsid wsp:val=&quot;00DB7F39&quot;/&gt;&lt;wsp:rsid wsp:val=&quot;00DC0C3B&quot;/&gt;&lt;wsp:rsid wsp:val=&quot;00DC0DA7&quot;/&gt;&lt;wsp:rsid wsp:val=&quot;00DC176A&quot;/&gt;&lt;wsp:rsid wsp:val=&quot;00DC1861&quot;/&gt;&lt;wsp:rsid wsp:val=&quot;00DC2137&quot;/&gt;&lt;wsp:rsid wsp:val=&quot;00DC28F6&quot;/&gt;&lt;wsp:rsid wsp:val=&quot;00DC3889&quot;/&gt;&lt;wsp:rsid wsp:val=&quot;00DC400A&quot;/&gt;&lt;wsp:rsid wsp:val=&quot;00DC58A1&quot;/&gt;&lt;wsp:rsid wsp:val=&quot;00DC5BAA&quot;/&gt;&lt;wsp:rsid wsp:val=&quot;00DC5E80&quot;/&gt;&lt;wsp:rsid wsp:val=&quot;00DC653F&quot;/&gt;&lt;wsp:rsid wsp:val=&quot;00DC6C57&quot;/&gt;&lt;wsp:rsid wsp:val=&quot;00DC71AD&quot;/&gt;&lt;wsp:rsid wsp:val=&quot;00DC7D26&quot;/&gt;&lt;wsp:rsid wsp:val=&quot;00DD0C5B&quot;/&gt;&lt;wsp:rsid wsp:val=&quot;00DD151E&quot;/&gt;&lt;wsp:rsid wsp:val=&quot;00DD1A93&quot;/&gt;&lt;wsp:rsid wsp:val=&quot;00DD23C5&quot;/&gt;&lt;wsp:rsid wsp:val=&quot;00DD2531&quot;/&gt;&lt;wsp:rsid wsp:val=&quot;00DD282E&quot;/&gt;&lt;wsp:rsid wsp:val=&quot;00DD2FCD&quot;/&gt;&lt;wsp:rsid wsp:val=&quot;00DD329B&quot;/&gt;&lt;wsp:rsid wsp:val=&quot;00DD37C0&quot;/&gt;&lt;wsp:rsid wsp:val=&quot;00DD4806&quot;/&gt;&lt;wsp:rsid wsp:val=&quot;00DD4926&quot;/&gt;&lt;wsp:rsid wsp:val=&quot;00DD5288&quot;/&gt;&lt;wsp:rsid wsp:val=&quot;00DD5EFB&quot;/&gt;&lt;wsp:rsid wsp:val=&quot;00DD6151&quot;/&gt;&lt;wsp:rsid wsp:val=&quot;00DD620A&quot;/&gt;&lt;wsp:rsid wsp:val=&quot;00DD6F11&quot;/&gt;&lt;wsp:rsid wsp:val=&quot;00DD70F1&quot;/&gt;&lt;wsp:rsid wsp:val=&quot;00DD7B87&quot;/&gt;&lt;wsp:rsid wsp:val=&quot;00DE0001&quot;/&gt;&lt;wsp:rsid wsp:val=&quot;00DE0A94&quot;/&gt;&lt;wsp:rsid wsp:val=&quot;00DE136F&quot;/&gt;&lt;wsp:rsid wsp:val=&quot;00DE1C90&quot;/&gt;&lt;wsp:rsid wsp:val=&quot;00DE1F4E&quot;/&gt;&lt;wsp:rsid wsp:val=&quot;00DE2625&quot;/&gt;&lt;wsp:rsid wsp:val=&quot;00DE2CA8&quot;/&gt;&lt;wsp:rsid wsp:val=&quot;00DE2DC3&quot;/&gt;&lt;wsp:rsid wsp:val=&quot;00DE38CC&quot;/&gt;&lt;wsp:rsid wsp:val=&quot;00DE48C1&quot;/&gt;&lt;wsp:rsid wsp:val=&quot;00DE4ACB&quot;/&gt;&lt;wsp:rsid wsp:val=&quot;00DE5CBF&quot;/&gt;&lt;wsp:rsid wsp:val=&quot;00DE5CE9&quot;/&gt;&lt;wsp:rsid wsp:val=&quot;00DE61CD&quot;/&gt;&lt;wsp:rsid wsp:val=&quot;00DE64CD&quot;/&gt;&lt;wsp:rsid wsp:val=&quot;00DE66BB&quot;/&gt;&lt;wsp:rsid wsp:val=&quot;00DE66FF&quot;/&gt;&lt;wsp:rsid wsp:val=&quot;00DE7265&quot;/&gt;&lt;wsp:rsid wsp:val=&quot;00DE7D9B&quot;/&gt;&lt;wsp:rsid wsp:val=&quot;00DF1A51&quot;/&gt;&lt;wsp:rsid wsp:val=&quot;00DF1BA6&quot;/&gt;&lt;wsp:rsid wsp:val=&quot;00DF2C47&quot;/&gt;&lt;wsp:rsid wsp:val=&quot;00DF3BED&quot;/&gt;&lt;wsp:rsid wsp:val=&quot;00DF3C37&quot;/&gt;&lt;wsp:rsid wsp:val=&quot;00DF4EEC&quot;/&gt;&lt;wsp:rsid wsp:val=&quot;00DF4FF6&quot;/&gt;&lt;wsp:rsid wsp:val=&quot;00DF6019&quot;/&gt;&lt;wsp:rsid wsp:val=&quot;00DF6045&quot;/&gt;&lt;wsp:rsid wsp:val=&quot;00DF661E&quot;/&gt;&lt;wsp:rsid wsp:val=&quot;00DF672B&quot;/&gt;&lt;wsp:rsid wsp:val=&quot;00DF6786&quot;/&gt;&lt;wsp:rsid wsp:val=&quot;00DF6D6A&quot;/&gt;&lt;wsp:rsid wsp:val=&quot;00DF6F87&quot;/&gt;&lt;wsp:rsid wsp:val=&quot;00DF7701&quot;/&gt;&lt;wsp:rsid wsp:val=&quot;00E00EFD&quot;/&gt;&lt;wsp:rsid wsp:val=&quot;00E01130&quot;/&gt;&lt;wsp:rsid wsp:val=&quot;00E01828&quot;/&gt;&lt;wsp:rsid wsp:val=&quot;00E019E8&quot;/&gt;&lt;wsp:rsid wsp:val=&quot;00E02074&quot;/&gt;&lt;wsp:rsid wsp:val=&quot;00E024E4&quot;/&gt;&lt;wsp:rsid wsp:val=&quot;00E02526&quot;/&gt;&lt;wsp:rsid wsp:val=&quot;00E025AF&quot;/&gt;&lt;wsp:rsid wsp:val=&quot;00E02FED&quot;/&gt;&lt;wsp:rsid wsp:val=&quot;00E03061&quot;/&gt;&lt;wsp:rsid wsp:val=&quot;00E036F4&quot;/&gt;&lt;wsp:rsid wsp:val=&quot;00E04099&quot;/&gt;&lt;wsp:rsid wsp:val=&quot;00E0485B&quot;/&gt;&lt;wsp:rsid wsp:val=&quot;00E05882&quot;/&gt;&lt;wsp:rsid wsp:val=&quot;00E074B2&quot;/&gt;&lt;wsp:rsid wsp:val=&quot;00E07598&quot;/&gt;&lt;wsp:rsid wsp:val=&quot;00E07BB2&quot;/&gt;&lt;wsp:rsid wsp:val=&quot;00E07C40&quot;/&gt;&lt;wsp:rsid wsp:val=&quot;00E10084&quot;/&gt;&lt;wsp:rsid wsp:val=&quot;00E10528&quot;/&gt;&lt;wsp:rsid wsp:val=&quot;00E10553&quot;/&gt;&lt;wsp:rsid wsp:val=&quot;00E10F3B&quot;/&gt;&lt;wsp:rsid wsp:val=&quot;00E11C42&quot;/&gt;&lt;wsp:rsid wsp:val=&quot;00E12817&quot;/&gt;&lt;wsp:rsid wsp:val=&quot;00E1333F&quot;/&gt;&lt;wsp:rsid wsp:val=&quot;00E134BB&quot;/&gt;&lt;wsp:rsid wsp:val=&quot;00E13697&quot;/&gt;&lt;wsp:rsid wsp:val=&quot;00E13C78&quot;/&gt;&lt;wsp:rsid wsp:val=&quot;00E13FBF&quot;/&gt;&lt;wsp:rsid wsp:val=&quot;00E14279&quot;/&gt;&lt;wsp:rsid wsp:val=&quot;00E15043&quot;/&gt;&lt;wsp:rsid wsp:val=&quot;00E157ED&quot;/&gt;&lt;wsp:rsid wsp:val=&quot;00E15815&quot;/&gt;&lt;wsp:rsid wsp:val=&quot;00E15819&quot;/&gt;&lt;wsp:rsid wsp:val=&quot;00E1683B&quot;/&gt;&lt;wsp:rsid wsp:val=&quot;00E16940&quot;/&gt;&lt;wsp:rsid wsp:val=&quot;00E1780E&quot;/&gt;&lt;wsp:rsid wsp:val=&quot;00E203D4&quot;/&gt;&lt;wsp:rsid wsp:val=&quot;00E21794&quot;/&gt;&lt;wsp:rsid wsp:val=&quot;00E22688&quot;/&gt;&lt;wsp:rsid wsp:val=&quot;00E22B39&quot;/&gt;&lt;wsp:rsid wsp:val=&quot;00E23F38&quot;/&gt;&lt;wsp:rsid wsp:val=&quot;00E2487D&quot;/&gt;&lt;wsp:rsid wsp:val=&quot;00E25B2B&quot;/&gt;&lt;wsp:rsid wsp:val=&quot;00E25D75&quot;/&gt;&lt;wsp:rsid wsp:val=&quot;00E26CD3&quot;/&gt;&lt;wsp:rsid wsp:val=&quot;00E27B77&quot;/&gt;&lt;wsp:rsid wsp:val=&quot;00E30240&quot;/&gt;&lt;wsp:rsid wsp:val=&quot;00E30273&quot;/&gt;&lt;wsp:rsid wsp:val=&quot;00E303EB&quot;/&gt;&lt;wsp:rsid wsp:val=&quot;00E30656&quot;/&gt;&lt;wsp:rsid wsp:val=&quot;00E3071D&quot;/&gt;&lt;wsp:rsid wsp:val=&quot;00E31148&quot;/&gt;&lt;wsp:rsid wsp:val=&quot;00E32587&quot;/&gt;&lt;wsp:rsid wsp:val=&quot;00E32CA4&quot;/&gt;&lt;wsp:rsid wsp:val=&quot;00E32DB9&quot;/&gt;&lt;wsp:rsid wsp:val=&quot;00E33070&quot;/&gt;&lt;wsp:rsid wsp:val=&quot;00E338AA&quot;/&gt;&lt;wsp:rsid wsp:val=&quot;00E34888&quot;/&gt;&lt;wsp:rsid wsp:val=&quot;00E34CCD&quot;/&gt;&lt;wsp:rsid wsp:val=&quot;00E371B0&quot;/&gt;&lt;wsp:rsid wsp:val=&quot;00E37346&quot;/&gt;&lt;wsp:rsid wsp:val=&quot;00E3740E&quot;/&gt;&lt;wsp:rsid wsp:val=&quot;00E37E0E&quot;/&gt;&lt;wsp:rsid wsp:val=&quot;00E40E2B&quot;/&gt;&lt;wsp:rsid wsp:val=&quot;00E41F50&quot;/&gt;&lt;wsp:rsid wsp:val=&quot;00E429F7&quot;/&gt;&lt;wsp:rsid wsp:val=&quot;00E42C62&quot;/&gt;&lt;wsp:rsid wsp:val=&quot;00E42F37&quot;/&gt;&lt;wsp:rsid wsp:val=&quot;00E42F74&quot;/&gt;&lt;wsp:rsid wsp:val=&quot;00E442F8&quot;/&gt;&lt;wsp:rsid wsp:val=&quot;00E4447F&quot;/&gt;&lt;wsp:rsid wsp:val=&quot;00E45347&quot;/&gt;&lt;wsp:rsid wsp:val=&quot;00E455C7&quot;/&gt;&lt;wsp:rsid wsp:val=&quot;00E47C35&quot;/&gt;&lt;wsp:rsid wsp:val=&quot;00E50813&quot;/&gt;&lt;wsp:rsid wsp:val=&quot;00E512E9&quot;/&gt;&lt;wsp:rsid wsp:val=&quot;00E513E5&quot;/&gt;&lt;wsp:rsid wsp:val=&quot;00E515AD&quot;/&gt;&lt;wsp:rsid wsp:val=&quot;00E51BD2&quot;/&gt;&lt;wsp:rsid wsp:val=&quot;00E51BEB&quot;/&gt;&lt;wsp:rsid wsp:val=&quot;00E51D04&quot;/&gt;&lt;wsp:rsid wsp:val=&quot;00E5207A&quot;/&gt;&lt;wsp:rsid wsp:val=&quot;00E526AC&quot;/&gt;&lt;wsp:rsid wsp:val=&quot;00E5270D&quot;/&gt;&lt;wsp:rsid wsp:val=&quot;00E52967&quot;/&gt;&lt;wsp:rsid wsp:val=&quot;00E5377F&quot;/&gt;&lt;wsp:rsid wsp:val=&quot;00E53BFE&quot;/&gt;&lt;wsp:rsid wsp:val=&quot;00E53E15&quot;/&gt;&lt;wsp:rsid wsp:val=&quot;00E53E20&quot;/&gt;&lt;wsp:rsid wsp:val=&quot;00E54506&quot;/&gt;&lt;wsp:rsid wsp:val=&quot;00E54912&quot;/&gt;&lt;wsp:rsid wsp:val=&quot;00E54E6C&quot;/&gt;&lt;wsp:rsid wsp:val=&quot;00E55304&quot;/&gt;&lt;wsp:rsid wsp:val=&quot;00E55F6B&quot;/&gt;&lt;wsp:rsid wsp:val=&quot;00E55FD3&quot;/&gt;&lt;wsp:rsid wsp:val=&quot;00E56EA4&quot;/&gt;&lt;wsp:rsid wsp:val=&quot;00E57697&quot;/&gt;&lt;wsp:rsid wsp:val=&quot;00E57734&quot;/&gt;&lt;wsp:rsid wsp:val=&quot;00E60768&quot;/&gt;&lt;wsp:rsid wsp:val=&quot;00E60A42&quot;/&gt;&lt;wsp:rsid wsp:val=&quot;00E614CE&quot;/&gt;&lt;wsp:rsid wsp:val=&quot;00E62179&quot;/&gt;&lt;wsp:rsid wsp:val=&quot;00E62373&quot;/&gt;&lt;wsp:rsid wsp:val=&quot;00E62449&quot;/&gt;&lt;wsp:rsid wsp:val=&quot;00E62780&quot;/&gt;&lt;wsp:rsid wsp:val=&quot;00E62847&quot;/&gt;&lt;wsp:rsid wsp:val=&quot;00E63D5E&quot;/&gt;&lt;wsp:rsid wsp:val=&quot;00E64DCB&quot;/&gt;&lt;wsp:rsid wsp:val=&quot;00E6522B&quot;/&gt;&lt;wsp:rsid wsp:val=&quot;00E65D67&quot;/&gt;&lt;wsp:rsid wsp:val=&quot;00E6650B&quot;/&gt;&lt;wsp:rsid wsp:val=&quot;00E66E16&quot;/&gt;&lt;wsp:rsid wsp:val=&quot;00E670EF&quot;/&gt;&lt;wsp:rsid wsp:val=&quot;00E672CA&quot;/&gt;&lt;wsp:rsid wsp:val=&quot;00E676FB&quot;/&gt;&lt;wsp:rsid wsp:val=&quot;00E70507&quot;/&gt;&lt;wsp:rsid wsp:val=&quot;00E70B85&quot;/&gt;&lt;wsp:rsid wsp:val=&quot;00E70F52&quot;/&gt;&lt;wsp:rsid wsp:val=&quot;00E71B69&quot;/&gt;&lt;wsp:rsid wsp:val=&quot;00E74003&quot;/&gt;&lt;wsp:rsid wsp:val=&quot;00E74B27&quot;/&gt;&lt;wsp:rsid wsp:val=&quot;00E74EF6&quot;/&gt;&lt;wsp:rsid wsp:val=&quot;00E75089&quot;/&gt;&lt;wsp:rsid wsp:val=&quot;00E752DB&quot;/&gt;&lt;wsp:rsid wsp:val=&quot;00E7599A&quot;/&gt;&lt;wsp:rsid wsp:val=&quot;00E75E30&quot;/&gt;&lt;wsp:rsid wsp:val=&quot;00E75F8F&quot;/&gt;&lt;wsp:rsid wsp:val=&quot;00E763E3&quot;/&gt;&lt;wsp:rsid wsp:val=&quot;00E76419&quot;/&gt;&lt;wsp:rsid wsp:val=&quot;00E77274&quot;/&gt;&lt;wsp:rsid wsp:val=&quot;00E7752F&quot;/&gt;&lt;wsp:rsid wsp:val=&quot;00E779B3&quot;/&gt;&lt;wsp:rsid wsp:val=&quot;00E77D94&quot;/&gt;&lt;wsp:rsid wsp:val=&quot;00E77FF5&quot;/&gt;&lt;wsp:rsid wsp:val=&quot;00E811D0&quot;/&gt;&lt;wsp:rsid wsp:val=&quot;00E82387&quot;/&gt;&lt;wsp:rsid wsp:val=&quot;00E823CB&quot;/&gt;&lt;wsp:rsid wsp:val=&quot;00E8346F&quot;/&gt;&lt;wsp:rsid wsp:val=&quot;00E8362D&quot;/&gt;&lt;wsp:rsid wsp:val=&quot;00E83C3D&quot;/&gt;&lt;wsp:rsid wsp:val=&quot;00E83D44&quot;/&gt;&lt;wsp:rsid wsp:val=&quot;00E84151&quot;/&gt;&lt;wsp:rsid wsp:val=&quot;00E84605&quot;/&gt;&lt;wsp:rsid wsp:val=&quot;00E847B4&quot;/&gt;&lt;wsp:rsid wsp:val=&quot;00E84B55&quot;/&gt;&lt;wsp:rsid wsp:val=&quot;00E85ABF&quot;/&gt;&lt;wsp:rsid wsp:val=&quot;00E85B23&quot;/&gt;&lt;wsp:rsid wsp:val=&quot;00E861E3&quot;/&gt;&lt;wsp:rsid wsp:val=&quot;00E86656&quot;/&gt;&lt;wsp:rsid wsp:val=&quot;00E87555&quot;/&gt;&lt;wsp:rsid wsp:val=&quot;00E8763E&quot;/&gt;&lt;wsp:rsid wsp:val=&quot;00E87651&quot;/&gt;&lt;wsp:rsid wsp:val=&quot;00E87B30&quot;/&gt;&lt;wsp:rsid wsp:val=&quot;00E87FE7&quot;/&gt;&lt;wsp:rsid wsp:val=&quot;00E90180&quot;/&gt;&lt;wsp:rsid wsp:val=&quot;00E91340&quot;/&gt;&lt;wsp:rsid wsp:val=&quot;00E9163F&quot;/&gt;&lt;wsp:rsid wsp:val=&quot;00E9168A&quot;/&gt;&lt;wsp:rsid wsp:val=&quot;00E91834&quot;/&gt;&lt;wsp:rsid wsp:val=&quot;00E9193C&quot;/&gt;&lt;wsp:rsid wsp:val=&quot;00E92669&quot;/&gt;&lt;wsp:rsid wsp:val=&quot;00E926B8&quot;/&gt;&lt;wsp:rsid wsp:val=&quot;00E92E24&quot;/&gt;&lt;wsp:rsid wsp:val=&quot;00E93D1A&quot;/&gt;&lt;wsp:rsid wsp:val=&quot;00E941E4&quot;/&gt;&lt;wsp:rsid wsp:val=&quot;00E95C4D&quot;/&gt;&lt;wsp:rsid wsp:val=&quot;00E95D78&quot;/&gt;&lt;wsp:rsid wsp:val=&quot;00E95ED1&quot;/&gt;&lt;wsp:rsid wsp:val=&quot;00E961F1&quot;/&gt;&lt;wsp:rsid wsp:val=&quot;00E9719A&quot;/&gt;&lt;wsp:rsid wsp:val=&quot;00E972C3&quot;/&gt;&lt;wsp:rsid wsp:val=&quot;00EA0977&quot;/&gt;&lt;wsp:rsid wsp:val=&quot;00EA09E5&quot;/&gt;&lt;wsp:rsid wsp:val=&quot;00EA152B&quot;/&gt;&lt;wsp:rsid wsp:val=&quot;00EA2050&quot;/&gt;&lt;wsp:rsid wsp:val=&quot;00EA238A&quot;/&gt;&lt;wsp:rsid wsp:val=&quot;00EA25DD&quot;/&gt;&lt;wsp:rsid wsp:val=&quot;00EA2FA6&quot;/&gt;&lt;wsp:rsid wsp:val=&quot;00EA342B&quot;/&gt;&lt;wsp:rsid wsp:val=&quot;00EA38BE&quot;/&gt;&lt;wsp:rsid wsp:val=&quot;00EA41C5&quot;/&gt;&lt;wsp:rsid wsp:val=&quot;00EA4313&quot;/&gt;&lt;wsp:rsid wsp:val=&quot;00EA56DE&quot;/&gt;&lt;wsp:rsid wsp:val=&quot;00EA6B15&quot;/&gt;&lt;wsp:rsid wsp:val=&quot;00EB0990&quot;/&gt;&lt;wsp:rsid wsp:val=&quot;00EB21AA&quot;/&gt;&lt;wsp:rsid wsp:val=&quot;00EB2563&quot;/&gt;&lt;wsp:rsid wsp:val=&quot;00EB4421&quot;/&gt;&lt;wsp:rsid wsp:val=&quot;00EB4A6C&quot;/&gt;&lt;wsp:rsid wsp:val=&quot;00EB4D22&quot;/&gt;&lt;wsp:rsid wsp:val=&quot;00EB518D&quot;/&gt;&lt;wsp:rsid wsp:val=&quot;00EB6884&quot;/&gt;&lt;wsp:rsid wsp:val=&quot;00EB6E45&quot;/&gt;&lt;wsp:rsid wsp:val=&quot;00EB726C&quot;/&gt;&lt;wsp:rsid wsp:val=&quot;00EB766D&quot;/&gt;&lt;wsp:rsid wsp:val=&quot;00EC0608&quot;/&gt;&lt;wsp:rsid wsp:val=&quot;00EC068A&quot;/&gt;&lt;wsp:rsid wsp:val=&quot;00EC073F&quot;/&gt;&lt;wsp:rsid wsp:val=&quot;00EC1A94&quot;/&gt;&lt;wsp:rsid wsp:val=&quot;00EC1AD0&quot;/&gt;&lt;wsp:rsid wsp:val=&quot;00EC23DE&quot;/&gt;&lt;wsp:rsid wsp:val=&quot;00EC285E&quot;/&gt;&lt;wsp:rsid wsp:val=&quot;00EC29A0&quot;/&gt;&lt;wsp:rsid wsp:val=&quot;00EC2C64&quot;/&gt;&lt;wsp:rsid wsp:val=&quot;00EC31B0&quot;/&gt;&lt;wsp:rsid wsp:val=&quot;00EC43FC&quot;/&gt;&lt;wsp:rsid wsp:val=&quot;00EC5112&quot;/&gt;&lt;wsp:rsid wsp:val=&quot;00EC5854&quot;/&gt;&lt;wsp:rsid wsp:val=&quot;00EC5C58&quot;/&gt;&lt;wsp:rsid wsp:val=&quot;00EC6035&quot;/&gt;&lt;wsp:rsid wsp:val=&quot;00EC72C0&quot;/&gt;&lt;wsp:rsid wsp:val=&quot;00EC770B&quot;/&gt;&lt;wsp:rsid wsp:val=&quot;00ED134B&quot;/&gt;&lt;wsp:rsid wsp:val=&quot;00ED2546&quot;/&gt;&lt;wsp:rsid wsp:val=&quot;00ED2671&quot;/&gt;&lt;wsp:rsid wsp:val=&quot;00ED300C&quot;/&gt;&lt;wsp:rsid wsp:val=&quot;00ED304A&quot;/&gt;&lt;wsp:rsid wsp:val=&quot;00ED3CA3&quot;/&gt;&lt;wsp:rsid wsp:val=&quot;00ED4720&quot;/&gt;&lt;wsp:rsid wsp:val=&quot;00ED5535&quot;/&gt;&lt;wsp:rsid wsp:val=&quot;00ED5601&quot;/&gt;&lt;wsp:rsid wsp:val=&quot;00ED5B9A&quot;/&gt;&lt;wsp:rsid wsp:val=&quot;00ED5EB0&quot;/&gt;&lt;wsp:rsid wsp:val=&quot;00ED64A8&quot;/&gt;&lt;wsp:rsid wsp:val=&quot;00ED66AB&quot;/&gt;&lt;wsp:rsid wsp:val=&quot;00ED6A2A&quot;/&gt;&lt;wsp:rsid wsp:val=&quot;00ED6DCE&quot;/&gt;&lt;wsp:rsid wsp:val=&quot;00ED7D94&quot;/&gt;&lt;wsp:rsid wsp:val=&quot;00EE2275&quot;/&gt;&lt;wsp:rsid wsp:val=&quot;00EE256A&quot;/&gt;&lt;wsp:rsid wsp:val=&quot;00EE2591&quot;/&gt;&lt;wsp:rsid wsp:val=&quot;00EE2CAE&quot;/&gt;&lt;wsp:rsid wsp:val=&quot;00EE4738&quot;/&gt;&lt;wsp:rsid wsp:val=&quot;00EE4917&quot;/&gt;&lt;wsp:rsid wsp:val=&quot;00EE4B7B&quot;/&gt;&lt;wsp:rsid wsp:val=&quot;00EE50B8&quot;/&gt;&lt;wsp:rsid wsp:val=&quot;00EE50C0&quot;/&gt;&lt;wsp:rsid wsp:val=&quot;00EE5259&quot;/&gt;&lt;wsp:rsid wsp:val=&quot;00EE5BD9&quot;/&gt;&lt;wsp:rsid wsp:val=&quot;00EE5E8A&quot;/&gt;&lt;wsp:rsid wsp:val=&quot;00EE640A&quot;/&gt;&lt;wsp:rsid wsp:val=&quot;00EE6F79&quot;/&gt;&lt;wsp:rsid wsp:val=&quot;00EE7867&quot;/&gt;&lt;wsp:rsid wsp:val=&quot;00EF0CB9&quot;/&gt;&lt;wsp:rsid wsp:val=&quot;00EF0DCA&quot;/&gt;&lt;wsp:rsid wsp:val=&quot;00EF1498&quot;/&gt;&lt;wsp:rsid wsp:val=&quot;00EF1E56&quot;/&gt;&lt;wsp:rsid wsp:val=&quot;00EF28D7&quot;/&gt;&lt;wsp:rsid wsp:val=&quot;00EF2C0F&quot;/&gt;&lt;wsp:rsid wsp:val=&quot;00EF2F33&quot;/&gt;&lt;wsp:rsid wsp:val=&quot;00EF443B&quot;/&gt;&lt;wsp:rsid wsp:val=&quot;00EF4784&quot;/&gt;&lt;wsp:rsid wsp:val=&quot;00EF6292&quot;/&gt;&lt;wsp:rsid wsp:val=&quot;00EF6C1A&quot;/&gt;&lt;wsp:rsid wsp:val=&quot;00EF6DFC&quot;/&gt;&lt;wsp:rsid wsp:val=&quot;00EF74D8&quot;/&gt;&lt;wsp:rsid wsp:val=&quot;00EF7A99&quot;/&gt;&lt;wsp:rsid wsp:val=&quot;00F00B56&quot;/&gt;&lt;wsp:rsid wsp:val=&quot;00F0117A&quot;/&gt;&lt;wsp:rsid wsp:val=&quot;00F013B3&quot;/&gt;&lt;wsp:rsid wsp:val=&quot;00F01AF7&quot;/&gt;&lt;wsp:rsid wsp:val=&quot;00F0410D&quot;/&gt;&lt;wsp:rsid wsp:val=&quot;00F042C2&quot;/&gt;&lt;wsp:rsid wsp:val=&quot;00F044CA&quot;/&gt;&lt;wsp:rsid wsp:val=&quot;00F047D3&quot;/&gt;&lt;wsp:rsid wsp:val=&quot;00F04DEE&quot;/&gt;&lt;wsp:rsid wsp:val=&quot;00F055B3&quot;/&gt;&lt;wsp:rsid wsp:val=&quot;00F056FB&quot;/&gt;&lt;wsp:rsid wsp:val=&quot;00F0622A&quot;/&gt;&lt;wsp:rsid wsp:val=&quot;00F06257&quot;/&gt;&lt;wsp:rsid wsp:val=&quot;00F0648F&quot;/&gt;&lt;wsp:rsid wsp:val=&quot;00F069F2&quot;/&gt;&lt;wsp:rsid wsp:val=&quot;00F07385&quot;/&gt;&lt;wsp:rsid wsp:val=&quot;00F075B5&quot;/&gt;&lt;wsp:rsid wsp:val=&quot;00F07B02&quot;/&gt;&lt;wsp:rsid wsp:val=&quot;00F07EBC&quot;/&gt;&lt;wsp:rsid wsp:val=&quot;00F1085A&quot;/&gt;&lt;wsp:rsid wsp:val=&quot;00F1090C&quot;/&gt;&lt;wsp:rsid wsp:val=&quot;00F11A3F&quot;/&gt;&lt;wsp:rsid wsp:val=&quot;00F125F0&quot;/&gt;&lt;wsp:rsid wsp:val=&quot;00F1278E&quot;/&gt;&lt;wsp:rsid wsp:val=&quot;00F12842&quot;/&gt;&lt;wsp:rsid wsp:val=&quot;00F12EEB&quot;/&gt;&lt;wsp:rsid wsp:val=&quot;00F13759&quot;/&gt;&lt;wsp:rsid wsp:val=&quot;00F145F3&quot;/&gt;&lt;wsp:rsid wsp:val=&quot;00F15C61&quot;/&gt;&lt;wsp:rsid wsp:val=&quot;00F15F63&quot;/&gt;&lt;wsp:rsid wsp:val=&quot;00F15FFB&quot;/&gt;&lt;wsp:rsid wsp:val=&quot;00F16676&quot;/&gt;&lt;wsp:rsid wsp:val=&quot;00F16A3E&quot;/&gt;&lt;wsp:rsid wsp:val=&quot;00F176DB&quot;/&gt;&lt;wsp:rsid wsp:val=&quot;00F20814&quot;/&gt;&lt;wsp:rsid wsp:val=&quot;00F20A2C&quot;/&gt;&lt;wsp:rsid wsp:val=&quot;00F20D55&quot;/&gt;&lt;wsp:rsid wsp:val=&quot;00F20DCE&quot;/&gt;&lt;wsp:rsid wsp:val=&quot;00F219E0&quot;/&gt;&lt;wsp:rsid wsp:val=&quot;00F21D5E&quot;/&gt;&lt;wsp:rsid wsp:val=&quot;00F225BF&quot;/&gt;&lt;wsp:rsid wsp:val=&quot;00F22E65&quot;/&gt;&lt;wsp:rsid wsp:val=&quot;00F22EA5&quot;/&gt;&lt;wsp:rsid wsp:val=&quot;00F2391D&quot;/&gt;&lt;wsp:rsid wsp:val=&quot;00F241C1&quot;/&gt;&lt;wsp:rsid wsp:val=&quot;00F244D0&quot;/&gt;&lt;wsp:rsid wsp:val=&quot;00F24576&quot;/&gt;&lt;wsp:rsid wsp:val=&quot;00F2480D&quot;/&gt;&lt;wsp:rsid wsp:val=&quot;00F254D0&quot;/&gt;&lt;wsp:rsid wsp:val=&quot;00F25E76&quot;/&gt;&lt;wsp:rsid wsp:val=&quot;00F269CD&quot;/&gt;&lt;wsp:rsid wsp:val=&quot;00F26AFF&quot;/&gt;&lt;wsp:rsid wsp:val=&quot;00F26C9C&quot;/&gt;&lt;wsp:rsid wsp:val=&quot;00F27010&quot;/&gt;&lt;wsp:rsid wsp:val=&quot;00F277AC&quot;/&gt;&lt;wsp:rsid wsp:val=&quot;00F27B02&quot;/&gt;&lt;wsp:rsid wsp:val=&quot;00F27FD1&quot;/&gt;&lt;wsp:rsid wsp:val=&quot;00F30E6D&quot;/&gt;&lt;wsp:rsid wsp:val=&quot;00F31009&quot;/&gt;&lt;wsp:rsid wsp:val=&quot;00F310E2&quot;/&gt;&lt;wsp:rsid wsp:val=&quot;00F3195C&quot;/&gt;&lt;wsp:rsid wsp:val=&quot;00F31EFB&quot;/&gt;&lt;wsp:rsid wsp:val=&quot;00F32051&quot;/&gt;&lt;wsp:rsid wsp:val=&quot;00F32904&quot;/&gt;&lt;wsp:rsid wsp:val=&quot;00F33204&quot;/&gt;&lt;wsp:rsid wsp:val=&quot;00F33329&quot;/&gt;&lt;wsp:rsid wsp:val=&quot;00F333A4&quot;/&gt;&lt;wsp:rsid wsp:val=&quot;00F33FA2&quot;/&gt;&lt;wsp:rsid wsp:val=&quot;00F346E7&quot;/&gt;&lt;wsp:rsid wsp:val=&quot;00F34986&quot;/&gt;&lt;wsp:rsid wsp:val=&quot;00F34B8A&quot;/&gt;&lt;wsp:rsid wsp:val=&quot;00F35397&quot;/&gt;&lt;wsp:rsid wsp:val=&quot;00F35911&quot;/&gt;&lt;wsp:rsid wsp:val=&quot;00F35BE0&quot;/&gt;&lt;wsp:rsid wsp:val=&quot;00F364EF&quot;/&gt;&lt;wsp:rsid wsp:val=&quot;00F36EFF&quot;/&gt;&lt;wsp:rsid wsp:val=&quot;00F3710F&quot;/&gt;&lt;wsp:rsid wsp:val=&quot;00F37303&quot;/&gt;&lt;wsp:rsid wsp:val=&quot;00F37486&quot;/&gt;&lt;wsp:rsid wsp:val=&quot;00F37CB8&quot;/&gt;&lt;wsp:rsid wsp:val=&quot;00F4026E&quot;/&gt;&lt;wsp:rsid wsp:val=&quot;00F40C7C&quot;/&gt;&lt;wsp:rsid wsp:val=&quot;00F40DD2&quot;/&gt;&lt;wsp:rsid wsp:val=&quot;00F40EA0&quot;/&gt;&lt;wsp:rsid wsp:val=&quot;00F4118B&quot;/&gt;&lt;wsp:rsid wsp:val=&quot;00F41766&quot;/&gt;&lt;wsp:rsid wsp:val=&quot;00F42261&quot;/&gt;&lt;wsp:rsid wsp:val=&quot;00F42989&quot;/&gt;&lt;wsp:rsid wsp:val=&quot;00F42A04&quot;/&gt;&lt;wsp:rsid wsp:val=&quot;00F42F15&quot;/&gt;&lt;wsp:rsid wsp:val=&quot;00F42FA6&quot;/&gt;&lt;wsp:rsid wsp:val=&quot;00F4304C&quot;/&gt;&lt;wsp:rsid wsp:val=&quot;00F4306A&quot;/&gt;&lt;wsp:rsid wsp:val=&quot;00F43239&quot;/&gt;&lt;wsp:rsid wsp:val=&quot;00F437A9&quot;/&gt;&lt;wsp:rsid wsp:val=&quot;00F4397A&quot;/&gt;&lt;wsp:rsid wsp:val=&quot;00F43C97&quot;/&gt;&lt;wsp:rsid wsp:val=&quot;00F43E1E&quot;/&gt;&lt;wsp:rsid wsp:val=&quot;00F44106&quot;/&gt;&lt;wsp:rsid wsp:val=&quot;00F44AF8&quot;/&gt;&lt;wsp:rsid wsp:val=&quot;00F44C53&quot;/&gt;&lt;wsp:rsid wsp:val=&quot;00F464F6&quot;/&gt;&lt;wsp:rsid wsp:val=&quot;00F473ED&quot;/&gt;&lt;wsp:rsid wsp:val=&quot;00F477EE&quot;/&gt;&lt;wsp:rsid wsp:val=&quot;00F50220&quot;/&gt;&lt;wsp:rsid wsp:val=&quot;00F5088E&quot;/&gt;&lt;wsp:rsid wsp:val=&quot;00F5163A&quot;/&gt;&lt;wsp:rsid wsp:val=&quot;00F5319C&quot;/&gt;&lt;wsp:rsid wsp:val=&quot;00F54453&quot;/&gt;&lt;wsp:rsid wsp:val=&quot;00F54510&quot;/&gt;&lt;wsp:rsid wsp:val=&quot;00F56CD6&quot;/&gt;&lt;wsp:rsid wsp:val=&quot;00F579CA&quot;/&gt;&lt;wsp:rsid wsp:val=&quot;00F57B19&quot;/&gt;&lt;wsp:rsid wsp:val=&quot;00F60359&quot;/&gt;&lt;wsp:rsid wsp:val=&quot;00F60791&quot;/&gt;&lt;wsp:rsid wsp:val=&quot;00F620B8&quot;/&gt;&lt;wsp:rsid wsp:val=&quot;00F62369&quot;/&gt;&lt;wsp:rsid wsp:val=&quot;00F62E3A&quot;/&gt;&lt;wsp:rsid wsp:val=&quot;00F6362E&quot;/&gt;&lt;wsp:rsid wsp:val=&quot;00F63643&quot;/&gt;&lt;wsp:rsid wsp:val=&quot;00F652D6&quot;/&gt;&lt;wsp:rsid wsp:val=&quot;00F655E1&quot;/&gt;&lt;wsp:rsid wsp:val=&quot;00F65A02&quot;/&gt;&lt;wsp:rsid wsp:val=&quot;00F660F6&quot;/&gt;&lt;wsp:rsid wsp:val=&quot;00F66376&quot;/&gt;&lt;wsp:rsid wsp:val=&quot;00F66B13&quot;/&gt;&lt;wsp:rsid wsp:val=&quot;00F66D32&quot;/&gt;&lt;wsp:rsid wsp:val=&quot;00F67430&quot;/&gt;&lt;wsp:rsid wsp:val=&quot;00F67B89&quot;/&gt;&lt;wsp:rsid wsp:val=&quot;00F702B0&quot;/&gt;&lt;wsp:rsid wsp:val=&quot;00F70AF0&quot;/&gt;&lt;wsp:rsid wsp:val=&quot;00F7126F&quot;/&gt;&lt;wsp:rsid wsp:val=&quot;00F71C29&quot;/&gt;&lt;wsp:rsid wsp:val=&quot;00F71ED7&quot;/&gt;&lt;wsp:rsid wsp:val=&quot;00F72A8D&quot;/&gt;&lt;wsp:rsid wsp:val=&quot;00F72D7C&quot;/&gt;&lt;wsp:rsid wsp:val=&quot;00F73219&quot;/&gt;&lt;wsp:rsid wsp:val=&quot;00F73388&quot;/&gt;&lt;wsp:rsid wsp:val=&quot;00F75710&quot;/&gt;&lt;wsp:rsid wsp:val=&quot;00F75A8D&quot;/&gt;&lt;wsp:rsid wsp:val=&quot;00F75FFC&quot;/&gt;&lt;wsp:rsid wsp:val=&quot;00F7657D&quot;/&gt;&lt;wsp:rsid wsp:val=&quot;00F76802&quot;/&gt;&lt;wsp:rsid wsp:val=&quot;00F77370&quot;/&gt;&lt;wsp:rsid wsp:val=&quot;00F77C4D&quot;/&gt;&lt;wsp:rsid wsp:val=&quot;00F800F5&quot;/&gt;&lt;wsp:rsid wsp:val=&quot;00F80A39&quot;/&gt;&lt;wsp:rsid wsp:val=&quot;00F810DF&quot;/&gt;&lt;wsp:rsid wsp:val=&quot;00F81529&quot;/&gt;&lt;wsp:rsid wsp:val=&quot;00F81B1E&quot;/&gt;&lt;wsp:rsid wsp:val=&quot;00F81EC8&quot;/&gt;&lt;wsp:rsid wsp:val=&quot;00F81F9B&quot;/&gt;&lt;wsp:rsid wsp:val=&quot;00F82CA6&quot;/&gt;&lt;wsp:rsid wsp:val=&quot;00F832EA&quot;/&gt;&lt;wsp:rsid wsp:val=&quot;00F83675&quot;/&gt;&lt;wsp:rsid wsp:val=&quot;00F83E8F&quot;/&gt;&lt;wsp:rsid wsp:val=&quot;00F85BE9&quot;/&gt;&lt;wsp:rsid wsp:val=&quot;00F85E93&quot;/&gt;&lt;wsp:rsid wsp:val=&quot;00F8689B&quot;/&gt;&lt;wsp:rsid wsp:val=&quot;00F87525&quot;/&gt;&lt;wsp:rsid wsp:val=&quot;00F87B83&quot;/&gt;&lt;wsp:rsid wsp:val=&quot;00F87E4F&quot;/&gt;&lt;wsp:rsid wsp:val=&quot;00F90B1A&quot;/&gt;&lt;wsp:rsid wsp:val=&quot;00F90DCD&quot;/&gt;&lt;wsp:rsid wsp:val=&quot;00F91449&quot;/&gt;&lt;wsp:rsid wsp:val=&quot;00F920FA&quot;/&gt;&lt;wsp:rsid wsp:val=&quot;00F922E0&quot;/&gt;&lt;wsp:rsid wsp:val=&quot;00F927BD&quot;/&gt;&lt;wsp:rsid wsp:val=&quot;00F9377D&quot;/&gt;&lt;wsp:rsid wsp:val=&quot;00F939FD&quot;/&gt;&lt;wsp:rsid wsp:val=&quot;00F93B2B&quot;/&gt;&lt;wsp:rsid wsp:val=&quot;00F94513&quot;/&gt;&lt;wsp:rsid wsp:val=&quot;00F946B9&quot;/&gt;&lt;wsp:rsid wsp:val=&quot;00F966FB&quot;/&gt;&lt;wsp:rsid wsp:val=&quot;00F96FDA&quot;/&gt;&lt;wsp:rsid wsp:val=&quot;00F97443&quot;/&gt;&lt;wsp:rsid wsp:val=&quot;00F97E2C&quot;/&gt;&lt;wsp:rsid wsp:val=&quot;00FA01D5&quot;/&gt;&lt;wsp:rsid wsp:val=&quot;00FA09BF&quot;/&gt;&lt;wsp:rsid wsp:val=&quot;00FA169E&quot;/&gt;&lt;wsp:rsid wsp:val=&quot;00FA2B96&quot;/&gt;&lt;wsp:rsid wsp:val=&quot;00FA3562&quot;/&gt;&lt;wsp:rsid wsp:val=&quot;00FA37BE&quot;/&gt;&lt;wsp:rsid wsp:val=&quot;00FA3C0E&quot;/&gt;&lt;wsp:rsid wsp:val=&quot;00FA3F8C&quot;/&gt;&lt;wsp:rsid wsp:val=&quot;00FA4D71&quot;/&gt;&lt;wsp:rsid wsp:val=&quot;00FA4DD9&quot;/&gt;&lt;wsp:rsid wsp:val=&quot;00FA5327&quot;/&gt;&lt;wsp:rsid wsp:val=&quot;00FA6739&quot;/&gt;&lt;wsp:rsid wsp:val=&quot;00FA70A8&quot;/&gt;&lt;wsp:rsid wsp:val=&quot;00FA7154&quot;/&gt;&lt;wsp:rsid wsp:val=&quot;00FB0BFB&quot;/&gt;&lt;wsp:rsid wsp:val=&quot;00FB0FD9&quot;/&gt;&lt;wsp:rsid wsp:val=&quot;00FB14CF&quot;/&gt;&lt;wsp:rsid wsp:val=&quot;00FB176B&quot;/&gt;&lt;wsp:rsid wsp:val=&quot;00FB1853&quot;/&gt;&lt;wsp:rsid wsp:val=&quot;00FB2325&quot;/&gt;&lt;wsp:rsid wsp:val=&quot;00FB24C3&quot;/&gt;&lt;wsp:rsid wsp:val=&quot;00FB255D&quot;/&gt;&lt;wsp:rsid wsp:val=&quot;00FB298D&quot;/&gt;&lt;wsp:rsid wsp:val=&quot;00FB5300&quot;/&gt;&lt;wsp:rsid wsp:val=&quot;00FB53E3&quot;/&gt;&lt;wsp:rsid wsp:val=&quot;00FB60FC&quot;/&gt;&lt;wsp:rsid wsp:val=&quot;00FB6177&quot;/&gt;&lt;wsp:rsid wsp:val=&quot;00FB65D2&quot;/&gt;&lt;wsp:rsid wsp:val=&quot;00FB783D&quot;/&gt;&lt;wsp:rsid wsp:val=&quot;00FB7932&quot;/&gt;&lt;wsp:rsid wsp:val=&quot;00FC08AA&quot;/&gt;&lt;wsp:rsid wsp:val=&quot;00FC134E&quot;/&gt;&lt;wsp:rsid wsp:val=&quot;00FC1B4B&quot;/&gt;&lt;wsp:rsid wsp:val=&quot;00FC2274&quot;/&gt;&lt;wsp:rsid wsp:val=&quot;00FC22E2&quot;/&gt;&lt;wsp:rsid wsp:val=&quot;00FC2436&quot;/&gt;&lt;wsp:rsid wsp:val=&quot;00FC2630&quot;/&gt;&lt;wsp:rsid wsp:val=&quot;00FC26F2&quot;/&gt;&lt;wsp:rsid wsp:val=&quot;00FC310A&quot;/&gt;&lt;wsp:rsid wsp:val=&quot;00FC362C&quot;/&gt;&lt;wsp:rsid wsp:val=&quot;00FC36B0&quot;/&gt;&lt;wsp:rsid wsp:val=&quot;00FC3CF6&quot;/&gt;&lt;wsp:rsid wsp:val=&quot;00FC41E0&quot;/&gt;&lt;wsp:rsid wsp:val=&quot;00FC4641&quot;/&gt;&lt;wsp:rsid wsp:val=&quot;00FC58D0&quot;/&gt;&lt;wsp:rsid wsp:val=&quot;00FC643B&quot;/&gt;&lt;wsp:rsid wsp:val=&quot;00FC65DD&quot;/&gt;&lt;wsp:rsid wsp:val=&quot;00FC6836&quot;/&gt;&lt;wsp:rsid wsp:val=&quot;00FC6C1D&quot;/&gt;&lt;wsp:rsid wsp:val=&quot;00FC6E32&quot;/&gt;&lt;wsp:rsid wsp:val=&quot;00FD0254&quot;/&gt;&lt;wsp:rsid wsp:val=&quot;00FD0510&quot;/&gt;&lt;wsp:rsid wsp:val=&quot;00FD0597&quot;/&gt;&lt;wsp:rsid wsp:val=&quot;00FD0795&quot;/&gt;&lt;wsp:rsid wsp:val=&quot;00FD0BE3&quot;/&gt;&lt;wsp:rsid wsp:val=&quot;00FD135B&quot;/&gt;&lt;wsp:rsid wsp:val=&quot;00FD1DD8&quot;/&gt;&lt;wsp:rsid wsp:val=&quot;00FD2C1E&quot;/&gt;&lt;wsp:rsid wsp:val=&quot;00FD2E6E&quot;/&gt;&lt;wsp:rsid wsp:val=&quot;00FD30BA&quot;/&gt;&lt;wsp:rsid wsp:val=&quot;00FD31EB&quot;/&gt;&lt;wsp:rsid wsp:val=&quot;00FD3279&quot;/&gt;&lt;wsp:rsid wsp:val=&quot;00FD3481&quot;/&gt;&lt;wsp:rsid wsp:val=&quot;00FD3945&quot;/&gt;&lt;wsp:rsid wsp:val=&quot;00FD47E5&quot;/&gt;&lt;wsp:rsid wsp:val=&quot;00FD4A71&quot;/&gt;&lt;wsp:rsid wsp:val=&quot;00FD5020&quot;/&gt;&lt;wsp:rsid wsp:val=&quot;00FD55DA&quot;/&gt;&lt;wsp:rsid wsp:val=&quot;00FD578F&quot;/&gt;&lt;wsp:rsid wsp:val=&quot;00FD62C9&quot;/&gt;&lt;wsp:rsid wsp:val=&quot;00FD7742&quot;/&gt;&lt;wsp:rsid wsp:val=&quot;00FD7F91&quot;/&gt;&lt;wsp:rsid wsp:val=&quot;00FE0B34&quot;/&gt;&lt;wsp:rsid wsp:val=&quot;00FE1195&quot;/&gt;&lt;wsp:rsid wsp:val=&quot;00FE11FD&quot;/&gt;&lt;wsp:rsid wsp:val=&quot;00FE1233&quot;/&gt;&lt;wsp:rsid wsp:val=&quot;00FE1605&quot;/&gt;&lt;wsp:rsid wsp:val=&quot;00FE1882&quot;/&gt;&lt;wsp:rsid wsp:val=&quot;00FE2033&quot;/&gt;&lt;wsp:rsid wsp:val=&quot;00FE27AB&quot;/&gt;&lt;wsp:rsid wsp:val=&quot;00FE2914&quot;/&gt;&lt;wsp:rsid wsp:val=&quot;00FE2E78&quot;/&gt;&lt;wsp:rsid wsp:val=&quot;00FE3782&quot;/&gt;&lt;wsp:rsid wsp:val=&quot;00FE4145&quot;/&gt;&lt;wsp:rsid wsp:val=&quot;00FE5874&quot;/&gt;&lt;wsp:rsid wsp:val=&quot;00FE5AF1&quot;/&gt;&lt;wsp:rsid wsp:val=&quot;00FE5C0B&quot;/&gt;&lt;wsp:rsid wsp:val=&quot;00FE6529&quot;/&gt;&lt;wsp:rsid wsp:val=&quot;00FE7C9B&quot;/&gt;&lt;wsp:rsid wsp:val=&quot;00FF0854&quot;/&gt;&lt;wsp:rsid wsp:val=&quot;00FF096C&quot;/&gt;&lt;wsp:rsid wsp:val=&quot;00FF0D17&quot;/&gt;&lt;wsp:rsid wsp:val=&quot;00FF2FD0&quot;/&gt;&lt;wsp:rsid wsp:val=&quot;00FF3280&quot;/&gt;&lt;wsp:rsid wsp:val=&quot;00FF3755&quot;/&gt;&lt;wsp:rsid wsp:val=&quot;00FF37AA&quot;/&gt;&lt;wsp:rsid wsp:val=&quot;00FF4918&quot;/&gt;&lt;wsp:rsid wsp:val=&quot;00FF5700&quot;/&gt;&lt;wsp:rsid wsp:val=&quot;00FF587C&quot;/&gt;&lt;wsp:rsid wsp:val=&quot;00FF5D6C&quot;/&gt;&lt;wsp:rsid wsp:val=&quot;00FF685B&quot;/&gt;&lt;wsp:rsid wsp:val=&quot;00FF6DFB&quot;/&gt;&lt;wsp:rsid wsp:val=&quot;00FF7865&quot;/&gt;&lt;wsp:rsid wsp:val=&quot;00FF78C8&quot;/&gt;&lt;wsp:rsid wsp:val=&quot;00FF7DD4&quot;/&gt;&lt;wsp:rsid wsp:val=&quot;03007808&quot;/&gt;&lt;wsp:rsid wsp:val=&quot;07D546B8&quot;/&gt;&lt;wsp:rsid wsp:val=&quot;0CE546D2&quot;/&gt;&lt;wsp:rsid wsp:val=&quot;0D3005AD&quot;/&gt;&lt;wsp:rsid wsp:val=&quot;0D854B58&quot;/&gt;&lt;wsp:rsid wsp:val=&quot;0E3B66AF&quot;/&gt;&lt;wsp:rsid wsp:val=&quot;0E8605CD&quot;/&gt;&lt;wsp:rsid wsp:val=&quot;11890573&quot;/&gt;&lt;wsp:rsid wsp:val=&quot;124F57DF&quot;/&gt;&lt;wsp:rsid wsp:val=&quot;16102207&quot;/&gt;&lt;wsp:rsid wsp:val=&quot;16604BC4&quot;/&gt;&lt;wsp:rsid wsp:val=&quot;16886097&quot;/&gt;&lt;wsp:rsid wsp:val=&quot;17FA76B3&quot;/&gt;&lt;wsp:rsid wsp:val=&quot;1BC560E0&quot;/&gt;&lt;wsp:rsid wsp:val=&quot;1C873C84&quot;/&gt;&lt;wsp:rsid wsp:val=&quot;1E023912&quot;/&gt;&lt;wsp:rsid wsp:val=&quot;22566213&quot;/&gt;&lt;wsp:rsid wsp:val=&quot;226108F8&quot;/&gt;&lt;wsp:rsid wsp:val=&quot;23A44E1D&quot;/&gt;&lt;wsp:rsid wsp:val=&quot;258D450D&quot;/&gt;&lt;wsp:rsid wsp:val=&quot;25915454&quot;/&gt;&lt;wsp:rsid wsp:val=&quot;260444A2&quot;/&gt;&lt;wsp:rsid wsp:val=&quot;2757025E&quot;/&gt;&lt;wsp:rsid wsp:val=&quot;292367A9&quot;/&gt;&lt;wsp:rsid wsp:val=&quot;2CBF1D45&quot;/&gt;&lt;wsp:rsid wsp:val=&quot;304013AF&quot;/&gt;&lt;wsp:rsid wsp:val=&quot;35840943&quot;/&gt;&lt;wsp:rsid wsp:val=&quot;36122C64&quot;/&gt;&lt;wsp:rsid wsp:val=&quot;39264BF8&quot;/&gt;&lt;wsp:rsid wsp:val=&quot;3965489F&quot;/&gt;&lt;wsp:rsid wsp:val=&quot;40544262&quot;/&gt;&lt;wsp:rsid wsp:val=&quot;41D56338&quot;/&gt;&lt;wsp:rsid wsp:val=&quot;433B6BBE&quot;/&gt;&lt;wsp:rsid wsp:val=&quot;43410157&quot;/&gt;&lt;wsp:rsid wsp:val=&quot;473B6A40&quot;/&gt;&lt;wsp:rsid wsp:val=&quot;48895087&quot;/&gt;&lt;wsp:rsid wsp:val=&quot;48DD6E76&quot;/&gt;&lt;wsp:rsid wsp:val=&quot;49470156&quot;/&gt;&lt;wsp:rsid wsp:val=&quot;4AE147C4&quot;/&gt;&lt;wsp:rsid wsp:val=&quot;4B87462C&quot;/&gt;&lt;wsp:rsid wsp:val=&quot;4B9F0EE8&quot;/&gt;&lt;wsp:rsid wsp:val=&quot;4C0219BA&quot;/&gt;&lt;wsp:rsid wsp:val=&quot;4D3E12BA&quot;/&gt;&lt;wsp:rsid wsp:val=&quot;4D7F2256&quot;/&gt;&lt;wsp:rsid wsp:val=&quot;4E60677B&quot;/&gt;&lt;wsp:rsid wsp:val=&quot;4EAA5766&quot;/&gt;&lt;wsp:rsid wsp:val=&quot;4F844C27&quot;/&gt;&lt;wsp:rsid wsp:val=&quot;53323B29&quot;/&gt;&lt;wsp:rsid wsp:val=&quot;56932897&quot;/&gt;&lt;wsp:rsid wsp:val=&quot;59A23247&quot;/&gt;&lt;wsp:rsid wsp:val=&quot;59E11315&quot;/&gt;&lt;wsp:rsid wsp:val=&quot;59EE6A83&quot;/&gt;&lt;wsp:rsid wsp:val=&quot;5D6B0047&quot;/&gt;&lt;wsp:rsid wsp:val=&quot;5DAD18CF&quot;/&gt;&lt;wsp:rsid wsp:val=&quot;61CC1BDE&quot;/&gt;&lt;wsp:rsid wsp:val=&quot;67A76ED7&quot;/&gt;&lt;wsp:rsid wsp:val=&quot;6D3F4311&quot;/&gt;&lt;wsp:rsid wsp:val=&quot;6F16027C&quot;/&gt;&lt;wsp:rsid wsp:val=&quot;74273F80&quot;/&gt;&lt;wsp:rsid wsp:val=&quot;74297212&quot;/&gt;&lt;wsp:rsid wsp:val=&quot;743543DE&quot;/&gt;&lt;wsp:rsid wsp:val=&quot;75AE196E&quot;/&gt;&lt;wsp:rsid wsp:val=&quot;76013AC6&quot;/&gt;&lt;wsp:rsid wsp:val=&quot;78CB06C0&quot;/&gt;&lt;wsp:rsid wsp:val=&quot;79AA571F&quot;/&gt;&lt;wsp:rsid wsp:val=&quot;7A06224A&quot;/&gt;&lt;wsp:rsid wsp:val=&quot;7B4530A9&quot;/&gt;&lt;wsp:rsid wsp:val=&quot;7C2076DB&quot;/&gt;&lt;/wsp:rsids&gt;&lt;/w:docPr&gt;&lt;w:body&gt;&lt;wx:sect&gt;&lt;w:p wsp:rsidR=&quot;00000000&quot; wsp:rsidRDefault=&quot;002A50C9&quot; wsp:rsidP=&quot;002A50C9&quot;&gt;&lt;m:oMathPara&gt;&lt;m:oMath&gt;&lt;m:sSub&gt;&lt;m:sSubPr&gt;&lt;m:ctrlPr&gt;&lt;w:rPr&gt;&lt;w:rFonts w:ascii=&quot;Cambria Math&quot; w:h-ansi=&quot;Cambria Math&quot; w:cs=&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1&lt;/m:t&gt;&lt;/m:r&gt;&lt;/m:sub&gt;&lt;/m:sSub&gt;&lt;m:r&gt;&lt;m:rPr&gt;&lt;m:sty m:val=&quot;p&quot;/&gt;&lt;/m:rPr&gt;&lt;w:rPr&gt;&lt;w:rFonts w:ascii=&quot;Cambria Math&quot; w:h-ansi=&quot;Cambria Math&quot;/&gt;&lt;wx:font wx:val=&quot;Cambria Math&quot;/&gt;&lt;w:sz w:val=&quot;28&quot;/&gt;&lt;w:sz-cs w:val=&quot;28&quot;/&gt;&lt;/w:rPr&gt;&lt;m:t&gt;脳&lt;/m:t&gt;&lt;/m:r&gt;&lt;m:f&gt;&lt;m:fPr&gt;&lt;m:ctrlPr&gt;&lt;w:rPr&gt;&lt;w:rFonts w:ascii=&quot;Cambria Math&quot; w:h-ansi=&quot;Cambria Math&quot; w:cs=&quot;Times New Roman&quot;/&gt;&lt;wx:font wxmmmmmmmmmm:val=&quot;Cambria Math&quot;/&gt;&lt;w:sz w:val=&quot;28&quot;/&gt;&lt;w:sz-cs w:val=&quot;28&quot;/&gt;&lt;/w:rPr&gt;&lt;/m:ctrlPr&gt;&lt;/m:fPr&gt;&lt;m:num&gt;&lt;m:sSub&gt;&lt;m:sSubPr&gt;&lt;m:ctrlPr&gt;&lt;w:rPr&gt;&lt;w:rFonts w:ascii=&quot;Cambria Math&quot; w:h-ansi=&quot;Cambria Math&quot; w:cs=&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t1&lt;/m:t&gt;&lt;/m:r&gt;&lt;/m:sub&gt;&lt;/m:sSub&gt;&lt;/m:num&gt;&lt;m:den&gt;&lt;m:sSub&gt;&lt;m:sSubPr&gt;&lt;m:ctrlPr&gt;&lt;w:rPr&gt;&lt;w:rFonts w:ascii=&quot;Cambria Math&quot; w:h-ansi=&quot;Cambria Math&quot; w:cs=&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01&lt;/m:t&gt;&lt;/m:r&gt;&lt;/m:sub&gt;&lt;/m:sSub&gt;&lt;/m:den&gt;&lt;/m:f&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 w:cs=&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脳&lt;/m:t&gt;&lt;/m:r&gt;&lt;m:f&gt;&lt;m:fPr&gt;&lt;m:ctrlPr&gt;&lt;w:rPr&gt;&lt;w:rFonts w:ascii=&quot;Cambria Math&quot; w:h-ansi=&quot;Cambria Math&quot; w:cs=&quot;Times New Roman&quot;/&gt;&lt;wx:font wx:val=&quot;Cambria: hM-aatnhs&quot;i/=&gt;&quot;&lt;Cw:sz w:val=&quot;28&quot;/&gt;&lt;w:sz-cs w:val=&quot;28&quot;/&gt;&lt;/w:rPr&gt;&lt;/m:ctrlPr&gt;&lt;/m:fPr&gt;&lt;m:num&gt;&lt;m:sSub&gt;&lt;m:sSubPr&gt;&lt;m:ctrlPr&gt;&lt;w:rPr&gt;&lt;w:rFonts w:ascii=&quot;Cambria Math&quot; w:h-ansi=&quot;Cambria Math&quot; w:cs=&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t2&lt;/m:t&gt;&lt;/m:r&gt;&lt;/m:sub&gt;&lt;/m:sSub&gt;&lt;/m:num&gt;&lt;m:den&gt;&lt;m:sSub&gt;&lt;m:sSubPr&gt;&lt;m:ctrlPr&gt;&lt;w:rPr&gt;&lt;w:rFonts w:ascii=&quot;Cambria Math&quot; w:h-ansi=&quot;Cambria Math&quot; w:cs=&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2&lt;/m:t&gt;&lt;/m:r&gt;&lt;/m:sub&gt;&lt;/m:sSub&gt;&lt;/m:den&gt;&lt;/m:f&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 w:cs=&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3&lt;/m:t&gt;&lt;/m:r&gt;&lt;/m:sub&gt;&lt;/m:sSub&gt;&lt;m:r&gt;&lt;m:rPr&gt;&lt;m:sty m:val=&quot;p&quot;/&gt;&lt;/m:rPr&gt;&lt;w:rPr&gt;&lt;w:rFonts w:ascii=&quot;Cambria Math&quot; w:h-ansi=&quot;Cambria Math&quot;/&gt;&lt;wx:font wx:val=&quot;Cambria Math&quot;/&gt;&lt;w:sz w:val=&quot;28&quot;/&gt;&lt;w:sz-cs w:val=&quot;28&quot;/&gt;&lt;/w:rPr&gt;&lt;m:t&gt;脳&lt;/m:t&gt;&lt;/m:r&gt;&lt;m:f&gt;&lt;m:fPr&gt;&lt;m:ctrlPr&gt;&lt;w:rPr&gt;&lt;w:rFonts w:ascii=&quot;Cambria Math&quot; w:h-ansi=&quot;Cambria Math&quot; w:cs=&quot;Times New Roman&quot;/&gt;&lt;wx:font wx:val=&quot;Cambria Math&quot;/&gt;&lt;w:sz w:val=&quot;28&quot;/&gt;&lt;w:sz-cs w:val=&quot;28&quot;/&gt;&lt;/w:rPr&gt;&lt;/m:ctrlPr&gt;&lt;/m2:f&quot;Pr&gt;&gt;&lt;wm:snu-m&gt;s&lt;mw:svSulb&gt;&lt;m:sSubPr&gt;&lt;m:ctrlPr&gt;&lt;w:rPr&gt;&lt;w:rFonts w:ascii=&quot;Cambria Math&quot; w:h-ansi=&quot;Cambria Math&quot; w:cs=&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t&lt;/m:t&gt;&lt;/m:r&gt;&lt;m:r&gt;&lt;m:rPr&gt;&lt;m:sty m:val=&quot;p&quot;/&gt;&lt;/m:rPr&gt;&lt;w:rPr&gt;&lt;w:rFonts w:ascii=&quot;Cambria Math&quot; w:h-ansi=&quot;Cambria Math&quot;/&gt;&lt;wx:font wx:val=&quot;Cambria Math&quot;/&gt;&lt;w:sz w:val=&quot;28&quot;/&gt;&lt;w:sz-cs w:val=&quot;28&quot;/&gt;&lt;/w:rPr&gt;&lt;m:t&gt;3&lt;/m:t&gt;&lt;/m:r&gt;&lt;/m:sub&gt;&lt;/m:sSub&gt;&lt;/m:num&gt;&lt;m:den&gt;&lt;m:sSub&gt;&lt;m:sSubPr&gt;&lt;m:ctrlPr&gt;&lt;w:rPr&gt;&lt;w:rFonts w:ascii=&quot;Cambria Math&quot; w:h-ansi=&quot;Cambria Math&quot; w:cs=&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3&lt;/m:t&gt;&lt;/m:r&gt;&lt;/m:sub&gt;&lt;/m:sSub&gt;&lt;/m:den&gt;&lt;/m:f&gt;&lt;m:r&gt;&lt;w:rPr&gt;&lt;w:rFonts w:ascii=&quot;Cambria Math&quot; w:h-ansi=&quot;Cambria Math&quot;/&gt;&lt;wx:font wx:val=&quot;Cambria Math&quot;/&gt;&lt;w:i/&gt;&lt;w:sz w:val=&quot;28&quot;/&gt;&lt;w:sz-cs w:val=&quot;28&quot;/&gt;&lt;/w:rPr&gt;&lt;m:t&gt;+&lt;/m:t&gt;&lt;/m:r&gt;&lt;m:r&gt;&lt;w:rPr&gt;&lt;w:rFonts w:ascii=&quot;Cambria Math&quot; w:h-ansi=&quot;Cambria Math&quot; w:hint=&quot;fareast&quot;/&gt;&lt;wx:font wx:val=&quot;瀹嬩綋&quot;/&gt;i=&quot;&lt;w:Cami/&gt;bri&lt;w:a Msz athw:v&quot; wal=:h-&quot;28ans&quot;/&gt;i=&quot;&lt;w:Camsz-cs w:val=&quot;28&quot;/&gt;&lt;/w:rPr&gt;&lt;m:t&gt;鈭?/m:t&gt;&lt;/m:r&gt;&lt;m:r&gt;&lt;w:rPr&gt;&lt;w:rFonts w:ascii=&quot;Cambria Math&quot; w:h-ansi=&quot;Cambria Math&quot;/&gt;&lt;wx:font wx:val=&quot;Cambria Math&quot;/&gt;&lt;w:i/&gt;&lt;w:sz w:val=&quot;28&quot;/&gt;&lt;w:sz-cs w:val=&quot;28&quot;/&gt;&lt;/w:rPr&gt;&lt;&quot;m:t&gt;+&lt;m/m:t&gt;&lt;i/m:r&gt;&lt;Mm:sSubh&gt;&lt;m:sSwubPr&gt;&lt;-m:ctrlsPr&gt;&lt;w:&quot;rPr&gt;&lt;amw:rFonts w:ascii=&quot;Cambria Math&quot; w:h-ansi=&quot;Cambria Math&quot; w:cs=&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n&lt;/m:t&gt;&lt;/m:r&gt;&lt;/m:sub&gt;&lt;/m:sSub&gt;&lt;m:r&gt;&lt;m:rPr&gt;&lt;m:sty m:val=&quot;p&quot;/&gt;&lt;/m:rPr&gt;&lt;w:rPr&gt;&lt;w:rFonts w:ascii=&quot;Cambria Math&quot; w:h-ansi=&quot;Cambria Math&quot;/&gt;&lt;wx:font wx:val=&quot;Cambria Math&quot;/&gt;&lt;w:sz w:val=&quot;28&quot;/&gt;&lt;w:sz-cs w:val=&quot;28&quot;/&gt;&lt;/w:rPr&gt;&lt;m:t&gt;脳&lt;//m:t&gt;&lt;/-m:r&gt;&lt;m:f&gt;&lt;m:fPr&gt;&lt;m:ctrlPr&gt;&lt;w:rPr&gt;&lt;w:rFonts w:ascii=&quot;Cambria Math&quot; w:h-ansi=&quot;Cambria Math&quot; w:cs=&quot;Times New Roman&quot;/&gt;&lt;wx:font wx:val=&quot;Cambria Math&quot;/&gt;&lt;w:sz w:val=&quot;28&quot;/&gt;&lt;w:sz-cs w:val=&quot;28&quot;/&gt;&lt;/w:r/Pr&gt;&lt;/m: ctrlPr&gt;&quot;&lt;/m:fPrw&gt;&lt;m:num &gt;&lt;m:sSu&quot;b&gt;&lt;m:sS/ubPr&gt;&lt;m&lt;:ctrlPr&gt;&lt;w:rPr&gt;&lt;w:rFonts w:ascii=&quot;Cambria Math&quot; w:h-ansi=&quot;Cambria Math&quot; w:cs=&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t&lt;/m:t&gt;&lt;/m:r&gt;&lt;m:r&gt;&lt;m:rPr&gt;&lt;m:sty m:val=&quot;p&quot;/&gt;&lt;/m:rPr&gt;&lt;w:rPr&gt;&lt;w:rFonts w:ascii=&quot;Cambria Math&quot; w:h-ansi=&quot;Cambria Math&quot;/&gt;&lt;wx:font wx:val=&quot;Cambria Math&quot;/&gt;&lt;w:sz w:val=&quot;28&quot;/&gt;&lt;w:sz-cs w:val=&quot;28&quot;/&gt;&lt;/w:rPr&gt;&lt;m:t&gt;n&lt;/m:t&gt;&lt;/m:r&gt;&lt;/m:sub&gt;&lt;/m:sSub&gt;&lt;/m:num&gt;&lt;m:den&gt;&lt;m:sSub&gt;&lt;m:sSubPr&gt;&lt;m:ctrlPr&gt;&lt;w:rPr&gt;&lt;w:rFonts w:ascii=&quot;Cambria Math&quot; w:h-ansi=&quot;Cambria Math&quot; w:cs=&quot;Times New Roman&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n&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path/>
            <v:fill on="f" focussize="0,0"/>
            <v:stroke on="f" joinstyle="miter"/>
            <v:imagedata r:id="rId12" chromakey="#FFFFFF" o:title=""/>
            <o:lock v:ext="edit" aspectratio="t"/>
            <w10:wrap type="none"/>
            <w10:anchorlock/>
          </v:shape>
        </w:pic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QUOTE </w:instrText>
      </w:r>
      <w:r>
        <w:rPr>
          <w:rFonts w:hint="eastAsia" w:ascii="宋体" w:hAnsi="宋体" w:eastAsia="宋体" w:cs="宋体"/>
          <w:color w:val="000000"/>
          <w:position w:val="-21"/>
          <w:sz w:val="24"/>
          <w:szCs w:val="24"/>
        </w:rPr>
        <w:pict>
          <v:shape id="_x0000_i1027" o:spt="75" type="#_x0000_t75" style="height:20.25pt;width:86.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420&quot;/&gt;&lt;w:drawingGridHorizontalSpacing w:val=&quot;105&quot;/&gt;&lt;w:drawingGridVerticalSpacing w:val=&quot;156&quot;/&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dontAllowFieldEndSelect/&gt;&lt;w:useWord2002TableStyleRules/&gt;&lt;w:dontGrowAutofit/&gt;&lt;w:useFELayout/&gt;&lt;/w:compat&gt;&lt;wsp:rsids&gt;&lt;wsp:rsidRoot wsp:val=&quot;005F24DA&quot;/&gt;&lt;wsp:rsid wsp:val=&quot;00000281&quot;/&gt;&lt;wsp:rsid wsp:val=&quot;0000068F&quot;/&gt;&lt;wsp:rsid wsp:val=&quot;00001115&quot;/&gt;&lt;wsp:rsid wsp:val=&quot;00001301&quot;/&gt;&lt;wsp:rsid wsp:val=&quot;00001423&quot;/&gt;&lt;wsp:rsid wsp:val=&quot;00001EB4&quot;/&gt;&lt;wsp:rsid wsp:val=&quot;00001EC2&quot;/&gt;&lt;wsp:rsid wsp:val=&quot;00001FA3&quot;/&gt;&lt;wsp:rsid wsp:val=&quot;00002198&quot;/&gt;&lt;wsp:rsid wsp:val=&quot;00002342&quot;/&gt;&lt;wsp:rsid wsp:val=&quot;000024AC&quot;/&gt;&lt;wsp:rsid wsp:val=&quot;00002561&quot;/&gt;&lt;wsp:rsid wsp:val=&quot;00002C07&quot;/&gt;&lt;wsp:rsid wsp:val=&quot;00002E21&quot;/&gt;&lt;wsp:rsid wsp:val=&quot;00002FDA&quot;/&gt;&lt;wsp:rsid wsp:val=&quot;00003468&quot;/&gt;&lt;wsp:rsid wsp:val=&quot;00003755&quot;/&gt;&lt;wsp:rsid wsp:val=&quot;00003DF5&quot;/&gt;&lt;wsp:rsid wsp:val=&quot;00004804&quot;/&gt;&lt;wsp:rsid wsp:val=&quot;0000530A&quot;/&gt;&lt;wsp:rsid wsp:val=&quot;0000585C&quot;/&gt;&lt;wsp:rsid wsp:val=&quot;00005D3E&quot;/&gt;&lt;wsp:rsid wsp:val=&quot;00006061&quot;/&gt;&lt;wsp:rsid wsp:val=&quot;000068F4&quot;/&gt;&lt;wsp:rsid wsp:val=&quot;0000705F&quot;/&gt;&lt;wsp:rsid wsp:val=&quot;000071FA&quot;/&gt;&lt;wsp:rsid wsp:val=&quot;00007905&quot;/&gt;&lt;wsp:rsid wsp:val=&quot;00007DD1&quot;/&gt;&lt;wsp:rsid wsp:val=&quot;000110BB&quot;/&gt;&lt;wsp:rsid wsp:val=&quot;00011182&quot;/&gt;&lt;wsp:rsid wsp:val=&quot;00011996&quot;/&gt;&lt;wsp:rsid wsp:val=&quot;00011A8F&quot;/&gt;&lt;wsp:rsid wsp:val=&quot;00011F2D&quot;/&gt;&lt;wsp:rsid wsp:val=&quot;000121F1&quot;/&gt;&lt;wsp:rsid wsp:val=&quot;00012BB7&quot;/&gt;&lt;wsp:rsid wsp:val=&quot;000137B7&quot;/&gt;&lt;wsp:rsid wsp:val=&quot;00014556&quot;/&gt;&lt;wsp:rsid wsp:val=&quot;000146D4&quot;/&gt;&lt;wsp:rsid wsp:val=&quot;00014B3D&quot;/&gt;&lt;wsp:rsid wsp:val=&quot;000150A8&quot;/&gt;&lt;wsp:rsid wsp:val=&quot;000155A3&quot;/&gt;&lt;wsp:rsid wsp:val=&quot;00015C29&quot;/&gt;&lt;wsp:rsid wsp:val=&quot;00016D27&quot;/&gt;&lt;wsp:rsid wsp:val=&quot;00017975&quot;/&gt;&lt;wsp:rsid wsp:val=&quot;00020BEF&quot;/&gt;&lt;wsp:rsid wsp:val=&quot;00021BC8&quot;/&gt;&lt;wsp:rsid wsp:val=&quot;00021E3C&quot;/&gt;&lt;wsp:rsid wsp:val=&quot;000225B2&quot;/&gt;&lt;wsp:rsid wsp:val=&quot;000229D4&quot;/&gt;&lt;wsp:rsid wsp:val=&quot;0002372C&quot;/&gt;&lt;wsp:rsid wsp:val=&quot;00024EEE&quot;/&gt;&lt;wsp:rsid wsp:val=&quot;00026024&quot;/&gt;&lt;wsp:rsid wsp:val=&quot;00026691&quot;/&gt;&lt;wsp:rsid wsp:val=&quot;0002674E&quot;/&gt;&lt;wsp:rsid wsp:val=&quot;00026935&quot;/&gt;&lt;wsp:rsid wsp:val=&quot;00026B36&quot;/&gt;&lt;wsp:rsid wsp:val=&quot;00026FEF&quot;/&gt;&lt;wsp:rsid wsp:val=&quot;000277C3&quot;/&gt;&lt;wsp:rsid wsp:val=&quot;00030C9B&quot;/&gt;&lt;wsp:rsid wsp:val=&quot;0003170D&quot;/&gt;&lt;wsp:rsid wsp:val=&quot;00032742&quot;/&gt;&lt;wsp:rsid wsp:val=&quot;0003275D&quot;/&gt;&lt;wsp:rsid wsp:val=&quot;00032AD8&quot;/&gt;&lt;wsp:rsid wsp:val=&quot;00033F9C&quot;/&gt;&lt;wsp:rsid wsp:val=&quot;00034951&quot;/&gt;&lt;wsp:rsid wsp:val=&quot;0003539B&quot;/&gt;&lt;wsp:rsid wsp:val=&quot;000356F0&quot;/&gt;&lt;wsp:rsid wsp:val=&quot;00035DF4&quot;/&gt;&lt;wsp:rsid wsp:val=&quot;00036341&quot;/&gt;&lt;wsp:rsid wsp:val=&quot;000364EB&quot;/&gt;&lt;wsp:rsid wsp:val=&quot;0003775C&quot;/&gt;&lt;wsp:rsid wsp:val=&quot;000409AD&quot;/&gt;&lt;wsp:rsid wsp:val=&quot;00040C4C&quot;/&gt;&lt;wsp:rsid wsp:val=&quot;00041F97&quot;/&gt;&lt;wsp:rsid wsp:val=&quot;00042731&quot;/&gt;&lt;wsp:rsid wsp:val=&quot;000429C4&quot;/&gt;&lt;wsp:rsid wsp:val=&quot;00042EDF&quot;/&gt;&lt;wsp:rsid wsp:val=&quot;00042F99&quot;/&gt;&lt;wsp:rsid wsp:val=&quot;00043153&quot;/&gt;&lt;wsp:rsid wsp:val=&quot;0004427A&quot;/&gt;&lt;wsp:rsid wsp:val=&quot;00045074&quot;/&gt;&lt;wsp:rsid wsp:val=&quot;0004532F&quot;/&gt;&lt;wsp:rsid wsp:val=&quot;0004553D&quot;/&gt;&lt;wsp:rsid wsp:val=&quot;00045864&quot;/&gt;&lt;wsp:rsid wsp:val=&quot;0004596B&quot;/&gt;&lt;wsp:rsid wsp:val=&quot;00046DC9&quot;/&gt;&lt;wsp:rsid wsp:val=&quot;00047F2C&quot;/&gt;&lt;wsp:rsid wsp:val=&quot;00050118&quot;/&gt;&lt;wsp:rsid wsp:val=&quot;00050F8A&quot;/&gt;&lt;wsp:rsid wsp:val=&quot;00051724&quot;/&gt;&lt;wsp:rsid wsp:val=&quot;00052376&quot;/&gt;&lt;wsp:rsid wsp:val=&quot;00052B2A&quot;/&gt;&lt;wsp:rsid wsp:val=&quot;0005492E&quot;/&gt;&lt;wsp:rsid wsp:val=&quot;00054E42&quot;/&gt;&lt;wsp:rsid wsp:val=&quot;000550A5&quot;/&gt;&lt;wsp:rsid wsp:val=&quot;00055B4B&quot;/&gt;&lt;wsp:rsid wsp:val=&quot;00055C82&quot;/&gt;&lt;wsp:rsid wsp:val=&quot;00056A9F&quot;/&gt;&lt;wsp:rsid wsp:val=&quot;00056BC3&quot;/&gt;&lt;wsp:rsid wsp:val=&quot;00057155&quot;/&gt;&lt;wsp:rsid wsp:val=&quot;00060503&quot;/&gt;&lt;wsp:rsid wsp:val=&quot;00060A5B&quot;/&gt;&lt;wsp:rsid wsp:val=&quot;00060AA8&quot;/&gt;&lt;wsp:rsid wsp:val=&quot;0006119D&quot;/&gt;&lt;wsp:rsid wsp:val=&quot;000613C2&quot;/&gt;&lt;wsp:rsid wsp:val=&quot;00062107&quot;/&gt;&lt;wsp:rsid wsp:val=&quot;00062321&quot;/&gt;&lt;wsp:rsid wsp:val=&quot;000636C6&quot;/&gt;&lt;wsp:rsid wsp:val=&quot;00063AF2&quot;/&gt;&lt;wsp:rsid wsp:val=&quot;00064863&quot;/&gt;&lt;wsp:rsid wsp:val=&quot;00064D89&quot;/&gt;&lt;wsp:rsid wsp:val=&quot;000655F6&quot;/&gt;&lt;wsp:rsid wsp:val=&quot;000659E7&quot;/&gt;&lt;wsp:rsid wsp:val=&quot;00065A7F&quot;/&gt;&lt;wsp:rsid wsp:val=&quot;00066617&quot;/&gt;&lt;wsp:rsid wsp:val=&quot;00066DEE&quot;/&gt;&lt;wsp:rsid wsp:val=&quot;00067EE4&quot;/&gt;&lt;wsp:rsid wsp:val=&quot;000708DC&quot;/&gt;&lt;wsp:rsid wsp:val=&quot;0007172E&quot;/&gt;&lt;wsp:rsid wsp:val=&quot;00071C80&quot;/&gt;&lt;wsp:rsid wsp:val=&quot;00071ECA&quot;/&gt;&lt;wsp:rsid wsp:val=&quot;00071F03&quot;/&gt;&lt;wsp:rsid wsp:val=&quot;00073E73&quot;/&gt;&lt;wsp:rsid wsp:val=&quot;00075288&quot;/&gt;&lt;wsp:rsid wsp:val=&quot;00075D3A&quot;/&gt;&lt;wsp:rsid wsp:val=&quot;00076C78&quot;/&gt;&lt;wsp:rsid wsp:val=&quot;0007707A&quot;/&gt;&lt;wsp:rsid wsp:val=&quot;000771A6&quot;/&gt;&lt;wsp:rsid wsp:val=&quot;00077518&quot;/&gt;&lt;wsp:rsid wsp:val=&quot;00077D0D&quot;/&gt;&lt;wsp:rsid wsp:val=&quot;0008107C&quot;/&gt;&lt;wsp:rsid wsp:val=&quot;0008186A&quot;/&gt;&lt;wsp:rsid wsp:val=&quot;00081ADB&quot;/&gt;&lt;wsp:rsid wsp:val=&quot;00082178&quot;/&gt;&lt;wsp:rsid wsp:val=&quot;00082227&quot;/&gt;&lt;wsp:rsid wsp:val=&quot;0008342C&quot;/&gt;&lt;wsp:rsid wsp:val=&quot;00083CBF&quot;/&gt;&lt;wsp:rsid wsp:val=&quot;000845D2&quot;/&gt;&lt;wsp:rsid wsp:val=&quot;00085CC8&quot;/&gt;&lt;wsp:rsid wsp:val=&quot;000866A6&quot;/&gt;&lt;wsp:rsid wsp:val=&quot;00086A6D&quot;/&gt;&lt;wsp:rsid wsp:val=&quot;00086B5E&quot;/&gt;&lt;wsp:rsid wsp:val=&quot;00086FB2&quot;/&gt;&lt;wsp:rsid wsp:val=&quot;000874C8&quot;/&gt;&lt;wsp:rsid wsp:val=&quot;00087E85&quot;/&gt;&lt;wsp:rsid wsp:val=&quot;00087F37&quot;/&gt;&lt;wsp:rsid wsp:val=&quot;00090FD2&quot;/&gt;&lt;wsp:rsid wsp:val=&quot;000911D2&quot;/&gt;&lt;wsp:rsid wsp:val=&quot;00091433&quot;/&gt;&lt;wsp:rsid wsp:val=&quot;00092EDC&quot;/&gt;&lt;wsp:rsid wsp:val=&quot;000930EB&quot;/&gt;&lt;wsp:rsid wsp:val=&quot;000942B3&quot;/&gt;&lt;wsp:rsid wsp:val=&quot;00094F99&quot;/&gt;&lt;wsp:rsid wsp:val=&quot;000972D8&quot;/&gt;&lt;wsp:rsid wsp:val=&quot;00097640&quot;/&gt;&lt;wsp:rsid wsp:val=&quot;000A0241&quot;/&gt;&lt;wsp:rsid wsp:val=&quot;000A0307&quot;/&gt;&lt;wsp:rsid wsp:val=&quot;000A0FE1&quot;/&gt;&lt;wsp:rsid wsp:val=&quot;000A17E4&quot;/&gt;&lt;wsp:rsid wsp:val=&quot;000A2282&quot;/&gt;&lt;wsp:rsid wsp:val=&quot;000A2704&quot;/&gt;&lt;wsp:rsid wsp:val=&quot;000A2799&quot;/&gt;&lt;wsp:rsid wsp:val=&quot;000A2AC9&quot;/&gt;&lt;wsp:rsid wsp:val=&quot;000A2BDD&quot;/&gt;&lt;wsp:rsid wsp:val=&quot;000A2C98&quot;/&gt;&lt;wsp:rsid wsp:val=&quot;000A2E0D&quot;/&gt;&lt;wsp:rsid wsp:val=&quot;000A350B&quot;/&gt;&lt;wsp:rsid wsp:val=&quot;000A4033&quot;/&gt;&lt;wsp:rsid wsp:val=&quot;000A4D11&quot;/&gt;&lt;wsp:rsid wsp:val=&quot;000A4D1C&quot;/&gt;&lt;wsp:rsid wsp:val=&quot;000A4E25&quot;/&gt;&lt;wsp:rsid wsp:val=&quot;000A53F0&quot;/&gt;&lt;wsp:rsid wsp:val=&quot;000A5A5D&quot;/&gt;&lt;wsp:rsid wsp:val=&quot;000A621E&quot;/&gt;&lt;wsp:rsid wsp:val=&quot;000A6C8F&quot;/&gt;&lt;wsp:rsid wsp:val=&quot;000A6E99&quot;/&gt;&lt;wsp:rsid wsp:val=&quot;000A6FEB&quot;/&gt;&lt;wsp:rsid wsp:val=&quot;000A70F7&quot;/&gt;&lt;wsp:rsid wsp:val=&quot;000A7F93&quot;/&gt;&lt;wsp:rsid wsp:val=&quot;000B0BE0&quot;/&gt;&lt;wsp:rsid wsp:val=&quot;000B1368&quot;/&gt;&lt;wsp:rsid wsp:val=&quot;000B268E&quot;/&gt;&lt;wsp:rsid wsp:val=&quot;000B284C&quot;/&gt;&lt;wsp:rsid wsp:val=&quot;000B2E23&quot;/&gt;&lt;wsp:rsid wsp:val=&quot;000B3EBF&quot;/&gt;&lt;wsp:rsid wsp:val=&quot;000B4179&quot;/&gt;&lt;wsp:rsid wsp:val=&quot;000B49C2&quot;/&gt;&lt;wsp:rsid wsp:val=&quot;000B4AA0&quot;/&gt;&lt;wsp:rsid wsp:val=&quot;000B50E4&quot;/&gt;&lt;wsp:rsid wsp:val=&quot;000B5ED3&quot;/&gt;&lt;wsp:rsid wsp:val=&quot;000B5EDB&quot;/&gt;&lt;wsp:rsid wsp:val=&quot;000B64C5&quot;/&gt;&lt;wsp:rsid wsp:val=&quot;000B670A&quot;/&gt;&lt;wsp:rsid wsp:val=&quot;000B6749&quot;/&gt;&lt;wsp:rsid wsp:val=&quot;000B746C&quot;/&gt;&lt;wsp:rsid wsp:val=&quot;000B7E6A&quot;/&gt;&lt;wsp:rsid wsp:val=&quot;000C0369&quot;/&gt;&lt;wsp:rsid wsp:val=&quot;000C1075&quot;/&gt;&lt;wsp:rsid wsp:val=&quot;000C1946&quot;/&gt;&lt;wsp:rsid wsp:val=&quot;000C3877&quot;/&gt;&lt;wsp:rsid wsp:val=&quot;000C3C06&quot;/&gt;&lt;wsp:rsid wsp:val=&quot;000C4030&quot;/&gt;&lt;wsp:rsid wsp:val=&quot;000C4C6C&quot;/&gt;&lt;wsp:rsid wsp:val=&quot;000C4E86&quot;/&gt;&lt;wsp:rsid wsp:val=&quot;000C5206&quot;/&gt;&lt;wsp:rsid wsp:val=&quot;000C5700&quot;/&gt;&lt;wsp:rsid wsp:val=&quot;000C669F&quot;/&gt;&lt;wsp:rsid wsp:val=&quot;000C6713&quot;/&gt;&lt;wsp:rsid wsp:val=&quot;000C67EB&quot;/&gt;&lt;wsp:rsid wsp:val=&quot;000D0719&quot;/&gt;&lt;wsp:rsid wsp:val=&quot;000D0822&quot;/&gt;&lt;wsp:rsid wsp:val=&quot;000D0C82&quot;/&gt;&lt;wsp:rsid wsp:val=&quot;000D0D86&quot;/&gt;&lt;wsp:rsid wsp:val=&quot;000D0FDB&quot;/&gt;&lt;wsp:rsid wsp:val=&quot;000D2272&quot;/&gt;&lt;wsp:rsid wsp:val=&quot;000D2FB3&quot;/&gt;&lt;wsp:rsid wsp:val=&quot;000D3157&quot;/&gt;&lt;wsp:rsid wsp:val=&quot;000D3808&quot;/&gt;&lt;wsp:rsid wsp:val=&quot;000D4FE0&quot;/&gt;&lt;wsp:rsid wsp:val=&quot;000D56A5&quot;/&gt;&lt;wsp:rsid wsp:val=&quot;000D5AB5&quot;/&gt;&lt;wsp:rsid wsp:val=&quot;000D7968&quot;/&gt;&lt;wsp:rsid wsp:val=&quot;000E0232&quot;/&gt;&lt;wsp:rsid wsp:val=&quot;000E0443&quot;/&gt;&lt;wsp:rsid wsp:val=&quot;000E094F&quot;/&gt;&lt;wsp:rsid wsp:val=&quot;000E0B0A&quot;/&gt;&lt;wsp:rsid wsp:val=&quot;000E0DAC&quot;/&gt;&lt;wsp:rsid wsp:val=&quot;000E137D&quot;/&gt;&lt;wsp:rsid wsp:val=&quot;000E14FC&quot;/&gt;&lt;wsp:rsid wsp:val=&quot;000E1CE2&quot;/&gt;&lt;wsp:rsid wsp:val=&quot;000E1E36&quot;/&gt;&lt;wsp:rsid wsp:val=&quot;000E2121&quot;/&gt;&lt;wsp:rsid wsp:val=&quot;000E2235&quot;/&gt;&lt;wsp:rsid wsp:val=&quot;000E2704&quot;/&gt;&lt;wsp:rsid wsp:val=&quot;000E3721&quot;/&gt;&lt;wsp:rsid wsp:val=&quot;000E3ECA&quot;/&gt;&lt;wsp:rsid wsp:val=&quot;000E42EA&quot;/&gt;&lt;wsp:rsid wsp:val=&quot;000E4C3F&quot;/&gt;&lt;wsp:rsid wsp:val=&quot;000E4D88&quot;/&gt;&lt;wsp:rsid wsp:val=&quot;000E6870&quot;/&gt;&lt;wsp:rsid wsp:val=&quot;000E70ED&quot;/&gt;&lt;wsp:rsid wsp:val=&quot;000E71E3&quot;/&gt;&lt;wsp:rsid wsp:val=&quot;000F036E&quot;/&gt;&lt;wsp:rsid wsp:val=&quot;000F08C5&quot;/&gt;&lt;wsp:rsid wsp:val=&quot;000F0A8F&quot;/&gt;&lt;wsp:rsid wsp:val=&quot;000F11E4&quot;/&gt;&lt;wsp:rsid wsp:val=&quot;000F1231&quot;/&gt;&lt;wsp:rsid wsp:val=&quot;000F13F7&quot;/&gt;&lt;wsp:rsid wsp:val=&quot;000F2925&quot;/&gt;&lt;wsp:rsid wsp:val=&quot;000F31E7&quot;/&gt;&lt;wsp:rsid wsp:val=&quot;000F3BD2&quot;/&gt;&lt;wsp:rsid wsp:val=&quot;000F3F84&quot;/&gt;&lt;wsp:rsid wsp:val=&quot;000F4152&quot;/&gt;&lt;wsp:rsid wsp:val=&quot;000F429A&quot;/&gt;&lt;wsp:rsid wsp:val=&quot;000F47F8&quot;/&gt;&lt;wsp:rsid wsp:val=&quot;000F4E54&quot;/&gt;&lt;wsp:rsid wsp:val=&quot;000F5302&quot;/&gt;&lt;wsp:rsid wsp:val=&quot;000F61BF&quot;/&gt;&lt;wsp:rsid wsp:val=&quot;000F6767&quot;/&gt;&lt;wsp:rsid wsp:val=&quot;000F6D34&quot;/&gt;&lt;wsp:rsid wsp:val=&quot;000F7211&quot;/&gt;&lt;wsp:rsid wsp:val=&quot;001007BC&quot;/&gt;&lt;wsp:rsid wsp:val=&quot;00101E67&quot;/&gt;&lt;wsp:rsid wsp:val=&quot;00101F99&quot;/&gt;&lt;wsp:rsid wsp:val=&quot;00104B9A&quot;/&gt;&lt;wsp:rsid wsp:val=&quot;001060B5&quot;/&gt;&lt;wsp:rsid wsp:val=&quot;001062C6&quot;/&gt;&lt;wsp:rsid wsp:val=&quot;00107156&quot;/&gt;&lt;wsp:rsid wsp:val=&quot;00107668&quot;/&gt;&lt;wsp:rsid wsp:val=&quot;00107BE5&quot;/&gt;&lt;wsp:rsid wsp:val=&quot;00111F4A&quot;/&gt;&lt;wsp:rsid wsp:val=&quot;00112D75&quot;/&gt;&lt;wsp:rsid wsp:val=&quot;00113012&quot;/&gt;&lt;wsp:rsid wsp:val=&quot;00113122&quot;/&gt;&lt;wsp:rsid wsp:val=&quot;00115CAC&quot;/&gt;&lt;wsp:rsid wsp:val=&quot;00115F85&quot;/&gt;&lt;wsp:rsid wsp:val=&quot;001161B8&quot;/&gt;&lt;wsp:rsid wsp:val=&quot;001169FE&quot;/&gt;&lt;wsp:rsid wsp:val=&quot;00120201&quot;/&gt;&lt;wsp:rsid wsp:val=&quot;00120290&quot;/&gt;&lt;wsp:rsid wsp:val=&quot;00120520&quot;/&gt;&lt;wsp:rsid wsp:val=&quot;0012079B&quot;/&gt;&lt;wsp:rsid wsp:val=&quot;00120B8A&quot;/&gt;&lt;wsp:rsid wsp:val=&quot;00120D37&quot;/&gt;&lt;wsp:rsid wsp:val=&quot;0012144F&quot;/&gt;&lt;wsp:rsid wsp:val=&quot;00121572&quot;/&gt;&lt;wsp:rsid wsp:val=&quot;00121AFC&quot;/&gt;&lt;wsp:rsid wsp:val=&quot;00121D8D&quot;/&gt;&lt;wsp:rsid wsp:val=&quot;00123151&quot;/&gt;&lt;wsp:rsid wsp:val=&quot;001231C7&quot;/&gt;&lt;wsp:rsid wsp:val=&quot;00123E74&quot;/&gt;&lt;wsp:rsid wsp:val=&quot;001241A0&quot;/&gt;&lt;wsp:rsid wsp:val=&quot;0012445B&quot;/&gt;&lt;wsp:rsid wsp:val=&quot;001248D0&quot;/&gt;&lt;wsp:rsid wsp:val=&quot;00125BBC&quot;/&gt;&lt;wsp:rsid wsp:val=&quot;00127E2F&quot;/&gt;&lt;wsp:rsid wsp:val=&quot;00127FF6&quot;/&gt;&lt;wsp:rsid wsp:val=&quot;00130639&quot;/&gt;&lt;wsp:rsid wsp:val=&quot;001308AF&quot;/&gt;&lt;wsp:rsid wsp:val=&quot;00132D7C&quot;/&gt;&lt;wsp:rsid wsp:val=&quot;0013415D&quot;/&gt;&lt;wsp:rsid wsp:val=&quot;001342B8&quot;/&gt;&lt;wsp:rsid wsp:val=&quot;001345C4&quot;/&gt;&lt;wsp:rsid wsp:val=&quot;00134706&quot;/&gt;&lt;wsp:rsid wsp:val=&quot;00134B9A&quot;/&gt;&lt;wsp:rsid wsp:val=&quot;0013561D&quot;/&gt;&lt;wsp:rsid wsp:val=&quot;00135973&quot;/&gt;&lt;wsp:rsid wsp:val=&quot;00135F6E&quot;/&gt;&lt;wsp:rsid wsp:val=&quot;00136CE5&quot;/&gt;&lt;wsp:rsid wsp:val=&quot;00136DC6&quot;/&gt;&lt;wsp:rsid wsp:val=&quot;00137CFB&quot;/&gt;&lt;wsp:rsid wsp:val=&quot;0014029E&quot;/&gt;&lt;wsp:rsid wsp:val=&quot;001402D6&quot;/&gt;&lt;wsp:rsid wsp:val=&quot;00140D15&quot;/&gt;&lt;wsp:rsid wsp:val=&quot;001411B6&quot;/&gt;&lt;wsp:rsid wsp:val=&quot;0014199F&quot;/&gt;&lt;wsp:rsid wsp:val=&quot;00142D4A&quot;/&gt;&lt;wsp:rsid wsp:val=&quot;00142F03&quot;/&gt;&lt;wsp:rsid wsp:val=&quot;00142F50&quot;/&gt;&lt;wsp:rsid wsp:val=&quot;001436B0&quot;/&gt;&lt;wsp:rsid wsp:val=&quot;00144156&quot;/&gt;&lt;wsp:rsid wsp:val=&quot;001441F8&quot;/&gt;&lt;wsp:rsid wsp:val=&quot;001445E9&quot;/&gt;&lt;wsp:rsid wsp:val=&quot;001446F3&quot;/&gt;&lt;wsp:rsid wsp:val=&quot;001455C6&quot;/&gt;&lt;wsp:rsid wsp:val=&quot;00145FB6&quot;/&gt;&lt;wsp:rsid wsp:val=&quot;00146370&quot;/&gt;&lt;wsp:rsid wsp:val=&quot;00146D8E&quot;/&gt;&lt;wsp:rsid wsp:val=&quot;00147D36&quot;/&gt;&lt;wsp:rsid wsp:val=&quot;001515D8&quot;/&gt;&lt;wsp:rsid wsp:val=&quot;00151B6A&quot;/&gt;&lt;wsp:rsid wsp:val=&quot;00152223&quot;/&gt;&lt;wsp:rsid wsp:val=&quot;00152C71&quot;/&gt;&lt;wsp:rsid wsp:val=&quot;00152EB7&quot;/&gt;&lt;wsp:rsid wsp:val=&quot;00153512&quot;/&gt;&lt;wsp:rsid wsp:val=&quot;001541E8&quot;/&gt;&lt;wsp:rsid wsp:val=&quot;00154348&quot;/&gt;&lt;wsp:rsid wsp:val=&quot;0015683E&quot;/&gt;&lt;wsp:rsid wsp:val=&quot;0015687B&quot;/&gt;&lt;wsp:rsid wsp:val=&quot;00157384&quot;/&gt;&lt;wsp:rsid wsp:val=&quot;00157B44&quot;/&gt;&lt;wsp:rsid wsp:val=&quot;00157FA1&quot;/&gt;&lt;wsp:rsid wsp:val=&quot;00160C61&quot;/&gt;&lt;wsp:rsid wsp:val=&quot;00160DE3&quot;/&gt;&lt;wsp:rsid wsp:val=&quot;0016170A&quot;/&gt;&lt;wsp:rsid wsp:val=&quot;00161BE4&quot;/&gt;&lt;wsp:rsid wsp:val=&quot;00161FE6&quot;/&gt;&lt;wsp:rsid wsp:val=&quot;001625ED&quot;/&gt;&lt;wsp:rsid wsp:val=&quot;00163A5F&quot;/&gt;&lt;wsp:rsid wsp:val=&quot;001642C5&quot;/&gt;&lt;wsp:rsid wsp:val=&quot;001643F3&quot;/&gt;&lt;wsp:rsid wsp:val=&quot;00164E10&quot;/&gt;&lt;wsp:rsid wsp:val=&quot;00164F00&quot;/&gt;&lt;wsp:rsid wsp:val=&quot;00164F70&quot;/&gt;&lt;wsp:rsid wsp:val=&quot;00165BDF&quot;/&gt;&lt;wsp:rsid wsp:val=&quot;00165C34&quot;/&gt;&lt;wsp:rsid wsp:val=&quot;00165CE4&quot;/&gt;&lt;wsp:rsid wsp:val=&quot;00166B13&quot;/&gt;&lt;wsp:rsid wsp:val=&quot;00167F15&quot;/&gt;&lt;wsp:rsid wsp:val=&quot;001724D4&quot;/&gt;&lt;wsp:rsid wsp:val=&quot;00172D51&quot;/&gt;&lt;wsp:rsid wsp:val=&quot;00173CEB&quot;/&gt;&lt;wsp:rsid wsp:val=&quot;00174BDB&quot;/&gt;&lt;wsp:rsid wsp:val=&quot;0017558E&quot;/&gt;&lt;wsp:rsid wsp:val=&quot;0017577E&quot;/&gt;&lt;wsp:rsid wsp:val=&quot;00177153&quot;/&gt;&lt;wsp:rsid wsp:val=&quot;0017720D&quot;/&gt;&lt;wsp:rsid wsp:val=&quot;00180685&quot;/&gt;&lt;wsp:rsid wsp:val=&quot;00180C94&quot;/&gt;&lt;wsp:rsid wsp:val=&quot;00181523&quot;/&gt;&lt;wsp:rsid wsp:val=&quot;00182D05&quot;/&gt;&lt;wsp:rsid wsp:val=&quot;001830F0&quot;/&gt;&lt;wsp:rsid wsp:val=&quot;00183BC8&quot;/&gt;&lt;wsp:rsid wsp:val=&quot;00184961&quot;/&gt;&lt;wsp:rsid wsp:val=&quot;001849DA&quot;/&gt;&lt;wsp:rsid wsp:val=&quot;00184AC7&quot;/&gt;&lt;wsp:rsid wsp:val=&quot;001855F3&quot;/&gt;&lt;wsp:rsid wsp:val=&quot;0018595F&quot;/&gt;&lt;wsp:rsid wsp:val=&quot;001867D3&quot;/&gt;&lt;wsp:rsid wsp:val=&quot;001876F2&quot;/&gt;&lt;wsp:rsid wsp:val=&quot;001879D2&quot;/&gt;&lt;wsp:rsid wsp:val=&quot;0019051F&quot;/&gt;&lt;wsp:rsid wsp:val=&quot;00191623&quot;/&gt;&lt;wsp:rsid wsp:val=&quot;001929BF&quot;/&gt;&lt;wsp:rsid wsp:val=&quot;00192C1D&quot;/&gt;&lt;wsp:rsid wsp:val=&quot;00193A8F&quot;/&gt;&lt;wsp:rsid wsp:val=&quot;00193AED&quot;/&gt;&lt;wsp:rsid wsp:val=&quot;00194028&quot;/&gt;&lt;wsp:rsid wsp:val=&quot;0019421A&quot;/&gt;&lt;wsp:rsid wsp:val=&quot;001946FD&quot;/&gt;&lt;wsp:rsid wsp:val=&quot;00194E33&quot;/&gt;&lt;wsp:rsid wsp:val=&quot;0019604E&quot;/&gt;&lt;wsp:rsid wsp:val=&quot;00196665&quot;/&gt;&lt;wsp:rsid wsp:val=&quot;001A0079&quot;/&gt;&lt;wsp:rsid wsp:val=&quot;001A02B1&quot;/&gt;&lt;wsp:rsid wsp:val=&quot;001A21DA&quot;/&gt;&lt;wsp:rsid wsp:val=&quot;001A3116&quot;/&gt;&lt;wsp:rsid wsp:val=&quot;001A4ADE&quot;/&gt;&lt;wsp:rsid wsp:val=&quot;001A4FE2&quot;/&gt;&lt;wsp:rsid wsp:val=&quot;001A5010&quot;/&gt;&lt;wsp:rsid wsp:val=&quot;001A540E&quot;/&gt;&lt;wsp:rsid wsp:val=&quot;001A5F1A&quot;/&gt;&lt;wsp:rsid wsp:val=&quot;001A5F45&quot;/&gt;&lt;wsp:rsid wsp:val=&quot;001B0278&quot;/&gt;&lt;wsp:rsid wsp:val=&quot;001B04ED&quot;/&gt;&lt;wsp:rsid wsp:val=&quot;001B2367&quot;/&gt;&lt;wsp:rsid wsp:val=&quot;001B2B5F&quot;/&gt;&lt;wsp:rsid wsp:val=&quot;001B4425&quot;/&gt;&lt;wsp:rsid wsp:val=&quot;001B551F&quot;/&gt;&lt;wsp:rsid wsp:val=&quot;001B5A93&quot;/&gt;&lt;wsp:rsid wsp:val=&quot;001B5D48&quot;/&gt;&lt;wsp:rsid wsp:val=&quot;001B67EB&quot;/&gt;&lt;wsp:rsid wsp:val=&quot;001B6E67&quot;/&gt;&lt;wsp:rsid wsp:val=&quot;001B7785&quot;/&gt;&lt;wsp:rsid wsp:val=&quot;001C081A&quot;/&gt;&lt;wsp:rsid wsp:val=&quot;001C12F0&quot;/&gt;&lt;wsp:rsid wsp:val=&quot;001C1309&quot;/&gt;&lt;wsp:rsid wsp:val=&quot;001C13E2&quot;/&gt;&lt;wsp:rsid wsp:val=&quot;001C2EEA&quot;/&gt;&lt;wsp:rsid wsp:val=&quot;001C35EF&quot;/&gt;&lt;wsp:rsid wsp:val=&quot;001C4017&quot;/&gt;&lt;wsp:rsid wsp:val=&quot;001C5070&quot;/&gt;&lt;wsp:rsid wsp:val=&quot;001C5234&quot;/&gt;&lt;wsp:rsid wsp:val=&quot;001C533C&quot;/&gt;&lt;wsp:rsid wsp:val=&quot;001C5375&quot;/&gt;&lt;wsp:rsid wsp:val=&quot;001C583F&quot;/&gt;&lt;wsp:rsid wsp:val=&quot;001C58F7&quot;/&gt;&lt;wsp:rsid wsp:val=&quot;001C6EAC&quot;/&gt;&lt;wsp:rsid wsp:val=&quot;001C734A&quot;/&gt;&lt;wsp:rsid wsp:val=&quot;001C7670&quot;/&gt;&lt;wsp:rsid wsp:val=&quot;001C7BA2&quot;/&gt;&lt;wsp:rsid wsp:val=&quot;001D033A&quot;/&gt;&lt;wsp:rsid wsp:val=&quot;001D0F26&quot;/&gt;&lt;wsp:rsid wsp:val=&quot;001D170E&quot;/&gt;&lt;wsp:rsid wsp:val=&quot;001D21A1&quot;/&gt;&lt;wsp:rsid wsp:val=&quot;001D2591&quot;/&gt;&lt;wsp:rsid wsp:val=&quot;001D351F&quot;/&gt;&lt;wsp:rsid wsp:val=&quot;001D4965&quot;/&gt;&lt;wsp:rsid wsp:val=&quot;001D4ABB&quot;/&gt;&lt;wsp:rsid wsp:val=&quot;001D526E&quot;/&gt;&lt;wsp:rsid wsp:val=&quot;001D57EE&quot;/&gt;&lt;wsp:rsid wsp:val=&quot;001D7147&quot;/&gt;&lt;wsp:rsid wsp:val=&quot;001E0016&quot;/&gt;&lt;wsp:rsid wsp:val=&quot;001E04A5&quot;/&gt;&lt;wsp:rsid wsp:val=&quot;001E0709&quot;/&gt;&lt;wsp:rsid wsp:val=&quot;001E0D94&quot;/&gt;&lt;wsp:rsid wsp:val=&quot;001E11B8&quot;/&gt;&lt;wsp:rsid wsp:val=&quot;001E141A&quot;/&gt;&lt;wsp:rsid wsp:val=&quot;001E16FB&quot;/&gt;&lt;wsp:rsid wsp:val=&quot;001E1773&quot;/&gt;&lt;wsp:rsid wsp:val=&quot;001E191C&quot;/&gt;&lt;wsp:rsid wsp:val=&quot;001E20E7&quot;/&gt;&lt;wsp:rsid wsp:val=&quot;001E253F&quot;/&gt;&lt;wsp:rsid wsp:val=&quot;001E2679&quot;/&gt;&lt;wsp:rsid wsp:val=&quot;001E27F5&quot;/&gt;&lt;wsp:rsid wsp:val=&quot;001E35FA&quot;/&gt;&lt;wsp:rsid wsp:val=&quot;001E4298&quot;/&gt;&lt;wsp:rsid wsp:val=&quot;001E46B6&quot;/&gt;&lt;wsp:rsid wsp:val=&quot;001E6CBB&quot;/&gt;&lt;wsp:rsid wsp:val=&quot;001E74B5&quot;/&gt;&lt;wsp:rsid wsp:val=&quot;001F0A61&quot;/&gt;&lt;wsp:rsid wsp:val=&quot;001F126E&quot;/&gt;&lt;wsp:rsid wsp:val=&quot;001F1ED8&quot;/&gt;&lt;wsp:rsid wsp:val=&quot;001F21F9&quot;/&gt;&lt;wsp:rsid wsp:val=&quot;001F2312&quot;/&gt;&lt;wsp:rsid wsp:val=&quot;001F231A&quot;/&gt;&lt;wsp:rsid wsp:val=&quot;001F2759&quot;/&gt;&lt;wsp:rsid wsp:val=&quot;001F2EC0&quot;/&gt;&lt;wsp:rsid wsp:val=&quot;001F32FB&quot;/&gt;&lt;wsp:rsid wsp:val=&quot;001F3549&quot;/&gt;&lt;wsp:rsid wsp:val=&quot;001F4B83&quot;/&gt;&lt;wsp:rsid wsp:val=&quot;001F5141&quot;/&gt;&lt;wsp:rsid wsp:val=&quot;001F5644&quot;/&gt;&lt;wsp:rsid wsp:val=&quot;001F6754&quot;/&gt;&lt;wsp:rsid wsp:val=&quot;002000DE&quot;/&gt;&lt;wsp:rsid wsp:val=&quot;0020012D&quot;/&gt;&lt;wsp:rsid wsp:val=&quot;002007F1&quot;/&gt;&lt;wsp:rsid wsp:val=&quot;00201181&quot;/&gt;&lt;wsp:rsid wsp:val=&quot;00201512&quot;/&gt;&lt;wsp:rsid wsp:val=&quot;002016A6&quot;/&gt;&lt;wsp:rsid wsp:val=&quot;00201DF9&quot;/&gt;&lt;wsp:rsid wsp:val=&quot;00203108&quot;/&gt;&lt;wsp:rsid wsp:val=&quot;00204011&quot;/&gt;&lt;wsp:rsid wsp:val=&quot;00204973&quot;/&gt;&lt;wsp:rsid wsp:val=&quot;00205995&quot;/&gt;&lt;wsp:rsid wsp:val=&quot;00205F6E&quot;/&gt;&lt;wsp:rsid wsp:val=&quot;00206580&quot;/&gt;&lt;wsp:rsid wsp:val=&quot;0020697F&quot;/&gt;&lt;wsp:rsid wsp:val=&quot;00206D98&quot;/&gt;&lt;wsp:rsid wsp:val=&quot;0020702C&quot;/&gt;&lt;wsp:rsid wsp:val=&quot;00210165&quot;/&gt;&lt;wsp:rsid wsp:val=&quot;002102A7&quot;/&gt;&lt;wsp:rsid wsp:val=&quot;002121C1&quot;/&gt;&lt;wsp:rsid wsp:val=&quot;0021353A&quot;/&gt;&lt;wsp:rsid wsp:val=&quot;00213741&quot;/&gt;&lt;wsp:rsid wsp:val=&quot;00214418&quot;/&gt;&lt;wsp:rsid wsp:val=&quot;002145DC&quot;/&gt;&lt;wsp:rsid wsp:val=&quot;0021494D&quot;/&gt;&lt;wsp:rsid wsp:val=&quot;0021499D&quot;/&gt;&lt;wsp:rsid wsp:val=&quot;00214F39&quot;/&gt;&lt;wsp:rsid wsp:val=&quot;00217E0C&quot;/&gt;&lt;wsp:rsid wsp:val=&quot;00217F88&quot;/&gt;&lt;wsp:rsid wsp:val=&quot;00220EA6&quot;/&gt;&lt;wsp:rsid wsp:val=&quot;00220F33&quot;/&gt;&lt;wsp:rsid wsp:val=&quot;0022144A&quot;/&gt;&lt;wsp:rsid wsp:val=&quot;00221BC8&quot;/&gt;&lt;wsp:rsid wsp:val=&quot;00221E25&quot;/&gt;&lt;wsp:rsid wsp:val=&quot;00222606&quot;/&gt;&lt;wsp:rsid wsp:val=&quot;00223166&quot;/&gt;&lt;wsp:rsid wsp:val=&quot;0022333C&quot;/&gt;&lt;wsp:rsid wsp:val=&quot;002245C3&quot;/&gt;&lt;wsp:rsid wsp:val=&quot;00224658&quot;/&gt;&lt;wsp:rsid wsp:val=&quot;00224E7B&quot;/&gt;&lt;wsp:rsid wsp:val=&quot;00224FF1&quot;/&gt;&lt;wsp:rsid wsp:val=&quot;0022536B&quot;/&gt;&lt;wsp:rsid wsp:val=&quot;00225533&quot;/&gt;&lt;wsp:rsid wsp:val=&quot;002264B9&quot;/&gt;&lt;wsp:rsid wsp:val=&quot;00226EA4&quot;/&gt;&lt;wsp:rsid wsp:val=&quot;00227A6D&quot;/&gt;&lt;wsp:rsid wsp:val=&quot;00227B88&quot;/&gt;&lt;wsp:rsid wsp:val=&quot;00230727&quot;/&gt;&lt;wsp:rsid wsp:val=&quot;00230965&quot;/&gt;&lt;wsp:rsid wsp:val=&quot;002313CF&quot;/&gt;&lt;wsp:rsid wsp:val=&quot;002314A6&quot;/&gt;&lt;wsp:rsid wsp:val=&quot;0023158F&quot;/&gt;&lt;wsp:rsid wsp:val=&quot;002328A8&quot;/&gt;&lt;wsp:rsid wsp:val=&quot;00232977&quot;/&gt;&lt;wsp:rsid wsp:val=&quot;00232DFC&quot;/&gt;&lt;wsp:rsid wsp:val=&quot;00232DFD&quot;/&gt;&lt;wsp:rsid wsp:val=&quot;00232E2A&quot;/&gt;&lt;wsp:rsid wsp:val=&quot;00233816&quot;/&gt;&lt;wsp:rsid wsp:val=&quot;00234530&quot;/&gt;&lt;wsp:rsid wsp:val=&quot;00234B5B&quot;/&gt;&lt;wsp:rsid wsp:val=&quot;00234B6F&quot;/&gt;&lt;wsp:rsid wsp:val=&quot;002350A3&quot;/&gt;&lt;wsp:rsid wsp:val=&quot;00236972&quot;/&gt;&lt;wsp:rsid wsp:val=&quot;00240423&quot;/&gt;&lt;wsp:rsid wsp:val=&quot;00240966&quot;/&gt;&lt;wsp:rsid wsp:val=&quot;00240D77&quot;/&gt;&lt;wsp:rsid wsp:val=&quot;00240F39&quot;/&gt;&lt;wsp:rsid wsp:val=&quot;0024104F&quot;/&gt;&lt;wsp:rsid wsp:val=&quot;00241667&quot;/&gt;&lt;wsp:rsid wsp:val=&quot;00241776&quot;/&gt;&lt;wsp:rsid wsp:val=&quot;0024364D&quot;/&gt;&lt;wsp:rsid wsp:val=&quot;002441FF&quot;/&gt;&lt;wsp:rsid wsp:val=&quot;002447B8&quot;/&gt;&lt;wsp:rsid wsp:val=&quot;0024521B&quot;/&gt;&lt;wsp:rsid wsp:val=&quot;00245459&quot;/&gt;&lt;wsp:rsid wsp:val=&quot;0024556B&quot;/&gt;&lt;wsp:rsid wsp:val=&quot;00245F06&quot;/&gt;&lt;wsp:rsid wsp:val=&quot;00246CDF&quot;/&gt;&lt;wsp:rsid wsp:val=&quot;00246D60&quot;/&gt;&lt;wsp:rsid wsp:val=&quot;0024785E&quot;/&gt;&lt;wsp:rsid wsp:val=&quot;002478BE&quot;/&gt;&lt;wsp:rsid wsp:val=&quot;00250AAD&quot;/&gt;&lt;wsp:rsid wsp:val=&quot;00250C1D&quot;/&gt;&lt;wsp:rsid wsp:val=&quot;002517E6&quot;/&gt;&lt;wsp:rsid wsp:val=&quot;00252499&quot;/&gt;&lt;wsp:rsid wsp:val=&quot;00253E56&quot;/&gt;&lt;wsp:rsid wsp:val=&quot;00254928&quot;/&gt;&lt;wsp:rsid wsp:val=&quot;00254F43&quot;/&gt;&lt;wsp:rsid wsp:val=&quot;0025584A&quot;/&gt;&lt;wsp:rsid wsp:val=&quot;00255C93&quot;/&gt;&lt;wsp:rsid wsp:val=&quot;002566EB&quot;/&gt;&lt;wsp:rsid wsp:val=&quot;00256BB8&quot;/&gt;&lt;wsp:rsid wsp:val=&quot;0025705F&quot;/&gt;&lt;wsp:rsid wsp:val=&quot;00257DC4&quot;/&gt;&lt;wsp:rsid wsp:val=&quot;00261189&quot;/&gt;&lt;wsp:rsid wsp:val=&quot;0026192A&quot;/&gt;&lt;wsp:rsid wsp:val=&quot;00262842&quot;/&gt;&lt;wsp:rsid wsp:val=&quot;00262B69&quot;/&gt;&lt;wsp:rsid wsp:val=&quot;00262FAF&quot;/&gt;&lt;wsp:rsid wsp:val=&quot;00263FFE&quot;/&gt;&lt;wsp:rsid wsp:val=&quot;002643F0&quot;/&gt;&lt;wsp:rsid wsp:val=&quot;00264AAD&quot;/&gt;&lt;wsp:rsid wsp:val=&quot;00264F9B&quot;/&gt;&lt;wsp:rsid wsp:val=&quot;00265173&quot;/&gt;&lt;wsp:rsid wsp:val=&quot;00265293&quot;/&gt;&lt;wsp:rsid wsp:val=&quot;002655D5&quot;/&gt;&lt;wsp:rsid wsp:val=&quot;00265884&quot;/&gt;&lt;wsp:rsid wsp:val=&quot;00266844&quot;/&gt;&lt;wsp:rsid wsp:val=&quot;00266A84&quot;/&gt;&lt;wsp:rsid wsp:val=&quot;00266BB1&quot;/&gt;&lt;wsp:rsid wsp:val=&quot;00267312&quot;/&gt;&lt;wsp:rsid wsp:val=&quot;00267368&quot;/&gt;&lt;wsp:rsid wsp:val=&quot;00267956&quot;/&gt;&lt;wsp:rsid wsp:val=&quot;0027049C&quot;/&gt;&lt;wsp:rsid wsp:val=&quot;002715F4&quot;/&gt;&lt;wsp:rsid wsp:val=&quot;0027225E&quot;/&gt;&lt;wsp:rsid wsp:val=&quot;00272728&quot;/&gt;&lt;wsp:rsid wsp:val=&quot;00272883&quot;/&gt;&lt;wsp:rsid wsp:val=&quot;00272DE5&quot;/&gt;&lt;wsp:rsid wsp:val=&quot;00272FE5&quot;/&gt;&lt;wsp:rsid wsp:val=&quot;00274755&quot;/&gt;&lt;wsp:rsid wsp:val=&quot;00275FC5&quot;/&gt;&lt;wsp:rsid wsp:val=&quot;0027672A&quot;/&gt;&lt;wsp:rsid wsp:val=&quot;00277B04&quot;/&gt;&lt;wsp:rsid wsp:val=&quot;00281668&quot;/&gt;&lt;wsp:rsid wsp:val=&quot;00281B5D&quot;/&gt;&lt;wsp:rsid wsp:val=&quot;00281FB0&quot;/&gt;&lt;wsp:rsid wsp:val=&quot;002822B2&quot;/&gt;&lt;wsp:rsid wsp:val=&quot;00282748&quot;/&gt;&lt;wsp:rsid wsp:val=&quot;00282BDC&quot;/&gt;&lt;wsp:rsid wsp:val=&quot;00282E35&quot;/&gt;&lt;wsp:rsid wsp:val=&quot;002835E8&quot;/&gt;&lt;wsp:rsid wsp:val=&quot;00283E79&quot;/&gt;&lt;wsp:rsid wsp:val=&quot;0028418E&quot;/&gt;&lt;wsp:rsid wsp:val=&quot;002841A4&quot;/&gt;&lt;wsp:rsid wsp:val=&quot;002854F0&quot;/&gt;&lt;wsp:rsid wsp:val=&quot;00285A02&quot;/&gt;&lt;wsp:rsid wsp:val=&quot;00287459&quot;/&gt;&lt;wsp:rsid wsp:val=&quot;00287524&quot;/&gt;&lt;wsp:rsid wsp:val=&quot;00287B51&quot;/&gt;&lt;wsp:rsid wsp:val=&quot;0029029A&quot;/&gt;&lt;wsp:rsid wsp:val=&quot;0029084B&quot;/&gt;&lt;wsp:rsid wsp:val=&quot;00291C01&quot;/&gt;&lt;wsp:rsid wsp:val=&quot;00291FC6&quot;/&gt;&lt;wsp:rsid wsp:val=&quot;00292932&quot;/&gt;&lt;wsp:rsid wsp:val=&quot;00292CFE&quot;/&gt;&lt;wsp:rsid wsp:val=&quot;00292F3B&quot;/&gt;&lt;wsp:rsid wsp:val=&quot;002937B5&quot;/&gt;&lt;wsp:rsid wsp:val=&quot;0029475F&quot;/&gt;&lt;wsp:rsid wsp:val=&quot;00294E5C&quot;/&gt;&lt;wsp:rsid wsp:val=&quot;002950A2&quot;/&gt;&lt;wsp:rsid wsp:val=&quot;002954CF&quot;/&gt;&lt;wsp:rsid wsp:val=&quot;00295944&quot;/&gt;&lt;wsp:rsid wsp:val=&quot;00295A84&quot;/&gt;&lt;wsp:rsid wsp:val=&quot;00295FB4&quot;/&gt;&lt;wsp:rsid wsp:val=&quot;002964F1&quot;/&gt;&lt;wsp:rsid wsp:val=&quot;002A0240&quot;/&gt;&lt;wsp:rsid wsp:val=&quot;002A1906&quot;/&gt;&lt;wsp:rsid wsp:val=&quot;002A1D08&quot;/&gt;&lt;wsp:rsid wsp:val=&quot;002A22C7&quot;/&gt;&lt;wsp:rsid wsp:val=&quot;002A30E3&quot;/&gt;&lt;wsp:rsid wsp:val=&quot;002A36A1&quot;/&gt;&lt;wsp:rsid wsp:val=&quot;002A3869&quot;/&gt;&lt;wsp:rsid wsp:val=&quot;002A4766&quot;/&gt;&lt;wsp:rsid wsp:val=&quot;002A4B0C&quot;/&gt;&lt;wsp:rsid wsp:val=&quot;002A5328&quot;/&gt;&lt;wsp:rsid wsp:val=&quot;002A575C&quot;/&gt;&lt;wsp:rsid wsp:val=&quot;002A57B7&quot;/&gt;&lt;wsp:rsid wsp:val=&quot;002A5F32&quot;/&gt;&lt;wsp:rsid wsp:val=&quot;002A6149&quot;/&gt;&lt;wsp:rsid wsp:val=&quot;002A6908&quot;/&gt;&lt;wsp:rsid wsp:val=&quot;002A6F56&quot;/&gt;&lt;wsp:rsid wsp:val=&quot;002A7856&quot;/&gt;&lt;wsp:rsid wsp:val=&quot;002B10DB&quot;/&gt;&lt;wsp:rsid wsp:val=&quot;002B120F&quot;/&gt;&lt;wsp:rsid wsp:val=&quot;002B1360&quot;/&gt;&lt;wsp:rsid wsp:val=&quot;002B143C&quot;/&gt;&lt;wsp:rsid wsp:val=&quot;002B17BD&quot;/&gt;&lt;wsp:rsid wsp:val=&quot;002B1D05&quot;/&gt;&lt;wsp:rsid wsp:val=&quot;002B1FFF&quot;/&gt;&lt;wsp:rsid wsp:val=&quot;002B2307&quot;/&gt;&lt;wsp:rsid wsp:val=&quot;002B2988&quot;/&gt;&lt;wsp:rsid wsp:val=&quot;002B2E6C&quot;/&gt;&lt;wsp:rsid wsp:val=&quot;002B3AB9&quot;/&gt;&lt;wsp:rsid wsp:val=&quot;002B4D57&quot;/&gt;&lt;wsp:rsid wsp:val=&quot;002B520D&quot;/&gt;&lt;wsp:rsid wsp:val=&quot;002B537D&quot;/&gt;&lt;wsp:rsid wsp:val=&quot;002B5694&quot;/&gt;&lt;wsp:rsid wsp:val=&quot;002B59F0&quot;/&gt;&lt;wsp:rsid wsp:val=&quot;002B7377&quot;/&gt;&lt;wsp:rsid wsp:val=&quot;002B7B83&quot;/&gt;&lt;wsp:rsid wsp:val=&quot;002B7E96&quot;/&gt;&lt;wsp:rsid wsp:val=&quot;002C11C2&quot;/&gt;&lt;wsp:rsid wsp:val=&quot;002C11F7&quot;/&gt;&lt;wsp:rsid wsp:val=&quot;002C1A35&quot;/&gt;&lt;wsp:rsid wsp:val=&quot;002C2A72&quot;/&gt;&lt;wsp:rsid wsp:val=&quot;002C3229&quot;/&gt;&lt;wsp:rsid wsp:val=&quot;002C3576&quot;/&gt;&lt;wsp:rsid wsp:val=&quot;002C3BA7&quot;/&gt;&lt;wsp:rsid wsp:val=&quot;002C45A2&quot;/&gt;&lt;wsp:rsid wsp:val=&quot;002C4B0B&quot;/&gt;&lt;wsp:rsid wsp:val=&quot;002C4F26&quot;/&gt;&lt;wsp:rsid wsp:val=&quot;002C518F&quot;/&gt;&lt;wsp:rsid wsp:val=&quot;002C562D&quot;/&gt;&lt;wsp:rsid wsp:val=&quot;002C69E8&quot;/&gt;&lt;wsp:rsid wsp:val=&quot;002C7257&quot;/&gt;&lt;wsp:rsid wsp:val=&quot;002C7873&quot;/&gt;&lt;wsp:rsid wsp:val=&quot;002C7F31&quot;/&gt;&lt;wsp:rsid wsp:val=&quot;002D034F&quot;/&gt;&lt;wsp:rsid wsp:val=&quot;002D18A6&quot;/&gt;&lt;wsp:rsid wsp:val=&quot;002D1C08&quot;/&gt;&lt;wsp:rsid wsp:val=&quot;002D1FBA&quot;/&gt;&lt;wsp:rsid wsp:val=&quot;002D1FBC&quot;/&gt;&lt;wsp:rsid wsp:val=&quot;002D229F&quot;/&gt;&lt;wsp:rsid wsp:val=&quot;002D24BB&quot;/&gt;&lt;wsp:rsid wsp:val=&quot;002D2DED&quot;/&gt;&lt;wsp:rsid wsp:val=&quot;002D3304&quot;/&gt;&lt;wsp:rsid wsp:val=&quot;002D36B1&quot;/&gt;&lt;wsp:rsid wsp:val=&quot;002D36E4&quot;/&gt;&lt;wsp:rsid wsp:val=&quot;002D379A&quot;/&gt;&lt;wsp:rsid wsp:val=&quot;002D57CB&quot;/&gt;&lt;wsp:rsid wsp:val=&quot;002D69DF&quot;/&gt;&lt;wsp:rsid wsp:val=&quot;002D6BE2&quot;/&gt;&lt;wsp:rsid wsp:val=&quot;002D7BF4&quot;/&gt;&lt;wsp:rsid wsp:val=&quot;002E067B&quot;/&gt;&lt;wsp:rsid wsp:val=&quot;002E076B&quot;/&gt;&lt;wsp:rsid wsp:val=&quot;002E07A7&quot;/&gt;&lt;wsp:rsid wsp:val=&quot;002E0D5F&quot;/&gt;&lt;wsp:rsid wsp:val=&quot;002E0E55&quot;/&gt;&lt;wsp:rsid wsp:val=&quot;002E1A46&quot;/&gt;&lt;wsp:rsid wsp:val=&quot;002E1CFC&quot;/&gt;&lt;wsp:rsid wsp:val=&quot;002E23E5&quot;/&gt;&lt;wsp:rsid wsp:val=&quot;002E2676&quot;/&gt;&lt;wsp:rsid wsp:val=&quot;002E587E&quot;/&gt;&lt;wsp:rsid wsp:val=&quot;002E66E3&quot;/&gt;&lt;wsp:rsid wsp:val=&quot;002E69B7&quot;/&gt;&lt;wsp:rsid wsp:val=&quot;002E6D0C&quot;/&gt;&lt;wsp:rsid wsp:val=&quot;002E706A&quot;/&gt;&lt;wsp:rsid wsp:val=&quot;002F0515&quot;/&gt;&lt;wsp:rsid wsp:val=&quot;002F1415&quot;/&gt;&lt;wsp:rsid wsp:val=&quot;002F14F5&quot;/&gt;&lt;wsp:rsid wsp:val=&quot;002F2298&quot;/&gt;&lt;wsp:rsid wsp:val=&quot;002F2B19&quot;/&gt;&lt;wsp:rsid wsp:val=&quot;002F30BA&quot;/&gt;&lt;wsp:rsid wsp:val=&quot;002F374B&quot;/&gt;&lt;wsp:rsid wsp:val=&quot;002F4601&quot;/&gt;&lt;wsp:rsid wsp:val=&quot;002F567C&quot;/&gt;&lt;wsp:rsid wsp:val=&quot;002F7AAE&quot;/&gt;&lt;wsp:rsid wsp:val=&quot;002F7C59&quot;/&gt;&lt;wsp:rsid wsp:val=&quot;00301424&quot;/&gt;&lt;wsp:rsid wsp:val=&quot;003019DB&quot;/&gt;&lt;wsp:rsid wsp:val=&quot;003038D0&quot;/&gt;&lt;wsp:rsid wsp:val=&quot;00303F20&quot;/&gt;&lt;wsp:rsid wsp:val=&quot;00303FAC&quot;/&gt;&lt;wsp:rsid wsp:val=&quot;00304465&quot;/&gt;&lt;wsp:rsid wsp:val=&quot;003045A9&quot;/&gt;&lt;wsp:rsid wsp:val=&quot;0030488F&quot;/&gt;&lt;wsp:rsid wsp:val=&quot;00306559&quot;/&gt;&lt;wsp:rsid wsp:val=&quot;00307248&quot;/&gt;&lt;wsp:rsid wsp:val=&quot;003073F5&quot;/&gt;&lt;wsp:rsid wsp:val=&quot;00307ACC&quot;/&gt;&lt;wsp:rsid wsp:val=&quot;00307BA9&quot;/&gt;&lt;wsp:rsid wsp:val=&quot;00307E5E&quot;/&gt;&lt;wsp:rsid wsp:val=&quot;003100FB&quot;/&gt;&lt;wsp:rsid wsp:val=&quot;0031039F&quot;/&gt;&lt;wsp:rsid wsp:val=&quot;00310499&quot;/&gt;&lt;wsp:rsid wsp:val=&quot;003105D0&quot;/&gt;&lt;wsp:rsid wsp:val=&quot;00311254&quot;/&gt;&lt;wsp:rsid wsp:val=&quot;0031167B&quot;/&gt;&lt;wsp:rsid wsp:val=&quot;00311994&quot;/&gt;&lt;wsp:rsid wsp:val=&quot;00311FB2&quot;/&gt;&lt;wsp:rsid wsp:val=&quot;003123AC&quot;/&gt;&lt;wsp:rsid wsp:val=&quot;00312C17&quot;/&gt;&lt;wsp:rsid wsp:val=&quot;003136DF&quot;/&gt;&lt;wsp:rsid wsp:val=&quot;00313C0D&quot;/&gt;&lt;wsp:rsid wsp:val=&quot;00313DE3&quot;/&gt;&lt;wsp:rsid wsp:val=&quot;003146D8&quot;/&gt;&lt;wsp:rsid wsp:val=&quot;00315701&quot;/&gt;&lt;wsp:rsid wsp:val=&quot;003161B5&quot;/&gt;&lt;wsp:rsid wsp:val=&quot;0031674B&quot;/&gt;&lt;wsp:rsid wsp:val=&quot;003169EC&quot;/&gt;&lt;wsp:rsid wsp:val=&quot;00316B31&quot;/&gt;&lt;wsp:rsid wsp:val=&quot;00317430&quot;/&gt;&lt;wsp:rsid wsp:val=&quot;00317462&quot;/&gt;&lt;wsp:rsid wsp:val=&quot;003179EA&quot;/&gt;&lt;wsp:rsid wsp:val=&quot;003208A9&quot;/&gt;&lt;wsp:rsid wsp:val=&quot;00321393&quot;/&gt;&lt;wsp:rsid wsp:val=&quot;0032156D&quot;/&gt;&lt;wsp:rsid wsp:val=&quot;003219D8&quot;/&gt;&lt;wsp:rsid wsp:val=&quot;00322347&quot;/&gt;&lt;wsp:rsid wsp:val=&quot;003226D5&quot;/&gt;&lt;wsp:rsid wsp:val=&quot;00322F60&quot;/&gt;&lt;wsp:rsid wsp:val=&quot;00323938&quot;/&gt;&lt;wsp:rsid wsp:val=&quot;00323D6C&quot;/&gt;&lt;wsp:rsid wsp:val=&quot;00323F7B&quot;/&gt;&lt;wsp:rsid wsp:val=&quot;00324D66&quot;/&gt;&lt;wsp:rsid wsp:val=&quot;00325AC5&quot;/&gt;&lt;wsp:rsid wsp:val=&quot;00325D44&quot;/&gt;&lt;wsp:rsid wsp:val=&quot;00326432&quot;/&gt;&lt;wsp:rsid wsp:val=&quot;00326C36&quot;/&gt;&lt;wsp:rsid wsp:val=&quot;00326EBA&quot;/&gt;&lt;wsp:rsid wsp:val=&quot;003278F5&quot;/&gt;&lt;wsp:rsid wsp:val=&quot;00331B6A&quot;/&gt;&lt;wsp:rsid wsp:val=&quot;00331BD1&quot;/&gt;&lt;wsp:rsid wsp:val=&quot;00332384&quot;/&gt;&lt;wsp:rsid wsp:val=&quot;0033245F&quot;/&gt;&lt;wsp:rsid wsp:val=&quot;003325A8&quot;/&gt;&lt;wsp:rsid wsp:val=&quot;0033329C&quot;/&gt;&lt;wsp:rsid wsp:val=&quot;00333EFE&quot;/&gt;&lt;wsp:rsid wsp:val=&quot;00334B1A&quot;/&gt;&lt;wsp:rsid wsp:val=&quot;00335104&quot;/&gt;&lt;wsp:rsid wsp:val=&quot;00335212&quot;/&gt;&lt;wsp:rsid wsp:val=&quot;00335991&quot;/&gt;&lt;wsp:rsid wsp:val=&quot;00335D7B&quot;/&gt;&lt;wsp:rsid wsp:val=&quot;00335F05&quot;/&gt;&lt;wsp:rsid wsp:val=&quot;00335FBB&quot;/&gt;&lt;wsp:rsid wsp:val=&quot;00337637&quot;/&gt;&lt;wsp:rsid wsp:val=&quot;0033784B&quot;/&gt;&lt;wsp:rsid wsp:val=&quot;00340184&quot;/&gt;&lt;wsp:rsid wsp:val=&quot;00340303&quot;/&gt;&lt;wsp:rsid wsp:val=&quot;0034055B&quot;/&gt;&lt;wsp:rsid wsp:val=&quot;003412CE&quot;/&gt;&lt;wsp:rsid wsp:val=&quot;00341538&quot;/&gt;&lt;wsp:rsid wsp:val=&quot;003415BB&quot;/&gt;&lt;wsp:rsid wsp:val=&quot;003421A8&quot;/&gt;&lt;wsp:rsid wsp:val=&quot;003423D8&quot;/&gt;&lt;wsp:rsid wsp:val=&quot;0034253C&quot;/&gt;&lt;wsp:rsid wsp:val=&quot;003430B8&quot;/&gt;&lt;wsp:rsid wsp:val=&quot;0034407E&quot;/&gt;&lt;wsp:rsid wsp:val=&quot;00346B42&quot;/&gt;&lt;wsp:rsid wsp:val=&quot;00347968&quot;/&gt;&lt;wsp:rsid wsp:val=&quot;00347A66&quot;/&gt;&lt;wsp:rsid wsp:val=&quot;00347F76&quot;/&gt;&lt;wsp:rsid wsp:val=&quot;00350044&quot;/&gt;&lt;wsp:rsid wsp:val=&quot;003503F8&quot;/&gt;&lt;wsp:rsid wsp:val=&quot;003505C9&quot;/&gt;&lt;wsp:rsid wsp:val=&quot;00350E1B&quot;/&gt;&lt;wsp:rsid wsp:val=&quot;00351095&quot;/&gt;&lt;wsp:rsid wsp:val=&quot;00351457&quot;/&gt;&lt;wsp:rsid wsp:val=&quot;003516DF&quot;/&gt;&lt;wsp:rsid wsp:val=&quot;00351CD7&quot;/&gt;&lt;wsp:rsid wsp:val=&quot;00352215&quot;/&gt;&lt;wsp:rsid wsp:val=&quot;003522EC&quot;/&gt;&lt;wsp:rsid wsp:val=&quot;00352847&quot;/&gt;&lt;wsp:rsid wsp:val=&quot;00352EEA&quot;/&gt;&lt;wsp:rsid wsp:val=&quot;003533D9&quot;/&gt;&lt;wsp:rsid wsp:val=&quot;003541C7&quot;/&gt;&lt;wsp:rsid wsp:val=&quot;0035431F&quot;/&gt;&lt;wsp:rsid wsp:val=&quot;00355097&quot;/&gt;&lt;wsp:rsid wsp:val=&quot;00355E85&quot;/&gt;&lt;wsp:rsid wsp:val=&quot;00356807&quot;/&gt;&lt;wsp:rsid wsp:val=&quot;00356DA0&quot;/&gt;&lt;wsp:rsid wsp:val=&quot;0035703B&quot;/&gt;&lt;wsp:rsid wsp:val=&quot;00360363&quot;/&gt;&lt;wsp:rsid wsp:val=&quot;003608C6&quot;/&gt;&lt;wsp:rsid wsp:val=&quot;00360E30&quot;/&gt;&lt;wsp:rsid wsp:val=&quot;0036116B&quot;/&gt;&lt;wsp:rsid wsp:val=&quot;00361D33&quot;/&gt;&lt;wsp:rsid wsp:val=&quot;003622E8&quot;/&gt;&lt;wsp:rsid wsp:val=&quot;00362B74&quot;/&gt;&lt;wsp:rsid wsp:val=&quot;00363399&quot;/&gt;&lt;wsp:rsid wsp:val=&quot;003637F8&quot;/&gt;&lt;wsp:rsid wsp:val=&quot;00363B49&quot;/&gt;&lt;wsp:rsid wsp:val=&quot;00364D2B&quot;/&gt;&lt;wsp:rsid wsp:val=&quot;0036626A&quot;/&gt;&lt;wsp:rsid wsp:val=&quot;0036676F&quot;/&gt;&lt;wsp:rsid wsp:val=&quot;00366C70&quot;/&gt;&lt;wsp:rsid wsp:val=&quot;00367AD4&quot;/&gt;&lt;wsp:rsid wsp:val=&quot;00367C28&quot;/&gt;&lt;wsp:rsid wsp:val=&quot;003704EE&quot;/&gt;&lt;wsp:rsid wsp:val=&quot;00370B9A&quot;/&gt;&lt;wsp:rsid wsp:val=&quot;003714A2&quot;/&gt;&lt;wsp:rsid wsp:val=&quot;00371892&quot;/&gt;&lt;wsp:rsid wsp:val=&quot;00371CB3&quot;/&gt;&lt;wsp:rsid wsp:val=&quot;003721BF&quot;/&gt;&lt;wsp:rsid wsp:val=&quot;0037224D&quot;/&gt;&lt;wsp:rsid wsp:val=&quot;0037273D&quot;/&gt;&lt;wsp:rsid wsp:val=&quot;00372ED3&quot;/&gt;&lt;wsp:rsid wsp:val=&quot;00373324&quot;/&gt;&lt;wsp:rsid wsp:val=&quot;00373C60&quot;/&gt;&lt;wsp:rsid wsp:val=&quot;00373E85&quot;/&gt;&lt;wsp:rsid wsp:val=&quot;00374506&quot;/&gt;&lt;wsp:rsid wsp:val=&quot;00374932&quot;/&gt;&lt;wsp:rsid wsp:val=&quot;00376327&quot;/&gt;&lt;wsp:rsid wsp:val=&quot;0037633D&quot;/&gt;&lt;wsp:rsid wsp:val=&quot;003767E7&quot;/&gt;&lt;wsp:rsid wsp:val=&quot;0037692E&quot;/&gt;&lt;wsp:rsid wsp:val=&quot;00376BE3&quot;/&gt;&lt;wsp:rsid wsp:val=&quot;00376C40&quot;/&gt;&lt;wsp:rsid wsp:val=&quot;00376E86&quot;/&gt;&lt;wsp:rsid wsp:val=&quot;0037789F&quot;/&gt;&lt;wsp:rsid wsp:val=&quot;00377AE9&quot;/&gt;&lt;wsp:rsid wsp:val=&quot;00380177&quot;/&gt;&lt;wsp:rsid wsp:val=&quot;00380853&quot;/&gt;&lt;wsp:rsid wsp:val=&quot;00381053&quot;/&gt;&lt;wsp:rsid wsp:val=&quot;00381056&quot;/&gt;&lt;wsp:rsid wsp:val=&quot;0038168D&quot;/&gt;&lt;wsp:rsid wsp:val=&quot;003824BF&quot;/&gt;&lt;wsp:rsid wsp:val=&quot;00382E54&quot;/&gt;&lt;wsp:rsid wsp:val=&quot;00383725&quot;/&gt;&lt;wsp:rsid wsp:val=&quot;00385B46&quot;/&gt;&lt;wsp:rsid wsp:val=&quot;00385C46&quot;/&gt;&lt;wsp:rsid wsp:val=&quot;00386191&quot;/&gt;&lt;wsp:rsid wsp:val=&quot;003871A5&quot;/&gt;&lt;wsp:rsid wsp:val=&quot;00387230&quot;/&gt;&lt;wsp:rsid wsp:val=&quot;0038727A&quot;/&gt;&lt;wsp:rsid wsp:val=&quot;003874D9&quot;/&gt;&lt;wsp:rsid wsp:val=&quot;0038754C&quot;/&gt;&lt;wsp:rsid wsp:val=&quot;0039045D&quot;/&gt;&lt;wsp:rsid wsp:val=&quot;0039055E&quot;/&gt;&lt;wsp:rsid wsp:val=&quot;00391310&quot;/&gt;&lt;wsp:rsid wsp:val=&quot;0039231E&quot;/&gt;&lt;wsp:rsid wsp:val=&quot;00392A4A&quot;/&gt;&lt;wsp:rsid wsp:val=&quot;0039382E&quot;/&gt;&lt;wsp:rsid wsp:val=&quot;003949AA&quot;/&gt;&lt;wsp:rsid wsp:val=&quot;003955BA&quot;/&gt;&lt;wsp:rsid wsp:val=&quot;00395A1D&quot;/&gt;&lt;wsp:rsid wsp:val=&quot;00395C8A&quot;/&gt;&lt;wsp:rsid wsp:val=&quot;003971D1&quot;/&gt;&lt;wsp:rsid wsp:val=&quot;003A1655&quot;/&gt;&lt;wsp:rsid wsp:val=&quot;003A1BEE&quot;/&gt;&lt;wsp:rsid wsp:val=&quot;003A218D&quot;/&gt;&lt;wsp:rsid wsp:val=&quot;003A2789&quot;/&gt;&lt;wsp:rsid wsp:val=&quot;003A2DBC&quot;/&gt;&lt;wsp:rsid wsp:val=&quot;003A3310&quot;/&gt;&lt;wsp:rsid wsp:val=&quot;003A3DF1&quot;/&gt;&lt;wsp:rsid wsp:val=&quot;003A42AB&quot;/&gt;&lt;wsp:rsid wsp:val=&quot;003A47F4&quot;/&gt;&lt;wsp:rsid wsp:val=&quot;003A6C97&quot;/&gt;&lt;wsp:rsid wsp:val=&quot;003A7062&quot;/&gt;&lt;wsp:rsid wsp:val=&quot;003A7745&quot;/&gt;&lt;wsp:rsid wsp:val=&quot;003B01ED&quot;/&gt;&lt;wsp:rsid wsp:val=&quot;003B031F&quot;/&gt;&lt;wsp:rsid wsp:val=&quot;003B0873&quot;/&gt;&lt;wsp:rsid wsp:val=&quot;003B1817&quot;/&gt;&lt;wsp:rsid wsp:val=&quot;003B1EA6&quot;/&gt;&lt;wsp:rsid wsp:val=&quot;003B21EF&quot;/&gt;&lt;wsp:rsid wsp:val=&quot;003B2FAA&quot;/&gt;&lt;wsp:rsid wsp:val=&quot;003B6689&quot;/&gt;&lt;wsp:rsid wsp:val=&quot;003B6B12&quot;/&gt;&lt;wsp:rsid wsp:val=&quot;003B716C&quot;/&gt;&lt;wsp:rsid wsp:val=&quot;003C196F&quot;/&gt;&lt;wsp:rsid wsp:val=&quot;003C29DD&quot;/&gt;&lt;wsp:rsid wsp:val=&quot;003C3003&quot;/&gt;&lt;wsp:rsid wsp:val=&quot;003C3900&quot;/&gt;&lt;wsp:rsid wsp:val=&quot;003C4B43&quot;/&gt;&lt;wsp:rsid wsp:val=&quot;003C5267&quot;/&gt;&lt;wsp:rsid wsp:val=&quot;003C6605&quot;/&gt;&lt;wsp:rsid wsp:val=&quot;003C6A44&quot;/&gt;&lt;wsp:rsid wsp:val=&quot;003C6C66&quot;/&gt;&lt;wsp:rsid wsp:val=&quot;003C7191&quot;/&gt;&lt;wsp:rsid wsp:val=&quot;003C7463&quot;/&gt;&lt;wsp:rsid wsp:val=&quot;003D05C1&quot;/&gt;&lt;wsp:rsid wsp:val=&quot;003D0A55&quot;/&gt;&lt;wsp:rsid wsp:val=&quot;003D13AB&quot;/&gt;&lt;wsp:rsid wsp:val=&quot;003D232E&quot;/&gt;&lt;wsp:rsid wsp:val=&quot;003D37FA&quot;/&gt;&lt;wsp:rsid wsp:val=&quot;003D3AA0&quot;/&gt;&lt;wsp:rsid wsp:val=&quot;003D51A7&quot;/&gt;&lt;wsp:rsid wsp:val=&quot;003D5816&quot;/&gt;&lt;wsp:rsid wsp:val=&quot;003D5CDB&quot;/&gt;&lt;wsp:rsid wsp:val=&quot;003D6C92&quot;/&gt;&lt;wsp:rsid wsp:val=&quot;003D7F48&quot;/&gt;&lt;wsp:rsid wsp:val=&quot;003E0EC5&quot;/&gt;&lt;wsp:rsid wsp:val=&quot;003E1062&quot;/&gt;&lt;wsp:rsid wsp:val=&quot;003E11A4&quot;/&gt;&lt;wsp:rsid wsp:val=&quot;003E1EA5&quot;/&gt;&lt;wsp:rsid wsp:val=&quot;003E22AB&quot;/&gt;&lt;wsp:rsid wsp:val=&quot;003E2C57&quot;/&gt;&lt;wsp:rsid wsp:val=&quot;003E47F1&quot;/&gt;&lt;wsp:rsid wsp:val=&quot;003E6142&quot;/&gt;&lt;wsp:rsid wsp:val=&quot;003E7540&quot;/&gt;&lt;wsp:rsid wsp:val=&quot;003E7AFF&quot;/&gt;&lt;wsp:rsid wsp:val=&quot;003F04BB&quot;/&gt;&lt;wsp:rsid wsp:val=&quot;003F2E0A&quot;/&gt;&lt;wsp:rsid wsp:val=&quot;003F3158&quot;/&gt;&lt;wsp:rsid wsp:val=&quot;003F3E86&quot;/&gt;&lt;wsp:rsid wsp:val=&quot;003F4AB3&quot;/&gt;&lt;wsp:rsid wsp:val=&quot;003F51E3&quot;/&gt;&lt;wsp:rsid wsp:val=&quot;003F59F1&quot;/&gt;&lt;wsp:rsid wsp:val=&quot;003F68BA&quot;/&gt;&lt;wsp:rsid wsp:val=&quot;003F6CBB&quot;/&gt;&lt;wsp:rsid wsp:val=&quot;003F6F24&quot;/&gt;&lt;wsp:rsid wsp:val=&quot;003F7B4C&quot;/&gt;&lt;wsp:rsid wsp:val=&quot;003F7B81&quot;/&gt;&lt;wsp:rsid wsp:val=&quot;004009A7&quot;/&gt;&lt;wsp:rsid wsp:val=&quot;00400C74&quot;/&gt;&lt;wsp:rsid wsp:val=&quot;00401EE8&quot;/&gt;&lt;wsp:rsid wsp:val=&quot;004026C1&quot;/&gt;&lt;wsp:rsid wsp:val=&quot;00402CB4&quot;/&gt;&lt;wsp:rsid wsp:val=&quot;00403EA6&quot;/&gt;&lt;wsp:rsid wsp:val=&quot;004040CE&quot;/&gt;&lt;wsp:rsid wsp:val=&quot;0040410C&quot;/&gt;&lt;wsp:rsid wsp:val=&quot;004041EE&quot;/&gt;&lt;wsp:rsid wsp:val=&quot;00404F27&quot;/&gt;&lt;wsp:rsid wsp:val=&quot;00404FF8&quot;/&gt;&lt;wsp:rsid wsp:val=&quot;004057A3&quot;/&gt;&lt;wsp:rsid wsp:val=&quot;0040673A&quot;/&gt;&lt;wsp:rsid wsp:val=&quot;00406748&quot;/&gt;&lt;wsp:rsid wsp:val=&quot;00406AB5&quot;/&gt;&lt;wsp:rsid wsp:val=&quot;004074C0&quot;/&gt;&lt;wsp:rsid wsp:val=&quot;00407DED&quot;/&gt;&lt;wsp:rsid wsp:val=&quot;00407ED5&quot;/&gt;&lt;wsp:rsid wsp:val=&quot;004102A6&quot;/&gt;&lt;wsp:rsid wsp:val=&quot;004102F4&quot;/&gt;&lt;wsp:rsid wsp:val=&quot;00411915&quot;/&gt;&lt;wsp:rsid wsp:val=&quot;004119D3&quot;/&gt;&lt;wsp:rsid wsp:val=&quot;00411E99&quot;/&gt;&lt;wsp:rsid wsp:val=&quot;00413C04&quot;/&gt;&lt;wsp:rsid wsp:val=&quot;004150F2&quot;/&gt;&lt;wsp:rsid wsp:val=&quot;00415882&quot;/&gt;&lt;wsp:rsid wsp:val=&quot;004162ED&quot;/&gt;&lt;wsp:rsid wsp:val=&quot;00416424&quot;/&gt;&lt;wsp:rsid wsp:val=&quot;00416B84&quot;/&gt;&lt;wsp:rsid wsp:val=&quot;00416F0A&quot;/&gt;&lt;wsp:rsid wsp:val=&quot;00416F93&quot;/&gt;&lt;wsp:rsid wsp:val=&quot;004200B3&quot;/&gt;&lt;wsp:rsid wsp:val=&quot;00421364&quot;/&gt;&lt;wsp:rsid wsp:val=&quot;004218C3&quot;/&gt;&lt;wsp:rsid wsp:val=&quot;00422350&quot;/&gt;&lt;wsp:rsid wsp:val=&quot;0042252E&quot;/&gt;&lt;wsp:rsid wsp:val=&quot;00422591&quot;/&gt;&lt;wsp:rsid wsp:val=&quot;00422AD7&quot;/&gt;&lt;wsp:rsid wsp:val=&quot;0042351B&quot;/&gt;&lt;wsp:rsid wsp:val=&quot;00423A69&quot;/&gt;&lt;wsp:rsid wsp:val=&quot;004241F6&quot;/&gt;&lt;wsp:rsid wsp:val=&quot;00424659&quot;/&gt;&lt;wsp:rsid wsp:val=&quot;004301A0&quot;/&gt;&lt;wsp:rsid wsp:val=&quot;0043077C&quot;/&gt;&lt;wsp:rsid wsp:val=&quot;0043094E&quot;/&gt;&lt;wsp:rsid wsp:val=&quot;00430C54&quot;/&gt;&lt;wsp:rsid wsp:val=&quot;00431154&quot;/&gt;&lt;wsp:rsid wsp:val=&quot;00431535&quot;/&gt;&lt;wsp:rsid wsp:val=&quot;004315DD&quot;/&gt;&lt;wsp:rsid wsp:val=&quot;00432265&quot;/&gt;&lt;wsp:rsid wsp:val=&quot;00432B60&quot;/&gt;&lt;wsp:rsid wsp:val=&quot;00432FCF&quot;/&gt;&lt;wsp:rsid wsp:val=&quot;00434357&quot;/&gt;&lt;wsp:rsid wsp:val=&quot;00434683&quot;/&gt;&lt;wsp:rsid wsp:val=&quot;00434765&quot;/&gt;&lt;wsp:rsid wsp:val=&quot;00436448&quot;/&gt;&lt;wsp:rsid wsp:val=&quot;00436FE7&quot;/&gt;&lt;wsp:rsid wsp:val=&quot;00437C54&quot;/&gt;&lt;wsp:rsid wsp:val=&quot;00440647&quot;/&gt;&lt;wsp:rsid wsp:val=&quot;00440CF7&quot;/&gt;&lt;wsp:rsid wsp:val=&quot;00440EC1&quot;/&gt;&lt;wsp:rsid wsp:val=&quot;00441387&quot;/&gt;&lt;wsp:rsid wsp:val=&quot;00442986&quot;/&gt;&lt;wsp:rsid wsp:val=&quot;004438D2&quot;/&gt;&lt;wsp:rsid wsp:val=&quot;00443F18&quot;/&gt;&lt;wsp:rsid wsp:val=&quot;00444AE0&quot;/&gt;&lt;wsp:rsid wsp:val=&quot;004456DE&quot;/&gt;&lt;wsp:rsid wsp:val=&quot;00446CA1&quot;/&gt;&lt;wsp:rsid wsp:val=&quot;00447161&quot;/&gt;&lt;wsp:rsid wsp:val=&quot;00447B07&quot;/&gt;&lt;wsp:rsid wsp:val=&quot;00447C22&quot;/&gt;&lt;wsp:rsid wsp:val=&quot;004500C6&quot;/&gt;&lt;wsp:rsid wsp:val=&quot;004511EB&quot;/&gt;&lt;wsp:rsid wsp:val=&quot;00451DF5&quot;/&gt;&lt;wsp:rsid wsp:val=&quot;00452084&quot;/&gt;&lt;wsp:rsid wsp:val=&quot;004521CF&quot;/&gt;&lt;wsp:rsid wsp:val=&quot;0045263B&quot;/&gt;&lt;wsp:rsid wsp:val=&quot;00454CD6&quot;/&gt;&lt;wsp:rsid wsp:val=&quot;00454D04&quot;/&gt;&lt;wsp:rsid wsp:val=&quot;00455408&quot;/&gt;&lt;wsp:rsid wsp:val=&quot;004554B5&quot;/&gt;&lt;wsp:rsid wsp:val=&quot;004558C1&quot;/&gt;&lt;wsp:rsid wsp:val=&quot;00456805&quot;/&gt;&lt;wsp:rsid wsp:val=&quot;00456DE9&quot;/&gt;&lt;wsp:rsid wsp:val=&quot;00456E1A&quot;/&gt;&lt;wsp:rsid wsp:val=&quot;00457F11&quot;/&gt;&lt;wsp:rsid wsp:val=&quot;00460818&quot;/&gt;&lt;wsp:rsid wsp:val=&quot;00460B70&quot;/&gt;&lt;wsp:rsid wsp:val=&quot;00460C83&quot;/&gt;&lt;wsp:rsid wsp:val=&quot;00461638&quot;/&gt;&lt;wsp:rsid wsp:val=&quot;00461A03&quot;/&gt;&lt;wsp:rsid wsp:val=&quot;00463640&quot;/&gt;&lt;wsp:rsid wsp:val=&quot;00464C4E&quot;/&gt;&lt;wsp:rsid wsp:val=&quot;004658EE&quot;/&gt;&lt;wsp:rsid wsp:val=&quot;00466C97&quot;/&gt;&lt;wsp:rsid wsp:val=&quot;00466D7D&quot;/&gt;&lt;wsp:rsid wsp:val=&quot;0046701F&quot;/&gt;&lt;wsp:rsid wsp:val=&quot;004673BC&quot;/&gt;&lt;wsp:rsid wsp:val=&quot;00467416&quot;/&gt;&lt;wsp:rsid wsp:val=&quot;004676F2&quot;/&gt;&lt;wsp:rsid wsp:val=&quot;0046795F&quot;/&gt;&lt;wsp:rsid wsp:val=&quot;00467B00&quot;/&gt;&lt;wsp:rsid wsp:val=&quot;00470FA0&quot;/&gt;&lt;wsp:rsid wsp:val=&quot;004714DD&quot;/&gt;&lt;wsp:rsid wsp:val=&quot;004718F7&quot;/&gt;&lt;wsp:rsid wsp:val=&quot;0047193B&quot;/&gt;&lt;wsp:rsid wsp:val=&quot;00471E6E&quot;/&gt;&lt;wsp:rsid wsp:val=&quot;004726BA&quot;/&gt;&lt;wsp:rsid wsp:val=&quot;0047323D&quot;/&gt;&lt;wsp:rsid wsp:val=&quot;00474EB8&quot;/&gt;&lt;wsp:rsid wsp:val=&quot;00475B64&quot;/&gt;&lt;wsp:rsid wsp:val=&quot;004772BA&quot;/&gt;&lt;wsp:rsid wsp:val=&quot;004775B5&quot;/&gt;&lt;wsp:rsid wsp:val=&quot;0048022F&quot;/&gt;&lt;wsp:rsid wsp:val=&quot;004802BF&quot;/&gt;&lt;wsp:rsid wsp:val=&quot;004809C2&quot;/&gt;&lt;wsp:rsid wsp:val=&quot;00480A7C&quot;/&gt;&lt;wsp:rsid wsp:val=&quot;00480FE8&quot;/&gt;&lt;wsp:rsid wsp:val=&quot;0048116A&quot;/&gt;&lt;wsp:rsid wsp:val=&quot;00481A71&quot;/&gt;&lt;wsp:rsid wsp:val=&quot;004839E6&quot;/&gt;&lt;wsp:rsid wsp:val=&quot;00483DB2&quot;/&gt;&lt;wsp:rsid wsp:val=&quot;00484F78&quot;/&gt;&lt;wsp:rsid wsp:val=&quot;004851B1&quot;/&gt;&lt;wsp:rsid wsp:val=&quot;00485D0D&quot;/&gt;&lt;wsp:rsid wsp:val=&quot;00486575&quot;/&gt;&lt;wsp:rsid wsp:val=&quot;004869B6&quot;/&gt;&lt;wsp:rsid wsp:val=&quot;004869CE&quot;/&gt;&lt;wsp:rsid wsp:val=&quot;004903A9&quot;/&gt;&lt;wsp:rsid wsp:val=&quot;004904A4&quot;/&gt;&lt;wsp:rsid wsp:val=&quot;00490892&quot;/&gt;&lt;wsp:rsid wsp:val=&quot;004935E0&quot;/&gt;&lt;wsp:rsid wsp:val=&quot;00494B87&quot;/&gt;&lt;wsp:rsid wsp:val=&quot;00494E94&quot;/&gt;&lt;wsp:rsid wsp:val=&quot;00495050&quot;/&gt;&lt;wsp:rsid wsp:val=&quot;00495424&quot;/&gt;&lt;wsp:rsid wsp:val=&quot;004959EF&quot;/&gt;&lt;wsp:rsid wsp:val=&quot;00495A0B&quot;/&gt;&lt;wsp:rsid wsp:val=&quot;00495BD5&quot;/&gt;&lt;wsp:rsid wsp:val=&quot;00496837&quot;/&gt;&lt;wsp:rsid wsp:val=&quot;00496D59&quot;/&gt;&lt;wsp:rsid wsp:val=&quot;004978EA&quot;/&gt;&lt;wsp:rsid wsp:val=&quot;00497B59&quot;/&gt;&lt;wsp:rsid wsp:val=&quot;00497DC0&quot;/&gt;&lt;wsp:rsid wsp:val=&quot;004A07CC&quot;/&gt;&lt;wsp:rsid wsp:val=&quot;004A0A5B&quot;/&gt;&lt;wsp:rsid wsp:val=&quot;004A13F5&quot;/&gt;&lt;wsp:rsid wsp:val=&quot;004A1E4E&quot;/&gt;&lt;wsp:rsid wsp:val=&quot;004A2A42&quot;/&gt;&lt;wsp:rsid wsp:val=&quot;004A3086&quot;/&gt;&lt;wsp:rsid wsp:val=&quot;004A3A92&quot;/&gt;&lt;wsp:rsid wsp:val=&quot;004A3DF3&quot;/&gt;&lt;wsp:rsid wsp:val=&quot;004A4C8A&quot;/&gt;&lt;wsp:rsid wsp:val=&quot;004A57C3&quot;/&gt;&lt;wsp:rsid wsp:val=&quot;004A59B6&quot;/&gt;&lt;wsp:rsid wsp:val=&quot;004A5B64&quot;/&gt;&lt;wsp:rsid wsp:val=&quot;004A60AD&quot;/&gt;&lt;wsp:rsid wsp:val=&quot;004A6973&quot;/&gt;&lt;wsp:rsid wsp:val=&quot;004A6B19&quot;/&gt;&lt;wsp:rsid wsp:val=&quot;004A6C0B&quot;/&gt;&lt;wsp:rsid wsp:val=&quot;004A6C44&quot;/&gt;&lt;wsp:rsid wsp:val=&quot;004A7498&quot;/&gt;&lt;wsp:rsid wsp:val=&quot;004A76A4&quot;/&gt;&lt;wsp:rsid wsp:val=&quot;004A7AE6&quot;/&gt;&lt;wsp:rsid wsp:val=&quot;004B130B&quot;/&gt;&lt;wsp:rsid wsp:val=&quot;004B1DEB&quot;/&gt;&lt;wsp:rsid wsp:val=&quot;004B1E8F&quot;/&gt;&lt;wsp:rsid wsp:val=&quot;004B20CA&quot;/&gt;&lt;wsp:rsid wsp:val=&quot;004B2C31&quot;/&gt;&lt;wsp:rsid wsp:val=&quot;004B33C9&quot;/&gt;&lt;wsp:rsid wsp:val=&quot;004B33E8&quot;/&gt;&lt;wsp:rsid wsp:val=&quot;004B3D17&quot;/&gt;&lt;wsp:rsid wsp:val=&quot;004B44F1&quot;/&gt;&lt;wsp:rsid wsp:val=&quot;004B47C9&quot;/&gt;&lt;wsp:rsid wsp:val=&quot;004B4F15&quot;/&gt;&lt;wsp:rsid wsp:val=&quot;004B4FD5&quot;/&gt;&lt;wsp:rsid wsp:val=&quot;004B504A&quot;/&gt;&lt;wsp:rsid wsp:val=&quot;004B5485&quot;/&gt;&lt;wsp:rsid wsp:val=&quot;004B59B4&quot;/&gt;&lt;wsp:rsid wsp:val=&quot;004B5E12&quot;/&gt;&lt;wsp:rsid wsp:val=&quot;004B61B6&quot;/&gt;&lt;wsp:rsid wsp:val=&quot;004B64A5&quot;/&gt;&lt;wsp:rsid wsp:val=&quot;004B685D&quot;/&gt;&lt;wsp:rsid wsp:val=&quot;004B693B&quot;/&gt;&lt;wsp:rsid wsp:val=&quot;004B77B1&quot;/&gt;&lt;wsp:rsid wsp:val=&quot;004C0436&quot;/&gt;&lt;wsp:rsid wsp:val=&quot;004C0526&quot;/&gt;&lt;wsp:rsid wsp:val=&quot;004C08C0&quot;/&gt;&lt;wsp:rsid wsp:val=&quot;004C0B91&quot;/&gt;&lt;wsp:rsid wsp:val=&quot;004C2A94&quot;/&gt;&lt;wsp:rsid wsp:val=&quot;004C3559&quot;/&gt;&lt;wsp:rsid wsp:val=&quot;004C3C1C&quot;/&gt;&lt;wsp:rsid wsp:val=&quot;004C3C9C&quot;/&gt;&lt;wsp:rsid wsp:val=&quot;004C4054&quot;/&gt;&lt;wsp:rsid wsp:val=&quot;004C53B3&quot;/&gt;&lt;wsp:rsid wsp:val=&quot;004C54B8&quot;/&gt;&lt;wsp:rsid wsp:val=&quot;004C5644&quot;/&gt;&lt;wsp:rsid wsp:val=&quot;004C5764&quot;/&gt;&lt;wsp:rsid wsp:val=&quot;004C6CDA&quot;/&gt;&lt;wsp:rsid wsp:val=&quot;004C7159&quot;/&gt;&lt;wsp:rsid wsp:val=&quot;004C769F&quot;/&gt;&lt;wsp:rsid wsp:val=&quot;004C7A48&quot;/&gt;&lt;wsp:rsid wsp:val=&quot;004D06CD&quot;/&gt;&lt;wsp:rsid wsp:val=&quot;004D0B97&quot;/&gt;&lt;wsp:rsid wsp:val=&quot;004D1B23&quot;/&gt;&lt;wsp:rsid wsp:val=&quot;004D1CF9&quot;/&gt;&lt;wsp:rsid wsp:val=&quot;004D1D17&quot;/&gt;&lt;wsp:rsid wsp:val=&quot;004D251B&quot;/&gt;&lt;wsp:rsid wsp:val=&quot;004D289D&quot;/&gt;&lt;wsp:rsid wsp:val=&quot;004D2C20&quot;/&gt;&lt;wsp:rsid wsp:val=&quot;004D2EEE&quot;/&gt;&lt;wsp:rsid wsp:val=&quot;004D5059&quot;/&gt;&lt;wsp:rsid wsp:val=&quot;004D5642&quot;/&gt;&lt;wsp:rsid wsp:val=&quot;004D59CE&quot;/&gt;&lt;wsp:rsid wsp:val=&quot;004D5A8B&quot;/&gt;&lt;wsp:rsid wsp:val=&quot;004D6588&quot;/&gt;&lt;wsp:rsid wsp:val=&quot;004D7781&quot;/&gt;&lt;wsp:rsid wsp:val=&quot;004E0994&quot;/&gt;&lt;wsp:rsid wsp:val=&quot;004E39B8&quot;/&gt;&lt;wsp:rsid wsp:val=&quot;004E39CD&quot;/&gt;&lt;wsp:rsid wsp:val=&quot;004E3C45&quot;/&gt;&lt;wsp:rsid wsp:val=&quot;004E3F47&quot;/&gt;&lt;wsp:rsid wsp:val=&quot;004E4259&quot;/&gt;&lt;wsp:rsid wsp:val=&quot;004E44FD&quot;/&gt;&lt;wsp:rsid wsp:val=&quot;004E45F5&quot;/&gt;&lt;wsp:rsid wsp:val=&quot;004E4DAF&quot;/&gt;&lt;wsp:rsid wsp:val=&quot;004E5AEE&quot;/&gt;&lt;wsp:rsid wsp:val=&quot;004E5E8F&quot;/&gt;&lt;wsp:rsid wsp:val=&quot;004E5F29&quot;/&gt;&lt;wsp:rsid wsp:val=&quot;004E61D7&quot;/&gt;&lt;wsp:rsid wsp:val=&quot;004E6416&quot;/&gt;&lt;wsp:rsid wsp:val=&quot;004E6AEF&quot;/&gt;&lt;wsp:rsid wsp:val=&quot;004E6B3B&quot;/&gt;&lt;wsp:rsid wsp:val=&quot;004E7225&quot;/&gt;&lt;wsp:rsid wsp:val=&quot;004E739E&quot;/&gt;&lt;wsp:rsid wsp:val=&quot;004E7464&quot;/&gt;&lt;wsp:rsid wsp:val=&quot;004E7A68&quot;/&gt;&lt;wsp:rsid wsp:val=&quot;004F0AA1&quot;/&gt;&lt;wsp:rsid wsp:val=&quot;004F0F75&quot;/&gt;&lt;wsp:rsid wsp:val=&quot;004F22DB&quot;/&gt;&lt;wsp:rsid wsp:val=&quot;004F2ECF&quot;/&gt;&lt;wsp:rsid wsp:val=&quot;004F330D&quot;/&gt;&lt;wsp:rsid wsp:val=&quot;004F362C&quot;/&gt;&lt;wsp:rsid wsp:val=&quot;004F51EB&quot;/&gt;&lt;wsp:rsid wsp:val=&quot;004F5305&quot;/&gt;&lt;wsp:rsid wsp:val=&quot;004F5853&quot;/&gt;&lt;wsp:rsid wsp:val=&quot;004F6215&quot;/&gt;&lt;wsp:rsid wsp:val=&quot;004F66CA&quot;/&gt;&lt;wsp:rsid wsp:val=&quot;004F785B&quot;/&gt;&lt;wsp:rsid wsp:val=&quot;004F7EC0&quot;/&gt;&lt;wsp:rsid wsp:val=&quot;005006BC&quot;/&gt;&lt;wsp:rsid wsp:val=&quot;0050077D&quot;/&gt;&lt;wsp:rsid wsp:val=&quot;0050078F&quot;/&gt;&lt;wsp:rsid wsp:val=&quot;00501E9E&quot;/&gt;&lt;wsp:rsid wsp:val=&quot;00501FD8&quot;/&gt;&lt;wsp:rsid wsp:val=&quot;00502805&quot;/&gt;&lt;wsp:rsid wsp:val=&quot;0050306B&quot;/&gt;&lt;wsp:rsid wsp:val=&quot;005033D6&quot;/&gt;&lt;wsp:rsid wsp:val=&quot;00503F29&quot;/&gt;&lt;wsp:rsid wsp:val=&quot;00503FD4&quot;/&gt;&lt;wsp:rsid wsp:val=&quot;005040EE&quot;/&gt;&lt;wsp:rsid wsp:val=&quot;005048AE&quot;/&gt;&lt;wsp:rsid wsp:val=&quot;00504C0B&quot;/&gt;&lt;wsp:rsid wsp:val=&quot;0050551A&quot;/&gt;&lt;wsp:rsid wsp:val=&quot;005055FA&quot;/&gt;&lt;wsp:rsid wsp:val=&quot;00505E59&quot;/&gt;&lt;wsp:rsid wsp:val=&quot;0050658F&quot;/&gt;&lt;wsp:rsid wsp:val=&quot;00506AAA&quot;/&gt;&lt;wsp:rsid wsp:val=&quot;00506D3F&quot;/&gt;&lt;wsp:rsid wsp:val=&quot;005074BF&quot;/&gt;&lt;wsp:rsid wsp:val=&quot;00507924&quot;/&gt;&lt;wsp:rsid wsp:val=&quot;005103B3&quot;/&gt;&lt;wsp:rsid wsp:val=&quot;00510A25&quot;/&gt;&lt;wsp:rsid wsp:val=&quot;00511045&quot;/&gt;&lt;wsp:rsid wsp:val=&quot;00511A2E&quot;/&gt;&lt;wsp:rsid wsp:val=&quot;00511C27&quot;/&gt;&lt;wsp:rsid wsp:val=&quot;00512084&quot;/&gt;&lt;wsp:rsid wsp:val=&quot;0051226A&quot;/&gt;&lt;wsp:rsid wsp:val=&quot;00512366&quot;/&gt;&lt;wsp:rsid wsp:val=&quot;00513EB7&quot;/&gt;&lt;wsp:rsid wsp:val=&quot;0051401F&quot;/&gt;&lt;wsp:rsid wsp:val=&quot;00514A94&quot;/&gt;&lt;wsp:rsid wsp:val=&quot;00514A95&quot;/&gt;&lt;wsp:rsid wsp:val=&quot;00514C8A&quot;/&gt;&lt;wsp:rsid wsp:val=&quot;00516B8C&quot;/&gt;&lt;wsp:rsid wsp:val=&quot;00516E6C&quot;/&gt;&lt;wsp:rsid wsp:val=&quot;0051763F&quot;/&gt;&lt;wsp:rsid wsp:val=&quot;00517973&quot;/&gt;&lt;wsp:rsid wsp:val=&quot;00517D90&quot;/&gt;&lt;wsp:rsid wsp:val=&quot;00520124&quot;/&gt;&lt;wsp:rsid wsp:val=&quot;005209F3&quot;/&gt;&lt;wsp:rsid wsp:val=&quot;0052154E&quot;/&gt;&lt;wsp:rsid wsp:val=&quot;00521AC4&quot;/&gt;&lt;wsp:rsid wsp:val=&quot;00522034&quot;/&gt;&lt;wsp:rsid wsp:val=&quot;0052225A&quot;/&gt;&lt;wsp:rsid wsp:val=&quot;0052274A&quot;/&gt;&lt;wsp:rsid wsp:val=&quot;0052306E&quot;/&gt;&lt;wsp:rsid wsp:val=&quot;005237B7&quot;/&gt;&lt;wsp:rsid wsp:val=&quot;00523941&quot;/&gt;&lt;wsp:rsid wsp:val=&quot;00524133&quot;/&gt;&lt;wsp:rsid wsp:val=&quot;00524467&quot;/&gt;&lt;wsp:rsid wsp:val=&quot;00526783&quot;/&gt;&lt;wsp:rsid wsp:val=&quot;00526F23&quot;/&gt;&lt;wsp:rsid wsp:val=&quot;00526F95&quot;/&gt;&lt;wsp:rsid wsp:val=&quot;00527255&quot;/&gt;&lt;wsp:rsid wsp:val=&quot;005276F8&quot;/&gt;&lt;wsp:rsid wsp:val=&quot;0053044A&quot;/&gt;&lt;wsp:rsid wsp:val=&quot;0053072D&quot;/&gt;&lt;wsp:rsid wsp:val=&quot;00530CCC&quot;/&gt;&lt;wsp:rsid wsp:val=&quot;005311A7&quot;/&gt;&lt;wsp:rsid wsp:val=&quot;005313E8&quot;/&gt;&lt;wsp:rsid wsp:val=&quot;00531CE4&quot;/&gt;&lt;wsp:rsid wsp:val=&quot;00532F43&quot;/&gt;&lt;wsp:rsid wsp:val=&quot;005361D6&quot;/&gt;&lt;wsp:rsid wsp:val=&quot;0053623F&quot;/&gt;&lt;wsp:rsid wsp:val=&quot;00536B7A&quot;/&gt;&lt;wsp:rsid wsp:val=&quot;00536CD1&quot;/&gt;&lt;wsp:rsid wsp:val=&quot;00536D36&quot;/&gt;&lt;wsp:rsid wsp:val=&quot;005376BA&quot;/&gt;&lt;wsp:rsid wsp:val=&quot;00537910&quot;/&gt;&lt;wsp:rsid wsp:val=&quot;005416C4&quot;/&gt;&lt;wsp:rsid wsp:val=&quot;00541969&quot;/&gt;&lt;wsp:rsid wsp:val=&quot;00541E71&quot;/&gt;&lt;wsp:rsid wsp:val=&quot;00541F10&quot;/&gt;&lt;wsp:rsid wsp:val=&quot;005421CB&quot;/&gt;&lt;wsp:rsid wsp:val=&quot;005423F5&quot;/&gt;&lt;wsp:rsid wsp:val=&quot;00542EB7&quot;/&gt;&lt;wsp:rsid wsp:val=&quot;00543232&quot;/&gt;&lt;wsp:rsid wsp:val=&quot;00543489&quot;/&gt;&lt;wsp:rsid wsp:val=&quot;00543641&quot;/&gt;&lt;wsp:rsid wsp:val=&quot;005449B7&quot;/&gt;&lt;wsp:rsid wsp:val=&quot;00544A27&quot;/&gt;&lt;wsp:rsid wsp:val=&quot;00545118&quot;/&gt;&lt;wsp:rsid wsp:val=&quot;00545665&quot;/&gt;&lt;wsp:rsid wsp:val=&quot;00545D3F&quot;/&gt;&lt;wsp:rsid wsp:val=&quot;00545F8F&quot;/&gt;&lt;wsp:rsid wsp:val=&quot;00546330&quot;/&gt;&lt;wsp:rsid wsp:val=&quot;0054677B&quot;/&gt;&lt;wsp:rsid wsp:val=&quot;00550463&quot;/&gt;&lt;wsp:rsid wsp:val=&quot;00550D26&quot;/&gt;&lt;wsp:rsid wsp:val=&quot;00551953&quot;/&gt;&lt;wsp:rsid wsp:val=&quot;005523ED&quot;/&gt;&lt;wsp:rsid wsp:val=&quot;0055256C&quot;/&gt;&lt;wsp:rsid wsp:val=&quot;0055467B&quot;/&gt;&lt;wsp:rsid wsp:val=&quot;00554792&quot;/&gt;&lt;wsp:rsid wsp:val=&quot;005556D3&quot;/&gt;&lt;wsp:rsid wsp:val=&quot;005559DF&quot;/&gt;&lt;wsp:rsid wsp:val=&quot;00555F26&quot;/&gt;&lt;wsp:rsid wsp:val=&quot;00556598&quot;/&gt;&lt;wsp:rsid wsp:val=&quot;00556EB3&quot;/&gt;&lt;wsp:rsid wsp:val=&quot;00557811&quot;/&gt;&lt;wsp:rsid wsp:val=&quot;005579D2&quot;/&gt;&lt;wsp:rsid wsp:val=&quot;00557CF8&quot;/&gt;&lt;wsp:rsid wsp:val=&quot;00560953&quot;/&gt;&lt;wsp:rsid wsp:val=&quot;005610A3&quot;/&gt;&lt;wsp:rsid wsp:val=&quot;00561135&quot;/&gt;&lt;wsp:rsid wsp:val=&quot;00561BDA&quot;/&gt;&lt;wsp:rsid wsp:val=&quot;0056217C&quot;/&gt;&lt;wsp:rsid wsp:val=&quot;00563183&quot;/&gt;&lt;wsp:rsid wsp:val=&quot;00563702&quot;/&gt;&lt;wsp:rsid wsp:val=&quot;00563A74&quot;/&gt;&lt;wsp:rsid wsp:val=&quot;00563BCA&quot;/&gt;&lt;wsp:rsid wsp:val=&quot;005652C8&quot;/&gt;&lt;wsp:rsid wsp:val=&quot;005656E7&quot;/&gt;&lt;wsp:rsid wsp:val=&quot;00565BF0&quot;/&gt;&lt;wsp:rsid wsp:val=&quot;005665B6&quot;/&gt;&lt;wsp:rsid wsp:val=&quot;00566784&quot;/&gt;&lt;wsp:rsid wsp:val=&quot;0056727A&quot;/&gt;&lt;wsp:rsid wsp:val=&quot;00567A66&quot;/&gt;&lt;wsp:rsid wsp:val=&quot;00571001&quot;/&gt;&lt;wsp:rsid wsp:val=&quot;005714EE&quot;/&gt;&lt;wsp:rsid wsp:val=&quot;00571878&quot;/&gt;&lt;wsp:rsid wsp:val=&quot;00571FFF&quot;/&gt;&lt;wsp:rsid wsp:val=&quot;00572AE6&quot;/&gt;&lt;wsp:rsid wsp:val=&quot;00572F1A&quot;/&gt;&lt;wsp:rsid wsp:val=&quot;00573C58&quot;/&gt;&lt;wsp:rsid wsp:val=&quot;00573CE9&quot;/&gt;&lt;wsp:rsid wsp:val=&quot;00574369&quot;/&gt;&lt;wsp:rsid wsp:val=&quot;00574506&quot;/&gt;&lt;wsp:rsid wsp:val=&quot;00574C8A&quot;/&gt;&lt;wsp:rsid wsp:val=&quot;00574DCE&quot;/&gt;&lt;wsp:rsid wsp:val=&quot;00574FF7&quot;/&gt;&lt;wsp:rsid wsp:val=&quot;00575D01&quot;/&gt;&lt;wsp:rsid wsp:val=&quot;005771FE&quot;/&gt;&lt;wsp:rsid wsp:val=&quot;00577AD7&quot;/&gt;&lt;wsp:rsid wsp:val=&quot;0058014D&quot;/&gt;&lt;wsp:rsid wsp:val=&quot;005809C8&quot;/&gt;&lt;wsp:rsid wsp:val=&quot;00580E9C&quot;/&gt;&lt;wsp:rsid wsp:val=&quot;005815CA&quot;/&gt;&lt;wsp:rsid wsp:val=&quot;0058185E&quot;/&gt;&lt;wsp:rsid wsp:val=&quot;00581A4B&quot;/&gt;&lt;wsp:rsid wsp:val=&quot;0058422D&quot;/&gt;&lt;wsp:rsid wsp:val=&quot;0058455B&quot;/&gt;&lt;wsp:rsid wsp:val=&quot;00584DE0&quot;/&gt;&lt;wsp:rsid wsp:val=&quot;00585281&quot;/&gt;&lt;wsp:rsid wsp:val=&quot;00586CDC&quot;/&gt;&lt;wsp:rsid wsp:val=&quot;00587453&quot;/&gt;&lt;wsp:rsid wsp:val=&quot;0058767A&quot;/&gt;&lt;wsp:rsid wsp:val=&quot;005902AB&quot;/&gt;&lt;wsp:rsid wsp:val=&quot;00590483&quot;/&gt;&lt;wsp:rsid wsp:val=&quot;0059180B&quot;/&gt;&lt;wsp:rsid wsp:val=&quot;0059185A&quot;/&gt;&lt;wsp:rsid wsp:val=&quot;00591F84&quot;/&gt;&lt;wsp:rsid wsp:val=&quot;00592595&quot;/&gt;&lt;wsp:rsid wsp:val=&quot;005942E0&quot;/&gt;&lt;wsp:rsid wsp:val=&quot;00594425&quot;/&gt;&lt;wsp:rsid wsp:val=&quot;005947FF&quot;/&gt;&lt;wsp:rsid wsp:val=&quot;00595EE1&quot;/&gt;&lt;wsp:rsid wsp:val=&quot;0059631A&quot;/&gt;&lt;wsp:rsid wsp:val=&quot;005966FA&quot;/&gt;&lt;wsp:rsid wsp:val=&quot;00596E42&quot;/&gt;&lt;wsp:rsid wsp:val=&quot;00597EBD&quot;/&gt;&lt;wsp:rsid wsp:val=&quot;005A12FB&quot;/&gt;&lt;wsp:rsid wsp:val=&quot;005A18B3&quot;/&gt;&lt;wsp:rsid wsp:val=&quot;005A238D&quot;/&gt;&lt;wsp:rsid wsp:val=&quot;005A27CD&quot;/&gt;&lt;wsp:rsid wsp:val=&quot;005A2BFC&quot;/&gt;&lt;wsp:rsid wsp:val=&quot;005A5BAA&quot;/&gt;&lt;wsp:rsid wsp:val=&quot;005A68DF&quot;/&gt;&lt;wsp:rsid wsp:val=&quot;005A6A7B&quot;/&gt;&lt;wsp:rsid wsp:val=&quot;005A79E5&quot;/&gt;&lt;wsp:rsid wsp:val=&quot;005B0022&quot;/&gt;&lt;wsp:rsid wsp:val=&quot;005B00CC&quot;/&gt;&lt;wsp:rsid wsp:val=&quot;005B02F0&quot;/&gt;&lt;wsp:rsid wsp:val=&quot;005B09F3&quot;/&gt;&lt;wsp:rsid wsp:val=&quot;005B0FF4&quot;/&gt;&lt;wsp:rsid wsp:val=&quot;005B1544&quot;/&gt;&lt;wsp:rsid wsp:val=&quot;005B2319&quot;/&gt;&lt;wsp:rsid wsp:val=&quot;005B2A05&quot;/&gt;&lt;wsp:rsid wsp:val=&quot;005B34BF&quot;/&gt;&lt;wsp:rsid wsp:val=&quot;005B39EC&quot;/&gt;&lt;wsp:rsid wsp:val=&quot;005B39F6&quot;/&gt;&lt;wsp:rsid wsp:val=&quot;005B3B4B&quot;/&gt;&lt;wsp:rsid wsp:val=&quot;005B4828&quot;/&gt;&lt;wsp:rsid wsp:val=&quot;005B4986&quot;/&gt;&lt;wsp:rsid wsp:val=&quot;005B5476&quot;/&gt;&lt;wsp:rsid wsp:val=&quot;005B580A&quot;/&gt;&lt;wsp:rsid wsp:val=&quot;005B5999&quot;/&gt;&lt;wsp:rsid wsp:val=&quot;005B5AD1&quot;/&gt;&lt;wsp:rsid wsp:val=&quot;005B6063&quot;/&gt;&lt;wsp:rsid wsp:val=&quot;005B746B&quot;/&gt;&lt;wsp:rsid wsp:val=&quot;005B7AF5&quot;/&gt;&lt;wsp:rsid wsp:val=&quot;005C08BE&quot;/&gt;&lt;wsp:rsid wsp:val=&quot;005C15F9&quot;/&gt;&lt;wsp:rsid wsp:val=&quot;005C20B0&quot;/&gt;&lt;wsp:rsid wsp:val=&quot;005C2B4C&quot;/&gt;&lt;wsp:rsid wsp:val=&quot;005C31B4&quot;/&gt;&lt;wsp:rsid wsp:val=&quot;005C3E8C&quot;/&gt;&lt;wsp:rsid wsp:val=&quot;005C424F&quot;/&gt;&lt;wsp:rsid wsp:val=&quot;005C4531&quot;/&gt;&lt;wsp:rsid wsp:val=&quot;005C5382&quot;/&gt;&lt;wsp:rsid wsp:val=&quot;005C54CB&quot;/&gt;&lt;wsp:rsid wsp:val=&quot;005C5813&quot;/&gt;&lt;wsp:rsid wsp:val=&quot;005C6621&quot;/&gt;&lt;wsp:rsid wsp:val=&quot;005C6D5B&quot;/&gt;&lt;wsp:rsid wsp:val=&quot;005C76EB&quot;/&gt;&lt;wsp:rsid wsp:val=&quot;005D05C5&quot;/&gt;&lt;wsp:rsid wsp:val=&quot;005D0FA5&quot;/&gt;&lt;wsp:rsid wsp:val=&quot;005D1A45&quot;/&gt;&lt;wsp:rsid wsp:val=&quot;005D253D&quot;/&gt;&lt;wsp:rsid wsp:val=&quot;005D27F0&quot;/&gt;&lt;wsp:rsid wsp:val=&quot;005D2903&quot;/&gt;&lt;wsp:rsid wsp:val=&quot;005D4822&quot;/&gt;&lt;wsp:rsid wsp:val=&quot;005D4DA3&quot;/&gt;&lt;wsp:rsid wsp:val=&quot;005D4FC4&quot;/&gt;&lt;wsp:rsid wsp:val=&quot;005D7808&quot;/&gt;&lt;wsp:rsid wsp:val=&quot;005D7EAD&quot;/&gt;&lt;wsp:rsid wsp:val=&quot;005D7EFD&quot;/&gt;&lt;wsp:rsid wsp:val=&quot;005D7FB9&quot;/&gt;&lt;wsp:rsid wsp:val=&quot;005E143D&quot;/&gt;&lt;wsp:rsid wsp:val=&quot;005E1C74&quot;/&gt;&lt;wsp:rsid wsp:val=&quot;005E1D6F&quot;/&gt;&lt;wsp:rsid wsp:val=&quot;005E37D1&quot;/&gt;&lt;wsp:rsid wsp:val=&quot;005E3CF5&quot;/&gt;&lt;wsp:rsid wsp:val=&quot;005E41E8&quot;/&gt;&lt;wsp:rsid wsp:val=&quot;005E4330&quot;/&gt;&lt;wsp:rsid wsp:val=&quot;005E47C4&quot;/&gt;&lt;wsp:rsid wsp:val=&quot;005E5135&quot;/&gt;&lt;wsp:rsid wsp:val=&quot;005E54D8&quot;/&gt;&lt;wsp:rsid wsp:val=&quot;005E5962&quot;/&gt;&lt;wsp:rsid wsp:val=&quot;005E5D43&quot;/&gt;&lt;wsp:rsid wsp:val=&quot;005E625F&quot;/&gt;&lt;wsp:rsid wsp:val=&quot;005E7FD9&quot;/&gt;&lt;wsp:rsid wsp:val=&quot;005F002B&quot;/&gt;&lt;wsp:rsid wsp:val=&quot;005F0099&quot;/&gt;&lt;wsp:rsid wsp:val=&quot;005F11F1&quot;/&gt;&lt;wsp:rsid wsp:val=&quot;005F1378&quot;/&gt;&lt;wsp:rsid wsp:val=&quot;005F1388&quot;/&gt;&lt;wsp:rsid wsp:val=&quot;005F2105&quot;/&gt;&lt;wsp:rsid wsp:val=&quot;005F24DA&quot;/&gt;&lt;wsp:rsid wsp:val=&quot;005F2707&quot;/&gt;&lt;wsp:rsid wsp:val=&quot;005F3511&quot;/&gt;&lt;wsp:rsid wsp:val=&quot;005F3F0D&quot;/&gt;&lt;wsp:rsid wsp:val=&quot;005F40C3&quot;/&gt;&lt;wsp:rsid wsp:val=&quot;005F42B2&quot;/&gt;&lt;wsp:rsid wsp:val=&quot;005F4BB4&quot;/&gt;&lt;wsp:rsid wsp:val=&quot;005F4C0F&quot;/&gt;&lt;wsp:rsid wsp:val=&quot;005F4C2A&quot;/&gt;&lt;wsp:rsid wsp:val=&quot;005F4C82&quot;/&gt;&lt;wsp:rsid wsp:val=&quot;005F4CEB&quot;/&gt;&lt;wsp:rsid wsp:val=&quot;005F54BD&quot;/&gt;&lt;wsp:rsid wsp:val=&quot;005F59A6&quot;/&gt;&lt;wsp:rsid wsp:val=&quot;005F59B6&quot;/&gt;&lt;wsp:rsid wsp:val=&quot;005F5E03&quot;/&gt;&lt;wsp:rsid wsp:val=&quot;005F5F97&quot;/&gt;&lt;wsp:rsid wsp:val=&quot;005F62F7&quot;/&gt;&lt;wsp:rsid wsp:val=&quot;005F6A8D&quot;/&gt;&lt;wsp:rsid wsp:val=&quot;005F6F0B&quot;/&gt;&lt;wsp:rsid wsp:val=&quot;005F7682&quot;/&gt;&lt;wsp:rsid wsp:val=&quot;005F77DF&quot;/&gt;&lt;wsp:rsid wsp:val=&quot;00600093&quot;/&gt;&lt;wsp:rsid wsp:val=&quot;006004FB&quot;/&gt;&lt;wsp:rsid wsp:val=&quot;006007B5&quot;/&gt;&lt;wsp:rsid wsp:val=&quot;00600A81&quot;/&gt;&lt;wsp:rsid wsp:val=&quot;006012F6&quot;/&gt;&lt;wsp:rsid wsp:val=&quot;00602DE2&quot;/&gt;&lt;wsp:rsid wsp:val=&quot;006035F2&quot;/&gt;&lt;wsp:rsid wsp:val=&quot;00603EB4&quot;/&gt;&lt;wsp:rsid wsp:val=&quot;00605257&quot;/&gt;&lt;wsp:rsid wsp:val=&quot;006052BA&quot;/&gt;&lt;wsp:rsid wsp:val=&quot;00605FBD&quot;/&gt;&lt;wsp:rsid wsp:val=&quot;00606300&quot;/&gt;&lt;wsp:rsid wsp:val=&quot;0060655F&quot;/&gt;&lt;wsp:rsid wsp:val=&quot;00606A9A&quot;/&gt;&lt;wsp:rsid wsp:val=&quot;00606BE2&quot;/&gt;&lt;wsp:rsid wsp:val=&quot;00606C8C&quot;/&gt;&lt;wsp:rsid wsp:val=&quot;006071E3&quot;/&gt;&lt;wsp:rsid wsp:val=&quot;006073AA&quot;/&gt;&lt;wsp:rsid wsp:val=&quot;006104EB&quot;/&gt;&lt;wsp:rsid wsp:val=&quot;006106CB&quot;/&gt;&lt;wsp:rsid wsp:val=&quot;00610953&quot;/&gt;&lt;wsp:rsid wsp:val=&quot;00610C6D&quot;/&gt;&lt;wsp:rsid wsp:val=&quot;00610C71&quot;/&gt;&lt;wsp:rsid wsp:val=&quot;00610F15&quot;/&gt;&lt;wsp:rsid wsp:val=&quot;00611B1F&quot;/&gt;&lt;wsp:rsid wsp:val=&quot;00611D8D&quot;/&gt;&lt;wsp:rsid wsp:val=&quot;006125BB&quot;/&gt;&lt;wsp:rsid wsp:val=&quot;00612892&quot;/&gt;&lt;wsp:rsid wsp:val=&quot;00613095&quot;/&gt;&lt;wsp:rsid wsp:val=&quot;006134C9&quot;/&gt;&lt;wsp:rsid wsp:val=&quot;006146B6&quot;/&gt;&lt;wsp:rsid wsp:val=&quot;00614840&quot;/&gt;&lt;wsp:rsid wsp:val=&quot;0061490F&quot;/&gt;&lt;wsp:rsid wsp:val=&quot;00614AED&quot;/&gt;&lt;wsp:rsid wsp:val=&quot;00614CF1&quot;/&gt;&lt;wsp:rsid wsp:val=&quot;00615274&quot;/&gt;&lt;wsp:rsid wsp:val=&quot;00615784&quot;/&gt;&lt;wsp:rsid wsp:val=&quot;0061603F&quot;/&gt;&lt;wsp:rsid wsp:val=&quot;0061679E&quot;/&gt;&lt;wsp:rsid wsp:val=&quot;006172BB&quot;/&gt;&lt;wsp:rsid wsp:val=&quot;00617A2E&quot;/&gt;&lt;wsp:rsid wsp:val=&quot;00617B10&quot;/&gt;&lt;wsp:rsid wsp:val=&quot;00617EF1&quot;/&gt;&lt;wsp:rsid wsp:val=&quot;00620EB5&quot;/&gt;&lt;wsp:rsid wsp:val=&quot;00621053&quot;/&gt;&lt;wsp:rsid wsp:val=&quot;00621E90&quot;/&gt;&lt;wsp:rsid wsp:val=&quot;00621EFC&quot;/&gt;&lt;wsp:rsid wsp:val=&quot;00622BCE&quot;/&gt;&lt;wsp:rsid wsp:val=&quot;00622E98&quot;/&gt;&lt;wsp:rsid wsp:val=&quot;00624008&quot;/&gt;&lt;wsp:rsid wsp:val=&quot;00624285&quot;/&gt;&lt;wsp:rsid wsp:val=&quot;00624C98&quot;/&gt;&lt;wsp:rsid wsp:val=&quot;00624CD7&quot;/&gt;&lt;wsp:rsid wsp:val=&quot;00625105&quot;/&gt;&lt;wsp:rsid wsp:val=&quot;00625DE6&quot;/&gt;&lt;wsp:rsid wsp:val=&quot;00625E65&quot;/&gt;&lt;wsp:rsid wsp:val=&quot;006269D2&quot;/&gt;&lt;wsp:rsid wsp:val=&quot;00627982&quot;/&gt;&lt;wsp:rsid wsp:val=&quot;00627FE1&quot;/&gt;&lt;wsp:rsid wsp:val=&quot;006303E6&quot;/&gt;&lt;wsp:rsid wsp:val=&quot;00630A4C&quot;/&gt;&lt;wsp:rsid wsp:val=&quot;00631E33&quot;/&gt;&lt;wsp:rsid wsp:val=&quot;0063258B&quot;/&gt;&lt;wsp:rsid wsp:val=&quot;006325CD&quot;/&gt;&lt;wsp:rsid wsp:val=&quot;006333BE&quot;/&gt;&lt;wsp:rsid wsp:val=&quot;00633E73&quot;/&gt;&lt;wsp:rsid wsp:val=&quot;006349A9&quot;/&gt;&lt;wsp:rsid wsp:val=&quot;00635A28&quot;/&gt;&lt;wsp:rsid wsp:val=&quot;00635B90&quot;/&gt;&lt;wsp:rsid wsp:val=&quot;006362E7&quot;/&gt;&lt;wsp:rsid wsp:val=&quot;0063698F&quot;/&gt;&lt;wsp:rsid wsp:val=&quot;00636B13&quot;/&gt;&lt;wsp:rsid wsp:val=&quot;00636F62&quot;/&gt;&lt;wsp:rsid wsp:val=&quot;00637AF3&quot;/&gt;&lt;wsp:rsid wsp:val=&quot;00640377&quot;/&gt;&lt;wsp:rsid wsp:val=&quot;00640F9E&quot;/&gt;&lt;wsp:rsid wsp:val=&quot;006423FD&quot;/&gt;&lt;wsp:rsid wsp:val=&quot;00642F2D&quot;/&gt;&lt;wsp:rsid wsp:val=&quot;006437D9&quot;/&gt;&lt;wsp:rsid wsp:val=&quot;00645296&quot;/&gt;&lt;wsp:rsid wsp:val=&quot;006452B6&quot;/&gt;&lt;wsp:rsid wsp:val=&quot;00645485&quot;/&gt;&lt;wsp:rsid wsp:val=&quot;0064680F&quot;/&gt;&lt;wsp:rsid wsp:val=&quot;00646A03&quot;/&gt;&lt;wsp:rsid wsp:val=&quot;00646BF9&quot;/&gt;&lt;wsp:rsid wsp:val=&quot;0064750C&quot;/&gt;&lt;wsp:rsid wsp:val=&quot;00647615&quot;/&gt;&lt;wsp:rsid wsp:val=&quot;00647CAB&quot;/&gt;&lt;wsp:rsid wsp:val=&quot;0065061B&quot;/&gt;&lt;wsp:rsid wsp:val=&quot;00650B89&quot;/&gt;&lt;wsp:rsid wsp:val=&quot;0065108C&quot;/&gt;&lt;wsp:rsid wsp:val=&quot;006511E4&quot;/&gt;&lt;wsp:rsid wsp:val=&quot;00651212&quot;/&gt;&lt;wsp:rsid wsp:val=&quot;00652283&quot;/&gt;&lt;wsp:rsid wsp:val=&quot;00654045&quot;/&gt;&lt;wsp:rsid wsp:val=&quot;006541C3&quot;/&gt;&lt;wsp:rsid wsp:val=&quot;00654B76&quot;/&gt;&lt;wsp:rsid wsp:val=&quot;0065692E&quot;/&gt;&lt;wsp:rsid wsp:val=&quot;00657C23&quot;/&gt;&lt;wsp:rsid wsp:val=&quot;0066109B&quot;/&gt;&lt;wsp:rsid wsp:val=&quot;006617F0&quot;/&gt;&lt;wsp:rsid wsp:val=&quot;0066181E&quot;/&gt;&lt;wsp:rsid wsp:val=&quot;00661A64&quot;/&gt;&lt;wsp:rsid wsp:val=&quot;006623D5&quot;/&gt;&lt;wsp:rsid wsp:val=&quot;00662873&quot;/&gt;&lt;wsp:rsid wsp:val=&quot;00663520&quot;/&gt;&lt;wsp:rsid wsp:val=&quot;006635BE&quot;/&gt;&lt;wsp:rsid wsp:val=&quot;006638AF&quot;/&gt;&lt;wsp:rsid wsp:val=&quot;00663F14&quot;/&gt;&lt;wsp:rsid wsp:val=&quot;00664CAA&quot;/&gt;&lt;wsp:rsid wsp:val=&quot;00664FD1&quot;/&gt;&lt;wsp:rsid wsp:val=&quot;00666B7A&quot;/&gt;&lt;wsp:rsid wsp:val=&quot;00666D04&quot;/&gt;&lt;wsp:rsid wsp:val=&quot;00666EB3&quot;/&gt;&lt;wsp:rsid wsp:val=&quot;00670143&quot;/&gt;&lt;wsp:rsid wsp:val=&quot;006701D6&quot;/&gt;&lt;wsp:rsid wsp:val=&quot;00670618&quot;/&gt;&lt;wsp:rsid wsp:val=&quot;00670BFC&quot;/&gt;&lt;wsp:rsid wsp:val=&quot;00670C26&quot;/&gt;&lt;wsp:rsid wsp:val=&quot;00670D19&quot;/&gt;&lt;wsp:rsid wsp:val=&quot;00670E42&quot;/&gt;&lt;wsp:rsid wsp:val=&quot;00672FD9&quot;/&gt;&lt;wsp:rsid wsp:val=&quot;006732C2&quot;/&gt;&lt;wsp:rsid wsp:val=&quot;0067337C&quot;/&gt;&lt;wsp:rsid wsp:val=&quot;00673452&quot;/&gt;&lt;wsp:rsid wsp:val=&quot;00673857&quot;/&gt;&lt;wsp:rsid wsp:val=&quot;00675325&quot;/&gt;&lt;wsp:rsid wsp:val=&quot;00675C90&quot;/&gt;&lt;wsp:rsid wsp:val=&quot;00675E39&quot;/&gt;&lt;wsp:rsid wsp:val=&quot;00675F19&quot;/&gt;&lt;wsp:rsid wsp:val=&quot;00676ACC&quot;/&gt;&lt;wsp:rsid wsp:val=&quot;00676BC6&quot;/&gt;&lt;wsp:rsid wsp:val=&quot;00677A90&quot;/&gt;&lt;wsp:rsid wsp:val=&quot;00677CEA&quot;/&gt;&lt;wsp:rsid wsp:val=&quot;00677F08&quot;/&gt;&lt;wsp:rsid wsp:val=&quot;00680EE7&quot;/&gt;&lt;wsp:rsid wsp:val=&quot;0068105A&quot;/&gt;&lt;wsp:rsid wsp:val=&quot;006813EA&quot;/&gt;&lt;wsp:rsid wsp:val=&quot;0068179B&quot;/&gt;&lt;wsp:rsid wsp:val=&quot;00682486&quot;/&gt;&lt;wsp:rsid wsp:val=&quot;0068354B&quot;/&gt;&lt;wsp:rsid wsp:val=&quot;00683C16&quot;/&gt;&lt;wsp:rsid wsp:val=&quot;00683C27&quot;/&gt;&lt;wsp:rsid wsp:val=&quot;006844E9&quot;/&gt;&lt;wsp:rsid wsp:val=&quot;00684AED&quot;/&gt;&lt;wsp:rsid wsp:val=&quot;00684BF4&quot;/&gt;&lt;wsp:rsid wsp:val=&quot;00685206&quot;/&gt;&lt;wsp:rsid wsp:val=&quot;0068670E&quot;/&gt;&lt;wsp:rsid wsp:val=&quot;0068685E&quot;/&gt;&lt;wsp:rsid wsp:val=&quot;0068696D&quot;/&gt;&lt;wsp:rsid wsp:val=&quot;00686CC3&quot;/&gt;&lt;wsp:rsid wsp:val=&quot;00690B66&quot;/&gt;&lt;wsp:rsid wsp:val=&quot;006912DD&quot;/&gt;&lt;wsp:rsid wsp:val=&quot;00691E1F&quot;/&gt;&lt;wsp:rsid wsp:val=&quot;00691F46&quot;/&gt;&lt;wsp:rsid wsp:val=&quot;006935DF&quot;/&gt;&lt;wsp:rsid wsp:val=&quot;00694355&quot;/&gt;&lt;wsp:rsid wsp:val=&quot;00694B65&quot;/&gt;&lt;wsp:rsid wsp:val=&quot;00694D75&quot;/&gt;&lt;wsp:rsid wsp:val=&quot;006953BD&quot;/&gt;&lt;wsp:rsid wsp:val=&quot;0069683D&quot;/&gt;&lt;wsp:rsid wsp:val=&quot;006969B6&quot;/&gt;&lt;wsp:rsid wsp:val=&quot;00697190&quot;/&gt;&lt;wsp:rsid wsp:val=&quot;006971B4&quot;/&gt;&lt;wsp:rsid wsp:val=&quot;006A0049&quot;/&gt;&lt;wsp:rsid wsp:val=&quot;006A042E&quot;/&gt;&lt;wsp:rsid wsp:val=&quot;006A0465&quot;/&gt;&lt;wsp:rsid wsp:val=&quot;006A0EB0&quot;/&gt;&lt;wsp:rsid wsp:val=&quot;006A137E&quot;/&gt;&lt;wsp:rsid wsp:val=&quot;006A1A55&quot;/&gt;&lt;wsp:rsid wsp:val=&quot;006A1D02&quot;/&gt;&lt;wsp:rsid wsp:val=&quot;006A1E07&quot;/&gt;&lt;wsp:rsid wsp:val=&quot;006A2B03&quot;/&gt;&lt;wsp:rsid wsp:val=&quot;006A2F42&quot;/&gt;&lt;wsp:rsid wsp:val=&quot;006A3599&quot;/&gt;&lt;wsp:rsid wsp:val=&quot;006A39D7&quot;/&gt;&lt;wsp:rsid wsp:val=&quot;006A3D3F&quot;/&gt;&lt;wsp:rsid wsp:val=&quot;006A3F44&quot;/&gt;&lt;wsp:rsid wsp:val=&quot;006A5178&quot;/&gt;&lt;wsp:rsid wsp:val=&quot;006A67E3&quot;/&gt;&lt;wsp:rsid wsp:val=&quot;006A700C&quot;/&gt;&lt;wsp:rsid wsp:val=&quot;006A732B&quot;/&gt;&lt;wsp:rsid wsp:val=&quot;006A7D98&quot;/&gt;&lt;wsp:rsid wsp:val=&quot;006A7E5C&quot;/&gt;&lt;wsp:rsid wsp:val=&quot;006A7EC7&quot;/&gt;&lt;wsp:rsid wsp:val=&quot;006B038A&quot;/&gt;&lt;wsp:rsid wsp:val=&quot;006B0930&quot;/&gt;&lt;wsp:rsid wsp:val=&quot;006B0A6F&quot;/&gt;&lt;wsp:rsid wsp:val=&quot;006B0CED&quot;/&gt;&lt;wsp:rsid wsp:val=&quot;006B106B&quot;/&gt;&lt;wsp:rsid wsp:val=&quot;006B28C1&quot;/&gt;&lt;wsp:rsid wsp:val=&quot;006B2E9B&quot;/&gt;&lt;wsp:rsid wsp:val=&quot;006B3302&quot;/&gt;&lt;wsp:rsid wsp:val=&quot;006B3E9D&quot;/&gt;&lt;wsp:rsid wsp:val=&quot;006B49EC&quot;/&gt;&lt;wsp:rsid wsp:val=&quot;006B4DA5&quot;/&gt;&lt;wsp:rsid wsp:val=&quot;006B4F77&quot;/&gt;&lt;wsp:rsid wsp:val=&quot;006B6C05&quot;/&gt;&lt;wsp:rsid wsp:val=&quot;006B6D07&quot;/&gt;&lt;wsp:rsid wsp:val=&quot;006B7709&quot;/&gt;&lt;wsp:rsid wsp:val=&quot;006C0A6A&quot;/&gt;&lt;wsp:rsid wsp:val=&quot;006C0ABA&quot;/&gt;&lt;wsp:rsid wsp:val=&quot;006C1376&quot;/&gt;&lt;wsp:rsid wsp:val=&quot;006C186B&quot;/&gt;&lt;wsp:rsid wsp:val=&quot;006C1D51&quot;/&gt;&lt;wsp:rsid wsp:val=&quot;006C26B2&quot;/&gt;&lt;wsp:rsid wsp:val=&quot;006C2795&quot;/&gt;&lt;wsp:rsid wsp:val=&quot;006C2F06&quot;/&gt;&lt;wsp:rsid wsp:val=&quot;006C37A4&quot;/&gt;&lt;wsp:rsid wsp:val=&quot;006C46A1&quot;/&gt;&lt;wsp:rsid wsp:val=&quot;006C4AFA&quot;/&gt;&lt;wsp:rsid wsp:val=&quot;006C5C68&quot;/&gt;&lt;wsp:rsid wsp:val=&quot;006C63B6&quot;/&gt;&lt;wsp:rsid wsp:val=&quot;006C63DD&quot;/&gt;&lt;wsp:rsid wsp:val=&quot;006C6637&quot;/&gt;&lt;wsp:rsid wsp:val=&quot;006D0DDA&quot;/&gt;&lt;wsp:rsid wsp:val=&quot;006D1479&quot;/&gt;&lt;wsp:rsid wsp:val=&quot;006D18AD&quot;/&gt;&lt;wsp:rsid wsp:val=&quot;006D1C85&quot;/&gt;&lt;wsp:rsid wsp:val=&quot;006D267E&quot;/&gt;&lt;wsp:rsid wsp:val=&quot;006D334C&quot;/&gt;&lt;wsp:rsid wsp:val=&quot;006D43FE&quot;/&gt;&lt;wsp:rsid wsp:val=&quot;006D495B&quot;/&gt;&lt;wsp:rsid wsp:val=&quot;006D5736&quot;/&gt;&lt;wsp:rsid wsp:val=&quot;006D5B00&quot;/&gt;&lt;wsp:rsid wsp:val=&quot;006D6089&quot;/&gt;&lt;wsp:rsid wsp:val=&quot;006D60DF&quot;/&gt;&lt;wsp:rsid wsp:val=&quot;006E01D8&quot;/&gt;&lt;wsp:rsid wsp:val=&quot;006E08DD&quot;/&gt;&lt;wsp:rsid wsp:val=&quot;006E11E8&quot;/&gt;&lt;wsp:rsid wsp:val=&quot;006E1660&quot;/&gt;&lt;wsp:rsid wsp:val=&quot;006E1F29&quot;/&gt;&lt;wsp:rsid wsp:val=&quot;006E1F81&quot;/&gt;&lt;wsp:rsid wsp:val=&quot;006E2BD9&quot;/&gt;&lt;wsp:rsid wsp:val=&quot;006E2D20&quot;/&gt;&lt;wsp:rsid wsp:val=&quot;006E3615&quot;/&gt;&lt;wsp:rsid wsp:val=&quot;006E5DF6&quot;/&gt;&lt;wsp:rsid wsp:val=&quot;006E6A9B&quot;/&gt;&lt;wsp:rsid wsp:val=&quot;006E7169&quot;/&gt;&lt;wsp:rsid wsp:val=&quot;006E74AD&quot;/&gt;&lt;wsp:rsid wsp:val=&quot;006F06FB&quot;/&gt;&lt;wsp:rsid wsp:val=&quot;006F6C7A&quot;/&gt;&lt;wsp:rsid wsp:val=&quot;006F7620&quot;/&gt;&lt;wsp:rsid wsp:val=&quot;00700AFE&quot;/&gt;&lt;wsp:rsid wsp:val=&quot;00702604&quot;/&gt;&lt;wsp:rsid wsp:val=&quot;007026E8&quot;/&gt;&lt;wsp:rsid wsp:val=&quot;00702CEC&quot;/&gt;&lt;wsp:rsid wsp:val=&quot;00702F97&quot;/&gt;&lt;wsp:rsid wsp:val=&quot;0070304C&quot;/&gt;&lt;wsp:rsid wsp:val=&quot;007036E2&quot;/&gt;&lt;wsp:rsid wsp:val=&quot;00703EBE&quot;/&gt;&lt;wsp:rsid wsp:val=&quot;007041F1&quot;/&gt;&lt;wsp:rsid wsp:val=&quot;00704AA5&quot;/&gt;&lt;wsp:rsid wsp:val=&quot;00704AE9&quot;/&gt;&lt;wsp:rsid wsp:val=&quot;00705574&quot;/&gt;&lt;wsp:rsid wsp:val=&quot;00705788&quot;/&gt;&lt;wsp:rsid wsp:val=&quot;00705899&quot;/&gt;&lt;wsp:rsid wsp:val=&quot;007062D0&quot;/&gt;&lt;wsp:rsid wsp:val=&quot;007065FA&quot;/&gt;&lt;wsp:rsid wsp:val=&quot;00706971&quot;/&gt;&lt;wsp:rsid wsp:val=&quot;00706B83&quot;/&gt;&lt;wsp:rsid wsp:val=&quot;00707A0E&quot;/&gt;&lt;wsp:rsid wsp:val=&quot;00707A74&quot;/&gt;&lt;wsp:rsid wsp:val=&quot;007100AC&quot;/&gt;&lt;wsp:rsid wsp:val=&quot;00711BDE&quot;/&gt;&lt;wsp:rsid wsp:val=&quot;00711DD5&quot;/&gt;&lt;wsp:rsid wsp:val=&quot;00711ED7&quot;/&gt;&lt;wsp:rsid wsp:val=&quot;00712864&quot;/&gt;&lt;wsp:rsid wsp:val=&quot;007133C2&quot;/&gt;&lt;wsp:rsid wsp:val=&quot;00713CD3&quot;/&gt;&lt;wsp:rsid wsp:val=&quot;00714C7C&quot;/&gt;&lt;wsp:rsid wsp:val=&quot;007156E9&quot;/&gt;&lt;wsp:rsid wsp:val=&quot;00715CCF&quot;/&gt;&lt;wsp:rsid wsp:val=&quot;00715E83&quot;/&gt;&lt;wsp:rsid wsp:val=&quot;007160EA&quot;/&gt;&lt;wsp:rsid wsp:val=&quot;0071792A&quot;/&gt;&lt;wsp:rsid wsp:val=&quot;00717FCC&quot;/&gt;&lt;wsp:rsid wsp:val=&quot;007207D1&quot;/&gt;&lt;wsp:rsid wsp:val=&quot;00720906&quot;/&gt;&lt;wsp:rsid wsp:val=&quot;00720E51&quot;/&gt;&lt;wsp:rsid wsp:val=&quot;00720F63&quot;/&gt;&lt;wsp:rsid wsp:val=&quot;00721544&quot;/&gt;&lt;wsp:rsid wsp:val=&quot;007223F3&quot;/&gt;&lt;wsp:rsid wsp:val=&quot;007229F7&quot;/&gt;&lt;wsp:rsid wsp:val=&quot;00723A94&quot;/&gt;&lt;wsp:rsid wsp:val=&quot;007256AC&quot;/&gt;&lt;wsp:rsid wsp:val=&quot;007257E3&quot;/&gt;&lt;wsp:rsid wsp:val=&quot;00726B3F&quot;/&gt;&lt;wsp:rsid wsp:val=&quot;00727879&quot;/&gt;&lt;wsp:rsid wsp:val=&quot;007307FD&quot;/&gt;&lt;wsp:rsid wsp:val=&quot;007317C8&quot;/&gt;&lt;wsp:rsid wsp:val=&quot;00731AFA&quot;/&gt;&lt;wsp:rsid wsp:val=&quot;00732CD7&quot;/&gt;&lt;wsp:rsid wsp:val=&quot;00733DB9&quot;/&gt;&lt;wsp:rsid wsp:val=&quot;00734367&quot;/&gt;&lt;wsp:rsid wsp:val=&quot;00734392&quot;/&gt;&lt;wsp:rsid wsp:val=&quot;00734EC8&quot;/&gt;&lt;wsp:rsid wsp:val=&quot;00734EE9&quot;/&gt;&lt;wsp:rsid wsp:val=&quot;007356CF&quot;/&gt;&lt;wsp:rsid wsp:val=&quot;007363BD&quot;/&gt;&lt;wsp:rsid wsp:val=&quot;007368B3&quot;/&gt;&lt;wsp:rsid wsp:val=&quot;0073726C&quot;/&gt;&lt;wsp:rsid wsp:val=&quot;00740139&quot;/&gt;&lt;wsp:rsid wsp:val=&quot;00740B2E&quot;/&gt;&lt;wsp:rsid wsp:val=&quot;00740C36&quot;/&gt;&lt;wsp:rsid wsp:val=&quot;00740F53&quot;/&gt;&lt;wsp:rsid wsp:val=&quot;007412A5&quot;/&gt;&lt;wsp:rsid wsp:val=&quot;0074131E&quot;/&gt;&lt;wsp:rsid wsp:val=&quot;007418CF&quot;/&gt;&lt;wsp:rsid wsp:val=&quot;00742080&quot;/&gt;&lt;wsp:rsid wsp:val=&quot;007423A0&quot;/&gt;&lt;wsp:rsid wsp:val=&quot;00743092&quot;/&gt;&lt;wsp:rsid wsp:val=&quot;007431B5&quot;/&gt;&lt;wsp:rsid wsp:val=&quot;007441AE&quot;/&gt;&lt;wsp:rsid wsp:val=&quot;007449B9&quot;/&gt;&lt;wsp:rsid wsp:val=&quot;00744F09&quot;/&gt;&lt;wsp:rsid wsp:val=&quot;00745289&quot;/&gt;&lt;wsp:rsid wsp:val=&quot;00745346&quot;/&gt;&lt;wsp:rsid wsp:val=&quot;00745807&quot;/&gt;&lt;wsp:rsid wsp:val=&quot;00745AE9&quot;/&gt;&lt;wsp:rsid wsp:val=&quot;00745D97&quot;/&gt;&lt;wsp:rsid wsp:val=&quot;007464F9&quot;/&gt;&lt;wsp:rsid wsp:val=&quot;00746639&quot;/&gt;&lt;wsp:rsid wsp:val=&quot;00747073&quot;/&gt;&lt;wsp:rsid wsp:val=&quot;00747DD3&quot;/&gt;&lt;wsp:rsid wsp:val=&quot;00747EAD&quot;/&gt;&lt;wsp:rsid wsp:val=&quot;00750238&quot;/&gt;&lt;wsp:rsid wsp:val=&quot;00750B04&quot;/&gt;&lt;wsp:rsid wsp:val=&quot;00751295&quot;/&gt;&lt;wsp:rsid wsp:val=&quot;00751B8F&quot;/&gt;&lt;wsp:rsid wsp:val=&quot;00752004&quot;/&gt;&lt;wsp:rsid wsp:val=&quot;007531B7&quot;/&gt;&lt;wsp:rsid wsp:val=&quot;00753510&quot;/&gt;&lt;wsp:rsid wsp:val=&quot;00753C1D&quot;/&gt;&lt;wsp:rsid wsp:val=&quot;0075474C&quot;/&gt;&lt;wsp:rsid wsp:val=&quot;0075479B&quot;/&gt;&lt;wsp:rsid wsp:val=&quot;00754BE1&quot;/&gt;&lt;wsp:rsid wsp:val=&quot;00754C62&quot;/&gt;&lt;wsp:rsid wsp:val=&quot;00754DD9&quot;/&gt;&lt;wsp:rsid wsp:val=&quot;00755976&quot;/&gt;&lt;wsp:rsid wsp:val=&quot;00756370&quot;/&gt;&lt;wsp:rsid wsp:val=&quot;00756FAE&quot;/&gt;&lt;wsp:rsid wsp:val=&quot;007575F5&quot;/&gt;&lt;wsp:rsid wsp:val=&quot;00757E88&quot;/&gt;&lt;wsp:rsid wsp:val=&quot;00761159&quot;/&gt;&lt;wsp:rsid wsp:val=&quot;00761689&quot;/&gt;&lt;wsp:rsid wsp:val=&quot;007618E5&quot;/&gt;&lt;wsp:rsid wsp:val=&quot;00761AB7&quot;/&gt;&lt;wsp:rsid wsp:val=&quot;00761B0F&quot;/&gt;&lt;wsp:rsid wsp:val=&quot;00761E8A&quot;/&gt;&lt;wsp:rsid wsp:val=&quot;00762BAE&quot;/&gt;&lt;wsp:rsid wsp:val=&quot;00762C4D&quot;/&gt;&lt;wsp:rsid wsp:val=&quot;0076302B&quot;/&gt;&lt;wsp:rsid wsp:val=&quot;00763C76&quot;/&gt;&lt;wsp:rsid wsp:val=&quot;007640EA&quot;/&gt;&lt;wsp:rsid wsp:val=&quot;00764C2B&quot;/&gt;&lt;wsp:rsid wsp:val=&quot;00764D38&quot;/&gt;&lt;wsp:rsid wsp:val=&quot;00764E76&quot;/&gt;&lt;wsp:rsid wsp:val=&quot;00764F7C&quot;/&gt;&lt;wsp:rsid wsp:val=&quot;0076501A&quot;/&gt;&lt;wsp:rsid wsp:val=&quot;007656C5&quot;/&gt;&lt;wsp:rsid wsp:val=&quot;00765C45&quot;/&gt;&lt;wsp:rsid wsp:val=&quot;007661F7&quot;/&gt;&lt;wsp:rsid wsp:val=&quot;00766550&quot;/&gt;&lt;wsp:rsid wsp:val=&quot;00766E05&quot;/&gt;&lt;wsp:rsid wsp:val=&quot;00767175&quot;/&gt;&lt;wsp:rsid wsp:val=&quot;00767842&quot;/&gt;&lt;wsp:rsid wsp:val=&quot;00770502&quot;/&gt;&lt;wsp:rsid wsp:val=&quot;00770E5C&quot;/&gt;&lt;wsp:rsid wsp:val=&quot;00771791&quot;/&gt;&lt;wsp:rsid wsp:val=&quot;00771A11&quot;/&gt;&lt;wsp:rsid wsp:val=&quot;00771D62&quot;/&gt;&lt;wsp:rsid wsp:val=&quot;00772702&quot;/&gt;&lt;wsp:rsid wsp:val=&quot;00772999&quot;/&gt;&lt;wsp:rsid wsp:val=&quot;007729A8&quot;/&gt;&lt;wsp:rsid wsp:val=&quot;007735A9&quot;/&gt;&lt;wsp:rsid wsp:val=&quot;00773A56&quot;/&gt;&lt;wsp:rsid wsp:val=&quot;00773C1B&quot;/&gt;&lt;wsp:rsid wsp:val=&quot;007740BD&quot;/&gt;&lt;wsp:rsid wsp:val=&quot;0077428F&quot;/&gt;&lt;wsp:rsid wsp:val=&quot;00774554&quot;/&gt;&lt;wsp:rsid wsp:val=&quot;00775BFA&quot;/&gt;&lt;wsp:rsid wsp:val=&quot;00775CCC&quot;/&gt;&lt;wsp:rsid wsp:val=&quot;00775DFE&quot;/&gt;&lt;wsp:rsid wsp:val=&quot;007768F7&quot;/&gt;&lt;wsp:rsid wsp:val=&quot;007773F6&quot;/&gt;&lt;wsp:rsid wsp:val=&quot;0077771D&quot;/&gt;&lt;wsp:rsid wsp:val=&quot;00777E6A&quot;/&gt;&lt;wsp:rsid wsp:val=&quot;0078065E&quot;/&gt;&lt;wsp:rsid wsp:val=&quot;00780F80&quot;/&gt;&lt;wsp:rsid wsp:val=&quot;0078179A&quot;/&gt;&lt;wsp:rsid wsp:val=&quot;00781981&quot;/&gt;&lt;wsp:rsid wsp:val=&quot;00781EAF&quot;/&gt;&lt;wsp:rsid wsp:val=&quot;007827FD&quot;/&gt;&lt;wsp:rsid wsp:val=&quot;007829AC&quot;/&gt;&lt;wsp:rsid wsp:val=&quot;00782C37&quot;/&gt;&lt;wsp:rsid wsp:val=&quot;00783857&quot;/&gt;&lt;wsp:rsid wsp:val=&quot;00783DA4&quot;/&gt;&lt;wsp:rsid wsp:val=&quot;00784628&quot;/&gt;&lt;wsp:rsid wsp:val=&quot;00784ACD&quot;/&gt;&lt;wsp:rsid wsp:val=&quot;00785FB3&quot;/&gt;&lt;wsp:rsid wsp:val=&quot;00786246&quot;/&gt;&lt;wsp:rsid wsp:val=&quot;00786AD9&quot;/&gt;&lt;wsp:rsid wsp:val=&quot;007872B4&quot;/&gt;&lt;wsp:rsid wsp:val=&quot;007873D6&quot;/&gt;&lt;wsp:rsid wsp:val=&quot;00787F86&quot;/&gt;&lt;wsp:rsid wsp:val=&quot;00791504&quot;/&gt;&lt;wsp:rsid wsp:val=&quot;00791BC4&quot;/&gt;&lt;wsp:rsid wsp:val=&quot;00792012&quot;/&gt;&lt;wsp:rsid wsp:val=&quot;00792AF9&quot;/&gt;&lt;wsp:rsid wsp:val=&quot;00792EF2&quot;/&gt;&lt;wsp:rsid wsp:val=&quot;007936DA&quot;/&gt;&lt;wsp:rsid wsp:val=&quot;0079380A&quot;/&gt;&lt;wsp:rsid wsp:val=&quot;00794199&quot;/&gt;&lt;wsp:rsid wsp:val=&quot;00794722&quot;/&gt;&lt;wsp:rsid wsp:val=&quot;007957D3&quot;/&gt;&lt;wsp:rsid wsp:val=&quot;00796492&quot;/&gt;&lt;wsp:rsid wsp:val=&quot;007972E7&quot;/&gt;&lt;wsp:rsid wsp:val=&quot;00797CC2&quot;/&gt;&lt;wsp:rsid wsp:val=&quot;007A0741&quot;/&gt;&lt;wsp:rsid wsp:val=&quot;007A077A&quot;/&gt;&lt;wsp:rsid wsp:val=&quot;007A48C8&quot;/&gt;&lt;wsp:rsid wsp:val=&quot;007A4B5C&quot;/&gt;&lt;wsp:rsid wsp:val=&quot;007A5792&quot;/&gt;&lt;wsp:rsid wsp:val=&quot;007A5D8B&quot;/&gt;&lt;wsp:rsid wsp:val=&quot;007A6772&quot;/&gt;&lt;wsp:rsid wsp:val=&quot;007B125B&quot;/&gt;&lt;wsp:rsid wsp:val=&quot;007B1476&quot;/&gt;&lt;wsp:rsid wsp:val=&quot;007B18ED&quot;/&gt;&lt;wsp:rsid wsp:val=&quot;007B1C1B&quot;/&gt;&lt;wsp:rsid wsp:val=&quot;007B1C30&quot;/&gt;&lt;wsp:rsid wsp:val=&quot;007B232C&quot;/&gt;&lt;wsp:rsid wsp:val=&quot;007B300E&quot;/&gt;&lt;wsp:rsid wsp:val=&quot;007B3181&quot;/&gt;&lt;wsp:rsid wsp:val=&quot;007B32BA&quot;/&gt;&lt;wsp:rsid wsp:val=&quot;007B34E4&quot;/&gt;&lt;wsp:rsid wsp:val=&quot;007B3940&quot;/&gt;&lt;wsp:rsid wsp:val=&quot;007B406A&quot;/&gt;&lt;wsp:rsid wsp:val=&quot;007B4F06&quot;/&gt;&lt;wsp:rsid wsp:val=&quot;007B5A28&quot;/&gt;&lt;wsp:rsid wsp:val=&quot;007B5B6B&quot;/&gt;&lt;wsp:rsid wsp:val=&quot;007B61B8&quot;/&gt;&lt;wsp:rsid wsp:val=&quot;007B644F&quot;/&gt;&lt;wsp:rsid wsp:val=&quot;007B77A1&quot;/&gt;&lt;wsp:rsid wsp:val=&quot;007C0025&quot;/&gt;&lt;wsp:rsid wsp:val=&quot;007C00AB&quot;/&gt;&lt;wsp:rsid wsp:val=&quot;007C16CB&quot;/&gt;&lt;wsp:rsid wsp:val=&quot;007C1C85&quot;/&gt;&lt;wsp:rsid wsp:val=&quot;007C24A6&quot;/&gt;&lt;wsp:rsid wsp:val=&quot;007C2728&quot;/&gt;&lt;wsp:rsid wsp:val=&quot;007C29D2&quot;/&gt;&lt;wsp:rsid wsp:val=&quot;007C40A7&quot;/&gt;&lt;wsp:rsid wsp:val=&quot;007C456D&quot;/&gt;&lt;wsp:rsid wsp:val=&quot;007C55B2&quot;/&gt;&lt;wsp:rsid wsp:val=&quot;007C58D0&quot;/&gt;&lt;wsp:rsid wsp:val=&quot;007C6E88&quot;/&gt;&lt;wsp:rsid wsp:val=&quot;007C736F&quot;/&gt;&lt;wsp:rsid wsp:val=&quot;007C76C1&quot;/&gt;&lt;wsp:rsid wsp:val=&quot;007C7A21&quot;/&gt;&lt;wsp:rsid wsp:val=&quot;007C7D0C&quot;/&gt;&lt;wsp:rsid wsp:val=&quot;007D051F&quot;/&gt;&lt;wsp:rsid wsp:val=&quot;007D0603&quot;/&gt;&lt;wsp:rsid wsp:val=&quot;007D10B2&quot;/&gt;&lt;wsp:rsid wsp:val=&quot;007D1F39&quot;/&gt;&lt;wsp:rsid wsp:val=&quot;007D1FD3&quot;/&gt;&lt;wsp:rsid wsp:val=&quot;007D264C&quot;/&gt;&lt;wsp:rsid wsp:val=&quot;007D29FC&quot;/&gt;&lt;wsp:rsid wsp:val=&quot;007D2F38&quot;/&gt;&lt;wsp:rsid wsp:val=&quot;007D3802&quot;/&gt;&lt;wsp:rsid wsp:val=&quot;007D54CE&quot;/&gt;&lt;wsp:rsid wsp:val=&quot;007D5A2B&quot;/&gt;&lt;wsp:rsid wsp:val=&quot;007D6A20&quot;/&gt;&lt;wsp:rsid wsp:val=&quot;007D711C&quot;/&gt;&lt;wsp:rsid wsp:val=&quot;007E0110&quot;/&gt;&lt;wsp:rsid wsp:val=&quot;007E0400&quot;/&gt;&lt;wsp:rsid wsp:val=&quot;007E1A92&quot;/&gt;&lt;wsp:rsid wsp:val=&quot;007E2640&quot;/&gt;&lt;wsp:rsid wsp:val=&quot;007E333C&quot;/&gt;&lt;wsp:rsid wsp:val=&quot;007E3BC1&quot;/&gt;&lt;wsp:rsid wsp:val=&quot;007E480B&quot;/&gt;&lt;wsp:rsid wsp:val=&quot;007E4A63&quot;/&gt;&lt;wsp:rsid wsp:val=&quot;007E5409&quot;/&gt;&lt;wsp:rsid wsp:val=&quot;007E5FB0&quot;/&gt;&lt;wsp:rsid wsp:val=&quot;007E7DF0&quot;/&gt;&lt;wsp:rsid wsp:val=&quot;007F016E&quot;/&gt;&lt;wsp:rsid wsp:val=&quot;007F042C&quot;/&gt;&lt;wsp:rsid wsp:val=&quot;007F0BB3&quot;/&gt;&lt;wsp:rsid wsp:val=&quot;007F1C28&quot;/&gt;&lt;wsp:rsid wsp:val=&quot;007F28E5&quot;/&gt;&lt;wsp:rsid wsp:val=&quot;007F2CF3&quot;/&gt;&lt;wsp:rsid wsp:val=&quot;007F30C5&quot;/&gt;&lt;wsp:rsid wsp:val=&quot;007F3BEB&quot;/&gt;&lt;wsp:rsid wsp:val=&quot;007F6788&quot;/&gt;&lt;wsp:rsid wsp:val=&quot;007F68A1&quot;/&gt;&lt;wsp:rsid wsp:val=&quot;007F72AC&quot;/&gt;&lt;wsp:rsid wsp:val=&quot;007F7F13&quot;/&gt;&lt;wsp:rsid wsp:val=&quot;00800CEA&quot;/&gt;&lt;wsp:rsid wsp:val=&quot;0080297F&quot;/&gt;&lt;wsp:rsid wsp:val=&quot;00802DFA&quot;/&gt;&lt;wsp:rsid wsp:val=&quot;00802F07&quot;/&gt;&lt;wsp:rsid wsp:val=&quot;0080361E&quot;/&gt;&lt;wsp:rsid wsp:val=&quot;008048DA&quot;/&gt;&lt;wsp:rsid wsp:val=&quot;00804A22&quot;/&gt;&lt;wsp:rsid wsp:val=&quot;00804A39&quot;/&gt;&lt;wsp:rsid wsp:val=&quot;00804DD8&quot;/&gt;&lt;wsp:rsid wsp:val=&quot;00805B1B&quot;/&gt;&lt;wsp:rsid wsp:val=&quot;00806393&quot;/&gt;&lt;wsp:rsid wsp:val=&quot;0080641D&quot;/&gt;&lt;wsp:rsid wsp:val=&quot;008066C7&quot;/&gt;&lt;wsp:rsid wsp:val=&quot;008070DD&quot;/&gt;&lt;wsp:rsid wsp:val=&quot;0080733B&quot;/&gt;&lt;wsp:rsid wsp:val=&quot;00807368&quot;/&gt;&lt;wsp:rsid wsp:val=&quot;00807961&quot;/&gt;&lt;wsp:rsid wsp:val=&quot;00807BE5&quot;/&gt;&lt;wsp:rsid wsp:val=&quot;00810561&quot;/&gt;&lt;wsp:rsid wsp:val=&quot;00811487&quot;/&gt;&lt;wsp:rsid wsp:val=&quot;00811521&quot;/&gt;&lt;wsp:rsid wsp:val=&quot;0081211E&quot;/&gt;&lt;wsp:rsid wsp:val=&quot;00812413&quot;/&gt;&lt;wsp:rsid wsp:val=&quot;008137BD&quot;/&gt;&lt;wsp:rsid wsp:val=&quot;00813C9B&quot;/&gt;&lt;wsp:rsid wsp:val=&quot;00813D32&quot;/&gt;&lt;wsp:rsid wsp:val=&quot;0081540D&quot;/&gt;&lt;wsp:rsid wsp:val=&quot;008155F4&quot;/&gt;&lt;wsp:rsid wsp:val=&quot;00815AA1&quot;/&gt;&lt;wsp:rsid wsp:val=&quot;008164A5&quot;/&gt;&lt;wsp:rsid wsp:val=&quot;00816B23&quot;/&gt;&lt;wsp:rsid wsp:val=&quot;00816BEB&quot;/&gt;&lt;wsp:rsid wsp:val=&quot;00816C7D&quot;/&gt;&lt;wsp:rsid wsp:val=&quot;00817465&quot;/&gt;&lt;wsp:rsid wsp:val=&quot;00817FCA&quot;/&gt;&lt;wsp:rsid wsp:val=&quot;00820203&quot;/&gt;&lt;wsp:rsid wsp:val=&quot;008202F7&quot;/&gt;&lt;wsp:rsid wsp:val=&quot;00821648&quot;/&gt;&lt;wsp:rsid wsp:val=&quot;008262BF&quot;/&gt;&lt;wsp:rsid wsp:val=&quot;00826BC1&quot;/&gt;&lt;wsp:rsid wsp:val=&quot;008279B8&quot;/&gt;&lt;wsp:rsid wsp:val=&quot;00831557&quot;/&gt;&lt;wsp:rsid wsp:val=&quot;00831D50&quot;/&gt;&lt;wsp:rsid wsp:val=&quot;00832A64&quot;/&gt;&lt;wsp:rsid wsp:val=&quot;00832DC0&quot;/&gt;&lt;wsp:rsid wsp:val=&quot;0083329B&quot;/&gt;&lt;wsp:rsid wsp:val=&quot;00833DDC&quot;/&gt;&lt;wsp:rsid wsp:val=&quot;00834519&quot;/&gt;&lt;wsp:rsid wsp:val=&quot;00835A35&quot;/&gt;&lt;wsp:rsid wsp:val=&quot;00835F86&quot;/&gt;&lt;wsp:rsid wsp:val=&quot;008378C8&quot;/&gt;&lt;wsp:rsid wsp:val=&quot;00840CD3&quot;/&gt;&lt;wsp:rsid wsp:val=&quot;00840E6F&quot;/&gt;&lt;wsp:rsid wsp:val=&quot;00841B86&quot;/&gt;&lt;wsp:rsid wsp:val=&quot;00841D65&quot;/&gt;&lt;wsp:rsid wsp:val=&quot;00841EDB&quot;/&gt;&lt;wsp:rsid wsp:val=&quot;008439EE&quot;/&gt;&lt;wsp:rsid wsp:val=&quot;00843CCC&quot;/&gt;&lt;wsp:rsid wsp:val=&quot;00844037&quot;/&gt;&lt;wsp:rsid wsp:val=&quot;008440EB&quot;/&gt;&lt;wsp:rsid wsp:val=&quot;00844429&quot;/&gt;&lt;wsp:rsid wsp:val=&quot;00845084&quot;/&gt;&lt;wsp:rsid wsp:val=&quot;00845B1B&quot;/&gt;&lt;wsp:rsid wsp:val=&quot;00845B4C&quot;/&gt;&lt;wsp:rsid wsp:val=&quot;00845CF5&quot;/&gt;&lt;wsp:rsid wsp:val=&quot;00846AE9&quot;/&gt;&lt;wsp:rsid wsp:val=&quot;00846DF2&quot;/&gt;&lt;wsp:rsid wsp:val=&quot;00847711&quot;/&gt;&lt;wsp:rsid wsp:val=&quot;00847824&quot;/&gt;&lt;wsp:rsid wsp:val=&quot;00847AFE&quot;/&gt;&lt;wsp:rsid wsp:val=&quot;0085062A&quot;/&gt;&lt;wsp:rsid wsp:val=&quot;00850990&quot;/&gt;&lt;wsp:rsid wsp:val=&quot;00851303&quot;/&gt;&lt;wsp:rsid wsp:val=&quot;00851614&quot;/&gt;&lt;wsp:rsid wsp:val=&quot;0085162A&quot;/&gt;&lt;wsp:rsid wsp:val=&quot;00851A1D&quot;/&gt;&lt;wsp:rsid wsp:val=&quot;00851E16&quot;/&gt;&lt;wsp:rsid wsp:val=&quot;00852147&quot;/&gt;&lt;wsp:rsid wsp:val=&quot;008521B9&quot;/&gt;&lt;wsp:rsid wsp:val=&quot;00852CE2&quot;/&gt;&lt;wsp:rsid wsp:val=&quot;008536C2&quot;/&gt;&lt;wsp:rsid wsp:val=&quot;00853797&quot;/&gt;&lt;wsp:rsid wsp:val=&quot;00853B51&quot;/&gt;&lt;wsp:rsid wsp:val=&quot;0085669B&quot;/&gt;&lt;wsp:rsid wsp:val=&quot;00856914&quot;/&gt;&lt;wsp:rsid wsp:val=&quot;0085743D&quot;/&gt;&lt;wsp:rsid wsp:val=&quot;00860BA8&quot;/&gt;&lt;wsp:rsid wsp:val=&quot;00860D69&quot;/&gt;&lt;wsp:rsid wsp:val=&quot;00860FC0&quot;/&gt;&lt;wsp:rsid wsp:val=&quot;008612CF&quot;/&gt;&lt;wsp:rsid wsp:val=&quot;008623C6&quot;/&gt;&lt;wsp:rsid wsp:val=&quot;00863407&quot;/&gt;&lt;wsp:rsid wsp:val=&quot;0086340E&quot;/&gt;&lt;wsp:rsid wsp:val=&quot;0086413A&quot;/&gt;&lt;wsp:rsid wsp:val=&quot;00864948&quot;/&gt;&lt;wsp:rsid wsp:val=&quot;00864BD5&quot;/&gt;&lt;wsp:rsid wsp:val=&quot;00865AD3&quot;/&gt;&lt;wsp:rsid wsp:val=&quot;00865BBC&quot;/&gt;&lt;wsp:rsid wsp:val=&quot;008662F9&quot;/&gt;&lt;wsp:rsid wsp:val=&quot;00866310&quot;/&gt;&lt;wsp:rsid wsp:val=&quot;008679B1&quot;/&gt;&lt;wsp:rsid wsp:val=&quot;00867E9A&quot;/&gt;&lt;wsp:rsid wsp:val=&quot;0087176A&quot;/&gt;&lt;wsp:rsid wsp:val=&quot;008719EE&quot;/&gt;&lt;wsp:rsid wsp:val=&quot;00871F64&quot;/&gt;&lt;wsp:rsid wsp:val=&quot;00872302&quot;/&gt;&lt;wsp:rsid wsp:val=&quot;00872C8D&quot;/&gt;&lt;wsp:rsid wsp:val=&quot;00873A37&quot;/&gt;&lt;wsp:rsid wsp:val=&quot;00874241&quot;/&gt;&lt;wsp:rsid wsp:val=&quot;00874C9E&quot;/&gt;&lt;wsp:rsid wsp:val=&quot;00874DDB&quot;/&gt;&lt;wsp:rsid wsp:val=&quot;00875267&quot;/&gt;&lt;wsp:rsid wsp:val=&quot;0087646C&quot;/&gt;&lt;wsp:rsid wsp:val=&quot;0087675E&quot;/&gt;&lt;wsp:rsid wsp:val=&quot;00877137&quot;/&gt;&lt;wsp:rsid wsp:val=&quot;00877B90&quot;/&gt;&lt;wsp:rsid wsp:val=&quot;00877F59&quot;/&gt;&lt;wsp:rsid wsp:val=&quot;00880713&quot;/&gt;&lt;wsp:rsid wsp:val=&quot;00882AC3&quot;/&gt;&lt;wsp:rsid wsp:val=&quot;008830E0&quot;/&gt;&lt;wsp:rsid wsp:val=&quot;008832B4&quot;/&gt;&lt;wsp:rsid wsp:val=&quot;00883B3C&quot;/&gt;&lt;wsp:rsid wsp:val=&quot;00883D6B&quot;/&gt;&lt;wsp:rsid wsp:val=&quot;00884863&quot;/&gt;&lt;wsp:rsid wsp:val=&quot;00884A9E&quot;/&gt;&lt;wsp:rsid wsp:val=&quot;00884B5E&quot;/&gt;&lt;wsp:rsid wsp:val=&quot;00885582&quot;/&gt;&lt;wsp:rsid wsp:val=&quot;0088586E&quot;/&gt;&lt;wsp:rsid wsp:val=&quot;00885B82&quot;/&gt;&lt;wsp:rsid wsp:val=&quot;00885DBF&quot;/&gt;&lt;wsp:rsid wsp:val=&quot;00885F4D&quot;/&gt;&lt;wsp:rsid wsp:val=&quot;00890300&quot;/&gt;&lt;wsp:rsid wsp:val=&quot;00890313&quot;/&gt;&lt;wsp:rsid wsp:val=&quot;008907EE&quot;/&gt;&lt;wsp:rsid wsp:val=&quot;00891F0D&quot;/&gt;&lt;wsp:rsid wsp:val=&quot;00892C02&quot;/&gt;&lt;wsp:rsid wsp:val=&quot;008933F9&quot;/&gt;&lt;wsp:rsid wsp:val=&quot;00893EE8&quot;/&gt;&lt;wsp:rsid wsp:val=&quot;00894412&quot;/&gt;&lt;wsp:rsid wsp:val=&quot;008949D5&quot;/&gt;&lt;wsp:rsid wsp:val=&quot;00894C07&quot;/&gt;&lt;wsp:rsid wsp:val=&quot;00895005&quot;/&gt;&lt;wsp:rsid wsp:val=&quot;0089513D&quot;/&gt;&lt;wsp:rsid wsp:val=&quot;008957A6&quot;/&gt;&lt;wsp:rsid wsp:val=&quot;00895C95&quot;/&gt;&lt;wsp:rsid wsp:val=&quot;008978A9&quot;/&gt;&lt;wsp:rsid wsp:val=&quot;00897E8A&quot;/&gt;&lt;wsp:rsid wsp:val=&quot;00897F28&quot;/&gt;&lt;wsp:rsid wsp:val=&quot;008A04AA&quot;/&gt;&lt;wsp:rsid wsp:val=&quot;008A04D8&quot;/&gt;&lt;wsp:rsid wsp:val=&quot;008A056B&quot;/&gt;&lt;wsp:rsid wsp:val=&quot;008A09DD&quot;/&gt;&lt;wsp:rsid wsp:val=&quot;008A0B89&quot;/&gt;&lt;wsp:rsid wsp:val=&quot;008A16E0&quot;/&gt;&lt;wsp:rsid wsp:val=&quot;008A1BEC&quot;/&gt;&lt;wsp:rsid wsp:val=&quot;008A1DCA&quot;/&gt;&lt;wsp:rsid wsp:val=&quot;008A300A&quot;/&gt;&lt;wsp:rsid wsp:val=&quot;008A30FD&quot;/&gt;&lt;wsp:rsid wsp:val=&quot;008A3F8D&quot;/&gt;&lt;wsp:rsid wsp:val=&quot;008A437E&quot;/&gt;&lt;wsp:rsid wsp:val=&quot;008A4609&quot;/&gt;&lt;wsp:rsid wsp:val=&quot;008A52B9&quot;/&gt;&lt;wsp:rsid wsp:val=&quot;008A551D&quot;/&gt;&lt;wsp:rsid wsp:val=&quot;008A58F7&quot;/&gt;&lt;wsp:rsid wsp:val=&quot;008A724A&quot;/&gt;&lt;wsp:rsid wsp:val=&quot;008A79DC&quot;/&gt;&lt;wsp:rsid wsp:val=&quot;008B01D2&quot;/&gt;&lt;wsp:rsid wsp:val=&quot;008B10A7&quot;/&gt;&lt;wsp:rsid wsp:val=&quot;008B419F&quot;/&gt;&lt;wsp:rsid wsp:val=&quot;008B4BD1&quot;/&gt;&lt;wsp:rsid wsp:val=&quot;008B4C14&quot;/&gt;&lt;wsp:rsid wsp:val=&quot;008B4DFB&quot;/&gt;&lt;wsp:rsid wsp:val=&quot;008B4E59&quot;/&gt;&lt;wsp:rsid wsp:val=&quot;008B4FD8&quot;/&gt;&lt;wsp:rsid wsp:val=&quot;008B5A22&quot;/&gt;&lt;wsp:rsid wsp:val=&quot;008B5B43&quot;/&gt;&lt;wsp:rsid wsp:val=&quot;008B681B&quot;/&gt;&lt;wsp:rsid wsp:val=&quot;008B6FF9&quot;/&gt;&lt;wsp:rsid wsp:val=&quot;008B7BF1&quot;/&gt;&lt;wsp:rsid wsp:val=&quot;008C0FB3&quot;/&gt;&lt;wsp:rsid wsp:val=&quot;008C137D&quot;/&gt;&lt;wsp:rsid wsp:val=&quot;008C1389&quot;/&gt;&lt;wsp:rsid wsp:val=&quot;008C15AD&quot;/&gt;&lt;wsp:rsid wsp:val=&quot;008C1CAA&quot;/&gt;&lt;wsp:rsid wsp:val=&quot;008C2C13&quot;/&gt;&lt;wsp:rsid wsp:val=&quot;008C2EBD&quot;/&gt;&lt;wsp:rsid wsp:val=&quot;008C4A20&quot;/&gt;&lt;wsp:rsid wsp:val=&quot;008C5DBE&quot;/&gt;&lt;wsp:rsid wsp:val=&quot;008C6169&quot;/&gt;&lt;wsp:rsid wsp:val=&quot;008C62AA&quot;/&gt;&lt;wsp:rsid wsp:val=&quot;008C64E6&quot;/&gt;&lt;wsp:rsid wsp:val=&quot;008C67F6&quot;/&gt;&lt;wsp:rsid wsp:val=&quot;008D05B8&quot;/&gt;&lt;wsp:rsid wsp:val=&quot;008D0EBB&quot;/&gt;&lt;wsp:rsid wsp:val=&quot;008D1346&quot;/&gt;&lt;wsp:rsid wsp:val=&quot;008D15BC&quot;/&gt;&lt;wsp:rsid wsp:val=&quot;008D1F4B&quot;/&gt;&lt;wsp:rsid wsp:val=&quot;008D32F6&quot;/&gt;&lt;wsp:rsid wsp:val=&quot;008D3BAE&quot;/&gt;&lt;wsp:rsid wsp:val=&quot;008D5158&quot;/&gt;&lt;wsp:rsid wsp:val=&quot;008D520A&quot;/&gt;&lt;wsp:rsid wsp:val=&quot;008D57BD&quot;/&gt;&lt;wsp:rsid wsp:val=&quot;008D5BB6&quot;/&gt;&lt;wsp:rsid wsp:val=&quot;008D63FF&quot;/&gt;&lt;wsp:rsid wsp:val=&quot;008D6A19&quot;/&gt;&lt;wsp:rsid wsp:val=&quot;008D74C7&quot;/&gt;&lt;wsp:rsid wsp:val=&quot;008D758A&quot;/&gt;&lt;wsp:rsid wsp:val=&quot;008D76C1&quot;/&gt;&lt;wsp:rsid wsp:val=&quot;008D7934&quot;/&gt;&lt;wsp:rsid wsp:val=&quot;008E028E&quot;/&gt;&lt;wsp:rsid wsp:val=&quot;008E10C5&quot;/&gt;&lt;wsp:rsid wsp:val=&quot;008E154E&quot;/&gt;&lt;wsp:rsid wsp:val=&quot;008E181C&quot;/&gt;&lt;wsp:rsid wsp:val=&quot;008E1A46&quot;/&gt;&lt;wsp:rsid wsp:val=&quot;008E1E4C&quot;/&gt;&lt;wsp:rsid wsp:val=&quot;008E2673&quot;/&gt;&lt;wsp:rsid wsp:val=&quot;008E27DC&quot;/&gt;&lt;wsp:rsid wsp:val=&quot;008E4633&quot;/&gt;&lt;wsp:rsid wsp:val=&quot;008E4EA3&quot;/&gt;&lt;wsp:rsid wsp:val=&quot;008E523A&quot;/&gt;&lt;wsp:rsid wsp:val=&quot;008E558B&quot;/&gt;&lt;wsp:rsid wsp:val=&quot;008E5CE9&quot;/&gt;&lt;wsp:rsid wsp:val=&quot;008E6282&quot;/&gt;&lt;wsp:rsid wsp:val=&quot;008E64FB&quot;/&gt;&lt;wsp:rsid wsp:val=&quot;008E661D&quot;/&gt;&lt;wsp:rsid wsp:val=&quot;008E786C&quot;/&gt;&lt;wsp:rsid wsp:val=&quot;008F05AF&quot;/&gt;&lt;wsp:rsid wsp:val=&quot;008F1226&quot;/&gt;&lt;wsp:rsid wsp:val=&quot;008F1336&quot;/&gt;&lt;wsp:rsid wsp:val=&quot;008F20BA&quot;/&gt;&lt;wsp:rsid wsp:val=&quot;008F2461&quot;/&gt;&lt;wsp:rsid wsp:val=&quot;008F2A79&quot;/&gt;&lt;wsp:rsid wsp:val=&quot;008F3B39&quot;/&gt;&lt;wsp:rsid wsp:val=&quot;008F477D&quot;/&gt;&lt;wsp:rsid wsp:val=&quot;008F4F80&quot;/&gt;&lt;wsp:rsid wsp:val=&quot;008F540E&quot;/&gt;&lt;wsp:rsid wsp:val=&quot;008F54A2&quot;/&gt;&lt;wsp:rsid wsp:val=&quot;008F70C8&quot;/&gt;&lt;wsp:rsid wsp:val=&quot;008F770A&quot;/&gt;&lt;wsp:rsid wsp:val=&quot;0090051D&quot;/&gt;&lt;wsp:rsid wsp:val=&quot;009008B1&quot;/&gt;&lt;wsp:rsid wsp:val=&quot;00900BF8&quot;/&gt;&lt;wsp:rsid wsp:val=&quot;009029C7&quot;/&gt;&lt;wsp:rsid wsp:val=&quot;0090398C&quot;/&gt;&lt;wsp:rsid wsp:val=&quot;00903D9E&quot;/&gt;&lt;wsp:rsid wsp:val=&quot;00903DCE&quot;/&gt;&lt;wsp:rsid wsp:val=&quot;009047D8&quot;/&gt;&lt;wsp:rsid wsp:val=&quot;009061FC&quot;/&gt;&lt;wsp:rsid wsp:val=&quot;00906875&quot;/&gt;&lt;wsp:rsid wsp:val=&quot;00906F94&quot;/&gt;&lt;wsp:rsid wsp:val=&quot;00907B59&quot;/&gt;&lt;wsp:rsid wsp:val=&quot;00907E85&quot;/&gt;&lt;wsp:rsid wsp:val=&quot;00910334&quot;/&gt;&lt;wsp:rsid wsp:val=&quot;00912356&quot;/&gt;&lt;wsp:rsid wsp:val=&quot;00912F78&quot;/&gt;&lt;wsp:rsid wsp:val=&quot;00912FE6&quot;/&gt;&lt;wsp:rsid wsp:val=&quot;0091320B&quot;/&gt;&lt;wsp:rsid wsp:val=&quot;00913C8D&quot;/&gt;&lt;wsp:rsid wsp:val=&quot;009142E9&quot;/&gt;&lt;wsp:rsid wsp:val=&quot;00914FF9&quot;/&gt;&lt;wsp:rsid wsp:val=&quot;00915522&quot;/&gt;&lt;wsp:rsid wsp:val=&quot;00915E58&quot;/&gt;&lt;wsp:rsid wsp:val=&quot;00915FFD&quot;/&gt;&lt;wsp:rsid wsp:val=&quot;00916778&quot;/&gt;&lt;wsp:rsid wsp:val=&quot;0091705C&quot;/&gt;&lt;wsp:rsid wsp:val=&quot;0091795C&quot;/&gt;&lt;wsp:rsid wsp:val=&quot;00917A1B&quot;/&gt;&lt;wsp:rsid wsp:val=&quot;00917F12&quot;/&gt;&lt;wsp:rsid wsp:val=&quot;00920349&quot;/&gt;&lt;wsp:rsid wsp:val=&quot;009210B2&quot;/&gt;&lt;wsp:rsid wsp:val=&quot;00921427&quot;/&gt;&lt;wsp:rsid wsp:val=&quot;00921D99&quot;/&gt;&lt;wsp:rsid wsp:val=&quot;009245D5&quot;/&gt;&lt;wsp:rsid wsp:val=&quot;00924EDA&quot;/&gt;&lt;wsp:rsid wsp:val=&quot;0092505B&quot;/&gt;&lt;wsp:rsid wsp:val=&quot;009250C2&quot;/&gt;&lt;wsp:rsid wsp:val=&quot;00925692&quot;/&gt;&lt;wsp:rsid wsp:val=&quot;00926952&quot;/&gt;&lt;wsp:rsid wsp:val=&quot;0093086E&quot;/&gt;&lt;wsp:rsid wsp:val=&quot;00930D9F&quot;/&gt;&lt;wsp:rsid wsp:val=&quot;0093116C&quot;/&gt;&lt;wsp:rsid wsp:val=&quot;00932124&quot;/&gt;&lt;wsp:rsid wsp:val=&quot;009322B4&quot;/&gt;&lt;wsp:rsid wsp:val=&quot;00932827&quot;/&gt;&lt;wsp:rsid wsp:val=&quot;00932F1C&quot;/&gt;&lt;wsp:rsid wsp:val=&quot;009339B7&quot;/&gt;&lt;wsp:rsid wsp:val=&quot;00933A63&quot;/&gt;&lt;wsp:rsid wsp:val=&quot;00933D64&quot;/&gt;&lt;wsp:rsid wsp:val=&quot;009342C5&quot;/&gt;&lt;wsp:rsid wsp:val=&quot;00934782&quot;/&gt;&lt;wsp:rsid wsp:val=&quot;009353FD&quot;/&gt;&lt;wsp:rsid wsp:val=&quot;00936781&quot;/&gt;&lt;wsp:rsid wsp:val=&quot;00936D42&quot;/&gt;&lt;wsp:rsid wsp:val=&quot;009370EA&quot;/&gt;&lt;wsp:rsid wsp:val=&quot;00937860&quot;/&gt;&lt;wsp:rsid wsp:val=&quot;00937F96&quot;/&gt;&lt;wsp:rsid wsp:val=&quot;0094023B&quot;/&gt;&lt;wsp:rsid wsp:val=&quot;00941685&quot;/&gt;&lt;wsp:rsid wsp:val=&quot;009426EF&quot;/&gt;&lt;wsp:rsid wsp:val=&quot;00942B7F&quot;/&gt;&lt;wsp:rsid wsp:val=&quot;00943FE3&quot;/&gt;&lt;wsp:rsid wsp:val=&quot;00944EBE&quot;/&gt;&lt;wsp:rsid wsp:val=&quot;00944F15&quot;/&gt;&lt;wsp:rsid wsp:val=&quot;00945734&quot;/&gt;&lt;wsp:rsid wsp:val=&quot;00945B73&quot;/&gt;&lt;wsp:rsid wsp:val=&quot;00945F48&quot;/&gt;&lt;wsp:rsid wsp:val=&quot;0094630C&quot;/&gt;&lt;wsp:rsid wsp:val=&quot;00946EE3&quot;/&gt;&lt;wsp:rsid wsp:val=&quot;009471A3&quot;/&gt;&lt;wsp:rsid wsp:val=&quot;0094720F&quot;/&gt;&lt;wsp:rsid wsp:val=&quot;00947267&quot;/&gt;&lt;wsp:rsid wsp:val=&quot;00947574&quot;/&gt;&lt;wsp:rsid wsp:val=&quot;009504B1&quot;/&gt;&lt;wsp:rsid wsp:val=&quot;009505C1&quot;/&gt;&lt;wsp:rsid wsp:val=&quot;00950B87&quot;/&gt;&lt;wsp:rsid wsp:val=&quot;00950D59&quot;/&gt;&lt;wsp:rsid wsp:val=&quot;0095233D&quot;/&gt;&lt;wsp:rsid wsp:val=&quot;009525C7&quot;/&gt;&lt;wsp:rsid wsp:val=&quot;0095293C&quot;/&gt;&lt;wsp:rsid wsp:val=&quot;00952FA2&quot;/&gt;&lt;wsp:rsid wsp:val=&quot;009540CB&quot;/&gt;&lt;wsp:rsid wsp:val=&quot;009549CC&quot;/&gt;&lt;wsp:rsid wsp:val=&quot;00955AB9&quot;/&gt;&lt;wsp:rsid wsp:val=&quot;00955C9C&quot;/&gt;&lt;wsp:rsid wsp:val=&quot;0095619B&quot;/&gt;&lt;wsp:rsid wsp:val=&quot;00956EAB&quot;/&gt;&lt;wsp:rsid wsp:val=&quot;00957226&quot;/&gt;&lt;wsp:rsid wsp:val=&quot;009574D5&quot;/&gt;&lt;wsp:rsid wsp:val=&quot;009579BA&quot;/&gt;&lt;wsp:rsid wsp:val=&quot;00960A0D&quot;/&gt;&lt;wsp:rsid wsp:val=&quot;00960ED4&quot;/&gt;&lt;wsp:rsid wsp:val=&quot;00960F89&quot;/&gt;&lt;wsp:rsid wsp:val=&quot;00962A0A&quot;/&gt;&lt;wsp:rsid wsp:val=&quot;00962A55&quot;/&gt;&lt;wsp:rsid wsp:val=&quot;00963035&quot;/&gt;&lt;wsp:rsid wsp:val=&quot;009639AE&quot;/&gt;&lt;wsp:rsid wsp:val=&quot;00963DB3&quot;/&gt;&lt;wsp:rsid wsp:val=&quot;00965143&quot;/&gt;&lt;wsp:rsid wsp:val=&quot;00966DEA&quot;/&gt;&lt;wsp:rsid wsp:val=&quot;00967274&quot;/&gt;&lt;wsp:rsid wsp:val=&quot;00967A0A&quot;/&gt;&lt;wsp:rsid wsp:val=&quot;00967FA6&quot;/&gt;&lt;wsp:rsid wsp:val=&quot;009702F3&quot;/&gt;&lt;wsp:rsid wsp:val=&quot;00970B59&quot;/&gt;&lt;wsp:rsid wsp:val=&quot;0097113F&quot;/&gt;&lt;wsp:rsid wsp:val=&quot;009713B5&quot;/&gt;&lt;wsp:rsid wsp:val=&quot;00971CFA&quot;/&gt;&lt;wsp:rsid wsp:val=&quot;009724AC&quot;/&gt;&lt;wsp:rsid wsp:val=&quot;00972902&quot;/&gt;&lt;wsp:rsid wsp:val=&quot;00972C58&quot;/&gt;&lt;wsp:rsid wsp:val=&quot;00973042&quot;/&gt;&lt;wsp:rsid wsp:val=&quot;0097386B&quot;/&gt;&lt;wsp:rsid wsp:val=&quot;00973A65&quot;/&gt;&lt;wsp:rsid wsp:val=&quot;00973B2D&quot;/&gt;&lt;wsp:rsid wsp:val=&quot;00973D0F&quot;/&gt;&lt;wsp:rsid wsp:val=&quot;00975412&quot;/&gt;&lt;wsp:rsid wsp:val=&quot;00977A11&quot;/&gt;&lt;wsp:rsid wsp:val=&quot;00977AA3&quot;/&gt;&lt;wsp:rsid wsp:val=&quot;009817D6&quot;/&gt;&lt;wsp:rsid wsp:val=&quot;00981D8B&quot;/&gt;&lt;wsp:rsid wsp:val=&quot;00982616&quot;/&gt;&lt;wsp:rsid wsp:val=&quot;00982A17&quot;/&gt;&lt;wsp:rsid wsp:val=&quot;00982AAD&quot;/&gt;&lt;wsp:rsid wsp:val=&quot;00983B7A&quot;/&gt;&lt;wsp:rsid wsp:val=&quot;00983DCA&quot;/&gt;&lt;wsp:rsid wsp:val=&quot;00984496&quot;/&gt;&lt;wsp:rsid wsp:val=&quot;00985481&quot;/&gt;&lt;wsp:rsid wsp:val=&quot;009855FE&quot;/&gt;&lt;wsp:rsid wsp:val=&quot;00986183&quot;/&gt;&lt;wsp:rsid wsp:val=&quot;00986651&quot;/&gt;&lt;wsp:rsid wsp:val=&quot;0098721C&quot;/&gt;&lt;wsp:rsid wsp:val=&quot;00987730&quot;/&gt;&lt;wsp:rsid wsp:val=&quot;00991532&quot;/&gt;&lt;wsp:rsid wsp:val=&quot;0099178F&quot;/&gt;&lt;wsp:rsid wsp:val=&quot;00992381&quot;/&gt;&lt;wsp:rsid wsp:val=&quot;00992FED&quot;/&gt;&lt;wsp:rsid wsp:val=&quot;00993DC6&quot;/&gt;&lt;wsp:rsid wsp:val=&quot;00995333&quot;/&gt;&lt;wsp:rsid wsp:val=&quot;009957CE&quot;/&gt;&lt;wsp:rsid wsp:val=&quot;00996B83&quot;/&gt;&lt;wsp:rsid wsp:val=&quot;009A00F2&quot;/&gt;&lt;wsp:rsid wsp:val=&quot;009A0C70&quot;/&gt;&lt;wsp:rsid wsp:val=&quot;009A14BD&quot;/&gt;&lt;wsp:rsid wsp:val=&quot;009A1607&quot;/&gt;&lt;wsp:rsid wsp:val=&quot;009A1637&quot;/&gt;&lt;wsp:rsid wsp:val=&quot;009A1D8D&quot;/&gt;&lt;wsp:rsid wsp:val=&quot;009A2447&quot;/&gt;&lt;wsp:rsid wsp:val=&quot;009A2C43&quot;/&gt;&lt;wsp:rsid wsp:val=&quot;009A2E6E&quot;/&gt;&lt;wsp:rsid wsp:val=&quot;009A331B&quot;/&gt;&lt;wsp:rsid wsp:val=&quot;009A3332&quot;/&gt;&lt;wsp:rsid wsp:val=&quot;009A3344&quot;/&gt;&lt;wsp:rsid wsp:val=&quot;009A3477&quot;/&gt;&lt;wsp:rsid wsp:val=&quot;009A367A&quot;/&gt;&lt;wsp:rsid wsp:val=&quot;009A5120&quot;/&gt;&lt;wsp:rsid wsp:val=&quot;009A6A75&quot;/&gt;&lt;wsp:rsid wsp:val=&quot;009A7102&quot;/&gt;&lt;wsp:rsid wsp:val=&quot;009A735B&quot;/&gt;&lt;wsp:rsid wsp:val=&quot;009A76DE&quot;/&gt;&lt;wsp:rsid wsp:val=&quot;009A7762&quot;/&gt;&lt;wsp:rsid wsp:val=&quot;009A7905&quot;/&gt;&lt;wsp:rsid wsp:val=&quot;009B0481&quot;/&gt;&lt;wsp:rsid wsp:val=&quot;009B0FA1&quot;/&gt;&lt;wsp:rsid wsp:val=&quot;009B0FF1&quot;/&gt;&lt;wsp:rsid wsp:val=&quot;009B1C8A&quot;/&gt;&lt;wsp:rsid wsp:val=&quot;009B1DFA&quot;/&gt;&lt;wsp:rsid wsp:val=&quot;009B22F9&quot;/&gt;&lt;wsp:rsid wsp:val=&quot;009B2BC8&quot;/&gt;&lt;wsp:rsid wsp:val=&quot;009B351C&quot;/&gt;&lt;wsp:rsid wsp:val=&quot;009B4088&quot;/&gt;&lt;wsp:rsid wsp:val=&quot;009B442E&quot;/&gt;&lt;wsp:rsid wsp:val=&quot;009B5235&quot;/&gt;&lt;wsp:rsid wsp:val=&quot;009B52B1&quot;/&gt;&lt;wsp:rsid wsp:val=&quot;009B6AE2&quot;/&gt;&lt;wsp:rsid wsp:val=&quot;009B72F0&quot;/&gt;&lt;wsp:rsid wsp:val=&quot;009B75F2&quot;/&gt;&lt;wsp:rsid wsp:val=&quot;009C0347&quot;/&gt;&lt;wsp:rsid wsp:val=&quot;009C13EB&quot;/&gt;&lt;wsp:rsid wsp:val=&quot;009C1DDB&quot;/&gt;&lt;wsp:rsid wsp:val=&quot;009C1DF1&quot;/&gt;&lt;wsp:rsid wsp:val=&quot;009C1EDB&quot;/&gt;&lt;wsp:rsid wsp:val=&quot;009C1F59&quot;/&gt;&lt;wsp:rsid wsp:val=&quot;009C2C3D&quot;/&gt;&lt;wsp:rsid wsp:val=&quot;009C2F22&quot;/&gt;&lt;wsp:rsid wsp:val=&quot;009C31C6&quot;/&gt;&lt;wsp:rsid wsp:val=&quot;009C325C&quot;/&gt;&lt;wsp:rsid wsp:val=&quot;009C3392&quot;/&gt;&lt;wsp:rsid wsp:val=&quot;009C48FD&quot;/&gt;&lt;wsp:rsid wsp:val=&quot;009C4A0B&quot;/&gt;&lt;wsp:rsid wsp:val=&quot;009C4AAF&quot;/&gt;&lt;wsp:rsid wsp:val=&quot;009C4BE8&quot;/&gt;&lt;wsp:rsid wsp:val=&quot;009C5278&quot;/&gt;&lt;wsp:rsid wsp:val=&quot;009C52E4&quot;/&gt;&lt;wsp:rsid wsp:val=&quot;009C5A47&quot;/&gt;&lt;wsp:rsid wsp:val=&quot;009C66EB&quot;/&gt;&lt;wsp:rsid wsp:val=&quot;009C77BA&quot;/&gt;&lt;wsp:rsid wsp:val=&quot;009D0A78&quot;/&gt;&lt;wsp:rsid wsp:val=&quot;009D14BB&quot;/&gt;&lt;wsp:rsid wsp:val=&quot;009D240C&quot;/&gt;&lt;wsp:rsid wsp:val=&quot;009D2590&quot;/&gt;&lt;wsp:rsid wsp:val=&quot;009D3DCA&quot;/&gt;&lt;wsp:rsid wsp:val=&quot;009D3E5D&quot;/&gt;&lt;wsp:rsid wsp:val=&quot;009D42B0&quot;/&gt;&lt;wsp:rsid wsp:val=&quot;009D4C83&quot;/&gt;&lt;wsp:rsid wsp:val=&quot;009D55FC&quot;/&gt;&lt;wsp:rsid wsp:val=&quot;009D7072&quot;/&gt;&lt;wsp:rsid wsp:val=&quot;009D775C&quot;/&gt;&lt;wsp:rsid wsp:val=&quot;009D7E30&quot;/&gt;&lt;wsp:rsid wsp:val=&quot;009E09C2&quot;/&gt;&lt;wsp:rsid wsp:val=&quot;009E0A6D&quot;/&gt;&lt;wsp:rsid wsp:val=&quot;009E0DA9&quot;/&gt;&lt;wsp:rsid wsp:val=&quot;009E0FAB&quot;/&gt;&lt;wsp:rsid wsp:val=&quot;009E13E3&quot;/&gt;&lt;wsp:rsid wsp:val=&quot;009E1624&quot;/&gt;&lt;wsp:rsid wsp:val=&quot;009E177C&quot;/&gt;&lt;wsp:rsid wsp:val=&quot;009E1817&quot;/&gt;&lt;wsp:rsid wsp:val=&quot;009E19DD&quot;/&gt;&lt;wsp:rsid wsp:val=&quot;009E1CC7&quot;/&gt;&lt;wsp:rsid wsp:val=&quot;009E1F1F&quot;/&gt;&lt;wsp:rsid wsp:val=&quot;009E2AC9&quot;/&gt;&lt;wsp:rsid wsp:val=&quot;009E332D&quot;/&gt;&lt;wsp:rsid wsp:val=&quot;009E479D&quot;/&gt;&lt;wsp:rsid wsp:val=&quot;009E4BF4&quot;/&gt;&lt;wsp:rsid wsp:val=&quot;009E5216&quot;/&gt;&lt;wsp:rsid wsp:val=&quot;009E6120&quot;/&gt;&lt;wsp:rsid wsp:val=&quot;009E689D&quot;/&gt;&lt;wsp:rsid wsp:val=&quot;009E74F4&quot;/&gt;&lt;wsp:rsid wsp:val=&quot;009E75FD&quot;/&gt;&lt;wsp:rsid wsp:val=&quot;009E7AFE&quot;/&gt;&lt;wsp:rsid wsp:val=&quot;009E7FD2&quot;/&gt;&lt;wsp:rsid wsp:val=&quot;009F005F&quot;/&gt;&lt;wsp:rsid wsp:val=&quot;009F106A&quot;/&gt;&lt;wsp:rsid wsp:val=&quot;009F2476&quot;/&gt;&lt;wsp:rsid wsp:val=&quot;009F295D&quot;/&gt;&lt;wsp:rsid wsp:val=&quot;009F2CA6&quot;/&gt;&lt;wsp:rsid wsp:val=&quot;009F3142&quot;/&gt;&lt;wsp:rsid wsp:val=&quot;009F3A8F&quot;/&gt;&lt;wsp:rsid wsp:val=&quot;009F3E00&quot;/&gt;&lt;wsp:rsid wsp:val=&quot;009F4AAE&quot;/&gt;&lt;wsp:rsid wsp:val=&quot;009F56E6&quot;/&gt;&lt;wsp:rsid wsp:val=&quot;009F604D&quot;/&gt;&lt;wsp:rsid wsp:val=&quot;009F6C1E&quot;/&gt;&lt;wsp:rsid wsp:val=&quot;009F6DA7&quot;/&gt;&lt;wsp:rsid wsp:val=&quot;009F71DB&quot;/&gt;&lt;wsp:rsid wsp:val=&quot;009F79CA&quot;/&gt;&lt;wsp:rsid wsp:val=&quot;00A00CD2&quot;/&gt;&lt;wsp:rsid wsp:val=&quot;00A0104F&quot;/&gt;&lt;wsp:rsid wsp:val=&quot;00A01127&quot;/&gt;&lt;wsp:rsid wsp:val=&quot;00A0206D&quot;/&gt;&lt;wsp:rsid wsp:val=&quot;00A02278&quot;/&gt;&lt;wsp:rsid wsp:val=&quot;00A02D30&quot;/&gt;&lt;wsp:rsid wsp:val=&quot;00A033FD&quot;/&gt;&lt;wsp:rsid wsp:val=&quot;00A03CFB&quot;/&gt;&lt;wsp:rsid wsp:val=&quot;00A04C5D&quot;/&gt;&lt;wsp:rsid wsp:val=&quot;00A061A7&quot;/&gt;&lt;wsp:rsid wsp:val=&quot;00A06457&quot;/&gt;&lt;wsp:rsid wsp:val=&quot;00A065D6&quot;/&gt;&lt;wsp:rsid wsp:val=&quot;00A06E2B&quot;/&gt;&lt;wsp:rsid wsp:val=&quot;00A0754E&quot;/&gt;&lt;wsp:rsid wsp:val=&quot;00A07E2C&quot;/&gt;&lt;wsp:rsid wsp:val=&quot;00A105E9&quot;/&gt;&lt;wsp:rsid wsp:val=&quot;00A1081D&quot;/&gt;&lt;wsp:rsid wsp:val=&quot;00A109F8&quot;/&gt;&lt;wsp:rsid wsp:val=&quot;00A10CCA&quot;/&gt;&lt;wsp:rsid wsp:val=&quot;00A10F7B&quot;/&gt;&lt;wsp:rsid wsp:val=&quot;00A11767&quot;/&gt;&lt;wsp:rsid wsp:val=&quot;00A1185B&quot;/&gt;&lt;wsp:rsid wsp:val=&quot;00A118AA&quot;/&gt;&lt;wsp:rsid wsp:val=&quot;00A11AE7&quot;/&gt;&lt;wsp:rsid wsp:val=&quot;00A12629&quot;/&gt;&lt;wsp:rsid wsp:val=&quot;00A12CFE&quot;/&gt;&lt;wsp:rsid wsp:val=&quot;00A12DAA&quot;/&gt;&lt;wsp:rsid wsp:val=&quot;00A13265&quot;/&gt;&lt;wsp:rsid wsp:val=&quot;00A13ED5&quot;/&gt;&lt;wsp:rsid wsp:val=&quot;00A14478&quot;/&gt;&lt;wsp:rsid wsp:val=&quot;00A14F9E&quot;/&gt;&lt;wsp:rsid wsp:val=&quot;00A15714&quot;/&gt;&lt;wsp:rsid wsp:val=&quot;00A15765&quot;/&gt;&lt;wsp:rsid wsp:val=&quot;00A15ABE&quot;/&gt;&lt;wsp:rsid wsp:val=&quot;00A1689E&quot;/&gt;&lt;wsp:rsid wsp:val=&quot;00A17B2F&quot;/&gt;&lt;wsp:rsid wsp:val=&quot;00A2003C&quot;/&gt;&lt;wsp:rsid wsp:val=&quot;00A2018B&quot;/&gt;&lt;wsp:rsid wsp:val=&quot;00A202C8&quot;/&gt;&lt;wsp:rsid wsp:val=&quot;00A206C6&quot;/&gt;&lt;wsp:rsid wsp:val=&quot;00A209B5&quot;/&gt;&lt;wsp:rsid wsp:val=&quot;00A20BA5&quot;/&gt;&lt;wsp:rsid wsp:val=&quot;00A21C8D&quot;/&gt;&lt;wsp:rsid wsp:val=&quot;00A21ED8&quot;/&gt;&lt;wsp:rsid wsp:val=&quot;00A23387&quot;/&gt;&lt;wsp:rsid wsp:val=&quot;00A2358B&quot;/&gt;&lt;wsp:rsid wsp:val=&quot;00A24395&quot;/&gt;&lt;wsp:rsid wsp:val=&quot;00A245D3&quot;/&gt;&lt;wsp:rsid wsp:val=&quot;00A246B0&quot;/&gt;&lt;wsp:rsid wsp:val=&quot;00A24A4D&quot;/&gt;&lt;wsp:rsid wsp:val=&quot;00A24D79&quot;/&gt;&lt;wsp:rsid wsp:val=&quot;00A24EC0&quot;/&gt;&lt;wsp:rsid wsp:val=&quot;00A25016&quot;/&gt;&lt;wsp:rsid wsp:val=&quot;00A251AB&quot;/&gt;&lt;wsp:rsid wsp:val=&quot;00A257AF&quot;/&gt;&lt;wsp:rsid wsp:val=&quot;00A25BBC&quot;/&gt;&lt;wsp:rsid wsp:val=&quot;00A26143&quot;/&gt;&lt;wsp:rsid wsp:val=&quot;00A261E7&quot;/&gt;&lt;wsp:rsid wsp:val=&quot;00A26400&quot;/&gt;&lt;wsp:rsid wsp:val=&quot;00A2662E&quot;/&gt;&lt;wsp:rsid wsp:val=&quot;00A2690E&quot;/&gt;&lt;wsp:rsid wsp:val=&quot;00A26C92&quot;/&gt;&lt;wsp:rsid wsp:val=&quot;00A2733C&quot;/&gt;&lt;wsp:rsid wsp:val=&quot;00A27355&quot;/&gt;&lt;wsp:rsid wsp:val=&quot;00A279D3&quot;/&gt;&lt;wsp:rsid wsp:val=&quot;00A30189&quot;/&gt;&lt;wsp:rsid wsp:val=&quot;00A302E7&quot;/&gt;&lt;wsp:rsid wsp:val=&quot;00A31820&quot;/&gt;&lt;wsp:rsid wsp:val=&quot;00A33A59&quot;/&gt;&lt;wsp:rsid wsp:val=&quot;00A34534&quot;/&gt;&lt;wsp:rsid wsp:val=&quot;00A35710&quot;/&gt;&lt;wsp:rsid wsp:val=&quot;00A358CD&quot;/&gt;&lt;wsp:rsid wsp:val=&quot;00A377D9&quot;/&gt;&lt;wsp:rsid wsp:val=&quot;00A4004B&quot;/&gt;&lt;wsp:rsid wsp:val=&quot;00A40159&quot;/&gt;&lt;wsp:rsid wsp:val=&quot;00A40A40&quot;/&gt;&lt;wsp:rsid wsp:val=&quot;00A40B4B&quot;/&gt;&lt;wsp:rsid wsp:val=&quot;00A41510&quot;/&gt;&lt;wsp:rsid wsp:val=&quot;00A4258F&quot;/&gt;&lt;wsp:rsid wsp:val=&quot;00A42620&quot;/&gt;&lt;wsp:rsid wsp:val=&quot;00A43E1D&quot;/&gt;&lt;wsp:rsid wsp:val=&quot;00A44074&quot;/&gt;&lt;wsp:rsid wsp:val=&quot;00A44209&quot;/&gt;&lt;wsp:rsid wsp:val=&quot;00A44FFF&quot;/&gt;&lt;wsp:rsid wsp:val=&quot;00A45038&quot;/&gt;&lt;wsp:rsid wsp:val=&quot;00A4543F&quot;/&gt;&lt;wsp:rsid wsp:val=&quot;00A45B4F&quot;/&gt;&lt;wsp:rsid wsp:val=&quot;00A4659F&quot;/&gt;&lt;wsp:rsid wsp:val=&quot;00A46FC0&quot;/&gt;&lt;wsp:rsid wsp:val=&quot;00A50ABA&quot;/&gt;&lt;wsp:rsid wsp:val=&quot;00A50D62&quot;/&gt;&lt;wsp:rsid wsp:val=&quot;00A51018&quot;/&gt;&lt;wsp:rsid wsp:val=&quot;00A513D6&quot;/&gt;&lt;wsp:rsid wsp:val=&quot;00A51BE7&quot;/&gt;&lt;wsp:rsid wsp:val=&quot;00A52485&quot;/&gt;&lt;wsp:rsid wsp:val=&quot;00A527C5&quot;/&gt;&lt;wsp:rsid wsp:val=&quot;00A529F0&quot;/&gt;&lt;wsp:rsid wsp:val=&quot;00A53D2D&quot;/&gt;&lt;wsp:rsid wsp:val=&quot;00A5443E&quot;/&gt;&lt;wsp:rsid wsp:val=&quot;00A544B4&quot;/&gt;&lt;wsp:rsid wsp:val=&quot;00A54883&quot;/&gt;&lt;wsp:rsid wsp:val=&quot;00A548E9&quot;/&gt;&lt;wsp:rsid wsp:val=&quot;00A54AC0&quot;/&gt;&lt;wsp:rsid wsp:val=&quot;00A54E98&quot;/&gt;&lt;wsp:rsid wsp:val=&quot;00A556D8&quot;/&gt;&lt;wsp:rsid wsp:val=&quot;00A5716D&quot;/&gt;&lt;wsp:rsid wsp:val=&quot;00A57AC1&quot;/&gt;&lt;wsp:rsid wsp:val=&quot;00A57D05&quot;/&gt;&lt;wsp:rsid wsp:val=&quot;00A60D60&quot;/&gt;&lt;wsp:rsid wsp:val=&quot;00A61546&quot;/&gt;&lt;wsp:rsid wsp:val=&quot;00A6219F&quot;/&gt;&lt;wsp:rsid wsp:val=&quot;00A622CB&quot;/&gt;&lt;wsp:rsid wsp:val=&quot;00A62B9D&quot;/&gt;&lt;wsp:rsid wsp:val=&quot;00A6377D&quot;/&gt;&lt;wsp:rsid wsp:val=&quot;00A64907&quot;/&gt;&lt;wsp:rsid wsp:val=&quot;00A651B6&quot;/&gt;&lt;wsp:rsid wsp:val=&quot;00A65E78&quot;/&gt;&lt;wsp:rsid wsp:val=&quot;00A66643&quot;/&gt;&lt;wsp:rsid wsp:val=&quot;00A67667&quot;/&gt;&lt;wsp:rsid wsp:val=&quot;00A67B81&quot;/&gt;&lt;wsp:rsid wsp:val=&quot;00A702A9&quot;/&gt;&lt;wsp:rsid wsp:val=&quot;00A7059B&quot;/&gt;&lt;wsp:rsid wsp:val=&quot;00A70AFE&quot;/&gt;&lt;wsp:rsid wsp:val=&quot;00A7139A&quot;/&gt;&lt;wsp:rsid wsp:val=&quot;00A722E2&quot;/&gt;&lt;wsp:rsid wsp:val=&quot;00A7369F&quot;/&gt;&lt;wsp:rsid wsp:val=&quot;00A736CD&quot;/&gt;&lt;wsp:rsid wsp:val=&quot;00A74C7C&quot;/&gt;&lt;wsp:rsid wsp:val=&quot;00A77784&quot;/&gt;&lt;wsp:rsid wsp:val=&quot;00A77B95&quot;/&gt;&lt;wsp:rsid wsp:val=&quot;00A800C3&quot;/&gt;&lt;wsp:rsid wsp:val=&quot;00A80AD6&quot;/&gt;&lt;wsp:rsid wsp:val=&quot;00A80B54&quot;/&gt;&lt;wsp:rsid wsp:val=&quot;00A81014&quot;/&gt;&lt;wsp:rsid wsp:val=&quot;00A81351&quot;/&gt;&lt;wsp:rsid wsp:val=&quot;00A81748&quot;/&gt;&lt;wsp:rsid wsp:val=&quot;00A82534&quot;/&gt;&lt;wsp:rsid wsp:val=&quot;00A82A45&quot;/&gt;&lt;wsp:rsid wsp:val=&quot;00A82C83&quot;/&gt;&lt;wsp:rsid wsp:val=&quot;00A8379D&quot;/&gt;&lt;wsp:rsid wsp:val=&quot;00A83A7D&quot;/&gt;&lt;wsp:rsid wsp:val=&quot;00A83FC6&quot;/&gt;&lt;wsp:rsid wsp:val=&quot;00A84837&quot;/&gt;&lt;wsp:rsid wsp:val=&quot;00A84AB3&quot;/&gt;&lt;wsp:rsid wsp:val=&quot;00A8532D&quot;/&gt;&lt;wsp:rsid wsp:val=&quot;00A85531&quot;/&gt;&lt;wsp:rsid wsp:val=&quot;00A85875&quot;/&gt;&lt;wsp:rsid wsp:val=&quot;00A858CD&quot;/&gt;&lt;wsp:rsid wsp:val=&quot;00A85B58&quot;/&gt;&lt;wsp:rsid wsp:val=&quot;00A85BEB&quot;/&gt;&lt;wsp:rsid wsp:val=&quot;00A86A80&quot;/&gt;&lt;wsp:rsid wsp:val=&quot;00A86CAC&quot;/&gt;&lt;wsp:rsid wsp:val=&quot;00A904C9&quot;/&gt;&lt;wsp:rsid wsp:val=&quot;00A90A57&quot;/&gt;&lt;wsp:rsid wsp:val=&quot;00A9134A&quot;/&gt;&lt;wsp:rsid wsp:val=&quot;00A918D8&quot;/&gt;&lt;wsp:rsid wsp:val=&quot;00A91E84&quot;/&gt;&lt;wsp:rsid wsp:val=&quot;00A92A83&quot;/&gt;&lt;wsp:rsid wsp:val=&quot;00A937F3&quot;/&gt;&lt;wsp:rsid wsp:val=&quot;00A961FF&quot;/&gt;&lt;wsp:rsid wsp:val=&quot;00A96BAD&quot;/&gt;&lt;wsp:rsid wsp:val=&quot;00A96C07&quot;/&gt;&lt;wsp:rsid wsp:val=&quot;00A9792D&quot;/&gt;&lt;wsp:rsid wsp:val=&quot;00A97CF1&quot;/&gt;&lt;wsp:rsid wsp:val=&quot;00AA0240&quot;/&gt;&lt;wsp:rsid wsp:val=&quot;00AA0510&quot;/&gt;&lt;wsp:rsid wsp:val=&quot;00AA154E&quot;/&gt;&lt;wsp:rsid wsp:val=&quot;00AA16C6&quot;/&gt;&lt;wsp:rsid wsp:val=&quot;00AA1773&quot;/&gt;&lt;wsp:rsid wsp:val=&quot;00AA2BE7&quot;/&gt;&lt;wsp:rsid wsp:val=&quot;00AA467E&quot;/&gt;&lt;wsp:rsid wsp:val=&quot;00AA4770&quot;/&gt;&lt;wsp:rsid wsp:val=&quot;00AA497A&quot;/&gt;&lt;wsp:rsid wsp:val=&quot;00AA4BA8&quot;/&gt;&lt;wsp:rsid wsp:val=&quot;00AA4BFD&quot;/&gt;&lt;wsp:rsid wsp:val=&quot;00AA5391&quot;/&gt;&lt;wsp:rsid wsp:val=&quot;00AA6E2F&quot;/&gt;&lt;wsp:rsid wsp:val=&quot;00AA700D&quot;/&gt;&lt;wsp:rsid wsp:val=&quot;00AA70FC&quot;/&gt;&lt;wsp:rsid wsp:val=&quot;00AA785A&quot;/&gt;&lt;wsp:rsid wsp:val=&quot;00AA79F3&quot;/&gt;&lt;wsp:rsid wsp:val=&quot;00AA7E87&quot;/&gt;&lt;wsp:rsid wsp:val=&quot;00AB017D&quot;/&gt;&lt;wsp:rsid wsp:val=&quot;00AB0515&quot;/&gt;&lt;wsp:rsid wsp:val=&quot;00AB08CC&quot;/&gt;&lt;wsp:rsid wsp:val=&quot;00AB0F90&quot;/&gt;&lt;wsp:rsid wsp:val=&quot;00AB1004&quot;/&gt;&lt;wsp:rsid wsp:val=&quot;00AB130E&quot;/&gt;&lt;wsp:rsid wsp:val=&quot;00AB1460&quot;/&gt;&lt;wsp:rsid wsp:val=&quot;00AB2C7C&quot;/&gt;&lt;wsp:rsid wsp:val=&quot;00AB325C&quot;/&gt;&lt;wsp:rsid wsp:val=&quot;00AB33C9&quot;/&gt;&lt;wsp:rsid wsp:val=&quot;00AB35AD&quot;/&gt;&lt;wsp:rsid wsp:val=&quot;00AB4623&quot;/&gt;&lt;wsp:rsid wsp:val=&quot;00AB56B5&quot;/&gt;&lt;wsp:rsid wsp:val=&quot;00AB5A92&quot;/&gt;&lt;wsp:rsid wsp:val=&quot;00AB5DE3&quot;/&gt;&lt;wsp:rsid wsp:val=&quot;00AB6332&quot;/&gt;&lt;wsp:rsid wsp:val=&quot;00AB6540&quot;/&gt;&lt;wsp:rsid wsp:val=&quot;00AB655B&quot;/&gt;&lt;wsp:rsid wsp:val=&quot;00AB65B4&quot;/&gt;&lt;wsp:rsid wsp:val=&quot;00AB680C&quot;/&gt;&lt;wsp:rsid wsp:val=&quot;00AB6B35&quot;/&gt;&lt;wsp:rsid wsp:val=&quot;00AB6BBD&quot;/&gt;&lt;wsp:rsid wsp:val=&quot;00AB7C06&quot;/&gt;&lt;wsp:rsid wsp:val=&quot;00AC147A&quot;/&gt;&lt;wsp:rsid wsp:val=&quot;00AC1D93&quot;/&gt;&lt;wsp:rsid wsp:val=&quot;00AC1EBF&quot;/&gt;&lt;wsp:rsid wsp:val=&quot;00AC1ECF&quot;/&gt;&lt;wsp:rsid wsp:val=&quot;00AC3018&quot;/&gt;&lt;wsp:rsid wsp:val=&quot;00AC375B&quot;/&gt;&lt;wsp:rsid wsp:val=&quot;00AC4709&quot;/&gt;&lt;wsp:rsid wsp:val=&quot;00AC5F70&quot;/&gt;&lt;wsp:rsid wsp:val=&quot;00AC60E0&quot;/&gt;&lt;wsp:rsid wsp:val=&quot;00AC6199&quot;/&gt;&lt;wsp:rsid wsp:val=&quot;00AC6560&quot;/&gt;&lt;wsp:rsid wsp:val=&quot;00AC6EAD&quot;/&gt;&lt;wsp:rsid wsp:val=&quot;00AC7AC7&quot;/&gt;&lt;wsp:rsid wsp:val=&quot;00AC7E96&quot;/&gt;&lt;wsp:rsid wsp:val=&quot;00AC7F51&quot;/&gt;&lt;wsp:rsid wsp:val=&quot;00AD0268&quot;/&gt;&lt;wsp:rsid wsp:val=&quot;00AD0712&quot;/&gt;&lt;wsp:rsid wsp:val=&quot;00AD0840&quot;/&gt;&lt;wsp:rsid wsp:val=&quot;00AD1242&quot;/&gt;&lt;wsp:rsid wsp:val=&quot;00AD1356&quot;/&gt;&lt;wsp:rsid wsp:val=&quot;00AD1B67&quot;/&gt;&lt;wsp:rsid wsp:val=&quot;00AD2BF3&quot;/&gt;&lt;wsp:rsid wsp:val=&quot;00AD2C15&quot;/&gt;&lt;wsp:rsid wsp:val=&quot;00AD39F5&quot;/&gt;&lt;wsp:rsid wsp:val=&quot;00AD4933&quot;/&gt;&lt;wsp:rsid wsp:val=&quot;00AD65AB&quot;/&gt;&lt;wsp:rsid wsp:val=&quot;00AD7CD9&quot;/&gt;&lt;wsp:rsid wsp:val=&quot;00AE0905&quot;/&gt;&lt;wsp:rsid wsp:val=&quot;00AE09F6&quot;/&gt;&lt;wsp:rsid wsp:val=&quot;00AE0EDA&quot;/&gt;&lt;wsp:rsid wsp:val=&quot;00AE1345&quot;/&gt;&lt;wsp:rsid wsp:val=&quot;00AE1770&quot;/&gt;&lt;wsp:rsid wsp:val=&quot;00AE1E30&quot;/&gt;&lt;wsp:rsid wsp:val=&quot;00AE2037&quot;/&gt;&lt;wsp:rsid wsp:val=&quot;00AE21DD&quot;/&gt;&lt;wsp:rsid wsp:val=&quot;00AE25E3&quot;/&gt;&lt;wsp:rsid wsp:val=&quot;00AE28FC&quot;/&gt;&lt;wsp:rsid wsp:val=&quot;00AE2A60&quot;/&gt;&lt;wsp:rsid wsp:val=&quot;00AE30BA&quot;/&gt;&lt;wsp:rsid wsp:val=&quot;00AE350D&quot;/&gt;&lt;wsp:rsid wsp:val=&quot;00AE4587&quot;/&gt;&lt;wsp:rsid wsp:val=&quot;00AE4BF4&quot;/&gt;&lt;wsp:rsid wsp:val=&quot;00AE67A2&quot;/&gt;&lt;wsp:rsid wsp:val=&quot;00AE762C&quot;/&gt;&lt;wsp:rsid wsp:val=&quot;00AE785F&quot;/&gt;&lt;wsp:rsid wsp:val=&quot;00AF0169&quot;/&gt;&lt;wsp:rsid wsp:val=&quot;00AF19A7&quot;/&gt;&lt;wsp:rsid wsp:val=&quot;00AF1C99&quot;/&gt;&lt;wsp:rsid wsp:val=&quot;00AF2B13&quot;/&gt;&lt;wsp:rsid wsp:val=&quot;00AF2E98&quot;/&gt;&lt;wsp:rsid wsp:val=&quot;00AF3615&quot;/&gt;&lt;wsp:rsid wsp:val=&quot;00AF3879&quot;/&gt;&lt;wsp:rsid wsp:val=&quot;00AF4A95&quot;/&gt;&lt;wsp:rsid wsp:val=&quot;00AF4AF0&quot;/&gt;&lt;wsp:rsid wsp:val=&quot;00AF5379&quot;/&gt;&lt;wsp:rsid wsp:val=&quot;00AF5798&quot;/&gt;&lt;wsp:rsid wsp:val=&quot;00AF5E65&quot;/&gt;&lt;wsp:rsid wsp:val=&quot;00AF5F22&quot;/&gt;&lt;wsp:rsid wsp:val=&quot;00AF7EDA&quot;/&gt;&lt;wsp:rsid wsp:val=&quot;00B012D4&quot;/&gt;&lt;wsp:rsid wsp:val=&quot;00B0170B&quot;/&gt;&lt;wsp:rsid wsp:val=&quot;00B01F2D&quot;/&gt;&lt;wsp:rsid wsp:val=&quot;00B02032&quot;/&gt;&lt;wsp:rsid wsp:val=&quot;00B028F0&quot;/&gt;&lt;wsp:rsid wsp:val=&quot;00B02DD8&quot;/&gt;&lt;wsp:rsid wsp:val=&quot;00B032E6&quot;/&gt;&lt;wsp:rsid wsp:val=&quot;00B03D0D&quot;/&gt;&lt;wsp:rsid wsp:val=&quot;00B047A6&quot;/&gt;&lt;wsp:rsid wsp:val=&quot;00B048FB&quot;/&gt;&lt;wsp:rsid wsp:val=&quot;00B04CFD&quot;/&gt;&lt;wsp:rsid wsp:val=&quot;00B04E79&quot;/&gt;&lt;wsp:rsid wsp:val=&quot;00B059AA&quot;/&gt;&lt;wsp:rsid wsp:val=&quot;00B06238&quot;/&gt;&lt;wsp:rsid wsp:val=&quot;00B07574&quot;/&gt;&lt;wsp:rsid wsp:val=&quot;00B07722&quot;/&gt;&lt;wsp:rsid wsp:val=&quot;00B07A59&quot;/&gt;&lt;wsp:rsid wsp:val=&quot;00B1239B&quot;/&gt;&lt;wsp:rsid wsp:val=&quot;00B129C5&quot;/&gt;&lt;wsp:rsid wsp:val=&quot;00B133CF&quot;/&gt;&lt;wsp:rsid wsp:val=&quot;00B1448E&quot;/&gt;&lt;wsp:rsid wsp:val=&quot;00B144B3&quot;/&gt;&lt;wsp:rsid wsp:val=&quot;00B14A18&quot;/&gt;&lt;wsp:rsid wsp:val=&quot;00B1558B&quot;/&gt;&lt;wsp:rsid wsp:val=&quot;00B15B2B&quot;/&gt;&lt;wsp:rsid wsp:val=&quot;00B15B93&quot;/&gt;&lt;wsp:rsid wsp:val=&quot;00B16BEB&quot;/&gt;&lt;wsp:rsid wsp:val=&quot;00B16F8A&quot;/&gt;&lt;wsp:rsid wsp:val=&quot;00B20D0D&quot;/&gt;&lt;wsp:rsid wsp:val=&quot;00B20ED6&quot;/&gt;&lt;wsp:rsid wsp:val=&quot;00B210B6&quot;/&gt;&lt;wsp:rsid wsp:val=&quot;00B21430&quot;/&gt;&lt;wsp:rsid wsp:val=&quot;00B219FA&quot;/&gt;&lt;wsp:rsid wsp:val=&quot;00B228D8&quot;/&gt;&lt;wsp:rsid wsp:val=&quot;00B22C7B&quot;/&gt;&lt;wsp:rsid wsp:val=&quot;00B2330A&quot;/&gt;&lt;wsp:rsid wsp:val=&quot;00B238C6&quot;/&gt;&lt;wsp:rsid wsp:val=&quot;00B2457D&quot;/&gt;&lt;wsp:rsid wsp:val=&quot;00B26E04&quot;/&gt;&lt;wsp:rsid wsp:val=&quot;00B26E18&quot;/&gt;&lt;wsp:rsid wsp:val=&quot;00B270AB&quot;/&gt;&lt;wsp:rsid wsp:val=&quot;00B27F25&quot;/&gt;&lt;wsp:rsid wsp:val=&quot;00B30FC9&quot;/&gt;&lt;wsp:rsid wsp:val=&quot;00B310E5&quot;/&gt;&lt;wsp:rsid wsp:val=&quot;00B31F9B&quot;/&gt;&lt;wsp:rsid wsp:val=&quot;00B32495&quot;/&gt;&lt;wsp:rsid wsp:val=&quot;00B3255A&quot;/&gt;&lt;wsp:rsid wsp:val=&quot;00B32763&quot;/&gt;&lt;wsp:rsid wsp:val=&quot;00B33689&quot;/&gt;&lt;wsp:rsid wsp:val=&quot;00B33BC7&quot;/&gt;&lt;wsp:rsid wsp:val=&quot;00B34167&quot;/&gt;&lt;wsp:rsid wsp:val=&quot;00B3431D&quot;/&gt;&lt;wsp:rsid wsp:val=&quot;00B3461A&quot;/&gt;&lt;wsp:rsid wsp:val=&quot;00B34E2E&quot;/&gt;&lt;wsp:rsid wsp:val=&quot;00B34F9E&quot;/&gt;&lt;wsp:rsid wsp:val=&quot;00B35EB1&quot;/&gt;&lt;wsp:rsid wsp:val=&quot;00B409E7&quot;/&gt;&lt;wsp:rsid wsp:val=&quot;00B41035&quot;/&gt;&lt;wsp:rsid wsp:val=&quot;00B41290&quot;/&gt;&lt;wsp:rsid wsp:val=&quot;00B41BCC&quot;/&gt;&lt;wsp:rsid wsp:val=&quot;00B41EE1&quot;/&gt;&lt;wsp:rsid wsp:val=&quot;00B42838&quot;/&gt;&lt;wsp:rsid wsp:val=&quot;00B437B4&quot;/&gt;&lt;wsp:rsid wsp:val=&quot;00B43ADB&quot;/&gt;&lt;wsp:rsid wsp:val=&quot;00B43E54&quot;/&gt;&lt;wsp:rsid wsp:val=&quot;00B43E72&quot;/&gt;&lt;wsp:rsid wsp:val=&quot;00B44D3F&quot;/&gt;&lt;wsp:rsid wsp:val=&quot;00B466A5&quot;/&gt;&lt;wsp:rsid wsp:val=&quot;00B466E2&quot;/&gt;&lt;wsp:rsid wsp:val=&quot;00B476E8&quot;/&gt;&lt;wsp:rsid wsp:val=&quot;00B51264&quot;/&gt;&lt;wsp:rsid wsp:val=&quot;00B51271&quot;/&gt;&lt;wsp:rsid wsp:val=&quot;00B51464&quot;/&gt;&lt;wsp:rsid wsp:val=&quot;00B515A0&quot;/&gt;&lt;wsp:rsid wsp:val=&quot;00B51B09&quot;/&gt;&lt;wsp:rsid wsp:val=&quot;00B5278E&quot;/&gt;&lt;wsp:rsid wsp:val=&quot;00B53E7F&quot;/&gt;&lt;wsp:rsid wsp:val=&quot;00B54ACA&quot;/&gt;&lt;wsp:rsid wsp:val=&quot;00B553BC&quot;/&gt;&lt;wsp:rsid wsp:val=&quot;00B55DAD&quot;/&gt;&lt;wsp:rsid wsp:val=&quot;00B56AD4&quot;/&gt;&lt;wsp:rsid wsp:val=&quot;00B56B9E&quot;/&gt;&lt;wsp:rsid wsp:val=&quot;00B57317&quot;/&gt;&lt;wsp:rsid wsp:val=&quot;00B573C3&quot;/&gt;&lt;wsp:rsid wsp:val=&quot;00B57B98&quot;/&gt;&lt;wsp:rsid wsp:val=&quot;00B60C94&quot;/&gt;&lt;wsp:rsid wsp:val=&quot;00B618AB&quot;/&gt;&lt;wsp:rsid wsp:val=&quot;00B61C63&quot;/&gt;&lt;wsp:rsid wsp:val=&quot;00B625CE&quot;/&gt;&lt;wsp:rsid wsp:val=&quot;00B62BEA&quot;/&gt;&lt;wsp:rsid wsp:val=&quot;00B630F6&quot;/&gt;&lt;wsp:rsid wsp:val=&quot;00B6318D&quot;/&gt;&lt;wsp:rsid wsp:val=&quot;00B63A31&quot;/&gt;&lt;wsp:rsid wsp:val=&quot;00B64468&quot;/&gt;&lt;wsp:rsid wsp:val=&quot;00B64C68&quot;/&gt;&lt;wsp:rsid wsp:val=&quot;00B6542F&quot;/&gt;&lt;wsp:rsid wsp:val=&quot;00B667A7&quot;/&gt;&lt;wsp:rsid wsp:val=&quot;00B66975&quot;/&gt;&lt;wsp:rsid wsp:val=&quot;00B67517&quot;/&gt;&lt;wsp:rsid wsp:val=&quot;00B7017B&quot;/&gt;&lt;wsp:rsid wsp:val=&quot;00B7064B&quot;/&gt;&lt;wsp:rsid wsp:val=&quot;00B70916&quot;/&gt;&lt;wsp:rsid wsp:val=&quot;00B70B7E&quot;/&gt;&lt;wsp:rsid wsp:val=&quot;00B70C95&quot;/&gt;&lt;wsp:rsid wsp:val=&quot;00B70CAA&quot;/&gt;&lt;wsp:rsid wsp:val=&quot;00B71FCB&quot;/&gt;&lt;wsp:rsid wsp:val=&quot;00B721C9&quot;/&gt;&lt;wsp:rsid wsp:val=&quot;00B722B1&quot;/&gt;&lt;wsp:rsid wsp:val=&quot;00B727D5&quot;/&gt;&lt;wsp:rsid wsp:val=&quot;00B750AB&quot;/&gt;&lt;wsp:rsid wsp:val=&quot;00B75192&quot;/&gt;&lt;wsp:rsid wsp:val=&quot;00B752ED&quot;/&gt;&lt;wsp:rsid wsp:val=&quot;00B75C2B&quot;/&gt;&lt;wsp:rsid wsp:val=&quot;00B75F52&quot;/&gt;&lt;wsp:rsid wsp:val=&quot;00B762C2&quot;/&gt;&lt;wsp:rsid wsp:val=&quot;00B77A73&quot;/&gt;&lt;wsp:rsid wsp:val=&quot;00B806DE&quot;/&gt;&lt;wsp:rsid wsp:val=&quot;00B80D09&quot;/&gt;&lt;wsp:rsid wsp:val=&quot;00B80F11&quot;/&gt;&lt;wsp:rsid wsp:val=&quot;00B818D2&quot;/&gt;&lt;wsp:rsid wsp:val=&quot;00B81B93&quot;/&gt;&lt;wsp:rsid wsp:val=&quot;00B82A3B&quot;/&gt;&lt;wsp:rsid wsp:val=&quot;00B83627&quot;/&gt;&lt;wsp:rsid wsp:val=&quot;00B84402&quot;/&gt;&lt;wsp:rsid wsp:val=&quot;00B8499D&quot;/&gt;&lt;wsp:rsid wsp:val=&quot;00B85A96&quot;/&gt;&lt;wsp:rsid wsp:val=&quot;00B85CB1&quot;/&gt;&lt;wsp:rsid wsp:val=&quot;00B8679B&quot;/&gt;&lt;wsp:rsid wsp:val=&quot;00B86928&quot;/&gt;&lt;wsp:rsid wsp:val=&quot;00B87356&quot;/&gt;&lt;wsp:rsid wsp:val=&quot;00B87C94&quot;/&gt;&lt;wsp:rsid wsp:val=&quot;00B87EF4&quot;/&gt;&lt;wsp:rsid wsp:val=&quot;00B907F9&quot;/&gt;&lt;wsp:rsid wsp:val=&quot;00B91824&quot;/&gt;&lt;wsp:rsid wsp:val=&quot;00B91BD1&quot;/&gt;&lt;wsp:rsid wsp:val=&quot;00B92032&quot;/&gt;&lt;wsp:rsid wsp:val=&quot;00B922DD&quot;/&gt;&lt;wsp:rsid wsp:val=&quot;00B92570&quot;/&gt;&lt;wsp:rsid wsp:val=&quot;00B930CD&quot;/&gt;&lt;wsp:rsid wsp:val=&quot;00B931E6&quot;/&gt;&lt;wsp:rsid wsp:val=&quot;00B933AF&quot;/&gt;&lt;wsp:rsid wsp:val=&quot;00B936F8&quot;/&gt;&lt;wsp:rsid wsp:val=&quot;00B93995&quot;/&gt;&lt;wsp:rsid wsp:val=&quot;00B93C8C&quot;/&gt;&lt;wsp:rsid wsp:val=&quot;00B93EA7&quot;/&gt;&lt;wsp:rsid wsp:val=&quot;00B949F2&quot;/&gt;&lt;wsp:rsid wsp:val=&quot;00B94A9E&quot;/&gt;&lt;wsp:rsid wsp:val=&quot;00B959B0&quot;/&gt;&lt;wsp:rsid wsp:val=&quot;00B95A46&quot;/&gt;&lt;wsp:rsid wsp:val=&quot;00B96592&quot;/&gt;&lt;wsp:rsid wsp:val=&quot;00B97846&quot;/&gt;&lt;wsp:rsid wsp:val=&quot;00B97E08&quot;/&gt;&lt;wsp:rsid wsp:val=&quot;00BA0BF6&quot;/&gt;&lt;wsp:rsid wsp:val=&quot;00BA16E2&quot;/&gt;&lt;wsp:rsid wsp:val=&quot;00BA1D99&quot;/&gt;&lt;wsp:rsid wsp:val=&quot;00BA1F17&quot;/&gt;&lt;wsp:rsid wsp:val=&quot;00BA22F2&quot;/&gt;&lt;wsp:rsid wsp:val=&quot;00BA2EC5&quot;/&gt;&lt;wsp:rsid wsp:val=&quot;00BA3CE5&quot;/&gt;&lt;wsp:rsid wsp:val=&quot;00BA443A&quot;/&gt;&lt;wsp:rsid wsp:val=&quot;00BA4E99&quot;/&gt;&lt;wsp:rsid wsp:val=&quot;00BA4F72&quot;/&gt;&lt;wsp:rsid wsp:val=&quot;00BA5EFB&quot;/&gt;&lt;wsp:rsid wsp:val=&quot;00BA5FD5&quot;/&gt;&lt;wsp:rsid wsp:val=&quot;00BA62AD&quot;/&gt;&lt;wsp:rsid wsp:val=&quot;00BA687D&quot;/&gt;&lt;wsp:rsid wsp:val=&quot;00BA6F79&quot;/&gt;&lt;wsp:rsid wsp:val=&quot;00BB0121&quot;/&gt;&lt;wsp:rsid wsp:val=&quot;00BB07B6&quot;/&gt;&lt;wsp:rsid wsp:val=&quot;00BB07C8&quot;/&gt;&lt;wsp:rsid wsp:val=&quot;00BB0898&quot;/&gt;&lt;wsp:rsid wsp:val=&quot;00BB09BB&quot;/&gt;&lt;wsp:rsid wsp:val=&quot;00BB1564&quot;/&gt;&lt;wsp:rsid wsp:val=&quot;00BB1E7D&quot;/&gt;&lt;wsp:rsid wsp:val=&quot;00BB226C&quot;/&gt;&lt;wsp:rsid wsp:val=&quot;00BB2A99&quot;/&gt;&lt;wsp:rsid wsp:val=&quot;00BB3201&quot;/&gt;&lt;wsp:rsid wsp:val=&quot;00BB3957&quot;/&gt;&lt;wsp:rsid wsp:val=&quot;00BB514F&quot;/&gt;&lt;wsp:rsid wsp:val=&quot;00BB5232&quot;/&gt;&lt;wsp:rsid wsp:val=&quot;00BB5239&quot;/&gt;&lt;wsp:rsid wsp:val=&quot;00BB5A9C&quot;/&gt;&lt;wsp:rsid wsp:val=&quot;00BB65F5&quot;/&gt;&lt;wsp:rsid wsp:val=&quot;00BB7891&quot;/&gt;&lt;wsp:rsid wsp:val=&quot;00BB7957&quot;/&gt;&lt;wsp:rsid wsp:val=&quot;00BB797E&quot;/&gt;&lt;wsp:rsid wsp:val=&quot;00BB7EF8&quot;/&gt;&lt;wsp:rsid wsp:val=&quot;00BC0254&quot;/&gt;&lt;wsp:rsid wsp:val=&quot;00BC028E&quot;/&gt;&lt;wsp:rsid wsp:val=&quot;00BC06DA&quot;/&gt;&lt;wsp:rsid wsp:val=&quot;00BC0A44&quot;/&gt;&lt;wsp:rsid wsp:val=&quot;00BC0DCF&quot;/&gt;&lt;wsp:rsid wsp:val=&quot;00BC2060&quot;/&gt;&lt;wsp:rsid wsp:val=&quot;00BC25C9&quot;/&gt;&lt;wsp:rsid wsp:val=&quot;00BC26E4&quot;/&gt;&lt;wsp:rsid wsp:val=&quot;00BC2767&quot;/&gt;&lt;wsp:rsid wsp:val=&quot;00BC3DC6&quot;/&gt;&lt;wsp:rsid wsp:val=&quot;00BC3F8B&quot;/&gt;&lt;wsp:rsid wsp:val=&quot;00BC458E&quot;/&gt;&lt;wsp:rsid wsp:val=&quot;00BC4C6B&quot;/&gt;&lt;wsp:rsid wsp:val=&quot;00BC4CBC&quot;/&gt;&lt;wsp:rsid wsp:val=&quot;00BC61FB&quot;/&gt;&lt;wsp:rsid wsp:val=&quot;00BC626F&quot;/&gt;&lt;wsp:rsid wsp:val=&quot;00BC639E&quot;/&gt;&lt;wsp:rsid wsp:val=&quot;00BC6EF2&quot;/&gt;&lt;wsp:rsid wsp:val=&quot;00BD005A&quot;/&gt;&lt;wsp:rsid wsp:val=&quot;00BD03D8&quot;/&gt;&lt;wsp:rsid wsp:val=&quot;00BD04F0&quot;/&gt;&lt;wsp:rsid wsp:val=&quot;00BD1111&quot;/&gt;&lt;wsp:rsid wsp:val=&quot;00BD158F&quot;/&gt;&lt;wsp:rsid wsp:val=&quot;00BD196F&quot;/&gt;&lt;wsp:rsid wsp:val=&quot;00BD1D1B&quot;/&gt;&lt;wsp:rsid wsp:val=&quot;00BD25E7&quot;/&gt;&lt;wsp:rsid wsp:val=&quot;00BD3E4F&quot;/&gt;&lt;wsp:rsid wsp:val=&quot;00BD4104&quot;/&gt;&lt;wsp:rsid wsp:val=&quot;00BD4C33&quot;/&gt;&lt;wsp:rsid wsp:val=&quot;00BD4CD7&quot;/&gt;&lt;wsp:rsid wsp:val=&quot;00BD4E8E&quot;/&gt;&lt;wsp:rsid wsp:val=&quot;00BD51A0&quot;/&gt;&lt;wsp:rsid wsp:val=&quot;00BD52BB&quot;/&gt;&lt;wsp:rsid wsp:val=&quot;00BD5765&quot;/&gt;&lt;wsp:rsid wsp:val=&quot;00BD6A0A&quot;/&gt;&lt;wsp:rsid wsp:val=&quot;00BD7271&quot;/&gt;&lt;wsp:rsid wsp:val=&quot;00BD7311&quot;/&gt;&lt;wsp:rsid wsp:val=&quot;00BE0810&quot;/&gt;&lt;wsp:rsid wsp:val=&quot;00BE29C6&quot;/&gt;&lt;wsp:rsid wsp:val=&quot;00BE337A&quot;/&gt;&lt;wsp:rsid wsp:val=&quot;00BE3553&quot;/&gt;&lt;wsp:rsid wsp:val=&quot;00BE3A23&quot;/&gt;&lt;wsp:rsid wsp:val=&quot;00BE4284&quot;/&gt;&lt;wsp:rsid wsp:val=&quot;00BE4B44&quot;/&gt;&lt;wsp:rsid wsp:val=&quot;00BE5578&quot;/&gt;&lt;wsp:rsid wsp:val=&quot;00BE5F74&quot;/&gt;&lt;wsp:rsid wsp:val=&quot;00BE7023&quot;/&gt;&lt;wsp:rsid wsp:val=&quot;00BF0A6E&quot;/&gt;&lt;wsp:rsid wsp:val=&quot;00BF0FE8&quot;/&gt;&lt;wsp:rsid wsp:val=&quot;00BF133F&quot;/&gt;&lt;wsp:rsid wsp:val=&quot;00BF1DE7&quot;/&gt;&lt;wsp:rsid wsp:val=&quot;00BF1FD5&quot;/&gt;&lt;wsp:rsid wsp:val=&quot;00BF239E&quot;/&gt;&lt;wsp:rsid wsp:val=&quot;00BF3136&quot;/&gt;&lt;wsp:rsid wsp:val=&quot;00BF35BE&quot;/&gt;&lt;wsp:rsid wsp:val=&quot;00BF381F&quot;/&gt;&lt;wsp:rsid wsp:val=&quot;00BF39FF&quot;/&gt;&lt;wsp:rsid wsp:val=&quot;00BF3CE7&quot;/&gt;&lt;wsp:rsid wsp:val=&quot;00BF4A97&quot;/&gt;&lt;wsp:rsid wsp:val=&quot;00BF50D5&quot;/&gt;&lt;wsp:rsid wsp:val=&quot;00BF64DA&quot;/&gt;&lt;wsp:rsid wsp:val=&quot;00BF7114&quot;/&gt;&lt;wsp:rsid wsp:val=&quot;00BF7606&quot;/&gt;&lt;wsp:rsid wsp:val=&quot;00BF7D33&quot;/&gt;&lt;wsp:rsid wsp:val=&quot;00C014E2&quot;/&gt;&lt;wsp:rsid wsp:val=&quot;00C01890&quot;/&gt;&lt;wsp:rsid wsp:val=&quot;00C021D3&quot;/&gt;&lt;wsp:rsid wsp:val=&quot;00C023A9&quot;/&gt;&lt;wsp:rsid wsp:val=&quot;00C0338F&quot;/&gt;&lt;wsp:rsid wsp:val=&quot;00C03785&quot;/&gt;&lt;wsp:rsid wsp:val=&quot;00C03A26&quot;/&gt;&lt;wsp:rsid wsp:val=&quot;00C03A27&quot;/&gt;&lt;wsp:rsid wsp:val=&quot;00C03B65&quot;/&gt;&lt;wsp:rsid wsp:val=&quot;00C05061&quot;/&gt;&lt;wsp:rsid wsp:val=&quot;00C05200&quot;/&gt;&lt;wsp:rsid wsp:val=&quot;00C0634D&quot;/&gt;&lt;wsp:rsid wsp:val=&quot;00C06AEB&quot;/&gt;&lt;wsp:rsid wsp:val=&quot;00C06BD4&quot;/&gt;&lt;wsp:rsid wsp:val=&quot;00C06F12&quot;/&gt;&lt;wsp:rsid wsp:val=&quot;00C06FDC&quot;/&gt;&lt;wsp:rsid wsp:val=&quot;00C07315&quot;/&gt;&lt;wsp:rsid wsp:val=&quot;00C07F44&quot;/&gt;&lt;wsp:rsid wsp:val=&quot;00C10035&quot;/&gt;&lt;wsp:rsid wsp:val=&quot;00C11039&quot;/&gt;&lt;wsp:rsid wsp:val=&quot;00C11929&quot;/&gt;&lt;wsp:rsid wsp:val=&quot;00C11E71&quot;/&gt;&lt;wsp:rsid wsp:val=&quot;00C1225D&quot;/&gt;&lt;wsp:rsid wsp:val=&quot;00C1227F&quot;/&gt;&lt;wsp:rsid wsp:val=&quot;00C12CF1&quot;/&gt;&lt;wsp:rsid wsp:val=&quot;00C132E1&quot;/&gt;&lt;wsp:rsid wsp:val=&quot;00C13AD5&quot;/&gt;&lt;wsp:rsid wsp:val=&quot;00C13B99&quot;/&gt;&lt;wsp:rsid wsp:val=&quot;00C14C1D&quot;/&gt;&lt;wsp:rsid wsp:val=&quot;00C14C8C&quot;/&gt;&lt;wsp:rsid wsp:val=&quot;00C1546C&quot;/&gt;&lt;wsp:rsid wsp:val=&quot;00C15B27&quot;/&gt;&lt;wsp:rsid wsp:val=&quot;00C1623E&quot;/&gt;&lt;wsp:rsid wsp:val=&quot;00C1665D&quot;/&gt;&lt;wsp:rsid wsp:val=&quot;00C16700&quot;/&gt;&lt;wsp:rsid wsp:val=&quot;00C17385&quot;/&gt;&lt;wsp:rsid wsp:val=&quot;00C1775A&quot;/&gt;&lt;wsp:rsid wsp:val=&quot;00C20662&quot;/&gt;&lt;wsp:rsid wsp:val=&quot;00C20691&quot;/&gt;&lt;wsp:rsid wsp:val=&quot;00C20DDF&quot;/&gt;&lt;wsp:rsid wsp:val=&quot;00C20EE9&quot;/&gt;&lt;wsp:rsid wsp:val=&quot;00C2158E&quot;/&gt;&lt;wsp:rsid wsp:val=&quot;00C21648&quot;/&gt;&lt;wsp:rsid wsp:val=&quot;00C2216E&quot;/&gt;&lt;wsp:rsid wsp:val=&quot;00C22551&quot;/&gt;&lt;wsp:rsid wsp:val=&quot;00C2280E&quot;/&gt;&lt;wsp:rsid wsp:val=&quot;00C22E63&quot;/&gt;&lt;wsp:rsid wsp:val=&quot;00C23E85&quot;/&gt;&lt;wsp:rsid wsp:val=&quot;00C24002&quot;/&gt;&lt;wsp:rsid wsp:val=&quot;00C2443A&quot;/&gt;&lt;wsp:rsid wsp:val=&quot;00C246C7&quot;/&gt;&lt;wsp:rsid wsp:val=&quot;00C248F5&quot;/&gt;&lt;wsp:rsid wsp:val=&quot;00C25BC4&quot;/&gt;&lt;wsp:rsid wsp:val=&quot;00C25E54&quot;/&gt;&lt;wsp:rsid wsp:val=&quot;00C25E97&quot;/&gt;&lt;wsp:rsid wsp:val=&quot;00C25F8A&quot;/&gt;&lt;wsp:rsid wsp:val=&quot;00C2661A&quot;/&gt;&lt;wsp:rsid wsp:val=&quot;00C26715&quot;/&gt;&lt;wsp:rsid wsp:val=&quot;00C27307&quot;/&gt;&lt;wsp:rsid wsp:val=&quot;00C275B6&quot;/&gt;&lt;wsp:rsid wsp:val=&quot;00C278D1&quot;/&gt;&lt;wsp:rsid wsp:val=&quot;00C30246&quot;/&gt;&lt;wsp:rsid wsp:val=&quot;00C3045C&quot;/&gt;&lt;wsp:rsid wsp:val=&quot;00C30600&quot;/&gt;&lt;wsp:rsid wsp:val=&quot;00C31358&quot;/&gt;&lt;wsp:rsid wsp:val=&quot;00C314E4&quot;/&gt;&lt;wsp:rsid wsp:val=&quot;00C31D70&quot;/&gt;&lt;wsp:rsid wsp:val=&quot;00C31E7A&quot;/&gt;&lt;wsp:rsid wsp:val=&quot;00C32351&quot;/&gt;&lt;wsp:rsid wsp:val=&quot;00C3318C&quot;/&gt;&lt;wsp:rsid wsp:val=&quot;00C3329A&quot;/&gt;&lt;wsp:rsid wsp:val=&quot;00C33CB8&quot;/&gt;&lt;wsp:rsid wsp:val=&quot;00C3406D&quot;/&gt;&lt;wsp:rsid wsp:val=&quot;00C3432A&quot;/&gt;&lt;wsp:rsid wsp:val=&quot;00C3434E&quot;/&gt;&lt;wsp:rsid wsp:val=&quot;00C34A1D&quot;/&gt;&lt;wsp:rsid wsp:val=&quot;00C34CAC&quot;/&gt;&lt;wsp:rsid wsp:val=&quot;00C34EAC&quot;/&gt;&lt;wsp:rsid wsp:val=&quot;00C34F2D&quot;/&gt;&lt;wsp:rsid wsp:val=&quot;00C353E8&quot;/&gt;&lt;wsp:rsid wsp:val=&quot;00C35981&quot;/&gt;&lt;wsp:rsid wsp:val=&quot;00C359A2&quot;/&gt;&lt;wsp:rsid wsp:val=&quot;00C3630A&quot;/&gt;&lt;wsp:rsid wsp:val=&quot;00C36759&quot;/&gt;&lt;wsp:rsid wsp:val=&quot;00C36987&quot;/&gt;&lt;wsp:rsid wsp:val=&quot;00C374D6&quot;/&gt;&lt;wsp:rsid wsp:val=&quot;00C3754D&quot;/&gt;&lt;wsp:rsid wsp:val=&quot;00C375BD&quot;/&gt;&lt;wsp:rsid wsp:val=&quot;00C378A3&quot;/&gt;&lt;wsp:rsid wsp:val=&quot;00C37DE2&quot;/&gt;&lt;wsp:rsid wsp:val=&quot;00C4001A&quot;/&gt;&lt;wsp:rsid wsp:val=&quot;00C40882&quot;/&gt;&lt;wsp:rsid wsp:val=&quot;00C4089D&quot;/&gt;&lt;wsp:rsid wsp:val=&quot;00C40994&quot;/&gt;&lt;wsp:rsid wsp:val=&quot;00C40A42&quot;/&gt;&lt;wsp:rsid wsp:val=&quot;00C414E8&quot;/&gt;&lt;wsp:rsid wsp:val=&quot;00C41588&quot;/&gt;&lt;wsp:rsid wsp:val=&quot;00C41C68&quot;/&gt;&lt;wsp:rsid wsp:val=&quot;00C41DE6&quot;/&gt;&lt;wsp:rsid wsp:val=&quot;00C42587&quot;/&gt;&lt;wsp:rsid wsp:val=&quot;00C42767&quot;/&gt;&lt;wsp:rsid wsp:val=&quot;00C42BC8&quot;/&gt;&lt;wsp:rsid wsp:val=&quot;00C42D06&quot;/&gt;&lt;wsp:rsid wsp:val=&quot;00C445C6&quot;/&gt;&lt;wsp:rsid wsp:val=&quot;00C4478E&quot;/&gt;&lt;wsp:rsid wsp:val=&quot;00C453BB&quot;/&gt;&lt;wsp:rsid wsp:val=&quot;00C459F6&quot;/&gt;&lt;wsp:rsid wsp:val=&quot;00C45A76&quot;/&gt;&lt;wsp:rsid wsp:val=&quot;00C45C4B&quot;/&gt;&lt;wsp:rsid wsp:val=&quot;00C4602D&quot;/&gt;&lt;wsp:rsid wsp:val=&quot;00C462A3&quot;/&gt;&lt;wsp:rsid wsp:val=&quot;00C462AA&quot;/&gt;&lt;wsp:rsid wsp:val=&quot;00C470AB&quot;/&gt;&lt;wsp:rsid wsp:val=&quot;00C500CB&quot;/&gt;&lt;wsp:rsid wsp:val=&quot;00C503B4&quot;/&gt;&lt;wsp:rsid wsp:val=&quot;00C517BC&quot;/&gt;&lt;wsp:rsid wsp:val=&quot;00C51A93&quot;/&gt;&lt;wsp:rsid wsp:val=&quot;00C52FAF&quot;/&gt;&lt;wsp:rsid wsp:val=&quot;00C52FF2&quot;/&gt;&lt;wsp:rsid wsp:val=&quot;00C531D2&quot;/&gt;&lt;wsp:rsid wsp:val=&quot;00C53637&quot;/&gt;&lt;wsp:rsid wsp:val=&quot;00C536DB&quot;/&gt;&lt;wsp:rsid wsp:val=&quot;00C54840&quot;/&gt;&lt;wsp:rsid wsp:val=&quot;00C548C2&quot;/&gt;&lt;wsp:rsid wsp:val=&quot;00C557BC&quot;/&gt;&lt;wsp:rsid wsp:val=&quot;00C55A95&quot;/&gt;&lt;wsp:rsid wsp:val=&quot;00C55E10&quot;/&gt;&lt;wsp:rsid wsp:val=&quot;00C55E4E&quot;/&gt;&lt;wsp:rsid wsp:val=&quot;00C5609A&quot;/&gt;&lt;wsp:rsid wsp:val=&quot;00C60825&quot;/&gt;&lt;wsp:rsid wsp:val=&quot;00C60EAD&quot;/&gt;&lt;wsp:rsid wsp:val=&quot;00C61CB8&quot;/&gt;&lt;wsp:rsid wsp:val=&quot;00C63A17&quot;/&gt;&lt;wsp:rsid wsp:val=&quot;00C6776E&quot;/&gt;&lt;wsp:rsid wsp:val=&quot;00C70567&quot;/&gt;&lt;wsp:rsid wsp:val=&quot;00C70A0C&quot;/&gt;&lt;wsp:rsid wsp:val=&quot;00C70FC9&quot;/&gt;&lt;wsp:rsid wsp:val=&quot;00C723A3&quot;/&gt;&lt;wsp:rsid wsp:val=&quot;00C726BE&quot;/&gt;&lt;wsp:rsid wsp:val=&quot;00C72D28&quot;/&gt;&lt;wsp:rsid wsp:val=&quot;00C73CEB&quot;/&gt;&lt;wsp:rsid wsp:val=&quot;00C74DA6&quot;/&gt;&lt;wsp:rsid wsp:val=&quot;00C74E79&quot;/&gt;&lt;wsp:rsid wsp:val=&quot;00C75506&quot;/&gt;&lt;wsp:rsid wsp:val=&quot;00C75B24&quot;/&gt;&lt;wsp:rsid wsp:val=&quot;00C75B33&quot;/&gt;&lt;wsp:rsid wsp:val=&quot;00C7612A&quot;/&gt;&lt;wsp:rsid wsp:val=&quot;00C76530&quot;/&gt;&lt;wsp:rsid wsp:val=&quot;00C766A3&quot;/&gt;&lt;wsp:rsid wsp:val=&quot;00C76BDB&quot;/&gt;&lt;wsp:rsid wsp:val=&quot;00C80121&quot;/&gt;&lt;wsp:rsid wsp:val=&quot;00C8142A&quot;/&gt;&lt;wsp:rsid wsp:val=&quot;00C817BD&quot;/&gt;&lt;wsp:rsid wsp:val=&quot;00C81DD7&quot;/&gt;&lt;wsp:rsid wsp:val=&quot;00C8267D&quot;/&gt;&lt;wsp:rsid wsp:val=&quot;00C82906&quot;/&gt;&lt;wsp:rsid wsp:val=&quot;00C82CC4&quot;/&gt;&lt;wsp:rsid wsp:val=&quot;00C84384&quot;/&gt;&lt;wsp:rsid wsp:val=&quot;00C8456A&quot;/&gt;&lt;wsp:rsid wsp:val=&quot;00C846AE&quot;/&gt;&lt;wsp:rsid wsp:val=&quot;00C84966&quot;/&gt;&lt;wsp:rsid wsp:val=&quot;00C85DB5&quot;/&gt;&lt;wsp:rsid wsp:val=&quot;00C873E5&quot;/&gt;&lt;wsp:rsid wsp:val=&quot;00C94696&quot;/&gt;&lt;wsp:rsid wsp:val=&quot;00C952C5&quot;/&gt;&lt;wsp:rsid wsp:val=&quot;00C963A8&quot;/&gt;&lt;wsp:rsid wsp:val=&quot;00C9666F&quot;/&gt;&lt;wsp:rsid wsp:val=&quot;00C96A54&quot;/&gt;&lt;wsp:rsid wsp:val=&quot;00C96F94&quot;/&gt;&lt;wsp:rsid wsp:val=&quot;00C9732F&quot;/&gt;&lt;wsp:rsid wsp:val=&quot;00CA0AE5&quot;/&gt;&lt;wsp:rsid wsp:val=&quot;00CA0E6F&quot;/&gt;&lt;wsp:rsid wsp:val=&quot;00CA3EE9&quot;/&gt;&lt;wsp:rsid wsp:val=&quot;00CA4ACE&quot;/&gt;&lt;wsp:rsid wsp:val=&quot;00CA5461&quot;/&gt;&lt;wsp:rsid wsp:val=&quot;00CA5651&quot;/&gt;&lt;wsp:rsid wsp:val=&quot;00CA5AF1&quot;/&gt;&lt;wsp:rsid wsp:val=&quot;00CA5D3C&quot;/&gt;&lt;wsp:rsid wsp:val=&quot;00CA5E81&quot;/&gt;&lt;wsp:rsid wsp:val=&quot;00CA6148&quot;/&gt;&lt;wsp:rsid wsp:val=&quot;00CA6AFE&quot;/&gt;&lt;wsp:rsid wsp:val=&quot;00CA79CA&quot;/&gt;&lt;wsp:rsid wsp:val=&quot;00CA7D1D&quot;/&gt;&lt;wsp:rsid wsp:val=&quot;00CB0573&quot;/&gt;&lt;wsp:rsid wsp:val=&quot;00CB0996&quot;/&gt;&lt;wsp:rsid wsp:val=&quot;00CB0B37&quot;/&gt;&lt;wsp:rsid wsp:val=&quot;00CB0EF0&quot;/&gt;&lt;wsp:rsid wsp:val=&quot;00CB1ABF&quot;/&gt;&lt;wsp:rsid wsp:val=&quot;00CB203D&quot;/&gt;&lt;wsp:rsid wsp:val=&quot;00CB2B58&quot;/&gt;&lt;wsp:rsid wsp:val=&quot;00CB2E3B&quot;/&gt;&lt;wsp:rsid wsp:val=&quot;00CB2F5E&quot;/&gt;&lt;wsp:rsid wsp:val=&quot;00CB3058&quot;/&gt;&lt;wsp:rsid wsp:val=&quot;00CB3368&quot;/&gt;&lt;wsp:rsid wsp:val=&quot;00CB36FA&quot;/&gt;&lt;wsp:rsid wsp:val=&quot;00CB38F0&quot;/&gt;&lt;wsp:rsid wsp:val=&quot;00CB3BBB&quot;/&gt;&lt;wsp:rsid wsp:val=&quot;00CB3FCA&quot;/&gt;&lt;wsp:rsid wsp:val=&quot;00CB4B44&quot;/&gt;&lt;wsp:rsid wsp:val=&quot;00CB5BC6&quot;/&gt;&lt;wsp:rsid wsp:val=&quot;00CB5E2C&quot;/&gt;&lt;wsp:rsid wsp:val=&quot;00CB6A83&quot;/&gt;&lt;wsp:rsid wsp:val=&quot;00CB6B3E&quot;/&gt;&lt;wsp:rsid wsp:val=&quot;00CB6EA3&quot;/&gt;&lt;wsp:rsid wsp:val=&quot;00CB7275&quot;/&gt;&lt;wsp:rsid wsp:val=&quot;00CB7322&quot;/&gt;&lt;wsp:rsid wsp:val=&quot;00CB772D&quot;/&gt;&lt;wsp:rsid wsp:val=&quot;00CB7B5A&quot;/&gt;&lt;wsp:rsid wsp:val=&quot;00CC0045&quot;/&gt;&lt;wsp:rsid wsp:val=&quot;00CC0801&quot;/&gt;&lt;wsp:rsid wsp:val=&quot;00CC0D8E&quot;/&gt;&lt;wsp:rsid wsp:val=&quot;00CC1CB5&quot;/&gt;&lt;wsp:rsid wsp:val=&quot;00CC1EE5&quot;/&gt;&lt;wsp:rsid wsp:val=&quot;00CC1FB2&quot;/&gt;&lt;wsp:rsid wsp:val=&quot;00CC2CBC&quot;/&gt;&lt;wsp:rsid wsp:val=&quot;00CC343A&quot;/&gt;&lt;wsp:rsid wsp:val=&quot;00CC46D8&quot;/&gt;&lt;wsp:rsid wsp:val=&quot;00CC4C2B&quot;/&gt;&lt;wsp:rsid wsp:val=&quot;00CC515F&quot;/&gt;&lt;wsp:rsid wsp:val=&quot;00CC5785&quot;/&gt;&lt;wsp:rsid wsp:val=&quot;00CC5DE2&quot;/&gt;&lt;wsp:rsid wsp:val=&quot;00CC7199&quot;/&gt;&lt;wsp:rsid wsp:val=&quot;00CC7BCE&quot;/&gt;&lt;wsp:rsid wsp:val=&quot;00CD0418&quot;/&gt;&lt;wsp:rsid wsp:val=&quot;00CD05AC&quot;/&gt;&lt;wsp:rsid wsp:val=&quot;00CD17D0&quot;/&gt;&lt;wsp:rsid wsp:val=&quot;00CD1812&quot;/&gt;&lt;wsp:rsid wsp:val=&quot;00CD2431&quot;/&gt;&lt;wsp:rsid wsp:val=&quot;00CD39E1&quot;/&gt;&lt;wsp:rsid wsp:val=&quot;00CD449A&quot;/&gt;&lt;wsp:rsid wsp:val=&quot;00CD44B5&quot;/&gt;&lt;wsp:rsid wsp:val=&quot;00CD51E4&quot;/&gt;&lt;wsp:rsid wsp:val=&quot;00CD6584&quot;/&gt;&lt;wsp:rsid wsp:val=&quot;00CD6E52&quot;/&gt;&lt;wsp:rsid wsp:val=&quot;00CD71D6&quot;/&gt;&lt;wsp:rsid wsp:val=&quot;00CD744B&quot;/&gt;&lt;wsp:rsid wsp:val=&quot;00CD7924&quot;/&gt;&lt;wsp:rsid wsp:val=&quot;00CE0451&quot;/&gt;&lt;wsp:rsid wsp:val=&quot;00CE1AF8&quot;/&gt;&lt;wsp:rsid wsp:val=&quot;00CE1D6F&quot;/&gt;&lt;wsp:rsid wsp:val=&quot;00CE23E2&quot;/&gt;&lt;wsp:rsid wsp:val=&quot;00CE2EC2&quot;/&gt;&lt;wsp:rsid wsp:val=&quot;00CE2F35&quot;/&gt;&lt;wsp:rsid wsp:val=&quot;00CE3734&quot;/&gt;&lt;wsp:rsid wsp:val=&quot;00CE3C4C&quot;/&gt;&lt;wsp:rsid wsp:val=&quot;00CE4D2E&quot;/&gt;&lt;wsp:rsid wsp:val=&quot;00CE5170&quot;/&gt;&lt;wsp:rsid wsp:val=&quot;00CE7066&quot;/&gt;&lt;wsp:rsid wsp:val=&quot;00CE7281&quot;/&gt;&lt;wsp:rsid wsp:val=&quot;00CE72AD&quot;/&gt;&lt;wsp:rsid wsp:val=&quot;00CE7A00&quot;/&gt;&lt;wsp:rsid wsp:val=&quot;00CE7C75&quot;/&gt;&lt;wsp:rsid wsp:val=&quot;00CE7E1B&quot;/&gt;&lt;wsp:rsid wsp:val=&quot;00CF056E&quot;/&gt;&lt;wsp:rsid wsp:val=&quot;00CF0759&quot;/&gt;&lt;wsp:rsid wsp:val=&quot;00CF1294&quot;/&gt;&lt;wsp:rsid wsp:val=&quot;00CF1E1E&quot;/&gt;&lt;wsp:rsid wsp:val=&quot;00CF1F2C&quot;/&gt;&lt;wsp:rsid wsp:val=&quot;00CF2193&quot;/&gt;&lt;wsp:rsid wsp:val=&quot;00CF28F8&quot;/&gt;&lt;wsp:rsid wsp:val=&quot;00CF2C34&quot;/&gt;&lt;wsp:rsid wsp:val=&quot;00CF2D49&quot;/&gt;&lt;wsp:rsid wsp:val=&quot;00CF448C&quot;/&gt;&lt;wsp:rsid wsp:val=&quot;00CF5962&quot;/&gt;&lt;wsp:rsid wsp:val=&quot;00CF59A3&quot;/&gt;&lt;wsp:rsid wsp:val=&quot;00CF5D17&quot;/&gt;&lt;wsp:rsid wsp:val=&quot;00CF6006&quot;/&gt;&lt;wsp:rsid wsp:val=&quot;00CF61D4&quot;/&gt;&lt;wsp:rsid wsp:val=&quot;00CF67C5&quot;/&gt;&lt;wsp:rsid wsp:val=&quot;00CF74AF&quot;/&gt;&lt;wsp:rsid wsp:val=&quot;00CF7581&quot;/&gt;&lt;wsp:rsid wsp:val=&quot;00CF78FB&quot;/&gt;&lt;wsp:rsid wsp:val=&quot;00D001A4&quot;/&gt;&lt;wsp:rsid wsp:val=&quot;00D0078E&quot;/&gt;&lt;wsp:rsid wsp:val=&quot;00D00BBE&quot;/&gt;&lt;wsp:rsid wsp:val=&quot;00D01220&quot;/&gt;&lt;wsp:rsid wsp:val=&quot;00D01CFD&quot;/&gt;&lt;wsp:rsid wsp:val=&quot;00D01FAF&quot;/&gt;&lt;wsp:rsid wsp:val=&quot;00D02616&quot;/&gt;&lt;wsp:rsid wsp:val=&quot;00D02E33&quot;/&gt;&lt;wsp:rsid wsp:val=&quot;00D03252&quot;/&gt;&lt;wsp:rsid wsp:val=&quot;00D03C47&quot;/&gt;&lt;wsp:rsid wsp:val=&quot;00D066FE&quot;/&gt;&lt;wsp:rsid wsp:val=&quot;00D06D2F&quot;/&gt;&lt;wsp:rsid wsp:val=&quot;00D075C3&quot;/&gt;&lt;wsp:rsid wsp:val=&quot;00D1123D&quot;/&gt;&lt;wsp:rsid wsp:val=&quot;00D11B60&quot;/&gt;&lt;wsp:rsid wsp:val=&quot;00D12FD4&quot;/&gt;&lt;wsp:rsid wsp:val=&quot;00D1361F&quot;/&gt;&lt;wsp:rsid wsp:val=&quot;00D139A3&quot;/&gt;&lt;wsp:rsid wsp:val=&quot;00D13A20&quot;/&gt;&lt;wsp:rsid wsp:val=&quot;00D13EF5&quot;/&gt;&lt;wsp:rsid wsp:val=&quot;00D1448B&quot;/&gt;&lt;wsp:rsid wsp:val=&quot;00D14595&quot;/&gt;&lt;wsp:rsid wsp:val=&quot;00D14CFA&quot;/&gt;&lt;wsp:rsid wsp:val=&quot;00D14D4F&quot;/&gt;&lt;wsp:rsid wsp:val=&quot;00D15AB0&quot;/&gt;&lt;wsp:rsid wsp:val=&quot;00D16031&quot;/&gt;&lt;wsp:rsid wsp:val=&quot;00D16113&quot;/&gt;&lt;wsp:rsid wsp:val=&quot;00D16167&quot;/&gt;&lt;wsp:rsid wsp:val=&quot;00D16DA1&quot;/&gt;&lt;wsp:rsid wsp:val=&quot;00D1726C&quot;/&gt;&lt;wsp:rsid wsp:val=&quot;00D1772A&quot;/&gt;&lt;wsp:rsid wsp:val=&quot;00D20535&quot;/&gt;&lt;wsp:rsid wsp:val=&quot;00D216CE&quot;/&gt;&lt;wsp:rsid wsp:val=&quot;00D21716&quot;/&gt;&lt;wsp:rsid wsp:val=&quot;00D22CAB&quot;/&gt;&lt;wsp:rsid wsp:val=&quot;00D240F3&quot;/&gt;&lt;wsp:rsid wsp:val=&quot;00D25D12&quot;/&gt;&lt;wsp:rsid wsp:val=&quot;00D25D78&quot;/&gt;&lt;wsp:rsid wsp:val=&quot;00D26899&quot;/&gt;&lt;wsp:rsid wsp:val=&quot;00D26AC1&quot;/&gt;&lt;wsp:rsid wsp:val=&quot;00D27726&quot;/&gt;&lt;wsp:rsid wsp:val=&quot;00D27BA8&quot;/&gt;&lt;wsp:rsid wsp:val=&quot;00D309B1&quot;/&gt;&lt;wsp:rsid wsp:val=&quot;00D326B5&quot;/&gt;&lt;wsp:rsid wsp:val=&quot;00D3304A&quot;/&gt;&lt;wsp:rsid wsp:val=&quot;00D332B2&quot;/&gt;&lt;wsp:rsid wsp:val=&quot;00D33B5A&quot;/&gt;&lt;wsp:rsid wsp:val=&quot;00D3444E&quot;/&gt;&lt;wsp:rsid wsp:val=&quot;00D346D4&quot;/&gt;&lt;wsp:rsid wsp:val=&quot;00D357D8&quot;/&gt;&lt;wsp:rsid wsp:val=&quot;00D35A1A&quot;/&gt;&lt;wsp:rsid wsp:val=&quot;00D35F9E&quot;/&gt;&lt;wsp:rsid wsp:val=&quot;00D36097&quot;/&gt;&lt;wsp:rsid wsp:val=&quot;00D36A3D&quot;/&gt;&lt;wsp:rsid wsp:val=&quot;00D373F0&quot;/&gt;&lt;wsp:rsid wsp:val=&quot;00D40808&quot;/&gt;&lt;wsp:rsid wsp:val=&quot;00D41497&quot;/&gt;&lt;wsp:rsid wsp:val=&quot;00D41E60&quot;/&gt;&lt;wsp:rsid wsp:val=&quot;00D42CBF&quot;/&gt;&lt;wsp:rsid wsp:val=&quot;00D43370&quot;/&gt;&lt;wsp:rsid wsp:val=&quot;00D43459&quot;/&gt;&lt;wsp:rsid wsp:val=&quot;00D43780&quot;/&gt;&lt;wsp:rsid wsp:val=&quot;00D43F94&quot;/&gt;&lt;wsp:rsid wsp:val=&quot;00D4491D&quot;/&gt;&lt;wsp:rsid wsp:val=&quot;00D44A21&quot;/&gt;&lt;wsp:rsid wsp:val=&quot;00D44CD5&quot;/&gt;&lt;wsp:rsid wsp:val=&quot;00D45558&quot;/&gt;&lt;wsp:rsid wsp:val=&quot;00D45924&quot;/&gt;&lt;wsp:rsid wsp:val=&quot;00D46515&quot;/&gt;&lt;wsp:rsid wsp:val=&quot;00D46DCD&quot;/&gt;&lt;wsp:rsid wsp:val=&quot;00D47025&quot;/&gt;&lt;wsp:rsid wsp:val=&quot;00D47213&quot;/&gt;&lt;wsp:rsid wsp:val=&quot;00D47A19&quot;/&gt;&lt;wsp:rsid wsp:val=&quot;00D47E76&quot;/&gt;&lt;wsp:rsid wsp:val=&quot;00D506DF&quot;/&gt;&lt;wsp:rsid wsp:val=&quot;00D5099D&quot;/&gt;&lt;wsp:rsid wsp:val=&quot;00D51A4A&quot;/&gt;&lt;wsp:rsid wsp:val=&quot;00D51E12&quot;/&gt;&lt;wsp:rsid wsp:val=&quot;00D51F1E&quot;/&gt;&lt;wsp:rsid wsp:val=&quot;00D537EC&quot;/&gt;&lt;wsp:rsid wsp:val=&quot;00D5395C&quot;/&gt;&lt;wsp:rsid wsp:val=&quot;00D53F7D&quot;/&gt;&lt;wsp:rsid wsp:val=&quot;00D540C5&quot;/&gt;&lt;wsp:rsid wsp:val=&quot;00D54633&quot;/&gt;&lt;wsp:rsid wsp:val=&quot;00D54D55&quot;/&gt;&lt;wsp:rsid wsp:val=&quot;00D553B4&quot;/&gt;&lt;wsp:rsid wsp:val=&quot;00D5573D&quot;/&gt;&lt;wsp:rsid wsp:val=&quot;00D56420&quot;/&gt;&lt;wsp:rsid wsp:val=&quot;00D5692B&quot;/&gt;&lt;wsp:rsid wsp:val=&quot;00D572AE&quot;/&gt;&lt;wsp:rsid wsp:val=&quot;00D57577&quot;/&gt;&lt;wsp:rsid wsp:val=&quot;00D612D2&quot;/&gt;&lt;wsp:rsid wsp:val=&quot;00D62984&quot;/&gt;&lt;wsp:rsid wsp:val=&quot;00D62D76&quot;/&gt;&lt;wsp:rsid wsp:val=&quot;00D62E2F&quot;/&gt;&lt;wsp:rsid wsp:val=&quot;00D62E86&quot;/&gt;&lt;wsp:rsid wsp:val=&quot;00D63586&quot;/&gt;&lt;wsp:rsid wsp:val=&quot;00D63C19&quot;/&gt;&lt;wsp:rsid wsp:val=&quot;00D63C23&quot;/&gt;&lt;wsp:rsid wsp:val=&quot;00D63C51&quot;/&gt;&lt;wsp:rsid wsp:val=&quot;00D64C66&quot;/&gt;&lt;wsp:rsid wsp:val=&quot;00D67265&quot;/&gt;&lt;wsp:rsid wsp:val=&quot;00D7052E&quot;/&gt;&lt;wsp:rsid wsp:val=&quot;00D705F0&quot;/&gt;&lt;wsp:rsid wsp:val=&quot;00D71DFF&quot;/&gt;&lt;wsp:rsid wsp:val=&quot;00D722D2&quot;/&gt;&lt;wsp:rsid wsp:val=&quot;00D72B17&quot;/&gt;&lt;wsp:rsid wsp:val=&quot;00D72D6F&quot;/&gt;&lt;wsp:rsid wsp:val=&quot;00D73043&quot;/&gt;&lt;wsp:rsid wsp:val=&quot;00D73586&quot;/&gt;&lt;wsp:rsid wsp:val=&quot;00D73F42&quot;/&gt;&lt;wsp:rsid wsp:val=&quot;00D73F8F&quot;/&gt;&lt;wsp:rsid wsp:val=&quot;00D7417F&quot;/&gt;&lt;wsp:rsid wsp:val=&quot;00D745F2&quot;/&gt;&lt;wsp:rsid wsp:val=&quot;00D74F20&quot;/&gt;&lt;wsp:rsid wsp:val=&quot;00D75DF8&quot;/&gt;&lt;wsp:rsid wsp:val=&quot;00D76826&quot;/&gt;&lt;wsp:rsid wsp:val=&quot;00D76B80&quot;/&gt;&lt;wsp:rsid wsp:val=&quot;00D771F9&quot;/&gt;&lt;wsp:rsid wsp:val=&quot;00D80847&quot;/&gt;&lt;wsp:rsid wsp:val=&quot;00D809AD&quot;/&gt;&lt;wsp:rsid wsp:val=&quot;00D81737&quot;/&gt;&lt;wsp:rsid wsp:val=&quot;00D81C85&quot;/&gt;&lt;wsp:rsid wsp:val=&quot;00D82111&quot;/&gt;&lt;wsp:rsid wsp:val=&quot;00D8315A&quot;/&gt;&lt;wsp:rsid wsp:val=&quot;00D83397&quot;/&gt;&lt;wsp:rsid wsp:val=&quot;00D8367E&quot;/&gt;&lt;wsp:rsid wsp:val=&quot;00D84536&quot;/&gt;&lt;wsp:rsid wsp:val=&quot;00D84E19&quot;/&gt;&lt;wsp:rsid wsp:val=&quot;00D852E6&quot;/&gt;&lt;wsp:rsid wsp:val=&quot;00D855EC&quot;/&gt;&lt;wsp:rsid wsp:val=&quot;00D85CB0&quot;/&gt;&lt;wsp:rsid wsp:val=&quot;00D85F54&quot;/&gt;&lt;wsp:rsid wsp:val=&quot;00D86253&quot;/&gt;&lt;wsp:rsid wsp:val=&quot;00D863A3&quot;/&gt;&lt;wsp:rsid wsp:val=&quot;00D86412&quot;/&gt;&lt;wsp:rsid wsp:val=&quot;00D86548&quot;/&gt;&lt;wsp:rsid wsp:val=&quot;00D8724C&quot;/&gt;&lt;wsp:rsid wsp:val=&quot;00D87385&quot;/&gt;&lt;wsp:rsid wsp:val=&quot;00D91528&quot;/&gt;&lt;wsp:rsid wsp:val=&quot;00D91BEE&quot;/&gt;&lt;wsp:rsid wsp:val=&quot;00D91D20&quot;/&gt;&lt;wsp:rsid wsp:val=&quot;00D92685&quot;/&gt;&lt;wsp:rsid wsp:val=&quot;00D9330B&quot;/&gt;&lt;wsp:rsid wsp:val=&quot;00D93693&quot;/&gt;&lt;wsp:rsid wsp:val=&quot;00D9371F&quot;/&gt;&lt;wsp:rsid wsp:val=&quot;00D939F8&quot;/&gt;&lt;wsp:rsid wsp:val=&quot;00D943B4&quot;/&gt;&lt;wsp:rsid wsp:val=&quot;00D9449C&quot;/&gt;&lt;wsp:rsid wsp:val=&quot;00D9499B&quot;/&gt;&lt;wsp:rsid wsp:val=&quot;00D94DF6&quot;/&gt;&lt;wsp:rsid wsp:val=&quot;00D95ABD&quot;/&gt;&lt;wsp:rsid wsp:val=&quot;00D95F00&quot;/&gt;&lt;wsp:rsid wsp:val=&quot;00D9697A&quot;/&gt;&lt;wsp:rsid wsp:val=&quot;00D96A6E&quot;/&gt;&lt;wsp:rsid wsp:val=&quot;00DA0643&quot;/&gt;&lt;wsp:rsid wsp:val=&quot;00DA0A20&quot;/&gt;&lt;wsp:rsid wsp:val=&quot;00DA0C8C&quot;/&gt;&lt;wsp:rsid wsp:val=&quot;00DA0EDA&quot;/&gt;&lt;wsp:rsid wsp:val=&quot;00DA1255&quot;/&gt;&lt;wsp:rsid wsp:val=&quot;00DA1B18&quot;/&gt;&lt;wsp:rsid wsp:val=&quot;00DA1CD1&quot;/&gt;&lt;wsp:rsid wsp:val=&quot;00DA2D6D&quot;/&gt;&lt;wsp:rsid wsp:val=&quot;00DA3462&quot;/&gt;&lt;wsp:rsid wsp:val=&quot;00DA5523&quot;/&gt;&lt;wsp:rsid wsp:val=&quot;00DA55FA&quot;/&gt;&lt;wsp:rsid wsp:val=&quot;00DA5778&quot;/&gt;&lt;wsp:rsid wsp:val=&quot;00DA57B5&quot;/&gt;&lt;wsp:rsid wsp:val=&quot;00DA5934&quot;/&gt;&lt;wsp:rsid wsp:val=&quot;00DA7601&quot;/&gt;&lt;wsp:rsid wsp:val=&quot;00DA763A&quot;/&gt;&lt;wsp:rsid wsp:val=&quot;00DA797F&quot;/&gt;&lt;wsp:rsid wsp:val=&quot;00DB00A6&quot;/&gt;&lt;wsp:rsid wsp:val=&quot;00DB00B6&quot;/&gt;&lt;wsp:rsid wsp:val=&quot;00DB0787&quot;/&gt;&lt;wsp:rsid wsp:val=&quot;00DB1DD7&quot;/&gt;&lt;wsp:rsid wsp:val=&quot;00DB1E25&quot;/&gt;&lt;wsp:rsid wsp:val=&quot;00DB2172&quot;/&gt;&lt;wsp:rsid wsp:val=&quot;00DB28D9&quot;/&gt;&lt;wsp:rsid wsp:val=&quot;00DB2CD3&quot;/&gt;&lt;wsp:rsid wsp:val=&quot;00DB3191&quot;/&gt;&lt;wsp:rsid wsp:val=&quot;00DB328E&quot;/&gt;&lt;wsp:rsid wsp:val=&quot;00DB3298&quot;/&gt;&lt;wsp:rsid wsp:val=&quot;00DB367B&quot;/&gt;&lt;wsp:rsid wsp:val=&quot;00DB37F3&quot;/&gt;&lt;wsp:rsid wsp:val=&quot;00DB3E3C&quot;/&gt;&lt;wsp:rsid wsp:val=&quot;00DB3F13&quot;/&gt;&lt;wsp:rsid wsp:val=&quot;00DB49AF&quot;/&gt;&lt;wsp:rsid wsp:val=&quot;00DB5998&quot;/&gt;&lt;wsp:rsid wsp:val=&quot;00DB6341&quot;/&gt;&lt;wsp:rsid wsp:val=&quot;00DB6C85&quot;/&gt;&lt;wsp:rsid wsp:val=&quot;00DB78ED&quot;/&gt;&lt;wsp:rsid wsp:val=&quot;00DB7F39&quot;/&gt;&lt;wsp:rsid wsp:val=&quot;00DC0C3B&quot;/&gt;&lt;wsp:rsid wsp:val=&quot;00DC0DA7&quot;/&gt;&lt;wsp:rsid wsp:val=&quot;00DC176A&quot;/&gt;&lt;wsp:rsid wsp:val=&quot;00DC1861&quot;/&gt;&lt;wsp:rsid wsp:val=&quot;00DC2137&quot;/&gt;&lt;wsp:rsid wsp:val=&quot;00DC28F6&quot;/&gt;&lt;wsp:rsid wsp:val=&quot;00DC3889&quot;/&gt;&lt;wsp:rsid wsp:val=&quot;00DC400A&quot;/&gt;&lt;wsp:rsid wsp:val=&quot;00DC58A1&quot;/&gt;&lt;wsp:rsid wsp:val=&quot;00DC5BAA&quot;/&gt;&lt;wsp:rsid wsp:val=&quot;00DC5E80&quot;/&gt;&lt;wsp:rsid wsp:val=&quot;00DC653F&quot;/&gt;&lt;wsp:rsid wsp:val=&quot;00DC6C57&quot;/&gt;&lt;wsp:rsid wsp:val=&quot;00DC71AD&quot;/&gt;&lt;wsp:rsid wsp:val=&quot;00DC7D26&quot;/&gt;&lt;wsp:rsid wsp:val=&quot;00DD0C5B&quot;/&gt;&lt;wsp:rsid wsp:val=&quot;00DD151E&quot;/&gt;&lt;wsp:rsid wsp:val=&quot;00DD1A93&quot;/&gt;&lt;wsp:rsid wsp:val=&quot;00DD23C5&quot;/&gt;&lt;wsp:rsid wsp:val=&quot;00DD2531&quot;/&gt;&lt;wsp:rsid wsp:val=&quot;00DD282E&quot;/&gt;&lt;wsp:rsid wsp:val=&quot;00DD2FCD&quot;/&gt;&lt;wsp:rsid wsp:val=&quot;00DD329B&quot;/&gt;&lt;wsp:rsid wsp:val=&quot;00DD37C0&quot;/&gt;&lt;wsp:rsid wsp:val=&quot;00DD4806&quot;/&gt;&lt;wsp:rsid wsp:val=&quot;00DD4926&quot;/&gt;&lt;wsp:rsid wsp:val=&quot;00DD5288&quot;/&gt;&lt;wsp:rsid wsp:val=&quot;00DD5EFB&quot;/&gt;&lt;wsp:rsid wsp:val=&quot;00DD6151&quot;/&gt;&lt;wsp:rsid wsp:val=&quot;00DD620A&quot;/&gt;&lt;wsp:rsid wsp:val=&quot;00DD6F11&quot;/&gt;&lt;wsp:rsid wsp:val=&quot;00DD70F1&quot;/&gt;&lt;wsp:rsid wsp:val=&quot;00DD7B87&quot;/&gt;&lt;wsp:rsid wsp:val=&quot;00DE0001&quot;/&gt;&lt;wsp:rsid wsp:val=&quot;00DE0A94&quot;/&gt;&lt;wsp:rsid wsp:val=&quot;00DE136F&quot;/&gt;&lt;wsp:rsid wsp:val=&quot;00DE1C90&quot;/&gt;&lt;wsp:rsid wsp:val=&quot;00DE1F4E&quot;/&gt;&lt;wsp:rsid wsp:val=&quot;00DE2625&quot;/&gt;&lt;wsp:rsid wsp:val=&quot;00DE2CA8&quot;/&gt;&lt;wsp:rsid wsp:val=&quot;00DE2DC3&quot;/&gt;&lt;wsp:rsid wsp:val=&quot;00DE38CC&quot;/&gt;&lt;wsp:rsid wsp:val=&quot;00DE48C1&quot;/&gt;&lt;wsp:rsid wsp:val=&quot;00DE4ACB&quot;/&gt;&lt;wsp:rsid wsp:val=&quot;00DE5CBF&quot;/&gt;&lt;wsp:rsid wsp:val=&quot;00DE5CE9&quot;/&gt;&lt;wsp:rsid wsp:val=&quot;00DE61CD&quot;/&gt;&lt;wsp:rsid wsp:val=&quot;00DE64CD&quot;/&gt;&lt;wsp:rsid wsp:val=&quot;00DE66BB&quot;/&gt;&lt;wsp:rsid wsp:val=&quot;00DE66FF&quot;/&gt;&lt;wsp:rsid wsp:val=&quot;00DE7265&quot;/&gt;&lt;wsp:rsid wsp:val=&quot;00DE7D9B&quot;/&gt;&lt;wsp:rsid wsp:val=&quot;00DF1A51&quot;/&gt;&lt;wsp:rsid wsp:val=&quot;00DF1BA6&quot;/&gt;&lt;wsp:rsid wsp:val=&quot;00DF2C47&quot;/&gt;&lt;wsp:rsid wsp:val=&quot;00DF3BED&quot;/&gt;&lt;wsp:rsid wsp:val=&quot;00DF3C37&quot;/&gt;&lt;wsp:rsid wsp:val=&quot;00DF4EEC&quot;/&gt;&lt;wsp:rsid wsp:val=&quot;00DF4FF6&quot;/&gt;&lt;wsp:rsid wsp:val=&quot;00DF6019&quot;/&gt;&lt;wsp:rsid wsp:val=&quot;00DF6045&quot;/&gt;&lt;wsp:rsid wsp:val=&quot;00DF661E&quot;/&gt;&lt;wsp:rsid wsp:val=&quot;00DF672B&quot;/&gt;&lt;wsp:rsid wsp:val=&quot;00DF6786&quot;/&gt;&lt;wsp:rsid wsp:val=&quot;00DF6D6A&quot;/&gt;&lt;wsp:rsid wsp:val=&quot;00DF6F87&quot;/&gt;&lt;wsp:rsid wsp:val=&quot;00DF7701&quot;/&gt;&lt;wsp:rsid wsp:val=&quot;00E00EFD&quot;/&gt;&lt;wsp:rsid wsp:val=&quot;00E01130&quot;/&gt;&lt;wsp:rsid wsp:val=&quot;00E01828&quot;/&gt;&lt;wsp:rsid wsp:val=&quot;00E019E8&quot;/&gt;&lt;wsp:rsid wsp:val=&quot;00E02074&quot;/&gt;&lt;wsp:rsid wsp:val=&quot;00E024E4&quot;/&gt;&lt;wsp:rsid wsp:val=&quot;00E02526&quot;/&gt;&lt;wsp:rsid wsp:val=&quot;00E025AF&quot;/&gt;&lt;wsp:rsid wsp:val=&quot;00E02FED&quot;/&gt;&lt;wsp:rsid wsp:val=&quot;00E03061&quot;/&gt;&lt;wsp:rsid wsp:val=&quot;00E036F4&quot;/&gt;&lt;wsp:rsid wsp:val=&quot;00E04099&quot;/&gt;&lt;wsp:rsid wsp:val=&quot;00E0485B&quot;/&gt;&lt;wsp:rsid wsp:val=&quot;00E05882&quot;/&gt;&lt;wsp:rsid wsp:val=&quot;00E074B2&quot;/&gt;&lt;wsp:rsid wsp:val=&quot;00E07598&quot;/&gt;&lt;wsp:rsid wsp:val=&quot;00E07BB2&quot;/&gt;&lt;wsp:rsid wsp:val=&quot;00E07C40&quot;/&gt;&lt;wsp:rsid wsp:val=&quot;00E10084&quot;/&gt;&lt;wsp:rsid wsp:val=&quot;00E10528&quot;/&gt;&lt;wsp:rsid wsp:val=&quot;00E10553&quot;/&gt;&lt;wsp:rsid wsp:val=&quot;00E10F3B&quot;/&gt;&lt;wsp:rsid wsp:val=&quot;00E11C42&quot;/&gt;&lt;wsp:rsid wsp:val=&quot;00E12817&quot;/&gt;&lt;wsp:rsid wsp:val=&quot;00E1333F&quot;/&gt;&lt;wsp:rsid wsp:val=&quot;00E134BB&quot;/&gt;&lt;wsp:rsid wsp:val=&quot;00E13697&quot;/&gt;&lt;wsp:rsid wsp:val=&quot;00E13C78&quot;/&gt;&lt;wsp:rsid wsp:val=&quot;00E13FBF&quot;/&gt;&lt;wsp:rsid wsp:val=&quot;00E14279&quot;/&gt;&lt;wsp:rsid wsp:val=&quot;00E15043&quot;/&gt;&lt;wsp:rsid wsp:val=&quot;00E157ED&quot;/&gt;&lt;wsp:rsid wsp:val=&quot;00E15815&quot;/&gt;&lt;wsp:rsid wsp:val=&quot;00E15819&quot;/&gt;&lt;wsp:rsid wsp:val=&quot;00E1683B&quot;/&gt;&lt;wsp:rsid wsp:val=&quot;00E16940&quot;/&gt;&lt;wsp:rsid wsp:val=&quot;00E1780E&quot;/&gt;&lt;wsp:rsid wsp:val=&quot;00E203D4&quot;/&gt;&lt;wsp:rsid wsp:val=&quot;00E21794&quot;/&gt;&lt;wsp:rsid wsp:val=&quot;00E22688&quot;/&gt;&lt;wsp:rsid wsp:val=&quot;00E22B39&quot;/&gt;&lt;wsp:rsid wsp:val=&quot;00E23F38&quot;/&gt;&lt;wsp:rsid wsp:val=&quot;00E2487D&quot;/&gt;&lt;wsp:rsid wsp:val=&quot;00E25B2B&quot;/&gt;&lt;wsp:rsid wsp:val=&quot;00E25D75&quot;/&gt;&lt;wsp:rsid wsp:val=&quot;00E26CD3&quot;/&gt;&lt;wsp:rsid wsp:val=&quot;00E27B77&quot;/&gt;&lt;wsp:rsid wsp:val=&quot;00E30240&quot;/&gt;&lt;wsp:rsid wsp:val=&quot;00E30273&quot;/&gt;&lt;wsp:rsid wsp:val=&quot;00E303EB&quot;/&gt;&lt;wsp:rsid wsp:val=&quot;00E30656&quot;/&gt;&lt;wsp:rsid wsp:val=&quot;00E3071D&quot;/&gt;&lt;wsp:rsid wsp:val=&quot;00E31148&quot;/&gt;&lt;wsp:rsid wsp:val=&quot;00E32587&quot;/&gt;&lt;wsp:rsid wsp:val=&quot;00E32CA4&quot;/&gt;&lt;wsp:rsid wsp:val=&quot;00E32DB9&quot;/&gt;&lt;wsp:rsid wsp:val=&quot;00E33070&quot;/&gt;&lt;wsp:rsid wsp:val=&quot;00E338AA&quot;/&gt;&lt;wsp:rsid wsp:val=&quot;00E34888&quot;/&gt;&lt;wsp:rsid wsp:val=&quot;00E34CCD&quot;/&gt;&lt;wsp:rsid wsp:val=&quot;00E371B0&quot;/&gt;&lt;wsp:rsid wsp:val=&quot;00E37346&quot;/&gt;&lt;wsp:rsid wsp:val=&quot;00E3740E&quot;/&gt;&lt;wsp:rsid wsp:val=&quot;00E37E0E&quot;/&gt;&lt;wsp:rsid wsp:val=&quot;00E40E2B&quot;/&gt;&lt;wsp:rsid wsp:val=&quot;00E41F50&quot;/&gt;&lt;wsp:rsid wsp:val=&quot;00E429F7&quot;/&gt;&lt;wsp:rsid wsp:val=&quot;00E42C62&quot;/&gt;&lt;wsp:rsid wsp:val=&quot;00E42F37&quot;/&gt;&lt;wsp:rsid wsp:val=&quot;00E42F74&quot;/&gt;&lt;wsp:rsid wsp:val=&quot;00E442F8&quot;/&gt;&lt;wsp:rsid wsp:val=&quot;00E4447F&quot;/&gt;&lt;wsp:rsid wsp:val=&quot;00E45347&quot;/&gt;&lt;wsp:rsid wsp:val=&quot;00E455C7&quot;/&gt;&lt;wsp:rsid wsp:val=&quot;00E47C35&quot;/&gt;&lt;wsp:rsid wsp:val=&quot;00E50813&quot;/&gt;&lt;wsp:rsid wsp:val=&quot;00E512E9&quot;/&gt;&lt;wsp:rsid wsp:val=&quot;00E513E5&quot;/&gt;&lt;wsp:rsid wsp:val=&quot;00E515AD&quot;/&gt;&lt;wsp:rsid wsp:val=&quot;00E51BD2&quot;/&gt;&lt;wsp:rsid wsp:val=&quot;00E51BEB&quot;/&gt;&lt;wsp:rsid wsp:val=&quot;00E51D04&quot;/&gt;&lt;wsp:rsid wsp:val=&quot;00E5207A&quot;/&gt;&lt;wsp:rsid wsp:val=&quot;00E526AC&quot;/&gt;&lt;wsp:rsid wsp:val=&quot;00E5270D&quot;/&gt;&lt;wsp:rsid wsp:val=&quot;00E52967&quot;/&gt;&lt;wsp:rsid wsp:val=&quot;00E5377F&quot;/&gt;&lt;wsp:rsid wsp:val=&quot;00E53BFE&quot;/&gt;&lt;wsp:rsid wsp:val=&quot;00E53E15&quot;/&gt;&lt;wsp:rsid wsp:val=&quot;00E53E20&quot;/&gt;&lt;wsp:rsid wsp:val=&quot;00E54506&quot;/&gt;&lt;wsp:rsid wsp:val=&quot;00E54912&quot;/&gt;&lt;wsp:rsid wsp:val=&quot;00E54E6C&quot;/&gt;&lt;wsp:rsid wsp:val=&quot;00E55304&quot;/&gt;&lt;wsp:rsid wsp:val=&quot;00E55F6B&quot;/&gt;&lt;wsp:rsid wsp:val=&quot;00E55FD3&quot;/&gt;&lt;wsp:rsid wsp:val=&quot;00E56EA4&quot;/&gt;&lt;wsp:rsid wsp:val=&quot;00E57697&quot;/&gt;&lt;wsp:rsid wsp:val=&quot;00E57734&quot;/&gt;&lt;wsp:rsid wsp:val=&quot;00E60768&quot;/&gt;&lt;wsp:rsid wsp:val=&quot;00E60A42&quot;/&gt;&lt;wsp:rsid wsp:val=&quot;00E614CE&quot;/&gt;&lt;wsp:rsid wsp:val=&quot;00E62179&quot;/&gt;&lt;wsp:rsid wsp:val=&quot;00E62373&quot;/&gt;&lt;wsp:rsid wsp:val=&quot;00E62449&quot;/&gt;&lt;wsp:rsid wsp:val=&quot;00E62780&quot;/&gt;&lt;wsp:rsid wsp:val=&quot;00E62847&quot;/&gt;&lt;wsp:rsid wsp:val=&quot;00E63D5E&quot;/&gt;&lt;wsp:rsid wsp:val=&quot;00E64DCB&quot;/&gt;&lt;wsp:rsid wsp:val=&quot;00E6522B&quot;/&gt;&lt;wsp:rsid wsp:val=&quot;00E65D67&quot;/&gt;&lt;wsp:rsid wsp:val=&quot;00E6650B&quot;/&gt;&lt;wsp:rsid wsp:val=&quot;00E66E16&quot;/&gt;&lt;wsp:rsid wsp:val=&quot;00E670EF&quot;/&gt;&lt;wsp:rsid wsp:val=&quot;00E672CA&quot;/&gt;&lt;wsp:rsid wsp:val=&quot;00E676FB&quot;/&gt;&lt;wsp:rsid wsp:val=&quot;00E70507&quot;/&gt;&lt;wsp:rsid wsp:val=&quot;00E70B85&quot;/&gt;&lt;wsp:rsid wsp:val=&quot;00E70F52&quot;/&gt;&lt;wsp:rsid wsp:val=&quot;00E71B69&quot;/&gt;&lt;wsp:rsid wsp:val=&quot;00E74003&quot;/&gt;&lt;wsp:rsid wsp:val=&quot;00E74B27&quot;/&gt;&lt;wsp:rsid wsp:val=&quot;00E74EF6&quot;/&gt;&lt;wsp:rsid wsp:val=&quot;00E75089&quot;/&gt;&lt;wsp:rsid wsp:val=&quot;00E752DB&quot;/&gt;&lt;wsp:rsid wsp:val=&quot;00E7599A&quot;/&gt;&lt;wsp:rsid wsp:val=&quot;00E75E30&quot;/&gt;&lt;wsp:rsid wsp:val=&quot;00E75F8F&quot;/&gt;&lt;wsp:rsid wsp:val=&quot;00E763E3&quot;/&gt;&lt;wsp:rsid wsp:val=&quot;00E76419&quot;/&gt;&lt;wsp:rsid wsp:val=&quot;00E77274&quot;/&gt;&lt;wsp:rsid wsp:val=&quot;00E7752F&quot;/&gt;&lt;wsp:rsid wsp:val=&quot;00E779B3&quot;/&gt;&lt;wsp:rsid wsp:val=&quot;00E77D94&quot;/&gt;&lt;wsp:rsid wsp:val=&quot;00E77FF5&quot;/&gt;&lt;wsp:rsid wsp:val=&quot;00E811D0&quot;/&gt;&lt;wsp:rsid wsp:val=&quot;00E82387&quot;/&gt;&lt;wsp:rsid wsp:val=&quot;00E823CB&quot;/&gt;&lt;wsp:rsid wsp:val=&quot;00E8346F&quot;/&gt;&lt;wsp:rsid wsp:val=&quot;00E8362D&quot;/&gt;&lt;wsp:rsid wsp:val=&quot;00E83C3D&quot;/&gt;&lt;wsp:rsid wsp:val=&quot;00E83D44&quot;/&gt;&lt;wsp:rsid wsp:val=&quot;00E84151&quot;/&gt;&lt;wsp:rsid wsp:val=&quot;00E84605&quot;/&gt;&lt;wsp:rsid wsp:val=&quot;00E847B4&quot;/&gt;&lt;wsp:rsid wsp:val=&quot;00E84B55&quot;/&gt;&lt;wsp:rsid wsp:val=&quot;00E85ABF&quot;/&gt;&lt;wsp:rsid wsp:val=&quot;00E85B23&quot;/&gt;&lt;wsp:rsid wsp:val=&quot;00E861E3&quot;/&gt;&lt;wsp:rsid wsp:val=&quot;00E86656&quot;/&gt;&lt;wsp:rsid wsp:val=&quot;00E87555&quot;/&gt;&lt;wsp:rsid wsp:val=&quot;00E8763E&quot;/&gt;&lt;wsp:rsid wsp:val=&quot;00E87651&quot;/&gt;&lt;wsp:rsid wsp:val=&quot;00E87B30&quot;/&gt;&lt;wsp:rsid wsp:val=&quot;00E87FE7&quot;/&gt;&lt;wsp:rsid wsp:val=&quot;00E90180&quot;/&gt;&lt;wsp:rsid wsp:val=&quot;00E91340&quot;/&gt;&lt;wsp:rsid wsp:val=&quot;00E9163F&quot;/&gt;&lt;wsp:rsid wsp:val=&quot;00E9168A&quot;/&gt;&lt;wsp:rsid wsp:val=&quot;00E91834&quot;/&gt;&lt;wsp:rsid wsp:val=&quot;00E9193C&quot;/&gt;&lt;wsp:rsid wsp:val=&quot;00E92669&quot;/&gt;&lt;wsp:rsid wsp:val=&quot;00E926B8&quot;/&gt;&lt;wsp:rsid wsp:val=&quot;00E92E24&quot;/&gt;&lt;wsp:rsid wsp:val=&quot;00E93D1A&quot;/&gt;&lt;wsp:rsid wsp:val=&quot;00E941E4&quot;/&gt;&lt;wsp:rsid wsp:val=&quot;00E95C4D&quot;/&gt;&lt;wsp:rsid wsp:val=&quot;00E95D78&quot;/&gt;&lt;wsp:rsid wsp:val=&quot;00E95ED1&quot;/&gt;&lt;wsp:rsid wsp:val=&quot;00E961F1&quot;/&gt;&lt;wsp:rsid wsp:val=&quot;00E9719A&quot;/&gt;&lt;wsp:rsid wsp:val=&quot;00E972C3&quot;/&gt;&lt;wsp:rsid wsp:val=&quot;00EA0977&quot;/&gt;&lt;wsp:rsid wsp:val=&quot;00EA09E5&quot;/&gt;&lt;wsp:rsid wsp:val=&quot;00EA152B&quot;/&gt;&lt;wsp:rsid wsp:val=&quot;00EA2050&quot;/&gt;&lt;wsp:rsid wsp:val=&quot;00EA238A&quot;/&gt;&lt;wsp:rsid wsp:val=&quot;00EA25DD&quot;/&gt;&lt;wsp:rsid wsp:val=&quot;00EA2FA6&quot;/&gt;&lt;wsp:rsid wsp:val=&quot;00EA342B&quot;/&gt;&lt;wsp:rsid wsp:val=&quot;00EA38BE&quot;/&gt;&lt;wsp:rsid wsp:val=&quot;00EA41C5&quot;/&gt;&lt;wsp:rsid wsp:val=&quot;00EA4313&quot;/&gt;&lt;wsp:rsid wsp:val=&quot;00EA56DE&quot;/&gt;&lt;wsp:rsid wsp:val=&quot;00EA6B15&quot;/&gt;&lt;wsp:rsid wsp:val=&quot;00EB0990&quot;/&gt;&lt;wsp:rsid wsp:val=&quot;00EB21AA&quot;/&gt;&lt;wsp:rsid wsp:val=&quot;00EB2563&quot;/&gt;&lt;wsp:rsid wsp:val=&quot;00EB4421&quot;/&gt;&lt;wsp:rsid wsp:val=&quot;00EB4A6C&quot;/&gt;&lt;wsp:rsid wsp:val=&quot;00EB4D22&quot;/&gt;&lt;wsp:rsid wsp:val=&quot;00EB518D&quot;/&gt;&lt;wsp:rsid wsp:val=&quot;00EB6884&quot;/&gt;&lt;wsp:rsid wsp:val=&quot;00EB6E45&quot;/&gt;&lt;wsp:rsid wsp:val=&quot;00EB726C&quot;/&gt;&lt;wsp:rsid wsp:val=&quot;00EB766D&quot;/&gt;&lt;wsp:rsid wsp:val=&quot;00EC0608&quot;/&gt;&lt;wsp:rsid wsp:val=&quot;00EC068A&quot;/&gt;&lt;wsp:rsid wsp:val=&quot;00EC073F&quot;/&gt;&lt;wsp:rsid wsp:val=&quot;00EC1A94&quot;/&gt;&lt;wsp:rsid wsp:val=&quot;00EC1AD0&quot;/&gt;&lt;wsp:rsid wsp:val=&quot;00EC23DE&quot;/&gt;&lt;wsp:rsid wsp:val=&quot;00EC285E&quot;/&gt;&lt;wsp:rsid wsp:val=&quot;00EC29A0&quot;/&gt;&lt;wsp:rsid wsp:val=&quot;00EC2C64&quot;/&gt;&lt;wsp:rsid wsp:val=&quot;00EC31B0&quot;/&gt;&lt;wsp:rsid wsp:val=&quot;00EC43FC&quot;/&gt;&lt;wsp:rsid wsp:val=&quot;00EC5112&quot;/&gt;&lt;wsp:rsid wsp:val=&quot;00EC5854&quot;/&gt;&lt;wsp:rsid wsp:val=&quot;00EC5C58&quot;/&gt;&lt;wsp:rsid wsp:val=&quot;00EC6035&quot;/&gt;&lt;wsp:rsid wsp:val=&quot;00EC72C0&quot;/&gt;&lt;wsp:rsid wsp:val=&quot;00EC770B&quot;/&gt;&lt;wsp:rsid wsp:val=&quot;00ED134B&quot;/&gt;&lt;wsp:rsid wsp:val=&quot;00ED2546&quot;/&gt;&lt;wsp:rsid wsp:val=&quot;00ED2671&quot;/&gt;&lt;wsp:rsid wsp:val=&quot;00ED300C&quot;/&gt;&lt;wsp:rsid wsp:val=&quot;00ED304A&quot;/&gt;&lt;wsp:rsid wsp:val=&quot;00ED3CA3&quot;/&gt;&lt;wsp:rsid wsp:val=&quot;00ED4720&quot;/&gt;&lt;wsp:rsid wsp:val=&quot;00ED5535&quot;/&gt;&lt;wsp:rsid wsp:val=&quot;00ED5601&quot;/&gt;&lt;wsp:rsid wsp:val=&quot;00ED5B9A&quot;/&gt;&lt;wsp:rsid wsp:val=&quot;00ED5EB0&quot;/&gt;&lt;wsp:rsid wsp:val=&quot;00ED64A8&quot;/&gt;&lt;wsp:rsid wsp:val=&quot;00ED66AB&quot;/&gt;&lt;wsp:rsid wsp:val=&quot;00ED6A2A&quot;/&gt;&lt;wsp:rsid wsp:val=&quot;00ED6DCE&quot;/&gt;&lt;wsp:rsid wsp:val=&quot;00ED7D94&quot;/&gt;&lt;wsp:rsid wsp:val=&quot;00EE2275&quot;/&gt;&lt;wsp:rsid wsp:val=&quot;00EE256A&quot;/&gt;&lt;wsp:rsid wsp:val=&quot;00EE2591&quot;/&gt;&lt;wsp:rsid wsp:val=&quot;00EE2CAE&quot;/&gt;&lt;wsp:rsid wsp:val=&quot;00EE4738&quot;/&gt;&lt;wsp:rsid wsp:val=&quot;00EE4917&quot;/&gt;&lt;wsp:rsid wsp:val=&quot;00EE4B7B&quot;/&gt;&lt;wsp:rsid wsp:val=&quot;00EE50B8&quot;/&gt;&lt;wsp:rsid wsp:val=&quot;00EE50C0&quot;/&gt;&lt;wsp:rsid wsp:val=&quot;00EE5259&quot;/&gt;&lt;wsp:rsid wsp:val=&quot;00EE5BD9&quot;/&gt;&lt;wsp:rsid wsp:val=&quot;00EE5E8A&quot;/&gt;&lt;wsp:rsid wsp:val=&quot;00EE640A&quot;/&gt;&lt;wsp:rsid wsp:val=&quot;00EE6F79&quot;/&gt;&lt;wsp:rsid wsp:val=&quot;00EE7867&quot;/&gt;&lt;wsp:rsid wsp:val=&quot;00EF0CB9&quot;/&gt;&lt;wsp:rsid wsp:val=&quot;00EF0DCA&quot;/&gt;&lt;wsp:rsid wsp:val=&quot;00EF1498&quot;/&gt;&lt;wsp:rsid wsp:val=&quot;00EF1E56&quot;/&gt;&lt;wsp:rsid wsp:val=&quot;00EF28D7&quot;/&gt;&lt;wsp:rsid wsp:val=&quot;00EF2C0F&quot;/&gt;&lt;wsp:rsid wsp:val=&quot;00EF2F33&quot;/&gt;&lt;wsp:rsid wsp:val=&quot;00EF443B&quot;/&gt;&lt;wsp:rsid wsp:val=&quot;00EF4784&quot;/&gt;&lt;wsp:rsid wsp:val=&quot;00EF6292&quot;/&gt;&lt;wsp:rsid wsp:val=&quot;00EF6C1A&quot;/&gt;&lt;wsp:rsid wsp:val=&quot;00EF6DFC&quot;/&gt;&lt;wsp:rsid wsp:val=&quot;00EF74D8&quot;/&gt;&lt;wsp:rsid wsp:val=&quot;00EF7A99&quot;/&gt;&lt;wsp:rsid wsp:val=&quot;00F00B56&quot;/&gt;&lt;wsp:rsid wsp:val=&quot;00F0117A&quot;/&gt;&lt;wsp:rsid wsp:val=&quot;00F013B3&quot;/&gt;&lt;wsp:rsid wsp:val=&quot;00F01AF7&quot;/&gt;&lt;wsp:rsid wsp:val=&quot;00F0410D&quot;/&gt;&lt;wsp:rsid wsp:val=&quot;00F042C2&quot;/&gt;&lt;wsp:rsid wsp:val=&quot;00F044CA&quot;/&gt;&lt;wsp:rsid wsp:val=&quot;00F047D3&quot;/&gt;&lt;wsp:rsid wsp:val=&quot;00F04DEE&quot;/&gt;&lt;wsp:rsid wsp:val=&quot;00F055B3&quot;/&gt;&lt;wsp:rsid wsp:val=&quot;00F056FB&quot;/&gt;&lt;wsp:rsid wsp:val=&quot;00F0622A&quot;/&gt;&lt;wsp:rsid wsp:val=&quot;00F06257&quot;/&gt;&lt;wsp:rsid wsp:val=&quot;00F0648F&quot;/&gt;&lt;wsp:rsid wsp:val=&quot;00F069F2&quot;/&gt;&lt;wsp:rsid wsp:val=&quot;00F07385&quot;/&gt;&lt;wsp:rsid wsp:val=&quot;00F075B5&quot;/&gt;&lt;wsp:rsid wsp:val=&quot;00F07B02&quot;/&gt;&lt;wsp:rsid wsp:val=&quot;00F07EBC&quot;/&gt;&lt;wsp:rsid wsp:val=&quot;00F1085A&quot;/&gt;&lt;wsp:rsid wsp:val=&quot;00F1090C&quot;/&gt;&lt;wsp:rsid wsp:val=&quot;00F11A3F&quot;/&gt;&lt;wsp:rsid wsp:val=&quot;00F125F0&quot;/&gt;&lt;wsp:rsid wsp:val=&quot;00F1278E&quot;/&gt;&lt;wsp:rsid wsp:val=&quot;00F12842&quot;/&gt;&lt;wsp:rsid wsp:val=&quot;00F12EEB&quot;/&gt;&lt;wsp:rsid wsp:val=&quot;00F13759&quot;/&gt;&lt;wsp:rsid wsp:val=&quot;00F145F3&quot;/&gt;&lt;wsp:rsid wsp:val=&quot;00F15C61&quot;/&gt;&lt;wsp:rsid wsp:val=&quot;00F15F63&quot;/&gt;&lt;wsp:rsid wsp:val=&quot;00F15FFB&quot;/&gt;&lt;wsp:rsid wsp:val=&quot;00F16676&quot;/&gt;&lt;wsp:rsid wsp:val=&quot;00F16A3E&quot;/&gt;&lt;wsp:rsid wsp:val=&quot;00F176DB&quot;/&gt;&lt;wsp:rsid wsp:val=&quot;00F20814&quot;/&gt;&lt;wsp:rsid wsp:val=&quot;00F20A2C&quot;/&gt;&lt;wsp:rsid wsp:val=&quot;00F20D55&quot;/&gt;&lt;wsp:rsid wsp:val=&quot;00F20DCE&quot;/&gt;&lt;wsp:rsid wsp:val=&quot;00F219E0&quot;/&gt;&lt;wsp:rsid wsp:val=&quot;00F21D5E&quot;/&gt;&lt;wsp:rsid wsp:val=&quot;00F225BF&quot;/&gt;&lt;wsp:rsid wsp:val=&quot;00F22E65&quot;/&gt;&lt;wsp:rsid wsp:val=&quot;00F22EA5&quot;/&gt;&lt;wsp:rsid wsp:val=&quot;00F2391D&quot;/&gt;&lt;wsp:rsid wsp:val=&quot;00F241C1&quot;/&gt;&lt;wsp:rsid wsp:val=&quot;00F244D0&quot;/&gt;&lt;wsp:rsid wsp:val=&quot;00F24576&quot;/&gt;&lt;wsp:rsid wsp:val=&quot;00F2480D&quot;/&gt;&lt;wsp:rsid wsp:val=&quot;00F254D0&quot;/&gt;&lt;wsp:rsid wsp:val=&quot;00F25E76&quot;/&gt;&lt;wsp:rsid wsp:val=&quot;00F269CD&quot;/&gt;&lt;wsp:rsid wsp:val=&quot;00F26AFF&quot;/&gt;&lt;wsp:rsid wsp:val=&quot;00F26C9C&quot;/&gt;&lt;wsp:rsid wsp:val=&quot;00F27010&quot;/&gt;&lt;wsp:rsid wsp:val=&quot;00F277AC&quot;/&gt;&lt;wsp:rsid wsp:val=&quot;00F27B02&quot;/&gt;&lt;wsp:rsid wsp:val=&quot;00F27FD1&quot;/&gt;&lt;wsp:rsid wsp:val=&quot;00F30E6D&quot;/&gt;&lt;wsp:rsid wsp:val=&quot;00F31009&quot;/&gt;&lt;wsp:rsid wsp:val=&quot;00F310E2&quot;/&gt;&lt;wsp:rsid wsp:val=&quot;00F3195C&quot;/&gt;&lt;wsp:rsid wsp:val=&quot;00F31EFB&quot;/&gt;&lt;wsp:rsid wsp:val=&quot;00F32051&quot;/&gt;&lt;wsp:rsid wsp:val=&quot;00F32904&quot;/&gt;&lt;wsp:rsid wsp:val=&quot;00F33204&quot;/&gt;&lt;wsp:rsid wsp:val=&quot;00F33329&quot;/&gt;&lt;wsp:rsid wsp:val=&quot;00F333A4&quot;/&gt;&lt;wsp:rsid wsp:val=&quot;00F33FA2&quot;/&gt;&lt;wsp:rsid wsp:val=&quot;00F346E7&quot;/&gt;&lt;wsp:rsid wsp:val=&quot;00F34986&quot;/&gt;&lt;wsp:rsid wsp:val=&quot;00F34B8A&quot;/&gt;&lt;wsp:rsid wsp:val=&quot;00F35397&quot;/&gt;&lt;wsp:rsid wsp:val=&quot;00F35911&quot;/&gt;&lt;wsp:rsid wsp:val=&quot;00F35BE0&quot;/&gt;&lt;wsp:rsid wsp:val=&quot;00F364EF&quot;/&gt;&lt;wsp:rsid wsp:val=&quot;00F36EFF&quot;/&gt;&lt;wsp:rsid wsp:val=&quot;00F3710F&quot;/&gt;&lt;wsp:rsid wsp:val=&quot;00F37303&quot;/&gt;&lt;wsp:rsid wsp:val=&quot;00F37486&quot;/&gt;&lt;wsp:rsid wsp:val=&quot;00F37CB8&quot;/&gt;&lt;wsp:rsid wsp:val=&quot;00F4026E&quot;/&gt;&lt;wsp:rsid wsp:val=&quot;00F40C7C&quot;/&gt;&lt;wsp:rsid wsp:val=&quot;00F40DD2&quot;/&gt;&lt;wsp:rsid wsp:val=&quot;00F40EA0&quot;/&gt;&lt;wsp:rsid wsp:val=&quot;00F4118B&quot;/&gt;&lt;wsp:rsid wsp:val=&quot;00F41766&quot;/&gt;&lt;wsp:rsid wsp:val=&quot;00F42261&quot;/&gt;&lt;wsp:rsid wsp:val=&quot;00F42989&quot;/&gt;&lt;wsp:rsid wsp:val=&quot;00F42A04&quot;/&gt;&lt;wsp:rsid wsp:val=&quot;00F42F15&quot;/&gt;&lt;wsp:rsid wsp:val=&quot;00F42FA6&quot;/&gt;&lt;wsp:rsid wsp:val=&quot;00F4304C&quot;/&gt;&lt;wsp:rsid wsp:val=&quot;00F4306A&quot;/&gt;&lt;wsp:rsid wsp:val=&quot;00F43239&quot;/&gt;&lt;wsp:rsid wsp:val=&quot;00F437A9&quot;/&gt;&lt;wsp:rsid wsp:val=&quot;00F4397A&quot;/&gt;&lt;wsp:rsid wsp:val=&quot;00F43C97&quot;/&gt;&lt;wsp:rsid wsp:val=&quot;00F43E1E&quot;/&gt;&lt;wsp:rsid wsp:val=&quot;00F44106&quot;/&gt;&lt;wsp:rsid wsp:val=&quot;00F44AF8&quot;/&gt;&lt;wsp:rsid wsp:val=&quot;00F44C53&quot;/&gt;&lt;wsp:rsid wsp:val=&quot;00F464F6&quot;/&gt;&lt;wsp:rsid wsp:val=&quot;00F473ED&quot;/&gt;&lt;wsp:rsid wsp:val=&quot;00F477EE&quot;/&gt;&lt;wsp:rsid wsp:val=&quot;00F50220&quot;/&gt;&lt;wsp:rsid wsp:val=&quot;00F5088E&quot;/&gt;&lt;wsp:rsid wsp:val=&quot;00F5163A&quot;/&gt;&lt;wsp:rsid wsp:val=&quot;00F5319C&quot;/&gt;&lt;wsp:rsid wsp:val=&quot;00F54453&quot;/&gt;&lt;wsp:rsid wsp:val=&quot;00F54510&quot;/&gt;&lt;wsp:rsid wsp:val=&quot;00F56CD6&quot;/&gt;&lt;wsp:rsid wsp:val=&quot;00F579CA&quot;/&gt;&lt;wsp:rsid wsp:val=&quot;00F57B19&quot;/&gt;&lt;wsp:rsid wsp:val=&quot;00F60359&quot;/&gt;&lt;wsp:rsid wsp:val=&quot;00F60791&quot;/&gt;&lt;wsp:rsid wsp:val=&quot;00F620B8&quot;/&gt;&lt;wsp:rsid wsp:val=&quot;00F62369&quot;/&gt;&lt;wsp:rsid wsp:val=&quot;00F62E3A&quot;/&gt;&lt;wsp:rsid wsp:val=&quot;00F6362E&quot;/&gt;&lt;wsp:rsid wsp:val=&quot;00F63643&quot;/&gt;&lt;wsp:rsid wsp:val=&quot;00F652D6&quot;/&gt;&lt;wsp:rsid wsp:val=&quot;00F655E1&quot;/&gt;&lt;wsp:rsid wsp:val=&quot;00F65A02&quot;/&gt;&lt;wsp:rsid wsp:val=&quot;00F660F6&quot;/&gt;&lt;wsp:rsid wsp:val=&quot;00F66376&quot;/&gt;&lt;wsp:rsid wsp:val=&quot;00F66B13&quot;/&gt;&lt;wsp:rsid wsp:val=&quot;00F66D32&quot;/&gt;&lt;wsp:rsid wsp:val=&quot;00F67430&quot;/&gt;&lt;wsp:rsid wsp:val=&quot;00F67B89&quot;/&gt;&lt;wsp:rsid wsp:val=&quot;00F702B0&quot;/&gt;&lt;wsp:rsid wsp:val=&quot;00F70AF0&quot;/&gt;&lt;wsp:rsid wsp:val=&quot;00F7126F&quot;/&gt;&lt;wsp:rsid wsp:val=&quot;00F71C29&quot;/&gt;&lt;wsp:rsid wsp:val=&quot;00F71ED7&quot;/&gt;&lt;wsp:rsid wsp:val=&quot;00F72A8D&quot;/&gt;&lt;wsp:rsid wsp:val=&quot;00F72D7C&quot;/&gt;&lt;wsp:rsid wsp:val=&quot;00F73219&quot;/&gt;&lt;wsp:rsid wsp:val=&quot;00F73388&quot;/&gt;&lt;wsp:rsid wsp:val=&quot;00F75710&quot;/&gt;&lt;wsp:rsid wsp:val=&quot;00F75A8D&quot;/&gt;&lt;wsp:rsid wsp:val=&quot;00F75FFC&quot;/&gt;&lt;wsp:rsid wsp:val=&quot;00F7657D&quot;/&gt;&lt;wsp:rsid wsp:val=&quot;00F76802&quot;/&gt;&lt;wsp:rsid wsp:val=&quot;00F77370&quot;/&gt;&lt;wsp:rsid wsp:val=&quot;00F77C4D&quot;/&gt;&lt;wsp:rsid wsp:val=&quot;00F800F5&quot;/&gt;&lt;wsp:rsid wsp:val=&quot;00F80A39&quot;/&gt;&lt;wsp:rsid wsp:val=&quot;00F810DF&quot;/&gt;&lt;wsp:rsid wsp:val=&quot;00F81529&quot;/&gt;&lt;wsp:rsid wsp:val=&quot;00F81B1E&quot;/&gt;&lt;wsp:rsid wsp:val=&quot;00F81EC8&quot;/&gt;&lt;wsp:rsid wsp:val=&quot;00F81F9B&quot;/&gt;&lt;wsp:rsid wsp:val=&quot;00F82CA6&quot;/&gt;&lt;wsp:rsid wsp:val=&quot;00F832EA&quot;/&gt;&lt;wsp:rsid wsp:val=&quot;00F83675&quot;/&gt;&lt;wsp:rsid wsp:val=&quot;00F83E8F&quot;/&gt;&lt;wsp:rsid wsp:val=&quot;00F85BE9&quot;/&gt;&lt;wsp:rsid wsp:val=&quot;00F85E93&quot;/&gt;&lt;wsp:rsid wsp:val=&quot;00F8689B&quot;/&gt;&lt;wsp:rsid wsp:val=&quot;00F87525&quot;/&gt;&lt;wsp:rsid wsp:val=&quot;00F87B83&quot;/&gt;&lt;wsp:rsid wsp:val=&quot;00F87E4F&quot;/&gt;&lt;wsp:rsid wsp:val=&quot;00F90B1A&quot;/&gt;&lt;wsp:rsid wsp:val=&quot;00F90DCD&quot;/&gt;&lt;wsp:rsid wsp:val=&quot;00F91449&quot;/&gt;&lt;wsp:rsid wsp:val=&quot;00F920FA&quot;/&gt;&lt;wsp:rsid wsp:val=&quot;00F922E0&quot;/&gt;&lt;wsp:rsid wsp:val=&quot;00F927BD&quot;/&gt;&lt;wsp:rsid wsp:val=&quot;00F9377D&quot;/&gt;&lt;wsp:rsid wsp:val=&quot;00F939FD&quot;/&gt;&lt;wsp:rsid wsp:val=&quot;00F93B2B&quot;/&gt;&lt;wsp:rsid wsp:val=&quot;00F94513&quot;/&gt;&lt;wsp:rsid wsp:val=&quot;00F946B9&quot;/&gt;&lt;wsp:rsid wsp:val=&quot;00F966FB&quot;/&gt;&lt;wsp:rsid wsp:val=&quot;00F96FDA&quot;/&gt;&lt;wsp:rsid wsp:val=&quot;00F97443&quot;/&gt;&lt;wsp:rsid wsp:val=&quot;00F97E2C&quot;/&gt;&lt;wsp:rsid wsp:val=&quot;00FA01D5&quot;/&gt;&lt;wsp:rsid wsp:val=&quot;00FA09BF&quot;/&gt;&lt;wsp:rsid wsp:val=&quot;00FA169E&quot;/&gt;&lt;wsp:rsid wsp:val=&quot;00FA2B96&quot;/&gt;&lt;wsp:rsid wsp:val=&quot;00FA3562&quot;/&gt;&lt;wsp:rsid wsp:val=&quot;00FA37BE&quot;/&gt;&lt;wsp:rsid wsp:val=&quot;00FA3C0E&quot;/&gt;&lt;wsp:rsid wsp:val=&quot;00FA3F8C&quot;/&gt;&lt;wsp:rsid wsp:val=&quot;00FA4D71&quot;/&gt;&lt;wsp:rsid wsp:val=&quot;00FA4DD9&quot;/&gt;&lt;wsp:rsid wsp:val=&quot;00FA5327&quot;/&gt;&lt;wsp:rsid wsp:val=&quot;00FA6739&quot;/&gt;&lt;wsp:rsid wsp:val=&quot;00FA70A8&quot;/&gt;&lt;wsp:rsid wsp:val=&quot;00FA7154&quot;/&gt;&lt;wsp:rsid wsp:val=&quot;00FB0BFB&quot;/&gt;&lt;wsp:rsid wsp:val=&quot;00FB0FD9&quot;/&gt;&lt;wsp:rsid wsp:val=&quot;00FB14CF&quot;/&gt;&lt;wsp:rsid wsp:val=&quot;00FB176B&quot;/&gt;&lt;wsp:rsid wsp:val=&quot;00FB1853&quot;/&gt;&lt;wsp:rsid wsp:val=&quot;00FB2325&quot;/&gt;&lt;wsp:rsid wsp:val=&quot;00FB24C3&quot;/&gt;&lt;wsp:rsid wsp:val=&quot;00FB255D&quot;/&gt;&lt;wsp:rsid wsp:val=&quot;00FB298D&quot;/&gt;&lt;wsp:rsid wsp:val=&quot;00FB5300&quot;/&gt;&lt;wsp:rsid wsp:val=&quot;00FB53E3&quot;/&gt;&lt;wsp:rsid wsp:val=&quot;00FB60FC&quot;/&gt;&lt;wsp:rsid wsp:val=&quot;00FB6177&quot;/&gt;&lt;wsp:rsid wsp:val=&quot;00FB65D2&quot;/&gt;&lt;wsp:rsid wsp:val=&quot;00FB783D&quot;/&gt;&lt;wsp:rsid wsp:val=&quot;00FB7932&quot;/&gt;&lt;wsp:rsid wsp:val=&quot;00FC08AA&quot;/&gt;&lt;wsp:rsid wsp:val=&quot;00FC134E&quot;/&gt;&lt;wsp:rsid wsp:val=&quot;00FC1B4B&quot;/&gt;&lt;wsp:rsid wsp:val=&quot;00FC2274&quot;/&gt;&lt;wsp:rsid wsp:val=&quot;00FC22E2&quot;/&gt;&lt;wsp:rsid wsp:val=&quot;00FC2436&quot;/&gt;&lt;wsp:rsid wsp:val=&quot;00FC2630&quot;/&gt;&lt;wsp:rsid wsp:val=&quot;00FC26F2&quot;/&gt;&lt;wsp:rsid wsp:val=&quot;00FC310A&quot;/&gt;&lt;wsp:rsid wsp:val=&quot;00FC362C&quot;/&gt;&lt;wsp:rsid wsp:val=&quot;00FC36B0&quot;/&gt;&lt;wsp:rsid wsp:val=&quot;00FC3CF6&quot;/&gt;&lt;wsp:rsid wsp:val=&quot;00FC41E0&quot;/&gt;&lt;wsp:rsid wsp:val=&quot;00FC4641&quot;/&gt;&lt;wsp:rsid wsp:val=&quot;00FC58D0&quot;/&gt;&lt;wsp:rsid wsp:val=&quot;00FC643B&quot;/&gt;&lt;wsp:rsid wsp:val=&quot;00FC65DD&quot;/&gt;&lt;wsp:rsid wsp:val=&quot;00FC6836&quot;/&gt;&lt;wsp:rsid wsp:val=&quot;00FC6C1D&quot;/&gt;&lt;wsp:rsid wsp:val=&quot;00FC6E32&quot;/&gt;&lt;wsp:rsid wsp:val=&quot;00FD0254&quot;/&gt;&lt;wsp:rsid wsp:val=&quot;00FD0510&quot;/&gt;&lt;wsp:rsid wsp:val=&quot;00FD0597&quot;/&gt;&lt;wsp:rsid wsp:val=&quot;00FD0795&quot;/&gt;&lt;wsp:rsid wsp:val=&quot;00FD0BE3&quot;/&gt;&lt;wsp:rsid wsp:val=&quot;00FD135B&quot;/&gt;&lt;wsp:rsid wsp:val=&quot;00FD1DD8&quot;/&gt;&lt;wsp:rsid wsp:val=&quot;00FD2C1E&quot;/&gt;&lt;wsp:rsid wsp:val=&quot;00FD2E6E&quot;/&gt;&lt;wsp:rsid wsp:val=&quot;00FD30BA&quot;/&gt;&lt;wsp:rsid wsp:val=&quot;00FD31EB&quot;/&gt;&lt;wsp:rsid wsp:val=&quot;00FD3279&quot;/&gt;&lt;wsp:rsid wsp:val=&quot;00FD3481&quot;/&gt;&lt;wsp:rsid wsp:val=&quot;00FD3945&quot;/&gt;&lt;wsp:rsid wsp:val=&quot;00FD47E5&quot;/&gt;&lt;wsp:rsid wsp:val=&quot;00FD4A71&quot;/&gt;&lt;wsp:rsid wsp:val=&quot;00FD5020&quot;/&gt;&lt;wsp:rsid wsp:val=&quot;00FD55DA&quot;/&gt;&lt;wsp:rsid wsp:val=&quot;00FD578F&quot;/&gt;&lt;wsp:rsid wsp:val=&quot;00FD62C9&quot;/&gt;&lt;wsp:rsid wsp:val=&quot;00FD7742&quot;/&gt;&lt;wsp:rsid wsp:val=&quot;00FD7F91&quot;/&gt;&lt;wsp:rsid wsp:val=&quot;00FE0B34&quot;/&gt;&lt;wsp:rsid wsp:val=&quot;00FE1195&quot;/&gt;&lt;wsp:rsid wsp:val=&quot;00FE11FD&quot;/&gt;&lt;wsp:rsid wsp:val=&quot;00FE1233&quot;/&gt;&lt;wsp:rsid wsp:val=&quot;00FE1605&quot;/&gt;&lt;wsp:rsid wsp:val=&quot;00FE1882&quot;/&gt;&lt;wsp:rsid wsp:val=&quot;00FE2033&quot;/&gt;&lt;wsp:rsid wsp:val=&quot;00FE27AB&quot;/&gt;&lt;wsp:rsid wsp:val=&quot;00FE2914&quot;/&gt;&lt;wsp:rsid wsp:val=&quot;00FE2E78&quot;/&gt;&lt;wsp:rsid wsp:val=&quot;00FE3782&quot;/&gt;&lt;wsp:rsid wsp:val=&quot;00FE4145&quot;/&gt;&lt;wsp:rsid wsp:val=&quot;00FE5874&quot;/&gt;&lt;wsp:rsid wsp:val=&quot;00FE5AF1&quot;/&gt;&lt;wsp:rsid wsp:val=&quot;00FE5C0B&quot;/&gt;&lt;wsp:rsid wsp:val=&quot;00FE6529&quot;/&gt;&lt;wsp:rsid wsp:val=&quot;00FE7C9B&quot;/&gt;&lt;wsp:rsid wsp:val=&quot;00FF0854&quot;/&gt;&lt;wsp:rsid wsp:val=&quot;00FF096C&quot;/&gt;&lt;wsp:rsid wsp:val=&quot;00FF0D17&quot;/&gt;&lt;wsp:rsid wsp:val=&quot;00FF2FD0&quot;/&gt;&lt;wsp:rsid wsp:val=&quot;00FF3280&quot;/&gt;&lt;wsp:rsid wsp:val=&quot;00FF3755&quot;/&gt;&lt;wsp:rsid wsp:val=&quot;00FF37AA&quot;/&gt;&lt;wsp:rsid wsp:val=&quot;00FF4918&quot;/&gt;&lt;wsp:rsid wsp:val=&quot;00FF5700&quot;/&gt;&lt;wsp:rsid wsp:val=&quot;00FF587C&quot;/&gt;&lt;wsp:rsid wsp:val=&quot;00FF5D6C&quot;/&gt;&lt;wsp:rsid wsp:val=&quot;00FF685B&quot;/&gt;&lt;wsp:rsid wsp:val=&quot;00FF6DFB&quot;/&gt;&lt;wsp:rsid wsp:val=&quot;00FF7865&quot;/&gt;&lt;wsp:rsid wsp:val=&quot;00FF78C8&quot;/&gt;&lt;wsp:rsid wsp:val=&quot;00FF7DD4&quot;/&gt;&lt;wsp:rsid wsp:val=&quot;03007808&quot;/&gt;&lt;wsp:rsid wsp:val=&quot;07D546B8&quot;/&gt;&lt;wsp:rsid wsp:val=&quot;0CE546D2&quot;/&gt;&lt;wsp:rsid wsp:val=&quot;0D3005AD&quot;/&gt;&lt;wsp:rsid wsp:val=&quot;0D854B58&quot;/&gt;&lt;wsp:rsid wsp:val=&quot;0E3B66AF&quot;/&gt;&lt;wsp:rsid wsp:val=&quot;0E8605CD&quot;/&gt;&lt;wsp:rsid wsp:val=&quot;11890573&quot;/&gt;&lt;wsp:rsid wsp:val=&quot;124F57DF&quot;/&gt;&lt;wsp:rsid wsp:val=&quot;16102207&quot;/&gt;&lt;wsp:rsid wsp:val=&quot;16604BC4&quot;/&gt;&lt;wsp:rsid wsp:val=&quot;16886097&quot;/&gt;&lt;wsp:rsid wsp:val=&quot;17FA76B3&quot;/&gt;&lt;wsp:rsid wsp:val=&quot;1BC560E0&quot;/&gt;&lt;wsp:rsid wsp:val=&quot;1C873C84&quot;/&gt;&lt;wsp:rsid wsp:val=&quot;1E023912&quot;/&gt;&lt;wsp:rsid wsp:val=&quot;22566213&quot;/&gt;&lt;wsp:rsid wsp:val=&quot;226108F8&quot;/&gt;&lt;wsp:rsid wsp:val=&quot;23A44E1D&quot;/&gt;&lt;wsp:rsid wsp:val=&quot;258D450D&quot;/&gt;&lt;wsp:rsid wsp:val=&quot;25915454&quot;/&gt;&lt;wsp:rsid wsp:val=&quot;260444A2&quot;/&gt;&lt;wsp:rsid wsp:val=&quot;2757025E&quot;/&gt;&lt;wsp:rsid wsp:val=&quot;292367A9&quot;/&gt;&lt;wsp:rsid wsp:val=&quot;2CBF1D45&quot;/&gt;&lt;wsp:rsid wsp:val=&quot;304013AF&quot;/&gt;&lt;wsp:rsid wsp:val=&quot;35840943&quot;/&gt;&lt;wsp:rsid wsp:val=&quot;36122C64&quot;/&gt;&lt;wsp:rsid wsp:val=&quot;39264BF8&quot;/&gt;&lt;wsp:rsid wsp:val=&quot;3965489F&quot;/&gt;&lt;wsp:rsid wsp:val=&quot;40544262&quot;/&gt;&lt;wsp:rsid wsp:val=&quot;41D56338&quot;/&gt;&lt;wsp:rsid wsp:val=&quot;433B6BBE&quot;/&gt;&lt;wsp:rsid wsp:val=&quot;43410157&quot;/&gt;&lt;wsp:rsid wsp:val=&quot;473B6A40&quot;/&gt;&lt;wsp:rsid wsp:val=&quot;48895087&quot;/&gt;&lt;wsp:rsid wsp:val=&quot;48DD6E76&quot;/&gt;&lt;wsp:rsid wsp:val=&quot;49470156&quot;/&gt;&lt;wsp:rsid wsp:val=&quot;4AE147C4&quot;/&gt;&lt;wsp:rsid wsp:val=&quot;4B87462C&quot;/&gt;&lt;wsp:rsid wsp:val=&quot;4B9F0EE8&quot;/&gt;&lt;wsp:rsid wsp:val=&quot;4C0219BA&quot;/&gt;&lt;wsp:rsid wsp:val=&quot;4D3E12BA&quot;/&gt;&lt;wsp:rsid wsp:val=&quot;4D7F2256&quot;/&gt;&lt;wsp:rsid wsp:val=&quot;4E60677B&quot;/&gt;&lt;wsp:rsid wsp:val=&quot;4EAA5766&quot;/&gt;&lt;wsp:rsid wsp:val=&quot;4F844C27&quot;/&gt;&lt;wsp:rsid wsp:val=&quot;53323B29&quot;/&gt;&lt;wsp:rsid wsp:val=&quot;56932897&quot;/&gt;&lt;wsp:rsid wsp:val=&quot;59A23247&quot;/&gt;&lt;wsp:rsid wsp:val=&quot;59E11315&quot;/&gt;&lt;wsp:rsid wsp:val=&quot;59EE6A83&quot;/&gt;&lt;wsp:rsid wsp:val=&quot;5D6B0047&quot;/&gt;&lt;wsp:rsid wsp:val=&quot;5DAD18CF&quot;/&gt;&lt;wsp:rsid wsp:val=&quot;61CC1BDE&quot;/&gt;&lt;wsp:rsid wsp:val=&quot;67A76ED7&quot;/&gt;&lt;wsp:rsid wsp:val=&quot;6D3F4311&quot;/&gt;&lt;wsp:rsid wsp:val=&quot;6F16027C&quot;/&gt;&lt;wsp:rsid wsp:val=&quot;74273F80&quot;/&gt;&lt;wsp:rsid wsp:val=&quot;74297212&quot;/&gt;&lt;wsp:rsid wsp:val=&quot;743543DE&quot;/&gt;&lt;wsp:rsid wsp:val=&quot;75AE196E&quot;/&gt;&lt;wsp:rsid wsp:val=&quot;76013AC6&quot;/&gt;&lt;wsp:rsid wsp:val=&quot;78CB06C0&quot;/&gt;&lt;wsp:rsid wsp:val=&quot;79AA571F&quot;/&gt;&lt;wsp:rsid wsp:val=&quot;7A06224A&quot;/&gt;&lt;wsp:rsid wsp:val=&quot;7B4530A9&quot;/&gt;&lt;wsp:rsid wsp:val=&quot;7C2076DB&quot;/&gt;&lt;/wsp:rsids&gt;&lt;/w:docPr&gt;&lt;w:body&gt;&lt;wx:sect&gt;&lt;w:p wsp:rsidR=&quot;00000000&quot; wsp:rsidRDefault=&quot;00767175&quot; wsp:rsidP=&quot;00767175&quot;&gt;&lt;m:oMathPara&gt;&lt;m:oMath&gt;&lt;m:box&gt;&lt;m:boxPr&gt;&lt;m:ctrlPr&gt;&lt;w:rPr&gt;&lt;w:rFonts w:ascii=&quot;Cambria Math&quot; w:fareast=&quot;瀹嬩綋&quot; w:h-ansi=&quot;Cambria Math&quot; w:cs=&quot;Times New Roman&quot;/&gt;&lt;wx:font wx:val=&quot;Cambria Math&quot;/&gt;&lt;w:sz-cs w:val=&quot;22&quot;/&gt;&lt;/w:rrsirsirsirsirsirsirsirsirsirsiPr&gt;&lt;/m:ctrlPr&gt;&lt;/m:boxPr&gt;&lt;m:e&gt;&lt;m:argPr&gt;&lt;m:argSz m:val=&quot;-1&quot;/&gt;&lt;/m:argPr&gt;&lt;m:f&gt;&lt;m:fPr&gt;&lt;m:ctrlPr&gt;&lt;w:rPr&gt;&lt;w:rFonts w:ascii=&quot;Cambria Math&quot; w:fareast=&quot;瀹嬩綋&quot; w:h-ansi=&quot;Cambria Math&quot; w:cs=&quot;Times New Roman&quot;/&gt;&lt;wx:font wx:val=&quot;Cambria Math&quot;rsi/&gt;&lt;rsiw:srsiz-crsis wrsi:varsil=&quot;rsi22&quot;rsi/&gt;&lt;rsi/w:rsirPr&gt;&lt;/m:ctrlPr&gt;&lt;/m:fPr&gt;&lt;m:num/&gt;&lt;m:den/&gt;&lt;/m:f&gt;&lt;/m:e&gt;&lt;/m:box&gt;&lt;m:r&gt;&lt;w:rPr&gt;&lt;w:rFonts w:ascii=&quot;Cambria Math&quot; w:h-ansi=&quot;Cambria Math&quot;/&gt;&lt;wx:font wx:val=&quot;Cambria Math&quot;/&gt;&lt;w:i/&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path/>
            <v:fill on="f" focussize="0,0"/>
            <v:stroke on="f" joinstyle="miter"/>
            <v:imagedata r:id="rId13" chromakey="#FFFFFF" o:title=""/>
            <o:lock v:ext="edit" aspectratio="t"/>
            <w10:wrap type="none"/>
            <w10:anchorlock/>
          </v:shape>
        </w:pict>
      </w:r>
      <w:r>
        <w:rPr>
          <w:rFonts w:hint="eastAsia" w:ascii="宋体" w:hAnsi="宋体" w:eastAsia="宋体" w:cs="宋体"/>
          <w:color w:val="000000"/>
          <w:sz w:val="24"/>
          <w:szCs w:val="24"/>
        </w:rPr>
        <w:instrText xml:space="preserve"> </w:instrTex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]-1}</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式中： △P -- 需调整的价格差额；</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P0 -- 第 17.3.3 项、第 17.5.2 项和第 17.6.2 项约定的付款证书中承包人应得到的已完成工程量的金额。此项金额应不包括价格调整、不计质量保证金的扣留和支付、预付款的支付和扣回。第 15 条约定的变更及其他金额已按现行价格计价的，也不计在内；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A -- 定值权重(即不调部分的权重)；</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B1; B2 ;B3·····Bn -- 各可调因子的变值权重(即可调部分的权重)为各可调因子在投标函投标总报价中所占的比例；</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Ft1 ;Ft2 ;Ft3·····Ftn -- 各可调因子的现行价格指数，指第17.3.3项、第17.5.2项 和第17.6.2项约定的付款证书相关周期最后一天的前42天的各可调因子的价格指数；</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Fo1; Fo2; Fo3·····Fon -- 各可调因子的基本价格指数，指基准日期的各可调因子的价格指数。</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numPr>
          <w:ilvl w:val="3"/>
          <w:numId w:val="9"/>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暂时确定调整差额</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在计算调整差额时得不到现行价格指数的，可暂用上一次价格指数计算，并在以后的付款中再按实际价格指数进行调整。</w:t>
      </w:r>
    </w:p>
    <w:p>
      <w:pPr>
        <w:numPr>
          <w:ilvl w:val="3"/>
          <w:numId w:val="9"/>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权重的调整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按第 15.1 款约定的变更导致原定合同中的权重不合理时，由监理人与承包人和发包人协商后进行调整。</w:t>
      </w:r>
    </w:p>
    <w:p>
      <w:pPr>
        <w:numPr>
          <w:ilvl w:val="3"/>
          <w:numId w:val="9"/>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承包人工期延误后的价格调整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由于承包人原因未在约定的工期内竣工的，则对原约定竣工日期后继续施工的工程，在使用第 16.1.1.1 目价格调整公式时，应采用原约定竣工日期与实际竣工日期的两个价格指数中较低的一个作为现行价格指数。</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16.1.2</w:t>
      </w:r>
      <w:r>
        <w:rPr>
          <w:rFonts w:hint="eastAsia" w:ascii="宋体" w:hAnsi="宋体" w:eastAsia="宋体" w:cs="宋体"/>
          <w:color w:val="000000"/>
          <w:sz w:val="24"/>
          <w:szCs w:val="24"/>
        </w:rPr>
        <w:tab/>
      </w:r>
      <w:r>
        <w:rPr>
          <w:rFonts w:hint="eastAsia" w:ascii="宋体" w:hAnsi="宋体" w:eastAsia="宋体" w:cs="宋体"/>
          <w:color w:val="000000"/>
          <w:sz w:val="24"/>
          <w:szCs w:val="24"/>
        </w:rPr>
        <w:t>采用造价信息调整价格差额 施工期内，因人工、材料、设备和机械台班价格波动影响合同价格时，需要进行价格调整的，其价格和数量应由监理人审核，监理人确认需调整的内容、范围、价格和数量作为调 整工程合同价格差额的依据。</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16.1.2.1</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引起价格调整的物价波动风险范围及幅度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16.1.2.2</w:t>
      </w:r>
      <w:r>
        <w:rPr>
          <w:rFonts w:hint="eastAsia" w:ascii="宋体" w:hAnsi="宋体" w:eastAsia="宋体" w:cs="宋体"/>
          <w:color w:val="000000"/>
          <w:sz w:val="24"/>
          <w:szCs w:val="24"/>
        </w:rPr>
        <w:tab/>
      </w:r>
      <w:r>
        <w:rPr>
          <w:rFonts w:hint="eastAsia" w:ascii="宋体" w:hAnsi="宋体" w:eastAsia="宋体" w:cs="宋体"/>
          <w:color w:val="000000"/>
          <w:sz w:val="24"/>
          <w:szCs w:val="24"/>
        </w:rPr>
        <w:t>物价波动变化幅度的计算方法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（1）投标报价基准期确定的人工、材料、设备和机械台班的市场价格即为基准价。投标报价基准期见合同条款专用部分。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（3）合同施工期市场价格的确定方法见合同条款专用部分。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（4）物价波动变化幅度的计算方法： 1）当承包人投标报价中的单价低于基准价时：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物价波动变化幅度（涨幅）=（施工期市场价-基准价）/基准价×100%</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物价波动变化幅度（跌幅）=（施工期市场价-投标单价）/投标单价×100%</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2）当承包人投标报价中的单价高于基准价时：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物价波动变化幅度（涨幅）=（施工期市场价-投标单价）/投标单价×100%</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物价波动变化幅度（跌幅）=（施工期市场价-基准价）/基准价×100%</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3）当承包人投标报价中的单价等于基准价时：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物价波动变化幅度=（施工期市场价-基准价）/基准价×100%</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16.1.2.3</w:t>
      </w:r>
      <w:r>
        <w:rPr>
          <w:rFonts w:hint="eastAsia" w:ascii="宋体" w:hAnsi="宋体" w:eastAsia="宋体" w:cs="宋体"/>
          <w:color w:val="000000"/>
          <w:sz w:val="24"/>
          <w:szCs w:val="24"/>
        </w:rPr>
        <w:tab/>
      </w:r>
      <w:r>
        <w:rPr>
          <w:rFonts w:hint="eastAsia" w:ascii="宋体" w:hAnsi="宋体" w:eastAsia="宋体" w:cs="宋体"/>
          <w:color w:val="000000"/>
          <w:sz w:val="24"/>
          <w:szCs w:val="24"/>
        </w:rPr>
        <w:t>物价波动引起价格调整的方法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（1）第 16.1.2.1 目中约定的人工、材料、设备和机械台班的物价波动变化幅度超过风险幅度时，其计算价格调整差额的方法见合同条款专用部分。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（2）第 16.1.2.1 目中约定的人工的物价波动变化幅度超过风险幅度时，应当计算全部价格差额，其价格差额由发包人承担或受益，其价格差额不计取规费，只计取税金。</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（3）第 16.1.2.1 目中约定的材料、设备和机械台班的物价波动变化幅度超过风险幅度时，应当计算超过部分的价格差额，其价格差额由发包人承担或受益，其价格差额不计取规费，只计取税金。</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16.1.2.4</w:t>
      </w:r>
      <w:r>
        <w:rPr>
          <w:rFonts w:hint="eastAsia" w:ascii="宋体" w:hAnsi="宋体" w:eastAsia="宋体" w:cs="宋体"/>
          <w:color w:val="000000"/>
          <w:sz w:val="24"/>
          <w:szCs w:val="24"/>
        </w:rPr>
        <w:tab/>
      </w:r>
      <w:r>
        <w:rPr>
          <w:rFonts w:hint="eastAsia" w:ascii="宋体" w:hAnsi="宋体" w:eastAsia="宋体" w:cs="宋体"/>
          <w:color w:val="000000"/>
          <w:sz w:val="24"/>
          <w:szCs w:val="24"/>
        </w:rPr>
        <w:t>物价波动引起价格调整的其他约定见合同条款专用部分。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16.1.3</w:t>
      </w:r>
      <w:r>
        <w:rPr>
          <w:rFonts w:hint="eastAsia" w:ascii="宋体" w:hAnsi="宋体" w:eastAsia="宋体" w:cs="宋体"/>
          <w:color w:val="000000"/>
          <w:sz w:val="24"/>
          <w:szCs w:val="24"/>
        </w:rPr>
        <w:tab/>
      </w:r>
      <w:r>
        <w:rPr>
          <w:rFonts w:hint="eastAsia" w:ascii="宋体" w:hAnsi="宋体" w:eastAsia="宋体" w:cs="宋体"/>
          <w:color w:val="000000"/>
          <w:sz w:val="24"/>
          <w:szCs w:val="24"/>
        </w:rPr>
        <w:t>物价波动引起价格调整的其他方法见合同条款专用部分。</w:t>
      </w:r>
    </w:p>
    <w:p>
      <w:pPr>
        <w:spacing w:line="360" w:lineRule="auto"/>
        <w:rPr>
          <w:rFonts w:hint="eastAsia" w:ascii="宋体" w:hAnsi="宋体" w:eastAsia="宋体" w:cs="宋体"/>
          <w:color w:val="000000"/>
          <w:sz w:val="24"/>
          <w:szCs w:val="24"/>
        </w:rPr>
      </w:pPr>
      <w:bookmarkStart w:id="117" w:name="_bookmark199"/>
      <w:bookmarkEnd w:id="117"/>
      <w:r>
        <w:rPr>
          <w:rFonts w:hint="eastAsia" w:ascii="宋体" w:hAnsi="宋体" w:eastAsia="宋体" w:cs="宋体"/>
          <w:color w:val="000000"/>
          <w:sz w:val="24"/>
          <w:szCs w:val="24"/>
        </w:rPr>
        <w:t>16.2</w:t>
      </w:r>
      <w:r>
        <w:rPr>
          <w:rFonts w:hint="eastAsia" w:ascii="宋体" w:hAnsi="宋体" w:eastAsia="宋体" w:cs="宋体"/>
          <w:color w:val="000000"/>
          <w:sz w:val="24"/>
          <w:szCs w:val="24"/>
        </w:rPr>
        <w:tab/>
      </w:r>
      <w:r>
        <w:rPr>
          <w:rFonts w:hint="eastAsia" w:ascii="宋体" w:hAnsi="宋体" w:eastAsia="宋体" w:cs="宋体"/>
          <w:color w:val="000000"/>
          <w:sz w:val="24"/>
          <w:szCs w:val="24"/>
        </w:rPr>
        <w:t>法律变化引起的价格调整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在基准日后，因法律变化导致承包人在合同履行中所需要的工程费用发生除第16.1款 约定以外的增减时，监理人应根据法律、国家或省、自治区、直辖市有关部门的规定，按第3.5 款商定或确定需调整的合同价款。</w:t>
      </w:r>
    </w:p>
    <w:p>
      <w:pPr>
        <w:spacing w:line="360" w:lineRule="auto"/>
        <w:rPr>
          <w:rFonts w:hint="eastAsia" w:ascii="宋体" w:hAnsi="宋体" w:eastAsia="宋体" w:cs="宋体"/>
          <w:color w:val="000000"/>
          <w:sz w:val="24"/>
          <w:szCs w:val="24"/>
        </w:rPr>
      </w:pPr>
      <w:bookmarkStart w:id="118" w:name="_bookmark200"/>
      <w:bookmarkEnd w:id="118"/>
      <w:r>
        <w:rPr>
          <w:rFonts w:hint="eastAsia" w:ascii="宋体" w:hAnsi="宋体" w:eastAsia="宋体" w:cs="宋体"/>
          <w:color w:val="000000"/>
          <w:sz w:val="24"/>
          <w:szCs w:val="24"/>
        </w:rPr>
        <w:t>17.计量与支付</w:t>
      </w:r>
    </w:p>
    <w:p>
      <w:pPr>
        <w:spacing w:line="360" w:lineRule="auto"/>
        <w:rPr>
          <w:rFonts w:hint="eastAsia" w:ascii="宋体" w:hAnsi="宋体" w:eastAsia="宋体" w:cs="宋体"/>
          <w:color w:val="000000"/>
          <w:sz w:val="24"/>
          <w:szCs w:val="24"/>
        </w:rPr>
      </w:pPr>
      <w:bookmarkStart w:id="119" w:name="_bookmark201"/>
      <w:bookmarkEnd w:id="119"/>
      <w:r>
        <w:rPr>
          <w:rFonts w:hint="eastAsia" w:ascii="宋体" w:hAnsi="宋体" w:eastAsia="宋体" w:cs="宋体"/>
          <w:color w:val="000000"/>
          <w:sz w:val="24"/>
          <w:szCs w:val="24"/>
        </w:rPr>
        <w:t>17.1计量</w:t>
      </w:r>
    </w:p>
    <w:p>
      <w:pPr>
        <w:numPr>
          <w:ilvl w:val="2"/>
          <w:numId w:val="10"/>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计量单位 计量采用国家法定的计量单位。</w:t>
      </w:r>
    </w:p>
    <w:p>
      <w:pPr>
        <w:numPr>
          <w:ilvl w:val="2"/>
          <w:numId w:val="10"/>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计量方法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工程量计算规则执行工程量清单中约定的计量计价规范版本。除合同另有约定外，承包人实际完成的工程量按约定的工程量计算规则和有合同约束力的图纸进行计量。</w:t>
      </w:r>
    </w:p>
    <w:p>
      <w:pPr>
        <w:numPr>
          <w:ilvl w:val="2"/>
          <w:numId w:val="10"/>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计量周期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（1）本合同的计量周期为月，当月计量截止日期（不含当日）和下月计量起始日期（含当日）见合同条款专用部分。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（2）单价子目已完成工程量是否按月计量见合同条款专用部分。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（3）总价子目计量方法见合同条款专用部分。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17.1.4</w:t>
      </w:r>
      <w:r>
        <w:rPr>
          <w:rFonts w:hint="eastAsia" w:ascii="宋体" w:hAnsi="宋体" w:eastAsia="宋体" w:cs="宋体"/>
          <w:color w:val="000000"/>
          <w:sz w:val="24"/>
          <w:szCs w:val="24"/>
        </w:rPr>
        <w:tab/>
      </w:r>
      <w:r>
        <w:rPr>
          <w:rFonts w:hint="eastAsia" w:ascii="宋体" w:hAnsi="宋体" w:eastAsia="宋体" w:cs="宋体"/>
          <w:color w:val="000000"/>
          <w:sz w:val="24"/>
          <w:szCs w:val="24"/>
        </w:rPr>
        <w:t>单价子目的计量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（1）已标价工程量清单中的单价子目工程量为估算工程量。结算工程量是承包人实际完成的，并按合同约定的计量方法进行计量的工程量。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（2）承包人对已完成的工程进行计量，向监理人提交进度付款申请单、已完成工程量报表和有关计量资料。</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（4）监理人认为有必要时，可通知承包人共同进行联合测量、计量，承包人应遵照执行。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17.1.5</w:t>
      </w:r>
      <w:r>
        <w:rPr>
          <w:rFonts w:hint="eastAsia" w:ascii="宋体" w:hAnsi="宋体" w:eastAsia="宋体" w:cs="宋体"/>
          <w:color w:val="000000"/>
          <w:sz w:val="24"/>
          <w:szCs w:val="24"/>
        </w:rPr>
        <w:tab/>
      </w:r>
      <w:r>
        <w:rPr>
          <w:rFonts w:hint="eastAsia" w:ascii="宋体" w:hAnsi="宋体" w:eastAsia="宋体" w:cs="宋体"/>
          <w:color w:val="000000"/>
          <w:sz w:val="24"/>
          <w:szCs w:val="24"/>
        </w:rPr>
        <w:t>总价子目的计量（适用于采用支付分解报告）</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 出修改意见，经监理人批准的支付分解报告为有合同约束力的支付分解表。支付分解表应根 据合同条款第10.2款约定的修订合同进度计划进行修正，修正的程序和期限应当依照本项 上述约定，经修正的支付分解表为有合同约束力的支付分解表。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（1）总价子目的价格调整方法见合同条款专用部分。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（2）列入每月进度付款申请单中各总价子目的价值为有合同约束力的支付分解表中对应月份的总价子目总价值。</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（3）监理人根据有合同约束力的支付分解表复核列入每月进度付款申请单中的总价子目的总价值。</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（4）除按照第15条约定的变更外，在竣工结算时总价子目的工程量不应当重新计量，签约合同价所基于的工程量即是用于竣工结算的最终工程量。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17.1.5</w:t>
      </w:r>
      <w:r>
        <w:rPr>
          <w:rFonts w:hint="eastAsia" w:ascii="宋体" w:hAnsi="宋体" w:eastAsia="宋体" w:cs="宋体"/>
          <w:color w:val="000000"/>
          <w:sz w:val="24"/>
          <w:szCs w:val="24"/>
        </w:rPr>
        <w:tab/>
      </w:r>
      <w:r>
        <w:rPr>
          <w:rFonts w:hint="eastAsia" w:ascii="宋体" w:hAnsi="宋体" w:eastAsia="宋体" w:cs="宋体"/>
          <w:color w:val="000000"/>
          <w:sz w:val="24"/>
          <w:szCs w:val="24"/>
        </w:rPr>
        <w:t>总价子目的计量（适用于采用按实际完成工程量计量）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（1）总价子目的计量和支付应以总价为基础，对承包人实际完成的工程量进行计量，是进行工程目标管理和控制进度款支付的依据。总价子目的价格调整方法见合同条款专用部分。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包人在合同条款专用部分第17.1.3（1）目约定的每月计量截止日期后，对已完成的分部分项工程和单价措施项目的子目，按照合同条款专用部分第17.1.2项约定的计量方法进行计量，对已完成的总价措施项目的相关子目，按其总价构成、费用性质和实际发生比例进行计量，向监理人提交进度付款申请单、已完成工程量报表和有关计量资料。</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（5）除按照第15条约定的变更外，在竣工结算时总价子目的工程量不应当重新计量，签约合同价所基于的工程量即是用于竣工结算的最终工程量。</w:t>
      </w:r>
    </w:p>
    <w:p>
      <w:pPr>
        <w:spacing w:line="360" w:lineRule="auto"/>
        <w:rPr>
          <w:rFonts w:hint="eastAsia" w:ascii="宋体" w:hAnsi="宋体" w:eastAsia="宋体" w:cs="宋体"/>
          <w:color w:val="000000"/>
          <w:sz w:val="24"/>
          <w:szCs w:val="24"/>
        </w:rPr>
      </w:pPr>
      <w:bookmarkStart w:id="120" w:name="_bookmark202"/>
      <w:bookmarkEnd w:id="120"/>
      <w:r>
        <w:rPr>
          <w:rFonts w:hint="eastAsia" w:ascii="宋体" w:hAnsi="宋体" w:eastAsia="宋体" w:cs="宋体"/>
          <w:color w:val="000000"/>
          <w:sz w:val="24"/>
          <w:szCs w:val="24"/>
        </w:rPr>
        <w:t>17.2   预付款</w:t>
      </w:r>
    </w:p>
    <w:p>
      <w:pPr>
        <w:spacing w:line="360" w:lineRule="auto"/>
        <w:ind w:left="420"/>
        <w:rPr>
          <w:rFonts w:hint="eastAsia" w:ascii="宋体" w:hAnsi="宋体" w:eastAsia="宋体" w:cs="宋体"/>
          <w:color w:val="000000"/>
          <w:sz w:val="24"/>
          <w:szCs w:val="24"/>
        </w:rPr>
      </w:pPr>
      <w:r>
        <w:rPr>
          <w:rFonts w:hint="eastAsia" w:ascii="宋体" w:hAnsi="宋体" w:eastAsia="宋体" w:cs="宋体"/>
          <w:color w:val="000000"/>
          <w:sz w:val="24"/>
          <w:szCs w:val="24"/>
        </w:rPr>
        <w:t>17.2.1  预付款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预付款用于承包人为合同工程施工购置材料、工程设备、施工设备、修建临时设施以及组织施工队伍进场等。预付款必须专用于合同工程。预付款的额度和预付办法以及支付时间见合同条款专用部分。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安全文明施工费用的预付不受上述预付办法和支付时间约定的制约，发包人应当在不迟于第11.1.1项约定的开工日期前的7天内将安全文明施工费用的预付款一次性拨付给承包人。安全文明施工费用预付款额度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其他预付款约定见合同条款专用部分。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发包人逾期支付合同约定的预付款，除承担第22.2款约定的违约责任外，还应向承包人支付按第17.3.3(2)目约定的标准和方法计算的逾期付款违约金。</w:t>
      </w:r>
    </w:p>
    <w:p>
      <w:pPr>
        <w:spacing w:line="360" w:lineRule="auto"/>
        <w:ind w:left="420"/>
        <w:rPr>
          <w:rFonts w:hint="eastAsia" w:ascii="宋体" w:hAnsi="宋体" w:eastAsia="宋体" w:cs="宋体"/>
          <w:color w:val="000000"/>
          <w:sz w:val="24"/>
          <w:szCs w:val="24"/>
        </w:rPr>
      </w:pPr>
      <w:r>
        <w:rPr>
          <w:rFonts w:hint="eastAsia" w:ascii="宋体" w:hAnsi="宋体" w:eastAsia="宋体" w:cs="宋体"/>
          <w:color w:val="000000"/>
          <w:sz w:val="24"/>
          <w:szCs w:val="24"/>
        </w:rPr>
        <w:t>17.2.2  预付款的扣回与还清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预付款在进度付款中按照合同约定扣回。在颁发工程接收证书前，由于不可抗力或其他原因解除合同时，预付款尚未扣清的，尚未扣清的预付款余额应作为承包人的到期应付款。预付款扣回办法见合同条款专用部分。</w:t>
      </w:r>
    </w:p>
    <w:p>
      <w:pPr>
        <w:spacing w:line="360" w:lineRule="auto"/>
        <w:rPr>
          <w:rFonts w:hint="eastAsia" w:ascii="宋体" w:hAnsi="宋体" w:eastAsia="宋体" w:cs="宋体"/>
          <w:color w:val="000000"/>
          <w:sz w:val="24"/>
          <w:szCs w:val="24"/>
        </w:rPr>
      </w:pPr>
      <w:bookmarkStart w:id="121" w:name="_bookmark203"/>
      <w:bookmarkEnd w:id="121"/>
      <w:r>
        <w:rPr>
          <w:rFonts w:hint="eastAsia" w:ascii="宋体" w:hAnsi="宋体" w:eastAsia="宋体" w:cs="宋体"/>
          <w:color w:val="000000"/>
          <w:sz w:val="24"/>
          <w:szCs w:val="24"/>
        </w:rPr>
        <w:t>17.3</w:t>
      </w:r>
      <w:r>
        <w:rPr>
          <w:rFonts w:hint="eastAsia" w:ascii="宋体" w:hAnsi="宋体" w:eastAsia="宋体" w:cs="宋体"/>
          <w:color w:val="000000"/>
          <w:sz w:val="24"/>
          <w:szCs w:val="24"/>
        </w:rPr>
        <w:tab/>
      </w:r>
      <w:r>
        <w:rPr>
          <w:rFonts w:hint="eastAsia" w:ascii="宋体" w:hAnsi="宋体" w:eastAsia="宋体" w:cs="宋体"/>
          <w:color w:val="000000"/>
          <w:sz w:val="24"/>
          <w:szCs w:val="24"/>
        </w:rPr>
        <w:t>工程进度付款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17.3.1</w:t>
      </w:r>
      <w:r>
        <w:rPr>
          <w:rFonts w:hint="eastAsia" w:ascii="宋体" w:hAnsi="宋体" w:eastAsia="宋体" w:cs="宋体"/>
          <w:color w:val="000000"/>
          <w:sz w:val="24"/>
          <w:szCs w:val="24"/>
        </w:rPr>
        <w:tab/>
      </w:r>
      <w:r>
        <w:rPr>
          <w:rFonts w:hint="eastAsia" w:ascii="宋体" w:hAnsi="宋体" w:eastAsia="宋体" w:cs="宋体"/>
          <w:color w:val="000000"/>
          <w:sz w:val="24"/>
          <w:szCs w:val="24"/>
        </w:rPr>
        <w:t>付款周期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付款周期同计量周期。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17.3.2</w:t>
      </w:r>
      <w:r>
        <w:rPr>
          <w:rFonts w:hint="eastAsia" w:ascii="宋体" w:hAnsi="宋体" w:eastAsia="宋体" w:cs="宋体"/>
          <w:color w:val="000000"/>
          <w:sz w:val="24"/>
          <w:szCs w:val="24"/>
        </w:rPr>
        <w:tab/>
      </w:r>
      <w:r>
        <w:rPr>
          <w:rFonts w:hint="eastAsia" w:ascii="宋体" w:hAnsi="宋体" w:eastAsia="宋体" w:cs="宋体"/>
          <w:color w:val="000000"/>
          <w:sz w:val="24"/>
          <w:szCs w:val="24"/>
        </w:rPr>
        <w:t>进度付款申请单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承包人应在每个付款周期末，按监理人批准的格式和合同约定的份数，向监理人提交进度付款申请单，并附相应的支持性证明文件。承包人提交进度付款申请单份数见合同条款专用部分。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承包人报送监理人的进度付款申请单应包括下列内容：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（1）截至本次付款周期末已实施工程的价款；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（2）根据第15条应增加和扣减的变更金额；</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（3）根据第23条应增加和扣减的索赔金额；</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（4）根据第17.2款约定应支付的预付款和扣减的返还预付款；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（5）根据第17.4.1项约定应扣减的质量保证金；</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（6）根据合同应增加和（或）扣减的其他内容金额见合同条款专用部分。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17.3.3</w:t>
      </w:r>
      <w:r>
        <w:rPr>
          <w:rFonts w:hint="eastAsia" w:ascii="宋体" w:hAnsi="宋体" w:eastAsia="宋体" w:cs="宋体"/>
          <w:color w:val="000000"/>
          <w:sz w:val="24"/>
          <w:szCs w:val="24"/>
        </w:rPr>
        <w:tab/>
      </w:r>
      <w:r>
        <w:rPr>
          <w:rFonts w:hint="eastAsia" w:ascii="宋体" w:hAnsi="宋体" w:eastAsia="宋体" w:cs="宋体"/>
          <w:color w:val="000000"/>
          <w:sz w:val="24"/>
          <w:szCs w:val="24"/>
        </w:rPr>
        <w:t>进度付款证书和支付时间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发包人应在监理人收到进度付款申请单后的28天内，将进度应付款支付给承包人。发包人未按第17.2.1(2)目、第17.3.3(2)目、第17.5.2(2)目和第17.6.2(2)目约定的期限支付承包人依合同约定应当得到的款项，应当从应付之日起按照合同约定的计算标准和计算方法向承包人支付逾期付款违约金。承包人应当按第23.1（1）目的约定，在最终付款期限到期后28天内，向监理人递交索赔意向通知书,说明有权得到按本款约定的标准和方法计算的逾期付款违约金。承包人要求发包人支付逾期付款违约金不影响承包人要求发包人承担第22.2款约定的其他违约责任的权利。逾期付款违约金计算标准和计算方法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（3）监理人出具进度付款证书，不应视为监理人已同意、批准或接受了承包人完成的该部分工作。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（4）进度付款涉及政府投资资金的，按照国库集中支付等国家相关规定和合同约定办理。进度付款涉及政府性资金的支付方法见合同条款专用部分。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17.3.4</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工程进度付款的修正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在对以往历次已签发的进度付款证书进行汇总和复核中发现错、漏或重复的，监理人有权予以修正，承包人也有权提出修正申请。经双方复核同意的修正，应在本次进度付款中支付或扣除。</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17.3.5</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临时付款证书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合同约定的期限内，承包人和监理人无法对当期已完工程量和按合同约定应当支付的其他款项达成一致的，监理人应当在收到承包人报送的进度付款申请单等文件后14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28天内，将临时付款证书中确定的应付金额支付给承包人。发包人和监理人均不得以任何理由延期支付工程进度付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对临时付款证书中承包人有异议部分的金额，承包人应当按照监理人要求，提交进一步的支持性文件，经监理人进一步审核并认可的应付金额，应当按第17.3.4项的约定纳入到下一期进度付款证书中。经过进一步努力，承包人仍有异议的，按合同条款第24条的约定办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有异议款项中经监理人进一步审核后认可的，或者经过合同条款第24条约定的争议解决方式确定的应付金额，其应付之日为引发异议的进度付款证书的应付之日，承包人有权得到按第17.3.3（2）目约定计算的逾期付款违约金。</w:t>
      </w:r>
    </w:p>
    <w:p>
      <w:pPr>
        <w:spacing w:line="360" w:lineRule="auto"/>
        <w:rPr>
          <w:rFonts w:hint="eastAsia" w:ascii="宋体" w:hAnsi="宋体" w:eastAsia="宋体" w:cs="宋体"/>
          <w:color w:val="000000"/>
          <w:sz w:val="24"/>
          <w:szCs w:val="24"/>
        </w:rPr>
      </w:pPr>
      <w:bookmarkStart w:id="122" w:name="_bookmark204"/>
      <w:bookmarkEnd w:id="122"/>
      <w:r>
        <w:rPr>
          <w:rFonts w:hint="eastAsia" w:ascii="宋体" w:hAnsi="宋体" w:eastAsia="宋体" w:cs="宋体"/>
          <w:color w:val="000000"/>
          <w:sz w:val="24"/>
          <w:szCs w:val="24"/>
        </w:rPr>
        <w:t>17.4 质量保证金</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17.4.1</w:t>
      </w:r>
      <w:r>
        <w:rPr>
          <w:rFonts w:hint="eastAsia" w:ascii="宋体" w:hAnsi="宋体" w:eastAsia="宋体" w:cs="宋体"/>
          <w:color w:val="000000"/>
          <w:sz w:val="24"/>
          <w:szCs w:val="24"/>
        </w:rPr>
        <w:tab/>
      </w:r>
      <w:r>
        <w:rPr>
          <w:rFonts w:hint="eastAsia" w:ascii="宋体" w:hAnsi="宋体" w:eastAsia="宋体" w:cs="宋体"/>
          <w:color w:val="000000"/>
          <w:sz w:val="24"/>
          <w:szCs w:val="24"/>
        </w:rPr>
        <w:t>质量保证金处理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同条款专用部分第4.2.1项约定不提交履约担保，采用扣留质量保证金的，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约定比例扣留，直至质量保证金累计扣留金额达到竣工结算合同总价的约定比例为止；采用质量保证金保函担保形式的，工程竣工前，不得扣留质量保证金。</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合同条款专用部分第4.2.1项约定提交履约担保，采用扣留质量保证金的，在第17.5款竣工结算中，应当按照竣工结算合同总价约定的比例扣留质量保证金，当应支付的竣工付款金额不足应扣留的质量保证金金额时，承包人应返款差额部分；采用质量保证金保 函担保形式的，工程竣工前，不得扣留质量保证金；</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（3）质量保证金的形式与约定比例见合同条款专用部分。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17.4.2</w:t>
      </w:r>
      <w:r>
        <w:rPr>
          <w:rFonts w:hint="eastAsia" w:ascii="宋体" w:hAnsi="宋体" w:eastAsia="宋体" w:cs="宋体"/>
          <w:color w:val="000000"/>
          <w:sz w:val="24"/>
          <w:szCs w:val="24"/>
        </w:rPr>
        <w:tab/>
      </w:r>
      <w:r>
        <w:rPr>
          <w:rFonts w:hint="eastAsia" w:ascii="宋体" w:hAnsi="宋体" w:eastAsia="宋体" w:cs="宋体"/>
          <w:color w:val="000000"/>
          <w:sz w:val="24"/>
          <w:szCs w:val="24"/>
        </w:rPr>
        <w:t>在第 1.1.4.5 目约定的缺陷责任期满时，承包人向发包人申请到期应返还承包人剩余的质量保证金金额或退还保函担保，发包人应在14天内会同承包人按照合同约定的内容核实承包人是否完成缺陷责任。如无异议，发包人应当在核实后将剩余保证金返还承包人或将其保函退还承包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17.4.3 在第1.1.4.5目约定的缺陷责任期满时，承包人没有完成缺陷责任的，发包人有权扣留与未履行责任剩余工作所需金额相应的质量保证金余额或依据其保函担保约定追究责任，并有权根据第19.3款约定要求延长缺陷责任期，直至完成剩余工作为止。</w:t>
      </w:r>
    </w:p>
    <w:p>
      <w:pPr>
        <w:spacing w:line="360" w:lineRule="auto"/>
        <w:rPr>
          <w:rFonts w:hint="eastAsia" w:ascii="宋体" w:hAnsi="宋体" w:eastAsia="宋体" w:cs="宋体"/>
          <w:color w:val="000000"/>
          <w:sz w:val="24"/>
          <w:szCs w:val="24"/>
        </w:rPr>
      </w:pPr>
      <w:bookmarkStart w:id="123" w:name="_bookmark205"/>
      <w:bookmarkEnd w:id="123"/>
      <w:r>
        <w:rPr>
          <w:rFonts w:hint="eastAsia" w:ascii="宋体" w:hAnsi="宋体" w:eastAsia="宋体" w:cs="宋体"/>
          <w:color w:val="000000"/>
          <w:sz w:val="24"/>
          <w:szCs w:val="24"/>
        </w:rPr>
        <w:t>17.5  竣工结算</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17.5.1</w:t>
      </w:r>
      <w:r>
        <w:rPr>
          <w:rFonts w:hint="eastAsia" w:ascii="宋体" w:hAnsi="宋体" w:eastAsia="宋体" w:cs="宋体"/>
          <w:color w:val="000000"/>
          <w:sz w:val="24"/>
          <w:szCs w:val="24"/>
        </w:rPr>
        <w:tab/>
      </w:r>
      <w:r>
        <w:rPr>
          <w:rFonts w:hint="eastAsia" w:ascii="宋体" w:hAnsi="宋体" w:eastAsia="宋体" w:cs="宋体"/>
          <w:color w:val="000000"/>
          <w:sz w:val="24"/>
          <w:szCs w:val="24"/>
        </w:rPr>
        <w:t>竣工付款申请单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（1）工程接收证书颁发后，承包人应按合同约定的份数和期限向监理人提交竣工付款申请单，并提供相关证明材料。承包人提交竣工付款申请单份数和期限见合同条款专用部分。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竣工付款申请单应包括下列内容：竣工结算合同总价、发包人已支付承包人的工程价款、应扣留的质量保证金、应支付的竣工付款金额和应支付或扣减的其他内容金额。竣工付款申请单的其他内容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（3）监理人对竣工付款申请单有异议的，有权要求承包人进行修正和提供补充资料。经监理人和承包人协商后，由承包人向监理人提交修正后的竣工付款申请单。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（4）承包人未按本项约定的期限和内容提交竣工付款申请单或者未按第17.5.1（3)目 约定提交修正后的竣工付款申请单，经监理人催促后14天内仍未提交或者没有明确答复的， 监理人和发包人有权根据已有资料进行审查，审查确定的竣工结算合同总价和竣工付款金额 视同是经承包人认可的工程竣工结算合同总价和竣工付款金额。</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17.5.2</w:t>
      </w:r>
      <w:r>
        <w:rPr>
          <w:rFonts w:hint="eastAsia" w:ascii="宋体" w:hAnsi="宋体" w:eastAsia="宋体" w:cs="宋体"/>
          <w:color w:val="000000"/>
          <w:sz w:val="24"/>
          <w:szCs w:val="24"/>
        </w:rPr>
        <w:tab/>
      </w:r>
      <w:r>
        <w:rPr>
          <w:rFonts w:hint="eastAsia" w:ascii="宋体" w:hAnsi="宋体" w:eastAsia="宋体" w:cs="宋体"/>
          <w:color w:val="000000"/>
          <w:sz w:val="24"/>
          <w:szCs w:val="24"/>
        </w:rPr>
        <w:t>竣工付款证书及支付时间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（1）监理人在收到承包人提交的竣工付款申请单后的 14 天内完成审核，并提出发包人到期应支付给承包人的价款等审核意见，报送发包人审核。发包人应在收到后14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（2）发包人应在监理人出具竣工付款证书后的 14 天内，将应支付款支付给承包人。发包人不按期支付的，按第17.3.3（2）目的约定，将逾期付款违约金支付给承包人。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（3）承包人对发包人签认的竣工付款证书有异议的，发包人可出具竣工付款申请单中与承包人达成一致意见部分的临时付款证书。存在争议的部分，按第24条“争议的解决”的约定办理。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（4）竣工付款涉及政府投资资金的，按政府资金支付相关规定办理。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17.5.3</w:t>
      </w:r>
      <w:r>
        <w:rPr>
          <w:rFonts w:hint="eastAsia" w:ascii="宋体" w:hAnsi="宋体" w:eastAsia="宋体" w:cs="宋体"/>
          <w:color w:val="000000"/>
          <w:sz w:val="24"/>
          <w:szCs w:val="24"/>
        </w:rPr>
        <w:tab/>
      </w:r>
      <w:r>
        <w:rPr>
          <w:rFonts w:hint="eastAsia" w:ascii="宋体" w:hAnsi="宋体" w:eastAsia="宋体" w:cs="宋体"/>
          <w:color w:val="000000"/>
          <w:sz w:val="24"/>
          <w:szCs w:val="24"/>
        </w:rPr>
        <w:t>除第17.5.4项约定的情况外，发包人和承包人应当在监理人颁发（出具）工程接收证书后56天内办清竣工结算和竣工付款。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17.5.4 政府投资或者以政府投资为主的建设项目纳入审计项目计划的，发包人和承包人均负有配合、接受审计机关审计的义务，竣工结算应当依据审计结论，办清竣工结算和竣工付款的时间按照相关规定执行。</w:t>
      </w:r>
    </w:p>
    <w:p>
      <w:pPr>
        <w:spacing w:line="360" w:lineRule="auto"/>
        <w:jc w:val="left"/>
        <w:rPr>
          <w:rFonts w:hint="eastAsia" w:ascii="宋体" w:hAnsi="宋体" w:eastAsia="宋体" w:cs="宋体"/>
          <w:color w:val="000000"/>
          <w:sz w:val="24"/>
          <w:szCs w:val="24"/>
        </w:rPr>
      </w:pPr>
      <w:bookmarkStart w:id="124" w:name="_bookmark206"/>
      <w:bookmarkEnd w:id="124"/>
      <w:r>
        <w:rPr>
          <w:rFonts w:hint="eastAsia" w:ascii="宋体" w:hAnsi="宋体" w:eastAsia="宋体" w:cs="宋体"/>
          <w:color w:val="000000"/>
          <w:sz w:val="24"/>
          <w:szCs w:val="24"/>
        </w:rPr>
        <w:t>17.6  最终结清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17.6.1</w:t>
      </w:r>
      <w:r>
        <w:rPr>
          <w:rFonts w:hint="eastAsia" w:ascii="宋体" w:hAnsi="宋体" w:eastAsia="宋体" w:cs="宋体"/>
          <w:color w:val="000000"/>
          <w:sz w:val="24"/>
          <w:szCs w:val="24"/>
        </w:rPr>
        <w:tab/>
      </w:r>
      <w:r>
        <w:rPr>
          <w:rFonts w:hint="eastAsia" w:ascii="宋体" w:hAnsi="宋体" w:eastAsia="宋体" w:cs="宋体"/>
          <w:color w:val="000000"/>
          <w:sz w:val="24"/>
          <w:szCs w:val="24"/>
        </w:rPr>
        <w:t>最终结清申请单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（1）缺陷责任期终止证书签发后，承包人可按合同约定的份数和期限向监理人提交最终结清申请单，并提供相关证明材料。承包人提交最终结清申请单的份数和期限见合同条款专用部分。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发包人向承包人支付质量保证金利息的，承包人应按照约定的利息计算方法计算利息，并列入最终结清申请单中。是否支付质量保证金利息及利息计算方法见合同条款专用部分。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（2）发包人对最终结清申请单内容有异议的，有权要求承包人进行修正和提供补充资 料，由承包人向监理人提交修正后的最终结清申请单。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17.6.2</w:t>
      </w:r>
      <w:r>
        <w:rPr>
          <w:rFonts w:hint="eastAsia" w:ascii="宋体" w:hAnsi="宋体" w:eastAsia="宋体" w:cs="宋体"/>
          <w:color w:val="000000"/>
          <w:sz w:val="24"/>
          <w:szCs w:val="24"/>
        </w:rPr>
        <w:tab/>
      </w:r>
      <w:r>
        <w:rPr>
          <w:rFonts w:hint="eastAsia" w:ascii="宋体" w:hAnsi="宋体" w:eastAsia="宋体" w:cs="宋体"/>
          <w:color w:val="000000"/>
          <w:sz w:val="24"/>
          <w:szCs w:val="24"/>
        </w:rPr>
        <w:t>最终结清证书和支付时间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（1）监理人收到承包人提交的最终结清申请单后的14天内，提出发包人应支付给承包人的价款等审核意见，并报送发包人审核。发包人应在收到后 14 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（2）发包人应在监理人出具最终结清证书后的 14 天内，将应支付款支付给承包人。发包人不按期支付的，按第17.3.3（2）目的约定，将逾期付款违约金支付给承包人。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（3）承包人对发包人签认的最终结清证书有异议的，按第24条“争议的解决”的约定办理。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（4）最终结清付款涉及政府投资资金的，按第 17.3.3（4）目的约定办理。</w:t>
      </w:r>
    </w:p>
    <w:p>
      <w:pPr>
        <w:spacing w:line="360" w:lineRule="auto"/>
        <w:rPr>
          <w:rFonts w:hint="eastAsia" w:ascii="宋体" w:hAnsi="宋体" w:eastAsia="宋体" w:cs="宋体"/>
          <w:color w:val="000000"/>
          <w:sz w:val="24"/>
          <w:szCs w:val="24"/>
        </w:rPr>
      </w:pPr>
      <w:bookmarkStart w:id="125" w:name="_bookmark207"/>
      <w:bookmarkEnd w:id="125"/>
      <w:r>
        <w:rPr>
          <w:rFonts w:hint="eastAsia" w:ascii="宋体" w:hAnsi="宋体" w:eastAsia="宋体" w:cs="宋体"/>
          <w:color w:val="000000"/>
          <w:sz w:val="24"/>
          <w:szCs w:val="24"/>
        </w:rPr>
        <w:t>18.竣工验收</w:t>
      </w:r>
    </w:p>
    <w:p>
      <w:pPr>
        <w:spacing w:line="360" w:lineRule="auto"/>
        <w:rPr>
          <w:rFonts w:hint="eastAsia" w:ascii="宋体" w:hAnsi="宋体" w:eastAsia="宋体" w:cs="宋体"/>
          <w:color w:val="000000"/>
          <w:sz w:val="24"/>
          <w:szCs w:val="24"/>
        </w:rPr>
      </w:pPr>
      <w:bookmarkStart w:id="126" w:name="_bookmark208"/>
      <w:bookmarkEnd w:id="126"/>
      <w:r>
        <w:rPr>
          <w:rFonts w:hint="eastAsia" w:ascii="宋体" w:hAnsi="宋体" w:eastAsia="宋体" w:cs="宋体"/>
          <w:color w:val="000000"/>
          <w:sz w:val="24"/>
          <w:szCs w:val="24"/>
        </w:rPr>
        <w:t>18.1</w:t>
      </w:r>
      <w:r>
        <w:rPr>
          <w:rFonts w:hint="eastAsia" w:ascii="宋体" w:hAnsi="宋体" w:eastAsia="宋体" w:cs="宋体"/>
          <w:color w:val="000000"/>
          <w:sz w:val="24"/>
          <w:szCs w:val="24"/>
        </w:rPr>
        <w:tab/>
      </w:r>
      <w:r>
        <w:rPr>
          <w:rFonts w:hint="eastAsia" w:ascii="宋体" w:hAnsi="宋体" w:eastAsia="宋体" w:cs="宋体"/>
          <w:color w:val="000000"/>
          <w:sz w:val="24"/>
          <w:szCs w:val="24"/>
        </w:rPr>
        <w:t>竣工验收的含义</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18.1.1</w:t>
      </w:r>
      <w:r>
        <w:rPr>
          <w:rFonts w:hint="eastAsia" w:ascii="宋体" w:hAnsi="宋体" w:eastAsia="宋体" w:cs="宋体"/>
          <w:color w:val="000000"/>
          <w:sz w:val="24"/>
          <w:szCs w:val="24"/>
        </w:rPr>
        <w:tab/>
      </w:r>
      <w:r>
        <w:rPr>
          <w:rFonts w:hint="eastAsia" w:ascii="宋体" w:hAnsi="宋体" w:eastAsia="宋体" w:cs="宋体"/>
          <w:color w:val="000000"/>
          <w:sz w:val="24"/>
          <w:szCs w:val="24"/>
        </w:rPr>
        <w:t>竣工验收指承包人完成了全部合同工作后，发包人按合同要求进行的验收。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18.1.2</w:t>
      </w:r>
      <w:r>
        <w:rPr>
          <w:rFonts w:hint="eastAsia" w:ascii="宋体" w:hAnsi="宋体" w:eastAsia="宋体" w:cs="宋体"/>
          <w:color w:val="000000"/>
          <w:sz w:val="24"/>
          <w:szCs w:val="24"/>
        </w:rPr>
        <w:tab/>
      </w:r>
      <w:r>
        <w:rPr>
          <w:rFonts w:hint="eastAsia" w:ascii="宋体" w:hAnsi="宋体" w:eastAsia="宋体" w:cs="宋体"/>
          <w:color w:val="000000"/>
          <w:sz w:val="24"/>
          <w:szCs w:val="24"/>
        </w:rPr>
        <w:t>国家验收是政府有关部门根据法律、规范、规程和政策要求，针对发包人全面组织实施的整个工程正式交付投运前的验收。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18.1.3 需要进行国家验收的，竣工验收是国家验收的一部分。竣工验收所采用的各项验收和评定标准应符合国家验收标准。发包人和承包人为竣工验收提供的各项竣工验收资料应符合国家验收的要求。</w:t>
      </w:r>
    </w:p>
    <w:p>
      <w:pPr>
        <w:spacing w:line="360" w:lineRule="auto"/>
        <w:rPr>
          <w:rFonts w:hint="eastAsia" w:ascii="宋体" w:hAnsi="宋体" w:eastAsia="宋体" w:cs="宋体"/>
          <w:color w:val="000000"/>
          <w:sz w:val="24"/>
          <w:szCs w:val="24"/>
        </w:rPr>
      </w:pPr>
      <w:bookmarkStart w:id="127" w:name="_bookmark209"/>
      <w:bookmarkEnd w:id="127"/>
      <w:r>
        <w:rPr>
          <w:rFonts w:hint="eastAsia" w:ascii="宋体" w:hAnsi="宋体" w:eastAsia="宋体" w:cs="宋体"/>
          <w:color w:val="000000"/>
          <w:sz w:val="24"/>
          <w:szCs w:val="24"/>
        </w:rPr>
        <w:t>18.2</w:t>
      </w:r>
      <w:r>
        <w:rPr>
          <w:rFonts w:hint="eastAsia" w:ascii="宋体" w:hAnsi="宋体" w:eastAsia="宋体" w:cs="宋体"/>
          <w:color w:val="000000"/>
          <w:sz w:val="24"/>
          <w:szCs w:val="24"/>
        </w:rPr>
        <w:tab/>
      </w:r>
      <w:r>
        <w:rPr>
          <w:rFonts w:hint="eastAsia" w:ascii="宋体" w:hAnsi="宋体" w:eastAsia="宋体" w:cs="宋体"/>
          <w:color w:val="000000"/>
          <w:sz w:val="24"/>
          <w:szCs w:val="24"/>
        </w:rPr>
        <w:t>竣工验收申请报告</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当工程具备以下条件时，承包人即可向监理人报送竣工验收申请报告：</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（1）除监理人同意列入缺陷责任期内完成的尾工（甩项）工程和缺陷修补工作外，合同范围内的全部单位工程以及有关工作，包括合同要求的试验、试运行以及检验和验收均已完成，并符合合同要求；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（3）已按监理人的要求编制了在缺陷责任期内需完成的尾工（甩项）工程，和缺陷修补工作清单等相应施工计划；</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（4）监理人要求在竣工验收前应完成的其他工作；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（5）监理人要求提交的竣工验收资料清单。</w:t>
      </w:r>
    </w:p>
    <w:p>
      <w:pPr>
        <w:spacing w:line="360" w:lineRule="auto"/>
        <w:rPr>
          <w:rFonts w:hint="eastAsia" w:ascii="宋体" w:hAnsi="宋体" w:eastAsia="宋体" w:cs="宋体"/>
          <w:color w:val="000000"/>
          <w:sz w:val="24"/>
          <w:szCs w:val="24"/>
        </w:rPr>
      </w:pPr>
      <w:bookmarkStart w:id="128" w:name="_bookmark210"/>
      <w:bookmarkEnd w:id="128"/>
      <w:r>
        <w:rPr>
          <w:rFonts w:hint="eastAsia" w:ascii="宋体" w:hAnsi="宋体" w:eastAsia="宋体" w:cs="宋体"/>
          <w:color w:val="000000"/>
          <w:sz w:val="24"/>
          <w:szCs w:val="24"/>
        </w:rPr>
        <w:t>18.3</w:t>
      </w:r>
      <w:r>
        <w:rPr>
          <w:rFonts w:hint="eastAsia" w:ascii="宋体" w:hAnsi="宋体" w:eastAsia="宋体" w:cs="宋体"/>
          <w:color w:val="000000"/>
          <w:sz w:val="24"/>
          <w:szCs w:val="24"/>
        </w:rPr>
        <w:tab/>
      </w:r>
      <w:r>
        <w:rPr>
          <w:rFonts w:hint="eastAsia" w:ascii="宋体" w:hAnsi="宋体" w:eastAsia="宋体" w:cs="宋体"/>
          <w:color w:val="000000"/>
          <w:sz w:val="24"/>
          <w:szCs w:val="24"/>
        </w:rPr>
        <w:t>验收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监理人收到承包人按第 18.2 款约定提交的竣工验收申请报告后，应审查申请报告的各 项内容，并按以下不同情况进行处理。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18.3.1</w:t>
      </w:r>
      <w:r>
        <w:rPr>
          <w:rFonts w:hint="eastAsia" w:ascii="宋体" w:hAnsi="宋体" w:eastAsia="宋体" w:cs="宋体"/>
          <w:color w:val="000000"/>
          <w:sz w:val="24"/>
          <w:szCs w:val="24"/>
        </w:rPr>
        <w:tab/>
      </w:r>
      <w:r>
        <w:rPr>
          <w:rFonts w:hint="eastAsia" w:ascii="宋体" w:hAnsi="宋体" w:eastAsia="宋体" w:cs="宋体"/>
          <w:color w:val="000000"/>
          <w:sz w:val="24"/>
          <w:szCs w:val="24"/>
        </w:rPr>
        <w:t>监理人审查后认为尚不具备竣工验收条件的，应在收到竣工验收申请报告后的28天内通知承包人，并指出在颁发接收证书前承包人需进行的工作内容。承包人完成监理 人通知的全部工作内容后，应再次提交竣工验收申请报告，直至监理人同意为止。</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18.3.2</w:t>
      </w:r>
      <w:r>
        <w:rPr>
          <w:rFonts w:hint="eastAsia" w:ascii="宋体" w:hAnsi="宋体" w:eastAsia="宋体" w:cs="宋体"/>
          <w:color w:val="000000"/>
          <w:sz w:val="24"/>
          <w:szCs w:val="24"/>
        </w:rPr>
        <w:tab/>
      </w:r>
      <w:r>
        <w:rPr>
          <w:rFonts w:hint="eastAsia" w:ascii="宋体" w:hAnsi="宋体" w:eastAsia="宋体" w:cs="宋体"/>
          <w:color w:val="000000"/>
          <w:sz w:val="24"/>
          <w:szCs w:val="24"/>
        </w:rPr>
        <w:t>监理人审查后认为已具备竣工验收条件的，应在收到竣工验收申请报告后的28天内提请发包人进行工程验收。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18.3.3</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18.3.4</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18.3.5</w:t>
      </w:r>
      <w:r>
        <w:rPr>
          <w:rFonts w:hint="eastAsia" w:ascii="宋体" w:hAnsi="宋体" w:eastAsia="宋体" w:cs="宋体"/>
          <w:color w:val="000000"/>
          <w:sz w:val="24"/>
          <w:szCs w:val="24"/>
        </w:rPr>
        <w:tab/>
      </w:r>
      <w:r>
        <w:rPr>
          <w:rFonts w:hint="eastAsia" w:ascii="宋体" w:hAnsi="宋体" w:eastAsia="宋体" w:cs="宋体"/>
          <w:color w:val="000000"/>
          <w:sz w:val="24"/>
          <w:szCs w:val="24"/>
        </w:rPr>
        <w:t>经验收合格的工程, 实际竣工日期为承包人按照第18.2款提交竣工验收申请报告或按照本款重新提交竣工验收申请报告的日期（以两者中时间在后者为准）。</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18.3.6</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发包人在收到承包人竣工验收申请报告56天后未进行验收的，视为验收合格，实际竣工日期以提交竣工验收申请报告的日期为准，但发包人由于不可抗力不能进行验收的除外。</w:t>
      </w:r>
    </w:p>
    <w:p>
      <w:pPr>
        <w:spacing w:line="360" w:lineRule="auto"/>
        <w:rPr>
          <w:rFonts w:hint="eastAsia" w:ascii="宋体" w:hAnsi="宋体" w:eastAsia="宋体" w:cs="宋体"/>
          <w:color w:val="000000"/>
          <w:sz w:val="24"/>
          <w:szCs w:val="24"/>
        </w:rPr>
      </w:pPr>
      <w:bookmarkStart w:id="129" w:name="_bookmark211"/>
      <w:bookmarkEnd w:id="129"/>
      <w:r>
        <w:rPr>
          <w:rFonts w:hint="eastAsia" w:ascii="宋体" w:hAnsi="宋体" w:eastAsia="宋体" w:cs="宋体"/>
          <w:color w:val="000000"/>
          <w:sz w:val="24"/>
          <w:szCs w:val="24"/>
        </w:rPr>
        <w:t>18.4  单位工程验收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18.4.1</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18.4.2</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发包人在全部工程竣工前，使用已接收的单位工程导致承包人费用增加的，发包人应承担由此增加的费用和（或）工期延误。</w:t>
      </w:r>
    </w:p>
    <w:p>
      <w:pPr>
        <w:spacing w:line="360" w:lineRule="auto"/>
        <w:rPr>
          <w:rFonts w:hint="eastAsia" w:ascii="宋体" w:hAnsi="宋体" w:eastAsia="宋体" w:cs="宋体"/>
          <w:color w:val="000000"/>
          <w:sz w:val="24"/>
          <w:szCs w:val="24"/>
        </w:rPr>
      </w:pPr>
      <w:bookmarkStart w:id="130" w:name="_bookmark212"/>
      <w:bookmarkEnd w:id="130"/>
      <w:r>
        <w:rPr>
          <w:rFonts w:hint="eastAsia" w:ascii="宋体" w:hAnsi="宋体" w:eastAsia="宋体" w:cs="宋体"/>
          <w:color w:val="000000"/>
          <w:sz w:val="24"/>
          <w:szCs w:val="24"/>
        </w:rPr>
        <w:t>18.5  施工期运行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18.5.1</w:t>
      </w:r>
      <w:r>
        <w:rPr>
          <w:rFonts w:hint="eastAsia" w:ascii="宋体" w:hAnsi="宋体" w:eastAsia="宋体" w:cs="宋体"/>
          <w:color w:val="000000"/>
          <w:sz w:val="24"/>
          <w:szCs w:val="24"/>
        </w:rPr>
        <w:tab/>
      </w:r>
      <w:r>
        <w:rPr>
          <w:rFonts w:hint="eastAsia" w:ascii="宋体" w:hAnsi="宋体" w:eastAsia="宋体" w:cs="宋体"/>
          <w:color w:val="000000"/>
          <w:sz w:val="24"/>
          <w:szCs w:val="24"/>
        </w:rPr>
        <w:t>施工期运行是指合同工程尚未全部竣工，其中某项或某几项单位工程或工程设备安装已竣工，根据合同条款专用部分约定，需要投入施工期运行的，经发包人按第18.4款的约定验收合格，证明能确保安全后，才能在施工期投入运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18.5.2</w:t>
      </w:r>
      <w:r>
        <w:rPr>
          <w:rFonts w:hint="eastAsia" w:ascii="宋体" w:hAnsi="宋体" w:eastAsia="宋体" w:cs="宋体"/>
          <w:color w:val="000000"/>
          <w:sz w:val="24"/>
          <w:szCs w:val="24"/>
        </w:rPr>
        <w:tab/>
      </w:r>
      <w:r>
        <w:rPr>
          <w:rFonts w:hint="eastAsia" w:ascii="宋体" w:hAnsi="宋体" w:eastAsia="宋体" w:cs="宋体"/>
          <w:color w:val="000000"/>
          <w:sz w:val="24"/>
          <w:szCs w:val="24"/>
        </w:rPr>
        <w:t>在施工期运行中发现工程或工程设备损坏或存在缺陷的，由承包人按第 19.2款约定进行修复。</w:t>
      </w:r>
    </w:p>
    <w:p>
      <w:pPr>
        <w:numPr>
          <w:ilvl w:val="1"/>
          <w:numId w:val="11"/>
        </w:numPr>
        <w:spacing w:line="360" w:lineRule="auto"/>
        <w:rPr>
          <w:rFonts w:hint="eastAsia" w:ascii="宋体" w:hAnsi="宋体" w:eastAsia="宋体" w:cs="宋体"/>
          <w:color w:val="000000"/>
          <w:sz w:val="24"/>
          <w:szCs w:val="24"/>
        </w:rPr>
      </w:pPr>
      <w:bookmarkStart w:id="131" w:name="_bookmark213"/>
      <w:bookmarkEnd w:id="131"/>
      <w:r>
        <w:rPr>
          <w:rFonts w:hint="eastAsia" w:ascii="宋体" w:hAnsi="宋体" w:eastAsia="宋体" w:cs="宋体"/>
          <w:color w:val="000000"/>
          <w:sz w:val="24"/>
          <w:szCs w:val="24"/>
        </w:rPr>
        <w:t>试运行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18.6.1</w:t>
      </w:r>
      <w:r>
        <w:rPr>
          <w:rFonts w:hint="eastAsia" w:ascii="宋体" w:hAnsi="宋体" w:eastAsia="宋体" w:cs="宋体"/>
          <w:color w:val="000000"/>
          <w:sz w:val="24"/>
          <w:szCs w:val="24"/>
        </w:rPr>
        <w:tab/>
      </w:r>
      <w:r>
        <w:rPr>
          <w:rFonts w:hint="eastAsia" w:ascii="宋体" w:hAnsi="宋体" w:eastAsia="宋体" w:cs="宋体"/>
          <w:color w:val="000000"/>
          <w:sz w:val="24"/>
          <w:szCs w:val="24"/>
        </w:rPr>
        <w:t>工程及工程设备试运行的组织与费用承担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（1）工程设备安装具备单机无负荷试运行条件，由承包人组织试运行，费用由承包人承担。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（2）工程设备安装具备无负荷联动试运行条件，由发包人组织试运行，费用由发包人承担。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（3）投料试运行应在工程竣工验收后由发包人负责，如发包人要求在工程竣工验收前进行或需要承包人配合时，应征得承包人同意，另行签订补充协议。</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18.6.2</w:t>
      </w:r>
      <w:r>
        <w:rPr>
          <w:rFonts w:hint="eastAsia" w:ascii="宋体" w:hAnsi="宋体" w:eastAsia="宋体" w:cs="宋体"/>
          <w:color w:val="000000"/>
          <w:sz w:val="24"/>
          <w:szCs w:val="24"/>
        </w:rPr>
        <w:tab/>
      </w:r>
      <w:r>
        <w:rPr>
          <w:rFonts w:hint="eastAsia" w:ascii="宋体" w:hAnsi="宋体" w:eastAsia="宋体" w:cs="宋体"/>
          <w:color w:val="000000"/>
          <w:sz w:val="24"/>
          <w:szCs w:val="24"/>
        </w:rPr>
        <w:t>由于承包人的原因导致试运行失败的，承包人应采取措施保证试运行合格，并承担相应费用。由于发包人的原因导致试运行失败的，承包人应当采取措施保证试运行合格，发包人应承担由此产生的费。</w:t>
      </w:r>
      <w:bookmarkStart w:id="132" w:name="_bookmark214"/>
      <w:bookmarkEnd w:id="132"/>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18.7竣工清场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18.7.1</w:t>
      </w:r>
      <w:r>
        <w:rPr>
          <w:rFonts w:hint="eastAsia" w:ascii="宋体" w:hAnsi="宋体" w:eastAsia="宋体" w:cs="宋体"/>
          <w:color w:val="000000"/>
          <w:sz w:val="24"/>
          <w:szCs w:val="24"/>
        </w:rPr>
        <w:tab/>
      </w:r>
      <w:r>
        <w:rPr>
          <w:rFonts w:hint="eastAsia" w:ascii="宋体" w:hAnsi="宋体" w:eastAsia="宋体" w:cs="宋体"/>
          <w:color w:val="000000"/>
          <w:sz w:val="24"/>
          <w:szCs w:val="24"/>
        </w:rPr>
        <w:t>监理人颁发（出具）工程接收证书后，承包人负责按照以下要求对施工场地进行清理，直至监理人检验合格为止。竣工清场费用由承包人承担。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（1）施工场地内残留的垃圾已全部清除出场；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（2）临时工程已拆除，场地已按合同要求进行清理、平整或复原；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（3）按合同约定应撤离的承包人设备和剩余的材料，包括废弃的施工设备和材料，已按计划撤离施工场地；</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（4）工程建筑物周边及其附近道路、河道的施工堆积物，已按监理人指示全部清理；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（5）监理人指示的其他场地清理工作已全部完成。</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18.7.2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承包人未按监理人的要求恢复临时占地，或者场地清理未达到合同约定的，发包人有权委托其他人恢复或清理，所发生的金额从拟支付给承包人的款项中扣除。</w:t>
      </w:r>
    </w:p>
    <w:p>
      <w:pPr>
        <w:spacing w:line="360" w:lineRule="auto"/>
        <w:rPr>
          <w:rFonts w:hint="eastAsia" w:ascii="宋体" w:hAnsi="宋体" w:eastAsia="宋体" w:cs="宋体"/>
          <w:color w:val="000000"/>
          <w:sz w:val="24"/>
          <w:szCs w:val="24"/>
        </w:rPr>
      </w:pPr>
      <w:bookmarkStart w:id="133" w:name="_bookmark215"/>
      <w:bookmarkEnd w:id="133"/>
      <w:r>
        <w:rPr>
          <w:rFonts w:hint="eastAsia" w:ascii="宋体" w:hAnsi="宋体" w:eastAsia="宋体" w:cs="宋体"/>
          <w:color w:val="000000"/>
          <w:sz w:val="24"/>
          <w:szCs w:val="24"/>
        </w:rPr>
        <w:t>18.8</w:t>
      </w:r>
      <w:r>
        <w:rPr>
          <w:rFonts w:hint="eastAsia" w:ascii="宋体" w:hAnsi="宋体" w:eastAsia="宋体" w:cs="宋体"/>
          <w:color w:val="000000"/>
          <w:sz w:val="24"/>
          <w:szCs w:val="24"/>
        </w:rPr>
        <w:tab/>
      </w:r>
      <w:r>
        <w:rPr>
          <w:rFonts w:hint="eastAsia" w:ascii="宋体" w:hAnsi="宋体" w:eastAsia="宋体" w:cs="宋体"/>
          <w:color w:val="000000"/>
          <w:sz w:val="24"/>
          <w:szCs w:val="24"/>
        </w:rPr>
        <w:t>施工队伍的撤离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18.8.1 工程接收证书颁发后的 56 天内，除了经监理人同意需在缺陷责任期内继续工作和使用的人员、施工设备和临时工程外，其余的人员、施工设备和临时工程均应撤离施工场地或拆除。</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18.8.2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承包人撤离施工场地（现场）时，监理人和承包人应当办理永久工程和施工场地移交手续，移交手续以书面方式出具，并分别经过发包人、监理人和承包人的签认。但是，监理人和发包人未按第 17.5.1 项约定的期限办清竣工结算和竣工付款的，本工程不得交付使用，发包人和监理人也无权要求承包人按合同约定的期限撤离施工场地（现场）和办理工程移交手续。</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18.8.3</w:t>
      </w:r>
      <w:r>
        <w:rPr>
          <w:rFonts w:hint="eastAsia" w:ascii="宋体" w:hAnsi="宋体" w:eastAsia="宋体" w:cs="宋体"/>
          <w:color w:val="000000"/>
          <w:sz w:val="24"/>
          <w:szCs w:val="24"/>
        </w:rPr>
        <w:tab/>
      </w:r>
      <w:r>
        <w:rPr>
          <w:rFonts w:hint="eastAsia" w:ascii="宋体" w:hAnsi="宋体" w:eastAsia="宋体" w:cs="宋体"/>
          <w:color w:val="000000"/>
          <w:sz w:val="24"/>
          <w:szCs w:val="24"/>
        </w:rPr>
        <w:t>缺陷责任期满时，承包人的人员和施工设备应在合同约定期限内全部撤离施工场地。撤离施工场地的期限要求见合同条款专用部分。</w:t>
      </w:r>
    </w:p>
    <w:p>
      <w:pPr>
        <w:spacing w:line="360" w:lineRule="auto"/>
        <w:rPr>
          <w:rFonts w:hint="eastAsia" w:ascii="宋体" w:hAnsi="宋体" w:eastAsia="宋体" w:cs="宋体"/>
          <w:color w:val="000000"/>
          <w:sz w:val="24"/>
          <w:szCs w:val="24"/>
        </w:rPr>
      </w:pPr>
      <w:bookmarkStart w:id="134" w:name="_bookmark216"/>
      <w:bookmarkEnd w:id="134"/>
      <w:r>
        <w:rPr>
          <w:rFonts w:hint="eastAsia" w:ascii="宋体" w:hAnsi="宋体" w:eastAsia="宋体" w:cs="宋体"/>
          <w:color w:val="000000"/>
          <w:sz w:val="24"/>
          <w:szCs w:val="24"/>
        </w:rPr>
        <w:t>18.9</w:t>
      </w:r>
      <w:r>
        <w:rPr>
          <w:rFonts w:hint="eastAsia" w:ascii="宋体" w:hAnsi="宋体" w:eastAsia="宋体" w:cs="宋体"/>
          <w:color w:val="000000"/>
          <w:sz w:val="24"/>
          <w:szCs w:val="24"/>
        </w:rPr>
        <w:tab/>
      </w:r>
      <w:r>
        <w:rPr>
          <w:rFonts w:hint="eastAsia" w:ascii="宋体" w:hAnsi="宋体" w:eastAsia="宋体" w:cs="宋体"/>
          <w:color w:val="000000"/>
          <w:sz w:val="24"/>
          <w:szCs w:val="24"/>
        </w:rPr>
        <w:t>中间验收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18.9.1</w:t>
      </w:r>
      <w:r>
        <w:rPr>
          <w:rFonts w:hint="eastAsia" w:ascii="宋体" w:hAnsi="宋体" w:eastAsia="宋体" w:cs="宋体"/>
          <w:color w:val="000000"/>
          <w:sz w:val="24"/>
          <w:szCs w:val="24"/>
        </w:rPr>
        <w:tab/>
      </w:r>
      <w:r>
        <w:rPr>
          <w:rFonts w:hint="eastAsia" w:ascii="宋体" w:hAnsi="宋体" w:eastAsia="宋体" w:cs="宋体"/>
          <w:color w:val="000000"/>
          <w:sz w:val="24"/>
          <w:szCs w:val="24"/>
        </w:rPr>
        <w:t>本工程需要按照合同约定进行中间验收。进行中间验收的部位见合同条款专用部分。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18.9.2</w:t>
      </w:r>
      <w:r>
        <w:rPr>
          <w:rFonts w:hint="eastAsia" w:ascii="宋体" w:hAnsi="宋体" w:eastAsia="宋体" w:cs="宋体"/>
          <w:color w:val="000000"/>
          <w:sz w:val="24"/>
          <w:szCs w:val="24"/>
        </w:rPr>
        <w:tab/>
      </w:r>
      <w:r>
        <w:rPr>
          <w:rFonts w:hint="eastAsia" w:ascii="宋体" w:hAnsi="宋体" w:eastAsia="宋体" w:cs="宋体"/>
          <w:color w:val="000000"/>
          <w:sz w:val="24"/>
          <w:szCs w:val="24"/>
        </w:rPr>
        <w:t>当工程进度达到第18.9.1项约定的中间验收部位时，承包人应当进行自检，并在中间验收前 48 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18.9.3</w:t>
      </w:r>
      <w:r>
        <w:rPr>
          <w:rFonts w:hint="eastAsia" w:ascii="宋体" w:hAnsi="宋体" w:eastAsia="宋体" w:cs="宋体"/>
          <w:color w:val="000000"/>
          <w:sz w:val="24"/>
          <w:szCs w:val="24"/>
        </w:rPr>
        <w:tab/>
      </w:r>
      <w:r>
        <w:rPr>
          <w:rFonts w:hint="eastAsia" w:ascii="宋体" w:hAnsi="宋体" w:eastAsia="宋体" w:cs="宋体"/>
          <w:color w:val="000000"/>
          <w:sz w:val="24"/>
          <w:szCs w:val="24"/>
        </w:rPr>
        <w:t>监理人不能按时进行验收的，应在验收前至少24小时以书面形式向承包人提出延期要求，但延期不能超过48小时。监理人未能按本款约定的时限提出延期要求，又未按期进行验收的，承包人可自行组织验收，监理人必须认同验收记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经监理人验收后工程质量符合约定的验收标准，但验收24小时后监理人仍不在验收记录上签字的，视为监理人已经认可验收记录，承包人可继续施工。</w:t>
      </w:r>
    </w:p>
    <w:p>
      <w:pPr>
        <w:spacing w:line="360" w:lineRule="auto"/>
        <w:rPr>
          <w:rFonts w:hint="eastAsia" w:ascii="宋体" w:hAnsi="宋体" w:eastAsia="宋体" w:cs="宋体"/>
          <w:color w:val="000000"/>
          <w:sz w:val="24"/>
          <w:szCs w:val="24"/>
        </w:rPr>
      </w:pPr>
      <w:bookmarkStart w:id="135" w:name="_bookmark217"/>
      <w:bookmarkEnd w:id="135"/>
      <w:r>
        <w:rPr>
          <w:rFonts w:hint="eastAsia" w:ascii="宋体" w:hAnsi="宋体" w:eastAsia="宋体" w:cs="宋体"/>
          <w:color w:val="000000"/>
          <w:sz w:val="24"/>
          <w:szCs w:val="24"/>
        </w:rPr>
        <w:t>19.缺陷责任与保修责任</w:t>
      </w:r>
    </w:p>
    <w:p>
      <w:pPr>
        <w:spacing w:line="360" w:lineRule="auto"/>
        <w:rPr>
          <w:rFonts w:hint="eastAsia" w:ascii="宋体" w:hAnsi="宋体" w:eastAsia="宋体" w:cs="宋体"/>
          <w:color w:val="000000"/>
          <w:sz w:val="24"/>
          <w:szCs w:val="24"/>
        </w:rPr>
      </w:pPr>
      <w:bookmarkStart w:id="136" w:name="_bookmark218"/>
      <w:bookmarkEnd w:id="136"/>
      <w:r>
        <w:rPr>
          <w:rFonts w:hint="eastAsia" w:ascii="宋体" w:hAnsi="宋体" w:eastAsia="宋体" w:cs="宋体"/>
          <w:color w:val="000000"/>
          <w:sz w:val="24"/>
          <w:szCs w:val="24"/>
        </w:rPr>
        <w:t>19.1</w:t>
      </w:r>
      <w:r>
        <w:rPr>
          <w:rFonts w:hint="eastAsia" w:ascii="宋体" w:hAnsi="宋体" w:eastAsia="宋体" w:cs="宋体"/>
          <w:color w:val="000000"/>
          <w:sz w:val="24"/>
          <w:szCs w:val="24"/>
        </w:rPr>
        <w:tab/>
      </w:r>
      <w:r>
        <w:rPr>
          <w:rFonts w:hint="eastAsia" w:ascii="宋体" w:hAnsi="宋体" w:eastAsia="宋体" w:cs="宋体"/>
          <w:color w:val="000000"/>
          <w:sz w:val="24"/>
          <w:szCs w:val="24"/>
        </w:rPr>
        <w:t>缺陷责任期的起算时间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缺陷责任期自实际竣工日期起计算。在全部工程竣工验收前，已经发包人提前验收的单位工程，其缺陷责任期的起算日期相应提前。</w:t>
      </w:r>
    </w:p>
    <w:p>
      <w:pPr>
        <w:spacing w:line="360" w:lineRule="auto"/>
        <w:rPr>
          <w:rFonts w:hint="eastAsia" w:ascii="宋体" w:hAnsi="宋体" w:eastAsia="宋体" w:cs="宋体"/>
          <w:color w:val="000000"/>
          <w:sz w:val="24"/>
          <w:szCs w:val="24"/>
        </w:rPr>
      </w:pPr>
      <w:bookmarkStart w:id="137" w:name="_bookmark219"/>
      <w:bookmarkEnd w:id="137"/>
      <w:r>
        <w:rPr>
          <w:rFonts w:hint="eastAsia" w:ascii="宋体" w:hAnsi="宋体" w:eastAsia="宋体" w:cs="宋体"/>
          <w:color w:val="000000"/>
          <w:sz w:val="24"/>
          <w:szCs w:val="24"/>
        </w:rPr>
        <w:t>19.2</w:t>
      </w:r>
      <w:r>
        <w:rPr>
          <w:rFonts w:hint="eastAsia" w:ascii="宋体" w:hAnsi="宋体" w:eastAsia="宋体" w:cs="宋体"/>
          <w:color w:val="000000"/>
          <w:sz w:val="24"/>
          <w:szCs w:val="24"/>
        </w:rPr>
        <w:tab/>
      </w:r>
      <w:r>
        <w:rPr>
          <w:rFonts w:hint="eastAsia" w:ascii="宋体" w:hAnsi="宋体" w:eastAsia="宋体" w:cs="宋体"/>
          <w:color w:val="000000"/>
          <w:sz w:val="24"/>
          <w:szCs w:val="24"/>
        </w:rPr>
        <w:t>缺陷责任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19.2.1</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承包人应在缺陷责任期内对已交付使用的工程承担缺陷责任。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19.2.3 监理人和承包人应共同查清缺陷和（或）损坏的原因。经查明属承包人原因造成的，应由承包人承担修复和查验的费用。经查验属发包人原因造成的，发包人应承担修复和查验的费用。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19.2.4</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承包人不能在合理时间内修复缺陷的，发包人可自行修复或委托其他人修复，所需费用和利润的承担，按第19.2.3项约定办理。</w:t>
      </w:r>
    </w:p>
    <w:p>
      <w:pPr>
        <w:spacing w:line="360" w:lineRule="auto"/>
        <w:rPr>
          <w:rFonts w:hint="eastAsia" w:ascii="宋体" w:hAnsi="宋体" w:eastAsia="宋体" w:cs="宋体"/>
          <w:color w:val="000000"/>
          <w:sz w:val="24"/>
          <w:szCs w:val="24"/>
        </w:rPr>
      </w:pPr>
      <w:bookmarkStart w:id="138" w:name="_bookmark220"/>
      <w:bookmarkEnd w:id="138"/>
      <w:r>
        <w:rPr>
          <w:rFonts w:hint="eastAsia" w:ascii="宋体" w:hAnsi="宋体" w:eastAsia="宋体" w:cs="宋体"/>
          <w:color w:val="000000"/>
          <w:sz w:val="24"/>
          <w:szCs w:val="24"/>
        </w:rPr>
        <w:t>19.3</w:t>
      </w:r>
      <w:r>
        <w:rPr>
          <w:rFonts w:hint="eastAsia" w:ascii="宋体" w:hAnsi="宋体" w:eastAsia="宋体" w:cs="宋体"/>
          <w:color w:val="000000"/>
          <w:sz w:val="24"/>
          <w:szCs w:val="24"/>
        </w:rPr>
        <w:tab/>
      </w:r>
      <w:r>
        <w:rPr>
          <w:rFonts w:hint="eastAsia" w:ascii="宋体" w:hAnsi="宋体" w:eastAsia="宋体" w:cs="宋体"/>
          <w:color w:val="000000"/>
          <w:sz w:val="24"/>
          <w:szCs w:val="24"/>
        </w:rPr>
        <w:t>缺陷责任期的延长</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由于承包人原因造成某项缺陷或损坏，使某项工程或工程设备不能按原定目标使用，需要再次检查、检验和修复的，发包人有权要求承包人相应延长缺陷责任期，但缺陷责任期最长不超过2年。</w:t>
      </w:r>
    </w:p>
    <w:p>
      <w:pPr>
        <w:spacing w:line="360" w:lineRule="auto"/>
        <w:rPr>
          <w:rFonts w:hint="eastAsia" w:ascii="宋体" w:hAnsi="宋体" w:eastAsia="宋体" w:cs="宋体"/>
          <w:color w:val="000000"/>
          <w:sz w:val="24"/>
          <w:szCs w:val="24"/>
        </w:rPr>
      </w:pPr>
      <w:bookmarkStart w:id="139" w:name="_bookmark221"/>
      <w:bookmarkEnd w:id="139"/>
      <w:r>
        <w:rPr>
          <w:rFonts w:hint="eastAsia" w:ascii="宋体" w:hAnsi="宋体" w:eastAsia="宋体" w:cs="宋体"/>
          <w:color w:val="000000"/>
          <w:sz w:val="24"/>
          <w:szCs w:val="24"/>
        </w:rPr>
        <w:t>19.4</w:t>
      </w:r>
      <w:r>
        <w:rPr>
          <w:rFonts w:hint="eastAsia" w:ascii="宋体" w:hAnsi="宋体" w:eastAsia="宋体" w:cs="宋体"/>
          <w:color w:val="000000"/>
          <w:sz w:val="24"/>
          <w:szCs w:val="24"/>
        </w:rPr>
        <w:tab/>
      </w:r>
      <w:r>
        <w:rPr>
          <w:rFonts w:hint="eastAsia" w:ascii="宋体" w:hAnsi="宋体" w:eastAsia="宋体" w:cs="宋体"/>
          <w:color w:val="000000"/>
          <w:sz w:val="24"/>
          <w:szCs w:val="24"/>
        </w:rPr>
        <w:t>进一步试验和试运行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任何一项缺陷或损坏修复后，经检查证明其影响了工程或工程设备的使用性能，承包人应重新进行合同约定的试验和试运行，试验和试运行的全部费用应由责任方承担。</w:t>
      </w:r>
    </w:p>
    <w:p>
      <w:pPr>
        <w:spacing w:line="360" w:lineRule="auto"/>
        <w:rPr>
          <w:rFonts w:hint="eastAsia" w:ascii="宋体" w:hAnsi="宋体" w:eastAsia="宋体" w:cs="宋体"/>
          <w:color w:val="000000"/>
          <w:sz w:val="24"/>
          <w:szCs w:val="24"/>
        </w:rPr>
      </w:pPr>
      <w:bookmarkStart w:id="140" w:name="_bookmark222"/>
      <w:bookmarkEnd w:id="140"/>
      <w:r>
        <w:rPr>
          <w:rFonts w:hint="eastAsia" w:ascii="宋体" w:hAnsi="宋体" w:eastAsia="宋体" w:cs="宋体"/>
          <w:color w:val="000000"/>
          <w:sz w:val="24"/>
          <w:szCs w:val="24"/>
        </w:rPr>
        <w:t>19.5</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承包人的进入权</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缺陷责任期内承包人为缺陷修复工作需要，有权进入工程现场，但应遵守发包人的保安和保密规定。</w:t>
      </w:r>
    </w:p>
    <w:p>
      <w:pPr>
        <w:spacing w:line="360" w:lineRule="auto"/>
        <w:rPr>
          <w:rFonts w:hint="eastAsia" w:ascii="宋体" w:hAnsi="宋体" w:eastAsia="宋体" w:cs="宋体"/>
          <w:color w:val="000000"/>
          <w:sz w:val="24"/>
          <w:szCs w:val="24"/>
        </w:rPr>
      </w:pPr>
      <w:bookmarkStart w:id="141" w:name="_bookmark223"/>
      <w:bookmarkEnd w:id="141"/>
      <w:r>
        <w:rPr>
          <w:rFonts w:hint="eastAsia" w:ascii="宋体" w:hAnsi="宋体" w:eastAsia="宋体" w:cs="宋体"/>
          <w:color w:val="000000"/>
          <w:sz w:val="24"/>
          <w:szCs w:val="24"/>
        </w:rPr>
        <w:t>19.6</w:t>
      </w:r>
      <w:r>
        <w:rPr>
          <w:rFonts w:hint="eastAsia" w:ascii="宋体" w:hAnsi="宋体" w:eastAsia="宋体" w:cs="宋体"/>
          <w:color w:val="000000"/>
          <w:sz w:val="24"/>
          <w:szCs w:val="24"/>
        </w:rPr>
        <w:tab/>
      </w:r>
      <w:r>
        <w:rPr>
          <w:rFonts w:hint="eastAsia" w:ascii="宋体" w:hAnsi="宋体" w:eastAsia="宋体" w:cs="宋体"/>
          <w:color w:val="000000"/>
          <w:sz w:val="24"/>
          <w:szCs w:val="24"/>
        </w:rPr>
        <w:t>缺陷责任期终止证书</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在第 1.1.4.5 目约定的缺陷责任期，包括根据第 19.3 款延长的期限终止后14天内，由监理人向承包人出具经发包人签认的缺陷责任期终止证书，并退还剩余的质量保证金或退还保函。</w:t>
      </w:r>
    </w:p>
    <w:p>
      <w:pPr>
        <w:spacing w:line="360" w:lineRule="auto"/>
        <w:rPr>
          <w:rFonts w:hint="eastAsia" w:ascii="宋体" w:hAnsi="宋体" w:eastAsia="宋体" w:cs="宋体"/>
          <w:color w:val="000000"/>
          <w:sz w:val="24"/>
          <w:szCs w:val="24"/>
        </w:rPr>
      </w:pPr>
      <w:bookmarkStart w:id="142" w:name="_bookmark224"/>
      <w:bookmarkEnd w:id="142"/>
      <w:r>
        <w:rPr>
          <w:rFonts w:hint="eastAsia" w:ascii="宋体" w:hAnsi="宋体" w:eastAsia="宋体" w:cs="宋体"/>
          <w:color w:val="000000"/>
          <w:sz w:val="24"/>
          <w:szCs w:val="24"/>
        </w:rPr>
        <w:t>19.7</w:t>
      </w:r>
      <w:r>
        <w:rPr>
          <w:rFonts w:hint="eastAsia" w:ascii="宋体" w:hAnsi="宋体" w:eastAsia="宋体" w:cs="宋体"/>
          <w:color w:val="000000"/>
          <w:sz w:val="24"/>
          <w:szCs w:val="24"/>
        </w:rPr>
        <w:tab/>
      </w:r>
      <w:r>
        <w:rPr>
          <w:rFonts w:hint="eastAsia" w:ascii="宋体" w:hAnsi="宋体" w:eastAsia="宋体" w:cs="宋体"/>
          <w:color w:val="000000"/>
          <w:sz w:val="24"/>
          <w:szCs w:val="24"/>
        </w:rPr>
        <w:t>保修责任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19.7.1 合同当事人根据有关法律法规规定明确工程质量保修范围、期限和责任。保修期自实际竣工日期起计算。在全部工程竣工验收前，已经发包人提前验收的单位工程，其保修期的起算日期相应提前。工程质量保修范围、期限和责任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19.7.2 质量保修书是竣工验收申请报告的组成内容。承包人应当按照有关法律法规规定和合同所附的格式出具质量保修书，质量保修书的主要内容应当与本款上述约定内容一致。承包人在递交合同条款第 18.2 款约定的竣工验收报告的同时，将质量保修书一并报送监理人。</w:t>
      </w:r>
    </w:p>
    <w:p>
      <w:pPr>
        <w:spacing w:line="360" w:lineRule="auto"/>
        <w:rPr>
          <w:rFonts w:hint="eastAsia" w:ascii="宋体" w:hAnsi="宋体" w:eastAsia="宋体" w:cs="宋体"/>
          <w:color w:val="000000"/>
          <w:sz w:val="24"/>
          <w:szCs w:val="24"/>
        </w:rPr>
      </w:pPr>
      <w:bookmarkStart w:id="143" w:name="_bookmark225"/>
      <w:bookmarkEnd w:id="143"/>
      <w:r>
        <w:rPr>
          <w:rFonts w:hint="eastAsia" w:ascii="宋体" w:hAnsi="宋体" w:eastAsia="宋体" w:cs="宋体"/>
          <w:color w:val="000000"/>
          <w:sz w:val="24"/>
          <w:szCs w:val="24"/>
        </w:rPr>
        <w:t>20.保险</w:t>
      </w:r>
    </w:p>
    <w:p>
      <w:pPr>
        <w:spacing w:line="360" w:lineRule="auto"/>
        <w:rPr>
          <w:rFonts w:hint="eastAsia" w:ascii="宋体" w:hAnsi="宋体" w:eastAsia="宋体" w:cs="宋体"/>
          <w:color w:val="000000"/>
          <w:sz w:val="24"/>
          <w:szCs w:val="24"/>
        </w:rPr>
      </w:pPr>
      <w:bookmarkStart w:id="144" w:name="_bookmark226"/>
      <w:bookmarkEnd w:id="144"/>
      <w:r>
        <w:rPr>
          <w:rFonts w:hint="eastAsia" w:ascii="宋体" w:hAnsi="宋体" w:eastAsia="宋体" w:cs="宋体"/>
          <w:color w:val="000000"/>
          <w:sz w:val="24"/>
          <w:szCs w:val="24"/>
        </w:rPr>
        <w:t>20.1</w:t>
      </w:r>
      <w:r>
        <w:rPr>
          <w:rFonts w:hint="eastAsia" w:ascii="宋体" w:hAnsi="宋体" w:eastAsia="宋体" w:cs="宋体"/>
          <w:color w:val="000000"/>
          <w:sz w:val="24"/>
          <w:szCs w:val="24"/>
        </w:rPr>
        <w:tab/>
      </w:r>
      <w:r>
        <w:rPr>
          <w:rFonts w:hint="eastAsia" w:ascii="宋体" w:hAnsi="宋体" w:eastAsia="宋体" w:cs="宋体"/>
          <w:color w:val="000000"/>
          <w:sz w:val="24"/>
          <w:szCs w:val="24"/>
        </w:rPr>
        <w:t>工程保险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承包人应以发包人和承包人的共同名义向双方同意的保险人投保建筑工程一切险、安装工程一切险。其具体的投保内容、保险金额、保险费率、保险期限等有关内容见合同条款专用部分。</w:t>
      </w:r>
    </w:p>
    <w:p>
      <w:pPr>
        <w:spacing w:line="360" w:lineRule="auto"/>
        <w:rPr>
          <w:rFonts w:hint="eastAsia" w:ascii="宋体" w:hAnsi="宋体" w:eastAsia="宋体" w:cs="宋体"/>
          <w:color w:val="000000"/>
          <w:sz w:val="24"/>
          <w:szCs w:val="24"/>
        </w:rPr>
      </w:pPr>
      <w:bookmarkStart w:id="145" w:name="_bookmark227"/>
      <w:bookmarkEnd w:id="145"/>
      <w:r>
        <w:rPr>
          <w:rFonts w:hint="eastAsia" w:ascii="宋体" w:hAnsi="宋体" w:eastAsia="宋体" w:cs="宋体"/>
          <w:color w:val="000000"/>
          <w:sz w:val="24"/>
          <w:szCs w:val="24"/>
        </w:rPr>
        <w:t>20.2</w:t>
      </w:r>
      <w:r>
        <w:rPr>
          <w:rFonts w:hint="eastAsia" w:ascii="宋体" w:hAnsi="宋体" w:eastAsia="宋体" w:cs="宋体"/>
          <w:color w:val="000000"/>
          <w:sz w:val="24"/>
          <w:szCs w:val="24"/>
        </w:rPr>
        <w:tab/>
      </w:r>
      <w:r>
        <w:rPr>
          <w:rFonts w:hint="eastAsia" w:ascii="宋体" w:hAnsi="宋体" w:eastAsia="宋体" w:cs="宋体"/>
          <w:color w:val="000000"/>
          <w:sz w:val="24"/>
          <w:szCs w:val="24"/>
        </w:rPr>
        <w:t>人员工伤事故的保险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20.2.1</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承包人员工伤事故的保险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（2）承包人工伤事故保险期限自合同工程开工之日起至合同终止之日止。</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20.2.2</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发包人员工伤事故的保险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发包人应依照有关法律法规规定参加工伤保险，为其现场机构雇佣的全部人员，缴纳工伤保险费，并要求其监理人也进行此项保险。</w:t>
      </w:r>
    </w:p>
    <w:p>
      <w:pPr>
        <w:spacing w:line="360" w:lineRule="auto"/>
        <w:rPr>
          <w:rFonts w:hint="eastAsia" w:ascii="宋体" w:hAnsi="宋体" w:eastAsia="宋体" w:cs="宋体"/>
          <w:color w:val="000000"/>
          <w:sz w:val="24"/>
          <w:szCs w:val="24"/>
        </w:rPr>
      </w:pPr>
      <w:bookmarkStart w:id="146" w:name="_bookmark228"/>
      <w:bookmarkEnd w:id="146"/>
      <w:r>
        <w:rPr>
          <w:rFonts w:hint="eastAsia" w:ascii="宋体" w:hAnsi="宋体" w:eastAsia="宋体" w:cs="宋体"/>
          <w:color w:val="000000"/>
          <w:sz w:val="24"/>
          <w:szCs w:val="24"/>
        </w:rPr>
        <w:t>20.3</w:t>
      </w:r>
      <w:r>
        <w:rPr>
          <w:rFonts w:hint="eastAsia" w:ascii="宋体" w:hAnsi="宋体" w:eastAsia="宋体" w:cs="宋体"/>
          <w:color w:val="000000"/>
          <w:sz w:val="24"/>
          <w:szCs w:val="24"/>
        </w:rPr>
        <w:tab/>
      </w:r>
      <w:r>
        <w:rPr>
          <w:rFonts w:hint="eastAsia" w:ascii="宋体" w:hAnsi="宋体" w:eastAsia="宋体" w:cs="宋体"/>
          <w:color w:val="000000"/>
          <w:sz w:val="24"/>
          <w:szCs w:val="24"/>
        </w:rPr>
        <w:t>人身意外伤害险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20.3.1 发包人应在整个施工期间为其现场机构雇用的全部人员，投保人身意外伤害险，缴纳保险费，并要求其监理人也进行此项保险。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20.3.2 承包人应在整个施工期间为其现场机构雇用的全部人员，投保人身意外伤害险，缴纳保险费，并要求其分包人也进行此项保险。</w:t>
      </w:r>
    </w:p>
    <w:p>
      <w:pPr>
        <w:spacing w:line="360" w:lineRule="auto"/>
        <w:rPr>
          <w:rFonts w:hint="eastAsia" w:ascii="宋体" w:hAnsi="宋体" w:eastAsia="宋体" w:cs="宋体"/>
          <w:color w:val="000000"/>
          <w:sz w:val="24"/>
          <w:szCs w:val="24"/>
        </w:rPr>
      </w:pPr>
      <w:bookmarkStart w:id="147" w:name="_bookmark229"/>
      <w:bookmarkEnd w:id="147"/>
      <w:r>
        <w:rPr>
          <w:rFonts w:hint="eastAsia" w:ascii="宋体" w:hAnsi="宋体" w:eastAsia="宋体" w:cs="宋体"/>
          <w:color w:val="000000"/>
          <w:sz w:val="24"/>
          <w:szCs w:val="24"/>
        </w:rPr>
        <w:t>20.4</w:t>
      </w:r>
      <w:r>
        <w:rPr>
          <w:rFonts w:hint="eastAsia" w:ascii="宋体" w:hAnsi="宋体" w:eastAsia="宋体" w:cs="宋体"/>
          <w:color w:val="000000"/>
          <w:sz w:val="24"/>
          <w:szCs w:val="24"/>
        </w:rPr>
        <w:tab/>
      </w:r>
      <w:r>
        <w:rPr>
          <w:rFonts w:hint="eastAsia" w:ascii="宋体" w:hAnsi="宋体" w:eastAsia="宋体" w:cs="宋体"/>
          <w:color w:val="000000"/>
          <w:sz w:val="24"/>
          <w:szCs w:val="24"/>
        </w:rPr>
        <w:t>第三者责任险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20.4.1 第三者责任系指在保险期内，对因工程意外事故造成的、依法应由被保险人负 责的工地上及毗邻地区的第三者人身伤亡、疾病或财产损失（本工程除外），以及被保险人 因此而支付的诉讼费用和事先经保险人书面同意支付的其他费用等赔偿责任。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20.4.2</w:t>
      </w:r>
      <w:r>
        <w:rPr>
          <w:rFonts w:hint="eastAsia" w:ascii="宋体" w:hAnsi="宋体" w:eastAsia="宋体" w:cs="宋体"/>
          <w:color w:val="000000"/>
          <w:sz w:val="24"/>
          <w:szCs w:val="24"/>
        </w:rPr>
        <w:tab/>
      </w:r>
      <w:r>
        <w:rPr>
          <w:rFonts w:hint="eastAsia" w:ascii="宋体" w:hAnsi="宋体" w:eastAsia="宋体" w:cs="宋体"/>
          <w:color w:val="000000"/>
          <w:sz w:val="24"/>
          <w:szCs w:val="24"/>
        </w:rPr>
        <w:t>在缺陷责任期终止证书颁发前，承包人应以承包人和发包人的共同名义，投保第20.4.1项约定的第三者责任险，其保险费率、保险金额、保险费承担人等有关内容见合同条款专用部分。</w:t>
      </w:r>
    </w:p>
    <w:p>
      <w:pPr>
        <w:spacing w:line="360" w:lineRule="auto"/>
        <w:rPr>
          <w:rFonts w:hint="eastAsia" w:ascii="宋体" w:hAnsi="宋体" w:eastAsia="宋体" w:cs="宋体"/>
          <w:color w:val="000000"/>
          <w:sz w:val="24"/>
          <w:szCs w:val="24"/>
        </w:rPr>
      </w:pPr>
      <w:bookmarkStart w:id="148" w:name="_bookmark230"/>
      <w:bookmarkEnd w:id="148"/>
      <w:r>
        <w:rPr>
          <w:rFonts w:hint="eastAsia" w:ascii="宋体" w:hAnsi="宋体" w:eastAsia="宋体" w:cs="宋体"/>
          <w:color w:val="000000"/>
          <w:sz w:val="24"/>
          <w:szCs w:val="24"/>
        </w:rPr>
        <w:t>20.5</w:t>
      </w:r>
      <w:r>
        <w:rPr>
          <w:rFonts w:hint="eastAsia" w:ascii="宋体" w:hAnsi="宋体" w:eastAsia="宋体" w:cs="宋体"/>
          <w:color w:val="000000"/>
          <w:sz w:val="24"/>
          <w:szCs w:val="24"/>
        </w:rPr>
        <w:tab/>
      </w:r>
      <w:r>
        <w:rPr>
          <w:rFonts w:hint="eastAsia" w:ascii="宋体" w:hAnsi="宋体" w:eastAsia="宋体" w:cs="宋体"/>
          <w:color w:val="000000"/>
          <w:sz w:val="24"/>
          <w:szCs w:val="24"/>
        </w:rPr>
        <w:t>其他保险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承包人应为其施工设备、进场的材料和工程设备等办理保险。办理保险的险种见合同条款专用部分。</w:t>
      </w:r>
    </w:p>
    <w:p>
      <w:pPr>
        <w:spacing w:line="360" w:lineRule="auto"/>
        <w:rPr>
          <w:rFonts w:hint="eastAsia" w:ascii="宋体" w:hAnsi="宋体" w:eastAsia="宋体" w:cs="宋体"/>
          <w:color w:val="000000"/>
          <w:sz w:val="24"/>
          <w:szCs w:val="24"/>
        </w:rPr>
      </w:pPr>
      <w:bookmarkStart w:id="149" w:name="_bookmark231"/>
      <w:bookmarkEnd w:id="149"/>
      <w:r>
        <w:rPr>
          <w:rFonts w:hint="eastAsia" w:ascii="宋体" w:hAnsi="宋体" w:eastAsia="宋体" w:cs="宋体"/>
          <w:color w:val="000000"/>
          <w:sz w:val="24"/>
          <w:szCs w:val="24"/>
        </w:rPr>
        <w:t>20.6</w:t>
      </w:r>
      <w:r>
        <w:rPr>
          <w:rFonts w:hint="eastAsia" w:ascii="宋体" w:hAnsi="宋体" w:eastAsia="宋体" w:cs="宋体"/>
          <w:color w:val="000000"/>
          <w:sz w:val="24"/>
          <w:szCs w:val="24"/>
        </w:rPr>
        <w:tab/>
      </w:r>
      <w:r>
        <w:rPr>
          <w:rFonts w:hint="eastAsia" w:ascii="宋体" w:hAnsi="宋体" w:eastAsia="宋体" w:cs="宋体"/>
          <w:color w:val="000000"/>
          <w:sz w:val="24"/>
          <w:szCs w:val="24"/>
        </w:rPr>
        <w:t>对各项保险的一般要求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20.6.1</w:t>
      </w:r>
      <w:r>
        <w:rPr>
          <w:rFonts w:hint="eastAsia" w:ascii="宋体" w:hAnsi="宋体" w:eastAsia="宋体" w:cs="宋体"/>
          <w:color w:val="000000"/>
          <w:sz w:val="24"/>
          <w:szCs w:val="24"/>
        </w:rPr>
        <w:tab/>
      </w:r>
      <w:r>
        <w:rPr>
          <w:rFonts w:hint="eastAsia" w:ascii="宋体" w:hAnsi="宋体" w:eastAsia="宋体" w:cs="宋体"/>
          <w:color w:val="000000"/>
          <w:sz w:val="24"/>
          <w:szCs w:val="24"/>
        </w:rPr>
        <w:t>保险凭证 承包人应在合同约定的期限内向发包人提交各项保险生效的证据和保险单副本，保险单必须与合同约定的条件保持一致。各项保险生效的证据和保险单副本的期限见合同条款专用部分。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20.6.2</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保险合同条款的变动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承包人需要变动保险合同条款时，应事先征得发包人同意，并通知监理人。保险人作出变动的，承包人应在收到保险人通知后立即通知发包人和监理人。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20.6.3</w:t>
      </w:r>
      <w:r>
        <w:rPr>
          <w:rFonts w:hint="eastAsia" w:ascii="宋体" w:hAnsi="宋体" w:eastAsia="宋体" w:cs="宋体"/>
          <w:color w:val="000000"/>
          <w:sz w:val="24"/>
          <w:szCs w:val="24"/>
        </w:rPr>
        <w:tab/>
      </w:r>
      <w:r>
        <w:rPr>
          <w:rFonts w:hint="eastAsia" w:ascii="宋体" w:hAnsi="宋体" w:eastAsia="宋体" w:cs="宋体"/>
          <w:color w:val="000000"/>
          <w:sz w:val="24"/>
          <w:szCs w:val="24"/>
        </w:rPr>
        <w:t>持续保险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承包人应与保险人保持联系，使保险人能够随时了解工程实施中的变动，并确保按保险合同条款要求持续保险。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20.6.4</w:t>
      </w:r>
      <w:r>
        <w:rPr>
          <w:rFonts w:hint="eastAsia" w:ascii="宋体" w:hAnsi="宋体" w:eastAsia="宋体" w:cs="宋体"/>
          <w:color w:val="000000"/>
          <w:sz w:val="24"/>
          <w:szCs w:val="24"/>
        </w:rPr>
        <w:tab/>
      </w:r>
      <w:r>
        <w:rPr>
          <w:rFonts w:hint="eastAsia" w:ascii="宋体" w:hAnsi="宋体" w:eastAsia="宋体" w:cs="宋体"/>
          <w:color w:val="000000"/>
          <w:sz w:val="24"/>
          <w:szCs w:val="24"/>
        </w:rPr>
        <w:t>保险金不足的补偿</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保险金不足以补偿损失的，应由承包人和（或）发包人按合同约定负责补偿。保险金不足的补偿原则见合同条款专用部分。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20.6.5</w:t>
      </w:r>
      <w:r>
        <w:rPr>
          <w:rFonts w:hint="eastAsia" w:ascii="宋体" w:hAnsi="宋体" w:eastAsia="宋体" w:cs="宋体"/>
          <w:color w:val="000000"/>
          <w:sz w:val="24"/>
          <w:szCs w:val="24"/>
        </w:rPr>
        <w:tab/>
      </w:r>
      <w:r>
        <w:rPr>
          <w:rFonts w:hint="eastAsia" w:ascii="宋体" w:hAnsi="宋体" w:eastAsia="宋体" w:cs="宋体"/>
          <w:color w:val="000000"/>
          <w:sz w:val="24"/>
          <w:szCs w:val="24"/>
        </w:rPr>
        <w:t>未按约定投保的补救</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（1）由于负有投保义务的一方当事人未按合同约定办理保险，或未能使保险持续有效的，另一方当事人可代为办理，所需费用由对方当事人承担。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（2）由于负有投保义务的一方当事人未按合同约定办理某项保险，导致受益人未能得到保险人的赔偿，原应从该项保险得到的保险金应由负有投保义务的一方当事人支付。</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20.6.6</w:t>
      </w:r>
      <w:r>
        <w:rPr>
          <w:rFonts w:hint="eastAsia" w:ascii="宋体" w:hAnsi="宋体" w:eastAsia="宋体" w:cs="宋体"/>
          <w:color w:val="000000"/>
          <w:sz w:val="24"/>
          <w:szCs w:val="24"/>
        </w:rPr>
        <w:tab/>
      </w:r>
      <w:r>
        <w:rPr>
          <w:rFonts w:hint="eastAsia" w:ascii="宋体" w:hAnsi="宋体" w:eastAsia="宋体" w:cs="宋体"/>
          <w:color w:val="000000"/>
          <w:sz w:val="24"/>
          <w:szCs w:val="24"/>
        </w:rPr>
        <w:t>报告义务</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当保险事故发生时，投保人应按照保险单规定的条件和期限及时向保险人报告。</w:t>
      </w:r>
    </w:p>
    <w:p>
      <w:pPr>
        <w:spacing w:line="360" w:lineRule="auto"/>
        <w:rPr>
          <w:rFonts w:hint="eastAsia" w:ascii="宋体" w:hAnsi="宋体" w:eastAsia="宋体" w:cs="宋体"/>
          <w:color w:val="000000"/>
          <w:sz w:val="24"/>
          <w:szCs w:val="24"/>
        </w:rPr>
      </w:pPr>
      <w:bookmarkStart w:id="150" w:name="_bookmark232"/>
      <w:bookmarkEnd w:id="150"/>
      <w:r>
        <w:rPr>
          <w:rFonts w:hint="eastAsia" w:ascii="宋体" w:hAnsi="宋体" w:eastAsia="宋体" w:cs="宋体"/>
          <w:color w:val="000000"/>
          <w:sz w:val="24"/>
          <w:szCs w:val="24"/>
        </w:rPr>
        <w:t>21.不可抗力</w:t>
      </w:r>
    </w:p>
    <w:p>
      <w:pPr>
        <w:spacing w:line="360" w:lineRule="auto"/>
        <w:rPr>
          <w:rFonts w:hint="eastAsia" w:ascii="宋体" w:hAnsi="宋体" w:eastAsia="宋体" w:cs="宋体"/>
          <w:color w:val="000000"/>
          <w:sz w:val="24"/>
          <w:szCs w:val="24"/>
        </w:rPr>
      </w:pPr>
      <w:bookmarkStart w:id="151" w:name="_bookmark233"/>
      <w:bookmarkEnd w:id="151"/>
      <w:r>
        <w:rPr>
          <w:rFonts w:hint="eastAsia" w:ascii="宋体" w:hAnsi="宋体" w:eastAsia="宋体" w:cs="宋体"/>
          <w:color w:val="000000"/>
          <w:sz w:val="24"/>
          <w:szCs w:val="24"/>
        </w:rPr>
        <w:t>21.1</w:t>
      </w:r>
      <w:r>
        <w:rPr>
          <w:rFonts w:hint="eastAsia" w:ascii="宋体" w:hAnsi="宋体" w:eastAsia="宋体" w:cs="宋体"/>
          <w:color w:val="000000"/>
          <w:sz w:val="24"/>
          <w:szCs w:val="24"/>
        </w:rPr>
        <w:tab/>
      </w:r>
      <w:r>
        <w:rPr>
          <w:rFonts w:hint="eastAsia" w:ascii="宋体" w:hAnsi="宋体" w:eastAsia="宋体" w:cs="宋体"/>
          <w:color w:val="000000"/>
          <w:sz w:val="24"/>
          <w:szCs w:val="24"/>
        </w:rPr>
        <w:t>不可抗力的确认</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21.1.1 不可抗力是指承包人和发包人在订立合同时不可预见，在工程施工过程中不可避免发生并不能克服的自然灾害和社会性突发事件，如地震、海啸、瘟疫、水灾、骚乱、暴动、战争和合同约定的其他情形。其他情形见合同条款专用部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21.1.2 不可抗力发生后，发包人和承包人应及时认真统计所造成的损失，收集不可抗力造成损失的证据。合同双方对是否属于不可抗力或其损失的意见不一致的，由监理人按第3.5 款商定或确定。发生争议时，按第 24 条的约定办理。</w:t>
      </w:r>
    </w:p>
    <w:p>
      <w:pPr>
        <w:spacing w:line="360" w:lineRule="auto"/>
        <w:rPr>
          <w:rFonts w:hint="eastAsia" w:ascii="宋体" w:hAnsi="宋体" w:eastAsia="宋体" w:cs="宋体"/>
          <w:color w:val="000000"/>
          <w:sz w:val="24"/>
          <w:szCs w:val="24"/>
        </w:rPr>
      </w:pPr>
      <w:bookmarkStart w:id="152" w:name="_bookmark234"/>
      <w:bookmarkEnd w:id="152"/>
      <w:r>
        <w:rPr>
          <w:rFonts w:hint="eastAsia" w:ascii="宋体" w:hAnsi="宋体" w:eastAsia="宋体" w:cs="宋体"/>
          <w:color w:val="000000"/>
          <w:sz w:val="24"/>
          <w:szCs w:val="24"/>
        </w:rPr>
        <w:t>21.2</w:t>
      </w:r>
      <w:r>
        <w:rPr>
          <w:rFonts w:hint="eastAsia" w:ascii="宋体" w:hAnsi="宋体" w:eastAsia="宋体" w:cs="宋体"/>
          <w:color w:val="000000"/>
          <w:sz w:val="24"/>
          <w:szCs w:val="24"/>
        </w:rPr>
        <w:tab/>
      </w:r>
      <w:r>
        <w:rPr>
          <w:rFonts w:hint="eastAsia" w:ascii="宋体" w:hAnsi="宋体" w:eastAsia="宋体" w:cs="宋体"/>
          <w:color w:val="000000"/>
          <w:sz w:val="24"/>
          <w:szCs w:val="24"/>
        </w:rPr>
        <w:t>不可抗力的通知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21.2.1</w:t>
      </w:r>
      <w:r>
        <w:rPr>
          <w:rFonts w:hint="eastAsia" w:ascii="宋体" w:hAnsi="宋体" w:eastAsia="宋体" w:cs="宋体"/>
          <w:color w:val="000000"/>
          <w:sz w:val="24"/>
          <w:szCs w:val="24"/>
        </w:rPr>
        <w:tab/>
      </w:r>
      <w:r>
        <w:rPr>
          <w:rFonts w:hint="eastAsia" w:ascii="宋体" w:hAnsi="宋体" w:eastAsia="宋体" w:cs="宋体"/>
          <w:color w:val="000000"/>
          <w:sz w:val="24"/>
          <w:szCs w:val="24"/>
        </w:rPr>
        <w:t>合同一方当事人遇到不可抗力事件，使其履行合同义务受到阻碍时，应立即通知合同另一方当事人和监理人，书面说明不可抗力和受阻碍的详细情况，并提供必要的证明。</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21.2.2</w:t>
      </w:r>
      <w:r>
        <w:rPr>
          <w:rFonts w:hint="eastAsia" w:ascii="宋体" w:hAnsi="宋体" w:eastAsia="宋体" w:cs="宋体"/>
          <w:color w:val="000000"/>
          <w:sz w:val="24"/>
          <w:szCs w:val="24"/>
        </w:rPr>
        <w:tab/>
      </w:r>
      <w:r>
        <w:rPr>
          <w:rFonts w:hint="eastAsia" w:ascii="宋体" w:hAnsi="宋体" w:eastAsia="宋体" w:cs="宋体"/>
          <w:color w:val="000000"/>
          <w:sz w:val="24"/>
          <w:szCs w:val="24"/>
        </w:rPr>
        <w:t>如不可抗力持续发生，合同一方当事人应及时向合同另一方当事人和监理人提交中间报告，说明不可抗力和履行合同受阻的情况，并于不可抗力事件结束后 28 天内提交最终报告及有关资料。</w:t>
      </w:r>
    </w:p>
    <w:p>
      <w:pPr>
        <w:spacing w:line="360" w:lineRule="auto"/>
        <w:rPr>
          <w:rFonts w:hint="eastAsia" w:ascii="宋体" w:hAnsi="宋体" w:eastAsia="宋体" w:cs="宋体"/>
          <w:color w:val="000000"/>
          <w:sz w:val="24"/>
          <w:szCs w:val="24"/>
        </w:rPr>
      </w:pPr>
      <w:bookmarkStart w:id="153" w:name="_bookmark235"/>
      <w:bookmarkEnd w:id="153"/>
      <w:r>
        <w:rPr>
          <w:rFonts w:hint="eastAsia" w:ascii="宋体" w:hAnsi="宋体" w:eastAsia="宋体" w:cs="宋体"/>
          <w:color w:val="000000"/>
          <w:sz w:val="24"/>
          <w:szCs w:val="24"/>
        </w:rPr>
        <w:t>21.3 不可抗力后果及其处理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21.3.1</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不可抗力造成损害的责任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不可抗力导致的人员伤亡、财产损失、费用增加和（或）工期延误等后果，由合同双方按以下原则承担：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（1）永久工程，包括已运至施工场地的材料和工程设备的损害，以及因工程损害造成的第三者人员伤亡和财产损失由发包人承担；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（2）承包人设备的损坏由承包人承担；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（3）发包人和承包人各自承担其人员伤亡和其他财产损失及其相关费用；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（4）承包人的停工损失由承包人承担，但停工期间应监理人要求照管工程和清理、修复工程的金额由发包人承担；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（5）不能按期竣工的，应合理延长工期，承包人不需支付逾期竣工违约金。发包人要求赶工的，承包人应采取赶工措施，赶工费用由发包人承担。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21.3.2</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延迟履行期间发生的不可抗力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合同一方当事人延迟履行，在延迟履行期间发生不可抗力的，不免除其责任。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21.3.3</w:t>
      </w:r>
      <w:r>
        <w:rPr>
          <w:rFonts w:hint="eastAsia" w:ascii="宋体" w:hAnsi="宋体" w:eastAsia="宋体" w:cs="宋体"/>
          <w:color w:val="000000"/>
          <w:sz w:val="24"/>
          <w:szCs w:val="24"/>
        </w:rPr>
        <w:tab/>
      </w:r>
      <w:r>
        <w:rPr>
          <w:rFonts w:hint="eastAsia" w:ascii="宋体" w:hAnsi="宋体" w:eastAsia="宋体" w:cs="宋体"/>
          <w:color w:val="000000"/>
          <w:sz w:val="24"/>
          <w:szCs w:val="24"/>
        </w:rPr>
        <w:t>避免和减少不可抗力损失</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不可抗力发生后，发包人和承包人均应采取措施尽量避免和减少损失的扩大，任何一方没有采取有效措施导致损失扩大的，应对扩大的损失承担责任。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21.3.4</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因不可抗力解除合同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合同一方当事人因不可抗力不能履行合同的，应当及时通知对方解除合同。合同解除后，承包人应按照第 22.2.5 项约定撤离施工场地。已经订货的材料、设备由订货方负责退货或 解除订货合同，不能退还的货款和因退货、解除订货合同发生的费用，由发包人承担，因未 及时退货造成的损失由责任方承担。合同解除后的付款，参照第 22.2.4 项约定，由监理人按第 3.5 款商定或确定。</w:t>
      </w:r>
    </w:p>
    <w:p>
      <w:pPr>
        <w:spacing w:line="360" w:lineRule="auto"/>
        <w:rPr>
          <w:rFonts w:hint="eastAsia" w:ascii="宋体" w:hAnsi="宋体" w:eastAsia="宋体" w:cs="宋体"/>
          <w:color w:val="000000"/>
          <w:sz w:val="24"/>
          <w:szCs w:val="24"/>
        </w:rPr>
      </w:pPr>
      <w:bookmarkStart w:id="154" w:name="_bookmark236"/>
      <w:bookmarkEnd w:id="154"/>
      <w:r>
        <w:rPr>
          <w:rFonts w:hint="eastAsia" w:ascii="宋体" w:hAnsi="宋体" w:eastAsia="宋体" w:cs="宋体"/>
          <w:color w:val="000000"/>
          <w:sz w:val="24"/>
          <w:szCs w:val="24"/>
        </w:rPr>
        <w:t>22.违约</w:t>
      </w:r>
    </w:p>
    <w:p>
      <w:pPr>
        <w:spacing w:line="360" w:lineRule="auto"/>
        <w:rPr>
          <w:rFonts w:hint="eastAsia" w:ascii="宋体" w:hAnsi="宋体" w:eastAsia="宋体" w:cs="宋体"/>
          <w:color w:val="000000"/>
          <w:sz w:val="24"/>
          <w:szCs w:val="24"/>
        </w:rPr>
      </w:pPr>
      <w:bookmarkStart w:id="155" w:name="_bookmark237"/>
      <w:bookmarkEnd w:id="155"/>
      <w:r>
        <w:rPr>
          <w:rFonts w:hint="eastAsia" w:ascii="宋体" w:hAnsi="宋体" w:eastAsia="宋体" w:cs="宋体"/>
          <w:color w:val="000000"/>
          <w:sz w:val="24"/>
          <w:szCs w:val="24"/>
        </w:rPr>
        <w:t>22.1 承包人违约</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22.1.1</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承包人违约的情形</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在履行合同过程中发生的下列情况属承包人违约：</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（1）承包人违反第 1.8 款或第 4.3 款的约定，私自将合同的全部或部分权利转让给其他人，或私自将合同的全部或部分义务转移给其他人；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（2）承包人违反第 5.3 款或第 6.4 款的约定，未经监理人批准，私自将已按合同约定进入施工场地的施工设备、临时设施或材料撤离施工场地；</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（3）承包人违反第 5.4 款的约定使用了不合格材料或工程设备，工程质量达不到标准要求，又拒绝清除不合格工程；</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（4）承包人未能按合同进度计划及时完成合同约定的工作，已造成或预期造成工期延误；</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（5）承包人在缺陷责任期内，未能对工程接收证书所列的缺陷清单的内容或缺陷责任期内发生的缺陷进行修复，而又拒绝按监理人指示再进行修补；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（6）承包人无法继续履行或明确表示不履行或实质上已停止履行合同；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（7）承包人不按合同约定履行义务的其他情况。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22.1.2</w:t>
      </w:r>
      <w:r>
        <w:rPr>
          <w:rFonts w:hint="eastAsia" w:ascii="宋体" w:hAnsi="宋体" w:eastAsia="宋体" w:cs="宋体"/>
          <w:color w:val="000000"/>
          <w:sz w:val="24"/>
          <w:szCs w:val="24"/>
        </w:rPr>
        <w:tab/>
      </w:r>
      <w:r>
        <w:rPr>
          <w:rFonts w:hint="eastAsia" w:ascii="宋体" w:hAnsi="宋体" w:eastAsia="宋体" w:cs="宋体"/>
          <w:color w:val="000000"/>
          <w:sz w:val="24"/>
          <w:szCs w:val="24"/>
        </w:rPr>
        <w:t>对承包人违约的处理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（1）承包人发生第 22.1.1（6）目约定的违约情况时，发包人可通知承包人立即解除合同，并按有关法律处理。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（2）承包人发生除第 22.1.1（6）目约定以外的其他违约情况时，监理人可向承包人发出整改通知，要求其在指定的期限内改正。承包人应承担其违约所引起的费用增加和（或）工期延误。</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（3）经检查证明承包人已采取了有效措施纠正违约行为，具备复工条件的，可由监理人签发复工通知复工。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22.1.3</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承包人违约解除合同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监理人发出整改通知 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22.1.4</w:t>
      </w:r>
      <w:r>
        <w:rPr>
          <w:rFonts w:hint="eastAsia" w:ascii="宋体" w:hAnsi="宋体" w:eastAsia="宋体" w:cs="宋体"/>
          <w:color w:val="000000"/>
          <w:sz w:val="24"/>
          <w:szCs w:val="24"/>
        </w:rPr>
        <w:tab/>
      </w:r>
      <w:r>
        <w:rPr>
          <w:rFonts w:hint="eastAsia" w:ascii="宋体" w:hAnsi="宋体" w:eastAsia="宋体" w:cs="宋体"/>
          <w:color w:val="000000"/>
          <w:sz w:val="24"/>
          <w:szCs w:val="24"/>
        </w:rPr>
        <w:t>合同解除后的估价、付款和结清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（1）合同解除后，监理人按第 3.5 款商定或确定承包人实际完成工作的价值，以及承包人已提供的材料、施工设备、工程设备和临时工程等的价值。</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（2）合同解除后，发包人应暂停对承包人的一切付款，查清各项付款和已扣款金额， 包括承包人应支付的违约金。</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（3）合同解除后，发包人应按第 23.4 款的约定向承包人索赔由于解除合同给发包人造成的损失。</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（4）合同双方确认上述往来款项后，出具最终结清付款证书，结清全部合同款项。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（5）发包人和承包人未能就解除合同后的结清达成一致而形成争议的，按第 24 条的约定办理。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22.1.5</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协议利益的转让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因承包人违约解除合同的，发包人有权要求承包人将其为实施合同而签订的材料和设备的订货协议或任何服务协议利益转让给发包人，并在解除合同后的 14 天内，依法办理转让 手续。</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22.1.6</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紧急情况下无能力或不愿进行抢救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spacing w:line="360" w:lineRule="auto"/>
        <w:rPr>
          <w:rFonts w:hint="eastAsia" w:ascii="宋体" w:hAnsi="宋体" w:eastAsia="宋体" w:cs="宋体"/>
          <w:color w:val="000000"/>
          <w:sz w:val="24"/>
          <w:szCs w:val="24"/>
        </w:rPr>
      </w:pPr>
      <w:bookmarkStart w:id="156" w:name="_bookmark238"/>
      <w:bookmarkEnd w:id="156"/>
      <w:r>
        <w:rPr>
          <w:rFonts w:hint="eastAsia" w:ascii="宋体" w:hAnsi="宋体" w:eastAsia="宋体" w:cs="宋体"/>
          <w:color w:val="000000"/>
          <w:sz w:val="24"/>
          <w:szCs w:val="24"/>
        </w:rPr>
        <w:t>22.2</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发包人违约</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22.2.1</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发包人违约的情形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在履行合同过程中发生的下列情形，属发包人违约：</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（1）发包人未能按合同约定支付预付款或合同价款，或拖延、拒绝批准付款申请和支付凭证，导致付款延误的；</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（2）发包人原因造成停工的；</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（3）监理人无正当理由没有在约定期限内发出复工指示，导致承包人无法复工的；</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（4）发包人无法继续履行或明确表示不履行或实质上已停止履行合同的；</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（5）发包人不履行合同约定其他义务的。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22.2.2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承包人有权暂停施工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发包人发生除第 22.2.1（4）目以外的违约情况时，承包人可向发包人发出通知，要求发包人采取有效措施纠正违约行为。发包人收到承包人通知后的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22.2.3</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发包人违约解除合同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（1）发生第 22.2.1（4）目的违约情况时，承包人可书面通知发包人解除合同。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（2）承包人按第 22.2.2 项暂停施工 28 天后，发包人仍不纠正违约行为的，承包人可向发包人发出解除合同通知。但承包人的这一行动不免除发包人承担的违约责任，也不影响承包人根据合同约定享有的索赔权利。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22.2.4</w:t>
      </w:r>
      <w:r>
        <w:rPr>
          <w:rFonts w:hint="eastAsia" w:ascii="宋体" w:hAnsi="宋体" w:eastAsia="宋体" w:cs="宋体"/>
          <w:color w:val="000000"/>
          <w:sz w:val="24"/>
          <w:szCs w:val="24"/>
        </w:rPr>
        <w:tab/>
      </w:r>
      <w:r>
        <w:rPr>
          <w:rFonts w:hint="eastAsia" w:ascii="宋体" w:hAnsi="宋体" w:eastAsia="宋体" w:cs="宋体"/>
          <w:color w:val="000000"/>
          <w:sz w:val="24"/>
          <w:szCs w:val="24"/>
        </w:rPr>
        <w:t>解除合同后的付款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因发包人违约解除合同的，发包人应在解除合同后 28 天内向承包人支付下列金额，承 包人应在此期限内及时向发包人提交要求支付下列金额的有关资料和凭证：</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（1）合同解除日以前所完成工作的价款；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（2）承包人为该工程施工订购并已付款的材料、工程设备和其他物品的金额。发包人付还后，该材料、工程设备和其他物品归发包人所有；</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（3）承包人为完成工程所发生的，而发包人未支付的金额；</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（4）承包人撤离施工场地以及遣散承包人人员的金额；</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（5）由于解除合同应赔偿的承包人损失；</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（6）按合同约定在合同解除日前应支付给承包人的其他金额。 发包人应按本项约定支付上述金额并退还质量保证金或退还质量保证金保函和履约担保，但有权要求承包人支付应偿还给发包人的各项金额。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22.2.5</w:t>
      </w:r>
      <w:r>
        <w:rPr>
          <w:rFonts w:hint="eastAsia" w:ascii="宋体" w:hAnsi="宋体" w:eastAsia="宋体" w:cs="宋体"/>
          <w:color w:val="000000"/>
          <w:sz w:val="24"/>
          <w:szCs w:val="24"/>
        </w:rPr>
        <w:tab/>
      </w:r>
      <w:r>
        <w:rPr>
          <w:rFonts w:hint="eastAsia" w:ascii="宋体" w:hAnsi="宋体" w:eastAsia="宋体" w:cs="宋体"/>
          <w:color w:val="000000"/>
          <w:sz w:val="24"/>
          <w:szCs w:val="24"/>
        </w:rPr>
        <w:t>解除合同后的承包人撤离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因发包人违约而解除合同后，承包人应妥善做好已竣工工程和已购材料、设备的保护和移交工作，按发包人要求将承包人设备和人员撤出施工场地。承包人撤出施工场地应遵守第18.7.1 项的约定，发包人应为承包人撤出提供必要条件。</w:t>
      </w:r>
    </w:p>
    <w:p>
      <w:pPr>
        <w:spacing w:line="360" w:lineRule="auto"/>
        <w:rPr>
          <w:rFonts w:hint="eastAsia" w:ascii="宋体" w:hAnsi="宋体" w:eastAsia="宋体" w:cs="宋体"/>
          <w:color w:val="000000"/>
          <w:sz w:val="24"/>
          <w:szCs w:val="24"/>
        </w:rPr>
      </w:pPr>
      <w:bookmarkStart w:id="157" w:name="_bookmark239"/>
      <w:bookmarkEnd w:id="157"/>
      <w:r>
        <w:rPr>
          <w:rFonts w:hint="eastAsia" w:ascii="宋体" w:hAnsi="宋体" w:eastAsia="宋体" w:cs="宋体"/>
          <w:color w:val="000000"/>
          <w:sz w:val="24"/>
          <w:szCs w:val="24"/>
        </w:rPr>
        <w:t>22.3</w:t>
      </w:r>
      <w:r>
        <w:rPr>
          <w:rFonts w:hint="eastAsia" w:ascii="宋体" w:hAnsi="宋体" w:eastAsia="宋体" w:cs="宋体"/>
          <w:color w:val="000000"/>
          <w:sz w:val="24"/>
          <w:szCs w:val="24"/>
        </w:rPr>
        <w:tab/>
      </w:r>
      <w:r>
        <w:rPr>
          <w:rFonts w:hint="eastAsia" w:ascii="宋体" w:hAnsi="宋体" w:eastAsia="宋体" w:cs="宋体"/>
          <w:color w:val="000000"/>
          <w:sz w:val="24"/>
          <w:szCs w:val="24"/>
        </w:rPr>
        <w:t>第三人造成的违约</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在履行合同过程中，一方当事人因第三人的原因造成违约的，应当向对方当事人承担违约责任。一方当事人和第三人之间的纠纷，依照法律规定或者按照约定解决。</w:t>
      </w:r>
    </w:p>
    <w:p>
      <w:pPr>
        <w:spacing w:line="360" w:lineRule="auto"/>
        <w:rPr>
          <w:rFonts w:hint="eastAsia" w:ascii="宋体" w:hAnsi="宋体" w:eastAsia="宋体" w:cs="宋体"/>
          <w:color w:val="000000"/>
          <w:sz w:val="24"/>
          <w:szCs w:val="24"/>
        </w:rPr>
      </w:pPr>
      <w:bookmarkStart w:id="158" w:name="_bookmark240"/>
      <w:bookmarkEnd w:id="158"/>
      <w:r>
        <w:rPr>
          <w:rFonts w:hint="eastAsia" w:ascii="宋体" w:hAnsi="宋体" w:eastAsia="宋体" w:cs="宋体"/>
          <w:color w:val="000000"/>
          <w:sz w:val="24"/>
          <w:szCs w:val="24"/>
        </w:rPr>
        <w:t>23.索赔</w:t>
      </w:r>
    </w:p>
    <w:p>
      <w:pPr>
        <w:spacing w:line="360" w:lineRule="auto"/>
        <w:rPr>
          <w:rFonts w:hint="eastAsia" w:ascii="宋体" w:hAnsi="宋体" w:eastAsia="宋体" w:cs="宋体"/>
          <w:color w:val="000000"/>
          <w:sz w:val="24"/>
          <w:szCs w:val="24"/>
        </w:rPr>
      </w:pPr>
      <w:bookmarkStart w:id="159" w:name="_bookmark241"/>
      <w:bookmarkEnd w:id="159"/>
      <w:r>
        <w:rPr>
          <w:rFonts w:hint="eastAsia" w:ascii="宋体" w:hAnsi="宋体" w:eastAsia="宋体" w:cs="宋体"/>
          <w:color w:val="000000"/>
          <w:sz w:val="24"/>
          <w:szCs w:val="24"/>
        </w:rPr>
        <w:t>23.1</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承包人索赔的提出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根据合同约定，承包人认为有权得到追加付款和（或）延长工期的，应按以下程序向发包人提出索赔：</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（1）承包人应在知道或应当知道索赔事件发生后 28 天内，向监理人递交索赔意向通知书，并说明发生索赔事件的事由。承包人未在前述 28 天内发出索赔意向通知书的，丧失要求追加付款和（或）延长工期的权利；</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（2）承包人应在发出索赔意向通知书后 28 天内，向监理人正式递交索赔通知书。索赔通知书应详细说明索赔理由以及要求追加的付款金额和（或）延长的工期，并附必要的记录和证明材料；</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（3）索赔事件具有连续影响的，承包人应按合理时间间隔继续递交延续索赔通知，说明连续影响的实际情况和记录，列出累计的追加付款金额和（或）工期延长天数；</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（4）在索赔事件影响结束后的 28 天内，承包人应向监理人递交最终索赔通知书，说明最终要求索赔的追加付款金额和延长的工期，并附必要的记录和证明材料。</w:t>
      </w:r>
    </w:p>
    <w:p>
      <w:pPr>
        <w:spacing w:line="360" w:lineRule="auto"/>
        <w:rPr>
          <w:rFonts w:hint="eastAsia" w:ascii="宋体" w:hAnsi="宋体" w:eastAsia="宋体" w:cs="宋体"/>
          <w:color w:val="000000"/>
          <w:sz w:val="24"/>
          <w:szCs w:val="24"/>
        </w:rPr>
      </w:pPr>
      <w:bookmarkStart w:id="160" w:name="_bookmark242"/>
      <w:bookmarkEnd w:id="160"/>
      <w:r>
        <w:rPr>
          <w:rFonts w:hint="eastAsia" w:ascii="宋体" w:hAnsi="宋体" w:eastAsia="宋体" w:cs="宋体"/>
          <w:color w:val="000000"/>
          <w:sz w:val="24"/>
          <w:szCs w:val="24"/>
        </w:rPr>
        <w:t>23.2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承包人索赔处理程序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（1）监理人收到承包人提交的索赔通知书后，应及时审查索赔通知书的内容、查验承包人的记录和证明材料，必要时监理人可要求承包人提交全部原始记录副本。</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（2）监理人应按第 3.5 款商定或确定追加的付款和（或）延长的工期，并在收到上述索赔通知书或有关索赔的进一步证明材料后的 42 天内，将索赔处理结果答复承包人。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（3）承包人接受索赔处理结果的，发包人应在作出索赔处理结果答复后 28 天内完成赔付。承包人不接受索赔处理结果的，按第 24 条的约定办理。</w:t>
      </w:r>
    </w:p>
    <w:p>
      <w:pPr>
        <w:spacing w:line="360" w:lineRule="auto"/>
        <w:rPr>
          <w:rFonts w:hint="eastAsia" w:ascii="宋体" w:hAnsi="宋体" w:eastAsia="宋体" w:cs="宋体"/>
          <w:color w:val="000000"/>
          <w:sz w:val="24"/>
          <w:szCs w:val="24"/>
        </w:rPr>
      </w:pPr>
      <w:bookmarkStart w:id="161" w:name="_bookmark243"/>
      <w:bookmarkEnd w:id="161"/>
      <w:r>
        <w:rPr>
          <w:rFonts w:hint="eastAsia" w:ascii="宋体" w:hAnsi="宋体" w:eastAsia="宋体" w:cs="宋体"/>
          <w:color w:val="000000"/>
          <w:sz w:val="24"/>
          <w:szCs w:val="24"/>
        </w:rPr>
        <w:t>23.3</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承包人提出索赔的期限</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23.3.1</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承包人按第 17.5 款的约定接受了竣工付款证书后，应被认为已无权再提出在合同工程接收证书颁发前所发生的任何索赔。</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23.3.2</w:t>
      </w:r>
      <w:r>
        <w:rPr>
          <w:rFonts w:hint="eastAsia" w:ascii="宋体" w:hAnsi="宋体" w:eastAsia="宋体" w:cs="宋体"/>
          <w:color w:val="000000"/>
          <w:sz w:val="24"/>
          <w:szCs w:val="24"/>
        </w:rPr>
        <w:tab/>
      </w:r>
      <w:r>
        <w:rPr>
          <w:rFonts w:hint="eastAsia" w:ascii="宋体" w:hAnsi="宋体" w:eastAsia="宋体" w:cs="宋体"/>
          <w:color w:val="000000"/>
          <w:sz w:val="24"/>
          <w:szCs w:val="24"/>
        </w:rPr>
        <w:t>承包人按第 17.6 款的约定提交的最终结清申请单中，只限于提出工程接收证书颁发后发生的索赔。提出索赔的期限自接受最终结清证书时终止。</w:t>
      </w:r>
    </w:p>
    <w:p>
      <w:pPr>
        <w:spacing w:line="360" w:lineRule="auto"/>
        <w:rPr>
          <w:rFonts w:hint="eastAsia" w:ascii="宋体" w:hAnsi="宋体" w:eastAsia="宋体" w:cs="宋体"/>
          <w:color w:val="000000"/>
          <w:sz w:val="24"/>
          <w:szCs w:val="24"/>
        </w:rPr>
      </w:pPr>
      <w:bookmarkStart w:id="162" w:name="_bookmark244"/>
      <w:bookmarkEnd w:id="162"/>
      <w:r>
        <w:rPr>
          <w:rFonts w:hint="eastAsia" w:ascii="宋体" w:hAnsi="宋体" w:eastAsia="宋体" w:cs="宋体"/>
          <w:color w:val="000000"/>
          <w:sz w:val="24"/>
          <w:szCs w:val="24"/>
        </w:rPr>
        <w:t>23.4</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发包人的索赔</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23.4.1</w:t>
      </w:r>
      <w:r>
        <w:rPr>
          <w:rFonts w:hint="eastAsia" w:ascii="宋体" w:hAnsi="宋体" w:eastAsia="宋体" w:cs="宋体"/>
          <w:color w:val="000000"/>
          <w:sz w:val="24"/>
          <w:szCs w:val="24"/>
        </w:rPr>
        <w:tab/>
      </w:r>
      <w:r>
        <w:rPr>
          <w:rFonts w:hint="eastAsia" w:ascii="宋体" w:hAnsi="宋体" w:eastAsia="宋体" w:cs="宋体"/>
          <w:color w:val="000000"/>
          <w:sz w:val="24"/>
          <w:szCs w:val="24"/>
        </w:rPr>
        <w:t>发生索赔事件后，监理人应及时书面通知承包人，详细说明发包人有权得到的</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索赔金额和（或）延长缺陷责任期的细节和依据。发包人提出索赔的期限和要求与第 23.3 款的约定相同，延长缺陷责任期的通知应在缺陷责任期届满前发出。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23.4.2</w:t>
      </w:r>
      <w:r>
        <w:rPr>
          <w:rFonts w:hint="eastAsia" w:ascii="宋体" w:hAnsi="宋体" w:eastAsia="宋体" w:cs="宋体"/>
          <w:color w:val="000000"/>
          <w:sz w:val="24"/>
          <w:szCs w:val="24"/>
        </w:rPr>
        <w:tab/>
      </w:r>
      <w:r>
        <w:rPr>
          <w:rFonts w:hint="eastAsia" w:ascii="宋体" w:hAnsi="宋体" w:eastAsia="宋体" w:cs="宋体"/>
          <w:color w:val="000000"/>
          <w:sz w:val="24"/>
          <w:szCs w:val="24"/>
        </w:rPr>
        <w:t>监理人按第 3.5 款商定或确定发包人从承包人处得到赔付的金额和（或）缺陷责任期的延长期。承包人应付给发包人的金额可从拟支付给承包人的合同价款中扣除，或由承包人以其他方式支付给发包人。</w:t>
      </w:r>
    </w:p>
    <w:p>
      <w:pPr>
        <w:spacing w:line="360" w:lineRule="auto"/>
        <w:rPr>
          <w:rFonts w:hint="eastAsia" w:ascii="宋体" w:hAnsi="宋体" w:eastAsia="宋体" w:cs="宋体"/>
          <w:color w:val="000000"/>
          <w:sz w:val="24"/>
          <w:szCs w:val="24"/>
        </w:rPr>
      </w:pPr>
      <w:bookmarkStart w:id="163" w:name="_bookmark245"/>
      <w:bookmarkEnd w:id="163"/>
      <w:r>
        <w:rPr>
          <w:rFonts w:hint="eastAsia" w:ascii="宋体" w:hAnsi="宋体" w:eastAsia="宋体" w:cs="宋体"/>
          <w:color w:val="000000"/>
          <w:sz w:val="24"/>
          <w:szCs w:val="24"/>
        </w:rPr>
        <w:t>24.争议的解决</w:t>
      </w:r>
    </w:p>
    <w:p>
      <w:pPr>
        <w:spacing w:line="360" w:lineRule="auto"/>
        <w:jc w:val="left"/>
        <w:rPr>
          <w:rFonts w:hint="eastAsia" w:ascii="宋体" w:hAnsi="宋体" w:eastAsia="宋体" w:cs="宋体"/>
          <w:color w:val="000000"/>
          <w:sz w:val="24"/>
          <w:szCs w:val="24"/>
        </w:rPr>
      </w:pPr>
      <w:bookmarkStart w:id="164" w:name="_bookmark246"/>
      <w:bookmarkEnd w:id="164"/>
      <w:r>
        <w:rPr>
          <w:rFonts w:hint="eastAsia" w:ascii="宋体" w:hAnsi="宋体" w:eastAsia="宋体" w:cs="宋体"/>
          <w:color w:val="000000"/>
          <w:sz w:val="24"/>
          <w:szCs w:val="24"/>
        </w:rPr>
        <w:t>24.1</w:t>
      </w:r>
      <w:r>
        <w:rPr>
          <w:rFonts w:hint="eastAsia" w:ascii="宋体" w:hAnsi="宋体" w:eastAsia="宋体" w:cs="宋体"/>
          <w:color w:val="000000"/>
          <w:sz w:val="24"/>
          <w:szCs w:val="24"/>
        </w:rPr>
        <w:tab/>
      </w:r>
      <w:r>
        <w:rPr>
          <w:rFonts w:hint="eastAsia" w:ascii="宋体" w:hAnsi="宋体" w:eastAsia="宋体" w:cs="宋体"/>
          <w:color w:val="000000"/>
          <w:sz w:val="24"/>
          <w:szCs w:val="24"/>
        </w:rPr>
        <w:t>争议的解决方式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发包人和承包人在履行合同中发生争议的，可以友好协商解决或者提请争议评审组评 审。合同当事人友好协商解决不成、不愿提请争议评审或者不接受争议评审组意见的，可在 合同条款专用部分中约定下列一种方式解决。</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（1）向约定的仲裁委员会申请仲裁；</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（2）向有管辖权的人民法院提起诉讼。</w:t>
      </w:r>
    </w:p>
    <w:p>
      <w:pPr>
        <w:spacing w:line="360" w:lineRule="auto"/>
        <w:rPr>
          <w:rFonts w:hint="eastAsia" w:ascii="宋体" w:hAnsi="宋体" w:eastAsia="宋体" w:cs="宋体"/>
          <w:color w:val="000000"/>
          <w:sz w:val="24"/>
          <w:szCs w:val="24"/>
        </w:rPr>
      </w:pPr>
      <w:bookmarkStart w:id="165" w:name="_bookmark247"/>
      <w:bookmarkEnd w:id="165"/>
      <w:r>
        <w:rPr>
          <w:rFonts w:hint="eastAsia" w:ascii="宋体" w:hAnsi="宋体" w:eastAsia="宋体" w:cs="宋体"/>
          <w:color w:val="000000"/>
          <w:sz w:val="24"/>
          <w:szCs w:val="24"/>
        </w:rPr>
        <w:t>24.2    友好解决</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在提请争议评审、仲裁或者诉讼前，以及在争议评审、仲裁或诉讼过程中，发包人和承 包人均可共同努力友好协商解决争议。</w:t>
      </w:r>
      <w:bookmarkStart w:id="166" w:name="_bookmark248"/>
      <w:bookmarkEnd w:id="166"/>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24.3    争议评审</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24.3.1 采用争议评审的，发包人和承包人应在开工日后的 28 天内或在争议发生后，协商成立争议评审组。争议评审组由有合同管理和工程实践经验的专家组成。</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24.3.2 合同双方的争议，应首先由申请人向争议评审组提交一份详细的评审申请报告，并附必要的文件、图纸和证明材料，申请人还应将上述报告的副本同时提交给被申请人和监理人。</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24.3.3 被申请人在收到申请人评审申请报告副本后的 28 天内，向争议评审组提交一份答辩报告，并附证明材料。被申请人应将答辩报告的副本同时提交给申请人和监理人。</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24.3.4 争议评审组在收到合同双方报告后的 14 天内，邀请双方代表和有关人员在合同约定的期限内举行调查会，向双方调查争议细节；必要时争议评审组可要求双方进一步提供补充材料。举行调查会的期限见合同条款专用部分。</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24.3.5</w:t>
      </w:r>
      <w:r>
        <w:rPr>
          <w:rFonts w:hint="eastAsia" w:ascii="宋体" w:hAnsi="宋体" w:eastAsia="宋体" w:cs="宋体"/>
          <w:color w:val="000000"/>
          <w:sz w:val="24"/>
          <w:szCs w:val="24"/>
        </w:rPr>
        <w:tab/>
      </w:r>
      <w:r>
        <w:rPr>
          <w:rFonts w:hint="eastAsia" w:ascii="宋体" w:hAnsi="宋体" w:eastAsia="宋体" w:cs="宋体"/>
          <w:color w:val="000000"/>
          <w:sz w:val="24"/>
          <w:szCs w:val="24"/>
        </w:rPr>
        <w:t>在调查会结束后的 14 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24.3.6</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发包人和承包人接受评审意见的，由监理人根据评审意见拟定执行协议，经争议双方签字后作为合同的补充文件，并遵照执行。</w:t>
      </w:r>
    </w:p>
    <w:p>
      <w:pPr>
        <w:wordWrap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24.3.7</w:t>
      </w:r>
      <w:r>
        <w:rPr>
          <w:rFonts w:hint="eastAsia" w:ascii="宋体" w:hAnsi="宋体" w:eastAsia="宋体" w:cs="宋体"/>
          <w:color w:val="000000"/>
          <w:sz w:val="24"/>
          <w:szCs w:val="24"/>
        </w:rPr>
        <w:tab/>
      </w:r>
      <w:r>
        <w:rPr>
          <w:rFonts w:hint="eastAsia" w:ascii="宋体" w:hAnsi="宋体" w:eastAsia="宋体" w:cs="宋体"/>
          <w:color w:val="000000"/>
          <w:sz w:val="24"/>
          <w:szCs w:val="24"/>
        </w:rPr>
        <w:t>发包人或承包人不接受评审意见，并要求提交仲裁或提起诉讼的，应在收到评审意见后的 14 天内将仲裁或起诉意向书面通知另一方，并抄送监理人，但在仲裁或诉讼结束前应暂按总监理工程师的确定执行。</w:t>
      </w:r>
    </w:p>
    <w:p>
      <w:pPr>
        <w:spacing w:line="360" w:lineRule="auto"/>
        <w:ind w:firstLine="480" w:firstLineChars="200"/>
        <w:rPr>
          <w:rFonts w:hint="eastAsia" w:ascii="宋体" w:hAnsi="宋体" w:eastAsia="宋体" w:cs="宋体"/>
          <w:color w:val="000000"/>
          <w:sz w:val="24"/>
          <w:szCs w:val="24"/>
        </w:rPr>
        <w:sectPr>
          <w:footerReference r:id="rId6" w:type="default"/>
          <w:pgSz w:w="11906" w:h="16838"/>
          <w:pgMar w:top="1440" w:right="1797" w:bottom="1440" w:left="1797" w:header="851" w:footer="992" w:gutter="0"/>
          <w:cols w:space="720" w:num="1"/>
          <w:docGrid w:linePitch="312" w:charSpace="0"/>
        </w:sectPr>
      </w:pPr>
    </w:p>
    <w:p>
      <w:pPr>
        <w:pStyle w:val="3"/>
        <w:bidi w:val="0"/>
      </w:pPr>
      <w:bookmarkStart w:id="167" w:name="_Toc241459658"/>
      <w:bookmarkStart w:id="168" w:name="_Toc489003752"/>
      <w:bookmarkStart w:id="169" w:name="_Toc15867"/>
      <w:bookmarkStart w:id="170" w:name="_Toc342296417"/>
      <w:bookmarkStart w:id="171" w:name="_Toc2250"/>
      <w:r>
        <w:t>第二</w:t>
      </w:r>
      <w:r>
        <w:rPr>
          <w:rFonts w:hint="eastAsia"/>
          <w:lang w:eastAsia="zh-CN"/>
        </w:rPr>
        <w:t>章</w:t>
      </w:r>
      <w:r>
        <w:rPr>
          <w:rFonts w:hint="eastAsia"/>
          <w:lang w:val="en-US" w:eastAsia="zh-CN"/>
        </w:rPr>
        <w:t xml:space="preserve"> </w:t>
      </w:r>
      <w:r>
        <w:t>专用合同条款</w:t>
      </w:r>
      <w:bookmarkEnd w:id="167"/>
      <w:bookmarkEnd w:id="168"/>
      <w:bookmarkEnd w:id="169"/>
      <w:bookmarkEnd w:id="170"/>
      <w:bookmarkEnd w:id="171"/>
    </w:p>
    <w:p>
      <w:pPr>
        <w:bidi w:val="0"/>
        <w:rPr>
          <w:sz w:val="24"/>
          <w:szCs w:val="24"/>
        </w:rPr>
      </w:pPr>
      <w:bookmarkStart w:id="172" w:name="_Toc15597"/>
      <w:bookmarkStart w:id="173" w:name="_Toc489280180"/>
      <w:bookmarkStart w:id="174" w:name="_Toc241459659"/>
      <w:bookmarkStart w:id="175" w:name="_Toc485323148"/>
      <w:bookmarkStart w:id="176" w:name="_Toc491149504"/>
      <w:bookmarkStart w:id="177" w:name="_Toc490331665"/>
      <w:bookmarkStart w:id="178" w:name="_Toc342296418"/>
      <w:bookmarkStart w:id="179" w:name="_Toc480303381"/>
      <w:bookmarkStart w:id="180" w:name="_Toc486580374"/>
      <w:bookmarkStart w:id="181" w:name="_Toc492202844"/>
      <w:bookmarkStart w:id="182" w:name="_BookMark_2"/>
      <w:r>
        <w:rPr>
          <w:sz w:val="24"/>
          <w:szCs w:val="24"/>
        </w:rPr>
        <w:t>1.一般约定</w:t>
      </w:r>
      <w:bookmarkEnd w:id="172"/>
      <w:bookmarkEnd w:id="173"/>
      <w:bookmarkEnd w:id="174"/>
      <w:bookmarkEnd w:id="175"/>
      <w:bookmarkEnd w:id="176"/>
      <w:bookmarkEnd w:id="177"/>
      <w:bookmarkEnd w:id="178"/>
      <w:bookmarkEnd w:id="179"/>
      <w:bookmarkEnd w:id="180"/>
      <w:bookmarkEnd w:id="181"/>
    </w:p>
    <w:bookmarkEnd w:id="182"/>
    <w:p>
      <w:pPr>
        <w:bidi w:val="0"/>
        <w:rPr>
          <w:sz w:val="24"/>
          <w:szCs w:val="24"/>
        </w:rPr>
      </w:pPr>
      <w:bookmarkStart w:id="183" w:name="_Toc19538"/>
      <w:bookmarkStart w:id="184" w:name="_Toc241459660"/>
      <w:bookmarkStart w:id="185" w:name="_Toc144974580"/>
      <w:bookmarkStart w:id="186" w:name="_Toc179632630"/>
      <w:bookmarkStart w:id="187" w:name="_Toc342296419"/>
      <w:bookmarkStart w:id="188" w:name="_Toc152042390"/>
      <w:bookmarkStart w:id="189" w:name="_Toc492202845"/>
      <w:bookmarkStart w:id="190" w:name="_Toc480303382"/>
      <w:bookmarkStart w:id="191" w:name="_Toc152045612"/>
      <w:bookmarkStart w:id="192" w:name="_Toc489280181"/>
      <w:bookmarkStart w:id="193" w:name="_Toc486580375"/>
      <w:bookmarkStart w:id="194" w:name="_Toc485323149"/>
      <w:bookmarkStart w:id="195" w:name="_Toc490331666"/>
      <w:bookmarkStart w:id="196" w:name="_Toc491149505"/>
      <w:bookmarkStart w:id="197" w:name="_BookMark_3"/>
      <w:r>
        <w:rPr>
          <w:sz w:val="24"/>
          <w:szCs w:val="24"/>
        </w:rPr>
        <w:t xml:space="preserve">1.1 </w:t>
      </w:r>
      <w:r>
        <w:rPr>
          <w:rFonts w:hint="eastAsia"/>
          <w:sz w:val="24"/>
          <w:szCs w:val="24"/>
        </w:rPr>
        <w:t xml:space="preserve"> </w:t>
      </w:r>
      <w:r>
        <w:rPr>
          <w:sz w:val="24"/>
          <w:szCs w:val="24"/>
        </w:rPr>
        <w:t>词语定义</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bookmarkEnd w:id="197"/>
    <w:p>
      <w:pPr>
        <w:spacing w:line="420" w:lineRule="auto"/>
        <w:ind w:firstLine="480" w:firstLineChars="200"/>
        <w:rPr>
          <w:rFonts w:ascii="宋体" w:hAnsi="宋体"/>
          <w:color w:val="000000"/>
          <w:sz w:val="24"/>
          <w:szCs w:val="24"/>
        </w:rPr>
      </w:pPr>
      <w:r>
        <w:rPr>
          <w:rFonts w:hint="eastAsia" w:ascii="宋体" w:hAnsi="宋体"/>
          <w:color w:val="000000"/>
          <w:sz w:val="24"/>
          <w:szCs w:val="24"/>
        </w:rPr>
        <w:t>1.1.2  合同当事人和人员</w:t>
      </w:r>
    </w:p>
    <w:p>
      <w:pPr>
        <w:spacing w:line="420" w:lineRule="auto"/>
        <w:ind w:firstLine="720" w:firstLineChars="300"/>
        <w:jc w:val="left"/>
        <w:rPr>
          <w:rFonts w:ascii="宋体" w:hAnsi="宋体"/>
          <w:color w:val="000000"/>
          <w:sz w:val="24"/>
          <w:szCs w:val="24"/>
        </w:rPr>
      </w:pPr>
      <w:r>
        <w:rPr>
          <w:rFonts w:hint="eastAsia" w:ascii="宋体" w:hAnsi="宋体"/>
          <w:color w:val="000000"/>
          <w:sz w:val="24"/>
          <w:szCs w:val="24"/>
        </w:rPr>
        <w:t>1.1.2.2  发包人：</w:t>
      </w:r>
      <w:r>
        <w:rPr>
          <w:rFonts w:hint="eastAsia" w:ascii="宋体" w:hAnsi="宋体"/>
          <w:color w:val="000000"/>
          <w:sz w:val="24"/>
          <w:szCs w:val="24"/>
          <w:u w:val="single"/>
        </w:rPr>
        <w:t xml:space="preserve">  北京市门头沟区清水镇人民政府</w:t>
      </w:r>
      <w:r>
        <w:rPr>
          <w:rFonts w:hint="eastAsia" w:ascii="宋体" w:hAnsi="宋体" w:cs="宋体"/>
          <w:color w:val="000000"/>
          <w:sz w:val="24"/>
          <w:szCs w:val="24"/>
          <w:u w:val="single"/>
        </w:rPr>
        <w:t xml:space="preserve">             </w:t>
      </w:r>
      <w:r>
        <w:rPr>
          <w:rFonts w:hint="eastAsia" w:ascii="宋体" w:hAnsi="宋体"/>
          <w:color w:val="000000"/>
          <w:sz w:val="24"/>
          <w:szCs w:val="24"/>
          <w:u w:val="single"/>
        </w:rPr>
        <w:t xml:space="preserve">  </w:t>
      </w:r>
    </w:p>
    <w:p>
      <w:pPr>
        <w:spacing w:line="420" w:lineRule="auto"/>
        <w:ind w:firstLine="720" w:firstLineChars="300"/>
        <w:jc w:val="left"/>
        <w:rPr>
          <w:rFonts w:ascii="宋体" w:hAnsi="宋体"/>
          <w:color w:val="000000"/>
          <w:sz w:val="24"/>
          <w:szCs w:val="24"/>
        </w:rPr>
      </w:pPr>
      <w:r>
        <w:rPr>
          <w:rFonts w:hint="eastAsia" w:ascii="宋体" w:hAnsi="宋体"/>
          <w:color w:val="000000"/>
          <w:sz w:val="24"/>
          <w:szCs w:val="24"/>
        </w:rPr>
        <w:t>1.1.2.3  承包人：</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北京玉河源水务建设有限公司</w:t>
      </w:r>
      <w:r>
        <w:rPr>
          <w:rFonts w:hint="eastAsia" w:ascii="宋体" w:hAnsi="宋体"/>
          <w:color w:val="000000"/>
          <w:sz w:val="24"/>
          <w:szCs w:val="24"/>
          <w:u w:val="single"/>
        </w:rPr>
        <w:t xml:space="preserve">                </w:t>
      </w:r>
    </w:p>
    <w:p>
      <w:pPr>
        <w:spacing w:line="420" w:lineRule="auto"/>
        <w:ind w:firstLine="720" w:firstLineChars="300"/>
        <w:jc w:val="left"/>
        <w:rPr>
          <w:rFonts w:ascii="宋体" w:hAnsi="宋体"/>
          <w:color w:val="000000"/>
          <w:sz w:val="24"/>
          <w:szCs w:val="24"/>
        </w:rPr>
      </w:pPr>
      <w:r>
        <w:rPr>
          <w:rFonts w:hint="eastAsia" w:ascii="宋体" w:hAnsi="宋体"/>
          <w:color w:val="000000"/>
          <w:sz w:val="24"/>
          <w:szCs w:val="24"/>
        </w:rPr>
        <w:t>1.1.2.6  监理人：</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w:t>
      </w:r>
      <w:r>
        <w:rPr>
          <w:rFonts w:hint="eastAsia" w:ascii="宋体" w:hAnsi="宋体"/>
          <w:color w:val="000000"/>
          <w:sz w:val="24"/>
          <w:szCs w:val="24"/>
          <w:u w:val="single"/>
        </w:rPr>
        <w:t xml:space="preserve">                            </w:t>
      </w:r>
    </w:p>
    <w:p>
      <w:pPr>
        <w:spacing w:line="420" w:lineRule="auto"/>
        <w:ind w:firstLine="720" w:firstLineChars="300"/>
        <w:jc w:val="left"/>
        <w:rPr>
          <w:rFonts w:ascii="宋体" w:hAnsi="宋体"/>
          <w:color w:val="000000"/>
          <w:sz w:val="24"/>
          <w:szCs w:val="24"/>
        </w:rPr>
      </w:pPr>
      <w:r>
        <w:rPr>
          <w:rFonts w:hint="eastAsia" w:ascii="宋体" w:hAnsi="宋体"/>
          <w:color w:val="000000"/>
          <w:sz w:val="24"/>
          <w:szCs w:val="24"/>
        </w:rPr>
        <w:t>1.1.2.8  发包人代表：</w:t>
      </w:r>
    </w:p>
    <w:p>
      <w:pPr>
        <w:spacing w:line="420" w:lineRule="auto"/>
        <w:ind w:firstLine="1800" w:firstLineChars="750"/>
        <w:jc w:val="left"/>
        <w:rPr>
          <w:rFonts w:ascii="宋体" w:hAnsi="宋体"/>
          <w:color w:val="000000"/>
          <w:sz w:val="24"/>
          <w:szCs w:val="24"/>
        </w:rPr>
      </w:pPr>
      <w:r>
        <w:rPr>
          <w:rFonts w:hint="eastAsia" w:ascii="宋体" w:hAnsi="宋体"/>
          <w:color w:val="000000"/>
          <w:sz w:val="24"/>
          <w:szCs w:val="24"/>
        </w:rPr>
        <w:t>姓    名：</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另行约定</w:t>
      </w:r>
      <w:r>
        <w:rPr>
          <w:rFonts w:hint="eastAsia" w:ascii="宋体" w:hAnsi="宋体"/>
          <w:color w:val="000000"/>
          <w:sz w:val="24"/>
          <w:szCs w:val="24"/>
          <w:u w:val="single"/>
        </w:rPr>
        <w:t xml:space="preserve">                              </w:t>
      </w:r>
    </w:p>
    <w:p>
      <w:pPr>
        <w:spacing w:line="420" w:lineRule="auto"/>
        <w:ind w:firstLine="1800" w:firstLineChars="750"/>
        <w:jc w:val="left"/>
        <w:rPr>
          <w:rFonts w:ascii="宋体" w:hAnsi="宋体"/>
          <w:color w:val="000000"/>
          <w:sz w:val="24"/>
          <w:szCs w:val="24"/>
        </w:rPr>
      </w:pPr>
      <w:r>
        <w:rPr>
          <w:rFonts w:hint="eastAsia" w:ascii="宋体" w:hAnsi="宋体"/>
          <w:color w:val="000000"/>
          <w:sz w:val="24"/>
          <w:szCs w:val="24"/>
        </w:rPr>
        <w:t>职    称：</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p>
    <w:p>
      <w:pPr>
        <w:spacing w:line="420" w:lineRule="auto"/>
        <w:ind w:firstLine="1800" w:firstLineChars="750"/>
        <w:jc w:val="left"/>
        <w:rPr>
          <w:rFonts w:ascii="宋体" w:hAnsi="宋体"/>
          <w:color w:val="000000"/>
          <w:sz w:val="24"/>
          <w:szCs w:val="24"/>
        </w:rPr>
      </w:pPr>
      <w:r>
        <w:rPr>
          <w:rFonts w:hint="eastAsia" w:ascii="宋体" w:hAnsi="宋体"/>
          <w:color w:val="000000"/>
          <w:sz w:val="24"/>
          <w:szCs w:val="24"/>
        </w:rPr>
        <w:t>联系电话：</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w:t>
      </w:r>
      <w:r>
        <w:rPr>
          <w:rFonts w:hint="eastAsia" w:ascii="宋体" w:hAnsi="宋体"/>
          <w:color w:val="000000"/>
          <w:sz w:val="24"/>
          <w:szCs w:val="24"/>
          <w:u w:val="single"/>
        </w:rPr>
        <w:t xml:space="preserve">                                    </w:t>
      </w:r>
    </w:p>
    <w:p>
      <w:pPr>
        <w:spacing w:line="420" w:lineRule="auto"/>
        <w:ind w:firstLine="1800" w:firstLineChars="750"/>
        <w:jc w:val="left"/>
        <w:rPr>
          <w:rFonts w:ascii="宋体" w:hAnsi="宋体"/>
          <w:color w:val="000000"/>
          <w:sz w:val="24"/>
          <w:szCs w:val="24"/>
        </w:rPr>
      </w:pPr>
      <w:r>
        <w:rPr>
          <w:rFonts w:hint="eastAsia" w:ascii="宋体" w:hAnsi="宋体"/>
          <w:color w:val="000000"/>
          <w:sz w:val="24"/>
          <w:szCs w:val="24"/>
        </w:rPr>
        <w:t>电子信箱：</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w:t>
      </w:r>
      <w:r>
        <w:rPr>
          <w:rFonts w:hint="eastAsia" w:ascii="宋体" w:hAnsi="宋体"/>
          <w:color w:val="000000"/>
          <w:sz w:val="24"/>
          <w:szCs w:val="24"/>
          <w:u w:val="single"/>
        </w:rPr>
        <w:t xml:space="preserve">                                    </w:t>
      </w:r>
    </w:p>
    <w:p>
      <w:pPr>
        <w:spacing w:line="420" w:lineRule="auto"/>
        <w:ind w:firstLine="1800" w:firstLineChars="750"/>
        <w:jc w:val="left"/>
        <w:rPr>
          <w:rFonts w:ascii="宋体" w:hAnsi="宋体"/>
          <w:color w:val="000000"/>
          <w:sz w:val="24"/>
          <w:szCs w:val="24"/>
        </w:rPr>
      </w:pPr>
      <w:r>
        <w:rPr>
          <w:rFonts w:hint="eastAsia" w:ascii="宋体" w:hAnsi="宋体"/>
          <w:color w:val="000000"/>
          <w:sz w:val="24"/>
          <w:szCs w:val="24"/>
        </w:rPr>
        <w:t>通信地址：</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w:t>
      </w:r>
      <w:r>
        <w:rPr>
          <w:rFonts w:hint="eastAsia" w:ascii="宋体" w:hAnsi="宋体"/>
          <w:color w:val="000000"/>
          <w:sz w:val="24"/>
          <w:szCs w:val="24"/>
          <w:u w:val="single"/>
        </w:rPr>
        <w:t xml:space="preserve">                                       </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1.1.</w:t>
      </w:r>
      <w:r>
        <w:rPr>
          <w:rFonts w:ascii="宋体" w:hAnsi="宋体"/>
          <w:color w:val="000000"/>
          <w:sz w:val="24"/>
          <w:szCs w:val="24"/>
        </w:rPr>
        <w:t>3</w:t>
      </w:r>
      <w:r>
        <w:rPr>
          <w:rFonts w:hint="eastAsia" w:ascii="宋体" w:hAnsi="宋体"/>
          <w:color w:val="000000"/>
          <w:sz w:val="24"/>
          <w:szCs w:val="24"/>
        </w:rPr>
        <w:t xml:space="preserve">  工程和设备</w:t>
      </w:r>
    </w:p>
    <w:p>
      <w:pPr>
        <w:spacing w:line="420" w:lineRule="auto"/>
        <w:ind w:firstLine="720" w:firstLineChars="300"/>
        <w:jc w:val="left"/>
        <w:rPr>
          <w:rFonts w:ascii="宋体" w:hAnsi="宋体"/>
          <w:color w:val="000000"/>
          <w:sz w:val="24"/>
          <w:szCs w:val="24"/>
          <w:u w:val="single"/>
        </w:rPr>
      </w:pPr>
      <w:r>
        <w:rPr>
          <w:rFonts w:hint="eastAsia" w:ascii="宋体" w:hAnsi="宋体"/>
          <w:color w:val="000000"/>
          <w:sz w:val="24"/>
          <w:szCs w:val="24"/>
        </w:rPr>
        <w:t>1.1.</w:t>
      </w:r>
      <w:r>
        <w:rPr>
          <w:rFonts w:ascii="宋体" w:hAnsi="宋体"/>
          <w:color w:val="000000"/>
          <w:sz w:val="24"/>
          <w:szCs w:val="24"/>
        </w:rPr>
        <w:t>3</w:t>
      </w:r>
      <w:r>
        <w:rPr>
          <w:rFonts w:hint="eastAsia" w:ascii="宋体" w:hAnsi="宋体"/>
          <w:color w:val="000000"/>
          <w:sz w:val="24"/>
          <w:szCs w:val="24"/>
        </w:rPr>
        <w:t>.2  永久工程：</w:t>
      </w:r>
      <w:r>
        <w:rPr>
          <w:rFonts w:hint="eastAsia" w:ascii="宋体" w:hAnsi="宋体"/>
          <w:color w:val="000000"/>
          <w:sz w:val="24"/>
          <w:szCs w:val="24"/>
          <w:u w:val="single"/>
        </w:rPr>
        <w:t xml:space="preserve">  </w:t>
      </w:r>
      <w:r>
        <w:rPr>
          <w:rFonts w:hint="eastAsia" w:ascii="宋体" w:hAnsi="宋体" w:cs="宋体"/>
          <w:color w:val="000000"/>
          <w:sz w:val="24"/>
          <w:szCs w:val="24"/>
          <w:u w:val="single"/>
        </w:rPr>
        <w:t>指本工程招标范围内施工形成的工程</w:t>
      </w:r>
      <w:r>
        <w:rPr>
          <w:rFonts w:hint="eastAsia" w:ascii="宋体" w:hAnsi="宋体" w:cs="宋体"/>
          <w:color w:val="000000"/>
          <w:sz w:val="24"/>
          <w:szCs w:val="24"/>
        </w:rPr>
        <w:t>。</w:t>
      </w:r>
    </w:p>
    <w:p>
      <w:pPr>
        <w:spacing w:line="420" w:lineRule="auto"/>
        <w:ind w:firstLine="720" w:firstLineChars="300"/>
        <w:jc w:val="left"/>
        <w:rPr>
          <w:rFonts w:ascii="宋体" w:hAnsi="宋体"/>
          <w:color w:val="000000"/>
          <w:sz w:val="24"/>
          <w:szCs w:val="24"/>
        </w:rPr>
      </w:pPr>
      <w:r>
        <w:rPr>
          <w:rFonts w:hint="eastAsia" w:ascii="宋体" w:hAnsi="宋体"/>
          <w:color w:val="000000"/>
          <w:sz w:val="24"/>
          <w:szCs w:val="24"/>
        </w:rPr>
        <w:t>1.1.</w:t>
      </w: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临时工程：</w:t>
      </w:r>
      <w:r>
        <w:rPr>
          <w:rFonts w:hint="eastAsia" w:ascii="宋体" w:hAnsi="宋体"/>
          <w:color w:val="000000"/>
          <w:sz w:val="24"/>
          <w:szCs w:val="24"/>
          <w:u w:val="single"/>
        </w:rPr>
        <w:t xml:space="preserve">  </w:t>
      </w:r>
      <w:r>
        <w:rPr>
          <w:rFonts w:hint="eastAsia" w:ascii="宋体" w:hAnsi="宋体" w:cs="宋体"/>
          <w:color w:val="000000"/>
          <w:sz w:val="24"/>
          <w:szCs w:val="24"/>
          <w:u w:val="single"/>
        </w:rPr>
        <w:t>指为完成本工程而修建的临时性工程</w:t>
      </w:r>
      <w:r>
        <w:rPr>
          <w:rFonts w:hint="eastAsia" w:ascii="宋体" w:hAnsi="宋体" w:cs="宋体"/>
          <w:color w:val="000000"/>
          <w:sz w:val="24"/>
          <w:szCs w:val="24"/>
        </w:rPr>
        <w:t>。</w:t>
      </w:r>
    </w:p>
    <w:p>
      <w:pPr>
        <w:spacing w:line="420" w:lineRule="auto"/>
        <w:ind w:firstLine="720" w:firstLineChars="300"/>
        <w:jc w:val="left"/>
        <w:rPr>
          <w:rFonts w:ascii="宋体" w:hAnsi="宋体"/>
          <w:color w:val="000000"/>
          <w:sz w:val="24"/>
          <w:szCs w:val="24"/>
        </w:rPr>
      </w:pPr>
      <w:r>
        <w:rPr>
          <w:rFonts w:hint="eastAsia" w:ascii="宋体" w:hAnsi="宋体"/>
          <w:color w:val="000000"/>
          <w:sz w:val="24"/>
          <w:szCs w:val="24"/>
        </w:rPr>
        <w:t>1.1.</w:t>
      </w: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10</w:t>
      </w:r>
      <w:r>
        <w:rPr>
          <w:rFonts w:hint="eastAsia" w:ascii="宋体" w:hAnsi="宋体"/>
          <w:color w:val="000000"/>
          <w:sz w:val="24"/>
          <w:szCs w:val="24"/>
        </w:rPr>
        <w:t xml:space="preserve">  永久占地：</w:t>
      </w:r>
      <w:r>
        <w:rPr>
          <w:rFonts w:hint="eastAsia" w:ascii="宋体" w:hAnsi="宋体" w:cs="宋体"/>
          <w:color w:val="000000"/>
          <w:sz w:val="24"/>
          <w:szCs w:val="24"/>
          <w:u w:val="single"/>
        </w:rPr>
        <w:t>为实施本合同工程需要永久占地范围</w:t>
      </w:r>
      <w:r>
        <w:rPr>
          <w:rFonts w:hint="eastAsia" w:ascii="宋体" w:hAnsi="宋体" w:cs="宋体"/>
          <w:color w:val="000000"/>
          <w:sz w:val="24"/>
          <w:szCs w:val="24"/>
        </w:rPr>
        <w:t>。</w:t>
      </w:r>
    </w:p>
    <w:p>
      <w:pPr>
        <w:spacing w:line="420" w:lineRule="auto"/>
        <w:ind w:firstLine="720" w:firstLineChars="300"/>
        <w:jc w:val="left"/>
        <w:rPr>
          <w:rFonts w:ascii="宋体" w:hAnsi="宋体" w:cs="宋体"/>
          <w:color w:val="000000"/>
          <w:sz w:val="24"/>
          <w:szCs w:val="24"/>
        </w:rPr>
      </w:pPr>
      <w:r>
        <w:rPr>
          <w:rFonts w:hint="eastAsia" w:ascii="宋体" w:hAnsi="宋体"/>
          <w:color w:val="000000"/>
          <w:sz w:val="24"/>
          <w:szCs w:val="24"/>
        </w:rPr>
        <w:t>1.1.</w:t>
      </w: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11</w:t>
      </w:r>
      <w:r>
        <w:rPr>
          <w:rFonts w:hint="eastAsia" w:ascii="宋体" w:hAnsi="宋体"/>
          <w:color w:val="000000"/>
          <w:sz w:val="24"/>
          <w:szCs w:val="24"/>
        </w:rPr>
        <w:t xml:space="preserve">  临时占地：</w:t>
      </w:r>
      <w:r>
        <w:rPr>
          <w:rFonts w:hint="eastAsia" w:ascii="宋体" w:hAnsi="宋体" w:cs="宋体"/>
          <w:color w:val="000000"/>
          <w:sz w:val="24"/>
          <w:szCs w:val="24"/>
          <w:u w:val="single"/>
        </w:rPr>
        <w:t>为实施本合同工程需要临时占地范围</w:t>
      </w:r>
      <w:r>
        <w:rPr>
          <w:rFonts w:hint="eastAsia" w:ascii="宋体" w:hAnsi="宋体" w:cs="宋体"/>
          <w:color w:val="000000"/>
          <w:sz w:val="24"/>
          <w:szCs w:val="24"/>
        </w:rPr>
        <w:t>。</w:t>
      </w:r>
    </w:p>
    <w:p>
      <w:pPr>
        <w:spacing w:line="420" w:lineRule="auto"/>
        <w:ind w:firstLine="720" w:firstLineChars="300"/>
        <w:jc w:val="left"/>
        <w:rPr>
          <w:rFonts w:ascii="宋体" w:hAnsi="宋体"/>
          <w:color w:val="000000"/>
          <w:sz w:val="24"/>
          <w:szCs w:val="24"/>
        </w:rPr>
      </w:pPr>
      <w:r>
        <w:rPr>
          <w:rFonts w:hint="eastAsia" w:ascii="宋体" w:hAnsi="宋体"/>
          <w:color w:val="000000"/>
          <w:sz w:val="24"/>
          <w:szCs w:val="24"/>
        </w:rPr>
        <w:t>1.1.4  日期</w:t>
      </w:r>
    </w:p>
    <w:p>
      <w:pPr>
        <w:spacing w:line="420" w:lineRule="auto"/>
        <w:ind w:firstLine="720" w:firstLineChars="300"/>
        <w:jc w:val="left"/>
        <w:rPr>
          <w:rFonts w:ascii="宋体" w:hAnsi="宋体"/>
          <w:color w:val="000000"/>
          <w:sz w:val="24"/>
          <w:szCs w:val="24"/>
        </w:rPr>
      </w:pPr>
      <w:r>
        <w:rPr>
          <w:rFonts w:hint="eastAsia" w:ascii="宋体" w:hAnsi="宋体"/>
          <w:color w:val="000000"/>
          <w:sz w:val="24"/>
          <w:szCs w:val="24"/>
        </w:rPr>
        <w:t>1.1.4.5  缺陷责任期期限：</w:t>
      </w:r>
      <w:r>
        <w:rPr>
          <w:rFonts w:hint="eastAsia" w:ascii="宋体" w:hAnsi="宋体"/>
          <w:color w:val="000000"/>
          <w:sz w:val="24"/>
          <w:szCs w:val="24"/>
          <w:u w:val="single"/>
        </w:rPr>
        <w:t xml:space="preserve"> 24个 </w:t>
      </w:r>
      <w:r>
        <w:rPr>
          <w:rFonts w:hint="eastAsia" w:ascii="宋体" w:hAnsi="宋体"/>
          <w:color w:val="000000"/>
          <w:sz w:val="24"/>
          <w:szCs w:val="24"/>
        </w:rPr>
        <w:t>月。</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1.1.8  其他需要补充的内容</w:t>
      </w:r>
    </w:p>
    <w:p>
      <w:pPr>
        <w:spacing w:line="420" w:lineRule="auto"/>
        <w:ind w:left="315" w:leftChars="150" w:firstLine="124" w:firstLineChars="52"/>
        <w:rPr>
          <w:rFonts w:ascii="宋体" w:hAnsi="宋体"/>
          <w:color w:val="000000"/>
          <w:sz w:val="24"/>
          <w:szCs w:val="24"/>
        </w:rPr>
      </w:pPr>
      <w:r>
        <w:rPr>
          <w:rFonts w:hint="eastAsia" w:ascii="宋体" w:hAnsi="宋体"/>
          <w:color w:val="000000"/>
          <w:sz w:val="24"/>
          <w:szCs w:val="24"/>
          <w:u w:val="single"/>
        </w:rPr>
        <w:t xml:space="preserve">   /   </w:t>
      </w:r>
    </w:p>
    <w:p>
      <w:pPr>
        <w:bidi w:val="0"/>
        <w:rPr>
          <w:sz w:val="24"/>
          <w:szCs w:val="24"/>
        </w:rPr>
      </w:pPr>
      <w:bookmarkStart w:id="198" w:name="_Toc486580376"/>
      <w:bookmarkStart w:id="199" w:name="_Toc241459661"/>
      <w:bookmarkStart w:id="200" w:name="_Toc152045615"/>
      <w:bookmarkStart w:id="201" w:name="_Toc144974583"/>
      <w:bookmarkStart w:id="202" w:name="_Toc179632633"/>
      <w:bookmarkStart w:id="203" w:name="_Toc342296420"/>
      <w:bookmarkStart w:id="204" w:name="_Toc491149506"/>
      <w:bookmarkStart w:id="205" w:name="_Toc480303383"/>
      <w:bookmarkStart w:id="206" w:name="_Toc492202846"/>
      <w:bookmarkStart w:id="207" w:name="_Toc227"/>
      <w:bookmarkStart w:id="208" w:name="_Toc489280182"/>
      <w:bookmarkStart w:id="209" w:name="_Toc152042393"/>
      <w:bookmarkStart w:id="210" w:name="_Toc490331667"/>
      <w:bookmarkStart w:id="211" w:name="_Toc485323150"/>
      <w:bookmarkStart w:id="212" w:name="_BookMark_4"/>
      <w:r>
        <w:rPr>
          <w:rFonts w:hint="eastAsia"/>
          <w:sz w:val="24"/>
          <w:szCs w:val="24"/>
        </w:rPr>
        <w:t>1.4  合同文件的优先顺序</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bookmarkEnd w:id="212"/>
    <w:p>
      <w:pPr>
        <w:spacing w:line="420" w:lineRule="auto"/>
        <w:ind w:firstLine="482"/>
        <w:rPr>
          <w:rFonts w:ascii="宋体" w:hAnsi="宋体" w:cs="Arial"/>
          <w:color w:val="000000"/>
          <w:sz w:val="24"/>
          <w:szCs w:val="24"/>
        </w:rPr>
      </w:pPr>
      <w:r>
        <w:rPr>
          <w:rFonts w:hint="eastAsia" w:ascii="宋体" w:hAnsi="宋体" w:cs="Arial"/>
          <w:color w:val="000000"/>
          <w:sz w:val="24"/>
          <w:szCs w:val="24"/>
        </w:rPr>
        <w:t>合同文件的优先解释顺序如下：</w:t>
      </w:r>
    </w:p>
    <w:p>
      <w:pPr>
        <w:spacing w:line="420" w:lineRule="auto"/>
        <w:ind w:firstLine="482"/>
        <w:rPr>
          <w:rFonts w:ascii="宋体" w:hAnsi="宋体" w:cs="Arial"/>
          <w:color w:val="000000"/>
          <w:sz w:val="24"/>
          <w:szCs w:val="24"/>
        </w:rPr>
      </w:pPr>
      <w:r>
        <w:rPr>
          <w:rFonts w:hint="eastAsia" w:ascii="宋体" w:hAnsi="宋体" w:cs="Arial"/>
          <w:color w:val="000000"/>
          <w:sz w:val="24"/>
          <w:szCs w:val="24"/>
        </w:rPr>
        <w:t>（1）合同协议书；</w:t>
      </w:r>
    </w:p>
    <w:p>
      <w:pPr>
        <w:spacing w:line="420" w:lineRule="auto"/>
        <w:ind w:firstLine="482"/>
        <w:rPr>
          <w:rFonts w:ascii="宋体" w:hAnsi="宋体" w:cs="Arial"/>
          <w:color w:val="000000"/>
          <w:sz w:val="24"/>
          <w:szCs w:val="24"/>
        </w:rPr>
      </w:pPr>
      <w:r>
        <w:rPr>
          <w:rFonts w:hint="eastAsia" w:ascii="宋体" w:hAnsi="宋体" w:cs="Arial"/>
          <w:color w:val="000000"/>
          <w:sz w:val="24"/>
          <w:szCs w:val="24"/>
        </w:rPr>
        <w:t>（2）中标通知书；</w:t>
      </w:r>
    </w:p>
    <w:p>
      <w:pPr>
        <w:spacing w:line="420" w:lineRule="auto"/>
        <w:ind w:firstLine="482"/>
        <w:rPr>
          <w:rFonts w:ascii="宋体" w:hAnsi="宋体" w:cs="Arial"/>
          <w:color w:val="000000"/>
          <w:sz w:val="24"/>
          <w:szCs w:val="24"/>
        </w:rPr>
      </w:pPr>
      <w:r>
        <w:rPr>
          <w:rFonts w:hint="eastAsia" w:ascii="宋体" w:hAnsi="宋体" w:cs="Arial"/>
          <w:color w:val="000000"/>
          <w:sz w:val="24"/>
          <w:szCs w:val="24"/>
        </w:rPr>
        <w:t>（3）投标函及投标函附录；</w:t>
      </w:r>
    </w:p>
    <w:p>
      <w:pPr>
        <w:spacing w:line="420" w:lineRule="auto"/>
        <w:ind w:firstLine="482"/>
        <w:rPr>
          <w:rFonts w:ascii="宋体" w:hAnsi="宋体" w:cs="Arial"/>
          <w:color w:val="000000"/>
          <w:sz w:val="24"/>
          <w:szCs w:val="24"/>
        </w:rPr>
      </w:pPr>
      <w:r>
        <w:rPr>
          <w:rFonts w:hint="eastAsia" w:ascii="宋体" w:hAnsi="宋体" w:cs="Arial"/>
          <w:color w:val="000000"/>
          <w:sz w:val="24"/>
          <w:szCs w:val="24"/>
        </w:rPr>
        <w:t>（4）合同条款专用部分；</w:t>
      </w:r>
    </w:p>
    <w:p>
      <w:pPr>
        <w:spacing w:line="420" w:lineRule="auto"/>
        <w:ind w:firstLine="482"/>
        <w:rPr>
          <w:rFonts w:ascii="宋体" w:hAnsi="宋体" w:cs="Arial"/>
          <w:color w:val="000000"/>
          <w:sz w:val="24"/>
          <w:szCs w:val="24"/>
        </w:rPr>
      </w:pPr>
      <w:r>
        <w:rPr>
          <w:rFonts w:hint="eastAsia" w:ascii="宋体" w:hAnsi="宋体" w:cs="Arial"/>
          <w:color w:val="000000"/>
          <w:sz w:val="24"/>
          <w:szCs w:val="24"/>
        </w:rPr>
        <w:t>（5）合同条款通用部分；</w:t>
      </w:r>
    </w:p>
    <w:p>
      <w:pPr>
        <w:spacing w:line="420" w:lineRule="auto"/>
        <w:ind w:firstLine="482"/>
        <w:rPr>
          <w:rFonts w:ascii="宋体" w:hAnsi="宋体" w:cs="Arial"/>
          <w:color w:val="000000"/>
          <w:sz w:val="24"/>
          <w:szCs w:val="24"/>
        </w:rPr>
      </w:pPr>
      <w:r>
        <w:rPr>
          <w:rFonts w:hint="eastAsia" w:ascii="宋体" w:hAnsi="宋体" w:cs="Arial"/>
          <w:color w:val="000000"/>
          <w:sz w:val="24"/>
          <w:szCs w:val="24"/>
        </w:rPr>
        <w:t>（6）</w:t>
      </w:r>
      <w:r>
        <w:rPr>
          <w:rFonts w:hint="eastAsia" w:ascii="宋体" w:hAnsi="宋体" w:cs="Arial"/>
          <w:color w:val="000000"/>
          <w:sz w:val="24"/>
          <w:szCs w:val="24"/>
          <w:u w:val="single"/>
        </w:rPr>
        <w:t xml:space="preserve"> </w:t>
      </w:r>
      <w:r>
        <w:rPr>
          <w:rFonts w:hint="eastAsia" w:ascii="宋体" w:hAnsi="宋体" w:cs="宋体"/>
          <w:color w:val="000000"/>
          <w:sz w:val="24"/>
          <w:szCs w:val="24"/>
          <w:u w:val="single"/>
        </w:rPr>
        <w:t>技术标准和要求</w:t>
      </w:r>
      <w:r>
        <w:rPr>
          <w:rFonts w:hint="eastAsia" w:ascii="宋体" w:hAnsi="宋体" w:cs="宋体"/>
          <w:color w:val="000000"/>
          <w:sz w:val="24"/>
          <w:szCs w:val="24"/>
        </w:rPr>
        <w:t>；</w:t>
      </w:r>
    </w:p>
    <w:p>
      <w:pPr>
        <w:spacing w:line="420" w:lineRule="auto"/>
        <w:ind w:firstLine="482"/>
        <w:rPr>
          <w:rFonts w:ascii="宋体" w:hAnsi="宋体" w:cs="宋体"/>
          <w:color w:val="000000"/>
          <w:sz w:val="24"/>
          <w:szCs w:val="24"/>
        </w:rPr>
      </w:pPr>
      <w:r>
        <w:rPr>
          <w:rFonts w:hint="eastAsia" w:ascii="宋体" w:hAnsi="宋体" w:cs="Arial"/>
          <w:color w:val="000000"/>
          <w:sz w:val="24"/>
          <w:szCs w:val="24"/>
        </w:rPr>
        <w:t>（7）</w:t>
      </w:r>
      <w:r>
        <w:rPr>
          <w:rFonts w:hint="eastAsia" w:ascii="宋体" w:hAnsi="宋体" w:cs="宋体"/>
          <w:color w:val="000000"/>
          <w:sz w:val="24"/>
          <w:szCs w:val="24"/>
          <w:u w:val="single"/>
        </w:rPr>
        <w:t>图纸</w:t>
      </w:r>
      <w:r>
        <w:rPr>
          <w:rFonts w:hint="eastAsia" w:ascii="宋体" w:hAnsi="宋体" w:cs="宋体"/>
          <w:color w:val="000000"/>
          <w:sz w:val="24"/>
          <w:szCs w:val="24"/>
        </w:rPr>
        <w:t>；</w:t>
      </w:r>
    </w:p>
    <w:p>
      <w:pPr>
        <w:spacing w:line="420" w:lineRule="auto"/>
        <w:ind w:firstLine="482"/>
        <w:rPr>
          <w:rFonts w:ascii="宋体" w:hAnsi="宋体" w:cs="宋体"/>
          <w:color w:val="000000"/>
          <w:sz w:val="24"/>
          <w:szCs w:val="24"/>
        </w:rPr>
      </w:pPr>
      <w:r>
        <w:rPr>
          <w:rFonts w:hint="eastAsia" w:ascii="宋体" w:hAnsi="宋体" w:cs="Arial"/>
          <w:color w:val="000000"/>
          <w:sz w:val="24"/>
          <w:szCs w:val="24"/>
        </w:rPr>
        <w:t>（8）</w:t>
      </w:r>
      <w:r>
        <w:rPr>
          <w:rFonts w:hint="eastAsia" w:ascii="宋体" w:hAnsi="宋体" w:cs="宋体"/>
          <w:color w:val="000000"/>
          <w:sz w:val="24"/>
          <w:szCs w:val="24"/>
          <w:u w:val="single"/>
        </w:rPr>
        <w:t>已标价的工程量清单</w:t>
      </w:r>
      <w:r>
        <w:rPr>
          <w:rFonts w:ascii="宋体" w:hAnsi="宋体" w:cs="宋体"/>
          <w:color w:val="000000"/>
          <w:sz w:val="24"/>
          <w:szCs w:val="24"/>
        </w:rPr>
        <w:t xml:space="preserve"> </w:t>
      </w:r>
      <w:r>
        <w:rPr>
          <w:rFonts w:hint="eastAsia" w:ascii="宋体" w:hAnsi="宋体" w:cs="宋体"/>
          <w:color w:val="000000"/>
          <w:sz w:val="24"/>
          <w:szCs w:val="24"/>
        </w:rPr>
        <w:t>；</w:t>
      </w:r>
    </w:p>
    <w:p>
      <w:pPr>
        <w:spacing w:line="420" w:lineRule="auto"/>
        <w:ind w:firstLine="482"/>
        <w:rPr>
          <w:rFonts w:ascii="宋体" w:hAnsi="宋体" w:cs="Arial"/>
          <w:color w:val="000000"/>
          <w:sz w:val="24"/>
          <w:szCs w:val="24"/>
        </w:rPr>
      </w:pPr>
      <w:r>
        <w:rPr>
          <w:rFonts w:hint="eastAsia" w:ascii="宋体" w:hAnsi="宋体" w:cs="Arial"/>
          <w:color w:val="000000"/>
          <w:sz w:val="24"/>
          <w:szCs w:val="24"/>
        </w:rPr>
        <w:t>（9）</w:t>
      </w:r>
      <w:r>
        <w:rPr>
          <w:rFonts w:hint="eastAsia" w:ascii="宋体" w:hAnsi="宋体" w:cs="Arial"/>
          <w:color w:val="000000"/>
          <w:sz w:val="24"/>
          <w:szCs w:val="24"/>
          <w:u w:val="single"/>
        </w:rPr>
        <w:t xml:space="preserve"> </w:t>
      </w:r>
      <w:r>
        <w:rPr>
          <w:rFonts w:hint="eastAsia" w:ascii="宋体" w:hAnsi="宋体" w:cs="宋体"/>
          <w:color w:val="000000"/>
          <w:sz w:val="24"/>
          <w:szCs w:val="24"/>
          <w:u w:val="single"/>
        </w:rPr>
        <w:t>施工组织设计</w:t>
      </w:r>
      <w:r>
        <w:rPr>
          <w:rFonts w:ascii="宋体" w:hAnsi="宋体" w:cs="宋体"/>
          <w:color w:val="000000"/>
          <w:sz w:val="24"/>
          <w:szCs w:val="24"/>
        </w:rPr>
        <w:t xml:space="preserve"> </w:t>
      </w:r>
      <w:r>
        <w:rPr>
          <w:rFonts w:hint="eastAsia" w:ascii="宋体" w:hAnsi="宋体" w:cs="宋体"/>
          <w:color w:val="000000"/>
          <w:sz w:val="24"/>
          <w:szCs w:val="24"/>
        </w:rPr>
        <w:t>。</w:t>
      </w:r>
    </w:p>
    <w:p>
      <w:pPr>
        <w:spacing w:line="420" w:lineRule="auto"/>
        <w:ind w:firstLine="480"/>
        <w:rPr>
          <w:rFonts w:ascii="宋体" w:hAnsi="宋体" w:cs="Arial"/>
          <w:color w:val="000000"/>
          <w:sz w:val="24"/>
          <w:szCs w:val="24"/>
        </w:rPr>
      </w:pPr>
      <w:r>
        <w:rPr>
          <w:rFonts w:hint="eastAsia" w:ascii="宋体" w:hAnsi="宋体" w:cs="Arial"/>
          <w:color w:val="000000"/>
          <w:sz w:val="24"/>
          <w:szCs w:val="24"/>
        </w:rPr>
        <w:t>（说明：（6）、（7）、（8）填空内容分别限于技术标准和要求、图纸、已标价工程量清单三者之一。）</w:t>
      </w:r>
    </w:p>
    <w:p>
      <w:pPr>
        <w:bidi w:val="0"/>
        <w:rPr>
          <w:sz w:val="24"/>
          <w:szCs w:val="24"/>
        </w:rPr>
      </w:pPr>
      <w:bookmarkStart w:id="213" w:name="_Toc152045616"/>
      <w:bookmarkStart w:id="214" w:name="_Toc490331668"/>
      <w:bookmarkStart w:id="215" w:name="_Toc480303384"/>
      <w:bookmarkStart w:id="216" w:name="_Toc342296421"/>
      <w:bookmarkStart w:id="217" w:name="_Toc144974584"/>
      <w:bookmarkStart w:id="218" w:name="_Toc241459662"/>
      <w:bookmarkStart w:id="219" w:name="_Toc492202847"/>
      <w:bookmarkStart w:id="220" w:name="_Toc179632634"/>
      <w:bookmarkStart w:id="221" w:name="_Toc25763"/>
      <w:bookmarkStart w:id="222" w:name="_Toc152042394"/>
      <w:bookmarkStart w:id="223" w:name="_Toc485323151"/>
      <w:bookmarkStart w:id="224" w:name="_Toc489280183"/>
      <w:bookmarkStart w:id="225" w:name="_Toc491149507"/>
      <w:bookmarkStart w:id="226" w:name="_Toc486580377"/>
      <w:bookmarkStart w:id="227" w:name="_BookMark_5"/>
      <w:r>
        <w:rPr>
          <w:rFonts w:hint="eastAsia"/>
          <w:sz w:val="24"/>
          <w:szCs w:val="24"/>
        </w:rPr>
        <w:t xml:space="preserve">1.5 </w:t>
      </w:r>
      <w:r>
        <w:rPr>
          <w:sz w:val="24"/>
          <w:szCs w:val="24"/>
        </w:rPr>
        <w:t xml:space="preserve"> </w:t>
      </w:r>
      <w:r>
        <w:rPr>
          <w:rFonts w:hint="eastAsia"/>
          <w:sz w:val="24"/>
          <w:szCs w:val="24"/>
        </w:rPr>
        <w:t>合同协议书</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bookmarkEnd w:id="227"/>
    <w:p>
      <w:pPr>
        <w:spacing w:line="420" w:lineRule="auto"/>
        <w:ind w:firstLine="480" w:firstLineChars="200"/>
        <w:rPr>
          <w:rFonts w:ascii="宋体" w:hAnsi="宋体"/>
          <w:color w:val="000000"/>
          <w:sz w:val="24"/>
          <w:szCs w:val="24"/>
          <w:u w:val="single"/>
        </w:rPr>
      </w:pPr>
      <w:r>
        <w:rPr>
          <w:rFonts w:hint="eastAsia" w:ascii="宋体" w:hAnsi="宋体"/>
          <w:color w:val="000000"/>
          <w:sz w:val="24"/>
          <w:szCs w:val="24"/>
        </w:rPr>
        <w:t>合同生效的条件：</w:t>
      </w:r>
      <w:r>
        <w:rPr>
          <w:rFonts w:hint="eastAsia" w:ascii="宋体" w:hAnsi="宋体" w:cs="宋体"/>
          <w:color w:val="000000"/>
          <w:sz w:val="24"/>
          <w:szCs w:val="24"/>
          <w:u w:val="single"/>
        </w:rPr>
        <w:t>本合同双方法定代表人或其委托代理人签字并加盖双方合同专用章或公章后生效。</w:t>
      </w:r>
    </w:p>
    <w:p>
      <w:pPr>
        <w:bidi w:val="0"/>
        <w:rPr>
          <w:sz w:val="24"/>
          <w:szCs w:val="24"/>
        </w:rPr>
      </w:pPr>
      <w:bookmarkStart w:id="228" w:name="_Toc30712"/>
      <w:bookmarkStart w:id="229" w:name="_Toc480303385"/>
      <w:bookmarkStart w:id="230" w:name="_Toc486580378"/>
      <w:bookmarkStart w:id="231" w:name="_Toc144974585"/>
      <w:bookmarkStart w:id="232" w:name="_Toc179632635"/>
      <w:bookmarkStart w:id="233" w:name="_Toc490331669"/>
      <w:bookmarkStart w:id="234" w:name="_Toc241459663"/>
      <w:bookmarkStart w:id="235" w:name="_Toc485323152"/>
      <w:bookmarkStart w:id="236" w:name="_Toc152045617"/>
      <w:bookmarkStart w:id="237" w:name="_Toc342296422"/>
      <w:bookmarkStart w:id="238" w:name="_Toc491149508"/>
      <w:bookmarkStart w:id="239" w:name="_Toc489280184"/>
      <w:bookmarkStart w:id="240" w:name="_Toc152042395"/>
      <w:bookmarkStart w:id="241" w:name="_Toc492202848"/>
      <w:bookmarkStart w:id="242" w:name="_BookMark_6"/>
      <w:r>
        <w:rPr>
          <w:rFonts w:hint="eastAsia"/>
          <w:sz w:val="24"/>
          <w:szCs w:val="24"/>
        </w:rPr>
        <w:t>1.6  图纸和承包人文件</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bookmarkEnd w:id="242"/>
    <w:p>
      <w:pPr>
        <w:spacing w:line="420" w:lineRule="auto"/>
        <w:ind w:firstLine="480" w:firstLineChars="200"/>
        <w:jc w:val="left"/>
        <w:rPr>
          <w:rFonts w:ascii="宋体" w:hAnsi="宋体"/>
          <w:color w:val="000000"/>
          <w:sz w:val="24"/>
          <w:szCs w:val="24"/>
        </w:rPr>
      </w:pPr>
      <w:r>
        <w:rPr>
          <w:rFonts w:hint="eastAsia" w:ascii="宋体" w:hAnsi="宋体"/>
          <w:color w:val="000000"/>
          <w:sz w:val="24"/>
          <w:szCs w:val="24"/>
        </w:rPr>
        <w:t>1.6.1  图纸的提供</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）发包人提供图纸的期限：</w:t>
      </w:r>
      <w:r>
        <w:rPr>
          <w:rFonts w:hint="eastAsia" w:ascii="宋体" w:hAnsi="宋体" w:cs="宋体"/>
          <w:color w:val="000000"/>
          <w:sz w:val="24"/>
          <w:szCs w:val="24"/>
          <w:u w:val="single"/>
        </w:rPr>
        <w:t>在承包人进场前提前</w:t>
      </w:r>
      <w:r>
        <w:rPr>
          <w:rFonts w:ascii="宋体" w:hAnsi="宋体" w:cs="宋体"/>
          <w:color w:val="000000"/>
          <w:sz w:val="24"/>
          <w:szCs w:val="24"/>
          <w:u w:val="single"/>
        </w:rPr>
        <w:t>7</w:t>
      </w:r>
      <w:r>
        <w:rPr>
          <w:rFonts w:hint="eastAsia" w:ascii="宋体" w:hAnsi="宋体" w:cs="宋体"/>
          <w:color w:val="000000"/>
          <w:sz w:val="24"/>
          <w:szCs w:val="24"/>
          <w:u w:val="single"/>
        </w:rPr>
        <w:t>天</w:t>
      </w:r>
      <w:r>
        <w:rPr>
          <w:rFonts w:ascii="宋体" w:hAnsi="宋体" w:cs="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ind w:firstLine="960" w:firstLineChars="400"/>
        <w:rPr>
          <w:rFonts w:ascii="宋体"/>
          <w:color w:val="000000"/>
          <w:sz w:val="24"/>
          <w:szCs w:val="24"/>
        </w:rPr>
      </w:pPr>
      <w:r>
        <w:rPr>
          <w:rFonts w:hint="eastAsia" w:ascii="宋体" w:hAnsi="宋体"/>
          <w:color w:val="000000"/>
          <w:sz w:val="24"/>
          <w:szCs w:val="24"/>
        </w:rPr>
        <w:t>发包人提供图纸的数量：</w:t>
      </w:r>
      <w:r>
        <w:rPr>
          <w:rFonts w:hint="eastAsia" w:ascii="宋体" w:hAnsi="宋体"/>
          <w:color w:val="000000"/>
          <w:sz w:val="24"/>
          <w:szCs w:val="24"/>
          <w:u w:val="single"/>
        </w:rPr>
        <w:t xml:space="preserve">   </w:t>
      </w:r>
      <w:r>
        <w:rPr>
          <w:rFonts w:ascii="宋体" w:hAnsi="宋体" w:cs="宋体"/>
          <w:color w:val="000000"/>
          <w:sz w:val="24"/>
          <w:szCs w:val="24"/>
          <w:u w:val="single"/>
        </w:rPr>
        <w:t>6</w:t>
      </w:r>
      <w:r>
        <w:rPr>
          <w:rFonts w:hint="eastAsia" w:ascii="宋体" w:hAnsi="宋体" w:cs="宋体"/>
          <w:color w:val="000000"/>
          <w:sz w:val="24"/>
          <w:szCs w:val="24"/>
          <w:u w:val="single"/>
        </w:rPr>
        <w:t>套施工图</w:t>
      </w:r>
      <w:r>
        <w:rPr>
          <w:rFonts w:ascii="宋体" w:hAnsi="宋体" w:cs="宋体"/>
          <w:color w:val="000000"/>
          <w:sz w:val="24"/>
          <w:szCs w:val="24"/>
          <w:u w:val="single"/>
        </w:rPr>
        <w:t>(</w:t>
      </w:r>
      <w:r>
        <w:rPr>
          <w:rFonts w:hint="eastAsia" w:ascii="宋体" w:hAnsi="宋体" w:cs="宋体"/>
          <w:color w:val="000000"/>
          <w:sz w:val="24"/>
          <w:szCs w:val="24"/>
          <w:u w:val="single"/>
        </w:rPr>
        <w:t>包括编制竣工图的图纸</w:t>
      </w:r>
      <w:r>
        <w:rPr>
          <w:rFonts w:ascii="宋体" w:hAnsi="宋体" w:cs="宋体"/>
          <w:color w:val="000000"/>
          <w:sz w:val="24"/>
          <w:szCs w:val="24"/>
          <w:u w:val="single"/>
        </w:rPr>
        <w:t>)</w:t>
      </w:r>
      <w:r>
        <w:rPr>
          <w:rFonts w:hint="eastAsia" w:ascii="宋体" w:hAnsi="宋体" w:cs="宋体"/>
          <w:color w:val="000000"/>
          <w:sz w:val="24"/>
          <w:szCs w:val="24"/>
        </w:rPr>
        <w:t>。</w:t>
      </w:r>
    </w:p>
    <w:p>
      <w:pPr>
        <w:spacing w:line="420" w:lineRule="auto"/>
        <w:ind w:firstLine="840" w:firstLineChars="350"/>
        <w:rPr>
          <w:rFonts w:ascii="宋体" w:hAnsi="宋体"/>
          <w:color w:val="000000"/>
          <w:sz w:val="24"/>
          <w:szCs w:val="24"/>
        </w:rPr>
      </w:pPr>
      <w:r>
        <w:rPr>
          <w:rFonts w:hint="eastAsia" w:ascii="宋体" w:hAnsi="宋体"/>
          <w:color w:val="000000"/>
          <w:sz w:val="24"/>
          <w:szCs w:val="24"/>
        </w:rPr>
        <w:t>其他约定：</w:t>
      </w:r>
      <w:r>
        <w:rPr>
          <w:rFonts w:hint="eastAsia" w:ascii="宋体" w:hAnsi="宋体"/>
          <w:color w:val="000000"/>
          <w:sz w:val="24"/>
          <w:szCs w:val="24"/>
          <w:u w:val="single"/>
        </w:rPr>
        <w:t xml:space="preserve">     无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spacing w:line="420" w:lineRule="auto"/>
        <w:ind w:firstLine="480" w:firstLineChars="200"/>
        <w:jc w:val="left"/>
        <w:rPr>
          <w:rFonts w:ascii="宋体" w:hAnsi="宋体"/>
          <w:color w:val="000000"/>
          <w:sz w:val="24"/>
          <w:szCs w:val="24"/>
        </w:rPr>
      </w:pPr>
      <w:r>
        <w:rPr>
          <w:rFonts w:hint="eastAsia" w:ascii="宋体" w:hAnsi="宋体"/>
          <w:color w:val="000000"/>
          <w:sz w:val="24"/>
          <w:szCs w:val="24"/>
        </w:rPr>
        <w:t>1.6.2  承包人提供的文件</w:t>
      </w:r>
    </w:p>
    <w:p>
      <w:pPr>
        <w:spacing w:line="420" w:lineRule="auto"/>
        <w:ind w:firstLine="360" w:firstLineChars="150"/>
        <w:rPr>
          <w:rFonts w:ascii="宋体" w:hAnsi="宋体" w:cs="宋体"/>
          <w:color w:val="000000"/>
          <w:sz w:val="24"/>
          <w:szCs w:val="24"/>
          <w:u w:val="single"/>
        </w:rPr>
      </w:pPr>
      <w:r>
        <w:rPr>
          <w:rFonts w:hint="eastAsia" w:ascii="宋体" w:hAnsi="宋体"/>
          <w:color w:val="000000"/>
          <w:sz w:val="24"/>
          <w:szCs w:val="24"/>
        </w:rPr>
        <w:t>（1）由承包人提供的文件范围：</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w:t>
      </w:r>
      <w:r>
        <w:rPr>
          <w:rFonts w:hint="eastAsia" w:ascii="宋体" w:hAnsi="宋体" w:cs="宋体"/>
          <w:color w:val="000000"/>
          <w:sz w:val="24"/>
          <w:szCs w:val="24"/>
          <w:u w:val="single"/>
        </w:rPr>
        <w:t>工程施工组织设计、施工总进度计划、资金拨付计划、用水、电计划、材料设备采购计划（包括发包人提供材料和设备的使用计划）。（</w:t>
      </w:r>
      <w:r>
        <w:rPr>
          <w:rFonts w:ascii="宋体" w:hAnsi="宋体" w:cs="宋体"/>
          <w:color w:val="000000"/>
          <w:sz w:val="24"/>
          <w:szCs w:val="24"/>
          <w:u w:val="single"/>
        </w:rPr>
        <w:t>2</w:t>
      </w:r>
      <w:r>
        <w:rPr>
          <w:rFonts w:hint="eastAsia" w:ascii="宋体" w:hAnsi="宋体" w:cs="宋体"/>
          <w:color w:val="000000"/>
          <w:sz w:val="24"/>
          <w:szCs w:val="24"/>
          <w:u w:val="single"/>
        </w:rPr>
        <w:t>）按照发包人要求提供工程有关报表，包括本月完成工程量、下月进度计划、材料设备进场计划、劳动力计划等。</w:t>
      </w:r>
    </w:p>
    <w:p>
      <w:pPr>
        <w:spacing w:line="420" w:lineRule="auto"/>
        <w:ind w:firstLine="360" w:firstLineChars="150"/>
        <w:rPr>
          <w:rFonts w:ascii="宋体" w:hAnsi="宋体" w:cs="宋体"/>
          <w:color w:val="000000"/>
          <w:sz w:val="24"/>
          <w:szCs w:val="24"/>
          <w:u w:val="single"/>
        </w:rPr>
      </w:pPr>
      <w:r>
        <w:rPr>
          <w:rFonts w:hint="eastAsia" w:ascii="宋体" w:hAnsi="宋体"/>
          <w:color w:val="000000"/>
          <w:sz w:val="24"/>
          <w:szCs w:val="24"/>
        </w:rPr>
        <w:t>承包人提供文件的期限：</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ascii="宋体" w:hAnsi="宋体" w:cs="宋体"/>
          <w:color w:val="000000"/>
          <w:sz w:val="24"/>
          <w:szCs w:val="24"/>
          <w:u w:val="single"/>
        </w:rPr>
        <w:t>1</w:t>
      </w:r>
      <w:r>
        <w:rPr>
          <w:rFonts w:hint="eastAsia" w:ascii="宋体" w:hAnsi="宋体" w:cs="宋体"/>
          <w:color w:val="000000"/>
          <w:sz w:val="24"/>
          <w:szCs w:val="24"/>
          <w:u w:val="single"/>
        </w:rPr>
        <w:t>）开工前</w:t>
      </w:r>
      <w:r>
        <w:rPr>
          <w:rFonts w:ascii="宋体" w:hAnsi="宋体" w:cs="宋体"/>
          <w:color w:val="000000"/>
          <w:sz w:val="24"/>
          <w:szCs w:val="24"/>
          <w:u w:val="single"/>
        </w:rPr>
        <w:t>7</w:t>
      </w:r>
      <w:r>
        <w:rPr>
          <w:rFonts w:hint="eastAsia" w:ascii="宋体" w:hAnsi="宋体" w:cs="宋体"/>
          <w:color w:val="000000"/>
          <w:sz w:val="24"/>
          <w:szCs w:val="24"/>
          <w:u w:val="single"/>
        </w:rPr>
        <w:t>天；（</w:t>
      </w:r>
      <w:r>
        <w:rPr>
          <w:rFonts w:ascii="宋体" w:hAnsi="宋体" w:cs="宋体"/>
          <w:color w:val="000000"/>
          <w:sz w:val="24"/>
          <w:szCs w:val="24"/>
          <w:u w:val="single"/>
        </w:rPr>
        <w:t>2</w:t>
      </w:r>
      <w:r>
        <w:rPr>
          <w:rFonts w:hint="eastAsia" w:ascii="宋体" w:hAnsi="宋体" w:cs="宋体"/>
          <w:color w:val="000000"/>
          <w:sz w:val="24"/>
          <w:szCs w:val="24"/>
          <w:u w:val="single"/>
        </w:rPr>
        <w:t>）每月</w:t>
      </w:r>
      <w:r>
        <w:rPr>
          <w:rFonts w:ascii="宋体" w:hAnsi="宋体" w:cs="宋体"/>
          <w:color w:val="000000"/>
          <w:sz w:val="24"/>
          <w:szCs w:val="24"/>
          <w:u w:val="single"/>
        </w:rPr>
        <w:t>25</w:t>
      </w:r>
      <w:r>
        <w:rPr>
          <w:rFonts w:hint="eastAsia" w:ascii="宋体" w:hAnsi="宋体" w:cs="宋体"/>
          <w:color w:val="000000"/>
          <w:sz w:val="24"/>
          <w:szCs w:val="24"/>
          <w:u w:val="single"/>
        </w:rPr>
        <w:t>日。</w:t>
      </w:r>
    </w:p>
    <w:p>
      <w:pPr>
        <w:spacing w:line="420" w:lineRule="auto"/>
        <w:ind w:firstLine="360" w:firstLineChars="150"/>
        <w:rPr>
          <w:rFonts w:ascii="宋体" w:hAnsi="宋体"/>
          <w:color w:val="000000"/>
          <w:sz w:val="24"/>
          <w:szCs w:val="24"/>
        </w:rPr>
      </w:pPr>
      <w:r>
        <w:rPr>
          <w:rFonts w:hint="eastAsia" w:ascii="宋体" w:hAnsi="宋体"/>
          <w:color w:val="000000"/>
          <w:sz w:val="24"/>
          <w:szCs w:val="24"/>
        </w:rPr>
        <w:t>承包人提供文件的数量：</w:t>
      </w:r>
      <w:r>
        <w:rPr>
          <w:rFonts w:hint="eastAsia" w:ascii="宋体" w:hAnsi="宋体"/>
          <w:color w:val="000000"/>
          <w:sz w:val="24"/>
          <w:szCs w:val="24"/>
          <w:u w:val="single"/>
        </w:rPr>
        <w:t xml:space="preserve">  </w:t>
      </w:r>
      <w:r>
        <w:rPr>
          <w:rFonts w:ascii="宋体" w:hAnsi="宋体" w:cs="宋体"/>
          <w:color w:val="000000"/>
          <w:sz w:val="24"/>
          <w:szCs w:val="24"/>
          <w:u w:val="single"/>
        </w:rPr>
        <w:t>3</w:t>
      </w:r>
      <w:r>
        <w:rPr>
          <w:rFonts w:hint="eastAsia" w:ascii="宋体" w:hAnsi="宋体" w:cs="宋体"/>
          <w:color w:val="000000"/>
          <w:sz w:val="24"/>
          <w:szCs w:val="24"/>
          <w:u w:val="single"/>
        </w:rPr>
        <w:t>份</w:t>
      </w:r>
      <w:r>
        <w:rPr>
          <w:rFonts w:ascii="宋体" w:hAnsi="宋体" w:cs="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监理人批复承包人提供文件的期限：</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ascii="宋体" w:hAnsi="宋体" w:cs="宋体"/>
          <w:color w:val="000000"/>
          <w:sz w:val="24"/>
          <w:szCs w:val="24"/>
          <w:u w:val="single"/>
        </w:rPr>
        <w:t>1</w:t>
      </w:r>
      <w:r>
        <w:rPr>
          <w:rFonts w:hint="eastAsia" w:ascii="宋体" w:hAnsi="宋体" w:cs="宋体"/>
          <w:color w:val="000000"/>
          <w:sz w:val="24"/>
          <w:szCs w:val="24"/>
          <w:u w:val="single"/>
        </w:rPr>
        <w:t>）</w:t>
      </w:r>
      <w:r>
        <w:rPr>
          <w:rFonts w:ascii="宋体" w:hAnsi="宋体" w:cs="宋体"/>
          <w:color w:val="000000"/>
          <w:sz w:val="24"/>
          <w:szCs w:val="24"/>
          <w:u w:val="single"/>
        </w:rPr>
        <w:t>7</w:t>
      </w:r>
      <w:r>
        <w:rPr>
          <w:rFonts w:hint="eastAsia" w:ascii="宋体" w:hAnsi="宋体" w:cs="宋体"/>
          <w:color w:val="000000"/>
          <w:sz w:val="24"/>
          <w:szCs w:val="24"/>
          <w:u w:val="single"/>
        </w:rPr>
        <w:t>日内批复；（</w:t>
      </w:r>
      <w:r>
        <w:rPr>
          <w:rFonts w:ascii="宋体" w:hAnsi="宋体" w:cs="宋体"/>
          <w:color w:val="000000"/>
          <w:sz w:val="24"/>
          <w:szCs w:val="24"/>
          <w:u w:val="single"/>
        </w:rPr>
        <w:t>2</w:t>
      </w:r>
      <w:r>
        <w:rPr>
          <w:rFonts w:hint="eastAsia" w:ascii="宋体" w:hAnsi="宋体" w:cs="宋体"/>
          <w:color w:val="000000"/>
          <w:sz w:val="24"/>
          <w:szCs w:val="24"/>
          <w:u w:val="single"/>
        </w:rPr>
        <w:t>）</w:t>
      </w:r>
      <w:r>
        <w:rPr>
          <w:rFonts w:ascii="宋体" w:hAnsi="宋体" w:cs="宋体"/>
          <w:color w:val="000000"/>
          <w:sz w:val="24"/>
          <w:szCs w:val="24"/>
          <w:u w:val="single"/>
        </w:rPr>
        <w:t>3</w:t>
      </w:r>
      <w:r>
        <w:rPr>
          <w:rFonts w:hint="eastAsia" w:ascii="宋体" w:hAnsi="宋体" w:cs="宋体"/>
          <w:color w:val="000000"/>
          <w:sz w:val="24"/>
          <w:szCs w:val="24"/>
          <w:u w:val="single"/>
        </w:rPr>
        <w:t>日内批复</w:t>
      </w:r>
      <w:r>
        <w:rPr>
          <w:rFonts w:ascii="宋体" w:hAnsi="宋体" w:cs="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其他约定：</w:t>
      </w:r>
      <w:r>
        <w:rPr>
          <w:rFonts w:hint="eastAsia" w:ascii="宋体" w:hAnsi="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olor w:val="000000"/>
          <w:sz w:val="24"/>
          <w:szCs w:val="24"/>
          <w:u w:val="single"/>
        </w:rPr>
        <w:t xml:space="preserve">                         </w:t>
      </w:r>
    </w:p>
    <w:p>
      <w:pPr>
        <w:bidi w:val="0"/>
        <w:rPr>
          <w:sz w:val="24"/>
          <w:szCs w:val="24"/>
        </w:rPr>
      </w:pPr>
      <w:bookmarkStart w:id="243" w:name="_Toc152042396"/>
      <w:bookmarkStart w:id="244" w:name="_Toc480303386"/>
      <w:bookmarkStart w:id="245" w:name="_Toc179632636"/>
      <w:bookmarkStart w:id="246" w:name="_Toc342296423"/>
      <w:bookmarkStart w:id="247" w:name="_Toc144974586"/>
      <w:bookmarkStart w:id="248" w:name="_Toc485323153"/>
      <w:bookmarkStart w:id="249" w:name="_Toc152045618"/>
      <w:bookmarkStart w:id="250" w:name="_Toc490331670"/>
      <w:bookmarkStart w:id="251" w:name="_Toc489280185"/>
      <w:bookmarkStart w:id="252" w:name="_Toc492202849"/>
      <w:bookmarkStart w:id="253" w:name="_Toc31084"/>
      <w:bookmarkStart w:id="254" w:name="_Toc486580379"/>
      <w:bookmarkStart w:id="255" w:name="_Toc241459664"/>
      <w:bookmarkStart w:id="256" w:name="_Toc491149509"/>
      <w:bookmarkStart w:id="257" w:name="_BookMark_7"/>
      <w:r>
        <w:rPr>
          <w:rFonts w:hint="eastAsia"/>
          <w:sz w:val="24"/>
          <w:szCs w:val="24"/>
        </w:rPr>
        <w:t>1.7  联 络</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bookmarkEnd w:id="257"/>
    <w:p>
      <w:pPr>
        <w:spacing w:line="420" w:lineRule="auto"/>
        <w:ind w:firstLine="480" w:firstLineChars="200"/>
        <w:jc w:val="left"/>
        <w:rPr>
          <w:rFonts w:ascii="宋体" w:hAnsi="宋体" w:cs="Arial"/>
          <w:color w:val="000000"/>
          <w:sz w:val="24"/>
          <w:szCs w:val="24"/>
        </w:rPr>
      </w:pPr>
      <w:r>
        <w:rPr>
          <w:rFonts w:hint="eastAsia" w:ascii="宋体" w:hAnsi="宋体"/>
          <w:color w:val="000000"/>
          <w:sz w:val="24"/>
          <w:szCs w:val="24"/>
        </w:rPr>
        <w:t>1.7.2  联络来往函件的送达和接收</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（2）发包人指定的接收地点：</w:t>
      </w:r>
      <w:r>
        <w:rPr>
          <w:rFonts w:hint="eastAsia" w:ascii="宋体" w:hAnsi="宋体"/>
          <w:color w:val="000000"/>
          <w:sz w:val="24"/>
          <w:szCs w:val="24"/>
          <w:u w:val="single"/>
        </w:rPr>
        <w:t xml:space="preserve">  </w:t>
      </w:r>
      <w:r>
        <w:rPr>
          <w:rFonts w:hint="eastAsia" w:ascii="宋体" w:hAnsi="宋体" w:cs="宋体"/>
          <w:color w:val="000000"/>
          <w:sz w:val="24"/>
          <w:szCs w:val="24"/>
          <w:u w:val="single"/>
        </w:rPr>
        <w:t>施工现场</w:t>
      </w:r>
      <w:r>
        <w:rPr>
          <w:rFonts w:hint="eastAsia" w:ascii="宋体" w:hAnsi="宋体"/>
          <w:color w:val="000000"/>
          <w:sz w:val="24"/>
          <w:szCs w:val="24"/>
          <w:u w:val="single"/>
        </w:rPr>
        <w:t xml:space="preserve">                 </w:t>
      </w:r>
      <w:r>
        <w:rPr>
          <w:rFonts w:hint="eastAsia" w:ascii="宋体" w:hAnsi="宋体" w:cs="宋体"/>
          <w:color w:val="000000"/>
          <w:sz w:val="24"/>
          <w:szCs w:val="24"/>
        </w:rPr>
        <w:t>。</w:t>
      </w:r>
    </w:p>
    <w:p>
      <w:pPr>
        <w:spacing w:line="420" w:lineRule="auto"/>
        <w:ind w:firstLine="648" w:firstLineChars="270"/>
        <w:jc w:val="left"/>
        <w:rPr>
          <w:rFonts w:ascii="宋体" w:hAnsi="宋体"/>
          <w:color w:val="000000"/>
          <w:sz w:val="24"/>
          <w:szCs w:val="24"/>
        </w:rPr>
      </w:pPr>
      <w:r>
        <w:rPr>
          <w:rFonts w:hint="eastAsia" w:ascii="宋体" w:hAnsi="宋体"/>
          <w:color w:val="000000"/>
          <w:sz w:val="24"/>
          <w:szCs w:val="24"/>
        </w:rPr>
        <w:t>发包人指定的接收人为：</w:t>
      </w:r>
      <w:r>
        <w:rPr>
          <w:rFonts w:hint="eastAsia" w:ascii="宋体" w:hAnsi="宋体" w:cs="宋体"/>
          <w:color w:val="000000"/>
          <w:sz w:val="24"/>
          <w:szCs w:val="24"/>
          <w:u w:val="single"/>
        </w:rPr>
        <w:t>待定</w:t>
      </w:r>
      <w:r>
        <w:rPr>
          <w:rFonts w:hint="eastAsia" w:ascii="宋体" w:hAnsi="宋体"/>
          <w:color w:val="000000"/>
          <w:sz w:val="24"/>
          <w:szCs w:val="24"/>
          <w:u w:val="single"/>
        </w:rPr>
        <w:t xml:space="preserve">                           </w:t>
      </w:r>
      <w:r>
        <w:rPr>
          <w:rFonts w:hint="eastAsia" w:ascii="宋体" w:hAnsi="宋体" w:cs="宋体"/>
          <w:color w:val="000000"/>
          <w:sz w:val="24"/>
          <w:szCs w:val="24"/>
        </w:rPr>
        <w:t>。</w:t>
      </w:r>
    </w:p>
    <w:p>
      <w:pPr>
        <w:spacing w:line="420" w:lineRule="auto"/>
        <w:ind w:firstLine="480" w:firstLineChars="200"/>
        <w:jc w:val="left"/>
        <w:rPr>
          <w:rFonts w:ascii="宋体" w:hAnsi="宋体"/>
          <w:color w:val="000000"/>
          <w:sz w:val="24"/>
          <w:szCs w:val="24"/>
        </w:rPr>
      </w:pPr>
      <w:r>
        <w:rPr>
          <w:rFonts w:hint="eastAsia" w:ascii="宋体" w:hAnsi="宋体"/>
          <w:color w:val="000000"/>
          <w:sz w:val="24"/>
          <w:szCs w:val="24"/>
        </w:rPr>
        <w:t>（3）监理人指定的接收地点：</w:t>
      </w:r>
      <w:r>
        <w:rPr>
          <w:rFonts w:hint="eastAsia" w:ascii="宋体" w:hAnsi="宋体" w:cs="宋体"/>
          <w:color w:val="000000"/>
          <w:sz w:val="24"/>
          <w:szCs w:val="24"/>
          <w:u w:val="single"/>
        </w:rPr>
        <w:t>待定</w:t>
      </w:r>
      <w:r>
        <w:rPr>
          <w:rFonts w:hint="eastAsia" w:ascii="宋体" w:hAnsi="宋体"/>
          <w:color w:val="000000"/>
          <w:sz w:val="24"/>
          <w:szCs w:val="24"/>
          <w:u w:val="single"/>
        </w:rPr>
        <w:t xml:space="preserve">                       </w:t>
      </w:r>
      <w:r>
        <w:rPr>
          <w:rFonts w:hint="eastAsia" w:ascii="宋体" w:hAnsi="宋体" w:cs="宋体"/>
          <w:color w:val="000000"/>
          <w:sz w:val="24"/>
          <w:szCs w:val="24"/>
        </w:rPr>
        <w:t>。</w:t>
      </w:r>
    </w:p>
    <w:p>
      <w:pPr>
        <w:spacing w:line="420" w:lineRule="auto"/>
        <w:ind w:firstLine="648" w:firstLineChars="270"/>
        <w:rPr>
          <w:rFonts w:ascii="宋体" w:hAnsi="宋体"/>
          <w:color w:val="000000"/>
          <w:sz w:val="24"/>
          <w:szCs w:val="24"/>
          <w:u w:val="single"/>
        </w:rPr>
      </w:pPr>
      <w:r>
        <w:rPr>
          <w:rFonts w:hint="eastAsia" w:ascii="宋体" w:hAnsi="宋体"/>
          <w:color w:val="000000"/>
          <w:sz w:val="24"/>
          <w:szCs w:val="24"/>
        </w:rPr>
        <w:t>监理人指定的接收人为：</w:t>
      </w:r>
      <w:r>
        <w:rPr>
          <w:rFonts w:hint="eastAsia" w:ascii="宋体" w:hAnsi="宋体" w:cs="宋体"/>
          <w:color w:val="000000"/>
          <w:sz w:val="24"/>
          <w:szCs w:val="24"/>
          <w:u w:val="single"/>
        </w:rPr>
        <w:t>待定</w:t>
      </w:r>
      <w:r>
        <w:rPr>
          <w:rFonts w:hint="eastAsia" w:ascii="宋体" w:hAnsi="宋体"/>
          <w:color w:val="000000"/>
          <w:sz w:val="24"/>
          <w:szCs w:val="24"/>
          <w:u w:val="single"/>
        </w:rPr>
        <w:t xml:space="preserve">                           </w:t>
      </w:r>
      <w:r>
        <w:rPr>
          <w:rFonts w:hint="eastAsia" w:ascii="宋体" w:hAnsi="宋体" w:cs="宋体"/>
          <w:color w:val="000000"/>
          <w:sz w:val="24"/>
          <w:szCs w:val="24"/>
        </w:rPr>
        <w:t>。</w:t>
      </w:r>
    </w:p>
    <w:p>
      <w:pPr>
        <w:spacing w:line="420" w:lineRule="auto"/>
        <w:ind w:firstLine="480" w:firstLineChars="200"/>
        <w:jc w:val="left"/>
        <w:rPr>
          <w:rFonts w:ascii="宋体" w:hAnsi="宋体" w:cs="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）承包人指定的接收地点：</w:t>
      </w:r>
      <w:r>
        <w:rPr>
          <w:rFonts w:hint="eastAsia" w:ascii="宋体" w:hAnsi="宋体" w:cs="宋体"/>
          <w:color w:val="000000"/>
          <w:sz w:val="24"/>
          <w:szCs w:val="24"/>
          <w:u w:val="single"/>
        </w:rPr>
        <w:t>待定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s="宋体"/>
          <w:color w:val="000000"/>
          <w:sz w:val="24"/>
          <w:szCs w:val="24"/>
        </w:rPr>
        <w:t>。</w:t>
      </w:r>
    </w:p>
    <w:p>
      <w:pPr>
        <w:spacing w:line="420" w:lineRule="auto"/>
        <w:ind w:firstLine="960" w:firstLineChars="400"/>
        <w:jc w:val="left"/>
        <w:rPr>
          <w:rFonts w:ascii="宋体" w:hAnsi="宋体"/>
          <w:color w:val="000000"/>
          <w:sz w:val="24"/>
          <w:szCs w:val="24"/>
        </w:rPr>
      </w:pPr>
      <w:r>
        <w:rPr>
          <w:rFonts w:hint="eastAsia" w:ascii="宋体" w:hAnsi="宋体" w:cs="宋体"/>
          <w:color w:val="000000"/>
          <w:sz w:val="24"/>
          <w:szCs w:val="24"/>
        </w:rPr>
        <w:t>承包人指定的接收人为：</w:t>
      </w:r>
      <w:r>
        <w:rPr>
          <w:rFonts w:hint="eastAsia" w:ascii="宋体" w:hAnsi="宋体" w:cs="宋体"/>
          <w:color w:val="000000"/>
          <w:sz w:val="24"/>
          <w:szCs w:val="24"/>
          <w:u w:val="single"/>
        </w:rPr>
        <w:t xml:space="preserve">   待定          </w:t>
      </w:r>
    </w:p>
    <w:p>
      <w:pPr>
        <w:bidi w:val="0"/>
        <w:spacing w:line="360" w:lineRule="auto"/>
        <w:rPr>
          <w:sz w:val="24"/>
          <w:szCs w:val="24"/>
        </w:rPr>
      </w:pPr>
      <w:bookmarkStart w:id="258" w:name="_Toc491149510"/>
      <w:bookmarkStart w:id="259" w:name="_Toc179632642"/>
      <w:bookmarkStart w:id="260" w:name="_Toc144974592"/>
      <w:bookmarkStart w:id="261" w:name="_Toc486580380"/>
      <w:bookmarkStart w:id="262" w:name="_Toc7460"/>
      <w:bookmarkStart w:id="263" w:name="_Toc490331671"/>
      <w:bookmarkStart w:id="264" w:name="_Toc342296424"/>
      <w:bookmarkStart w:id="265" w:name="_Toc152042402"/>
      <w:bookmarkStart w:id="266" w:name="_Toc492202850"/>
      <w:bookmarkStart w:id="267" w:name="_Toc485323154"/>
      <w:bookmarkStart w:id="268" w:name="_Toc489280186"/>
      <w:bookmarkStart w:id="269" w:name="_Toc480303387"/>
      <w:bookmarkStart w:id="270" w:name="_Toc152045624"/>
      <w:bookmarkStart w:id="271" w:name="_Toc241459665"/>
      <w:bookmarkStart w:id="272" w:name="_BookMark_8"/>
      <w:r>
        <w:rPr>
          <w:rFonts w:hint="eastAsia"/>
          <w:sz w:val="24"/>
          <w:szCs w:val="24"/>
        </w:rPr>
        <w:t>2.发包人义务</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bookmarkEnd w:id="272"/>
    <w:p>
      <w:pPr>
        <w:bidi w:val="0"/>
        <w:spacing w:line="360" w:lineRule="auto"/>
        <w:rPr>
          <w:sz w:val="24"/>
          <w:szCs w:val="24"/>
        </w:rPr>
      </w:pPr>
      <w:bookmarkStart w:id="273" w:name="_Toc491149511"/>
      <w:bookmarkStart w:id="274" w:name="_Toc485323155"/>
      <w:bookmarkStart w:id="275" w:name="_Toc489280187"/>
      <w:bookmarkStart w:id="276" w:name="_Toc179632645"/>
      <w:bookmarkStart w:id="277" w:name="_Toc144974595"/>
      <w:bookmarkStart w:id="278" w:name="_Toc490331672"/>
      <w:bookmarkStart w:id="279" w:name="_Toc342296425"/>
      <w:bookmarkStart w:id="280" w:name="_Toc152042405"/>
      <w:bookmarkStart w:id="281" w:name="_Toc486580381"/>
      <w:bookmarkStart w:id="282" w:name="_Toc492202851"/>
      <w:bookmarkStart w:id="283" w:name="_Toc480303388"/>
      <w:bookmarkStart w:id="284" w:name="_Toc241459666"/>
      <w:bookmarkStart w:id="285" w:name="_Toc27248"/>
      <w:bookmarkStart w:id="286" w:name="_Toc152045627"/>
      <w:bookmarkStart w:id="287" w:name="_BookMark_9"/>
      <w:r>
        <w:rPr>
          <w:rFonts w:hint="eastAsia"/>
          <w:sz w:val="24"/>
          <w:szCs w:val="24"/>
        </w:rPr>
        <w:t>2.3  提供施工场地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bookmarkEnd w:id="287"/>
    <w:p>
      <w:pPr>
        <w:spacing w:line="360" w:lineRule="auto"/>
        <w:ind w:firstLine="480" w:firstLineChars="200"/>
        <w:rPr>
          <w:rFonts w:ascii="宋体" w:hAnsi="宋体"/>
          <w:color w:val="000000"/>
          <w:sz w:val="24"/>
          <w:szCs w:val="24"/>
        </w:rPr>
      </w:pPr>
      <w:r>
        <w:rPr>
          <w:rFonts w:hint="eastAsia" w:ascii="宋体" w:hAnsi="宋体"/>
          <w:color w:val="000000"/>
          <w:sz w:val="24"/>
          <w:szCs w:val="24"/>
        </w:rPr>
        <w:t>发包人移交施工场地的期限：发包人应当将具备施工条件的施工场地，在监理人发出开工通知中载明的开工日期</w:t>
      </w:r>
      <w:r>
        <w:rPr>
          <w:rFonts w:hint="eastAsia" w:ascii="宋体" w:hAnsi="宋体"/>
          <w:color w:val="000000"/>
          <w:sz w:val="24"/>
          <w:szCs w:val="24"/>
          <w:u w:val="single"/>
        </w:rPr>
        <w:t xml:space="preserve">   7   </w:t>
      </w:r>
      <w:r>
        <w:rPr>
          <w:rFonts w:hint="eastAsia" w:ascii="宋体" w:hAnsi="宋体"/>
          <w:color w:val="000000"/>
          <w:sz w:val="24"/>
          <w:szCs w:val="24"/>
        </w:rPr>
        <w:t>天前移交给承包人。</w:t>
      </w:r>
      <w:bookmarkStart w:id="288" w:name="_Toc152045630"/>
      <w:bookmarkStart w:id="289" w:name="_Toc152042408"/>
      <w:bookmarkStart w:id="290" w:name="_Toc179632648"/>
      <w:bookmarkStart w:id="291" w:name="_Toc144974598"/>
    </w:p>
    <w:p>
      <w:pPr>
        <w:bidi w:val="0"/>
        <w:spacing w:line="360" w:lineRule="auto"/>
        <w:rPr>
          <w:sz w:val="24"/>
          <w:szCs w:val="24"/>
        </w:rPr>
      </w:pPr>
      <w:bookmarkStart w:id="292" w:name="_Toc485323156"/>
      <w:bookmarkStart w:id="293" w:name="_Toc492202852"/>
      <w:bookmarkStart w:id="294" w:name="_Toc490331673"/>
      <w:bookmarkStart w:id="295" w:name="_Toc489280188"/>
      <w:bookmarkStart w:id="296" w:name="_Toc1828"/>
      <w:bookmarkStart w:id="297" w:name="_Toc491149512"/>
      <w:bookmarkStart w:id="298" w:name="_Toc482175185"/>
      <w:bookmarkStart w:id="299" w:name="_Toc486580382"/>
      <w:bookmarkStart w:id="300" w:name="_BookMark_10"/>
      <w:r>
        <w:rPr>
          <w:rFonts w:hint="eastAsia"/>
          <w:sz w:val="24"/>
          <w:szCs w:val="24"/>
        </w:rPr>
        <w:t>2.8  向承包人提交支付担保</w:t>
      </w:r>
      <w:bookmarkEnd w:id="292"/>
      <w:bookmarkEnd w:id="293"/>
      <w:bookmarkEnd w:id="294"/>
      <w:bookmarkEnd w:id="295"/>
      <w:bookmarkEnd w:id="296"/>
      <w:bookmarkEnd w:id="297"/>
      <w:bookmarkEnd w:id="298"/>
      <w:bookmarkEnd w:id="299"/>
    </w:p>
    <w:bookmarkEnd w:id="300"/>
    <w:p>
      <w:pPr>
        <w:spacing w:line="360" w:lineRule="auto"/>
        <w:ind w:firstLine="480" w:firstLineChars="200"/>
        <w:rPr>
          <w:rFonts w:ascii="宋体" w:hAnsi="宋体"/>
          <w:color w:val="000000"/>
          <w:sz w:val="24"/>
          <w:szCs w:val="24"/>
        </w:rPr>
      </w:pPr>
      <w:r>
        <w:rPr>
          <w:rFonts w:hint="eastAsia" w:ascii="宋体" w:hAnsi="宋体"/>
          <w:color w:val="000000"/>
          <w:sz w:val="24"/>
          <w:szCs w:val="24"/>
        </w:rPr>
        <w:t>（1）发包人向承包人提交支付担保的金额：</w:t>
      </w:r>
      <w:r>
        <w:rPr>
          <w:rFonts w:hint="eastAsia" w:ascii="宋体" w:hAnsi="宋体"/>
          <w:color w:val="000000"/>
          <w:sz w:val="24"/>
          <w:szCs w:val="24"/>
          <w:u w:val="single"/>
        </w:rPr>
        <w:t xml:space="preserve">   /       </w:t>
      </w:r>
      <w:r>
        <w:rPr>
          <w:rFonts w:ascii="宋体" w:hAnsi="宋体"/>
          <w:color w:val="000000"/>
          <w:sz w:val="24"/>
          <w:szCs w:val="24"/>
          <w:u w:val="single"/>
        </w:rPr>
        <w:t xml:space="preserve">   </w:t>
      </w:r>
    </w:p>
    <w:bookmarkEnd w:id="288"/>
    <w:bookmarkEnd w:id="289"/>
    <w:bookmarkEnd w:id="290"/>
    <w:bookmarkEnd w:id="291"/>
    <w:p>
      <w:pPr>
        <w:bidi w:val="0"/>
        <w:spacing w:line="360" w:lineRule="auto"/>
        <w:rPr>
          <w:sz w:val="24"/>
          <w:szCs w:val="24"/>
        </w:rPr>
      </w:pPr>
      <w:bookmarkStart w:id="301" w:name="_Toc486580383"/>
      <w:bookmarkStart w:id="302" w:name="_Toc485323157"/>
      <w:bookmarkStart w:id="303" w:name="_Toc179632650"/>
      <w:bookmarkStart w:id="304" w:name="_Toc492202853"/>
      <w:bookmarkStart w:id="305" w:name="_Toc342296427"/>
      <w:bookmarkStart w:id="306" w:name="_Toc144974600"/>
      <w:bookmarkStart w:id="307" w:name="_Toc489280189"/>
      <w:bookmarkStart w:id="308" w:name="_Toc490331674"/>
      <w:bookmarkStart w:id="309" w:name="_Toc22896"/>
      <w:bookmarkStart w:id="310" w:name="_Toc480303389"/>
      <w:bookmarkStart w:id="311" w:name="_Toc241459668"/>
      <w:bookmarkStart w:id="312" w:name="_Toc152045632"/>
      <w:bookmarkStart w:id="313" w:name="_Toc152042410"/>
      <w:bookmarkStart w:id="314" w:name="_Toc491149513"/>
      <w:bookmarkStart w:id="315" w:name="_BookMark_11"/>
      <w:r>
        <w:rPr>
          <w:rFonts w:hint="eastAsia"/>
          <w:sz w:val="24"/>
          <w:szCs w:val="24"/>
        </w:rPr>
        <w:t>2.1</w:t>
      </w:r>
      <w:r>
        <w:rPr>
          <w:sz w:val="24"/>
          <w:szCs w:val="24"/>
        </w:rPr>
        <w:t>3</w:t>
      </w:r>
      <w:r>
        <w:rPr>
          <w:rFonts w:hint="eastAsia"/>
          <w:sz w:val="24"/>
          <w:szCs w:val="24"/>
        </w:rPr>
        <w:t xml:space="preserve">  其他义务</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bookmarkEnd w:id="315"/>
    <w:p>
      <w:pPr>
        <w:spacing w:line="360" w:lineRule="auto"/>
        <w:ind w:firstLine="360" w:firstLineChars="150"/>
        <w:rPr>
          <w:rFonts w:ascii="宋体"/>
          <w:color w:val="000000"/>
          <w:sz w:val="24"/>
          <w:szCs w:val="24"/>
          <w:u w:val="single"/>
        </w:rPr>
      </w:pPr>
      <w:r>
        <w:rPr>
          <w:rFonts w:hint="eastAsia" w:ascii="宋体" w:hAnsi="宋体"/>
          <w:color w:val="000000"/>
          <w:sz w:val="24"/>
          <w:szCs w:val="24"/>
        </w:rPr>
        <w:t>发包人应当履行的其他义务</w:t>
      </w:r>
      <w:r>
        <w:rPr>
          <w:rFonts w:hint="eastAsia" w:ascii="宋体" w:hAnsi="宋体" w:cs="Arial"/>
          <w:color w:val="000000"/>
          <w:sz w:val="24"/>
          <w:szCs w:val="24"/>
        </w:rPr>
        <w:t>：</w:t>
      </w:r>
      <w:r>
        <w:rPr>
          <w:rFonts w:ascii="宋体"/>
          <w:color w:val="000000"/>
          <w:sz w:val="24"/>
          <w:szCs w:val="24"/>
          <w:u w:val="single"/>
        </w:rPr>
        <w:t xml:space="preserve"> </w:t>
      </w:r>
      <w:r>
        <w:rPr>
          <w:rFonts w:hint="eastAsia" w:ascii="宋体" w:hAnsi="宋体" w:cs="宋体"/>
          <w:color w:val="000000"/>
          <w:sz w:val="24"/>
          <w:szCs w:val="24"/>
          <w:u w:val="single"/>
        </w:rPr>
        <w:t>a</w:t>
      </w:r>
      <w:r>
        <w:rPr>
          <w:rFonts w:ascii="宋体" w:hAnsi="宋体" w:cs="宋体"/>
          <w:color w:val="000000"/>
          <w:sz w:val="24"/>
          <w:szCs w:val="24"/>
          <w:u w:val="single"/>
        </w:rPr>
        <w:t>.</w:t>
      </w:r>
      <w:r>
        <w:rPr>
          <w:rFonts w:hint="eastAsia" w:ascii="宋体" w:hAnsi="宋体" w:cs="宋体"/>
          <w:color w:val="000000"/>
          <w:sz w:val="24"/>
          <w:szCs w:val="24"/>
          <w:u w:val="single"/>
        </w:rPr>
        <w:t>发包人负责治理扬尘的整体组织工作，负责制定治理扬尘的质量和总目标，并对工程扬尘治理的决策、实施等环节实行全面管理，总体控制治理情况，进行中间检查验收等。b</w:t>
      </w:r>
      <w:r>
        <w:rPr>
          <w:rFonts w:ascii="宋体" w:hAnsi="宋体" w:cs="宋体"/>
          <w:color w:val="000000"/>
          <w:sz w:val="24"/>
          <w:szCs w:val="24"/>
          <w:u w:val="single"/>
        </w:rPr>
        <w:t>.</w:t>
      </w:r>
      <w:r>
        <w:rPr>
          <w:rFonts w:hint="eastAsia" w:ascii="宋体" w:hAnsi="宋体" w:cs="宋体"/>
          <w:color w:val="000000"/>
          <w:sz w:val="24"/>
          <w:szCs w:val="24"/>
          <w:u w:val="single"/>
        </w:rPr>
        <w:t>发包人委托工程监理单位对承包人落实文明施工和环境保护措施情况进行现场监理。</w:t>
      </w:r>
      <w:r>
        <w:rPr>
          <w:rFonts w:hint="eastAsia" w:ascii="宋体" w:hAnsi="宋体"/>
          <w:color w:val="000000"/>
          <w:sz w:val="24"/>
          <w:szCs w:val="24"/>
          <w:u w:val="single"/>
        </w:rPr>
        <w:t xml:space="preserve"> </w:t>
      </w:r>
    </w:p>
    <w:p>
      <w:pPr>
        <w:bidi w:val="0"/>
        <w:spacing w:line="360" w:lineRule="auto"/>
        <w:rPr>
          <w:sz w:val="24"/>
          <w:szCs w:val="24"/>
        </w:rPr>
      </w:pPr>
      <w:bookmarkStart w:id="316" w:name="_Toc152045633"/>
      <w:bookmarkStart w:id="317" w:name="_Toc179632651"/>
      <w:bookmarkStart w:id="318" w:name="_Toc241459669"/>
      <w:bookmarkStart w:id="319" w:name="_Toc1732"/>
      <w:bookmarkStart w:id="320" w:name="_Toc491149514"/>
      <w:bookmarkStart w:id="321" w:name="_Toc492202854"/>
      <w:bookmarkStart w:id="322" w:name="_Toc144974601"/>
      <w:bookmarkStart w:id="323" w:name="_Toc486580384"/>
      <w:bookmarkStart w:id="324" w:name="_Toc152042411"/>
      <w:bookmarkStart w:id="325" w:name="_Toc480303390"/>
      <w:bookmarkStart w:id="326" w:name="_Toc485323158"/>
      <w:bookmarkStart w:id="327" w:name="_Toc489280190"/>
      <w:bookmarkStart w:id="328" w:name="_Toc342296428"/>
      <w:bookmarkStart w:id="329" w:name="_Toc490331675"/>
      <w:bookmarkStart w:id="330" w:name="_BookMark_12"/>
      <w:r>
        <w:rPr>
          <w:rFonts w:hint="eastAsia"/>
          <w:sz w:val="24"/>
          <w:szCs w:val="24"/>
        </w:rPr>
        <w:t>3.监理人</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bookmarkEnd w:id="330"/>
    <w:p>
      <w:pPr>
        <w:bidi w:val="0"/>
        <w:spacing w:line="360" w:lineRule="auto"/>
        <w:rPr>
          <w:sz w:val="24"/>
          <w:szCs w:val="24"/>
        </w:rPr>
      </w:pPr>
      <w:bookmarkStart w:id="331" w:name="_Toc152042412"/>
      <w:bookmarkStart w:id="332" w:name="_Toc485323159"/>
      <w:bookmarkStart w:id="333" w:name="_Toc486580385"/>
      <w:bookmarkStart w:id="334" w:name="_Toc31189"/>
      <w:bookmarkStart w:id="335" w:name="_Toc489280191"/>
      <w:bookmarkStart w:id="336" w:name="_Toc152045634"/>
      <w:bookmarkStart w:id="337" w:name="_Toc490331676"/>
      <w:bookmarkStart w:id="338" w:name="_Toc179632652"/>
      <w:bookmarkStart w:id="339" w:name="_Toc492202855"/>
      <w:bookmarkStart w:id="340" w:name="_Toc491149515"/>
      <w:bookmarkStart w:id="341" w:name="_Toc342296429"/>
      <w:bookmarkStart w:id="342" w:name="_Toc241459670"/>
      <w:bookmarkStart w:id="343" w:name="_Toc480303391"/>
      <w:bookmarkStart w:id="344" w:name="_Toc144974602"/>
      <w:bookmarkStart w:id="345" w:name="_BookMark_13"/>
      <w:r>
        <w:rPr>
          <w:rFonts w:hint="eastAsia"/>
          <w:sz w:val="24"/>
          <w:szCs w:val="24"/>
        </w:rPr>
        <w:t>3.1  监理人的职责和权力</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bookmarkEnd w:id="345"/>
    <w:p>
      <w:pPr>
        <w:spacing w:line="360" w:lineRule="auto"/>
        <w:ind w:firstLine="480" w:firstLineChars="200"/>
        <w:rPr>
          <w:rFonts w:ascii="宋体" w:hAnsi="宋体"/>
          <w:color w:val="000000"/>
          <w:sz w:val="24"/>
          <w:szCs w:val="24"/>
        </w:rPr>
      </w:pPr>
      <w:r>
        <w:rPr>
          <w:rFonts w:hint="eastAsia" w:ascii="宋体" w:hAnsi="宋体"/>
          <w:color w:val="000000"/>
          <w:sz w:val="24"/>
          <w:szCs w:val="24"/>
        </w:rPr>
        <w:t>3.1.1  发包人需批准明确行使的权力：</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ascii="宋体" w:hAnsi="宋体" w:cs="宋体"/>
          <w:color w:val="000000"/>
          <w:sz w:val="24"/>
          <w:szCs w:val="24"/>
          <w:u w:val="single"/>
        </w:rPr>
        <w:t>1</w:t>
      </w:r>
      <w:r>
        <w:rPr>
          <w:rFonts w:hint="eastAsia" w:ascii="宋体" w:hAnsi="宋体" w:cs="宋体"/>
          <w:color w:val="000000"/>
          <w:sz w:val="24"/>
          <w:szCs w:val="24"/>
          <w:u w:val="single"/>
        </w:rPr>
        <w:t>）同意分包本工程的某些非主体和非关键性工作。（</w:t>
      </w:r>
      <w:r>
        <w:rPr>
          <w:rFonts w:ascii="宋体" w:hAnsi="宋体" w:cs="宋体"/>
          <w:color w:val="000000"/>
          <w:sz w:val="24"/>
          <w:szCs w:val="24"/>
          <w:u w:val="single"/>
        </w:rPr>
        <w:t>2</w:t>
      </w:r>
      <w:r>
        <w:rPr>
          <w:rFonts w:hint="eastAsia" w:ascii="宋体" w:hAnsi="宋体" w:cs="宋体"/>
          <w:color w:val="000000"/>
          <w:sz w:val="24"/>
          <w:szCs w:val="24"/>
          <w:u w:val="single"/>
        </w:rPr>
        <w:t>）产生的费用增加额。（</w:t>
      </w:r>
      <w:r>
        <w:rPr>
          <w:rFonts w:ascii="宋体" w:hAnsi="宋体" w:cs="宋体"/>
          <w:color w:val="000000"/>
          <w:sz w:val="24"/>
          <w:szCs w:val="24"/>
          <w:u w:val="single"/>
        </w:rPr>
        <w:t>3</w:t>
      </w:r>
      <w:r>
        <w:rPr>
          <w:rFonts w:hint="eastAsia" w:ascii="宋体" w:hAnsi="宋体" w:cs="宋体"/>
          <w:color w:val="000000"/>
          <w:sz w:val="24"/>
          <w:szCs w:val="24"/>
          <w:u w:val="single"/>
        </w:rPr>
        <w:t>）发布开工通知、暂停施工指示或者复工通知。（</w:t>
      </w:r>
      <w:r>
        <w:rPr>
          <w:rFonts w:ascii="宋体" w:hAnsi="宋体" w:cs="宋体"/>
          <w:color w:val="000000"/>
          <w:sz w:val="24"/>
          <w:szCs w:val="24"/>
          <w:u w:val="single"/>
        </w:rPr>
        <w:t>4</w:t>
      </w:r>
      <w:r>
        <w:rPr>
          <w:rFonts w:hint="eastAsia" w:ascii="宋体" w:hAnsi="宋体" w:cs="宋体"/>
          <w:color w:val="000000"/>
          <w:sz w:val="24"/>
          <w:szCs w:val="24"/>
          <w:u w:val="single"/>
        </w:rPr>
        <w:t>）工程延长（</w:t>
      </w:r>
      <w:r>
        <w:rPr>
          <w:rFonts w:ascii="宋体" w:hAnsi="宋体" w:cs="宋体"/>
          <w:color w:val="000000"/>
          <w:sz w:val="24"/>
          <w:szCs w:val="24"/>
          <w:u w:val="single"/>
        </w:rPr>
        <w:t>5</w:t>
      </w:r>
      <w:r>
        <w:rPr>
          <w:rFonts w:hint="eastAsia" w:ascii="宋体" w:hAnsi="宋体" w:cs="宋体"/>
          <w:color w:val="000000"/>
          <w:sz w:val="24"/>
          <w:szCs w:val="24"/>
          <w:u w:val="single"/>
        </w:rPr>
        <w:t>）审查批准技术规范或设计的变更（</w:t>
      </w:r>
      <w:r>
        <w:rPr>
          <w:rFonts w:ascii="宋体" w:hAnsi="宋体" w:cs="宋体"/>
          <w:color w:val="000000"/>
          <w:sz w:val="24"/>
          <w:szCs w:val="24"/>
          <w:u w:val="single"/>
        </w:rPr>
        <w:t>6</w:t>
      </w:r>
      <w:r>
        <w:rPr>
          <w:rFonts w:hint="eastAsia" w:ascii="宋体" w:hAnsi="宋体" w:cs="宋体"/>
          <w:color w:val="000000"/>
          <w:sz w:val="24"/>
          <w:szCs w:val="24"/>
          <w:u w:val="single"/>
        </w:rPr>
        <w:t>）发出的变更指令，其单项工程变更或者累计变更涉及的金额超过了项目专用合同条款数据表规定的金额。（</w:t>
      </w:r>
      <w:r>
        <w:rPr>
          <w:rFonts w:ascii="宋体" w:hAnsi="宋体" w:cs="宋体"/>
          <w:color w:val="000000"/>
          <w:sz w:val="24"/>
          <w:szCs w:val="24"/>
          <w:u w:val="single"/>
        </w:rPr>
        <w:t>7</w:t>
      </w:r>
      <w:r>
        <w:rPr>
          <w:rFonts w:hint="eastAsia" w:ascii="宋体" w:hAnsi="宋体" w:cs="宋体"/>
          <w:color w:val="000000"/>
          <w:sz w:val="24"/>
          <w:szCs w:val="24"/>
          <w:u w:val="single"/>
        </w:rPr>
        <w:t>）变更工作的单价。（</w:t>
      </w:r>
      <w:r>
        <w:rPr>
          <w:rFonts w:ascii="宋体" w:hAnsi="宋体" w:cs="宋体"/>
          <w:color w:val="000000"/>
          <w:sz w:val="24"/>
          <w:szCs w:val="24"/>
          <w:u w:val="single"/>
        </w:rPr>
        <w:t>8</w:t>
      </w:r>
      <w:r>
        <w:rPr>
          <w:rFonts w:hint="eastAsia" w:ascii="宋体" w:hAnsi="宋体" w:cs="宋体"/>
          <w:color w:val="000000"/>
          <w:sz w:val="24"/>
          <w:szCs w:val="24"/>
          <w:u w:val="single"/>
        </w:rPr>
        <w:t>）有关暂列金额的使用。（</w:t>
      </w:r>
      <w:r>
        <w:rPr>
          <w:rFonts w:ascii="宋体" w:hAnsi="宋体" w:cs="宋体"/>
          <w:color w:val="000000"/>
          <w:sz w:val="24"/>
          <w:szCs w:val="24"/>
          <w:u w:val="single"/>
        </w:rPr>
        <w:t>9</w:t>
      </w:r>
      <w:r>
        <w:rPr>
          <w:rFonts w:hint="eastAsia" w:ascii="宋体" w:hAnsi="宋体" w:cs="宋体"/>
          <w:color w:val="000000"/>
          <w:sz w:val="24"/>
          <w:szCs w:val="24"/>
          <w:u w:val="single"/>
        </w:rPr>
        <w:t>）暂估价金额。（</w:t>
      </w:r>
      <w:r>
        <w:rPr>
          <w:rFonts w:ascii="宋体" w:hAnsi="宋体" w:cs="宋体"/>
          <w:color w:val="000000"/>
          <w:sz w:val="24"/>
          <w:szCs w:val="24"/>
          <w:u w:val="single"/>
        </w:rPr>
        <w:t>10</w:t>
      </w:r>
      <w:r>
        <w:rPr>
          <w:rFonts w:hint="eastAsia" w:ascii="宋体" w:hAnsi="宋体" w:cs="宋体"/>
          <w:color w:val="000000"/>
          <w:sz w:val="24"/>
          <w:szCs w:val="24"/>
          <w:u w:val="single"/>
        </w:rPr>
        <w:t>）索赔额。</w:t>
      </w:r>
      <w:r>
        <w:rPr>
          <w:rFonts w:hint="eastAsia" w:ascii="宋体" w:hAnsi="宋体"/>
          <w:color w:val="000000"/>
          <w:sz w:val="24"/>
          <w:szCs w:val="24"/>
          <w:u w:val="single"/>
        </w:rPr>
        <w:t xml:space="preserve">  </w:t>
      </w:r>
    </w:p>
    <w:p>
      <w:pPr>
        <w:bidi w:val="0"/>
        <w:spacing w:line="360" w:lineRule="auto"/>
        <w:rPr>
          <w:sz w:val="24"/>
          <w:szCs w:val="24"/>
        </w:rPr>
      </w:pPr>
      <w:bookmarkStart w:id="346" w:name="_Toc492202856"/>
      <w:bookmarkStart w:id="347" w:name="_Toc342296433"/>
      <w:bookmarkStart w:id="348" w:name="_Toc144974607"/>
      <w:bookmarkStart w:id="349" w:name="_Toc152045639"/>
      <w:bookmarkStart w:id="350" w:name="_Toc152042417"/>
      <w:bookmarkStart w:id="351" w:name="_Toc485323160"/>
      <w:bookmarkStart w:id="352" w:name="_Toc480303392"/>
      <w:bookmarkStart w:id="353" w:name="_Toc489280192"/>
      <w:bookmarkStart w:id="354" w:name="_Toc241459674"/>
      <w:bookmarkStart w:id="355" w:name="_Toc491149516"/>
      <w:bookmarkStart w:id="356" w:name="_Toc486580386"/>
      <w:bookmarkStart w:id="357" w:name="_Toc490331677"/>
      <w:bookmarkStart w:id="358" w:name="_Toc179632657"/>
      <w:bookmarkStart w:id="359" w:name="_Toc14441"/>
      <w:bookmarkStart w:id="360" w:name="_BookMark_14"/>
      <w:r>
        <w:rPr>
          <w:rFonts w:hint="eastAsia"/>
          <w:sz w:val="24"/>
          <w:szCs w:val="24"/>
        </w:rPr>
        <w:t>4.承包人</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bookmarkEnd w:id="360"/>
    <w:p>
      <w:pPr>
        <w:bidi w:val="0"/>
        <w:spacing w:line="360" w:lineRule="auto"/>
        <w:rPr>
          <w:sz w:val="24"/>
          <w:szCs w:val="24"/>
        </w:rPr>
      </w:pPr>
      <w:bookmarkStart w:id="361" w:name="_Toc490331678"/>
      <w:bookmarkStart w:id="362" w:name="_Toc179632658"/>
      <w:bookmarkStart w:id="363" w:name="_Toc491149517"/>
      <w:bookmarkStart w:id="364" w:name="_Toc152045640"/>
      <w:bookmarkStart w:id="365" w:name="_Toc241459675"/>
      <w:bookmarkStart w:id="366" w:name="_Toc486580387"/>
      <w:bookmarkStart w:id="367" w:name="_Toc144974608"/>
      <w:bookmarkStart w:id="368" w:name="_Toc152042418"/>
      <w:bookmarkStart w:id="369" w:name="_Toc23175"/>
      <w:bookmarkStart w:id="370" w:name="_Toc485323161"/>
      <w:bookmarkStart w:id="371" w:name="_Toc342296434"/>
      <w:bookmarkStart w:id="372" w:name="_Toc489280193"/>
      <w:bookmarkStart w:id="373" w:name="_Toc480303393"/>
      <w:bookmarkStart w:id="374" w:name="_Toc492202857"/>
      <w:bookmarkStart w:id="375" w:name="_BookMark_15"/>
      <w:r>
        <w:rPr>
          <w:rFonts w:hint="eastAsia"/>
          <w:sz w:val="24"/>
          <w:szCs w:val="24"/>
        </w:rPr>
        <w:t>4.1  承包人的一般义务</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bookmarkEnd w:id="375"/>
    <w:p>
      <w:pPr>
        <w:spacing w:line="360" w:lineRule="auto"/>
        <w:ind w:firstLine="480" w:firstLineChars="200"/>
        <w:rPr>
          <w:rFonts w:ascii="宋体" w:hAnsi="宋体"/>
          <w:color w:val="000000"/>
          <w:sz w:val="24"/>
          <w:szCs w:val="24"/>
        </w:rPr>
      </w:pPr>
      <w:r>
        <w:rPr>
          <w:rFonts w:hint="eastAsia" w:ascii="宋体" w:hAnsi="宋体"/>
          <w:color w:val="000000"/>
          <w:sz w:val="24"/>
          <w:szCs w:val="24"/>
        </w:rPr>
        <w:t>4.1.8  为他人提供方便</w:t>
      </w:r>
    </w:p>
    <w:p>
      <w:pPr>
        <w:spacing w:line="360" w:lineRule="auto"/>
        <w:ind w:firstLine="360" w:firstLineChars="150"/>
        <w:rPr>
          <w:rFonts w:ascii="宋体" w:hAnsi="宋体"/>
          <w:color w:val="000000"/>
          <w:sz w:val="24"/>
          <w:szCs w:val="24"/>
          <w:u w:val="single"/>
        </w:rPr>
      </w:pPr>
      <w:r>
        <w:rPr>
          <w:rFonts w:hint="eastAsia" w:ascii="宋体" w:hAnsi="宋体"/>
          <w:color w:val="000000"/>
          <w:sz w:val="24"/>
          <w:szCs w:val="24"/>
        </w:rPr>
        <w:t>（1）承包人应当对在施工场地或者附近实施与合同工程有关的其他工作的独立承包人履行管理、协调、配合、照管和服务义务的具体工作内容和要求：</w:t>
      </w:r>
      <w:r>
        <w:rPr>
          <w:rFonts w:hint="eastAsia" w:ascii="宋体" w:hAnsi="宋体" w:cs="宋体"/>
          <w:color w:val="000000"/>
          <w:sz w:val="24"/>
          <w:szCs w:val="24"/>
          <w:u w:val="single"/>
        </w:rPr>
        <w:t>无</w:t>
      </w:r>
      <w:r>
        <w:rPr>
          <w:rFonts w:ascii="宋体" w:hAnsi="宋体" w:cs="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pStyle w:val="2"/>
        <w:spacing w:line="360" w:lineRule="auto"/>
        <w:rPr>
          <w:sz w:val="24"/>
          <w:szCs w:val="24"/>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4.1.10  承包人的设计工作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承包人承担的施工图设计或与工程配套的设计工作内容：</w:t>
      </w:r>
      <w:r>
        <w:rPr>
          <w:rFonts w:hint="eastAsia" w:ascii="宋体" w:hAnsi="宋体" w:cs="宋体"/>
          <w:color w:val="000000"/>
          <w:sz w:val="24"/>
          <w:szCs w:val="24"/>
          <w:u w:val="single"/>
        </w:rPr>
        <w:t>竣工图纸</w:t>
      </w:r>
      <w:r>
        <w:rPr>
          <w:rFonts w:ascii="宋体" w:hAnsi="宋体" w:cs="宋体"/>
          <w:color w:val="000000"/>
          <w:sz w:val="24"/>
          <w:szCs w:val="24"/>
          <w:u w:val="single"/>
        </w:rPr>
        <w:t xml:space="preserve"> </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4.1.1</w:t>
      </w:r>
      <w:r>
        <w:rPr>
          <w:rFonts w:ascii="宋体" w:hAnsi="宋体"/>
          <w:color w:val="000000"/>
          <w:sz w:val="24"/>
          <w:szCs w:val="24"/>
        </w:rPr>
        <w:t>2</w:t>
      </w:r>
      <w:r>
        <w:rPr>
          <w:rFonts w:hint="eastAsia" w:ascii="宋体" w:hAnsi="宋体"/>
          <w:color w:val="000000"/>
          <w:sz w:val="24"/>
          <w:szCs w:val="24"/>
        </w:rPr>
        <w:t xml:space="preserve">  其他义务  </w:t>
      </w:r>
    </w:p>
    <w:p>
      <w:pPr>
        <w:spacing w:line="360" w:lineRule="auto"/>
        <w:ind w:firstLine="360" w:firstLineChars="150"/>
        <w:rPr>
          <w:rFonts w:ascii="宋体" w:hAnsi="宋体" w:cs="宋体"/>
          <w:color w:val="000000"/>
          <w:sz w:val="24"/>
          <w:szCs w:val="24"/>
          <w:u w:val="single"/>
        </w:rPr>
      </w:pPr>
      <w:r>
        <w:rPr>
          <w:rFonts w:hint="eastAsia" w:ascii="宋体" w:hAnsi="宋体"/>
          <w:color w:val="000000"/>
          <w:sz w:val="24"/>
          <w:szCs w:val="24"/>
        </w:rPr>
        <w:t>承包人应履行的其他义务</w:t>
      </w:r>
      <w:r>
        <w:rPr>
          <w:rFonts w:hint="eastAsia" w:ascii="宋体" w:hAnsi="宋体" w:cs="Arial"/>
          <w:color w:val="000000"/>
          <w:sz w:val="24"/>
          <w:szCs w:val="24"/>
        </w:rPr>
        <w:t>：</w:t>
      </w:r>
      <w:r>
        <w:rPr>
          <w:rFonts w:hint="eastAsia" w:ascii="宋体" w:hAnsi="宋体"/>
          <w:color w:val="000000"/>
          <w:sz w:val="24"/>
          <w:szCs w:val="24"/>
          <w:u w:val="single"/>
        </w:rPr>
        <w:t xml:space="preserve"> </w:t>
      </w:r>
      <w:r>
        <w:rPr>
          <w:rFonts w:ascii="宋体" w:hAnsi="宋体" w:cs="宋体"/>
          <w:color w:val="000000"/>
          <w:sz w:val="24"/>
          <w:szCs w:val="24"/>
          <w:u w:val="single"/>
        </w:rPr>
        <w:t>1）关于扬尘治理义务</w:t>
      </w:r>
    </w:p>
    <w:p>
      <w:pPr>
        <w:spacing w:line="360" w:lineRule="auto"/>
        <w:ind w:firstLine="360" w:firstLineChars="150"/>
        <w:rPr>
          <w:rFonts w:ascii="宋体" w:hAnsi="宋体" w:cs="宋体"/>
          <w:color w:val="000000"/>
          <w:sz w:val="24"/>
          <w:szCs w:val="24"/>
          <w:u w:val="single"/>
        </w:rPr>
      </w:pPr>
      <w:r>
        <w:rPr>
          <w:rFonts w:ascii="宋体" w:hAnsi="宋体" w:cs="宋体"/>
          <w:color w:val="000000"/>
          <w:sz w:val="24"/>
          <w:szCs w:val="24"/>
          <w:u w:val="single"/>
        </w:rPr>
        <w:t>a.承包人应通过有效的技术手段和管理措施将施工产生的扬尘控制在相关指标范围内。确保工地沙土覆盖、工地路面硬化、出工地车辆冲洗车轮、拆除房屋的工地洒水压尘、垃圾分类密闭存放，并保证渣土运输车辆符合相关规定要求。</w:t>
      </w:r>
    </w:p>
    <w:p>
      <w:pPr>
        <w:spacing w:line="360" w:lineRule="auto"/>
        <w:ind w:firstLine="360" w:firstLineChars="150"/>
        <w:rPr>
          <w:rFonts w:ascii="宋体" w:hAnsi="宋体" w:cs="宋体"/>
          <w:color w:val="000000"/>
          <w:sz w:val="24"/>
          <w:szCs w:val="24"/>
          <w:u w:val="single"/>
        </w:rPr>
      </w:pPr>
      <w:r>
        <w:rPr>
          <w:rFonts w:ascii="宋体" w:hAnsi="宋体" w:cs="宋体"/>
          <w:color w:val="000000"/>
          <w:sz w:val="24"/>
          <w:szCs w:val="24"/>
          <w:u w:val="single"/>
        </w:rPr>
        <w:t>b.承包人应在施工期间加强环保意识、保持工地清洁、控制扬尘、杜绝漏洒材料，使得施工现场及周围无扬尘污染。</w:t>
      </w:r>
    </w:p>
    <w:p>
      <w:pPr>
        <w:spacing w:line="360" w:lineRule="auto"/>
        <w:ind w:firstLine="360" w:firstLineChars="150"/>
        <w:rPr>
          <w:rFonts w:ascii="宋体" w:hAnsi="宋体" w:cs="宋体"/>
          <w:color w:val="000000"/>
          <w:sz w:val="24"/>
          <w:szCs w:val="24"/>
          <w:u w:val="single"/>
        </w:rPr>
      </w:pPr>
      <w:r>
        <w:rPr>
          <w:rFonts w:hint="eastAsia" w:ascii="宋体" w:hAnsi="宋体" w:cs="宋体"/>
          <w:color w:val="000000"/>
          <w:sz w:val="24"/>
          <w:szCs w:val="24"/>
          <w:u w:val="single"/>
        </w:rPr>
        <w:t>c.</w:t>
      </w:r>
      <w:r>
        <w:rPr>
          <w:rFonts w:hint="eastAsia" w:cs="宋体"/>
          <w:color w:val="000000"/>
          <w:sz w:val="24"/>
          <w:szCs w:val="24"/>
          <w:u w:val="single"/>
        </w:rPr>
        <w:t xml:space="preserve"> 因承包人原因导致发包人被处罚给或给发包人带来损失的，应在赔偿发包人损失的同时，向发包人支付同等损失金额的违约金。</w:t>
      </w:r>
    </w:p>
    <w:p>
      <w:pPr>
        <w:spacing w:line="360" w:lineRule="auto"/>
        <w:ind w:firstLine="360" w:firstLineChars="150"/>
        <w:rPr>
          <w:rFonts w:ascii="宋体" w:hAnsi="宋体" w:cs="宋体"/>
          <w:color w:val="000000"/>
          <w:sz w:val="24"/>
          <w:szCs w:val="24"/>
          <w:u w:val="single"/>
        </w:rPr>
      </w:pPr>
      <w:r>
        <w:rPr>
          <w:rFonts w:hint="eastAsia" w:ascii="宋体" w:hAnsi="宋体"/>
          <w:color w:val="000000"/>
          <w:sz w:val="24"/>
          <w:szCs w:val="24"/>
          <w:u w:val="single"/>
        </w:rPr>
        <w:t xml:space="preserve"> </w:t>
      </w:r>
      <w:r>
        <w:rPr>
          <w:rFonts w:ascii="宋体" w:hAnsi="宋体" w:cs="宋体"/>
          <w:color w:val="000000"/>
          <w:sz w:val="24"/>
          <w:szCs w:val="24"/>
          <w:u w:val="single"/>
        </w:rPr>
        <w:t>2)</w:t>
      </w:r>
      <w:r>
        <w:rPr>
          <w:rFonts w:hint="eastAsia" w:ascii="宋体" w:hAnsi="宋体" w:cs="宋体"/>
          <w:color w:val="000000"/>
          <w:sz w:val="24"/>
          <w:szCs w:val="24"/>
          <w:u w:val="single"/>
        </w:rPr>
        <w:t>其它</w:t>
      </w:r>
    </w:p>
    <w:p>
      <w:pPr>
        <w:spacing w:line="360" w:lineRule="auto"/>
        <w:ind w:firstLine="480" w:firstLineChars="200"/>
        <w:rPr>
          <w:rFonts w:ascii="宋体"/>
          <w:color w:val="000000"/>
          <w:sz w:val="24"/>
          <w:szCs w:val="24"/>
          <w:u w:val="single"/>
        </w:rPr>
      </w:pPr>
      <w:r>
        <w:rPr>
          <w:rFonts w:ascii="宋体" w:hAnsi="宋体" w:cs="宋体"/>
          <w:color w:val="000000"/>
          <w:sz w:val="24"/>
          <w:szCs w:val="24"/>
          <w:u w:val="single"/>
        </w:rPr>
        <w:t>a</w:t>
      </w:r>
      <w:r>
        <w:rPr>
          <w:rFonts w:hint="eastAsia" w:ascii="宋体" w:hAnsi="宋体" w:cs="宋体"/>
          <w:color w:val="000000"/>
          <w:sz w:val="24"/>
          <w:szCs w:val="24"/>
          <w:u w:val="single"/>
        </w:rPr>
        <w:t>施工期间（竣工验收合格前）承包人项目经理每天需到发包人委托的项目管理单位签到，以签到表为准，一天未签到处罚一千元；如项目经理离开现场需向发包人委托的项目管理单位本项目负责人请假并同意，否则每天处罚一千元。该处罚款项，发包人有权直接从工程款扣除。</w:t>
      </w:r>
    </w:p>
    <w:p>
      <w:pPr>
        <w:spacing w:line="360" w:lineRule="auto"/>
        <w:ind w:firstLine="480" w:firstLineChars="200"/>
        <w:rPr>
          <w:rFonts w:ascii="宋体"/>
          <w:color w:val="000000"/>
          <w:sz w:val="24"/>
          <w:szCs w:val="24"/>
          <w:u w:val="single"/>
        </w:rPr>
      </w:pPr>
      <w:r>
        <w:rPr>
          <w:rFonts w:ascii="宋体" w:hAnsi="宋体" w:cs="宋体"/>
          <w:color w:val="000000"/>
          <w:sz w:val="24"/>
          <w:szCs w:val="24"/>
          <w:u w:val="single"/>
        </w:rPr>
        <w:t>b</w:t>
      </w:r>
      <w:r>
        <w:rPr>
          <w:rFonts w:hint="eastAsia" w:ascii="宋体" w:hAnsi="宋体" w:cs="宋体"/>
          <w:color w:val="000000"/>
          <w:sz w:val="24"/>
          <w:szCs w:val="24"/>
          <w:u w:val="single"/>
        </w:rPr>
        <w:t>现场文明施工，施工作业面围挡前需提前征得现有物业管理单位的意见，合理规划，确保客流通畅，承包人应为施工场地（现场）提供和维护符合发包人和市容管理部门规定的临时围墙及其它安全防护。要求采用硬质围挡，经发包人和发包人委托的项目管理单位同意的广告布。</w:t>
      </w:r>
    </w:p>
    <w:p>
      <w:pPr>
        <w:spacing w:line="360" w:lineRule="auto"/>
        <w:ind w:firstLine="480" w:firstLineChars="200"/>
        <w:rPr>
          <w:rFonts w:ascii="宋体"/>
          <w:color w:val="000000"/>
          <w:sz w:val="24"/>
          <w:szCs w:val="24"/>
          <w:u w:val="single"/>
        </w:rPr>
      </w:pPr>
      <w:r>
        <w:rPr>
          <w:rFonts w:ascii="宋体" w:hAnsi="宋体" w:cs="宋体"/>
          <w:color w:val="000000"/>
          <w:sz w:val="24"/>
          <w:szCs w:val="24"/>
          <w:u w:val="single"/>
        </w:rPr>
        <w:t>c</w:t>
      </w:r>
      <w:r>
        <w:rPr>
          <w:rFonts w:hint="eastAsia" w:ascii="宋体" w:hAnsi="宋体" w:cs="宋体"/>
          <w:color w:val="000000"/>
          <w:sz w:val="24"/>
          <w:szCs w:val="24"/>
          <w:u w:val="single"/>
        </w:rPr>
        <w:t>承包人在施工期间（竣工验收合格前），按发包人委托的项目管理单位编制的《项目管理办法》严格执行。</w:t>
      </w:r>
    </w:p>
    <w:p>
      <w:pPr>
        <w:spacing w:line="360" w:lineRule="auto"/>
        <w:ind w:firstLine="480" w:firstLineChars="200"/>
        <w:rPr>
          <w:rFonts w:ascii="宋体"/>
          <w:color w:val="000000"/>
          <w:sz w:val="24"/>
          <w:szCs w:val="24"/>
          <w:u w:val="single"/>
        </w:rPr>
      </w:pPr>
      <w:r>
        <w:rPr>
          <w:rFonts w:hint="eastAsia" w:ascii="宋体" w:hAnsi="宋体" w:cs="宋体"/>
          <w:color w:val="000000"/>
          <w:sz w:val="24"/>
          <w:szCs w:val="24"/>
          <w:u w:val="single"/>
        </w:rPr>
        <w:t>d现场不提供住所，需由业主方提供办公室、工人住宿等房屋条件的，承包人按发包人要求缴纳费用；现场水电单计量收费。</w:t>
      </w:r>
    </w:p>
    <w:p>
      <w:pPr>
        <w:spacing w:line="360" w:lineRule="auto"/>
        <w:ind w:firstLine="480" w:firstLineChars="200"/>
        <w:rPr>
          <w:rFonts w:ascii="宋体"/>
          <w:color w:val="000000"/>
          <w:sz w:val="24"/>
          <w:szCs w:val="24"/>
          <w:u w:val="single"/>
        </w:rPr>
      </w:pPr>
      <w:r>
        <w:rPr>
          <w:rFonts w:hint="eastAsia" w:ascii="宋体" w:hAnsi="宋体" w:cs="宋体"/>
          <w:color w:val="000000"/>
          <w:sz w:val="24"/>
          <w:szCs w:val="24"/>
          <w:u w:val="single"/>
        </w:rPr>
        <w:t>e承包人在进场后，合理安排材料订货、加工计划，在此期间严格按发包人和发包人委托的项目管理单位要求计划时间完成。</w:t>
      </w:r>
    </w:p>
    <w:p>
      <w:pPr>
        <w:spacing w:line="360" w:lineRule="auto"/>
        <w:ind w:firstLine="360" w:firstLineChars="150"/>
        <w:rPr>
          <w:rFonts w:ascii="宋体" w:hAnsi="宋体" w:cs="Arial"/>
          <w:color w:val="000000"/>
          <w:sz w:val="24"/>
          <w:szCs w:val="24"/>
        </w:rPr>
      </w:pPr>
      <w:r>
        <w:rPr>
          <w:rFonts w:hint="eastAsia" w:ascii="宋体" w:hAnsi="宋体" w:cs="Arial"/>
          <w:color w:val="000000"/>
          <w:sz w:val="24"/>
          <w:szCs w:val="24"/>
        </w:rPr>
        <w:t>f</w:t>
      </w:r>
      <w:r>
        <w:rPr>
          <w:rFonts w:hint="eastAsia" w:ascii="宋体" w:hAnsi="宋体" w:cs="Arial"/>
          <w:color w:val="000000"/>
          <w:sz w:val="24"/>
          <w:szCs w:val="24"/>
          <w:u w:val="single"/>
        </w:rPr>
        <w:t>投标人应在措施项目中充分考虑各类重要会议或其他事件（如高考、两会、国庆、春运等）造成的对施工工作时间限制所产生的工期延误及所发生的费用。</w:t>
      </w:r>
    </w:p>
    <w:p>
      <w:pPr>
        <w:bidi w:val="0"/>
        <w:spacing w:line="360" w:lineRule="auto"/>
        <w:rPr>
          <w:sz w:val="24"/>
          <w:szCs w:val="24"/>
        </w:rPr>
      </w:pPr>
      <w:bookmarkStart w:id="376" w:name="_Toc489280194"/>
      <w:bookmarkStart w:id="377" w:name="_Toc490331679"/>
      <w:bookmarkStart w:id="378" w:name="_Toc492202858"/>
      <w:bookmarkStart w:id="379" w:name="_Toc485323162"/>
      <w:bookmarkStart w:id="380" w:name="_Toc491149518"/>
      <w:bookmarkStart w:id="381" w:name="_Toc11023"/>
      <w:bookmarkStart w:id="382" w:name="_Toc486580388"/>
      <w:bookmarkStart w:id="383" w:name="_Toc480303394"/>
      <w:bookmarkStart w:id="384" w:name="_BookMark_16"/>
      <w:r>
        <w:rPr>
          <w:rFonts w:hint="eastAsia"/>
          <w:sz w:val="24"/>
          <w:szCs w:val="24"/>
        </w:rPr>
        <w:t>4.2  履约担保</w:t>
      </w:r>
      <w:bookmarkEnd w:id="376"/>
      <w:bookmarkEnd w:id="377"/>
      <w:bookmarkEnd w:id="378"/>
      <w:bookmarkEnd w:id="379"/>
      <w:bookmarkEnd w:id="380"/>
      <w:bookmarkEnd w:id="381"/>
      <w:bookmarkEnd w:id="382"/>
      <w:bookmarkEnd w:id="383"/>
      <w:r>
        <w:rPr>
          <w:rFonts w:hint="eastAsia"/>
          <w:sz w:val="24"/>
          <w:szCs w:val="24"/>
        </w:rPr>
        <w:t xml:space="preserve"> </w:t>
      </w:r>
    </w:p>
    <w:bookmarkEnd w:id="384"/>
    <w:p>
      <w:pPr>
        <w:spacing w:line="360" w:lineRule="auto"/>
        <w:ind w:firstLine="480" w:firstLineChars="200"/>
        <w:rPr>
          <w:rFonts w:ascii="宋体" w:hAnsi="宋体"/>
          <w:color w:val="000000"/>
          <w:sz w:val="24"/>
          <w:szCs w:val="24"/>
        </w:rPr>
      </w:pPr>
      <w:r>
        <w:rPr>
          <w:rFonts w:hint="eastAsia" w:ascii="宋体" w:hAnsi="宋体"/>
          <w:color w:val="000000"/>
          <w:sz w:val="24"/>
          <w:szCs w:val="24"/>
        </w:rPr>
        <w:t>4.2.1  承包人履约担保的格式和金额</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发包人</w:t>
      </w:r>
      <w:r>
        <w:rPr>
          <w:rFonts w:hint="eastAsia" w:ascii="宋体" w:hAnsi="宋体"/>
          <w:color w:val="000000"/>
          <w:sz w:val="24"/>
          <w:szCs w:val="24"/>
          <w:u w:val="single"/>
        </w:rPr>
        <w:t xml:space="preserve">  不要求  </w:t>
      </w:r>
      <w:r>
        <w:rPr>
          <w:rFonts w:hint="eastAsia" w:ascii="宋体" w:hAnsi="宋体"/>
          <w:color w:val="000000"/>
          <w:sz w:val="24"/>
          <w:szCs w:val="24"/>
        </w:rPr>
        <w:t>（要求/不要求）承包人提供承包人履约担保。</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承包人履约担保的金额为</w:t>
      </w:r>
      <w:r>
        <w:rPr>
          <w:rFonts w:hint="eastAsia" w:ascii="宋体" w:hAnsi="宋体"/>
          <w:color w:val="000000"/>
          <w:sz w:val="24"/>
          <w:szCs w:val="24"/>
          <w:u w:val="single"/>
        </w:rPr>
        <w:t>/</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bidi w:val="0"/>
        <w:spacing w:line="360" w:lineRule="auto"/>
        <w:rPr>
          <w:sz w:val="24"/>
          <w:szCs w:val="24"/>
        </w:rPr>
      </w:pPr>
      <w:bookmarkStart w:id="385" w:name="_Toc485323163"/>
      <w:bookmarkStart w:id="386" w:name="_Toc492202859"/>
      <w:bookmarkStart w:id="387" w:name="_Toc480303395"/>
      <w:bookmarkStart w:id="388" w:name="_Toc25468"/>
      <w:bookmarkStart w:id="389" w:name="_Toc491149519"/>
      <w:bookmarkStart w:id="390" w:name="_Toc490331680"/>
      <w:bookmarkStart w:id="391" w:name="_Toc486580389"/>
      <w:bookmarkStart w:id="392" w:name="_Toc489280195"/>
      <w:bookmarkStart w:id="393" w:name="_BookMark_17"/>
      <w:r>
        <w:rPr>
          <w:rFonts w:hint="eastAsia"/>
          <w:sz w:val="24"/>
          <w:szCs w:val="24"/>
        </w:rPr>
        <w:t>4.11  不利物质条件</w:t>
      </w:r>
      <w:bookmarkEnd w:id="385"/>
      <w:bookmarkEnd w:id="386"/>
      <w:bookmarkEnd w:id="387"/>
      <w:bookmarkEnd w:id="388"/>
      <w:bookmarkEnd w:id="389"/>
      <w:bookmarkEnd w:id="390"/>
      <w:bookmarkEnd w:id="391"/>
      <w:bookmarkEnd w:id="392"/>
    </w:p>
    <w:bookmarkEnd w:id="393"/>
    <w:p>
      <w:pPr>
        <w:spacing w:line="360" w:lineRule="auto"/>
        <w:ind w:firstLine="480" w:firstLineChars="200"/>
        <w:rPr>
          <w:rFonts w:ascii="宋体" w:hAnsi="宋体"/>
          <w:color w:val="000000"/>
          <w:sz w:val="24"/>
          <w:szCs w:val="24"/>
        </w:rPr>
      </w:pPr>
      <w:r>
        <w:rPr>
          <w:rFonts w:hint="eastAsia" w:ascii="宋体" w:hAnsi="宋体"/>
          <w:color w:val="000000"/>
          <w:sz w:val="24"/>
          <w:szCs w:val="24"/>
        </w:rPr>
        <w:t>4.11.1  不利物质条件的范围：</w:t>
      </w:r>
      <w:r>
        <w:rPr>
          <w:rFonts w:hint="eastAsia" w:ascii="宋体" w:hAnsi="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bidi w:val="0"/>
        <w:spacing w:line="360" w:lineRule="auto"/>
        <w:rPr>
          <w:sz w:val="24"/>
          <w:szCs w:val="24"/>
        </w:rPr>
      </w:pPr>
      <w:bookmarkStart w:id="394" w:name="_Toc485323164"/>
      <w:bookmarkStart w:id="395" w:name="_Toc490331681"/>
      <w:bookmarkStart w:id="396" w:name="_Toc480303396"/>
      <w:bookmarkStart w:id="397" w:name="_Toc489280196"/>
      <w:bookmarkStart w:id="398" w:name="_Toc491149520"/>
      <w:bookmarkStart w:id="399" w:name="_Toc486580390"/>
      <w:bookmarkStart w:id="400" w:name="_Toc4121"/>
      <w:bookmarkStart w:id="401" w:name="_Toc492202860"/>
      <w:bookmarkStart w:id="402" w:name="_BookMark_18"/>
      <w:r>
        <w:rPr>
          <w:rFonts w:hint="eastAsia"/>
          <w:sz w:val="24"/>
          <w:szCs w:val="24"/>
        </w:rPr>
        <w:t>5.材料和工程设备</w:t>
      </w:r>
      <w:bookmarkEnd w:id="394"/>
      <w:bookmarkEnd w:id="395"/>
      <w:bookmarkEnd w:id="396"/>
      <w:bookmarkEnd w:id="397"/>
      <w:bookmarkEnd w:id="398"/>
      <w:bookmarkEnd w:id="399"/>
      <w:bookmarkEnd w:id="400"/>
      <w:bookmarkEnd w:id="401"/>
    </w:p>
    <w:bookmarkEnd w:id="402"/>
    <w:p>
      <w:pPr>
        <w:bidi w:val="0"/>
        <w:spacing w:line="360" w:lineRule="auto"/>
        <w:rPr>
          <w:sz w:val="24"/>
          <w:szCs w:val="24"/>
        </w:rPr>
      </w:pPr>
      <w:bookmarkStart w:id="403" w:name="_Toc489280197"/>
      <w:bookmarkStart w:id="404" w:name="_Toc485323165"/>
      <w:bookmarkStart w:id="405" w:name="_Toc480303397"/>
      <w:bookmarkStart w:id="406" w:name="_Toc486580391"/>
      <w:bookmarkStart w:id="407" w:name="_Toc491149521"/>
      <w:bookmarkStart w:id="408" w:name="_Toc490331682"/>
      <w:bookmarkStart w:id="409" w:name="_Toc492202861"/>
      <w:bookmarkStart w:id="410" w:name="_Toc19655"/>
      <w:bookmarkStart w:id="411" w:name="_BookMark_19"/>
      <w:r>
        <w:rPr>
          <w:rFonts w:hint="eastAsia"/>
          <w:sz w:val="24"/>
          <w:szCs w:val="24"/>
        </w:rPr>
        <w:t>5.1  承包人提供的材料和工程设备</w:t>
      </w:r>
      <w:bookmarkEnd w:id="403"/>
      <w:bookmarkEnd w:id="404"/>
      <w:bookmarkEnd w:id="405"/>
      <w:bookmarkEnd w:id="406"/>
      <w:bookmarkEnd w:id="407"/>
      <w:bookmarkEnd w:id="408"/>
      <w:bookmarkEnd w:id="409"/>
      <w:bookmarkEnd w:id="410"/>
    </w:p>
    <w:bookmarkEnd w:id="411"/>
    <w:p>
      <w:pPr>
        <w:spacing w:line="360" w:lineRule="auto"/>
        <w:ind w:firstLine="480" w:firstLineChars="200"/>
        <w:rPr>
          <w:rFonts w:ascii="宋体" w:hAnsi="宋体"/>
          <w:color w:val="000000"/>
          <w:sz w:val="24"/>
          <w:szCs w:val="24"/>
        </w:rPr>
      </w:pPr>
      <w:r>
        <w:rPr>
          <w:rFonts w:hint="eastAsia" w:ascii="宋体" w:hAnsi="宋体"/>
          <w:color w:val="000000"/>
          <w:sz w:val="24"/>
          <w:szCs w:val="24"/>
        </w:rPr>
        <w:t>5.1.2 承包人将由其提供的材料和工程设备的供货人和品种、规格、数量及供货时间等报送监理人审批的期限：</w:t>
      </w:r>
      <w:r>
        <w:rPr>
          <w:rFonts w:hint="eastAsia" w:ascii="宋体" w:hAnsi="宋体" w:cs="宋体"/>
          <w:color w:val="000000"/>
          <w:sz w:val="24"/>
          <w:szCs w:val="24"/>
          <w:u w:val="single"/>
        </w:rPr>
        <w:t>监理人收到承包人报送文件后</w:t>
      </w:r>
      <w:r>
        <w:rPr>
          <w:rFonts w:ascii="宋体" w:hAnsi="宋体" w:cs="宋体"/>
          <w:color w:val="000000"/>
          <w:sz w:val="24"/>
          <w:szCs w:val="24"/>
          <w:u w:val="single"/>
        </w:rPr>
        <w:t>5</w:t>
      </w:r>
      <w:r>
        <w:rPr>
          <w:rFonts w:hint="eastAsia" w:ascii="宋体" w:hAnsi="宋体" w:cs="宋体"/>
          <w:color w:val="000000"/>
          <w:sz w:val="24"/>
          <w:szCs w:val="24"/>
          <w:u w:val="single"/>
        </w:rPr>
        <w:t>个工作日审批完毕。</w:t>
      </w:r>
      <w:r>
        <w:rPr>
          <w:rFonts w:hint="eastAsia" w:ascii="宋体" w:hAnsi="宋体"/>
          <w:color w:val="000000"/>
          <w:sz w:val="24"/>
          <w:szCs w:val="24"/>
          <w:u w:val="single"/>
        </w:rPr>
        <w:t xml:space="preserve">  </w:t>
      </w:r>
    </w:p>
    <w:p>
      <w:pPr>
        <w:bidi w:val="0"/>
        <w:spacing w:line="360" w:lineRule="auto"/>
        <w:rPr>
          <w:sz w:val="24"/>
          <w:szCs w:val="24"/>
        </w:rPr>
      </w:pPr>
      <w:bookmarkStart w:id="412" w:name="_Toc480303398"/>
      <w:bookmarkStart w:id="413" w:name="_Toc490331683"/>
      <w:bookmarkStart w:id="414" w:name="_Toc489280198"/>
      <w:bookmarkStart w:id="415" w:name="_Toc492202862"/>
      <w:bookmarkStart w:id="416" w:name="_Toc486580392"/>
      <w:bookmarkStart w:id="417" w:name="_Toc17050"/>
      <w:bookmarkStart w:id="418" w:name="_Toc485323166"/>
      <w:bookmarkStart w:id="419" w:name="_Toc491149522"/>
      <w:bookmarkStart w:id="420" w:name="_BookMark_20"/>
      <w:r>
        <w:rPr>
          <w:rFonts w:hint="eastAsia"/>
          <w:sz w:val="24"/>
          <w:szCs w:val="24"/>
        </w:rPr>
        <w:t>6.施工设备和临时设施</w:t>
      </w:r>
      <w:bookmarkEnd w:id="412"/>
      <w:bookmarkEnd w:id="413"/>
      <w:bookmarkEnd w:id="414"/>
      <w:bookmarkEnd w:id="415"/>
      <w:bookmarkEnd w:id="416"/>
      <w:bookmarkEnd w:id="417"/>
      <w:bookmarkEnd w:id="418"/>
      <w:bookmarkEnd w:id="419"/>
    </w:p>
    <w:bookmarkEnd w:id="420"/>
    <w:p>
      <w:pPr>
        <w:bidi w:val="0"/>
        <w:spacing w:line="360" w:lineRule="auto"/>
        <w:rPr>
          <w:sz w:val="24"/>
          <w:szCs w:val="24"/>
        </w:rPr>
      </w:pPr>
      <w:bookmarkStart w:id="421" w:name="_Toc489280199"/>
      <w:bookmarkStart w:id="422" w:name="_Toc492202863"/>
      <w:bookmarkStart w:id="423" w:name="_Toc480303399"/>
      <w:bookmarkStart w:id="424" w:name="_Toc491149523"/>
      <w:bookmarkStart w:id="425" w:name="_Toc486580393"/>
      <w:bookmarkStart w:id="426" w:name="_Toc17208"/>
      <w:bookmarkStart w:id="427" w:name="_Toc490331684"/>
      <w:bookmarkStart w:id="428" w:name="_Toc485323167"/>
      <w:bookmarkStart w:id="429" w:name="_BookMark_21"/>
      <w:r>
        <w:rPr>
          <w:rFonts w:hint="eastAsia"/>
          <w:sz w:val="24"/>
          <w:szCs w:val="24"/>
        </w:rPr>
        <w:t>6.1  承包人提供的施工设备和临时设施</w:t>
      </w:r>
      <w:bookmarkEnd w:id="421"/>
      <w:bookmarkEnd w:id="422"/>
      <w:bookmarkEnd w:id="423"/>
      <w:bookmarkEnd w:id="424"/>
      <w:bookmarkEnd w:id="425"/>
      <w:bookmarkEnd w:id="426"/>
      <w:bookmarkEnd w:id="427"/>
      <w:bookmarkEnd w:id="428"/>
    </w:p>
    <w:bookmarkEnd w:id="429"/>
    <w:p>
      <w:pPr>
        <w:spacing w:line="360" w:lineRule="auto"/>
        <w:ind w:firstLine="480" w:firstLineChars="200"/>
        <w:rPr>
          <w:rFonts w:ascii="宋体" w:hAnsi="宋体"/>
          <w:color w:val="000000"/>
          <w:sz w:val="24"/>
          <w:szCs w:val="24"/>
        </w:rPr>
      </w:pPr>
      <w:r>
        <w:rPr>
          <w:rFonts w:hint="eastAsia" w:ascii="宋体" w:hAnsi="宋体"/>
          <w:color w:val="000000"/>
          <w:sz w:val="24"/>
          <w:szCs w:val="24"/>
        </w:rPr>
        <w:t>6.1.2  发包人承担自行修建临时设施费用的范围：</w:t>
      </w:r>
      <w:r>
        <w:rPr>
          <w:rFonts w:hint="eastAsia" w:ascii="宋体" w:hAnsi="宋体" w:cs="宋体"/>
          <w:color w:val="000000"/>
          <w:sz w:val="24"/>
          <w:szCs w:val="24"/>
          <w:u w:val="single"/>
        </w:rPr>
        <w:t>无</w:t>
      </w:r>
      <w:r>
        <w:rPr>
          <w:rFonts w:ascii="宋体" w:hAnsi="宋体" w:cs="宋体"/>
          <w:color w:val="000000"/>
          <w:sz w:val="24"/>
          <w:szCs w:val="24"/>
          <w:u w:val="single"/>
        </w:rPr>
        <w:t xml:space="preserve"> </w:t>
      </w:r>
      <w:r>
        <w:rPr>
          <w:rFonts w:hint="eastAsia" w:ascii="宋体" w:hAnsi="宋体"/>
          <w:color w:val="000000"/>
          <w:sz w:val="24"/>
          <w:szCs w:val="24"/>
          <w:u w:val="single"/>
        </w:rPr>
        <w:t xml:space="preserve">           </w:t>
      </w:r>
    </w:p>
    <w:p>
      <w:pPr>
        <w:spacing w:line="360" w:lineRule="auto"/>
        <w:ind w:firstLine="480" w:firstLineChars="200"/>
        <w:rPr>
          <w:rFonts w:ascii="宋体" w:hAnsi="宋体" w:cs="Arial"/>
          <w:color w:val="000000"/>
          <w:sz w:val="24"/>
          <w:szCs w:val="24"/>
        </w:rPr>
      </w:pPr>
      <w:r>
        <w:rPr>
          <w:rFonts w:hint="eastAsia" w:ascii="宋体" w:hAnsi="宋体"/>
          <w:color w:val="000000"/>
          <w:sz w:val="24"/>
          <w:szCs w:val="24"/>
        </w:rPr>
        <w:t>发包人办理申请手续并承担相关费用的临时占地：</w:t>
      </w:r>
      <w:r>
        <w:rPr>
          <w:rFonts w:hint="eastAsia" w:ascii="宋体" w:hAnsi="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bidi w:val="0"/>
        <w:spacing w:line="360" w:lineRule="auto"/>
        <w:rPr>
          <w:sz w:val="24"/>
          <w:szCs w:val="24"/>
        </w:rPr>
      </w:pPr>
      <w:bookmarkStart w:id="430" w:name="_Toc485323168"/>
      <w:bookmarkStart w:id="431" w:name="_Toc491149524"/>
      <w:bookmarkStart w:id="432" w:name="_Toc480303400"/>
      <w:bookmarkStart w:id="433" w:name="_Toc492202864"/>
      <w:bookmarkStart w:id="434" w:name="_Toc489280200"/>
      <w:bookmarkStart w:id="435" w:name="_Toc490331685"/>
      <w:bookmarkStart w:id="436" w:name="_Toc10763"/>
      <w:bookmarkStart w:id="437" w:name="_Toc486580394"/>
      <w:bookmarkStart w:id="438" w:name="_BookMark_22"/>
      <w:r>
        <w:rPr>
          <w:rFonts w:hint="eastAsia"/>
          <w:sz w:val="24"/>
          <w:szCs w:val="24"/>
        </w:rPr>
        <w:t xml:space="preserve">6.2 </w:t>
      </w:r>
      <w:r>
        <w:rPr>
          <w:sz w:val="24"/>
          <w:szCs w:val="24"/>
        </w:rPr>
        <w:t xml:space="preserve"> </w:t>
      </w:r>
      <w:r>
        <w:rPr>
          <w:rFonts w:hint="eastAsia"/>
          <w:sz w:val="24"/>
          <w:szCs w:val="24"/>
        </w:rPr>
        <w:t>发包人提供的施工设备和临时设施</w:t>
      </w:r>
      <w:bookmarkEnd w:id="430"/>
      <w:bookmarkEnd w:id="431"/>
      <w:bookmarkEnd w:id="432"/>
      <w:bookmarkEnd w:id="433"/>
      <w:bookmarkEnd w:id="434"/>
      <w:bookmarkEnd w:id="435"/>
      <w:bookmarkEnd w:id="436"/>
      <w:bookmarkEnd w:id="437"/>
    </w:p>
    <w:bookmarkEnd w:id="438"/>
    <w:p>
      <w:pPr>
        <w:spacing w:line="360" w:lineRule="auto"/>
        <w:ind w:firstLine="480" w:firstLineChars="200"/>
        <w:rPr>
          <w:rFonts w:ascii="宋体" w:hAnsi="宋体"/>
          <w:color w:val="000000"/>
          <w:sz w:val="24"/>
          <w:szCs w:val="24"/>
        </w:rPr>
      </w:pPr>
      <w:r>
        <w:rPr>
          <w:rFonts w:hint="eastAsia" w:ascii="宋体" w:hAnsi="宋体"/>
          <w:color w:val="000000"/>
          <w:sz w:val="24"/>
          <w:szCs w:val="24"/>
        </w:rPr>
        <w:t>发包人提供的施工设备和临时设施：</w:t>
      </w:r>
      <w:r>
        <w:rPr>
          <w:rFonts w:hint="eastAsia" w:ascii="宋体" w:hAnsi="宋体"/>
          <w:color w:val="000000"/>
          <w:sz w:val="24"/>
          <w:szCs w:val="24"/>
          <w:u w:val="single"/>
        </w:rPr>
        <w:t xml:space="preserve">   </w:t>
      </w:r>
      <w:r>
        <w:rPr>
          <w:rFonts w:hint="eastAsia" w:ascii="宋体" w:hAnsi="宋体" w:cs="宋体"/>
          <w:color w:val="000000"/>
          <w:sz w:val="24"/>
          <w:szCs w:val="24"/>
          <w:u w:val="single"/>
        </w:rPr>
        <w:t>临时用水接口、临时用电接口。</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发包人提供的施工设备和临时设施的运行、维护、拆除、清运费用的承担人：</w:t>
      </w:r>
      <w:r>
        <w:rPr>
          <w:rFonts w:hint="eastAsia" w:ascii="宋体" w:hAnsi="宋体"/>
          <w:color w:val="000000"/>
          <w:sz w:val="24"/>
          <w:szCs w:val="24"/>
          <w:u w:val="single"/>
        </w:rPr>
        <w:t>承包人违规操作导致设备损毁而产生的更换和维修费由承包人承担，其他费用由发包人承担</w:t>
      </w:r>
      <w:r>
        <w:rPr>
          <w:rFonts w:hint="eastAsia" w:ascii="宋体" w:hAnsi="宋体"/>
          <w:color w:val="000000"/>
          <w:sz w:val="24"/>
          <w:szCs w:val="24"/>
        </w:rPr>
        <w:t>。</w:t>
      </w:r>
    </w:p>
    <w:p>
      <w:pPr>
        <w:bidi w:val="0"/>
        <w:spacing w:line="360" w:lineRule="auto"/>
        <w:rPr>
          <w:rFonts w:hint="eastAsia"/>
          <w:sz w:val="24"/>
          <w:szCs w:val="24"/>
        </w:rPr>
      </w:pPr>
      <w:bookmarkStart w:id="439" w:name="_Toc492202865"/>
      <w:bookmarkStart w:id="440" w:name="_Toc490331686"/>
      <w:bookmarkStart w:id="441" w:name="_Toc489280201"/>
      <w:bookmarkStart w:id="442" w:name="_Toc20160"/>
      <w:bookmarkStart w:id="443" w:name="_Toc480303401"/>
      <w:bookmarkStart w:id="444" w:name="_Toc485323169"/>
      <w:bookmarkStart w:id="445" w:name="_Toc491149525"/>
      <w:bookmarkStart w:id="446" w:name="_Toc486580395"/>
      <w:bookmarkStart w:id="447" w:name="_BookMark_23"/>
      <w:r>
        <w:rPr>
          <w:rFonts w:hint="eastAsia"/>
          <w:sz w:val="24"/>
          <w:szCs w:val="24"/>
        </w:rPr>
        <w:t>7.交通运输</w:t>
      </w:r>
      <w:bookmarkEnd w:id="439"/>
      <w:bookmarkEnd w:id="440"/>
      <w:bookmarkEnd w:id="441"/>
      <w:bookmarkEnd w:id="442"/>
      <w:bookmarkEnd w:id="443"/>
      <w:bookmarkEnd w:id="444"/>
      <w:bookmarkEnd w:id="445"/>
      <w:bookmarkEnd w:id="446"/>
    </w:p>
    <w:bookmarkEnd w:id="447"/>
    <w:p>
      <w:pPr>
        <w:bidi w:val="0"/>
        <w:spacing w:line="360" w:lineRule="auto"/>
        <w:rPr>
          <w:rFonts w:hint="eastAsia"/>
          <w:sz w:val="24"/>
          <w:szCs w:val="24"/>
        </w:rPr>
      </w:pPr>
      <w:bookmarkStart w:id="448" w:name="_Toc23429"/>
      <w:bookmarkStart w:id="449" w:name="_Toc491149526"/>
      <w:bookmarkStart w:id="450" w:name="_Toc492202866"/>
      <w:bookmarkStart w:id="451" w:name="_Toc480303402"/>
      <w:bookmarkStart w:id="452" w:name="_Toc486580396"/>
      <w:bookmarkStart w:id="453" w:name="_Toc485323170"/>
      <w:bookmarkStart w:id="454" w:name="_Toc490331687"/>
      <w:bookmarkStart w:id="455" w:name="_Toc489280202"/>
      <w:bookmarkStart w:id="456" w:name="_BookMark_24"/>
      <w:r>
        <w:rPr>
          <w:rFonts w:hint="eastAsia"/>
          <w:sz w:val="24"/>
          <w:szCs w:val="24"/>
        </w:rPr>
        <w:t>7.1  道路通行权和场外设施</w:t>
      </w:r>
      <w:bookmarkEnd w:id="448"/>
      <w:bookmarkEnd w:id="449"/>
      <w:bookmarkEnd w:id="450"/>
      <w:bookmarkEnd w:id="451"/>
      <w:bookmarkEnd w:id="452"/>
      <w:bookmarkEnd w:id="453"/>
      <w:bookmarkEnd w:id="454"/>
      <w:bookmarkEnd w:id="455"/>
    </w:p>
    <w:bookmarkEnd w:id="456"/>
    <w:p>
      <w:pPr>
        <w:bidi w:val="0"/>
        <w:spacing w:line="360" w:lineRule="auto"/>
        <w:rPr>
          <w:rFonts w:hint="eastAsia"/>
          <w:sz w:val="24"/>
          <w:szCs w:val="24"/>
        </w:rPr>
      </w:pPr>
      <w:r>
        <w:rPr>
          <w:rFonts w:hint="eastAsia"/>
          <w:sz w:val="24"/>
          <w:szCs w:val="24"/>
        </w:rPr>
        <w:t xml:space="preserve">负责取得道路通行权、场外设施修建权的办理人: 发包人    ，其相关费用由发包人承担。                       </w:t>
      </w:r>
    </w:p>
    <w:p>
      <w:pPr>
        <w:bidi w:val="0"/>
        <w:spacing w:line="360" w:lineRule="auto"/>
        <w:rPr>
          <w:rFonts w:hint="eastAsia"/>
          <w:sz w:val="24"/>
          <w:szCs w:val="24"/>
        </w:rPr>
      </w:pPr>
      <w:bookmarkStart w:id="457" w:name="_Toc491149527"/>
      <w:bookmarkStart w:id="458" w:name="_Toc486580397"/>
      <w:bookmarkStart w:id="459" w:name="_Toc485323171"/>
      <w:bookmarkStart w:id="460" w:name="_Toc480303403"/>
      <w:bookmarkStart w:id="461" w:name="_Toc492202867"/>
      <w:bookmarkStart w:id="462" w:name="_Toc490331688"/>
      <w:bookmarkStart w:id="463" w:name="_Toc28987"/>
      <w:bookmarkStart w:id="464" w:name="_Toc489280203"/>
      <w:bookmarkStart w:id="465" w:name="_BookMark_25"/>
      <w:r>
        <w:rPr>
          <w:rFonts w:hint="eastAsia"/>
          <w:sz w:val="24"/>
          <w:szCs w:val="24"/>
        </w:rPr>
        <w:t>7.2  场内施工道路</w:t>
      </w:r>
      <w:bookmarkEnd w:id="457"/>
      <w:bookmarkEnd w:id="458"/>
      <w:bookmarkEnd w:id="459"/>
      <w:bookmarkEnd w:id="460"/>
      <w:bookmarkEnd w:id="461"/>
      <w:bookmarkEnd w:id="462"/>
      <w:bookmarkEnd w:id="463"/>
      <w:bookmarkEnd w:id="464"/>
    </w:p>
    <w:bookmarkEnd w:id="465"/>
    <w:p>
      <w:pPr>
        <w:bidi w:val="0"/>
        <w:spacing w:line="360" w:lineRule="auto"/>
        <w:rPr>
          <w:rFonts w:hint="eastAsia"/>
          <w:sz w:val="24"/>
          <w:szCs w:val="24"/>
        </w:rPr>
      </w:pPr>
      <w:r>
        <w:rPr>
          <w:rFonts w:hint="eastAsia"/>
          <w:sz w:val="24"/>
          <w:szCs w:val="24"/>
        </w:rPr>
        <w:t>7.2.1  施工所需的场内临时道路和交通设施的修建、维护、养护和管理人：承包人，相关费用由  承包人 承担。</w:t>
      </w:r>
    </w:p>
    <w:p>
      <w:pPr>
        <w:bidi w:val="0"/>
        <w:spacing w:line="360" w:lineRule="auto"/>
        <w:rPr>
          <w:rFonts w:hint="eastAsia"/>
          <w:sz w:val="24"/>
          <w:szCs w:val="24"/>
        </w:rPr>
      </w:pPr>
      <w:bookmarkStart w:id="466" w:name="_Toc486580398"/>
      <w:bookmarkStart w:id="467" w:name="_Toc13817"/>
      <w:bookmarkStart w:id="468" w:name="_Toc490331689"/>
      <w:bookmarkStart w:id="469" w:name="_Toc492202868"/>
      <w:bookmarkStart w:id="470" w:name="_Toc480303404"/>
      <w:bookmarkStart w:id="471" w:name="_Toc491149528"/>
      <w:bookmarkStart w:id="472" w:name="_Toc489280204"/>
      <w:bookmarkStart w:id="473" w:name="_Toc485323172"/>
      <w:bookmarkStart w:id="474" w:name="_BookMark_26"/>
      <w:r>
        <w:rPr>
          <w:rFonts w:hint="eastAsia"/>
          <w:sz w:val="24"/>
          <w:szCs w:val="24"/>
        </w:rPr>
        <w:t>7.4  超大件和超重件的运输</w:t>
      </w:r>
      <w:bookmarkEnd w:id="466"/>
      <w:bookmarkEnd w:id="467"/>
      <w:bookmarkEnd w:id="468"/>
      <w:bookmarkEnd w:id="469"/>
      <w:bookmarkEnd w:id="470"/>
      <w:bookmarkEnd w:id="471"/>
      <w:bookmarkEnd w:id="472"/>
      <w:bookmarkEnd w:id="473"/>
    </w:p>
    <w:bookmarkEnd w:id="474"/>
    <w:p>
      <w:pPr>
        <w:bidi w:val="0"/>
        <w:spacing w:line="360" w:lineRule="auto"/>
        <w:rPr>
          <w:rFonts w:hint="eastAsia"/>
          <w:sz w:val="24"/>
          <w:szCs w:val="24"/>
        </w:rPr>
      </w:pPr>
      <w:r>
        <w:rPr>
          <w:rFonts w:hint="eastAsia"/>
          <w:sz w:val="24"/>
          <w:szCs w:val="24"/>
        </w:rPr>
        <w:t xml:space="preserve">运输超大件或超重件所需的道路和桥梁临时加固改造等费用的承担人：承包人，此费用计入投标报价中 。  </w:t>
      </w:r>
    </w:p>
    <w:p>
      <w:pPr>
        <w:bidi w:val="0"/>
        <w:spacing w:line="360" w:lineRule="auto"/>
        <w:rPr>
          <w:rFonts w:hint="eastAsia"/>
          <w:sz w:val="24"/>
          <w:szCs w:val="24"/>
        </w:rPr>
      </w:pPr>
      <w:bookmarkStart w:id="475" w:name="_Toc489280205"/>
      <w:bookmarkStart w:id="476" w:name="_Toc480303405"/>
      <w:bookmarkStart w:id="477" w:name="_Toc492202869"/>
      <w:bookmarkStart w:id="478" w:name="_Toc485323173"/>
      <w:bookmarkStart w:id="479" w:name="_Toc486580399"/>
      <w:bookmarkStart w:id="480" w:name="_Toc26705"/>
      <w:bookmarkStart w:id="481" w:name="_Toc490331690"/>
      <w:bookmarkStart w:id="482" w:name="_Toc491149529"/>
      <w:bookmarkStart w:id="483" w:name="_BookMark_27"/>
      <w:r>
        <w:rPr>
          <w:rFonts w:hint="eastAsia"/>
          <w:sz w:val="24"/>
          <w:szCs w:val="24"/>
        </w:rPr>
        <w:t>8.测量放线</w:t>
      </w:r>
      <w:bookmarkEnd w:id="475"/>
      <w:bookmarkEnd w:id="476"/>
      <w:bookmarkEnd w:id="477"/>
      <w:bookmarkEnd w:id="478"/>
      <w:bookmarkEnd w:id="479"/>
      <w:bookmarkEnd w:id="480"/>
      <w:bookmarkEnd w:id="481"/>
      <w:bookmarkEnd w:id="482"/>
    </w:p>
    <w:bookmarkEnd w:id="483"/>
    <w:p>
      <w:pPr>
        <w:bidi w:val="0"/>
        <w:spacing w:line="360" w:lineRule="auto"/>
        <w:rPr>
          <w:rFonts w:hint="eastAsia"/>
          <w:sz w:val="24"/>
          <w:szCs w:val="24"/>
        </w:rPr>
      </w:pPr>
      <w:bookmarkStart w:id="484" w:name="_Toc22782"/>
      <w:bookmarkStart w:id="485" w:name="_Toc480303406"/>
      <w:bookmarkStart w:id="486" w:name="_Toc486580400"/>
      <w:bookmarkStart w:id="487" w:name="_Toc491149530"/>
      <w:bookmarkStart w:id="488" w:name="_Toc489280206"/>
      <w:bookmarkStart w:id="489" w:name="_Toc492202870"/>
      <w:bookmarkStart w:id="490" w:name="_Toc490331691"/>
      <w:bookmarkStart w:id="491" w:name="_Toc485323174"/>
      <w:bookmarkStart w:id="492" w:name="_BookMark_28"/>
      <w:r>
        <w:rPr>
          <w:rFonts w:hint="eastAsia"/>
          <w:sz w:val="24"/>
          <w:szCs w:val="24"/>
        </w:rPr>
        <w:t>8.1  施工控制网</w:t>
      </w:r>
      <w:bookmarkEnd w:id="484"/>
      <w:bookmarkEnd w:id="485"/>
      <w:bookmarkEnd w:id="486"/>
      <w:bookmarkEnd w:id="487"/>
      <w:bookmarkEnd w:id="488"/>
      <w:bookmarkEnd w:id="489"/>
      <w:bookmarkEnd w:id="490"/>
      <w:bookmarkEnd w:id="491"/>
    </w:p>
    <w:bookmarkEnd w:id="492"/>
    <w:p>
      <w:pPr>
        <w:bidi w:val="0"/>
        <w:spacing w:line="360" w:lineRule="auto"/>
        <w:rPr>
          <w:rFonts w:hint="eastAsia"/>
          <w:sz w:val="24"/>
          <w:szCs w:val="24"/>
        </w:rPr>
      </w:pPr>
      <w:r>
        <w:rPr>
          <w:rFonts w:hint="eastAsia"/>
          <w:sz w:val="24"/>
          <w:szCs w:val="24"/>
        </w:rPr>
        <w:t>8.1.1  发包人通过监理人提供测量基准点、基准线和水准点及其书面资料的期限：合同签订后7天内。</w:t>
      </w:r>
    </w:p>
    <w:p>
      <w:pPr>
        <w:bidi w:val="0"/>
        <w:spacing w:line="360" w:lineRule="auto"/>
        <w:rPr>
          <w:rFonts w:hint="eastAsia"/>
          <w:sz w:val="24"/>
          <w:szCs w:val="24"/>
        </w:rPr>
      </w:pPr>
      <w:r>
        <w:rPr>
          <w:rFonts w:hint="eastAsia"/>
          <w:sz w:val="24"/>
          <w:szCs w:val="24"/>
        </w:rPr>
        <w:t>8.1.2  承包人测设施工控制网的其他要求：由承包人依据监理人提供的测量基准点、基准线和水准点以及国家的工程测量技术规范和合同要求的工程精度，测设自己的施工控制网。</w:t>
      </w:r>
    </w:p>
    <w:p>
      <w:pPr>
        <w:bidi w:val="0"/>
        <w:spacing w:line="360" w:lineRule="auto"/>
        <w:rPr>
          <w:rFonts w:hint="eastAsia"/>
          <w:sz w:val="24"/>
          <w:szCs w:val="24"/>
        </w:rPr>
      </w:pPr>
      <w:r>
        <w:rPr>
          <w:rFonts w:hint="eastAsia"/>
          <w:sz w:val="24"/>
          <w:szCs w:val="24"/>
        </w:rPr>
        <w:t>承包人将施工控制网资料报送监理人审批的期限：收到监理人发出的开工通知后7天内。</w:t>
      </w:r>
    </w:p>
    <w:p>
      <w:pPr>
        <w:bidi w:val="0"/>
        <w:spacing w:line="360" w:lineRule="auto"/>
        <w:rPr>
          <w:rFonts w:hint="eastAsia"/>
          <w:sz w:val="24"/>
          <w:szCs w:val="24"/>
        </w:rPr>
      </w:pPr>
    </w:p>
    <w:p>
      <w:pPr>
        <w:bidi w:val="0"/>
        <w:spacing w:line="360" w:lineRule="auto"/>
        <w:rPr>
          <w:rFonts w:hint="eastAsia"/>
          <w:sz w:val="24"/>
          <w:szCs w:val="24"/>
        </w:rPr>
      </w:pPr>
      <w:bookmarkStart w:id="493" w:name="_Toc491149531"/>
      <w:bookmarkStart w:id="494" w:name="_Toc489280207"/>
      <w:bookmarkStart w:id="495" w:name="_Toc486580401"/>
      <w:bookmarkStart w:id="496" w:name="_Toc5001"/>
      <w:bookmarkStart w:id="497" w:name="_Toc492202871"/>
      <w:bookmarkStart w:id="498" w:name="_Toc490331692"/>
      <w:bookmarkStart w:id="499" w:name="_Toc485323175"/>
      <w:bookmarkStart w:id="500" w:name="_Toc480303407"/>
      <w:bookmarkStart w:id="501" w:name="_BookMark_29"/>
      <w:r>
        <w:rPr>
          <w:rFonts w:hint="eastAsia"/>
          <w:sz w:val="24"/>
          <w:szCs w:val="24"/>
        </w:rPr>
        <w:t>9.施工安全、治安保卫和环境保护</w:t>
      </w:r>
      <w:bookmarkEnd w:id="493"/>
      <w:bookmarkEnd w:id="494"/>
      <w:bookmarkEnd w:id="495"/>
      <w:bookmarkEnd w:id="496"/>
      <w:bookmarkEnd w:id="497"/>
      <w:bookmarkEnd w:id="498"/>
      <w:bookmarkEnd w:id="499"/>
      <w:bookmarkEnd w:id="500"/>
    </w:p>
    <w:bookmarkEnd w:id="501"/>
    <w:p>
      <w:pPr>
        <w:bidi w:val="0"/>
        <w:spacing w:line="360" w:lineRule="auto"/>
        <w:rPr>
          <w:rFonts w:hint="eastAsia"/>
          <w:sz w:val="24"/>
          <w:szCs w:val="24"/>
        </w:rPr>
      </w:pPr>
      <w:bookmarkStart w:id="502" w:name="_Toc486580402"/>
      <w:bookmarkStart w:id="503" w:name="_Toc485323176"/>
      <w:bookmarkStart w:id="504" w:name="_Toc480303408"/>
      <w:bookmarkStart w:id="505" w:name="_Toc492202872"/>
      <w:bookmarkStart w:id="506" w:name="_Toc4903"/>
      <w:bookmarkStart w:id="507" w:name="_Toc489280208"/>
      <w:bookmarkStart w:id="508" w:name="_Toc490331693"/>
      <w:bookmarkStart w:id="509" w:name="_Toc491149532"/>
      <w:bookmarkStart w:id="510" w:name="_BookMark_30"/>
      <w:r>
        <w:rPr>
          <w:rFonts w:hint="eastAsia"/>
          <w:sz w:val="24"/>
          <w:szCs w:val="24"/>
        </w:rPr>
        <w:t>9.2  承包人的施工安全责任</w:t>
      </w:r>
      <w:bookmarkEnd w:id="502"/>
      <w:bookmarkEnd w:id="503"/>
      <w:bookmarkEnd w:id="504"/>
      <w:bookmarkEnd w:id="505"/>
      <w:bookmarkEnd w:id="506"/>
      <w:bookmarkEnd w:id="507"/>
      <w:bookmarkEnd w:id="508"/>
      <w:bookmarkEnd w:id="509"/>
    </w:p>
    <w:bookmarkEnd w:id="510"/>
    <w:p>
      <w:pPr>
        <w:bidi w:val="0"/>
        <w:spacing w:line="360" w:lineRule="auto"/>
        <w:rPr>
          <w:rFonts w:hint="eastAsia"/>
          <w:sz w:val="24"/>
          <w:szCs w:val="24"/>
        </w:rPr>
      </w:pPr>
      <w:bookmarkStart w:id="511" w:name="_Toc486580403"/>
      <w:bookmarkStart w:id="512" w:name="_Toc489280209"/>
      <w:bookmarkStart w:id="513" w:name="_Toc480303409"/>
      <w:bookmarkStart w:id="514" w:name="_Toc485323177"/>
      <w:r>
        <w:rPr>
          <w:rFonts w:hint="eastAsia"/>
          <w:sz w:val="24"/>
          <w:szCs w:val="24"/>
        </w:rPr>
        <w:t>9.2.1  承包人向监理人报送施工安全措施计划的期限：监理人发出开工通知后7天内 。</w:t>
      </w:r>
    </w:p>
    <w:p>
      <w:pPr>
        <w:bidi w:val="0"/>
        <w:spacing w:line="360" w:lineRule="auto"/>
        <w:rPr>
          <w:rFonts w:hint="eastAsia"/>
          <w:sz w:val="24"/>
          <w:szCs w:val="24"/>
        </w:rPr>
      </w:pPr>
      <w:r>
        <w:rPr>
          <w:rFonts w:hint="eastAsia"/>
          <w:sz w:val="24"/>
          <w:szCs w:val="24"/>
        </w:rPr>
        <w:t>监理人收到承包人报送的施工安全措施计划后应当在   7  天内给予批复。</w:t>
      </w:r>
    </w:p>
    <w:p>
      <w:pPr>
        <w:bidi w:val="0"/>
        <w:spacing w:line="360" w:lineRule="auto"/>
        <w:rPr>
          <w:rFonts w:hint="eastAsia"/>
          <w:sz w:val="24"/>
          <w:szCs w:val="24"/>
        </w:rPr>
      </w:pPr>
      <w:bookmarkStart w:id="515" w:name="_Toc490331694"/>
      <w:bookmarkStart w:id="516" w:name="_Toc18369"/>
      <w:bookmarkStart w:id="517" w:name="_Toc491149533"/>
      <w:bookmarkStart w:id="518" w:name="_Toc492202873"/>
      <w:bookmarkStart w:id="519" w:name="_BookMark_31"/>
      <w:r>
        <w:rPr>
          <w:rFonts w:hint="eastAsia"/>
          <w:sz w:val="24"/>
          <w:szCs w:val="24"/>
        </w:rPr>
        <w:t>9.3  治安保卫</w:t>
      </w:r>
      <w:bookmarkEnd w:id="511"/>
      <w:bookmarkEnd w:id="512"/>
      <w:bookmarkEnd w:id="513"/>
      <w:bookmarkEnd w:id="514"/>
      <w:bookmarkEnd w:id="515"/>
      <w:bookmarkEnd w:id="516"/>
      <w:bookmarkEnd w:id="517"/>
      <w:bookmarkEnd w:id="518"/>
    </w:p>
    <w:bookmarkEnd w:id="519"/>
    <w:p>
      <w:pPr>
        <w:bidi w:val="0"/>
        <w:spacing w:line="360" w:lineRule="auto"/>
        <w:rPr>
          <w:rFonts w:hint="eastAsia"/>
          <w:sz w:val="24"/>
          <w:szCs w:val="24"/>
        </w:rPr>
      </w:pPr>
      <w:bookmarkStart w:id="520" w:name="_Toc485323178"/>
      <w:bookmarkStart w:id="521" w:name="_Toc489280210"/>
      <w:bookmarkStart w:id="522" w:name="_Toc480303410"/>
      <w:bookmarkStart w:id="523" w:name="_Toc486580404"/>
      <w:r>
        <w:rPr>
          <w:rFonts w:hint="eastAsia"/>
          <w:sz w:val="24"/>
          <w:szCs w:val="24"/>
        </w:rPr>
        <w:t>9.3.3 制定施工场地治安管理计划和突发治安事件紧急预案的责任人：_承包人____</w:t>
      </w:r>
    </w:p>
    <w:p>
      <w:pPr>
        <w:bidi w:val="0"/>
        <w:spacing w:line="360" w:lineRule="auto"/>
        <w:rPr>
          <w:rFonts w:hint="eastAsia"/>
          <w:sz w:val="24"/>
          <w:szCs w:val="24"/>
        </w:rPr>
      </w:pPr>
      <w:bookmarkStart w:id="524" w:name="_Toc491149534"/>
      <w:bookmarkStart w:id="525" w:name="_Toc492202874"/>
      <w:bookmarkStart w:id="526" w:name="_Toc490331695"/>
      <w:bookmarkStart w:id="527" w:name="_Toc3078"/>
      <w:bookmarkStart w:id="528" w:name="_BookMark_32"/>
      <w:r>
        <w:rPr>
          <w:rFonts w:hint="eastAsia"/>
          <w:sz w:val="24"/>
          <w:szCs w:val="24"/>
        </w:rPr>
        <w:t>9.4  环境保护</w:t>
      </w:r>
      <w:bookmarkEnd w:id="520"/>
      <w:bookmarkEnd w:id="521"/>
      <w:bookmarkEnd w:id="522"/>
      <w:bookmarkEnd w:id="523"/>
      <w:bookmarkEnd w:id="524"/>
      <w:bookmarkEnd w:id="525"/>
      <w:bookmarkEnd w:id="526"/>
      <w:bookmarkEnd w:id="527"/>
    </w:p>
    <w:bookmarkEnd w:id="528"/>
    <w:p>
      <w:pPr>
        <w:bidi w:val="0"/>
        <w:spacing w:line="360" w:lineRule="auto"/>
        <w:rPr>
          <w:rFonts w:hint="eastAsia"/>
          <w:sz w:val="24"/>
          <w:szCs w:val="24"/>
        </w:rPr>
      </w:pPr>
      <w:bookmarkStart w:id="529" w:name="_Toc489280211"/>
      <w:bookmarkStart w:id="530" w:name="_Toc486580405"/>
      <w:bookmarkStart w:id="531" w:name="_Toc485323179"/>
      <w:bookmarkStart w:id="532" w:name="_Toc480303411"/>
      <w:r>
        <w:rPr>
          <w:rFonts w:hint="eastAsia"/>
          <w:sz w:val="24"/>
          <w:szCs w:val="24"/>
        </w:rPr>
        <w:t>9.4.3  施工环保措施计划报送监理人审批的时间：__签订合同后7天内 。</w:t>
      </w:r>
    </w:p>
    <w:p>
      <w:pPr>
        <w:bidi w:val="0"/>
        <w:spacing w:line="360" w:lineRule="auto"/>
        <w:rPr>
          <w:rFonts w:hint="eastAsia"/>
          <w:sz w:val="24"/>
          <w:szCs w:val="24"/>
        </w:rPr>
      </w:pPr>
      <w:r>
        <w:rPr>
          <w:rFonts w:hint="eastAsia"/>
          <w:sz w:val="24"/>
          <w:szCs w:val="24"/>
        </w:rPr>
        <w:t>监理人收到承包人报送的施工环保措施计划后应当在____7__天内给予批复。</w:t>
      </w:r>
    </w:p>
    <w:p>
      <w:pPr>
        <w:bidi w:val="0"/>
        <w:spacing w:line="360" w:lineRule="auto"/>
        <w:rPr>
          <w:rFonts w:hint="eastAsia"/>
          <w:sz w:val="24"/>
          <w:szCs w:val="24"/>
        </w:rPr>
      </w:pPr>
      <w:bookmarkStart w:id="533" w:name="_Toc492202875"/>
      <w:bookmarkStart w:id="534" w:name="_Toc490331696"/>
      <w:bookmarkStart w:id="535" w:name="_Toc491149535"/>
      <w:bookmarkStart w:id="536" w:name="_Toc25516"/>
      <w:bookmarkStart w:id="537" w:name="_BookMark_33"/>
      <w:r>
        <w:rPr>
          <w:rFonts w:hint="eastAsia"/>
          <w:sz w:val="24"/>
          <w:szCs w:val="24"/>
        </w:rPr>
        <w:t>10.进度计划</w:t>
      </w:r>
      <w:bookmarkEnd w:id="529"/>
      <w:bookmarkEnd w:id="530"/>
      <w:bookmarkEnd w:id="531"/>
      <w:bookmarkEnd w:id="532"/>
      <w:bookmarkEnd w:id="533"/>
      <w:bookmarkEnd w:id="534"/>
      <w:bookmarkEnd w:id="535"/>
      <w:bookmarkEnd w:id="536"/>
    </w:p>
    <w:bookmarkEnd w:id="537"/>
    <w:p>
      <w:pPr>
        <w:bidi w:val="0"/>
        <w:spacing w:line="360" w:lineRule="auto"/>
        <w:rPr>
          <w:rFonts w:hint="eastAsia"/>
          <w:sz w:val="24"/>
          <w:szCs w:val="24"/>
        </w:rPr>
      </w:pPr>
      <w:bookmarkStart w:id="538" w:name="_Toc492202876"/>
      <w:bookmarkStart w:id="539" w:name="_Toc489280212"/>
      <w:bookmarkStart w:id="540" w:name="_Toc480303412"/>
      <w:bookmarkStart w:id="541" w:name="_Toc490331697"/>
      <w:bookmarkStart w:id="542" w:name="_Toc485323180"/>
      <w:bookmarkStart w:id="543" w:name="_Toc486580406"/>
      <w:bookmarkStart w:id="544" w:name="_Toc20293"/>
      <w:bookmarkStart w:id="545" w:name="_Toc491149536"/>
      <w:bookmarkStart w:id="546" w:name="_BookMark_34"/>
      <w:r>
        <w:rPr>
          <w:rFonts w:hint="eastAsia"/>
          <w:sz w:val="24"/>
          <w:szCs w:val="24"/>
        </w:rPr>
        <w:t>10.1  合同进度计划</w:t>
      </w:r>
      <w:bookmarkEnd w:id="538"/>
      <w:bookmarkEnd w:id="539"/>
      <w:bookmarkEnd w:id="540"/>
      <w:bookmarkEnd w:id="541"/>
      <w:bookmarkEnd w:id="542"/>
      <w:bookmarkEnd w:id="543"/>
      <w:bookmarkEnd w:id="544"/>
      <w:bookmarkEnd w:id="545"/>
    </w:p>
    <w:bookmarkEnd w:id="546"/>
    <w:p>
      <w:pPr>
        <w:bidi w:val="0"/>
        <w:spacing w:line="360" w:lineRule="auto"/>
        <w:rPr>
          <w:rFonts w:hint="eastAsia"/>
          <w:sz w:val="24"/>
          <w:szCs w:val="24"/>
        </w:rPr>
      </w:pPr>
      <w:bookmarkStart w:id="547" w:name="_Toc485323181"/>
      <w:bookmarkStart w:id="548" w:name="_Toc486580407"/>
      <w:bookmarkStart w:id="549" w:name="_Toc480303413"/>
      <w:bookmarkStart w:id="550" w:name="_Toc489280213"/>
      <w:r>
        <w:rPr>
          <w:rFonts w:hint="eastAsia"/>
          <w:sz w:val="24"/>
          <w:szCs w:val="24"/>
        </w:rPr>
        <w:t>10.1.1承包人编制施工进度计划和施工方案说明的内容：进度计划包括单位工程及分部、分项的进度计划；专业分包的进度计划； 施工方案包括人力安排、机具进场安排等。</w:t>
      </w:r>
    </w:p>
    <w:p>
      <w:pPr>
        <w:bidi w:val="0"/>
        <w:spacing w:line="360" w:lineRule="auto"/>
        <w:rPr>
          <w:rFonts w:hint="eastAsia"/>
          <w:sz w:val="24"/>
          <w:szCs w:val="24"/>
        </w:rPr>
      </w:pPr>
      <w:r>
        <w:rPr>
          <w:rFonts w:hint="eastAsia"/>
          <w:sz w:val="24"/>
          <w:szCs w:val="24"/>
        </w:rPr>
        <w:t xml:space="preserve">10.1.2承包人编制分阶段或分项施工进度计划和施工方案说明的内容及时限要求：_自监理人收到承包人报送的相关进度计划和施工方案说明后14天内。   </w:t>
      </w:r>
    </w:p>
    <w:p>
      <w:pPr>
        <w:bidi w:val="0"/>
        <w:spacing w:line="360" w:lineRule="auto"/>
        <w:rPr>
          <w:rFonts w:hint="eastAsia"/>
          <w:sz w:val="24"/>
          <w:szCs w:val="24"/>
        </w:rPr>
      </w:pPr>
      <w:r>
        <w:rPr>
          <w:rFonts w:hint="eastAsia"/>
          <w:sz w:val="24"/>
          <w:szCs w:val="24"/>
        </w:rPr>
        <w:t>10.1.3群体工程中有关编制进度计划和施工方案说明的要求：___/ _____</w:t>
      </w:r>
    </w:p>
    <w:p>
      <w:pPr>
        <w:bidi w:val="0"/>
        <w:spacing w:line="360" w:lineRule="auto"/>
        <w:rPr>
          <w:rFonts w:hint="eastAsia"/>
          <w:sz w:val="24"/>
          <w:szCs w:val="24"/>
        </w:rPr>
      </w:pPr>
      <w:bookmarkStart w:id="551" w:name="_Toc490331698"/>
      <w:bookmarkStart w:id="552" w:name="_Toc21770"/>
      <w:bookmarkStart w:id="553" w:name="_Toc492202877"/>
      <w:bookmarkStart w:id="554" w:name="_Toc491149537"/>
      <w:bookmarkStart w:id="555" w:name="_BookMark_35"/>
      <w:r>
        <w:rPr>
          <w:rFonts w:hint="eastAsia"/>
          <w:sz w:val="24"/>
          <w:szCs w:val="24"/>
        </w:rPr>
        <w:t>10.2  合同进度计划的修订</w:t>
      </w:r>
      <w:bookmarkEnd w:id="547"/>
      <w:bookmarkEnd w:id="548"/>
      <w:bookmarkEnd w:id="549"/>
      <w:bookmarkEnd w:id="550"/>
      <w:bookmarkEnd w:id="551"/>
      <w:bookmarkEnd w:id="552"/>
      <w:bookmarkEnd w:id="553"/>
      <w:bookmarkEnd w:id="554"/>
    </w:p>
    <w:bookmarkEnd w:id="555"/>
    <w:p>
      <w:pPr>
        <w:bidi w:val="0"/>
        <w:spacing w:line="360" w:lineRule="auto"/>
        <w:rPr>
          <w:rFonts w:hint="eastAsia"/>
          <w:sz w:val="24"/>
          <w:szCs w:val="24"/>
        </w:rPr>
      </w:pPr>
      <w:bookmarkStart w:id="556" w:name="_Toc485323182"/>
      <w:bookmarkStart w:id="557" w:name="_Toc480303414"/>
      <w:bookmarkStart w:id="558" w:name="_Toc486580408"/>
      <w:bookmarkStart w:id="559" w:name="_Toc489280214"/>
      <w:r>
        <w:rPr>
          <w:rFonts w:hint="eastAsia"/>
          <w:sz w:val="24"/>
          <w:szCs w:val="24"/>
        </w:rPr>
        <w:t>10.2.1承包人报送修订合同进度计划申请报告和相关资料的期限：_签订合同7日内。</w:t>
      </w:r>
    </w:p>
    <w:p>
      <w:pPr>
        <w:bidi w:val="0"/>
        <w:spacing w:line="360" w:lineRule="auto"/>
        <w:rPr>
          <w:rFonts w:hint="eastAsia"/>
          <w:sz w:val="24"/>
          <w:szCs w:val="24"/>
        </w:rPr>
      </w:pPr>
      <w:r>
        <w:rPr>
          <w:rFonts w:hint="eastAsia"/>
          <w:sz w:val="24"/>
          <w:szCs w:val="24"/>
        </w:rPr>
        <w:t>监理人批复修订合同进度计划申请报告的期限：_收到承包人报送的修订合同进度计划申请报告和相关资料后7天内。</w:t>
      </w:r>
    </w:p>
    <w:p>
      <w:pPr>
        <w:bidi w:val="0"/>
        <w:spacing w:line="360" w:lineRule="auto"/>
        <w:rPr>
          <w:rFonts w:hint="eastAsia"/>
          <w:sz w:val="24"/>
          <w:szCs w:val="24"/>
        </w:rPr>
      </w:pPr>
      <w:r>
        <w:rPr>
          <w:rFonts w:hint="eastAsia"/>
          <w:sz w:val="24"/>
          <w:szCs w:val="24"/>
        </w:rPr>
        <w:t>10.2.2监理人批复修订合同进度计划的期限：收到承包人报送资料后7天内   。</w:t>
      </w:r>
    </w:p>
    <w:p>
      <w:pPr>
        <w:bidi w:val="0"/>
        <w:spacing w:line="360" w:lineRule="auto"/>
        <w:rPr>
          <w:rFonts w:hint="eastAsia"/>
          <w:sz w:val="24"/>
          <w:szCs w:val="24"/>
        </w:rPr>
      </w:pPr>
      <w:bookmarkStart w:id="560" w:name="_Toc492202878"/>
      <w:bookmarkStart w:id="561" w:name="_Toc490331699"/>
      <w:bookmarkStart w:id="562" w:name="_Toc491149538"/>
      <w:bookmarkStart w:id="563" w:name="_Toc18808"/>
      <w:bookmarkStart w:id="564" w:name="_BookMark_36"/>
      <w:r>
        <w:rPr>
          <w:rFonts w:hint="eastAsia"/>
          <w:sz w:val="24"/>
          <w:szCs w:val="24"/>
        </w:rPr>
        <w:t>11.开工和竣工</w:t>
      </w:r>
      <w:bookmarkEnd w:id="556"/>
      <w:bookmarkEnd w:id="557"/>
      <w:bookmarkEnd w:id="558"/>
      <w:bookmarkEnd w:id="559"/>
      <w:bookmarkEnd w:id="560"/>
      <w:bookmarkEnd w:id="561"/>
      <w:bookmarkEnd w:id="562"/>
      <w:bookmarkEnd w:id="563"/>
    </w:p>
    <w:bookmarkEnd w:id="564"/>
    <w:p>
      <w:pPr>
        <w:bidi w:val="0"/>
        <w:spacing w:line="360" w:lineRule="auto"/>
        <w:rPr>
          <w:rFonts w:hint="eastAsia"/>
          <w:sz w:val="24"/>
          <w:szCs w:val="24"/>
        </w:rPr>
      </w:pPr>
      <w:bookmarkStart w:id="565" w:name="_Toc490331700"/>
      <w:bookmarkStart w:id="566" w:name="_Toc485323183"/>
      <w:bookmarkStart w:id="567" w:name="_Toc492202879"/>
      <w:bookmarkStart w:id="568" w:name="_Toc486580409"/>
      <w:bookmarkStart w:id="569" w:name="_Toc480303415"/>
      <w:bookmarkStart w:id="570" w:name="_Toc31913"/>
      <w:bookmarkStart w:id="571" w:name="_Toc489280215"/>
      <w:bookmarkStart w:id="572" w:name="_Toc491149539"/>
      <w:bookmarkStart w:id="573" w:name="_BookMark_37"/>
      <w:r>
        <w:rPr>
          <w:rFonts w:hint="eastAsia"/>
          <w:sz w:val="24"/>
          <w:szCs w:val="24"/>
        </w:rPr>
        <w:t>11.3  发包人的工期延误</w:t>
      </w:r>
      <w:bookmarkEnd w:id="565"/>
      <w:bookmarkEnd w:id="566"/>
      <w:bookmarkEnd w:id="567"/>
      <w:bookmarkEnd w:id="568"/>
      <w:bookmarkEnd w:id="569"/>
      <w:bookmarkEnd w:id="570"/>
      <w:bookmarkEnd w:id="571"/>
      <w:bookmarkEnd w:id="572"/>
    </w:p>
    <w:bookmarkEnd w:id="573"/>
    <w:p>
      <w:pPr>
        <w:bidi w:val="0"/>
        <w:spacing w:line="360" w:lineRule="auto"/>
        <w:rPr>
          <w:rFonts w:hint="eastAsia"/>
          <w:sz w:val="24"/>
          <w:szCs w:val="24"/>
        </w:rPr>
      </w:pPr>
      <w:bookmarkStart w:id="574" w:name="_Toc486580410"/>
      <w:bookmarkStart w:id="575" w:name="_Toc480303416"/>
      <w:bookmarkStart w:id="576" w:name="_Toc489280216"/>
      <w:bookmarkStart w:id="577" w:name="_Toc485323184"/>
      <w:r>
        <w:rPr>
          <w:rFonts w:hint="eastAsia"/>
          <w:sz w:val="24"/>
          <w:szCs w:val="24"/>
        </w:rPr>
        <w:t>（8）发包人造成工期延误的其他原因：有额外或附加的工程量或工程性质、等级上的变更；</w:t>
      </w:r>
    </w:p>
    <w:p>
      <w:pPr>
        <w:bidi w:val="0"/>
        <w:spacing w:line="360" w:lineRule="auto"/>
        <w:rPr>
          <w:rFonts w:hint="eastAsia"/>
          <w:sz w:val="24"/>
          <w:szCs w:val="24"/>
        </w:rPr>
      </w:pPr>
      <w:r>
        <w:rPr>
          <w:rFonts w:hint="eastAsia"/>
          <w:sz w:val="24"/>
          <w:szCs w:val="24"/>
        </w:rPr>
        <w:t>由于发包人原因足以导致的延误或阻碍；</w:t>
      </w:r>
    </w:p>
    <w:p>
      <w:pPr>
        <w:bidi w:val="0"/>
        <w:spacing w:line="360" w:lineRule="auto"/>
        <w:rPr>
          <w:rFonts w:hint="eastAsia"/>
          <w:sz w:val="24"/>
          <w:szCs w:val="24"/>
        </w:rPr>
      </w:pPr>
      <w:r>
        <w:rPr>
          <w:rFonts w:hint="eastAsia"/>
          <w:sz w:val="24"/>
          <w:szCs w:val="24"/>
        </w:rPr>
        <w:t>设计变更和工程量增加，致使工期拖延7日以上的（每次发生设计变更和工程量增加，</w:t>
      </w:r>
    </w:p>
    <w:p>
      <w:pPr>
        <w:bidi w:val="0"/>
        <w:spacing w:line="360" w:lineRule="auto"/>
        <w:rPr>
          <w:rFonts w:hint="eastAsia"/>
          <w:sz w:val="24"/>
          <w:szCs w:val="24"/>
        </w:rPr>
      </w:pPr>
      <w:r>
        <w:rPr>
          <w:rFonts w:hint="eastAsia"/>
          <w:sz w:val="24"/>
          <w:szCs w:val="24"/>
        </w:rPr>
        <w:t>完成工期未超过7日，不得签证工期，相应的窝工以及机械闲置费用不得补偿，承包人自行承担。因工程设计变更造成工期延误不得累计计算工期损失和补偿相关费用）。</w:t>
      </w:r>
    </w:p>
    <w:p>
      <w:pPr>
        <w:bidi w:val="0"/>
        <w:spacing w:line="360" w:lineRule="auto"/>
        <w:rPr>
          <w:rFonts w:hint="eastAsia"/>
          <w:sz w:val="24"/>
          <w:szCs w:val="24"/>
        </w:rPr>
      </w:pPr>
      <w:r>
        <w:rPr>
          <w:rFonts w:hint="eastAsia"/>
          <w:sz w:val="24"/>
          <w:szCs w:val="24"/>
        </w:rPr>
        <w:t>非关键线路上满足上述（a-c）原因，无论工期延长多少，只要不改变关键线路，均</w:t>
      </w:r>
    </w:p>
    <w:p>
      <w:pPr>
        <w:bidi w:val="0"/>
        <w:spacing w:line="360" w:lineRule="auto"/>
        <w:rPr>
          <w:rFonts w:hint="eastAsia"/>
          <w:sz w:val="24"/>
          <w:szCs w:val="24"/>
        </w:rPr>
      </w:pPr>
      <w:r>
        <w:rPr>
          <w:rFonts w:hint="eastAsia"/>
          <w:sz w:val="24"/>
          <w:szCs w:val="24"/>
        </w:rPr>
        <w:t>不延长工期，同时相应的窝工以及机械闲置费用不得补偿，承包人自行承担。</w:t>
      </w:r>
    </w:p>
    <w:p>
      <w:pPr>
        <w:bidi w:val="0"/>
        <w:spacing w:line="360" w:lineRule="auto"/>
        <w:rPr>
          <w:rFonts w:hint="eastAsia"/>
          <w:sz w:val="24"/>
          <w:szCs w:val="24"/>
        </w:rPr>
      </w:pPr>
      <w:r>
        <w:rPr>
          <w:rFonts w:hint="eastAsia"/>
          <w:sz w:val="24"/>
          <w:szCs w:val="24"/>
        </w:rPr>
        <w:t>不是由于承包人的失误或违约而发生的其他特殊情况等延误承包人关键线路工作的情况。</w:t>
      </w:r>
    </w:p>
    <w:p>
      <w:pPr>
        <w:bidi w:val="0"/>
        <w:spacing w:line="360" w:lineRule="auto"/>
        <w:rPr>
          <w:rFonts w:hint="eastAsia"/>
          <w:sz w:val="24"/>
          <w:szCs w:val="24"/>
        </w:rPr>
      </w:pPr>
      <w:bookmarkStart w:id="578" w:name="_Toc490331701"/>
      <w:bookmarkStart w:id="579" w:name="_Toc492202880"/>
      <w:bookmarkStart w:id="580" w:name="_Toc491149540"/>
      <w:bookmarkStart w:id="581" w:name="_BookMark_38"/>
      <w:r>
        <w:rPr>
          <w:rFonts w:hint="eastAsia"/>
          <w:sz w:val="24"/>
          <w:szCs w:val="24"/>
        </w:rPr>
        <w:t>11.4  异常恶劣的气候条件</w:t>
      </w:r>
      <w:bookmarkEnd w:id="574"/>
      <w:bookmarkEnd w:id="575"/>
      <w:bookmarkEnd w:id="576"/>
      <w:bookmarkEnd w:id="577"/>
      <w:bookmarkEnd w:id="578"/>
      <w:bookmarkEnd w:id="579"/>
      <w:bookmarkEnd w:id="580"/>
    </w:p>
    <w:bookmarkEnd w:id="581"/>
    <w:p>
      <w:pPr>
        <w:bidi w:val="0"/>
        <w:spacing w:line="360" w:lineRule="auto"/>
        <w:rPr>
          <w:rFonts w:hint="eastAsia"/>
          <w:sz w:val="24"/>
          <w:szCs w:val="24"/>
        </w:rPr>
      </w:pPr>
      <w:bookmarkStart w:id="582" w:name="_Toc485323185"/>
      <w:bookmarkStart w:id="583" w:name="_Toc480303417"/>
      <w:bookmarkStart w:id="584" w:name="_Toc486580411"/>
      <w:bookmarkStart w:id="585" w:name="_Toc489280217"/>
      <w:r>
        <w:rPr>
          <w:rFonts w:hint="eastAsia"/>
          <w:sz w:val="24"/>
          <w:szCs w:val="24"/>
        </w:rPr>
        <w:t xml:space="preserve">异常恶劣的气候条件的范围和标准： 20年一遇的降水、降雪、高温、低温等。 </w:t>
      </w:r>
    </w:p>
    <w:p>
      <w:pPr>
        <w:bidi w:val="0"/>
        <w:spacing w:line="360" w:lineRule="auto"/>
        <w:rPr>
          <w:rFonts w:hint="eastAsia"/>
          <w:sz w:val="24"/>
          <w:szCs w:val="24"/>
        </w:rPr>
      </w:pPr>
      <w:bookmarkStart w:id="586" w:name="_Toc491149541"/>
      <w:bookmarkStart w:id="587" w:name="_Toc3223"/>
      <w:bookmarkStart w:id="588" w:name="_Toc490331702"/>
      <w:bookmarkStart w:id="589" w:name="_Toc492202881"/>
      <w:bookmarkStart w:id="590" w:name="_BookMark_39"/>
      <w:r>
        <w:rPr>
          <w:rFonts w:hint="eastAsia"/>
          <w:sz w:val="24"/>
          <w:szCs w:val="24"/>
        </w:rPr>
        <w:t>11.5  承包人的工期延误</w:t>
      </w:r>
      <w:bookmarkEnd w:id="582"/>
      <w:bookmarkEnd w:id="583"/>
      <w:bookmarkEnd w:id="584"/>
      <w:bookmarkEnd w:id="585"/>
      <w:bookmarkEnd w:id="586"/>
      <w:bookmarkEnd w:id="587"/>
      <w:bookmarkEnd w:id="588"/>
      <w:bookmarkEnd w:id="589"/>
    </w:p>
    <w:bookmarkEnd w:id="590"/>
    <w:p>
      <w:pPr>
        <w:bidi w:val="0"/>
        <w:spacing w:line="360" w:lineRule="auto"/>
        <w:rPr>
          <w:rFonts w:hint="eastAsia"/>
          <w:sz w:val="24"/>
          <w:szCs w:val="24"/>
        </w:rPr>
      </w:pPr>
      <w:bookmarkStart w:id="591" w:name="_Toc486580412"/>
      <w:bookmarkStart w:id="592" w:name="_Toc485323186"/>
      <w:bookmarkStart w:id="593" w:name="_Toc480303418"/>
      <w:bookmarkStart w:id="594" w:name="_Toc489280218"/>
      <w:r>
        <w:rPr>
          <w:rFonts w:hint="eastAsia"/>
          <w:sz w:val="24"/>
          <w:szCs w:val="24"/>
        </w:rPr>
        <w:t>11.5.1逾期竣工违约金的计算标准和计算方法：_工期每延误一天，承包人应当向发包人赔偿签约合同价的0.1‰，不足一天按一天计。逾期竣工违约金最高限额：_合同价的3%_</w:t>
      </w:r>
    </w:p>
    <w:p>
      <w:pPr>
        <w:bidi w:val="0"/>
        <w:spacing w:line="360" w:lineRule="auto"/>
        <w:rPr>
          <w:rFonts w:hint="eastAsia"/>
          <w:sz w:val="24"/>
          <w:szCs w:val="24"/>
        </w:rPr>
      </w:pPr>
      <w:bookmarkStart w:id="595" w:name="_Toc491149542"/>
      <w:bookmarkStart w:id="596" w:name="_Toc3960"/>
      <w:bookmarkStart w:id="597" w:name="_Toc490331703"/>
      <w:bookmarkStart w:id="598" w:name="_Toc492202882"/>
      <w:bookmarkStart w:id="599" w:name="_BookMark_40"/>
      <w:r>
        <w:rPr>
          <w:rFonts w:hint="eastAsia"/>
          <w:sz w:val="24"/>
          <w:szCs w:val="24"/>
        </w:rPr>
        <w:t>11.6  工期提前</w:t>
      </w:r>
      <w:bookmarkEnd w:id="591"/>
      <w:bookmarkEnd w:id="592"/>
      <w:bookmarkEnd w:id="593"/>
      <w:bookmarkEnd w:id="594"/>
      <w:bookmarkEnd w:id="595"/>
      <w:bookmarkEnd w:id="596"/>
      <w:bookmarkEnd w:id="597"/>
      <w:bookmarkEnd w:id="598"/>
    </w:p>
    <w:bookmarkEnd w:id="599"/>
    <w:p>
      <w:pPr>
        <w:bidi w:val="0"/>
        <w:spacing w:line="360" w:lineRule="auto"/>
        <w:rPr>
          <w:rFonts w:hint="eastAsia"/>
          <w:sz w:val="24"/>
          <w:szCs w:val="24"/>
        </w:rPr>
      </w:pPr>
      <w:bookmarkStart w:id="600" w:name="_Toc486580413"/>
      <w:bookmarkStart w:id="601" w:name="_Toc480303419"/>
      <w:bookmarkStart w:id="602" w:name="_Toc489280219"/>
      <w:bookmarkStart w:id="603" w:name="_Toc485323187"/>
      <w:r>
        <w:rPr>
          <w:rFonts w:hint="eastAsia"/>
          <w:sz w:val="24"/>
          <w:szCs w:val="24"/>
        </w:rPr>
        <w:t xml:space="preserve">提前竣工的奖励办法：__/ </w:t>
      </w:r>
    </w:p>
    <w:p>
      <w:pPr>
        <w:bidi w:val="0"/>
        <w:spacing w:line="360" w:lineRule="auto"/>
        <w:rPr>
          <w:rFonts w:hint="eastAsia"/>
          <w:sz w:val="24"/>
          <w:szCs w:val="24"/>
        </w:rPr>
      </w:pPr>
      <w:bookmarkStart w:id="604" w:name="_Toc8519"/>
      <w:bookmarkStart w:id="605" w:name="_Toc491149543"/>
      <w:bookmarkStart w:id="606" w:name="_Toc492202883"/>
      <w:bookmarkStart w:id="607" w:name="_Toc490331704"/>
      <w:bookmarkStart w:id="608" w:name="_BookMark_41"/>
      <w:r>
        <w:rPr>
          <w:rFonts w:hint="eastAsia"/>
          <w:sz w:val="24"/>
          <w:szCs w:val="24"/>
        </w:rPr>
        <w:t>12.暂停施工</w:t>
      </w:r>
      <w:bookmarkEnd w:id="600"/>
      <w:bookmarkEnd w:id="601"/>
      <w:bookmarkEnd w:id="602"/>
      <w:bookmarkEnd w:id="603"/>
      <w:bookmarkEnd w:id="604"/>
      <w:bookmarkEnd w:id="605"/>
      <w:bookmarkEnd w:id="606"/>
      <w:bookmarkEnd w:id="607"/>
    </w:p>
    <w:bookmarkEnd w:id="608"/>
    <w:p>
      <w:pPr>
        <w:bidi w:val="0"/>
        <w:spacing w:line="360" w:lineRule="auto"/>
        <w:rPr>
          <w:rFonts w:hint="eastAsia"/>
          <w:sz w:val="24"/>
          <w:szCs w:val="24"/>
        </w:rPr>
      </w:pPr>
      <w:bookmarkStart w:id="609" w:name="_Toc490331705"/>
      <w:bookmarkStart w:id="610" w:name="_Toc486580414"/>
      <w:bookmarkStart w:id="611" w:name="_Toc489280220"/>
      <w:bookmarkStart w:id="612" w:name="_Toc480303420"/>
      <w:bookmarkStart w:id="613" w:name="_Toc17716"/>
      <w:bookmarkStart w:id="614" w:name="_Toc485323188"/>
      <w:bookmarkStart w:id="615" w:name="_Toc491149544"/>
      <w:bookmarkStart w:id="616" w:name="_Toc492202884"/>
      <w:bookmarkStart w:id="617" w:name="_BookMark_42"/>
      <w:r>
        <w:rPr>
          <w:rFonts w:hint="eastAsia"/>
          <w:sz w:val="24"/>
          <w:szCs w:val="24"/>
        </w:rPr>
        <w:t>12.1  承包人暂停施工的责任</w:t>
      </w:r>
      <w:bookmarkEnd w:id="609"/>
      <w:bookmarkEnd w:id="610"/>
      <w:bookmarkEnd w:id="611"/>
      <w:bookmarkEnd w:id="612"/>
      <w:bookmarkEnd w:id="613"/>
      <w:bookmarkEnd w:id="614"/>
      <w:bookmarkEnd w:id="615"/>
      <w:bookmarkEnd w:id="616"/>
    </w:p>
    <w:bookmarkEnd w:id="617"/>
    <w:p>
      <w:pPr>
        <w:bidi w:val="0"/>
        <w:spacing w:line="360" w:lineRule="auto"/>
        <w:rPr>
          <w:rFonts w:hint="eastAsia"/>
          <w:sz w:val="24"/>
          <w:szCs w:val="24"/>
        </w:rPr>
      </w:pPr>
      <w:bookmarkStart w:id="618" w:name="_Toc485323189"/>
      <w:bookmarkStart w:id="619" w:name="_Toc489280221"/>
      <w:bookmarkStart w:id="620" w:name="_Toc480303421"/>
      <w:bookmarkStart w:id="621" w:name="_Toc486580415"/>
      <w:r>
        <w:rPr>
          <w:rFonts w:hint="eastAsia"/>
          <w:sz w:val="24"/>
          <w:szCs w:val="24"/>
        </w:rPr>
        <w:t>（4）承包人承担暂停施工责任的其他情形：</w:t>
      </w:r>
    </w:p>
    <w:p>
      <w:pPr>
        <w:bidi w:val="0"/>
        <w:spacing w:line="360" w:lineRule="auto"/>
        <w:rPr>
          <w:rFonts w:hint="eastAsia"/>
          <w:sz w:val="24"/>
          <w:szCs w:val="24"/>
        </w:rPr>
      </w:pPr>
      <w:r>
        <w:rPr>
          <w:rFonts w:hint="eastAsia"/>
          <w:sz w:val="24"/>
          <w:szCs w:val="24"/>
        </w:rPr>
        <w:t>________</w:t>
      </w:r>
      <w:r>
        <w:rPr>
          <w:rFonts w:hint="eastAsia"/>
          <w:sz w:val="24"/>
          <w:szCs w:val="24"/>
          <w:u w:val="single"/>
        </w:rPr>
        <w:t>__   /  __</w:t>
      </w:r>
      <w:r>
        <w:rPr>
          <w:rFonts w:hint="eastAsia"/>
          <w:sz w:val="24"/>
          <w:szCs w:val="24"/>
        </w:rPr>
        <w:t>_</w:t>
      </w:r>
    </w:p>
    <w:p>
      <w:pPr>
        <w:bidi w:val="0"/>
        <w:spacing w:line="360" w:lineRule="auto"/>
        <w:rPr>
          <w:rFonts w:hint="eastAsia"/>
          <w:sz w:val="24"/>
          <w:szCs w:val="24"/>
        </w:rPr>
      </w:pPr>
      <w:bookmarkStart w:id="622" w:name="_Toc491149545"/>
      <w:bookmarkStart w:id="623" w:name="_Toc4947"/>
      <w:bookmarkStart w:id="624" w:name="_Toc492202885"/>
      <w:bookmarkStart w:id="625" w:name="_Toc490331706"/>
      <w:bookmarkStart w:id="626" w:name="_BookMark_43"/>
      <w:r>
        <w:rPr>
          <w:rFonts w:hint="eastAsia"/>
          <w:sz w:val="24"/>
          <w:szCs w:val="24"/>
        </w:rPr>
        <w:t>13.工程质量</w:t>
      </w:r>
      <w:bookmarkEnd w:id="618"/>
      <w:bookmarkEnd w:id="619"/>
      <w:bookmarkEnd w:id="620"/>
      <w:bookmarkEnd w:id="621"/>
      <w:bookmarkEnd w:id="622"/>
      <w:bookmarkEnd w:id="623"/>
      <w:bookmarkEnd w:id="624"/>
      <w:bookmarkEnd w:id="625"/>
    </w:p>
    <w:bookmarkEnd w:id="626"/>
    <w:p>
      <w:pPr>
        <w:bidi w:val="0"/>
        <w:spacing w:line="360" w:lineRule="auto"/>
        <w:rPr>
          <w:rFonts w:hint="eastAsia"/>
          <w:sz w:val="24"/>
          <w:szCs w:val="24"/>
        </w:rPr>
      </w:pPr>
      <w:bookmarkStart w:id="627" w:name="_Toc485323190"/>
      <w:bookmarkStart w:id="628" w:name="_Toc489280222"/>
      <w:bookmarkStart w:id="629" w:name="_Toc491149546"/>
      <w:bookmarkStart w:id="630" w:name="_Toc492202886"/>
      <w:bookmarkStart w:id="631" w:name="_Toc490331707"/>
      <w:bookmarkStart w:id="632" w:name="_Toc486580416"/>
      <w:bookmarkStart w:id="633" w:name="_Toc26995"/>
      <w:bookmarkStart w:id="634" w:name="_Toc480303422"/>
      <w:bookmarkStart w:id="635" w:name="_BookMark_44"/>
      <w:r>
        <w:rPr>
          <w:rFonts w:hint="eastAsia"/>
          <w:sz w:val="24"/>
          <w:szCs w:val="24"/>
        </w:rPr>
        <w:t>13.2  承包人的质量管理</w:t>
      </w:r>
      <w:bookmarkEnd w:id="627"/>
      <w:bookmarkEnd w:id="628"/>
      <w:bookmarkEnd w:id="629"/>
      <w:bookmarkEnd w:id="630"/>
      <w:bookmarkEnd w:id="631"/>
      <w:bookmarkEnd w:id="632"/>
      <w:bookmarkEnd w:id="633"/>
      <w:bookmarkEnd w:id="634"/>
    </w:p>
    <w:bookmarkEnd w:id="635"/>
    <w:p>
      <w:pPr>
        <w:bidi w:val="0"/>
        <w:spacing w:line="360" w:lineRule="auto"/>
        <w:rPr>
          <w:rFonts w:hint="eastAsia"/>
          <w:sz w:val="24"/>
          <w:szCs w:val="24"/>
        </w:rPr>
      </w:pPr>
      <w:r>
        <w:rPr>
          <w:rFonts w:hint="eastAsia"/>
          <w:sz w:val="24"/>
          <w:szCs w:val="24"/>
        </w:rPr>
        <w:t>13.2.1  承包人向监理人提交工程质量保证措施文件的期限：  开工前7天</w:t>
      </w:r>
    </w:p>
    <w:p>
      <w:pPr>
        <w:bidi w:val="0"/>
        <w:spacing w:line="360" w:lineRule="auto"/>
        <w:rPr>
          <w:rFonts w:hint="eastAsia"/>
          <w:sz w:val="24"/>
          <w:szCs w:val="24"/>
        </w:rPr>
      </w:pPr>
      <w:r>
        <w:rPr>
          <w:rFonts w:hint="eastAsia"/>
          <w:sz w:val="24"/>
          <w:szCs w:val="24"/>
        </w:rPr>
        <w:t xml:space="preserve">监理人审批工程质量保证措施文件的期限：  7天        </w:t>
      </w:r>
    </w:p>
    <w:p>
      <w:pPr>
        <w:bidi w:val="0"/>
        <w:spacing w:line="360" w:lineRule="auto"/>
        <w:rPr>
          <w:rFonts w:hint="eastAsia"/>
          <w:sz w:val="24"/>
          <w:szCs w:val="24"/>
        </w:rPr>
      </w:pPr>
      <w:bookmarkStart w:id="636" w:name="_Toc485323191"/>
      <w:bookmarkStart w:id="637" w:name="_Toc491149547"/>
      <w:bookmarkStart w:id="638" w:name="_Toc492202887"/>
      <w:bookmarkStart w:id="639" w:name="_Toc6919"/>
      <w:bookmarkStart w:id="640" w:name="_Toc489280223"/>
      <w:bookmarkStart w:id="641" w:name="_Toc480303423"/>
      <w:bookmarkStart w:id="642" w:name="_Toc486580417"/>
      <w:bookmarkStart w:id="643" w:name="_Toc490331708"/>
      <w:bookmarkStart w:id="644" w:name="_BookMark_45"/>
      <w:r>
        <w:rPr>
          <w:rFonts w:hint="eastAsia"/>
          <w:sz w:val="24"/>
          <w:szCs w:val="24"/>
        </w:rPr>
        <w:t>13.3  承包人的质量检查</w:t>
      </w:r>
      <w:bookmarkEnd w:id="636"/>
      <w:bookmarkEnd w:id="637"/>
      <w:bookmarkEnd w:id="638"/>
      <w:bookmarkEnd w:id="639"/>
      <w:bookmarkEnd w:id="640"/>
      <w:bookmarkEnd w:id="641"/>
      <w:bookmarkEnd w:id="642"/>
      <w:bookmarkEnd w:id="643"/>
    </w:p>
    <w:bookmarkEnd w:id="644"/>
    <w:p>
      <w:pPr>
        <w:bidi w:val="0"/>
        <w:spacing w:line="360" w:lineRule="auto"/>
        <w:rPr>
          <w:rFonts w:hint="eastAsia"/>
          <w:sz w:val="24"/>
          <w:szCs w:val="24"/>
        </w:rPr>
      </w:pPr>
      <w:r>
        <w:rPr>
          <w:rFonts w:hint="eastAsia"/>
          <w:sz w:val="24"/>
          <w:szCs w:val="24"/>
        </w:rPr>
        <w:t xml:space="preserve">承包人向监理人报送工程质量报表的期限：  每月25日前   </w:t>
      </w:r>
    </w:p>
    <w:p>
      <w:pPr>
        <w:bidi w:val="0"/>
        <w:spacing w:line="360" w:lineRule="auto"/>
        <w:rPr>
          <w:rFonts w:hint="eastAsia"/>
          <w:sz w:val="24"/>
          <w:szCs w:val="24"/>
        </w:rPr>
      </w:pPr>
      <w:r>
        <w:rPr>
          <w:rFonts w:hint="eastAsia"/>
          <w:sz w:val="24"/>
          <w:szCs w:val="24"/>
        </w:rPr>
        <w:t>承包人向监理人报送工程质量报表的要求：   按监理规程。</w:t>
      </w:r>
    </w:p>
    <w:p>
      <w:pPr>
        <w:bidi w:val="0"/>
        <w:spacing w:line="360" w:lineRule="auto"/>
        <w:rPr>
          <w:rFonts w:hint="eastAsia"/>
          <w:sz w:val="24"/>
          <w:szCs w:val="24"/>
        </w:rPr>
      </w:pPr>
      <w:r>
        <w:rPr>
          <w:rFonts w:hint="eastAsia"/>
          <w:sz w:val="24"/>
          <w:szCs w:val="24"/>
        </w:rPr>
        <w:t xml:space="preserve">监理人审查工程质量报表的期限： 7天        </w:t>
      </w:r>
    </w:p>
    <w:p>
      <w:pPr>
        <w:bidi w:val="0"/>
        <w:spacing w:line="360" w:lineRule="auto"/>
        <w:rPr>
          <w:rFonts w:hint="eastAsia"/>
          <w:sz w:val="24"/>
          <w:szCs w:val="24"/>
        </w:rPr>
      </w:pPr>
      <w:bookmarkStart w:id="645" w:name="_Toc490331709"/>
      <w:bookmarkStart w:id="646" w:name="_Toc18976"/>
      <w:bookmarkStart w:id="647" w:name="_Toc489280224"/>
      <w:bookmarkStart w:id="648" w:name="_Toc491149548"/>
      <w:bookmarkStart w:id="649" w:name="_Toc480303424"/>
      <w:bookmarkStart w:id="650" w:name="_Toc492202888"/>
      <w:bookmarkStart w:id="651" w:name="_Toc485323192"/>
      <w:bookmarkStart w:id="652" w:name="_Toc486580418"/>
      <w:bookmarkStart w:id="653" w:name="_BookMark_46"/>
      <w:r>
        <w:rPr>
          <w:rFonts w:hint="eastAsia"/>
          <w:sz w:val="24"/>
          <w:szCs w:val="24"/>
        </w:rPr>
        <w:t>13.4  监理人的质量检查</w:t>
      </w:r>
      <w:bookmarkEnd w:id="645"/>
      <w:bookmarkEnd w:id="646"/>
      <w:bookmarkEnd w:id="647"/>
      <w:bookmarkEnd w:id="648"/>
      <w:bookmarkEnd w:id="649"/>
      <w:bookmarkEnd w:id="650"/>
      <w:bookmarkEnd w:id="651"/>
      <w:bookmarkEnd w:id="652"/>
    </w:p>
    <w:bookmarkEnd w:id="653"/>
    <w:p>
      <w:pPr>
        <w:bidi w:val="0"/>
        <w:spacing w:line="360" w:lineRule="auto"/>
        <w:rPr>
          <w:rFonts w:hint="eastAsia"/>
          <w:sz w:val="24"/>
          <w:szCs w:val="24"/>
        </w:rPr>
      </w:pPr>
      <w:r>
        <w:rPr>
          <w:rFonts w:hint="eastAsia"/>
          <w:sz w:val="24"/>
          <w:szCs w:val="24"/>
        </w:rPr>
        <w:t xml:space="preserve">承包人应当为监理人的检查和检验提供方便，监理人可以进行察看和查阅施工原始记录的其他地方包括：     按监理要求执行。          </w:t>
      </w:r>
    </w:p>
    <w:p>
      <w:pPr>
        <w:bidi w:val="0"/>
        <w:spacing w:line="360" w:lineRule="auto"/>
        <w:rPr>
          <w:rFonts w:hint="eastAsia"/>
          <w:sz w:val="24"/>
          <w:szCs w:val="24"/>
        </w:rPr>
      </w:pPr>
      <w:bookmarkStart w:id="654" w:name="_Toc489280225"/>
      <w:bookmarkStart w:id="655" w:name="_Toc491149549"/>
      <w:bookmarkStart w:id="656" w:name="_Toc486580419"/>
      <w:bookmarkStart w:id="657" w:name="_Toc480303425"/>
      <w:bookmarkStart w:id="658" w:name="_Toc4683"/>
      <w:bookmarkStart w:id="659" w:name="_Toc492202889"/>
      <w:bookmarkStart w:id="660" w:name="_Toc490331710"/>
      <w:bookmarkStart w:id="661" w:name="_Toc485323193"/>
      <w:bookmarkStart w:id="662" w:name="_BookMark_47"/>
      <w:r>
        <w:rPr>
          <w:rFonts w:hint="eastAsia"/>
          <w:sz w:val="24"/>
          <w:szCs w:val="24"/>
        </w:rPr>
        <w:t>13.5  工程隐蔽部位覆盖前的检查</w:t>
      </w:r>
      <w:bookmarkEnd w:id="654"/>
      <w:bookmarkEnd w:id="655"/>
      <w:bookmarkEnd w:id="656"/>
      <w:bookmarkEnd w:id="657"/>
      <w:bookmarkEnd w:id="658"/>
      <w:bookmarkEnd w:id="659"/>
      <w:bookmarkEnd w:id="660"/>
      <w:bookmarkEnd w:id="661"/>
    </w:p>
    <w:bookmarkEnd w:id="662"/>
    <w:p>
      <w:pPr>
        <w:bidi w:val="0"/>
        <w:spacing w:line="360" w:lineRule="auto"/>
        <w:rPr>
          <w:rFonts w:hint="eastAsia"/>
          <w:sz w:val="24"/>
          <w:szCs w:val="24"/>
        </w:rPr>
      </w:pPr>
      <w:r>
        <w:rPr>
          <w:rFonts w:hint="eastAsia"/>
          <w:sz w:val="24"/>
          <w:szCs w:val="24"/>
        </w:rPr>
        <w:t xml:space="preserve">13.5.1  监理人对工程隐蔽部位进行检查的期限：收到承包人的检查通知后12小时内。   </w:t>
      </w:r>
    </w:p>
    <w:p>
      <w:pPr>
        <w:bidi w:val="0"/>
        <w:spacing w:line="360" w:lineRule="auto"/>
        <w:rPr>
          <w:rFonts w:hint="eastAsia"/>
          <w:sz w:val="24"/>
          <w:szCs w:val="24"/>
        </w:rPr>
      </w:pPr>
      <w:bookmarkStart w:id="663" w:name="_Toc485323194"/>
      <w:bookmarkStart w:id="664" w:name="_Toc490331711"/>
      <w:bookmarkStart w:id="665" w:name="_Toc491149550"/>
      <w:bookmarkStart w:id="666" w:name="_Toc5785"/>
      <w:bookmarkStart w:id="667" w:name="_Toc492202890"/>
      <w:bookmarkStart w:id="668" w:name="_Toc480303426"/>
      <w:bookmarkStart w:id="669" w:name="_Toc486580420"/>
      <w:bookmarkStart w:id="670" w:name="_Toc489280226"/>
      <w:bookmarkStart w:id="671" w:name="_BookMark_48"/>
      <w:r>
        <w:rPr>
          <w:rFonts w:hint="eastAsia"/>
          <w:sz w:val="24"/>
          <w:szCs w:val="24"/>
        </w:rPr>
        <w:t>15.变更</w:t>
      </w:r>
      <w:bookmarkEnd w:id="663"/>
      <w:bookmarkEnd w:id="664"/>
      <w:bookmarkEnd w:id="665"/>
      <w:bookmarkEnd w:id="666"/>
      <w:bookmarkEnd w:id="667"/>
      <w:bookmarkEnd w:id="668"/>
      <w:bookmarkEnd w:id="669"/>
      <w:bookmarkEnd w:id="670"/>
    </w:p>
    <w:bookmarkEnd w:id="671"/>
    <w:p>
      <w:pPr>
        <w:bidi w:val="0"/>
        <w:spacing w:line="360" w:lineRule="auto"/>
        <w:rPr>
          <w:rFonts w:hint="eastAsia"/>
          <w:sz w:val="24"/>
          <w:szCs w:val="24"/>
        </w:rPr>
      </w:pPr>
      <w:bookmarkStart w:id="672" w:name="_Toc489280227"/>
      <w:bookmarkStart w:id="673" w:name="_Toc485323195"/>
      <w:bookmarkStart w:id="674" w:name="_Toc486580421"/>
      <w:bookmarkStart w:id="675" w:name="_Toc480303427"/>
      <w:bookmarkStart w:id="676" w:name="_Toc491149551"/>
      <w:bookmarkStart w:id="677" w:name="_Toc7087"/>
      <w:bookmarkStart w:id="678" w:name="_Toc490331712"/>
      <w:bookmarkStart w:id="679" w:name="_Toc492202891"/>
      <w:bookmarkStart w:id="680" w:name="_BookMark_49"/>
      <w:r>
        <w:rPr>
          <w:rFonts w:hint="eastAsia"/>
          <w:sz w:val="24"/>
          <w:szCs w:val="24"/>
        </w:rPr>
        <w:t>15.1  变更的范围和内容</w:t>
      </w:r>
      <w:bookmarkEnd w:id="672"/>
      <w:bookmarkEnd w:id="673"/>
      <w:bookmarkEnd w:id="674"/>
      <w:bookmarkEnd w:id="675"/>
      <w:bookmarkEnd w:id="676"/>
      <w:bookmarkEnd w:id="677"/>
      <w:bookmarkEnd w:id="678"/>
      <w:bookmarkEnd w:id="679"/>
    </w:p>
    <w:bookmarkEnd w:id="680"/>
    <w:p>
      <w:pPr>
        <w:bidi w:val="0"/>
        <w:spacing w:line="360" w:lineRule="auto"/>
        <w:rPr>
          <w:rFonts w:hint="eastAsia"/>
          <w:sz w:val="24"/>
          <w:szCs w:val="24"/>
        </w:rPr>
      </w:pPr>
      <w:r>
        <w:rPr>
          <w:rFonts w:hint="eastAsia"/>
          <w:sz w:val="24"/>
          <w:szCs w:val="24"/>
        </w:rPr>
        <w:t>15.1.1在履行合同中发生以下情形之一，应按照本条规定进行变更。</w:t>
      </w:r>
    </w:p>
    <w:p>
      <w:pPr>
        <w:bidi w:val="0"/>
        <w:spacing w:line="360" w:lineRule="auto"/>
        <w:rPr>
          <w:rFonts w:hint="eastAsia"/>
          <w:sz w:val="24"/>
          <w:szCs w:val="24"/>
        </w:rPr>
      </w:pPr>
      <w:r>
        <w:rPr>
          <w:rFonts w:hint="eastAsia"/>
          <w:sz w:val="24"/>
          <w:szCs w:val="24"/>
        </w:rPr>
        <w:t xml:space="preserve">（6）变更的其他情形：   增加或减少本合同中的任何工程的数量 。  </w:t>
      </w:r>
    </w:p>
    <w:p>
      <w:pPr>
        <w:bidi w:val="0"/>
        <w:spacing w:line="360" w:lineRule="auto"/>
        <w:rPr>
          <w:rFonts w:hint="eastAsia"/>
          <w:sz w:val="24"/>
          <w:szCs w:val="24"/>
        </w:rPr>
      </w:pPr>
      <w:bookmarkStart w:id="681" w:name="_Toc480303428"/>
      <w:bookmarkStart w:id="682" w:name="_Toc491149552"/>
      <w:bookmarkStart w:id="683" w:name="_Toc489280228"/>
      <w:bookmarkStart w:id="684" w:name="_Toc486580422"/>
      <w:bookmarkStart w:id="685" w:name="_Toc490331713"/>
      <w:bookmarkStart w:id="686" w:name="_Toc7449"/>
      <w:bookmarkStart w:id="687" w:name="_Toc485323196"/>
      <w:bookmarkStart w:id="688" w:name="_Toc492202892"/>
      <w:bookmarkStart w:id="689" w:name="_BookMark_50"/>
      <w:r>
        <w:rPr>
          <w:rFonts w:hint="eastAsia"/>
          <w:sz w:val="24"/>
          <w:szCs w:val="24"/>
        </w:rPr>
        <w:t>15.3  变更程序</w:t>
      </w:r>
      <w:bookmarkEnd w:id="681"/>
      <w:bookmarkEnd w:id="682"/>
      <w:bookmarkEnd w:id="683"/>
      <w:bookmarkEnd w:id="684"/>
      <w:bookmarkEnd w:id="685"/>
      <w:bookmarkEnd w:id="686"/>
      <w:bookmarkEnd w:id="687"/>
      <w:bookmarkEnd w:id="688"/>
    </w:p>
    <w:bookmarkEnd w:id="689"/>
    <w:p>
      <w:pPr>
        <w:bidi w:val="0"/>
        <w:spacing w:line="360" w:lineRule="auto"/>
        <w:rPr>
          <w:rFonts w:hint="eastAsia"/>
          <w:sz w:val="24"/>
          <w:szCs w:val="24"/>
        </w:rPr>
      </w:pPr>
      <w:r>
        <w:rPr>
          <w:rFonts w:hint="eastAsia"/>
          <w:sz w:val="24"/>
          <w:szCs w:val="24"/>
        </w:rPr>
        <w:t>15.3.2  变更估价</w:t>
      </w:r>
    </w:p>
    <w:p>
      <w:pPr>
        <w:bidi w:val="0"/>
        <w:spacing w:line="360" w:lineRule="auto"/>
        <w:rPr>
          <w:rFonts w:hint="eastAsia"/>
          <w:sz w:val="24"/>
          <w:szCs w:val="24"/>
        </w:rPr>
      </w:pPr>
      <w:r>
        <w:rPr>
          <w:rFonts w:hint="eastAsia"/>
          <w:sz w:val="24"/>
          <w:szCs w:val="24"/>
        </w:rPr>
        <w:t xml:space="preserve">（1）承包人提交变更报价书的期限：  承包人收到变更指示或变更意向书后的14天内。（3）监理人商定或确定变更价格的期限：  </w:t>
      </w:r>
      <w:bookmarkStart w:id="690" w:name="_Toc492202893"/>
      <w:bookmarkStart w:id="691" w:name="_Toc480303429"/>
      <w:bookmarkStart w:id="692" w:name="_Toc491149553"/>
      <w:bookmarkStart w:id="693" w:name="_Toc486580423"/>
      <w:bookmarkStart w:id="694" w:name="_Toc485323197"/>
      <w:bookmarkStart w:id="695" w:name="_Toc489280229"/>
      <w:bookmarkStart w:id="696" w:name="_Toc490331714"/>
      <w:bookmarkStart w:id="697" w:name="_BookMark_51"/>
      <w:r>
        <w:rPr>
          <w:rFonts w:hint="eastAsia"/>
          <w:sz w:val="24"/>
          <w:szCs w:val="24"/>
        </w:rPr>
        <w:t>监理人收到承包人变更报价书后的14天内 。15.4  变更的估价原则</w:t>
      </w:r>
      <w:bookmarkEnd w:id="690"/>
      <w:bookmarkEnd w:id="691"/>
      <w:bookmarkEnd w:id="692"/>
      <w:bookmarkEnd w:id="693"/>
      <w:bookmarkEnd w:id="694"/>
      <w:bookmarkEnd w:id="695"/>
      <w:bookmarkEnd w:id="696"/>
    </w:p>
    <w:bookmarkEnd w:id="697"/>
    <w:p>
      <w:pPr>
        <w:bidi w:val="0"/>
        <w:spacing w:line="360" w:lineRule="auto"/>
        <w:rPr>
          <w:rFonts w:hint="eastAsia"/>
          <w:sz w:val="24"/>
          <w:szCs w:val="24"/>
        </w:rPr>
      </w:pPr>
      <w:r>
        <w:rPr>
          <w:rFonts w:hint="eastAsia"/>
          <w:sz w:val="24"/>
          <w:szCs w:val="24"/>
        </w:rPr>
        <w:t>15.4.5  合同协议书约定采用单价合同形式时，因非承包人原因引起已标价工程量清单中列明的工程量发生增减，且单个子目工程量变化幅度在 15 %以内（含）时，应执行已标价工程量清单中列明的该子目的单价；单个子目工程量变化幅度在15 %以外（不含），且导致分部分项工程费总额变化幅度超过</w:t>
      </w:r>
      <w:r>
        <w:rPr>
          <w:rFonts w:hint="eastAsia"/>
          <w:sz w:val="24"/>
          <w:szCs w:val="24"/>
          <w:lang w:val="en-US" w:eastAsia="zh-CN"/>
        </w:rPr>
        <w:t>15</w:t>
      </w:r>
      <w:r>
        <w:rPr>
          <w:rFonts w:hint="eastAsia"/>
          <w:sz w:val="24"/>
          <w:szCs w:val="24"/>
        </w:rPr>
        <w:t xml:space="preserve"> %时，由承包人提出并由监理人按第3.5款商定或确定新的单价，该子目按修正后的新的单价计价。</w:t>
      </w:r>
    </w:p>
    <w:p>
      <w:pPr>
        <w:bidi w:val="0"/>
        <w:spacing w:line="360" w:lineRule="auto"/>
        <w:rPr>
          <w:rFonts w:hint="eastAsia"/>
          <w:sz w:val="24"/>
          <w:szCs w:val="24"/>
        </w:rPr>
      </w:pPr>
      <w:r>
        <w:rPr>
          <w:rFonts w:hint="eastAsia"/>
          <w:sz w:val="24"/>
          <w:szCs w:val="24"/>
        </w:rPr>
        <w:t xml:space="preserve">15.4.6  因变更引起价格调整的其他处理方式：    /   </w:t>
      </w:r>
    </w:p>
    <w:p>
      <w:pPr>
        <w:bidi w:val="0"/>
        <w:spacing w:line="360" w:lineRule="auto"/>
        <w:rPr>
          <w:rFonts w:hint="eastAsia"/>
          <w:sz w:val="24"/>
          <w:szCs w:val="24"/>
        </w:rPr>
      </w:pPr>
      <w:bookmarkStart w:id="698" w:name="_Toc486580424"/>
      <w:bookmarkStart w:id="699" w:name="_Toc485323198"/>
      <w:bookmarkStart w:id="700" w:name="_Toc21195"/>
      <w:bookmarkStart w:id="701" w:name="_Toc490331715"/>
      <w:bookmarkStart w:id="702" w:name="_Toc491149554"/>
      <w:bookmarkStart w:id="703" w:name="_Toc492202894"/>
      <w:bookmarkStart w:id="704" w:name="_Toc489280230"/>
      <w:bookmarkStart w:id="705" w:name="_Toc480303430"/>
      <w:bookmarkStart w:id="706" w:name="_BookMark_52"/>
      <w:r>
        <w:rPr>
          <w:rFonts w:hint="eastAsia"/>
          <w:sz w:val="24"/>
          <w:szCs w:val="24"/>
        </w:rPr>
        <w:t>15.5  承包人的合理化建议</w:t>
      </w:r>
      <w:bookmarkEnd w:id="698"/>
      <w:bookmarkEnd w:id="699"/>
      <w:bookmarkEnd w:id="700"/>
      <w:bookmarkEnd w:id="701"/>
      <w:bookmarkEnd w:id="702"/>
      <w:bookmarkEnd w:id="703"/>
      <w:bookmarkEnd w:id="704"/>
      <w:bookmarkEnd w:id="705"/>
    </w:p>
    <w:bookmarkEnd w:id="706"/>
    <w:p>
      <w:pPr>
        <w:bidi w:val="0"/>
        <w:spacing w:line="360" w:lineRule="auto"/>
        <w:rPr>
          <w:rFonts w:hint="eastAsia"/>
          <w:sz w:val="24"/>
          <w:szCs w:val="24"/>
        </w:rPr>
      </w:pPr>
      <w:r>
        <w:rPr>
          <w:rFonts w:hint="eastAsia"/>
          <w:sz w:val="24"/>
          <w:szCs w:val="24"/>
        </w:rPr>
        <w:t xml:space="preserve">15.5.2  对承包人提出合理化建议的奖励方法：    /    </w:t>
      </w:r>
    </w:p>
    <w:p>
      <w:pPr>
        <w:bidi w:val="0"/>
        <w:spacing w:line="360" w:lineRule="auto"/>
        <w:rPr>
          <w:rFonts w:hint="eastAsia"/>
          <w:sz w:val="24"/>
          <w:szCs w:val="24"/>
        </w:rPr>
      </w:pPr>
      <w:bookmarkStart w:id="707" w:name="_Toc492202895"/>
      <w:bookmarkStart w:id="708" w:name="_Toc480303431"/>
      <w:bookmarkStart w:id="709" w:name="_Toc17"/>
      <w:bookmarkStart w:id="710" w:name="_Toc486580425"/>
      <w:bookmarkStart w:id="711" w:name="_Toc489280231"/>
      <w:bookmarkStart w:id="712" w:name="_Toc490331716"/>
      <w:bookmarkStart w:id="713" w:name="_Toc485323199"/>
      <w:bookmarkStart w:id="714" w:name="_Toc491149555"/>
      <w:bookmarkStart w:id="715" w:name="_BookMark_53"/>
      <w:r>
        <w:rPr>
          <w:rFonts w:hint="eastAsia"/>
          <w:sz w:val="24"/>
          <w:szCs w:val="24"/>
        </w:rPr>
        <w:t>15.8  暂估价</w:t>
      </w:r>
      <w:bookmarkEnd w:id="707"/>
      <w:bookmarkEnd w:id="708"/>
      <w:bookmarkEnd w:id="709"/>
      <w:bookmarkEnd w:id="710"/>
      <w:bookmarkEnd w:id="711"/>
      <w:bookmarkEnd w:id="712"/>
      <w:bookmarkEnd w:id="713"/>
      <w:bookmarkEnd w:id="714"/>
    </w:p>
    <w:bookmarkEnd w:id="715"/>
    <w:p>
      <w:pPr>
        <w:bidi w:val="0"/>
        <w:spacing w:line="360" w:lineRule="auto"/>
        <w:rPr>
          <w:rFonts w:hint="eastAsia"/>
          <w:sz w:val="24"/>
          <w:szCs w:val="24"/>
        </w:rPr>
      </w:pPr>
      <w:r>
        <w:rPr>
          <w:rFonts w:hint="eastAsia"/>
          <w:sz w:val="24"/>
          <w:szCs w:val="24"/>
        </w:rPr>
        <w:t>15.8.1  按合同约定应当由发包人和承包人采用招标方式选择专项供应商或专业分包人的：</w:t>
      </w:r>
    </w:p>
    <w:p>
      <w:pPr>
        <w:bidi w:val="0"/>
        <w:spacing w:line="360" w:lineRule="auto"/>
        <w:rPr>
          <w:rFonts w:hint="eastAsia"/>
          <w:sz w:val="24"/>
          <w:szCs w:val="24"/>
        </w:rPr>
      </w:pPr>
      <w:r>
        <w:rPr>
          <w:rFonts w:hint="eastAsia"/>
          <w:sz w:val="24"/>
          <w:szCs w:val="24"/>
        </w:rPr>
        <w:t>（4）承包人报送招标计划期限：/</w:t>
      </w:r>
    </w:p>
    <w:p>
      <w:pPr>
        <w:bidi w:val="0"/>
        <w:spacing w:line="360" w:lineRule="auto"/>
        <w:rPr>
          <w:rFonts w:hint="eastAsia"/>
          <w:sz w:val="24"/>
          <w:szCs w:val="24"/>
        </w:rPr>
      </w:pPr>
      <w:r>
        <w:rPr>
          <w:rFonts w:hint="eastAsia"/>
          <w:sz w:val="24"/>
          <w:szCs w:val="24"/>
        </w:rPr>
        <w:t xml:space="preserve">发包人审批招标工作计划时限：/  </w:t>
      </w:r>
    </w:p>
    <w:p>
      <w:pPr>
        <w:bidi w:val="0"/>
        <w:spacing w:line="360" w:lineRule="auto"/>
        <w:rPr>
          <w:rFonts w:hint="eastAsia"/>
          <w:sz w:val="24"/>
          <w:szCs w:val="24"/>
        </w:rPr>
      </w:pPr>
      <w:r>
        <w:rPr>
          <w:rFonts w:hint="eastAsia"/>
          <w:sz w:val="24"/>
          <w:szCs w:val="24"/>
        </w:rPr>
        <w:t>（5）承包人报送相关文件时限：/</w:t>
      </w:r>
    </w:p>
    <w:p>
      <w:pPr>
        <w:bidi w:val="0"/>
        <w:spacing w:line="360" w:lineRule="auto"/>
        <w:rPr>
          <w:rFonts w:hint="eastAsia"/>
          <w:sz w:val="24"/>
          <w:szCs w:val="24"/>
        </w:rPr>
      </w:pPr>
      <w:r>
        <w:rPr>
          <w:rFonts w:hint="eastAsia"/>
          <w:sz w:val="24"/>
          <w:szCs w:val="24"/>
        </w:rPr>
        <w:t>发包人审批相关文件时限：  /</w:t>
      </w:r>
    </w:p>
    <w:p>
      <w:pPr>
        <w:bidi w:val="0"/>
        <w:spacing w:line="360" w:lineRule="auto"/>
        <w:rPr>
          <w:rFonts w:hint="eastAsia"/>
          <w:sz w:val="24"/>
          <w:szCs w:val="24"/>
        </w:rPr>
      </w:pPr>
      <w:r>
        <w:rPr>
          <w:rFonts w:hint="eastAsia"/>
          <w:sz w:val="24"/>
          <w:szCs w:val="24"/>
        </w:rPr>
        <w:t xml:space="preserve">（10）承包人申报合同文件时限：  /   </w:t>
      </w:r>
    </w:p>
    <w:p>
      <w:pPr>
        <w:bidi w:val="0"/>
        <w:spacing w:line="360" w:lineRule="auto"/>
        <w:rPr>
          <w:rFonts w:hint="eastAsia"/>
          <w:sz w:val="24"/>
          <w:szCs w:val="24"/>
        </w:rPr>
      </w:pPr>
      <w:r>
        <w:rPr>
          <w:rFonts w:hint="eastAsia"/>
          <w:sz w:val="24"/>
          <w:szCs w:val="24"/>
        </w:rPr>
        <w:t xml:space="preserve">发包人审批合同文件时限：/   </w:t>
      </w:r>
    </w:p>
    <w:p>
      <w:pPr>
        <w:bidi w:val="0"/>
        <w:spacing w:line="360" w:lineRule="auto"/>
        <w:rPr>
          <w:rFonts w:hint="eastAsia"/>
          <w:sz w:val="24"/>
          <w:szCs w:val="24"/>
        </w:rPr>
      </w:pPr>
      <w:r>
        <w:rPr>
          <w:rFonts w:hint="eastAsia"/>
          <w:sz w:val="24"/>
          <w:szCs w:val="24"/>
        </w:rPr>
        <w:t xml:space="preserve">承包人报送正式签订合同副本时限：   /     </w:t>
      </w:r>
    </w:p>
    <w:p>
      <w:pPr>
        <w:bidi w:val="0"/>
        <w:spacing w:line="360" w:lineRule="auto"/>
        <w:rPr>
          <w:rFonts w:hint="eastAsia"/>
          <w:sz w:val="24"/>
          <w:szCs w:val="24"/>
        </w:rPr>
      </w:pPr>
      <w:r>
        <w:rPr>
          <w:rFonts w:hint="eastAsia"/>
          <w:sz w:val="24"/>
          <w:szCs w:val="24"/>
        </w:rPr>
        <w:t xml:space="preserve">15.8.3  发包人在工程量清单中给定暂估价的专业工程不属于依法必须招标的范围或者未达到依法必须招标的规模标准的，其最终价格的估价人为：   发包人    或者按照下列约定：    /   </w:t>
      </w:r>
    </w:p>
    <w:p>
      <w:pPr>
        <w:bidi w:val="0"/>
        <w:spacing w:line="360" w:lineRule="auto"/>
        <w:rPr>
          <w:rFonts w:hint="eastAsia"/>
          <w:sz w:val="24"/>
          <w:szCs w:val="24"/>
        </w:rPr>
      </w:pPr>
      <w:bookmarkStart w:id="716" w:name="_Toc491149556"/>
      <w:bookmarkStart w:id="717" w:name="_Toc492202896"/>
      <w:bookmarkStart w:id="718" w:name="_Toc485323200"/>
      <w:bookmarkStart w:id="719" w:name="_Toc480303432"/>
      <w:bookmarkStart w:id="720" w:name="_Toc490331717"/>
      <w:bookmarkStart w:id="721" w:name="_Toc22685"/>
      <w:bookmarkStart w:id="722" w:name="_Toc486580426"/>
      <w:bookmarkStart w:id="723" w:name="_Toc489280232"/>
      <w:bookmarkStart w:id="724" w:name="_BookMark_54"/>
      <w:r>
        <w:rPr>
          <w:rFonts w:hint="eastAsia"/>
          <w:sz w:val="24"/>
          <w:szCs w:val="24"/>
        </w:rPr>
        <w:t>16.价格调整</w:t>
      </w:r>
      <w:bookmarkEnd w:id="716"/>
      <w:bookmarkEnd w:id="717"/>
      <w:bookmarkEnd w:id="718"/>
      <w:bookmarkEnd w:id="719"/>
      <w:bookmarkEnd w:id="720"/>
      <w:bookmarkEnd w:id="721"/>
      <w:bookmarkEnd w:id="722"/>
      <w:bookmarkEnd w:id="723"/>
    </w:p>
    <w:bookmarkEnd w:id="724"/>
    <w:p>
      <w:pPr>
        <w:bidi w:val="0"/>
        <w:spacing w:line="360" w:lineRule="auto"/>
        <w:rPr>
          <w:rFonts w:hint="eastAsia"/>
          <w:sz w:val="24"/>
          <w:szCs w:val="24"/>
        </w:rPr>
      </w:pPr>
      <w:bookmarkStart w:id="725" w:name="_Toc480303433"/>
      <w:bookmarkStart w:id="726" w:name="_Toc492202897"/>
      <w:bookmarkStart w:id="727" w:name="_Toc489280233"/>
      <w:bookmarkStart w:id="728" w:name="_Toc486580427"/>
      <w:bookmarkStart w:id="729" w:name="_Toc491149557"/>
      <w:bookmarkStart w:id="730" w:name="_Toc2965"/>
      <w:bookmarkStart w:id="731" w:name="_Toc490331718"/>
      <w:bookmarkStart w:id="732" w:name="_Toc485323201"/>
      <w:bookmarkStart w:id="733" w:name="_BookMark_55"/>
      <w:r>
        <w:rPr>
          <w:rFonts w:hint="eastAsia"/>
          <w:sz w:val="24"/>
          <w:szCs w:val="24"/>
        </w:rPr>
        <w:t>16.1  物价波动引起的价格调整</w:t>
      </w:r>
      <w:bookmarkEnd w:id="725"/>
      <w:bookmarkEnd w:id="726"/>
      <w:bookmarkEnd w:id="727"/>
      <w:bookmarkEnd w:id="728"/>
      <w:bookmarkEnd w:id="729"/>
      <w:bookmarkEnd w:id="730"/>
      <w:bookmarkEnd w:id="731"/>
      <w:bookmarkEnd w:id="732"/>
    </w:p>
    <w:bookmarkEnd w:id="733"/>
    <w:p>
      <w:pPr>
        <w:bidi w:val="0"/>
        <w:spacing w:line="360" w:lineRule="auto"/>
        <w:rPr>
          <w:rFonts w:hint="eastAsia"/>
          <w:sz w:val="24"/>
          <w:szCs w:val="24"/>
        </w:rPr>
      </w:pPr>
      <w:r>
        <w:rPr>
          <w:rFonts w:hint="eastAsia"/>
          <w:sz w:val="24"/>
          <w:szCs w:val="24"/>
        </w:rPr>
        <w:t xml:space="preserve">物价波动引起价格调整方法：施工期间，人工、材料、机械价格波动幅度超过±6%时，按照京建法【2013】7号文确定的原则及方法，采用造价信息调整价格差额。   </w:t>
      </w:r>
    </w:p>
    <w:p>
      <w:pPr>
        <w:bidi w:val="0"/>
        <w:spacing w:line="360" w:lineRule="auto"/>
        <w:rPr>
          <w:rFonts w:hint="eastAsia"/>
          <w:sz w:val="24"/>
          <w:szCs w:val="24"/>
        </w:rPr>
      </w:pPr>
      <w:r>
        <w:rPr>
          <w:rFonts w:hint="eastAsia"/>
          <w:sz w:val="24"/>
          <w:szCs w:val="24"/>
        </w:rPr>
        <w:t>16.1.2  采用造价信息调整价格差额</w:t>
      </w:r>
    </w:p>
    <w:p>
      <w:pPr>
        <w:bidi w:val="0"/>
        <w:spacing w:line="360" w:lineRule="auto"/>
        <w:rPr>
          <w:rFonts w:hint="eastAsia"/>
          <w:sz w:val="24"/>
          <w:szCs w:val="24"/>
        </w:rPr>
      </w:pPr>
      <w:r>
        <w:rPr>
          <w:rFonts w:hint="eastAsia"/>
          <w:sz w:val="24"/>
          <w:szCs w:val="24"/>
        </w:rPr>
        <w:t>16.1.2.1  引起价格调整的物价波动风险范围及幅度</w:t>
      </w:r>
    </w:p>
    <w:p>
      <w:pPr>
        <w:bidi w:val="0"/>
        <w:spacing w:line="360" w:lineRule="auto"/>
        <w:rPr>
          <w:rFonts w:hint="eastAsia"/>
          <w:sz w:val="24"/>
          <w:szCs w:val="24"/>
        </w:rPr>
      </w:pPr>
      <w:r>
        <w:rPr>
          <w:rFonts w:hint="eastAsia"/>
          <w:sz w:val="24"/>
          <w:szCs w:val="24"/>
        </w:rPr>
        <w:t>引起价格调整的物价波动风险范围：</w:t>
      </w:r>
    </w:p>
    <w:p>
      <w:pPr>
        <w:bidi w:val="0"/>
        <w:spacing w:line="360" w:lineRule="auto"/>
        <w:rPr>
          <w:rFonts w:hint="eastAsia"/>
          <w:sz w:val="24"/>
          <w:szCs w:val="24"/>
        </w:rPr>
      </w:pPr>
      <w:r>
        <w:rPr>
          <w:rFonts w:hint="eastAsia"/>
          <w:sz w:val="24"/>
          <w:szCs w:val="24"/>
        </w:rPr>
        <w:t>（一）合同文件约定的综合单价风险范围如下：</w:t>
      </w:r>
    </w:p>
    <w:p>
      <w:pPr>
        <w:bidi w:val="0"/>
        <w:spacing w:line="360" w:lineRule="auto"/>
        <w:rPr>
          <w:rFonts w:hint="eastAsia"/>
          <w:sz w:val="24"/>
          <w:szCs w:val="24"/>
        </w:rPr>
      </w:pPr>
      <w:r>
        <w:rPr>
          <w:rFonts w:hint="eastAsia"/>
          <w:sz w:val="24"/>
          <w:szCs w:val="24"/>
        </w:rPr>
        <w:t>a）承包人在编制投标书时对合同文件、施工图纸的任何错误理解或自身的任何疏忽而造成的错误或失误不予调整；</w:t>
      </w:r>
    </w:p>
    <w:p>
      <w:pPr>
        <w:bidi w:val="0"/>
        <w:spacing w:line="360" w:lineRule="auto"/>
        <w:rPr>
          <w:rFonts w:hint="eastAsia"/>
          <w:sz w:val="24"/>
          <w:szCs w:val="24"/>
        </w:rPr>
      </w:pPr>
      <w:r>
        <w:rPr>
          <w:rFonts w:hint="eastAsia"/>
          <w:sz w:val="24"/>
          <w:szCs w:val="24"/>
        </w:rPr>
        <w:t>b）本工程主要材料、人工、机械价格的涨落在±6%（含±6%）以内不予调整；</w:t>
      </w:r>
    </w:p>
    <w:p>
      <w:pPr>
        <w:bidi w:val="0"/>
        <w:spacing w:line="360" w:lineRule="auto"/>
        <w:rPr>
          <w:rFonts w:hint="eastAsia"/>
          <w:sz w:val="24"/>
          <w:szCs w:val="24"/>
        </w:rPr>
      </w:pPr>
      <w:r>
        <w:rPr>
          <w:rFonts w:hint="eastAsia"/>
          <w:sz w:val="24"/>
          <w:szCs w:val="24"/>
        </w:rPr>
        <w:t>c）对本工程工作内容理解的偏差、工料机消耗量水平的确定、生产要素市场价格的判断及取费等不予调整；</w:t>
      </w:r>
    </w:p>
    <w:p>
      <w:pPr>
        <w:bidi w:val="0"/>
        <w:spacing w:line="360" w:lineRule="auto"/>
        <w:rPr>
          <w:rFonts w:hint="eastAsia"/>
          <w:sz w:val="24"/>
          <w:szCs w:val="24"/>
        </w:rPr>
      </w:pPr>
      <w:r>
        <w:rPr>
          <w:rFonts w:hint="eastAsia"/>
          <w:sz w:val="24"/>
          <w:szCs w:val="24"/>
        </w:rPr>
        <w:t>d）因季节性施工引起的费用增加不予调整；</w:t>
      </w:r>
    </w:p>
    <w:p>
      <w:pPr>
        <w:bidi w:val="0"/>
        <w:spacing w:line="360" w:lineRule="auto"/>
        <w:rPr>
          <w:rFonts w:hint="eastAsia"/>
          <w:sz w:val="24"/>
          <w:szCs w:val="24"/>
        </w:rPr>
      </w:pPr>
      <w:r>
        <w:rPr>
          <w:rFonts w:hint="eastAsia"/>
          <w:sz w:val="24"/>
          <w:szCs w:val="24"/>
        </w:rPr>
        <w:t xml:space="preserve">（二）合同文件约定的措施项目费、其他项目清单中的总承包服务费风险范围： </w:t>
      </w:r>
    </w:p>
    <w:p>
      <w:pPr>
        <w:bidi w:val="0"/>
        <w:spacing w:line="360" w:lineRule="auto"/>
        <w:rPr>
          <w:rFonts w:hint="eastAsia"/>
          <w:sz w:val="24"/>
          <w:szCs w:val="24"/>
        </w:rPr>
      </w:pPr>
      <w:r>
        <w:rPr>
          <w:rFonts w:hint="eastAsia"/>
          <w:sz w:val="24"/>
          <w:szCs w:val="24"/>
        </w:rPr>
        <w:t>a)措施项目费： 因承包人原因导致的工程量增减，措施项目费不予以调整。</w:t>
      </w:r>
    </w:p>
    <w:p>
      <w:pPr>
        <w:bidi w:val="0"/>
        <w:spacing w:line="360" w:lineRule="auto"/>
        <w:rPr>
          <w:rFonts w:hint="eastAsia"/>
          <w:sz w:val="24"/>
          <w:szCs w:val="24"/>
        </w:rPr>
      </w:pPr>
      <w:r>
        <w:rPr>
          <w:rFonts w:hint="eastAsia"/>
          <w:sz w:val="24"/>
          <w:szCs w:val="24"/>
        </w:rPr>
        <w:t>b)总包服务费：总包服务费费率固定不变（发包人发包的专业工程转化为承包人自行施工时，其相应总承包服务费及税金扣除。） 引起价格调整的物价波动风险幅度： ±6  %</w:t>
      </w:r>
    </w:p>
    <w:p>
      <w:pPr>
        <w:bidi w:val="0"/>
        <w:spacing w:line="360" w:lineRule="auto"/>
        <w:rPr>
          <w:rFonts w:hint="eastAsia"/>
          <w:sz w:val="24"/>
          <w:szCs w:val="24"/>
        </w:rPr>
      </w:pPr>
      <w:r>
        <w:rPr>
          <w:rFonts w:hint="eastAsia"/>
          <w:sz w:val="24"/>
          <w:szCs w:val="24"/>
        </w:rPr>
        <w:t>16.1.2.2   物价波动引起价格调整的风险幅度的计算方法</w:t>
      </w:r>
    </w:p>
    <w:p>
      <w:pPr>
        <w:bidi w:val="0"/>
        <w:spacing w:line="360" w:lineRule="auto"/>
        <w:rPr>
          <w:rFonts w:hint="eastAsia"/>
          <w:sz w:val="24"/>
          <w:szCs w:val="24"/>
        </w:rPr>
      </w:pPr>
      <w:r>
        <w:rPr>
          <w:rFonts w:hint="eastAsia"/>
          <w:sz w:val="24"/>
          <w:szCs w:val="24"/>
        </w:rPr>
        <w:t>（1）投标报价基准期：投标报价应以2022年3月《北京工程造价信息》为基准期，与基准期对应的主要材料和机械以及人工市场价格为基准价。《北京工程造价信息》市场价格信息中没有的，基准价的确定方法：基准价以《北京工程造价信息》（以下简称造价信息）中的市场信息价格为依据确定。造价信息价格中有上、下限的，以下限为准；造价信息价格缺项时，应以发包人、承包人共同确认的市场价格为依据确定。</w:t>
      </w:r>
    </w:p>
    <w:p>
      <w:pPr>
        <w:bidi w:val="0"/>
        <w:spacing w:line="360" w:lineRule="auto"/>
        <w:rPr>
          <w:rFonts w:hint="eastAsia"/>
          <w:sz w:val="24"/>
          <w:szCs w:val="24"/>
        </w:rPr>
      </w:pPr>
      <w:r>
        <w:rPr>
          <w:rFonts w:hint="eastAsia"/>
          <w:sz w:val="24"/>
          <w:szCs w:val="24"/>
        </w:rPr>
        <w:t>（2）物价波动幅度的计算：</w:t>
      </w:r>
    </w:p>
    <w:p>
      <w:pPr>
        <w:bidi w:val="0"/>
        <w:spacing w:line="360" w:lineRule="auto"/>
        <w:rPr>
          <w:rFonts w:hint="eastAsia"/>
          <w:sz w:val="24"/>
          <w:szCs w:val="24"/>
        </w:rPr>
      </w:pPr>
      <w:r>
        <w:rPr>
          <w:rFonts w:hint="eastAsia"/>
          <w:sz w:val="24"/>
          <w:szCs w:val="24"/>
        </w:rPr>
        <w:t>A. 当承包人投标报价中的主要材料和机械以及人工单价低于基准价时，施工期市场价的涨幅以基准价格为基础确定，跌幅以投标报价为基础确定。</w:t>
      </w:r>
    </w:p>
    <w:p>
      <w:pPr>
        <w:bidi w:val="0"/>
        <w:spacing w:line="360" w:lineRule="auto"/>
        <w:rPr>
          <w:rFonts w:hint="eastAsia"/>
          <w:sz w:val="24"/>
          <w:szCs w:val="24"/>
        </w:rPr>
      </w:pPr>
      <w:r>
        <w:rPr>
          <w:rFonts w:hint="eastAsia"/>
          <w:sz w:val="24"/>
          <w:szCs w:val="24"/>
        </w:rPr>
        <w:t>B. 当承包人投标报价中的主要材料和机械以及人工单价高于基准价时，施工期市场价跌幅以基准价格为基础确定，涨幅以投标报价为基础确定。</w:t>
      </w:r>
    </w:p>
    <w:p>
      <w:pPr>
        <w:bidi w:val="0"/>
        <w:spacing w:line="360" w:lineRule="auto"/>
        <w:rPr>
          <w:rFonts w:hint="eastAsia"/>
          <w:sz w:val="24"/>
          <w:szCs w:val="24"/>
        </w:rPr>
      </w:pPr>
      <w:r>
        <w:rPr>
          <w:rFonts w:hint="eastAsia"/>
          <w:sz w:val="24"/>
          <w:szCs w:val="24"/>
        </w:rPr>
        <w:t xml:space="preserve">（3）合同施工期市场价格的确定方法：施工期市场价以发包人、承包人共同确认的价格为准。若发包人、承包人未能就施工期市场价格达成一致，可以参考施工期的造价信息价格。  </w:t>
      </w:r>
    </w:p>
    <w:p>
      <w:pPr>
        <w:bidi w:val="0"/>
        <w:spacing w:line="360" w:lineRule="auto"/>
        <w:rPr>
          <w:rFonts w:hint="eastAsia"/>
          <w:sz w:val="24"/>
          <w:szCs w:val="24"/>
        </w:rPr>
      </w:pPr>
      <w:r>
        <w:rPr>
          <w:rFonts w:hint="eastAsia"/>
          <w:sz w:val="24"/>
          <w:szCs w:val="24"/>
        </w:rPr>
        <w:t>16.1.2.3  物价波动引起价格调整的方法</w:t>
      </w:r>
    </w:p>
    <w:p>
      <w:pPr>
        <w:bidi w:val="0"/>
        <w:spacing w:line="360" w:lineRule="auto"/>
        <w:rPr>
          <w:rFonts w:hint="eastAsia"/>
          <w:sz w:val="24"/>
          <w:szCs w:val="24"/>
        </w:rPr>
      </w:pPr>
      <w:r>
        <w:rPr>
          <w:rFonts w:hint="eastAsia"/>
          <w:sz w:val="24"/>
          <w:szCs w:val="24"/>
        </w:rPr>
        <w:t>（1）本工程单价调整方法采用算数平均法（加权平均法/算数平均法/其他计算方法）。</w:t>
      </w:r>
    </w:p>
    <w:p>
      <w:pPr>
        <w:bidi w:val="0"/>
        <w:spacing w:line="360" w:lineRule="auto"/>
        <w:rPr>
          <w:rFonts w:hint="eastAsia"/>
          <w:sz w:val="24"/>
          <w:szCs w:val="24"/>
        </w:rPr>
      </w:pPr>
      <w:r>
        <w:rPr>
          <w:rFonts w:hint="eastAsia"/>
          <w:sz w:val="24"/>
          <w:szCs w:val="24"/>
        </w:rPr>
        <w:t xml:space="preserve">采用加权平均法：  /       </w:t>
      </w:r>
    </w:p>
    <w:p>
      <w:pPr>
        <w:bidi w:val="0"/>
        <w:spacing w:line="360" w:lineRule="auto"/>
        <w:rPr>
          <w:rFonts w:hint="eastAsia"/>
          <w:sz w:val="24"/>
          <w:szCs w:val="24"/>
        </w:rPr>
      </w:pPr>
      <w:r>
        <w:rPr>
          <w:rFonts w:hint="eastAsia"/>
          <w:sz w:val="24"/>
          <w:szCs w:val="24"/>
        </w:rPr>
        <w:t>采用算数平均法：（1）主要材料和机械市场的变化幅度小于或等于合同约定的价格变化幅度时，不做调整；变化幅度大于合同中约定的价格变化幅度时，应该计算超过部分的价格差额，其价格差额由发包人承担或收益。（2）人工市场价格的变化幅度小于或等于合同中约定的价格变化幅度时，不做调整；变化幅度大于合同中约定的价格变化幅度时，应计算全部价格差额，其价格差额由发包人承担或受益。（3）人工费价格差额不计取规费；人工、材料、机械计算后的价格差额只计取税金。</w:t>
      </w:r>
    </w:p>
    <w:p>
      <w:pPr>
        <w:bidi w:val="0"/>
        <w:spacing w:line="360" w:lineRule="auto"/>
        <w:rPr>
          <w:rFonts w:hint="eastAsia"/>
          <w:sz w:val="24"/>
          <w:szCs w:val="24"/>
        </w:rPr>
      </w:pPr>
      <w:r>
        <w:rPr>
          <w:rFonts w:hint="eastAsia"/>
          <w:sz w:val="24"/>
          <w:szCs w:val="24"/>
        </w:rPr>
        <w:t xml:space="preserve">采用其他计算方法：/   </w:t>
      </w:r>
    </w:p>
    <w:p>
      <w:pPr>
        <w:bidi w:val="0"/>
        <w:spacing w:line="360" w:lineRule="auto"/>
        <w:rPr>
          <w:rFonts w:hint="eastAsia"/>
          <w:sz w:val="24"/>
          <w:szCs w:val="24"/>
        </w:rPr>
      </w:pPr>
      <w:r>
        <w:rPr>
          <w:rFonts w:hint="eastAsia"/>
          <w:sz w:val="24"/>
          <w:szCs w:val="24"/>
        </w:rPr>
        <w:t>16.1.2.4  其他约定： （1）.主要材料和机械市场价格的变化幅度大于合同中约定的价格变化幅度时，计算超过部分的价格差额。</w:t>
      </w:r>
      <w:bookmarkStart w:id="997" w:name="_GoBack"/>
      <w:bookmarkEnd w:id="997"/>
    </w:p>
    <w:p>
      <w:pPr>
        <w:bidi w:val="0"/>
        <w:spacing w:line="360" w:lineRule="auto"/>
        <w:rPr>
          <w:rFonts w:hint="eastAsia"/>
          <w:sz w:val="24"/>
          <w:szCs w:val="24"/>
        </w:rPr>
      </w:pPr>
      <w:r>
        <w:rPr>
          <w:rFonts w:hint="eastAsia"/>
          <w:sz w:val="24"/>
          <w:szCs w:val="24"/>
        </w:rPr>
        <w:t xml:space="preserve">    （2）.人工市场价格的变化幅度大于合同中约定的价格变化幅度时，计算全部价格差额。</w:t>
      </w:r>
    </w:p>
    <w:p>
      <w:pPr>
        <w:bidi w:val="0"/>
        <w:spacing w:line="360" w:lineRule="auto"/>
        <w:rPr>
          <w:rFonts w:hint="eastAsia"/>
          <w:sz w:val="24"/>
          <w:szCs w:val="24"/>
        </w:rPr>
      </w:pPr>
      <w:r>
        <w:rPr>
          <w:rFonts w:hint="eastAsia"/>
          <w:sz w:val="24"/>
          <w:szCs w:val="24"/>
        </w:rPr>
        <w:t>16.1.3  其他价格调整方法</w:t>
      </w:r>
    </w:p>
    <w:p>
      <w:pPr>
        <w:bidi w:val="0"/>
        <w:spacing w:line="360" w:lineRule="auto"/>
        <w:rPr>
          <w:rFonts w:hint="eastAsia"/>
          <w:sz w:val="24"/>
          <w:szCs w:val="24"/>
        </w:rPr>
      </w:pPr>
      <w:r>
        <w:rPr>
          <w:rFonts w:hint="eastAsia"/>
          <w:sz w:val="24"/>
          <w:szCs w:val="24"/>
        </w:rPr>
        <w:t xml:space="preserve">        /                                                     </w:t>
      </w:r>
    </w:p>
    <w:p>
      <w:pPr>
        <w:bidi w:val="0"/>
        <w:spacing w:line="360" w:lineRule="auto"/>
        <w:rPr>
          <w:rFonts w:hint="eastAsia"/>
          <w:sz w:val="24"/>
          <w:szCs w:val="24"/>
        </w:rPr>
      </w:pPr>
      <w:bookmarkStart w:id="734" w:name="_Toc486580428"/>
      <w:bookmarkStart w:id="735" w:name="_Toc492202898"/>
      <w:bookmarkStart w:id="736" w:name="_Toc480303434"/>
      <w:bookmarkStart w:id="737" w:name="_Toc491149558"/>
      <w:bookmarkStart w:id="738" w:name="_Toc25541"/>
      <w:bookmarkStart w:id="739" w:name="_Toc489280234"/>
      <w:bookmarkStart w:id="740" w:name="_Toc485323202"/>
      <w:bookmarkStart w:id="741" w:name="_Toc490331719"/>
      <w:bookmarkStart w:id="742" w:name="_BookMark_56"/>
      <w:r>
        <w:rPr>
          <w:rFonts w:hint="eastAsia"/>
          <w:sz w:val="24"/>
          <w:szCs w:val="24"/>
        </w:rPr>
        <w:t>17.计量与支付</w:t>
      </w:r>
      <w:bookmarkEnd w:id="734"/>
      <w:bookmarkEnd w:id="735"/>
      <w:bookmarkEnd w:id="736"/>
      <w:bookmarkEnd w:id="737"/>
      <w:bookmarkEnd w:id="738"/>
      <w:bookmarkEnd w:id="739"/>
      <w:bookmarkEnd w:id="740"/>
      <w:bookmarkEnd w:id="741"/>
    </w:p>
    <w:bookmarkEnd w:id="742"/>
    <w:p>
      <w:pPr>
        <w:bidi w:val="0"/>
        <w:spacing w:line="360" w:lineRule="auto"/>
        <w:rPr>
          <w:rFonts w:hint="eastAsia"/>
          <w:sz w:val="24"/>
          <w:szCs w:val="24"/>
        </w:rPr>
      </w:pPr>
      <w:bookmarkStart w:id="743" w:name="_Toc486580429"/>
      <w:bookmarkStart w:id="744" w:name="_Toc490331720"/>
      <w:bookmarkStart w:id="745" w:name="_Toc21275"/>
      <w:bookmarkStart w:id="746" w:name="_Toc492202899"/>
      <w:bookmarkStart w:id="747" w:name="_Toc480303435"/>
      <w:bookmarkStart w:id="748" w:name="_Toc485323203"/>
      <w:bookmarkStart w:id="749" w:name="_Toc491149559"/>
      <w:bookmarkStart w:id="750" w:name="_Toc489280235"/>
      <w:bookmarkStart w:id="751" w:name="_BookMark_57"/>
      <w:r>
        <w:rPr>
          <w:rFonts w:hint="eastAsia"/>
          <w:sz w:val="24"/>
          <w:szCs w:val="24"/>
        </w:rPr>
        <w:t>17.1  计量</w:t>
      </w:r>
      <w:bookmarkEnd w:id="743"/>
      <w:bookmarkEnd w:id="744"/>
      <w:bookmarkEnd w:id="745"/>
      <w:bookmarkEnd w:id="746"/>
      <w:bookmarkEnd w:id="747"/>
      <w:bookmarkEnd w:id="748"/>
      <w:bookmarkEnd w:id="749"/>
      <w:bookmarkEnd w:id="750"/>
    </w:p>
    <w:bookmarkEnd w:id="751"/>
    <w:p>
      <w:pPr>
        <w:bidi w:val="0"/>
        <w:spacing w:line="360" w:lineRule="auto"/>
        <w:rPr>
          <w:rFonts w:hint="eastAsia"/>
          <w:sz w:val="24"/>
          <w:szCs w:val="24"/>
        </w:rPr>
      </w:pPr>
      <w:r>
        <w:rPr>
          <w:rFonts w:hint="eastAsia"/>
          <w:sz w:val="24"/>
          <w:szCs w:val="24"/>
        </w:rPr>
        <w:t>17.1.3  计量周期</w:t>
      </w:r>
    </w:p>
    <w:p>
      <w:pPr>
        <w:bidi w:val="0"/>
        <w:spacing w:line="360" w:lineRule="auto"/>
        <w:rPr>
          <w:rFonts w:hint="eastAsia"/>
          <w:sz w:val="24"/>
          <w:szCs w:val="24"/>
        </w:rPr>
      </w:pPr>
      <w:r>
        <w:rPr>
          <w:rFonts w:hint="eastAsia"/>
          <w:sz w:val="24"/>
          <w:szCs w:val="24"/>
        </w:rPr>
        <w:t>（1）每月25日为当月计量截止日期（不含当日）和下月计量起始日期（含当日）。</w:t>
      </w:r>
    </w:p>
    <w:p>
      <w:pPr>
        <w:bidi w:val="0"/>
        <w:spacing w:line="360" w:lineRule="auto"/>
        <w:rPr>
          <w:rFonts w:hint="eastAsia"/>
          <w:sz w:val="24"/>
          <w:szCs w:val="24"/>
        </w:rPr>
      </w:pPr>
      <w:r>
        <w:rPr>
          <w:rFonts w:hint="eastAsia"/>
          <w:sz w:val="24"/>
          <w:szCs w:val="24"/>
        </w:rPr>
        <w:t>（2）本合同 执行 （执行（采用单价合同形式时）/不执行（采用总价合同形式时））单价子目已完成工程量按月计量。</w:t>
      </w:r>
    </w:p>
    <w:p>
      <w:pPr>
        <w:bidi w:val="0"/>
        <w:spacing w:line="360" w:lineRule="auto"/>
        <w:rPr>
          <w:rFonts w:hint="eastAsia"/>
          <w:sz w:val="24"/>
          <w:szCs w:val="24"/>
        </w:rPr>
      </w:pPr>
      <w:r>
        <w:rPr>
          <w:rFonts w:hint="eastAsia"/>
          <w:sz w:val="24"/>
          <w:szCs w:val="24"/>
        </w:rPr>
        <w:t>（3）总价子目计量方式采用按实际完成工程量计量（支付分解报告/按实际完成工程量计量）。</w:t>
      </w:r>
    </w:p>
    <w:p>
      <w:pPr>
        <w:bidi w:val="0"/>
        <w:spacing w:line="360" w:lineRule="auto"/>
        <w:rPr>
          <w:rFonts w:hint="eastAsia"/>
          <w:sz w:val="24"/>
          <w:szCs w:val="24"/>
        </w:rPr>
      </w:pPr>
      <w:r>
        <w:rPr>
          <w:rFonts w:hint="eastAsia"/>
          <w:sz w:val="24"/>
          <w:szCs w:val="24"/>
        </w:rPr>
        <w:t>17.1.5  总价子目的计量（适用于采用支付分解报告）</w:t>
      </w:r>
    </w:p>
    <w:p>
      <w:pPr>
        <w:bidi w:val="0"/>
        <w:spacing w:line="360" w:lineRule="auto"/>
        <w:rPr>
          <w:rFonts w:hint="eastAsia"/>
          <w:sz w:val="24"/>
          <w:szCs w:val="24"/>
        </w:rPr>
      </w:pPr>
      <w:r>
        <w:rPr>
          <w:rFonts w:hint="eastAsia"/>
          <w:sz w:val="24"/>
          <w:szCs w:val="24"/>
        </w:rPr>
        <w:t xml:space="preserve">（1）采用支付分解报告计量方式的，总价子目的价格调整方法：   /          </w:t>
      </w:r>
    </w:p>
    <w:p>
      <w:pPr>
        <w:bidi w:val="0"/>
        <w:spacing w:line="360" w:lineRule="auto"/>
        <w:rPr>
          <w:rFonts w:hint="eastAsia"/>
          <w:sz w:val="24"/>
          <w:szCs w:val="24"/>
        </w:rPr>
      </w:pPr>
      <w:r>
        <w:rPr>
          <w:rFonts w:hint="eastAsia"/>
          <w:sz w:val="24"/>
          <w:szCs w:val="24"/>
        </w:rPr>
        <w:t>17.1.5  总价子目的计量（适用于采用按实际完成工程量计量）</w:t>
      </w:r>
    </w:p>
    <w:p>
      <w:pPr>
        <w:bidi w:val="0"/>
        <w:spacing w:line="360" w:lineRule="auto"/>
        <w:rPr>
          <w:rFonts w:hint="eastAsia"/>
          <w:sz w:val="24"/>
          <w:szCs w:val="24"/>
        </w:rPr>
      </w:pPr>
      <w:r>
        <w:rPr>
          <w:rFonts w:hint="eastAsia"/>
          <w:sz w:val="24"/>
          <w:szCs w:val="24"/>
        </w:rPr>
        <w:t xml:space="preserve">（1）采用按实际完成工程量计量方式的,总价子目的价格调整方法：  /         </w:t>
      </w:r>
    </w:p>
    <w:p>
      <w:pPr>
        <w:bidi w:val="0"/>
        <w:spacing w:line="360" w:lineRule="auto"/>
        <w:rPr>
          <w:rFonts w:hint="eastAsia"/>
          <w:sz w:val="24"/>
          <w:szCs w:val="24"/>
        </w:rPr>
      </w:pPr>
      <w:bookmarkStart w:id="752" w:name="_Toc492202900"/>
      <w:bookmarkStart w:id="753" w:name="_Toc491149560"/>
      <w:bookmarkStart w:id="754" w:name="_Toc485323204"/>
      <w:bookmarkStart w:id="755" w:name="_Toc486580430"/>
      <w:bookmarkStart w:id="756" w:name="_Toc31706"/>
      <w:bookmarkStart w:id="757" w:name="_Toc489280236"/>
      <w:bookmarkStart w:id="758" w:name="_Toc480303436"/>
      <w:bookmarkStart w:id="759" w:name="_Toc490331721"/>
      <w:bookmarkStart w:id="760" w:name="_BookMark_58"/>
      <w:r>
        <w:rPr>
          <w:rFonts w:hint="eastAsia"/>
          <w:sz w:val="24"/>
          <w:szCs w:val="24"/>
        </w:rPr>
        <w:t>17.2  预付款</w:t>
      </w:r>
      <w:bookmarkEnd w:id="752"/>
      <w:bookmarkEnd w:id="753"/>
      <w:bookmarkEnd w:id="754"/>
      <w:bookmarkEnd w:id="755"/>
      <w:bookmarkEnd w:id="756"/>
      <w:bookmarkEnd w:id="757"/>
      <w:bookmarkEnd w:id="758"/>
      <w:bookmarkEnd w:id="759"/>
    </w:p>
    <w:bookmarkEnd w:id="760"/>
    <w:p>
      <w:pPr>
        <w:bidi w:val="0"/>
        <w:spacing w:line="360" w:lineRule="auto"/>
        <w:rPr>
          <w:rFonts w:hint="eastAsia"/>
          <w:sz w:val="24"/>
          <w:szCs w:val="24"/>
        </w:rPr>
      </w:pPr>
      <w:r>
        <w:rPr>
          <w:rFonts w:hint="eastAsia"/>
          <w:sz w:val="24"/>
          <w:szCs w:val="24"/>
        </w:rPr>
        <w:t>17.2.1  预付款</w:t>
      </w:r>
    </w:p>
    <w:p>
      <w:pPr>
        <w:bidi w:val="0"/>
        <w:spacing w:line="360" w:lineRule="auto"/>
        <w:rPr>
          <w:rFonts w:hint="eastAsia"/>
          <w:sz w:val="24"/>
          <w:szCs w:val="24"/>
        </w:rPr>
      </w:pPr>
      <w:r>
        <w:rPr>
          <w:rFonts w:hint="eastAsia"/>
          <w:sz w:val="24"/>
          <w:szCs w:val="24"/>
        </w:rPr>
        <w:t>（1）预付款额度</w:t>
      </w:r>
    </w:p>
    <w:p>
      <w:pPr>
        <w:bidi w:val="0"/>
        <w:spacing w:line="360" w:lineRule="auto"/>
        <w:rPr>
          <w:rFonts w:hint="eastAsia"/>
          <w:sz w:val="24"/>
          <w:szCs w:val="24"/>
        </w:rPr>
      </w:pPr>
      <w:r>
        <w:rPr>
          <w:rFonts w:hint="eastAsia"/>
          <w:sz w:val="24"/>
          <w:szCs w:val="24"/>
        </w:rPr>
        <w:t>预付款额度：  30%的预付款（用于承包人自行施工部分备料、人员进现场所发生的费用 ）。</w:t>
      </w:r>
    </w:p>
    <w:p>
      <w:pPr>
        <w:bidi w:val="0"/>
        <w:spacing w:line="360" w:lineRule="auto"/>
        <w:rPr>
          <w:rFonts w:hint="eastAsia"/>
          <w:sz w:val="24"/>
          <w:szCs w:val="24"/>
        </w:rPr>
      </w:pPr>
      <w:r>
        <w:rPr>
          <w:rFonts w:hint="eastAsia"/>
          <w:sz w:val="24"/>
          <w:szCs w:val="24"/>
        </w:rPr>
        <w:t xml:space="preserve">其中：安全文明施工费用预付额度：安全防护、文明施工措施费用总额的100％  </w:t>
      </w:r>
    </w:p>
    <w:p>
      <w:pPr>
        <w:bidi w:val="0"/>
        <w:spacing w:line="360" w:lineRule="auto"/>
        <w:rPr>
          <w:rFonts w:hint="eastAsia"/>
          <w:sz w:val="24"/>
          <w:szCs w:val="24"/>
        </w:rPr>
      </w:pPr>
      <w:r>
        <w:rPr>
          <w:rFonts w:hint="eastAsia"/>
          <w:sz w:val="24"/>
          <w:szCs w:val="24"/>
        </w:rPr>
        <w:t xml:space="preserve">其他预付款额度：/                 </w:t>
      </w:r>
    </w:p>
    <w:p>
      <w:pPr>
        <w:bidi w:val="0"/>
        <w:spacing w:line="360" w:lineRule="auto"/>
        <w:rPr>
          <w:rFonts w:hint="eastAsia"/>
          <w:sz w:val="24"/>
          <w:szCs w:val="24"/>
        </w:rPr>
      </w:pPr>
      <w:r>
        <w:rPr>
          <w:rFonts w:hint="eastAsia"/>
          <w:sz w:val="24"/>
          <w:szCs w:val="24"/>
        </w:rPr>
        <w:t>（2）预付办法</w:t>
      </w:r>
    </w:p>
    <w:p>
      <w:pPr>
        <w:bidi w:val="0"/>
        <w:spacing w:line="360" w:lineRule="auto"/>
        <w:rPr>
          <w:rFonts w:hint="eastAsia"/>
          <w:sz w:val="24"/>
          <w:szCs w:val="24"/>
        </w:rPr>
      </w:pPr>
      <w:r>
        <w:rPr>
          <w:rFonts w:hint="eastAsia"/>
          <w:sz w:val="24"/>
          <w:szCs w:val="24"/>
        </w:rPr>
        <w:t xml:space="preserve">预付款预付办法：发包人以银行转帐的方式一次性向承包人支付预付款。       </w:t>
      </w:r>
    </w:p>
    <w:p>
      <w:pPr>
        <w:bidi w:val="0"/>
        <w:spacing w:line="360" w:lineRule="auto"/>
        <w:rPr>
          <w:rFonts w:hint="eastAsia"/>
          <w:sz w:val="24"/>
          <w:szCs w:val="24"/>
        </w:rPr>
      </w:pPr>
      <w:r>
        <w:rPr>
          <w:rFonts w:hint="eastAsia"/>
          <w:sz w:val="24"/>
          <w:szCs w:val="24"/>
        </w:rPr>
        <w:t xml:space="preserve">预付款的支付时间：  工程合同签订后，拨付合同金额30%的启动资金。 </w:t>
      </w:r>
    </w:p>
    <w:p>
      <w:pPr>
        <w:bidi w:val="0"/>
        <w:spacing w:line="360" w:lineRule="auto"/>
        <w:rPr>
          <w:rFonts w:hint="eastAsia"/>
          <w:sz w:val="24"/>
          <w:szCs w:val="24"/>
        </w:rPr>
      </w:pPr>
      <w:r>
        <w:rPr>
          <w:rFonts w:hint="eastAsia"/>
          <w:sz w:val="24"/>
          <w:szCs w:val="24"/>
        </w:rPr>
        <w:t>17.2.2  预付款的扣回与还清</w:t>
      </w:r>
    </w:p>
    <w:p>
      <w:pPr>
        <w:bidi w:val="0"/>
        <w:spacing w:line="360" w:lineRule="auto"/>
        <w:rPr>
          <w:rFonts w:hint="eastAsia"/>
          <w:sz w:val="24"/>
          <w:szCs w:val="24"/>
        </w:rPr>
      </w:pPr>
      <w:r>
        <w:rPr>
          <w:rFonts w:hint="eastAsia"/>
          <w:sz w:val="24"/>
          <w:szCs w:val="24"/>
        </w:rPr>
        <w:t xml:space="preserve">预付款的扣回办法：           </w:t>
      </w:r>
    </w:p>
    <w:p>
      <w:pPr>
        <w:bidi w:val="0"/>
        <w:spacing w:line="360" w:lineRule="auto"/>
        <w:rPr>
          <w:rFonts w:hint="eastAsia"/>
          <w:sz w:val="24"/>
          <w:szCs w:val="24"/>
        </w:rPr>
      </w:pPr>
      <w:bookmarkStart w:id="761" w:name="_Toc16904"/>
      <w:bookmarkStart w:id="762" w:name="_Toc491149561"/>
      <w:bookmarkStart w:id="763" w:name="_Toc490331722"/>
      <w:bookmarkStart w:id="764" w:name="_Toc485323205"/>
      <w:bookmarkStart w:id="765" w:name="_Toc492202901"/>
      <w:bookmarkStart w:id="766" w:name="_Toc480303437"/>
      <w:bookmarkStart w:id="767" w:name="_Toc489280237"/>
      <w:bookmarkStart w:id="768" w:name="_Toc486580431"/>
      <w:bookmarkStart w:id="769" w:name="_BookMark_59"/>
      <w:r>
        <w:rPr>
          <w:rFonts w:hint="eastAsia"/>
          <w:sz w:val="24"/>
          <w:szCs w:val="24"/>
        </w:rPr>
        <w:t>17.3  工程进度付款</w:t>
      </w:r>
      <w:bookmarkEnd w:id="761"/>
      <w:bookmarkEnd w:id="762"/>
      <w:bookmarkEnd w:id="763"/>
      <w:bookmarkEnd w:id="764"/>
      <w:bookmarkEnd w:id="765"/>
      <w:bookmarkEnd w:id="766"/>
      <w:bookmarkEnd w:id="767"/>
      <w:bookmarkEnd w:id="768"/>
    </w:p>
    <w:bookmarkEnd w:id="769"/>
    <w:p>
      <w:pPr>
        <w:bidi w:val="0"/>
        <w:spacing w:line="360" w:lineRule="auto"/>
        <w:rPr>
          <w:rFonts w:hint="eastAsia"/>
          <w:sz w:val="24"/>
          <w:szCs w:val="24"/>
        </w:rPr>
      </w:pPr>
      <w:r>
        <w:rPr>
          <w:rFonts w:hint="eastAsia"/>
          <w:sz w:val="24"/>
          <w:szCs w:val="24"/>
        </w:rPr>
        <w:t>17.3.2  进度付款申请单</w:t>
      </w:r>
    </w:p>
    <w:p>
      <w:pPr>
        <w:bidi w:val="0"/>
        <w:spacing w:line="360" w:lineRule="auto"/>
        <w:rPr>
          <w:rFonts w:hint="eastAsia"/>
          <w:sz w:val="24"/>
          <w:szCs w:val="24"/>
        </w:rPr>
      </w:pPr>
      <w:r>
        <w:rPr>
          <w:rFonts w:hint="eastAsia"/>
          <w:sz w:val="24"/>
          <w:szCs w:val="24"/>
        </w:rPr>
        <w:t xml:space="preserve">进度付款申请单的份数：   3     </w:t>
      </w:r>
    </w:p>
    <w:p>
      <w:pPr>
        <w:bidi w:val="0"/>
        <w:spacing w:line="360" w:lineRule="auto"/>
        <w:rPr>
          <w:rFonts w:hint="eastAsia"/>
          <w:sz w:val="24"/>
          <w:szCs w:val="24"/>
        </w:rPr>
      </w:pPr>
      <w:r>
        <w:rPr>
          <w:rFonts w:hint="eastAsia"/>
          <w:sz w:val="24"/>
          <w:szCs w:val="24"/>
        </w:rPr>
        <w:t>承包人报送监理人的进度付款申请单应包括下列内容：按2013版清单计价规范进度款支付申请（核准）表中内容填报；</w:t>
      </w:r>
    </w:p>
    <w:p>
      <w:pPr>
        <w:bidi w:val="0"/>
        <w:spacing w:line="360" w:lineRule="auto"/>
        <w:rPr>
          <w:rFonts w:hint="eastAsia"/>
          <w:sz w:val="24"/>
          <w:szCs w:val="24"/>
        </w:rPr>
      </w:pPr>
      <w:r>
        <w:rPr>
          <w:rFonts w:hint="eastAsia"/>
          <w:sz w:val="24"/>
          <w:szCs w:val="24"/>
        </w:rPr>
        <w:t xml:space="preserve">（6）根据合同应增加和（或）扣减的其他内容金额：/ </w:t>
      </w:r>
    </w:p>
    <w:p>
      <w:pPr>
        <w:bidi w:val="0"/>
        <w:spacing w:line="360" w:lineRule="auto"/>
        <w:rPr>
          <w:rFonts w:hint="eastAsia"/>
          <w:sz w:val="24"/>
          <w:szCs w:val="24"/>
        </w:rPr>
      </w:pPr>
      <w:r>
        <w:rPr>
          <w:rFonts w:hint="eastAsia"/>
          <w:sz w:val="24"/>
          <w:szCs w:val="24"/>
        </w:rPr>
        <w:t>17.3.3  进度付款证书和支付时间</w:t>
      </w:r>
    </w:p>
    <w:p>
      <w:pPr>
        <w:bidi w:val="0"/>
        <w:spacing w:line="360" w:lineRule="auto"/>
        <w:rPr>
          <w:rFonts w:hint="eastAsia"/>
          <w:sz w:val="24"/>
          <w:szCs w:val="24"/>
        </w:rPr>
      </w:pPr>
      <w:r>
        <w:rPr>
          <w:rFonts w:hint="eastAsia"/>
          <w:sz w:val="24"/>
          <w:szCs w:val="24"/>
        </w:rPr>
        <w:t xml:space="preserve">（2）逾期付款违约金的计算标准： / </w:t>
      </w:r>
    </w:p>
    <w:p>
      <w:pPr>
        <w:bidi w:val="0"/>
        <w:spacing w:line="360" w:lineRule="auto"/>
        <w:rPr>
          <w:rFonts w:hint="eastAsia"/>
          <w:sz w:val="24"/>
          <w:szCs w:val="24"/>
        </w:rPr>
      </w:pPr>
      <w:r>
        <w:rPr>
          <w:rFonts w:hint="eastAsia"/>
          <w:sz w:val="24"/>
          <w:szCs w:val="24"/>
        </w:rPr>
        <w:t xml:space="preserve">逾期付款违约金的计算方法：   /     </w:t>
      </w:r>
    </w:p>
    <w:p>
      <w:pPr>
        <w:bidi w:val="0"/>
        <w:spacing w:line="360" w:lineRule="auto"/>
        <w:rPr>
          <w:rFonts w:hint="eastAsia"/>
          <w:sz w:val="24"/>
          <w:szCs w:val="24"/>
        </w:rPr>
      </w:pPr>
      <w:r>
        <w:rPr>
          <w:rFonts w:hint="eastAsia"/>
          <w:sz w:val="24"/>
          <w:szCs w:val="24"/>
        </w:rPr>
        <w:t>进度付款涉及政府性资金的支付方法：工程进度款支付时间及比例：本项目资金分二次完成支付，第一次为工程合同签订后，拨付合同金额30%的预付款；第二次为工程竣工验收后，根据工程竣工结算书或评审/审计结果结算项目尾款的70%；承包人收到结算款后返还发包人结算总价5%作为质量保证金，待质保期满后发包人一次性返还承包人。本工程质保期为两年，自竣工验收合格之日起算。</w:t>
      </w:r>
    </w:p>
    <w:p>
      <w:pPr>
        <w:bidi w:val="0"/>
        <w:spacing w:line="360" w:lineRule="auto"/>
        <w:rPr>
          <w:rFonts w:hint="eastAsia"/>
          <w:sz w:val="24"/>
          <w:szCs w:val="24"/>
        </w:rPr>
      </w:pPr>
      <w:bookmarkStart w:id="770" w:name="_Toc490331723"/>
      <w:bookmarkStart w:id="771" w:name="_Toc486580432"/>
      <w:bookmarkStart w:id="772" w:name="_Toc43"/>
      <w:bookmarkStart w:id="773" w:name="_Toc492202902"/>
      <w:bookmarkStart w:id="774" w:name="_Toc480303439"/>
      <w:bookmarkStart w:id="775" w:name="_Toc485323206"/>
      <w:bookmarkStart w:id="776" w:name="_Toc491149562"/>
      <w:bookmarkStart w:id="777" w:name="_Toc489280238"/>
      <w:bookmarkStart w:id="778" w:name="_BookMark_60"/>
      <w:r>
        <w:rPr>
          <w:rFonts w:hint="eastAsia"/>
          <w:sz w:val="24"/>
          <w:szCs w:val="24"/>
        </w:rPr>
        <w:t>17.4  质量保证金</w:t>
      </w:r>
      <w:bookmarkEnd w:id="770"/>
      <w:bookmarkEnd w:id="771"/>
      <w:bookmarkEnd w:id="772"/>
      <w:bookmarkEnd w:id="773"/>
      <w:bookmarkEnd w:id="774"/>
      <w:bookmarkEnd w:id="775"/>
      <w:bookmarkEnd w:id="776"/>
      <w:bookmarkEnd w:id="777"/>
      <w:r>
        <w:rPr>
          <w:rFonts w:hint="eastAsia"/>
          <w:sz w:val="24"/>
          <w:szCs w:val="24"/>
        </w:rPr>
        <w:t xml:space="preserve"> </w:t>
      </w:r>
    </w:p>
    <w:bookmarkEnd w:id="778"/>
    <w:p>
      <w:pPr>
        <w:bidi w:val="0"/>
        <w:spacing w:line="360" w:lineRule="auto"/>
        <w:rPr>
          <w:rFonts w:hint="eastAsia"/>
          <w:sz w:val="24"/>
          <w:szCs w:val="24"/>
        </w:rPr>
      </w:pPr>
      <w:bookmarkStart w:id="779" w:name="_Toc491149563"/>
      <w:bookmarkStart w:id="780" w:name="_Toc490331724"/>
      <w:bookmarkStart w:id="781" w:name="_Toc480303440"/>
      <w:bookmarkStart w:id="782" w:name="_Toc486580433"/>
      <w:bookmarkStart w:id="783" w:name="_Toc492202903"/>
      <w:bookmarkStart w:id="784" w:name="_Toc489280239"/>
      <w:bookmarkStart w:id="785" w:name="_Toc485323207"/>
      <w:r>
        <w:rPr>
          <w:rFonts w:hint="eastAsia"/>
          <w:sz w:val="24"/>
          <w:szCs w:val="24"/>
        </w:rPr>
        <w:t>17.4.1  质量保证金处理</w:t>
      </w:r>
    </w:p>
    <w:p>
      <w:pPr>
        <w:bidi w:val="0"/>
        <w:spacing w:line="360" w:lineRule="auto"/>
        <w:rPr>
          <w:rFonts w:hint="eastAsia"/>
          <w:sz w:val="24"/>
          <w:szCs w:val="24"/>
        </w:rPr>
      </w:pPr>
      <w:r>
        <w:rPr>
          <w:rFonts w:hint="eastAsia"/>
          <w:sz w:val="24"/>
          <w:szCs w:val="24"/>
        </w:rPr>
        <w:t>（1）质量保证金形式：银行转账或汇款</w:t>
      </w:r>
    </w:p>
    <w:p>
      <w:pPr>
        <w:bidi w:val="0"/>
        <w:spacing w:line="360" w:lineRule="auto"/>
        <w:rPr>
          <w:rFonts w:hint="eastAsia"/>
          <w:sz w:val="24"/>
          <w:szCs w:val="24"/>
        </w:rPr>
      </w:pPr>
      <w:r>
        <w:rPr>
          <w:rFonts w:hint="eastAsia"/>
          <w:sz w:val="24"/>
          <w:szCs w:val="24"/>
        </w:rPr>
        <w:t>质量保证金约定比例：  5  %</w:t>
      </w:r>
    </w:p>
    <w:p>
      <w:pPr>
        <w:bidi w:val="0"/>
        <w:spacing w:line="360" w:lineRule="auto"/>
        <w:rPr>
          <w:rFonts w:hint="eastAsia"/>
          <w:sz w:val="24"/>
          <w:szCs w:val="24"/>
        </w:rPr>
      </w:pPr>
      <w:r>
        <w:rPr>
          <w:rFonts w:hint="eastAsia"/>
          <w:sz w:val="24"/>
          <w:szCs w:val="24"/>
        </w:rPr>
        <w:t>项目竣工验收合格后，施工单位应交付项目单位金额为项目竣工结算金额或评审/审计价款5%的质保金。</w:t>
      </w:r>
    </w:p>
    <w:p>
      <w:pPr>
        <w:bidi w:val="0"/>
        <w:spacing w:line="360" w:lineRule="auto"/>
        <w:rPr>
          <w:rFonts w:hint="eastAsia"/>
          <w:sz w:val="24"/>
          <w:szCs w:val="24"/>
        </w:rPr>
      </w:pPr>
      <w:bookmarkStart w:id="786" w:name="_Toc24043"/>
      <w:bookmarkStart w:id="787" w:name="_BookMark_61"/>
      <w:r>
        <w:rPr>
          <w:rFonts w:hint="eastAsia"/>
          <w:sz w:val="24"/>
          <w:szCs w:val="24"/>
        </w:rPr>
        <w:t>17.5  竣工结算</w:t>
      </w:r>
      <w:bookmarkEnd w:id="779"/>
      <w:bookmarkEnd w:id="780"/>
      <w:bookmarkEnd w:id="781"/>
      <w:bookmarkEnd w:id="782"/>
      <w:bookmarkEnd w:id="783"/>
      <w:bookmarkEnd w:id="784"/>
      <w:bookmarkEnd w:id="785"/>
      <w:bookmarkEnd w:id="786"/>
    </w:p>
    <w:bookmarkEnd w:id="787"/>
    <w:p>
      <w:pPr>
        <w:bidi w:val="0"/>
        <w:spacing w:line="360" w:lineRule="auto"/>
        <w:rPr>
          <w:rFonts w:hint="eastAsia"/>
          <w:sz w:val="24"/>
          <w:szCs w:val="24"/>
        </w:rPr>
      </w:pPr>
      <w:r>
        <w:rPr>
          <w:rFonts w:hint="eastAsia"/>
          <w:sz w:val="24"/>
          <w:szCs w:val="24"/>
        </w:rPr>
        <w:t>17.5.1  竣工付款申请单</w:t>
      </w:r>
    </w:p>
    <w:p>
      <w:pPr>
        <w:bidi w:val="0"/>
        <w:spacing w:line="360" w:lineRule="auto"/>
        <w:rPr>
          <w:rFonts w:hint="eastAsia"/>
          <w:sz w:val="24"/>
          <w:szCs w:val="24"/>
        </w:rPr>
      </w:pPr>
      <w:r>
        <w:rPr>
          <w:rFonts w:hint="eastAsia"/>
          <w:sz w:val="24"/>
          <w:szCs w:val="24"/>
        </w:rPr>
        <w:t>（1）承包人提交竣工付款申请单的份数：    提交5份竣工付款申请单</w:t>
      </w:r>
    </w:p>
    <w:p>
      <w:pPr>
        <w:bidi w:val="0"/>
        <w:spacing w:line="360" w:lineRule="auto"/>
        <w:rPr>
          <w:rFonts w:hint="eastAsia"/>
          <w:sz w:val="24"/>
          <w:szCs w:val="24"/>
        </w:rPr>
      </w:pPr>
      <w:r>
        <w:rPr>
          <w:rFonts w:hint="eastAsia"/>
          <w:sz w:val="24"/>
          <w:szCs w:val="24"/>
        </w:rPr>
        <w:t xml:space="preserve">承包人提交竣工付款申请单的期限：  工程竣工结算审计完成后15天内        </w:t>
      </w:r>
    </w:p>
    <w:p>
      <w:pPr>
        <w:bidi w:val="0"/>
        <w:spacing w:line="360" w:lineRule="auto"/>
        <w:rPr>
          <w:rFonts w:hint="eastAsia"/>
          <w:sz w:val="24"/>
          <w:szCs w:val="24"/>
        </w:rPr>
      </w:pPr>
      <w:r>
        <w:rPr>
          <w:rFonts w:hint="eastAsia"/>
          <w:sz w:val="24"/>
          <w:szCs w:val="24"/>
        </w:rPr>
        <w:t>（2）竣工付款申请单的其他内容：  竣工结算合同价款、已支付的工程价款、应支付的竣工付款金额等。</w:t>
      </w:r>
    </w:p>
    <w:p>
      <w:pPr>
        <w:bidi w:val="0"/>
        <w:spacing w:line="360" w:lineRule="auto"/>
        <w:rPr>
          <w:rFonts w:hint="eastAsia"/>
          <w:sz w:val="24"/>
          <w:szCs w:val="24"/>
        </w:rPr>
      </w:pPr>
      <w:bookmarkStart w:id="788" w:name="_Toc492202904"/>
      <w:bookmarkStart w:id="789" w:name="_Toc485323208"/>
      <w:bookmarkStart w:id="790" w:name="_Toc491149564"/>
      <w:bookmarkStart w:id="791" w:name="_Toc489280240"/>
      <w:bookmarkStart w:id="792" w:name="_Toc23968"/>
      <w:bookmarkStart w:id="793" w:name="_Toc490331725"/>
      <w:bookmarkStart w:id="794" w:name="_Toc486580434"/>
      <w:bookmarkStart w:id="795" w:name="_Toc480303441"/>
      <w:bookmarkStart w:id="796" w:name="_BookMark_62"/>
      <w:r>
        <w:rPr>
          <w:rFonts w:hint="eastAsia"/>
          <w:sz w:val="24"/>
          <w:szCs w:val="24"/>
        </w:rPr>
        <w:t>17.6  最终结清</w:t>
      </w:r>
      <w:bookmarkEnd w:id="788"/>
      <w:bookmarkEnd w:id="789"/>
      <w:bookmarkEnd w:id="790"/>
      <w:bookmarkEnd w:id="791"/>
      <w:bookmarkEnd w:id="792"/>
      <w:bookmarkEnd w:id="793"/>
      <w:bookmarkEnd w:id="794"/>
      <w:bookmarkEnd w:id="795"/>
    </w:p>
    <w:bookmarkEnd w:id="796"/>
    <w:p>
      <w:pPr>
        <w:bidi w:val="0"/>
        <w:spacing w:line="360" w:lineRule="auto"/>
        <w:rPr>
          <w:rFonts w:hint="eastAsia"/>
          <w:sz w:val="24"/>
          <w:szCs w:val="24"/>
        </w:rPr>
      </w:pPr>
      <w:r>
        <w:rPr>
          <w:rFonts w:hint="eastAsia"/>
          <w:sz w:val="24"/>
          <w:szCs w:val="24"/>
        </w:rPr>
        <w:t>17.6.1最终结清申请单</w:t>
      </w:r>
    </w:p>
    <w:p>
      <w:pPr>
        <w:bidi w:val="0"/>
        <w:spacing w:line="360" w:lineRule="auto"/>
        <w:rPr>
          <w:rFonts w:hint="eastAsia"/>
          <w:sz w:val="24"/>
          <w:szCs w:val="24"/>
        </w:rPr>
      </w:pPr>
      <w:r>
        <w:rPr>
          <w:rFonts w:hint="eastAsia"/>
          <w:sz w:val="24"/>
          <w:szCs w:val="24"/>
        </w:rPr>
        <w:t>（1）承包人提交最终结清申请单的份数：提交5份最终结清申请单。</w:t>
      </w:r>
    </w:p>
    <w:p>
      <w:pPr>
        <w:bidi w:val="0"/>
        <w:spacing w:line="360" w:lineRule="auto"/>
        <w:rPr>
          <w:rFonts w:hint="eastAsia"/>
          <w:sz w:val="24"/>
          <w:szCs w:val="24"/>
        </w:rPr>
      </w:pPr>
      <w:r>
        <w:rPr>
          <w:rFonts w:hint="eastAsia"/>
          <w:sz w:val="24"/>
          <w:szCs w:val="24"/>
        </w:rPr>
        <w:t>承包人提交最终结清申请单的期限：  在缺陷责任期终止、工程接收证书颁发后28天内  。</w:t>
      </w:r>
    </w:p>
    <w:p>
      <w:pPr>
        <w:bidi w:val="0"/>
        <w:spacing w:line="360" w:lineRule="auto"/>
        <w:rPr>
          <w:rFonts w:hint="eastAsia"/>
          <w:sz w:val="24"/>
          <w:szCs w:val="24"/>
        </w:rPr>
      </w:pPr>
      <w:r>
        <w:rPr>
          <w:rFonts w:hint="eastAsia"/>
          <w:sz w:val="24"/>
          <w:szCs w:val="24"/>
        </w:rPr>
        <w:t>发包人向承包人  不支付  （支付 / 不支付）质量保证金利息。</w:t>
      </w:r>
      <w:r>
        <w:rPr>
          <w:rFonts w:hint="eastAsia"/>
          <w:sz w:val="24"/>
          <w:szCs w:val="24"/>
        </w:rPr>
        <w:tab/>
      </w:r>
    </w:p>
    <w:p>
      <w:pPr>
        <w:bidi w:val="0"/>
        <w:spacing w:line="360" w:lineRule="auto"/>
        <w:rPr>
          <w:rFonts w:hint="eastAsia"/>
          <w:sz w:val="24"/>
          <w:szCs w:val="24"/>
        </w:rPr>
      </w:pPr>
      <w:r>
        <w:rPr>
          <w:rFonts w:hint="eastAsia"/>
          <w:sz w:val="24"/>
          <w:szCs w:val="24"/>
        </w:rPr>
        <w:t xml:space="preserve">发包人向承包人支付质量保证金利息的，利息计算方法： /  </w:t>
      </w:r>
    </w:p>
    <w:p>
      <w:pPr>
        <w:bidi w:val="0"/>
        <w:spacing w:line="360" w:lineRule="auto"/>
        <w:rPr>
          <w:rFonts w:hint="eastAsia"/>
          <w:sz w:val="24"/>
          <w:szCs w:val="24"/>
        </w:rPr>
      </w:pPr>
      <w:bookmarkStart w:id="797" w:name="_Toc12119"/>
      <w:bookmarkStart w:id="798" w:name="_Toc480303442"/>
      <w:bookmarkStart w:id="799" w:name="_Toc485323209"/>
      <w:bookmarkStart w:id="800" w:name="_Toc492202905"/>
      <w:bookmarkStart w:id="801" w:name="_Toc490331726"/>
      <w:bookmarkStart w:id="802" w:name="_Toc489280241"/>
      <w:bookmarkStart w:id="803" w:name="_Toc491149565"/>
      <w:bookmarkStart w:id="804" w:name="_Toc486580435"/>
      <w:bookmarkStart w:id="805" w:name="_BookMark_63"/>
      <w:r>
        <w:rPr>
          <w:rFonts w:hint="eastAsia"/>
          <w:sz w:val="24"/>
          <w:szCs w:val="24"/>
        </w:rPr>
        <w:t>18.竣工验收</w:t>
      </w:r>
      <w:bookmarkEnd w:id="797"/>
      <w:bookmarkEnd w:id="798"/>
      <w:bookmarkEnd w:id="799"/>
      <w:bookmarkEnd w:id="800"/>
      <w:bookmarkEnd w:id="801"/>
      <w:bookmarkEnd w:id="802"/>
      <w:bookmarkEnd w:id="803"/>
      <w:bookmarkEnd w:id="804"/>
    </w:p>
    <w:bookmarkEnd w:id="805"/>
    <w:p>
      <w:pPr>
        <w:bidi w:val="0"/>
        <w:spacing w:line="360" w:lineRule="auto"/>
        <w:rPr>
          <w:rFonts w:hint="eastAsia"/>
          <w:sz w:val="24"/>
          <w:szCs w:val="24"/>
        </w:rPr>
      </w:pPr>
      <w:bookmarkStart w:id="806" w:name="_Toc486580436"/>
      <w:bookmarkStart w:id="807" w:name="_Toc490331727"/>
      <w:bookmarkStart w:id="808" w:name="_Toc13469"/>
      <w:bookmarkStart w:id="809" w:name="_Toc485323210"/>
      <w:bookmarkStart w:id="810" w:name="_Toc491149566"/>
      <w:bookmarkStart w:id="811" w:name="_Toc489280242"/>
      <w:bookmarkStart w:id="812" w:name="_Toc492202906"/>
      <w:bookmarkStart w:id="813" w:name="_Toc480303443"/>
      <w:bookmarkStart w:id="814" w:name="_BookMark_64"/>
      <w:r>
        <w:rPr>
          <w:rFonts w:hint="eastAsia"/>
          <w:sz w:val="24"/>
          <w:szCs w:val="24"/>
        </w:rPr>
        <w:t>18.2  竣工验收申请报告</w:t>
      </w:r>
      <w:bookmarkEnd w:id="806"/>
      <w:bookmarkEnd w:id="807"/>
      <w:bookmarkEnd w:id="808"/>
      <w:bookmarkEnd w:id="809"/>
      <w:bookmarkEnd w:id="810"/>
      <w:bookmarkEnd w:id="811"/>
      <w:bookmarkEnd w:id="812"/>
      <w:bookmarkEnd w:id="813"/>
    </w:p>
    <w:bookmarkEnd w:id="814"/>
    <w:p>
      <w:pPr>
        <w:bidi w:val="0"/>
        <w:spacing w:line="360" w:lineRule="auto"/>
        <w:rPr>
          <w:rFonts w:hint="eastAsia"/>
          <w:sz w:val="24"/>
          <w:szCs w:val="24"/>
        </w:rPr>
      </w:pPr>
      <w:r>
        <w:rPr>
          <w:rFonts w:hint="eastAsia"/>
          <w:sz w:val="24"/>
          <w:szCs w:val="24"/>
        </w:rPr>
        <w:t>（2）承包人负责整理和提交的竣工验收资料具体内容：竣工图、建设工程竣工验收备案表、工程竣工验收报告、工程质量事故报告书、单位工程质量竣工验收记录、室内环境检测报告、工程竣工报告、工程开工前的原貌和竣工后新貌照片等。</w:t>
      </w:r>
    </w:p>
    <w:p>
      <w:pPr>
        <w:bidi w:val="0"/>
        <w:spacing w:line="360" w:lineRule="auto"/>
        <w:rPr>
          <w:rFonts w:hint="eastAsia"/>
          <w:sz w:val="24"/>
          <w:szCs w:val="24"/>
        </w:rPr>
      </w:pPr>
      <w:r>
        <w:rPr>
          <w:rFonts w:hint="eastAsia"/>
          <w:sz w:val="24"/>
          <w:szCs w:val="24"/>
        </w:rPr>
        <w:t xml:space="preserve">竣工验收资料的份数：三套（费用由承包人承担）和竣工图电子光盘三套  </w:t>
      </w:r>
    </w:p>
    <w:p>
      <w:pPr>
        <w:bidi w:val="0"/>
        <w:spacing w:line="360" w:lineRule="auto"/>
        <w:rPr>
          <w:rFonts w:hint="eastAsia"/>
          <w:sz w:val="24"/>
          <w:szCs w:val="24"/>
        </w:rPr>
      </w:pPr>
      <w:r>
        <w:rPr>
          <w:rFonts w:hint="eastAsia"/>
          <w:sz w:val="24"/>
          <w:szCs w:val="24"/>
        </w:rPr>
        <w:t xml:space="preserve">竣工验收资料的费用支付方式：已含在合同总价中   </w:t>
      </w:r>
    </w:p>
    <w:p>
      <w:pPr>
        <w:bidi w:val="0"/>
        <w:spacing w:line="360" w:lineRule="auto"/>
        <w:rPr>
          <w:rFonts w:hint="eastAsia"/>
          <w:sz w:val="24"/>
          <w:szCs w:val="24"/>
        </w:rPr>
      </w:pPr>
      <w:bookmarkStart w:id="815" w:name="_Toc485323211"/>
      <w:bookmarkStart w:id="816" w:name="_Toc480303444"/>
      <w:bookmarkStart w:id="817" w:name="_Toc491149567"/>
      <w:bookmarkStart w:id="818" w:name="_Toc486580437"/>
      <w:bookmarkStart w:id="819" w:name="_Toc489280243"/>
      <w:bookmarkStart w:id="820" w:name="_Toc11959"/>
      <w:bookmarkStart w:id="821" w:name="_Toc490331728"/>
      <w:bookmarkStart w:id="822" w:name="_Toc492202907"/>
      <w:bookmarkStart w:id="823" w:name="_BookMark_65"/>
      <w:r>
        <w:rPr>
          <w:rFonts w:hint="eastAsia"/>
          <w:sz w:val="24"/>
          <w:szCs w:val="24"/>
        </w:rPr>
        <w:t>18.5  施工期运行</w:t>
      </w:r>
      <w:bookmarkEnd w:id="815"/>
      <w:bookmarkEnd w:id="816"/>
      <w:bookmarkEnd w:id="817"/>
      <w:bookmarkEnd w:id="818"/>
      <w:bookmarkEnd w:id="819"/>
      <w:bookmarkEnd w:id="820"/>
      <w:bookmarkEnd w:id="821"/>
      <w:bookmarkEnd w:id="822"/>
    </w:p>
    <w:bookmarkEnd w:id="823"/>
    <w:p>
      <w:pPr>
        <w:bidi w:val="0"/>
        <w:spacing w:line="360" w:lineRule="auto"/>
        <w:rPr>
          <w:rFonts w:hint="eastAsia"/>
          <w:sz w:val="24"/>
          <w:szCs w:val="24"/>
        </w:rPr>
      </w:pPr>
      <w:r>
        <w:rPr>
          <w:rFonts w:hint="eastAsia"/>
          <w:sz w:val="24"/>
          <w:szCs w:val="24"/>
        </w:rPr>
        <w:t xml:space="preserve">18.5.1  需要施工期运行的单位工程或设备安装工程：  设备、管线安装及单机调试  </w:t>
      </w:r>
    </w:p>
    <w:p>
      <w:pPr>
        <w:bidi w:val="0"/>
        <w:spacing w:line="360" w:lineRule="auto"/>
        <w:rPr>
          <w:rFonts w:hint="eastAsia"/>
          <w:sz w:val="24"/>
          <w:szCs w:val="24"/>
        </w:rPr>
      </w:pPr>
      <w:bookmarkStart w:id="824" w:name="_Toc486580438"/>
      <w:bookmarkStart w:id="825" w:name="_Toc492202908"/>
      <w:bookmarkStart w:id="826" w:name="_Toc485323212"/>
      <w:bookmarkStart w:id="827" w:name="_Toc491149568"/>
      <w:bookmarkStart w:id="828" w:name="_Toc489280244"/>
      <w:bookmarkStart w:id="829" w:name="_Toc480303445"/>
      <w:bookmarkStart w:id="830" w:name="_Toc30489"/>
      <w:bookmarkStart w:id="831" w:name="_Toc490331729"/>
      <w:bookmarkStart w:id="832" w:name="_BookMark_66"/>
      <w:r>
        <w:rPr>
          <w:rFonts w:hint="eastAsia"/>
          <w:sz w:val="24"/>
          <w:szCs w:val="24"/>
        </w:rPr>
        <w:t>18.8  施工队伍的撤离</w:t>
      </w:r>
      <w:bookmarkEnd w:id="824"/>
      <w:bookmarkEnd w:id="825"/>
      <w:bookmarkEnd w:id="826"/>
      <w:bookmarkEnd w:id="827"/>
      <w:bookmarkEnd w:id="828"/>
      <w:bookmarkEnd w:id="829"/>
      <w:bookmarkEnd w:id="830"/>
      <w:bookmarkEnd w:id="831"/>
    </w:p>
    <w:bookmarkEnd w:id="832"/>
    <w:p>
      <w:pPr>
        <w:bidi w:val="0"/>
        <w:spacing w:line="360" w:lineRule="auto"/>
        <w:rPr>
          <w:rFonts w:hint="eastAsia"/>
          <w:sz w:val="24"/>
          <w:szCs w:val="24"/>
        </w:rPr>
      </w:pPr>
      <w:r>
        <w:rPr>
          <w:rFonts w:hint="eastAsia"/>
          <w:sz w:val="24"/>
          <w:szCs w:val="24"/>
        </w:rPr>
        <w:t>18.8.3缺陷责任期满时，承包人在施工场地保留的人员和施工设备最终撤离的期限：</w:t>
      </w:r>
    </w:p>
    <w:p>
      <w:pPr>
        <w:bidi w:val="0"/>
        <w:spacing w:line="360" w:lineRule="auto"/>
        <w:rPr>
          <w:rFonts w:hint="eastAsia"/>
          <w:sz w:val="24"/>
          <w:szCs w:val="24"/>
        </w:rPr>
      </w:pPr>
      <w:r>
        <w:rPr>
          <w:rFonts w:hint="eastAsia"/>
          <w:sz w:val="24"/>
          <w:szCs w:val="24"/>
        </w:rPr>
        <w:t xml:space="preserve">  缺陷责任期满28日内          </w:t>
      </w:r>
    </w:p>
    <w:p>
      <w:pPr>
        <w:bidi w:val="0"/>
        <w:spacing w:line="360" w:lineRule="auto"/>
        <w:rPr>
          <w:rFonts w:hint="eastAsia"/>
          <w:sz w:val="24"/>
          <w:szCs w:val="24"/>
        </w:rPr>
      </w:pPr>
      <w:bookmarkStart w:id="833" w:name="_Toc15504"/>
      <w:bookmarkStart w:id="834" w:name="_Toc480303446"/>
      <w:bookmarkStart w:id="835" w:name="_Toc489280245"/>
      <w:bookmarkStart w:id="836" w:name="_Toc491149569"/>
      <w:bookmarkStart w:id="837" w:name="_Toc492202909"/>
      <w:bookmarkStart w:id="838" w:name="_Toc490331730"/>
      <w:bookmarkStart w:id="839" w:name="_Toc486580439"/>
      <w:bookmarkStart w:id="840" w:name="_Toc485323213"/>
      <w:bookmarkStart w:id="841" w:name="_BookMark_67"/>
      <w:r>
        <w:rPr>
          <w:rFonts w:hint="eastAsia"/>
          <w:sz w:val="24"/>
          <w:szCs w:val="24"/>
        </w:rPr>
        <w:t>18.9  中间验收</w:t>
      </w:r>
      <w:bookmarkEnd w:id="833"/>
      <w:bookmarkEnd w:id="834"/>
      <w:bookmarkEnd w:id="835"/>
      <w:bookmarkEnd w:id="836"/>
      <w:bookmarkEnd w:id="837"/>
      <w:bookmarkEnd w:id="838"/>
      <w:bookmarkEnd w:id="839"/>
      <w:bookmarkEnd w:id="840"/>
    </w:p>
    <w:bookmarkEnd w:id="841"/>
    <w:p>
      <w:pPr>
        <w:bidi w:val="0"/>
        <w:spacing w:line="360" w:lineRule="auto"/>
        <w:rPr>
          <w:rFonts w:hint="eastAsia"/>
          <w:sz w:val="24"/>
          <w:szCs w:val="24"/>
        </w:rPr>
      </w:pPr>
      <w:r>
        <w:rPr>
          <w:rFonts w:hint="eastAsia"/>
          <w:sz w:val="24"/>
          <w:szCs w:val="24"/>
        </w:rPr>
        <w:t xml:space="preserve">18.9.1本工程需要进行中间验收的部位：    /    </w:t>
      </w:r>
    </w:p>
    <w:p>
      <w:pPr>
        <w:bidi w:val="0"/>
        <w:spacing w:line="360" w:lineRule="auto"/>
        <w:rPr>
          <w:rFonts w:hint="eastAsia"/>
          <w:sz w:val="24"/>
          <w:szCs w:val="24"/>
        </w:rPr>
      </w:pPr>
      <w:r>
        <w:rPr>
          <w:rFonts w:hint="eastAsia"/>
          <w:sz w:val="24"/>
          <w:szCs w:val="24"/>
        </w:rPr>
        <w:t>18.9.2验收不合格的，承包人在   发包人规定的   期限内进行修改后重新验收。</w:t>
      </w:r>
    </w:p>
    <w:p>
      <w:pPr>
        <w:bidi w:val="0"/>
        <w:spacing w:line="360" w:lineRule="auto"/>
        <w:rPr>
          <w:rFonts w:hint="eastAsia"/>
          <w:sz w:val="24"/>
          <w:szCs w:val="24"/>
        </w:rPr>
      </w:pPr>
      <w:bookmarkStart w:id="842" w:name="_Toc480303447"/>
      <w:bookmarkStart w:id="843" w:name="_Toc486580440"/>
      <w:bookmarkStart w:id="844" w:name="_Toc492202910"/>
      <w:bookmarkStart w:id="845" w:name="_Toc489280246"/>
      <w:bookmarkStart w:id="846" w:name="_Toc2116"/>
      <w:bookmarkStart w:id="847" w:name="_Toc491149570"/>
      <w:bookmarkStart w:id="848" w:name="_Toc490331731"/>
      <w:bookmarkStart w:id="849" w:name="_Toc485323214"/>
      <w:bookmarkStart w:id="850" w:name="_BookMark_68"/>
      <w:r>
        <w:rPr>
          <w:rFonts w:hint="eastAsia"/>
          <w:sz w:val="24"/>
          <w:szCs w:val="24"/>
        </w:rPr>
        <w:t>19.缺陷责任与保修责任</w:t>
      </w:r>
      <w:bookmarkEnd w:id="842"/>
      <w:bookmarkEnd w:id="843"/>
      <w:bookmarkEnd w:id="844"/>
      <w:bookmarkEnd w:id="845"/>
      <w:bookmarkEnd w:id="846"/>
      <w:bookmarkEnd w:id="847"/>
      <w:bookmarkEnd w:id="848"/>
      <w:bookmarkEnd w:id="849"/>
    </w:p>
    <w:bookmarkEnd w:id="850"/>
    <w:p>
      <w:pPr>
        <w:bidi w:val="0"/>
        <w:spacing w:line="360" w:lineRule="auto"/>
        <w:rPr>
          <w:rFonts w:hint="eastAsia"/>
          <w:sz w:val="24"/>
          <w:szCs w:val="24"/>
        </w:rPr>
      </w:pPr>
      <w:bookmarkStart w:id="851" w:name="_Toc486580441"/>
      <w:bookmarkStart w:id="852" w:name="_Toc489280247"/>
      <w:bookmarkStart w:id="853" w:name="_Toc492202911"/>
      <w:bookmarkStart w:id="854" w:name="_Toc490331732"/>
      <w:bookmarkStart w:id="855" w:name="_Toc491149571"/>
      <w:bookmarkStart w:id="856" w:name="_Toc480303448"/>
      <w:bookmarkStart w:id="857" w:name="_Toc10511"/>
      <w:bookmarkStart w:id="858" w:name="_Toc485323215"/>
      <w:bookmarkStart w:id="859" w:name="_BookMark_69"/>
      <w:r>
        <w:rPr>
          <w:rFonts w:hint="eastAsia"/>
          <w:sz w:val="24"/>
          <w:szCs w:val="24"/>
        </w:rPr>
        <w:t>19.7  保修责任</w:t>
      </w:r>
      <w:bookmarkEnd w:id="851"/>
      <w:bookmarkEnd w:id="852"/>
      <w:bookmarkEnd w:id="853"/>
      <w:bookmarkEnd w:id="854"/>
      <w:bookmarkEnd w:id="855"/>
      <w:bookmarkEnd w:id="856"/>
      <w:bookmarkEnd w:id="857"/>
      <w:bookmarkEnd w:id="858"/>
    </w:p>
    <w:bookmarkEnd w:id="859"/>
    <w:p>
      <w:pPr>
        <w:bidi w:val="0"/>
        <w:spacing w:line="360" w:lineRule="auto"/>
        <w:rPr>
          <w:rFonts w:hint="eastAsia"/>
          <w:sz w:val="24"/>
          <w:szCs w:val="24"/>
        </w:rPr>
      </w:pPr>
      <w:r>
        <w:rPr>
          <w:rFonts w:hint="eastAsia"/>
          <w:sz w:val="24"/>
          <w:szCs w:val="24"/>
        </w:rPr>
        <w:t xml:space="preserve">19.7.1工程质量保修范围：  详见附件七《市政工程质量保修书》  </w:t>
      </w:r>
    </w:p>
    <w:p>
      <w:pPr>
        <w:bidi w:val="0"/>
        <w:spacing w:line="360" w:lineRule="auto"/>
        <w:rPr>
          <w:rFonts w:hint="eastAsia"/>
          <w:sz w:val="24"/>
          <w:szCs w:val="24"/>
        </w:rPr>
      </w:pPr>
      <w:r>
        <w:rPr>
          <w:rFonts w:hint="eastAsia"/>
          <w:sz w:val="24"/>
          <w:szCs w:val="24"/>
        </w:rPr>
        <w:t>工程质量保修期限：  详见附件七《市政工程质量保修书》</w:t>
      </w:r>
    </w:p>
    <w:p>
      <w:pPr>
        <w:bidi w:val="0"/>
        <w:spacing w:line="360" w:lineRule="auto"/>
        <w:rPr>
          <w:rFonts w:hint="eastAsia"/>
          <w:sz w:val="24"/>
          <w:szCs w:val="24"/>
        </w:rPr>
      </w:pPr>
      <w:r>
        <w:rPr>
          <w:rFonts w:hint="eastAsia"/>
          <w:sz w:val="24"/>
          <w:szCs w:val="24"/>
        </w:rPr>
        <w:t xml:space="preserve">工程质量保修责任：  详见附件七《市政工程质量保修书》 </w:t>
      </w:r>
    </w:p>
    <w:p>
      <w:pPr>
        <w:bidi w:val="0"/>
        <w:spacing w:line="360" w:lineRule="auto"/>
        <w:rPr>
          <w:rFonts w:hint="eastAsia"/>
          <w:sz w:val="24"/>
          <w:szCs w:val="24"/>
        </w:rPr>
      </w:pPr>
      <w:bookmarkStart w:id="860" w:name="_Toc491149572"/>
      <w:bookmarkStart w:id="861" w:name="_Toc485323216"/>
      <w:bookmarkStart w:id="862" w:name="_Toc480303449"/>
      <w:bookmarkStart w:id="863" w:name="_Toc489280248"/>
      <w:bookmarkStart w:id="864" w:name="_Toc490331733"/>
      <w:bookmarkStart w:id="865" w:name="_Toc492202912"/>
      <w:bookmarkStart w:id="866" w:name="_Toc29290"/>
      <w:bookmarkStart w:id="867" w:name="_Toc486580442"/>
      <w:bookmarkStart w:id="868" w:name="_BookMark_70"/>
      <w:r>
        <w:rPr>
          <w:rFonts w:hint="eastAsia"/>
          <w:sz w:val="24"/>
          <w:szCs w:val="24"/>
        </w:rPr>
        <w:t>20.保险</w:t>
      </w:r>
      <w:bookmarkEnd w:id="860"/>
      <w:bookmarkEnd w:id="861"/>
      <w:bookmarkEnd w:id="862"/>
      <w:bookmarkEnd w:id="863"/>
      <w:bookmarkEnd w:id="864"/>
      <w:bookmarkEnd w:id="865"/>
      <w:bookmarkEnd w:id="866"/>
      <w:bookmarkEnd w:id="867"/>
    </w:p>
    <w:bookmarkEnd w:id="868"/>
    <w:p>
      <w:pPr>
        <w:bidi w:val="0"/>
        <w:spacing w:line="360" w:lineRule="auto"/>
        <w:rPr>
          <w:rFonts w:hint="eastAsia"/>
          <w:sz w:val="24"/>
          <w:szCs w:val="24"/>
        </w:rPr>
      </w:pPr>
      <w:bookmarkStart w:id="869" w:name="_Toc485323217"/>
      <w:bookmarkStart w:id="870" w:name="_Toc491149573"/>
      <w:bookmarkStart w:id="871" w:name="_Toc11480"/>
      <w:bookmarkStart w:id="872" w:name="_Toc489280249"/>
      <w:bookmarkStart w:id="873" w:name="_Toc486580443"/>
      <w:bookmarkStart w:id="874" w:name="_Toc492202913"/>
      <w:bookmarkStart w:id="875" w:name="_Toc480303450"/>
      <w:bookmarkStart w:id="876" w:name="_Toc490331734"/>
      <w:bookmarkStart w:id="877" w:name="_BookMark_71"/>
      <w:r>
        <w:rPr>
          <w:rFonts w:hint="eastAsia"/>
          <w:sz w:val="24"/>
          <w:szCs w:val="24"/>
        </w:rPr>
        <w:t>20.1  工程保险</w:t>
      </w:r>
      <w:bookmarkEnd w:id="869"/>
      <w:bookmarkEnd w:id="870"/>
      <w:bookmarkEnd w:id="871"/>
      <w:bookmarkEnd w:id="872"/>
      <w:bookmarkEnd w:id="873"/>
      <w:bookmarkEnd w:id="874"/>
      <w:bookmarkEnd w:id="875"/>
      <w:bookmarkEnd w:id="876"/>
    </w:p>
    <w:bookmarkEnd w:id="877"/>
    <w:p>
      <w:pPr>
        <w:bidi w:val="0"/>
        <w:spacing w:line="360" w:lineRule="auto"/>
        <w:rPr>
          <w:rFonts w:hint="eastAsia"/>
          <w:sz w:val="24"/>
          <w:szCs w:val="24"/>
        </w:rPr>
      </w:pPr>
      <w:r>
        <w:rPr>
          <w:rFonts w:hint="eastAsia"/>
          <w:sz w:val="24"/>
          <w:szCs w:val="24"/>
        </w:rPr>
        <w:t>本工程不投保(投保/不投保)工程保险。投保工程保险时，险种为：     /   ，并符合以下约定：</w:t>
      </w:r>
    </w:p>
    <w:p>
      <w:pPr>
        <w:bidi w:val="0"/>
        <w:spacing w:line="360" w:lineRule="auto"/>
        <w:rPr>
          <w:rFonts w:hint="eastAsia"/>
          <w:sz w:val="24"/>
          <w:szCs w:val="24"/>
        </w:rPr>
      </w:pPr>
      <w:r>
        <w:rPr>
          <w:rFonts w:hint="eastAsia"/>
          <w:sz w:val="24"/>
          <w:szCs w:val="24"/>
        </w:rPr>
        <w:t xml:space="preserve">（1）投保人：        /                        </w:t>
      </w:r>
    </w:p>
    <w:p>
      <w:pPr>
        <w:bidi w:val="0"/>
        <w:spacing w:line="360" w:lineRule="auto"/>
        <w:rPr>
          <w:rFonts w:hint="eastAsia"/>
          <w:sz w:val="24"/>
          <w:szCs w:val="24"/>
        </w:rPr>
      </w:pPr>
      <w:r>
        <w:rPr>
          <w:rFonts w:hint="eastAsia"/>
          <w:sz w:val="24"/>
          <w:szCs w:val="24"/>
        </w:rPr>
        <w:t xml:space="preserve">（2）投保内容：   /                    </w:t>
      </w:r>
    </w:p>
    <w:p>
      <w:pPr>
        <w:bidi w:val="0"/>
        <w:spacing w:line="360" w:lineRule="auto"/>
        <w:rPr>
          <w:rFonts w:hint="eastAsia"/>
          <w:sz w:val="24"/>
          <w:szCs w:val="24"/>
        </w:rPr>
      </w:pPr>
      <w:r>
        <w:rPr>
          <w:rFonts w:hint="eastAsia"/>
          <w:sz w:val="24"/>
          <w:szCs w:val="24"/>
        </w:rPr>
        <w:t>（3）保险费率：由投保人与合同双方同意的保险人商定。</w:t>
      </w:r>
    </w:p>
    <w:p>
      <w:pPr>
        <w:bidi w:val="0"/>
        <w:spacing w:line="360" w:lineRule="auto"/>
        <w:rPr>
          <w:rFonts w:hint="eastAsia"/>
          <w:sz w:val="24"/>
          <w:szCs w:val="24"/>
        </w:rPr>
      </w:pPr>
      <w:r>
        <w:rPr>
          <w:rFonts w:hint="eastAsia"/>
          <w:sz w:val="24"/>
          <w:szCs w:val="24"/>
        </w:rPr>
        <w:t xml:space="preserve">（4）保险金额：    /                          </w:t>
      </w:r>
    </w:p>
    <w:p>
      <w:pPr>
        <w:bidi w:val="0"/>
        <w:spacing w:line="360" w:lineRule="auto"/>
        <w:rPr>
          <w:rFonts w:hint="eastAsia"/>
          <w:sz w:val="24"/>
          <w:szCs w:val="24"/>
        </w:rPr>
      </w:pPr>
      <w:r>
        <w:rPr>
          <w:rFonts w:hint="eastAsia"/>
          <w:sz w:val="24"/>
          <w:szCs w:val="24"/>
        </w:rPr>
        <w:t xml:space="preserve">（5）保险期限：     /                                </w:t>
      </w:r>
    </w:p>
    <w:p>
      <w:pPr>
        <w:bidi w:val="0"/>
        <w:spacing w:line="360" w:lineRule="auto"/>
        <w:rPr>
          <w:rFonts w:hint="eastAsia"/>
          <w:sz w:val="24"/>
          <w:szCs w:val="24"/>
        </w:rPr>
      </w:pPr>
      <w:bookmarkStart w:id="878" w:name="_Toc491149574"/>
      <w:bookmarkStart w:id="879" w:name="_Toc11518"/>
      <w:bookmarkStart w:id="880" w:name="_Toc485323218"/>
      <w:bookmarkStart w:id="881" w:name="_Toc489280250"/>
      <w:bookmarkStart w:id="882" w:name="_Toc490331735"/>
      <w:bookmarkStart w:id="883" w:name="_Toc492202914"/>
      <w:bookmarkStart w:id="884" w:name="_Toc486580444"/>
      <w:bookmarkStart w:id="885" w:name="_Toc480303451"/>
      <w:bookmarkStart w:id="886" w:name="_BookMark_72"/>
      <w:r>
        <w:rPr>
          <w:rFonts w:hint="eastAsia"/>
          <w:sz w:val="24"/>
          <w:szCs w:val="24"/>
        </w:rPr>
        <w:t>20.4  第三者责任险</w:t>
      </w:r>
      <w:bookmarkEnd w:id="878"/>
      <w:bookmarkEnd w:id="879"/>
      <w:bookmarkEnd w:id="880"/>
      <w:bookmarkEnd w:id="881"/>
      <w:bookmarkEnd w:id="882"/>
      <w:bookmarkEnd w:id="883"/>
      <w:bookmarkEnd w:id="884"/>
      <w:bookmarkEnd w:id="885"/>
    </w:p>
    <w:bookmarkEnd w:id="886"/>
    <w:p>
      <w:pPr>
        <w:bidi w:val="0"/>
        <w:spacing w:line="360" w:lineRule="auto"/>
        <w:rPr>
          <w:rFonts w:hint="eastAsia"/>
          <w:sz w:val="24"/>
          <w:szCs w:val="24"/>
        </w:rPr>
      </w:pPr>
      <w:r>
        <w:rPr>
          <w:rFonts w:hint="eastAsia"/>
          <w:sz w:val="24"/>
          <w:szCs w:val="24"/>
        </w:rPr>
        <w:t xml:space="preserve">20.4.2  保险金额：由双方商定  ，保险费率由承包人与发包人同意的保险人商定，相关保险费由 承包人 承担。                               </w:t>
      </w:r>
    </w:p>
    <w:p>
      <w:pPr>
        <w:bidi w:val="0"/>
        <w:spacing w:line="360" w:lineRule="auto"/>
        <w:rPr>
          <w:rFonts w:hint="eastAsia"/>
          <w:sz w:val="24"/>
          <w:szCs w:val="24"/>
        </w:rPr>
      </w:pPr>
      <w:bookmarkStart w:id="887" w:name="_Toc485323219"/>
      <w:bookmarkStart w:id="888" w:name="_Toc489280251"/>
      <w:bookmarkStart w:id="889" w:name="_Toc486580445"/>
      <w:bookmarkStart w:id="890" w:name="_Toc492202915"/>
      <w:bookmarkStart w:id="891" w:name="_Toc491149575"/>
      <w:bookmarkStart w:id="892" w:name="_Toc480303452"/>
      <w:bookmarkStart w:id="893" w:name="_Toc490331736"/>
      <w:bookmarkStart w:id="894" w:name="_Toc1389"/>
      <w:bookmarkStart w:id="895" w:name="_BookMark_73"/>
      <w:r>
        <w:rPr>
          <w:rFonts w:hint="eastAsia"/>
          <w:sz w:val="24"/>
          <w:szCs w:val="24"/>
        </w:rPr>
        <w:t>20.5  其他保险</w:t>
      </w:r>
      <w:bookmarkEnd w:id="887"/>
      <w:bookmarkEnd w:id="888"/>
      <w:bookmarkEnd w:id="889"/>
      <w:bookmarkEnd w:id="890"/>
      <w:bookmarkEnd w:id="891"/>
      <w:bookmarkEnd w:id="892"/>
      <w:bookmarkEnd w:id="893"/>
      <w:bookmarkEnd w:id="894"/>
    </w:p>
    <w:bookmarkEnd w:id="895"/>
    <w:p>
      <w:pPr>
        <w:bidi w:val="0"/>
        <w:spacing w:line="360" w:lineRule="auto"/>
        <w:rPr>
          <w:rFonts w:hint="eastAsia"/>
          <w:sz w:val="24"/>
          <w:szCs w:val="24"/>
        </w:rPr>
      </w:pPr>
      <w:r>
        <w:rPr>
          <w:rFonts w:hint="eastAsia"/>
          <w:sz w:val="24"/>
          <w:szCs w:val="24"/>
        </w:rPr>
        <w:t xml:space="preserve">承包人应为其施工设备、进场材料和工程设备等办理的保险：    /            </w:t>
      </w:r>
    </w:p>
    <w:p>
      <w:pPr>
        <w:bidi w:val="0"/>
        <w:spacing w:line="360" w:lineRule="auto"/>
        <w:rPr>
          <w:rFonts w:hint="eastAsia"/>
          <w:sz w:val="24"/>
          <w:szCs w:val="24"/>
        </w:rPr>
      </w:pPr>
      <w:bookmarkStart w:id="896" w:name="_Toc492202916"/>
      <w:bookmarkStart w:id="897" w:name="_Toc31728"/>
      <w:bookmarkStart w:id="898" w:name="_Toc490331737"/>
      <w:bookmarkStart w:id="899" w:name="_Toc486580446"/>
      <w:bookmarkStart w:id="900" w:name="_Toc485323220"/>
      <w:bookmarkStart w:id="901" w:name="_Toc491149576"/>
      <w:bookmarkStart w:id="902" w:name="_Toc489280252"/>
      <w:bookmarkStart w:id="903" w:name="_Toc480303453"/>
      <w:bookmarkStart w:id="904" w:name="_BookMark_74"/>
      <w:r>
        <w:rPr>
          <w:rFonts w:hint="eastAsia"/>
          <w:sz w:val="24"/>
          <w:szCs w:val="24"/>
        </w:rPr>
        <w:t>20.6  对各项保险的一般要求</w:t>
      </w:r>
      <w:bookmarkEnd w:id="896"/>
      <w:bookmarkEnd w:id="897"/>
      <w:bookmarkEnd w:id="898"/>
      <w:bookmarkEnd w:id="899"/>
      <w:bookmarkEnd w:id="900"/>
      <w:bookmarkEnd w:id="901"/>
      <w:bookmarkEnd w:id="902"/>
      <w:bookmarkEnd w:id="903"/>
    </w:p>
    <w:bookmarkEnd w:id="904"/>
    <w:p>
      <w:pPr>
        <w:bidi w:val="0"/>
        <w:spacing w:line="360" w:lineRule="auto"/>
        <w:rPr>
          <w:rFonts w:hint="eastAsia"/>
          <w:sz w:val="24"/>
          <w:szCs w:val="24"/>
        </w:rPr>
      </w:pPr>
      <w:r>
        <w:rPr>
          <w:rFonts w:hint="eastAsia"/>
          <w:sz w:val="24"/>
          <w:szCs w:val="24"/>
        </w:rPr>
        <w:t>20.6.1  保险凭证</w:t>
      </w:r>
    </w:p>
    <w:p>
      <w:pPr>
        <w:bidi w:val="0"/>
        <w:spacing w:line="360" w:lineRule="auto"/>
        <w:rPr>
          <w:rFonts w:hint="eastAsia"/>
          <w:sz w:val="24"/>
          <w:szCs w:val="24"/>
        </w:rPr>
      </w:pPr>
      <w:r>
        <w:rPr>
          <w:rFonts w:hint="eastAsia"/>
          <w:sz w:val="24"/>
          <w:szCs w:val="24"/>
        </w:rPr>
        <w:t xml:space="preserve">承包人向发包人提交各项保险生效的证据和保险单副本的期限：  开工后1个月内    </w:t>
      </w:r>
    </w:p>
    <w:p>
      <w:pPr>
        <w:bidi w:val="0"/>
        <w:spacing w:line="360" w:lineRule="auto"/>
        <w:rPr>
          <w:rFonts w:hint="eastAsia"/>
          <w:sz w:val="24"/>
          <w:szCs w:val="24"/>
        </w:rPr>
      </w:pPr>
      <w:r>
        <w:rPr>
          <w:rFonts w:hint="eastAsia"/>
          <w:sz w:val="24"/>
          <w:szCs w:val="24"/>
        </w:rPr>
        <w:t>20.6.4  保险金不足的补偿</w:t>
      </w:r>
    </w:p>
    <w:p>
      <w:pPr>
        <w:bidi w:val="0"/>
        <w:spacing w:line="360" w:lineRule="auto"/>
        <w:rPr>
          <w:rFonts w:hint="eastAsia"/>
          <w:sz w:val="24"/>
          <w:szCs w:val="24"/>
        </w:rPr>
      </w:pPr>
      <w:r>
        <w:rPr>
          <w:rFonts w:hint="eastAsia"/>
          <w:sz w:val="24"/>
          <w:szCs w:val="24"/>
        </w:rPr>
        <w:t xml:space="preserve">保险金不足以补偿损失时，承包人和发包人负责补偿的责任分摊：  由承包人自行承担          </w:t>
      </w:r>
    </w:p>
    <w:p>
      <w:pPr>
        <w:bidi w:val="0"/>
        <w:spacing w:line="360" w:lineRule="auto"/>
        <w:rPr>
          <w:rFonts w:hint="eastAsia"/>
          <w:sz w:val="24"/>
          <w:szCs w:val="24"/>
        </w:rPr>
      </w:pPr>
      <w:bookmarkStart w:id="905" w:name="_Toc491149577"/>
      <w:bookmarkStart w:id="906" w:name="_Toc489280253"/>
      <w:bookmarkStart w:id="907" w:name="_Toc486580447"/>
      <w:bookmarkStart w:id="908" w:name="_Toc14757"/>
      <w:bookmarkStart w:id="909" w:name="_Toc480303454"/>
      <w:bookmarkStart w:id="910" w:name="_Toc485323221"/>
      <w:bookmarkStart w:id="911" w:name="_Toc492202917"/>
      <w:bookmarkStart w:id="912" w:name="_Toc490331738"/>
      <w:bookmarkStart w:id="913" w:name="_BookMark_75"/>
      <w:r>
        <w:rPr>
          <w:rFonts w:hint="eastAsia"/>
          <w:sz w:val="24"/>
          <w:szCs w:val="24"/>
        </w:rPr>
        <w:t>21.不可抗力</w:t>
      </w:r>
      <w:bookmarkEnd w:id="905"/>
      <w:bookmarkEnd w:id="906"/>
      <w:bookmarkEnd w:id="907"/>
      <w:bookmarkEnd w:id="908"/>
      <w:bookmarkEnd w:id="909"/>
      <w:bookmarkEnd w:id="910"/>
      <w:bookmarkEnd w:id="911"/>
      <w:bookmarkEnd w:id="912"/>
    </w:p>
    <w:bookmarkEnd w:id="913"/>
    <w:p>
      <w:pPr>
        <w:bidi w:val="0"/>
        <w:spacing w:line="360" w:lineRule="auto"/>
        <w:rPr>
          <w:rFonts w:hint="eastAsia"/>
          <w:sz w:val="24"/>
          <w:szCs w:val="24"/>
        </w:rPr>
      </w:pPr>
      <w:bookmarkStart w:id="914" w:name="_Toc480303455"/>
      <w:bookmarkStart w:id="915" w:name="_Toc491149578"/>
      <w:bookmarkStart w:id="916" w:name="_Toc489280254"/>
      <w:bookmarkStart w:id="917" w:name="_Toc492202918"/>
      <w:bookmarkStart w:id="918" w:name="_Toc31419"/>
      <w:bookmarkStart w:id="919" w:name="_Toc485323222"/>
      <w:bookmarkStart w:id="920" w:name="_Toc490331739"/>
      <w:bookmarkStart w:id="921" w:name="_Toc486580448"/>
      <w:bookmarkStart w:id="922" w:name="_BookMark_76"/>
      <w:r>
        <w:rPr>
          <w:rFonts w:hint="eastAsia"/>
          <w:sz w:val="24"/>
          <w:szCs w:val="24"/>
        </w:rPr>
        <w:t>21.1  不可抗力的确认</w:t>
      </w:r>
      <w:bookmarkEnd w:id="914"/>
      <w:bookmarkEnd w:id="915"/>
      <w:bookmarkEnd w:id="916"/>
      <w:bookmarkEnd w:id="917"/>
      <w:bookmarkEnd w:id="918"/>
      <w:bookmarkEnd w:id="919"/>
      <w:bookmarkEnd w:id="920"/>
      <w:bookmarkEnd w:id="921"/>
    </w:p>
    <w:bookmarkEnd w:id="922"/>
    <w:p>
      <w:pPr>
        <w:bidi w:val="0"/>
        <w:spacing w:line="360" w:lineRule="auto"/>
        <w:rPr>
          <w:rFonts w:hint="eastAsia"/>
          <w:sz w:val="24"/>
          <w:szCs w:val="24"/>
        </w:rPr>
      </w:pPr>
      <w:r>
        <w:rPr>
          <w:rFonts w:hint="eastAsia"/>
          <w:sz w:val="24"/>
          <w:szCs w:val="24"/>
        </w:rPr>
        <w:t xml:space="preserve">21.1.1  合同条款通用部分第21.1.1项约定的不可抗力以外的其他情形：  (1) 因战争、动乱、空中飞行物体坠落或其他非发包人承包人责任造成的爆炸、火灾；(2) 风、雨、雪、洪等造成的自然灾害界定位为： (3) 地震造成的自然灾害界定为：主体结构为设计抗震等级以上，其余为地震烈度7度及以上。   </w:t>
      </w:r>
    </w:p>
    <w:p>
      <w:pPr>
        <w:bidi w:val="0"/>
        <w:spacing w:line="360" w:lineRule="auto"/>
        <w:rPr>
          <w:rFonts w:hint="eastAsia"/>
          <w:sz w:val="24"/>
          <w:szCs w:val="24"/>
        </w:rPr>
      </w:pPr>
      <w:r>
        <w:rPr>
          <w:rFonts w:hint="eastAsia"/>
          <w:sz w:val="24"/>
          <w:szCs w:val="24"/>
        </w:rPr>
        <w:t xml:space="preserve">不可抗力的等级范围约定：  雨量20年及以上一遇，以当地气象部门分布的相关证明文件为准。主体结构为设计抗震等级以上，其余为地震烈度7度及以上。 </w:t>
      </w:r>
    </w:p>
    <w:p>
      <w:pPr>
        <w:bidi w:val="0"/>
        <w:spacing w:line="360" w:lineRule="auto"/>
        <w:rPr>
          <w:rFonts w:hint="eastAsia"/>
          <w:sz w:val="24"/>
          <w:szCs w:val="24"/>
        </w:rPr>
      </w:pPr>
      <w:bookmarkStart w:id="923" w:name="_Toc485323224"/>
      <w:bookmarkStart w:id="924" w:name="_Toc490331741"/>
      <w:bookmarkStart w:id="925" w:name="_Toc489280256"/>
      <w:bookmarkStart w:id="926" w:name="_Toc492202919"/>
      <w:bookmarkStart w:id="927" w:name="_Toc28429"/>
      <w:bookmarkStart w:id="928" w:name="_Toc480303457"/>
      <w:bookmarkStart w:id="929" w:name="_Toc486580450"/>
      <w:bookmarkStart w:id="930" w:name="_Toc491149580"/>
      <w:bookmarkStart w:id="931" w:name="_BookMark_77"/>
      <w:r>
        <w:rPr>
          <w:rFonts w:hint="eastAsia"/>
          <w:sz w:val="24"/>
          <w:szCs w:val="24"/>
        </w:rPr>
        <w:t>24.争议的解决</w:t>
      </w:r>
      <w:bookmarkEnd w:id="923"/>
      <w:bookmarkEnd w:id="924"/>
      <w:bookmarkEnd w:id="925"/>
      <w:bookmarkEnd w:id="926"/>
      <w:bookmarkEnd w:id="927"/>
      <w:bookmarkEnd w:id="928"/>
      <w:bookmarkEnd w:id="929"/>
      <w:bookmarkEnd w:id="930"/>
    </w:p>
    <w:bookmarkEnd w:id="931"/>
    <w:p>
      <w:pPr>
        <w:bidi w:val="0"/>
        <w:spacing w:line="360" w:lineRule="auto"/>
        <w:rPr>
          <w:rFonts w:hint="eastAsia"/>
          <w:sz w:val="24"/>
          <w:szCs w:val="24"/>
        </w:rPr>
      </w:pPr>
      <w:bookmarkStart w:id="932" w:name="_Toc490331742"/>
      <w:bookmarkStart w:id="933" w:name="_Toc492202920"/>
      <w:bookmarkStart w:id="934" w:name="_Toc491149581"/>
      <w:bookmarkStart w:id="935" w:name="_Toc14537"/>
      <w:bookmarkStart w:id="936" w:name="_Toc480303458"/>
      <w:bookmarkStart w:id="937" w:name="_Toc485323225"/>
      <w:bookmarkStart w:id="938" w:name="_Toc486580451"/>
      <w:bookmarkStart w:id="939" w:name="_Toc489280257"/>
      <w:bookmarkStart w:id="940" w:name="_BookMark_78"/>
      <w:r>
        <w:rPr>
          <w:rFonts w:hint="eastAsia"/>
          <w:sz w:val="24"/>
          <w:szCs w:val="24"/>
        </w:rPr>
        <w:t>24.1  争议的解决方式</w:t>
      </w:r>
      <w:bookmarkEnd w:id="932"/>
      <w:bookmarkEnd w:id="933"/>
      <w:bookmarkEnd w:id="934"/>
      <w:bookmarkEnd w:id="935"/>
      <w:bookmarkEnd w:id="936"/>
      <w:bookmarkEnd w:id="937"/>
      <w:bookmarkEnd w:id="938"/>
      <w:bookmarkEnd w:id="939"/>
    </w:p>
    <w:bookmarkEnd w:id="940"/>
    <w:p>
      <w:pPr>
        <w:bidi w:val="0"/>
        <w:spacing w:line="360" w:lineRule="auto"/>
        <w:rPr>
          <w:rFonts w:hint="eastAsia"/>
          <w:sz w:val="24"/>
          <w:szCs w:val="24"/>
        </w:rPr>
      </w:pPr>
      <w:r>
        <w:rPr>
          <w:rFonts w:hint="eastAsia"/>
          <w:sz w:val="24"/>
          <w:szCs w:val="24"/>
        </w:rPr>
        <w:t>因本合同引起的或与本合同有关的任何争议，合同双方友好协商不成、不愿提请争议组评审或者不愿接受争议评审组意见的，选择下列第   （贰）   种方式解决：</w:t>
      </w:r>
    </w:p>
    <w:p>
      <w:pPr>
        <w:bidi w:val="0"/>
        <w:spacing w:line="360" w:lineRule="auto"/>
        <w:rPr>
          <w:rFonts w:hint="eastAsia"/>
          <w:sz w:val="24"/>
          <w:szCs w:val="24"/>
        </w:rPr>
      </w:pPr>
      <w:r>
        <w:rPr>
          <w:rFonts w:hint="eastAsia"/>
          <w:sz w:val="24"/>
          <w:szCs w:val="24"/>
        </w:rPr>
        <w:t>（壹）提请   北京   仲裁委员会按照该会仲裁规则进行仲裁，仲裁裁决是终局的，对合同双方均有约束力。</w:t>
      </w:r>
    </w:p>
    <w:p>
      <w:pPr>
        <w:bidi w:val="0"/>
        <w:spacing w:line="360" w:lineRule="auto"/>
        <w:rPr>
          <w:rFonts w:hint="eastAsia"/>
          <w:sz w:val="24"/>
          <w:szCs w:val="24"/>
        </w:rPr>
      </w:pPr>
      <w:r>
        <w:rPr>
          <w:rFonts w:hint="eastAsia"/>
          <w:sz w:val="24"/>
          <w:szCs w:val="24"/>
        </w:rPr>
        <w:t>（贰）向有管辖权的人民法院提起诉讼。</w:t>
      </w:r>
    </w:p>
    <w:p>
      <w:pPr>
        <w:bidi w:val="0"/>
        <w:spacing w:line="360" w:lineRule="auto"/>
        <w:rPr>
          <w:rFonts w:hint="eastAsia"/>
          <w:sz w:val="24"/>
          <w:szCs w:val="24"/>
        </w:rPr>
      </w:pPr>
      <w:bookmarkStart w:id="941" w:name="_Toc492202921"/>
      <w:bookmarkStart w:id="942" w:name="_Toc490331743"/>
      <w:bookmarkStart w:id="943" w:name="_Toc480303459"/>
      <w:bookmarkStart w:id="944" w:name="_Toc489280258"/>
      <w:bookmarkStart w:id="945" w:name="_Toc491149582"/>
      <w:bookmarkStart w:id="946" w:name="_Toc485323226"/>
      <w:bookmarkStart w:id="947" w:name="_Toc16173"/>
      <w:bookmarkStart w:id="948" w:name="_Toc486580452"/>
      <w:bookmarkStart w:id="949" w:name="_BookMark_79"/>
      <w:r>
        <w:rPr>
          <w:rFonts w:hint="eastAsia"/>
          <w:sz w:val="24"/>
          <w:szCs w:val="24"/>
        </w:rPr>
        <w:t>24.3  争议评审</w:t>
      </w:r>
      <w:bookmarkEnd w:id="941"/>
      <w:bookmarkEnd w:id="942"/>
      <w:bookmarkEnd w:id="943"/>
      <w:bookmarkEnd w:id="944"/>
      <w:bookmarkEnd w:id="945"/>
      <w:bookmarkEnd w:id="946"/>
      <w:bookmarkEnd w:id="947"/>
      <w:bookmarkEnd w:id="948"/>
    </w:p>
    <w:bookmarkEnd w:id="949"/>
    <w:p>
      <w:pPr>
        <w:bidi w:val="0"/>
        <w:spacing w:line="360" w:lineRule="auto"/>
        <w:rPr>
          <w:rFonts w:hint="eastAsia"/>
          <w:sz w:val="24"/>
          <w:szCs w:val="24"/>
        </w:rPr>
      </w:pPr>
      <w:r>
        <w:rPr>
          <w:rFonts w:hint="eastAsia"/>
          <w:sz w:val="24"/>
          <w:szCs w:val="24"/>
        </w:rPr>
        <w:t>24.3.4  争议评审组邀请合同双方代表人和有关人员举行调查会的期限：</w:t>
      </w:r>
      <w:r>
        <w:rPr>
          <w:rFonts w:hint="eastAsia"/>
          <w:sz w:val="24"/>
          <w:szCs w:val="24"/>
          <w:lang w:val="zh-CN"/>
        </w:rPr>
        <w:t>争议评审组在收到合同双方报告后的14天内</w:t>
      </w:r>
      <w:r>
        <w:rPr>
          <w:rFonts w:hint="eastAsia"/>
          <w:sz w:val="24"/>
          <w:szCs w:val="24"/>
        </w:rPr>
        <w:t xml:space="preserve">。 </w:t>
      </w:r>
    </w:p>
    <w:p>
      <w:pPr>
        <w:bidi w:val="0"/>
        <w:spacing w:line="360" w:lineRule="auto"/>
        <w:rPr>
          <w:rFonts w:hint="eastAsia"/>
          <w:sz w:val="24"/>
          <w:szCs w:val="24"/>
        </w:rPr>
      </w:pPr>
      <w:r>
        <w:rPr>
          <w:rFonts w:hint="eastAsia"/>
          <w:sz w:val="24"/>
          <w:szCs w:val="24"/>
        </w:rPr>
        <w:t xml:space="preserve">24.3.5  争议评审组在调查会后作出争议评审意见的期限：  </w:t>
      </w:r>
      <w:r>
        <w:rPr>
          <w:rFonts w:hint="eastAsia"/>
          <w:sz w:val="24"/>
          <w:szCs w:val="24"/>
          <w:lang w:val="zh-CN"/>
        </w:rPr>
        <w:t>在调查会结束后的14天内</w:t>
      </w:r>
      <w:r>
        <w:rPr>
          <w:rFonts w:hint="eastAsia"/>
          <w:sz w:val="24"/>
          <w:szCs w:val="24"/>
        </w:rPr>
        <w:t>。</w:t>
      </w:r>
    </w:p>
    <w:p>
      <w:pPr>
        <w:bidi w:val="0"/>
        <w:spacing w:line="360" w:lineRule="auto"/>
        <w:rPr>
          <w:rFonts w:hint="eastAsia"/>
          <w:sz w:val="24"/>
          <w:szCs w:val="24"/>
        </w:rPr>
      </w:pPr>
      <w:bookmarkStart w:id="950" w:name="_Toc14887"/>
      <w:bookmarkStart w:id="951" w:name="_Toc451292346"/>
      <w:bookmarkStart w:id="952" w:name="_Toc472200123"/>
      <w:r>
        <w:rPr>
          <w:rFonts w:hint="eastAsia"/>
          <w:sz w:val="24"/>
          <w:szCs w:val="24"/>
        </w:rPr>
        <w:t>合同补充条款</w:t>
      </w:r>
      <w:bookmarkEnd w:id="950"/>
      <w:bookmarkEnd w:id="951"/>
      <w:bookmarkEnd w:id="952"/>
    </w:p>
    <w:p>
      <w:pPr>
        <w:bidi w:val="0"/>
        <w:spacing w:line="360" w:lineRule="auto"/>
        <w:rPr>
          <w:rFonts w:hint="eastAsia"/>
          <w:sz w:val="24"/>
          <w:szCs w:val="24"/>
        </w:rPr>
      </w:pPr>
      <w:r>
        <w:rPr>
          <w:rFonts w:hint="eastAsia"/>
          <w:sz w:val="24"/>
          <w:szCs w:val="24"/>
        </w:rPr>
        <w:t>1、合同附件中需包含暂估价的专业分包工程及其暂估价、暂估价的材料和工程设备、施工总承包范围内的其他拟分包情况、需具备工程建设类执业资格和持证上岗的人员情况及合同履约施工现在备查材料清单。</w:t>
      </w:r>
    </w:p>
    <w:p>
      <w:pPr>
        <w:bidi w:val="0"/>
        <w:spacing w:line="360" w:lineRule="auto"/>
        <w:rPr>
          <w:rFonts w:hint="eastAsia"/>
          <w:sz w:val="24"/>
          <w:szCs w:val="24"/>
        </w:rPr>
      </w:pPr>
      <w:r>
        <w:rPr>
          <w:rFonts w:hint="eastAsia"/>
          <w:sz w:val="24"/>
          <w:szCs w:val="24"/>
        </w:rPr>
        <w:t>2、本项目为政府投资的建设项目，建设项目已纳入审计项目计划，中标单位应当配合、接受审计，审计结论作为双方工程结算的依据。</w:t>
      </w:r>
    </w:p>
    <w:p>
      <w:pPr>
        <w:bidi w:val="0"/>
        <w:spacing w:line="360" w:lineRule="auto"/>
        <w:rPr>
          <w:rFonts w:hint="eastAsia"/>
          <w:sz w:val="24"/>
          <w:szCs w:val="24"/>
        </w:rPr>
      </w:pPr>
      <w:r>
        <w:rPr>
          <w:rFonts w:hint="eastAsia"/>
          <w:sz w:val="24"/>
          <w:szCs w:val="24"/>
        </w:rPr>
        <w:t>3、承包人不得以任何理由拖欠农民工资，必须按时、足额发放农民工工资,并在银行开立工资保证金专用账户，存储工资保证金。</w:t>
      </w:r>
    </w:p>
    <w:p>
      <w:pPr>
        <w:bidi w:val="0"/>
        <w:spacing w:line="360" w:lineRule="auto"/>
        <w:rPr>
          <w:rFonts w:hint="eastAsia"/>
          <w:sz w:val="24"/>
          <w:szCs w:val="24"/>
        </w:rPr>
      </w:pPr>
      <w:r>
        <w:rPr>
          <w:rFonts w:hint="eastAsia"/>
          <w:sz w:val="24"/>
          <w:szCs w:val="24"/>
        </w:rPr>
        <w:t>4、支付延期免责。本工程系政府投资项目，若因政府资金未拨付到位，发包人未能及时向承包人支付工程款，承包人免于向发包人追究违约责任，并按原计划继续施工，直到工程竣工验收。本合同所有关于发包人逾期付款的违约责任对双方不适用。</w:t>
      </w:r>
    </w:p>
    <w:p>
      <w:pPr>
        <w:bidi w:val="0"/>
        <w:spacing w:line="360" w:lineRule="auto"/>
        <w:rPr>
          <w:rFonts w:hint="eastAsia"/>
          <w:sz w:val="24"/>
          <w:szCs w:val="24"/>
        </w:rPr>
      </w:pPr>
      <w:r>
        <w:rPr>
          <w:rFonts w:hint="eastAsia"/>
          <w:sz w:val="24"/>
          <w:szCs w:val="24"/>
        </w:rPr>
        <w:t>5、如因发包人或政策等原因，本合同履行完毕前，确需提前解除或终止，双方确认发包人无需承担违约责任和其他法律责任，原则上双方按乙方已完成的合格实际工程量结算，并遵从财政资金付款评审要求。</w:t>
      </w:r>
    </w:p>
    <w:p>
      <w:pPr>
        <w:bidi w:val="0"/>
        <w:spacing w:line="360" w:lineRule="auto"/>
        <w:rPr>
          <w:rFonts w:hint="eastAsia"/>
          <w:sz w:val="24"/>
          <w:szCs w:val="24"/>
        </w:rPr>
      </w:pPr>
      <w:r>
        <w:rPr>
          <w:rFonts w:hint="eastAsia"/>
          <w:sz w:val="24"/>
          <w:szCs w:val="24"/>
        </w:rPr>
        <w:t>6、承包人应确保工程质量和产品质量符合验收合格标准，如不符合合格标准，承包人应按发包人要求采取有效的补救措施，并使之验收合格。如承包人采取补救措施后验收仍不合格，承包人应承担合同总价款10%的违约金，发包人还有权解除合同。如发包人解除合同，承包人应按发包人要求期限向发包人退还未合格工程及产品对应的已收款，并支付合同总价款10%的违约金，如违约金不足以弥补发包人因此所造成的损失，承包人应向发包人另行承担超出违约金外的损失，损失范围包括但不限于发包人另行委托他方增加的成本，延误完工导致的收入损失，维权发生的律师费、公证费、诉讼费、担保费等。</w:t>
      </w:r>
    </w:p>
    <w:p>
      <w:pPr>
        <w:bidi w:val="0"/>
        <w:spacing w:line="360" w:lineRule="auto"/>
        <w:rPr>
          <w:rFonts w:hint="eastAsia"/>
          <w:sz w:val="24"/>
          <w:szCs w:val="24"/>
        </w:rPr>
      </w:pPr>
      <w:r>
        <w:rPr>
          <w:rFonts w:hint="eastAsia"/>
          <w:sz w:val="24"/>
          <w:szCs w:val="24"/>
        </w:rPr>
        <w:t>7、 如因承包人原因，工程超过【5】天仍未竣工，发包人有权解除合同。如发包人解除合同，承包人承担的违约责任同6中约定的违约责任。</w:t>
      </w:r>
    </w:p>
    <w:p>
      <w:pPr>
        <w:bidi w:val="0"/>
        <w:spacing w:line="360" w:lineRule="auto"/>
        <w:rPr>
          <w:rFonts w:hint="eastAsia"/>
          <w:sz w:val="24"/>
          <w:szCs w:val="24"/>
        </w:rPr>
      </w:pPr>
      <w:r>
        <w:rPr>
          <w:rFonts w:hint="eastAsia"/>
          <w:sz w:val="24"/>
          <w:szCs w:val="24"/>
        </w:rPr>
        <w:t>8、通用条款和专用条款等所有文件中，针对发包人及监理人的全部默示不作为内容，即发包人或监理人未在约定期限内回复、确认、验收、签字、认可，亦未提出异议，即默示发包人或监理人对此无异议或认可的内容对发包人及监理人不适用。双方同意将所有的发包人、监理人默示不作为条款变更为：如果发包人、监理人未在约定期限内回复、确认、验收、签字、认可，亦未提出异议，承包人应在原约定期满后3日内向发包人、监理人发出书面通知，要求其在收到通知后3日内回复，并指明是根据合同的哪条哪款，以及不回复或不提异议的法律后果，只有在发包人、监理人收到书面通知3日内未回复亦未提出异议，才可被视为发包人、监理人对此无异议。</w:t>
      </w:r>
    </w:p>
    <w:p>
      <w:pPr>
        <w:bidi w:val="0"/>
        <w:spacing w:line="360" w:lineRule="auto"/>
        <w:rPr>
          <w:rFonts w:hint="eastAsia"/>
          <w:sz w:val="24"/>
          <w:szCs w:val="24"/>
        </w:rPr>
        <w:sectPr>
          <w:footerReference r:id="rId8" w:type="first"/>
          <w:footerReference r:id="rId7" w:type="default"/>
          <w:pgSz w:w="11906" w:h="16838"/>
          <w:pgMar w:top="1440" w:right="1797" w:bottom="1440" w:left="1797" w:header="851" w:footer="992" w:gutter="0"/>
          <w:cols w:space="720" w:num="1"/>
          <w:docGrid w:linePitch="312" w:charSpace="0"/>
        </w:sectPr>
      </w:pPr>
      <w:r>
        <w:rPr>
          <w:rFonts w:hint="eastAsia"/>
          <w:sz w:val="24"/>
          <w:szCs w:val="24"/>
        </w:rPr>
        <w:t>9、本补充条款与专用条款、通用条款不一致之处，以本补充条款为准。</w:t>
      </w:r>
    </w:p>
    <w:p>
      <w:pPr>
        <w:pStyle w:val="3"/>
        <w:bidi w:val="0"/>
      </w:pPr>
      <w:bookmarkStart w:id="953" w:name="_Toc19099"/>
      <w:r>
        <w:rPr>
          <w:rFonts w:hint="eastAsia"/>
          <w:lang w:eastAsia="zh-CN"/>
        </w:rPr>
        <w:t>第三章</w:t>
      </w:r>
      <w:r>
        <w:rPr>
          <w:rFonts w:hint="eastAsia"/>
          <w:lang w:val="en-US" w:eastAsia="zh-CN"/>
        </w:rPr>
        <w:t xml:space="preserve"> </w:t>
      </w:r>
      <w:r>
        <w:rPr>
          <w:rFonts w:hint="eastAsia"/>
        </w:rPr>
        <w:t>合同协议书</w:t>
      </w:r>
      <w:bookmarkEnd w:id="953"/>
    </w:p>
    <w:p>
      <w:pPr>
        <w:pStyle w:val="217"/>
        <w:spacing w:line="420" w:lineRule="auto"/>
        <w:rPr>
          <w:rFonts w:ascii="宋体" w:hAnsi="宋体"/>
          <w:color w:val="000000"/>
          <w:szCs w:val="21"/>
        </w:rPr>
      </w:pPr>
      <w:r>
        <w:rPr>
          <w:rFonts w:hint="eastAsia" w:ascii="宋体" w:hAnsi="宋体"/>
          <w:color w:val="000000"/>
          <w:szCs w:val="21"/>
        </w:rPr>
        <w:t xml:space="preserve">                                                    编号：</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420" w:lineRule="auto"/>
        <w:rPr>
          <w:rFonts w:ascii="宋体" w:hAnsi="宋体" w:cs="Arial"/>
          <w:color w:val="000000"/>
          <w:szCs w:val="21"/>
        </w:rPr>
      </w:pPr>
      <w:r>
        <w:rPr>
          <w:rFonts w:ascii="宋体" w:hAnsi="宋体" w:cs="Arial"/>
          <w:color w:val="000000"/>
          <w:szCs w:val="21"/>
        </w:rPr>
        <w:t>发包人</w:t>
      </w:r>
      <w:r>
        <w:rPr>
          <w:rFonts w:hint="eastAsia" w:ascii="宋体" w:hAnsi="宋体" w:cs="Arial"/>
          <w:color w:val="000000"/>
          <w:szCs w:val="21"/>
        </w:rPr>
        <w:t>（全称）</w:t>
      </w:r>
      <w:r>
        <w:rPr>
          <w:rFonts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u w:val="single"/>
        </w:rPr>
        <w:t xml:space="preserve">北京市门头沟区清水镇人民政府        </w:t>
      </w:r>
      <w:r>
        <w:rPr>
          <w:rFonts w:ascii="宋体" w:hAnsi="宋体" w:cs="Arial"/>
          <w:color w:val="000000"/>
          <w:szCs w:val="21"/>
          <w:u w:val="single"/>
        </w:rPr>
        <w:t xml:space="preserve">   </w:t>
      </w:r>
    </w:p>
    <w:p>
      <w:pPr>
        <w:spacing w:line="420" w:lineRule="auto"/>
        <w:rPr>
          <w:rFonts w:ascii="宋体" w:hAnsi="宋体"/>
          <w:color w:val="000000"/>
          <w:szCs w:val="21"/>
        </w:rPr>
      </w:pPr>
      <w:r>
        <w:rPr>
          <w:rFonts w:hint="eastAsia" w:ascii="宋体" w:hAnsi="宋体"/>
          <w:color w:val="000000"/>
          <w:szCs w:val="21"/>
        </w:rPr>
        <w:t>法</w:t>
      </w:r>
      <w:r>
        <w:rPr>
          <w:rFonts w:hint="eastAsia" w:ascii="宋体" w:hAnsi="宋体"/>
          <w:color w:val="000000"/>
          <w:sz w:val="18"/>
          <w:szCs w:val="21"/>
        </w:rPr>
        <w:t xml:space="preserve"> </w:t>
      </w:r>
      <w:r>
        <w:rPr>
          <w:rFonts w:hint="eastAsia" w:ascii="宋体" w:hAnsi="宋体"/>
          <w:color w:val="000000"/>
          <w:szCs w:val="21"/>
        </w:rPr>
        <w:t>定</w:t>
      </w:r>
      <w:r>
        <w:rPr>
          <w:rFonts w:hint="eastAsia" w:ascii="宋体" w:hAnsi="宋体"/>
          <w:color w:val="000000"/>
          <w:sz w:val="13"/>
          <w:szCs w:val="21"/>
        </w:rPr>
        <w:t xml:space="preserve"> </w:t>
      </w:r>
      <w:r>
        <w:rPr>
          <w:rFonts w:hint="eastAsia" w:ascii="宋体" w:hAnsi="宋体"/>
          <w:color w:val="000000"/>
          <w:szCs w:val="21"/>
        </w:rPr>
        <w:t>代</w:t>
      </w:r>
      <w:r>
        <w:rPr>
          <w:rFonts w:hint="eastAsia" w:ascii="宋体" w:hAnsi="宋体"/>
          <w:color w:val="000000"/>
          <w:sz w:val="13"/>
          <w:szCs w:val="21"/>
        </w:rPr>
        <w:t xml:space="preserve"> </w:t>
      </w:r>
      <w:r>
        <w:rPr>
          <w:rFonts w:hint="eastAsia" w:ascii="宋体" w:hAnsi="宋体"/>
          <w:color w:val="000000"/>
          <w:szCs w:val="21"/>
        </w:rPr>
        <w:t>表</w:t>
      </w:r>
      <w:r>
        <w:rPr>
          <w:rFonts w:hint="eastAsia" w:ascii="宋体" w:hAnsi="宋体"/>
          <w:color w:val="000000"/>
          <w:sz w:val="13"/>
          <w:szCs w:val="21"/>
        </w:rPr>
        <w:t xml:space="preserve"> </w:t>
      </w:r>
      <w:r>
        <w:rPr>
          <w:rFonts w:hint="eastAsia" w:ascii="宋体" w:hAnsi="宋体"/>
          <w:color w:val="000000"/>
          <w:szCs w:val="21"/>
        </w:rPr>
        <w:t>人：</w:t>
      </w:r>
      <w:r>
        <w:rPr>
          <w:rFonts w:ascii="宋体" w:hAnsi="宋体" w:cs="Arial"/>
          <w:color w:val="000000"/>
          <w:szCs w:val="21"/>
          <w:u w:val="single"/>
        </w:rPr>
        <w:t xml:space="preserve">  </w:t>
      </w:r>
      <w:r>
        <w:rPr>
          <w:rFonts w:hint="eastAsia" w:ascii="宋体" w:hAnsi="宋体" w:cs="Arial"/>
          <w:color w:val="000000"/>
          <w:szCs w:val="21"/>
          <w:u w:val="single"/>
          <w:lang w:eastAsia="zh-CN"/>
        </w:rPr>
        <w:t>杨雪飞</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20" w:lineRule="auto"/>
        <w:rPr>
          <w:rFonts w:ascii="宋体" w:hAnsi="宋体"/>
          <w:color w:val="000000"/>
          <w:szCs w:val="21"/>
          <w:u w:val="single"/>
        </w:rPr>
      </w:pPr>
      <w:r>
        <w:rPr>
          <w:rFonts w:hint="eastAsia" w:ascii="宋体" w:hAnsi="宋体"/>
          <w:color w:val="000000"/>
          <w:szCs w:val="21"/>
        </w:rPr>
        <w:t>法定注册地址：</w:t>
      </w:r>
      <w:r>
        <w:rPr>
          <w:rFonts w:hint="eastAsia" w:ascii="宋体" w:hAnsi="宋体"/>
          <w:color w:val="000000"/>
          <w:szCs w:val="21"/>
          <w:u w:val="single"/>
        </w:rPr>
        <w:t xml:space="preserve">  北京市门头沟区清水镇上清水村河西60号   </w:t>
      </w:r>
    </w:p>
    <w:p>
      <w:pPr>
        <w:spacing w:line="420" w:lineRule="auto"/>
        <w:rPr>
          <w:rFonts w:ascii="宋体" w:hAnsi="宋体"/>
          <w:color w:val="000000"/>
          <w:szCs w:val="21"/>
        </w:rPr>
      </w:pPr>
      <w:r>
        <w:rPr>
          <w:rFonts w:hint="eastAsia" w:ascii="宋体" w:hAnsi="宋体"/>
          <w:color w:val="000000"/>
          <w:szCs w:val="21"/>
        </w:rPr>
        <w:t>承包人（全称）：</w:t>
      </w:r>
      <w:r>
        <w:rPr>
          <w:rFonts w:hint="eastAsia" w:ascii="宋体" w:hAnsi="宋体"/>
          <w:color w:val="000000"/>
          <w:szCs w:val="21"/>
          <w:u w:val="single"/>
        </w:rPr>
        <w:t xml:space="preserve"> 北京玉河源水务建设有限公司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420" w:lineRule="auto"/>
        <w:rPr>
          <w:rFonts w:ascii="宋体" w:hAnsi="宋体"/>
          <w:color w:val="000000"/>
          <w:szCs w:val="21"/>
        </w:rPr>
      </w:pPr>
      <w:r>
        <w:rPr>
          <w:rFonts w:hint="eastAsia" w:ascii="宋体" w:hAnsi="宋体"/>
          <w:color w:val="000000"/>
          <w:szCs w:val="21"/>
        </w:rPr>
        <w:t>法</w:t>
      </w:r>
      <w:r>
        <w:rPr>
          <w:rFonts w:hint="eastAsia" w:ascii="宋体" w:hAnsi="宋体"/>
          <w:color w:val="000000"/>
          <w:sz w:val="18"/>
          <w:szCs w:val="21"/>
        </w:rPr>
        <w:t xml:space="preserve"> </w:t>
      </w:r>
      <w:r>
        <w:rPr>
          <w:rFonts w:hint="eastAsia" w:ascii="宋体" w:hAnsi="宋体"/>
          <w:color w:val="000000"/>
          <w:szCs w:val="21"/>
        </w:rPr>
        <w:t>定</w:t>
      </w:r>
      <w:r>
        <w:rPr>
          <w:rFonts w:hint="eastAsia" w:ascii="宋体" w:hAnsi="宋体"/>
          <w:color w:val="000000"/>
          <w:sz w:val="13"/>
          <w:szCs w:val="21"/>
        </w:rPr>
        <w:t xml:space="preserve"> </w:t>
      </w:r>
      <w:r>
        <w:rPr>
          <w:rFonts w:hint="eastAsia" w:ascii="宋体" w:hAnsi="宋体"/>
          <w:color w:val="000000"/>
          <w:szCs w:val="21"/>
        </w:rPr>
        <w:t>代</w:t>
      </w:r>
      <w:r>
        <w:rPr>
          <w:rFonts w:hint="eastAsia" w:ascii="宋体" w:hAnsi="宋体"/>
          <w:color w:val="000000"/>
          <w:sz w:val="13"/>
          <w:szCs w:val="21"/>
        </w:rPr>
        <w:t xml:space="preserve"> </w:t>
      </w:r>
      <w:r>
        <w:rPr>
          <w:rFonts w:hint="eastAsia" w:ascii="宋体" w:hAnsi="宋体"/>
          <w:color w:val="000000"/>
          <w:szCs w:val="21"/>
        </w:rPr>
        <w:t>表</w:t>
      </w:r>
      <w:r>
        <w:rPr>
          <w:rFonts w:hint="eastAsia" w:ascii="宋体" w:hAnsi="宋体"/>
          <w:color w:val="000000"/>
          <w:sz w:val="13"/>
          <w:szCs w:val="21"/>
        </w:rPr>
        <w:t xml:space="preserve"> </w:t>
      </w:r>
      <w:r>
        <w:rPr>
          <w:rFonts w:hint="eastAsia" w:ascii="宋体" w:hAnsi="宋体"/>
          <w:color w:val="000000"/>
          <w:szCs w:val="21"/>
        </w:rPr>
        <w:t>人：</w:t>
      </w:r>
      <w:r>
        <w:rPr>
          <w:rFonts w:ascii="宋体" w:hAnsi="宋体" w:cs="Arial"/>
          <w:color w:val="000000"/>
          <w:szCs w:val="21"/>
          <w:u w:val="single"/>
        </w:rPr>
        <w:t xml:space="preserve"> </w:t>
      </w:r>
      <w:r>
        <w:rPr>
          <w:rFonts w:hint="eastAsia" w:ascii="宋体" w:hAnsi="宋体" w:cs="Arial"/>
          <w:color w:val="000000"/>
          <w:szCs w:val="21"/>
          <w:u w:val="single"/>
          <w:lang w:eastAsia="zh-CN"/>
        </w:rPr>
        <w:t>安国志</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20" w:lineRule="auto"/>
        <w:rPr>
          <w:rFonts w:ascii="宋体" w:hAnsi="宋体"/>
          <w:b/>
          <w:color w:val="000000"/>
        </w:rPr>
      </w:pPr>
      <w:r>
        <w:rPr>
          <w:rFonts w:hint="eastAsia" w:ascii="宋体" w:hAnsi="宋体"/>
          <w:color w:val="000000"/>
          <w:szCs w:val="21"/>
        </w:rPr>
        <w:t>法定注册地址</w:t>
      </w:r>
      <w:r>
        <w:rPr>
          <w:rFonts w:hint="eastAsia" w:ascii="宋体" w:hAnsi="宋体"/>
          <w:b/>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lang w:eastAsia="zh-CN"/>
        </w:rPr>
        <w:t>北京市门头沟区色树坟粮库</w:t>
      </w:r>
      <w:r>
        <w:rPr>
          <w:rFonts w:hint="eastAsia" w:ascii="宋体" w:hAnsi="宋体"/>
          <w:color w:val="000000"/>
          <w:szCs w:val="21"/>
          <w:u w:val="single"/>
          <w:lang w:val="en-US" w:eastAsia="zh-CN"/>
        </w:rPr>
        <w:t>4号</w:t>
      </w:r>
      <w:r>
        <w:rPr>
          <w:rFonts w:hint="eastAsia" w:ascii="宋体" w:hAnsi="宋体"/>
          <w:color w:val="000000"/>
          <w:szCs w:val="21"/>
          <w:u w:val="single"/>
        </w:rPr>
        <w:t xml:space="preserve">            </w:t>
      </w:r>
    </w:p>
    <w:p>
      <w:pPr>
        <w:spacing w:line="420" w:lineRule="auto"/>
        <w:ind w:firstLine="490"/>
        <w:rPr>
          <w:rFonts w:ascii="宋体" w:hAnsi="宋体"/>
          <w:color w:val="000000"/>
        </w:rPr>
      </w:pPr>
    </w:p>
    <w:p>
      <w:pPr>
        <w:spacing w:line="420" w:lineRule="auto"/>
        <w:ind w:firstLine="420" w:firstLineChars="200"/>
        <w:rPr>
          <w:rFonts w:ascii="宋体" w:hAnsi="宋体"/>
          <w:color w:val="000000"/>
        </w:rPr>
      </w:pPr>
      <w:r>
        <w:rPr>
          <w:rFonts w:hint="eastAsia" w:ascii="宋体" w:hAnsi="宋体"/>
          <w:color w:val="000000"/>
          <w:szCs w:val="21"/>
        </w:rPr>
        <w:t>发包人为建设</w:t>
      </w:r>
      <w:r>
        <w:rPr>
          <w:rFonts w:hint="eastAsia" w:ascii="宋体" w:hAnsi="宋体"/>
          <w:color w:val="000000"/>
          <w:u w:val="single"/>
        </w:rPr>
        <w:t xml:space="preserve"> 门头沟区村庄水土保持及安全防护设施修复项目清水镇黄塔村 </w:t>
      </w:r>
      <w:r>
        <w:rPr>
          <w:rFonts w:hint="eastAsia" w:ascii="宋体" w:hAnsi="宋体"/>
          <w:color w:val="000000"/>
          <w:szCs w:val="21"/>
        </w:rPr>
        <w:t>（以下简称“本工程”），已接受承包人提出的承担本工程的施工、竣工、交付并维修其任何缺陷的投标。</w:t>
      </w:r>
      <w:r>
        <w:rPr>
          <w:rFonts w:hint="eastAsia" w:ascii="宋体" w:hAnsi="宋体"/>
          <w:color w:val="000000"/>
        </w:rPr>
        <w:t>依照《中华人民共和国招标投标法》、《中华人民共和国民法典》、《中华人民共和国建筑法》、及其他有关法律、行政法规，遵循平等、自愿、公平和诚实信用的原则，双方共同达成并订立如下协议。</w:t>
      </w:r>
    </w:p>
    <w:p>
      <w:pPr>
        <w:spacing w:line="420" w:lineRule="auto"/>
        <w:ind w:firstLine="420" w:firstLineChars="200"/>
        <w:rPr>
          <w:rFonts w:ascii="宋体" w:hAnsi="宋体"/>
          <w:color w:val="000000"/>
        </w:rPr>
      </w:pPr>
      <w:bookmarkStart w:id="954" w:name="_Toc479505734"/>
      <w:bookmarkStart w:id="955" w:name="_Toc480303461"/>
      <w:r>
        <w:rPr>
          <w:rFonts w:hint="eastAsia" w:ascii="宋体" w:hAnsi="宋体"/>
          <w:color w:val="000000"/>
        </w:rPr>
        <w:t>一、工程概况</w:t>
      </w:r>
      <w:bookmarkEnd w:id="954"/>
      <w:bookmarkEnd w:id="955"/>
    </w:p>
    <w:p>
      <w:pPr>
        <w:spacing w:line="420" w:lineRule="auto"/>
        <w:ind w:firstLine="420" w:firstLineChars="200"/>
        <w:rPr>
          <w:rFonts w:ascii="宋体" w:hAnsi="宋体"/>
          <w:color w:val="000000"/>
          <w:u w:val="single"/>
        </w:rPr>
      </w:pPr>
      <w:r>
        <w:rPr>
          <w:rFonts w:hint="eastAsia" w:ascii="宋体" w:hAnsi="宋体"/>
          <w:color w:val="000000"/>
        </w:rPr>
        <w:t>工程名称：</w:t>
      </w:r>
      <w:r>
        <w:rPr>
          <w:rFonts w:hint="eastAsia" w:ascii="宋体" w:hAnsi="宋体"/>
          <w:color w:val="000000"/>
          <w:u w:val="single"/>
        </w:rPr>
        <w:t xml:space="preserve">  门头沟区村庄水土保持及安全防护设施修复项目清水镇黄塔村         </w:t>
      </w:r>
    </w:p>
    <w:p>
      <w:pPr>
        <w:spacing w:line="420" w:lineRule="auto"/>
        <w:ind w:firstLine="420" w:firstLineChars="200"/>
        <w:rPr>
          <w:rFonts w:ascii="宋体" w:hAnsi="宋体"/>
          <w:color w:val="000000"/>
          <w:u w:val="single"/>
        </w:rPr>
      </w:pPr>
      <w:r>
        <w:rPr>
          <w:rFonts w:hint="eastAsia" w:ascii="宋体" w:hAnsi="宋体"/>
          <w:color w:val="000000"/>
        </w:rPr>
        <w:t>工程地点：</w:t>
      </w:r>
      <w:r>
        <w:rPr>
          <w:rFonts w:hint="eastAsia" w:ascii="宋体" w:hAnsi="宋体"/>
          <w:color w:val="000000"/>
          <w:u w:val="single"/>
        </w:rPr>
        <w:t xml:space="preserve">   </w:t>
      </w:r>
      <w:r>
        <w:rPr>
          <w:rFonts w:hint="eastAsia" w:ascii="宋体" w:hAnsi="宋体"/>
          <w:color w:val="000000"/>
          <w:u w:val="single"/>
          <w:lang w:eastAsia="zh-CN"/>
        </w:rPr>
        <w:t>门头沟区清水镇黄塔村</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pPr>
        <w:spacing w:line="420" w:lineRule="auto"/>
        <w:ind w:firstLine="420" w:firstLineChars="200"/>
        <w:rPr>
          <w:rFonts w:ascii="宋体" w:hAnsi="宋体"/>
          <w:color w:val="000000"/>
          <w:u w:val="single"/>
        </w:rPr>
      </w:pPr>
      <w:r>
        <w:rPr>
          <w:rFonts w:hint="eastAsia" w:ascii="宋体" w:hAnsi="宋体"/>
          <w:color w:val="000000"/>
        </w:rPr>
        <w:t>工程内容：</w:t>
      </w:r>
      <w:r>
        <w:rPr>
          <w:rFonts w:hint="eastAsia" w:ascii="宋体" w:hAnsi="宋体"/>
          <w:color w:val="000000"/>
          <w:u w:val="single"/>
        </w:rPr>
        <w:t xml:space="preserve">  门头沟区村庄水土保持及安全防护设施修复项目清水镇黄塔村图纸、工程量清单及相关文件所示全部内容。  </w:t>
      </w:r>
    </w:p>
    <w:p>
      <w:pPr>
        <w:spacing w:line="420" w:lineRule="auto"/>
        <w:ind w:firstLine="420" w:firstLineChars="200"/>
        <w:rPr>
          <w:rFonts w:ascii="宋体" w:hAnsi="宋体"/>
          <w:color w:val="000000"/>
          <w:u w:val="single"/>
        </w:rPr>
      </w:pPr>
      <w:r>
        <w:rPr>
          <w:rFonts w:hint="eastAsia" w:ascii="宋体" w:hAnsi="宋体"/>
          <w:color w:val="000000"/>
        </w:rPr>
        <w:t>工程立项批准文号：</w:t>
      </w:r>
      <w:r>
        <w:rPr>
          <w:rFonts w:hint="eastAsia" w:ascii="宋体" w:hAnsi="宋体"/>
          <w:color w:val="000000"/>
          <w:u w:val="single"/>
        </w:rPr>
        <w:t xml:space="preserve">         </w:t>
      </w:r>
      <w:r>
        <w:rPr>
          <w:rFonts w:hint="eastAsia" w:ascii="宋体" w:hAnsi="宋体"/>
          <w:color w:val="000000"/>
          <w:u w:val="single"/>
          <w:lang w:val="en-US" w:eastAsia="zh-CN"/>
        </w:rPr>
        <w:t>/</w:t>
      </w:r>
      <w:r>
        <w:rPr>
          <w:rFonts w:hint="eastAsia" w:ascii="宋体" w:hAnsi="宋体"/>
          <w:color w:val="000000"/>
          <w:u w:val="single"/>
        </w:rPr>
        <w:t xml:space="preserve">                </w:t>
      </w:r>
      <w:r>
        <w:rPr>
          <w:rFonts w:ascii="宋体" w:hAnsi="宋体"/>
          <w:color w:val="000000"/>
          <w:u w:val="single"/>
        </w:rPr>
        <w:t xml:space="preserve">                    </w:t>
      </w:r>
    </w:p>
    <w:p>
      <w:pPr>
        <w:spacing w:line="420" w:lineRule="auto"/>
        <w:ind w:firstLine="420" w:firstLineChars="200"/>
        <w:rPr>
          <w:rFonts w:ascii="宋体" w:hAnsi="宋体"/>
          <w:color w:val="000000"/>
          <w:u w:val="single"/>
        </w:rPr>
      </w:pPr>
      <w:r>
        <w:rPr>
          <w:rFonts w:hint="eastAsia" w:ascii="宋体" w:hAnsi="宋体"/>
          <w:color w:val="000000"/>
        </w:rPr>
        <w:t>资金来源：</w:t>
      </w:r>
      <w:r>
        <w:rPr>
          <w:rFonts w:hint="eastAsia" w:ascii="宋体" w:hAnsi="宋体"/>
          <w:color w:val="000000"/>
          <w:u w:val="single"/>
        </w:rPr>
        <w:t xml:space="preserve">    </w:t>
      </w:r>
      <w:r>
        <w:rPr>
          <w:rFonts w:hint="eastAsia" w:ascii="宋体" w:hAnsi="宋体"/>
          <w:color w:val="000000"/>
          <w:u w:val="single"/>
          <w:lang w:eastAsia="zh-CN"/>
        </w:rPr>
        <w:t>财政资金</w:t>
      </w:r>
      <w:r>
        <w:rPr>
          <w:rFonts w:hint="eastAsia" w:ascii="宋体" w:hAnsi="宋体"/>
          <w:color w:val="000000"/>
          <w:u w:val="single"/>
        </w:rPr>
        <w:t xml:space="preserve">                    </w:t>
      </w:r>
      <w:r>
        <w:rPr>
          <w:rFonts w:ascii="宋体" w:hAnsi="宋体"/>
          <w:color w:val="000000"/>
          <w:u w:val="single"/>
        </w:rPr>
        <w:t xml:space="preserve">                     </w:t>
      </w:r>
    </w:p>
    <w:p>
      <w:pPr>
        <w:spacing w:line="420" w:lineRule="auto"/>
        <w:ind w:firstLine="420" w:firstLineChars="200"/>
        <w:rPr>
          <w:rFonts w:ascii="宋体" w:hAnsi="宋体"/>
          <w:color w:val="000000"/>
        </w:rPr>
      </w:pPr>
      <w:bookmarkStart w:id="956" w:name="_Toc480303462"/>
      <w:bookmarkStart w:id="957" w:name="_Toc479505735"/>
      <w:r>
        <w:rPr>
          <w:rFonts w:hint="eastAsia" w:ascii="宋体" w:hAnsi="宋体"/>
          <w:color w:val="000000"/>
        </w:rPr>
        <w:t>二、工程承包范围</w:t>
      </w:r>
      <w:bookmarkEnd w:id="956"/>
      <w:bookmarkEnd w:id="957"/>
    </w:p>
    <w:p>
      <w:pPr>
        <w:spacing w:line="420" w:lineRule="auto"/>
        <w:ind w:firstLine="420" w:firstLineChars="200"/>
        <w:rPr>
          <w:rFonts w:ascii="宋体" w:hAnsi="宋体"/>
          <w:color w:val="000000"/>
        </w:rPr>
      </w:pPr>
      <w:r>
        <w:rPr>
          <w:rFonts w:hint="eastAsia" w:ascii="宋体" w:hAnsi="宋体"/>
          <w:color w:val="000000"/>
        </w:rPr>
        <w:t>承包范围：</w:t>
      </w:r>
      <w:r>
        <w:rPr>
          <w:rFonts w:hint="eastAsia" w:ascii="宋体" w:hAnsi="宋体"/>
          <w:color w:val="000000"/>
          <w:u w:val="single"/>
        </w:rPr>
        <w:t xml:space="preserve">  门头沟区村庄水土保持及安全防护设施修复项目清水镇黄塔村图纸、工程量清单及相关文件所示全部内容。 </w:t>
      </w:r>
    </w:p>
    <w:p>
      <w:pPr>
        <w:spacing w:line="420" w:lineRule="auto"/>
        <w:ind w:firstLine="420" w:firstLineChars="200"/>
        <w:rPr>
          <w:rFonts w:ascii="宋体" w:hAnsi="宋体"/>
          <w:b/>
          <w:color w:val="000000"/>
          <w:u w:val="single"/>
        </w:rPr>
      </w:pPr>
      <w:r>
        <w:rPr>
          <w:rFonts w:hint="eastAsia" w:ascii="宋体" w:hAnsi="宋体"/>
          <w:color w:val="000000"/>
        </w:rPr>
        <w:t>详细承包范围见</w:t>
      </w:r>
      <w:r>
        <w:rPr>
          <w:rFonts w:hint="eastAsia" w:ascii="宋体" w:hAnsi="宋体"/>
          <w:color w:val="000000"/>
          <w:lang w:eastAsia="zh-CN"/>
        </w:rPr>
        <w:t>招标文件</w:t>
      </w:r>
      <w:r>
        <w:rPr>
          <w:rFonts w:hint="eastAsia" w:ascii="宋体" w:hAnsi="宋体"/>
          <w:color w:val="000000"/>
        </w:rPr>
        <w:t>第五章“技术标准和要求”。</w:t>
      </w:r>
    </w:p>
    <w:p>
      <w:pPr>
        <w:spacing w:line="420" w:lineRule="auto"/>
        <w:ind w:firstLine="420" w:firstLineChars="200"/>
        <w:rPr>
          <w:rFonts w:ascii="宋体" w:hAnsi="宋体"/>
          <w:color w:val="000000"/>
        </w:rPr>
      </w:pPr>
      <w:bookmarkStart w:id="958" w:name="_Toc479505736"/>
      <w:bookmarkStart w:id="959" w:name="_Toc480303463"/>
      <w:r>
        <w:rPr>
          <w:rFonts w:hint="eastAsia" w:ascii="宋体" w:hAnsi="宋体"/>
          <w:color w:val="000000"/>
        </w:rPr>
        <w:t>三、合同工期</w:t>
      </w:r>
      <w:bookmarkEnd w:id="958"/>
      <w:bookmarkEnd w:id="959"/>
    </w:p>
    <w:p>
      <w:pPr>
        <w:spacing w:line="420" w:lineRule="auto"/>
        <w:ind w:firstLine="420" w:firstLineChars="200"/>
        <w:rPr>
          <w:rFonts w:ascii="宋体" w:hAnsi="宋体"/>
          <w:color w:val="000000"/>
          <w:u w:val="single"/>
        </w:rPr>
      </w:pPr>
      <w:r>
        <w:rPr>
          <w:rFonts w:hint="eastAsia" w:ascii="宋体" w:hAnsi="宋体"/>
          <w:color w:val="000000"/>
        </w:rPr>
        <w:t>计划开工日期：</w:t>
      </w:r>
      <w:r>
        <w:rPr>
          <w:rFonts w:hint="eastAsia" w:ascii="宋体" w:hAnsi="宋体"/>
          <w:color w:val="000000"/>
          <w:u w:val="single"/>
        </w:rPr>
        <w:t xml:space="preserve"> </w:t>
      </w:r>
      <w:r>
        <w:rPr>
          <w:rFonts w:hint="eastAsia" w:ascii="宋体" w:hAnsi="宋体"/>
          <w:color w:val="000000"/>
          <w:u w:val="single"/>
          <w:lang w:val="en-US" w:eastAsia="zh-CN"/>
        </w:rPr>
        <w:t xml:space="preserve">2022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07</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22</w:t>
      </w:r>
      <w:r>
        <w:rPr>
          <w:rFonts w:hint="eastAsia" w:ascii="宋体" w:hAnsi="宋体"/>
          <w:color w:val="000000"/>
          <w:u w:val="single"/>
        </w:rPr>
        <w:t xml:space="preserve">  </w:t>
      </w:r>
      <w:r>
        <w:rPr>
          <w:rFonts w:hint="eastAsia" w:ascii="宋体" w:hAnsi="宋体"/>
          <w:color w:val="000000"/>
        </w:rPr>
        <w:t>日</w:t>
      </w:r>
    </w:p>
    <w:p>
      <w:pPr>
        <w:spacing w:line="420" w:lineRule="auto"/>
        <w:ind w:firstLine="420" w:firstLineChars="200"/>
        <w:rPr>
          <w:rFonts w:ascii="宋体" w:hAnsi="宋体"/>
          <w:color w:val="000000"/>
          <w:u w:val="single"/>
        </w:rPr>
      </w:pPr>
      <w:r>
        <w:rPr>
          <w:rFonts w:hint="eastAsia" w:ascii="宋体" w:hAnsi="宋体"/>
          <w:color w:val="000000"/>
        </w:rPr>
        <w:t>计划竣工日期：</w:t>
      </w:r>
      <w:r>
        <w:rPr>
          <w:rFonts w:hint="eastAsia" w:ascii="宋体" w:hAnsi="宋体"/>
          <w:color w:val="000000"/>
          <w:u w:val="single"/>
        </w:rPr>
        <w:t xml:space="preserve"> </w:t>
      </w:r>
      <w:r>
        <w:rPr>
          <w:rFonts w:hint="eastAsia" w:ascii="宋体" w:hAnsi="宋体"/>
          <w:color w:val="000000"/>
          <w:u w:val="single"/>
          <w:lang w:val="en-US" w:eastAsia="zh-CN"/>
        </w:rPr>
        <w:t>2022</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 xml:space="preserve"> 10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27</w:t>
      </w:r>
      <w:r>
        <w:rPr>
          <w:rFonts w:hint="eastAsia" w:ascii="宋体" w:hAnsi="宋体"/>
          <w:color w:val="000000"/>
          <w:u w:val="single"/>
        </w:rPr>
        <w:t xml:space="preserve">  </w:t>
      </w:r>
      <w:r>
        <w:rPr>
          <w:rFonts w:hint="eastAsia" w:ascii="宋体" w:hAnsi="宋体"/>
          <w:color w:val="000000"/>
        </w:rPr>
        <w:t>日</w:t>
      </w:r>
    </w:p>
    <w:p>
      <w:pPr>
        <w:spacing w:line="420" w:lineRule="auto"/>
        <w:ind w:firstLine="420" w:firstLineChars="200"/>
        <w:rPr>
          <w:rFonts w:ascii="宋体" w:hAnsi="宋体"/>
          <w:color w:val="000000"/>
        </w:rPr>
      </w:pPr>
      <w:r>
        <w:rPr>
          <w:rFonts w:hint="eastAsia" w:ascii="宋体" w:hAnsi="宋体"/>
          <w:color w:val="000000"/>
        </w:rPr>
        <w:t>工期总日历天数</w:t>
      </w:r>
      <w:r>
        <w:rPr>
          <w:rFonts w:hint="eastAsia" w:ascii="宋体" w:hAnsi="宋体"/>
          <w:color w:val="000000"/>
          <w:u w:val="single"/>
        </w:rPr>
        <w:t xml:space="preserve">    </w:t>
      </w:r>
      <w:r>
        <w:rPr>
          <w:rFonts w:hint="eastAsia" w:ascii="宋体" w:hAnsi="宋体"/>
          <w:color w:val="000000"/>
          <w:u w:val="single"/>
          <w:lang w:val="en-US" w:eastAsia="zh-CN"/>
        </w:rPr>
        <w:t>100日历</w:t>
      </w:r>
      <w:r>
        <w:rPr>
          <w:rFonts w:hint="eastAsia" w:ascii="宋体" w:hAnsi="宋体"/>
          <w:color w:val="000000"/>
          <w:u w:val="single"/>
        </w:rPr>
        <w:t xml:space="preserve">    </w:t>
      </w:r>
      <w:r>
        <w:rPr>
          <w:rFonts w:hint="eastAsia" w:ascii="宋体" w:hAnsi="宋体"/>
          <w:color w:val="000000"/>
        </w:rPr>
        <w:t>天，自监理人发出的开工通知中载明的开工日期起。</w:t>
      </w:r>
    </w:p>
    <w:p>
      <w:pPr>
        <w:spacing w:line="420" w:lineRule="auto"/>
        <w:ind w:firstLine="420" w:firstLineChars="200"/>
        <w:rPr>
          <w:rFonts w:ascii="宋体" w:hAnsi="宋体"/>
          <w:color w:val="000000"/>
        </w:rPr>
      </w:pPr>
      <w:bookmarkStart w:id="960" w:name="_Toc479505737"/>
      <w:bookmarkStart w:id="961" w:name="_Toc480303464"/>
      <w:r>
        <w:rPr>
          <w:rFonts w:hint="eastAsia" w:ascii="宋体" w:hAnsi="宋体"/>
          <w:color w:val="000000"/>
        </w:rPr>
        <w:t>四、质量标准</w:t>
      </w:r>
      <w:bookmarkEnd w:id="960"/>
      <w:bookmarkEnd w:id="961"/>
    </w:p>
    <w:p>
      <w:pPr>
        <w:spacing w:line="420" w:lineRule="auto"/>
        <w:ind w:firstLine="420" w:firstLineChars="200"/>
        <w:rPr>
          <w:rFonts w:ascii="宋体" w:hAnsi="宋体"/>
          <w:color w:val="000000"/>
          <w:u w:val="single"/>
        </w:rPr>
      </w:pPr>
      <w:r>
        <w:rPr>
          <w:rFonts w:hint="eastAsia" w:ascii="宋体" w:hAnsi="宋体"/>
          <w:color w:val="000000"/>
        </w:rPr>
        <w:t>工程质量标准：</w:t>
      </w:r>
      <w:r>
        <w:rPr>
          <w:rFonts w:hint="eastAsia" w:ascii="宋体" w:hAnsi="宋体"/>
          <w:color w:val="000000"/>
          <w:u w:val="single"/>
        </w:rPr>
        <w:t xml:space="preserve">      </w:t>
      </w:r>
      <w:r>
        <w:rPr>
          <w:rFonts w:hint="eastAsia" w:ascii="宋体" w:hAnsi="宋体"/>
          <w:color w:val="000000"/>
          <w:u w:val="single"/>
          <w:lang w:eastAsia="zh-CN"/>
        </w:rPr>
        <w:t>合格</w:t>
      </w:r>
      <w:r>
        <w:rPr>
          <w:rFonts w:ascii="宋体" w:hAnsi="宋体"/>
          <w:color w:val="000000"/>
          <w:u w:val="single"/>
        </w:rPr>
        <w:t xml:space="preserve">       </w:t>
      </w:r>
    </w:p>
    <w:p>
      <w:pPr>
        <w:spacing w:line="420" w:lineRule="auto"/>
        <w:ind w:firstLine="420" w:firstLineChars="200"/>
        <w:rPr>
          <w:rFonts w:ascii="宋体" w:hAnsi="宋体"/>
          <w:color w:val="000000"/>
        </w:rPr>
      </w:pPr>
      <w:bookmarkStart w:id="962" w:name="_Toc479505738"/>
      <w:bookmarkStart w:id="963" w:name="_Toc480303465"/>
      <w:r>
        <w:rPr>
          <w:rFonts w:hint="eastAsia" w:ascii="宋体" w:hAnsi="宋体"/>
          <w:color w:val="000000"/>
        </w:rPr>
        <w:t>五、合同形式</w:t>
      </w:r>
      <w:bookmarkEnd w:id="962"/>
      <w:bookmarkEnd w:id="963"/>
    </w:p>
    <w:p>
      <w:pPr>
        <w:spacing w:line="420" w:lineRule="auto"/>
        <w:ind w:firstLine="420" w:firstLineChars="200"/>
        <w:rPr>
          <w:rFonts w:ascii="宋体" w:hAnsi="宋体"/>
          <w:b/>
          <w:color w:val="000000"/>
          <w:u w:val="single"/>
        </w:rPr>
      </w:pPr>
      <w:r>
        <w:rPr>
          <w:rFonts w:hint="eastAsia" w:ascii="宋体" w:hAnsi="宋体"/>
          <w:color w:val="000000"/>
        </w:rPr>
        <w:t xml:space="preserve">本合同采用 </w:t>
      </w:r>
      <w:r>
        <w:rPr>
          <w:rFonts w:hint="eastAsia" w:ascii="宋体" w:hAnsi="宋体"/>
          <w:color w:val="000000"/>
          <w:u w:val="single"/>
        </w:rPr>
        <w:t xml:space="preserve">    </w:t>
      </w:r>
      <w:r>
        <w:rPr>
          <w:rFonts w:hint="eastAsia" w:ascii="宋体" w:hAnsi="宋体"/>
          <w:color w:val="000000"/>
          <w:u w:val="single"/>
          <w:lang w:eastAsia="zh-CN"/>
        </w:rPr>
        <w:t>固定总价</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合同形式</w:t>
      </w:r>
      <w:r>
        <w:rPr>
          <w:rFonts w:ascii="宋体" w:hAnsi="宋体"/>
          <w:color w:val="000000"/>
        </w:rPr>
        <w:t>。</w:t>
      </w:r>
    </w:p>
    <w:p>
      <w:pPr>
        <w:spacing w:line="420" w:lineRule="auto"/>
        <w:ind w:firstLine="420" w:firstLineChars="200"/>
        <w:rPr>
          <w:rFonts w:ascii="宋体" w:hAnsi="宋体"/>
          <w:color w:val="000000"/>
        </w:rPr>
      </w:pPr>
      <w:bookmarkStart w:id="964" w:name="_Toc479505739"/>
      <w:bookmarkStart w:id="965" w:name="_Toc480303466"/>
      <w:r>
        <w:rPr>
          <w:rFonts w:hint="eastAsia" w:ascii="宋体" w:hAnsi="宋体"/>
          <w:color w:val="000000"/>
        </w:rPr>
        <w:t>六、签约合同价</w:t>
      </w:r>
      <w:bookmarkEnd w:id="964"/>
      <w:bookmarkEnd w:id="965"/>
    </w:p>
    <w:p>
      <w:pPr>
        <w:spacing w:line="420" w:lineRule="auto"/>
        <w:ind w:firstLine="420" w:firstLineChars="200"/>
        <w:rPr>
          <w:rFonts w:ascii="宋体" w:hAnsi="宋体"/>
          <w:color w:val="000000"/>
        </w:rPr>
      </w:pPr>
      <w:r>
        <w:rPr>
          <w:rFonts w:hint="eastAsia" w:ascii="宋体" w:hAnsi="宋体"/>
          <w:color w:val="000000"/>
        </w:rPr>
        <w:t>金额（大写）：</w:t>
      </w:r>
      <w:r>
        <w:rPr>
          <w:rFonts w:hint="eastAsia" w:ascii="宋体" w:hAnsi="宋体"/>
          <w:color w:val="000000"/>
          <w:u w:val="single"/>
        </w:rPr>
        <w:t xml:space="preserve"> 壹佰贰拾叁万肆仟壹佰玖拾玖元柒角陆分</w:t>
      </w:r>
      <w:r>
        <w:rPr>
          <w:rFonts w:ascii="宋体" w:hAnsi="宋体"/>
          <w:color w:val="000000"/>
          <w:u w:val="single"/>
        </w:rPr>
        <w:t xml:space="preserve"> </w:t>
      </w:r>
      <w:r>
        <w:rPr>
          <w:rFonts w:hint="eastAsia" w:ascii="宋体" w:hAnsi="宋体"/>
          <w:color w:val="000000"/>
        </w:rPr>
        <w:t>（人民币）</w:t>
      </w:r>
    </w:p>
    <w:p>
      <w:pPr>
        <w:spacing w:line="420" w:lineRule="auto"/>
        <w:ind w:firstLine="420" w:firstLineChars="200"/>
        <w:rPr>
          <w:rFonts w:ascii="宋体" w:hAnsi="宋体"/>
          <w:color w:val="000000"/>
        </w:rPr>
      </w:pPr>
      <w:r>
        <w:rPr>
          <w:rFonts w:hint="eastAsia" w:ascii="宋体" w:hAnsi="宋体"/>
          <w:color w:val="000000"/>
        </w:rPr>
        <w:t>（小写）￥：</w:t>
      </w:r>
      <w:r>
        <w:rPr>
          <w:rFonts w:hint="eastAsia" w:ascii="宋体" w:hAnsi="宋体"/>
          <w:color w:val="000000"/>
          <w:u w:val="single"/>
        </w:rPr>
        <w:t xml:space="preserve">    1234199.76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元</w:t>
      </w:r>
    </w:p>
    <w:p>
      <w:pPr>
        <w:spacing w:line="420" w:lineRule="auto"/>
        <w:ind w:firstLine="630" w:firstLineChars="300"/>
        <w:rPr>
          <w:rFonts w:ascii="宋体" w:hAnsi="宋体"/>
          <w:color w:val="000000"/>
        </w:rPr>
      </w:pPr>
      <w:r>
        <w:rPr>
          <w:rFonts w:hint="eastAsia" w:ascii="宋体" w:hAnsi="宋体"/>
          <w:color w:val="000000"/>
        </w:rPr>
        <w:t>其中：安全文明施工费：</w:t>
      </w:r>
      <w:r>
        <w:rPr>
          <w:rFonts w:hint="eastAsia" w:ascii="宋体" w:hAnsi="宋体"/>
          <w:color w:val="000000"/>
          <w:u w:val="single"/>
        </w:rPr>
        <w:t xml:space="preserve">              </w:t>
      </w:r>
      <w:r>
        <w:rPr>
          <w:rFonts w:hint="eastAsia" w:ascii="宋体" w:hAnsi="宋体"/>
          <w:color w:val="000000"/>
          <w:u w:val="single"/>
          <w:lang w:val="en-US" w:eastAsia="zh-CN"/>
        </w:rPr>
        <w:t>/</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元</w:t>
      </w:r>
    </w:p>
    <w:p>
      <w:pPr>
        <w:spacing w:line="420" w:lineRule="auto"/>
        <w:ind w:firstLine="1260" w:firstLineChars="600"/>
        <w:rPr>
          <w:rFonts w:ascii="宋体" w:hAnsi="宋体"/>
          <w:color w:val="000000"/>
        </w:rPr>
      </w:pPr>
      <w:r>
        <w:rPr>
          <w:rFonts w:hint="eastAsia" w:ascii="宋体" w:hAnsi="宋体"/>
          <w:color w:val="000000"/>
        </w:rPr>
        <w:t>暂列金额（含税）：</w:t>
      </w:r>
      <w:r>
        <w:rPr>
          <w:rFonts w:hint="eastAsia"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元</w:t>
      </w:r>
    </w:p>
    <w:p>
      <w:pPr>
        <w:spacing w:line="420" w:lineRule="auto"/>
        <w:ind w:firstLine="1260" w:firstLineChars="600"/>
        <w:jc w:val="left"/>
        <w:rPr>
          <w:rFonts w:ascii="宋体" w:hAnsi="宋体"/>
          <w:color w:val="000000"/>
        </w:rPr>
      </w:pPr>
      <w:r>
        <w:rPr>
          <w:rFonts w:hint="eastAsia" w:ascii="宋体" w:hAnsi="宋体"/>
          <w:bCs/>
          <w:color w:val="000000"/>
        </w:rPr>
        <w:t>专业工程暂估价</w:t>
      </w:r>
      <w:r>
        <w:rPr>
          <w:rFonts w:hint="eastAsia" w:ascii="宋体" w:hAnsi="宋体"/>
          <w:color w:val="000000"/>
        </w:rPr>
        <w:t>（含税）</w:t>
      </w:r>
      <w:r>
        <w:rPr>
          <w:rFonts w:hint="eastAsia" w:ascii="宋体" w:hAnsi="宋体"/>
          <w:bCs/>
          <w:color w:val="000000"/>
        </w:rPr>
        <w:t>：</w:t>
      </w:r>
      <w:r>
        <w:rPr>
          <w:rFonts w:hint="eastAsia" w:ascii="宋体" w:hAnsi="宋体"/>
          <w:color w:val="000000"/>
          <w:u w:val="single"/>
        </w:rPr>
        <w:t xml:space="preserve">      </w:t>
      </w:r>
      <w:r>
        <w:rPr>
          <w:rFonts w:hint="eastAsia" w:ascii="宋体" w:hAnsi="宋体"/>
          <w:color w:val="000000"/>
          <w:u w:val="single"/>
          <w:lang w:val="en-US" w:eastAsia="zh-CN"/>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u w:val="single"/>
        </w:rPr>
        <w:t xml:space="preserve">     </w:t>
      </w:r>
      <w:r>
        <w:rPr>
          <w:rFonts w:hint="eastAsia" w:ascii="宋体" w:hAnsi="宋体"/>
          <w:color w:val="000000"/>
        </w:rPr>
        <w:t>元</w:t>
      </w:r>
    </w:p>
    <w:p>
      <w:pPr>
        <w:spacing w:line="420" w:lineRule="auto"/>
        <w:ind w:firstLine="1274" w:firstLineChars="607"/>
        <w:rPr>
          <w:rFonts w:ascii="宋体" w:hAnsi="宋体"/>
          <w:b/>
          <w:color w:val="000000"/>
        </w:rPr>
      </w:pPr>
      <w:r>
        <w:rPr>
          <w:rFonts w:ascii="宋体" w:hAnsi="宋体"/>
          <w:color w:val="000000"/>
        </w:rPr>
        <w:t>……</w:t>
      </w:r>
    </w:p>
    <w:p>
      <w:pPr>
        <w:spacing w:line="420" w:lineRule="auto"/>
        <w:ind w:firstLine="420" w:firstLineChars="200"/>
        <w:rPr>
          <w:rFonts w:ascii="宋体" w:hAnsi="宋体"/>
          <w:color w:val="000000"/>
        </w:rPr>
      </w:pPr>
      <w:bookmarkStart w:id="966" w:name="_Toc479505740"/>
      <w:bookmarkStart w:id="967" w:name="_Toc480303467"/>
      <w:r>
        <w:rPr>
          <w:rFonts w:hint="eastAsia" w:ascii="宋体" w:hAnsi="宋体"/>
          <w:color w:val="000000"/>
        </w:rPr>
        <w:t>七、承包人项目经理：</w:t>
      </w:r>
      <w:bookmarkEnd w:id="966"/>
      <w:bookmarkEnd w:id="967"/>
    </w:p>
    <w:p>
      <w:pPr>
        <w:spacing w:line="420" w:lineRule="auto"/>
        <w:ind w:firstLine="42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u w:val="single"/>
          <w:lang w:eastAsia="zh-CN"/>
        </w:rPr>
        <w:t>李雷</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      职称：</w:t>
      </w:r>
      <w:r>
        <w:rPr>
          <w:rFonts w:hint="eastAsia" w:ascii="宋体" w:hAnsi="宋体"/>
          <w:color w:val="000000"/>
          <w:szCs w:val="21"/>
          <w:u w:val="single"/>
        </w:rPr>
        <w:t xml:space="preserve">       </w:t>
      </w:r>
      <w:r>
        <w:rPr>
          <w:rFonts w:hint="eastAsia" w:ascii="宋体" w:hAnsi="宋体"/>
          <w:color w:val="000000"/>
          <w:szCs w:val="21"/>
          <w:u w:val="single"/>
          <w:lang w:eastAsia="zh-CN"/>
        </w:rPr>
        <w:t>高级工程师</w:t>
      </w:r>
      <w:r>
        <w:rPr>
          <w:rFonts w:hint="eastAsia" w:ascii="宋体" w:hAnsi="宋体"/>
          <w:color w:val="000000"/>
          <w:szCs w:val="21"/>
          <w:u w:val="single"/>
        </w:rPr>
        <w:t xml:space="preserve">        </w:t>
      </w:r>
      <w:r>
        <w:rPr>
          <w:rFonts w:hint="eastAsia" w:ascii="宋体" w:hAnsi="宋体"/>
          <w:color w:val="000000"/>
          <w:szCs w:val="21"/>
        </w:rPr>
        <w:t>；</w:t>
      </w:r>
    </w:p>
    <w:p>
      <w:pPr>
        <w:spacing w:line="420" w:lineRule="auto"/>
        <w:ind w:firstLine="420" w:firstLineChars="200"/>
        <w:rPr>
          <w:rFonts w:ascii="宋体" w:hAnsi="宋体"/>
          <w:color w:val="000000"/>
          <w:szCs w:val="21"/>
        </w:rPr>
      </w:pPr>
      <w:r>
        <w:rPr>
          <w:rFonts w:hint="eastAsia" w:ascii="宋体" w:hAnsi="宋体"/>
          <w:color w:val="000000"/>
          <w:szCs w:val="21"/>
        </w:rPr>
        <w:t>身份证号：</w:t>
      </w:r>
      <w:r>
        <w:rPr>
          <w:rFonts w:hint="eastAsia" w:ascii="宋体" w:hAnsi="宋体"/>
          <w:color w:val="000000"/>
          <w:szCs w:val="21"/>
          <w:u w:val="single"/>
        </w:rPr>
        <w:t xml:space="preserve"> 110109197910264612  </w:t>
      </w:r>
      <w:r>
        <w:rPr>
          <w:rFonts w:hint="eastAsia" w:ascii="宋体" w:hAnsi="宋体"/>
          <w:color w:val="000000"/>
          <w:szCs w:val="21"/>
        </w:rPr>
        <w:t>；建造师执业资格证书号：</w:t>
      </w:r>
      <w:r>
        <w:rPr>
          <w:rFonts w:hint="eastAsia" w:ascii="宋体" w:hAnsi="宋体"/>
          <w:color w:val="000000"/>
          <w:szCs w:val="21"/>
          <w:u w:val="single"/>
        </w:rPr>
        <w:t xml:space="preserve">  </w:t>
      </w:r>
      <w:r>
        <w:rPr>
          <w:rFonts w:hint="eastAsia" w:ascii="宋体" w:hAnsi="宋体" w:eastAsia="宋体" w:cs="Times New Roman"/>
          <w:color w:val="000000"/>
          <w:szCs w:val="21"/>
          <w:u w:val="single"/>
        </w:rPr>
        <w:t>京</w:t>
      </w:r>
      <w:r>
        <w:rPr>
          <w:rFonts w:hint="eastAsia" w:ascii="宋体" w:hAnsi="宋体" w:eastAsia="宋体" w:cs="Times New Roman"/>
          <w:color w:val="000000"/>
          <w:szCs w:val="21"/>
          <w:u w:val="single"/>
          <w:lang w:val="en-US" w:eastAsia="zh-CN"/>
        </w:rPr>
        <w:t>1112007200913413</w:t>
      </w:r>
      <w:r>
        <w:rPr>
          <w:rFonts w:hint="eastAsia" w:ascii="宋体" w:hAnsi="宋体" w:eastAsia="宋体" w:cs="Times New Roman"/>
          <w:color w:val="000000"/>
          <w:szCs w:val="21"/>
          <w:u w:val="single"/>
        </w:rPr>
        <w:t xml:space="preserve"> </w:t>
      </w:r>
      <w:r>
        <w:rPr>
          <w:rFonts w:hint="eastAsia" w:ascii="宋体" w:hAnsi="宋体"/>
          <w:color w:val="000000"/>
          <w:szCs w:val="21"/>
        </w:rPr>
        <w:t>；</w:t>
      </w:r>
    </w:p>
    <w:p>
      <w:pPr>
        <w:spacing w:line="420" w:lineRule="auto"/>
        <w:ind w:firstLine="420" w:firstLineChars="200"/>
        <w:rPr>
          <w:rFonts w:ascii="宋体" w:hAnsi="宋体"/>
          <w:color w:val="000000"/>
          <w:szCs w:val="21"/>
        </w:rPr>
      </w:pPr>
      <w:r>
        <w:rPr>
          <w:rFonts w:hint="eastAsia" w:ascii="宋体" w:hAnsi="宋体"/>
          <w:color w:val="000000"/>
          <w:szCs w:val="21"/>
        </w:rPr>
        <w:t>建造师注册证书号：</w:t>
      </w:r>
      <w:r>
        <w:rPr>
          <w:rFonts w:hint="eastAsia" w:ascii="宋体" w:hAnsi="宋体"/>
          <w:color w:val="000000"/>
          <w:szCs w:val="21"/>
          <w:u w:val="single"/>
        </w:rPr>
        <w:t xml:space="preserve">   </w:t>
      </w:r>
      <w:r>
        <w:rPr>
          <w:rFonts w:hint="eastAsia" w:ascii="宋体" w:hAnsi="宋体"/>
          <w:color w:val="000000"/>
          <w:szCs w:val="21"/>
          <w:u w:val="single"/>
          <w:lang w:eastAsia="zh-CN"/>
        </w:rPr>
        <w:t>京</w:t>
      </w:r>
      <w:r>
        <w:rPr>
          <w:rFonts w:hint="eastAsia" w:ascii="宋体" w:hAnsi="宋体"/>
          <w:color w:val="000000"/>
          <w:szCs w:val="21"/>
          <w:u w:val="single"/>
          <w:lang w:val="en-US" w:eastAsia="zh-CN"/>
        </w:rPr>
        <w:t>11112007200913413</w:t>
      </w:r>
      <w:r>
        <w:rPr>
          <w:rFonts w:hint="eastAsia" w:ascii="宋体" w:hAnsi="宋体"/>
          <w:color w:val="000000"/>
          <w:szCs w:val="21"/>
          <w:u w:val="single"/>
        </w:rPr>
        <w:t xml:space="preserve">      </w:t>
      </w:r>
      <w:r>
        <w:rPr>
          <w:rFonts w:hint="eastAsia" w:ascii="宋体" w:hAnsi="宋体"/>
          <w:color w:val="000000"/>
          <w:szCs w:val="21"/>
        </w:rPr>
        <w:t>。</w:t>
      </w:r>
    </w:p>
    <w:p>
      <w:pPr>
        <w:spacing w:line="420" w:lineRule="auto"/>
        <w:ind w:firstLine="420" w:firstLineChars="200"/>
        <w:rPr>
          <w:rFonts w:ascii="宋体" w:hAnsi="宋体"/>
          <w:color w:val="000000"/>
          <w:szCs w:val="21"/>
        </w:rPr>
      </w:pPr>
      <w:r>
        <w:rPr>
          <w:rFonts w:hint="eastAsia" w:ascii="宋体" w:hAnsi="宋体"/>
          <w:color w:val="000000"/>
          <w:szCs w:val="21"/>
        </w:rPr>
        <w:t>建造师执业印章号：</w:t>
      </w:r>
      <w:r>
        <w:rPr>
          <w:rFonts w:hint="eastAsia" w:ascii="宋体" w:hAnsi="宋体"/>
          <w:color w:val="000000"/>
          <w:szCs w:val="21"/>
          <w:u w:val="single"/>
        </w:rPr>
        <w:t xml:space="preserve">   </w:t>
      </w:r>
      <w:r>
        <w:rPr>
          <w:rFonts w:hint="eastAsia" w:ascii="宋体" w:hAnsi="宋体"/>
          <w:color w:val="000000"/>
          <w:szCs w:val="21"/>
          <w:u w:val="single"/>
          <w:lang w:eastAsia="zh-CN"/>
        </w:rPr>
        <w:t>京</w:t>
      </w:r>
      <w:r>
        <w:rPr>
          <w:rFonts w:hint="eastAsia" w:ascii="宋体" w:hAnsi="宋体"/>
          <w:color w:val="000000"/>
          <w:szCs w:val="21"/>
          <w:u w:val="single"/>
          <w:lang w:val="en-US" w:eastAsia="zh-CN"/>
        </w:rPr>
        <w:t>111070913413（00）</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w:t>
      </w:r>
    </w:p>
    <w:p>
      <w:pPr>
        <w:spacing w:line="420" w:lineRule="auto"/>
        <w:ind w:firstLine="420" w:firstLineChars="200"/>
        <w:rPr>
          <w:rFonts w:ascii="宋体" w:hAnsi="宋体"/>
          <w:color w:val="000000"/>
          <w:szCs w:val="21"/>
        </w:rPr>
      </w:pPr>
      <w:r>
        <w:rPr>
          <w:rFonts w:hint="eastAsia" w:ascii="宋体" w:hAnsi="宋体"/>
          <w:color w:val="000000"/>
          <w:szCs w:val="21"/>
        </w:rPr>
        <w:t>安全生产考核合格证书号：</w:t>
      </w:r>
      <w:r>
        <w:rPr>
          <w:rFonts w:hint="eastAsia" w:ascii="宋体" w:hAnsi="宋体"/>
          <w:color w:val="000000"/>
          <w:szCs w:val="21"/>
          <w:u w:val="single"/>
        </w:rPr>
        <w:t xml:space="preserve">   </w:t>
      </w:r>
      <w:r>
        <w:rPr>
          <w:rFonts w:hint="eastAsia" w:ascii="宋体" w:hAnsi="宋体"/>
          <w:color w:val="000000"/>
          <w:szCs w:val="21"/>
          <w:u w:val="single"/>
          <w:lang w:eastAsia="zh-CN"/>
        </w:rPr>
        <w:t>京水安</w:t>
      </w:r>
      <w:r>
        <w:rPr>
          <w:rFonts w:hint="eastAsia" w:ascii="宋体" w:hAnsi="宋体"/>
          <w:color w:val="000000"/>
          <w:szCs w:val="21"/>
          <w:u w:val="single"/>
          <w:lang w:val="en-US" w:eastAsia="zh-CN"/>
        </w:rPr>
        <w:t>B（2020）00019</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w:t>
      </w:r>
    </w:p>
    <w:p>
      <w:pPr>
        <w:spacing w:line="420" w:lineRule="auto"/>
        <w:ind w:firstLine="420" w:firstLineChars="200"/>
        <w:rPr>
          <w:rFonts w:ascii="宋体" w:hAnsi="宋体"/>
          <w:color w:val="000000"/>
        </w:rPr>
      </w:pPr>
      <w:bookmarkStart w:id="968" w:name="_Toc479505741"/>
      <w:bookmarkStart w:id="969" w:name="_Toc480303468"/>
      <w:r>
        <w:rPr>
          <w:rFonts w:hint="eastAsia" w:ascii="宋体" w:hAnsi="宋体"/>
          <w:color w:val="000000"/>
        </w:rPr>
        <w:t>八、合同文件的组成</w:t>
      </w:r>
      <w:bookmarkEnd w:id="968"/>
      <w:bookmarkEnd w:id="969"/>
    </w:p>
    <w:p>
      <w:pPr>
        <w:spacing w:line="420" w:lineRule="auto"/>
        <w:ind w:firstLine="420" w:firstLineChars="200"/>
        <w:rPr>
          <w:rFonts w:ascii="宋体" w:hAnsi="宋体"/>
          <w:color w:val="000000"/>
          <w:szCs w:val="21"/>
        </w:rPr>
      </w:pPr>
      <w:r>
        <w:rPr>
          <w:rFonts w:hint="eastAsia" w:ascii="宋体" w:hAnsi="宋体"/>
          <w:color w:val="000000"/>
          <w:szCs w:val="21"/>
        </w:rPr>
        <w:t>下列文件共同构成合同文件：</w:t>
      </w:r>
    </w:p>
    <w:p>
      <w:pPr>
        <w:spacing w:line="420" w:lineRule="auto"/>
        <w:ind w:firstLine="420" w:firstLineChars="200"/>
        <w:rPr>
          <w:rFonts w:ascii="宋体" w:hAnsi="宋体"/>
          <w:color w:val="000000"/>
        </w:rPr>
      </w:pPr>
      <w:r>
        <w:rPr>
          <w:rFonts w:hint="eastAsia" w:ascii="宋体" w:hAnsi="宋体"/>
          <w:color w:val="000000"/>
        </w:rPr>
        <w:t>1、本协议书；</w:t>
      </w:r>
    </w:p>
    <w:p>
      <w:pPr>
        <w:spacing w:line="420" w:lineRule="auto"/>
        <w:ind w:firstLine="420" w:firstLineChars="200"/>
        <w:rPr>
          <w:rFonts w:ascii="宋体" w:hAnsi="宋体"/>
          <w:color w:val="000000"/>
        </w:rPr>
      </w:pPr>
      <w:r>
        <w:rPr>
          <w:rFonts w:hint="eastAsia" w:ascii="宋体" w:hAnsi="宋体"/>
          <w:color w:val="000000"/>
        </w:rPr>
        <w:t>2、中标通知书；</w:t>
      </w:r>
    </w:p>
    <w:p>
      <w:pPr>
        <w:spacing w:line="420" w:lineRule="auto"/>
        <w:ind w:firstLine="420" w:firstLineChars="200"/>
        <w:rPr>
          <w:rFonts w:ascii="宋体" w:hAnsi="宋体"/>
          <w:color w:val="000000"/>
        </w:rPr>
      </w:pPr>
      <w:r>
        <w:rPr>
          <w:rFonts w:hint="eastAsia" w:ascii="宋体" w:hAnsi="宋体"/>
          <w:color w:val="000000"/>
        </w:rPr>
        <w:t>3、</w:t>
      </w:r>
      <w:r>
        <w:rPr>
          <w:rFonts w:hint="eastAsia" w:ascii="宋体" w:hAnsi="宋体"/>
          <w:color w:val="000000"/>
          <w:szCs w:val="21"/>
        </w:rPr>
        <w:t>投标函及投标函附录</w:t>
      </w:r>
      <w:r>
        <w:rPr>
          <w:rFonts w:hint="eastAsia" w:ascii="宋体" w:hAnsi="宋体"/>
          <w:color w:val="000000"/>
        </w:rPr>
        <w:t>；</w:t>
      </w:r>
    </w:p>
    <w:p>
      <w:pPr>
        <w:spacing w:line="420" w:lineRule="auto"/>
        <w:ind w:firstLine="420" w:firstLineChars="200"/>
        <w:rPr>
          <w:rFonts w:ascii="宋体" w:hAnsi="宋体"/>
          <w:color w:val="000000"/>
        </w:rPr>
      </w:pPr>
      <w:r>
        <w:rPr>
          <w:rFonts w:hint="eastAsia" w:ascii="宋体" w:hAnsi="宋体"/>
          <w:color w:val="000000"/>
        </w:rPr>
        <w:t>4、合同条款专用部分；</w:t>
      </w:r>
    </w:p>
    <w:p>
      <w:pPr>
        <w:spacing w:line="420" w:lineRule="auto"/>
        <w:ind w:firstLine="420" w:firstLineChars="200"/>
        <w:rPr>
          <w:rFonts w:ascii="宋体" w:hAnsi="宋体"/>
          <w:color w:val="000000"/>
        </w:rPr>
      </w:pPr>
      <w:r>
        <w:rPr>
          <w:rFonts w:hint="eastAsia" w:ascii="宋体" w:hAnsi="宋体"/>
          <w:color w:val="000000"/>
        </w:rPr>
        <w:t>5、合同条款通用部分；</w:t>
      </w:r>
    </w:p>
    <w:p>
      <w:pPr>
        <w:spacing w:line="420" w:lineRule="auto"/>
        <w:ind w:firstLine="420" w:firstLineChars="200"/>
        <w:rPr>
          <w:rFonts w:ascii="宋体" w:hAnsi="宋体"/>
          <w:color w:val="000000"/>
        </w:rPr>
      </w:pPr>
      <w:r>
        <w:rPr>
          <w:rFonts w:hint="eastAsia" w:ascii="宋体" w:hAnsi="宋体"/>
          <w:color w:val="000000"/>
        </w:rPr>
        <w:t>6、</w:t>
      </w:r>
      <w:r>
        <w:rPr>
          <w:rFonts w:hint="eastAsia" w:ascii="宋体" w:hAnsi="宋体"/>
          <w:color w:val="000000"/>
          <w:szCs w:val="21"/>
        </w:rPr>
        <w:t>技术标准和要求；</w:t>
      </w:r>
    </w:p>
    <w:p>
      <w:pPr>
        <w:spacing w:line="420" w:lineRule="auto"/>
        <w:ind w:firstLine="420" w:firstLineChars="200"/>
        <w:rPr>
          <w:rFonts w:ascii="宋体" w:hAnsi="宋体"/>
          <w:color w:val="000000"/>
        </w:rPr>
      </w:pPr>
      <w:r>
        <w:rPr>
          <w:rFonts w:hint="eastAsia" w:ascii="宋体" w:hAnsi="宋体"/>
          <w:color w:val="000000"/>
        </w:rPr>
        <w:t>7、图纸；</w:t>
      </w:r>
    </w:p>
    <w:p>
      <w:pPr>
        <w:spacing w:line="420" w:lineRule="auto"/>
        <w:ind w:firstLine="420" w:firstLineChars="200"/>
        <w:rPr>
          <w:rFonts w:ascii="宋体" w:hAnsi="宋体"/>
          <w:color w:val="000000"/>
        </w:rPr>
      </w:pPr>
      <w:r>
        <w:rPr>
          <w:rFonts w:hint="eastAsia" w:ascii="宋体" w:hAnsi="宋体"/>
          <w:color w:val="000000"/>
        </w:rPr>
        <w:t>8、已标价工程量清单；</w:t>
      </w:r>
    </w:p>
    <w:p>
      <w:pPr>
        <w:spacing w:line="420" w:lineRule="auto"/>
        <w:ind w:firstLine="420" w:firstLineChars="200"/>
        <w:rPr>
          <w:rFonts w:ascii="宋体" w:hAnsi="宋体"/>
          <w:color w:val="000000"/>
        </w:rPr>
      </w:pPr>
      <w:r>
        <w:rPr>
          <w:rFonts w:hint="eastAsia" w:ascii="宋体" w:hAnsi="宋体"/>
          <w:color w:val="000000"/>
        </w:rPr>
        <w:t>9、其他合同文件。</w:t>
      </w:r>
    </w:p>
    <w:p>
      <w:pPr>
        <w:spacing w:line="420" w:lineRule="auto"/>
        <w:ind w:firstLine="420" w:firstLineChars="200"/>
        <w:rPr>
          <w:rFonts w:ascii="宋体" w:hAnsi="宋体"/>
          <w:color w:val="000000"/>
          <w:szCs w:val="21"/>
        </w:rPr>
      </w:pPr>
      <w:r>
        <w:rPr>
          <w:rFonts w:ascii="宋体" w:hAnsi="宋体"/>
          <w:color w:val="000000"/>
          <w:szCs w:val="21"/>
        </w:rPr>
        <w:t>上述文件互相补充和解释，如有不明确或不一致之处，以合同约定次序在先者为准。</w:t>
      </w:r>
    </w:p>
    <w:p>
      <w:pPr>
        <w:spacing w:line="420" w:lineRule="auto"/>
        <w:ind w:firstLine="420" w:firstLineChars="200"/>
        <w:rPr>
          <w:rFonts w:ascii="宋体" w:hAnsi="宋体"/>
          <w:color w:val="000000"/>
        </w:rPr>
      </w:pPr>
      <w:bookmarkStart w:id="970" w:name="_Toc479505742"/>
      <w:bookmarkStart w:id="971" w:name="_Toc480303469"/>
      <w:r>
        <w:rPr>
          <w:rFonts w:hint="eastAsia" w:ascii="宋体" w:hAnsi="宋体"/>
          <w:color w:val="000000"/>
        </w:rPr>
        <w:t>九、本协议书中有关词语定义与合同条款中的定义相同。</w:t>
      </w:r>
      <w:bookmarkEnd w:id="970"/>
      <w:bookmarkEnd w:id="971"/>
    </w:p>
    <w:p>
      <w:pPr>
        <w:spacing w:line="420" w:lineRule="auto"/>
        <w:ind w:firstLine="420" w:firstLineChars="200"/>
        <w:rPr>
          <w:rFonts w:ascii="宋体" w:hAnsi="宋体"/>
          <w:color w:val="000000"/>
        </w:rPr>
      </w:pPr>
      <w:bookmarkStart w:id="972" w:name="_Toc480303470"/>
      <w:bookmarkStart w:id="973" w:name="_Toc479505743"/>
      <w:r>
        <w:rPr>
          <w:rFonts w:hint="eastAsia" w:ascii="宋体" w:hAnsi="宋体"/>
          <w:color w:val="000000"/>
        </w:rPr>
        <w:t>十、承包人承诺按照合同约定进行施工、竣工、交付并承担质量缺陷保修责任。</w:t>
      </w:r>
      <w:bookmarkEnd w:id="972"/>
      <w:bookmarkEnd w:id="973"/>
    </w:p>
    <w:p>
      <w:pPr>
        <w:spacing w:line="420" w:lineRule="auto"/>
        <w:ind w:firstLine="420" w:firstLineChars="200"/>
        <w:rPr>
          <w:rFonts w:ascii="宋体" w:hAnsi="宋体"/>
          <w:color w:val="000000"/>
        </w:rPr>
      </w:pPr>
      <w:bookmarkStart w:id="974" w:name="_Toc480303471"/>
      <w:bookmarkStart w:id="975" w:name="_Toc479505744"/>
      <w:r>
        <w:rPr>
          <w:rFonts w:hint="eastAsia" w:ascii="宋体" w:hAnsi="宋体"/>
          <w:color w:val="000000"/>
        </w:rPr>
        <w:t>十一、发包人承诺按照合同约定的条件、期限和方式向承包人支付合同价款。</w:t>
      </w:r>
      <w:bookmarkEnd w:id="974"/>
      <w:bookmarkEnd w:id="975"/>
    </w:p>
    <w:p>
      <w:pPr>
        <w:spacing w:line="420" w:lineRule="auto"/>
        <w:ind w:firstLine="420" w:firstLineChars="200"/>
        <w:rPr>
          <w:rFonts w:ascii="宋体" w:hAnsi="宋体"/>
          <w:color w:val="000000"/>
        </w:rPr>
      </w:pPr>
      <w:bookmarkStart w:id="976" w:name="_Toc480303472"/>
      <w:bookmarkStart w:id="977" w:name="_Toc479505745"/>
      <w:r>
        <w:rPr>
          <w:rFonts w:hint="eastAsia" w:ascii="宋体" w:hAnsi="宋体"/>
          <w:color w:val="000000"/>
        </w:rPr>
        <w:t>十二、本协议书连同其他合同文件正本一式两份，合同双方各执一份；副本一式</w:t>
      </w:r>
      <w:bookmarkEnd w:id="976"/>
      <w:bookmarkEnd w:id="977"/>
      <w:r>
        <w:rPr>
          <w:rFonts w:hint="eastAsia" w:ascii="宋体" w:hAnsi="宋体"/>
          <w:color w:val="000000"/>
          <w:u w:val="single"/>
        </w:rPr>
        <w:t xml:space="preserve"> </w:t>
      </w:r>
      <w:r>
        <w:rPr>
          <w:rFonts w:hint="eastAsia" w:ascii="宋体" w:hAnsi="宋体"/>
          <w:color w:val="000000"/>
          <w:u w:val="single"/>
          <w:lang w:eastAsia="zh-CN"/>
        </w:rPr>
        <w:t>六</w:t>
      </w:r>
      <w:r>
        <w:rPr>
          <w:rFonts w:hint="eastAsia" w:ascii="宋体" w:hAnsi="宋体"/>
          <w:color w:val="000000"/>
          <w:u w:val="single"/>
        </w:rPr>
        <w:t xml:space="preserve">  </w:t>
      </w:r>
      <w:r>
        <w:rPr>
          <w:rFonts w:hint="eastAsia" w:ascii="宋体" w:hAnsi="宋体"/>
          <w:color w:val="000000"/>
        </w:rPr>
        <w:t>份，其中一份在合同报送建设行政主管部门备案时留存。</w:t>
      </w:r>
    </w:p>
    <w:p>
      <w:pPr>
        <w:spacing w:line="420" w:lineRule="auto"/>
        <w:ind w:firstLine="420" w:firstLineChars="200"/>
        <w:rPr>
          <w:rFonts w:ascii="宋体" w:hAnsi="宋体"/>
          <w:color w:val="000000"/>
        </w:rPr>
      </w:pPr>
      <w:bookmarkStart w:id="978" w:name="_Toc480303473"/>
      <w:bookmarkStart w:id="979" w:name="_Toc479505746"/>
      <w:r>
        <w:rPr>
          <w:rFonts w:hint="eastAsia" w:ascii="宋体" w:hAnsi="宋体"/>
          <w:color w:val="000000"/>
        </w:rPr>
        <w:t>十三、</w:t>
      </w:r>
      <w:r>
        <w:rPr>
          <w:rFonts w:ascii="宋体" w:hAnsi="宋体"/>
          <w:color w:val="000000"/>
        </w:rPr>
        <w:t>合同未尽事宜，双方另行签订补充协议</w:t>
      </w:r>
      <w:r>
        <w:rPr>
          <w:rFonts w:hint="eastAsia" w:ascii="宋体" w:hAnsi="宋体"/>
          <w:color w:val="000000"/>
        </w:rPr>
        <w:t>，但不得背离本协议第八条所约定的合同文件的实质性内容</w:t>
      </w:r>
      <w:r>
        <w:rPr>
          <w:rFonts w:ascii="宋体" w:hAnsi="宋体"/>
          <w:color w:val="000000"/>
        </w:rPr>
        <w:t>。补充协议是合同</w:t>
      </w:r>
      <w:r>
        <w:rPr>
          <w:rFonts w:hint="eastAsia" w:ascii="宋体" w:hAnsi="宋体"/>
          <w:color w:val="000000"/>
        </w:rPr>
        <w:t>文件</w:t>
      </w:r>
      <w:r>
        <w:rPr>
          <w:rFonts w:ascii="宋体" w:hAnsi="宋体"/>
          <w:color w:val="000000"/>
        </w:rPr>
        <w:t>的组成部分。</w:t>
      </w:r>
      <w:bookmarkEnd w:id="978"/>
      <w:bookmarkEnd w:id="979"/>
    </w:p>
    <w:p>
      <w:pPr>
        <w:spacing w:line="420" w:lineRule="auto"/>
        <w:rPr>
          <w:rFonts w:ascii="宋体" w:hAnsi="宋体"/>
          <w:b/>
          <w:bCs/>
          <w:color w:val="000000"/>
          <w:szCs w:val="21"/>
        </w:rPr>
      </w:pPr>
    </w:p>
    <w:p>
      <w:pPr>
        <w:spacing w:line="420" w:lineRule="auto"/>
        <w:rPr>
          <w:rFonts w:ascii="宋体" w:hAnsi="宋体"/>
          <w:color w:val="000000"/>
          <w:szCs w:val="21"/>
        </w:rPr>
      </w:pPr>
      <w:r>
        <w:rPr>
          <w:rFonts w:ascii="宋体" w:hAnsi="宋体"/>
          <w:bCs/>
          <w:color w:val="000000"/>
          <w:szCs w:val="21"/>
        </w:rPr>
        <w:t>发包人：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（盖单位章）</w:t>
      </w:r>
      <w:r>
        <w:rPr>
          <w:rFonts w:hint="eastAsia" w:ascii="宋体" w:hAnsi="宋体"/>
          <w:bCs/>
          <w:color w:val="000000"/>
          <w:szCs w:val="21"/>
        </w:rPr>
        <w:t xml:space="preserve"> </w:t>
      </w:r>
      <w:r>
        <w:rPr>
          <w:rFonts w:ascii="宋体" w:hAnsi="宋体"/>
          <w:bCs/>
          <w:color w:val="000000"/>
          <w:szCs w:val="21"/>
        </w:rPr>
        <w:t>承包人：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rPr>
        <w:t>（盖单位章）</w:t>
      </w:r>
    </w:p>
    <w:p>
      <w:pPr>
        <w:spacing w:line="420" w:lineRule="auto"/>
        <w:rPr>
          <w:rFonts w:ascii="宋体" w:hAnsi="宋体"/>
          <w:color w:val="000000"/>
          <w:szCs w:val="21"/>
        </w:rPr>
      </w:pPr>
    </w:p>
    <w:p>
      <w:pPr>
        <w:spacing w:line="420" w:lineRule="auto"/>
        <w:rPr>
          <w:rFonts w:ascii="宋体" w:hAnsi="宋体"/>
          <w:color w:val="000000"/>
          <w:szCs w:val="21"/>
        </w:rPr>
      </w:pPr>
      <w:r>
        <w:rPr>
          <w:rFonts w:ascii="宋体" w:hAnsi="宋体"/>
          <w:bCs/>
          <w:color w:val="000000"/>
          <w:szCs w:val="21"/>
        </w:rPr>
        <w:t>法定代表人或其</w:t>
      </w:r>
      <w:r>
        <w:rPr>
          <w:rFonts w:hint="eastAsia" w:ascii="宋体" w:hAnsi="宋体"/>
          <w:color w:val="000000"/>
          <w:szCs w:val="21"/>
        </w:rPr>
        <w:t xml:space="preserve">                           </w:t>
      </w:r>
      <w:r>
        <w:rPr>
          <w:rFonts w:ascii="宋体" w:hAnsi="宋体"/>
          <w:bCs/>
          <w:color w:val="000000"/>
          <w:szCs w:val="21"/>
        </w:rPr>
        <w:t>法定代表人或其</w:t>
      </w:r>
    </w:p>
    <w:p>
      <w:pPr>
        <w:spacing w:line="420" w:lineRule="auto"/>
        <w:rPr>
          <w:rFonts w:ascii="宋体" w:hAnsi="宋体"/>
          <w:color w:val="000000"/>
          <w:szCs w:val="21"/>
        </w:rPr>
      </w:pPr>
      <w:r>
        <w:rPr>
          <w:rFonts w:ascii="宋体" w:hAnsi="宋体"/>
          <w:bCs/>
          <w:color w:val="000000"/>
          <w:szCs w:val="21"/>
        </w:rPr>
        <w:t>委托代理人：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（签字）</w:t>
      </w:r>
      <w:r>
        <w:rPr>
          <w:rFonts w:hint="eastAsia" w:ascii="宋体" w:hAnsi="宋体"/>
          <w:color w:val="000000"/>
          <w:szCs w:val="21"/>
        </w:rPr>
        <w:t xml:space="preserve"> </w:t>
      </w:r>
      <w:r>
        <w:rPr>
          <w:rFonts w:hint="eastAsia" w:ascii="宋体" w:hAnsi="宋体"/>
          <w:bCs/>
          <w:color w:val="000000"/>
          <w:szCs w:val="21"/>
        </w:rPr>
        <w:t xml:space="preserve"> </w:t>
      </w:r>
      <w:r>
        <w:rPr>
          <w:rFonts w:ascii="宋体" w:hAnsi="宋体"/>
          <w:bCs/>
          <w:color w:val="000000"/>
          <w:szCs w:val="21"/>
        </w:rPr>
        <w:t>委托代理人：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（签字）</w:t>
      </w:r>
    </w:p>
    <w:p>
      <w:pPr>
        <w:spacing w:line="420" w:lineRule="auto"/>
        <w:rPr>
          <w:rFonts w:ascii="宋体" w:hAnsi="宋体"/>
          <w:color w:val="000000"/>
          <w:szCs w:val="21"/>
          <w:u w:val="single"/>
        </w:rPr>
      </w:pPr>
    </w:p>
    <w:p>
      <w:pPr>
        <w:spacing w:line="42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月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日</w:t>
      </w:r>
      <w:r>
        <w:rPr>
          <w:rFonts w:hint="eastAsia"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月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日</w:t>
      </w:r>
    </w:p>
    <w:p>
      <w:pPr>
        <w:spacing w:line="420" w:lineRule="auto"/>
        <w:rPr>
          <w:rFonts w:ascii="宋体" w:hAnsi="宋体"/>
          <w:color w:val="000000"/>
          <w:szCs w:val="21"/>
        </w:rPr>
      </w:pPr>
    </w:p>
    <w:p>
      <w:pPr>
        <w:spacing w:line="420" w:lineRule="auto"/>
        <w:rPr>
          <w:rFonts w:ascii="宋体" w:hAnsi="宋体"/>
          <w:b/>
          <w:color w:val="000000"/>
          <w:szCs w:val="21"/>
        </w:rPr>
      </w:pPr>
      <w:r>
        <w:rPr>
          <w:rFonts w:hint="eastAsia" w:ascii="宋体" w:hAnsi="宋体"/>
          <w:color w:val="000000"/>
          <w:szCs w:val="21"/>
        </w:rPr>
        <w:t>签约地点：</w:t>
      </w:r>
      <w:r>
        <w:rPr>
          <w:rFonts w:hint="eastAsia" w:ascii="宋体" w:hAnsi="宋体"/>
          <w:color w:val="000000"/>
          <w:szCs w:val="21"/>
          <w:u w:val="single"/>
        </w:rPr>
        <w:t xml:space="preserve">                                                                   </w:t>
      </w:r>
      <w:r>
        <w:rPr>
          <w:rFonts w:hint="eastAsia" w:ascii="宋体" w:hAnsi="宋体"/>
          <w:b/>
          <w:color w:val="000000"/>
          <w:szCs w:val="21"/>
          <w:u w:val="single"/>
        </w:rPr>
        <w:t xml:space="preserve"> </w:t>
      </w:r>
    </w:p>
    <w:p>
      <w:pPr>
        <w:pStyle w:val="4"/>
        <w:rPr>
          <w:rFonts w:ascii="宋体" w:hAnsi="宋体"/>
          <w:b w:val="0"/>
          <w:color w:val="000000"/>
          <w:szCs w:val="30"/>
        </w:rPr>
      </w:pPr>
      <w:bookmarkStart w:id="980" w:name="_BookMark_81"/>
      <w:r>
        <w:rPr>
          <w:color w:val="000000"/>
          <w:szCs w:val="21"/>
        </w:rPr>
        <w:br w:type="page"/>
      </w:r>
      <w:bookmarkEnd w:id="980"/>
      <w:bookmarkStart w:id="981" w:name="_BookMark_87"/>
    </w:p>
    <w:bookmarkEnd w:id="981"/>
    <w:p>
      <w:pPr>
        <w:pStyle w:val="3"/>
        <w:bidi w:val="0"/>
      </w:pPr>
      <w:bookmarkStart w:id="982" w:name="_Toc4616"/>
      <w:r>
        <w:rPr>
          <w:rFonts w:hint="eastAsia"/>
          <w:lang w:eastAsia="zh-CN"/>
        </w:rPr>
        <w:t>第四章</w:t>
      </w:r>
      <w:r>
        <w:rPr>
          <w:rFonts w:hint="eastAsia"/>
          <w:lang w:val="en-US" w:eastAsia="zh-CN"/>
        </w:rPr>
        <w:t xml:space="preserve"> </w:t>
      </w:r>
      <w:r>
        <w:rPr>
          <w:rFonts w:hint="eastAsia"/>
        </w:rPr>
        <w:t>建设工程廉政责任书</w:t>
      </w:r>
      <w:bookmarkEnd w:id="982"/>
    </w:p>
    <w:p>
      <w:pPr>
        <w:snapToGrid w:val="0"/>
        <w:spacing w:line="420" w:lineRule="auto"/>
        <w:ind w:firstLine="420" w:firstLineChars="200"/>
        <w:rPr>
          <w:rFonts w:ascii="宋体" w:hAnsi="宋体"/>
          <w:color w:val="000000"/>
        </w:rPr>
      </w:pPr>
    </w:p>
    <w:p>
      <w:pPr>
        <w:snapToGrid w:val="0"/>
        <w:spacing w:line="420" w:lineRule="auto"/>
        <w:rPr>
          <w:rFonts w:ascii="宋体" w:hAnsi="宋体"/>
          <w:color w:val="000000"/>
          <w:u w:val="single"/>
        </w:rPr>
      </w:pPr>
      <w:r>
        <w:rPr>
          <w:rFonts w:hint="eastAsia" w:ascii="宋体" w:hAnsi="宋体"/>
          <w:color w:val="000000"/>
        </w:rPr>
        <w:t>发包人：</w:t>
      </w:r>
      <w:r>
        <w:rPr>
          <w:rFonts w:hint="eastAsia" w:ascii="宋体" w:hAnsi="宋体"/>
          <w:color w:val="000000"/>
          <w:u w:val="single"/>
        </w:rPr>
        <w:t xml:space="preserve">     </w:t>
      </w:r>
      <w:r>
        <w:rPr>
          <w:rFonts w:hint="eastAsia" w:ascii="宋体" w:hAnsi="宋体" w:cs="Arial"/>
          <w:color w:val="000000"/>
          <w:szCs w:val="21"/>
          <w:u w:val="single"/>
        </w:rPr>
        <w:t xml:space="preserve">北京市门头沟区清水镇人民政府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lang w:val="en-US" w:eastAsia="zh-CN"/>
        </w:rPr>
        <w:t xml:space="preserve"> </w:t>
      </w:r>
      <w:r>
        <w:rPr>
          <w:rFonts w:ascii="宋体" w:hAnsi="宋体"/>
          <w:color w:val="000000"/>
          <w:u w:val="single"/>
        </w:rPr>
        <w:t xml:space="preserve">      </w:t>
      </w:r>
      <w:r>
        <w:rPr>
          <w:rFonts w:hint="eastAsia" w:ascii="宋体" w:hAnsi="宋体"/>
          <w:color w:val="000000"/>
          <w:u w:val="single"/>
        </w:rPr>
        <w:t xml:space="preserve">   </w:t>
      </w:r>
    </w:p>
    <w:p>
      <w:pPr>
        <w:snapToGrid w:val="0"/>
        <w:spacing w:line="420" w:lineRule="auto"/>
        <w:rPr>
          <w:rFonts w:ascii="宋体" w:hAnsi="宋体"/>
          <w:color w:val="000000"/>
        </w:rPr>
      </w:pPr>
      <w:r>
        <w:rPr>
          <w:rFonts w:hint="eastAsia" w:ascii="宋体" w:hAnsi="宋体"/>
          <w:color w:val="000000"/>
        </w:rPr>
        <w:t>承包人：</w:t>
      </w:r>
      <w:r>
        <w:rPr>
          <w:rFonts w:hint="eastAsia" w:ascii="宋体" w:hAnsi="宋体"/>
          <w:color w:val="000000"/>
          <w:u w:val="single"/>
        </w:rPr>
        <w:t xml:space="preserve">     </w:t>
      </w:r>
      <w:r>
        <w:rPr>
          <w:rFonts w:hint="eastAsia" w:ascii="宋体" w:hAnsi="宋体"/>
          <w:color w:val="000000"/>
          <w:szCs w:val="21"/>
          <w:u w:val="single"/>
        </w:rPr>
        <w:t>北京玉河源水务建设有限公司</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pPr>
        <w:snapToGrid w:val="0"/>
        <w:spacing w:line="420" w:lineRule="auto"/>
        <w:ind w:firstLine="420" w:firstLineChars="200"/>
        <w:rPr>
          <w:rFonts w:ascii="宋体" w:hAnsi="宋体"/>
          <w:color w:val="000000"/>
        </w:rPr>
      </w:pPr>
    </w:p>
    <w:p>
      <w:pPr>
        <w:snapToGrid w:val="0"/>
        <w:spacing w:line="400" w:lineRule="exact"/>
        <w:ind w:firstLine="420" w:firstLineChars="200"/>
        <w:rPr>
          <w:rFonts w:ascii="宋体" w:hAnsi="宋体"/>
          <w:color w:val="000000"/>
          <w:szCs w:val="28"/>
        </w:rPr>
      </w:pPr>
      <w:r>
        <w:rPr>
          <w:rFonts w:ascii="宋体" w:hAnsi="宋体"/>
          <w:color w:val="000000"/>
          <w:szCs w:val="28"/>
        </w:rPr>
        <w:t>为加强建设工程廉政建设，规范</w:t>
      </w:r>
      <w:r>
        <w:rPr>
          <w:rFonts w:hint="eastAsia" w:ascii="宋体" w:hAnsi="宋体"/>
          <w:color w:val="000000"/>
          <w:szCs w:val="28"/>
        </w:rPr>
        <w:t>建设工程</w:t>
      </w:r>
      <w:r>
        <w:rPr>
          <w:rFonts w:ascii="宋体" w:hAnsi="宋体"/>
          <w:color w:val="000000"/>
          <w:szCs w:val="28"/>
        </w:rPr>
        <w:t>各项活动</w:t>
      </w:r>
      <w:r>
        <w:rPr>
          <w:rFonts w:hint="eastAsia" w:ascii="宋体" w:hAnsi="宋体"/>
          <w:color w:val="000000"/>
          <w:szCs w:val="28"/>
        </w:rPr>
        <w:t>中发包人承包人双方的行为</w:t>
      </w:r>
      <w:r>
        <w:rPr>
          <w:rFonts w:ascii="宋体" w:hAnsi="宋体"/>
          <w:color w:val="000000"/>
          <w:szCs w:val="28"/>
        </w:rPr>
        <w:t>，防止谋取不正当利益的违法违纪</w:t>
      </w:r>
      <w:r>
        <w:rPr>
          <w:rFonts w:hint="eastAsia" w:ascii="宋体" w:hAnsi="宋体"/>
          <w:color w:val="000000"/>
          <w:szCs w:val="28"/>
        </w:rPr>
        <w:t>现象的</w:t>
      </w:r>
      <w:r>
        <w:rPr>
          <w:rFonts w:ascii="宋体" w:hAnsi="宋体"/>
          <w:color w:val="000000"/>
          <w:szCs w:val="28"/>
        </w:rPr>
        <w:t>发生，保护国家、集体和当事人的合法权益，根据国家有关工程建设的法律法规和廉政建设</w:t>
      </w:r>
      <w:r>
        <w:rPr>
          <w:rFonts w:hint="eastAsia" w:ascii="宋体" w:hAnsi="宋体"/>
          <w:color w:val="000000"/>
          <w:szCs w:val="28"/>
        </w:rPr>
        <w:t>的有关规定</w:t>
      </w:r>
      <w:r>
        <w:rPr>
          <w:rFonts w:ascii="宋体" w:hAnsi="宋体"/>
          <w:color w:val="000000"/>
          <w:szCs w:val="28"/>
        </w:rPr>
        <w:t>，订立本廉政责任书。</w:t>
      </w:r>
    </w:p>
    <w:p>
      <w:pPr>
        <w:spacing w:line="400" w:lineRule="exact"/>
        <w:ind w:firstLine="420" w:firstLineChars="200"/>
        <w:rPr>
          <w:rFonts w:ascii="宋体" w:hAnsi="宋体"/>
          <w:color w:val="000000"/>
        </w:rPr>
      </w:pPr>
      <w:bookmarkStart w:id="983" w:name="_Toc480303502"/>
      <w:bookmarkStart w:id="984" w:name="_Toc479505775"/>
      <w:r>
        <w:rPr>
          <w:rFonts w:hint="eastAsia" w:ascii="宋体" w:hAnsi="宋体"/>
          <w:color w:val="000000"/>
        </w:rPr>
        <w:t>一、双方的责任</w:t>
      </w:r>
      <w:bookmarkEnd w:id="983"/>
      <w:bookmarkEnd w:id="984"/>
    </w:p>
    <w:p>
      <w:pPr>
        <w:snapToGrid w:val="0"/>
        <w:spacing w:line="400" w:lineRule="exact"/>
        <w:ind w:firstLine="420" w:firstLineChars="200"/>
        <w:rPr>
          <w:rFonts w:ascii="宋体" w:hAnsi="宋体"/>
          <w:color w:val="000000"/>
          <w:szCs w:val="28"/>
        </w:rPr>
      </w:pPr>
      <w:r>
        <w:rPr>
          <w:rFonts w:hint="eastAsia" w:ascii="宋体" w:hAnsi="宋体"/>
          <w:color w:val="000000"/>
          <w:szCs w:val="28"/>
        </w:rPr>
        <w:t>1</w:t>
      </w:r>
      <w:r>
        <w:rPr>
          <w:rFonts w:ascii="宋体" w:hAnsi="宋体"/>
          <w:color w:val="000000"/>
          <w:szCs w:val="28"/>
        </w:rPr>
        <w:t>.1</w:t>
      </w:r>
      <w:r>
        <w:rPr>
          <w:rFonts w:hint="eastAsia" w:ascii="宋体" w:hAnsi="宋体"/>
          <w:color w:val="000000"/>
          <w:szCs w:val="28"/>
        </w:rPr>
        <w:t xml:space="preserve"> </w:t>
      </w:r>
      <w:r>
        <w:rPr>
          <w:rFonts w:ascii="宋体" w:hAnsi="宋体"/>
          <w:color w:val="000000"/>
          <w:szCs w:val="28"/>
        </w:rPr>
        <w:t>应严格遵守国家关于</w:t>
      </w:r>
      <w:r>
        <w:rPr>
          <w:rFonts w:hint="eastAsia" w:ascii="宋体" w:hAnsi="宋体"/>
          <w:color w:val="000000"/>
          <w:szCs w:val="28"/>
        </w:rPr>
        <w:t>建设工程</w:t>
      </w:r>
      <w:r>
        <w:rPr>
          <w:rFonts w:ascii="宋体" w:hAnsi="宋体"/>
          <w:color w:val="000000"/>
          <w:szCs w:val="28"/>
        </w:rPr>
        <w:t>的有关法律、法规，相关政策，以及廉政建设的各项规定。</w:t>
      </w:r>
    </w:p>
    <w:p>
      <w:pPr>
        <w:snapToGrid w:val="0"/>
        <w:spacing w:line="400" w:lineRule="exact"/>
        <w:ind w:firstLine="420" w:firstLineChars="200"/>
        <w:rPr>
          <w:rFonts w:ascii="宋体" w:hAnsi="宋体"/>
          <w:color w:val="000000"/>
          <w:szCs w:val="28"/>
        </w:rPr>
      </w:pPr>
      <w:r>
        <w:rPr>
          <w:rFonts w:hint="eastAsia" w:ascii="宋体" w:hAnsi="宋体"/>
          <w:color w:val="000000"/>
          <w:szCs w:val="28"/>
        </w:rPr>
        <w:t>1</w:t>
      </w:r>
      <w:r>
        <w:rPr>
          <w:rFonts w:ascii="宋体" w:hAnsi="宋体"/>
          <w:color w:val="000000"/>
          <w:szCs w:val="28"/>
        </w:rPr>
        <w:t>.</w:t>
      </w:r>
      <w:r>
        <w:rPr>
          <w:rFonts w:hint="eastAsia" w:ascii="宋体" w:hAnsi="宋体"/>
          <w:color w:val="000000"/>
          <w:szCs w:val="28"/>
        </w:rPr>
        <w:t xml:space="preserve">2 </w:t>
      </w:r>
      <w:r>
        <w:rPr>
          <w:rFonts w:ascii="宋体" w:hAnsi="宋体"/>
          <w:color w:val="000000"/>
          <w:szCs w:val="28"/>
        </w:rPr>
        <w:t>严格执行建设工程合同文件，自觉按合同办事。</w:t>
      </w:r>
    </w:p>
    <w:p>
      <w:pPr>
        <w:snapToGrid w:val="0"/>
        <w:spacing w:line="400" w:lineRule="exact"/>
        <w:ind w:firstLine="420" w:firstLineChars="200"/>
        <w:rPr>
          <w:rFonts w:ascii="宋体" w:hAnsi="宋体"/>
          <w:color w:val="000000"/>
          <w:szCs w:val="28"/>
        </w:rPr>
      </w:pPr>
      <w:r>
        <w:rPr>
          <w:rFonts w:hint="eastAsia" w:ascii="宋体" w:hAnsi="宋体"/>
          <w:color w:val="000000"/>
          <w:szCs w:val="28"/>
        </w:rPr>
        <w:t>1</w:t>
      </w:r>
      <w:r>
        <w:rPr>
          <w:rFonts w:ascii="宋体" w:hAnsi="宋体"/>
          <w:color w:val="000000"/>
          <w:szCs w:val="28"/>
        </w:rPr>
        <w:t>.</w:t>
      </w:r>
      <w:r>
        <w:rPr>
          <w:rFonts w:hint="eastAsia" w:ascii="宋体" w:hAnsi="宋体"/>
          <w:color w:val="000000"/>
          <w:szCs w:val="28"/>
        </w:rPr>
        <w:t>3 各项</w:t>
      </w:r>
      <w:r>
        <w:rPr>
          <w:rFonts w:ascii="宋体" w:hAnsi="宋体"/>
          <w:color w:val="000000"/>
          <w:szCs w:val="28"/>
        </w:rPr>
        <w:t>活动必须坚持公开、公平、公正、诚信、透明的原则（除法律法规另有规定者外），不得为获取不正当的利益，损害国家、集体和对方利益，不得违反建设工程管理的规章制度。</w:t>
      </w:r>
    </w:p>
    <w:p>
      <w:pPr>
        <w:snapToGrid w:val="0"/>
        <w:spacing w:line="400" w:lineRule="exact"/>
        <w:ind w:firstLine="420" w:firstLineChars="200"/>
        <w:rPr>
          <w:rFonts w:ascii="宋体" w:hAnsi="宋体"/>
          <w:color w:val="000000"/>
          <w:szCs w:val="28"/>
        </w:rPr>
      </w:pPr>
      <w:r>
        <w:rPr>
          <w:rFonts w:hint="eastAsia" w:ascii="宋体" w:hAnsi="宋体"/>
          <w:color w:val="000000"/>
          <w:szCs w:val="28"/>
        </w:rPr>
        <w:t>1</w:t>
      </w:r>
      <w:r>
        <w:rPr>
          <w:rFonts w:ascii="宋体" w:hAnsi="宋体"/>
          <w:color w:val="000000"/>
          <w:szCs w:val="28"/>
        </w:rPr>
        <w:t>.</w:t>
      </w:r>
      <w:r>
        <w:rPr>
          <w:rFonts w:hint="eastAsia" w:ascii="宋体" w:hAnsi="宋体"/>
          <w:color w:val="000000"/>
          <w:szCs w:val="28"/>
        </w:rPr>
        <w:t xml:space="preserve">4 </w:t>
      </w:r>
      <w:r>
        <w:rPr>
          <w:rFonts w:ascii="宋体" w:hAnsi="宋体"/>
          <w:color w:val="000000"/>
          <w:szCs w:val="28"/>
        </w:rPr>
        <w:t>发现对方在业务活动中有违规、违纪、违法行为的，应及时提醒对方，情节严重的，应向其上级主管部门或纪检监察、司法等有关机关举报。</w:t>
      </w:r>
    </w:p>
    <w:p>
      <w:pPr>
        <w:spacing w:line="400" w:lineRule="exact"/>
        <w:ind w:firstLine="420" w:firstLineChars="200"/>
        <w:rPr>
          <w:rFonts w:ascii="宋体" w:hAnsi="宋体"/>
          <w:color w:val="000000"/>
        </w:rPr>
      </w:pPr>
      <w:bookmarkStart w:id="985" w:name="_Toc480303503"/>
      <w:bookmarkStart w:id="986" w:name="_Toc479505776"/>
      <w:r>
        <w:rPr>
          <w:rFonts w:hint="eastAsia" w:ascii="宋体" w:hAnsi="宋体"/>
          <w:color w:val="000000"/>
        </w:rPr>
        <w:t>二、发包人责任</w:t>
      </w:r>
      <w:bookmarkEnd w:id="985"/>
      <w:bookmarkEnd w:id="986"/>
    </w:p>
    <w:p>
      <w:pPr>
        <w:snapToGrid w:val="0"/>
        <w:spacing w:line="400" w:lineRule="exact"/>
        <w:ind w:firstLine="420" w:firstLineChars="200"/>
        <w:rPr>
          <w:rFonts w:ascii="宋体" w:hAnsi="宋体"/>
          <w:color w:val="000000"/>
          <w:szCs w:val="28"/>
        </w:rPr>
      </w:pPr>
      <w:r>
        <w:rPr>
          <w:rFonts w:ascii="宋体" w:hAnsi="宋体"/>
          <w:color w:val="000000"/>
          <w:szCs w:val="28"/>
        </w:rPr>
        <w:t>发包人的领导和从事该建设工程项目的工作人员，在工程建设的事前、事中、事后应遵守以下规定：</w:t>
      </w:r>
    </w:p>
    <w:p>
      <w:pPr>
        <w:snapToGrid w:val="0"/>
        <w:spacing w:line="400" w:lineRule="exact"/>
        <w:ind w:firstLine="420" w:firstLineChars="200"/>
        <w:rPr>
          <w:rFonts w:ascii="宋体" w:hAnsi="宋体"/>
          <w:color w:val="000000"/>
          <w:szCs w:val="28"/>
        </w:rPr>
      </w:pPr>
      <w:r>
        <w:rPr>
          <w:rFonts w:hint="eastAsia" w:ascii="宋体" w:hAnsi="宋体"/>
          <w:color w:val="000000"/>
          <w:szCs w:val="28"/>
        </w:rPr>
        <w:t>2</w:t>
      </w:r>
      <w:r>
        <w:rPr>
          <w:rFonts w:ascii="宋体" w:hAnsi="宋体"/>
          <w:color w:val="000000"/>
          <w:szCs w:val="28"/>
        </w:rPr>
        <w:t>.</w:t>
      </w:r>
      <w:r>
        <w:rPr>
          <w:rFonts w:hint="eastAsia" w:ascii="宋体" w:hAnsi="宋体"/>
          <w:color w:val="000000"/>
          <w:szCs w:val="28"/>
        </w:rPr>
        <w:t>1</w:t>
      </w:r>
      <w:r>
        <w:rPr>
          <w:rFonts w:ascii="宋体" w:hAnsi="宋体"/>
          <w:color w:val="000000"/>
          <w:szCs w:val="28"/>
        </w:rPr>
        <w:t>不得向承包人和相关单位索要或接受回扣、礼金、有价证券、贵重物品和好处费、感谢费等。</w:t>
      </w:r>
    </w:p>
    <w:p>
      <w:pPr>
        <w:spacing w:line="400" w:lineRule="exact"/>
        <w:ind w:firstLine="420" w:firstLineChars="200"/>
        <w:rPr>
          <w:rFonts w:ascii="宋体" w:hAnsi="宋体"/>
          <w:color w:val="000000"/>
        </w:rPr>
      </w:pPr>
      <w:bookmarkStart w:id="987" w:name="_Toc480303504"/>
      <w:bookmarkStart w:id="988" w:name="_Toc479505777"/>
      <w:r>
        <w:rPr>
          <w:rFonts w:hint="eastAsia" w:ascii="宋体" w:hAnsi="宋体"/>
          <w:color w:val="000000"/>
        </w:rPr>
        <w:t>2</w:t>
      </w:r>
      <w:r>
        <w:rPr>
          <w:rFonts w:ascii="宋体" w:hAnsi="宋体"/>
          <w:color w:val="000000"/>
        </w:rPr>
        <w:t>.</w:t>
      </w:r>
      <w:r>
        <w:rPr>
          <w:rFonts w:hint="eastAsia" w:ascii="宋体" w:hAnsi="宋体"/>
          <w:color w:val="000000"/>
        </w:rPr>
        <w:t xml:space="preserve">2 </w:t>
      </w:r>
      <w:r>
        <w:rPr>
          <w:rFonts w:ascii="宋体" w:hAnsi="宋体"/>
          <w:color w:val="000000"/>
        </w:rPr>
        <w:t>不得在承包人和相关单位报销任何应由发包人或个人支付的费用。</w:t>
      </w:r>
      <w:bookmarkEnd w:id="987"/>
      <w:bookmarkEnd w:id="988"/>
    </w:p>
    <w:p>
      <w:pPr>
        <w:spacing w:line="400" w:lineRule="exact"/>
        <w:ind w:firstLine="42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 xml:space="preserve">3 </w:t>
      </w:r>
      <w:r>
        <w:rPr>
          <w:rFonts w:ascii="宋体" w:hAnsi="宋体"/>
          <w:color w:val="000000"/>
        </w:rPr>
        <w:t>不得要求、暗示或接受承包人和相关单位为个人装修住房、婚丧嫁娶、配偶子女的工作安排以及出国（境）、旅游等提供方便。</w:t>
      </w:r>
    </w:p>
    <w:p>
      <w:pPr>
        <w:snapToGrid w:val="0"/>
        <w:spacing w:line="400" w:lineRule="exact"/>
        <w:ind w:firstLine="420" w:firstLineChars="200"/>
        <w:rPr>
          <w:rFonts w:ascii="宋体" w:hAnsi="宋体"/>
          <w:color w:val="000000"/>
          <w:szCs w:val="28"/>
        </w:rPr>
      </w:pPr>
      <w:r>
        <w:rPr>
          <w:rFonts w:hint="eastAsia" w:ascii="宋体" w:hAnsi="宋体"/>
          <w:color w:val="000000"/>
          <w:szCs w:val="28"/>
        </w:rPr>
        <w:t>2</w:t>
      </w:r>
      <w:r>
        <w:rPr>
          <w:rFonts w:ascii="宋体" w:hAnsi="宋体"/>
          <w:color w:val="000000"/>
          <w:szCs w:val="28"/>
        </w:rPr>
        <w:t>.</w:t>
      </w:r>
      <w:r>
        <w:rPr>
          <w:rFonts w:hint="eastAsia" w:ascii="宋体" w:hAnsi="宋体"/>
          <w:color w:val="000000"/>
          <w:szCs w:val="28"/>
        </w:rPr>
        <w:t xml:space="preserve">4 </w:t>
      </w:r>
      <w:r>
        <w:rPr>
          <w:rFonts w:ascii="宋体" w:hAnsi="宋体"/>
          <w:color w:val="000000"/>
          <w:szCs w:val="28"/>
        </w:rPr>
        <w:t>不得参加有可能影响公正执行公务的承包人和相关单位的宴请、健身、娱乐等活动。</w:t>
      </w:r>
    </w:p>
    <w:p>
      <w:pPr>
        <w:snapToGrid w:val="0"/>
        <w:spacing w:line="400" w:lineRule="exact"/>
        <w:ind w:firstLine="420" w:firstLineChars="200"/>
        <w:rPr>
          <w:rFonts w:ascii="宋体" w:hAnsi="宋体"/>
          <w:color w:val="000000"/>
          <w:szCs w:val="28"/>
        </w:rPr>
      </w:pPr>
      <w:r>
        <w:rPr>
          <w:rFonts w:hint="eastAsia" w:ascii="宋体" w:hAnsi="宋体"/>
          <w:color w:val="000000"/>
          <w:szCs w:val="28"/>
        </w:rPr>
        <w:t>2</w:t>
      </w:r>
      <w:r>
        <w:rPr>
          <w:rFonts w:ascii="宋体" w:hAnsi="宋体"/>
          <w:color w:val="000000"/>
          <w:szCs w:val="28"/>
        </w:rPr>
        <w:t>.</w:t>
      </w:r>
      <w:r>
        <w:rPr>
          <w:rFonts w:hint="eastAsia" w:ascii="宋体" w:hAnsi="宋体"/>
          <w:color w:val="000000"/>
          <w:szCs w:val="28"/>
        </w:rPr>
        <w:t xml:space="preserve">5 </w:t>
      </w:r>
      <w:r>
        <w:rPr>
          <w:rFonts w:ascii="宋体" w:hAnsi="宋体"/>
          <w:color w:val="000000"/>
          <w:szCs w:val="28"/>
        </w:rPr>
        <w:t>不得向承包人和相关单位介绍或为配偶、子女、亲属参与同发包人</w:t>
      </w:r>
      <w:r>
        <w:rPr>
          <w:rFonts w:hint="eastAsia" w:ascii="宋体" w:hAnsi="宋体"/>
          <w:color w:val="000000"/>
          <w:szCs w:val="28"/>
        </w:rPr>
        <w:t>工程建设管理</w:t>
      </w:r>
      <w:r>
        <w:rPr>
          <w:rFonts w:ascii="宋体" w:hAnsi="宋体"/>
          <w:color w:val="000000"/>
          <w:szCs w:val="28"/>
        </w:rPr>
        <w:t>合同有关的业务活动</w:t>
      </w:r>
      <w:r>
        <w:rPr>
          <w:rFonts w:hint="eastAsia" w:ascii="宋体" w:hAnsi="宋体"/>
          <w:color w:val="000000"/>
          <w:szCs w:val="28"/>
        </w:rPr>
        <w:t>；</w:t>
      </w:r>
      <w:r>
        <w:rPr>
          <w:rFonts w:ascii="宋体" w:hAnsi="宋体"/>
          <w:color w:val="000000"/>
          <w:szCs w:val="28"/>
        </w:rPr>
        <w:t>不得以任何理由要求承包人和相关单位使用某种产品、材料和设备。</w:t>
      </w:r>
    </w:p>
    <w:p>
      <w:pPr>
        <w:spacing w:line="400" w:lineRule="exact"/>
        <w:ind w:firstLine="420" w:firstLineChars="200"/>
        <w:rPr>
          <w:rFonts w:ascii="宋体" w:hAnsi="宋体"/>
          <w:color w:val="000000"/>
        </w:rPr>
      </w:pPr>
      <w:bookmarkStart w:id="989" w:name="_Toc480303505"/>
      <w:bookmarkStart w:id="990" w:name="_Toc479505778"/>
      <w:r>
        <w:rPr>
          <w:rFonts w:hint="eastAsia" w:ascii="宋体" w:hAnsi="宋体"/>
          <w:color w:val="000000"/>
        </w:rPr>
        <w:t>三、承包人责任</w:t>
      </w:r>
      <w:bookmarkEnd w:id="989"/>
      <w:bookmarkEnd w:id="990"/>
    </w:p>
    <w:p>
      <w:pPr>
        <w:snapToGrid w:val="0"/>
        <w:spacing w:line="400" w:lineRule="exact"/>
        <w:ind w:firstLine="420" w:firstLineChars="200"/>
        <w:rPr>
          <w:rFonts w:ascii="宋体" w:hAnsi="宋体"/>
          <w:color w:val="000000"/>
          <w:szCs w:val="28"/>
        </w:rPr>
      </w:pPr>
      <w:r>
        <w:rPr>
          <w:rFonts w:ascii="宋体" w:hAnsi="宋体"/>
          <w:color w:val="000000"/>
          <w:szCs w:val="28"/>
        </w:rPr>
        <w:t>应与发包人保持正常的业务交往，按照有关法律法规和程序开展业务工作，严格执行工程建设的有关方针、政策，</w:t>
      </w:r>
      <w:r>
        <w:rPr>
          <w:rFonts w:hint="eastAsia" w:ascii="宋体" w:hAnsi="宋体"/>
          <w:color w:val="000000"/>
          <w:szCs w:val="28"/>
        </w:rPr>
        <w:t>执行工程建设</w:t>
      </w:r>
      <w:r>
        <w:rPr>
          <w:rFonts w:ascii="宋体" w:hAnsi="宋体"/>
          <w:color w:val="000000"/>
          <w:szCs w:val="28"/>
        </w:rPr>
        <w:t>强制性标准，并遵守以下规定：</w:t>
      </w:r>
    </w:p>
    <w:p>
      <w:pPr>
        <w:snapToGrid w:val="0"/>
        <w:spacing w:line="400" w:lineRule="exact"/>
        <w:ind w:firstLine="420" w:firstLineChars="200"/>
        <w:rPr>
          <w:rFonts w:ascii="宋体" w:hAnsi="宋体"/>
          <w:color w:val="000000"/>
          <w:szCs w:val="28"/>
        </w:rPr>
      </w:pPr>
      <w:r>
        <w:rPr>
          <w:rFonts w:hint="eastAsia" w:ascii="宋体" w:hAnsi="宋体"/>
          <w:color w:val="000000"/>
          <w:szCs w:val="28"/>
        </w:rPr>
        <w:t>3</w:t>
      </w:r>
      <w:r>
        <w:rPr>
          <w:rFonts w:ascii="宋体" w:hAnsi="宋体"/>
          <w:color w:val="000000"/>
          <w:szCs w:val="28"/>
        </w:rPr>
        <w:t>.</w:t>
      </w:r>
      <w:r>
        <w:rPr>
          <w:rFonts w:hint="eastAsia" w:ascii="宋体" w:hAnsi="宋体"/>
          <w:color w:val="000000"/>
          <w:szCs w:val="28"/>
        </w:rPr>
        <w:t xml:space="preserve">1 </w:t>
      </w:r>
      <w:r>
        <w:rPr>
          <w:rFonts w:ascii="宋体" w:hAnsi="宋体"/>
          <w:color w:val="000000"/>
          <w:szCs w:val="28"/>
        </w:rPr>
        <w:t>不得以任何理由向发包人及其工作人员索要、接受或赠送礼金、有价证券、贵重物品及回扣、好处费、感谢费等。</w:t>
      </w:r>
    </w:p>
    <w:p>
      <w:pPr>
        <w:snapToGrid w:val="0"/>
        <w:spacing w:line="400" w:lineRule="exact"/>
        <w:ind w:firstLine="420" w:firstLineChars="200"/>
        <w:rPr>
          <w:rFonts w:ascii="宋体" w:hAnsi="宋体"/>
          <w:color w:val="000000"/>
          <w:szCs w:val="28"/>
        </w:rPr>
      </w:pPr>
      <w:r>
        <w:rPr>
          <w:rFonts w:hint="eastAsia" w:ascii="宋体" w:hAnsi="宋体"/>
          <w:color w:val="000000"/>
          <w:szCs w:val="28"/>
        </w:rPr>
        <w:t>3</w:t>
      </w:r>
      <w:r>
        <w:rPr>
          <w:rFonts w:ascii="宋体" w:hAnsi="宋体"/>
          <w:color w:val="000000"/>
          <w:szCs w:val="28"/>
        </w:rPr>
        <w:t>.</w:t>
      </w:r>
      <w:r>
        <w:rPr>
          <w:rFonts w:hint="eastAsia" w:ascii="宋体" w:hAnsi="宋体"/>
          <w:color w:val="000000"/>
          <w:szCs w:val="28"/>
        </w:rPr>
        <w:t>2</w:t>
      </w:r>
      <w:r>
        <w:rPr>
          <w:rFonts w:ascii="宋体" w:hAnsi="宋体"/>
          <w:color w:val="000000"/>
          <w:szCs w:val="28"/>
        </w:rPr>
        <w:t>不得以任何理由为发包人和相关单位报销应由对方或个人支付的费用。</w:t>
      </w:r>
    </w:p>
    <w:p>
      <w:pPr>
        <w:snapToGrid w:val="0"/>
        <w:spacing w:line="400" w:lineRule="exact"/>
        <w:ind w:firstLine="420" w:firstLineChars="200"/>
        <w:rPr>
          <w:rFonts w:ascii="宋体" w:hAnsi="宋体"/>
          <w:color w:val="000000"/>
          <w:szCs w:val="28"/>
        </w:rPr>
      </w:pPr>
      <w:r>
        <w:rPr>
          <w:rFonts w:hint="eastAsia" w:ascii="宋体" w:hAnsi="宋体"/>
          <w:color w:val="000000"/>
          <w:szCs w:val="28"/>
        </w:rPr>
        <w:t>3</w:t>
      </w:r>
      <w:r>
        <w:rPr>
          <w:rFonts w:ascii="宋体" w:hAnsi="宋体"/>
          <w:color w:val="000000"/>
          <w:szCs w:val="28"/>
        </w:rPr>
        <w:t>.</w:t>
      </w:r>
      <w:r>
        <w:rPr>
          <w:rFonts w:hint="eastAsia" w:ascii="宋体" w:hAnsi="宋体"/>
          <w:color w:val="000000"/>
          <w:szCs w:val="28"/>
        </w:rPr>
        <w:t>3</w:t>
      </w:r>
      <w:r>
        <w:rPr>
          <w:rFonts w:ascii="宋体" w:hAnsi="宋体"/>
          <w:color w:val="000000"/>
          <w:szCs w:val="28"/>
        </w:rPr>
        <w:t>不得接受或暗示为发包人、相关单位或个人装修住房、婚丧嫁娶、配偶子女的工作安排以及出国（境）、旅游等提供方便。</w:t>
      </w:r>
    </w:p>
    <w:p>
      <w:pPr>
        <w:snapToGrid w:val="0"/>
        <w:spacing w:line="400" w:lineRule="exact"/>
        <w:ind w:firstLine="420" w:firstLineChars="200"/>
        <w:rPr>
          <w:rFonts w:ascii="宋体" w:hAnsi="宋体"/>
          <w:color w:val="000000"/>
          <w:szCs w:val="28"/>
        </w:rPr>
      </w:pPr>
      <w:r>
        <w:rPr>
          <w:rFonts w:hint="eastAsia" w:ascii="宋体" w:hAnsi="宋体"/>
          <w:color w:val="000000"/>
          <w:szCs w:val="28"/>
        </w:rPr>
        <w:t>3</w:t>
      </w:r>
      <w:r>
        <w:rPr>
          <w:rFonts w:ascii="宋体" w:hAnsi="宋体"/>
          <w:color w:val="000000"/>
          <w:szCs w:val="28"/>
        </w:rPr>
        <w:t>.</w:t>
      </w:r>
      <w:r>
        <w:rPr>
          <w:rFonts w:hint="eastAsia" w:ascii="宋体" w:hAnsi="宋体"/>
          <w:color w:val="000000"/>
          <w:szCs w:val="28"/>
        </w:rPr>
        <w:t>4</w:t>
      </w:r>
      <w:r>
        <w:rPr>
          <w:rFonts w:ascii="宋体" w:hAnsi="宋体"/>
          <w:color w:val="000000"/>
          <w:szCs w:val="28"/>
        </w:rPr>
        <w:t>不得以任何理由为发包人、相关单位或个人组织有可能影响公正执行公务的宴请、健身、娱乐等活动。</w:t>
      </w:r>
    </w:p>
    <w:p>
      <w:pPr>
        <w:spacing w:line="400" w:lineRule="exact"/>
        <w:ind w:firstLine="420" w:firstLineChars="200"/>
        <w:rPr>
          <w:rFonts w:ascii="宋体" w:hAnsi="宋体"/>
          <w:color w:val="000000"/>
        </w:rPr>
      </w:pPr>
      <w:bookmarkStart w:id="991" w:name="_Toc479505779"/>
      <w:bookmarkStart w:id="992" w:name="_Toc480303506"/>
      <w:r>
        <w:rPr>
          <w:rFonts w:hint="eastAsia" w:ascii="宋体" w:hAnsi="宋体"/>
          <w:color w:val="000000"/>
        </w:rPr>
        <w:t>四、违约责任</w:t>
      </w:r>
      <w:bookmarkEnd w:id="991"/>
      <w:bookmarkEnd w:id="992"/>
    </w:p>
    <w:p>
      <w:pPr>
        <w:snapToGrid w:val="0"/>
        <w:spacing w:line="400" w:lineRule="exact"/>
        <w:ind w:firstLine="420" w:firstLineChars="200"/>
        <w:rPr>
          <w:rFonts w:ascii="宋体" w:hAnsi="宋体"/>
          <w:color w:val="000000"/>
          <w:szCs w:val="28"/>
        </w:rPr>
      </w:pPr>
      <w:r>
        <w:rPr>
          <w:rFonts w:hint="eastAsia" w:ascii="宋体" w:hAnsi="宋体"/>
          <w:color w:val="000000"/>
          <w:szCs w:val="28"/>
        </w:rPr>
        <w:t>4</w:t>
      </w:r>
      <w:r>
        <w:rPr>
          <w:rFonts w:ascii="宋体" w:hAnsi="宋体"/>
          <w:color w:val="000000"/>
          <w:szCs w:val="28"/>
        </w:rPr>
        <w:t>.</w:t>
      </w:r>
      <w:r>
        <w:rPr>
          <w:rFonts w:hint="eastAsia" w:ascii="宋体" w:hAnsi="宋体"/>
          <w:color w:val="000000"/>
          <w:szCs w:val="28"/>
        </w:rPr>
        <w:t>1</w:t>
      </w:r>
      <w:r>
        <w:rPr>
          <w:rFonts w:ascii="宋体" w:hAnsi="宋体"/>
          <w:color w:val="000000"/>
          <w:szCs w:val="28"/>
        </w:rPr>
        <w:t>发包人工作人员有违反本责任书第一、二条责任行为的，依据有关法律</w:t>
      </w:r>
      <w:r>
        <w:rPr>
          <w:rFonts w:hint="eastAsia" w:ascii="宋体" w:hAnsi="宋体"/>
          <w:color w:val="000000"/>
          <w:szCs w:val="28"/>
        </w:rPr>
        <w:t>、</w:t>
      </w:r>
      <w:r>
        <w:rPr>
          <w:rFonts w:ascii="宋体" w:hAnsi="宋体"/>
          <w:color w:val="000000"/>
          <w:szCs w:val="28"/>
        </w:rPr>
        <w:t>法规给予处理；涉嫌犯罪的，移交司法机关追究刑事责任；给承包人单位造成经济损失的，应予以赔偿。</w:t>
      </w:r>
    </w:p>
    <w:p>
      <w:pPr>
        <w:snapToGrid w:val="0"/>
        <w:spacing w:line="400" w:lineRule="exact"/>
        <w:ind w:firstLine="420" w:firstLineChars="200"/>
        <w:rPr>
          <w:rFonts w:ascii="宋体" w:hAnsi="宋体"/>
          <w:color w:val="000000"/>
          <w:szCs w:val="28"/>
        </w:rPr>
      </w:pPr>
      <w:r>
        <w:rPr>
          <w:rFonts w:hint="eastAsia" w:ascii="宋体" w:hAnsi="宋体"/>
          <w:color w:val="000000"/>
          <w:szCs w:val="28"/>
        </w:rPr>
        <w:t>4</w:t>
      </w:r>
      <w:r>
        <w:rPr>
          <w:rFonts w:ascii="宋体" w:hAnsi="宋体"/>
          <w:color w:val="000000"/>
          <w:szCs w:val="28"/>
        </w:rPr>
        <w:t>.</w:t>
      </w:r>
      <w:r>
        <w:rPr>
          <w:rFonts w:hint="eastAsia" w:ascii="宋体" w:hAnsi="宋体"/>
          <w:color w:val="000000"/>
          <w:szCs w:val="28"/>
        </w:rPr>
        <w:t xml:space="preserve">2 </w:t>
      </w:r>
      <w:r>
        <w:rPr>
          <w:rFonts w:ascii="宋体" w:hAnsi="宋体"/>
          <w:color w:val="000000"/>
          <w:szCs w:val="28"/>
        </w:rPr>
        <w:t>承包人工作人员有违反本责任书第一、三条责任行为的，依据有关法律法规处理；涉嫌犯罪的，移交司法机关追究刑事责任；给发包人单位造成经济损失的，应予以赔偿。</w:t>
      </w:r>
    </w:p>
    <w:p>
      <w:pPr>
        <w:snapToGrid w:val="0"/>
        <w:spacing w:line="400" w:lineRule="exact"/>
        <w:ind w:firstLine="420" w:firstLineChars="200"/>
        <w:rPr>
          <w:rFonts w:ascii="宋体" w:hAnsi="宋体"/>
          <w:color w:val="000000"/>
          <w:szCs w:val="28"/>
        </w:rPr>
      </w:pPr>
      <w:r>
        <w:rPr>
          <w:rFonts w:hint="eastAsia" w:ascii="宋体" w:hAnsi="宋体"/>
          <w:color w:val="000000"/>
          <w:szCs w:val="28"/>
        </w:rPr>
        <w:t>4</w:t>
      </w:r>
      <w:r>
        <w:rPr>
          <w:rFonts w:ascii="宋体" w:hAnsi="宋体"/>
          <w:color w:val="000000"/>
          <w:szCs w:val="28"/>
        </w:rPr>
        <w:t>.</w:t>
      </w:r>
      <w:r>
        <w:rPr>
          <w:rFonts w:hint="eastAsia" w:ascii="宋体" w:hAnsi="宋体"/>
          <w:color w:val="000000"/>
          <w:szCs w:val="28"/>
        </w:rPr>
        <w:t xml:space="preserve">3 </w:t>
      </w:r>
      <w:r>
        <w:rPr>
          <w:rFonts w:ascii="宋体" w:hAnsi="宋体"/>
          <w:color w:val="000000"/>
          <w:szCs w:val="28"/>
        </w:rPr>
        <w:t>本责任书作为</w:t>
      </w:r>
      <w:r>
        <w:rPr>
          <w:rFonts w:hint="eastAsia" w:ascii="宋体" w:hAnsi="宋体"/>
          <w:color w:val="000000"/>
          <w:szCs w:val="28"/>
        </w:rPr>
        <w:t>建设</w:t>
      </w:r>
      <w:r>
        <w:rPr>
          <w:rFonts w:ascii="宋体" w:hAnsi="宋体"/>
          <w:color w:val="000000"/>
          <w:szCs w:val="28"/>
        </w:rPr>
        <w:t>工程合同的</w:t>
      </w:r>
      <w:r>
        <w:rPr>
          <w:rFonts w:hint="eastAsia" w:ascii="宋体" w:hAnsi="宋体"/>
          <w:color w:val="000000"/>
          <w:szCs w:val="28"/>
        </w:rPr>
        <w:t>组成部分</w:t>
      </w:r>
      <w:r>
        <w:rPr>
          <w:rFonts w:ascii="宋体" w:hAnsi="宋体"/>
          <w:color w:val="000000"/>
          <w:szCs w:val="28"/>
        </w:rPr>
        <w:t>，与</w:t>
      </w:r>
      <w:r>
        <w:rPr>
          <w:rFonts w:hint="eastAsia" w:ascii="宋体" w:hAnsi="宋体"/>
          <w:color w:val="000000"/>
          <w:szCs w:val="28"/>
        </w:rPr>
        <w:t>建设</w:t>
      </w:r>
      <w:r>
        <w:rPr>
          <w:rFonts w:ascii="宋体" w:hAnsi="宋体"/>
          <w:color w:val="000000"/>
          <w:szCs w:val="28"/>
        </w:rPr>
        <w:t>工程合同具有同等法律效力。经双方签署后立即生效。</w:t>
      </w:r>
    </w:p>
    <w:p>
      <w:pPr>
        <w:spacing w:line="400" w:lineRule="exact"/>
        <w:ind w:firstLine="420" w:firstLineChars="200"/>
        <w:rPr>
          <w:rFonts w:ascii="宋体" w:hAnsi="宋体"/>
          <w:color w:val="000000"/>
        </w:rPr>
      </w:pPr>
      <w:bookmarkStart w:id="993" w:name="_Toc480303507"/>
      <w:bookmarkStart w:id="994" w:name="_Toc479505780"/>
      <w:r>
        <w:rPr>
          <w:rFonts w:hint="eastAsia" w:ascii="宋体" w:hAnsi="宋体"/>
          <w:color w:val="000000"/>
        </w:rPr>
        <w:t>五、责任书有效期</w:t>
      </w:r>
      <w:bookmarkEnd w:id="993"/>
      <w:bookmarkEnd w:id="994"/>
    </w:p>
    <w:p>
      <w:pPr>
        <w:snapToGrid w:val="0"/>
        <w:spacing w:line="400" w:lineRule="exact"/>
        <w:ind w:firstLine="420" w:firstLineChars="200"/>
        <w:rPr>
          <w:rFonts w:ascii="宋体" w:hAnsi="宋体"/>
          <w:color w:val="000000"/>
          <w:szCs w:val="28"/>
        </w:rPr>
      </w:pPr>
      <w:r>
        <w:rPr>
          <w:rFonts w:ascii="宋体" w:hAnsi="宋体"/>
          <w:color w:val="000000"/>
          <w:szCs w:val="28"/>
        </w:rPr>
        <w:t>本责任书的有效期为双方签署之日起至该工程项目竣工验收合格时止。</w:t>
      </w:r>
    </w:p>
    <w:p>
      <w:pPr>
        <w:spacing w:line="400" w:lineRule="exact"/>
        <w:ind w:firstLine="420" w:firstLineChars="200"/>
        <w:rPr>
          <w:rFonts w:ascii="宋体" w:hAnsi="宋体"/>
          <w:color w:val="000000"/>
        </w:rPr>
      </w:pPr>
      <w:bookmarkStart w:id="995" w:name="_Toc480303508"/>
      <w:bookmarkStart w:id="996" w:name="_Toc479505781"/>
      <w:r>
        <w:rPr>
          <w:rFonts w:hint="eastAsia" w:ascii="宋体" w:hAnsi="宋体"/>
          <w:color w:val="000000"/>
        </w:rPr>
        <w:t>六、责任书份数</w:t>
      </w:r>
      <w:bookmarkEnd w:id="995"/>
      <w:bookmarkEnd w:id="996"/>
    </w:p>
    <w:p>
      <w:pPr>
        <w:snapToGrid w:val="0"/>
        <w:spacing w:line="400" w:lineRule="exact"/>
        <w:ind w:firstLine="420" w:firstLineChars="200"/>
        <w:rPr>
          <w:rFonts w:ascii="宋体" w:hAnsi="宋体"/>
          <w:color w:val="000000"/>
          <w:szCs w:val="28"/>
        </w:rPr>
      </w:pPr>
      <w:r>
        <w:rPr>
          <w:rFonts w:ascii="宋体" w:hAnsi="宋体"/>
          <w:color w:val="000000"/>
          <w:szCs w:val="28"/>
        </w:rPr>
        <w:t>本责任书一式</w:t>
      </w:r>
      <w:r>
        <w:rPr>
          <w:rFonts w:hint="eastAsia" w:ascii="宋体" w:hAnsi="宋体"/>
          <w:color w:val="000000"/>
          <w:szCs w:val="28"/>
        </w:rPr>
        <w:t>二</w:t>
      </w:r>
      <w:r>
        <w:rPr>
          <w:rFonts w:ascii="宋体" w:hAnsi="宋体"/>
          <w:color w:val="000000"/>
          <w:szCs w:val="28"/>
        </w:rPr>
        <w:t>份，</w:t>
      </w:r>
      <w:r>
        <w:rPr>
          <w:rFonts w:hint="eastAsia" w:ascii="宋体" w:hAnsi="宋体"/>
          <w:color w:val="000000"/>
          <w:szCs w:val="28"/>
        </w:rPr>
        <w:t>发包人承包人</w:t>
      </w:r>
      <w:r>
        <w:rPr>
          <w:rFonts w:ascii="宋体" w:hAnsi="宋体"/>
          <w:color w:val="000000"/>
          <w:szCs w:val="28"/>
        </w:rPr>
        <w:t>各执一份，</w:t>
      </w:r>
      <w:r>
        <w:rPr>
          <w:rFonts w:hint="eastAsia" w:ascii="宋体" w:hAnsi="宋体"/>
          <w:color w:val="000000"/>
          <w:szCs w:val="28"/>
        </w:rPr>
        <w:t>具有同等效力</w:t>
      </w:r>
      <w:r>
        <w:rPr>
          <w:rFonts w:ascii="宋体" w:hAnsi="宋体"/>
          <w:color w:val="000000"/>
          <w:szCs w:val="28"/>
        </w:rPr>
        <w:t>。</w:t>
      </w:r>
    </w:p>
    <w:p>
      <w:pPr>
        <w:snapToGrid w:val="0"/>
        <w:spacing w:line="400" w:lineRule="exact"/>
        <w:rPr>
          <w:rFonts w:ascii="宋体" w:hAnsi="宋体"/>
          <w:color w:val="000000"/>
          <w:szCs w:val="28"/>
        </w:rPr>
      </w:pPr>
    </w:p>
    <w:p>
      <w:pPr>
        <w:snapToGrid w:val="0"/>
        <w:spacing w:line="400" w:lineRule="exact"/>
        <w:rPr>
          <w:rFonts w:ascii="宋体" w:hAnsi="宋体"/>
          <w:color w:val="000000"/>
        </w:rPr>
      </w:pPr>
      <w:r>
        <w:rPr>
          <w:rFonts w:hint="eastAsia" w:ascii="宋体" w:hAnsi="宋体"/>
          <w:color w:val="000000"/>
        </w:rPr>
        <w:t>发包人：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（公章）   承包人：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 xml:space="preserve">（公章） </w:t>
      </w:r>
    </w:p>
    <w:p>
      <w:pPr>
        <w:snapToGrid w:val="0"/>
        <w:spacing w:line="400" w:lineRule="exact"/>
        <w:ind w:left="6720" w:hanging="6720" w:hangingChars="3200"/>
        <w:rPr>
          <w:rFonts w:ascii="宋体" w:hAnsi="宋体"/>
          <w:color w:val="000000"/>
        </w:rPr>
      </w:pPr>
      <w:r>
        <w:rPr>
          <w:rFonts w:hint="eastAsia" w:ascii="宋体" w:hAnsi="宋体"/>
          <w:color w:val="000000"/>
        </w:rPr>
        <w:t>法定地址：</w:t>
      </w:r>
      <w:r>
        <w:rPr>
          <w:rFonts w:hint="eastAsia" w:ascii="宋体" w:hAnsi="宋体"/>
          <w:color w:val="000000"/>
          <w:u w:val="single"/>
        </w:rPr>
        <w:t xml:space="preserve"> 北京市门头沟区清水镇上清水村河西60号 </w:t>
      </w:r>
      <w:r>
        <w:rPr>
          <w:rFonts w:ascii="宋体" w:hAnsi="宋体"/>
          <w:color w:val="000000"/>
        </w:rPr>
        <w:t xml:space="preserve">    </w:t>
      </w:r>
      <w:r>
        <w:rPr>
          <w:rFonts w:hint="eastAsia" w:ascii="宋体" w:hAnsi="宋体"/>
          <w:color w:val="000000"/>
        </w:rPr>
        <w:t>法定地址：</w:t>
      </w:r>
      <w:r>
        <w:rPr>
          <w:rFonts w:hint="eastAsia" w:ascii="宋体" w:hAnsi="宋体"/>
          <w:color w:val="000000"/>
          <w:u w:val="single"/>
        </w:rPr>
        <w:t xml:space="preserve">  </w:t>
      </w:r>
      <w:r>
        <w:rPr>
          <w:rFonts w:hint="eastAsia" w:ascii="宋体" w:hAnsi="宋体"/>
          <w:color w:val="000000"/>
          <w:szCs w:val="21"/>
          <w:u w:val="single"/>
          <w:lang w:eastAsia="zh-CN"/>
        </w:rPr>
        <w:t>北京市门头沟区色树坟粮库</w:t>
      </w:r>
      <w:r>
        <w:rPr>
          <w:rFonts w:hint="eastAsia" w:ascii="宋体" w:hAnsi="宋体"/>
          <w:color w:val="000000"/>
          <w:szCs w:val="21"/>
          <w:u w:val="single"/>
          <w:lang w:val="en-US" w:eastAsia="zh-CN"/>
        </w:rPr>
        <w:t>4号</w:t>
      </w:r>
    </w:p>
    <w:p>
      <w:pPr>
        <w:snapToGrid w:val="0"/>
        <w:spacing w:line="400" w:lineRule="exact"/>
        <w:rPr>
          <w:rFonts w:ascii="宋体" w:hAnsi="宋体"/>
          <w:color w:val="000000"/>
        </w:rPr>
      </w:pPr>
      <w:r>
        <w:rPr>
          <w:rFonts w:hint="eastAsia" w:ascii="宋体" w:hAnsi="宋体"/>
          <w:color w:val="000000"/>
        </w:rPr>
        <w:t>法定代表人或其                       法定代表人或其</w:t>
      </w:r>
    </w:p>
    <w:p>
      <w:pPr>
        <w:snapToGrid w:val="0"/>
        <w:spacing w:line="400" w:lineRule="exact"/>
        <w:rPr>
          <w:rFonts w:ascii="宋体" w:hAnsi="宋体"/>
          <w:color w:val="000000"/>
        </w:rPr>
      </w:pPr>
      <w:r>
        <w:rPr>
          <w:rFonts w:hint="eastAsia" w:ascii="宋体" w:hAnsi="宋体"/>
          <w:color w:val="000000"/>
        </w:rPr>
        <w:t>委托代理人：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 xml:space="preserve">（签字） </w:t>
      </w:r>
      <w:r>
        <w:rPr>
          <w:rFonts w:ascii="宋体" w:hAnsi="宋体"/>
          <w:color w:val="000000"/>
        </w:rPr>
        <w:t xml:space="preserve"> </w:t>
      </w:r>
      <w:r>
        <w:rPr>
          <w:rFonts w:hint="eastAsia" w:ascii="宋体" w:hAnsi="宋体"/>
          <w:color w:val="000000"/>
        </w:rPr>
        <w:t>委托代理人：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（签字）</w:t>
      </w:r>
    </w:p>
    <w:p>
      <w:pPr>
        <w:snapToGrid w:val="0"/>
        <w:spacing w:line="400" w:lineRule="exact"/>
        <w:rPr>
          <w:rFonts w:ascii="宋体" w:hAnsi="宋体"/>
          <w:color w:val="000000"/>
        </w:rPr>
      </w:pPr>
      <w:r>
        <w:rPr>
          <w:rFonts w:hint="eastAsia" w:ascii="宋体" w:hAnsi="宋体"/>
          <w:color w:val="000000"/>
        </w:rPr>
        <w:t>电话：</w:t>
      </w:r>
      <w:r>
        <w:rPr>
          <w:rFonts w:hint="eastAsia" w:ascii="宋体" w:hAnsi="宋体"/>
          <w:color w:val="000000"/>
          <w:u w:val="single"/>
        </w:rPr>
        <w:t xml:space="preserve">    61826319</w:t>
      </w:r>
      <w:r>
        <w:rPr>
          <w:rFonts w:hint="eastAsia" w:ascii="宋体" w:hAnsi="宋体"/>
          <w:color w:val="000000"/>
          <w:u w:val="single"/>
          <w:lang w:val="en-US" w:eastAsia="zh-CN"/>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电话：</w:t>
      </w:r>
      <w:r>
        <w:rPr>
          <w:rFonts w:hint="eastAsia" w:ascii="宋体" w:hAnsi="宋体"/>
          <w:color w:val="000000"/>
          <w:u w:val="single"/>
        </w:rPr>
        <w:t xml:space="preserve">  </w:t>
      </w:r>
      <w:r>
        <w:rPr>
          <w:rFonts w:hint="eastAsia" w:ascii="宋体" w:hAnsi="宋体"/>
          <w:color w:val="000000"/>
          <w:u w:val="single"/>
          <w:lang w:val="en-US" w:eastAsia="zh-CN"/>
        </w:rPr>
        <w:t>60802432</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pPr>
        <w:snapToGrid w:val="0"/>
        <w:spacing w:line="400" w:lineRule="exact"/>
        <w:rPr>
          <w:rFonts w:ascii="宋体" w:hAnsi="宋体"/>
          <w:color w:val="000000"/>
        </w:rPr>
      </w:pPr>
      <w:r>
        <w:rPr>
          <w:rFonts w:hint="eastAsia" w:ascii="宋体" w:hAnsi="宋体"/>
          <w:color w:val="000000"/>
        </w:rPr>
        <w:t>传真：</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传真：</w:t>
      </w:r>
      <w:r>
        <w:rPr>
          <w:rFonts w:hint="eastAsia" w:ascii="宋体" w:hAnsi="宋体"/>
          <w:color w:val="000000"/>
          <w:u w:val="single"/>
        </w:rPr>
        <w:t xml:space="preserve">  </w:t>
      </w:r>
      <w:r>
        <w:rPr>
          <w:rFonts w:hint="eastAsia" w:ascii="宋体" w:hAnsi="宋体"/>
          <w:color w:val="000000"/>
          <w:u w:val="single"/>
          <w:lang w:val="en-US" w:eastAsia="zh-CN"/>
        </w:rPr>
        <w:t>60802432</w:t>
      </w:r>
      <w:r>
        <w:rPr>
          <w:rFonts w:ascii="宋体" w:hAnsi="宋体"/>
          <w:color w:val="000000"/>
          <w:u w:val="single"/>
        </w:rPr>
        <w:t xml:space="preserve">             </w:t>
      </w:r>
      <w:r>
        <w:rPr>
          <w:rFonts w:hint="eastAsia" w:ascii="宋体" w:hAnsi="宋体"/>
          <w:color w:val="000000"/>
          <w:u w:val="single"/>
          <w:lang w:val="en-US" w:eastAsia="zh-CN"/>
        </w:rPr>
        <w:t xml:space="preserve">  </w:t>
      </w:r>
      <w:r>
        <w:rPr>
          <w:rFonts w:ascii="宋体" w:hAnsi="宋体"/>
          <w:color w:val="000000"/>
          <w:u w:val="single"/>
        </w:rPr>
        <w:t xml:space="preserve"> </w:t>
      </w:r>
      <w:r>
        <w:rPr>
          <w:rFonts w:hint="eastAsia" w:ascii="宋体" w:hAnsi="宋体"/>
          <w:color w:val="000000"/>
          <w:u w:val="single"/>
        </w:rPr>
        <w:t xml:space="preserve">     </w:t>
      </w:r>
    </w:p>
    <w:p>
      <w:pPr>
        <w:snapToGrid w:val="0"/>
        <w:spacing w:line="400" w:lineRule="exact"/>
        <w:rPr>
          <w:rFonts w:ascii="宋体" w:hAnsi="宋体"/>
          <w:color w:val="000000"/>
        </w:rPr>
      </w:pPr>
      <w:r>
        <w:rPr>
          <w:rFonts w:hint="eastAsia" w:ascii="宋体" w:hAnsi="宋体"/>
          <w:color w:val="000000"/>
        </w:rPr>
        <w:t>电子邮箱：</w:t>
      </w:r>
      <w:r>
        <w:rPr>
          <w:rFonts w:hint="eastAsia" w:ascii="宋体" w:hAnsi="宋体"/>
          <w:color w:val="000000"/>
          <w:u w:val="single"/>
        </w:rPr>
        <w:t xml:space="preserve">                        </w:t>
      </w:r>
      <w:r>
        <w:rPr>
          <w:rFonts w:hint="eastAsia" w:ascii="宋体" w:hAnsi="宋体"/>
          <w:color w:val="000000"/>
        </w:rPr>
        <w:t xml:space="preserve">   电子邮箱：</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lang w:val="en-US" w:eastAsia="zh-CN"/>
        </w:rPr>
        <w:t>/</w:t>
      </w:r>
      <w:r>
        <w:rPr>
          <w:rFonts w:ascii="宋体" w:hAnsi="宋体"/>
          <w:color w:val="000000"/>
          <w:u w:val="single"/>
        </w:rPr>
        <w:t xml:space="preserve">    </w:t>
      </w:r>
      <w:r>
        <w:rPr>
          <w:rFonts w:hint="eastAsia" w:ascii="宋体" w:hAnsi="宋体"/>
          <w:color w:val="000000"/>
          <w:u w:val="single"/>
        </w:rPr>
        <w:t xml:space="preserve">       </w:t>
      </w:r>
    </w:p>
    <w:p>
      <w:pPr>
        <w:snapToGrid w:val="0"/>
        <w:spacing w:line="400" w:lineRule="exact"/>
        <w:rPr>
          <w:rFonts w:ascii="宋体" w:hAnsi="宋体"/>
          <w:color w:val="000000"/>
        </w:rPr>
      </w:pPr>
      <w:r>
        <w:rPr>
          <w:rFonts w:hint="eastAsia" w:ascii="宋体" w:hAnsi="宋体"/>
          <w:color w:val="000000"/>
        </w:rPr>
        <w:t>开户银行：</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开户银行：</w:t>
      </w:r>
      <w:r>
        <w:rPr>
          <w:rFonts w:hint="eastAsia" w:ascii="宋体" w:hAnsi="宋体"/>
          <w:color w:val="000000"/>
          <w:u w:val="single"/>
        </w:rPr>
        <w:t xml:space="preserve">   </w:t>
      </w:r>
      <w:r>
        <w:rPr>
          <w:rFonts w:hint="eastAsia" w:ascii="宋体" w:hAnsi="宋体"/>
          <w:color w:val="000000"/>
          <w:u w:val="single"/>
          <w:lang w:eastAsia="zh-CN"/>
        </w:rPr>
        <w:t>农行门头沟支行</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u w:val="single"/>
        </w:rPr>
        <w:t xml:space="preserve">   </w:t>
      </w:r>
    </w:p>
    <w:p>
      <w:pPr>
        <w:snapToGrid w:val="0"/>
        <w:spacing w:line="400" w:lineRule="exact"/>
        <w:rPr>
          <w:rFonts w:ascii="宋体" w:hAnsi="宋体"/>
          <w:color w:val="000000"/>
        </w:rPr>
      </w:pPr>
      <w:r>
        <w:rPr>
          <w:rFonts w:hint="eastAsia" w:ascii="宋体" w:hAnsi="宋体"/>
          <w:color w:val="000000"/>
        </w:rPr>
        <w:t>帐号：</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帐号：</w:t>
      </w:r>
      <w:r>
        <w:rPr>
          <w:rFonts w:hint="eastAsia" w:ascii="宋体" w:hAnsi="宋体"/>
          <w:color w:val="000000"/>
          <w:u w:val="single"/>
        </w:rPr>
        <w:t xml:space="preserve">   11031601040030932   </w:t>
      </w:r>
      <w:r>
        <w:rPr>
          <w:rFonts w:hint="eastAsia" w:ascii="宋体" w:hAnsi="宋体"/>
          <w:color w:val="000000"/>
          <w:u w:val="single"/>
          <w:lang w:val="en-US" w:eastAsia="zh-CN"/>
        </w:rPr>
        <w:t xml:space="preserve">    </w:t>
      </w:r>
      <w:r>
        <w:rPr>
          <w:rFonts w:hint="eastAsia" w:ascii="宋体" w:hAnsi="宋体"/>
          <w:color w:val="000000"/>
          <w:u w:val="single"/>
        </w:rPr>
        <w:t xml:space="preserve">    </w:t>
      </w:r>
    </w:p>
    <w:p>
      <w:pPr>
        <w:snapToGrid w:val="0"/>
        <w:spacing w:line="400" w:lineRule="exact"/>
        <w:rPr>
          <w:rFonts w:ascii="宋体" w:hAnsi="宋体"/>
          <w:color w:val="000000"/>
        </w:rPr>
      </w:pPr>
      <w:r>
        <w:rPr>
          <w:rFonts w:hint="eastAsia" w:ascii="宋体" w:hAnsi="宋体"/>
          <w:color w:val="000000"/>
        </w:rPr>
        <w:t>邮政编码：</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 xml:space="preserve"> 邮政编码：</w:t>
      </w:r>
      <w:r>
        <w:rPr>
          <w:rFonts w:hint="eastAsia" w:ascii="宋体" w:hAnsi="宋体"/>
          <w:color w:val="000000"/>
          <w:u w:val="single"/>
        </w:rPr>
        <w:t xml:space="preserve">   </w:t>
      </w:r>
      <w:r>
        <w:rPr>
          <w:rFonts w:hint="eastAsia" w:ascii="宋体" w:hAnsi="宋体"/>
          <w:color w:val="000000"/>
          <w:u w:val="single"/>
          <w:lang w:val="en-US" w:eastAsia="zh-CN"/>
        </w:rPr>
        <w:t>102300</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rPr>
        <w:t xml:space="preserve"> </w:t>
      </w:r>
    </w:p>
    <w:p>
      <w:pPr>
        <w:spacing w:line="400" w:lineRule="exact"/>
        <w:rPr>
          <w:rFonts w:ascii="宋体" w:hAnsi="宋体"/>
          <w:color w:val="000000"/>
        </w:rPr>
      </w:pPr>
      <w:r>
        <w:rPr>
          <w:rFonts w:hint="eastAsia" w:ascii="宋体" w:hAnsi="宋体"/>
          <w:color w:val="000000"/>
        </w:rPr>
        <w:t>监督单位：</w:t>
      </w:r>
      <w:r>
        <w:rPr>
          <w:rFonts w:hint="eastAsia" w:ascii="宋体" w:hAnsi="宋体"/>
          <w:color w:val="000000"/>
          <w:u w:val="single"/>
        </w:rPr>
        <w:t xml:space="preserve">                  </w:t>
      </w:r>
      <w:r>
        <w:rPr>
          <w:rFonts w:hint="eastAsia" w:ascii="宋体" w:hAnsi="宋体"/>
          <w:color w:val="000000"/>
        </w:rPr>
        <w:t>（盖章） 监督单位：</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（盖章）</w:t>
      </w:r>
    </w:p>
    <w:p>
      <w:pPr>
        <w:pStyle w:val="2"/>
      </w:pPr>
    </w:p>
    <w:p>
      <w:pPr>
        <w:pStyle w:val="2"/>
      </w:pPr>
    </w:p>
    <w:p>
      <w:pPr>
        <w:pStyle w:val="2"/>
      </w:pPr>
    </w:p>
    <w:p>
      <w:pPr>
        <w:pStyle w:val="2"/>
      </w:pPr>
    </w:p>
    <w:p>
      <w:pPr>
        <w:pStyle w:val="2"/>
      </w:pPr>
    </w:p>
    <w:bookmarkEnd w:id="2"/>
    <w:bookmarkEnd w:id="3"/>
    <w:bookmarkEnd w:id="4"/>
    <w:p/>
    <w:sectPr>
      <w:headerReference r:id="rId9" w:type="default"/>
      <w:footerReference r:id="rId10" w:type="default"/>
      <w:pgSz w:w="11907" w:h="16840"/>
      <w:pgMar w:top="1440" w:right="1797" w:bottom="1440" w:left="1701" w:header="720" w:footer="113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aco">
    <w:altName w:val="Courier New"/>
    <w:panose1 w:val="020B0509030404040204"/>
    <w:charset w:val="00"/>
    <w:family w:val="modern"/>
    <w:pitch w:val="default"/>
    <w:sig w:usb0="00000000" w:usb1="00000000" w:usb2="00000000" w:usb3="00000000" w:csb0="00000001" w:csb1="00000000"/>
  </w:font>
  <w:font w:name="serif">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FontAwesome">
    <w:altName w:val="微软雅黑"/>
    <w:panose1 w:val="00000000000000000000"/>
    <w:charset w:val="00"/>
    <w:family w:val="auto"/>
    <w:pitch w:val="default"/>
    <w:sig w:usb0="00000000" w:usb1="00000000" w:usb2="00000000" w:usb3="00000000" w:csb0="00040001" w:csb1="00000000"/>
  </w:font>
  <w:font w:name="Formata">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
                            <w:jc w:val="center"/>
                          </w:pPr>
                          <w:r>
                            <w:fldChar w:fldCharType="begin"/>
                          </w:r>
                          <w:r>
                            <w:instrText xml:space="preserve"> PAGE   \* MERGEFORMAT </w:instrText>
                          </w:r>
                          <w:r>
                            <w:fldChar w:fldCharType="separate"/>
                          </w:r>
                          <w:r>
                            <w:rPr>
                              <w:lang w:val="zh-CN"/>
                            </w:rPr>
                            <w:t>56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3YS90QsCAAACBAAADgAAAAAAAAABACAAAAAfAQAA&#10;ZHJzL2Uyb0RvYy54bWxQSwUGAAAAAAYABgBZAQAAnAU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
                          </w:pPr>
                          <w:r>
                            <w:fldChar w:fldCharType="begin"/>
                          </w:r>
                          <w:r>
                            <w:instrText xml:space="preserve"> PAGE  \* MERGEFORMAT </w:instrText>
                          </w:r>
                          <w:r>
                            <w:fldChar w:fldCharType="separate"/>
                          </w:r>
                          <w:r>
                            <w:t>77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nRlvHCgIAAAQEAAAOAAAAAAAAAAEAIAAAAB8BAABk&#10;cnMvZTJvRG9jLnhtbFBLBQYAAAAABgAGAFkBAACb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76</w:t>
    </w:r>
    <w:r>
      <w:rPr>
        <w:lang w:val="zh-CN"/>
      </w:rPr>
      <w:fldChar w:fldCharType="end"/>
    </w:r>
  </w:p>
  <w:p>
    <w:pPr>
      <w:pStyle w:val="2"/>
      <w:tabs>
        <w:tab w:val="left" w:pos="4668"/>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9525"/>
              <wp:wrapNone/>
              <wp:docPr id="11" name="文本框 1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pPr>
                            <w:pStyle w:val="2"/>
                            <w:rPr>
                              <w:rStyle w:val="53"/>
                            </w:rPr>
                          </w:pPr>
                          <w:r>
                            <w:fldChar w:fldCharType="begin"/>
                          </w:r>
                          <w:r>
                            <w:rPr>
                              <w:rStyle w:val="53"/>
                            </w:rPr>
                            <w:instrText xml:space="preserve">PAGE  </w:instrText>
                          </w:r>
                          <w:r>
                            <w:fldChar w:fldCharType="separate"/>
                          </w:r>
                          <w:r>
                            <w:rPr>
                              <w:rStyle w:val="53"/>
                            </w:rPr>
                            <w:t>130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ldDlzwAAAAMBAAAPAAAAAAAAAAEAIAAAACIAAABkcnMvZG93bnJldi54bWxQ&#10;SwECFAAUAAAACACHTuJAzvpBeMcBAACNAwAADgAAAAAAAAABACAAAAAeAQAAZHJzL2Uyb0RvYy54&#10;bWxQSwUGAAAAAAYABgBZAQAAVwUAAAAA&#10;">
              <v:fill on="f" focussize="0,0"/>
              <v:stroke on="f"/>
              <v:imagedata o:title=""/>
              <o:lock v:ext="edit" aspectratio="f"/>
              <v:textbox inset="0mm,0mm,0mm,0mm" style="mso-fit-shape-to-text:t;">
                <w:txbxContent>
                  <w:p>
                    <w:pPr>
                      <w:pStyle w:val="2"/>
                      <w:rPr>
                        <w:rStyle w:val="53"/>
                      </w:rPr>
                    </w:pPr>
                    <w:r>
                      <w:fldChar w:fldCharType="begin"/>
                    </w:r>
                    <w:r>
                      <w:rPr>
                        <w:rStyle w:val="53"/>
                      </w:rPr>
                      <w:instrText xml:space="preserve">PAGE  </w:instrText>
                    </w:r>
                    <w:r>
                      <w:fldChar w:fldCharType="separate"/>
                    </w:r>
                    <w:r>
                      <w:rPr>
                        <w:rStyle w:val="53"/>
                      </w:rPr>
                      <w:t>130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spacing w:after="84"/>
      <w:rPr>
        <w:sz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C08AD"/>
    <w:multiLevelType w:val="multilevel"/>
    <w:tmpl w:val="09CC08AD"/>
    <w:lvl w:ilvl="0" w:tentative="0">
      <w:start w:val="11"/>
      <w:numFmt w:val="decimal"/>
      <w:lvlText w:val="%1"/>
      <w:lvlJc w:val="left"/>
      <w:pPr>
        <w:ind w:left="420" w:hanging="420"/>
      </w:pPr>
      <w:rPr>
        <w:rFonts w:hint="default"/>
      </w:rPr>
    </w:lvl>
    <w:lvl w:ilvl="1" w:tentative="0">
      <w:start w:val="2"/>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
    <w:nsid w:val="163058E4"/>
    <w:multiLevelType w:val="multilevel"/>
    <w:tmpl w:val="163058E4"/>
    <w:lvl w:ilvl="0" w:tentative="0">
      <w:start w:val="4"/>
      <w:numFmt w:val="decimal"/>
      <w:lvlText w:val="%1"/>
      <w:lvlJc w:val="left"/>
      <w:pPr>
        <w:ind w:hanging="737"/>
      </w:pPr>
      <w:rPr>
        <w:rFonts w:hint="default"/>
      </w:rPr>
    </w:lvl>
    <w:lvl w:ilvl="1" w:tentative="0">
      <w:start w:val="1"/>
      <w:numFmt w:val="decimal"/>
      <w:lvlText w:val="%1.%2"/>
      <w:lvlJc w:val="left"/>
      <w:pPr>
        <w:ind w:hanging="737"/>
      </w:pPr>
      <w:rPr>
        <w:rFonts w:hint="default"/>
      </w:rPr>
    </w:lvl>
    <w:lvl w:ilvl="2" w:tentative="0">
      <w:start w:val="1"/>
      <w:numFmt w:val="decimal"/>
      <w:lvlText w:val="%1.%2.%3"/>
      <w:lvlJc w:val="left"/>
      <w:pPr>
        <w:ind w:hanging="737"/>
      </w:pPr>
      <w:rPr>
        <w:rFonts w:hint="default" w:ascii="宋体" w:hAnsi="宋体" w:eastAsia="宋体"/>
        <w:sz w:val="21"/>
        <w:szCs w:val="21"/>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2">
    <w:nsid w:val="24A34389"/>
    <w:multiLevelType w:val="multilevel"/>
    <w:tmpl w:val="24A34389"/>
    <w:lvl w:ilvl="0" w:tentative="0">
      <w:start w:val="1"/>
      <w:numFmt w:val="decimal"/>
      <w:lvlText w:val="%1"/>
      <w:lvlJc w:val="left"/>
      <w:pPr>
        <w:ind w:left="525" w:hanging="525"/>
      </w:pPr>
      <w:rPr>
        <w:rFonts w:hint="default"/>
      </w:rPr>
    </w:lvl>
    <w:lvl w:ilvl="1" w:tentative="0">
      <w:start w:val="1"/>
      <w:numFmt w:val="decimal"/>
      <w:lvlText w:val="%1.%2"/>
      <w:lvlJc w:val="left"/>
      <w:pPr>
        <w:ind w:left="525" w:hanging="525"/>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
    <w:nsid w:val="3ABF74B4"/>
    <w:multiLevelType w:val="multilevel"/>
    <w:tmpl w:val="3ABF74B4"/>
    <w:lvl w:ilvl="0" w:tentative="0">
      <w:start w:val="18"/>
      <w:numFmt w:val="decimal"/>
      <w:lvlText w:val="%1"/>
      <w:lvlJc w:val="left"/>
      <w:pPr>
        <w:ind w:left="420" w:hanging="420"/>
      </w:pPr>
      <w:rPr>
        <w:rFonts w:hint="default"/>
      </w:rPr>
    </w:lvl>
    <w:lvl w:ilvl="1" w:tentative="0">
      <w:start w:val="6"/>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
    <w:nsid w:val="44FC3251"/>
    <w:multiLevelType w:val="multilevel"/>
    <w:tmpl w:val="44FC3251"/>
    <w:lvl w:ilvl="0" w:tentative="0">
      <w:start w:val="17"/>
      <w:numFmt w:val="decimal"/>
      <w:lvlText w:val="%1"/>
      <w:lvlJc w:val="left"/>
      <w:pPr>
        <w:ind w:hanging="720"/>
      </w:pPr>
      <w:rPr>
        <w:rFonts w:hint="default"/>
      </w:rPr>
    </w:lvl>
    <w:lvl w:ilvl="1" w:tentative="0">
      <w:start w:val="1"/>
      <w:numFmt w:val="decimal"/>
      <w:lvlText w:val="%1.%2"/>
      <w:lvlJc w:val="left"/>
      <w:pPr>
        <w:ind w:hanging="720"/>
      </w:pPr>
      <w:rPr>
        <w:rFonts w:hint="default" w:ascii="宋体" w:hAnsi="宋体" w:eastAsia="宋体"/>
        <w:sz w:val="24"/>
        <w:szCs w:val="24"/>
      </w:rPr>
    </w:lvl>
    <w:lvl w:ilvl="2" w:tentative="0">
      <w:start w:val="1"/>
      <w:numFmt w:val="decimal"/>
      <w:lvlText w:val="%1.%2.%3"/>
      <w:lvlJc w:val="left"/>
      <w:pPr>
        <w:ind w:hanging="843"/>
      </w:pPr>
      <w:rPr>
        <w:rFonts w:hint="default" w:ascii="宋体" w:hAnsi="宋体" w:eastAsia="宋体"/>
        <w:sz w:val="21"/>
        <w:szCs w:val="21"/>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5">
    <w:nsid w:val="46074A6C"/>
    <w:multiLevelType w:val="multilevel"/>
    <w:tmpl w:val="46074A6C"/>
    <w:lvl w:ilvl="0" w:tentative="0">
      <w:start w:val="16"/>
      <w:numFmt w:val="decimal"/>
      <w:lvlText w:val="%1"/>
      <w:lvlJc w:val="left"/>
      <w:pPr>
        <w:ind w:hanging="946"/>
      </w:pPr>
      <w:rPr>
        <w:rFonts w:hint="default"/>
      </w:rPr>
    </w:lvl>
    <w:lvl w:ilvl="1" w:tentative="0">
      <w:start w:val="1"/>
      <w:numFmt w:val="decimal"/>
      <w:lvlText w:val="%1.%2"/>
      <w:lvlJc w:val="left"/>
      <w:pPr>
        <w:ind w:hanging="946"/>
      </w:pPr>
      <w:rPr>
        <w:rFonts w:hint="default"/>
      </w:rPr>
    </w:lvl>
    <w:lvl w:ilvl="2" w:tentative="0">
      <w:start w:val="1"/>
      <w:numFmt w:val="decimal"/>
      <w:lvlText w:val="%1.%2.%3"/>
      <w:lvlJc w:val="left"/>
      <w:pPr>
        <w:ind w:hanging="946"/>
      </w:pPr>
      <w:rPr>
        <w:rFonts w:hint="default"/>
      </w:rPr>
    </w:lvl>
    <w:lvl w:ilvl="3" w:tentative="0">
      <w:start w:val="1"/>
      <w:numFmt w:val="decimal"/>
      <w:lvlText w:val="%1.%2.%3.%4"/>
      <w:lvlJc w:val="left"/>
      <w:pPr>
        <w:ind w:hanging="946"/>
      </w:pPr>
      <w:rPr>
        <w:rFonts w:hint="default" w:ascii="宋体" w:hAnsi="宋体" w:eastAsia="宋体"/>
        <w:sz w:val="21"/>
        <w:szCs w:val="21"/>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6">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202"/>
      <w:suff w:val="nothing"/>
      <w:lvlText w:val="%2. "/>
      <w:lvlJc w:val="left"/>
      <w:rPr>
        <w:rFonts w:hint="eastAsia"/>
        <w:b w:val="0"/>
        <w:i w:val="0"/>
        <w:sz w:val="24"/>
      </w:rPr>
    </w:lvl>
    <w:lvl w:ilvl="2" w:tentative="0">
      <w:start w:val="1"/>
      <w:numFmt w:val="none"/>
      <w:pStyle w:val="5"/>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7">
    <w:nsid w:val="572602AB"/>
    <w:multiLevelType w:val="multilevel"/>
    <w:tmpl w:val="572602AB"/>
    <w:lvl w:ilvl="0" w:tentative="0">
      <w:start w:val="4"/>
      <w:numFmt w:val="decimal"/>
      <w:lvlText w:val="%1"/>
      <w:lvlJc w:val="left"/>
      <w:pPr>
        <w:ind w:left="630" w:hanging="630"/>
      </w:pPr>
      <w:rPr>
        <w:rFonts w:hint="default"/>
      </w:rPr>
    </w:lvl>
    <w:lvl w:ilvl="1" w:tentative="0">
      <w:start w:val="3"/>
      <w:numFmt w:val="decimal"/>
      <w:lvlText w:val="%1.%2"/>
      <w:lvlJc w:val="left"/>
      <w:pPr>
        <w:ind w:left="840" w:hanging="630"/>
      </w:pPr>
      <w:rPr>
        <w:rFonts w:hint="default"/>
      </w:rPr>
    </w:lvl>
    <w:lvl w:ilvl="2" w:tentative="0">
      <w:start w:val="10"/>
      <w:numFmt w:val="decimal"/>
      <w:lvlText w:val="%1.%2.%3"/>
      <w:lvlJc w:val="left"/>
      <w:pPr>
        <w:ind w:left="1140" w:hanging="72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2700" w:hanging="1440"/>
      </w:pPr>
      <w:rPr>
        <w:rFonts w:hint="default"/>
      </w:rPr>
    </w:lvl>
    <w:lvl w:ilvl="7" w:tentative="0">
      <w:start w:val="1"/>
      <w:numFmt w:val="decimal"/>
      <w:lvlText w:val="%1.%2.%3.%4.%5.%6.%7.%8"/>
      <w:lvlJc w:val="left"/>
      <w:pPr>
        <w:ind w:left="3270" w:hanging="1800"/>
      </w:pPr>
      <w:rPr>
        <w:rFonts w:hint="default"/>
      </w:rPr>
    </w:lvl>
    <w:lvl w:ilvl="8" w:tentative="0">
      <w:start w:val="1"/>
      <w:numFmt w:val="decimal"/>
      <w:lvlText w:val="%1.%2.%3.%4.%5.%6.%7.%8.%9"/>
      <w:lvlJc w:val="left"/>
      <w:pPr>
        <w:ind w:left="3480" w:hanging="1800"/>
      </w:pPr>
      <w:rPr>
        <w:rFonts w:hint="default"/>
      </w:rPr>
    </w:lvl>
  </w:abstractNum>
  <w:abstractNum w:abstractNumId="8">
    <w:nsid w:val="61F070C7"/>
    <w:multiLevelType w:val="multilevel"/>
    <w:tmpl w:val="61F070C7"/>
    <w:lvl w:ilvl="0" w:tentative="0">
      <w:start w:val="15"/>
      <w:numFmt w:val="decimal"/>
      <w:lvlText w:val="%1"/>
      <w:lvlJc w:val="left"/>
      <w:pPr>
        <w:ind w:left="420" w:hanging="420"/>
      </w:pPr>
      <w:rPr>
        <w:rFonts w:hint="default"/>
      </w:rPr>
    </w:lvl>
    <w:lvl w:ilvl="1" w:tentative="0">
      <w:start w:val="3"/>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699E0E44"/>
    <w:multiLevelType w:val="multilevel"/>
    <w:tmpl w:val="699E0E44"/>
    <w:lvl w:ilvl="0" w:tentative="0">
      <w:start w:val="15"/>
      <w:numFmt w:val="decimal"/>
      <w:lvlText w:val="%1"/>
      <w:lvlJc w:val="left"/>
      <w:pPr>
        <w:ind w:left="420" w:hanging="420"/>
      </w:pPr>
      <w:rPr>
        <w:rFonts w:hint="default"/>
      </w:rPr>
    </w:lvl>
    <w:lvl w:ilvl="1" w:tentative="0">
      <w:start w:val="6"/>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7FD85456"/>
    <w:multiLevelType w:val="multilevel"/>
    <w:tmpl w:val="7FD85456"/>
    <w:lvl w:ilvl="0" w:tentative="0">
      <w:start w:val="1"/>
      <w:numFmt w:val="decimal"/>
      <w:lvlText w:val="%1"/>
      <w:lvlJc w:val="left"/>
      <w:pPr>
        <w:ind w:left="360" w:hanging="360"/>
      </w:pPr>
      <w:rPr>
        <w:rFonts w:hint="default"/>
      </w:rPr>
    </w:lvl>
    <w:lvl w:ilvl="1" w:tentative="0">
      <w:start w:val="8"/>
      <w:numFmt w:val="decimal"/>
      <w:lvlText w:val="%1.%2"/>
      <w:lvlJc w:val="left"/>
      <w:pPr>
        <w:ind w:left="360" w:hanging="360"/>
      </w:pPr>
      <w:rPr>
        <w:rFonts w:hint="default"/>
        <w:sz w:val="24"/>
        <w:szCs w:val="24"/>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6"/>
  </w:num>
  <w:num w:numId="2">
    <w:abstractNumId w:val="2"/>
  </w:num>
  <w:num w:numId="3">
    <w:abstractNumId w:val="10"/>
  </w:num>
  <w:num w:numId="4">
    <w:abstractNumId w:val="1"/>
  </w:num>
  <w:num w:numId="5">
    <w:abstractNumId w:val="7"/>
  </w:num>
  <w:num w:numId="6">
    <w:abstractNumId w:val="0"/>
  </w:num>
  <w:num w:numId="7">
    <w:abstractNumId w:val="8"/>
  </w:num>
  <w:num w:numId="8">
    <w:abstractNumId w:val="9"/>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NmViNDZmNjU5ZDA4ZDAzYzY0YjJhZmExNGZiN2MifQ=="/>
  </w:docVars>
  <w:rsids>
    <w:rsidRoot w:val="001B587D"/>
    <w:rsid w:val="0000450D"/>
    <w:rsid w:val="000362C7"/>
    <w:rsid w:val="0008707C"/>
    <w:rsid w:val="000A3F13"/>
    <w:rsid w:val="000D1DCB"/>
    <w:rsid w:val="00131B00"/>
    <w:rsid w:val="00186C31"/>
    <w:rsid w:val="001B2BAF"/>
    <w:rsid w:val="001B587D"/>
    <w:rsid w:val="001E7409"/>
    <w:rsid w:val="00212379"/>
    <w:rsid w:val="002E2963"/>
    <w:rsid w:val="002E7FBA"/>
    <w:rsid w:val="002F634F"/>
    <w:rsid w:val="00327257"/>
    <w:rsid w:val="00343E4E"/>
    <w:rsid w:val="00360F0B"/>
    <w:rsid w:val="003F4624"/>
    <w:rsid w:val="003F518E"/>
    <w:rsid w:val="00444926"/>
    <w:rsid w:val="004D5593"/>
    <w:rsid w:val="00507170"/>
    <w:rsid w:val="00522DF3"/>
    <w:rsid w:val="005446AF"/>
    <w:rsid w:val="00595464"/>
    <w:rsid w:val="005A02B4"/>
    <w:rsid w:val="005C2F4C"/>
    <w:rsid w:val="005D4F11"/>
    <w:rsid w:val="00617884"/>
    <w:rsid w:val="00630EC1"/>
    <w:rsid w:val="006332D7"/>
    <w:rsid w:val="00647BF5"/>
    <w:rsid w:val="00673A3C"/>
    <w:rsid w:val="00682BA2"/>
    <w:rsid w:val="00693BFE"/>
    <w:rsid w:val="006E4A0B"/>
    <w:rsid w:val="006F01A1"/>
    <w:rsid w:val="007352DA"/>
    <w:rsid w:val="00764FFD"/>
    <w:rsid w:val="00780D61"/>
    <w:rsid w:val="0078247E"/>
    <w:rsid w:val="0078474A"/>
    <w:rsid w:val="007B2B15"/>
    <w:rsid w:val="007C1772"/>
    <w:rsid w:val="007E3672"/>
    <w:rsid w:val="007F0B9C"/>
    <w:rsid w:val="00843A95"/>
    <w:rsid w:val="008819AB"/>
    <w:rsid w:val="00892823"/>
    <w:rsid w:val="008D3362"/>
    <w:rsid w:val="008E1B37"/>
    <w:rsid w:val="009332CD"/>
    <w:rsid w:val="00954A56"/>
    <w:rsid w:val="009654F0"/>
    <w:rsid w:val="00971622"/>
    <w:rsid w:val="00A118C1"/>
    <w:rsid w:val="00A36496"/>
    <w:rsid w:val="00A62A1A"/>
    <w:rsid w:val="00A663DD"/>
    <w:rsid w:val="00A67184"/>
    <w:rsid w:val="00A87E0F"/>
    <w:rsid w:val="00AE2250"/>
    <w:rsid w:val="00AF65C0"/>
    <w:rsid w:val="00B04AC3"/>
    <w:rsid w:val="00B6594A"/>
    <w:rsid w:val="00B91685"/>
    <w:rsid w:val="00BA2398"/>
    <w:rsid w:val="00BB0EA1"/>
    <w:rsid w:val="00BE0226"/>
    <w:rsid w:val="00C4344C"/>
    <w:rsid w:val="00C77A99"/>
    <w:rsid w:val="00CA5FC3"/>
    <w:rsid w:val="00CC23B1"/>
    <w:rsid w:val="00CF010D"/>
    <w:rsid w:val="00D12CEC"/>
    <w:rsid w:val="00D1572B"/>
    <w:rsid w:val="00D277C6"/>
    <w:rsid w:val="00D538A6"/>
    <w:rsid w:val="00D7545C"/>
    <w:rsid w:val="00DC3B8C"/>
    <w:rsid w:val="00E43F0A"/>
    <w:rsid w:val="00EE2AB7"/>
    <w:rsid w:val="00EE4CFB"/>
    <w:rsid w:val="00F43ACD"/>
    <w:rsid w:val="00FA32F2"/>
    <w:rsid w:val="00FC3EDD"/>
    <w:rsid w:val="02963DFC"/>
    <w:rsid w:val="07F868D8"/>
    <w:rsid w:val="0E575662"/>
    <w:rsid w:val="1C691811"/>
    <w:rsid w:val="1EC3731A"/>
    <w:rsid w:val="1F3C0753"/>
    <w:rsid w:val="2E344F90"/>
    <w:rsid w:val="3151539B"/>
    <w:rsid w:val="370F58D6"/>
    <w:rsid w:val="422910C5"/>
    <w:rsid w:val="43D72AD3"/>
    <w:rsid w:val="46D67EF3"/>
    <w:rsid w:val="56FD19A9"/>
    <w:rsid w:val="58F776F1"/>
    <w:rsid w:val="5954169E"/>
    <w:rsid w:val="6E1718F2"/>
    <w:rsid w:val="7A9B4983"/>
    <w:rsid w:val="7D0F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4"/>
    <w:qFormat/>
    <w:uiPriority w:val="0"/>
    <w:pPr>
      <w:keepNext/>
      <w:keepLines/>
      <w:spacing w:before="120" w:after="120"/>
      <w:jc w:val="center"/>
      <w:outlineLvl w:val="0"/>
    </w:pPr>
    <w:rPr>
      <w:b/>
      <w:kern w:val="44"/>
      <w:sz w:val="44"/>
    </w:rPr>
  </w:style>
  <w:style w:type="paragraph" w:styleId="4">
    <w:name w:val="heading 2"/>
    <w:basedOn w:val="1"/>
    <w:next w:val="1"/>
    <w:link w:val="66"/>
    <w:qFormat/>
    <w:uiPriority w:val="0"/>
    <w:pPr>
      <w:keepNext/>
      <w:keepLines/>
      <w:adjustRightInd w:val="0"/>
      <w:spacing w:before="240" w:line="360" w:lineRule="auto"/>
      <w:jc w:val="center"/>
      <w:textAlignment w:val="baseline"/>
      <w:outlineLvl w:val="1"/>
    </w:pPr>
    <w:rPr>
      <w:rFonts w:ascii="Arial" w:hAnsi="Arial" w:eastAsia="黑体"/>
      <w:b/>
      <w:kern w:val="0"/>
      <w:sz w:val="30"/>
    </w:rPr>
  </w:style>
  <w:style w:type="paragraph" w:styleId="5">
    <w:name w:val="heading 3"/>
    <w:basedOn w:val="1"/>
    <w:next w:val="1"/>
    <w:link w:val="67"/>
    <w:qFormat/>
    <w:uiPriority w:val="0"/>
    <w:pPr>
      <w:keepNext/>
      <w:keepLines/>
      <w:numPr>
        <w:ilvl w:val="2"/>
        <w:numId w:val="1"/>
      </w:numPr>
      <w:adjustRightInd w:val="0"/>
      <w:spacing w:before="240" w:after="120" w:line="300" w:lineRule="auto"/>
      <w:jc w:val="left"/>
      <w:textAlignment w:val="baseline"/>
      <w:outlineLvl w:val="2"/>
    </w:pPr>
    <w:rPr>
      <w:b/>
      <w:kern w:val="0"/>
    </w:rPr>
  </w:style>
  <w:style w:type="paragraph" w:styleId="6">
    <w:name w:val="heading 4"/>
    <w:basedOn w:val="1"/>
    <w:next w:val="7"/>
    <w:link w:val="69"/>
    <w:qFormat/>
    <w:uiPriority w:val="0"/>
    <w:pPr>
      <w:keepNext/>
      <w:keepLines/>
      <w:spacing w:before="280" w:after="290" w:line="376" w:lineRule="auto"/>
      <w:outlineLvl w:val="3"/>
    </w:pPr>
    <w:rPr>
      <w:rFonts w:ascii="Arial" w:hAnsi="Arial" w:eastAsia="黑体"/>
      <w:b/>
      <w:sz w:val="28"/>
    </w:rPr>
  </w:style>
  <w:style w:type="paragraph" w:styleId="8">
    <w:name w:val="heading 5"/>
    <w:basedOn w:val="1"/>
    <w:next w:val="7"/>
    <w:link w:val="70"/>
    <w:qFormat/>
    <w:uiPriority w:val="0"/>
    <w:pPr>
      <w:keepNext/>
      <w:keepLines/>
      <w:spacing w:before="280" w:after="290" w:line="376" w:lineRule="auto"/>
      <w:outlineLvl w:val="4"/>
    </w:pPr>
    <w:rPr>
      <w:b/>
      <w:sz w:val="28"/>
    </w:rPr>
  </w:style>
  <w:style w:type="paragraph" w:styleId="9">
    <w:name w:val="heading 6"/>
    <w:basedOn w:val="1"/>
    <w:next w:val="7"/>
    <w:link w:val="71"/>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7"/>
    <w:link w:val="72"/>
    <w:qFormat/>
    <w:uiPriority w:val="0"/>
    <w:pPr>
      <w:keepNext/>
      <w:keepLines/>
      <w:spacing w:before="240" w:after="64" w:line="320" w:lineRule="auto"/>
      <w:outlineLvl w:val="6"/>
    </w:pPr>
    <w:rPr>
      <w:b/>
      <w:sz w:val="24"/>
    </w:rPr>
  </w:style>
  <w:style w:type="paragraph" w:styleId="11">
    <w:name w:val="heading 8"/>
    <w:basedOn w:val="1"/>
    <w:next w:val="7"/>
    <w:link w:val="73"/>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7"/>
    <w:link w:val="74"/>
    <w:qFormat/>
    <w:uiPriority w:val="0"/>
    <w:pPr>
      <w:keepNext/>
      <w:keepLines/>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5"/>
    <w:unhideWhenUsed/>
    <w:qFormat/>
    <w:uiPriority w:val="0"/>
    <w:pPr>
      <w:tabs>
        <w:tab w:val="center" w:pos="4153"/>
        <w:tab w:val="right" w:pos="8306"/>
      </w:tabs>
      <w:snapToGrid w:val="0"/>
      <w:jc w:val="left"/>
    </w:pPr>
    <w:rPr>
      <w:sz w:val="18"/>
      <w:szCs w:val="18"/>
    </w:rPr>
  </w:style>
  <w:style w:type="paragraph" w:styleId="7">
    <w:name w:val="Normal Indent"/>
    <w:basedOn w:val="1"/>
    <w:link w:val="68"/>
    <w:qFormat/>
    <w:uiPriority w:val="0"/>
    <w:pPr>
      <w:ind w:firstLine="420"/>
    </w:pPr>
  </w:style>
  <w:style w:type="paragraph" w:styleId="13">
    <w:name w:val="toc 7"/>
    <w:basedOn w:val="1"/>
    <w:next w:val="1"/>
    <w:unhideWhenUsed/>
    <w:qFormat/>
    <w:uiPriority w:val="39"/>
    <w:pPr>
      <w:spacing w:line="360" w:lineRule="auto"/>
      <w:ind w:left="2520" w:leftChars="1200"/>
    </w:pPr>
    <w:rPr>
      <w:rFonts w:ascii="Calibri" w:hAnsi="Calibri"/>
      <w:szCs w:val="22"/>
    </w:rPr>
  </w:style>
  <w:style w:type="paragraph" w:styleId="14">
    <w:name w:val="index 5"/>
    <w:basedOn w:val="1"/>
    <w:next w:val="1"/>
    <w:qFormat/>
    <w:uiPriority w:val="0"/>
    <w:pPr>
      <w:spacing w:line="360" w:lineRule="auto"/>
      <w:ind w:left="800" w:leftChars="800"/>
    </w:pPr>
    <w:rPr>
      <w:szCs w:val="24"/>
    </w:rPr>
  </w:style>
  <w:style w:type="paragraph" w:styleId="15">
    <w:name w:val="Document Map"/>
    <w:basedOn w:val="1"/>
    <w:link w:val="80"/>
    <w:qFormat/>
    <w:uiPriority w:val="0"/>
    <w:pPr>
      <w:shd w:val="clear" w:color="auto" w:fill="000080"/>
    </w:pPr>
  </w:style>
  <w:style w:type="paragraph" w:styleId="16">
    <w:name w:val="annotation text"/>
    <w:basedOn w:val="1"/>
    <w:link w:val="81"/>
    <w:qFormat/>
    <w:uiPriority w:val="0"/>
    <w:pPr>
      <w:jc w:val="left"/>
    </w:pPr>
  </w:style>
  <w:style w:type="paragraph" w:styleId="17">
    <w:name w:val="Salutation"/>
    <w:basedOn w:val="1"/>
    <w:next w:val="1"/>
    <w:link w:val="82"/>
    <w:qFormat/>
    <w:uiPriority w:val="0"/>
    <w:rPr>
      <w:rFonts w:ascii="宋体" w:eastAsia="仿宋_GB2312"/>
    </w:rPr>
  </w:style>
  <w:style w:type="paragraph" w:styleId="18">
    <w:name w:val="Body Text 3"/>
    <w:basedOn w:val="1"/>
    <w:link w:val="83"/>
    <w:qFormat/>
    <w:uiPriority w:val="0"/>
    <w:pPr>
      <w:widowControl/>
      <w:jc w:val="left"/>
    </w:pPr>
    <w:rPr>
      <w:rFonts w:hAnsi="宋体"/>
      <w:color w:val="0000FF"/>
      <w:szCs w:val="21"/>
    </w:rPr>
  </w:style>
  <w:style w:type="paragraph" w:styleId="19">
    <w:name w:val="Closing"/>
    <w:basedOn w:val="1"/>
    <w:link w:val="85"/>
    <w:qFormat/>
    <w:uiPriority w:val="0"/>
    <w:pPr>
      <w:ind w:left="100" w:leftChars="2100"/>
    </w:pPr>
    <w:rPr>
      <w:rFonts w:ascii="宋体" w:hAnsi="宋体"/>
      <w:sz w:val="24"/>
    </w:rPr>
  </w:style>
  <w:style w:type="paragraph" w:styleId="20">
    <w:name w:val="Body Text"/>
    <w:basedOn w:val="1"/>
    <w:link w:val="86"/>
    <w:qFormat/>
    <w:uiPriority w:val="0"/>
    <w:pPr>
      <w:spacing w:after="120"/>
    </w:pPr>
  </w:style>
  <w:style w:type="paragraph" w:styleId="21">
    <w:name w:val="Body Text Indent"/>
    <w:basedOn w:val="1"/>
    <w:link w:val="87"/>
    <w:qFormat/>
    <w:uiPriority w:val="0"/>
    <w:pPr>
      <w:tabs>
        <w:tab w:val="left" w:pos="8640"/>
      </w:tabs>
      <w:ind w:left="1365"/>
    </w:pPr>
  </w:style>
  <w:style w:type="paragraph" w:styleId="22">
    <w:name w:val="Block Text"/>
    <w:basedOn w:val="1"/>
    <w:qFormat/>
    <w:uiPriority w:val="0"/>
    <w:pPr>
      <w:spacing w:line="400" w:lineRule="atLeast"/>
      <w:ind w:left="-76" w:right="-69" w:rightChars="-33"/>
      <w:jc w:val="left"/>
    </w:pPr>
    <w:rPr>
      <w:rFonts w:ascii="宋体" w:hAnsi="宋体"/>
      <w:color w:val="FF0000"/>
      <w:sz w:val="24"/>
    </w:rPr>
  </w:style>
  <w:style w:type="paragraph" w:styleId="23">
    <w:name w:val="toc 5"/>
    <w:basedOn w:val="1"/>
    <w:next w:val="1"/>
    <w:qFormat/>
    <w:uiPriority w:val="39"/>
    <w:pPr>
      <w:spacing w:line="360" w:lineRule="auto"/>
      <w:ind w:left="1680" w:leftChars="800"/>
    </w:pPr>
    <w:rPr>
      <w:szCs w:val="24"/>
    </w:rPr>
  </w:style>
  <w:style w:type="paragraph" w:styleId="24">
    <w:name w:val="toc 3"/>
    <w:basedOn w:val="1"/>
    <w:next w:val="1"/>
    <w:qFormat/>
    <w:uiPriority w:val="39"/>
    <w:pPr>
      <w:tabs>
        <w:tab w:val="left" w:pos="1260"/>
        <w:tab w:val="right" w:leader="dot" w:pos="8693"/>
      </w:tabs>
      <w:spacing w:line="300" w:lineRule="auto"/>
      <w:ind w:left="839"/>
    </w:pPr>
    <w:rPr>
      <w:rFonts w:ascii="宋体"/>
      <w:b/>
      <w:sz w:val="24"/>
    </w:rPr>
  </w:style>
  <w:style w:type="paragraph" w:styleId="25">
    <w:name w:val="Plain Text"/>
    <w:basedOn w:val="1"/>
    <w:link w:val="88"/>
    <w:qFormat/>
    <w:uiPriority w:val="0"/>
    <w:rPr>
      <w:rFonts w:ascii="宋体" w:hAnsi="Courier New"/>
    </w:rPr>
  </w:style>
  <w:style w:type="paragraph" w:styleId="26">
    <w:name w:val="toc 8"/>
    <w:basedOn w:val="1"/>
    <w:next w:val="1"/>
    <w:unhideWhenUsed/>
    <w:qFormat/>
    <w:uiPriority w:val="39"/>
    <w:pPr>
      <w:spacing w:line="360" w:lineRule="auto"/>
      <w:ind w:left="2940" w:leftChars="1400"/>
    </w:pPr>
    <w:rPr>
      <w:rFonts w:ascii="Calibri" w:hAnsi="Calibri"/>
      <w:szCs w:val="22"/>
    </w:rPr>
  </w:style>
  <w:style w:type="paragraph" w:styleId="27">
    <w:name w:val="Date"/>
    <w:basedOn w:val="1"/>
    <w:next w:val="1"/>
    <w:link w:val="89"/>
    <w:qFormat/>
    <w:uiPriority w:val="0"/>
  </w:style>
  <w:style w:type="paragraph" w:styleId="28">
    <w:name w:val="Body Text Indent 2"/>
    <w:basedOn w:val="1"/>
    <w:link w:val="90"/>
    <w:qFormat/>
    <w:uiPriority w:val="0"/>
    <w:pPr>
      <w:ind w:left="1260"/>
    </w:pPr>
  </w:style>
  <w:style w:type="paragraph" w:styleId="29">
    <w:name w:val="Balloon Text"/>
    <w:basedOn w:val="1"/>
    <w:link w:val="91"/>
    <w:qFormat/>
    <w:uiPriority w:val="0"/>
    <w:rPr>
      <w:sz w:val="18"/>
      <w:szCs w:val="18"/>
    </w:rPr>
  </w:style>
  <w:style w:type="paragraph" w:styleId="30">
    <w:name w:val="header"/>
    <w:basedOn w:val="1"/>
    <w:link w:val="75"/>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right" w:leader="dot" w:pos="8296"/>
      </w:tabs>
      <w:spacing w:before="120" w:after="120"/>
      <w:ind w:left="420" w:leftChars="100" w:right="210" w:rightChars="100"/>
    </w:pPr>
    <w:rPr>
      <w:rFonts w:ascii="宋体" w:hAnsi="宋体" w:eastAsia="宋体"/>
      <w:sz w:val="28"/>
    </w:rPr>
  </w:style>
  <w:style w:type="paragraph" w:styleId="32">
    <w:name w:val="toc 4"/>
    <w:basedOn w:val="1"/>
    <w:next w:val="1"/>
    <w:qFormat/>
    <w:uiPriority w:val="39"/>
    <w:pPr>
      <w:spacing w:line="360" w:lineRule="auto"/>
      <w:ind w:left="1260" w:leftChars="600"/>
    </w:pPr>
    <w:rPr>
      <w:szCs w:val="24"/>
    </w:rPr>
  </w:style>
  <w:style w:type="paragraph" w:styleId="33">
    <w:name w:val="Subtitle"/>
    <w:basedOn w:val="1"/>
    <w:next w:val="1"/>
    <w:link w:val="92"/>
    <w:qFormat/>
    <w:uiPriority w:val="11"/>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0"/>
    <w:pPr>
      <w:adjustRightInd w:val="0"/>
      <w:spacing w:line="360" w:lineRule="atLeast"/>
      <w:ind w:left="420" w:hanging="420"/>
      <w:jc w:val="left"/>
    </w:pPr>
    <w:rPr>
      <w:rFonts w:hint="eastAsia" w:ascii="宋体"/>
      <w:kern w:val="0"/>
      <w:sz w:val="24"/>
    </w:rPr>
  </w:style>
  <w:style w:type="paragraph" w:styleId="35">
    <w:name w:val="footnote text"/>
    <w:basedOn w:val="1"/>
    <w:link w:val="93"/>
    <w:qFormat/>
    <w:uiPriority w:val="0"/>
    <w:pPr>
      <w:snapToGrid w:val="0"/>
      <w:jc w:val="left"/>
    </w:pPr>
    <w:rPr>
      <w:sz w:val="18"/>
    </w:rPr>
  </w:style>
  <w:style w:type="paragraph" w:styleId="36">
    <w:name w:val="toc 6"/>
    <w:basedOn w:val="1"/>
    <w:next w:val="1"/>
    <w:unhideWhenUsed/>
    <w:qFormat/>
    <w:uiPriority w:val="39"/>
    <w:pPr>
      <w:spacing w:line="360" w:lineRule="auto"/>
      <w:ind w:left="2100" w:leftChars="1000"/>
    </w:pPr>
    <w:rPr>
      <w:rFonts w:ascii="Calibri" w:hAnsi="Calibri"/>
      <w:szCs w:val="22"/>
    </w:rPr>
  </w:style>
  <w:style w:type="paragraph" w:styleId="37">
    <w:name w:val="Body Text Indent 3"/>
    <w:basedOn w:val="1"/>
    <w:link w:val="94"/>
    <w:qFormat/>
    <w:uiPriority w:val="0"/>
    <w:pPr>
      <w:widowControl/>
      <w:spacing w:before="60" w:after="60" w:line="280" w:lineRule="atLeast"/>
      <w:ind w:right="291" w:firstLine="400"/>
    </w:pPr>
    <w:rPr>
      <w:rFonts w:ascii="宋体"/>
      <w:kern w:val="0"/>
    </w:rPr>
  </w:style>
  <w:style w:type="paragraph" w:styleId="38">
    <w:name w:val="table of figures"/>
    <w:basedOn w:val="1"/>
    <w:next w:val="1"/>
    <w:qFormat/>
    <w:uiPriority w:val="0"/>
    <w:pPr>
      <w:ind w:left="200" w:leftChars="200" w:hanging="200" w:hangingChars="200"/>
    </w:pPr>
    <w:rPr>
      <w:szCs w:val="24"/>
    </w:rPr>
  </w:style>
  <w:style w:type="paragraph" w:styleId="39">
    <w:name w:val="toc 2"/>
    <w:basedOn w:val="1"/>
    <w:next w:val="1"/>
    <w:qFormat/>
    <w:uiPriority w:val="39"/>
    <w:pPr>
      <w:spacing w:line="300" w:lineRule="auto"/>
      <w:ind w:left="420"/>
    </w:pPr>
    <w:rPr>
      <w:b/>
      <w:sz w:val="24"/>
    </w:rPr>
  </w:style>
  <w:style w:type="paragraph" w:styleId="40">
    <w:name w:val="toc 9"/>
    <w:basedOn w:val="1"/>
    <w:next w:val="1"/>
    <w:unhideWhenUsed/>
    <w:qFormat/>
    <w:uiPriority w:val="39"/>
    <w:pPr>
      <w:spacing w:line="360" w:lineRule="auto"/>
      <w:ind w:left="3360" w:leftChars="1600"/>
    </w:pPr>
    <w:rPr>
      <w:rFonts w:ascii="Calibri" w:hAnsi="Calibri"/>
      <w:szCs w:val="22"/>
    </w:rPr>
  </w:style>
  <w:style w:type="paragraph" w:styleId="41">
    <w:name w:val="Body Text 2"/>
    <w:basedOn w:val="1"/>
    <w:link w:val="96"/>
    <w:qFormat/>
    <w:uiPriority w:val="0"/>
    <w:rPr>
      <w:rFonts w:ascii="楷体_GB2312" w:eastAsia="楷体_GB2312"/>
      <w:sz w:val="24"/>
    </w:rPr>
  </w:style>
  <w:style w:type="paragraph" w:styleId="42">
    <w:name w:val="HTML Preformatted"/>
    <w:basedOn w:val="1"/>
    <w:link w:val="9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3">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44">
    <w:name w:val="index 1"/>
    <w:basedOn w:val="1"/>
    <w:next w:val="1"/>
    <w:qFormat/>
    <w:uiPriority w:val="0"/>
  </w:style>
  <w:style w:type="paragraph" w:styleId="45">
    <w:name w:val="Title"/>
    <w:basedOn w:val="1"/>
    <w:link w:val="98"/>
    <w:qFormat/>
    <w:uiPriority w:val="0"/>
    <w:pPr>
      <w:spacing w:before="240" w:after="60"/>
      <w:jc w:val="center"/>
      <w:outlineLvl w:val="0"/>
    </w:pPr>
    <w:rPr>
      <w:rFonts w:ascii="Arial" w:hAnsi="Arial"/>
      <w:b/>
      <w:bCs/>
      <w:sz w:val="32"/>
      <w:szCs w:val="32"/>
    </w:rPr>
  </w:style>
  <w:style w:type="paragraph" w:styleId="46">
    <w:name w:val="annotation subject"/>
    <w:basedOn w:val="16"/>
    <w:next w:val="16"/>
    <w:link w:val="99"/>
    <w:qFormat/>
    <w:uiPriority w:val="0"/>
    <w:rPr>
      <w:b/>
      <w:bCs/>
    </w:rPr>
  </w:style>
  <w:style w:type="paragraph" w:styleId="47">
    <w:name w:val="Body Text First Indent"/>
    <w:basedOn w:val="1"/>
    <w:link w:val="100"/>
    <w:qFormat/>
    <w:uiPriority w:val="0"/>
    <w:pPr>
      <w:autoSpaceDE w:val="0"/>
      <w:autoSpaceDN w:val="0"/>
      <w:adjustRightInd w:val="0"/>
      <w:spacing w:after="120"/>
      <w:ind w:firstLine="420"/>
    </w:pPr>
    <w:rPr>
      <w:rFonts w:ascii="宋体"/>
      <w:kern w:val="0"/>
    </w:rPr>
  </w:style>
  <w:style w:type="paragraph" w:styleId="48">
    <w:name w:val="Body Text First Indent 2"/>
    <w:basedOn w:val="21"/>
    <w:link w:val="101"/>
    <w:qFormat/>
    <w:uiPriority w:val="0"/>
    <w:pPr>
      <w:tabs>
        <w:tab w:val="clear" w:pos="8640"/>
      </w:tabs>
      <w:spacing w:after="120"/>
      <w:ind w:left="420" w:leftChars="200" w:firstLine="420" w:firstLineChars="200"/>
    </w:pPr>
  </w:style>
  <w:style w:type="table" w:styleId="50">
    <w:name w:val="Table Grid"/>
    <w:basedOn w:val="4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HTML Definition"/>
    <w:qFormat/>
    <w:uiPriority w:val="0"/>
    <w:rPr>
      <w:i/>
    </w:rPr>
  </w:style>
  <w:style w:type="character" w:styleId="56">
    <w:name w:val="Hyperlink"/>
    <w:qFormat/>
    <w:uiPriority w:val="99"/>
    <w:rPr>
      <w:color w:val="0000FF"/>
      <w:u w:val="single"/>
    </w:rPr>
  </w:style>
  <w:style w:type="character" w:styleId="57">
    <w:name w:val="HTML Code"/>
    <w:qFormat/>
    <w:uiPriority w:val="0"/>
    <w:rPr>
      <w:rFonts w:ascii="Monaco" w:hAnsi="Monaco" w:eastAsia="Monaco" w:cs="Monaco"/>
      <w:color w:val="C7254E"/>
      <w:sz w:val="21"/>
      <w:szCs w:val="21"/>
      <w:shd w:val="clear" w:color="auto" w:fill="F9F2F4"/>
    </w:rPr>
  </w:style>
  <w:style w:type="character" w:styleId="58">
    <w:name w:val="annotation reference"/>
    <w:qFormat/>
    <w:uiPriority w:val="0"/>
    <w:rPr>
      <w:sz w:val="21"/>
      <w:szCs w:val="21"/>
    </w:rPr>
  </w:style>
  <w:style w:type="character" w:styleId="59">
    <w:name w:val="HTML Cite"/>
    <w:qFormat/>
    <w:uiPriority w:val="0"/>
  </w:style>
  <w:style w:type="character" w:styleId="60">
    <w:name w:val="footnote reference"/>
    <w:qFormat/>
    <w:uiPriority w:val="0"/>
    <w:rPr>
      <w:vertAlign w:val="superscript"/>
    </w:rPr>
  </w:style>
  <w:style w:type="character" w:styleId="61">
    <w:name w:val="HTML Keyboard"/>
    <w:qFormat/>
    <w:uiPriority w:val="0"/>
    <w:rPr>
      <w:rFonts w:hint="default" w:ascii="serif" w:hAnsi="serif" w:eastAsia="serif" w:cs="serif"/>
      <w:sz w:val="21"/>
      <w:szCs w:val="21"/>
    </w:rPr>
  </w:style>
  <w:style w:type="character" w:styleId="62">
    <w:name w:val="HTML Sample"/>
    <w:qFormat/>
    <w:uiPriority w:val="0"/>
    <w:rPr>
      <w:rFonts w:ascii="serif" w:hAnsi="serif" w:eastAsia="serif" w:cs="serif"/>
      <w:sz w:val="21"/>
      <w:szCs w:val="21"/>
    </w:rPr>
  </w:style>
  <w:style w:type="paragraph" w:styleId="63">
    <w:name w:val="List Paragraph"/>
    <w:basedOn w:val="1"/>
    <w:qFormat/>
    <w:uiPriority w:val="34"/>
    <w:pPr>
      <w:ind w:firstLine="420" w:firstLineChars="200"/>
    </w:pPr>
    <w:rPr>
      <w:szCs w:val="21"/>
    </w:rPr>
  </w:style>
  <w:style w:type="character" w:customStyle="1" w:styleId="64">
    <w:name w:val="标题 1 Char"/>
    <w:basedOn w:val="51"/>
    <w:link w:val="3"/>
    <w:qFormat/>
    <w:uiPriority w:val="0"/>
    <w:rPr>
      <w:rFonts w:ascii="Times New Roman" w:hAnsi="Times New Roman" w:eastAsia="宋体" w:cs="Times New Roman"/>
      <w:b/>
      <w:kern w:val="44"/>
      <w:sz w:val="44"/>
      <w:szCs w:val="20"/>
    </w:rPr>
  </w:style>
  <w:style w:type="character" w:customStyle="1" w:styleId="65">
    <w:name w:val="页脚 Char"/>
    <w:basedOn w:val="51"/>
    <w:link w:val="2"/>
    <w:qFormat/>
    <w:uiPriority w:val="99"/>
    <w:rPr>
      <w:sz w:val="18"/>
      <w:szCs w:val="18"/>
    </w:rPr>
  </w:style>
  <w:style w:type="character" w:customStyle="1" w:styleId="66">
    <w:name w:val="标题 2 Char"/>
    <w:basedOn w:val="51"/>
    <w:link w:val="4"/>
    <w:qFormat/>
    <w:uiPriority w:val="0"/>
    <w:rPr>
      <w:rFonts w:ascii="Arial" w:hAnsi="Arial" w:eastAsia="黑体" w:cs="Times New Roman"/>
      <w:b/>
      <w:kern w:val="0"/>
      <w:sz w:val="30"/>
      <w:szCs w:val="20"/>
    </w:rPr>
  </w:style>
  <w:style w:type="character" w:customStyle="1" w:styleId="67">
    <w:name w:val="标题 3 Char"/>
    <w:basedOn w:val="51"/>
    <w:link w:val="5"/>
    <w:qFormat/>
    <w:uiPriority w:val="0"/>
    <w:rPr>
      <w:rFonts w:ascii="Times New Roman" w:hAnsi="Times New Roman" w:eastAsia="宋体" w:cs="Times New Roman"/>
      <w:b/>
      <w:kern w:val="0"/>
      <w:szCs w:val="20"/>
    </w:rPr>
  </w:style>
  <w:style w:type="character" w:customStyle="1" w:styleId="68">
    <w:name w:val="正文缩进 Char"/>
    <w:link w:val="7"/>
    <w:qFormat/>
    <w:uiPriority w:val="0"/>
    <w:rPr>
      <w:rFonts w:ascii="Times New Roman" w:hAnsi="Times New Roman" w:eastAsia="宋体" w:cs="Times New Roman"/>
      <w:szCs w:val="20"/>
    </w:rPr>
  </w:style>
  <w:style w:type="character" w:customStyle="1" w:styleId="69">
    <w:name w:val="标题 4 Char"/>
    <w:basedOn w:val="51"/>
    <w:link w:val="6"/>
    <w:qFormat/>
    <w:uiPriority w:val="0"/>
    <w:rPr>
      <w:rFonts w:ascii="Arial" w:hAnsi="Arial" w:eastAsia="黑体" w:cs="Times New Roman"/>
      <w:b/>
      <w:sz w:val="28"/>
      <w:szCs w:val="20"/>
    </w:rPr>
  </w:style>
  <w:style w:type="character" w:customStyle="1" w:styleId="70">
    <w:name w:val="标题 5 Char"/>
    <w:basedOn w:val="51"/>
    <w:link w:val="8"/>
    <w:qFormat/>
    <w:uiPriority w:val="0"/>
    <w:rPr>
      <w:rFonts w:ascii="Times New Roman" w:hAnsi="Times New Roman" w:eastAsia="宋体" w:cs="Times New Roman"/>
      <w:b/>
      <w:sz w:val="28"/>
      <w:szCs w:val="20"/>
    </w:rPr>
  </w:style>
  <w:style w:type="character" w:customStyle="1" w:styleId="71">
    <w:name w:val="标题 6 Char1"/>
    <w:link w:val="9"/>
    <w:qFormat/>
    <w:uiPriority w:val="0"/>
    <w:rPr>
      <w:rFonts w:ascii="Arial" w:hAnsi="Arial" w:eastAsia="黑体" w:cs="Times New Roman"/>
      <w:b/>
      <w:sz w:val="24"/>
      <w:szCs w:val="20"/>
    </w:rPr>
  </w:style>
  <w:style w:type="character" w:customStyle="1" w:styleId="72">
    <w:name w:val="标题 7 Char1"/>
    <w:link w:val="10"/>
    <w:qFormat/>
    <w:uiPriority w:val="0"/>
    <w:rPr>
      <w:rFonts w:ascii="Times New Roman" w:hAnsi="Times New Roman" w:eastAsia="宋体" w:cs="Times New Roman"/>
      <w:b/>
      <w:sz w:val="24"/>
      <w:szCs w:val="20"/>
    </w:rPr>
  </w:style>
  <w:style w:type="character" w:customStyle="1" w:styleId="73">
    <w:name w:val="标题 8 Char1"/>
    <w:link w:val="11"/>
    <w:qFormat/>
    <w:uiPriority w:val="0"/>
    <w:rPr>
      <w:rFonts w:ascii="Arial" w:hAnsi="Arial" w:eastAsia="黑体" w:cs="Times New Roman"/>
      <w:sz w:val="24"/>
      <w:szCs w:val="20"/>
    </w:rPr>
  </w:style>
  <w:style w:type="character" w:customStyle="1" w:styleId="74">
    <w:name w:val="标题 9 Char1"/>
    <w:link w:val="12"/>
    <w:qFormat/>
    <w:uiPriority w:val="0"/>
    <w:rPr>
      <w:rFonts w:ascii="Arial" w:hAnsi="Arial" w:eastAsia="黑体" w:cs="Times New Roman"/>
      <w:szCs w:val="20"/>
    </w:rPr>
  </w:style>
  <w:style w:type="character" w:customStyle="1" w:styleId="75">
    <w:name w:val="页眉 Char"/>
    <w:basedOn w:val="51"/>
    <w:link w:val="30"/>
    <w:qFormat/>
    <w:uiPriority w:val="0"/>
    <w:rPr>
      <w:sz w:val="18"/>
      <w:szCs w:val="18"/>
    </w:rPr>
  </w:style>
  <w:style w:type="character" w:customStyle="1" w:styleId="76">
    <w:name w:val="标题 6 Char"/>
    <w:basedOn w:val="51"/>
    <w:qFormat/>
    <w:uiPriority w:val="0"/>
    <w:rPr>
      <w:rFonts w:asciiTheme="majorHAnsi" w:hAnsiTheme="majorHAnsi" w:eastAsiaTheme="majorEastAsia" w:cstheme="majorBidi"/>
      <w:b/>
      <w:bCs/>
      <w:sz w:val="24"/>
      <w:szCs w:val="24"/>
    </w:rPr>
  </w:style>
  <w:style w:type="character" w:customStyle="1" w:styleId="77">
    <w:name w:val="标题 7 Char"/>
    <w:basedOn w:val="51"/>
    <w:uiPriority w:val="0"/>
    <w:rPr>
      <w:rFonts w:ascii="Times New Roman" w:hAnsi="Times New Roman" w:eastAsia="宋体" w:cs="Times New Roman"/>
      <w:b/>
      <w:bCs/>
      <w:sz w:val="24"/>
      <w:szCs w:val="24"/>
    </w:rPr>
  </w:style>
  <w:style w:type="character" w:customStyle="1" w:styleId="78">
    <w:name w:val="标题 8 Char"/>
    <w:basedOn w:val="51"/>
    <w:qFormat/>
    <w:uiPriority w:val="0"/>
    <w:rPr>
      <w:rFonts w:asciiTheme="majorHAnsi" w:hAnsiTheme="majorHAnsi" w:eastAsiaTheme="majorEastAsia" w:cstheme="majorBidi"/>
      <w:sz w:val="24"/>
      <w:szCs w:val="24"/>
    </w:rPr>
  </w:style>
  <w:style w:type="character" w:customStyle="1" w:styleId="79">
    <w:name w:val="标题 9 Char"/>
    <w:basedOn w:val="51"/>
    <w:qFormat/>
    <w:uiPriority w:val="0"/>
    <w:rPr>
      <w:rFonts w:asciiTheme="majorHAnsi" w:hAnsiTheme="majorHAnsi" w:eastAsiaTheme="majorEastAsia" w:cstheme="majorBidi"/>
      <w:szCs w:val="21"/>
    </w:rPr>
  </w:style>
  <w:style w:type="character" w:customStyle="1" w:styleId="80">
    <w:name w:val="文档结构图 Char"/>
    <w:basedOn w:val="51"/>
    <w:link w:val="15"/>
    <w:qFormat/>
    <w:uiPriority w:val="0"/>
    <w:rPr>
      <w:rFonts w:ascii="Times New Roman" w:hAnsi="Times New Roman" w:eastAsia="宋体" w:cs="Times New Roman"/>
      <w:szCs w:val="20"/>
      <w:shd w:val="clear" w:color="auto" w:fill="000080"/>
    </w:rPr>
  </w:style>
  <w:style w:type="character" w:customStyle="1" w:styleId="81">
    <w:name w:val="批注文字 Char"/>
    <w:basedOn w:val="51"/>
    <w:link w:val="16"/>
    <w:qFormat/>
    <w:uiPriority w:val="0"/>
    <w:rPr>
      <w:rFonts w:ascii="Times New Roman" w:hAnsi="Times New Roman" w:eastAsia="宋体" w:cs="Times New Roman"/>
      <w:szCs w:val="20"/>
    </w:rPr>
  </w:style>
  <w:style w:type="character" w:customStyle="1" w:styleId="82">
    <w:name w:val="称呼 Char"/>
    <w:basedOn w:val="51"/>
    <w:link w:val="17"/>
    <w:uiPriority w:val="0"/>
    <w:rPr>
      <w:rFonts w:ascii="宋体" w:hAnsi="Times New Roman" w:eastAsia="仿宋_GB2312" w:cs="Times New Roman"/>
      <w:szCs w:val="20"/>
    </w:rPr>
  </w:style>
  <w:style w:type="character" w:customStyle="1" w:styleId="83">
    <w:name w:val="正文文本 3 Char1"/>
    <w:link w:val="18"/>
    <w:qFormat/>
    <w:uiPriority w:val="0"/>
    <w:rPr>
      <w:rFonts w:ascii="Times New Roman" w:hAnsi="宋体" w:eastAsia="宋体" w:cs="Times New Roman"/>
      <w:color w:val="0000FF"/>
      <w:szCs w:val="21"/>
    </w:rPr>
  </w:style>
  <w:style w:type="character" w:customStyle="1" w:styleId="84">
    <w:name w:val="正文文本 3 Char"/>
    <w:basedOn w:val="51"/>
    <w:qFormat/>
    <w:uiPriority w:val="0"/>
    <w:rPr>
      <w:rFonts w:ascii="Times New Roman" w:hAnsi="Times New Roman" w:eastAsia="宋体" w:cs="Times New Roman"/>
      <w:sz w:val="16"/>
      <w:szCs w:val="16"/>
    </w:rPr>
  </w:style>
  <w:style w:type="character" w:customStyle="1" w:styleId="85">
    <w:name w:val="结束语 Char"/>
    <w:basedOn w:val="51"/>
    <w:link w:val="19"/>
    <w:qFormat/>
    <w:uiPriority w:val="0"/>
    <w:rPr>
      <w:rFonts w:ascii="宋体" w:hAnsi="宋体" w:eastAsia="宋体" w:cs="Times New Roman"/>
      <w:sz w:val="24"/>
      <w:szCs w:val="20"/>
    </w:rPr>
  </w:style>
  <w:style w:type="character" w:customStyle="1" w:styleId="86">
    <w:name w:val="正文文本 Char"/>
    <w:basedOn w:val="51"/>
    <w:link w:val="20"/>
    <w:qFormat/>
    <w:uiPriority w:val="0"/>
    <w:rPr>
      <w:rFonts w:ascii="Times New Roman" w:hAnsi="Times New Roman" w:eastAsia="宋体" w:cs="Times New Roman"/>
      <w:szCs w:val="20"/>
    </w:rPr>
  </w:style>
  <w:style w:type="character" w:customStyle="1" w:styleId="87">
    <w:name w:val="正文文本缩进 Char"/>
    <w:basedOn w:val="51"/>
    <w:link w:val="21"/>
    <w:qFormat/>
    <w:uiPriority w:val="0"/>
    <w:rPr>
      <w:rFonts w:ascii="Times New Roman" w:hAnsi="Times New Roman" w:eastAsia="宋体" w:cs="Times New Roman"/>
      <w:szCs w:val="20"/>
    </w:rPr>
  </w:style>
  <w:style w:type="character" w:customStyle="1" w:styleId="88">
    <w:name w:val="纯文本 Char"/>
    <w:basedOn w:val="51"/>
    <w:link w:val="25"/>
    <w:qFormat/>
    <w:uiPriority w:val="0"/>
    <w:rPr>
      <w:rFonts w:ascii="宋体" w:hAnsi="Courier New" w:eastAsia="宋体" w:cs="Times New Roman"/>
      <w:szCs w:val="20"/>
    </w:rPr>
  </w:style>
  <w:style w:type="character" w:customStyle="1" w:styleId="89">
    <w:name w:val="日期 Char"/>
    <w:basedOn w:val="51"/>
    <w:link w:val="27"/>
    <w:qFormat/>
    <w:uiPriority w:val="0"/>
    <w:rPr>
      <w:rFonts w:ascii="Times New Roman" w:hAnsi="Times New Roman" w:eastAsia="宋体" w:cs="Times New Roman"/>
      <w:szCs w:val="20"/>
    </w:rPr>
  </w:style>
  <w:style w:type="character" w:customStyle="1" w:styleId="90">
    <w:name w:val="正文文本缩进 2 Char"/>
    <w:basedOn w:val="51"/>
    <w:link w:val="28"/>
    <w:qFormat/>
    <w:uiPriority w:val="0"/>
    <w:rPr>
      <w:rFonts w:ascii="Times New Roman" w:hAnsi="Times New Roman" w:eastAsia="宋体" w:cs="Times New Roman"/>
      <w:szCs w:val="20"/>
    </w:rPr>
  </w:style>
  <w:style w:type="character" w:customStyle="1" w:styleId="91">
    <w:name w:val="批注框文本 Char"/>
    <w:basedOn w:val="51"/>
    <w:link w:val="29"/>
    <w:qFormat/>
    <w:uiPriority w:val="0"/>
    <w:rPr>
      <w:rFonts w:ascii="Times New Roman" w:hAnsi="Times New Roman" w:eastAsia="宋体" w:cs="Times New Roman"/>
      <w:sz w:val="18"/>
      <w:szCs w:val="18"/>
    </w:rPr>
  </w:style>
  <w:style w:type="character" w:customStyle="1" w:styleId="92">
    <w:name w:val="副标题 Char"/>
    <w:basedOn w:val="51"/>
    <w:link w:val="33"/>
    <w:uiPriority w:val="11"/>
    <w:rPr>
      <w:rFonts w:ascii="Cambria" w:hAnsi="Cambria" w:eastAsia="宋体" w:cs="Times New Roman"/>
      <w:b/>
      <w:bCs/>
      <w:kern w:val="28"/>
      <w:sz w:val="32"/>
      <w:szCs w:val="32"/>
    </w:rPr>
  </w:style>
  <w:style w:type="character" w:customStyle="1" w:styleId="93">
    <w:name w:val="脚注文本 Char"/>
    <w:basedOn w:val="51"/>
    <w:link w:val="35"/>
    <w:qFormat/>
    <w:uiPriority w:val="0"/>
    <w:rPr>
      <w:rFonts w:ascii="Times New Roman" w:hAnsi="Times New Roman" w:eastAsia="宋体" w:cs="Times New Roman"/>
      <w:sz w:val="18"/>
      <w:szCs w:val="20"/>
    </w:rPr>
  </w:style>
  <w:style w:type="character" w:customStyle="1" w:styleId="94">
    <w:name w:val="正文文本缩进 3 Char1"/>
    <w:link w:val="37"/>
    <w:qFormat/>
    <w:uiPriority w:val="0"/>
    <w:rPr>
      <w:rFonts w:ascii="宋体" w:hAnsi="Times New Roman" w:eastAsia="宋体" w:cs="Times New Roman"/>
      <w:kern w:val="0"/>
      <w:szCs w:val="20"/>
    </w:rPr>
  </w:style>
  <w:style w:type="character" w:customStyle="1" w:styleId="95">
    <w:name w:val="正文文本缩进 3 Char"/>
    <w:basedOn w:val="51"/>
    <w:qFormat/>
    <w:uiPriority w:val="0"/>
    <w:rPr>
      <w:rFonts w:ascii="Times New Roman" w:hAnsi="Times New Roman" w:eastAsia="宋体" w:cs="Times New Roman"/>
      <w:sz w:val="16"/>
      <w:szCs w:val="16"/>
    </w:rPr>
  </w:style>
  <w:style w:type="character" w:customStyle="1" w:styleId="96">
    <w:name w:val="正文文本 2 Char"/>
    <w:basedOn w:val="51"/>
    <w:link w:val="41"/>
    <w:qFormat/>
    <w:uiPriority w:val="0"/>
    <w:rPr>
      <w:rFonts w:ascii="楷体_GB2312" w:hAnsi="Times New Roman" w:eastAsia="楷体_GB2312" w:cs="Times New Roman"/>
      <w:sz w:val="24"/>
      <w:szCs w:val="20"/>
    </w:rPr>
  </w:style>
  <w:style w:type="character" w:customStyle="1" w:styleId="97">
    <w:name w:val="HTML 预设格式 Char"/>
    <w:basedOn w:val="51"/>
    <w:link w:val="42"/>
    <w:uiPriority w:val="99"/>
    <w:rPr>
      <w:rFonts w:ascii="宋体" w:hAnsi="宋体" w:eastAsia="宋体" w:cs="宋体"/>
      <w:kern w:val="0"/>
      <w:sz w:val="24"/>
      <w:szCs w:val="24"/>
    </w:rPr>
  </w:style>
  <w:style w:type="character" w:customStyle="1" w:styleId="98">
    <w:name w:val="标题 Char"/>
    <w:basedOn w:val="51"/>
    <w:link w:val="45"/>
    <w:qFormat/>
    <w:uiPriority w:val="0"/>
    <w:rPr>
      <w:rFonts w:ascii="Arial" w:hAnsi="Arial" w:eastAsia="宋体" w:cs="Times New Roman"/>
      <w:b/>
      <w:bCs/>
      <w:sz w:val="32"/>
      <w:szCs w:val="32"/>
    </w:rPr>
  </w:style>
  <w:style w:type="character" w:customStyle="1" w:styleId="99">
    <w:name w:val="批注主题 Char"/>
    <w:basedOn w:val="81"/>
    <w:link w:val="46"/>
    <w:qFormat/>
    <w:uiPriority w:val="0"/>
    <w:rPr>
      <w:rFonts w:ascii="Times New Roman" w:hAnsi="Times New Roman" w:eastAsia="宋体" w:cs="Times New Roman"/>
      <w:b/>
      <w:bCs/>
      <w:szCs w:val="20"/>
    </w:rPr>
  </w:style>
  <w:style w:type="character" w:customStyle="1" w:styleId="100">
    <w:name w:val="正文首行缩进 Char"/>
    <w:basedOn w:val="86"/>
    <w:link w:val="47"/>
    <w:uiPriority w:val="0"/>
    <w:rPr>
      <w:rFonts w:ascii="宋体" w:hAnsi="Times New Roman" w:eastAsia="宋体" w:cs="Times New Roman"/>
      <w:kern w:val="0"/>
      <w:szCs w:val="20"/>
    </w:rPr>
  </w:style>
  <w:style w:type="character" w:customStyle="1" w:styleId="101">
    <w:name w:val="正文首行缩进 2 Char"/>
    <w:basedOn w:val="87"/>
    <w:link w:val="48"/>
    <w:uiPriority w:val="0"/>
    <w:rPr>
      <w:rFonts w:ascii="Times New Roman" w:hAnsi="Times New Roman" w:eastAsia="宋体" w:cs="Times New Roman"/>
      <w:szCs w:val="20"/>
    </w:rPr>
  </w:style>
  <w:style w:type="character" w:customStyle="1" w:styleId="102">
    <w:name w:val="Heading 4 Char"/>
    <w:locked/>
    <w:uiPriority w:val="0"/>
    <w:rPr>
      <w:rFonts w:ascii="Arial" w:hAnsi="Arial" w:eastAsia="黑体"/>
      <w:b/>
      <w:bCs/>
      <w:kern w:val="2"/>
      <w:sz w:val="28"/>
      <w:szCs w:val="28"/>
      <w:lang w:val="en-US" w:eastAsia="zh-CN" w:bidi="ar-SA"/>
    </w:rPr>
  </w:style>
  <w:style w:type="character" w:customStyle="1" w:styleId="103">
    <w:name w:val="日期 Char1"/>
    <w:qFormat/>
    <w:locked/>
    <w:uiPriority w:val="0"/>
    <w:rPr>
      <w:rFonts w:eastAsia="宋体"/>
      <w:kern w:val="2"/>
      <w:sz w:val="21"/>
      <w:lang w:val="en-US" w:eastAsia="zh-CN" w:bidi="ar-SA"/>
    </w:rPr>
  </w:style>
  <w:style w:type="character" w:customStyle="1" w:styleId="104">
    <w:name w:val="edui-unclickable"/>
    <w:qFormat/>
    <w:uiPriority w:val="0"/>
    <w:rPr>
      <w:color w:val="808080"/>
    </w:rPr>
  </w:style>
  <w:style w:type="character" w:customStyle="1" w:styleId="105">
    <w:name w:val="页眉 Char1"/>
    <w:qFormat/>
    <w:uiPriority w:val="0"/>
    <w:rPr>
      <w:kern w:val="2"/>
      <w:sz w:val="18"/>
      <w:szCs w:val="18"/>
    </w:rPr>
  </w:style>
  <w:style w:type="character" w:customStyle="1" w:styleId="106">
    <w:name w:val="Char Char1"/>
    <w:uiPriority w:val="0"/>
    <w:rPr>
      <w:rFonts w:eastAsia="宋体"/>
      <w:kern w:val="2"/>
      <w:sz w:val="24"/>
      <w:lang w:val="en-US" w:eastAsia="zh-CN" w:bidi="ar-SA"/>
    </w:rPr>
  </w:style>
  <w:style w:type="character" w:customStyle="1" w:styleId="107">
    <w:name w:val="hover14"/>
    <w:uiPriority w:val="0"/>
    <w:rPr>
      <w:shd w:val="clear" w:color="auto" w:fill="EEEEEE"/>
    </w:rPr>
  </w:style>
  <w:style w:type="character" w:customStyle="1" w:styleId="108">
    <w:name w:val="Char Char"/>
    <w:qFormat/>
    <w:uiPriority w:val="0"/>
    <w:rPr>
      <w:rFonts w:ascii="Arial" w:hAnsi="Arial" w:eastAsia="黑体"/>
      <w:b/>
      <w:bCs/>
      <w:kern w:val="2"/>
      <w:sz w:val="32"/>
      <w:szCs w:val="32"/>
      <w:lang w:val="en-US" w:eastAsia="zh-CN" w:bidi="ar-SA"/>
    </w:rPr>
  </w:style>
  <w:style w:type="character" w:customStyle="1" w:styleId="109">
    <w:name w:val="Char Char2"/>
    <w:qFormat/>
    <w:uiPriority w:val="0"/>
    <w:rPr>
      <w:rFonts w:hint="eastAsia" w:ascii="宋体" w:hAnsi="宋体" w:eastAsia="宋体"/>
      <w:kern w:val="2"/>
      <w:sz w:val="24"/>
      <w:lang w:val="en-US" w:eastAsia="zh-CN"/>
    </w:rPr>
  </w:style>
  <w:style w:type="character" w:customStyle="1" w:styleId="110">
    <w:name w:val="hover"/>
    <w:qFormat/>
    <w:uiPriority w:val="0"/>
    <w:rPr>
      <w:shd w:val="clear" w:color="auto" w:fill="EEEEEE"/>
    </w:rPr>
  </w:style>
  <w:style w:type="character" w:customStyle="1" w:styleId="111">
    <w:name w:val="hover2"/>
    <w:qFormat/>
    <w:uiPriority w:val="0"/>
    <w:rPr>
      <w:sz w:val="21"/>
      <w:szCs w:val="21"/>
    </w:rPr>
  </w:style>
  <w:style w:type="character" w:customStyle="1" w:styleId="112">
    <w:name w:val="Title Char"/>
    <w:qFormat/>
    <w:locked/>
    <w:uiPriority w:val="0"/>
    <w:rPr>
      <w:rFonts w:ascii="Arial" w:hAnsi="Arial" w:eastAsia="宋体" w:cs="Arial"/>
      <w:b/>
      <w:sz w:val="32"/>
      <w:lang w:val="en-US" w:eastAsia="zh-CN" w:bidi="ar-SA"/>
    </w:rPr>
  </w:style>
  <w:style w:type="character" w:customStyle="1" w:styleId="113">
    <w:name w:val="input-icon"/>
    <w:qFormat/>
    <w:uiPriority w:val="0"/>
  </w:style>
  <w:style w:type="character" w:customStyle="1" w:styleId="114">
    <w:name w:val="纯文本 Char1"/>
    <w:qFormat/>
    <w:uiPriority w:val="0"/>
    <w:rPr>
      <w:rFonts w:ascii="Courier New" w:hAnsi="Courier New"/>
      <w:kern w:val="2"/>
      <w:sz w:val="21"/>
    </w:rPr>
  </w:style>
  <w:style w:type="character" w:customStyle="1" w:styleId="115">
    <w:name w:val="Char Char11"/>
    <w:qFormat/>
    <w:uiPriority w:val="0"/>
    <w:rPr>
      <w:rFonts w:eastAsia="宋体"/>
      <w:kern w:val="2"/>
      <w:sz w:val="24"/>
      <w:lang w:val="en-US" w:eastAsia="zh-CN" w:bidi="ar-SA"/>
    </w:rPr>
  </w:style>
  <w:style w:type="character" w:customStyle="1" w:styleId="116">
    <w:name w:val="标题 Char1"/>
    <w:qFormat/>
    <w:uiPriority w:val="0"/>
    <w:rPr>
      <w:rFonts w:ascii="Arial" w:hAnsi="Arial"/>
      <w:b/>
      <w:sz w:val="32"/>
    </w:rPr>
  </w:style>
  <w:style w:type="character" w:customStyle="1" w:styleId="117">
    <w:name w:val="glyphicon2"/>
    <w:qFormat/>
    <w:uiPriority w:val="0"/>
  </w:style>
  <w:style w:type="character" w:customStyle="1" w:styleId="118">
    <w:name w:val="未处理的提及"/>
    <w:unhideWhenUsed/>
    <w:qFormat/>
    <w:uiPriority w:val="99"/>
    <w:rPr>
      <w:color w:val="605E5C"/>
      <w:shd w:val="clear" w:color="auto" w:fill="E1DFDD"/>
    </w:rPr>
  </w:style>
  <w:style w:type="character" w:customStyle="1" w:styleId="119">
    <w:name w:val="标题 3 Char1"/>
    <w:qFormat/>
    <w:locked/>
    <w:uiPriority w:val="99"/>
    <w:rPr>
      <w:b/>
      <w:sz w:val="32"/>
    </w:rPr>
  </w:style>
  <w:style w:type="character" w:customStyle="1" w:styleId="120">
    <w:name w:val="layui-layer-tabnow"/>
    <w:qFormat/>
    <w:uiPriority w:val="0"/>
    <w:rPr>
      <w:bdr w:val="single" w:color="CCCCCC" w:sz="6" w:space="0"/>
      <w:shd w:val="clear" w:color="auto" w:fill="FFFFFF"/>
    </w:rPr>
  </w:style>
  <w:style w:type="character" w:customStyle="1" w:styleId="121">
    <w:name w:val="Heading 9 Char"/>
    <w:locked/>
    <w:uiPriority w:val="0"/>
    <w:rPr>
      <w:rFonts w:ascii="Arial" w:hAnsi="Arial" w:eastAsia="黑体"/>
      <w:sz w:val="21"/>
      <w:szCs w:val="21"/>
      <w:lang w:val="en-US" w:eastAsia="zh-CN" w:bidi="ar-SA"/>
    </w:rPr>
  </w:style>
  <w:style w:type="character" w:customStyle="1" w:styleId="122">
    <w:name w:val="Balloon Text Char"/>
    <w:locked/>
    <w:uiPriority w:val="0"/>
    <w:rPr>
      <w:rFonts w:ascii="宋体" w:hAnsi="宋体" w:eastAsia="宋体"/>
      <w:kern w:val="2"/>
      <w:sz w:val="18"/>
      <w:szCs w:val="18"/>
      <w:lang w:val="en-US" w:eastAsia="zh-CN" w:bidi="ar-SA"/>
    </w:rPr>
  </w:style>
  <w:style w:type="character" w:customStyle="1" w:styleId="123">
    <w:name w:val="Heading 2 Char"/>
    <w:qFormat/>
    <w:locked/>
    <w:uiPriority w:val="0"/>
    <w:rPr>
      <w:rFonts w:ascii="Arial" w:hAnsi="Arial" w:eastAsia="黑体"/>
      <w:b/>
      <w:bCs/>
      <w:kern w:val="2"/>
      <w:sz w:val="32"/>
      <w:szCs w:val="32"/>
      <w:lang w:val="en-US" w:eastAsia="zh-CN" w:bidi="ar-SA"/>
    </w:rPr>
  </w:style>
  <w:style w:type="character" w:customStyle="1" w:styleId="124">
    <w:name w:val="hover13"/>
    <w:qFormat/>
    <w:uiPriority w:val="0"/>
    <w:rPr>
      <w:shd w:val="clear" w:color="auto" w:fill="EEEEEE"/>
    </w:rPr>
  </w:style>
  <w:style w:type="character" w:customStyle="1" w:styleId="125">
    <w:name w:val="无间隔 Char"/>
    <w:link w:val="126"/>
    <w:uiPriority w:val="1"/>
    <w:rPr>
      <w:rFonts w:ascii="Calibri" w:hAnsi="Calibri"/>
      <w:sz w:val="22"/>
    </w:rPr>
  </w:style>
  <w:style w:type="paragraph" w:styleId="126">
    <w:name w:val="No Spacing"/>
    <w:link w:val="125"/>
    <w:qFormat/>
    <w:uiPriority w:val="1"/>
    <w:rPr>
      <w:rFonts w:ascii="Calibri" w:hAnsi="Calibri" w:eastAsiaTheme="minorEastAsia" w:cstheme="minorBidi"/>
      <w:kern w:val="2"/>
      <w:sz w:val="22"/>
      <w:szCs w:val="22"/>
      <w:lang w:val="en-US" w:eastAsia="zh-CN" w:bidi="ar-SA"/>
    </w:rPr>
  </w:style>
  <w:style w:type="character" w:customStyle="1" w:styleId="127">
    <w:name w:val="Body Text Char"/>
    <w:locked/>
    <w:uiPriority w:val="0"/>
    <w:rPr>
      <w:rFonts w:ascii="宋体" w:hAnsi="宋体" w:eastAsia="宋体"/>
      <w:kern w:val="2"/>
      <w:sz w:val="21"/>
      <w:szCs w:val="24"/>
      <w:lang w:val="en-US" w:eastAsia="zh-CN" w:bidi="ar-SA"/>
    </w:rPr>
  </w:style>
  <w:style w:type="character" w:customStyle="1" w:styleId="128">
    <w:name w:val="正文文本 Char1"/>
    <w:qFormat/>
    <w:uiPriority w:val="0"/>
    <w:rPr>
      <w:kern w:val="2"/>
      <w:sz w:val="21"/>
      <w:szCs w:val="24"/>
    </w:rPr>
  </w:style>
  <w:style w:type="character" w:customStyle="1" w:styleId="129">
    <w:name w:val="ui-jqgrid-resize"/>
    <w:uiPriority w:val="0"/>
  </w:style>
  <w:style w:type="character" w:customStyle="1" w:styleId="130">
    <w:name w:val="Char Char7"/>
    <w:uiPriority w:val="0"/>
    <w:rPr>
      <w:rFonts w:hint="default" w:ascii="Arial" w:hAnsi="Arial" w:eastAsia="黑体" w:cs="Arial"/>
      <w:b/>
      <w:kern w:val="2"/>
      <w:sz w:val="32"/>
      <w:lang w:val="en-US" w:eastAsia="zh-CN"/>
    </w:rPr>
  </w:style>
  <w:style w:type="character" w:customStyle="1" w:styleId="131">
    <w:name w:val="Heading 3 Char"/>
    <w:locked/>
    <w:uiPriority w:val="0"/>
    <w:rPr>
      <w:rFonts w:eastAsia="宋体"/>
      <w:b/>
      <w:bCs/>
      <w:kern w:val="2"/>
      <w:sz w:val="32"/>
      <w:szCs w:val="32"/>
      <w:lang w:val="en-US" w:eastAsia="zh-CN" w:bidi="ar-SA"/>
    </w:rPr>
  </w:style>
  <w:style w:type="character" w:customStyle="1" w:styleId="132">
    <w:name w:val="hour_am"/>
    <w:qFormat/>
    <w:uiPriority w:val="0"/>
  </w:style>
  <w:style w:type="character" w:customStyle="1" w:styleId="133">
    <w:name w:val="old"/>
    <w:qFormat/>
    <w:uiPriority w:val="0"/>
    <w:rPr>
      <w:color w:val="999999"/>
    </w:rPr>
  </w:style>
  <w:style w:type="character" w:customStyle="1" w:styleId="134">
    <w:name w:val="Heading 6 Char"/>
    <w:qFormat/>
    <w:locked/>
    <w:uiPriority w:val="0"/>
    <w:rPr>
      <w:rFonts w:ascii="Arial" w:hAnsi="Arial" w:eastAsia="黑体"/>
      <w:b/>
      <w:bCs/>
      <w:sz w:val="24"/>
      <w:szCs w:val="24"/>
      <w:lang w:val="en-US" w:eastAsia="zh-CN" w:bidi="ar-SA"/>
    </w:rPr>
  </w:style>
  <w:style w:type="character" w:customStyle="1" w:styleId="135">
    <w:name w:val="before"/>
    <w:qFormat/>
    <w:uiPriority w:val="0"/>
    <w:rPr>
      <w:rFonts w:hint="default" w:ascii="FontAwesome" w:hAnsi="FontAwesome" w:eastAsia="FontAwesome" w:cs="FontAwesome"/>
      <w:color w:val="888888"/>
      <w:sz w:val="18"/>
      <w:szCs w:val="18"/>
    </w:rPr>
  </w:style>
  <w:style w:type="character" w:customStyle="1" w:styleId="136">
    <w:name w:val="hover1"/>
    <w:uiPriority w:val="0"/>
    <w:rPr>
      <w:color w:val="000000"/>
    </w:rPr>
  </w:style>
  <w:style w:type="character" w:customStyle="1" w:styleId="137">
    <w:name w:val="Body Text Indent 3 Char"/>
    <w:qFormat/>
    <w:locked/>
    <w:uiPriority w:val="0"/>
    <w:rPr>
      <w:rFonts w:ascii="宋体" w:hAnsi="宋体" w:eastAsia="宋体"/>
      <w:kern w:val="2"/>
      <w:sz w:val="16"/>
      <w:szCs w:val="16"/>
      <w:lang w:val="en-US" w:eastAsia="zh-CN" w:bidi="ar-SA"/>
    </w:rPr>
  </w:style>
  <w:style w:type="character" w:customStyle="1" w:styleId="138">
    <w:name w:val="标题 2 Char1"/>
    <w:qFormat/>
    <w:uiPriority w:val="0"/>
    <w:rPr>
      <w:rFonts w:ascii="Arial" w:hAnsi="Arial" w:eastAsia="黑体"/>
      <w:b/>
      <w:bCs/>
      <w:kern w:val="2"/>
      <w:sz w:val="32"/>
      <w:szCs w:val="32"/>
    </w:rPr>
  </w:style>
  <w:style w:type="character" w:customStyle="1" w:styleId="139">
    <w:name w:val="样式 粉红"/>
    <w:qFormat/>
    <w:uiPriority w:val="0"/>
    <w:rPr>
      <w:color w:val="auto"/>
      <w:u w:val="none"/>
    </w:rPr>
  </w:style>
  <w:style w:type="character" w:customStyle="1" w:styleId="140">
    <w:name w:val="Char Char8"/>
    <w:qFormat/>
    <w:uiPriority w:val="0"/>
    <w:rPr>
      <w:rFonts w:ascii="Arial" w:hAnsi="Arial" w:eastAsia="黑体"/>
      <w:b/>
      <w:bCs/>
      <w:kern w:val="2"/>
      <w:sz w:val="32"/>
      <w:szCs w:val="32"/>
      <w:lang w:val="en-US" w:eastAsia="zh-CN" w:bidi="ar-SA"/>
    </w:rPr>
  </w:style>
  <w:style w:type="character" w:customStyle="1" w:styleId="141">
    <w:name w:val="文档结构图 Char1"/>
    <w:uiPriority w:val="0"/>
    <w:rPr>
      <w:kern w:val="2"/>
      <w:sz w:val="21"/>
      <w:szCs w:val="24"/>
      <w:shd w:val="clear" w:color="auto" w:fill="000080"/>
    </w:rPr>
  </w:style>
  <w:style w:type="character" w:customStyle="1" w:styleId="142">
    <w:name w:val="font161"/>
    <w:qFormat/>
    <w:uiPriority w:val="0"/>
    <w:rPr>
      <w:b/>
      <w:bCs/>
      <w:sz w:val="32"/>
      <w:szCs w:val="32"/>
    </w:rPr>
  </w:style>
  <w:style w:type="character" w:customStyle="1" w:styleId="143">
    <w:name w:val="ui-icon29"/>
    <w:qFormat/>
    <w:uiPriority w:val="0"/>
  </w:style>
  <w:style w:type="character" w:customStyle="1" w:styleId="144">
    <w:name w:val="Heading 8 Char"/>
    <w:qFormat/>
    <w:locked/>
    <w:uiPriority w:val="0"/>
    <w:rPr>
      <w:rFonts w:ascii="Arial" w:hAnsi="Arial" w:eastAsia="黑体"/>
      <w:sz w:val="24"/>
      <w:szCs w:val="24"/>
      <w:lang w:val="en-US" w:eastAsia="zh-CN" w:bidi="ar-SA"/>
    </w:rPr>
  </w:style>
  <w:style w:type="character" w:customStyle="1" w:styleId="145">
    <w:name w:val="Char Char81"/>
    <w:qFormat/>
    <w:uiPriority w:val="0"/>
    <w:rPr>
      <w:rFonts w:hint="default" w:ascii="Arial" w:hAnsi="Arial" w:eastAsia="黑体" w:cs="Arial"/>
      <w:b/>
      <w:kern w:val="2"/>
      <w:sz w:val="32"/>
      <w:lang w:val="en-US" w:eastAsia="zh-CN"/>
    </w:rPr>
  </w:style>
  <w:style w:type="character" w:customStyle="1" w:styleId="146">
    <w:name w:val="Heading 1 Char"/>
    <w:qFormat/>
    <w:locked/>
    <w:uiPriority w:val="0"/>
    <w:rPr>
      <w:rFonts w:eastAsia="宋体"/>
      <w:b/>
      <w:bCs/>
      <w:kern w:val="44"/>
      <w:sz w:val="44"/>
      <w:szCs w:val="44"/>
      <w:lang w:val="en-US" w:eastAsia="zh-CN" w:bidi="ar-SA"/>
    </w:rPr>
  </w:style>
  <w:style w:type="character" w:customStyle="1" w:styleId="147">
    <w:name w:val="first-child"/>
    <w:qFormat/>
    <w:uiPriority w:val="0"/>
  </w:style>
  <w:style w:type="character" w:customStyle="1" w:styleId="148">
    <w:name w:val="ui-icon28"/>
    <w:qFormat/>
    <w:uiPriority w:val="0"/>
  </w:style>
  <w:style w:type="character" w:customStyle="1" w:styleId="149">
    <w:name w:val="标题 3 字符"/>
    <w:qFormat/>
    <w:uiPriority w:val="0"/>
    <w:rPr>
      <w:b/>
      <w:bCs/>
      <w:kern w:val="2"/>
      <w:sz w:val="32"/>
      <w:szCs w:val="32"/>
    </w:rPr>
  </w:style>
  <w:style w:type="character" w:customStyle="1" w:styleId="150">
    <w:name w:val="Plain Text Char"/>
    <w:qFormat/>
    <w:locked/>
    <w:uiPriority w:val="0"/>
    <w:rPr>
      <w:rFonts w:ascii="Courier New" w:hAnsi="Courier New" w:eastAsia="宋体" w:cs="Courier New"/>
      <w:kern w:val="2"/>
      <w:sz w:val="21"/>
      <w:lang w:val="en-US" w:eastAsia="zh-CN" w:bidi="ar-SA"/>
    </w:rPr>
  </w:style>
  <w:style w:type="character" w:customStyle="1" w:styleId="151">
    <w:name w:val="hover11"/>
    <w:uiPriority w:val="0"/>
    <w:rPr>
      <w:color w:val="000000"/>
    </w:rPr>
  </w:style>
  <w:style w:type="character" w:customStyle="1" w:styleId="152">
    <w:name w:val="hover12"/>
    <w:qFormat/>
    <w:uiPriority w:val="0"/>
    <w:rPr>
      <w:sz w:val="21"/>
      <w:szCs w:val="21"/>
    </w:rPr>
  </w:style>
  <w:style w:type="character" w:customStyle="1" w:styleId="153">
    <w:name w:val="glyphicon"/>
    <w:qFormat/>
    <w:uiPriority w:val="0"/>
  </w:style>
  <w:style w:type="character" w:customStyle="1" w:styleId="154">
    <w:name w:val="Heading 7 Char"/>
    <w:qFormat/>
    <w:locked/>
    <w:uiPriority w:val="0"/>
    <w:rPr>
      <w:rFonts w:eastAsia="宋体"/>
      <w:b/>
      <w:bCs/>
      <w:sz w:val="24"/>
      <w:szCs w:val="24"/>
      <w:lang w:val="en-US" w:eastAsia="zh-CN" w:bidi="ar-SA"/>
    </w:rPr>
  </w:style>
  <w:style w:type="character" w:customStyle="1" w:styleId="155">
    <w:name w:val="hour_pm"/>
    <w:qFormat/>
    <w:uiPriority w:val="0"/>
  </w:style>
  <w:style w:type="character" w:customStyle="1" w:styleId="156">
    <w:name w:val="批注文字 Char1"/>
    <w:uiPriority w:val="0"/>
    <w:rPr>
      <w:kern w:val="2"/>
      <w:sz w:val="21"/>
    </w:rPr>
  </w:style>
  <w:style w:type="character" w:customStyle="1" w:styleId="157">
    <w:name w:val="批注框文本 Char1"/>
    <w:qFormat/>
    <w:uiPriority w:val="0"/>
    <w:rPr>
      <w:kern w:val="2"/>
      <w:sz w:val="18"/>
      <w:szCs w:val="18"/>
    </w:rPr>
  </w:style>
  <w:style w:type="character" w:customStyle="1" w:styleId="158">
    <w:name w:val="Body Text 3 Char"/>
    <w:qFormat/>
    <w:locked/>
    <w:uiPriority w:val="0"/>
    <w:rPr>
      <w:rFonts w:ascii="宋体" w:hAnsi="宋体" w:eastAsia="宋体"/>
      <w:kern w:val="2"/>
      <w:sz w:val="24"/>
      <w:lang w:val="en-US" w:eastAsia="zh-CN" w:bidi="ar-SA"/>
    </w:rPr>
  </w:style>
  <w:style w:type="character" w:customStyle="1" w:styleId="159">
    <w:name w:val="Footnote Text Char"/>
    <w:qFormat/>
    <w:locked/>
    <w:uiPriority w:val="0"/>
    <w:rPr>
      <w:rFonts w:ascii="宋体" w:hAnsi="宋体" w:eastAsia="宋体"/>
      <w:kern w:val="2"/>
      <w:lang w:val="en-US" w:eastAsia="zh-CN" w:bidi="ar-SA"/>
    </w:rPr>
  </w:style>
  <w:style w:type="character" w:customStyle="1" w:styleId="160">
    <w:name w:val="Char Char3"/>
    <w:qFormat/>
    <w:uiPriority w:val="0"/>
    <w:rPr>
      <w:rFonts w:eastAsia="宋体"/>
      <w:kern w:val="2"/>
      <w:sz w:val="21"/>
      <w:lang w:val="en-US" w:eastAsia="zh-CN" w:bidi="ar-SA"/>
    </w:rPr>
  </w:style>
  <w:style w:type="character" w:customStyle="1" w:styleId="161">
    <w:name w:val="ui-icon30"/>
    <w:uiPriority w:val="0"/>
  </w:style>
  <w:style w:type="character" w:customStyle="1" w:styleId="162">
    <w:name w:val="Comment Subject Char"/>
    <w:qFormat/>
    <w:locked/>
    <w:uiPriority w:val="0"/>
    <w:rPr>
      <w:rFonts w:ascii="宋体" w:hAnsi="宋体" w:eastAsia="宋体"/>
      <w:b/>
      <w:bCs/>
      <w:kern w:val="2"/>
      <w:sz w:val="21"/>
      <w:szCs w:val="24"/>
      <w:lang w:val="en-US" w:eastAsia="zh-CN" w:bidi="ar-SA"/>
    </w:rPr>
  </w:style>
  <w:style w:type="character" w:customStyle="1" w:styleId="163">
    <w:name w:val="Char Char14"/>
    <w:qFormat/>
    <w:locked/>
    <w:uiPriority w:val="0"/>
    <w:rPr>
      <w:rFonts w:ascii="宋体" w:hAnsi="宋体" w:eastAsia="宋体"/>
      <w:kern w:val="2"/>
      <w:sz w:val="18"/>
      <w:szCs w:val="18"/>
      <w:lang w:bidi="ar-SA"/>
    </w:rPr>
  </w:style>
  <w:style w:type="character" w:customStyle="1" w:styleId="164">
    <w:name w:val="称呼 Char1"/>
    <w:qFormat/>
    <w:uiPriority w:val="0"/>
    <w:rPr>
      <w:kern w:val="2"/>
      <w:sz w:val="21"/>
    </w:rPr>
  </w:style>
  <w:style w:type="character" w:customStyle="1" w:styleId="165">
    <w:name w:val="Header Char"/>
    <w:qFormat/>
    <w:locked/>
    <w:uiPriority w:val="0"/>
    <w:rPr>
      <w:rFonts w:ascii="宋体" w:hAnsi="宋体" w:eastAsia="宋体"/>
      <w:kern w:val="2"/>
      <w:sz w:val="18"/>
      <w:szCs w:val="18"/>
      <w:lang w:val="en-US" w:eastAsia="zh-CN" w:bidi="ar-SA"/>
    </w:rPr>
  </w:style>
  <w:style w:type="character" w:customStyle="1" w:styleId="166">
    <w:name w:val="edui-clickable2"/>
    <w:uiPriority w:val="0"/>
    <w:rPr>
      <w:color w:val="0000FF"/>
      <w:u w:val="single"/>
    </w:rPr>
  </w:style>
  <w:style w:type="character" w:customStyle="1" w:styleId="167">
    <w:name w:val="old1"/>
    <w:qFormat/>
    <w:uiPriority w:val="0"/>
    <w:rPr>
      <w:color w:val="999999"/>
    </w:rPr>
  </w:style>
  <w:style w:type="character" w:customStyle="1" w:styleId="168">
    <w:name w:val="before1"/>
    <w:qFormat/>
    <w:uiPriority w:val="0"/>
    <w:rPr>
      <w:rFonts w:hint="default" w:ascii="FontAwesome" w:hAnsi="FontAwesome" w:eastAsia="FontAwesome" w:cs="FontAwesome"/>
      <w:color w:val="888888"/>
      <w:sz w:val="18"/>
      <w:szCs w:val="18"/>
    </w:rPr>
  </w:style>
  <w:style w:type="character" w:customStyle="1" w:styleId="169">
    <w:name w:val="hover3"/>
    <w:qFormat/>
    <w:uiPriority w:val="0"/>
    <w:rPr>
      <w:shd w:val="clear" w:color="auto" w:fill="EEEEEE"/>
    </w:rPr>
  </w:style>
  <w:style w:type="character" w:customStyle="1" w:styleId="170">
    <w:name w:val="ui-icon31"/>
    <w:uiPriority w:val="0"/>
  </w:style>
  <w:style w:type="character" w:customStyle="1" w:styleId="171">
    <w:name w:val="Char Char71"/>
    <w:uiPriority w:val="0"/>
    <w:rPr>
      <w:rFonts w:eastAsia="宋体"/>
      <w:kern w:val="2"/>
      <w:sz w:val="21"/>
      <w:lang w:val="en-US" w:eastAsia="zh-CN" w:bidi="ar-SA"/>
    </w:rPr>
  </w:style>
  <w:style w:type="character" w:customStyle="1" w:styleId="172">
    <w:name w:val="批注主题 Char1"/>
    <w:uiPriority w:val="0"/>
    <w:rPr>
      <w:b/>
      <w:bCs/>
      <w:kern w:val="2"/>
      <w:sz w:val="21"/>
      <w:szCs w:val="24"/>
    </w:rPr>
  </w:style>
  <w:style w:type="character" w:customStyle="1" w:styleId="173">
    <w:name w:val="input-icon2"/>
    <w:qFormat/>
    <w:uiPriority w:val="0"/>
  </w:style>
  <w:style w:type="character" w:customStyle="1" w:styleId="174">
    <w:name w:val="Document Map Char"/>
    <w:qFormat/>
    <w:locked/>
    <w:uiPriority w:val="0"/>
    <w:rPr>
      <w:rFonts w:ascii="宋体" w:hAnsi="宋体" w:eastAsia="宋体"/>
      <w:kern w:val="2"/>
      <w:sz w:val="21"/>
      <w:szCs w:val="24"/>
      <w:lang w:val="en-US" w:eastAsia="zh-CN" w:bidi="ar-SA"/>
    </w:rPr>
  </w:style>
  <w:style w:type="character" w:customStyle="1" w:styleId="175">
    <w:name w:val="Comment Text Char"/>
    <w:locked/>
    <w:uiPriority w:val="0"/>
    <w:rPr>
      <w:rFonts w:ascii="宋体" w:hAnsi="宋体" w:eastAsia="宋体"/>
      <w:kern w:val="2"/>
      <w:sz w:val="21"/>
      <w:lang w:val="en-US" w:eastAsia="zh-CN" w:bidi="ar-SA"/>
    </w:rPr>
  </w:style>
  <w:style w:type="character" w:customStyle="1" w:styleId="176">
    <w:name w:val="Char Char4"/>
    <w:uiPriority w:val="0"/>
    <w:rPr>
      <w:rFonts w:hint="default" w:ascii="Arial" w:hAnsi="Arial" w:eastAsia="黑体" w:cs="Arial"/>
      <w:b/>
      <w:kern w:val="2"/>
      <w:sz w:val="32"/>
      <w:lang w:val="en-US" w:eastAsia="zh-CN"/>
    </w:rPr>
  </w:style>
  <w:style w:type="paragraph" w:customStyle="1" w:styleId="17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8">
    <w:name w:val="Char2"/>
    <w:basedOn w:val="1"/>
    <w:qFormat/>
    <w:uiPriority w:val="0"/>
    <w:pPr>
      <w:tabs>
        <w:tab w:val="left" w:pos="360"/>
      </w:tabs>
    </w:pPr>
    <w:rPr>
      <w:sz w:val="24"/>
      <w:szCs w:val="24"/>
    </w:rPr>
  </w:style>
  <w:style w:type="paragraph" w:customStyle="1" w:styleId="179">
    <w:name w:val="金安桥正文"/>
    <w:basedOn w:val="21"/>
    <w:qFormat/>
    <w:uiPriority w:val="0"/>
    <w:pPr>
      <w:tabs>
        <w:tab w:val="clear" w:pos="8640"/>
      </w:tabs>
      <w:adjustRightInd w:val="0"/>
      <w:spacing w:line="300" w:lineRule="auto"/>
      <w:ind w:left="0" w:firstLine="200" w:firstLineChars="200"/>
      <w:jc w:val="left"/>
    </w:pPr>
    <w:rPr>
      <w:kern w:val="0"/>
      <w:sz w:val="24"/>
    </w:rPr>
  </w:style>
  <w:style w:type="paragraph" w:customStyle="1" w:styleId="180">
    <w:name w:val="Char"/>
    <w:basedOn w:val="1"/>
    <w:uiPriority w:val="0"/>
    <w:pPr>
      <w:tabs>
        <w:tab w:val="left" w:pos="360"/>
      </w:tabs>
      <w:ind w:left="360" w:hanging="360" w:hangingChars="200"/>
    </w:pPr>
    <w:rPr>
      <w:sz w:val="24"/>
      <w:szCs w:val="24"/>
    </w:rPr>
  </w:style>
  <w:style w:type="paragraph" w:customStyle="1" w:styleId="181">
    <w:name w:val="样式"/>
    <w:basedOn w:val="1"/>
    <w:next w:val="25"/>
    <w:uiPriority w:val="0"/>
    <w:rPr>
      <w:rFonts w:ascii="宋体" w:hAnsi="Courier New" w:cs="宋体"/>
      <w:szCs w:val="21"/>
    </w:rPr>
  </w:style>
  <w:style w:type="paragraph" w:customStyle="1" w:styleId="182">
    <w:name w:val="文本块1"/>
    <w:basedOn w:val="1"/>
    <w:qFormat/>
    <w:uiPriority w:val="0"/>
    <w:pPr>
      <w:widowControl/>
      <w:tabs>
        <w:tab w:val="left" w:pos="900"/>
      </w:tabs>
      <w:overflowPunct w:val="0"/>
      <w:autoSpaceDE w:val="0"/>
      <w:autoSpaceDN w:val="0"/>
      <w:adjustRightInd w:val="0"/>
      <w:ind w:left="897" w:right="1544" w:hanging="330"/>
      <w:textAlignment w:val="baseline"/>
    </w:pPr>
    <w:rPr>
      <w:kern w:val="0"/>
      <w:sz w:val="24"/>
    </w:rPr>
  </w:style>
  <w:style w:type="paragraph" w:customStyle="1" w:styleId="183">
    <w:name w:val="xl7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8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5">
    <w:name w:val="TOC 标题1"/>
    <w:basedOn w:val="3"/>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86">
    <w:name w:val="xl36"/>
    <w:basedOn w:val="1"/>
    <w:uiPriority w:val="0"/>
    <w:pPr>
      <w:widowControl/>
      <w:spacing w:before="100" w:beforeAutospacing="1" w:after="100" w:afterAutospacing="1"/>
      <w:jc w:val="left"/>
    </w:pPr>
    <w:rPr>
      <w:rFonts w:ascii="宋体" w:hAnsi="宋体" w:cs="宋体"/>
      <w:kern w:val="0"/>
      <w:sz w:val="22"/>
      <w:szCs w:val="22"/>
    </w:rPr>
  </w:style>
  <w:style w:type="paragraph" w:customStyle="1" w:styleId="187">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8">
    <w:name w:val="Table Paragraph"/>
    <w:basedOn w:val="1"/>
    <w:qFormat/>
    <w:uiPriority w:val="1"/>
    <w:pPr>
      <w:jc w:val="left"/>
    </w:pPr>
    <w:rPr>
      <w:rFonts w:ascii="Calibri" w:hAnsi="Calibri"/>
      <w:kern w:val="0"/>
      <w:sz w:val="22"/>
      <w:szCs w:val="22"/>
      <w:lang w:eastAsia="en-US"/>
    </w:rPr>
  </w:style>
  <w:style w:type="paragraph" w:customStyle="1" w:styleId="189">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90">
    <w:name w:val="标题1"/>
    <w:basedOn w:val="45"/>
    <w:qFormat/>
    <w:uiPriority w:val="0"/>
    <w:pPr>
      <w:spacing w:after="240"/>
    </w:pPr>
    <w:rPr>
      <w:bCs w:val="0"/>
      <w:spacing w:val="2"/>
      <w:sz w:val="44"/>
      <w:szCs w:val="20"/>
    </w:rPr>
  </w:style>
  <w:style w:type="paragraph" w:customStyle="1" w:styleId="191">
    <w:name w:val="Char Char Char Char Char Char 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92">
    <w:name w:val="p17"/>
    <w:basedOn w:val="1"/>
    <w:qFormat/>
    <w:uiPriority w:val="0"/>
    <w:pPr>
      <w:widowControl/>
      <w:spacing w:line="360" w:lineRule="auto"/>
    </w:pPr>
    <w:rPr>
      <w:kern w:val="0"/>
      <w:szCs w:val="21"/>
    </w:rPr>
  </w:style>
  <w:style w:type="paragraph" w:customStyle="1" w:styleId="193">
    <w:name w:val="无间隔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5">
    <w:name w:val="xl27"/>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196">
    <w:name w:val="XW正文"/>
    <w:basedOn w:val="21"/>
    <w:qFormat/>
    <w:uiPriority w:val="0"/>
    <w:pPr>
      <w:tabs>
        <w:tab w:val="clear" w:pos="8640"/>
      </w:tabs>
      <w:adjustRightInd w:val="0"/>
      <w:snapToGrid w:val="0"/>
      <w:spacing w:line="300" w:lineRule="auto"/>
      <w:ind w:left="0" w:firstLine="520" w:firstLineChars="200"/>
      <w:jc w:val="left"/>
    </w:pPr>
    <w:rPr>
      <w:kern w:val="0"/>
      <w:szCs w:val="24"/>
    </w:rPr>
  </w:style>
  <w:style w:type="paragraph" w:customStyle="1" w:styleId="19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4"/>
    </w:rPr>
  </w:style>
  <w:style w:type="paragraph" w:customStyle="1" w:styleId="198">
    <w:name w:val="Date1"/>
    <w:basedOn w:val="1"/>
    <w:next w:val="1"/>
    <w:qFormat/>
    <w:uiPriority w:val="0"/>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199">
    <w:name w:val="xl24"/>
    <w:basedOn w:val="1"/>
    <w:qFormat/>
    <w:uiPriority w:val="0"/>
    <w:pPr>
      <w:widowControl/>
      <w:spacing w:before="100" w:beforeAutospacing="1" w:after="100" w:afterAutospacing="1"/>
      <w:jc w:val="left"/>
      <w:textAlignment w:val="top"/>
    </w:pPr>
    <w:rPr>
      <w:rFonts w:ascii="宋体" w:hAnsi="宋体" w:cs="宋体"/>
      <w:kern w:val="0"/>
      <w:sz w:val="22"/>
      <w:szCs w:val="22"/>
    </w:rPr>
  </w:style>
  <w:style w:type="paragraph" w:customStyle="1" w:styleId="20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01">
    <w:name w:val="xl33"/>
    <w:basedOn w:val="1"/>
    <w:qFormat/>
    <w:uiPriority w:val="0"/>
    <w:pPr>
      <w:widowControl/>
      <w:shd w:val="clear" w:color="auto" w:fill="FFFF00"/>
      <w:spacing w:before="100" w:beforeAutospacing="1" w:after="100" w:afterAutospacing="1"/>
      <w:jc w:val="left"/>
      <w:textAlignment w:val="top"/>
    </w:pPr>
    <w:rPr>
      <w:rFonts w:ascii="宋体" w:hAnsi="宋体" w:cs="宋体"/>
      <w:color w:val="FF0000"/>
      <w:kern w:val="0"/>
      <w:sz w:val="22"/>
      <w:szCs w:val="22"/>
    </w:rPr>
  </w:style>
  <w:style w:type="paragraph" w:customStyle="1" w:styleId="202">
    <w:name w:val="样式 样式 样式 样式 标题 2 + 宋体 五号 非加粗 黑色 + 段前: 6 磅 段后: 0 磅 行距: 单倍行距 + 段前:..."/>
    <w:basedOn w:val="1"/>
    <w:qFormat/>
    <w:uiPriority w:val="0"/>
    <w:pPr>
      <w:keepNext/>
      <w:keepLines/>
      <w:numPr>
        <w:ilvl w:val="1"/>
        <w:numId w:val="1"/>
      </w:numPr>
      <w:tabs>
        <w:tab w:val="left" w:pos="1125"/>
      </w:tabs>
      <w:adjustRightInd w:val="0"/>
      <w:spacing w:before="240"/>
      <w:jc w:val="left"/>
      <w:textAlignment w:val="baseline"/>
      <w:outlineLvl w:val="1"/>
    </w:pPr>
    <w:rPr>
      <w:rFonts w:ascii="宋体" w:hAnsi="宋体" w:cs="宋体"/>
      <w:b/>
      <w:bCs/>
      <w:color w:val="000000"/>
      <w:kern w:val="0"/>
    </w:rPr>
  </w:style>
  <w:style w:type="paragraph" w:customStyle="1" w:styleId="203">
    <w:name w:val="■小四 Char"/>
    <w:basedOn w:val="1"/>
    <w:next w:val="1"/>
    <w:qFormat/>
    <w:uiPriority w:val="0"/>
    <w:pPr>
      <w:tabs>
        <w:tab w:val="left" w:pos="840"/>
      </w:tabs>
      <w:spacing w:line="360" w:lineRule="auto"/>
      <w:ind w:left="840" w:hanging="420"/>
    </w:pPr>
    <w:rPr>
      <w:rFonts w:ascii="Arial" w:hAnsi="Arial"/>
      <w:sz w:val="24"/>
      <w:szCs w:val="21"/>
    </w:rPr>
  </w:style>
  <w:style w:type="paragraph" w:customStyle="1" w:styleId="20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205">
    <w:name w:val="_Style 6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6">
    <w:name w:val="TOC 标题2"/>
    <w:basedOn w:val="3"/>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20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4"/>
      <w:szCs w:val="24"/>
    </w:rPr>
  </w:style>
  <w:style w:type="paragraph" w:customStyle="1" w:styleId="208">
    <w:name w:val="xl29"/>
    <w:basedOn w:val="1"/>
    <w:qFormat/>
    <w:uiPriority w:val="0"/>
    <w:pPr>
      <w:widowControl/>
      <w:spacing w:before="100" w:beforeAutospacing="1" w:after="100" w:afterAutospacing="1"/>
      <w:textAlignment w:val="top"/>
    </w:pPr>
    <w:rPr>
      <w:rFonts w:ascii="宋体" w:hAnsi="宋体" w:cs="宋体"/>
      <w:b/>
      <w:bCs/>
      <w:kern w:val="0"/>
      <w:sz w:val="22"/>
      <w:szCs w:val="22"/>
    </w:rPr>
  </w:style>
  <w:style w:type="paragraph" w:customStyle="1" w:styleId="209">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10">
    <w:name w:val="xl31"/>
    <w:basedOn w:val="1"/>
    <w:qFormat/>
    <w:uiPriority w:val="0"/>
    <w:pPr>
      <w:widowControl/>
      <w:spacing w:before="100" w:beforeAutospacing="1" w:after="100" w:afterAutospacing="1"/>
      <w:jc w:val="left"/>
      <w:textAlignment w:val="top"/>
    </w:pPr>
    <w:rPr>
      <w:rFonts w:ascii="宋体" w:hAnsi="宋体" w:cs="宋体"/>
      <w:b/>
      <w:bCs/>
      <w:kern w:val="0"/>
      <w:sz w:val="22"/>
      <w:szCs w:val="22"/>
    </w:rPr>
  </w:style>
  <w:style w:type="paragraph" w:customStyle="1" w:styleId="211">
    <w:name w:val="目录文字"/>
    <w:basedOn w:val="1"/>
    <w:qFormat/>
    <w:uiPriority w:val="0"/>
    <w:pPr>
      <w:widowControl/>
      <w:spacing w:line="480" w:lineRule="auto"/>
      <w:jc w:val="left"/>
    </w:pPr>
    <w:rPr>
      <w:rFonts w:ascii="宋体" w:hAnsi="宋体"/>
      <w:kern w:val="0"/>
      <w:sz w:val="24"/>
    </w:rPr>
  </w:style>
  <w:style w:type="paragraph" w:customStyle="1" w:styleId="212">
    <w:name w:val="xl73"/>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13">
    <w:name w:val="样式4"/>
    <w:basedOn w:val="5"/>
    <w:qFormat/>
    <w:uiPriority w:val="0"/>
    <w:pPr>
      <w:numPr>
        <w:ilvl w:val="0"/>
        <w:numId w:val="0"/>
      </w:numPr>
      <w:adjustRightInd/>
      <w:spacing w:before="260" w:after="260" w:line="415" w:lineRule="auto"/>
      <w:jc w:val="both"/>
      <w:textAlignment w:val="auto"/>
    </w:pPr>
    <w:rPr>
      <w:rFonts w:eastAsia="Arial"/>
      <w:sz w:val="32"/>
    </w:rPr>
  </w:style>
  <w:style w:type="paragraph" w:customStyle="1" w:styleId="214">
    <w:name w:val="xl23"/>
    <w:basedOn w:val="1"/>
    <w:qFormat/>
    <w:uiPriority w:val="0"/>
    <w:pPr>
      <w:widowControl/>
      <w:spacing w:before="100" w:beforeAutospacing="1" w:after="100" w:afterAutospacing="1" w:line="360" w:lineRule="auto"/>
      <w:textAlignment w:val="top"/>
    </w:pPr>
    <w:rPr>
      <w:kern w:val="0"/>
      <w:sz w:val="24"/>
      <w:szCs w:val="24"/>
    </w:rPr>
  </w:style>
  <w:style w:type="paragraph" w:customStyle="1" w:styleId="21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1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4"/>
      <w:szCs w:val="24"/>
    </w:rPr>
  </w:style>
  <w:style w:type="paragraph" w:customStyle="1" w:styleId="217">
    <w:name w:val="1"/>
    <w:basedOn w:val="1"/>
    <w:next w:val="1"/>
    <w:qFormat/>
    <w:uiPriority w:val="0"/>
    <w:pPr>
      <w:spacing w:line="360" w:lineRule="auto"/>
    </w:pPr>
    <w:rPr>
      <w:szCs w:val="24"/>
    </w:rPr>
  </w:style>
  <w:style w:type="paragraph" w:customStyle="1" w:styleId="2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1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4"/>
      <w:szCs w:val="24"/>
    </w:rPr>
  </w:style>
  <w:style w:type="paragraph" w:customStyle="1" w:styleId="220">
    <w:name w:val="样式 标题 3 + (中文) 黑体 小四 非加粗 段前: 7.8 磅 段后: 0 磅 行距: 固定值 20 磅"/>
    <w:basedOn w:val="5"/>
    <w:qFormat/>
    <w:uiPriority w:val="0"/>
    <w:pPr>
      <w:numPr>
        <w:ilvl w:val="0"/>
        <w:numId w:val="0"/>
      </w:numPr>
      <w:adjustRightInd/>
      <w:spacing w:before="0" w:after="0" w:line="400" w:lineRule="exact"/>
      <w:jc w:val="both"/>
      <w:textAlignment w:val="auto"/>
    </w:pPr>
    <w:rPr>
      <w:rFonts w:eastAsia="黑体"/>
      <w:b w:val="0"/>
      <w:kern w:val="2"/>
      <w:sz w:val="24"/>
    </w:rPr>
  </w:style>
  <w:style w:type="paragraph" w:customStyle="1" w:styleId="221">
    <w:name w:val="he"/>
    <w:basedOn w:val="1"/>
    <w:next w:val="7"/>
    <w:qFormat/>
    <w:uiPriority w:val="0"/>
    <w:pPr>
      <w:keepNext/>
      <w:keepLines/>
      <w:autoSpaceDE w:val="0"/>
      <w:autoSpaceDN w:val="0"/>
      <w:adjustRightInd w:val="0"/>
      <w:spacing w:before="120" w:line="300" w:lineRule="auto"/>
      <w:jc w:val="center"/>
    </w:pPr>
    <w:rPr>
      <w:rFonts w:ascii="Arial" w:hAnsi="Arial" w:eastAsia="黑体" w:cs="Arial"/>
      <w:b/>
      <w:bCs/>
      <w:kern w:val="0"/>
      <w:sz w:val="30"/>
      <w:szCs w:val="30"/>
    </w:rPr>
  </w:style>
  <w:style w:type="paragraph" w:customStyle="1" w:styleId="222">
    <w:name w:val="Char Char 字元 字元 字元 Char Char Char Char"/>
    <w:basedOn w:val="1"/>
    <w:qFormat/>
    <w:uiPriority w:val="0"/>
    <w:pPr>
      <w:adjustRightInd w:val="0"/>
      <w:spacing w:line="360" w:lineRule="auto"/>
    </w:pPr>
    <w:rPr>
      <w:kern w:val="0"/>
      <w:sz w:val="24"/>
    </w:rPr>
  </w:style>
  <w:style w:type="paragraph" w:customStyle="1" w:styleId="223">
    <w:name w:val="样式1"/>
    <w:basedOn w:val="5"/>
    <w:qFormat/>
    <w:uiPriority w:val="0"/>
    <w:pPr>
      <w:numPr>
        <w:ilvl w:val="0"/>
        <w:numId w:val="0"/>
      </w:numPr>
      <w:adjustRightInd/>
      <w:spacing w:before="260" w:after="260" w:line="415" w:lineRule="auto"/>
      <w:jc w:val="both"/>
      <w:textAlignment w:val="auto"/>
    </w:pPr>
    <w:rPr>
      <w:rFonts w:eastAsia="Arial"/>
      <w:sz w:val="32"/>
    </w:rPr>
  </w:style>
  <w:style w:type="paragraph" w:customStyle="1" w:styleId="2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5">
    <w:name w:val="Char Char Char Char"/>
    <w:basedOn w:val="1"/>
    <w:qFormat/>
    <w:uiPriority w:val="0"/>
    <w:pPr>
      <w:tabs>
        <w:tab w:val="left" w:pos="840"/>
      </w:tabs>
      <w:ind w:left="840" w:hanging="420"/>
    </w:pPr>
    <w:rPr>
      <w:sz w:val="24"/>
      <w:szCs w:val="24"/>
    </w:rPr>
  </w:style>
  <w:style w:type="paragraph" w:customStyle="1" w:styleId="226">
    <w:name w:val="xl34"/>
    <w:basedOn w:val="1"/>
    <w:qFormat/>
    <w:uiPriority w:val="0"/>
    <w:pPr>
      <w:widowControl/>
      <w:shd w:val="clear" w:color="auto" w:fill="FFFF00"/>
      <w:spacing w:before="100" w:beforeAutospacing="1" w:after="100" w:afterAutospacing="1"/>
      <w:jc w:val="left"/>
      <w:textAlignment w:val="center"/>
    </w:pPr>
    <w:rPr>
      <w:rFonts w:ascii="宋体" w:hAnsi="宋体" w:cs="宋体"/>
      <w:kern w:val="0"/>
      <w:sz w:val="22"/>
      <w:szCs w:val="22"/>
    </w:rPr>
  </w:style>
  <w:style w:type="paragraph" w:customStyle="1" w:styleId="227">
    <w:name w:val="int"/>
    <w:basedOn w:val="1"/>
    <w:qFormat/>
    <w:uiPriority w:val="0"/>
    <w:pPr>
      <w:spacing w:line="360" w:lineRule="auto"/>
      <w:ind w:firstLine="454"/>
    </w:pPr>
    <w:rPr>
      <w:sz w:val="24"/>
      <w:szCs w:val="24"/>
    </w:rPr>
  </w:style>
  <w:style w:type="paragraph" w:customStyle="1" w:styleId="228">
    <w:name w:val="Char1"/>
    <w:basedOn w:val="1"/>
    <w:qFormat/>
    <w:uiPriority w:val="0"/>
    <w:pPr>
      <w:tabs>
        <w:tab w:val="left" w:pos="360"/>
      </w:tabs>
    </w:pPr>
    <w:rPr>
      <w:sz w:val="24"/>
      <w:szCs w:val="24"/>
    </w:rPr>
  </w:style>
  <w:style w:type="paragraph" w:customStyle="1" w:styleId="229">
    <w:name w:val="样式 标题 2 + Times New Roman 四号 非加粗 段前: 5 磅 段后: 0 磅 行距: 固定值 20..."/>
    <w:basedOn w:val="4"/>
    <w:qFormat/>
    <w:uiPriority w:val="0"/>
    <w:pPr>
      <w:adjustRightInd/>
      <w:spacing w:before="100" w:line="400" w:lineRule="exact"/>
      <w:jc w:val="both"/>
      <w:textAlignment w:val="auto"/>
    </w:pPr>
    <w:rPr>
      <w:rFonts w:ascii="Times New Roman" w:hAnsi="Times New Roman" w:cs="宋体"/>
      <w:b w:val="0"/>
      <w:kern w:val="2"/>
      <w:sz w:val="28"/>
    </w:rPr>
  </w:style>
  <w:style w:type="paragraph" w:customStyle="1" w:styleId="230">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231">
    <w:name w:val="xl35"/>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232">
    <w:name w:val="xl32"/>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33">
    <w:name w:val="Default"/>
    <w:qFormat/>
    <w:uiPriority w:val="0"/>
    <w:pPr>
      <w:widowControl w:val="0"/>
      <w:autoSpaceDE w:val="0"/>
      <w:autoSpaceDN w:val="0"/>
      <w:adjustRightInd w:val="0"/>
    </w:pPr>
    <w:rPr>
      <w:rFonts w:ascii="Formata" w:hAnsi="Times New Roman" w:eastAsia="Formata" w:cs="Times New Roman"/>
      <w:color w:val="000000"/>
      <w:sz w:val="24"/>
      <w:szCs w:val="24"/>
      <w:lang w:val="en-US" w:eastAsia="zh-CN" w:bidi="ar-SA"/>
    </w:rPr>
  </w:style>
  <w:style w:type="paragraph" w:customStyle="1" w:styleId="234">
    <w:name w:val="font8"/>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35">
    <w:name w:val="xl25"/>
    <w:basedOn w:val="1"/>
    <w:qFormat/>
    <w:uiPriority w:val="0"/>
    <w:pPr>
      <w:widowControl/>
      <w:spacing w:before="100" w:beforeAutospacing="1" w:after="100" w:afterAutospacing="1"/>
      <w:jc w:val="left"/>
      <w:textAlignment w:val="center"/>
    </w:pPr>
    <w:rPr>
      <w:rFonts w:ascii="宋体" w:hAnsi="宋体" w:cs="宋体"/>
      <w:b/>
      <w:bCs/>
      <w:kern w:val="0"/>
      <w:sz w:val="22"/>
      <w:szCs w:val="22"/>
    </w:rPr>
  </w:style>
  <w:style w:type="paragraph" w:customStyle="1" w:styleId="236">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7">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paragraph" w:customStyle="1" w:styleId="238">
    <w:name w:val="图片"/>
    <w:basedOn w:val="1"/>
    <w:next w:val="1"/>
    <w:qFormat/>
    <w:uiPriority w:val="0"/>
    <w:pPr>
      <w:keepNext/>
      <w:spacing w:before="60" w:after="60"/>
      <w:jc w:val="center"/>
    </w:pPr>
    <w:rPr>
      <w:kern w:val="0"/>
      <w:sz w:val="24"/>
      <w:szCs w:val="24"/>
    </w:rPr>
  </w:style>
  <w:style w:type="paragraph" w:customStyle="1" w:styleId="239">
    <w:name w:val="样式 标题 1 + 黑体 三号 非加粗 居中 段前: 6 磅 段后: 6 磅 行距: 固定值 20 磅"/>
    <w:basedOn w:val="3"/>
    <w:qFormat/>
    <w:uiPriority w:val="0"/>
    <w:pPr>
      <w:spacing w:line="400" w:lineRule="exact"/>
    </w:pPr>
    <w:rPr>
      <w:rFonts w:ascii="黑体" w:hAnsi="黑体" w:eastAsia="黑体" w:cs="宋体"/>
      <w:b w:val="0"/>
      <w:sz w:val="32"/>
    </w:rPr>
  </w:style>
  <w:style w:type="paragraph" w:customStyle="1" w:styleId="240">
    <w:name w:val="Char3"/>
    <w:basedOn w:val="1"/>
    <w:qFormat/>
    <w:uiPriority w:val="0"/>
    <w:pPr>
      <w:tabs>
        <w:tab w:val="left" w:pos="360"/>
      </w:tabs>
    </w:pPr>
    <w:rPr>
      <w:sz w:val="24"/>
      <w:szCs w:val="24"/>
    </w:rPr>
  </w:style>
  <w:style w:type="paragraph" w:customStyle="1" w:styleId="241">
    <w:name w:val="Paragraf"/>
    <w:basedOn w:val="1"/>
    <w:qFormat/>
    <w:uiPriority w:val="0"/>
    <w:pPr>
      <w:widowControl/>
      <w:overflowPunct w:val="0"/>
      <w:autoSpaceDE w:val="0"/>
      <w:autoSpaceDN w:val="0"/>
      <w:adjustRightInd w:val="0"/>
      <w:spacing w:before="120"/>
      <w:ind w:left="454" w:hanging="454"/>
      <w:jc w:val="left"/>
      <w:textAlignment w:val="baseline"/>
    </w:pPr>
    <w:rPr>
      <w:rFonts w:eastAsia="Times New Roman"/>
      <w:kern w:val="0"/>
      <w:sz w:val="22"/>
      <w:lang w:val="en-GB" w:eastAsia="en-US"/>
    </w:rPr>
  </w:style>
  <w:style w:type="paragraph" w:customStyle="1" w:styleId="242">
    <w:name w:val="xl67"/>
    <w:basedOn w:val="1"/>
    <w:uiPriority w:val="0"/>
    <w:pPr>
      <w:widowControl/>
      <w:spacing w:before="100" w:beforeAutospacing="1" w:after="100" w:afterAutospacing="1"/>
      <w:jc w:val="center"/>
    </w:pPr>
    <w:rPr>
      <w:rFonts w:ascii="微软雅黑" w:hAnsi="微软雅黑" w:eastAsia="微软雅黑" w:cs="宋体"/>
      <w:b/>
      <w:bCs/>
      <w:kern w:val="0"/>
      <w:sz w:val="24"/>
      <w:szCs w:val="24"/>
    </w:rPr>
  </w:style>
  <w:style w:type="paragraph" w:customStyle="1" w:styleId="243">
    <w:name w:val="Char11"/>
    <w:basedOn w:val="1"/>
    <w:qFormat/>
    <w:uiPriority w:val="0"/>
    <w:pPr>
      <w:spacing w:line="360" w:lineRule="auto"/>
    </w:pPr>
    <w:rPr>
      <w:rFonts w:ascii="Tahoma" w:hAnsi="Tahoma"/>
      <w:sz w:val="24"/>
    </w:rPr>
  </w:style>
  <w:style w:type="paragraph" w:customStyle="1" w:styleId="244">
    <w:name w:val="Char Char Char Char1"/>
    <w:basedOn w:val="1"/>
    <w:qFormat/>
    <w:uiPriority w:val="0"/>
    <w:rPr>
      <w:rFonts w:ascii="Tahoma" w:hAnsi="Tahoma"/>
      <w:sz w:val="24"/>
    </w:rPr>
  </w:style>
  <w:style w:type="paragraph" w:customStyle="1" w:styleId="245">
    <w:name w:val="xl26"/>
    <w:basedOn w:val="1"/>
    <w:qFormat/>
    <w:uiPriority w:val="0"/>
    <w:pPr>
      <w:widowControl/>
      <w:spacing w:before="100" w:beforeAutospacing="1" w:after="100" w:afterAutospacing="1"/>
      <w:jc w:val="left"/>
      <w:textAlignment w:val="top"/>
    </w:pPr>
    <w:rPr>
      <w:rFonts w:ascii="宋体" w:hAnsi="宋体" w:cs="宋体"/>
      <w:kern w:val="0"/>
      <w:sz w:val="22"/>
      <w:szCs w:val="22"/>
    </w:rPr>
  </w:style>
  <w:style w:type="paragraph" w:customStyle="1" w:styleId="246">
    <w:name w:val="项目2"/>
    <w:qFormat/>
    <w:uiPriority w:val="0"/>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47">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48">
    <w:name w:val="样式 标题 2 + 宋体 五号 非加粗 黑色"/>
    <w:basedOn w:val="4"/>
    <w:qFormat/>
    <w:uiPriority w:val="0"/>
    <w:pPr>
      <w:spacing w:before="260" w:after="260" w:line="416" w:lineRule="atLeast"/>
      <w:ind w:left="254"/>
      <w:jc w:val="left"/>
    </w:pPr>
    <w:rPr>
      <w:rFonts w:ascii="宋体" w:hAnsi="宋体" w:eastAsia="宋体"/>
      <w:b w:val="0"/>
      <w:color w:val="000000"/>
      <w:sz w:val="21"/>
      <w:szCs w:val="32"/>
    </w:rPr>
  </w:style>
  <w:style w:type="paragraph" w:customStyle="1" w:styleId="249">
    <w:name w:val="xl28"/>
    <w:basedOn w:val="1"/>
    <w:qFormat/>
    <w:uiPriority w:val="0"/>
    <w:pPr>
      <w:widowControl/>
      <w:spacing w:before="100" w:beforeAutospacing="1" w:after="100" w:afterAutospacing="1"/>
      <w:textAlignment w:val="top"/>
    </w:pPr>
    <w:rPr>
      <w:rFonts w:ascii="宋体" w:hAnsi="宋体" w:cs="宋体"/>
      <w:kern w:val="0"/>
      <w:sz w:val="22"/>
      <w:szCs w:val="22"/>
    </w:rPr>
  </w:style>
  <w:style w:type="paragraph" w:customStyle="1" w:styleId="250">
    <w:name w:val="样式3"/>
    <w:basedOn w:val="5"/>
    <w:qFormat/>
    <w:uiPriority w:val="0"/>
    <w:pPr>
      <w:numPr>
        <w:ilvl w:val="0"/>
        <w:numId w:val="0"/>
      </w:numPr>
      <w:adjustRightInd/>
      <w:spacing w:before="260" w:after="260" w:line="415" w:lineRule="auto"/>
      <w:jc w:val="both"/>
      <w:textAlignment w:val="auto"/>
    </w:pPr>
    <w:rPr>
      <w:rFonts w:eastAsia="Arial"/>
      <w:sz w:val="32"/>
    </w:rPr>
  </w:style>
  <w:style w:type="paragraph" w:customStyle="1" w:styleId="251">
    <w:name w:val="xl72"/>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52">
    <w:name w:val="日期1"/>
    <w:basedOn w:val="1"/>
    <w:next w:val="1"/>
    <w:qFormat/>
    <w:uiPriority w:val="0"/>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253">
    <w:name w:val="表格"/>
    <w:basedOn w:val="1"/>
    <w:qFormat/>
    <w:uiPriority w:val="0"/>
    <w:pPr>
      <w:spacing w:line="360" w:lineRule="auto"/>
      <w:jc w:val="center"/>
      <w:textAlignment w:val="center"/>
    </w:pPr>
    <w:rPr>
      <w:rFonts w:ascii="华文细黑" w:hAnsi="华文细黑"/>
      <w:kern w:val="0"/>
    </w:rPr>
  </w:style>
  <w:style w:type="paragraph" w:customStyle="1" w:styleId="254">
    <w:name w:val="正文文本 21"/>
    <w:basedOn w:val="1"/>
    <w:qFormat/>
    <w:uiPriority w:val="0"/>
    <w:pPr>
      <w:widowControl/>
      <w:overflowPunct w:val="0"/>
      <w:autoSpaceDE w:val="0"/>
      <w:autoSpaceDN w:val="0"/>
      <w:adjustRightInd w:val="0"/>
      <w:ind w:right="1544" w:firstLine="426"/>
      <w:textAlignment w:val="baseline"/>
    </w:pPr>
    <w:rPr>
      <w:kern w:val="0"/>
      <w:sz w:val="24"/>
    </w:rPr>
  </w:style>
  <w:style w:type="paragraph" w:customStyle="1" w:styleId="255">
    <w:name w:val="Item List"/>
    <w:qFormat/>
    <w:uiPriority w:val="0"/>
    <w:pPr>
      <w:spacing w:line="300" w:lineRule="auto"/>
      <w:ind w:left="1701"/>
      <w:jc w:val="both"/>
    </w:pPr>
    <w:rPr>
      <w:rFonts w:ascii="Arial" w:hAnsi="Arial" w:eastAsia="宋体" w:cs="Times New Roman"/>
      <w:sz w:val="21"/>
      <w:lang w:val="en-US" w:eastAsia="zh-CN" w:bidi="ar-SA"/>
    </w:rPr>
  </w:style>
  <w:style w:type="paragraph" w:customStyle="1" w:styleId="256">
    <w:name w:val="文档正文"/>
    <w:basedOn w:val="1"/>
    <w:qFormat/>
    <w:uiPriority w:val="0"/>
    <w:pPr>
      <w:adjustRightInd w:val="0"/>
      <w:spacing w:before="60" w:after="60" w:line="312" w:lineRule="atLeast"/>
      <w:ind w:firstLine="567"/>
      <w:textAlignment w:val="baseline"/>
    </w:pPr>
    <w:rPr>
      <w:kern w:val="0"/>
      <w:sz w:val="28"/>
    </w:rPr>
  </w:style>
  <w:style w:type="paragraph" w:customStyle="1" w:styleId="257">
    <w:name w:val="Char Char Char Char2"/>
    <w:basedOn w:val="1"/>
    <w:qFormat/>
    <w:uiPriority w:val="0"/>
    <w:rPr>
      <w:rFonts w:ascii="Tahoma" w:hAnsi="Tahoma"/>
      <w:sz w:val="24"/>
    </w:rPr>
  </w:style>
  <w:style w:type="paragraph" w:customStyle="1" w:styleId="258">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259">
    <w:name w:val="font1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60">
    <w:name w:val="xl30"/>
    <w:basedOn w:val="1"/>
    <w:qFormat/>
    <w:uiPriority w:val="0"/>
    <w:pPr>
      <w:widowControl/>
      <w:spacing w:before="100" w:beforeAutospacing="1" w:after="100" w:afterAutospacing="1"/>
      <w:jc w:val="left"/>
      <w:textAlignment w:val="top"/>
    </w:pPr>
    <w:rPr>
      <w:rFonts w:ascii="宋体" w:hAnsi="宋体" w:cs="宋体"/>
      <w:kern w:val="0"/>
      <w:sz w:val="22"/>
      <w:szCs w:val="22"/>
    </w:rPr>
  </w:style>
  <w:style w:type="paragraph" w:customStyle="1" w:styleId="261">
    <w:name w:val="图中文字"/>
    <w:basedOn w:val="1"/>
    <w:uiPriority w:val="0"/>
    <w:pPr>
      <w:adjustRightInd w:val="0"/>
      <w:snapToGrid w:val="0"/>
      <w:spacing w:line="240" w:lineRule="atLeast"/>
      <w:jc w:val="center"/>
    </w:pPr>
    <w:rPr>
      <w:sz w:val="24"/>
      <w:szCs w:val="24"/>
    </w:rPr>
  </w:style>
  <w:style w:type="paragraph" w:customStyle="1" w:styleId="262">
    <w:name w:val="表格文字"/>
    <w:basedOn w:val="21"/>
    <w:qFormat/>
    <w:uiPriority w:val="0"/>
    <w:pPr>
      <w:tabs>
        <w:tab w:val="clear" w:pos="8640"/>
      </w:tabs>
      <w:spacing w:before="60" w:after="60"/>
      <w:ind w:left="0"/>
    </w:pPr>
    <w:rPr>
      <w:sz w:val="24"/>
      <w:szCs w:val="24"/>
    </w:rPr>
  </w:style>
  <w:style w:type="paragraph" w:customStyle="1" w:styleId="263">
    <w:name w:val="3"/>
    <w:basedOn w:val="1"/>
    <w:next w:val="18"/>
    <w:qFormat/>
    <w:uiPriority w:val="0"/>
    <w:pPr>
      <w:spacing w:line="360" w:lineRule="auto"/>
    </w:pPr>
    <w:rPr>
      <w:rFonts w:ascii="宋体"/>
      <w:sz w:val="24"/>
    </w:rPr>
  </w:style>
  <w:style w:type="paragraph" w:customStyle="1" w:styleId="264">
    <w:name w:val="2"/>
    <w:basedOn w:val="1"/>
    <w:next w:val="21"/>
    <w:qFormat/>
    <w:uiPriority w:val="0"/>
    <w:pPr>
      <w:spacing w:line="360" w:lineRule="auto"/>
      <w:ind w:left="432"/>
    </w:pPr>
  </w:style>
  <w:style w:type="paragraph" w:customStyle="1" w:styleId="265">
    <w:name w:val="Char2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66">
    <w:name w:val="Char Char Char Char Char Char Char Char Char1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7">
    <w:name w:val="样式2"/>
    <w:basedOn w:val="5"/>
    <w:qFormat/>
    <w:uiPriority w:val="0"/>
    <w:pPr>
      <w:numPr>
        <w:ilvl w:val="0"/>
        <w:numId w:val="0"/>
      </w:numPr>
      <w:adjustRightInd/>
      <w:spacing w:before="260" w:after="260" w:line="415" w:lineRule="auto"/>
      <w:jc w:val="both"/>
      <w:textAlignment w:val="auto"/>
    </w:pPr>
    <w:rPr>
      <w:sz w:val="32"/>
    </w:rPr>
  </w:style>
  <w:style w:type="character" w:customStyle="1" w:styleId="268">
    <w:name w:val="标题 3 Char2"/>
    <w:qFormat/>
    <w:locked/>
    <w:uiPriority w:val="99"/>
    <w:rPr>
      <w:b/>
      <w:sz w:val="32"/>
    </w:rPr>
  </w:style>
  <w:style w:type="character" w:customStyle="1" w:styleId="269">
    <w:name w:val="redfilenumber1"/>
    <w:qFormat/>
    <w:uiPriority w:val="0"/>
    <w:rPr>
      <w:rFonts w:hint="default" w:ascii="Verdana" w:hAnsi="Verdana"/>
      <w:color w:val="BA2636"/>
      <w:sz w:val="18"/>
      <w:szCs w:val="18"/>
    </w:rPr>
  </w:style>
  <w:style w:type="character" w:customStyle="1" w:styleId="270">
    <w:name w:val="hover9"/>
    <w:qFormat/>
    <w:uiPriority w:val="0"/>
    <w:rPr>
      <w:shd w:val="clear" w:color="auto" w:fill="EEEEEE"/>
    </w:rPr>
  </w:style>
  <w:style w:type="character" w:customStyle="1" w:styleId="271">
    <w:name w:val="ui-icon26"/>
    <w:qFormat/>
    <w:uiPriority w:val="0"/>
  </w:style>
  <w:style w:type="character" w:customStyle="1" w:styleId="272">
    <w:name w:val="ui-icon23"/>
    <w:qFormat/>
    <w:uiPriority w:val="0"/>
  </w:style>
  <w:style w:type="character" w:customStyle="1" w:styleId="273">
    <w:name w:val="hover10"/>
    <w:qFormat/>
    <w:uiPriority w:val="0"/>
    <w:rPr>
      <w:color w:val="000000"/>
    </w:rPr>
  </w:style>
  <w:style w:type="character" w:customStyle="1" w:styleId="274">
    <w:name w:val="ui-icon25"/>
    <w:qFormat/>
    <w:uiPriority w:val="0"/>
  </w:style>
  <w:style w:type="character" w:customStyle="1" w:styleId="275">
    <w:name w:val="edui-clickable"/>
    <w:qFormat/>
    <w:uiPriority w:val="0"/>
    <w:rPr>
      <w:color w:val="0000FF"/>
      <w:u w:val="single"/>
    </w:rPr>
  </w:style>
  <w:style w:type="character" w:customStyle="1" w:styleId="276">
    <w:name w:val="ui-icon3"/>
    <w:qFormat/>
    <w:uiPriority w:val="0"/>
  </w:style>
  <w:style w:type="character" w:customStyle="1" w:styleId="277">
    <w:name w:val="ui-icon"/>
    <w:qFormat/>
    <w:uiPriority w:val="0"/>
  </w:style>
  <w:style w:type="character" w:customStyle="1" w:styleId="278">
    <w:name w:val="ui-icon1"/>
    <w:qFormat/>
    <w:uiPriority w:val="0"/>
  </w:style>
  <w:style w:type="character" w:customStyle="1" w:styleId="279">
    <w:name w:val="ui-icon24"/>
    <w:qFormat/>
    <w:uiPriority w:val="0"/>
  </w:style>
  <w:style w:type="character" w:customStyle="1" w:styleId="280">
    <w:name w:val="ui-jqgrid-resize2"/>
    <w:qFormat/>
    <w:uiPriority w:val="0"/>
  </w:style>
  <w:style w:type="character" w:customStyle="1" w:styleId="281">
    <w:name w:val="ui-icon2"/>
    <w:qFormat/>
    <w:uiPriority w:val="0"/>
  </w:style>
  <w:style w:type="character" w:customStyle="1" w:styleId="282">
    <w:name w:val="first-child2"/>
    <w:qFormat/>
    <w:uiPriority w:val="0"/>
  </w:style>
  <w:style w:type="paragraph" w:customStyle="1" w:styleId="283">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4">
    <w:name w:val="列出段落1"/>
    <w:basedOn w:val="1"/>
    <w:qFormat/>
    <w:uiPriority w:val="0"/>
    <w:pPr>
      <w:ind w:firstLine="420" w:firstLineChars="200"/>
    </w:pPr>
    <w:rPr>
      <w:rFonts w:ascii="Calibri" w:hAnsi="Calibri"/>
    </w:rPr>
  </w:style>
  <w:style w:type="paragraph" w:customStyle="1" w:styleId="285">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131</Pages>
  <Words>14408</Words>
  <Characters>82127</Characters>
  <Lines>684</Lines>
  <Paragraphs>192</Paragraphs>
  <TotalTime>120</TotalTime>
  <ScaleCrop>false</ScaleCrop>
  <LinksUpToDate>false</LinksUpToDate>
  <CharactersWithSpaces>96343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2022-04-07T06:43:00Z</dcterms:created>
  <dc:creator>萌</dc:creator>
  <cp:lastModifiedBy>很好</cp:lastModifiedBy>
  <dcterms:modified xsi:type="dcterms:W3CDTF">2022-07-20T09:04:44Z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C6A4C941AABD4250A84DC7EEF78C7F9C</vt:lpwstr>
  </property>
</Properties>
</file>