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仿宋" w:hAnsi="仿宋" w:eastAsia="仿宋" w:cs="仿宋"/>
          <w:b/>
          <w:color w:val="auto"/>
          <w:sz w:val="36"/>
          <w:szCs w:val="36"/>
          <w:highlight w:val="none"/>
        </w:rPr>
      </w:pPr>
      <w:bookmarkStart w:id="0" w:name="_Toc20169"/>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rPr>
        <w:t>合同条款</w:t>
      </w:r>
      <w:bookmarkEnd w:id="0"/>
    </w:p>
    <w:p>
      <w:pPr>
        <w:ind w:firstLine="147" w:firstLineChars="41"/>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编号:</w:t>
      </w:r>
    </w:p>
    <w:p>
      <w:pPr>
        <w:spacing w:line="360" w:lineRule="auto"/>
        <w:ind w:left="378" w:leftChars="180"/>
        <w:jc w:val="left"/>
        <w:rPr>
          <w:rFonts w:hint="eastAsia" w:ascii="仿宋" w:hAnsi="仿宋" w:eastAsia="仿宋" w:cs="仿宋"/>
          <w:color w:val="000000" w:themeColor="text1"/>
          <w:szCs w:val="28"/>
          <w:highlight w:val="none"/>
          <w14:textFill>
            <w14:solidFill>
              <w14:schemeClr w14:val="tx1"/>
            </w14:solidFill>
          </w14:textFill>
        </w:rPr>
      </w:pPr>
    </w:p>
    <w:p>
      <w:pPr>
        <w:spacing w:line="360" w:lineRule="auto"/>
        <w:ind w:left="378" w:leftChars="180"/>
        <w:jc w:val="left"/>
        <w:rPr>
          <w:rFonts w:hint="eastAsia" w:ascii="仿宋" w:hAnsi="仿宋" w:eastAsia="仿宋" w:cs="仿宋"/>
          <w:color w:val="000000" w:themeColor="text1"/>
          <w:szCs w:val="28"/>
          <w:highlight w:val="none"/>
          <w14:textFill>
            <w14:solidFill>
              <w14:schemeClr w14:val="tx1"/>
            </w14:solidFill>
          </w14:textFill>
        </w:rPr>
      </w:pPr>
    </w:p>
    <w:p>
      <w:pPr>
        <w:spacing w:line="360" w:lineRule="auto"/>
        <w:ind w:left="378" w:leftChars="180"/>
        <w:jc w:val="left"/>
        <w:rPr>
          <w:rFonts w:hint="eastAsia" w:ascii="仿宋" w:hAnsi="仿宋" w:eastAsia="仿宋" w:cs="仿宋"/>
          <w:color w:val="000000" w:themeColor="text1"/>
          <w:szCs w:val="28"/>
          <w:highlight w:val="none"/>
          <w14:textFill>
            <w14:solidFill>
              <w14:schemeClr w14:val="tx1"/>
            </w14:solidFill>
          </w14:textFill>
        </w:rPr>
      </w:pPr>
    </w:p>
    <w:p>
      <w:pPr>
        <w:spacing w:line="360" w:lineRule="auto"/>
        <w:ind w:left="378" w:leftChars="180"/>
        <w:jc w:val="left"/>
        <w:rPr>
          <w:rFonts w:hint="eastAsia" w:ascii="仿宋" w:hAnsi="仿宋" w:eastAsia="仿宋" w:cs="仿宋"/>
          <w:color w:val="000000" w:themeColor="text1"/>
          <w:sz w:val="28"/>
          <w:szCs w:val="28"/>
          <w:highlight w:val="none"/>
          <w14:textFill>
            <w14:solidFill>
              <w14:schemeClr w14:val="tx1"/>
            </w14:solidFill>
          </w14:textFill>
        </w:rPr>
      </w:pPr>
    </w:p>
    <w:p>
      <w:pPr>
        <w:pStyle w:val="2"/>
        <w:rPr>
          <w:rFonts w:hint="eastAsia" w:ascii="仿宋" w:hAnsi="仿宋" w:eastAsia="仿宋" w:cs="仿宋"/>
          <w:color w:val="000000" w:themeColor="text1"/>
          <w:sz w:val="28"/>
          <w:szCs w:val="28"/>
          <w:highlight w:val="none"/>
          <w14:textFill>
            <w14:solidFill>
              <w14:schemeClr w14:val="tx1"/>
            </w14:solidFill>
          </w14:textFill>
        </w:rPr>
      </w:pPr>
    </w:p>
    <w:p>
      <w:pPr>
        <w:pStyle w:val="2"/>
        <w:rPr>
          <w:rFonts w:hint="eastAsia" w:ascii="仿宋" w:hAnsi="仿宋" w:eastAsia="仿宋" w:cs="仿宋"/>
          <w:color w:val="000000" w:themeColor="text1"/>
          <w:sz w:val="28"/>
          <w:szCs w:val="28"/>
          <w:highlight w:val="none"/>
          <w14:textFill>
            <w14:solidFill>
              <w14:schemeClr w14:val="tx1"/>
            </w14:solidFill>
          </w14:textFill>
        </w:rPr>
      </w:pPr>
    </w:p>
    <w:p>
      <w:pPr>
        <w:spacing w:line="360" w:lineRule="auto"/>
        <w:ind w:left="378" w:leftChars="18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r>
        <w:rPr>
          <w:rFonts w:hint="eastAsia" w:ascii="仿宋" w:hAnsi="仿宋" w:eastAsia="仿宋" w:cs="仿宋"/>
          <w:color w:val="000000" w:themeColor="text1"/>
          <w:sz w:val="28"/>
          <w:szCs w:val="28"/>
          <w:highlight w:val="none"/>
          <w:lang w:eastAsia="zh-CN"/>
          <w14:textFill>
            <w14:solidFill>
              <w14:schemeClr w14:val="tx1"/>
            </w14:solidFill>
          </w14:textFill>
        </w:rPr>
        <w:t>安河家园小区增建自行车车棚项目</w:t>
      </w:r>
    </w:p>
    <w:p>
      <w:pPr>
        <w:spacing w:line="360" w:lineRule="auto"/>
        <w:ind w:left="378" w:leftChars="180"/>
        <w:jc w:val="left"/>
        <w:rPr>
          <w:rFonts w:hint="eastAsia" w:ascii="仿宋" w:hAnsi="仿宋" w:eastAsia="仿宋" w:cs="仿宋"/>
          <w:color w:val="000000" w:themeColor="text1"/>
          <w:sz w:val="28"/>
          <w:szCs w:val="28"/>
          <w:highlight w:val="none"/>
          <w14:textFill>
            <w14:solidFill>
              <w14:schemeClr w14:val="tx1"/>
            </w14:solidFill>
          </w14:textFill>
        </w:rPr>
      </w:pPr>
    </w:p>
    <w:p>
      <w:pPr>
        <w:pStyle w:val="2"/>
        <w:rPr>
          <w:rFonts w:hint="eastAsia"/>
        </w:rPr>
      </w:pPr>
    </w:p>
    <w:p>
      <w:pPr>
        <w:spacing w:line="360" w:lineRule="auto"/>
        <w:ind w:left="378" w:leftChars="18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发包人：</w:t>
      </w:r>
      <w:r>
        <w:rPr>
          <w:rFonts w:hint="eastAsia" w:ascii="仿宋" w:hAnsi="仿宋" w:eastAsia="仿宋" w:cs="仿宋"/>
          <w:color w:val="000000" w:themeColor="text1"/>
          <w:sz w:val="28"/>
          <w:szCs w:val="28"/>
          <w:highlight w:val="none"/>
          <w:lang w:eastAsia="zh-CN"/>
          <w14:textFill>
            <w14:solidFill>
              <w14:schemeClr w14:val="tx1"/>
            </w14:solidFill>
          </w14:textFill>
        </w:rPr>
        <w:t>北京市海淀区苏家坨镇人民政府</w:t>
      </w:r>
    </w:p>
    <w:p>
      <w:pPr>
        <w:spacing w:line="360" w:lineRule="auto"/>
        <w:ind w:left="378" w:leftChars="180"/>
        <w:jc w:val="left"/>
        <w:rPr>
          <w:rFonts w:hint="eastAsia" w:ascii="仿宋" w:hAnsi="仿宋" w:eastAsia="仿宋" w:cs="仿宋"/>
          <w:color w:val="000000" w:themeColor="text1"/>
          <w:sz w:val="28"/>
          <w:szCs w:val="28"/>
          <w:highlight w:val="none"/>
          <w14:textFill>
            <w14:solidFill>
              <w14:schemeClr w14:val="tx1"/>
            </w14:solidFill>
          </w14:textFill>
        </w:rPr>
      </w:pPr>
    </w:p>
    <w:p>
      <w:pPr>
        <w:pStyle w:val="2"/>
        <w:rPr>
          <w:rFonts w:hint="eastAsia"/>
        </w:rPr>
      </w:pPr>
    </w:p>
    <w:p>
      <w:pPr>
        <w:spacing w:line="360" w:lineRule="auto"/>
        <w:ind w:left="378" w:leftChars="18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承包人：</w:t>
      </w:r>
      <w:r>
        <w:rPr>
          <w:rFonts w:hint="eastAsia" w:ascii="仿宋" w:hAnsi="仿宋" w:eastAsia="仿宋" w:cs="仿宋"/>
          <w:color w:val="000000" w:themeColor="text1"/>
          <w:sz w:val="28"/>
          <w:szCs w:val="28"/>
          <w:highlight w:val="none"/>
          <w:lang w:val="en-US" w:eastAsia="zh-CN"/>
          <w14:textFill>
            <w14:solidFill>
              <w14:schemeClr w14:val="tx1"/>
            </w14:solidFill>
          </w14:textFill>
        </w:rPr>
        <w:t>北京环城旺泉建设发展有限</w:t>
      </w:r>
      <w:r>
        <w:rPr>
          <w:rFonts w:hint="eastAsia" w:ascii="仿宋" w:hAnsi="仿宋" w:eastAsia="仿宋" w:cs="仿宋"/>
          <w:color w:val="000000" w:themeColor="text1"/>
          <w:sz w:val="28"/>
          <w:szCs w:val="28"/>
          <w:highlight w:val="none"/>
          <w14:textFill>
            <w14:solidFill>
              <w14:schemeClr w14:val="tx1"/>
            </w14:solidFill>
          </w14:textFill>
        </w:rPr>
        <w:t>公司</w:t>
      </w:r>
    </w:p>
    <w:p>
      <w:pPr>
        <w:spacing w:line="360" w:lineRule="auto"/>
        <w:ind w:left="378" w:leftChars="180"/>
        <w:jc w:val="left"/>
        <w:rPr>
          <w:rFonts w:hint="eastAsia" w:ascii="仿宋" w:hAnsi="仿宋" w:eastAsia="仿宋" w:cs="仿宋"/>
          <w:color w:val="000000" w:themeColor="text1"/>
          <w:sz w:val="28"/>
          <w:szCs w:val="28"/>
          <w:highlight w:val="none"/>
          <w14:textFill>
            <w14:solidFill>
              <w14:schemeClr w14:val="tx1"/>
            </w14:solidFill>
          </w14:textFill>
        </w:rPr>
      </w:pPr>
    </w:p>
    <w:p>
      <w:pPr>
        <w:pStyle w:val="2"/>
        <w:rPr>
          <w:rFonts w:hint="eastAsia"/>
        </w:rPr>
      </w:pPr>
    </w:p>
    <w:p>
      <w:pPr>
        <w:spacing w:line="360" w:lineRule="auto"/>
        <w:ind w:left="378" w:leftChars="18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签署时间：</w:t>
      </w:r>
      <w:r>
        <w:rPr>
          <w:rFonts w:hint="eastAsia" w:ascii="仿宋" w:hAnsi="仿宋" w:eastAsia="仿宋" w:cs="仿宋"/>
          <w:color w:val="000000" w:themeColor="text1"/>
          <w:sz w:val="28"/>
          <w:szCs w:val="28"/>
          <w:highlight w:val="none"/>
          <w:lang w:val="en-US" w:eastAsia="zh-CN"/>
          <w14:textFill>
            <w14:solidFill>
              <w14:schemeClr w14:val="tx1"/>
            </w14:solidFill>
          </w14:textFill>
        </w:rPr>
        <w:t>2022</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 xml:space="preserve">月   </w:t>
      </w:r>
    </w:p>
    <w:p>
      <w:pPr>
        <w:spacing w:line="360" w:lineRule="auto"/>
        <w:ind w:left="378" w:leftChars="180"/>
        <w:jc w:val="left"/>
        <w:rPr>
          <w:rFonts w:hint="eastAsia" w:ascii="仿宋" w:hAnsi="仿宋" w:eastAsia="仿宋" w:cs="仿宋"/>
          <w:color w:val="000000" w:themeColor="text1"/>
          <w:sz w:val="28"/>
          <w:szCs w:val="28"/>
          <w:highlight w:val="none"/>
          <w14:textFill>
            <w14:solidFill>
              <w14:schemeClr w14:val="tx1"/>
            </w14:solidFill>
          </w14:textFill>
        </w:rPr>
      </w:pPr>
    </w:p>
    <w:p>
      <w:pPr>
        <w:pStyle w:val="2"/>
        <w:rPr>
          <w:rFonts w:hint="eastAsia"/>
        </w:rPr>
      </w:pPr>
    </w:p>
    <w:p>
      <w:pPr>
        <w:spacing w:line="360" w:lineRule="auto"/>
        <w:ind w:left="378" w:leftChars="18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签署地点：北京市海淀区</w:t>
      </w:r>
    </w:p>
    <w:p>
      <w:pPr>
        <w:rPr>
          <w:rFonts w:hint="eastAsia" w:ascii="仿宋" w:hAnsi="仿宋" w:eastAsia="仿宋" w:cs="仿宋"/>
          <w:color w:val="000000" w:themeColor="text1"/>
          <w:highlight w:val="none"/>
          <w14:textFill>
            <w14:solidFill>
              <w14:schemeClr w14:val="tx1"/>
            </w14:solidFill>
          </w14:textFill>
        </w:rPr>
      </w:pPr>
    </w:p>
    <w:p>
      <w:pPr>
        <w:jc w:val="center"/>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highlight w:val="none"/>
          <w:lang w:val="zh-CN"/>
          <w14:textFill>
            <w14:solidFill>
              <w14:schemeClr w14:val="tx1"/>
            </w14:solidFill>
          </w14:textFill>
        </w:rPr>
        <w:br w:type="page"/>
      </w:r>
    </w:p>
    <w:p>
      <w:pPr>
        <w:pStyle w:val="11"/>
        <w:rPr>
          <w:rFonts w:hint="eastAsia" w:ascii="仿宋" w:hAnsi="仿宋" w:eastAsia="仿宋" w:cs="仿宋"/>
          <w:color w:val="000000" w:themeColor="text1"/>
          <w:szCs w:val="24"/>
          <w:highlight w:val="none"/>
          <w14:textFill>
            <w14:solidFill>
              <w14:schemeClr w14:val="tx1"/>
            </w14:solidFill>
          </w14:textFill>
        </w:rPr>
      </w:pPr>
      <w:bookmarkStart w:id="1" w:name="_Toc520969257"/>
      <w:bookmarkStart w:id="2" w:name="_Toc8745622"/>
      <w:bookmarkStart w:id="3" w:name="_Toc497214121"/>
      <w:bookmarkStart w:id="4" w:name="_Toc10651414"/>
      <w:bookmarkStart w:id="5" w:name="_Toc486580453"/>
      <w:bookmarkStart w:id="6" w:name="_Toc10652582"/>
      <w:bookmarkStart w:id="7" w:name="_Toc485323227"/>
      <w:bookmarkStart w:id="8" w:name="_Toc16935624"/>
      <w:bookmarkStart w:id="9" w:name="_Toc489280259"/>
      <w:bookmarkStart w:id="10" w:name="_Toc16856525"/>
      <w:r>
        <w:rPr>
          <w:rFonts w:hint="eastAsia" w:ascii="仿宋" w:hAnsi="仿宋" w:eastAsia="仿宋" w:cs="仿宋"/>
          <w:color w:val="000000" w:themeColor="text1"/>
          <w:szCs w:val="24"/>
          <w:highlight w:val="none"/>
          <w14:textFill>
            <w14:solidFill>
              <w14:schemeClr w14:val="tx1"/>
            </w14:solidFill>
          </w14:textFill>
        </w:rPr>
        <w:t>附件一：合同协议书</w:t>
      </w:r>
      <w:bookmarkEnd w:id="1"/>
      <w:bookmarkEnd w:id="2"/>
      <w:bookmarkEnd w:id="3"/>
      <w:bookmarkEnd w:id="4"/>
      <w:bookmarkEnd w:id="5"/>
      <w:bookmarkEnd w:id="6"/>
      <w:bookmarkEnd w:id="7"/>
      <w:bookmarkEnd w:id="8"/>
      <w:bookmarkEnd w:id="9"/>
      <w:bookmarkEnd w:id="10"/>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合同协议书</w:t>
      </w:r>
    </w:p>
    <w:p>
      <w:pPr>
        <w:pStyle w:val="12"/>
        <w:spacing w:line="4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编号：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发包人（全称）：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北京市海淀区苏家坨镇人民政府</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 定 代 表 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2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法定注册地址：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北京市海淀区苏家坨镇西小营村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承包人（全称）：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北京环城旺泉建设发展有限公司                                       </w:t>
      </w:r>
    </w:p>
    <w:p>
      <w:pPr>
        <w:spacing w:line="4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 定 代 表 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李斌</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2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法定注册地址</w:t>
      </w:r>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北京市海淀区苏家坨镇西小营村东</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20" w:lineRule="auto"/>
        <w:ind w:firstLine="490"/>
        <w:rPr>
          <w:rFonts w:hint="eastAsia" w:ascii="仿宋" w:hAnsi="仿宋" w:eastAsia="仿宋" w:cs="仿宋"/>
          <w:color w:val="000000" w:themeColor="text1"/>
          <w:sz w:val="24"/>
          <w:szCs w:val="24"/>
          <w:highlight w:val="none"/>
          <w14:textFill>
            <w14:solidFill>
              <w14:schemeClr w14:val="tx1"/>
            </w14:solidFill>
          </w14:textFill>
        </w:rPr>
      </w:pP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发包人为建设</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安河家园小区增建自行车车棚项目</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以下简称“本工程”），已接受承包人提出的承担本工程的施工、竣工、交付并维修其任何缺陷的投标。依照国家有关法律、行政法规，遵循平等、自愿、公平和诚实信用的原则，双方共同达成并订立如下协议。</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11" w:name="_Toc479505734"/>
      <w:bookmarkStart w:id="12" w:name="_Toc480303461"/>
      <w:bookmarkStart w:id="13" w:name="_Toc477964590"/>
      <w:r>
        <w:rPr>
          <w:rFonts w:hint="eastAsia" w:ascii="仿宋" w:hAnsi="仿宋" w:eastAsia="仿宋" w:cs="仿宋"/>
          <w:color w:val="000000" w:themeColor="text1"/>
          <w:sz w:val="24"/>
          <w:szCs w:val="24"/>
          <w:highlight w:val="none"/>
          <w14:textFill>
            <w14:solidFill>
              <w14:schemeClr w14:val="tx1"/>
            </w14:solidFill>
          </w14:textFill>
        </w:rPr>
        <w:t>一、工程概况</w:t>
      </w:r>
      <w:bookmarkEnd w:id="11"/>
      <w:bookmarkEnd w:id="12"/>
      <w:bookmarkEnd w:id="13"/>
    </w:p>
    <w:p>
      <w:pPr>
        <w:spacing w:line="42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安河家园小区增建自行车车棚项目</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工程地点：</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本项目位于北京市海淀区</w:t>
      </w:r>
      <w:del w:id="0" w:author=" 嘉观" w:date="2022-10-27T14:42:47Z">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delText>海淀区</w:delText>
        </w:r>
      </w:del>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苏家坨镇</w:t>
      </w:r>
    </w:p>
    <w:p>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w:t>
      </w:r>
      <w:r>
        <w:rPr>
          <w:rFonts w:hint="eastAsia" w:ascii="仿宋" w:hAnsi="仿宋" w:eastAsia="仿宋" w:cs="仿宋"/>
          <w:color w:val="auto"/>
          <w:sz w:val="24"/>
          <w:szCs w:val="24"/>
          <w:highlight w:val="none"/>
        </w:rPr>
        <w:t>程内容：</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本项目工程范围的内容为安河家园小区增建自行车车棚。（具体详见工程量清单及图纸）</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群体工程应附“承包人承揽工程项目一览表”（附件二）</w:t>
      </w:r>
    </w:p>
    <w:p>
      <w:pPr>
        <w:spacing w:line="42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工程立项批准文号：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2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资金来源：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财政资金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14" w:name="_Toc480303462"/>
      <w:bookmarkStart w:id="15" w:name="_Toc477964591"/>
      <w:bookmarkStart w:id="16" w:name="_Toc479505735"/>
      <w:r>
        <w:rPr>
          <w:rFonts w:hint="eastAsia" w:ascii="仿宋" w:hAnsi="仿宋" w:eastAsia="仿宋" w:cs="仿宋"/>
          <w:color w:val="000000" w:themeColor="text1"/>
          <w:sz w:val="24"/>
          <w:szCs w:val="24"/>
          <w:highlight w:val="none"/>
          <w14:textFill>
            <w14:solidFill>
              <w14:schemeClr w14:val="tx1"/>
            </w14:solidFill>
          </w14:textFill>
        </w:rPr>
        <w:t>二、工程承包范围</w:t>
      </w:r>
      <w:bookmarkEnd w:id="14"/>
      <w:bookmarkEnd w:id="15"/>
      <w:bookmarkEnd w:id="16"/>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承包范围：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本项目位于北京市海淀区</w:t>
      </w:r>
      <w:del w:id="1" w:author=" 嘉观" w:date="2022-10-27T14:42:49Z">
        <w:r>
          <w:rPr>
            <w:rFonts w:hint="eastAsia" w:ascii="仿宋" w:hAnsi="仿宋" w:eastAsia="仿宋" w:cs="仿宋"/>
            <w:color w:val="000000" w:themeColor="text1"/>
            <w:sz w:val="24"/>
            <w:szCs w:val="24"/>
            <w:highlight w:val="none"/>
            <w:u w:val="single"/>
            <w14:textFill>
              <w14:solidFill>
                <w14:schemeClr w14:val="tx1"/>
              </w14:solidFill>
            </w14:textFill>
          </w:rPr>
          <w:delText>海淀区</w:delText>
        </w:r>
      </w:del>
      <w:r>
        <w:rPr>
          <w:rFonts w:hint="eastAsia" w:ascii="仿宋" w:hAnsi="仿宋" w:eastAsia="仿宋" w:cs="仿宋"/>
          <w:color w:val="000000" w:themeColor="text1"/>
          <w:sz w:val="24"/>
          <w:szCs w:val="24"/>
          <w:highlight w:val="none"/>
          <w:u w:val="single"/>
          <w14:textFill>
            <w14:solidFill>
              <w14:schemeClr w14:val="tx1"/>
            </w14:solidFill>
          </w14:textFill>
        </w:rPr>
        <w:t xml:space="preserve">苏家坨镇，本项目工程范围的内容为安河家园小区增建自行车车棚。（具体施工内容详见招标文件第四章采购需求、本项目工程量清单及图纸）          </w:t>
      </w:r>
    </w:p>
    <w:p>
      <w:pPr>
        <w:spacing w:line="420" w:lineRule="auto"/>
        <w:ind w:firstLine="480" w:firstLineChars="200"/>
        <w:rPr>
          <w:rFonts w:hint="eastAsia" w:ascii="仿宋" w:hAnsi="仿宋" w:eastAsia="仿宋" w:cs="仿宋"/>
          <w:b/>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详细承包范围见第三章“技术标准和要求”。</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17" w:name="_Toc480303463"/>
      <w:bookmarkStart w:id="18" w:name="_Toc479505736"/>
      <w:bookmarkStart w:id="19" w:name="_Toc477964592"/>
      <w:r>
        <w:rPr>
          <w:rFonts w:hint="eastAsia" w:ascii="仿宋" w:hAnsi="仿宋" w:eastAsia="仿宋" w:cs="仿宋"/>
          <w:color w:val="000000" w:themeColor="text1"/>
          <w:sz w:val="24"/>
          <w:szCs w:val="24"/>
          <w:highlight w:val="none"/>
          <w14:textFill>
            <w14:solidFill>
              <w14:schemeClr w14:val="tx1"/>
            </w14:solidFill>
          </w14:textFill>
        </w:rPr>
        <w:t>三、合同工期</w:t>
      </w:r>
      <w:bookmarkEnd w:id="17"/>
      <w:bookmarkEnd w:id="18"/>
      <w:bookmarkEnd w:id="19"/>
    </w:p>
    <w:p>
      <w:pPr>
        <w:spacing w:line="360" w:lineRule="auto"/>
        <w:ind w:firstLine="566" w:firstLineChars="23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rPr>
        <w:t>计划开工日期：</w:t>
      </w:r>
      <w:r>
        <w:rPr>
          <w:rFonts w:hint="eastAsia" w:ascii="仿宋" w:hAnsi="仿宋" w:eastAsia="仿宋" w:cs="仿宋"/>
          <w:color w:val="auto"/>
          <w:kern w:val="0"/>
          <w:sz w:val="24"/>
          <w:szCs w:val="24"/>
          <w:highlight w:val="none"/>
          <w:u w:val="none"/>
          <w:lang w:val="en-US" w:bidi="zh-CN"/>
        </w:rPr>
        <w:t>2022年10月22日 ；</w:t>
      </w:r>
    </w:p>
    <w:p>
      <w:pPr>
        <w:spacing w:line="360" w:lineRule="auto"/>
        <w:ind w:firstLine="566" w:firstLineChars="23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计划竣工日期：</w:t>
      </w:r>
      <w:r>
        <w:rPr>
          <w:rFonts w:hint="eastAsia" w:ascii="仿宋" w:hAnsi="仿宋" w:eastAsia="仿宋" w:cs="仿宋"/>
          <w:color w:val="auto"/>
          <w:kern w:val="0"/>
          <w:sz w:val="24"/>
          <w:szCs w:val="24"/>
          <w:highlight w:val="none"/>
          <w:u w:val="none"/>
          <w:lang w:val="en-US" w:bidi="zh-CN"/>
        </w:rPr>
        <w:t xml:space="preserve"> 2022年12月20日</w:t>
      </w:r>
      <w:r>
        <w:rPr>
          <w:rFonts w:hint="eastAsia" w:ascii="仿宋" w:hAnsi="仿宋" w:eastAsia="仿宋" w:cs="仿宋"/>
          <w:color w:val="auto"/>
          <w:sz w:val="24"/>
          <w:szCs w:val="24"/>
          <w:highlight w:val="none"/>
          <w:lang w:val="en-US" w:eastAsia="zh-CN"/>
        </w:rPr>
        <w:t>。</w:t>
      </w:r>
    </w:p>
    <w:p>
      <w:pPr>
        <w:spacing w:line="360" w:lineRule="auto"/>
        <w:ind w:firstLine="566" w:firstLineChars="236"/>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auto"/>
          <w:sz w:val="24"/>
          <w:szCs w:val="24"/>
          <w:highlight w:val="none"/>
        </w:rPr>
        <w:t>工期总日历天数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60日历</w:t>
      </w:r>
      <w:r>
        <w:rPr>
          <w:rFonts w:hint="eastAsia" w:ascii="仿宋" w:hAnsi="仿宋" w:eastAsia="仿宋" w:cs="仿宋"/>
          <w:color w:val="auto"/>
          <w:sz w:val="24"/>
          <w:szCs w:val="24"/>
          <w:highlight w:val="none"/>
          <w:u w:val="single"/>
        </w:rPr>
        <w:t>天</w:t>
      </w:r>
      <w:r>
        <w:rPr>
          <w:rFonts w:hint="eastAsia" w:ascii="仿宋" w:hAnsi="仿宋" w:eastAsia="仿宋" w:cs="仿宋"/>
          <w:color w:val="auto"/>
          <w:sz w:val="24"/>
          <w:szCs w:val="24"/>
          <w:highlight w:val="none"/>
        </w:rPr>
        <w:t>，自监理</w:t>
      </w:r>
      <w:r>
        <w:rPr>
          <w:rFonts w:hint="eastAsia" w:ascii="仿宋" w:hAnsi="仿宋" w:eastAsia="仿宋" w:cs="仿宋"/>
          <w:color w:val="000000" w:themeColor="text1"/>
          <w:sz w:val="24"/>
          <w:szCs w:val="24"/>
          <w:highlight w:val="none"/>
          <w14:textFill>
            <w14:solidFill>
              <w14:schemeClr w14:val="tx1"/>
            </w14:solidFill>
          </w14:textFill>
        </w:rPr>
        <w:t>人发出的开工通知中载明的开工日期起算。</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20" w:name="_Toc479505737"/>
      <w:bookmarkStart w:id="21" w:name="_Toc480303464"/>
      <w:bookmarkStart w:id="22" w:name="_Toc477964593"/>
      <w:r>
        <w:rPr>
          <w:rFonts w:hint="eastAsia" w:ascii="仿宋" w:hAnsi="仿宋" w:eastAsia="仿宋" w:cs="仿宋"/>
          <w:color w:val="000000" w:themeColor="text1"/>
          <w:sz w:val="24"/>
          <w:szCs w:val="24"/>
          <w:highlight w:val="none"/>
          <w14:textFill>
            <w14:solidFill>
              <w14:schemeClr w14:val="tx1"/>
            </w14:solidFill>
          </w14:textFill>
        </w:rPr>
        <w:t>四、质量标准</w:t>
      </w:r>
      <w:bookmarkEnd w:id="20"/>
      <w:bookmarkEnd w:id="21"/>
      <w:bookmarkEnd w:id="22"/>
    </w:p>
    <w:p>
      <w:pPr>
        <w:spacing w:line="42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工程质量标准：</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合格</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23" w:name="_Toc479505738"/>
      <w:bookmarkStart w:id="24" w:name="_Toc477964594"/>
      <w:bookmarkStart w:id="25" w:name="_Toc480303465"/>
      <w:r>
        <w:rPr>
          <w:rFonts w:hint="eastAsia" w:ascii="仿宋" w:hAnsi="仿宋" w:eastAsia="仿宋" w:cs="仿宋"/>
          <w:color w:val="000000" w:themeColor="text1"/>
          <w:sz w:val="24"/>
          <w:szCs w:val="24"/>
          <w:highlight w:val="none"/>
          <w14:textFill>
            <w14:solidFill>
              <w14:schemeClr w14:val="tx1"/>
            </w14:solidFill>
          </w14:textFill>
        </w:rPr>
        <w:t>五、合同形式</w:t>
      </w:r>
      <w:bookmarkEnd w:id="23"/>
      <w:bookmarkEnd w:id="24"/>
      <w:bookmarkEnd w:id="25"/>
    </w:p>
    <w:p>
      <w:pPr>
        <w:spacing w:line="420" w:lineRule="auto"/>
        <w:ind w:firstLine="480" w:firstLineChars="200"/>
        <w:rPr>
          <w:rFonts w:hint="eastAsia" w:ascii="仿宋" w:hAnsi="仿宋" w:eastAsia="仿宋" w:cs="仿宋"/>
          <w:b/>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本合同采用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固定单价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合同形式。</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26" w:name="_Toc480303466"/>
      <w:bookmarkStart w:id="27" w:name="_Toc477964595"/>
      <w:bookmarkStart w:id="28" w:name="_Toc479505739"/>
      <w:r>
        <w:rPr>
          <w:rFonts w:hint="eastAsia" w:ascii="仿宋" w:hAnsi="仿宋" w:eastAsia="仿宋" w:cs="仿宋"/>
          <w:color w:val="000000" w:themeColor="text1"/>
          <w:sz w:val="24"/>
          <w:szCs w:val="24"/>
          <w:highlight w:val="none"/>
          <w14:textFill>
            <w14:solidFill>
              <w14:schemeClr w14:val="tx1"/>
            </w14:solidFill>
          </w14:textFill>
        </w:rPr>
        <w:t>六、签约合同价</w:t>
      </w:r>
      <w:bookmarkEnd w:id="26"/>
      <w:bookmarkEnd w:id="27"/>
      <w:bookmarkEnd w:id="28"/>
    </w:p>
    <w:p>
      <w:pPr>
        <w:spacing w:line="420" w:lineRule="auto"/>
        <w:ind w:firstLine="480" w:firstLineChars="200"/>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金额（大写）：</w:t>
      </w:r>
      <w:r>
        <w:rPr>
          <w:rFonts w:hint="eastAsia" w:ascii="仿宋" w:hAnsi="仿宋" w:eastAsia="仿宋" w:cs="仿宋"/>
          <w:color w:val="auto"/>
          <w:sz w:val="24"/>
          <w:szCs w:val="24"/>
          <w:highlight w:val="none"/>
          <w:u w:val="single"/>
          <w:lang w:val="en-US" w:eastAsia="zh-CN"/>
        </w:rPr>
        <w:t>壹佰伍拾壹万零捌佰捌拾玖元肆角陆分</w:t>
      </w:r>
      <w:r>
        <w:rPr>
          <w:rFonts w:hint="eastAsia" w:ascii="仿宋" w:hAnsi="仿宋" w:eastAsia="仿宋" w:cs="仿宋"/>
          <w:color w:val="auto"/>
          <w:sz w:val="24"/>
          <w:szCs w:val="24"/>
          <w:highlight w:val="none"/>
          <w:u w:val="single"/>
        </w:rPr>
        <w:t xml:space="preserve"> </w:t>
      </w:r>
    </w:p>
    <w:p>
      <w:pPr>
        <w:spacing w:line="420" w:lineRule="auto"/>
        <w:ind w:firstLine="960" w:firstLineChars="4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（小写）￥：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auto"/>
          <w:sz w:val="24"/>
          <w:szCs w:val="24"/>
          <w:highlight w:val="none"/>
          <w:u w:val="single"/>
        </w:rPr>
        <w:t>1510889.46</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w:t>
      </w:r>
    </w:p>
    <w:p>
      <w:pPr>
        <w:spacing w:line="420" w:lineRule="auto"/>
        <w:ind w:firstLine="720" w:firstLineChars="3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其中：安全文明施工费：</w:t>
      </w:r>
      <w:r>
        <w:rPr>
          <w:rFonts w:hint="eastAsia" w:ascii="仿宋" w:hAnsi="仿宋" w:eastAsia="仿宋" w:cs="仿宋"/>
          <w:color w:val="000000" w:themeColor="text1"/>
          <w:sz w:val="24"/>
          <w:szCs w:val="24"/>
          <w:highlight w:val="none"/>
          <w:u w:val="single"/>
          <w14:textFill>
            <w14:solidFill>
              <w14:schemeClr w14:val="tx1"/>
            </w14:solidFill>
          </w14:textFill>
        </w:rPr>
        <w:t xml:space="preserve">     79250.96元       </w:t>
      </w:r>
      <w:r>
        <w:rPr>
          <w:rFonts w:hint="eastAsia" w:ascii="仿宋" w:hAnsi="仿宋" w:eastAsia="仿宋" w:cs="仿宋"/>
          <w:color w:val="000000" w:themeColor="text1"/>
          <w:sz w:val="24"/>
          <w:szCs w:val="24"/>
          <w:highlight w:val="none"/>
          <w14:textFill>
            <w14:solidFill>
              <w14:schemeClr w14:val="tx1"/>
            </w14:solidFill>
          </w14:textFill>
        </w:rPr>
        <w:t>元</w:t>
      </w:r>
    </w:p>
    <w:p>
      <w:pPr>
        <w:spacing w:line="420" w:lineRule="auto"/>
        <w:ind w:firstLine="1440" w:firstLineChars="6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暂列金额（含税）：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z w:val="24"/>
          <w:szCs w:val="24"/>
          <w:highlight w:val="none"/>
          <w14:textFill>
            <w14:solidFill>
              <w14:schemeClr w14:val="tx1"/>
            </w14:solidFill>
          </w14:textFill>
        </w:rPr>
        <w:t>元</w:t>
      </w:r>
    </w:p>
    <w:p>
      <w:pPr>
        <w:spacing w:line="420" w:lineRule="auto"/>
        <w:ind w:firstLine="1440" w:firstLineChars="6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专业工程暂估价</w:t>
      </w:r>
      <w:r>
        <w:rPr>
          <w:rFonts w:hint="eastAsia" w:ascii="仿宋" w:hAnsi="仿宋" w:eastAsia="仿宋" w:cs="仿宋"/>
          <w:color w:val="000000" w:themeColor="text1"/>
          <w:sz w:val="24"/>
          <w:szCs w:val="24"/>
          <w:highlight w:val="none"/>
          <w14:textFill>
            <w14:solidFill>
              <w14:schemeClr w14:val="tx1"/>
            </w14:solidFill>
          </w14:textFill>
        </w:rPr>
        <w:t>（含税）</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z w:val="24"/>
          <w:szCs w:val="24"/>
          <w:highlight w:val="none"/>
          <w14:textFill>
            <w14:solidFill>
              <w14:schemeClr w14:val="tx1"/>
            </w14:solidFill>
          </w14:textFill>
        </w:rPr>
        <w:t>元</w:t>
      </w:r>
    </w:p>
    <w:p>
      <w:pPr>
        <w:spacing w:line="420" w:lineRule="auto"/>
        <w:ind w:firstLine="1456" w:firstLineChars="607"/>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29" w:name="_Toc477964596"/>
      <w:bookmarkStart w:id="30" w:name="_Toc479505740"/>
      <w:bookmarkStart w:id="31" w:name="_Toc480303467"/>
      <w:r>
        <w:rPr>
          <w:rFonts w:hint="eastAsia" w:ascii="仿宋" w:hAnsi="仿宋" w:eastAsia="仿宋" w:cs="仿宋"/>
          <w:color w:val="000000" w:themeColor="text1"/>
          <w:sz w:val="24"/>
          <w:szCs w:val="24"/>
          <w:highlight w:val="none"/>
          <w14:textFill>
            <w14:solidFill>
              <w14:schemeClr w14:val="tx1"/>
            </w14:solidFill>
          </w14:textFill>
        </w:rPr>
        <w:t>七、承包人项目经理：</w:t>
      </w:r>
      <w:bookmarkEnd w:id="29"/>
      <w:bookmarkEnd w:id="30"/>
      <w:bookmarkEnd w:id="31"/>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32" w:name="_Toc479505741"/>
      <w:bookmarkStart w:id="33" w:name="_Toc477964597"/>
      <w:bookmarkStart w:id="34" w:name="_Toc480303468"/>
      <w:r>
        <w:rPr>
          <w:rFonts w:hint="eastAsia" w:ascii="仿宋" w:hAnsi="仿宋" w:eastAsia="仿宋" w:cs="仿宋"/>
          <w:color w:val="000000" w:themeColor="text1"/>
          <w:sz w:val="24"/>
          <w:szCs w:val="24"/>
          <w:highlight w:val="none"/>
          <w14:textFill>
            <w14:solidFill>
              <w14:schemeClr w14:val="tx1"/>
            </w14:solidFill>
          </w14:textFill>
        </w:rPr>
        <w:t>姓名：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祝光锋</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职称：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中级</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身份证号：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auto"/>
          <w:sz w:val="24"/>
          <w:szCs w:val="24"/>
          <w:highlight w:val="none"/>
          <w:u w:val="single"/>
        </w:rPr>
        <w:t>413025197502013935</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建造师执业资格证书号：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20210903411000003568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spacing w:line="42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建造师注册证书号：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京1112021202204951</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2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建造师执业印章号：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京1112021202204951（00）</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2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安全生产考核合格证书号：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京建安B（2010）0066320</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八、合同文件的组成</w:t>
      </w:r>
      <w:bookmarkEnd w:id="32"/>
      <w:bookmarkEnd w:id="33"/>
      <w:bookmarkEnd w:id="34"/>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下列文件共同构成合同文件：</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1、本协议书；</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2、中标通知书；</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3、投标函及投标函附录；</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4、合同条款专用部分；</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5、合同条款通用部分；</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6、技术标准和要求；</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7、图纸；</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8、已标价工程量清单；</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9、其他合同文件。</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上述文件互相补充和解释，如有不明确或不一致之处，以合同约定次序在先者为准。</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35" w:name="_Toc479505742"/>
      <w:bookmarkStart w:id="36" w:name="_Toc480303469"/>
      <w:bookmarkStart w:id="37" w:name="_Toc477964598"/>
      <w:r>
        <w:rPr>
          <w:rFonts w:hint="eastAsia" w:ascii="仿宋" w:hAnsi="仿宋" w:eastAsia="仿宋" w:cs="仿宋"/>
          <w:color w:val="000000" w:themeColor="text1"/>
          <w:sz w:val="24"/>
          <w:szCs w:val="24"/>
          <w:highlight w:val="none"/>
          <w14:textFill>
            <w14:solidFill>
              <w14:schemeClr w14:val="tx1"/>
            </w14:solidFill>
          </w14:textFill>
        </w:rPr>
        <w:t>九、本协议书中有关词语定义与合同条款中的定义相同。</w:t>
      </w:r>
      <w:bookmarkEnd w:id="35"/>
      <w:bookmarkEnd w:id="36"/>
      <w:bookmarkEnd w:id="37"/>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38" w:name="_Toc479505743"/>
      <w:bookmarkStart w:id="39" w:name="_Toc480303470"/>
      <w:bookmarkStart w:id="40" w:name="_Toc477964599"/>
      <w:r>
        <w:rPr>
          <w:rFonts w:hint="eastAsia" w:ascii="仿宋" w:hAnsi="仿宋" w:eastAsia="仿宋" w:cs="仿宋"/>
          <w:color w:val="000000" w:themeColor="text1"/>
          <w:sz w:val="24"/>
          <w:szCs w:val="24"/>
          <w:highlight w:val="none"/>
          <w14:textFill>
            <w14:solidFill>
              <w14:schemeClr w14:val="tx1"/>
            </w14:solidFill>
          </w14:textFill>
        </w:rPr>
        <w:t>十、承包人承诺按照合同约定进行施工、竣工、交付并承担质量缺陷保修责任。</w:t>
      </w:r>
      <w:bookmarkEnd w:id="38"/>
      <w:bookmarkEnd w:id="39"/>
      <w:bookmarkEnd w:id="40"/>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41" w:name="_Toc479505744"/>
      <w:bookmarkStart w:id="42" w:name="_Toc480303471"/>
      <w:bookmarkStart w:id="43" w:name="_Toc477964600"/>
      <w:r>
        <w:rPr>
          <w:rFonts w:hint="eastAsia" w:ascii="仿宋" w:hAnsi="仿宋" w:eastAsia="仿宋" w:cs="仿宋"/>
          <w:color w:val="000000" w:themeColor="text1"/>
          <w:sz w:val="24"/>
          <w:szCs w:val="24"/>
          <w:highlight w:val="none"/>
          <w14:textFill>
            <w14:solidFill>
              <w14:schemeClr w14:val="tx1"/>
            </w14:solidFill>
          </w14:textFill>
        </w:rPr>
        <w:t>十一、发包人承诺按照合同约定的条件、期限和方式向承包人支付合同价款。</w:t>
      </w:r>
      <w:bookmarkEnd w:id="41"/>
      <w:bookmarkEnd w:id="42"/>
      <w:bookmarkEnd w:id="43"/>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44" w:name="_Toc479505745"/>
      <w:bookmarkStart w:id="45" w:name="_Toc480303472"/>
      <w:bookmarkStart w:id="46" w:name="_Toc477964601"/>
      <w:r>
        <w:rPr>
          <w:rFonts w:hint="eastAsia" w:ascii="仿宋" w:hAnsi="仿宋" w:eastAsia="仿宋" w:cs="仿宋"/>
          <w:color w:val="000000" w:themeColor="text1"/>
          <w:sz w:val="24"/>
          <w:szCs w:val="24"/>
          <w:highlight w:val="none"/>
          <w14:textFill>
            <w14:solidFill>
              <w14:schemeClr w14:val="tx1"/>
            </w14:solidFill>
          </w14:textFill>
        </w:rPr>
        <w:t>十二、本协议书连同其他合同文件正本一式</w:t>
      </w:r>
      <w:r>
        <w:rPr>
          <w:rFonts w:hint="eastAsia" w:ascii="仿宋" w:hAnsi="仿宋" w:eastAsia="仿宋" w:cs="仿宋"/>
          <w:color w:val="000000" w:themeColor="text1"/>
          <w:sz w:val="24"/>
          <w:szCs w:val="24"/>
          <w:highlight w:val="none"/>
          <w:u w:val="single"/>
          <w14:textFill>
            <w14:solidFill>
              <w14:schemeClr w14:val="tx1"/>
            </w14:solidFill>
          </w14:textFill>
        </w:rPr>
        <w:t xml:space="preserve"> 贰 </w:t>
      </w:r>
      <w:r>
        <w:rPr>
          <w:rFonts w:hint="eastAsia" w:ascii="仿宋" w:hAnsi="仿宋" w:eastAsia="仿宋" w:cs="仿宋"/>
          <w:color w:val="000000" w:themeColor="text1"/>
          <w:sz w:val="24"/>
          <w:szCs w:val="24"/>
          <w:highlight w:val="none"/>
          <w14:textFill>
            <w14:solidFill>
              <w14:schemeClr w14:val="tx1"/>
            </w14:solidFill>
          </w14:textFill>
        </w:rPr>
        <w:t>份，合同双方各执</w:t>
      </w:r>
      <w:r>
        <w:rPr>
          <w:rFonts w:hint="eastAsia" w:ascii="仿宋" w:hAnsi="仿宋" w:eastAsia="仿宋" w:cs="仿宋"/>
          <w:color w:val="000000" w:themeColor="text1"/>
          <w:sz w:val="24"/>
          <w:szCs w:val="24"/>
          <w:highlight w:val="none"/>
          <w:u w:val="single"/>
          <w14:textFill>
            <w14:solidFill>
              <w14:schemeClr w14:val="tx1"/>
            </w14:solidFill>
          </w14:textFill>
        </w:rPr>
        <w:t>壹</w:t>
      </w:r>
      <w:r>
        <w:rPr>
          <w:rFonts w:hint="eastAsia" w:ascii="仿宋" w:hAnsi="仿宋" w:eastAsia="仿宋" w:cs="仿宋"/>
          <w:color w:val="000000" w:themeColor="text1"/>
          <w:sz w:val="24"/>
          <w:szCs w:val="24"/>
          <w:highlight w:val="none"/>
          <w14:textFill>
            <w14:solidFill>
              <w14:schemeClr w14:val="tx1"/>
            </w14:solidFill>
          </w14:textFill>
        </w:rPr>
        <w:t>份；副本一式</w:t>
      </w:r>
      <w:bookmarkEnd w:id="44"/>
      <w:bookmarkEnd w:id="45"/>
      <w:bookmarkEnd w:id="46"/>
      <w:r>
        <w:rPr>
          <w:rFonts w:hint="eastAsia" w:ascii="仿宋" w:hAnsi="仿宋" w:eastAsia="仿宋" w:cs="仿宋"/>
          <w:color w:val="000000" w:themeColor="text1"/>
          <w:sz w:val="24"/>
          <w:szCs w:val="24"/>
          <w:highlight w:val="none"/>
          <w:u w:val="single"/>
          <w14:textFill>
            <w14:solidFill>
              <w14:schemeClr w14:val="tx1"/>
            </w14:solidFill>
          </w14:textFill>
        </w:rPr>
        <w:t xml:space="preserve"> 陆 </w:t>
      </w:r>
      <w:r>
        <w:rPr>
          <w:rFonts w:hint="eastAsia" w:ascii="仿宋" w:hAnsi="仿宋" w:eastAsia="仿宋" w:cs="仿宋"/>
          <w:color w:val="000000" w:themeColor="text1"/>
          <w:sz w:val="24"/>
          <w:szCs w:val="24"/>
          <w:highlight w:val="none"/>
          <w14:textFill>
            <w14:solidFill>
              <w14:schemeClr w14:val="tx1"/>
            </w14:solidFill>
          </w14:textFill>
        </w:rPr>
        <w:t>份，其中</w:t>
      </w:r>
      <w:r>
        <w:rPr>
          <w:rFonts w:hint="eastAsia" w:ascii="仿宋" w:hAnsi="仿宋" w:eastAsia="仿宋" w:cs="仿宋"/>
          <w:color w:val="000000" w:themeColor="text1"/>
          <w:sz w:val="24"/>
          <w:szCs w:val="24"/>
          <w:highlight w:val="none"/>
          <w:u w:val="single"/>
          <w14:textFill>
            <w14:solidFill>
              <w14:schemeClr w14:val="tx1"/>
            </w14:solidFill>
          </w14:textFill>
        </w:rPr>
        <w:t xml:space="preserve"> 贰 </w:t>
      </w:r>
      <w:r>
        <w:rPr>
          <w:rFonts w:hint="eastAsia" w:ascii="仿宋" w:hAnsi="仿宋" w:eastAsia="仿宋" w:cs="仿宋"/>
          <w:color w:val="000000" w:themeColor="text1"/>
          <w:sz w:val="24"/>
          <w:szCs w:val="24"/>
          <w:highlight w:val="none"/>
          <w14:textFill>
            <w14:solidFill>
              <w14:schemeClr w14:val="tx1"/>
            </w14:solidFill>
          </w14:textFill>
        </w:rPr>
        <w:t>份合同报送相关主管部门备案及招标代理机构留存。</w:t>
      </w:r>
    </w:p>
    <w:p>
      <w:pPr>
        <w:spacing w:line="42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47" w:name="_Toc477964602"/>
      <w:bookmarkStart w:id="48" w:name="_Toc479505746"/>
      <w:bookmarkStart w:id="49" w:name="_Toc480303473"/>
      <w:r>
        <w:rPr>
          <w:rFonts w:hint="eastAsia" w:ascii="仿宋" w:hAnsi="仿宋" w:eastAsia="仿宋" w:cs="仿宋"/>
          <w:color w:val="000000" w:themeColor="text1"/>
          <w:sz w:val="24"/>
          <w:szCs w:val="24"/>
          <w:highlight w:val="none"/>
          <w14:textFill>
            <w14:solidFill>
              <w14:schemeClr w14:val="tx1"/>
            </w14:solidFill>
          </w14:textFill>
        </w:rPr>
        <w:t>十三、合同未尽事宜，双方另行签订补充协议，但不得背离本协议第八条所约定的合同文件的实质性内容。补充协议是合同文件的组成部分。</w:t>
      </w:r>
      <w:bookmarkEnd w:id="47"/>
      <w:bookmarkEnd w:id="48"/>
      <w:bookmarkEnd w:id="49"/>
    </w:p>
    <w:p>
      <w:pPr>
        <w:spacing w:line="420" w:lineRule="auto"/>
        <w:rPr>
          <w:rFonts w:hint="eastAsia" w:ascii="仿宋" w:hAnsi="仿宋" w:eastAsia="仿宋" w:cs="仿宋"/>
          <w:b/>
          <w:bCs/>
          <w:color w:val="000000" w:themeColor="text1"/>
          <w:sz w:val="24"/>
          <w:szCs w:val="24"/>
          <w:highlight w:val="none"/>
          <w14:textFill>
            <w14:solidFill>
              <w14:schemeClr w14:val="tx1"/>
            </w14:solidFill>
          </w14:textFill>
        </w:rPr>
      </w:pPr>
    </w:p>
    <w:p>
      <w:pPr>
        <w:spacing w:line="42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北京市海淀区苏家坨镇人民政府</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 承包人：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北京环城旺泉建设发展有限公司  </w:t>
      </w:r>
    </w:p>
    <w:p>
      <w:pPr>
        <w:spacing w:line="420" w:lineRule="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（盖章）</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（盖章）</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pPr>
        <w:spacing w:line="42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4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法定代表人或其</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法定代表人或其</w:t>
      </w:r>
    </w:p>
    <w:p>
      <w:pPr>
        <w:spacing w:line="4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eastAsia="zh-Hans"/>
          <w14:textFill>
            <w14:solidFill>
              <w14:schemeClr w14:val="tx1"/>
            </w14:solidFill>
          </w14:textFill>
        </w:rPr>
        <w:t>授权代表</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（签字） </w:t>
      </w:r>
      <w:r>
        <w:rPr>
          <w:rFonts w:hint="eastAsia" w:ascii="仿宋" w:hAnsi="仿宋" w:eastAsia="仿宋" w:cs="仿宋"/>
          <w:bCs/>
          <w:color w:val="000000" w:themeColor="text1"/>
          <w:sz w:val="24"/>
          <w:szCs w:val="24"/>
          <w:highlight w:val="none"/>
          <w14:textFill>
            <w14:solidFill>
              <w14:schemeClr w14:val="tx1"/>
            </w14:solidFill>
          </w14:textFill>
        </w:rPr>
        <w:t xml:space="preserve">   </w:t>
      </w:r>
      <w:r>
        <w:rPr>
          <w:rFonts w:hint="eastAsia" w:ascii="仿宋" w:hAnsi="仿宋" w:eastAsia="仿宋" w:cs="仿宋"/>
          <w:bCs/>
          <w:color w:val="000000" w:themeColor="text1"/>
          <w:sz w:val="24"/>
          <w:szCs w:val="24"/>
          <w:highlight w:val="none"/>
          <w:lang w:eastAsia="zh-Hans"/>
          <w14:textFill>
            <w14:solidFill>
              <w14:schemeClr w14:val="tx1"/>
            </w14:solidFill>
          </w14:textFill>
        </w:rPr>
        <w:t>授权代表</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（签字）</w:t>
      </w:r>
    </w:p>
    <w:p>
      <w:pPr>
        <w:spacing w:line="420" w:lineRule="auto"/>
        <w:rPr>
          <w:rFonts w:hint="eastAsia" w:ascii="仿宋" w:hAnsi="仿宋" w:eastAsia="仿宋" w:cs="仿宋"/>
          <w:color w:val="000000" w:themeColor="text1"/>
          <w:sz w:val="24"/>
          <w:szCs w:val="24"/>
          <w:highlight w:val="none"/>
          <w:u w:val="single"/>
          <w14:textFill>
            <w14:solidFill>
              <w14:schemeClr w14:val="tx1"/>
            </w14:solidFill>
          </w14:textFill>
        </w:rPr>
      </w:pPr>
    </w:p>
    <w:p>
      <w:pPr>
        <w:spacing w:line="4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月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日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月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pPr>
        <w:spacing w:line="42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42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签约地点：</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北京市海淀区苏家坨镇</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pStyle w:val="4"/>
        <w:spacing w:before="240" w:after="240" w:line="56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50" w:name="_Toc16856444"/>
      <w:bookmarkStart w:id="51" w:name="_Toc16935543"/>
      <w:r>
        <w:rPr>
          <w:rFonts w:hint="eastAsia" w:ascii="仿宋" w:hAnsi="仿宋" w:eastAsia="仿宋" w:cs="仿宋"/>
          <w:color w:val="000000" w:themeColor="text1"/>
          <w:sz w:val="24"/>
          <w:szCs w:val="24"/>
          <w:highlight w:val="none"/>
          <w14:textFill>
            <w14:solidFill>
              <w14:schemeClr w14:val="tx1"/>
            </w14:solidFill>
          </w14:textFill>
        </w:rPr>
        <w:t>专用合同条款</w:t>
      </w:r>
      <w:bookmarkEnd w:id="50"/>
      <w:bookmarkEnd w:id="51"/>
    </w:p>
    <w:p>
      <w:pPr>
        <w:keepNext/>
        <w:keepLines/>
        <w:spacing w:before="120" w:beforeLines="50" w:after="120" w:afterLines="50" w:line="360" w:lineRule="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52" w:name="_Toc16935544"/>
      <w:bookmarkStart w:id="53" w:name="_Toc489280180"/>
      <w:bookmarkStart w:id="54" w:name="_Toc486580374"/>
      <w:bookmarkStart w:id="55" w:name="_Toc10235641"/>
      <w:bookmarkStart w:id="56" w:name="_Toc490331665"/>
      <w:bookmarkStart w:id="57" w:name="_Toc497214043"/>
      <w:bookmarkStart w:id="58" w:name="_Toc16856445"/>
      <w:bookmarkStart w:id="59" w:name="_Toc497584034"/>
      <w:bookmarkStart w:id="60" w:name="_Toc16710417"/>
      <w:bookmarkStart w:id="61" w:name="_Toc485323148"/>
      <w:bookmarkStart w:id="62" w:name="_Toc16856310"/>
      <w:bookmarkStart w:id="63" w:name="_Toc16708025"/>
      <w:r>
        <w:rPr>
          <w:rFonts w:hint="eastAsia" w:ascii="仿宋" w:hAnsi="仿宋" w:eastAsia="仿宋" w:cs="仿宋"/>
          <w:color w:val="000000" w:themeColor="text1"/>
          <w:sz w:val="24"/>
          <w:szCs w:val="24"/>
          <w:highlight w:val="none"/>
          <w14:textFill>
            <w14:solidFill>
              <w14:schemeClr w14:val="tx1"/>
            </w14:solidFill>
          </w14:textFill>
        </w:rPr>
        <w:t>1.一般约定</w:t>
      </w:r>
      <w:bookmarkEnd w:id="52"/>
      <w:bookmarkEnd w:id="53"/>
      <w:bookmarkEnd w:id="54"/>
      <w:bookmarkEnd w:id="55"/>
      <w:bookmarkEnd w:id="56"/>
      <w:bookmarkEnd w:id="57"/>
      <w:bookmarkEnd w:id="58"/>
      <w:bookmarkEnd w:id="59"/>
      <w:bookmarkEnd w:id="60"/>
      <w:bookmarkEnd w:id="61"/>
      <w:bookmarkEnd w:id="62"/>
      <w:bookmarkEnd w:id="63"/>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64" w:name="_Toc497584035"/>
      <w:bookmarkStart w:id="65" w:name="_Toc16710418"/>
      <w:bookmarkStart w:id="66" w:name="_Toc497214044"/>
      <w:bookmarkStart w:id="67" w:name="_Toc10235642"/>
      <w:bookmarkStart w:id="68" w:name="_Toc485323149"/>
      <w:bookmarkStart w:id="69" w:name="_Toc489280181"/>
      <w:bookmarkStart w:id="70" w:name="_Toc16856446"/>
      <w:bookmarkStart w:id="71" w:name="_Toc490331666"/>
      <w:bookmarkStart w:id="72" w:name="_Toc16856311"/>
      <w:bookmarkStart w:id="73" w:name="_Toc486580375"/>
      <w:bookmarkStart w:id="74" w:name="_Toc16935545"/>
      <w:bookmarkStart w:id="75" w:name="_Toc16708026"/>
      <w:r>
        <w:rPr>
          <w:rFonts w:hint="eastAsia" w:ascii="仿宋" w:hAnsi="仿宋" w:eastAsia="仿宋" w:cs="仿宋"/>
          <w:color w:val="000000" w:themeColor="text1"/>
          <w:kern w:val="0"/>
          <w:sz w:val="24"/>
          <w:szCs w:val="24"/>
          <w:highlight w:val="none"/>
          <w14:textFill>
            <w14:solidFill>
              <w14:schemeClr w14:val="tx1"/>
            </w14:solidFill>
          </w14:textFill>
        </w:rPr>
        <w:t>1.1  词语定义</w:t>
      </w:r>
      <w:bookmarkEnd w:id="64"/>
      <w:bookmarkEnd w:id="65"/>
      <w:bookmarkEnd w:id="66"/>
      <w:bookmarkEnd w:id="67"/>
      <w:bookmarkEnd w:id="68"/>
      <w:bookmarkEnd w:id="69"/>
      <w:bookmarkEnd w:id="70"/>
      <w:bookmarkEnd w:id="71"/>
      <w:bookmarkEnd w:id="72"/>
      <w:bookmarkEnd w:id="73"/>
      <w:bookmarkEnd w:id="74"/>
      <w:bookmarkEnd w:id="75"/>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1.1.2  合同当事人和人员</w:t>
      </w:r>
    </w:p>
    <w:p>
      <w:pPr>
        <w:spacing w:line="360" w:lineRule="auto"/>
        <w:ind w:firstLine="720" w:firstLineChars="3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1.1.2.2  发包人：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北京市海淀区苏家坨镇人民政府</w:t>
      </w:r>
    </w:p>
    <w:p>
      <w:pPr>
        <w:spacing w:line="360" w:lineRule="auto"/>
        <w:ind w:firstLine="720" w:firstLineChars="3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1.1.2.3  承包人：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北京环城旺泉建设发展有限公司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spacing w:line="360" w:lineRule="auto"/>
        <w:ind w:firstLine="720" w:firstLineChars="3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1.1.2.6  监理人：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pPr>
        <w:spacing w:line="360" w:lineRule="auto"/>
        <w:ind w:firstLine="720" w:firstLineChars="3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1.1.2.8  发包人代表：</w:t>
      </w:r>
    </w:p>
    <w:p>
      <w:pPr>
        <w:spacing w:line="360" w:lineRule="auto"/>
        <w:ind w:firstLine="1800" w:firstLineChars="75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    名：</w:t>
      </w:r>
      <w:r>
        <w:rPr>
          <w:rFonts w:hint="eastAsia" w:ascii="仿宋" w:hAnsi="仿宋" w:eastAsia="仿宋" w:cs="仿宋"/>
          <w:color w:val="000000" w:themeColor="text1"/>
          <w:sz w:val="24"/>
          <w:szCs w:val="24"/>
          <w:highlight w:val="none"/>
          <w:u w:val="single"/>
          <w14:textFill>
            <w14:solidFill>
              <w14:schemeClr w14:val="tx1"/>
            </w14:solidFill>
          </w14:textFill>
        </w:rPr>
        <w:t>待定</w:t>
      </w:r>
    </w:p>
    <w:p>
      <w:pPr>
        <w:spacing w:line="360" w:lineRule="auto"/>
        <w:ind w:firstLine="1800" w:firstLineChars="75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    称：</w:t>
      </w:r>
      <w:r>
        <w:rPr>
          <w:rFonts w:hint="eastAsia" w:ascii="仿宋" w:hAnsi="仿宋" w:eastAsia="仿宋" w:cs="仿宋"/>
          <w:color w:val="000000" w:themeColor="text1"/>
          <w:sz w:val="24"/>
          <w:szCs w:val="24"/>
          <w:highlight w:val="none"/>
          <w:u w:val="single"/>
          <w14:textFill>
            <w14:solidFill>
              <w14:schemeClr w14:val="tx1"/>
            </w14:solidFill>
          </w14:textFill>
        </w:rPr>
        <w:t>待定</w:t>
      </w:r>
    </w:p>
    <w:p>
      <w:pPr>
        <w:spacing w:line="360" w:lineRule="auto"/>
        <w:ind w:firstLine="1800" w:firstLineChars="75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u w:val="single"/>
          <w14:textFill>
            <w14:solidFill>
              <w14:schemeClr w14:val="tx1"/>
            </w14:solidFill>
          </w14:textFill>
        </w:rPr>
        <w:t>待定</w:t>
      </w:r>
    </w:p>
    <w:p>
      <w:pPr>
        <w:spacing w:line="360" w:lineRule="auto"/>
        <w:ind w:firstLine="1800" w:firstLineChars="75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电子信箱：</w:t>
      </w:r>
      <w:r>
        <w:rPr>
          <w:rFonts w:hint="eastAsia" w:ascii="仿宋" w:hAnsi="仿宋" w:eastAsia="仿宋" w:cs="仿宋"/>
          <w:color w:val="000000" w:themeColor="text1"/>
          <w:sz w:val="24"/>
          <w:szCs w:val="24"/>
          <w:highlight w:val="none"/>
          <w:u w:val="single"/>
          <w14:textFill>
            <w14:solidFill>
              <w14:schemeClr w14:val="tx1"/>
            </w14:solidFill>
          </w14:textFill>
        </w:rPr>
        <w:t>待定</w:t>
      </w:r>
    </w:p>
    <w:p>
      <w:pPr>
        <w:spacing w:line="360" w:lineRule="auto"/>
        <w:ind w:firstLine="1800" w:firstLineChars="75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通信地址：</w:t>
      </w:r>
      <w:r>
        <w:rPr>
          <w:rFonts w:hint="eastAsia" w:ascii="仿宋" w:hAnsi="仿宋" w:eastAsia="仿宋" w:cs="仿宋"/>
          <w:color w:val="000000" w:themeColor="text1"/>
          <w:sz w:val="24"/>
          <w:szCs w:val="24"/>
          <w:highlight w:val="none"/>
          <w:u w:val="single"/>
          <w14:textFill>
            <w14:solidFill>
              <w14:schemeClr w14:val="tx1"/>
            </w14:solidFill>
          </w14:textFill>
        </w:rPr>
        <w:t>待定</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1.1.3  工程和设备</w:t>
      </w:r>
    </w:p>
    <w:p>
      <w:pPr>
        <w:spacing w:line="360" w:lineRule="auto"/>
        <w:ind w:firstLine="720" w:firstLineChars="300"/>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1.1.3.2  永久工程：</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spacing w:line="360" w:lineRule="auto"/>
        <w:ind w:firstLine="720" w:firstLineChars="3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1.1.3.3  临时工程：</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pPr>
        <w:spacing w:line="360" w:lineRule="auto"/>
        <w:ind w:firstLine="720" w:firstLineChars="3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1.1.3.10  永久占地：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shd w:val="clear"/>
        <w:spacing w:line="360" w:lineRule="auto"/>
        <w:ind w:firstLine="720" w:firstLineChars="3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1.1.3.11  临时占地：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shd w:val="clea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1.1.4  日期</w:t>
      </w:r>
    </w:p>
    <w:p>
      <w:pPr>
        <w:shd w:val="clear"/>
        <w:spacing w:line="360" w:lineRule="auto"/>
        <w:ind w:firstLine="720" w:firstLineChars="3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1.1.4.5  缺陷责任期期限：</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12</w:t>
      </w:r>
      <w:r>
        <w:rPr>
          <w:rFonts w:hint="eastAsia" w:ascii="仿宋" w:hAnsi="仿宋" w:eastAsia="仿宋" w:cs="仿宋"/>
          <w:color w:val="000000" w:themeColor="text1"/>
          <w:sz w:val="24"/>
          <w:szCs w:val="24"/>
          <w:highlight w:val="none"/>
          <w:u w:val="single"/>
          <w14:textFill>
            <w14:solidFill>
              <w14:schemeClr w14:val="tx1"/>
            </w14:solidFill>
          </w14:textFill>
        </w:rPr>
        <w:t>个月</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spacing w:line="360" w:lineRule="auto"/>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1.1.8  其他需要补充的内容</w:t>
      </w:r>
      <w:bookmarkStart w:id="76" w:name="_Toc486580376"/>
      <w:bookmarkStart w:id="77" w:name="_Toc497214045"/>
      <w:bookmarkStart w:id="78" w:name="_Toc497584036"/>
      <w:bookmarkStart w:id="79" w:name="_Toc489280182"/>
      <w:bookmarkStart w:id="80" w:name="_Toc16856447"/>
      <w:bookmarkStart w:id="81" w:name="_Toc16708027"/>
      <w:bookmarkStart w:id="82" w:name="_Toc16856312"/>
      <w:bookmarkStart w:id="83" w:name="_Toc16935546"/>
      <w:bookmarkStart w:id="84" w:name="_Toc490331667"/>
      <w:bookmarkStart w:id="85" w:name="_Toc10235643"/>
      <w:bookmarkStart w:id="86" w:name="_Toc485323150"/>
      <w:bookmarkStart w:id="87" w:name="_Toc16710419"/>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1.4  合同文件的优先顺序</w:t>
      </w:r>
      <w:bookmarkEnd w:id="76"/>
      <w:bookmarkEnd w:id="77"/>
      <w:bookmarkEnd w:id="78"/>
      <w:bookmarkEnd w:id="79"/>
      <w:bookmarkEnd w:id="80"/>
      <w:bookmarkEnd w:id="81"/>
      <w:bookmarkEnd w:id="82"/>
      <w:bookmarkEnd w:id="83"/>
      <w:bookmarkEnd w:id="84"/>
      <w:bookmarkEnd w:id="85"/>
      <w:bookmarkEnd w:id="86"/>
      <w:bookmarkEnd w:id="87"/>
    </w:p>
    <w:p>
      <w:pPr>
        <w:spacing w:line="360" w:lineRule="auto"/>
        <w:ind w:firstLine="48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合同文件的优先解释顺序如下：</w:t>
      </w:r>
    </w:p>
    <w:p>
      <w:pPr>
        <w:spacing w:line="360" w:lineRule="auto"/>
        <w:ind w:firstLine="48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（1）合同协议书；</w:t>
      </w:r>
    </w:p>
    <w:p>
      <w:pPr>
        <w:spacing w:line="360" w:lineRule="auto"/>
        <w:ind w:firstLine="48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（2）中标通知书；</w:t>
      </w:r>
    </w:p>
    <w:p>
      <w:pPr>
        <w:spacing w:line="360" w:lineRule="auto"/>
        <w:ind w:firstLine="48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（3）投标函及投标函附录；</w:t>
      </w:r>
    </w:p>
    <w:p>
      <w:pPr>
        <w:spacing w:line="360" w:lineRule="auto"/>
        <w:ind w:firstLine="48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（4）合同条款专用部分；</w:t>
      </w:r>
    </w:p>
    <w:p>
      <w:pPr>
        <w:spacing w:line="360" w:lineRule="auto"/>
        <w:ind w:firstLine="48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（5）合同条款通用部分；</w:t>
      </w:r>
    </w:p>
    <w:p>
      <w:pPr>
        <w:spacing w:line="360" w:lineRule="auto"/>
        <w:ind w:firstLine="482"/>
        <w:rPr>
          <w:rFonts w:hint="eastAsia" w:ascii="仿宋" w:hAnsi="仿宋" w:eastAsia="仿宋" w:cs="仿宋"/>
          <w:color w:val="000000" w:themeColor="text1"/>
          <w:sz w:val="24"/>
          <w:szCs w:val="24"/>
          <w:highlight w:val="none"/>
          <w:u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（6）已标价工程量清单</w:t>
      </w:r>
    </w:p>
    <w:p>
      <w:pPr>
        <w:spacing w:line="360" w:lineRule="auto"/>
        <w:ind w:firstLine="482"/>
        <w:rPr>
          <w:rFonts w:hint="eastAsia" w:ascii="仿宋" w:hAnsi="仿宋" w:eastAsia="仿宋" w:cs="仿宋"/>
          <w:color w:val="000000" w:themeColor="text1"/>
          <w:sz w:val="24"/>
          <w:szCs w:val="24"/>
          <w:highlight w:val="none"/>
          <w:u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（7）技术标准和要求</w:t>
      </w:r>
    </w:p>
    <w:p>
      <w:pPr>
        <w:spacing w:line="360" w:lineRule="auto"/>
        <w:ind w:firstLine="482"/>
        <w:rPr>
          <w:rFonts w:hint="eastAsia" w:ascii="仿宋" w:hAnsi="仿宋" w:eastAsia="仿宋" w:cs="仿宋"/>
          <w:color w:val="000000" w:themeColor="text1"/>
          <w:sz w:val="24"/>
          <w:szCs w:val="24"/>
          <w:highlight w:val="none"/>
          <w:u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（8）图纸</w:t>
      </w:r>
    </w:p>
    <w:p>
      <w:pPr>
        <w:spacing w:line="360" w:lineRule="auto"/>
        <w:ind w:firstLine="480"/>
        <w:rPr>
          <w:rFonts w:hint="eastAsia" w:ascii="仿宋" w:hAnsi="仿宋" w:eastAsia="仿宋" w:cs="仿宋"/>
          <w:color w:val="000000" w:themeColor="text1"/>
          <w:sz w:val="24"/>
          <w:szCs w:val="24"/>
          <w:highlight w:val="none"/>
          <w:u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 xml:space="preserve">（9）  /  </w:t>
      </w:r>
    </w:p>
    <w:p>
      <w:pPr>
        <w:spacing w:line="360" w:lineRule="auto"/>
        <w:ind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（说明：（6）、（7）、（8）填空内容分别限于技术标准和要求、图纸、已标价工程量清单三者之一。）</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88" w:name="_Toc497214046"/>
      <w:bookmarkStart w:id="89" w:name="_Toc497584037"/>
      <w:bookmarkStart w:id="90" w:name="_Toc16856448"/>
      <w:bookmarkStart w:id="91" w:name="_Toc485323151"/>
      <w:bookmarkStart w:id="92" w:name="_Toc486580377"/>
      <w:bookmarkStart w:id="93" w:name="_Toc16935547"/>
      <w:bookmarkStart w:id="94" w:name="_Toc16708028"/>
      <w:bookmarkStart w:id="95" w:name="_Toc16710420"/>
      <w:bookmarkStart w:id="96" w:name="_Toc490331668"/>
      <w:bookmarkStart w:id="97" w:name="_Toc10235644"/>
      <w:bookmarkStart w:id="98" w:name="_Toc489280183"/>
      <w:bookmarkStart w:id="99" w:name="_Toc16856313"/>
      <w:r>
        <w:rPr>
          <w:rFonts w:hint="eastAsia" w:ascii="仿宋" w:hAnsi="仿宋" w:eastAsia="仿宋" w:cs="仿宋"/>
          <w:color w:val="000000" w:themeColor="text1"/>
          <w:kern w:val="0"/>
          <w:sz w:val="24"/>
          <w:szCs w:val="24"/>
          <w:highlight w:val="none"/>
          <w14:textFill>
            <w14:solidFill>
              <w14:schemeClr w14:val="tx1"/>
            </w14:solidFill>
          </w14:textFill>
        </w:rPr>
        <w:t>1.5  合同协议书</w:t>
      </w:r>
      <w:bookmarkEnd w:id="88"/>
      <w:bookmarkEnd w:id="89"/>
      <w:bookmarkEnd w:id="90"/>
      <w:bookmarkEnd w:id="91"/>
      <w:bookmarkEnd w:id="92"/>
      <w:bookmarkEnd w:id="93"/>
      <w:bookmarkEnd w:id="94"/>
      <w:bookmarkEnd w:id="95"/>
      <w:bookmarkEnd w:id="96"/>
      <w:bookmarkEnd w:id="97"/>
      <w:bookmarkEnd w:id="98"/>
      <w:bookmarkEnd w:id="99"/>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合同生效的条件：</w:t>
      </w:r>
      <w:r>
        <w:rPr>
          <w:rFonts w:hint="eastAsia" w:ascii="仿宋" w:hAnsi="仿宋" w:eastAsia="仿宋" w:cs="仿宋"/>
          <w:color w:val="000000" w:themeColor="text1"/>
          <w:sz w:val="24"/>
          <w:szCs w:val="24"/>
          <w:highlight w:val="none"/>
          <w:u w:val="single"/>
          <w14:textFill>
            <w14:solidFill>
              <w14:schemeClr w14:val="tx1"/>
            </w14:solidFill>
          </w14:textFill>
        </w:rPr>
        <w:t>合同</w:t>
      </w:r>
      <w:r>
        <w:rPr>
          <w:rFonts w:hint="eastAsia" w:ascii="仿宋" w:hAnsi="仿宋" w:eastAsia="仿宋" w:cs="仿宋"/>
          <w:color w:val="000000" w:themeColor="text1"/>
          <w:sz w:val="24"/>
          <w:szCs w:val="24"/>
          <w:highlight w:val="none"/>
          <w:u w:val="single"/>
          <w:lang w:eastAsia="zh-Hans"/>
          <w14:textFill>
            <w14:solidFill>
              <w14:schemeClr w14:val="tx1"/>
            </w14:solidFill>
          </w14:textFill>
        </w:rPr>
        <w:t>自</w:t>
      </w:r>
      <w:r>
        <w:rPr>
          <w:rFonts w:hint="eastAsia" w:ascii="仿宋" w:hAnsi="仿宋" w:eastAsia="仿宋" w:cs="仿宋"/>
          <w:color w:val="000000" w:themeColor="text1"/>
          <w:sz w:val="24"/>
          <w:szCs w:val="24"/>
          <w:highlight w:val="none"/>
          <w:u w:val="single"/>
          <w14:textFill>
            <w14:solidFill>
              <w14:schemeClr w14:val="tx1"/>
            </w14:solidFill>
          </w14:textFill>
        </w:rPr>
        <w:t>双方</w:t>
      </w:r>
      <w:r>
        <w:rPr>
          <w:rFonts w:hint="eastAsia" w:ascii="仿宋" w:hAnsi="仿宋" w:eastAsia="仿宋" w:cs="仿宋"/>
          <w:color w:val="000000" w:themeColor="text1"/>
          <w:sz w:val="24"/>
          <w:szCs w:val="24"/>
          <w:highlight w:val="none"/>
          <w:u w:val="single"/>
          <w:lang w:eastAsia="zh-Hans"/>
          <w14:textFill>
            <w14:solidFill>
              <w14:schemeClr w14:val="tx1"/>
            </w14:solidFill>
          </w14:textFill>
        </w:rPr>
        <w:t>法定代表人或授权代表</w:t>
      </w:r>
      <w:r>
        <w:rPr>
          <w:rFonts w:hint="eastAsia" w:ascii="仿宋" w:hAnsi="仿宋" w:eastAsia="仿宋" w:cs="仿宋"/>
          <w:color w:val="000000" w:themeColor="text1"/>
          <w:sz w:val="24"/>
          <w:szCs w:val="24"/>
          <w:highlight w:val="none"/>
          <w:u w:val="single"/>
          <w14:textFill>
            <w14:solidFill>
              <w14:schemeClr w14:val="tx1"/>
            </w14:solidFill>
          </w14:textFill>
        </w:rPr>
        <w:t>签字</w:t>
      </w:r>
      <w:r>
        <w:rPr>
          <w:rFonts w:hint="eastAsia" w:ascii="仿宋" w:hAnsi="仿宋" w:eastAsia="仿宋" w:cs="仿宋"/>
          <w:color w:val="000000" w:themeColor="text1"/>
          <w:sz w:val="24"/>
          <w:szCs w:val="24"/>
          <w:highlight w:val="none"/>
          <w:u w:val="single"/>
          <w:lang w:eastAsia="zh-Hans"/>
          <w14:textFill>
            <w14:solidFill>
              <w14:schemeClr w14:val="tx1"/>
            </w14:solidFill>
          </w14:textFill>
        </w:rPr>
        <w:t>并加</w:t>
      </w:r>
      <w:r>
        <w:rPr>
          <w:rFonts w:hint="eastAsia" w:ascii="仿宋" w:hAnsi="仿宋" w:eastAsia="仿宋" w:cs="仿宋"/>
          <w:color w:val="000000" w:themeColor="text1"/>
          <w:sz w:val="24"/>
          <w:szCs w:val="24"/>
          <w:highlight w:val="none"/>
          <w:u w:val="single"/>
          <w14:textFill>
            <w14:solidFill>
              <w14:schemeClr w14:val="tx1"/>
            </w14:solidFill>
          </w14:textFill>
        </w:rPr>
        <w:t>盖</w:t>
      </w:r>
      <w:r>
        <w:rPr>
          <w:rFonts w:hint="eastAsia" w:ascii="仿宋" w:hAnsi="仿宋" w:eastAsia="仿宋" w:cs="仿宋"/>
          <w:color w:val="000000" w:themeColor="text1"/>
          <w:sz w:val="24"/>
          <w:szCs w:val="24"/>
          <w:highlight w:val="none"/>
          <w:u w:val="single"/>
          <w:lang w:eastAsia="zh-Hans"/>
          <w14:textFill>
            <w14:solidFill>
              <w14:schemeClr w14:val="tx1"/>
            </w14:solidFill>
          </w14:textFill>
        </w:rPr>
        <w:t>公</w:t>
      </w:r>
      <w:r>
        <w:rPr>
          <w:rFonts w:hint="eastAsia" w:ascii="仿宋" w:hAnsi="仿宋" w:eastAsia="仿宋" w:cs="仿宋"/>
          <w:color w:val="000000" w:themeColor="text1"/>
          <w:sz w:val="24"/>
          <w:szCs w:val="24"/>
          <w:highlight w:val="none"/>
          <w:u w:val="single"/>
          <w14:textFill>
            <w14:solidFill>
              <w14:schemeClr w14:val="tx1"/>
            </w14:solidFill>
          </w14:textFill>
        </w:rPr>
        <w:t>章</w:t>
      </w:r>
      <w:r>
        <w:rPr>
          <w:rFonts w:hint="eastAsia" w:ascii="仿宋" w:hAnsi="仿宋" w:eastAsia="仿宋" w:cs="仿宋"/>
          <w:color w:val="000000" w:themeColor="text1"/>
          <w:sz w:val="24"/>
          <w:szCs w:val="24"/>
          <w:highlight w:val="none"/>
          <w:u w:val="single"/>
          <w:lang w:eastAsia="zh-Hans"/>
          <w14:textFill>
            <w14:solidFill>
              <w14:schemeClr w14:val="tx1"/>
            </w14:solidFill>
          </w14:textFill>
        </w:rPr>
        <w:t>或合同专用章之日起</w:t>
      </w:r>
      <w:r>
        <w:rPr>
          <w:rFonts w:hint="eastAsia" w:ascii="仿宋" w:hAnsi="仿宋" w:eastAsia="仿宋" w:cs="仿宋"/>
          <w:color w:val="000000" w:themeColor="text1"/>
          <w:sz w:val="24"/>
          <w:szCs w:val="24"/>
          <w:highlight w:val="none"/>
          <w:u w:val="single"/>
          <w14:textFill>
            <w14:solidFill>
              <w14:schemeClr w14:val="tx1"/>
            </w14:solidFill>
          </w14:textFill>
        </w:rPr>
        <w:t>生效</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100" w:name="_Toc497584038"/>
      <w:bookmarkStart w:id="101" w:name="_Toc486580378"/>
      <w:bookmarkStart w:id="102" w:name="_Toc490331669"/>
      <w:bookmarkStart w:id="103" w:name="_Toc16710421"/>
      <w:bookmarkStart w:id="104" w:name="_Toc497214047"/>
      <w:bookmarkStart w:id="105" w:name="_Toc485323152"/>
      <w:bookmarkStart w:id="106" w:name="_Toc16856314"/>
      <w:bookmarkStart w:id="107" w:name="_Toc16856449"/>
      <w:bookmarkStart w:id="108" w:name="_Toc489280184"/>
      <w:bookmarkStart w:id="109" w:name="_Toc16935548"/>
      <w:bookmarkStart w:id="110" w:name="_Toc16708029"/>
      <w:bookmarkStart w:id="111" w:name="_Toc10235645"/>
      <w:r>
        <w:rPr>
          <w:rFonts w:hint="eastAsia" w:ascii="仿宋" w:hAnsi="仿宋" w:eastAsia="仿宋" w:cs="仿宋"/>
          <w:color w:val="000000" w:themeColor="text1"/>
          <w:kern w:val="0"/>
          <w:sz w:val="24"/>
          <w:szCs w:val="24"/>
          <w:highlight w:val="none"/>
          <w14:textFill>
            <w14:solidFill>
              <w14:schemeClr w14:val="tx1"/>
            </w14:solidFill>
          </w14:textFill>
        </w:rPr>
        <w:t>1.6  图纸和承包人文件</w:t>
      </w:r>
      <w:bookmarkEnd w:id="100"/>
      <w:bookmarkEnd w:id="101"/>
      <w:bookmarkEnd w:id="102"/>
      <w:bookmarkEnd w:id="103"/>
      <w:bookmarkEnd w:id="104"/>
      <w:bookmarkEnd w:id="105"/>
      <w:bookmarkEnd w:id="106"/>
      <w:bookmarkEnd w:id="107"/>
      <w:bookmarkEnd w:id="108"/>
      <w:bookmarkEnd w:id="109"/>
      <w:bookmarkEnd w:id="110"/>
      <w:bookmarkEnd w:id="111"/>
    </w:p>
    <w:p>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1.6.1  图纸的提供</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（5）发包人提供图纸的期限：</w:t>
      </w:r>
      <w:r>
        <w:rPr>
          <w:rFonts w:hint="eastAsia" w:ascii="仿宋" w:hAnsi="仿宋" w:eastAsia="仿宋" w:cs="仿宋"/>
          <w:color w:val="000000" w:themeColor="text1"/>
          <w:sz w:val="24"/>
          <w:szCs w:val="24"/>
          <w:highlight w:val="none"/>
          <w:u w:val="single"/>
          <w14:textFill>
            <w14:solidFill>
              <w14:schemeClr w14:val="tx1"/>
            </w14:solidFill>
          </w14:textFill>
        </w:rPr>
        <w:t>/</w:t>
      </w:r>
    </w:p>
    <w:p>
      <w:pPr>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发包人提供图纸的数量：</w:t>
      </w:r>
      <w:r>
        <w:rPr>
          <w:rFonts w:hint="eastAsia" w:ascii="仿宋" w:hAnsi="仿宋" w:eastAsia="仿宋" w:cs="仿宋"/>
          <w:color w:val="000000" w:themeColor="text1"/>
          <w:sz w:val="24"/>
          <w:szCs w:val="24"/>
          <w:highlight w:val="none"/>
          <w:u w:val="single"/>
          <w14:textFill>
            <w14:solidFill>
              <w14:schemeClr w14:val="tx1"/>
            </w14:solidFill>
          </w14:textFill>
        </w:rPr>
        <w:t>/</w:t>
      </w:r>
    </w:p>
    <w:p>
      <w:pPr>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其他约定：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1.6.2  承包人提供的文件</w:t>
      </w:r>
    </w:p>
    <w:p>
      <w:pPr>
        <w:spacing w:line="360" w:lineRule="auto"/>
        <w:ind w:firstLine="360" w:firstLineChars="150"/>
        <w:rPr>
          <w:rFonts w:hint="eastAsia" w:ascii="仿宋" w:hAnsi="仿宋" w:eastAsia="仿宋" w:cs="仿宋"/>
          <w:color w:val="000000" w:themeColor="text1"/>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（1）由承包人提供的文件范围：</w:t>
      </w:r>
      <w:r>
        <w:rPr>
          <w:rFonts w:hint="eastAsia" w:ascii="仿宋" w:hAnsi="仿宋" w:eastAsia="仿宋" w:cs="仿宋"/>
          <w:color w:val="000000" w:themeColor="text1"/>
          <w:sz w:val="24"/>
          <w:szCs w:val="24"/>
          <w:highlight w:val="none"/>
          <w:u w:val="single"/>
          <w14:textFill>
            <w14:solidFill>
              <w14:schemeClr w14:val="tx1"/>
            </w14:solidFill>
          </w14:textFill>
        </w:rPr>
        <w:t>承包人有责任检查由发包人提供的所有图纸和文件以及经发包人/监理人/设计单位审批的施工图、大样图和配合图；一旦在这些图纸或文件中发现任何不一致，承包人应立即以书面形式将此类差异报告给监理人并请求澄清。如果承包人需要任何进一步的图纸，承包人应在相关工作开始前充裕的时间内以书面形式向发包人/监理人申请此类图纸。承包人应注意图纸和文件中要求的预留洞和预埋件等并在工程实施过程中严格检查落实，发包人不会为今后重新补做任何被承包人遗漏的预留洞和预埋件等支付额外的费用</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承包人提供文件的期限：</w:t>
      </w:r>
      <w:r>
        <w:rPr>
          <w:rFonts w:hint="eastAsia" w:ascii="仿宋" w:hAnsi="仿宋" w:eastAsia="仿宋" w:cs="仿宋"/>
          <w:color w:val="000000" w:themeColor="text1"/>
          <w:sz w:val="24"/>
          <w:szCs w:val="24"/>
          <w:highlight w:val="none"/>
          <w:u w:val="single"/>
          <w14:textFill>
            <w14:solidFill>
              <w14:schemeClr w14:val="tx1"/>
            </w14:solidFill>
          </w14:textFill>
        </w:rPr>
        <w:t>相关工作开展前7天</w:t>
      </w:r>
    </w:p>
    <w:p>
      <w:pPr>
        <w:spacing w:line="360" w:lineRule="auto"/>
        <w:ind w:firstLine="360" w:firstLineChars="15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承包人提供文件的数量：</w:t>
      </w:r>
      <w:r>
        <w:rPr>
          <w:rFonts w:hint="eastAsia" w:ascii="仿宋" w:hAnsi="仿宋" w:eastAsia="仿宋" w:cs="仿宋"/>
          <w:color w:val="000000" w:themeColor="text1"/>
          <w:sz w:val="24"/>
          <w:szCs w:val="24"/>
          <w:highlight w:val="none"/>
          <w:u w:val="single"/>
          <w14:textFill>
            <w14:solidFill>
              <w14:schemeClr w14:val="tx1"/>
            </w14:solidFill>
          </w14:textFill>
        </w:rPr>
        <w:t>八套</w:t>
      </w:r>
    </w:p>
    <w:p>
      <w:pPr>
        <w:spacing w:line="360" w:lineRule="auto"/>
        <w:ind w:firstLine="360" w:firstLineChars="15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监理人批复承包人提供文件的期限：</w:t>
      </w:r>
      <w:r>
        <w:rPr>
          <w:rFonts w:hint="eastAsia" w:ascii="仿宋" w:hAnsi="仿宋" w:eastAsia="仿宋" w:cs="仿宋"/>
          <w:color w:val="000000" w:themeColor="text1"/>
          <w:sz w:val="24"/>
          <w:szCs w:val="24"/>
          <w:highlight w:val="none"/>
          <w:u w:val="single"/>
          <w14:textFill>
            <w14:solidFill>
              <w14:schemeClr w14:val="tx1"/>
            </w14:solidFill>
          </w14:textFill>
        </w:rPr>
        <w:t>收到承包人提供的文件后14天</w:t>
      </w:r>
    </w:p>
    <w:p>
      <w:pPr>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其他约定：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112" w:name="_Toc485323153"/>
      <w:bookmarkStart w:id="113" w:name="_Toc486580379"/>
      <w:bookmarkStart w:id="114" w:name="_Toc16710422"/>
      <w:bookmarkStart w:id="115" w:name="_Toc497584039"/>
      <w:bookmarkStart w:id="116" w:name="_Toc489280185"/>
      <w:bookmarkStart w:id="117" w:name="_Toc490331670"/>
      <w:bookmarkStart w:id="118" w:name="_Toc16856315"/>
      <w:bookmarkStart w:id="119" w:name="_Toc16856450"/>
      <w:bookmarkStart w:id="120" w:name="_Toc10235646"/>
      <w:bookmarkStart w:id="121" w:name="_Toc497214048"/>
      <w:bookmarkStart w:id="122" w:name="_Toc16708030"/>
      <w:bookmarkStart w:id="123" w:name="_Toc16935549"/>
      <w:r>
        <w:rPr>
          <w:rFonts w:hint="eastAsia" w:ascii="仿宋" w:hAnsi="仿宋" w:eastAsia="仿宋" w:cs="仿宋"/>
          <w:color w:val="000000" w:themeColor="text1"/>
          <w:kern w:val="0"/>
          <w:sz w:val="24"/>
          <w:szCs w:val="24"/>
          <w:highlight w:val="none"/>
          <w14:textFill>
            <w14:solidFill>
              <w14:schemeClr w14:val="tx1"/>
            </w14:solidFill>
          </w14:textFill>
        </w:rPr>
        <w:t>1.7  联 络</w:t>
      </w:r>
      <w:bookmarkEnd w:id="112"/>
      <w:bookmarkEnd w:id="113"/>
      <w:bookmarkEnd w:id="114"/>
      <w:bookmarkEnd w:id="115"/>
      <w:bookmarkEnd w:id="116"/>
      <w:bookmarkEnd w:id="117"/>
      <w:bookmarkEnd w:id="118"/>
      <w:bookmarkEnd w:id="119"/>
      <w:bookmarkEnd w:id="120"/>
      <w:bookmarkEnd w:id="121"/>
      <w:bookmarkEnd w:id="122"/>
      <w:bookmarkEnd w:id="123"/>
    </w:p>
    <w:p>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1.7.2  联络来往函件的送达和接收</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（2）发包人指定的接收地点：</w:t>
      </w:r>
      <w:r>
        <w:rPr>
          <w:rFonts w:hint="eastAsia" w:ascii="仿宋" w:hAnsi="仿宋" w:eastAsia="仿宋" w:cs="仿宋"/>
          <w:color w:val="000000" w:themeColor="text1"/>
          <w:sz w:val="24"/>
          <w:szCs w:val="24"/>
          <w:highlight w:val="none"/>
          <w:u w:val="single"/>
          <w14:textFill>
            <w14:solidFill>
              <w14:schemeClr w14:val="tx1"/>
            </w14:solidFill>
          </w14:textFill>
        </w:rPr>
        <w:t>待定</w:t>
      </w:r>
    </w:p>
    <w:p>
      <w:pPr>
        <w:spacing w:line="360" w:lineRule="auto"/>
        <w:ind w:firstLine="648" w:firstLineChars="27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发包人指定的接收人为：</w:t>
      </w:r>
      <w:r>
        <w:rPr>
          <w:rFonts w:hint="eastAsia" w:ascii="仿宋" w:hAnsi="仿宋" w:eastAsia="仿宋" w:cs="仿宋"/>
          <w:color w:val="000000" w:themeColor="text1"/>
          <w:sz w:val="24"/>
          <w:szCs w:val="24"/>
          <w:highlight w:val="none"/>
          <w:u w:val="single"/>
          <w14:textFill>
            <w14:solidFill>
              <w14:schemeClr w14:val="tx1"/>
            </w14:solidFill>
          </w14:textFill>
        </w:rPr>
        <w:t>待定</w:t>
      </w:r>
    </w:p>
    <w:p>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（3）监理人指定的接收地点：</w:t>
      </w:r>
      <w:r>
        <w:rPr>
          <w:rFonts w:hint="eastAsia" w:ascii="仿宋" w:hAnsi="仿宋" w:eastAsia="仿宋" w:cs="仿宋"/>
          <w:color w:val="000000" w:themeColor="text1"/>
          <w:sz w:val="24"/>
          <w:szCs w:val="24"/>
          <w:highlight w:val="none"/>
          <w:u w:val="single"/>
          <w14:textFill>
            <w14:solidFill>
              <w14:schemeClr w14:val="tx1"/>
            </w14:solidFill>
          </w14:textFill>
        </w:rPr>
        <w:t>待定</w:t>
      </w:r>
    </w:p>
    <w:p>
      <w:pPr>
        <w:spacing w:line="360" w:lineRule="auto"/>
        <w:ind w:firstLine="648" w:firstLineChars="27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监理人指定的接收人为：</w:t>
      </w:r>
      <w:r>
        <w:rPr>
          <w:rFonts w:hint="eastAsia" w:ascii="仿宋" w:hAnsi="仿宋" w:eastAsia="仿宋" w:cs="仿宋"/>
          <w:color w:val="000000" w:themeColor="text1"/>
          <w:sz w:val="24"/>
          <w:szCs w:val="24"/>
          <w:highlight w:val="none"/>
          <w:u w:val="single"/>
          <w14:textFill>
            <w14:solidFill>
              <w14:schemeClr w14:val="tx1"/>
            </w14:solidFill>
          </w14:textFill>
        </w:rPr>
        <w:t>待定</w:t>
      </w:r>
    </w:p>
    <w:p>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（4）承包人指定的接收地点：</w:t>
      </w:r>
      <w:r>
        <w:rPr>
          <w:rFonts w:hint="eastAsia" w:ascii="仿宋" w:hAnsi="仿宋" w:eastAsia="仿宋" w:cs="仿宋"/>
          <w:color w:val="000000" w:themeColor="text1"/>
          <w:sz w:val="24"/>
          <w:szCs w:val="24"/>
          <w:highlight w:val="none"/>
          <w:u w:val="single"/>
          <w14:textFill>
            <w14:solidFill>
              <w14:schemeClr w14:val="tx1"/>
            </w14:solidFill>
          </w14:textFill>
        </w:rPr>
        <w:t>待定</w:t>
      </w:r>
    </w:p>
    <w:p>
      <w:pPr>
        <w:keepNext/>
        <w:keepLines/>
        <w:spacing w:before="120" w:beforeLines="50" w:after="120" w:afterLines="50" w:line="360" w:lineRule="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24" w:name="_Toc10235647"/>
      <w:bookmarkStart w:id="125" w:name="_Toc16710423"/>
      <w:bookmarkStart w:id="126" w:name="_Toc489280186"/>
      <w:bookmarkStart w:id="127" w:name="_Toc490331671"/>
      <w:bookmarkStart w:id="128" w:name="_Toc16935550"/>
      <w:bookmarkStart w:id="129" w:name="_Toc16856316"/>
      <w:bookmarkStart w:id="130" w:name="_Toc485323154"/>
      <w:bookmarkStart w:id="131" w:name="_Toc497214049"/>
      <w:bookmarkStart w:id="132" w:name="_Toc497584040"/>
      <w:bookmarkStart w:id="133" w:name="_Toc16708031"/>
      <w:bookmarkStart w:id="134" w:name="_Toc486580380"/>
      <w:bookmarkStart w:id="135" w:name="_Toc16856451"/>
      <w:r>
        <w:rPr>
          <w:rFonts w:hint="eastAsia" w:ascii="仿宋" w:hAnsi="仿宋" w:eastAsia="仿宋" w:cs="仿宋"/>
          <w:color w:val="000000" w:themeColor="text1"/>
          <w:sz w:val="24"/>
          <w:szCs w:val="24"/>
          <w:highlight w:val="none"/>
          <w14:textFill>
            <w14:solidFill>
              <w14:schemeClr w14:val="tx1"/>
            </w14:solidFill>
          </w14:textFill>
        </w:rPr>
        <w:t>2.发包人义务</w:t>
      </w:r>
      <w:bookmarkEnd w:id="124"/>
      <w:bookmarkEnd w:id="125"/>
      <w:bookmarkEnd w:id="126"/>
      <w:bookmarkEnd w:id="127"/>
      <w:bookmarkEnd w:id="128"/>
      <w:bookmarkEnd w:id="129"/>
      <w:bookmarkEnd w:id="130"/>
      <w:bookmarkEnd w:id="131"/>
      <w:bookmarkEnd w:id="132"/>
      <w:bookmarkEnd w:id="133"/>
      <w:bookmarkEnd w:id="134"/>
      <w:bookmarkEnd w:id="135"/>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136" w:name="_Toc16710424"/>
      <w:bookmarkStart w:id="137" w:name="_Toc486580381"/>
      <w:bookmarkStart w:id="138" w:name="_Toc490331672"/>
      <w:bookmarkStart w:id="139" w:name="_Toc10235648"/>
      <w:bookmarkStart w:id="140" w:name="_Toc16856317"/>
      <w:bookmarkStart w:id="141" w:name="_Toc16856452"/>
      <w:bookmarkStart w:id="142" w:name="_Toc497214050"/>
      <w:bookmarkStart w:id="143" w:name="_Toc497584041"/>
      <w:bookmarkStart w:id="144" w:name="_Toc16935551"/>
      <w:bookmarkStart w:id="145" w:name="_Toc485323155"/>
      <w:bookmarkStart w:id="146" w:name="_Toc489280187"/>
      <w:bookmarkStart w:id="147" w:name="_Toc16708032"/>
      <w:r>
        <w:rPr>
          <w:rFonts w:hint="eastAsia" w:ascii="仿宋" w:hAnsi="仿宋" w:eastAsia="仿宋" w:cs="仿宋"/>
          <w:color w:val="000000" w:themeColor="text1"/>
          <w:kern w:val="0"/>
          <w:sz w:val="24"/>
          <w:szCs w:val="24"/>
          <w:highlight w:val="none"/>
          <w14:textFill>
            <w14:solidFill>
              <w14:schemeClr w14:val="tx1"/>
            </w14:solidFill>
          </w14:textFill>
        </w:rPr>
        <w:t>2.3  提供施工场地</w:t>
      </w:r>
      <w:bookmarkEnd w:id="136"/>
      <w:bookmarkEnd w:id="137"/>
      <w:bookmarkEnd w:id="138"/>
      <w:bookmarkEnd w:id="139"/>
      <w:bookmarkEnd w:id="140"/>
      <w:bookmarkEnd w:id="141"/>
      <w:bookmarkEnd w:id="142"/>
      <w:bookmarkEnd w:id="143"/>
      <w:bookmarkEnd w:id="144"/>
      <w:bookmarkEnd w:id="145"/>
      <w:bookmarkEnd w:id="146"/>
      <w:bookmarkEnd w:id="147"/>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发包人移交施工场地的期限：发包人应当将具备施工条件的施工场地，在监理人发出开工通知中载明的开工日期</w:t>
      </w:r>
      <w:r>
        <w:rPr>
          <w:rFonts w:hint="eastAsia" w:ascii="仿宋" w:hAnsi="仿宋" w:eastAsia="仿宋" w:cs="仿宋"/>
          <w:color w:val="000000" w:themeColor="text1"/>
          <w:sz w:val="24"/>
          <w:szCs w:val="24"/>
          <w:highlight w:val="none"/>
          <w:u w:val="single"/>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天前移交给承包人。</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148" w:name="_Toc10235649"/>
      <w:bookmarkStart w:id="149" w:name="_Toc16856318"/>
      <w:bookmarkStart w:id="150" w:name="_Toc16856453"/>
      <w:bookmarkStart w:id="151" w:name="_Toc489280188"/>
      <w:bookmarkStart w:id="152" w:name="_Toc486580382"/>
      <w:bookmarkStart w:id="153" w:name="_Toc490331673"/>
      <w:bookmarkStart w:id="154" w:name="_Toc16708033"/>
      <w:bookmarkStart w:id="155" w:name="_Toc16710425"/>
      <w:bookmarkStart w:id="156" w:name="_Toc497584042"/>
      <w:bookmarkStart w:id="157" w:name="_Toc485323156"/>
      <w:bookmarkStart w:id="158" w:name="_Toc16935552"/>
      <w:bookmarkStart w:id="159" w:name="_Toc497214051"/>
      <w:r>
        <w:rPr>
          <w:rFonts w:hint="eastAsia" w:ascii="仿宋" w:hAnsi="仿宋" w:eastAsia="仿宋" w:cs="仿宋"/>
          <w:color w:val="000000" w:themeColor="text1"/>
          <w:kern w:val="0"/>
          <w:sz w:val="24"/>
          <w:szCs w:val="24"/>
          <w:highlight w:val="none"/>
          <w14:textFill>
            <w14:solidFill>
              <w14:schemeClr w14:val="tx1"/>
            </w14:solidFill>
          </w14:textFill>
        </w:rPr>
        <w:t>2.8  向承包人提交支付担保</w:t>
      </w:r>
      <w:bookmarkEnd w:id="148"/>
      <w:bookmarkEnd w:id="149"/>
      <w:bookmarkEnd w:id="150"/>
      <w:bookmarkEnd w:id="151"/>
      <w:bookmarkEnd w:id="152"/>
      <w:bookmarkEnd w:id="153"/>
      <w:bookmarkEnd w:id="154"/>
      <w:bookmarkEnd w:id="155"/>
      <w:bookmarkEnd w:id="156"/>
      <w:bookmarkEnd w:id="157"/>
      <w:bookmarkEnd w:id="158"/>
      <w:bookmarkEnd w:id="159"/>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（1）发包人向承包人提交支付担保的金额：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160" w:name="_Toc16708034"/>
      <w:bookmarkStart w:id="161" w:name="_Toc485323157"/>
      <w:bookmarkStart w:id="162" w:name="_Toc497214052"/>
      <w:bookmarkStart w:id="163" w:name="_Toc489280189"/>
      <w:bookmarkStart w:id="164" w:name="_Toc16856319"/>
      <w:bookmarkStart w:id="165" w:name="_Toc16710426"/>
      <w:bookmarkStart w:id="166" w:name="_Toc490331674"/>
      <w:bookmarkStart w:id="167" w:name="_Toc486580383"/>
      <w:bookmarkStart w:id="168" w:name="_Toc16856454"/>
      <w:bookmarkStart w:id="169" w:name="_Toc497584043"/>
      <w:bookmarkStart w:id="170" w:name="_Toc16935553"/>
      <w:bookmarkStart w:id="171" w:name="_Toc10235650"/>
      <w:r>
        <w:rPr>
          <w:rFonts w:hint="eastAsia" w:ascii="仿宋" w:hAnsi="仿宋" w:eastAsia="仿宋" w:cs="仿宋"/>
          <w:color w:val="000000" w:themeColor="text1"/>
          <w:kern w:val="0"/>
          <w:sz w:val="24"/>
          <w:szCs w:val="24"/>
          <w:highlight w:val="none"/>
          <w14:textFill>
            <w14:solidFill>
              <w14:schemeClr w14:val="tx1"/>
            </w14:solidFill>
          </w14:textFill>
        </w:rPr>
        <w:t>2.13  其他义务</w:t>
      </w:r>
      <w:bookmarkEnd w:id="160"/>
      <w:bookmarkEnd w:id="161"/>
      <w:bookmarkEnd w:id="162"/>
      <w:bookmarkEnd w:id="163"/>
      <w:bookmarkEnd w:id="164"/>
      <w:bookmarkEnd w:id="165"/>
      <w:bookmarkEnd w:id="166"/>
      <w:bookmarkEnd w:id="167"/>
      <w:bookmarkEnd w:id="168"/>
      <w:bookmarkEnd w:id="169"/>
      <w:bookmarkEnd w:id="170"/>
      <w:bookmarkEnd w:id="171"/>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发包人应当履行的其他义务：</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keepNext/>
        <w:keepLines/>
        <w:spacing w:before="120" w:beforeLines="50" w:after="120" w:afterLines="50" w:line="360" w:lineRule="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72" w:name="_Toc16708035"/>
      <w:bookmarkStart w:id="173" w:name="_Toc497584044"/>
      <w:bookmarkStart w:id="174" w:name="_Toc16710427"/>
      <w:bookmarkStart w:id="175" w:name="_Toc489280190"/>
      <w:bookmarkStart w:id="176" w:name="_Toc486580384"/>
      <w:bookmarkStart w:id="177" w:name="_Toc16935554"/>
      <w:bookmarkStart w:id="178" w:name="_Toc497214053"/>
      <w:bookmarkStart w:id="179" w:name="_Toc10235651"/>
      <w:bookmarkStart w:id="180" w:name="_Toc490331675"/>
      <w:bookmarkStart w:id="181" w:name="_Toc485323158"/>
      <w:bookmarkStart w:id="182" w:name="_Toc16856455"/>
      <w:bookmarkStart w:id="183" w:name="_Toc16856320"/>
      <w:r>
        <w:rPr>
          <w:rFonts w:hint="eastAsia" w:ascii="仿宋" w:hAnsi="仿宋" w:eastAsia="仿宋" w:cs="仿宋"/>
          <w:color w:val="000000" w:themeColor="text1"/>
          <w:sz w:val="24"/>
          <w:szCs w:val="24"/>
          <w:highlight w:val="none"/>
          <w14:textFill>
            <w14:solidFill>
              <w14:schemeClr w14:val="tx1"/>
            </w14:solidFill>
          </w14:textFill>
        </w:rPr>
        <w:t>3.监理人</w:t>
      </w:r>
      <w:bookmarkEnd w:id="172"/>
      <w:bookmarkEnd w:id="173"/>
      <w:bookmarkEnd w:id="174"/>
      <w:bookmarkEnd w:id="175"/>
      <w:bookmarkEnd w:id="176"/>
      <w:bookmarkEnd w:id="177"/>
      <w:bookmarkEnd w:id="178"/>
      <w:bookmarkEnd w:id="179"/>
      <w:bookmarkEnd w:id="180"/>
      <w:bookmarkEnd w:id="181"/>
      <w:bookmarkEnd w:id="182"/>
      <w:bookmarkEnd w:id="183"/>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184" w:name="_Toc16710428"/>
      <w:bookmarkStart w:id="185" w:name="_Toc497214054"/>
      <w:bookmarkStart w:id="186" w:name="_Toc490331676"/>
      <w:bookmarkStart w:id="187" w:name="_Toc10235652"/>
      <w:bookmarkStart w:id="188" w:name="_Toc486580385"/>
      <w:bookmarkStart w:id="189" w:name="_Toc16708036"/>
      <w:bookmarkStart w:id="190" w:name="_Toc485323159"/>
      <w:bookmarkStart w:id="191" w:name="_Toc16856321"/>
      <w:bookmarkStart w:id="192" w:name="_Toc16935555"/>
      <w:bookmarkStart w:id="193" w:name="_Toc16856456"/>
      <w:bookmarkStart w:id="194" w:name="_Toc497584045"/>
      <w:bookmarkStart w:id="195" w:name="_Toc489280191"/>
      <w:r>
        <w:rPr>
          <w:rFonts w:hint="eastAsia" w:ascii="仿宋" w:hAnsi="仿宋" w:eastAsia="仿宋" w:cs="仿宋"/>
          <w:color w:val="000000" w:themeColor="text1"/>
          <w:kern w:val="0"/>
          <w:sz w:val="24"/>
          <w:szCs w:val="24"/>
          <w:highlight w:val="none"/>
          <w14:textFill>
            <w14:solidFill>
              <w14:schemeClr w14:val="tx1"/>
            </w14:solidFill>
          </w14:textFill>
        </w:rPr>
        <w:t>3.1  监理人的职责和权力</w:t>
      </w:r>
      <w:bookmarkEnd w:id="184"/>
      <w:bookmarkEnd w:id="185"/>
      <w:bookmarkEnd w:id="186"/>
      <w:bookmarkEnd w:id="187"/>
      <w:bookmarkEnd w:id="188"/>
      <w:bookmarkEnd w:id="189"/>
      <w:bookmarkEnd w:id="190"/>
      <w:bookmarkEnd w:id="191"/>
      <w:bookmarkEnd w:id="192"/>
      <w:bookmarkEnd w:id="193"/>
      <w:bookmarkEnd w:id="194"/>
      <w:bookmarkEnd w:id="195"/>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  发包人需批准明确行使的权力：</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keepNext/>
        <w:keepLines/>
        <w:spacing w:before="120" w:beforeLines="50" w:after="120" w:afterLines="50" w:line="360" w:lineRule="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196" w:name="_Toc497214055"/>
      <w:bookmarkStart w:id="197" w:name="_Toc16935556"/>
      <w:bookmarkStart w:id="198" w:name="_Toc16856322"/>
      <w:bookmarkStart w:id="199" w:name="_Toc490331677"/>
      <w:bookmarkStart w:id="200" w:name="_Toc16708037"/>
      <w:bookmarkStart w:id="201" w:name="_Toc497584046"/>
      <w:bookmarkStart w:id="202" w:name="_Toc16710429"/>
      <w:bookmarkStart w:id="203" w:name="_Toc10235653"/>
      <w:bookmarkStart w:id="204" w:name="_Toc489280192"/>
      <w:bookmarkStart w:id="205" w:name="_Toc16856457"/>
      <w:bookmarkStart w:id="206" w:name="_Toc486580386"/>
      <w:bookmarkStart w:id="207" w:name="_Toc485323160"/>
      <w:r>
        <w:rPr>
          <w:rFonts w:hint="eastAsia" w:ascii="仿宋" w:hAnsi="仿宋" w:eastAsia="仿宋" w:cs="仿宋"/>
          <w:color w:val="000000" w:themeColor="text1"/>
          <w:sz w:val="24"/>
          <w:szCs w:val="24"/>
          <w:highlight w:val="none"/>
          <w14:textFill>
            <w14:solidFill>
              <w14:schemeClr w14:val="tx1"/>
            </w14:solidFill>
          </w14:textFill>
        </w:rPr>
        <w:t>4.承包人</w:t>
      </w:r>
      <w:bookmarkEnd w:id="196"/>
      <w:bookmarkEnd w:id="197"/>
      <w:bookmarkEnd w:id="198"/>
      <w:bookmarkEnd w:id="199"/>
      <w:bookmarkEnd w:id="200"/>
      <w:bookmarkEnd w:id="201"/>
      <w:bookmarkEnd w:id="202"/>
      <w:bookmarkEnd w:id="203"/>
      <w:bookmarkEnd w:id="204"/>
      <w:bookmarkEnd w:id="205"/>
      <w:bookmarkEnd w:id="206"/>
      <w:bookmarkEnd w:id="207"/>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208" w:name="_Toc489280193"/>
      <w:bookmarkStart w:id="209" w:name="_Toc16708038"/>
      <w:bookmarkStart w:id="210" w:name="_Toc497214056"/>
      <w:bookmarkStart w:id="211" w:name="_Toc490331678"/>
      <w:bookmarkStart w:id="212" w:name="_Toc16710430"/>
      <w:bookmarkStart w:id="213" w:name="_Toc10235654"/>
      <w:bookmarkStart w:id="214" w:name="_Toc16935557"/>
      <w:bookmarkStart w:id="215" w:name="_Toc486580387"/>
      <w:bookmarkStart w:id="216" w:name="_Toc16856323"/>
      <w:bookmarkStart w:id="217" w:name="_Toc485323161"/>
      <w:bookmarkStart w:id="218" w:name="_Toc497584047"/>
      <w:bookmarkStart w:id="219" w:name="_Toc16856458"/>
      <w:r>
        <w:rPr>
          <w:rFonts w:hint="eastAsia" w:ascii="仿宋" w:hAnsi="仿宋" w:eastAsia="仿宋" w:cs="仿宋"/>
          <w:color w:val="000000" w:themeColor="text1"/>
          <w:kern w:val="0"/>
          <w:sz w:val="24"/>
          <w:szCs w:val="24"/>
          <w:highlight w:val="none"/>
          <w14:textFill>
            <w14:solidFill>
              <w14:schemeClr w14:val="tx1"/>
            </w14:solidFill>
          </w14:textFill>
        </w:rPr>
        <w:t>4.1  承包人的一般义务</w:t>
      </w:r>
      <w:bookmarkEnd w:id="208"/>
      <w:bookmarkEnd w:id="209"/>
      <w:bookmarkEnd w:id="210"/>
      <w:bookmarkEnd w:id="211"/>
      <w:bookmarkEnd w:id="212"/>
      <w:bookmarkEnd w:id="213"/>
      <w:bookmarkEnd w:id="214"/>
      <w:bookmarkEnd w:id="215"/>
      <w:bookmarkEnd w:id="216"/>
      <w:bookmarkEnd w:id="217"/>
      <w:bookmarkEnd w:id="218"/>
      <w:bookmarkEnd w:id="219"/>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4.1.8  为他人提供方便</w:t>
      </w:r>
    </w:p>
    <w:p>
      <w:pPr>
        <w:spacing w:line="360" w:lineRule="auto"/>
        <w:ind w:firstLine="360" w:firstLineChars="15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（1）承包人应当对在施工场地或者附近实施与合同工程有关的其他工作的独立承包人履行管理、协调、配合、照管和服务义务的具体工作内容和要求：</w:t>
      </w:r>
      <w:r>
        <w:rPr>
          <w:rFonts w:hint="eastAsia" w:ascii="仿宋" w:hAnsi="仿宋" w:eastAsia="仿宋" w:cs="仿宋"/>
          <w:color w:val="000000" w:themeColor="text1"/>
          <w:sz w:val="24"/>
          <w:szCs w:val="24"/>
          <w:highlight w:val="none"/>
          <w:u w:val="single"/>
          <w14:textFill>
            <w14:solidFill>
              <w14:schemeClr w14:val="tx1"/>
            </w14:solidFill>
          </w14:textFill>
        </w:rPr>
        <w:t>/</w:t>
      </w:r>
    </w:p>
    <w:p>
      <w:pPr>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4.1.10  承包人的设计工作</w:t>
      </w:r>
      <w:del w:id="2" w:author=" 嘉观" w:date="2022-10-27T15:02:23Z">
        <w:r>
          <w:rPr>
            <w:rFonts w:hint="eastAsia" w:ascii="仿宋" w:hAnsi="仿宋" w:eastAsia="仿宋" w:cs="仿宋"/>
            <w:color w:val="000000" w:themeColor="text1"/>
            <w:sz w:val="24"/>
            <w:szCs w:val="24"/>
            <w:highlight w:val="none"/>
            <w14:textFill>
              <w14:solidFill>
                <w14:schemeClr w14:val="tx1"/>
              </w14:solidFill>
            </w14:textFill>
          </w:rPr>
          <w:delText xml:space="preserve"> </w:delText>
        </w:r>
      </w:del>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承包人承担的施工图设计或与工程配套的设计工作内容：</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4.1.12  其他义务  </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220" w:name="_Hlk8723501"/>
      <w:r>
        <w:rPr>
          <w:rFonts w:hint="eastAsia" w:ascii="仿宋" w:hAnsi="仿宋" w:eastAsia="仿宋" w:cs="仿宋"/>
          <w:color w:val="000000" w:themeColor="text1"/>
          <w:sz w:val="24"/>
          <w:szCs w:val="24"/>
          <w:highlight w:val="none"/>
          <w14:textFill>
            <w14:solidFill>
              <w14:schemeClr w14:val="tx1"/>
            </w14:solidFill>
          </w14:textFill>
        </w:rPr>
        <w:t>（1）安全文明施工费由承包人统一管理，承包人对工程安全文明施工负总责。承包人不按分包合同约定支付安全文明施工费，造成分包人不能及时落实安全防护措施导致发生事故的，由承包人负主要责任。</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（2）对于超过一定规模的危大工程（如有），承包人应当组织召开专家论证会对专项施工方案进行论证，并根据专家论证意见对专项方案进行调整，发包人原因造成的专项方案调整，其费用变化由发包人承担。</w:t>
      </w:r>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（3）承包人应履行的其他义务：</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bookmarkEnd w:id="220"/>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221" w:name="_Toc10235655"/>
      <w:bookmarkStart w:id="222" w:name="_Toc16856324"/>
      <w:bookmarkStart w:id="223" w:name="_Toc16856459"/>
      <w:bookmarkStart w:id="224" w:name="_Toc16708039"/>
      <w:bookmarkStart w:id="225" w:name="_Toc489280194"/>
      <w:bookmarkStart w:id="226" w:name="_Toc486580388"/>
      <w:bookmarkStart w:id="227" w:name="_Toc485323162"/>
      <w:bookmarkStart w:id="228" w:name="_Toc16710431"/>
      <w:bookmarkStart w:id="229" w:name="_Toc497214057"/>
      <w:bookmarkStart w:id="230" w:name="_Toc490331679"/>
      <w:bookmarkStart w:id="231" w:name="_Toc497584048"/>
      <w:bookmarkStart w:id="232" w:name="_Toc16935558"/>
      <w:r>
        <w:rPr>
          <w:rFonts w:hint="eastAsia" w:ascii="仿宋" w:hAnsi="仿宋" w:eastAsia="仿宋" w:cs="仿宋"/>
          <w:color w:val="000000" w:themeColor="text1"/>
          <w:kern w:val="0"/>
          <w:sz w:val="24"/>
          <w:szCs w:val="24"/>
          <w:highlight w:val="none"/>
          <w14:textFill>
            <w14:solidFill>
              <w14:schemeClr w14:val="tx1"/>
            </w14:solidFill>
          </w14:textFill>
        </w:rPr>
        <w:t>4.2  履约担保</w:t>
      </w:r>
      <w:bookmarkEnd w:id="221"/>
      <w:bookmarkEnd w:id="222"/>
      <w:bookmarkEnd w:id="223"/>
      <w:bookmarkEnd w:id="224"/>
      <w:bookmarkEnd w:id="225"/>
      <w:bookmarkEnd w:id="226"/>
      <w:bookmarkEnd w:id="227"/>
      <w:bookmarkEnd w:id="228"/>
      <w:bookmarkEnd w:id="229"/>
      <w:bookmarkEnd w:id="230"/>
      <w:bookmarkEnd w:id="231"/>
      <w:bookmarkEnd w:id="232"/>
      <w:r>
        <w:rPr>
          <w:rFonts w:hint="eastAsia" w:ascii="仿宋" w:hAnsi="仿宋" w:eastAsia="仿宋" w:cs="仿宋"/>
          <w:color w:val="000000" w:themeColor="text1"/>
          <w:kern w:val="0"/>
          <w:sz w:val="24"/>
          <w:szCs w:val="24"/>
          <w:highlight w:val="none"/>
          <w14:textFill>
            <w14:solidFill>
              <w14:schemeClr w14:val="tx1"/>
            </w14:solidFill>
          </w14:textFill>
        </w:rPr>
        <w:t xml:space="preserve"> </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4.2.1  承包人履约担保的格式和金额</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w:t>
      </w:r>
      <w:r>
        <w:rPr>
          <w:rFonts w:hint="eastAsia" w:ascii="仿宋" w:hAnsi="仿宋" w:eastAsia="仿宋" w:cs="仿宋"/>
          <w:color w:val="000000" w:themeColor="text1"/>
          <w:sz w:val="24"/>
          <w:szCs w:val="24"/>
          <w:highlight w:val="none"/>
          <w:u w:val="single"/>
          <w14:textFill>
            <w14:solidFill>
              <w14:schemeClr w14:val="tx1"/>
            </w14:solidFill>
          </w14:textFill>
        </w:rPr>
        <w:t>不要求</w:t>
      </w:r>
      <w:r>
        <w:rPr>
          <w:rFonts w:hint="eastAsia" w:ascii="仿宋" w:hAnsi="仿宋" w:eastAsia="仿宋" w:cs="仿宋"/>
          <w:color w:val="000000" w:themeColor="text1"/>
          <w:sz w:val="24"/>
          <w:szCs w:val="24"/>
          <w:highlight w:val="none"/>
          <w14:textFill>
            <w14:solidFill>
              <w14:schemeClr w14:val="tx1"/>
            </w14:solidFill>
          </w14:textFill>
        </w:rPr>
        <w:t>（要求/不要求）承包人提供承包人履约担保。</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承包人履约担保的金额为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233" w:name="_Toc489280195"/>
      <w:bookmarkStart w:id="234" w:name="_Toc490331680"/>
      <w:bookmarkStart w:id="235" w:name="_Toc16710432"/>
      <w:bookmarkStart w:id="236" w:name="_Toc16708040"/>
      <w:bookmarkStart w:id="237" w:name="_Toc485323163"/>
      <w:bookmarkStart w:id="238" w:name="_Toc497584049"/>
      <w:bookmarkStart w:id="239" w:name="_Toc16856460"/>
      <w:bookmarkStart w:id="240" w:name="_Toc497214058"/>
      <w:bookmarkStart w:id="241" w:name="_Toc10235656"/>
      <w:bookmarkStart w:id="242" w:name="_Toc16935559"/>
      <w:bookmarkStart w:id="243" w:name="_Toc486580389"/>
      <w:bookmarkStart w:id="244" w:name="_Toc16856325"/>
      <w:r>
        <w:rPr>
          <w:rFonts w:hint="eastAsia" w:ascii="仿宋" w:hAnsi="仿宋" w:eastAsia="仿宋" w:cs="仿宋"/>
          <w:color w:val="000000" w:themeColor="text1"/>
          <w:kern w:val="0"/>
          <w:sz w:val="24"/>
          <w:szCs w:val="24"/>
          <w:highlight w:val="none"/>
          <w14:textFill>
            <w14:solidFill>
              <w14:schemeClr w14:val="tx1"/>
            </w14:solidFill>
          </w14:textFill>
        </w:rPr>
        <w:t>4.11  不利物质条件</w:t>
      </w:r>
      <w:bookmarkEnd w:id="233"/>
      <w:bookmarkEnd w:id="234"/>
      <w:bookmarkEnd w:id="235"/>
      <w:bookmarkEnd w:id="236"/>
      <w:bookmarkEnd w:id="237"/>
      <w:bookmarkEnd w:id="238"/>
      <w:bookmarkEnd w:id="239"/>
      <w:bookmarkEnd w:id="240"/>
      <w:bookmarkEnd w:id="241"/>
      <w:bookmarkEnd w:id="242"/>
      <w:bookmarkEnd w:id="243"/>
      <w:bookmarkEnd w:id="244"/>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4.11.1  不利物质条件的范围：</w:t>
      </w:r>
      <w:r>
        <w:rPr>
          <w:rFonts w:hint="eastAsia" w:ascii="仿宋" w:hAnsi="仿宋" w:eastAsia="仿宋" w:cs="仿宋"/>
          <w:color w:val="000000" w:themeColor="text1"/>
          <w:sz w:val="24"/>
          <w:szCs w:val="24"/>
          <w:highlight w:val="none"/>
          <w:u w:val="single"/>
          <w14:textFill>
            <w14:solidFill>
              <w14:schemeClr w14:val="tx1"/>
            </w14:solidFill>
          </w14:textFill>
        </w:rPr>
        <w:t>地下已存在的但未探明的非自然物质障碍和污染物等，包括地下和水文条件</w:t>
      </w:r>
    </w:p>
    <w:p>
      <w:pPr>
        <w:keepNext/>
        <w:keepLines/>
        <w:spacing w:before="120" w:beforeLines="50" w:after="120" w:afterLines="50" w:line="360" w:lineRule="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245" w:name="_Toc497584050"/>
      <w:bookmarkStart w:id="246" w:name="_Toc486580390"/>
      <w:bookmarkStart w:id="247" w:name="_Toc489280196"/>
      <w:bookmarkStart w:id="248" w:name="_Toc16710433"/>
      <w:bookmarkStart w:id="249" w:name="_Toc16856461"/>
      <w:bookmarkStart w:id="250" w:name="_Toc16935560"/>
      <w:bookmarkStart w:id="251" w:name="_Toc16708041"/>
      <w:bookmarkStart w:id="252" w:name="_Toc10235657"/>
      <w:bookmarkStart w:id="253" w:name="_Toc497214059"/>
      <w:bookmarkStart w:id="254" w:name="_Toc490331681"/>
      <w:bookmarkStart w:id="255" w:name="_Toc485323164"/>
      <w:bookmarkStart w:id="256" w:name="_Toc16856326"/>
      <w:r>
        <w:rPr>
          <w:rFonts w:hint="eastAsia" w:ascii="仿宋" w:hAnsi="仿宋" w:eastAsia="仿宋" w:cs="仿宋"/>
          <w:color w:val="000000" w:themeColor="text1"/>
          <w:sz w:val="24"/>
          <w:szCs w:val="24"/>
          <w:highlight w:val="none"/>
          <w14:textFill>
            <w14:solidFill>
              <w14:schemeClr w14:val="tx1"/>
            </w14:solidFill>
          </w14:textFill>
        </w:rPr>
        <w:t>5.材料和工程设备</w:t>
      </w:r>
      <w:bookmarkEnd w:id="245"/>
      <w:bookmarkEnd w:id="246"/>
      <w:bookmarkEnd w:id="247"/>
      <w:bookmarkEnd w:id="248"/>
      <w:bookmarkEnd w:id="249"/>
      <w:bookmarkEnd w:id="250"/>
      <w:bookmarkEnd w:id="251"/>
      <w:bookmarkEnd w:id="252"/>
      <w:bookmarkEnd w:id="253"/>
      <w:bookmarkEnd w:id="254"/>
      <w:bookmarkEnd w:id="255"/>
      <w:bookmarkEnd w:id="256"/>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257" w:name="_Toc497584051"/>
      <w:bookmarkStart w:id="258" w:name="_Toc486580391"/>
      <w:bookmarkStart w:id="259" w:name="_Toc485323165"/>
      <w:bookmarkStart w:id="260" w:name="_Toc16856462"/>
      <w:bookmarkStart w:id="261" w:name="_Toc16708042"/>
      <w:bookmarkStart w:id="262" w:name="_Toc490331682"/>
      <w:bookmarkStart w:id="263" w:name="_Toc16935561"/>
      <w:bookmarkStart w:id="264" w:name="_Toc16856327"/>
      <w:bookmarkStart w:id="265" w:name="_Toc489280197"/>
      <w:bookmarkStart w:id="266" w:name="_Toc10235658"/>
      <w:bookmarkStart w:id="267" w:name="_Toc16710434"/>
      <w:bookmarkStart w:id="268" w:name="_Toc497214060"/>
      <w:r>
        <w:rPr>
          <w:rFonts w:hint="eastAsia" w:ascii="仿宋" w:hAnsi="仿宋" w:eastAsia="仿宋" w:cs="仿宋"/>
          <w:color w:val="000000" w:themeColor="text1"/>
          <w:kern w:val="0"/>
          <w:sz w:val="24"/>
          <w:szCs w:val="24"/>
          <w:highlight w:val="none"/>
          <w14:textFill>
            <w14:solidFill>
              <w14:schemeClr w14:val="tx1"/>
            </w14:solidFill>
          </w14:textFill>
        </w:rPr>
        <w:t>5.1  承包人提供的材料和工程设备</w:t>
      </w:r>
      <w:bookmarkEnd w:id="257"/>
      <w:bookmarkEnd w:id="258"/>
      <w:bookmarkEnd w:id="259"/>
      <w:bookmarkEnd w:id="260"/>
      <w:bookmarkEnd w:id="261"/>
      <w:bookmarkEnd w:id="262"/>
      <w:bookmarkEnd w:id="263"/>
      <w:bookmarkEnd w:id="264"/>
      <w:bookmarkEnd w:id="265"/>
      <w:bookmarkEnd w:id="266"/>
      <w:bookmarkEnd w:id="267"/>
      <w:bookmarkEnd w:id="268"/>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5.1.2 承包人将由其提供的材料和工程设备的供货人和品种、规格、数量及供货时间等报送监理人审批的期限：</w:t>
      </w:r>
      <w:r>
        <w:rPr>
          <w:rFonts w:hint="eastAsia" w:ascii="仿宋" w:hAnsi="仿宋" w:eastAsia="仿宋" w:cs="仿宋"/>
          <w:color w:val="000000" w:themeColor="text1"/>
          <w:sz w:val="24"/>
          <w:szCs w:val="24"/>
          <w:highlight w:val="none"/>
          <w:u w:val="single"/>
          <w14:textFill>
            <w14:solidFill>
              <w14:schemeClr w14:val="tx1"/>
            </w14:solidFill>
          </w14:textFill>
        </w:rPr>
        <w:t>7天</w:t>
      </w:r>
    </w:p>
    <w:p>
      <w:pPr>
        <w:keepNext/>
        <w:keepLines/>
        <w:spacing w:before="120" w:beforeLines="50" w:after="120" w:afterLines="50" w:line="360" w:lineRule="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269" w:name="_Toc489280198"/>
      <w:bookmarkStart w:id="270" w:name="_Toc10235659"/>
      <w:bookmarkStart w:id="271" w:name="_Toc16935562"/>
      <w:bookmarkStart w:id="272" w:name="_Toc16856328"/>
      <w:bookmarkStart w:id="273" w:name="_Toc16708043"/>
      <w:bookmarkStart w:id="274" w:name="_Toc486580392"/>
      <w:bookmarkStart w:id="275" w:name="_Toc490331683"/>
      <w:bookmarkStart w:id="276" w:name="_Toc497584052"/>
      <w:bookmarkStart w:id="277" w:name="_Toc497214061"/>
      <w:bookmarkStart w:id="278" w:name="_Toc16710435"/>
      <w:bookmarkStart w:id="279" w:name="_Toc485323166"/>
      <w:bookmarkStart w:id="280" w:name="_Toc16856463"/>
      <w:r>
        <w:rPr>
          <w:rFonts w:hint="eastAsia" w:ascii="仿宋" w:hAnsi="仿宋" w:eastAsia="仿宋" w:cs="仿宋"/>
          <w:color w:val="000000" w:themeColor="text1"/>
          <w:sz w:val="24"/>
          <w:szCs w:val="24"/>
          <w:highlight w:val="none"/>
          <w14:textFill>
            <w14:solidFill>
              <w14:schemeClr w14:val="tx1"/>
            </w14:solidFill>
          </w14:textFill>
        </w:rPr>
        <w:t>6.施工设备和临时设施</w:t>
      </w:r>
      <w:bookmarkEnd w:id="269"/>
      <w:bookmarkEnd w:id="270"/>
      <w:bookmarkEnd w:id="271"/>
      <w:bookmarkEnd w:id="272"/>
      <w:bookmarkEnd w:id="273"/>
      <w:bookmarkEnd w:id="274"/>
      <w:bookmarkEnd w:id="275"/>
      <w:bookmarkEnd w:id="276"/>
      <w:bookmarkEnd w:id="277"/>
      <w:bookmarkEnd w:id="278"/>
      <w:bookmarkEnd w:id="279"/>
      <w:bookmarkEnd w:id="280"/>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281" w:name="_Toc16935563"/>
      <w:bookmarkStart w:id="282" w:name="_Toc489280199"/>
      <w:bookmarkStart w:id="283" w:name="_Toc497584053"/>
      <w:bookmarkStart w:id="284" w:name="_Toc490331684"/>
      <w:bookmarkStart w:id="285" w:name="_Toc10235660"/>
      <w:bookmarkStart w:id="286" w:name="_Toc486580393"/>
      <w:bookmarkStart w:id="287" w:name="_Toc16856329"/>
      <w:bookmarkStart w:id="288" w:name="_Toc16710436"/>
      <w:bookmarkStart w:id="289" w:name="_Toc485323167"/>
      <w:bookmarkStart w:id="290" w:name="_Toc16856464"/>
      <w:bookmarkStart w:id="291" w:name="_Toc497214062"/>
      <w:bookmarkStart w:id="292" w:name="_Toc16708044"/>
      <w:r>
        <w:rPr>
          <w:rFonts w:hint="eastAsia" w:ascii="仿宋" w:hAnsi="仿宋" w:eastAsia="仿宋" w:cs="仿宋"/>
          <w:color w:val="000000" w:themeColor="text1"/>
          <w:kern w:val="0"/>
          <w:sz w:val="24"/>
          <w:szCs w:val="24"/>
          <w:highlight w:val="none"/>
          <w14:textFill>
            <w14:solidFill>
              <w14:schemeClr w14:val="tx1"/>
            </w14:solidFill>
          </w14:textFill>
        </w:rPr>
        <w:t>6.1  承包人提供的施工设备和临时设施</w:t>
      </w:r>
      <w:bookmarkEnd w:id="281"/>
      <w:bookmarkEnd w:id="282"/>
      <w:bookmarkEnd w:id="283"/>
      <w:bookmarkEnd w:id="284"/>
      <w:bookmarkEnd w:id="285"/>
      <w:bookmarkEnd w:id="286"/>
      <w:bookmarkEnd w:id="287"/>
      <w:bookmarkEnd w:id="288"/>
      <w:bookmarkEnd w:id="289"/>
      <w:bookmarkEnd w:id="290"/>
      <w:bookmarkEnd w:id="291"/>
      <w:bookmarkEnd w:id="292"/>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6.1.2  承包人承担自行修建临时设施费用的范围：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发包人办理申请手续并承担相关费用的临时占地：</w:t>
      </w:r>
      <w:r>
        <w:rPr>
          <w:rFonts w:hint="eastAsia" w:ascii="仿宋" w:hAnsi="仿宋" w:eastAsia="仿宋" w:cs="仿宋"/>
          <w:color w:val="000000" w:themeColor="text1"/>
          <w:sz w:val="24"/>
          <w:szCs w:val="24"/>
          <w:highlight w:val="none"/>
          <w:u w:val="single"/>
          <w14:textFill>
            <w14:solidFill>
              <w14:schemeClr w14:val="tx1"/>
            </w14:solidFill>
          </w14:textFill>
        </w:rPr>
        <w:t>无论何种情况下，承包人都必须按照现场踏勘之日的标准接受现场的所有现状。如果承包人认为场地狭小而需要工程现场范围以外的工作用地或用作临时办公或生活基地，承包人须自费承担所需的施工用房或场地，并申请及获得有关管理机构或用地拥有者的许可，承包人应负责确保所有现场周边毗邻的道路、步行道和现场出入口等的干净和整洁，同时保证它们及周边公共交通、公众生活不因承包人和其它受承包人控制的施工操作、材料装卸、车辆、材料、物品、设备和工人而带来任何妨碍；承包商应保证发包人免于与上述事件有关的任何索赔、诉讼、损害和损失.</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293" w:name="_Toc16935564"/>
      <w:bookmarkStart w:id="294" w:name="_Toc490331685"/>
      <w:bookmarkStart w:id="295" w:name="_Toc486580394"/>
      <w:bookmarkStart w:id="296" w:name="_Toc497214063"/>
      <w:bookmarkStart w:id="297" w:name="_Toc16856465"/>
      <w:bookmarkStart w:id="298" w:name="_Toc489280200"/>
      <w:bookmarkStart w:id="299" w:name="_Toc10235661"/>
      <w:bookmarkStart w:id="300" w:name="_Toc497584054"/>
      <w:bookmarkStart w:id="301" w:name="_Toc16710437"/>
      <w:bookmarkStart w:id="302" w:name="_Toc485323168"/>
      <w:bookmarkStart w:id="303" w:name="_Toc16708045"/>
      <w:bookmarkStart w:id="304" w:name="_Toc16856330"/>
      <w:r>
        <w:rPr>
          <w:rFonts w:hint="eastAsia" w:ascii="仿宋" w:hAnsi="仿宋" w:eastAsia="仿宋" w:cs="仿宋"/>
          <w:color w:val="000000" w:themeColor="text1"/>
          <w:kern w:val="0"/>
          <w:sz w:val="24"/>
          <w:szCs w:val="24"/>
          <w:highlight w:val="none"/>
          <w14:textFill>
            <w14:solidFill>
              <w14:schemeClr w14:val="tx1"/>
            </w14:solidFill>
          </w14:textFill>
        </w:rPr>
        <w:t>6.2  发包人提供的施工设备和临时设施</w:t>
      </w:r>
      <w:bookmarkEnd w:id="293"/>
      <w:bookmarkEnd w:id="294"/>
      <w:bookmarkEnd w:id="295"/>
      <w:bookmarkEnd w:id="296"/>
      <w:bookmarkEnd w:id="297"/>
      <w:bookmarkEnd w:id="298"/>
      <w:bookmarkEnd w:id="299"/>
      <w:bookmarkEnd w:id="300"/>
      <w:bookmarkEnd w:id="301"/>
      <w:bookmarkEnd w:id="302"/>
      <w:bookmarkEnd w:id="303"/>
      <w:bookmarkEnd w:id="304"/>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发包人提供的施工设备和临时设施：</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发包人提供的施工设备和临时设施的运行、维护、拆除、清运费用的承担人：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keepNext/>
        <w:keepLines/>
        <w:spacing w:before="120" w:beforeLines="50" w:after="120" w:afterLines="50" w:line="360" w:lineRule="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305" w:name="_Toc490331686"/>
      <w:bookmarkStart w:id="306" w:name="_Toc16708046"/>
      <w:bookmarkStart w:id="307" w:name="_Toc497584055"/>
      <w:bookmarkStart w:id="308" w:name="_Toc497214064"/>
      <w:bookmarkStart w:id="309" w:name="_Toc10235662"/>
      <w:bookmarkStart w:id="310" w:name="_Toc485323169"/>
      <w:bookmarkStart w:id="311" w:name="_Toc16856331"/>
      <w:bookmarkStart w:id="312" w:name="_Toc16710438"/>
      <w:bookmarkStart w:id="313" w:name="_Toc489280201"/>
      <w:bookmarkStart w:id="314" w:name="_Toc486580395"/>
      <w:bookmarkStart w:id="315" w:name="_Toc16935565"/>
      <w:bookmarkStart w:id="316" w:name="_Toc16856466"/>
      <w:r>
        <w:rPr>
          <w:rFonts w:hint="eastAsia" w:ascii="仿宋" w:hAnsi="仿宋" w:eastAsia="仿宋" w:cs="仿宋"/>
          <w:color w:val="000000" w:themeColor="text1"/>
          <w:sz w:val="24"/>
          <w:szCs w:val="24"/>
          <w:highlight w:val="none"/>
          <w14:textFill>
            <w14:solidFill>
              <w14:schemeClr w14:val="tx1"/>
            </w14:solidFill>
          </w14:textFill>
        </w:rPr>
        <w:t>7.交通运输</w:t>
      </w:r>
      <w:bookmarkEnd w:id="305"/>
      <w:bookmarkEnd w:id="306"/>
      <w:bookmarkEnd w:id="307"/>
      <w:bookmarkEnd w:id="308"/>
      <w:bookmarkEnd w:id="309"/>
      <w:bookmarkEnd w:id="310"/>
      <w:bookmarkEnd w:id="311"/>
      <w:bookmarkEnd w:id="312"/>
      <w:bookmarkEnd w:id="313"/>
      <w:bookmarkEnd w:id="314"/>
      <w:bookmarkEnd w:id="315"/>
      <w:bookmarkEnd w:id="316"/>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317" w:name="_Toc486580396"/>
      <w:bookmarkStart w:id="318" w:name="_Toc497214065"/>
      <w:bookmarkStart w:id="319" w:name="_Toc16935566"/>
      <w:bookmarkStart w:id="320" w:name="_Toc10235663"/>
      <w:bookmarkStart w:id="321" w:name="_Toc16856332"/>
      <w:bookmarkStart w:id="322" w:name="_Toc485323170"/>
      <w:bookmarkStart w:id="323" w:name="_Toc489280202"/>
      <w:bookmarkStart w:id="324" w:name="_Toc16856467"/>
      <w:bookmarkStart w:id="325" w:name="_Toc16708047"/>
      <w:bookmarkStart w:id="326" w:name="_Toc490331687"/>
      <w:bookmarkStart w:id="327" w:name="_Toc16710439"/>
      <w:bookmarkStart w:id="328" w:name="_Toc497584056"/>
      <w:r>
        <w:rPr>
          <w:rFonts w:hint="eastAsia" w:ascii="仿宋" w:hAnsi="仿宋" w:eastAsia="仿宋" w:cs="仿宋"/>
          <w:color w:val="000000" w:themeColor="text1"/>
          <w:kern w:val="0"/>
          <w:sz w:val="24"/>
          <w:szCs w:val="24"/>
          <w:highlight w:val="none"/>
          <w14:textFill>
            <w14:solidFill>
              <w14:schemeClr w14:val="tx1"/>
            </w14:solidFill>
          </w14:textFill>
        </w:rPr>
        <w:t>7.1  道路通行权和场外设施</w:t>
      </w:r>
      <w:bookmarkEnd w:id="317"/>
      <w:bookmarkEnd w:id="318"/>
      <w:bookmarkEnd w:id="319"/>
      <w:bookmarkEnd w:id="320"/>
      <w:bookmarkEnd w:id="321"/>
      <w:bookmarkEnd w:id="322"/>
      <w:bookmarkEnd w:id="323"/>
      <w:bookmarkEnd w:id="324"/>
      <w:bookmarkEnd w:id="325"/>
      <w:bookmarkEnd w:id="326"/>
      <w:bookmarkEnd w:id="327"/>
      <w:bookmarkEnd w:id="328"/>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负责取得道路通行权、场外设施修建权的办理人: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发包人</w:t>
      </w:r>
      <w:r>
        <w:rPr>
          <w:rFonts w:hint="eastAsia" w:ascii="仿宋" w:hAnsi="仿宋" w:eastAsia="仿宋" w:cs="仿宋"/>
          <w:color w:val="000000" w:themeColor="text1"/>
          <w:sz w:val="24"/>
          <w:szCs w:val="24"/>
          <w:highlight w:val="none"/>
          <w14:textFill>
            <w14:solidFill>
              <w14:schemeClr w14:val="tx1"/>
            </w14:solidFill>
          </w14:textFill>
        </w:rPr>
        <w:t>，其相关费用由发包人承担。</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329" w:name="_Toc16856468"/>
      <w:bookmarkStart w:id="330" w:name="_Toc485323171"/>
      <w:bookmarkStart w:id="331" w:name="_Toc16710440"/>
      <w:bookmarkStart w:id="332" w:name="_Toc16708048"/>
      <w:bookmarkStart w:id="333" w:name="_Toc497584057"/>
      <w:bookmarkStart w:id="334" w:name="_Toc497214066"/>
      <w:bookmarkStart w:id="335" w:name="_Toc489280203"/>
      <w:bookmarkStart w:id="336" w:name="_Toc10235664"/>
      <w:bookmarkStart w:id="337" w:name="_Toc16856333"/>
      <w:bookmarkStart w:id="338" w:name="_Toc486580397"/>
      <w:bookmarkStart w:id="339" w:name="_Toc16935567"/>
      <w:bookmarkStart w:id="340" w:name="_Toc490331688"/>
      <w:r>
        <w:rPr>
          <w:rFonts w:hint="eastAsia" w:ascii="仿宋" w:hAnsi="仿宋" w:eastAsia="仿宋" w:cs="仿宋"/>
          <w:color w:val="000000" w:themeColor="text1"/>
          <w:kern w:val="0"/>
          <w:sz w:val="24"/>
          <w:szCs w:val="24"/>
          <w:highlight w:val="none"/>
          <w14:textFill>
            <w14:solidFill>
              <w14:schemeClr w14:val="tx1"/>
            </w14:solidFill>
          </w14:textFill>
        </w:rPr>
        <w:t>7.2  场内施工道路</w:t>
      </w:r>
      <w:bookmarkEnd w:id="329"/>
      <w:bookmarkEnd w:id="330"/>
      <w:bookmarkEnd w:id="331"/>
      <w:bookmarkEnd w:id="332"/>
      <w:bookmarkEnd w:id="333"/>
      <w:bookmarkEnd w:id="334"/>
      <w:bookmarkEnd w:id="335"/>
      <w:bookmarkEnd w:id="336"/>
      <w:bookmarkEnd w:id="337"/>
      <w:bookmarkEnd w:id="338"/>
      <w:bookmarkEnd w:id="339"/>
      <w:bookmarkEnd w:id="340"/>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7.2.1  施工所需的场内临时道路和交通设施的修建、维护、养护和管理人：</w:t>
      </w:r>
      <w:r>
        <w:rPr>
          <w:rFonts w:hint="eastAsia" w:ascii="仿宋" w:hAnsi="仿宋" w:eastAsia="仿宋" w:cs="仿宋"/>
          <w:color w:val="000000" w:themeColor="text1"/>
          <w:sz w:val="24"/>
          <w:szCs w:val="24"/>
          <w:highlight w:val="none"/>
          <w:u w:val="single"/>
          <w14:textFill>
            <w14:solidFill>
              <w14:schemeClr w14:val="tx1"/>
            </w14:solidFill>
          </w14:textFill>
        </w:rPr>
        <w:t>承包人</w:t>
      </w:r>
      <w:r>
        <w:rPr>
          <w:rFonts w:hint="eastAsia" w:ascii="仿宋" w:hAnsi="仿宋" w:eastAsia="仿宋" w:cs="仿宋"/>
          <w:color w:val="000000" w:themeColor="text1"/>
          <w:sz w:val="24"/>
          <w:szCs w:val="24"/>
          <w:highlight w:val="none"/>
          <w14:textFill>
            <w14:solidFill>
              <w14:schemeClr w14:val="tx1"/>
            </w14:solidFill>
          </w14:textFill>
        </w:rPr>
        <w:t>，相关费用由</w:t>
      </w:r>
      <w:r>
        <w:rPr>
          <w:rFonts w:hint="eastAsia" w:ascii="仿宋" w:hAnsi="仿宋" w:eastAsia="仿宋" w:cs="仿宋"/>
          <w:color w:val="000000" w:themeColor="text1"/>
          <w:sz w:val="24"/>
          <w:szCs w:val="24"/>
          <w:highlight w:val="none"/>
          <w:u w:val="single"/>
          <w14:textFill>
            <w14:solidFill>
              <w14:schemeClr w14:val="tx1"/>
            </w14:solidFill>
          </w14:textFill>
        </w:rPr>
        <w:t>承包人</w:t>
      </w:r>
      <w:r>
        <w:rPr>
          <w:rFonts w:hint="eastAsia" w:ascii="仿宋" w:hAnsi="仿宋" w:eastAsia="仿宋" w:cs="仿宋"/>
          <w:color w:val="000000" w:themeColor="text1"/>
          <w:sz w:val="24"/>
          <w:szCs w:val="24"/>
          <w:highlight w:val="none"/>
          <w14:textFill>
            <w14:solidFill>
              <w14:schemeClr w14:val="tx1"/>
            </w14:solidFill>
          </w14:textFill>
        </w:rPr>
        <w:t>承担。</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341" w:name="_Toc16856469"/>
      <w:bookmarkStart w:id="342" w:name="_Toc10235665"/>
      <w:bookmarkStart w:id="343" w:name="_Toc16856334"/>
      <w:bookmarkStart w:id="344" w:name="_Toc489280204"/>
      <w:bookmarkStart w:id="345" w:name="_Toc16708049"/>
      <w:bookmarkStart w:id="346" w:name="_Toc486580398"/>
      <w:bookmarkStart w:id="347" w:name="_Toc497214067"/>
      <w:bookmarkStart w:id="348" w:name="_Toc16935568"/>
      <w:bookmarkStart w:id="349" w:name="_Toc485323172"/>
      <w:bookmarkStart w:id="350" w:name="_Toc16710441"/>
      <w:bookmarkStart w:id="351" w:name="_Toc490331689"/>
      <w:bookmarkStart w:id="352" w:name="_Toc497584058"/>
      <w:r>
        <w:rPr>
          <w:rFonts w:hint="eastAsia" w:ascii="仿宋" w:hAnsi="仿宋" w:eastAsia="仿宋" w:cs="仿宋"/>
          <w:color w:val="000000" w:themeColor="text1"/>
          <w:kern w:val="0"/>
          <w:sz w:val="24"/>
          <w:szCs w:val="24"/>
          <w:highlight w:val="none"/>
          <w14:textFill>
            <w14:solidFill>
              <w14:schemeClr w14:val="tx1"/>
            </w14:solidFill>
          </w14:textFill>
        </w:rPr>
        <w:t>7.4  超大件和超重件的运输</w:t>
      </w:r>
      <w:bookmarkEnd w:id="341"/>
      <w:bookmarkEnd w:id="342"/>
      <w:bookmarkEnd w:id="343"/>
      <w:bookmarkEnd w:id="344"/>
      <w:bookmarkEnd w:id="345"/>
      <w:bookmarkEnd w:id="346"/>
      <w:bookmarkEnd w:id="347"/>
      <w:bookmarkEnd w:id="348"/>
      <w:bookmarkEnd w:id="349"/>
      <w:bookmarkEnd w:id="350"/>
      <w:bookmarkEnd w:id="351"/>
      <w:bookmarkEnd w:id="352"/>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运输超大件或超重件所需的道路和桥梁临时加固改造等费用的承担人：</w:t>
      </w:r>
      <w:r>
        <w:rPr>
          <w:rFonts w:hint="eastAsia" w:ascii="仿宋" w:hAnsi="仿宋" w:eastAsia="仿宋" w:cs="仿宋"/>
          <w:color w:val="000000" w:themeColor="text1"/>
          <w:sz w:val="24"/>
          <w:szCs w:val="24"/>
          <w:highlight w:val="none"/>
          <w:u w:val="single"/>
          <w14:textFill>
            <w14:solidFill>
              <w14:schemeClr w14:val="tx1"/>
            </w14:solidFill>
          </w14:textFill>
        </w:rPr>
        <w:t>承包人</w:t>
      </w:r>
    </w:p>
    <w:p>
      <w:pPr>
        <w:keepNext/>
        <w:keepLines/>
        <w:spacing w:before="120" w:beforeLines="50" w:after="120" w:afterLines="50" w:line="360" w:lineRule="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353" w:name="_Toc489280205"/>
      <w:bookmarkStart w:id="354" w:name="_Toc16710442"/>
      <w:bookmarkStart w:id="355" w:name="_Toc10235666"/>
      <w:bookmarkStart w:id="356" w:name="_Toc16856470"/>
      <w:bookmarkStart w:id="357" w:name="_Toc490331690"/>
      <w:bookmarkStart w:id="358" w:name="_Toc497584059"/>
      <w:bookmarkStart w:id="359" w:name="_Toc16708050"/>
      <w:bookmarkStart w:id="360" w:name="_Toc486580399"/>
      <w:bookmarkStart w:id="361" w:name="_Toc497214068"/>
      <w:bookmarkStart w:id="362" w:name="_Toc485323173"/>
      <w:bookmarkStart w:id="363" w:name="_Toc16856335"/>
      <w:bookmarkStart w:id="364" w:name="_Toc16935569"/>
      <w:r>
        <w:rPr>
          <w:rFonts w:hint="eastAsia" w:ascii="仿宋" w:hAnsi="仿宋" w:eastAsia="仿宋" w:cs="仿宋"/>
          <w:color w:val="000000" w:themeColor="text1"/>
          <w:sz w:val="24"/>
          <w:szCs w:val="24"/>
          <w:highlight w:val="none"/>
          <w14:textFill>
            <w14:solidFill>
              <w14:schemeClr w14:val="tx1"/>
            </w14:solidFill>
          </w14:textFill>
        </w:rPr>
        <w:t>8.测量放线</w:t>
      </w:r>
      <w:bookmarkEnd w:id="353"/>
      <w:bookmarkEnd w:id="354"/>
      <w:bookmarkEnd w:id="355"/>
      <w:bookmarkEnd w:id="356"/>
      <w:bookmarkEnd w:id="357"/>
      <w:bookmarkEnd w:id="358"/>
      <w:bookmarkEnd w:id="359"/>
      <w:bookmarkEnd w:id="360"/>
      <w:bookmarkEnd w:id="361"/>
      <w:bookmarkEnd w:id="362"/>
      <w:bookmarkEnd w:id="363"/>
      <w:bookmarkEnd w:id="364"/>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365" w:name="_Toc497214069"/>
      <w:bookmarkStart w:id="366" w:name="_Toc489280206"/>
      <w:bookmarkStart w:id="367" w:name="_Toc16856471"/>
      <w:bookmarkStart w:id="368" w:name="_Toc10235667"/>
      <w:bookmarkStart w:id="369" w:name="_Toc490331691"/>
      <w:bookmarkStart w:id="370" w:name="_Toc16708051"/>
      <w:bookmarkStart w:id="371" w:name="_Toc497584060"/>
      <w:bookmarkStart w:id="372" w:name="_Toc486580400"/>
      <w:bookmarkStart w:id="373" w:name="_Toc16710443"/>
      <w:bookmarkStart w:id="374" w:name="_Toc485323174"/>
      <w:bookmarkStart w:id="375" w:name="_Toc16856336"/>
      <w:bookmarkStart w:id="376" w:name="_Toc16935570"/>
      <w:r>
        <w:rPr>
          <w:rFonts w:hint="eastAsia" w:ascii="仿宋" w:hAnsi="仿宋" w:eastAsia="仿宋" w:cs="仿宋"/>
          <w:color w:val="000000" w:themeColor="text1"/>
          <w:kern w:val="0"/>
          <w:sz w:val="24"/>
          <w:szCs w:val="24"/>
          <w:highlight w:val="none"/>
          <w14:textFill>
            <w14:solidFill>
              <w14:schemeClr w14:val="tx1"/>
            </w14:solidFill>
          </w14:textFill>
        </w:rPr>
        <w:t>8.1  施工控制网</w:t>
      </w:r>
      <w:bookmarkEnd w:id="365"/>
      <w:bookmarkEnd w:id="366"/>
      <w:bookmarkEnd w:id="367"/>
      <w:bookmarkEnd w:id="368"/>
      <w:bookmarkEnd w:id="369"/>
      <w:bookmarkEnd w:id="370"/>
      <w:bookmarkEnd w:id="371"/>
      <w:bookmarkEnd w:id="372"/>
      <w:bookmarkEnd w:id="373"/>
      <w:bookmarkEnd w:id="374"/>
      <w:bookmarkEnd w:id="375"/>
      <w:bookmarkEnd w:id="376"/>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8.1.1  发包人通过监理人提供测量基准点、基准线和水准点及其书面资料的期限：</w:t>
      </w:r>
      <w:r>
        <w:rPr>
          <w:rFonts w:hint="eastAsia" w:ascii="仿宋" w:hAnsi="仿宋" w:eastAsia="仿宋" w:cs="仿宋"/>
          <w:color w:val="000000" w:themeColor="text1"/>
          <w:sz w:val="24"/>
          <w:szCs w:val="24"/>
          <w:highlight w:val="none"/>
          <w:u w:val="single"/>
          <w14:textFill>
            <w14:solidFill>
              <w14:schemeClr w14:val="tx1"/>
            </w14:solidFill>
          </w14:textFill>
        </w:rPr>
        <w:t>合同签订后7天内</w:t>
      </w:r>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8.1.2  承包人测设施工控制网的其他要求：</w:t>
      </w:r>
      <w:r>
        <w:rPr>
          <w:rFonts w:hint="eastAsia" w:ascii="仿宋" w:hAnsi="仿宋" w:eastAsia="仿宋" w:cs="仿宋"/>
          <w:color w:val="000000" w:themeColor="text1"/>
          <w:sz w:val="24"/>
          <w:szCs w:val="24"/>
          <w:highlight w:val="none"/>
          <w:u w:val="single"/>
          <w14:textFill>
            <w14:solidFill>
              <w14:schemeClr w14:val="tx1"/>
            </w14:solidFill>
          </w14:textFill>
        </w:rPr>
        <w:t>由承包人依据监理人提供的测量基点、基准线和水准点以及国家的工程测量技术规范和合同要求精度，测试自己的的施工控制网。</w:t>
      </w:r>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承包人将施工控制网资料报送监理人审批的期限：</w:t>
      </w:r>
      <w:r>
        <w:rPr>
          <w:rFonts w:hint="eastAsia" w:ascii="仿宋" w:hAnsi="仿宋" w:eastAsia="仿宋" w:cs="仿宋"/>
          <w:color w:val="000000" w:themeColor="text1"/>
          <w:sz w:val="24"/>
          <w:szCs w:val="24"/>
          <w:highlight w:val="none"/>
          <w:u w:val="single"/>
          <w14:textFill>
            <w14:solidFill>
              <w14:schemeClr w14:val="tx1"/>
            </w14:solidFill>
          </w14:textFill>
        </w:rPr>
        <w:t>在收到监理人发出开工通知后7天内</w:t>
      </w:r>
    </w:p>
    <w:p>
      <w:pPr>
        <w:keepNext/>
        <w:keepLines/>
        <w:spacing w:before="120" w:beforeLines="50" w:after="120" w:afterLines="50" w:line="360" w:lineRule="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377" w:name="_Toc16708052"/>
      <w:bookmarkStart w:id="378" w:name="_Toc489280207"/>
      <w:bookmarkStart w:id="379" w:name="_Toc486580401"/>
      <w:bookmarkStart w:id="380" w:name="_Toc16856337"/>
      <w:bookmarkStart w:id="381" w:name="_Toc497584061"/>
      <w:bookmarkStart w:id="382" w:name="_Toc16710444"/>
      <w:bookmarkStart w:id="383" w:name="_Toc490331692"/>
      <w:bookmarkStart w:id="384" w:name="_Toc16935571"/>
      <w:bookmarkStart w:id="385" w:name="_Toc485323175"/>
      <w:bookmarkStart w:id="386" w:name="_Toc16856472"/>
      <w:bookmarkStart w:id="387" w:name="_Toc10235668"/>
      <w:bookmarkStart w:id="388" w:name="_Toc497214070"/>
      <w:r>
        <w:rPr>
          <w:rFonts w:hint="eastAsia" w:ascii="仿宋" w:hAnsi="仿宋" w:eastAsia="仿宋" w:cs="仿宋"/>
          <w:color w:val="000000" w:themeColor="text1"/>
          <w:sz w:val="24"/>
          <w:szCs w:val="24"/>
          <w:highlight w:val="none"/>
          <w14:textFill>
            <w14:solidFill>
              <w14:schemeClr w14:val="tx1"/>
            </w14:solidFill>
          </w14:textFill>
        </w:rPr>
        <w:t>9.施工安全、治安保卫和环境保护</w:t>
      </w:r>
      <w:bookmarkEnd w:id="377"/>
      <w:bookmarkEnd w:id="378"/>
      <w:bookmarkEnd w:id="379"/>
      <w:bookmarkEnd w:id="380"/>
      <w:bookmarkEnd w:id="381"/>
      <w:bookmarkEnd w:id="382"/>
      <w:bookmarkEnd w:id="383"/>
      <w:bookmarkEnd w:id="384"/>
      <w:bookmarkEnd w:id="385"/>
      <w:bookmarkEnd w:id="386"/>
      <w:bookmarkEnd w:id="387"/>
      <w:bookmarkEnd w:id="388"/>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389" w:name="_Toc497584062"/>
      <w:bookmarkStart w:id="390" w:name="_Toc16710445"/>
      <w:bookmarkStart w:id="391" w:name="_Toc16935572"/>
      <w:bookmarkStart w:id="392" w:name="_Toc497214071"/>
      <w:bookmarkStart w:id="393" w:name="_Toc485323176"/>
      <w:bookmarkStart w:id="394" w:name="_Toc10235669"/>
      <w:bookmarkStart w:id="395" w:name="_Toc490331693"/>
      <w:bookmarkStart w:id="396" w:name="_Toc486580402"/>
      <w:bookmarkStart w:id="397" w:name="_Toc16856338"/>
      <w:bookmarkStart w:id="398" w:name="_Toc16856473"/>
      <w:bookmarkStart w:id="399" w:name="_Toc489280208"/>
      <w:bookmarkStart w:id="400" w:name="_Toc16708053"/>
      <w:r>
        <w:rPr>
          <w:rFonts w:hint="eastAsia" w:ascii="仿宋" w:hAnsi="仿宋" w:eastAsia="仿宋" w:cs="仿宋"/>
          <w:color w:val="000000" w:themeColor="text1"/>
          <w:kern w:val="0"/>
          <w:sz w:val="24"/>
          <w:szCs w:val="24"/>
          <w:highlight w:val="none"/>
          <w14:textFill>
            <w14:solidFill>
              <w14:schemeClr w14:val="tx1"/>
            </w14:solidFill>
          </w14:textFill>
        </w:rPr>
        <w:t>9.2  承包人的施工安全责任</w:t>
      </w:r>
      <w:bookmarkEnd w:id="389"/>
      <w:bookmarkEnd w:id="390"/>
      <w:bookmarkEnd w:id="391"/>
      <w:bookmarkEnd w:id="392"/>
      <w:bookmarkEnd w:id="393"/>
      <w:bookmarkEnd w:id="394"/>
      <w:bookmarkEnd w:id="395"/>
      <w:bookmarkEnd w:id="396"/>
      <w:bookmarkEnd w:id="397"/>
      <w:bookmarkEnd w:id="398"/>
      <w:bookmarkEnd w:id="399"/>
      <w:bookmarkEnd w:id="400"/>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kern w:val="0"/>
          <w:sz w:val="24"/>
          <w:szCs w:val="24"/>
          <w:highlight w:val="none"/>
          <w14:textFill>
            <w14:solidFill>
              <w14:schemeClr w14:val="tx1"/>
            </w14:solidFill>
          </w14:textFill>
        </w:rPr>
      </w:pPr>
      <w:bookmarkStart w:id="401" w:name="_Toc489280209"/>
      <w:bookmarkStart w:id="402" w:name="_Toc485323177"/>
      <w:bookmarkStart w:id="403" w:name="_Toc486580403"/>
      <w:r>
        <w:rPr>
          <w:rFonts w:hint="eastAsia" w:ascii="仿宋" w:hAnsi="仿宋" w:eastAsia="仿宋" w:cs="仿宋"/>
          <w:color w:val="000000" w:themeColor="text1"/>
          <w:kern w:val="0"/>
          <w:sz w:val="24"/>
          <w:szCs w:val="24"/>
          <w:highlight w:val="none"/>
          <w14:textFill>
            <w14:solidFill>
              <w14:schemeClr w14:val="tx1"/>
            </w14:solidFill>
          </w14:textFill>
        </w:rPr>
        <w:t>9.2.1  承包人向监理人报送施工安全措施计划的期限：</w:t>
      </w:r>
      <w:r>
        <w:rPr>
          <w:rFonts w:hint="eastAsia" w:ascii="仿宋" w:hAnsi="仿宋" w:eastAsia="仿宋" w:cs="仿宋"/>
          <w:color w:val="000000" w:themeColor="text1"/>
          <w:sz w:val="24"/>
          <w:szCs w:val="24"/>
          <w:highlight w:val="none"/>
          <w:u w:val="single"/>
          <w14:textFill>
            <w14:solidFill>
              <w14:schemeClr w14:val="tx1"/>
            </w14:solidFill>
          </w14:textFill>
        </w:rPr>
        <w:t>在收到监理人发出开工通知后7天内</w:t>
      </w:r>
      <w:r>
        <w:rPr>
          <w:rFonts w:hint="eastAsia" w:ascii="仿宋" w:hAnsi="仿宋" w:eastAsia="仿宋" w:cs="仿宋"/>
          <w:color w:val="000000" w:themeColor="text1"/>
          <w:kern w:val="0"/>
          <w:sz w:val="24"/>
          <w:szCs w:val="24"/>
          <w:highlight w:val="none"/>
          <w14:textFill>
            <w14:solidFill>
              <w14:schemeClr w14:val="tx1"/>
            </w14:solidFill>
          </w14:textFill>
        </w:rPr>
        <w:t>监理人收到承包人报送的施工安全措施计划后应当在</w:t>
      </w:r>
      <w:r>
        <w:rPr>
          <w:rFonts w:hint="eastAsia" w:ascii="仿宋" w:hAnsi="仿宋" w:eastAsia="仿宋" w:cs="仿宋"/>
          <w:color w:val="000000" w:themeColor="text1"/>
          <w:kern w:val="0"/>
          <w:sz w:val="24"/>
          <w:szCs w:val="24"/>
          <w:highlight w:val="none"/>
          <w:u w:val="single"/>
          <w14:textFill>
            <w14:solidFill>
              <w14:schemeClr w14:val="tx1"/>
            </w14:solidFill>
          </w14:textFill>
        </w:rPr>
        <w:t>7</w:t>
      </w:r>
      <w:r>
        <w:rPr>
          <w:rFonts w:hint="eastAsia" w:ascii="仿宋" w:hAnsi="仿宋" w:eastAsia="仿宋" w:cs="仿宋"/>
          <w:color w:val="000000" w:themeColor="text1"/>
          <w:kern w:val="0"/>
          <w:sz w:val="24"/>
          <w:szCs w:val="24"/>
          <w:highlight w:val="none"/>
          <w14:textFill>
            <w14:solidFill>
              <w14:schemeClr w14:val="tx1"/>
            </w14:solidFill>
          </w14:textFill>
        </w:rPr>
        <w:t>天内给予批复。</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404" w:name="_Toc16856474"/>
      <w:bookmarkStart w:id="405" w:name="_Toc16708054"/>
      <w:bookmarkStart w:id="406" w:name="_Toc10235670"/>
      <w:bookmarkStart w:id="407" w:name="_Toc16710446"/>
      <w:bookmarkStart w:id="408" w:name="_Toc16935573"/>
      <w:bookmarkStart w:id="409" w:name="_Toc497214072"/>
      <w:bookmarkStart w:id="410" w:name="_Toc497584063"/>
      <w:bookmarkStart w:id="411" w:name="_Toc490331694"/>
      <w:bookmarkStart w:id="412" w:name="_Toc16856339"/>
      <w:r>
        <w:rPr>
          <w:rFonts w:hint="eastAsia" w:ascii="仿宋" w:hAnsi="仿宋" w:eastAsia="仿宋" w:cs="仿宋"/>
          <w:color w:val="000000" w:themeColor="text1"/>
          <w:kern w:val="0"/>
          <w:sz w:val="24"/>
          <w:szCs w:val="24"/>
          <w:highlight w:val="none"/>
          <w14:textFill>
            <w14:solidFill>
              <w14:schemeClr w14:val="tx1"/>
            </w14:solidFill>
          </w14:textFill>
        </w:rPr>
        <w:t>9.3  治安保卫</w:t>
      </w:r>
      <w:bookmarkEnd w:id="401"/>
      <w:bookmarkEnd w:id="402"/>
      <w:bookmarkEnd w:id="403"/>
      <w:bookmarkEnd w:id="404"/>
      <w:bookmarkEnd w:id="405"/>
      <w:bookmarkEnd w:id="406"/>
      <w:bookmarkEnd w:id="407"/>
      <w:bookmarkEnd w:id="408"/>
      <w:bookmarkEnd w:id="409"/>
      <w:bookmarkEnd w:id="410"/>
      <w:bookmarkEnd w:id="411"/>
      <w:bookmarkEnd w:id="412"/>
    </w:p>
    <w:p>
      <w:pPr>
        <w:spacing w:line="360" w:lineRule="auto"/>
        <w:ind w:left="420" w:leftChars="200"/>
        <w:rPr>
          <w:rFonts w:hint="eastAsia" w:ascii="仿宋" w:hAnsi="仿宋" w:eastAsia="仿宋" w:cs="仿宋"/>
          <w:color w:val="000000" w:themeColor="text1"/>
          <w:kern w:val="0"/>
          <w:sz w:val="24"/>
          <w:szCs w:val="24"/>
          <w:highlight w:val="none"/>
          <w14:textFill>
            <w14:solidFill>
              <w14:schemeClr w14:val="tx1"/>
            </w14:solidFill>
          </w14:textFill>
        </w:rPr>
      </w:pPr>
      <w:bookmarkStart w:id="413" w:name="_Toc485323178"/>
      <w:bookmarkStart w:id="414" w:name="_Toc486580404"/>
      <w:bookmarkStart w:id="415" w:name="_Toc489280210"/>
      <w:r>
        <w:rPr>
          <w:rFonts w:hint="eastAsia" w:ascii="仿宋" w:hAnsi="仿宋" w:eastAsia="仿宋" w:cs="仿宋"/>
          <w:color w:val="000000" w:themeColor="text1"/>
          <w:kern w:val="0"/>
          <w:sz w:val="24"/>
          <w:szCs w:val="24"/>
          <w:highlight w:val="none"/>
          <w14:textFill>
            <w14:solidFill>
              <w14:schemeClr w14:val="tx1"/>
            </w14:solidFill>
          </w14:textFill>
        </w:rPr>
        <w:t>9.3.3 制定施工场地治安管理计划和突发治安事件紧急预案的责任人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承包人</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416" w:name="_Toc490331695"/>
      <w:bookmarkStart w:id="417" w:name="_Toc497214073"/>
      <w:bookmarkStart w:id="418" w:name="_Toc10235671"/>
      <w:bookmarkStart w:id="419" w:name="_Toc16710447"/>
      <w:bookmarkStart w:id="420" w:name="_Toc16856475"/>
      <w:bookmarkStart w:id="421" w:name="_Toc497584064"/>
      <w:bookmarkStart w:id="422" w:name="_Toc16708055"/>
      <w:bookmarkStart w:id="423" w:name="_Toc16935574"/>
      <w:bookmarkStart w:id="424" w:name="_Toc16856340"/>
      <w:r>
        <w:rPr>
          <w:rFonts w:hint="eastAsia" w:ascii="仿宋" w:hAnsi="仿宋" w:eastAsia="仿宋" w:cs="仿宋"/>
          <w:color w:val="000000" w:themeColor="text1"/>
          <w:kern w:val="0"/>
          <w:sz w:val="24"/>
          <w:szCs w:val="24"/>
          <w:highlight w:val="none"/>
          <w14:textFill>
            <w14:solidFill>
              <w14:schemeClr w14:val="tx1"/>
            </w14:solidFill>
          </w14:textFill>
        </w:rPr>
        <w:t>9.4  环境保护</w:t>
      </w:r>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left="420" w:leftChars="200"/>
        <w:rPr>
          <w:rFonts w:hint="eastAsia" w:ascii="仿宋" w:hAnsi="仿宋" w:eastAsia="仿宋" w:cs="仿宋"/>
          <w:color w:val="000000" w:themeColor="text1"/>
          <w:kern w:val="0"/>
          <w:sz w:val="24"/>
          <w:szCs w:val="24"/>
          <w:highlight w:val="none"/>
          <w14:textFill>
            <w14:solidFill>
              <w14:schemeClr w14:val="tx1"/>
            </w14:solidFill>
          </w14:textFill>
        </w:rPr>
      </w:pPr>
      <w:bookmarkStart w:id="425" w:name="_Toc486580405"/>
      <w:bookmarkStart w:id="426" w:name="_Toc485323179"/>
      <w:bookmarkStart w:id="427" w:name="_Toc489280211"/>
      <w:r>
        <w:rPr>
          <w:rFonts w:hint="eastAsia" w:ascii="仿宋" w:hAnsi="仿宋" w:eastAsia="仿宋" w:cs="仿宋"/>
          <w:color w:val="000000" w:themeColor="text1"/>
          <w:kern w:val="0"/>
          <w:sz w:val="24"/>
          <w:szCs w:val="24"/>
          <w:highlight w:val="none"/>
          <w14:textFill>
            <w14:solidFill>
              <w14:schemeClr w14:val="tx1"/>
            </w14:solidFill>
          </w14:textFill>
        </w:rPr>
        <w:t>9.4.3  施工环保措施计划报送监理人审批的时间</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签订合同后7天内</w:t>
      </w:r>
    </w:p>
    <w:p>
      <w:pPr>
        <w:spacing w:line="360" w:lineRule="auto"/>
        <w:ind w:left="420" w:left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监理人收到承包人报送的施工环保措施计划后应当在</w:t>
      </w:r>
      <w:r>
        <w:rPr>
          <w:rFonts w:hint="eastAsia" w:ascii="仿宋" w:hAnsi="仿宋" w:eastAsia="仿宋" w:cs="仿宋"/>
          <w:color w:val="000000" w:themeColor="text1"/>
          <w:kern w:val="0"/>
          <w:sz w:val="24"/>
          <w:szCs w:val="24"/>
          <w:highlight w:val="none"/>
          <w:u w:val="single"/>
          <w14:textFill>
            <w14:solidFill>
              <w14:schemeClr w14:val="tx1"/>
            </w14:solidFill>
          </w14:textFill>
        </w:rPr>
        <w:t>7</w:t>
      </w:r>
      <w:r>
        <w:rPr>
          <w:rFonts w:hint="eastAsia" w:ascii="仿宋" w:hAnsi="仿宋" w:eastAsia="仿宋" w:cs="仿宋"/>
          <w:color w:val="000000" w:themeColor="text1"/>
          <w:kern w:val="0"/>
          <w:sz w:val="24"/>
          <w:szCs w:val="24"/>
          <w:highlight w:val="none"/>
          <w14:textFill>
            <w14:solidFill>
              <w14:schemeClr w14:val="tx1"/>
            </w14:solidFill>
          </w14:textFill>
        </w:rPr>
        <w:t>天内给予批复。</w:t>
      </w:r>
    </w:p>
    <w:p>
      <w:pPr>
        <w:pStyle w:val="11"/>
        <w:tabs>
          <w:tab w:val="left" w:pos="567"/>
          <w:tab w:val="left" w:pos="851"/>
        </w:tabs>
        <w:spacing w:before="120" w:after="120"/>
        <w:rPr>
          <w:rFonts w:hint="eastAsia" w:ascii="仿宋" w:hAnsi="仿宋" w:eastAsia="仿宋" w:cs="仿宋"/>
          <w:color w:val="000000" w:themeColor="text1"/>
          <w:szCs w:val="24"/>
          <w:highlight w:val="none"/>
          <w14:textFill>
            <w14:solidFill>
              <w14:schemeClr w14:val="tx1"/>
            </w14:solidFill>
          </w14:textFill>
        </w:rPr>
      </w:pPr>
      <w:bookmarkStart w:id="428" w:name="_Toc16935575"/>
      <w:bookmarkStart w:id="429" w:name="_Toc16856476"/>
      <w:bookmarkStart w:id="430" w:name="_Toc10235672"/>
      <w:bookmarkStart w:id="431" w:name="_Toc16708056"/>
      <w:bookmarkStart w:id="432" w:name="_Toc16710448"/>
      <w:bookmarkStart w:id="433" w:name="_Toc16856341"/>
      <w:bookmarkStart w:id="434" w:name="_Hlk8723534"/>
      <w:r>
        <w:rPr>
          <w:rFonts w:hint="eastAsia" w:ascii="仿宋" w:hAnsi="仿宋" w:eastAsia="仿宋" w:cs="仿宋"/>
          <w:color w:val="000000" w:themeColor="text1"/>
          <w:szCs w:val="24"/>
          <w:highlight w:val="none"/>
          <w14:textFill>
            <w14:solidFill>
              <w14:schemeClr w14:val="tx1"/>
            </w14:solidFill>
          </w14:textFill>
        </w:rPr>
        <w:t>9.6  施工现场安全生产标准化管理目标</w:t>
      </w:r>
      <w:bookmarkEnd w:id="428"/>
      <w:bookmarkEnd w:id="429"/>
      <w:bookmarkEnd w:id="430"/>
      <w:bookmarkEnd w:id="431"/>
      <w:bookmarkEnd w:id="432"/>
      <w:bookmarkEnd w:id="433"/>
    </w:p>
    <w:p>
      <w:pPr>
        <w:pStyle w:val="7"/>
        <w:tabs>
          <w:tab w:val="left" w:pos="1134"/>
        </w:tabs>
        <w:spacing w:line="360" w:lineRule="auto"/>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9.6.1  未达到合同协议书中约定的安全生产标准化管理目标等级的违约金或损失赔偿金的金额或者计算方法：</w:t>
      </w:r>
      <w:r>
        <w:rPr>
          <w:rFonts w:hint="eastAsia" w:ascii="仿宋" w:hAnsi="仿宋" w:eastAsia="仿宋" w:cs="仿宋"/>
          <w:color w:val="000000" w:themeColor="text1"/>
          <w:highlight w:val="none"/>
          <w:u w:val="single"/>
          <w14:textFill>
            <w14:solidFill>
              <w14:schemeClr w14:val="tx1"/>
            </w14:solidFill>
          </w14:textFill>
        </w:rPr>
        <w:t xml:space="preserve">  /  </w:t>
      </w:r>
    </w:p>
    <w:p>
      <w:pPr>
        <w:pStyle w:val="7"/>
        <w:tabs>
          <w:tab w:val="left" w:pos="1134"/>
        </w:tabs>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9.6.2  发包人</w:t>
      </w:r>
      <w:r>
        <w:rPr>
          <w:rFonts w:hint="eastAsia" w:ascii="仿宋" w:hAnsi="仿宋" w:eastAsia="仿宋" w:cs="仿宋"/>
          <w:color w:val="000000" w:themeColor="text1"/>
          <w:highlight w:val="none"/>
          <w:u w:val="single"/>
          <w14:textFill>
            <w14:solidFill>
              <w14:schemeClr w14:val="tx1"/>
            </w14:solidFill>
          </w14:textFill>
        </w:rPr>
        <w:t>不给予</w:t>
      </w:r>
      <w:r>
        <w:rPr>
          <w:rFonts w:hint="eastAsia" w:ascii="仿宋" w:hAnsi="仿宋" w:eastAsia="仿宋" w:cs="仿宋"/>
          <w:color w:val="000000" w:themeColor="text1"/>
          <w:highlight w:val="none"/>
          <w14:textFill>
            <w14:solidFill>
              <w14:schemeClr w14:val="tx1"/>
            </w14:solidFill>
          </w14:textFill>
        </w:rPr>
        <w:t>（（给予/不给予）承包人创优奖励。发包人给予承包人创优奖励的，创优奖励金额或者计算方法：</w:t>
      </w:r>
      <w:r>
        <w:rPr>
          <w:rFonts w:hint="eastAsia" w:ascii="仿宋" w:hAnsi="仿宋" w:eastAsia="仿宋" w:cs="仿宋"/>
          <w:color w:val="000000" w:themeColor="text1"/>
          <w:kern w:val="0"/>
          <w:highlight w:val="none"/>
          <w:u w:val="single"/>
          <w14:textFill>
            <w14:solidFill>
              <w14:schemeClr w14:val="tx1"/>
            </w14:solidFill>
          </w14:textFill>
        </w:rPr>
        <w:t xml:space="preserve">  /  </w:t>
      </w:r>
    </w:p>
    <w:p>
      <w:pPr>
        <w:pStyle w:val="11"/>
        <w:tabs>
          <w:tab w:val="left" w:pos="567"/>
        </w:tabs>
        <w:spacing w:before="120" w:after="120"/>
        <w:rPr>
          <w:rFonts w:hint="eastAsia" w:ascii="仿宋" w:hAnsi="仿宋" w:eastAsia="仿宋" w:cs="仿宋"/>
          <w:color w:val="000000" w:themeColor="text1"/>
          <w:szCs w:val="24"/>
          <w:highlight w:val="none"/>
          <w14:textFill>
            <w14:solidFill>
              <w14:schemeClr w14:val="tx1"/>
            </w14:solidFill>
          </w14:textFill>
        </w:rPr>
      </w:pPr>
      <w:bookmarkStart w:id="435" w:name="_Toc16708057"/>
      <w:bookmarkStart w:id="436" w:name="_Toc16856477"/>
      <w:bookmarkStart w:id="437" w:name="_Toc10235673"/>
      <w:bookmarkStart w:id="438" w:name="_Toc16710449"/>
      <w:bookmarkStart w:id="439" w:name="_Toc16935576"/>
      <w:bookmarkStart w:id="440" w:name="_Toc16856342"/>
      <w:r>
        <w:rPr>
          <w:rFonts w:hint="eastAsia" w:ascii="仿宋" w:hAnsi="仿宋" w:eastAsia="仿宋" w:cs="仿宋"/>
          <w:color w:val="000000" w:themeColor="text1"/>
          <w:szCs w:val="24"/>
          <w:highlight w:val="none"/>
          <w14:textFill>
            <w14:solidFill>
              <w14:schemeClr w14:val="tx1"/>
            </w14:solidFill>
          </w14:textFill>
        </w:rPr>
        <w:t>9.7  特殊安全文明施工</w:t>
      </w:r>
      <w:bookmarkEnd w:id="435"/>
      <w:bookmarkEnd w:id="436"/>
      <w:bookmarkEnd w:id="437"/>
      <w:bookmarkEnd w:id="438"/>
      <w:bookmarkEnd w:id="439"/>
      <w:bookmarkEnd w:id="440"/>
    </w:p>
    <w:p>
      <w:pPr>
        <w:pStyle w:val="7"/>
        <w:tabs>
          <w:tab w:val="left" w:pos="1134"/>
        </w:tabs>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9.7.1 未达到合同约定的特殊安全文明施工要求的违约金或损失赔偿金的金额或者计算方法：</w:t>
      </w:r>
      <w:r>
        <w:rPr>
          <w:rFonts w:hint="eastAsia" w:ascii="仿宋" w:hAnsi="仿宋" w:eastAsia="仿宋" w:cs="仿宋"/>
          <w:color w:val="000000" w:themeColor="text1"/>
          <w:kern w:val="0"/>
          <w:highlight w:val="none"/>
          <w:u w:val="single"/>
          <w14:textFill>
            <w14:solidFill>
              <w14:schemeClr w14:val="tx1"/>
            </w14:solidFill>
          </w14:textFill>
        </w:rPr>
        <w:t xml:space="preserve">  /  </w:t>
      </w:r>
    </w:p>
    <w:p>
      <w:pPr>
        <w:pStyle w:val="7"/>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9.7.2 发包人</w:t>
      </w:r>
      <w:r>
        <w:rPr>
          <w:rFonts w:hint="eastAsia" w:ascii="仿宋" w:hAnsi="仿宋" w:eastAsia="仿宋" w:cs="仿宋"/>
          <w:color w:val="000000" w:themeColor="text1"/>
          <w:highlight w:val="none"/>
          <w:u w:val="single"/>
          <w14:textFill>
            <w14:solidFill>
              <w14:schemeClr w14:val="tx1"/>
            </w14:solidFill>
          </w14:textFill>
        </w:rPr>
        <w:t>不给予</w:t>
      </w:r>
      <w:r>
        <w:rPr>
          <w:rFonts w:hint="eastAsia" w:ascii="仿宋" w:hAnsi="仿宋" w:eastAsia="仿宋" w:cs="仿宋"/>
          <w:color w:val="000000" w:themeColor="text1"/>
          <w:highlight w:val="none"/>
          <w14:textFill>
            <w14:solidFill>
              <w14:schemeClr w14:val="tx1"/>
            </w14:solidFill>
          </w14:textFill>
        </w:rPr>
        <w:t>（给予/</w:t>
      </w:r>
      <w:bookmarkStart w:id="441" w:name="_Hlk34162045"/>
      <w:r>
        <w:rPr>
          <w:rFonts w:hint="eastAsia" w:ascii="仿宋" w:hAnsi="仿宋" w:eastAsia="仿宋" w:cs="仿宋"/>
          <w:color w:val="000000" w:themeColor="text1"/>
          <w:highlight w:val="none"/>
          <w14:textFill>
            <w14:solidFill>
              <w14:schemeClr w14:val="tx1"/>
            </w14:solidFill>
          </w14:textFill>
        </w:rPr>
        <w:t>不给予</w:t>
      </w:r>
      <w:bookmarkEnd w:id="441"/>
      <w:r>
        <w:rPr>
          <w:rFonts w:hint="eastAsia" w:ascii="仿宋" w:hAnsi="仿宋" w:eastAsia="仿宋" w:cs="仿宋"/>
          <w:color w:val="000000" w:themeColor="text1"/>
          <w:highlight w:val="none"/>
          <w14:textFill>
            <w14:solidFill>
              <w14:schemeClr w14:val="tx1"/>
            </w14:solidFill>
          </w14:textFill>
        </w:rPr>
        <w:t>）承包人创优奖励。发包人给予承包人创优奖励的，创优奖励金额或者计算方法：</w:t>
      </w:r>
      <w:r>
        <w:rPr>
          <w:rFonts w:hint="eastAsia" w:ascii="仿宋" w:hAnsi="仿宋" w:eastAsia="仿宋" w:cs="仿宋"/>
          <w:color w:val="000000" w:themeColor="text1"/>
          <w:kern w:val="0"/>
          <w:highlight w:val="none"/>
          <w:u w:val="single"/>
          <w14:textFill>
            <w14:solidFill>
              <w14:schemeClr w14:val="tx1"/>
            </w14:solidFill>
          </w14:textFill>
        </w:rPr>
        <w:t xml:space="preserve">  /  </w:t>
      </w:r>
      <w:bookmarkEnd w:id="434"/>
    </w:p>
    <w:p>
      <w:pPr>
        <w:keepNext/>
        <w:keepLines/>
        <w:spacing w:before="120" w:beforeLines="50" w:after="120" w:afterLines="50" w:line="360" w:lineRule="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442" w:name="_Toc16935577"/>
      <w:bookmarkStart w:id="443" w:name="_Toc10235674"/>
      <w:bookmarkStart w:id="444" w:name="_Toc16708058"/>
      <w:bookmarkStart w:id="445" w:name="_Toc16856343"/>
      <w:bookmarkStart w:id="446" w:name="_Toc497214074"/>
      <w:bookmarkStart w:id="447" w:name="_Toc16856478"/>
      <w:bookmarkStart w:id="448" w:name="_Toc497584065"/>
      <w:bookmarkStart w:id="449" w:name="_Toc490331696"/>
      <w:bookmarkStart w:id="450" w:name="_Toc16710450"/>
      <w:r>
        <w:rPr>
          <w:rFonts w:hint="eastAsia" w:ascii="仿宋" w:hAnsi="仿宋" w:eastAsia="仿宋" w:cs="仿宋"/>
          <w:color w:val="000000" w:themeColor="text1"/>
          <w:sz w:val="24"/>
          <w:szCs w:val="24"/>
          <w:highlight w:val="none"/>
          <w14:textFill>
            <w14:solidFill>
              <w14:schemeClr w14:val="tx1"/>
            </w14:solidFill>
          </w14:textFill>
        </w:rPr>
        <w:t>10.进度计划</w:t>
      </w:r>
      <w:bookmarkEnd w:id="425"/>
      <w:bookmarkEnd w:id="426"/>
      <w:bookmarkEnd w:id="427"/>
      <w:bookmarkEnd w:id="442"/>
      <w:bookmarkEnd w:id="443"/>
      <w:bookmarkEnd w:id="444"/>
      <w:bookmarkEnd w:id="445"/>
      <w:bookmarkEnd w:id="446"/>
      <w:bookmarkEnd w:id="447"/>
      <w:bookmarkEnd w:id="448"/>
      <w:bookmarkEnd w:id="449"/>
      <w:bookmarkEnd w:id="450"/>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451" w:name="_Toc497584066"/>
      <w:bookmarkStart w:id="452" w:name="_Toc490331697"/>
      <w:bookmarkStart w:id="453" w:name="_Toc16935578"/>
      <w:bookmarkStart w:id="454" w:name="_Toc16856479"/>
      <w:bookmarkStart w:id="455" w:name="_Toc485323180"/>
      <w:bookmarkStart w:id="456" w:name="_Toc16856344"/>
      <w:bookmarkStart w:id="457" w:name="_Toc489280212"/>
      <w:bookmarkStart w:id="458" w:name="_Toc16710451"/>
      <w:bookmarkStart w:id="459" w:name="_Toc497214075"/>
      <w:bookmarkStart w:id="460" w:name="_Toc486580406"/>
      <w:bookmarkStart w:id="461" w:name="_Toc16708059"/>
      <w:bookmarkStart w:id="462" w:name="_Toc10235675"/>
      <w:r>
        <w:rPr>
          <w:rFonts w:hint="eastAsia" w:ascii="仿宋" w:hAnsi="仿宋" w:eastAsia="仿宋" w:cs="仿宋"/>
          <w:color w:val="000000" w:themeColor="text1"/>
          <w:kern w:val="0"/>
          <w:sz w:val="24"/>
          <w:szCs w:val="24"/>
          <w:highlight w:val="none"/>
          <w14:textFill>
            <w14:solidFill>
              <w14:schemeClr w14:val="tx1"/>
            </w14:solidFill>
          </w14:textFill>
        </w:rPr>
        <w:t>10.1  合同进度计划</w:t>
      </w:r>
      <w:bookmarkEnd w:id="451"/>
      <w:bookmarkEnd w:id="452"/>
      <w:bookmarkEnd w:id="453"/>
      <w:bookmarkEnd w:id="454"/>
      <w:bookmarkEnd w:id="455"/>
      <w:bookmarkEnd w:id="456"/>
      <w:bookmarkEnd w:id="457"/>
      <w:bookmarkEnd w:id="458"/>
      <w:bookmarkEnd w:id="459"/>
      <w:bookmarkEnd w:id="460"/>
      <w:bookmarkEnd w:id="461"/>
      <w:bookmarkEnd w:id="462"/>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463" w:name="_Toc486580407"/>
      <w:bookmarkStart w:id="464" w:name="_Toc489280213"/>
      <w:bookmarkStart w:id="465" w:name="_Toc485323181"/>
      <w:r>
        <w:rPr>
          <w:rFonts w:hint="eastAsia" w:ascii="仿宋" w:hAnsi="仿宋" w:eastAsia="仿宋" w:cs="仿宋"/>
          <w:color w:val="000000" w:themeColor="text1"/>
          <w:sz w:val="24"/>
          <w:szCs w:val="24"/>
          <w:highlight w:val="none"/>
          <w14:textFill>
            <w14:solidFill>
              <w14:schemeClr w14:val="tx1"/>
            </w14:solidFill>
          </w14:textFill>
        </w:rPr>
        <w:t>10.1.1  承包人编制施工进度计划和施工方案说明的内容：</w:t>
      </w:r>
      <w:r>
        <w:rPr>
          <w:rFonts w:hint="eastAsia" w:ascii="仿宋" w:hAnsi="仿宋" w:eastAsia="仿宋" w:cs="仿宋"/>
          <w:color w:val="000000" w:themeColor="text1"/>
          <w:sz w:val="24"/>
          <w:szCs w:val="24"/>
          <w:highlight w:val="none"/>
          <w:u w:val="single"/>
          <w14:textFill>
            <w14:solidFill>
              <w14:schemeClr w14:val="tx1"/>
            </w14:solidFill>
          </w14:textFill>
        </w:rPr>
        <w:t>作为本工程的承包商，承包人提交的总进度计划应包含所有为实现本工程竣工验收应完成的全部工作内容，尤其是各专业分包人、各供应商的工作，承包人在编制总进度计划及组织施工时，必须为此类参建单位预留合理的工作周期及工作面_，施工进度计划中还应载明要求发包人组织设计人进行阶段性工程设计交底的时间。</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10.1.2  承包人编制分阶段或分项施工进度计划和施工方案说明的内容及时限要求：</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10.1.3  群体工程中有关编制进度计划和施工方案说明的要求：承包人编制的总进度计划必须在合同生效后7天内或发包人有要求时提供第一版。</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466" w:name="_Toc490331698"/>
      <w:bookmarkStart w:id="467" w:name="_Toc497214076"/>
      <w:bookmarkStart w:id="468" w:name="_Toc16710452"/>
      <w:bookmarkStart w:id="469" w:name="_Toc16935579"/>
      <w:bookmarkStart w:id="470" w:name="_Toc497584067"/>
      <w:bookmarkStart w:id="471" w:name="_Toc16708060"/>
      <w:bookmarkStart w:id="472" w:name="_Toc16856345"/>
      <w:bookmarkStart w:id="473" w:name="_Toc10235676"/>
      <w:bookmarkStart w:id="474" w:name="_Toc16856480"/>
      <w:r>
        <w:rPr>
          <w:rFonts w:hint="eastAsia" w:ascii="仿宋" w:hAnsi="仿宋" w:eastAsia="仿宋" w:cs="仿宋"/>
          <w:color w:val="000000" w:themeColor="text1"/>
          <w:kern w:val="0"/>
          <w:sz w:val="24"/>
          <w:szCs w:val="24"/>
          <w:highlight w:val="none"/>
          <w14:textFill>
            <w14:solidFill>
              <w14:schemeClr w14:val="tx1"/>
            </w14:solidFill>
          </w14:textFill>
        </w:rPr>
        <w:t>10.2  合同进度计划的修订</w:t>
      </w:r>
      <w:bookmarkEnd w:id="463"/>
      <w:bookmarkEnd w:id="464"/>
      <w:bookmarkEnd w:id="465"/>
      <w:bookmarkEnd w:id="466"/>
      <w:bookmarkEnd w:id="467"/>
      <w:bookmarkEnd w:id="468"/>
      <w:bookmarkEnd w:id="469"/>
      <w:bookmarkEnd w:id="470"/>
      <w:bookmarkEnd w:id="471"/>
      <w:bookmarkEnd w:id="472"/>
      <w:bookmarkEnd w:id="473"/>
      <w:bookmarkEnd w:id="474"/>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475" w:name="_Toc489280214"/>
      <w:bookmarkStart w:id="476" w:name="_Toc485323182"/>
      <w:bookmarkStart w:id="477" w:name="_Toc486580408"/>
      <w:r>
        <w:rPr>
          <w:rFonts w:hint="eastAsia" w:ascii="仿宋" w:hAnsi="仿宋" w:eastAsia="仿宋" w:cs="仿宋"/>
          <w:color w:val="000000" w:themeColor="text1"/>
          <w:kern w:val="0"/>
          <w:sz w:val="24"/>
          <w:szCs w:val="24"/>
          <w:highlight w:val="none"/>
          <w14:textFill>
            <w14:solidFill>
              <w14:schemeClr w14:val="tx1"/>
            </w14:solidFill>
          </w14:textFill>
        </w:rPr>
        <w:t xml:space="preserve">10.2.1  </w:t>
      </w:r>
      <w:r>
        <w:rPr>
          <w:rFonts w:hint="eastAsia" w:ascii="仿宋" w:hAnsi="仿宋" w:eastAsia="仿宋" w:cs="仿宋"/>
          <w:color w:val="000000" w:themeColor="text1"/>
          <w:sz w:val="24"/>
          <w:szCs w:val="24"/>
          <w:highlight w:val="none"/>
          <w:u w:val="single"/>
          <w14:textFill>
            <w14:solidFill>
              <w14:schemeClr w14:val="tx1"/>
            </w14:solidFill>
          </w14:textFill>
        </w:rPr>
        <w:t>承包人报送修订合同进度计划申请报告和相关资料的期限：签订合同后7天内</w:t>
      </w:r>
      <w:r>
        <w:rPr>
          <w:rFonts w:hint="eastAsia" w:ascii="仿宋" w:hAnsi="仿宋" w:eastAsia="仿宋" w:cs="仿宋"/>
          <w:color w:val="000000" w:themeColor="text1"/>
          <w:kern w:val="0"/>
          <w:sz w:val="24"/>
          <w:szCs w:val="24"/>
          <w:highlight w:val="none"/>
          <w14:textFill>
            <w14:solidFill>
              <w14:schemeClr w14:val="tx1"/>
            </w14:solidFill>
          </w14:textFill>
        </w:rPr>
        <w:t>监理人批复修订合同进度计划申请报告的期限</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7天</w:t>
      </w:r>
    </w:p>
    <w:p>
      <w:pPr>
        <w:spacing w:line="360" w:lineRule="auto"/>
        <w:ind w:left="420" w:left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10.2.2  监理人批复修订合同进度计划的期限</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7天</w:t>
      </w:r>
    </w:p>
    <w:p>
      <w:pPr>
        <w:keepNext/>
        <w:keepLines/>
        <w:spacing w:before="120" w:beforeLines="50" w:after="120" w:afterLines="50" w:line="360" w:lineRule="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478" w:name="_Toc497584068"/>
      <w:bookmarkStart w:id="479" w:name="_Toc16856346"/>
      <w:bookmarkStart w:id="480" w:name="_Toc16935580"/>
      <w:bookmarkStart w:id="481" w:name="_Toc16708061"/>
      <w:bookmarkStart w:id="482" w:name="_Toc16856481"/>
      <w:bookmarkStart w:id="483" w:name="_Toc490331699"/>
      <w:bookmarkStart w:id="484" w:name="_Toc16710453"/>
      <w:bookmarkStart w:id="485" w:name="_Toc10235677"/>
      <w:bookmarkStart w:id="486" w:name="_Toc497214077"/>
      <w:r>
        <w:rPr>
          <w:rFonts w:hint="eastAsia" w:ascii="仿宋" w:hAnsi="仿宋" w:eastAsia="仿宋" w:cs="仿宋"/>
          <w:color w:val="000000" w:themeColor="text1"/>
          <w:sz w:val="24"/>
          <w:szCs w:val="24"/>
          <w:highlight w:val="none"/>
          <w14:textFill>
            <w14:solidFill>
              <w14:schemeClr w14:val="tx1"/>
            </w14:solidFill>
          </w14:textFill>
        </w:rPr>
        <w:t>11.开工和竣工</w:t>
      </w:r>
      <w:bookmarkEnd w:id="475"/>
      <w:bookmarkEnd w:id="476"/>
      <w:bookmarkEnd w:id="477"/>
      <w:bookmarkEnd w:id="478"/>
      <w:bookmarkEnd w:id="479"/>
      <w:bookmarkEnd w:id="480"/>
      <w:bookmarkEnd w:id="481"/>
      <w:bookmarkEnd w:id="482"/>
      <w:bookmarkEnd w:id="483"/>
      <w:bookmarkEnd w:id="484"/>
      <w:bookmarkEnd w:id="485"/>
      <w:bookmarkEnd w:id="486"/>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487" w:name="_Toc486580409"/>
      <w:bookmarkStart w:id="488" w:name="_Toc497584069"/>
      <w:bookmarkStart w:id="489" w:name="_Toc490331700"/>
      <w:bookmarkStart w:id="490" w:name="_Toc16710454"/>
      <w:bookmarkStart w:id="491" w:name="_Toc16935581"/>
      <w:bookmarkStart w:id="492" w:name="_Toc497214078"/>
      <w:bookmarkStart w:id="493" w:name="_Toc16856482"/>
      <w:bookmarkStart w:id="494" w:name="_Toc16708062"/>
      <w:bookmarkStart w:id="495" w:name="_Toc485323183"/>
      <w:bookmarkStart w:id="496" w:name="_Toc16856347"/>
      <w:bookmarkStart w:id="497" w:name="_Toc10235678"/>
      <w:bookmarkStart w:id="498" w:name="_Toc489280215"/>
      <w:r>
        <w:rPr>
          <w:rFonts w:hint="eastAsia" w:ascii="仿宋" w:hAnsi="仿宋" w:eastAsia="仿宋" w:cs="仿宋"/>
          <w:color w:val="000000" w:themeColor="text1"/>
          <w:kern w:val="0"/>
          <w:sz w:val="24"/>
          <w:szCs w:val="24"/>
          <w:highlight w:val="none"/>
          <w14:textFill>
            <w14:solidFill>
              <w14:schemeClr w14:val="tx1"/>
            </w14:solidFill>
          </w14:textFill>
        </w:rPr>
        <w:t>11.3  发包人的工期延误</w:t>
      </w:r>
      <w:bookmarkEnd w:id="487"/>
      <w:bookmarkEnd w:id="488"/>
      <w:bookmarkEnd w:id="489"/>
      <w:bookmarkEnd w:id="490"/>
      <w:bookmarkEnd w:id="491"/>
      <w:bookmarkEnd w:id="492"/>
      <w:bookmarkEnd w:id="493"/>
      <w:bookmarkEnd w:id="494"/>
      <w:bookmarkEnd w:id="495"/>
      <w:bookmarkEnd w:id="496"/>
      <w:bookmarkEnd w:id="497"/>
      <w:bookmarkEnd w:id="498"/>
    </w:p>
    <w:p>
      <w:pPr>
        <w:wordWrap w:val="0"/>
        <w:spacing w:line="360" w:lineRule="auto"/>
        <w:ind w:left="420" w:leftChars="200"/>
        <w:rPr>
          <w:rFonts w:hint="eastAsia" w:ascii="仿宋" w:hAnsi="仿宋" w:eastAsia="仿宋" w:cs="仿宋"/>
          <w:color w:val="000000" w:themeColor="text1"/>
          <w:kern w:val="0"/>
          <w:sz w:val="24"/>
          <w:szCs w:val="24"/>
          <w:highlight w:val="none"/>
          <w14:textFill>
            <w14:solidFill>
              <w14:schemeClr w14:val="tx1"/>
            </w14:solidFill>
          </w14:textFill>
        </w:rPr>
      </w:pPr>
      <w:bookmarkStart w:id="499" w:name="_Toc489280216"/>
      <w:bookmarkStart w:id="500" w:name="_Toc486580410"/>
      <w:bookmarkStart w:id="501" w:name="_Toc485323184"/>
      <w:r>
        <w:rPr>
          <w:rFonts w:hint="eastAsia" w:ascii="仿宋" w:hAnsi="仿宋" w:eastAsia="仿宋" w:cs="仿宋"/>
          <w:color w:val="000000" w:themeColor="text1"/>
          <w:kern w:val="0"/>
          <w:sz w:val="24"/>
          <w:szCs w:val="24"/>
          <w:highlight w:val="none"/>
          <w14:textFill>
            <w14:solidFill>
              <w14:schemeClr w14:val="tx1"/>
            </w14:solidFill>
          </w14:textFill>
        </w:rPr>
        <w:t>（8）发包人造成工期延误的其他原因</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502" w:name="_Toc497584070"/>
      <w:bookmarkStart w:id="503" w:name="_Toc16856483"/>
      <w:bookmarkStart w:id="504" w:name="_Toc497214079"/>
      <w:bookmarkStart w:id="505" w:name="_Toc16708063"/>
      <w:bookmarkStart w:id="506" w:name="_Toc16710455"/>
      <w:bookmarkStart w:id="507" w:name="_Toc16856348"/>
      <w:bookmarkStart w:id="508" w:name="_Toc10235679"/>
      <w:bookmarkStart w:id="509" w:name="_Toc490331701"/>
      <w:bookmarkStart w:id="510" w:name="_Toc16935582"/>
      <w:r>
        <w:rPr>
          <w:rFonts w:hint="eastAsia" w:ascii="仿宋" w:hAnsi="仿宋" w:eastAsia="仿宋" w:cs="仿宋"/>
          <w:color w:val="000000" w:themeColor="text1"/>
          <w:kern w:val="0"/>
          <w:sz w:val="24"/>
          <w:szCs w:val="24"/>
          <w:highlight w:val="none"/>
          <w14:textFill>
            <w14:solidFill>
              <w14:schemeClr w14:val="tx1"/>
            </w14:solidFill>
          </w14:textFill>
        </w:rPr>
        <w:t>11.4  异常恶劣的气候条件</w:t>
      </w:r>
      <w:bookmarkEnd w:id="499"/>
      <w:bookmarkEnd w:id="500"/>
      <w:bookmarkEnd w:id="501"/>
      <w:bookmarkEnd w:id="502"/>
      <w:bookmarkEnd w:id="503"/>
      <w:bookmarkEnd w:id="504"/>
      <w:bookmarkEnd w:id="505"/>
      <w:bookmarkEnd w:id="506"/>
      <w:bookmarkEnd w:id="507"/>
      <w:bookmarkEnd w:id="508"/>
      <w:bookmarkEnd w:id="509"/>
      <w:bookmarkEnd w:id="510"/>
    </w:p>
    <w:p>
      <w:pPr>
        <w:wordWrap w:val="0"/>
        <w:spacing w:line="360" w:lineRule="auto"/>
        <w:ind w:left="420" w:leftChars="200"/>
        <w:rPr>
          <w:rFonts w:hint="default" w:ascii="仿宋" w:hAnsi="仿宋" w:eastAsia="仿宋" w:cs="仿宋"/>
          <w:color w:val="000000" w:themeColor="text1"/>
          <w:kern w:val="0"/>
          <w:sz w:val="24"/>
          <w:szCs w:val="24"/>
          <w:highlight w:val="none"/>
          <w:lang w:eastAsia="zh-Hans"/>
          <w14:textFill>
            <w14:solidFill>
              <w14:schemeClr w14:val="tx1"/>
            </w14:solidFill>
          </w14:textFill>
        </w:rPr>
      </w:pPr>
      <w:bookmarkStart w:id="511" w:name="_Toc489280217"/>
      <w:bookmarkStart w:id="512" w:name="_Toc486580411"/>
      <w:bookmarkStart w:id="513" w:name="_Toc485323185"/>
      <w:r>
        <w:rPr>
          <w:rFonts w:hint="eastAsia" w:ascii="仿宋" w:hAnsi="仿宋" w:eastAsia="仿宋" w:cs="仿宋"/>
          <w:color w:val="000000" w:themeColor="text1"/>
          <w:kern w:val="0"/>
          <w:sz w:val="24"/>
          <w:szCs w:val="24"/>
          <w:highlight w:val="none"/>
          <w14:textFill>
            <w14:solidFill>
              <w14:schemeClr w14:val="tx1"/>
            </w14:solidFill>
          </w14:textFill>
        </w:rPr>
        <w:t>异常恶劣的气候条件的范围和标准</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不可抗力，如果任何一方由于战争、严重火灾、水灾、台风和地震以及不可抗力的客观情况致使合同履行受阻时，履行合同的期限应予以延长，延长的期限应相当于事故所影响的时间，且受事故影响的一方应在不可抗力的事故发生后尽快通知另一方，并在事故发生后两周内，将有关部门出具的证明文件发给另一方。双方应通过友好协商在合理的时间内达成进一步履行合同的协议。</w:t>
      </w:r>
      <w:ins w:id="3" w:author=" 嘉观" w:date="2022-10-27T15:33:32Z">
        <w:r>
          <w:rPr>
            <w:rFonts w:hint="eastAsia" w:ascii="仿宋" w:hAnsi="仿宋" w:eastAsia="仿宋" w:cs="仿宋"/>
            <w:color w:val="000000" w:themeColor="text1"/>
            <w:sz w:val="24"/>
            <w:szCs w:val="24"/>
            <w:highlight w:val="none"/>
            <w:u w:val="single"/>
            <w:lang w:val="en-US" w:eastAsia="zh-Hans"/>
            <w14:textFill>
              <w14:solidFill>
                <w14:schemeClr w14:val="tx1"/>
              </w14:solidFill>
            </w14:textFill>
          </w:rPr>
          <w:t>一方</w:t>
        </w:r>
      </w:ins>
      <w:ins w:id="4" w:author=" 嘉观" w:date="2022-10-27T15:33:41Z">
        <w:r>
          <w:rPr>
            <w:rFonts w:hint="eastAsia" w:ascii="仿宋" w:hAnsi="仿宋" w:eastAsia="仿宋" w:cs="仿宋"/>
            <w:color w:val="000000" w:themeColor="text1"/>
            <w:sz w:val="24"/>
            <w:szCs w:val="24"/>
            <w:highlight w:val="none"/>
            <w:u w:val="single"/>
            <w:lang w:val="en-US" w:eastAsia="zh-Hans"/>
            <w14:textFill>
              <w14:solidFill>
                <w14:schemeClr w14:val="tx1"/>
              </w14:solidFill>
            </w14:textFill>
          </w:rPr>
          <w:t>延迟</w:t>
        </w:r>
      </w:ins>
      <w:ins w:id="5" w:author=" 嘉观" w:date="2022-10-27T15:33:44Z">
        <w:r>
          <w:rPr>
            <w:rFonts w:hint="eastAsia" w:ascii="仿宋" w:hAnsi="仿宋" w:eastAsia="仿宋" w:cs="仿宋"/>
            <w:color w:val="000000" w:themeColor="text1"/>
            <w:sz w:val="24"/>
            <w:szCs w:val="24"/>
            <w:highlight w:val="none"/>
            <w:u w:val="single"/>
            <w:lang w:val="en-US" w:eastAsia="zh-Hans"/>
            <w14:textFill>
              <w14:solidFill>
                <w14:schemeClr w14:val="tx1"/>
              </w14:solidFill>
            </w14:textFill>
          </w:rPr>
          <w:t>履行</w:t>
        </w:r>
      </w:ins>
      <w:ins w:id="6" w:author=" 嘉观" w:date="2022-10-27T15:33:45Z">
        <w:r>
          <w:rPr>
            <w:rFonts w:hint="eastAsia" w:ascii="仿宋" w:hAnsi="仿宋" w:eastAsia="仿宋" w:cs="仿宋"/>
            <w:color w:val="000000" w:themeColor="text1"/>
            <w:sz w:val="24"/>
            <w:szCs w:val="24"/>
            <w:highlight w:val="none"/>
            <w:u w:val="single"/>
            <w:lang w:val="en-US" w:eastAsia="zh-Hans"/>
            <w14:textFill>
              <w14:solidFill>
                <w14:schemeClr w14:val="tx1"/>
              </w14:solidFill>
            </w14:textFill>
          </w:rPr>
          <w:t>后</w:t>
        </w:r>
      </w:ins>
      <w:ins w:id="7" w:author=" 嘉观" w:date="2022-10-27T15:33:47Z">
        <w:r>
          <w:rPr>
            <w:rFonts w:hint="eastAsia" w:ascii="仿宋" w:hAnsi="仿宋" w:eastAsia="仿宋" w:cs="仿宋"/>
            <w:color w:val="000000" w:themeColor="text1"/>
            <w:sz w:val="24"/>
            <w:szCs w:val="24"/>
            <w:highlight w:val="none"/>
            <w:u w:val="single"/>
            <w:lang w:val="en-US" w:eastAsia="zh-Hans"/>
            <w14:textFill>
              <w14:solidFill>
                <w14:schemeClr w14:val="tx1"/>
              </w14:solidFill>
            </w14:textFill>
          </w:rPr>
          <w:t>发生</w:t>
        </w:r>
      </w:ins>
      <w:ins w:id="8" w:author=" 嘉观" w:date="2022-10-27T15:33:48Z">
        <w:r>
          <w:rPr>
            <w:rFonts w:hint="eastAsia" w:ascii="仿宋" w:hAnsi="仿宋" w:eastAsia="仿宋" w:cs="仿宋"/>
            <w:color w:val="000000" w:themeColor="text1"/>
            <w:sz w:val="24"/>
            <w:szCs w:val="24"/>
            <w:highlight w:val="none"/>
            <w:u w:val="single"/>
            <w:lang w:val="en-US" w:eastAsia="zh-Hans"/>
            <w14:textFill>
              <w14:solidFill>
                <w14:schemeClr w14:val="tx1"/>
              </w14:solidFill>
            </w14:textFill>
          </w:rPr>
          <w:t>不可</w:t>
        </w:r>
      </w:ins>
      <w:ins w:id="9" w:author=" 嘉观" w:date="2022-10-27T15:33:52Z">
        <w:r>
          <w:rPr>
            <w:rFonts w:hint="eastAsia" w:ascii="仿宋" w:hAnsi="仿宋" w:eastAsia="仿宋" w:cs="仿宋"/>
            <w:color w:val="000000" w:themeColor="text1"/>
            <w:sz w:val="24"/>
            <w:szCs w:val="24"/>
            <w:highlight w:val="none"/>
            <w:u w:val="single"/>
            <w:lang w:val="en-US" w:eastAsia="zh-Hans"/>
            <w14:textFill>
              <w14:solidFill>
                <w14:schemeClr w14:val="tx1"/>
              </w14:solidFill>
            </w14:textFill>
          </w:rPr>
          <w:t>抗力的</w:t>
        </w:r>
      </w:ins>
      <w:ins w:id="10" w:author=" 嘉观" w:date="2022-10-27T15:33:53Z">
        <w:r>
          <w:rPr>
            <w:rFonts w:hint="default" w:ascii="仿宋" w:hAnsi="仿宋" w:eastAsia="仿宋" w:cs="仿宋"/>
            <w:color w:val="000000" w:themeColor="text1"/>
            <w:sz w:val="24"/>
            <w:szCs w:val="24"/>
            <w:highlight w:val="none"/>
            <w:u w:val="single"/>
            <w:lang w:eastAsia="zh-Hans"/>
            <w14:textFill>
              <w14:solidFill>
                <w14:schemeClr w14:val="tx1"/>
              </w14:solidFill>
            </w14:textFill>
          </w:rPr>
          <w:t>，</w:t>
        </w:r>
      </w:ins>
      <w:ins w:id="11" w:author=" 嘉观" w:date="2022-10-27T15:33:54Z">
        <w:r>
          <w:rPr>
            <w:rFonts w:hint="eastAsia" w:ascii="仿宋" w:hAnsi="仿宋" w:eastAsia="仿宋" w:cs="仿宋"/>
            <w:color w:val="000000" w:themeColor="text1"/>
            <w:sz w:val="24"/>
            <w:szCs w:val="24"/>
            <w:highlight w:val="none"/>
            <w:u w:val="single"/>
            <w:lang w:val="en-US" w:eastAsia="zh-Hans"/>
            <w14:textFill>
              <w14:solidFill>
                <w14:schemeClr w14:val="tx1"/>
              </w14:solidFill>
            </w14:textFill>
          </w:rPr>
          <w:t>不能</w:t>
        </w:r>
      </w:ins>
      <w:ins w:id="12" w:author=" 嘉观" w:date="2022-10-27T15:33:55Z">
        <w:r>
          <w:rPr>
            <w:rFonts w:hint="eastAsia" w:ascii="仿宋" w:hAnsi="仿宋" w:eastAsia="仿宋" w:cs="仿宋"/>
            <w:color w:val="000000" w:themeColor="text1"/>
            <w:sz w:val="24"/>
            <w:szCs w:val="24"/>
            <w:highlight w:val="none"/>
            <w:u w:val="single"/>
            <w:lang w:val="en-US" w:eastAsia="zh-Hans"/>
            <w14:textFill>
              <w14:solidFill>
                <w14:schemeClr w14:val="tx1"/>
              </w14:solidFill>
            </w14:textFill>
          </w:rPr>
          <w:t>免除其</w:t>
        </w:r>
      </w:ins>
      <w:ins w:id="13" w:author=" 嘉观" w:date="2022-10-27T15:33:56Z">
        <w:r>
          <w:rPr>
            <w:rFonts w:hint="eastAsia" w:ascii="仿宋" w:hAnsi="仿宋" w:eastAsia="仿宋" w:cs="仿宋"/>
            <w:color w:val="000000" w:themeColor="text1"/>
            <w:sz w:val="24"/>
            <w:szCs w:val="24"/>
            <w:highlight w:val="none"/>
            <w:u w:val="single"/>
            <w:lang w:val="en-US" w:eastAsia="zh-Hans"/>
            <w14:textFill>
              <w14:solidFill>
                <w14:schemeClr w14:val="tx1"/>
              </w14:solidFill>
            </w14:textFill>
          </w:rPr>
          <w:t>责任</w:t>
        </w:r>
      </w:ins>
      <w:ins w:id="14" w:author=" 嘉观" w:date="2022-10-27T15:33:57Z">
        <w:r>
          <w:rPr>
            <w:rFonts w:hint="default" w:ascii="仿宋" w:hAnsi="仿宋" w:eastAsia="仿宋" w:cs="仿宋"/>
            <w:color w:val="000000" w:themeColor="text1"/>
            <w:sz w:val="24"/>
            <w:szCs w:val="24"/>
            <w:highlight w:val="none"/>
            <w:u w:val="single"/>
            <w:lang w:eastAsia="zh-Hans"/>
            <w14:textFill>
              <w14:solidFill>
                <w14:schemeClr w14:val="tx1"/>
              </w14:solidFill>
            </w14:textFill>
          </w:rPr>
          <w:t>。</w:t>
        </w:r>
      </w:ins>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514" w:name="_Toc497584071"/>
      <w:bookmarkStart w:id="515" w:name="_Toc490331702"/>
      <w:bookmarkStart w:id="516" w:name="_Toc497214080"/>
      <w:bookmarkStart w:id="517" w:name="_Toc16856349"/>
      <w:bookmarkStart w:id="518" w:name="_Toc16856484"/>
      <w:bookmarkStart w:id="519" w:name="_Toc16935583"/>
      <w:bookmarkStart w:id="520" w:name="_Toc16710456"/>
      <w:bookmarkStart w:id="521" w:name="_Toc16708064"/>
      <w:bookmarkStart w:id="522" w:name="_Toc10235680"/>
      <w:r>
        <w:rPr>
          <w:rFonts w:hint="eastAsia" w:ascii="仿宋" w:hAnsi="仿宋" w:eastAsia="仿宋" w:cs="仿宋"/>
          <w:color w:val="000000" w:themeColor="text1"/>
          <w:kern w:val="0"/>
          <w:sz w:val="24"/>
          <w:szCs w:val="24"/>
          <w:highlight w:val="none"/>
          <w14:textFill>
            <w14:solidFill>
              <w14:schemeClr w14:val="tx1"/>
            </w14:solidFill>
          </w14:textFill>
        </w:rPr>
        <w:t>11.5  承包人的工期延误</w:t>
      </w:r>
      <w:bookmarkEnd w:id="511"/>
      <w:bookmarkEnd w:id="512"/>
      <w:bookmarkEnd w:id="513"/>
      <w:bookmarkEnd w:id="514"/>
      <w:bookmarkEnd w:id="515"/>
      <w:bookmarkEnd w:id="516"/>
      <w:bookmarkEnd w:id="517"/>
      <w:bookmarkEnd w:id="518"/>
      <w:bookmarkEnd w:id="519"/>
      <w:bookmarkEnd w:id="520"/>
      <w:bookmarkEnd w:id="521"/>
      <w:bookmarkEnd w:id="522"/>
    </w:p>
    <w:p>
      <w:pPr>
        <w:wordWrap w:val="0"/>
        <w:spacing w:line="360" w:lineRule="auto"/>
        <w:ind w:left="420" w:leftChars="200"/>
        <w:rPr>
          <w:rFonts w:hint="eastAsia" w:ascii="仿宋" w:hAnsi="仿宋" w:eastAsia="仿宋" w:cs="仿宋"/>
          <w:color w:val="000000" w:themeColor="text1"/>
          <w:sz w:val="24"/>
          <w:szCs w:val="24"/>
          <w:highlight w:val="none"/>
          <w:u w:val="single"/>
          <w14:textFill>
            <w14:solidFill>
              <w14:schemeClr w14:val="tx1"/>
            </w14:solidFill>
          </w14:textFill>
        </w:rPr>
      </w:pPr>
      <w:bookmarkStart w:id="523" w:name="_Toc485323186"/>
      <w:bookmarkStart w:id="524" w:name="_Toc486580412"/>
      <w:bookmarkStart w:id="525" w:name="_Toc489280218"/>
      <w:r>
        <w:rPr>
          <w:rFonts w:hint="eastAsia" w:ascii="仿宋" w:hAnsi="仿宋" w:eastAsia="仿宋" w:cs="仿宋"/>
          <w:color w:val="000000" w:themeColor="text1"/>
          <w:sz w:val="24"/>
          <w:szCs w:val="24"/>
          <w:highlight w:val="none"/>
          <w14:textFill>
            <w14:solidFill>
              <w14:schemeClr w14:val="tx1"/>
            </w14:solidFill>
          </w14:textFill>
        </w:rPr>
        <w:t>11.5.2</w:t>
      </w:r>
      <w:r>
        <w:rPr>
          <w:rFonts w:hint="eastAsia" w:ascii="仿宋" w:hAnsi="仿宋" w:eastAsia="仿宋" w:cs="仿宋"/>
          <w:color w:val="000000" w:themeColor="text1"/>
          <w:kern w:val="0"/>
          <w:sz w:val="24"/>
          <w:szCs w:val="24"/>
          <w:highlight w:val="none"/>
          <w14:textFill>
            <w14:solidFill>
              <w14:schemeClr w14:val="tx1"/>
            </w14:solidFill>
          </w14:textFill>
        </w:rPr>
        <w:t xml:space="preserve">  逾期竣工违约金的计算标准和计算方法</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每延期一日，按签约合同价的万分之五计算。</w:t>
      </w:r>
    </w:p>
    <w:p>
      <w:pPr>
        <w:pStyle w:val="2"/>
        <w:rPr>
          <w:rFonts w:hint="eastAsia" w:ascii="仿宋" w:hAnsi="仿宋" w:eastAsia="仿宋" w:cs="仿宋"/>
          <w:highlight w:val="none"/>
          <w:lang w:val="en-US" w:eastAsia="zh-CN"/>
        </w:rPr>
      </w:pPr>
      <w:r>
        <w:rPr>
          <w:rFonts w:hint="eastAsia" w:ascii="仿宋" w:hAnsi="仿宋" w:eastAsia="仿宋" w:cs="仿宋"/>
          <w:color w:val="000000" w:themeColor="text1"/>
          <w:sz w:val="24"/>
          <w:szCs w:val="24"/>
          <w:highlight w:val="none"/>
          <w14:textFill>
            <w14:solidFill>
              <w14:schemeClr w14:val="tx1"/>
            </w14:solidFill>
          </w14:textFill>
        </w:rPr>
        <w:t>11.5.</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kern w:val="0"/>
          <w:sz w:val="24"/>
          <w:szCs w:val="24"/>
          <w:highlight w:val="none"/>
        </w:rPr>
        <w:t>逾期竣工违约</w:t>
      </w:r>
      <w:r>
        <w:rPr>
          <w:rFonts w:hint="eastAsia" w:ascii="仿宋" w:hAnsi="仿宋" w:eastAsia="仿宋" w:cs="仿宋"/>
          <w:kern w:val="0"/>
          <w:sz w:val="24"/>
          <w:szCs w:val="24"/>
          <w:highlight w:val="none"/>
          <w:lang w:val="en-US" w:eastAsia="zh-CN"/>
        </w:rPr>
        <w:t>金最高限额：最高不超过签约合同价的百分之三。</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526" w:name="_Toc497214081"/>
      <w:bookmarkStart w:id="527" w:name="_Toc16856350"/>
      <w:bookmarkStart w:id="528" w:name="_Toc10235681"/>
      <w:bookmarkStart w:id="529" w:name="_Toc16710457"/>
      <w:bookmarkStart w:id="530" w:name="_Toc490331703"/>
      <w:bookmarkStart w:id="531" w:name="_Toc16708065"/>
      <w:bookmarkStart w:id="532" w:name="_Toc16935584"/>
      <w:bookmarkStart w:id="533" w:name="_Toc16856485"/>
      <w:bookmarkStart w:id="534" w:name="_Toc497584072"/>
      <w:r>
        <w:rPr>
          <w:rFonts w:hint="eastAsia" w:ascii="仿宋" w:hAnsi="仿宋" w:eastAsia="仿宋" w:cs="仿宋"/>
          <w:color w:val="000000" w:themeColor="text1"/>
          <w:kern w:val="0"/>
          <w:sz w:val="24"/>
          <w:szCs w:val="24"/>
          <w:highlight w:val="none"/>
          <w14:textFill>
            <w14:solidFill>
              <w14:schemeClr w14:val="tx1"/>
            </w14:solidFill>
          </w14:textFill>
        </w:rPr>
        <w:t>11.6  工期提前</w:t>
      </w:r>
      <w:bookmarkEnd w:id="523"/>
      <w:bookmarkEnd w:id="524"/>
      <w:bookmarkEnd w:id="525"/>
      <w:bookmarkEnd w:id="526"/>
      <w:bookmarkEnd w:id="527"/>
      <w:bookmarkEnd w:id="528"/>
      <w:bookmarkEnd w:id="529"/>
      <w:bookmarkEnd w:id="530"/>
      <w:bookmarkEnd w:id="531"/>
      <w:bookmarkEnd w:id="532"/>
      <w:bookmarkEnd w:id="533"/>
      <w:bookmarkEnd w:id="534"/>
    </w:p>
    <w:p>
      <w:pPr>
        <w:wordWrap w:val="0"/>
        <w:spacing w:line="360" w:lineRule="auto"/>
        <w:ind w:left="420" w:leftChars="200"/>
        <w:rPr>
          <w:rFonts w:hint="eastAsia" w:ascii="仿宋" w:hAnsi="仿宋" w:eastAsia="仿宋" w:cs="仿宋"/>
          <w:color w:val="000000" w:themeColor="text1"/>
          <w:kern w:val="0"/>
          <w:sz w:val="24"/>
          <w:szCs w:val="24"/>
          <w:highlight w:val="none"/>
          <w14:textFill>
            <w14:solidFill>
              <w14:schemeClr w14:val="tx1"/>
            </w14:solidFill>
          </w14:textFill>
        </w:rPr>
      </w:pPr>
      <w:bookmarkStart w:id="535" w:name="_Toc489280219"/>
      <w:bookmarkStart w:id="536" w:name="_Toc486580413"/>
      <w:bookmarkStart w:id="537" w:name="_Toc485323187"/>
      <w:r>
        <w:rPr>
          <w:rFonts w:hint="eastAsia" w:ascii="仿宋" w:hAnsi="仿宋" w:eastAsia="仿宋" w:cs="仿宋"/>
          <w:color w:val="000000" w:themeColor="text1"/>
          <w:kern w:val="0"/>
          <w:sz w:val="24"/>
          <w:szCs w:val="24"/>
          <w:highlight w:val="none"/>
          <w14:textFill>
            <w14:solidFill>
              <w14:schemeClr w14:val="tx1"/>
            </w14:solidFill>
          </w14:textFill>
        </w:rPr>
        <w:t>提前竣工的奖励办法</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keepNext/>
        <w:keepLines/>
        <w:spacing w:before="120" w:beforeLines="50" w:after="120" w:afterLines="50" w:line="360" w:lineRule="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538" w:name="_Toc16935585"/>
      <w:bookmarkStart w:id="539" w:name="_Toc10235682"/>
      <w:bookmarkStart w:id="540" w:name="_Toc497214082"/>
      <w:bookmarkStart w:id="541" w:name="_Toc16856486"/>
      <w:bookmarkStart w:id="542" w:name="_Toc497584073"/>
      <w:bookmarkStart w:id="543" w:name="_Toc16710458"/>
      <w:bookmarkStart w:id="544" w:name="_Toc490331704"/>
      <w:bookmarkStart w:id="545" w:name="_Toc16856351"/>
      <w:bookmarkStart w:id="546" w:name="_Toc16708066"/>
      <w:r>
        <w:rPr>
          <w:rFonts w:hint="eastAsia" w:ascii="仿宋" w:hAnsi="仿宋" w:eastAsia="仿宋" w:cs="仿宋"/>
          <w:color w:val="000000" w:themeColor="text1"/>
          <w:sz w:val="24"/>
          <w:szCs w:val="24"/>
          <w:highlight w:val="none"/>
          <w14:textFill>
            <w14:solidFill>
              <w14:schemeClr w14:val="tx1"/>
            </w14:solidFill>
          </w14:textFill>
        </w:rPr>
        <w:t>12.暂停施工</w:t>
      </w:r>
      <w:bookmarkEnd w:id="535"/>
      <w:bookmarkEnd w:id="536"/>
      <w:bookmarkEnd w:id="537"/>
      <w:bookmarkEnd w:id="538"/>
      <w:bookmarkEnd w:id="539"/>
      <w:bookmarkEnd w:id="540"/>
      <w:bookmarkEnd w:id="541"/>
      <w:bookmarkEnd w:id="542"/>
      <w:bookmarkEnd w:id="543"/>
      <w:bookmarkEnd w:id="544"/>
      <w:bookmarkEnd w:id="545"/>
      <w:bookmarkEnd w:id="546"/>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547" w:name="_Toc497584074"/>
      <w:bookmarkStart w:id="548" w:name="_Toc486580414"/>
      <w:bookmarkStart w:id="549" w:name="_Toc10235683"/>
      <w:bookmarkStart w:id="550" w:name="_Toc16856352"/>
      <w:bookmarkStart w:id="551" w:name="_Toc16856487"/>
      <w:bookmarkStart w:id="552" w:name="_Toc16708067"/>
      <w:bookmarkStart w:id="553" w:name="_Toc497214083"/>
      <w:bookmarkStart w:id="554" w:name="_Toc16935586"/>
      <w:bookmarkStart w:id="555" w:name="_Toc490331705"/>
      <w:bookmarkStart w:id="556" w:name="_Toc16710459"/>
      <w:bookmarkStart w:id="557" w:name="_Toc489280220"/>
      <w:bookmarkStart w:id="558" w:name="_Toc485323188"/>
      <w:r>
        <w:rPr>
          <w:rFonts w:hint="eastAsia" w:ascii="仿宋" w:hAnsi="仿宋" w:eastAsia="仿宋" w:cs="仿宋"/>
          <w:color w:val="000000" w:themeColor="text1"/>
          <w:kern w:val="0"/>
          <w:sz w:val="24"/>
          <w:szCs w:val="24"/>
          <w:highlight w:val="none"/>
          <w14:textFill>
            <w14:solidFill>
              <w14:schemeClr w14:val="tx1"/>
            </w14:solidFill>
          </w14:textFill>
        </w:rPr>
        <w:t>12.1  承包人暂停施工的责任</w:t>
      </w:r>
      <w:bookmarkEnd w:id="547"/>
      <w:bookmarkEnd w:id="548"/>
      <w:bookmarkEnd w:id="549"/>
      <w:bookmarkEnd w:id="550"/>
      <w:bookmarkEnd w:id="551"/>
      <w:bookmarkEnd w:id="552"/>
      <w:bookmarkEnd w:id="553"/>
      <w:bookmarkEnd w:id="554"/>
      <w:bookmarkEnd w:id="555"/>
      <w:bookmarkEnd w:id="556"/>
      <w:bookmarkEnd w:id="557"/>
      <w:bookmarkEnd w:id="558"/>
    </w:p>
    <w:p>
      <w:pPr>
        <w:wordWrap w:val="0"/>
        <w:spacing w:line="360" w:lineRule="auto"/>
        <w:ind w:left="420" w:leftChars="200"/>
        <w:rPr>
          <w:rFonts w:hint="eastAsia" w:ascii="仿宋" w:hAnsi="仿宋" w:eastAsia="仿宋" w:cs="仿宋"/>
          <w:color w:val="000000" w:themeColor="text1"/>
          <w:kern w:val="0"/>
          <w:sz w:val="24"/>
          <w:szCs w:val="24"/>
          <w:highlight w:val="none"/>
          <w14:textFill>
            <w14:solidFill>
              <w14:schemeClr w14:val="tx1"/>
            </w14:solidFill>
          </w14:textFill>
        </w:rPr>
      </w:pPr>
      <w:bookmarkStart w:id="559" w:name="_Toc486580415"/>
      <w:bookmarkStart w:id="560" w:name="_Toc485323189"/>
      <w:bookmarkStart w:id="561" w:name="_Toc489280221"/>
      <w:r>
        <w:rPr>
          <w:rFonts w:hint="eastAsia" w:ascii="仿宋" w:hAnsi="仿宋" w:eastAsia="仿宋" w:cs="仿宋"/>
          <w:color w:val="000000" w:themeColor="text1"/>
          <w:kern w:val="0"/>
          <w:sz w:val="24"/>
          <w:szCs w:val="24"/>
          <w:highlight w:val="none"/>
          <w14:textFill>
            <w14:solidFill>
              <w14:schemeClr w14:val="tx1"/>
            </w14:solidFill>
          </w14:textFill>
        </w:rPr>
        <w:t>（4）承包人承担暂停施工责任的其他情形</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keepNext/>
        <w:keepLines/>
        <w:spacing w:before="120" w:beforeLines="50" w:after="120" w:afterLines="50" w:line="360" w:lineRule="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562" w:name="_Toc16708068"/>
      <w:bookmarkStart w:id="563" w:name="_Toc490331706"/>
      <w:bookmarkStart w:id="564" w:name="_Toc16710460"/>
      <w:bookmarkStart w:id="565" w:name="_Toc16856353"/>
      <w:bookmarkStart w:id="566" w:name="_Toc497584075"/>
      <w:bookmarkStart w:id="567" w:name="_Toc497214084"/>
      <w:bookmarkStart w:id="568" w:name="_Toc10235684"/>
      <w:bookmarkStart w:id="569" w:name="_Toc16856488"/>
      <w:bookmarkStart w:id="570" w:name="_Toc16935587"/>
      <w:r>
        <w:rPr>
          <w:rFonts w:hint="eastAsia" w:ascii="仿宋" w:hAnsi="仿宋" w:eastAsia="仿宋" w:cs="仿宋"/>
          <w:color w:val="000000" w:themeColor="text1"/>
          <w:sz w:val="24"/>
          <w:szCs w:val="24"/>
          <w:highlight w:val="none"/>
          <w14:textFill>
            <w14:solidFill>
              <w14:schemeClr w14:val="tx1"/>
            </w14:solidFill>
          </w14:textFill>
        </w:rPr>
        <w:t>13.工程质量</w:t>
      </w:r>
      <w:bookmarkEnd w:id="559"/>
      <w:bookmarkEnd w:id="560"/>
      <w:bookmarkEnd w:id="561"/>
      <w:bookmarkEnd w:id="562"/>
      <w:bookmarkEnd w:id="563"/>
      <w:bookmarkEnd w:id="564"/>
      <w:bookmarkEnd w:id="565"/>
      <w:bookmarkEnd w:id="566"/>
      <w:bookmarkEnd w:id="567"/>
      <w:bookmarkEnd w:id="568"/>
      <w:bookmarkEnd w:id="569"/>
      <w:bookmarkEnd w:id="570"/>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571" w:name="_Toc16856489"/>
      <w:bookmarkStart w:id="572" w:name="_Toc16935588"/>
      <w:bookmarkStart w:id="573" w:name="_Toc16856354"/>
      <w:bookmarkStart w:id="574" w:name="_Toc16710461"/>
      <w:bookmarkStart w:id="575" w:name="_Toc485323190"/>
      <w:bookmarkStart w:id="576" w:name="_Toc497214085"/>
      <w:bookmarkStart w:id="577" w:name="_Toc486580416"/>
      <w:bookmarkStart w:id="578" w:name="_Toc490331707"/>
      <w:bookmarkStart w:id="579" w:name="_Toc497584076"/>
      <w:bookmarkStart w:id="580" w:name="_Toc16708069"/>
      <w:bookmarkStart w:id="581" w:name="_Toc489280222"/>
      <w:bookmarkStart w:id="582" w:name="_Toc10235685"/>
      <w:r>
        <w:rPr>
          <w:rFonts w:hint="eastAsia" w:ascii="仿宋" w:hAnsi="仿宋" w:eastAsia="仿宋" w:cs="仿宋"/>
          <w:color w:val="000000" w:themeColor="text1"/>
          <w:kern w:val="0"/>
          <w:sz w:val="24"/>
          <w:szCs w:val="24"/>
          <w:highlight w:val="none"/>
          <w14:textFill>
            <w14:solidFill>
              <w14:schemeClr w14:val="tx1"/>
            </w14:solidFill>
          </w14:textFill>
        </w:rPr>
        <w:t>13.2  承包人的质量管理</w:t>
      </w:r>
      <w:bookmarkEnd w:id="571"/>
      <w:bookmarkEnd w:id="572"/>
      <w:bookmarkEnd w:id="573"/>
      <w:bookmarkEnd w:id="574"/>
      <w:bookmarkEnd w:id="575"/>
      <w:bookmarkEnd w:id="576"/>
      <w:bookmarkEnd w:id="577"/>
      <w:bookmarkEnd w:id="578"/>
      <w:bookmarkEnd w:id="579"/>
      <w:bookmarkEnd w:id="580"/>
      <w:bookmarkEnd w:id="581"/>
      <w:bookmarkEnd w:id="582"/>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13.2.1  承包人向监理人提交工程质量保证措施文件的期限：</w:t>
      </w:r>
      <w:r>
        <w:rPr>
          <w:rFonts w:hint="eastAsia" w:ascii="仿宋" w:hAnsi="仿宋" w:eastAsia="仿宋" w:cs="仿宋"/>
          <w:color w:val="000000" w:themeColor="text1"/>
          <w:sz w:val="24"/>
          <w:szCs w:val="24"/>
          <w:highlight w:val="none"/>
          <w:u w:val="single"/>
          <w14:textFill>
            <w14:solidFill>
              <w14:schemeClr w14:val="tx1"/>
            </w14:solidFill>
          </w14:textFill>
        </w:rPr>
        <w:t>签订合同后7天内</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监理人审批工程质量保证措施文件的期限：</w:t>
      </w:r>
      <w:r>
        <w:rPr>
          <w:rFonts w:hint="eastAsia" w:ascii="仿宋" w:hAnsi="仿宋" w:eastAsia="仿宋" w:cs="仿宋"/>
          <w:color w:val="000000" w:themeColor="text1"/>
          <w:sz w:val="24"/>
          <w:szCs w:val="24"/>
          <w:highlight w:val="none"/>
          <w:u w:val="single"/>
          <w14:textFill>
            <w14:solidFill>
              <w14:schemeClr w14:val="tx1"/>
            </w14:solidFill>
          </w14:textFill>
        </w:rPr>
        <w:t>7天</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583" w:name="_Toc16935589"/>
      <w:bookmarkStart w:id="584" w:name="_Toc16708070"/>
      <w:bookmarkStart w:id="585" w:name="_Toc16710462"/>
      <w:bookmarkStart w:id="586" w:name="_Toc16856490"/>
      <w:bookmarkStart w:id="587" w:name="_Toc10235686"/>
      <w:bookmarkStart w:id="588" w:name="_Toc489280223"/>
      <w:bookmarkStart w:id="589" w:name="_Toc485323191"/>
      <w:bookmarkStart w:id="590" w:name="_Toc497584077"/>
      <w:bookmarkStart w:id="591" w:name="_Toc486580417"/>
      <w:bookmarkStart w:id="592" w:name="_Toc16856355"/>
      <w:bookmarkStart w:id="593" w:name="_Toc490331708"/>
      <w:bookmarkStart w:id="594" w:name="_Toc497214086"/>
      <w:r>
        <w:rPr>
          <w:rFonts w:hint="eastAsia" w:ascii="仿宋" w:hAnsi="仿宋" w:eastAsia="仿宋" w:cs="仿宋"/>
          <w:color w:val="000000" w:themeColor="text1"/>
          <w:kern w:val="0"/>
          <w:sz w:val="24"/>
          <w:szCs w:val="24"/>
          <w:highlight w:val="none"/>
          <w14:textFill>
            <w14:solidFill>
              <w14:schemeClr w14:val="tx1"/>
            </w14:solidFill>
          </w14:textFill>
        </w:rPr>
        <w:t>13.3  承包人的质量检查</w:t>
      </w:r>
      <w:bookmarkEnd w:id="583"/>
      <w:bookmarkEnd w:id="584"/>
      <w:bookmarkEnd w:id="585"/>
      <w:bookmarkEnd w:id="586"/>
      <w:bookmarkEnd w:id="587"/>
      <w:bookmarkEnd w:id="588"/>
      <w:bookmarkEnd w:id="589"/>
      <w:bookmarkEnd w:id="590"/>
      <w:bookmarkEnd w:id="591"/>
      <w:bookmarkEnd w:id="592"/>
      <w:bookmarkEnd w:id="593"/>
      <w:bookmarkEnd w:id="594"/>
    </w:p>
    <w:p>
      <w:p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承包人向监理人报送工程质量报表的期限：</w:t>
      </w:r>
      <w:r>
        <w:rPr>
          <w:rFonts w:hint="eastAsia" w:ascii="仿宋" w:hAnsi="仿宋" w:eastAsia="仿宋" w:cs="仿宋"/>
          <w:color w:val="000000" w:themeColor="text1"/>
          <w:sz w:val="24"/>
          <w:szCs w:val="24"/>
          <w:highlight w:val="none"/>
          <w:u w:val="single"/>
          <w14:textFill>
            <w14:solidFill>
              <w14:schemeClr w14:val="tx1"/>
            </w14:solidFill>
          </w14:textFill>
        </w:rPr>
        <w:t>承包人应当在合同履行期间，在监理人主持的每周例会前一天按照监理人和发包人要求的格式和内容提交本周工程的进度报告与进度图片以及下周的进度计划，在每月的最后一天按前述要求提交当月详细的进度报告</w:t>
      </w:r>
      <w:r>
        <w:rPr>
          <w:rFonts w:hint="eastAsia" w:ascii="仿宋" w:hAnsi="仿宋" w:eastAsia="仿宋" w:cs="仿宋"/>
          <w:kern w:val="0"/>
          <w:sz w:val="24"/>
          <w:szCs w:val="24"/>
          <w:highlight w:val="none"/>
          <w:u w:val="single"/>
          <w:lang w:val="en-US" w:eastAsia="zh-CN"/>
        </w:rPr>
        <w:t>。</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承包人向监理人报送工程质量报表的要求：</w:t>
      </w:r>
      <w:r>
        <w:rPr>
          <w:rFonts w:hint="eastAsia" w:ascii="仿宋" w:hAnsi="仿宋" w:eastAsia="仿宋" w:cs="仿宋"/>
          <w:color w:val="000000" w:themeColor="text1"/>
          <w:sz w:val="24"/>
          <w:szCs w:val="24"/>
          <w:highlight w:val="none"/>
          <w:u w:val="single"/>
          <w14:textFill>
            <w14:solidFill>
              <w14:schemeClr w14:val="tx1"/>
            </w14:solidFill>
          </w14:textFill>
        </w:rPr>
        <w:t>进度报告（只包括本周进度计划及上周完成情况即可，需要文字说明加上横道图或网络计划的形式），需要有简要的文字说明，明确列出可量化具体的工期控制节点。</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监理人审查工程质量报表的期限：</w:t>
      </w:r>
      <w:r>
        <w:rPr>
          <w:rFonts w:hint="eastAsia" w:ascii="仿宋" w:hAnsi="仿宋" w:eastAsia="仿宋" w:cs="仿宋"/>
          <w:color w:val="000000" w:themeColor="text1"/>
          <w:sz w:val="24"/>
          <w:szCs w:val="24"/>
          <w:highlight w:val="none"/>
          <w:u w:val="single"/>
          <w14:textFill>
            <w14:solidFill>
              <w14:schemeClr w14:val="tx1"/>
            </w14:solidFill>
          </w14:textFill>
        </w:rPr>
        <w:t>7天</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595" w:name="_Toc16935590"/>
      <w:bookmarkStart w:id="596" w:name="_Toc16856491"/>
      <w:bookmarkStart w:id="597" w:name="_Toc489280224"/>
      <w:bookmarkStart w:id="598" w:name="_Toc497214087"/>
      <w:bookmarkStart w:id="599" w:name="_Toc486580418"/>
      <w:bookmarkStart w:id="600" w:name="_Toc490331709"/>
      <w:bookmarkStart w:id="601" w:name="_Toc16708071"/>
      <w:bookmarkStart w:id="602" w:name="_Toc485323192"/>
      <w:bookmarkStart w:id="603" w:name="_Toc497584078"/>
      <w:bookmarkStart w:id="604" w:name="_Toc16856356"/>
      <w:bookmarkStart w:id="605" w:name="_Toc10235687"/>
      <w:bookmarkStart w:id="606" w:name="_Toc16710463"/>
      <w:r>
        <w:rPr>
          <w:rFonts w:hint="eastAsia" w:ascii="仿宋" w:hAnsi="仿宋" w:eastAsia="仿宋" w:cs="仿宋"/>
          <w:color w:val="000000" w:themeColor="text1"/>
          <w:kern w:val="0"/>
          <w:sz w:val="24"/>
          <w:szCs w:val="24"/>
          <w:highlight w:val="none"/>
          <w14:textFill>
            <w14:solidFill>
              <w14:schemeClr w14:val="tx1"/>
            </w14:solidFill>
          </w14:textFill>
        </w:rPr>
        <w:t>13.4  监理人的质量检查</w:t>
      </w:r>
      <w:bookmarkEnd w:id="595"/>
      <w:bookmarkEnd w:id="596"/>
      <w:bookmarkEnd w:id="597"/>
      <w:bookmarkEnd w:id="598"/>
      <w:bookmarkEnd w:id="599"/>
      <w:bookmarkEnd w:id="600"/>
      <w:bookmarkEnd w:id="601"/>
      <w:bookmarkEnd w:id="602"/>
      <w:bookmarkEnd w:id="603"/>
      <w:bookmarkEnd w:id="604"/>
      <w:bookmarkEnd w:id="605"/>
      <w:bookmarkEnd w:id="606"/>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承包人应当为监理人的检查和检验提供方便，监理人可以进行察看和查阅施工原始记录的其他地方。</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607" w:name="_Toc489280225"/>
      <w:bookmarkStart w:id="608" w:name="_Toc16856492"/>
      <w:bookmarkStart w:id="609" w:name="_Toc485323193"/>
      <w:bookmarkStart w:id="610" w:name="_Toc490331710"/>
      <w:bookmarkStart w:id="611" w:name="_Toc486580419"/>
      <w:bookmarkStart w:id="612" w:name="_Toc497214088"/>
      <w:bookmarkStart w:id="613" w:name="_Toc16708072"/>
      <w:bookmarkStart w:id="614" w:name="_Toc16710464"/>
      <w:bookmarkStart w:id="615" w:name="_Toc10235688"/>
      <w:bookmarkStart w:id="616" w:name="_Toc16935591"/>
      <w:bookmarkStart w:id="617" w:name="_Toc497584079"/>
      <w:bookmarkStart w:id="618" w:name="_Toc16856357"/>
      <w:r>
        <w:rPr>
          <w:rFonts w:hint="eastAsia" w:ascii="仿宋" w:hAnsi="仿宋" w:eastAsia="仿宋" w:cs="仿宋"/>
          <w:color w:val="000000" w:themeColor="text1"/>
          <w:kern w:val="0"/>
          <w:sz w:val="24"/>
          <w:szCs w:val="24"/>
          <w:highlight w:val="none"/>
          <w14:textFill>
            <w14:solidFill>
              <w14:schemeClr w14:val="tx1"/>
            </w14:solidFill>
          </w14:textFill>
        </w:rPr>
        <w:t>13.5  工程隐蔽部位覆盖前的检查</w:t>
      </w:r>
      <w:bookmarkEnd w:id="607"/>
      <w:bookmarkEnd w:id="608"/>
      <w:bookmarkEnd w:id="609"/>
      <w:bookmarkEnd w:id="610"/>
      <w:bookmarkEnd w:id="611"/>
      <w:bookmarkEnd w:id="612"/>
      <w:bookmarkEnd w:id="613"/>
      <w:bookmarkEnd w:id="614"/>
      <w:bookmarkEnd w:id="615"/>
      <w:bookmarkEnd w:id="616"/>
      <w:bookmarkEnd w:id="617"/>
      <w:bookmarkEnd w:id="618"/>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13.5.1  监理人对工程隐蔽部位进行检查的期限：</w:t>
      </w:r>
      <w:r>
        <w:rPr>
          <w:rFonts w:hint="eastAsia" w:ascii="仿宋" w:hAnsi="仿宋" w:eastAsia="仿宋" w:cs="仿宋"/>
          <w:color w:val="000000" w:themeColor="text1"/>
          <w:sz w:val="24"/>
          <w:szCs w:val="24"/>
          <w:highlight w:val="none"/>
          <w:u w:val="single"/>
          <w14:textFill>
            <w14:solidFill>
              <w14:schemeClr w14:val="tx1"/>
            </w14:solidFill>
          </w14:textFill>
        </w:rPr>
        <w:t>收到承包人的检查通知12小时内</w:t>
      </w:r>
    </w:p>
    <w:p>
      <w:pPr>
        <w:keepNext/>
        <w:keepLines/>
        <w:spacing w:before="120" w:beforeLines="50" w:after="120" w:afterLines="50" w:line="360" w:lineRule="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619" w:name="_Toc497214089"/>
      <w:bookmarkStart w:id="620" w:name="_Toc489280226"/>
      <w:bookmarkStart w:id="621" w:name="_Toc16935592"/>
      <w:bookmarkStart w:id="622" w:name="_Toc16710465"/>
      <w:bookmarkStart w:id="623" w:name="_Toc16708073"/>
      <w:bookmarkStart w:id="624" w:name="_Toc16856493"/>
      <w:bookmarkStart w:id="625" w:name="_Toc490331711"/>
      <w:bookmarkStart w:id="626" w:name="_Toc485323194"/>
      <w:bookmarkStart w:id="627" w:name="_Toc16856358"/>
      <w:bookmarkStart w:id="628" w:name="_Toc486580420"/>
      <w:bookmarkStart w:id="629" w:name="_Toc10235689"/>
      <w:bookmarkStart w:id="630" w:name="_Toc497584080"/>
      <w:r>
        <w:rPr>
          <w:rFonts w:hint="eastAsia" w:ascii="仿宋" w:hAnsi="仿宋" w:eastAsia="仿宋" w:cs="仿宋"/>
          <w:color w:val="000000" w:themeColor="text1"/>
          <w:sz w:val="24"/>
          <w:szCs w:val="24"/>
          <w:highlight w:val="none"/>
          <w14:textFill>
            <w14:solidFill>
              <w14:schemeClr w14:val="tx1"/>
            </w14:solidFill>
          </w14:textFill>
        </w:rPr>
        <w:t>15.变更</w:t>
      </w:r>
      <w:bookmarkEnd w:id="619"/>
      <w:bookmarkEnd w:id="620"/>
      <w:bookmarkEnd w:id="621"/>
      <w:bookmarkEnd w:id="622"/>
      <w:bookmarkEnd w:id="623"/>
      <w:bookmarkEnd w:id="624"/>
      <w:bookmarkEnd w:id="625"/>
      <w:bookmarkEnd w:id="626"/>
      <w:bookmarkEnd w:id="627"/>
      <w:bookmarkEnd w:id="628"/>
      <w:bookmarkEnd w:id="629"/>
      <w:bookmarkEnd w:id="630"/>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631" w:name="_Toc16935593"/>
      <w:bookmarkStart w:id="632" w:name="_Toc497214090"/>
      <w:bookmarkStart w:id="633" w:name="_Toc10235690"/>
      <w:bookmarkStart w:id="634" w:name="_Toc486580421"/>
      <w:bookmarkStart w:id="635" w:name="_Toc16856494"/>
      <w:bookmarkStart w:id="636" w:name="_Toc16708074"/>
      <w:bookmarkStart w:id="637" w:name="_Toc489280227"/>
      <w:bookmarkStart w:id="638" w:name="_Toc16710466"/>
      <w:bookmarkStart w:id="639" w:name="_Toc490331712"/>
      <w:bookmarkStart w:id="640" w:name="_Toc485323195"/>
      <w:bookmarkStart w:id="641" w:name="_Toc16856359"/>
      <w:bookmarkStart w:id="642" w:name="_Toc497584081"/>
      <w:r>
        <w:rPr>
          <w:rFonts w:hint="eastAsia" w:ascii="仿宋" w:hAnsi="仿宋" w:eastAsia="仿宋" w:cs="仿宋"/>
          <w:color w:val="000000" w:themeColor="text1"/>
          <w:kern w:val="0"/>
          <w:sz w:val="24"/>
          <w:szCs w:val="24"/>
          <w:highlight w:val="none"/>
          <w14:textFill>
            <w14:solidFill>
              <w14:schemeClr w14:val="tx1"/>
            </w14:solidFill>
          </w14:textFill>
        </w:rPr>
        <w:t>15.1  变更的范围和内容</w:t>
      </w:r>
      <w:bookmarkEnd w:id="631"/>
      <w:bookmarkEnd w:id="632"/>
      <w:bookmarkEnd w:id="633"/>
      <w:bookmarkEnd w:id="634"/>
      <w:bookmarkEnd w:id="635"/>
      <w:bookmarkEnd w:id="636"/>
      <w:bookmarkEnd w:id="637"/>
      <w:bookmarkEnd w:id="638"/>
      <w:bookmarkEnd w:id="639"/>
      <w:bookmarkEnd w:id="640"/>
      <w:bookmarkEnd w:id="641"/>
      <w:bookmarkEnd w:id="642"/>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15.1.1在履行合同中发生以下情形之一，应按照本条规定进行变更。</w:t>
      </w:r>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（6）变更的其他情形：</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643" w:name="_Toc16708075"/>
      <w:bookmarkStart w:id="644" w:name="_Toc16935594"/>
      <w:bookmarkStart w:id="645" w:name="_Toc490331713"/>
      <w:bookmarkStart w:id="646" w:name="_Toc16856360"/>
      <w:bookmarkStart w:id="647" w:name="_Toc486580422"/>
      <w:bookmarkStart w:id="648" w:name="_Toc16856495"/>
      <w:bookmarkStart w:id="649" w:name="_Toc10235691"/>
      <w:bookmarkStart w:id="650" w:name="_Toc489280228"/>
      <w:bookmarkStart w:id="651" w:name="_Toc485323196"/>
      <w:bookmarkStart w:id="652" w:name="_Toc16710467"/>
      <w:bookmarkStart w:id="653" w:name="_Toc497214091"/>
      <w:bookmarkStart w:id="654" w:name="_Toc497584082"/>
      <w:r>
        <w:rPr>
          <w:rFonts w:hint="eastAsia" w:ascii="仿宋" w:hAnsi="仿宋" w:eastAsia="仿宋" w:cs="仿宋"/>
          <w:color w:val="000000" w:themeColor="text1"/>
          <w:kern w:val="0"/>
          <w:sz w:val="24"/>
          <w:szCs w:val="24"/>
          <w:highlight w:val="none"/>
          <w14:textFill>
            <w14:solidFill>
              <w14:schemeClr w14:val="tx1"/>
            </w14:solidFill>
          </w14:textFill>
        </w:rPr>
        <w:t>15.3  变更程序</w:t>
      </w:r>
      <w:bookmarkEnd w:id="643"/>
      <w:bookmarkEnd w:id="644"/>
      <w:bookmarkEnd w:id="645"/>
      <w:bookmarkEnd w:id="646"/>
      <w:bookmarkEnd w:id="647"/>
      <w:bookmarkEnd w:id="648"/>
      <w:bookmarkEnd w:id="649"/>
      <w:bookmarkEnd w:id="650"/>
      <w:bookmarkEnd w:id="651"/>
      <w:bookmarkEnd w:id="652"/>
      <w:bookmarkEnd w:id="653"/>
      <w:bookmarkEnd w:id="654"/>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15.3.2  变更估价</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（1）承包人提交变更报价书的期限：</w:t>
      </w:r>
      <w:r>
        <w:rPr>
          <w:rFonts w:hint="eastAsia" w:ascii="仿宋" w:hAnsi="仿宋" w:eastAsia="仿宋" w:cs="仿宋"/>
          <w:color w:val="000000" w:themeColor="text1"/>
          <w:sz w:val="24"/>
          <w:szCs w:val="24"/>
          <w:highlight w:val="none"/>
          <w:u w:val="single"/>
          <w14:textFill>
            <w14:solidFill>
              <w14:schemeClr w14:val="tx1"/>
            </w14:solidFill>
          </w14:textFill>
        </w:rPr>
        <w:t>承包人收到变更指示或变更意向书后的14天内。未及时提交变更报价书视为变更不涉及调价</w:t>
      </w:r>
      <w:r>
        <w:rPr>
          <w:rFonts w:hint="eastAsia" w:ascii="仿宋" w:hAnsi="仿宋" w:eastAsia="仿宋" w:cs="仿宋"/>
          <w:kern w:val="0"/>
          <w:sz w:val="24"/>
          <w:szCs w:val="24"/>
          <w:highlight w:val="none"/>
          <w:u w:val="single"/>
          <w:lang w:val="en-US" w:eastAsia="zh-CN"/>
        </w:rPr>
        <w:t>。</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（3）监理人商定或确定变更价格的期限：</w:t>
      </w:r>
      <w:r>
        <w:rPr>
          <w:rFonts w:hint="eastAsia" w:ascii="仿宋" w:hAnsi="仿宋" w:eastAsia="仿宋" w:cs="仿宋"/>
          <w:color w:val="000000" w:themeColor="text1"/>
          <w:sz w:val="24"/>
          <w:szCs w:val="24"/>
          <w:highlight w:val="none"/>
          <w:u w:val="single"/>
          <w14:textFill>
            <w14:solidFill>
              <w14:schemeClr w14:val="tx1"/>
            </w14:solidFill>
          </w14:textFill>
        </w:rPr>
        <w:t>14天内。监理人收到变更报价及时审核，并向发包人汇报经发包人同意后通知承包人</w:t>
      </w:r>
      <w:r>
        <w:rPr>
          <w:rFonts w:hint="eastAsia" w:ascii="仿宋" w:hAnsi="仿宋" w:eastAsia="仿宋" w:cs="仿宋"/>
          <w:kern w:val="0"/>
          <w:sz w:val="24"/>
          <w:szCs w:val="24"/>
          <w:highlight w:val="none"/>
          <w:u w:val="single"/>
          <w:lang w:val="en-US" w:eastAsia="zh-CN"/>
        </w:rPr>
        <w:t>。</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655" w:name="_Toc489280229"/>
      <w:bookmarkStart w:id="656" w:name="_Toc485323197"/>
      <w:bookmarkStart w:id="657" w:name="_Toc497214092"/>
      <w:bookmarkStart w:id="658" w:name="_Toc16856496"/>
      <w:bookmarkStart w:id="659" w:name="_Toc486580423"/>
      <w:bookmarkStart w:id="660" w:name="_Toc16708076"/>
      <w:bookmarkStart w:id="661" w:name="_Toc10235692"/>
      <w:bookmarkStart w:id="662" w:name="_Toc16856361"/>
      <w:bookmarkStart w:id="663" w:name="_Toc16935595"/>
      <w:bookmarkStart w:id="664" w:name="_Toc497584083"/>
      <w:bookmarkStart w:id="665" w:name="_Toc490331714"/>
      <w:bookmarkStart w:id="666" w:name="_Toc16710468"/>
      <w:r>
        <w:rPr>
          <w:rFonts w:hint="eastAsia" w:ascii="仿宋" w:hAnsi="仿宋" w:eastAsia="仿宋" w:cs="仿宋"/>
          <w:color w:val="000000" w:themeColor="text1"/>
          <w:kern w:val="0"/>
          <w:sz w:val="24"/>
          <w:szCs w:val="24"/>
          <w:highlight w:val="none"/>
          <w14:textFill>
            <w14:solidFill>
              <w14:schemeClr w14:val="tx1"/>
            </w14:solidFill>
          </w14:textFill>
        </w:rPr>
        <w:t>15.4  变更的估价原则</w:t>
      </w:r>
      <w:bookmarkEnd w:id="655"/>
      <w:bookmarkEnd w:id="656"/>
      <w:bookmarkEnd w:id="657"/>
      <w:bookmarkEnd w:id="658"/>
      <w:bookmarkEnd w:id="659"/>
      <w:bookmarkEnd w:id="660"/>
      <w:bookmarkEnd w:id="661"/>
      <w:bookmarkEnd w:id="662"/>
      <w:bookmarkEnd w:id="663"/>
      <w:bookmarkEnd w:id="664"/>
      <w:bookmarkEnd w:id="665"/>
      <w:bookmarkEnd w:id="666"/>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15.4.5  合同协议书约定采用单价合同形式时，因非承包人原因引起已标价工程量清单中列明的工程量发生增减，且单个子目工程量变化幅度在</w:t>
      </w:r>
      <w:r>
        <w:rPr>
          <w:rFonts w:hint="eastAsia" w:ascii="仿宋" w:hAnsi="仿宋" w:eastAsia="仿宋" w:cs="仿宋"/>
          <w:color w:val="000000" w:themeColor="text1"/>
          <w:sz w:val="24"/>
          <w:szCs w:val="24"/>
          <w:highlight w:val="none"/>
          <w:u w:val="single"/>
          <w14:textFill>
            <w14:solidFill>
              <w14:schemeClr w14:val="tx1"/>
            </w14:solidFill>
          </w14:textFill>
        </w:rPr>
        <w:t>15</w:t>
      </w:r>
      <w:r>
        <w:rPr>
          <w:rFonts w:hint="eastAsia" w:ascii="仿宋" w:hAnsi="仿宋" w:eastAsia="仿宋" w:cs="仿宋"/>
          <w:color w:val="000000" w:themeColor="text1"/>
          <w:sz w:val="24"/>
          <w:szCs w:val="24"/>
          <w:highlight w:val="none"/>
          <w14:textFill>
            <w14:solidFill>
              <w14:schemeClr w14:val="tx1"/>
            </w14:solidFill>
          </w14:textFill>
        </w:rPr>
        <w:t>%以内（含）时，应执行已标价工程量清单中列明的该子目的单价；单个子目工程量变化幅度</w:t>
      </w:r>
      <w:r>
        <w:rPr>
          <w:rFonts w:hint="eastAsia" w:ascii="仿宋" w:hAnsi="仿宋" w:eastAsia="仿宋" w:cs="仿宋"/>
          <w:color w:val="000000" w:themeColor="text1"/>
          <w:sz w:val="24"/>
          <w:szCs w:val="24"/>
          <w:highlight w:val="none"/>
          <w:u w:val="single"/>
          <w14:textFill>
            <w14:solidFill>
              <w14:schemeClr w14:val="tx1"/>
            </w14:solidFill>
          </w14:textFill>
        </w:rPr>
        <w:t>15%</w:t>
      </w:r>
      <w:r>
        <w:rPr>
          <w:rFonts w:hint="eastAsia" w:ascii="仿宋" w:hAnsi="仿宋" w:eastAsia="仿宋" w:cs="仿宋"/>
          <w:color w:val="000000" w:themeColor="text1"/>
          <w:sz w:val="24"/>
          <w:szCs w:val="24"/>
          <w:highlight w:val="none"/>
          <w14:textFill>
            <w14:solidFill>
              <w14:schemeClr w14:val="tx1"/>
            </w14:solidFill>
          </w14:textFill>
        </w:rPr>
        <w:t>以外（不含），且导致分部分项工程费总额变化幅度超过</w:t>
      </w:r>
      <w:r>
        <w:rPr>
          <w:rFonts w:hint="eastAsia" w:ascii="仿宋" w:hAnsi="仿宋" w:eastAsia="仿宋" w:cs="仿宋"/>
          <w:color w:val="000000" w:themeColor="text1"/>
          <w:sz w:val="24"/>
          <w:szCs w:val="24"/>
          <w:highlight w:val="none"/>
          <w:u w:val="single"/>
          <w14:textFill>
            <w14:solidFill>
              <w14:schemeClr w14:val="tx1"/>
            </w14:solidFill>
          </w14:textFill>
        </w:rPr>
        <w:t>0.1</w:t>
      </w:r>
      <w:r>
        <w:rPr>
          <w:rFonts w:hint="eastAsia" w:ascii="仿宋" w:hAnsi="仿宋" w:eastAsia="仿宋" w:cs="仿宋"/>
          <w:color w:val="000000" w:themeColor="text1"/>
          <w:sz w:val="24"/>
          <w:szCs w:val="24"/>
          <w:highlight w:val="none"/>
          <w14:textFill>
            <w14:solidFill>
              <w14:schemeClr w14:val="tx1"/>
            </w14:solidFill>
          </w14:textFill>
        </w:rPr>
        <w:t>%时，由承包人提出并由监理人按第3.5款商定或确定新的单价，该子目按修正后的新的单价计价。</w:t>
      </w:r>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15.4.6  因变更引起价格调整的其他处理方式：</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667" w:name="_Toc497214093"/>
      <w:bookmarkStart w:id="668" w:name="_Toc16856362"/>
      <w:bookmarkStart w:id="669" w:name="_Toc486580424"/>
      <w:bookmarkStart w:id="670" w:name="_Toc16710469"/>
      <w:bookmarkStart w:id="671" w:name="_Toc497584084"/>
      <w:bookmarkStart w:id="672" w:name="_Toc16856497"/>
      <w:bookmarkStart w:id="673" w:name="_Toc485323198"/>
      <w:bookmarkStart w:id="674" w:name="_Toc16708077"/>
      <w:bookmarkStart w:id="675" w:name="_Toc490331715"/>
      <w:bookmarkStart w:id="676" w:name="_Toc489280230"/>
      <w:bookmarkStart w:id="677" w:name="_Toc16935596"/>
      <w:bookmarkStart w:id="678" w:name="_Toc10235693"/>
      <w:r>
        <w:rPr>
          <w:rFonts w:hint="eastAsia" w:ascii="仿宋" w:hAnsi="仿宋" w:eastAsia="仿宋" w:cs="仿宋"/>
          <w:color w:val="000000" w:themeColor="text1"/>
          <w:kern w:val="0"/>
          <w:sz w:val="24"/>
          <w:szCs w:val="24"/>
          <w:highlight w:val="none"/>
          <w14:textFill>
            <w14:solidFill>
              <w14:schemeClr w14:val="tx1"/>
            </w14:solidFill>
          </w14:textFill>
        </w:rPr>
        <w:t>15.5  承包人的合理化建议</w:t>
      </w:r>
      <w:bookmarkEnd w:id="667"/>
      <w:bookmarkEnd w:id="668"/>
      <w:bookmarkEnd w:id="669"/>
      <w:bookmarkEnd w:id="670"/>
      <w:bookmarkEnd w:id="671"/>
      <w:bookmarkEnd w:id="672"/>
      <w:bookmarkEnd w:id="673"/>
      <w:bookmarkEnd w:id="674"/>
      <w:bookmarkEnd w:id="675"/>
      <w:bookmarkEnd w:id="676"/>
      <w:bookmarkEnd w:id="677"/>
      <w:bookmarkEnd w:id="678"/>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15.5.2  对承包人提出合理化建议的奖励方法：</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679" w:name="_Toc490331716"/>
      <w:bookmarkStart w:id="680" w:name="_Toc497214094"/>
      <w:bookmarkStart w:id="681" w:name="_Toc10235694"/>
      <w:bookmarkStart w:id="682" w:name="_Toc16935597"/>
      <w:bookmarkStart w:id="683" w:name="_Toc497584085"/>
      <w:bookmarkStart w:id="684" w:name="_Toc16708078"/>
      <w:bookmarkStart w:id="685" w:name="_Toc486580425"/>
      <w:bookmarkStart w:id="686" w:name="_Toc485323199"/>
      <w:bookmarkStart w:id="687" w:name="_Toc489280231"/>
      <w:bookmarkStart w:id="688" w:name="_Toc16856363"/>
      <w:bookmarkStart w:id="689" w:name="_Toc16856498"/>
      <w:bookmarkStart w:id="690" w:name="_Toc16710470"/>
      <w:r>
        <w:rPr>
          <w:rFonts w:hint="eastAsia" w:ascii="仿宋" w:hAnsi="仿宋" w:eastAsia="仿宋" w:cs="仿宋"/>
          <w:color w:val="000000" w:themeColor="text1"/>
          <w:kern w:val="0"/>
          <w:sz w:val="24"/>
          <w:szCs w:val="24"/>
          <w:highlight w:val="none"/>
          <w14:textFill>
            <w14:solidFill>
              <w14:schemeClr w14:val="tx1"/>
            </w14:solidFill>
          </w14:textFill>
        </w:rPr>
        <w:t>15.8  暂估价</w:t>
      </w:r>
      <w:bookmarkEnd w:id="679"/>
      <w:bookmarkEnd w:id="680"/>
      <w:bookmarkEnd w:id="681"/>
      <w:bookmarkEnd w:id="682"/>
      <w:bookmarkEnd w:id="683"/>
      <w:bookmarkEnd w:id="684"/>
      <w:bookmarkEnd w:id="685"/>
      <w:bookmarkEnd w:id="686"/>
      <w:bookmarkEnd w:id="687"/>
      <w:bookmarkEnd w:id="688"/>
      <w:bookmarkEnd w:id="689"/>
      <w:bookmarkEnd w:id="690"/>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15.8.1  按合同约定应当由发包人和承包人采用招标方式选择专项供应商或专业分包人的：</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（4）承包人报送招标计划期限：</w:t>
      </w:r>
      <w:r>
        <w:rPr>
          <w:rFonts w:hint="eastAsia" w:ascii="仿宋" w:hAnsi="仿宋" w:eastAsia="仿宋" w:cs="仿宋"/>
          <w:color w:val="000000" w:themeColor="text1"/>
          <w:sz w:val="24"/>
          <w:szCs w:val="24"/>
          <w:highlight w:val="none"/>
          <w:u w:val="single"/>
          <w14:textFill>
            <w14:solidFill>
              <w14:schemeClr w14:val="tx1"/>
            </w14:solidFill>
          </w14:textFill>
        </w:rPr>
        <w:t>7天</w:t>
      </w:r>
    </w:p>
    <w:p>
      <w:pPr>
        <w:spacing w:line="360" w:lineRule="auto"/>
        <w:ind w:firstLine="484" w:firstLineChars="20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发包人审批招标工作计划时限：</w:t>
      </w:r>
      <w:r>
        <w:rPr>
          <w:rFonts w:hint="eastAsia" w:ascii="仿宋" w:hAnsi="仿宋" w:eastAsia="仿宋" w:cs="仿宋"/>
          <w:color w:val="000000" w:themeColor="text1"/>
          <w:sz w:val="24"/>
          <w:szCs w:val="24"/>
          <w:highlight w:val="none"/>
          <w:u w:val="single"/>
          <w14:textFill>
            <w14:solidFill>
              <w14:schemeClr w14:val="tx1"/>
            </w14:solidFill>
          </w14:textFill>
        </w:rPr>
        <w:t>7天</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（5）承包人报送相关文件时限：</w:t>
      </w:r>
      <w:r>
        <w:rPr>
          <w:rFonts w:hint="eastAsia" w:ascii="仿宋" w:hAnsi="仿宋" w:eastAsia="仿宋" w:cs="仿宋"/>
          <w:color w:val="000000" w:themeColor="text1"/>
          <w:sz w:val="24"/>
          <w:szCs w:val="24"/>
          <w:highlight w:val="none"/>
          <w:u w:val="single"/>
          <w14:textFill>
            <w14:solidFill>
              <w14:schemeClr w14:val="tx1"/>
            </w14:solidFill>
          </w14:textFill>
        </w:rPr>
        <w:t>7天</w:t>
      </w:r>
    </w:p>
    <w:p>
      <w:pPr>
        <w:spacing w:line="360" w:lineRule="auto"/>
        <w:ind w:firstLine="484" w:firstLineChars="202"/>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发包人审批相关文件时限：</w:t>
      </w:r>
      <w:r>
        <w:rPr>
          <w:rFonts w:hint="eastAsia" w:ascii="仿宋" w:hAnsi="仿宋" w:eastAsia="仿宋" w:cs="仿宋"/>
          <w:color w:val="000000" w:themeColor="text1"/>
          <w:sz w:val="24"/>
          <w:szCs w:val="24"/>
          <w:highlight w:val="none"/>
          <w:u w:val="single"/>
          <w14:textFill>
            <w14:solidFill>
              <w14:schemeClr w14:val="tx1"/>
            </w14:solidFill>
          </w14:textFill>
        </w:rPr>
        <w:t>7天</w:t>
      </w:r>
    </w:p>
    <w:p>
      <w:pPr>
        <w:spacing w:line="360" w:lineRule="auto"/>
        <w:ind w:firstLine="484" w:firstLineChars="202"/>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kern w:val="0"/>
          <w:sz w:val="24"/>
          <w:szCs w:val="24"/>
          <w:highlight w:val="none"/>
          <w14:textFill>
            <w14:solidFill>
              <w14:schemeClr w14:val="tx1"/>
            </w14:solidFill>
          </w14:textFill>
        </w:rPr>
        <w:t>）承包人申报合同文件时限：</w:t>
      </w:r>
      <w:r>
        <w:rPr>
          <w:rFonts w:hint="eastAsia" w:ascii="仿宋" w:hAnsi="仿宋" w:eastAsia="仿宋" w:cs="仿宋"/>
          <w:color w:val="000000" w:themeColor="text1"/>
          <w:sz w:val="24"/>
          <w:szCs w:val="24"/>
          <w:highlight w:val="none"/>
          <w:u w:val="single"/>
          <w14:textFill>
            <w14:solidFill>
              <w14:schemeClr w14:val="tx1"/>
            </w14:solidFill>
          </w14:textFill>
        </w:rPr>
        <w:t>7天</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发包人审批合同文件时限：</w:t>
      </w:r>
      <w:r>
        <w:rPr>
          <w:rFonts w:hint="eastAsia" w:ascii="仿宋" w:hAnsi="仿宋" w:eastAsia="仿宋" w:cs="仿宋"/>
          <w:color w:val="000000" w:themeColor="text1"/>
          <w:sz w:val="24"/>
          <w:szCs w:val="24"/>
          <w:highlight w:val="none"/>
          <w:u w:val="single"/>
          <w14:textFill>
            <w14:solidFill>
              <w14:schemeClr w14:val="tx1"/>
            </w14:solidFill>
          </w14:textFill>
        </w:rPr>
        <w:t>7天</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承包人报送正式签订合同副本时限：</w:t>
      </w:r>
      <w:r>
        <w:rPr>
          <w:rFonts w:hint="eastAsia" w:ascii="仿宋" w:hAnsi="仿宋" w:eastAsia="仿宋" w:cs="仿宋"/>
          <w:color w:val="000000" w:themeColor="text1"/>
          <w:sz w:val="24"/>
          <w:szCs w:val="24"/>
          <w:highlight w:val="none"/>
          <w:u w:val="single"/>
          <w14:textFill>
            <w14:solidFill>
              <w14:schemeClr w14:val="tx1"/>
            </w14:solidFill>
          </w14:textFill>
        </w:rPr>
        <w:t>7天</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15.8.3  发包人在工程量清单中给定暂估价的专业工程不属于依法必须招标的范围或者未达到依法必须招标的规模标准的，其最终价格的估价人为：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z w:val="24"/>
          <w:szCs w:val="24"/>
          <w:highlight w:val="none"/>
          <w14:textFill>
            <w14:solidFill>
              <w14:schemeClr w14:val="tx1"/>
            </w14:solidFill>
          </w14:textFill>
        </w:rPr>
        <w:t>或者按照下列约定：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keepNext/>
        <w:keepLines/>
        <w:spacing w:before="120" w:beforeLines="50" w:after="120" w:afterLines="50" w:line="360" w:lineRule="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691" w:name="_Toc16856499"/>
      <w:bookmarkStart w:id="692" w:name="_Toc16710471"/>
      <w:bookmarkStart w:id="693" w:name="_Toc490331717"/>
      <w:bookmarkStart w:id="694" w:name="_Toc489280232"/>
      <w:bookmarkStart w:id="695" w:name="_Toc485323200"/>
      <w:bookmarkStart w:id="696" w:name="_Toc486580426"/>
      <w:bookmarkStart w:id="697" w:name="_Toc10235695"/>
      <w:bookmarkStart w:id="698" w:name="_Toc16708079"/>
      <w:bookmarkStart w:id="699" w:name="_Toc497214095"/>
      <w:bookmarkStart w:id="700" w:name="_Toc16935598"/>
      <w:bookmarkStart w:id="701" w:name="_Toc497584086"/>
      <w:bookmarkStart w:id="702" w:name="_Toc16856364"/>
      <w:r>
        <w:rPr>
          <w:rFonts w:hint="eastAsia" w:ascii="仿宋" w:hAnsi="仿宋" w:eastAsia="仿宋" w:cs="仿宋"/>
          <w:color w:val="000000" w:themeColor="text1"/>
          <w:sz w:val="24"/>
          <w:szCs w:val="24"/>
          <w:highlight w:val="none"/>
          <w14:textFill>
            <w14:solidFill>
              <w14:schemeClr w14:val="tx1"/>
            </w14:solidFill>
          </w14:textFill>
        </w:rPr>
        <w:t>16.价格调整</w:t>
      </w:r>
      <w:bookmarkEnd w:id="691"/>
      <w:bookmarkEnd w:id="692"/>
      <w:bookmarkEnd w:id="693"/>
      <w:bookmarkEnd w:id="694"/>
      <w:bookmarkEnd w:id="695"/>
      <w:bookmarkEnd w:id="696"/>
      <w:bookmarkEnd w:id="697"/>
      <w:bookmarkEnd w:id="698"/>
      <w:bookmarkEnd w:id="699"/>
      <w:bookmarkEnd w:id="700"/>
      <w:bookmarkEnd w:id="701"/>
      <w:bookmarkEnd w:id="702"/>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703" w:name="_Toc490331718"/>
      <w:bookmarkStart w:id="704" w:name="_Toc497214096"/>
      <w:bookmarkStart w:id="705" w:name="_Toc497584087"/>
      <w:bookmarkStart w:id="706" w:name="_Toc16708080"/>
      <w:bookmarkStart w:id="707" w:name="_Toc10235696"/>
      <w:bookmarkStart w:id="708" w:name="_Toc486580427"/>
      <w:bookmarkStart w:id="709" w:name="_Toc489280233"/>
      <w:bookmarkStart w:id="710" w:name="_Toc16710472"/>
      <w:bookmarkStart w:id="711" w:name="_Toc16856500"/>
      <w:bookmarkStart w:id="712" w:name="_Toc16856365"/>
      <w:bookmarkStart w:id="713" w:name="_Toc16935599"/>
      <w:bookmarkStart w:id="714" w:name="_Toc485323201"/>
      <w:r>
        <w:rPr>
          <w:rFonts w:hint="eastAsia" w:ascii="仿宋" w:hAnsi="仿宋" w:eastAsia="仿宋" w:cs="仿宋"/>
          <w:color w:val="000000" w:themeColor="text1"/>
          <w:kern w:val="0"/>
          <w:sz w:val="24"/>
          <w:szCs w:val="24"/>
          <w:highlight w:val="none"/>
          <w14:textFill>
            <w14:solidFill>
              <w14:schemeClr w14:val="tx1"/>
            </w14:solidFill>
          </w14:textFill>
        </w:rPr>
        <w:t>16.1  物价波动引起的价格调整</w:t>
      </w:r>
      <w:bookmarkEnd w:id="703"/>
      <w:bookmarkEnd w:id="704"/>
      <w:bookmarkEnd w:id="705"/>
      <w:bookmarkEnd w:id="706"/>
      <w:bookmarkEnd w:id="707"/>
      <w:bookmarkEnd w:id="708"/>
      <w:bookmarkEnd w:id="709"/>
      <w:bookmarkEnd w:id="710"/>
      <w:bookmarkEnd w:id="711"/>
      <w:bookmarkEnd w:id="712"/>
      <w:bookmarkEnd w:id="713"/>
      <w:bookmarkEnd w:id="714"/>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物价波动引起价格调整方法：</w:t>
      </w:r>
      <w:r>
        <w:rPr>
          <w:rFonts w:hint="eastAsia" w:ascii="仿宋" w:hAnsi="仿宋" w:eastAsia="仿宋" w:cs="仿宋"/>
          <w:color w:val="000000" w:themeColor="text1"/>
          <w:sz w:val="24"/>
          <w:szCs w:val="24"/>
          <w:highlight w:val="none"/>
          <w:u w:val="single"/>
          <w14:textFill>
            <w14:solidFill>
              <w14:schemeClr w14:val="tx1"/>
            </w14:solidFill>
          </w14:textFill>
        </w:rPr>
        <w:t>采用北京市造价信息调整价格差额法</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16.1.2  采用造价信息调整价格差额</w:t>
      </w:r>
    </w:p>
    <w:p>
      <w:pPr>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16.1.2.1  引起价格调整的物价波动风险范围及幅度</w:t>
      </w:r>
    </w:p>
    <w:p>
      <w:pPr>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引起价格调整的物价波动风险范围：</w:t>
      </w:r>
      <w:r>
        <w:rPr>
          <w:rFonts w:hint="eastAsia" w:ascii="仿宋" w:hAnsi="仿宋" w:eastAsia="仿宋" w:cs="仿宋"/>
          <w:color w:val="000000" w:themeColor="text1"/>
          <w:sz w:val="24"/>
          <w:szCs w:val="24"/>
          <w:highlight w:val="none"/>
          <w:u w:val="single"/>
          <w14:textFill>
            <w14:solidFill>
              <w14:schemeClr w14:val="tx1"/>
            </w14:solidFill>
          </w14:textFill>
        </w:rPr>
        <w:t>人工的价格波动</w:t>
      </w:r>
    </w:p>
    <w:p>
      <w:pPr>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引起价格调整的物价波动风险幅度：</w:t>
      </w:r>
      <w:r>
        <w:rPr>
          <w:rFonts w:hint="eastAsia" w:ascii="仿宋" w:hAnsi="仿宋" w:eastAsia="仿宋" w:cs="仿宋"/>
          <w:color w:val="000000" w:themeColor="text1"/>
          <w:sz w:val="24"/>
          <w:szCs w:val="24"/>
          <w:highlight w:val="none"/>
          <w:u w:val="single"/>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16.1.2.2   物价波动引起价格调整的风险幅度的计算方法</w:t>
      </w:r>
    </w:p>
    <w:p>
      <w:pPr>
        <w:spacing w:line="360" w:lineRule="auto"/>
        <w:ind w:firstLine="720" w:firstLineChars="300"/>
        <w:rPr>
          <w:rFonts w:hint="eastAsia" w:ascii="仿宋" w:hAnsi="仿宋" w:eastAsia="仿宋" w:cs="仿宋"/>
          <w:color w:val="000000" w:themeColor="text1"/>
          <w:sz w:val="24"/>
          <w:szCs w:val="24"/>
          <w:highlight w:val="yellow"/>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（1）投标报价基准期：202</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月。</w:t>
      </w:r>
    </w:p>
    <w:p>
      <w:pPr>
        <w:spacing w:line="360" w:lineRule="auto"/>
        <w:ind w:firstLine="720" w:firstLineChars="3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（2）《北京工程造价信息》市场价格信息中没有的，基准价的确定方法：</w:t>
      </w:r>
      <w:r>
        <w:rPr>
          <w:rFonts w:hint="eastAsia" w:ascii="仿宋" w:hAnsi="仿宋" w:eastAsia="仿宋" w:cs="仿宋"/>
          <w:color w:val="000000" w:themeColor="text1"/>
          <w:sz w:val="24"/>
          <w:szCs w:val="24"/>
          <w:highlight w:val="none"/>
          <w:u w:val="single"/>
          <w14:textFill>
            <w14:solidFill>
              <w14:schemeClr w14:val="tx1"/>
            </w14:solidFill>
          </w14:textFill>
        </w:rPr>
        <w:t>以发包人、承包人共同确认的市场价格为依据确定</w:t>
      </w:r>
    </w:p>
    <w:p>
      <w:pPr>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（3）合同施工期市场价格的确定方法：</w:t>
      </w:r>
      <w:r>
        <w:rPr>
          <w:rFonts w:hint="eastAsia" w:ascii="仿宋" w:hAnsi="仿宋" w:eastAsia="仿宋" w:cs="仿宋"/>
          <w:color w:val="000000" w:themeColor="text1"/>
          <w:sz w:val="24"/>
          <w:szCs w:val="24"/>
          <w:highlight w:val="none"/>
          <w:u w:val="single"/>
          <w14:textFill>
            <w14:solidFill>
              <w14:schemeClr w14:val="tx1"/>
            </w14:solidFill>
          </w14:textFill>
        </w:rPr>
        <w:t>施工期市场价应以发包人、承办人共同确认的价格为准。若发包人、承办人未能就施工期市场价格达成一致，可以参考施工期的造价信息价格。</w:t>
      </w:r>
    </w:p>
    <w:p>
      <w:pPr>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16.1.2.3  物价波动引起价格调整的方法</w:t>
      </w:r>
    </w:p>
    <w:p>
      <w:pPr>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（1）本工程单价调整方法采用</w:t>
      </w:r>
      <w:r>
        <w:rPr>
          <w:rFonts w:hint="eastAsia" w:ascii="仿宋" w:hAnsi="仿宋" w:eastAsia="仿宋" w:cs="仿宋"/>
          <w:color w:val="000000" w:themeColor="text1"/>
          <w:sz w:val="24"/>
          <w:szCs w:val="24"/>
          <w:highlight w:val="none"/>
          <w:u w:val="single"/>
          <w14:textFill>
            <w14:solidFill>
              <w14:schemeClr w14:val="tx1"/>
            </w14:solidFill>
          </w14:textFill>
        </w:rPr>
        <w:t>算数平均法</w:t>
      </w:r>
      <w:r>
        <w:rPr>
          <w:rFonts w:hint="eastAsia" w:ascii="仿宋" w:hAnsi="仿宋" w:eastAsia="仿宋" w:cs="仿宋"/>
          <w:color w:val="000000" w:themeColor="text1"/>
          <w:sz w:val="24"/>
          <w:szCs w:val="24"/>
          <w:highlight w:val="none"/>
          <w14:textFill>
            <w14:solidFill>
              <w14:schemeClr w14:val="tx1"/>
            </w14:solidFill>
          </w14:textFill>
        </w:rPr>
        <w:t>（加权平均法/算数平均法/其他计算方法）。</w:t>
      </w:r>
    </w:p>
    <w:p>
      <w:pPr>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采用加权平均法：</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采用算数平均法：</w:t>
      </w:r>
      <w:r>
        <w:rPr>
          <w:rFonts w:hint="eastAsia" w:ascii="仿宋" w:hAnsi="仿宋" w:eastAsia="仿宋" w:cs="仿宋"/>
          <w:color w:val="000000" w:themeColor="text1"/>
          <w:sz w:val="24"/>
          <w:szCs w:val="24"/>
          <w:highlight w:val="none"/>
          <w:u w:val="single"/>
          <w14:textFill>
            <w14:solidFill>
              <w14:schemeClr w14:val="tx1"/>
            </w14:solidFill>
          </w14:textFill>
        </w:rPr>
        <w:t>对人工调价原则如下：承包方按照发包方提供的工程量清单进行计价和报价，同时按照价差调整办法（A1-B1） /B1&gt;±6%以外的部分作为人工价差调整额度，±6%以内（</w:t>
      </w:r>
      <w:r>
        <w:rPr>
          <w:rFonts w:hint="eastAsia" w:ascii="仿宋" w:hAnsi="仿宋" w:eastAsia="仿宋" w:cs="仿宋"/>
          <w:color w:val="auto"/>
          <w:sz w:val="24"/>
          <w:szCs w:val="24"/>
          <w:highlight w:val="none"/>
          <w:u w:val="single"/>
        </w:rPr>
        <w:t>含）时不予调整：其中：“A1”代表北京工程造价信息材料的实施期人工价格算术平均值；“B2”代表202</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u w:val="single"/>
        </w:rPr>
        <w:t>月北京工程造价信息人工价格基准价。</w:t>
      </w:r>
    </w:p>
    <w:p>
      <w:pPr>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采用其他计算方法：</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spacing w:line="360" w:lineRule="auto"/>
        <w:ind w:firstLine="720" w:firstLineChars="3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16.1.2.4  其他约定：</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16.1.3  其他价格调整方法</w:t>
      </w:r>
    </w:p>
    <w:p>
      <w:pPr>
        <w:spacing w:line="360" w:lineRule="auto"/>
        <w:ind w:left="424" w:leftChars="20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因疫情造成的人工、建材价格上涨等成本由发承包按实际情况进行商定。</w:t>
      </w:r>
    </w:p>
    <w:p>
      <w:pPr>
        <w:keepNext/>
        <w:keepLines/>
        <w:spacing w:before="120" w:beforeLines="50" w:after="120" w:afterLines="50" w:line="360" w:lineRule="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715" w:name="_Toc489280234"/>
      <w:bookmarkStart w:id="716" w:name="_Toc16935600"/>
      <w:bookmarkStart w:id="717" w:name="_Toc10235697"/>
      <w:bookmarkStart w:id="718" w:name="_Toc16856501"/>
      <w:bookmarkStart w:id="719" w:name="_Toc16856366"/>
      <w:bookmarkStart w:id="720" w:name="_Toc497584088"/>
      <w:bookmarkStart w:id="721" w:name="_Toc486580428"/>
      <w:bookmarkStart w:id="722" w:name="_Toc497214097"/>
      <w:bookmarkStart w:id="723" w:name="_Toc16710473"/>
      <w:bookmarkStart w:id="724" w:name="_Toc16708081"/>
      <w:bookmarkStart w:id="725" w:name="_Toc485323202"/>
      <w:bookmarkStart w:id="726" w:name="_Toc490331719"/>
      <w:r>
        <w:rPr>
          <w:rFonts w:hint="eastAsia" w:ascii="仿宋" w:hAnsi="仿宋" w:eastAsia="仿宋" w:cs="仿宋"/>
          <w:color w:val="000000" w:themeColor="text1"/>
          <w:sz w:val="24"/>
          <w:szCs w:val="24"/>
          <w:highlight w:val="none"/>
          <w14:textFill>
            <w14:solidFill>
              <w14:schemeClr w14:val="tx1"/>
            </w14:solidFill>
          </w14:textFill>
        </w:rPr>
        <w:t>17.计量与支付</w:t>
      </w:r>
      <w:bookmarkEnd w:id="715"/>
      <w:bookmarkEnd w:id="716"/>
      <w:bookmarkEnd w:id="717"/>
      <w:bookmarkEnd w:id="718"/>
      <w:bookmarkEnd w:id="719"/>
      <w:bookmarkEnd w:id="720"/>
      <w:bookmarkEnd w:id="721"/>
      <w:bookmarkEnd w:id="722"/>
      <w:bookmarkEnd w:id="723"/>
      <w:bookmarkEnd w:id="724"/>
      <w:bookmarkEnd w:id="725"/>
      <w:bookmarkEnd w:id="726"/>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727" w:name="_Toc497584089"/>
      <w:bookmarkStart w:id="728" w:name="_Toc497214098"/>
      <w:bookmarkStart w:id="729" w:name="_Toc486580429"/>
      <w:bookmarkStart w:id="730" w:name="_Toc16856502"/>
      <w:bookmarkStart w:id="731" w:name="_Toc16710474"/>
      <w:bookmarkStart w:id="732" w:name="_Toc489280235"/>
      <w:bookmarkStart w:id="733" w:name="_Toc16856367"/>
      <w:bookmarkStart w:id="734" w:name="_Toc16708082"/>
      <w:bookmarkStart w:id="735" w:name="_Toc485323203"/>
      <w:bookmarkStart w:id="736" w:name="_Toc16935601"/>
      <w:bookmarkStart w:id="737" w:name="_Toc490331720"/>
      <w:bookmarkStart w:id="738" w:name="_Toc10235698"/>
      <w:r>
        <w:rPr>
          <w:rFonts w:hint="eastAsia" w:ascii="仿宋" w:hAnsi="仿宋" w:eastAsia="仿宋" w:cs="仿宋"/>
          <w:color w:val="000000" w:themeColor="text1"/>
          <w:kern w:val="0"/>
          <w:sz w:val="24"/>
          <w:szCs w:val="24"/>
          <w:highlight w:val="none"/>
          <w14:textFill>
            <w14:solidFill>
              <w14:schemeClr w14:val="tx1"/>
            </w14:solidFill>
          </w14:textFill>
        </w:rPr>
        <w:t>17.1  计量</w:t>
      </w:r>
      <w:bookmarkEnd w:id="727"/>
      <w:bookmarkEnd w:id="728"/>
      <w:bookmarkEnd w:id="729"/>
      <w:bookmarkEnd w:id="730"/>
      <w:bookmarkEnd w:id="731"/>
      <w:bookmarkEnd w:id="732"/>
      <w:bookmarkEnd w:id="733"/>
      <w:bookmarkEnd w:id="734"/>
      <w:bookmarkEnd w:id="735"/>
      <w:bookmarkEnd w:id="736"/>
      <w:bookmarkEnd w:id="737"/>
      <w:bookmarkEnd w:id="738"/>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17.1.3  计量周期</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（1）每月</w:t>
      </w:r>
      <w:r>
        <w:rPr>
          <w:rFonts w:hint="eastAsia" w:ascii="仿宋" w:hAnsi="仿宋" w:eastAsia="仿宋" w:cs="仿宋"/>
          <w:color w:val="000000" w:themeColor="text1"/>
          <w:sz w:val="24"/>
          <w:szCs w:val="24"/>
          <w:highlight w:val="none"/>
          <w:u w:val="single"/>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日为当月计量截止日期（不含当日）和下月计量起始日期（含当日）。</w:t>
      </w:r>
    </w:p>
    <w:p>
      <w:pPr>
        <w:spacing w:line="360" w:lineRule="auto"/>
        <w:ind w:left="105" w:leftChars="50"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（2）本合同</w:t>
      </w:r>
      <w:r>
        <w:rPr>
          <w:rFonts w:hint="eastAsia" w:ascii="仿宋" w:hAnsi="仿宋" w:eastAsia="仿宋" w:cs="仿宋"/>
          <w:color w:val="000000" w:themeColor="text1"/>
          <w:sz w:val="24"/>
          <w:szCs w:val="24"/>
          <w:highlight w:val="none"/>
          <w:u w:val="single"/>
          <w14:textFill>
            <w14:solidFill>
              <w14:schemeClr w14:val="tx1"/>
            </w14:solidFill>
          </w14:textFill>
        </w:rPr>
        <w:t>执行</w:t>
      </w:r>
      <w:r>
        <w:rPr>
          <w:rFonts w:hint="eastAsia" w:ascii="仿宋" w:hAnsi="仿宋" w:eastAsia="仿宋" w:cs="仿宋"/>
          <w:color w:val="000000" w:themeColor="text1"/>
          <w:sz w:val="24"/>
          <w:szCs w:val="24"/>
          <w:highlight w:val="none"/>
          <w14:textFill>
            <w14:solidFill>
              <w14:schemeClr w14:val="tx1"/>
            </w14:solidFill>
          </w14:textFill>
        </w:rPr>
        <w:t>（执行（采用固定单价合同形式时）/不执行（采用总价合同形式时））单价子目已完成工程量按月计量。</w:t>
      </w:r>
    </w:p>
    <w:p>
      <w:pPr>
        <w:spacing w:line="360" w:lineRule="auto"/>
        <w:ind w:left="105" w:leftChars="50"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（3）总价子目计量方式采用</w:t>
      </w:r>
      <w:r>
        <w:rPr>
          <w:rFonts w:hint="eastAsia" w:ascii="仿宋" w:hAnsi="仿宋" w:eastAsia="仿宋" w:cs="仿宋"/>
          <w:color w:val="000000" w:themeColor="text1"/>
          <w:sz w:val="24"/>
          <w:szCs w:val="24"/>
          <w:highlight w:val="none"/>
          <w:u w:val="single"/>
          <w14:textFill>
            <w14:solidFill>
              <w14:schemeClr w14:val="tx1"/>
            </w14:solidFill>
          </w14:textFill>
        </w:rPr>
        <w:t>按实际完成工程量计量</w:t>
      </w:r>
      <w:r>
        <w:rPr>
          <w:rFonts w:hint="eastAsia" w:ascii="仿宋" w:hAnsi="仿宋" w:eastAsia="仿宋" w:cs="仿宋"/>
          <w:color w:val="000000" w:themeColor="text1"/>
          <w:sz w:val="24"/>
          <w:szCs w:val="24"/>
          <w:highlight w:val="none"/>
          <w14:textFill>
            <w14:solidFill>
              <w14:schemeClr w14:val="tx1"/>
            </w14:solidFill>
          </w14:textFill>
        </w:rPr>
        <w:t>（支付分解报告/按实际完成工程量计量）。</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17.1.5  总价子目的计量（适用于采用支付分解报告）</w:t>
      </w:r>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（1）采用支付分解报告计量方式的，总价子目的价格调整方法：</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17.1.5  总价子目的计量（适用于采用按实际完成工程量计量）</w:t>
      </w:r>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（1）采用按实际完成工程量计量方式的，总价子目的价格调整方法：</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739" w:name="_Toc485323204"/>
      <w:bookmarkStart w:id="740" w:name="_Toc497214099"/>
      <w:bookmarkStart w:id="741" w:name="_Toc497584090"/>
      <w:bookmarkStart w:id="742" w:name="_Toc16856368"/>
      <w:bookmarkStart w:id="743" w:name="_Toc489280236"/>
      <w:bookmarkStart w:id="744" w:name="_Toc16935602"/>
      <w:bookmarkStart w:id="745" w:name="_Toc10235699"/>
      <w:bookmarkStart w:id="746" w:name="_Toc16856503"/>
      <w:bookmarkStart w:id="747" w:name="_Toc490331721"/>
      <w:bookmarkStart w:id="748" w:name="_Toc486580430"/>
      <w:bookmarkStart w:id="749" w:name="_Toc16710475"/>
      <w:bookmarkStart w:id="750" w:name="_Toc16708083"/>
      <w:r>
        <w:rPr>
          <w:rFonts w:hint="eastAsia" w:ascii="仿宋" w:hAnsi="仿宋" w:eastAsia="仿宋" w:cs="仿宋"/>
          <w:color w:val="000000" w:themeColor="text1"/>
          <w:kern w:val="0"/>
          <w:sz w:val="24"/>
          <w:szCs w:val="24"/>
          <w:highlight w:val="none"/>
          <w14:textFill>
            <w14:solidFill>
              <w14:schemeClr w14:val="tx1"/>
            </w14:solidFill>
          </w14:textFill>
        </w:rPr>
        <w:t>17.2  预付款</w:t>
      </w:r>
      <w:bookmarkEnd w:id="739"/>
      <w:bookmarkEnd w:id="740"/>
      <w:bookmarkEnd w:id="741"/>
      <w:bookmarkEnd w:id="742"/>
      <w:bookmarkEnd w:id="743"/>
      <w:bookmarkEnd w:id="744"/>
      <w:bookmarkEnd w:id="745"/>
      <w:bookmarkEnd w:id="746"/>
      <w:bookmarkEnd w:id="747"/>
      <w:bookmarkEnd w:id="748"/>
      <w:bookmarkEnd w:id="749"/>
      <w:bookmarkEnd w:id="750"/>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17.2.1  预付款</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（1）预付款额度</w:t>
      </w:r>
    </w:p>
    <w:p>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预付款额度：</w:t>
      </w:r>
      <w:r>
        <w:rPr>
          <w:rFonts w:hint="eastAsia" w:ascii="仿宋" w:hAnsi="仿宋" w:eastAsia="仿宋" w:cs="仿宋"/>
          <w:color w:val="auto"/>
          <w:sz w:val="24"/>
          <w:szCs w:val="24"/>
          <w:highlight w:val="none"/>
          <w:u w:val="single"/>
        </w:rPr>
        <w:t>签约合同价的50%</w:t>
      </w:r>
    </w:p>
    <w:p>
      <w:pPr>
        <w:spacing w:line="360" w:lineRule="auto"/>
        <w:ind w:firstLine="720" w:firstLineChars="300"/>
        <w:rPr>
          <w:rFonts w:hint="eastAsia" w:ascii="仿宋" w:hAnsi="仿宋" w:eastAsia="仿宋" w:cs="仿宋"/>
          <w:color w:val="000000" w:themeColor="text1"/>
          <w:sz w:val="24"/>
          <w:szCs w:val="24"/>
          <w:highlight w:val="none"/>
          <w:u w:val="single"/>
          <w14:textFill>
            <w14:solidFill>
              <w14:schemeClr w14:val="tx1"/>
            </w14:solidFill>
          </w14:textFill>
        </w:rPr>
      </w:pPr>
      <w:bookmarkStart w:id="751" w:name="_Hlk8723579"/>
      <w:r>
        <w:rPr>
          <w:rFonts w:hint="eastAsia" w:ascii="仿宋" w:hAnsi="仿宋" w:eastAsia="仿宋" w:cs="仿宋"/>
          <w:color w:val="auto"/>
          <w:sz w:val="24"/>
          <w:szCs w:val="24"/>
          <w:highlight w:val="none"/>
        </w:rPr>
        <w:t>其中：</w:t>
      </w:r>
      <w:r>
        <w:rPr>
          <w:rFonts w:hint="eastAsia" w:ascii="仿宋" w:hAnsi="仿宋" w:eastAsia="仿宋" w:cs="仿宋"/>
          <w:color w:val="auto"/>
          <w:sz w:val="24"/>
          <w:szCs w:val="24"/>
          <w:highlight w:val="none"/>
          <w:u w:val="single"/>
        </w:rPr>
        <w:t>在开工日期前7天内，发包人</w:t>
      </w:r>
      <w:r>
        <w:rPr>
          <w:rFonts w:hint="eastAsia" w:ascii="仿宋" w:hAnsi="仿宋" w:eastAsia="仿宋" w:cs="仿宋"/>
          <w:color w:val="000000" w:themeColor="text1"/>
          <w:sz w:val="24"/>
          <w:szCs w:val="24"/>
          <w:highlight w:val="none"/>
          <w:u w:val="single"/>
          <w14:textFill>
            <w14:solidFill>
              <w14:schemeClr w14:val="tx1"/>
            </w14:solidFill>
          </w14:textFill>
        </w:rPr>
        <w:t>应按合同载明的安全文明施工费签约合同价总额的100%预付</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（2）预付办法</w:t>
      </w:r>
    </w:p>
    <w:p>
      <w:pPr>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预付款预付办法：</w:t>
      </w:r>
      <w:r>
        <w:rPr>
          <w:rFonts w:hint="eastAsia" w:ascii="仿宋" w:hAnsi="仿宋" w:eastAsia="仿宋" w:cs="仿宋"/>
          <w:color w:val="000000" w:themeColor="text1"/>
          <w:sz w:val="24"/>
          <w:szCs w:val="24"/>
          <w:highlight w:val="none"/>
          <w:u w:val="single"/>
          <w14:textFill>
            <w14:solidFill>
              <w14:schemeClr w14:val="tx1"/>
            </w14:solidFill>
          </w14:textFill>
        </w:rPr>
        <w:t>满足合同约定支付条件的，在收到承包人提交的正式发票15日内，发包人一次性向承包人支付预付款。</w:t>
      </w:r>
    </w:p>
    <w:p>
      <w:pPr>
        <w:spacing w:line="360" w:lineRule="auto"/>
        <w:ind w:firstLine="720" w:firstLineChars="3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预付款的支付时间：</w:t>
      </w:r>
      <w:r>
        <w:rPr>
          <w:rFonts w:hint="eastAsia" w:ascii="仿宋" w:hAnsi="仿宋" w:eastAsia="仿宋" w:cs="仿宋"/>
          <w:color w:val="000000" w:themeColor="text1"/>
          <w:sz w:val="24"/>
          <w:szCs w:val="24"/>
          <w:highlight w:val="none"/>
          <w:u w:val="single"/>
          <w14:textFill>
            <w14:solidFill>
              <w14:schemeClr w14:val="tx1"/>
            </w14:solidFill>
          </w14:textFill>
        </w:rPr>
        <w:t>本合同签订后，不迟于预定开工日期前7天内</w:t>
      </w:r>
      <w:bookmarkEnd w:id="751"/>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17.2.2  预付款的扣回与还清</w:t>
      </w:r>
    </w:p>
    <w:p>
      <w:pPr>
        <w:spacing w:line="40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预付款的扣回办法：</w:t>
      </w:r>
      <w:r>
        <w:rPr>
          <w:rFonts w:hint="eastAsia" w:ascii="仿宋" w:hAnsi="仿宋" w:eastAsia="仿宋" w:cs="仿宋"/>
          <w:color w:val="000000" w:themeColor="text1"/>
          <w:sz w:val="24"/>
          <w:szCs w:val="24"/>
          <w:highlight w:val="none"/>
          <w:u w:val="single"/>
          <w14:textFill>
            <w14:solidFill>
              <w14:schemeClr w14:val="tx1"/>
            </w14:solidFill>
          </w14:textFill>
        </w:rPr>
        <w:t>/</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752" w:name="_Toc16935603"/>
      <w:bookmarkStart w:id="753" w:name="_Toc16856369"/>
      <w:bookmarkStart w:id="754" w:name="_Toc497214100"/>
      <w:bookmarkStart w:id="755" w:name="_Toc490331722"/>
      <w:bookmarkStart w:id="756" w:name="_Toc16708084"/>
      <w:bookmarkStart w:id="757" w:name="_Toc497584091"/>
      <w:bookmarkStart w:id="758" w:name="_Toc10235700"/>
      <w:bookmarkStart w:id="759" w:name="_Toc485323205"/>
      <w:bookmarkStart w:id="760" w:name="_Toc16856504"/>
      <w:bookmarkStart w:id="761" w:name="_Toc489280237"/>
      <w:bookmarkStart w:id="762" w:name="_Toc16710476"/>
      <w:bookmarkStart w:id="763" w:name="_Toc486580431"/>
      <w:r>
        <w:rPr>
          <w:rFonts w:hint="eastAsia" w:ascii="仿宋" w:hAnsi="仿宋" w:eastAsia="仿宋" w:cs="仿宋"/>
          <w:color w:val="000000" w:themeColor="text1"/>
          <w:kern w:val="0"/>
          <w:sz w:val="24"/>
          <w:szCs w:val="24"/>
          <w:highlight w:val="none"/>
          <w14:textFill>
            <w14:solidFill>
              <w14:schemeClr w14:val="tx1"/>
            </w14:solidFill>
          </w14:textFill>
        </w:rPr>
        <w:t>17.3  工程进度付款</w:t>
      </w:r>
      <w:bookmarkEnd w:id="752"/>
      <w:bookmarkEnd w:id="753"/>
      <w:bookmarkEnd w:id="754"/>
      <w:bookmarkEnd w:id="755"/>
      <w:bookmarkEnd w:id="756"/>
      <w:bookmarkEnd w:id="757"/>
      <w:bookmarkEnd w:id="758"/>
      <w:bookmarkEnd w:id="759"/>
      <w:bookmarkEnd w:id="760"/>
      <w:bookmarkEnd w:id="761"/>
      <w:bookmarkEnd w:id="762"/>
      <w:bookmarkEnd w:id="763"/>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17.3.1  进度付款申请单</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进度付款申请单的份数：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承包人报送监理人的进度付款申请单应包括下列内容：</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（1）根据合同应增加和（或）扣减的其他内容金额：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17.3.2  进度付款证书和支付时间</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（2）逾期付款违约金的计算标准：</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spacing w:line="360" w:lineRule="auto"/>
        <w:ind w:firstLine="648" w:firstLineChars="27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逾期付款违约金的计算方法：</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numPr>
          <w:ilvl w:val="0"/>
          <w:numId w:val="1"/>
        </w:numPr>
        <w:spacing w:line="360" w:lineRule="auto"/>
        <w:ind w:right="420" w:rightChars="200"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进度付款涉及政府性资金的支付方法：双方签订合同并收到承包人开具的发票后15日内支付合同金额的50%（其中含安全文明施工费的100%），工程竣工验收合格</w:t>
      </w:r>
      <w:r>
        <w:rPr>
          <w:rFonts w:hint="eastAsia" w:ascii="仿宋" w:hAnsi="仿宋" w:eastAsia="仿宋" w:cs="仿宋"/>
          <w:color w:val="auto"/>
          <w:sz w:val="24"/>
          <w:szCs w:val="24"/>
          <w:highlight w:val="none"/>
          <w:lang w:val="en-US" w:eastAsia="zh-CN"/>
        </w:rPr>
        <w:t>且工程结算审计后</w:t>
      </w:r>
      <w:r>
        <w:rPr>
          <w:rFonts w:hint="eastAsia" w:ascii="仿宋" w:hAnsi="仿宋" w:eastAsia="仿宋" w:cs="仿宋"/>
          <w:color w:val="auto"/>
          <w:sz w:val="24"/>
          <w:szCs w:val="24"/>
          <w:highlight w:val="none"/>
        </w:rPr>
        <w:t>收到承包人开具的发票后15日内发包人支付至工程款的</w:t>
      </w:r>
      <w:r>
        <w:rPr>
          <w:rFonts w:hint="eastAsia" w:ascii="仿宋" w:hAnsi="仿宋" w:eastAsia="仿宋" w:cs="仿宋"/>
          <w:color w:val="auto"/>
          <w:sz w:val="24"/>
          <w:szCs w:val="24"/>
          <w:highlight w:val="none"/>
          <w:lang w:val="en-US" w:eastAsia="zh-CN"/>
        </w:rPr>
        <w:t>97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剩余3%做为质保金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待本工程缺陷责任期（自竣工验收合格后 </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个月）届满且无质量问题</w:t>
      </w:r>
      <w:r>
        <w:rPr>
          <w:rFonts w:hint="eastAsia" w:ascii="仿宋" w:hAnsi="仿宋" w:eastAsia="仿宋" w:cs="仿宋"/>
          <w:color w:val="auto"/>
          <w:sz w:val="24"/>
          <w:szCs w:val="24"/>
          <w:highlight w:val="none"/>
          <w:lang w:val="en-US" w:eastAsia="zh-CN"/>
        </w:rPr>
        <w:t>后支付</w:t>
      </w:r>
      <w:r>
        <w:rPr>
          <w:rFonts w:hint="eastAsia" w:ascii="仿宋" w:hAnsi="仿宋" w:eastAsia="仿宋" w:cs="仿宋"/>
          <w:color w:val="auto"/>
          <w:sz w:val="24"/>
          <w:szCs w:val="24"/>
          <w:highlight w:val="none"/>
          <w:lang w:eastAsia="zh-CN"/>
        </w:rPr>
        <w:t>。</w:t>
      </w:r>
    </w:p>
    <w:p>
      <w:pPr>
        <w:keepNext/>
        <w:keepLines/>
        <w:spacing w:before="120" w:beforeLines="50" w:after="120" w:afterLines="50" w:line="360" w:lineRule="auto"/>
        <w:outlineLvl w:val="2"/>
        <w:rPr>
          <w:rFonts w:hint="eastAsia" w:ascii="仿宋" w:hAnsi="仿宋" w:eastAsia="仿宋" w:cs="仿宋"/>
          <w:color w:val="auto"/>
          <w:kern w:val="0"/>
          <w:sz w:val="24"/>
          <w:szCs w:val="24"/>
          <w:highlight w:val="none"/>
        </w:rPr>
      </w:pPr>
      <w:bookmarkStart w:id="764" w:name="_Toc16710477"/>
      <w:bookmarkStart w:id="765" w:name="_Toc486580432"/>
      <w:bookmarkStart w:id="766" w:name="_Toc16935604"/>
      <w:bookmarkStart w:id="767" w:name="_Toc10235701"/>
      <w:bookmarkStart w:id="768" w:name="_Toc497214101"/>
      <w:bookmarkStart w:id="769" w:name="_Toc490331723"/>
      <w:bookmarkStart w:id="770" w:name="_Toc16708085"/>
      <w:bookmarkStart w:id="771" w:name="_Toc16856505"/>
      <w:bookmarkStart w:id="772" w:name="_Toc485323206"/>
      <w:bookmarkStart w:id="773" w:name="_Toc16856370"/>
      <w:bookmarkStart w:id="774" w:name="_Toc489280238"/>
      <w:bookmarkStart w:id="775" w:name="_Toc497584092"/>
      <w:r>
        <w:rPr>
          <w:rFonts w:hint="eastAsia" w:ascii="仿宋" w:hAnsi="仿宋" w:eastAsia="仿宋" w:cs="仿宋"/>
          <w:color w:val="auto"/>
          <w:kern w:val="0"/>
          <w:sz w:val="24"/>
          <w:szCs w:val="24"/>
          <w:highlight w:val="none"/>
        </w:rPr>
        <w:t>17.4  质量保证金</w:t>
      </w:r>
      <w:bookmarkEnd w:id="764"/>
      <w:bookmarkEnd w:id="765"/>
      <w:bookmarkEnd w:id="766"/>
      <w:bookmarkEnd w:id="767"/>
      <w:bookmarkEnd w:id="768"/>
      <w:bookmarkEnd w:id="769"/>
      <w:bookmarkEnd w:id="770"/>
      <w:bookmarkEnd w:id="771"/>
      <w:bookmarkEnd w:id="772"/>
      <w:bookmarkEnd w:id="773"/>
      <w:bookmarkEnd w:id="774"/>
      <w:bookmarkEnd w:id="775"/>
    </w:p>
    <w:p>
      <w:pPr>
        <w:spacing w:line="360" w:lineRule="auto"/>
        <w:ind w:firstLine="480" w:firstLineChars="200"/>
        <w:rPr>
          <w:rFonts w:hint="eastAsia" w:ascii="仿宋" w:hAnsi="仿宋" w:eastAsia="仿宋" w:cs="仿宋"/>
          <w:color w:val="auto"/>
          <w:sz w:val="24"/>
          <w:szCs w:val="24"/>
          <w:highlight w:val="none"/>
        </w:rPr>
      </w:pPr>
      <w:bookmarkStart w:id="776" w:name="_Toc485323207"/>
      <w:bookmarkStart w:id="777" w:name="_Toc490331724"/>
      <w:bookmarkStart w:id="778" w:name="_Toc489280239"/>
      <w:bookmarkStart w:id="779" w:name="_Toc486580433"/>
      <w:r>
        <w:rPr>
          <w:rFonts w:hint="eastAsia" w:ascii="仿宋" w:hAnsi="仿宋" w:eastAsia="仿宋" w:cs="仿宋"/>
          <w:color w:val="auto"/>
          <w:sz w:val="24"/>
          <w:szCs w:val="24"/>
          <w:highlight w:val="none"/>
        </w:rPr>
        <w:t>17.4.1  质量保证金处理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（3）质量保证金形式：</w:t>
      </w:r>
      <w:r>
        <w:rPr>
          <w:rFonts w:hint="eastAsia" w:ascii="仿宋" w:hAnsi="仿宋" w:eastAsia="仿宋" w:cs="仿宋"/>
          <w:color w:val="auto"/>
          <w:sz w:val="24"/>
          <w:szCs w:val="24"/>
          <w:highlight w:val="none"/>
          <w:u w:val="single"/>
        </w:rPr>
        <w:t>采用扣留质量保证金</w:t>
      </w:r>
      <w:r>
        <w:rPr>
          <w:rFonts w:hint="eastAsia" w:ascii="仿宋" w:hAnsi="仿宋" w:eastAsia="仿宋" w:cs="仿宋"/>
          <w:color w:val="auto"/>
          <w:sz w:val="24"/>
          <w:szCs w:val="24"/>
          <w:highlight w:val="none"/>
        </w:rPr>
        <w:t>（采用银行保函担保或其他保函担保形式╱采用扣留质量保证金）。</w:t>
      </w:r>
    </w:p>
    <w:p>
      <w:pPr>
        <w:spacing w:line="360" w:lineRule="auto"/>
        <w:ind w:firstLine="1080" w:firstLineChars="4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质量保证金约定比例：</w:t>
      </w:r>
      <w:r>
        <w:rPr>
          <w:rFonts w:hint="eastAsia" w:ascii="仿宋" w:hAnsi="仿宋" w:eastAsia="仿宋" w:cs="仿宋"/>
          <w:color w:val="auto"/>
          <w:sz w:val="24"/>
          <w:szCs w:val="24"/>
          <w:highlight w:val="none"/>
          <w:u w:val="single"/>
        </w:rPr>
        <w:t>3</w:t>
      </w:r>
      <w:r>
        <w:rPr>
          <w:rFonts w:hint="eastAsia" w:ascii="仿宋" w:hAnsi="仿宋" w:eastAsia="仿宋" w:cs="仿宋"/>
          <w:color w:val="auto"/>
          <w:sz w:val="24"/>
          <w:szCs w:val="24"/>
          <w:highlight w:val="none"/>
        </w:rPr>
        <w:t xml:space="preserve"> %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待本工程缺陷责任期（自竣工验收合格后 </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个月）届满且无质量问题</w:t>
      </w:r>
      <w:r>
        <w:rPr>
          <w:rFonts w:hint="eastAsia" w:ascii="仿宋" w:hAnsi="仿宋" w:eastAsia="仿宋" w:cs="仿宋"/>
          <w:color w:val="auto"/>
          <w:sz w:val="24"/>
          <w:szCs w:val="24"/>
          <w:highlight w:val="none"/>
          <w:lang w:eastAsia="zh-CN"/>
        </w:rPr>
        <w:t>。</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780" w:name="_Toc10235702"/>
      <w:bookmarkStart w:id="781" w:name="_Toc16708086"/>
      <w:bookmarkStart w:id="782" w:name="_Toc16856371"/>
      <w:bookmarkStart w:id="783" w:name="_Toc16935605"/>
      <w:bookmarkStart w:id="784" w:name="_Toc16710478"/>
      <w:bookmarkStart w:id="785" w:name="_Toc497584093"/>
      <w:bookmarkStart w:id="786" w:name="_Toc16856506"/>
      <w:bookmarkStart w:id="787" w:name="_Toc497214102"/>
      <w:r>
        <w:rPr>
          <w:rFonts w:hint="eastAsia" w:ascii="仿宋" w:hAnsi="仿宋" w:eastAsia="仿宋" w:cs="仿宋"/>
          <w:color w:val="000000" w:themeColor="text1"/>
          <w:kern w:val="0"/>
          <w:sz w:val="24"/>
          <w:szCs w:val="24"/>
          <w:highlight w:val="none"/>
          <w14:textFill>
            <w14:solidFill>
              <w14:schemeClr w14:val="tx1"/>
            </w14:solidFill>
          </w14:textFill>
        </w:rPr>
        <w:t>17.5  竣工结算</w:t>
      </w:r>
      <w:bookmarkEnd w:id="776"/>
      <w:bookmarkEnd w:id="777"/>
      <w:bookmarkEnd w:id="778"/>
      <w:bookmarkEnd w:id="779"/>
      <w:bookmarkEnd w:id="780"/>
      <w:bookmarkEnd w:id="781"/>
      <w:bookmarkEnd w:id="782"/>
      <w:bookmarkEnd w:id="783"/>
      <w:bookmarkEnd w:id="784"/>
      <w:bookmarkEnd w:id="785"/>
      <w:bookmarkEnd w:id="786"/>
      <w:bookmarkEnd w:id="787"/>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17.5.1  竣工付款申请单</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（1）承包人提交竣工付款申请单的份数：</w:t>
      </w:r>
      <w:r>
        <w:rPr>
          <w:rFonts w:hint="eastAsia" w:ascii="仿宋" w:hAnsi="仿宋" w:eastAsia="仿宋" w:cs="仿宋"/>
          <w:color w:val="000000" w:themeColor="text1"/>
          <w:sz w:val="24"/>
          <w:szCs w:val="24"/>
          <w:highlight w:val="none"/>
          <w:u w:val="single"/>
          <w14:textFill>
            <w14:solidFill>
              <w14:schemeClr w14:val="tx1"/>
            </w14:solidFill>
          </w14:textFill>
        </w:rPr>
        <w:t>提交5份竣工付款申请单</w:t>
      </w:r>
    </w:p>
    <w:p>
      <w:pPr>
        <w:spacing w:line="360"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承包人提交竣工付款申请单的期限：</w:t>
      </w:r>
      <w:r>
        <w:rPr>
          <w:rFonts w:hint="eastAsia" w:ascii="仿宋" w:hAnsi="仿宋" w:eastAsia="仿宋" w:cs="仿宋"/>
          <w:color w:val="000000" w:themeColor="text1"/>
          <w:sz w:val="24"/>
          <w:szCs w:val="24"/>
          <w:highlight w:val="none"/>
          <w:u w:val="single"/>
          <w14:textFill>
            <w14:solidFill>
              <w14:schemeClr w14:val="tx1"/>
            </w14:solidFill>
          </w14:textFill>
        </w:rPr>
        <w:t>在工程接收证书颁发后14天内</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（2）竣工付款申请单的其他内容：</w:t>
      </w:r>
      <w:r>
        <w:rPr>
          <w:rFonts w:hint="eastAsia" w:ascii="仿宋" w:hAnsi="仿宋" w:eastAsia="仿宋" w:cs="仿宋"/>
          <w:color w:val="000000" w:themeColor="text1"/>
          <w:sz w:val="24"/>
          <w:szCs w:val="24"/>
          <w:highlight w:val="none"/>
          <w:u w:val="single"/>
          <w14:textFill>
            <w14:solidFill>
              <w14:schemeClr w14:val="tx1"/>
            </w14:solidFill>
          </w14:textFill>
        </w:rPr>
        <w:t>竣工结算合同总价、已支付的工程价款、应扣回的预付款、应扣留的质量保证金、应支付的竣工付款金额。</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788" w:name="_Toc485323208"/>
      <w:bookmarkStart w:id="789" w:name="_Toc486580434"/>
      <w:bookmarkStart w:id="790" w:name="_Toc16856507"/>
      <w:bookmarkStart w:id="791" w:name="_Toc497214103"/>
      <w:bookmarkStart w:id="792" w:name="_Toc489280240"/>
      <w:bookmarkStart w:id="793" w:name="_Toc16708087"/>
      <w:bookmarkStart w:id="794" w:name="_Toc16935606"/>
      <w:bookmarkStart w:id="795" w:name="_Toc10235703"/>
      <w:bookmarkStart w:id="796" w:name="_Toc16710479"/>
      <w:bookmarkStart w:id="797" w:name="_Toc16856372"/>
      <w:bookmarkStart w:id="798" w:name="_Toc497584094"/>
      <w:bookmarkStart w:id="799" w:name="_Toc490331725"/>
      <w:r>
        <w:rPr>
          <w:rFonts w:hint="eastAsia" w:ascii="仿宋" w:hAnsi="仿宋" w:eastAsia="仿宋" w:cs="仿宋"/>
          <w:color w:val="000000" w:themeColor="text1"/>
          <w:kern w:val="0"/>
          <w:sz w:val="24"/>
          <w:szCs w:val="24"/>
          <w:highlight w:val="none"/>
          <w14:textFill>
            <w14:solidFill>
              <w14:schemeClr w14:val="tx1"/>
            </w14:solidFill>
          </w14:textFill>
        </w:rPr>
        <w:t>17.6  最终结清</w:t>
      </w:r>
      <w:bookmarkEnd w:id="788"/>
      <w:bookmarkEnd w:id="789"/>
      <w:bookmarkEnd w:id="790"/>
      <w:bookmarkEnd w:id="791"/>
      <w:bookmarkEnd w:id="792"/>
      <w:bookmarkEnd w:id="793"/>
      <w:bookmarkEnd w:id="794"/>
      <w:bookmarkEnd w:id="795"/>
      <w:bookmarkEnd w:id="796"/>
      <w:bookmarkEnd w:id="797"/>
      <w:bookmarkEnd w:id="798"/>
      <w:bookmarkEnd w:id="799"/>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17.6.1  最终结清申请单</w:t>
      </w:r>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（1）承包人提交最终结清申请单的份数：</w:t>
      </w:r>
      <w:r>
        <w:rPr>
          <w:rFonts w:hint="eastAsia" w:ascii="仿宋" w:hAnsi="仿宋" w:eastAsia="仿宋" w:cs="仿宋"/>
          <w:color w:val="000000" w:themeColor="text1"/>
          <w:sz w:val="24"/>
          <w:szCs w:val="24"/>
          <w:highlight w:val="none"/>
          <w:u w:val="single"/>
          <w14:textFill>
            <w14:solidFill>
              <w14:schemeClr w14:val="tx1"/>
            </w14:solidFill>
          </w14:textFill>
        </w:rPr>
        <w:t>提交3份最终结清申请单</w:t>
      </w:r>
    </w:p>
    <w:p>
      <w:pPr>
        <w:spacing w:line="360" w:lineRule="auto"/>
        <w:ind w:firstLine="1080" w:firstLineChars="4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承包人提交最终结清申请单的期限：</w:t>
      </w:r>
      <w:r>
        <w:rPr>
          <w:rFonts w:hint="eastAsia" w:ascii="仿宋" w:hAnsi="仿宋" w:eastAsia="仿宋" w:cs="仿宋"/>
          <w:color w:val="000000" w:themeColor="text1"/>
          <w:sz w:val="24"/>
          <w:szCs w:val="24"/>
          <w:highlight w:val="none"/>
          <w:u w:val="single"/>
          <w14:textFill>
            <w14:solidFill>
              <w14:schemeClr w14:val="tx1"/>
            </w14:solidFill>
          </w14:textFill>
        </w:rPr>
        <w:t>在缺陷责任期终止证书颁发后的28天内</w:t>
      </w:r>
    </w:p>
    <w:p>
      <w:pPr>
        <w:spacing w:line="360" w:lineRule="auto"/>
        <w:ind w:firstLine="1084" w:firstLineChars="45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发包人向承包人</w:t>
      </w:r>
      <w:r>
        <w:rPr>
          <w:rFonts w:hint="eastAsia" w:ascii="仿宋" w:hAnsi="仿宋" w:eastAsia="仿宋" w:cs="仿宋"/>
          <w:color w:val="000000" w:themeColor="text1"/>
          <w:sz w:val="24"/>
          <w:szCs w:val="24"/>
          <w:highlight w:val="none"/>
          <w:u w:val="single"/>
          <w14:textFill>
            <w14:solidFill>
              <w14:schemeClr w14:val="tx1"/>
            </w14:solidFill>
          </w14:textFill>
        </w:rPr>
        <w:t>不支付</w:t>
      </w:r>
      <w:r>
        <w:rPr>
          <w:rFonts w:hint="eastAsia" w:ascii="仿宋" w:hAnsi="仿宋" w:eastAsia="仿宋" w:cs="仿宋"/>
          <w:color w:val="000000" w:themeColor="text1"/>
          <w:sz w:val="24"/>
          <w:szCs w:val="24"/>
          <w:highlight w:val="none"/>
          <w14:textFill>
            <w14:solidFill>
              <w14:schemeClr w14:val="tx1"/>
            </w14:solidFill>
          </w14:textFill>
        </w:rPr>
        <w:t>（支付 / 不支付）质量保证金利息。</w:t>
      </w:r>
    </w:p>
    <w:p>
      <w:pPr>
        <w:spacing w:line="360" w:lineRule="auto"/>
        <w:ind w:firstLine="1084" w:firstLineChars="45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发包人向承包人支付质量保证金利息的，利息计算方法：</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keepNext/>
        <w:keepLines/>
        <w:spacing w:before="120" w:beforeLines="50" w:after="120" w:afterLines="50" w:line="360" w:lineRule="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800" w:name="_Toc486580435"/>
      <w:bookmarkStart w:id="801" w:name="_Toc16708088"/>
      <w:bookmarkStart w:id="802" w:name="_Toc489280241"/>
      <w:bookmarkStart w:id="803" w:name="_Toc16856373"/>
      <w:bookmarkStart w:id="804" w:name="_Toc16710480"/>
      <w:bookmarkStart w:id="805" w:name="_Toc10235704"/>
      <w:bookmarkStart w:id="806" w:name="_Toc485323209"/>
      <w:bookmarkStart w:id="807" w:name="_Toc16935607"/>
      <w:bookmarkStart w:id="808" w:name="_Toc497584095"/>
      <w:bookmarkStart w:id="809" w:name="_Toc497214104"/>
      <w:bookmarkStart w:id="810" w:name="_Toc16856508"/>
      <w:bookmarkStart w:id="811" w:name="_Toc490331726"/>
      <w:r>
        <w:rPr>
          <w:rFonts w:hint="eastAsia" w:ascii="仿宋" w:hAnsi="仿宋" w:eastAsia="仿宋" w:cs="仿宋"/>
          <w:color w:val="000000" w:themeColor="text1"/>
          <w:sz w:val="24"/>
          <w:szCs w:val="24"/>
          <w:highlight w:val="none"/>
          <w14:textFill>
            <w14:solidFill>
              <w14:schemeClr w14:val="tx1"/>
            </w14:solidFill>
          </w14:textFill>
        </w:rPr>
        <w:t>18.竣工验收</w:t>
      </w:r>
      <w:bookmarkEnd w:id="800"/>
      <w:bookmarkEnd w:id="801"/>
      <w:bookmarkEnd w:id="802"/>
      <w:bookmarkEnd w:id="803"/>
      <w:bookmarkEnd w:id="804"/>
      <w:bookmarkEnd w:id="805"/>
      <w:bookmarkEnd w:id="806"/>
      <w:bookmarkEnd w:id="807"/>
      <w:bookmarkEnd w:id="808"/>
      <w:bookmarkEnd w:id="809"/>
      <w:bookmarkEnd w:id="810"/>
      <w:bookmarkEnd w:id="811"/>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812" w:name="_Toc497214105"/>
      <w:bookmarkStart w:id="813" w:name="_Toc16856509"/>
      <w:bookmarkStart w:id="814" w:name="_Toc490331727"/>
      <w:bookmarkStart w:id="815" w:name="_Toc16935608"/>
      <w:bookmarkStart w:id="816" w:name="_Toc489280242"/>
      <w:bookmarkStart w:id="817" w:name="_Toc486580436"/>
      <w:bookmarkStart w:id="818" w:name="_Toc10235705"/>
      <w:bookmarkStart w:id="819" w:name="_Toc485323210"/>
      <w:bookmarkStart w:id="820" w:name="_Toc16856374"/>
      <w:bookmarkStart w:id="821" w:name="_Toc16708089"/>
      <w:bookmarkStart w:id="822" w:name="_Toc497584096"/>
      <w:bookmarkStart w:id="823" w:name="_Toc16710481"/>
      <w:r>
        <w:rPr>
          <w:rFonts w:hint="eastAsia" w:ascii="仿宋" w:hAnsi="仿宋" w:eastAsia="仿宋" w:cs="仿宋"/>
          <w:color w:val="000000" w:themeColor="text1"/>
          <w:kern w:val="0"/>
          <w:sz w:val="24"/>
          <w:szCs w:val="24"/>
          <w:highlight w:val="none"/>
          <w14:textFill>
            <w14:solidFill>
              <w14:schemeClr w14:val="tx1"/>
            </w14:solidFill>
          </w14:textFill>
        </w:rPr>
        <w:t>18.2  竣工验收申请报告</w:t>
      </w:r>
      <w:bookmarkEnd w:id="812"/>
      <w:bookmarkEnd w:id="813"/>
      <w:bookmarkEnd w:id="814"/>
      <w:bookmarkEnd w:id="815"/>
      <w:bookmarkEnd w:id="816"/>
      <w:bookmarkEnd w:id="817"/>
      <w:bookmarkEnd w:id="818"/>
      <w:bookmarkEnd w:id="819"/>
      <w:bookmarkEnd w:id="820"/>
      <w:bookmarkEnd w:id="821"/>
      <w:bookmarkEnd w:id="822"/>
      <w:bookmarkEnd w:id="823"/>
    </w:p>
    <w:p>
      <w:pPr>
        <w:spacing w:line="360" w:lineRule="auto"/>
        <w:ind w:firstLine="480" w:firstLineChars="200"/>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（2）承包人负责整理和提交的竣工验收资料具体内容：</w:t>
      </w:r>
      <w:r>
        <w:rPr>
          <w:rFonts w:hint="eastAsia" w:ascii="仿宋" w:hAnsi="仿宋" w:eastAsia="仿宋" w:cs="仿宋"/>
          <w:bCs/>
          <w:color w:val="000000" w:themeColor="text1"/>
          <w:sz w:val="24"/>
          <w:szCs w:val="24"/>
          <w:highlight w:val="none"/>
          <w:u w:val="single"/>
          <w14:textFill>
            <w14:solidFill>
              <w14:schemeClr w14:val="tx1"/>
            </w14:solidFill>
          </w14:textFill>
        </w:rPr>
        <w:t>中标通知书、竣工验收单、签署完整的设计变更和洽商单等完整的结算资料，和符合城建档案归档的要求的全部竣工资料</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竣工验收资料的份数：</w:t>
      </w:r>
      <w:r>
        <w:rPr>
          <w:rFonts w:hint="eastAsia" w:ascii="仿宋" w:hAnsi="仿宋" w:eastAsia="仿宋" w:cs="仿宋"/>
          <w:bCs/>
          <w:color w:val="000000" w:themeColor="text1"/>
          <w:sz w:val="24"/>
          <w:szCs w:val="24"/>
          <w:highlight w:val="none"/>
          <w:u w:val="single"/>
          <w14:textFill>
            <w14:solidFill>
              <w14:schemeClr w14:val="tx1"/>
            </w14:solidFill>
          </w14:textFill>
        </w:rPr>
        <w:t>四份，及电子版文件一份</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竣工验收资料的费用支付方式：</w:t>
      </w:r>
      <w:r>
        <w:rPr>
          <w:rFonts w:hint="eastAsia" w:ascii="仿宋" w:hAnsi="仿宋" w:eastAsia="仿宋" w:cs="仿宋"/>
          <w:color w:val="000000" w:themeColor="text1"/>
          <w:sz w:val="24"/>
          <w:szCs w:val="24"/>
          <w:highlight w:val="none"/>
          <w:u w:val="single"/>
          <w14:textFill>
            <w14:solidFill>
              <w14:schemeClr w14:val="tx1"/>
            </w14:solidFill>
          </w14:textFill>
        </w:rPr>
        <w:t>现金</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824" w:name="_Toc497584097"/>
      <w:bookmarkStart w:id="825" w:name="_Toc16856375"/>
      <w:bookmarkStart w:id="826" w:name="_Toc10235706"/>
      <w:bookmarkStart w:id="827" w:name="_Toc486580437"/>
      <w:bookmarkStart w:id="828" w:name="_Toc497214106"/>
      <w:bookmarkStart w:id="829" w:name="_Toc490331728"/>
      <w:bookmarkStart w:id="830" w:name="_Toc16856510"/>
      <w:bookmarkStart w:id="831" w:name="_Toc489280243"/>
      <w:bookmarkStart w:id="832" w:name="_Toc16710482"/>
      <w:bookmarkStart w:id="833" w:name="_Toc16935609"/>
      <w:bookmarkStart w:id="834" w:name="_Toc485323211"/>
      <w:bookmarkStart w:id="835" w:name="_Toc16708090"/>
      <w:r>
        <w:rPr>
          <w:rFonts w:hint="eastAsia" w:ascii="仿宋" w:hAnsi="仿宋" w:eastAsia="仿宋" w:cs="仿宋"/>
          <w:color w:val="000000" w:themeColor="text1"/>
          <w:kern w:val="0"/>
          <w:sz w:val="24"/>
          <w:szCs w:val="24"/>
          <w:highlight w:val="none"/>
          <w14:textFill>
            <w14:solidFill>
              <w14:schemeClr w14:val="tx1"/>
            </w14:solidFill>
          </w14:textFill>
        </w:rPr>
        <w:t>18.5  施工期运行</w:t>
      </w:r>
      <w:bookmarkEnd w:id="824"/>
      <w:bookmarkEnd w:id="825"/>
      <w:bookmarkEnd w:id="826"/>
      <w:bookmarkEnd w:id="827"/>
      <w:bookmarkEnd w:id="828"/>
      <w:bookmarkEnd w:id="829"/>
      <w:bookmarkEnd w:id="830"/>
      <w:bookmarkEnd w:id="831"/>
      <w:bookmarkEnd w:id="832"/>
      <w:bookmarkEnd w:id="833"/>
      <w:bookmarkEnd w:id="834"/>
      <w:bookmarkEnd w:id="835"/>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18.5.1  需要施工期运行的单位工程或设备安装工程：</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836" w:name="_Toc497584098"/>
      <w:bookmarkStart w:id="837" w:name="_Toc497214107"/>
      <w:bookmarkStart w:id="838" w:name="_Toc16708091"/>
      <w:bookmarkStart w:id="839" w:name="_Toc486580438"/>
      <w:bookmarkStart w:id="840" w:name="_Toc490331729"/>
      <w:bookmarkStart w:id="841" w:name="_Toc16935610"/>
      <w:bookmarkStart w:id="842" w:name="_Toc16856376"/>
      <w:bookmarkStart w:id="843" w:name="_Toc10235707"/>
      <w:bookmarkStart w:id="844" w:name="_Toc16856511"/>
      <w:bookmarkStart w:id="845" w:name="_Toc16710483"/>
      <w:bookmarkStart w:id="846" w:name="_Toc489280244"/>
      <w:bookmarkStart w:id="847" w:name="_Toc485323212"/>
      <w:r>
        <w:rPr>
          <w:rFonts w:hint="eastAsia" w:ascii="仿宋" w:hAnsi="仿宋" w:eastAsia="仿宋" w:cs="仿宋"/>
          <w:color w:val="000000" w:themeColor="text1"/>
          <w:kern w:val="0"/>
          <w:sz w:val="24"/>
          <w:szCs w:val="24"/>
          <w:highlight w:val="none"/>
          <w14:textFill>
            <w14:solidFill>
              <w14:schemeClr w14:val="tx1"/>
            </w14:solidFill>
          </w14:textFill>
        </w:rPr>
        <w:t>18.8  施工队伍的撤离</w:t>
      </w:r>
      <w:bookmarkEnd w:id="836"/>
      <w:bookmarkEnd w:id="837"/>
      <w:bookmarkEnd w:id="838"/>
      <w:bookmarkEnd w:id="839"/>
      <w:bookmarkEnd w:id="840"/>
      <w:bookmarkEnd w:id="841"/>
      <w:bookmarkEnd w:id="842"/>
      <w:bookmarkEnd w:id="843"/>
      <w:bookmarkEnd w:id="844"/>
      <w:bookmarkEnd w:id="845"/>
      <w:bookmarkEnd w:id="846"/>
      <w:bookmarkEnd w:id="847"/>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18.8.3  缺陷责任期满时，承包人在施工场地保留的人员和施工设备最终撤离的期限：</w:t>
      </w:r>
      <w:bookmarkStart w:id="848" w:name="_Toc16935611"/>
      <w:bookmarkStart w:id="849" w:name="_Toc485323213"/>
      <w:bookmarkStart w:id="850" w:name="_Toc10235708"/>
      <w:bookmarkStart w:id="851" w:name="_Toc486580439"/>
      <w:bookmarkStart w:id="852" w:name="_Toc16710484"/>
      <w:bookmarkStart w:id="853" w:name="_Toc489280245"/>
      <w:bookmarkStart w:id="854" w:name="_Toc497584099"/>
      <w:bookmarkStart w:id="855" w:name="_Toc16856512"/>
      <w:bookmarkStart w:id="856" w:name="_Toc497214108"/>
      <w:bookmarkStart w:id="857" w:name="_Toc16856377"/>
      <w:bookmarkStart w:id="858" w:name="_Toc16708092"/>
      <w:bookmarkStart w:id="859" w:name="_Toc490331730"/>
      <w:r>
        <w:rPr>
          <w:rFonts w:hint="eastAsia" w:ascii="仿宋" w:hAnsi="仿宋" w:eastAsia="仿宋" w:cs="仿宋"/>
          <w:color w:val="000000" w:themeColor="text1"/>
          <w:sz w:val="24"/>
          <w:szCs w:val="24"/>
          <w:highlight w:val="none"/>
          <w:u w:val="single"/>
          <w14:textFill>
            <w14:solidFill>
              <w14:schemeClr w14:val="tx1"/>
            </w14:solidFill>
          </w14:textFill>
        </w:rPr>
        <w:t>缺陷责任期满后15日内，延后撤离造成发包人增加的费用，应由承包人承担。</w:t>
      </w:r>
    </w:p>
    <w:p>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18.9  中间验收</w:t>
      </w:r>
      <w:bookmarkEnd w:id="848"/>
      <w:bookmarkEnd w:id="849"/>
      <w:bookmarkEnd w:id="850"/>
      <w:bookmarkEnd w:id="851"/>
      <w:bookmarkEnd w:id="852"/>
      <w:bookmarkEnd w:id="853"/>
      <w:bookmarkEnd w:id="854"/>
      <w:bookmarkEnd w:id="855"/>
      <w:bookmarkEnd w:id="856"/>
      <w:bookmarkEnd w:id="857"/>
      <w:bookmarkEnd w:id="858"/>
      <w:bookmarkEnd w:id="859"/>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18.9.1  本工程需要进行中间验收的部位：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18.9.2  验收不合格的，承包人在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color w:val="000000" w:themeColor="text1"/>
          <w:sz w:val="24"/>
          <w:szCs w:val="24"/>
          <w:highlight w:val="none"/>
          <w14:textFill>
            <w14:solidFill>
              <w14:schemeClr w14:val="tx1"/>
            </w14:solidFill>
          </w14:textFill>
        </w:rPr>
        <w:t>期限内进行修改后重新验收。</w:t>
      </w:r>
    </w:p>
    <w:p>
      <w:pPr>
        <w:keepNext/>
        <w:keepLines/>
        <w:spacing w:before="120" w:beforeLines="50" w:after="120" w:afterLines="50" w:line="360" w:lineRule="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860" w:name="_Toc16708093"/>
      <w:bookmarkStart w:id="861" w:name="_Toc16856513"/>
      <w:bookmarkStart w:id="862" w:name="_Toc489280246"/>
      <w:bookmarkStart w:id="863" w:name="_Toc16935612"/>
      <w:bookmarkStart w:id="864" w:name="_Toc16710485"/>
      <w:bookmarkStart w:id="865" w:name="_Toc490331731"/>
      <w:bookmarkStart w:id="866" w:name="_Toc497214109"/>
      <w:bookmarkStart w:id="867" w:name="_Toc485323214"/>
      <w:bookmarkStart w:id="868" w:name="_Toc497584100"/>
      <w:bookmarkStart w:id="869" w:name="_Toc10235709"/>
      <w:bookmarkStart w:id="870" w:name="_Toc486580440"/>
      <w:bookmarkStart w:id="871" w:name="_Toc16856378"/>
      <w:r>
        <w:rPr>
          <w:rFonts w:hint="eastAsia" w:ascii="仿宋" w:hAnsi="仿宋" w:eastAsia="仿宋" w:cs="仿宋"/>
          <w:color w:val="000000" w:themeColor="text1"/>
          <w:sz w:val="24"/>
          <w:szCs w:val="24"/>
          <w:highlight w:val="none"/>
          <w14:textFill>
            <w14:solidFill>
              <w14:schemeClr w14:val="tx1"/>
            </w14:solidFill>
          </w14:textFill>
        </w:rPr>
        <w:t>19.缺陷责任与保修责任</w:t>
      </w:r>
      <w:bookmarkEnd w:id="860"/>
      <w:bookmarkEnd w:id="861"/>
      <w:bookmarkEnd w:id="862"/>
      <w:bookmarkEnd w:id="863"/>
      <w:bookmarkEnd w:id="864"/>
      <w:bookmarkEnd w:id="865"/>
      <w:bookmarkEnd w:id="866"/>
      <w:bookmarkEnd w:id="867"/>
      <w:bookmarkEnd w:id="868"/>
      <w:bookmarkEnd w:id="869"/>
      <w:bookmarkEnd w:id="870"/>
      <w:bookmarkEnd w:id="871"/>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872" w:name="_Toc16710486"/>
      <w:bookmarkStart w:id="873" w:name="_Toc490331732"/>
      <w:bookmarkStart w:id="874" w:name="_Toc497214110"/>
      <w:bookmarkStart w:id="875" w:name="_Toc485323215"/>
      <w:bookmarkStart w:id="876" w:name="_Toc16935613"/>
      <w:bookmarkStart w:id="877" w:name="_Toc16856379"/>
      <w:bookmarkStart w:id="878" w:name="_Toc16856514"/>
      <w:bookmarkStart w:id="879" w:name="_Toc497584101"/>
      <w:bookmarkStart w:id="880" w:name="_Toc10235710"/>
      <w:bookmarkStart w:id="881" w:name="_Toc486580441"/>
      <w:bookmarkStart w:id="882" w:name="_Toc16708094"/>
      <w:bookmarkStart w:id="883" w:name="_Toc489280247"/>
      <w:r>
        <w:rPr>
          <w:rFonts w:hint="eastAsia" w:ascii="仿宋" w:hAnsi="仿宋" w:eastAsia="仿宋" w:cs="仿宋"/>
          <w:color w:val="000000" w:themeColor="text1"/>
          <w:kern w:val="0"/>
          <w:sz w:val="24"/>
          <w:szCs w:val="24"/>
          <w:highlight w:val="none"/>
          <w14:textFill>
            <w14:solidFill>
              <w14:schemeClr w14:val="tx1"/>
            </w14:solidFill>
          </w14:textFill>
        </w:rPr>
        <w:t>19.7  保修责任</w:t>
      </w:r>
      <w:bookmarkEnd w:id="872"/>
      <w:bookmarkEnd w:id="873"/>
      <w:bookmarkEnd w:id="874"/>
      <w:bookmarkEnd w:id="875"/>
      <w:bookmarkEnd w:id="876"/>
      <w:bookmarkEnd w:id="877"/>
      <w:bookmarkEnd w:id="878"/>
      <w:bookmarkEnd w:id="879"/>
      <w:bookmarkEnd w:id="880"/>
      <w:bookmarkEnd w:id="881"/>
      <w:bookmarkEnd w:id="882"/>
      <w:bookmarkEnd w:id="883"/>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884" w:name="_Toc490331733"/>
      <w:bookmarkStart w:id="885" w:name="_Toc16856380"/>
      <w:bookmarkStart w:id="886" w:name="_Toc486580442"/>
      <w:bookmarkStart w:id="887" w:name="_Toc16710487"/>
      <w:bookmarkStart w:id="888" w:name="_Toc16935614"/>
      <w:bookmarkStart w:id="889" w:name="_Toc16856515"/>
      <w:bookmarkStart w:id="890" w:name="_Toc497584102"/>
      <w:bookmarkStart w:id="891" w:name="_Toc497214111"/>
      <w:bookmarkStart w:id="892" w:name="_Toc489280248"/>
      <w:bookmarkStart w:id="893" w:name="_Toc485323216"/>
      <w:bookmarkStart w:id="894" w:name="_Toc10235711"/>
      <w:bookmarkStart w:id="895" w:name="_Toc16708095"/>
      <w:r>
        <w:rPr>
          <w:rFonts w:hint="eastAsia" w:ascii="仿宋" w:hAnsi="仿宋" w:eastAsia="仿宋" w:cs="仿宋"/>
          <w:color w:val="000000" w:themeColor="text1"/>
          <w:sz w:val="24"/>
          <w:szCs w:val="24"/>
          <w:highlight w:val="none"/>
          <w14:textFill>
            <w14:solidFill>
              <w14:schemeClr w14:val="tx1"/>
            </w14:solidFill>
          </w14:textFill>
        </w:rPr>
        <w:t>19.7.1  工程质量保修范围：</w:t>
      </w:r>
      <w:r>
        <w:rPr>
          <w:rFonts w:hint="eastAsia" w:ascii="仿宋" w:hAnsi="仿宋" w:eastAsia="仿宋" w:cs="仿宋"/>
          <w:color w:val="000000" w:themeColor="text1"/>
          <w:sz w:val="24"/>
          <w:szCs w:val="24"/>
          <w:highlight w:val="none"/>
          <w:u w:val="single"/>
          <w14:textFill>
            <w14:solidFill>
              <w14:schemeClr w14:val="tx1"/>
            </w14:solidFill>
          </w14:textFill>
        </w:rPr>
        <w:t>按照《建设工程质量管理条例》的相关规定</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工程质量保修期限：</w:t>
      </w:r>
      <w:r>
        <w:rPr>
          <w:rFonts w:hint="eastAsia" w:ascii="仿宋" w:hAnsi="仿宋" w:eastAsia="仿宋" w:cs="仿宋"/>
          <w:bCs/>
          <w:color w:val="000000" w:themeColor="text1"/>
          <w:sz w:val="24"/>
          <w:szCs w:val="24"/>
          <w:highlight w:val="none"/>
          <w:u w:val="single"/>
          <w14:textFill>
            <w14:solidFill>
              <w14:schemeClr w14:val="tx1"/>
            </w14:solidFill>
          </w14:textFill>
        </w:rPr>
        <w:t>防水工程5年；基础工程、房屋</w:t>
      </w:r>
      <w:r>
        <w:rPr>
          <w:rFonts w:hint="eastAsia" w:ascii="仿宋" w:hAnsi="仿宋" w:eastAsia="仿宋" w:cs="仿宋"/>
          <w:bCs/>
          <w:color w:val="000000" w:themeColor="text1"/>
          <w:sz w:val="24"/>
          <w:szCs w:val="24"/>
          <w:highlight w:val="none"/>
          <w:u w:val="single"/>
          <w:lang w:eastAsia="zh-CN"/>
          <w14:textFill>
            <w14:solidFill>
              <w14:schemeClr w14:val="tx1"/>
            </w14:solidFill>
          </w14:textFill>
        </w:rPr>
        <w:t>建筑工程</w:t>
      </w:r>
      <w:r>
        <w:rPr>
          <w:rFonts w:hint="eastAsia" w:ascii="仿宋" w:hAnsi="仿宋" w:eastAsia="仿宋" w:cs="仿宋"/>
          <w:bCs/>
          <w:color w:val="000000" w:themeColor="text1"/>
          <w:sz w:val="24"/>
          <w:szCs w:val="24"/>
          <w:highlight w:val="none"/>
          <w:u w:val="single"/>
          <w14:textFill>
            <w14:solidFill>
              <w14:schemeClr w14:val="tx1"/>
            </w14:solidFill>
          </w14:textFill>
        </w:rPr>
        <w:t>的地基基础工程和主体结构为设计文件规定的合理使用年限；供热与供冷系统，为2个采暖期、供冷期；电气管线、给排水管道、设备安装和装修工程，为2年，绿化工程1年。</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工程质量保修责任：</w:t>
      </w:r>
      <w:r>
        <w:rPr>
          <w:rFonts w:hint="eastAsia" w:ascii="仿宋" w:hAnsi="仿宋" w:eastAsia="仿宋" w:cs="仿宋"/>
          <w:bCs/>
          <w:color w:val="000000" w:themeColor="text1"/>
          <w:sz w:val="24"/>
          <w:szCs w:val="24"/>
          <w:highlight w:val="none"/>
          <w:u w:val="single"/>
          <w14:textFill>
            <w14:solidFill>
              <w14:schemeClr w14:val="tx1"/>
            </w14:solidFill>
          </w14:textFill>
        </w:rPr>
        <w:t>建设工程在保修范围和保修期限内发生质量问题的，施工单位应当履行保修义务，并对造成的损失承担赔偿责任。</w:t>
      </w:r>
    </w:p>
    <w:p>
      <w:pPr>
        <w:keepNext/>
        <w:keepLines/>
        <w:spacing w:before="120" w:beforeLines="50" w:after="120" w:afterLines="50" w:line="360" w:lineRule="auto"/>
        <w:outlineLvl w:val="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20.保险</w:t>
      </w:r>
      <w:bookmarkEnd w:id="884"/>
      <w:bookmarkEnd w:id="885"/>
      <w:bookmarkEnd w:id="886"/>
      <w:bookmarkEnd w:id="887"/>
      <w:bookmarkEnd w:id="888"/>
      <w:bookmarkEnd w:id="889"/>
      <w:bookmarkEnd w:id="890"/>
      <w:bookmarkEnd w:id="891"/>
      <w:bookmarkEnd w:id="892"/>
      <w:bookmarkEnd w:id="893"/>
      <w:bookmarkEnd w:id="894"/>
      <w:bookmarkEnd w:id="895"/>
    </w:p>
    <w:p>
      <w:pPr>
        <w:keepNext/>
        <w:keepLines/>
        <w:spacing w:before="120" w:beforeLines="50" w:after="120" w:afterLines="50" w:line="360" w:lineRule="auto"/>
        <w:outlineLvl w:val="2"/>
        <w:rPr>
          <w:rFonts w:hint="eastAsia" w:ascii="仿宋" w:hAnsi="仿宋" w:eastAsia="仿宋" w:cs="仿宋"/>
          <w:color w:val="auto"/>
          <w:kern w:val="0"/>
          <w:sz w:val="24"/>
          <w:szCs w:val="24"/>
          <w:highlight w:val="none"/>
        </w:rPr>
      </w:pPr>
      <w:bookmarkStart w:id="896" w:name="_Toc16856516"/>
      <w:bookmarkStart w:id="897" w:name="_Toc489280249"/>
      <w:bookmarkStart w:id="898" w:name="_Toc10235712"/>
      <w:bookmarkStart w:id="899" w:name="_Toc16710488"/>
      <w:bookmarkStart w:id="900" w:name="_Toc497214112"/>
      <w:bookmarkStart w:id="901" w:name="_Toc485323217"/>
      <w:bookmarkStart w:id="902" w:name="_Toc16708096"/>
      <w:bookmarkStart w:id="903" w:name="_Toc16935615"/>
      <w:bookmarkStart w:id="904" w:name="_Toc497584103"/>
      <w:bookmarkStart w:id="905" w:name="_Toc490331734"/>
      <w:bookmarkStart w:id="906" w:name="_Toc16856381"/>
      <w:bookmarkStart w:id="907" w:name="_Toc486580443"/>
      <w:r>
        <w:rPr>
          <w:rFonts w:hint="eastAsia" w:ascii="仿宋" w:hAnsi="仿宋" w:eastAsia="仿宋" w:cs="仿宋"/>
          <w:color w:val="000000" w:themeColor="text1"/>
          <w:kern w:val="0"/>
          <w:sz w:val="24"/>
          <w:szCs w:val="24"/>
          <w:highlight w:val="none"/>
          <w14:textFill>
            <w14:solidFill>
              <w14:schemeClr w14:val="tx1"/>
            </w14:solidFill>
          </w14:textFill>
        </w:rPr>
        <w:t>20</w:t>
      </w:r>
      <w:r>
        <w:rPr>
          <w:rFonts w:hint="eastAsia" w:ascii="仿宋" w:hAnsi="仿宋" w:eastAsia="仿宋" w:cs="仿宋"/>
          <w:color w:val="auto"/>
          <w:kern w:val="0"/>
          <w:sz w:val="24"/>
          <w:szCs w:val="24"/>
          <w:highlight w:val="none"/>
        </w:rPr>
        <w:t>.1  工程保险</w:t>
      </w:r>
      <w:bookmarkEnd w:id="896"/>
      <w:bookmarkEnd w:id="897"/>
      <w:bookmarkEnd w:id="898"/>
      <w:bookmarkEnd w:id="899"/>
      <w:bookmarkEnd w:id="900"/>
      <w:bookmarkEnd w:id="901"/>
      <w:bookmarkEnd w:id="902"/>
      <w:bookmarkEnd w:id="903"/>
      <w:bookmarkEnd w:id="904"/>
      <w:bookmarkEnd w:id="905"/>
      <w:bookmarkEnd w:id="906"/>
      <w:bookmarkEnd w:id="907"/>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highlight w:val="none"/>
        </w:rPr>
        <w:t>本工程</w:t>
      </w:r>
      <w:r>
        <w:rPr>
          <w:rFonts w:hint="eastAsia" w:ascii="仿宋" w:hAnsi="仿宋" w:eastAsia="仿宋" w:cs="仿宋"/>
          <w:color w:val="auto"/>
          <w:sz w:val="24"/>
          <w:szCs w:val="24"/>
          <w:highlight w:val="none"/>
          <w:u w:val="single"/>
        </w:rPr>
        <w:t xml:space="preserve"> 不投保 </w:t>
      </w:r>
      <w:r>
        <w:rPr>
          <w:rFonts w:hint="eastAsia" w:ascii="仿宋" w:hAnsi="仿宋" w:eastAsia="仿宋" w:cs="仿宋"/>
          <w:color w:val="auto"/>
          <w:sz w:val="24"/>
          <w:szCs w:val="24"/>
          <w:highlight w:val="none"/>
        </w:rPr>
        <w:t>(投保/不投保)工程保险。投保工</w:t>
      </w:r>
      <w:r>
        <w:rPr>
          <w:rFonts w:hint="eastAsia" w:ascii="仿宋" w:hAnsi="仿宋" w:eastAsia="仿宋" w:cs="仿宋"/>
          <w:color w:val="000000" w:themeColor="text1"/>
          <w:sz w:val="24"/>
          <w:szCs w:val="24"/>
          <w:highlight w:val="none"/>
          <w14:textFill>
            <w14:solidFill>
              <w14:schemeClr w14:val="tx1"/>
            </w14:solidFill>
          </w14:textFill>
        </w:rPr>
        <w:t>程保险时，险种为：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，并符合以下约定：</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（1）投保人：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（2）投保内容：</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（3）保险费率：由投保人与合同双方同意的保险人商定。</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（4）保险金额：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（5）保险期限：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908" w:name="_Toc490331735"/>
      <w:bookmarkStart w:id="909" w:name="_Toc497214113"/>
      <w:bookmarkStart w:id="910" w:name="_Toc16856517"/>
      <w:bookmarkStart w:id="911" w:name="_Toc10235713"/>
      <w:bookmarkStart w:id="912" w:name="_Toc16708097"/>
      <w:bookmarkStart w:id="913" w:name="_Toc486580444"/>
      <w:bookmarkStart w:id="914" w:name="_Toc16710489"/>
      <w:bookmarkStart w:id="915" w:name="_Toc16935616"/>
      <w:bookmarkStart w:id="916" w:name="_Toc16856382"/>
      <w:bookmarkStart w:id="917" w:name="_Toc497584104"/>
      <w:bookmarkStart w:id="918" w:name="_Toc489280250"/>
      <w:bookmarkStart w:id="919" w:name="_Toc485323218"/>
      <w:r>
        <w:rPr>
          <w:rFonts w:hint="eastAsia" w:ascii="仿宋" w:hAnsi="仿宋" w:eastAsia="仿宋" w:cs="仿宋"/>
          <w:color w:val="000000" w:themeColor="text1"/>
          <w:kern w:val="0"/>
          <w:sz w:val="24"/>
          <w:szCs w:val="24"/>
          <w:highlight w:val="none"/>
          <w14:textFill>
            <w14:solidFill>
              <w14:schemeClr w14:val="tx1"/>
            </w14:solidFill>
          </w14:textFill>
        </w:rPr>
        <w:t>20.4  第三者责任险</w:t>
      </w:r>
      <w:bookmarkEnd w:id="908"/>
      <w:bookmarkEnd w:id="909"/>
      <w:bookmarkEnd w:id="910"/>
      <w:bookmarkEnd w:id="911"/>
      <w:bookmarkEnd w:id="912"/>
      <w:bookmarkEnd w:id="913"/>
      <w:bookmarkEnd w:id="914"/>
      <w:bookmarkEnd w:id="915"/>
      <w:bookmarkEnd w:id="916"/>
      <w:bookmarkEnd w:id="917"/>
      <w:bookmarkEnd w:id="918"/>
      <w:bookmarkEnd w:id="919"/>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20.4.2  保险金额：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，保险费率由承包人与发包人同意的保险人商定，相关保险费由</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承担。</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920" w:name="_Toc490331736"/>
      <w:bookmarkStart w:id="921" w:name="_Toc497214114"/>
      <w:bookmarkStart w:id="922" w:name="_Toc16935617"/>
      <w:bookmarkStart w:id="923" w:name="_Toc485323219"/>
      <w:bookmarkStart w:id="924" w:name="_Toc16856518"/>
      <w:bookmarkStart w:id="925" w:name="_Toc497584105"/>
      <w:bookmarkStart w:id="926" w:name="_Toc16856383"/>
      <w:bookmarkStart w:id="927" w:name="_Toc16708098"/>
      <w:bookmarkStart w:id="928" w:name="_Toc486580445"/>
      <w:bookmarkStart w:id="929" w:name="_Toc489280251"/>
      <w:bookmarkStart w:id="930" w:name="_Toc16710490"/>
      <w:bookmarkStart w:id="931" w:name="_Toc10235714"/>
      <w:r>
        <w:rPr>
          <w:rFonts w:hint="eastAsia" w:ascii="仿宋" w:hAnsi="仿宋" w:eastAsia="仿宋" w:cs="仿宋"/>
          <w:color w:val="000000" w:themeColor="text1"/>
          <w:kern w:val="0"/>
          <w:sz w:val="24"/>
          <w:szCs w:val="24"/>
          <w:highlight w:val="none"/>
          <w14:textFill>
            <w14:solidFill>
              <w14:schemeClr w14:val="tx1"/>
            </w14:solidFill>
          </w14:textFill>
        </w:rPr>
        <w:t>20.5  其他保险</w:t>
      </w:r>
      <w:bookmarkEnd w:id="920"/>
      <w:bookmarkEnd w:id="921"/>
      <w:bookmarkEnd w:id="922"/>
      <w:bookmarkEnd w:id="923"/>
      <w:bookmarkEnd w:id="924"/>
      <w:bookmarkEnd w:id="925"/>
      <w:bookmarkEnd w:id="926"/>
      <w:bookmarkEnd w:id="927"/>
      <w:bookmarkEnd w:id="928"/>
      <w:bookmarkEnd w:id="929"/>
      <w:bookmarkEnd w:id="930"/>
      <w:bookmarkEnd w:id="931"/>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承包人应为其施工设备、进场材料和工程设备等办理的保险：</w:t>
      </w:r>
      <w:bookmarkStart w:id="932" w:name="_Toc489280252"/>
      <w:bookmarkStart w:id="933" w:name="_Toc16856384"/>
      <w:bookmarkStart w:id="934" w:name="_Toc10235715"/>
      <w:bookmarkStart w:id="935" w:name="_Toc16708099"/>
      <w:bookmarkStart w:id="936" w:name="_Toc16710491"/>
      <w:bookmarkStart w:id="937" w:name="_Toc16935618"/>
      <w:bookmarkStart w:id="938" w:name="_Toc490331737"/>
      <w:bookmarkStart w:id="939" w:name="_Toc485323220"/>
      <w:bookmarkStart w:id="940" w:name="_Toc486580446"/>
      <w:bookmarkStart w:id="941" w:name="_Toc497584106"/>
      <w:bookmarkStart w:id="942" w:name="_Toc497214115"/>
      <w:bookmarkStart w:id="943" w:name="_Toc16856519"/>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20.6  对各项保险的一般要求</w:t>
      </w:r>
      <w:bookmarkEnd w:id="932"/>
      <w:bookmarkEnd w:id="933"/>
      <w:bookmarkEnd w:id="934"/>
      <w:bookmarkEnd w:id="935"/>
      <w:bookmarkEnd w:id="936"/>
      <w:bookmarkEnd w:id="937"/>
      <w:bookmarkEnd w:id="938"/>
      <w:bookmarkEnd w:id="939"/>
      <w:bookmarkEnd w:id="940"/>
      <w:bookmarkEnd w:id="941"/>
      <w:bookmarkEnd w:id="942"/>
      <w:bookmarkEnd w:id="943"/>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20.6.1  保险凭证</w:t>
      </w:r>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承包人向发包人提交各项保险生效的证据和保险单副本的期限：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20.6.4  保险金不足的补偿</w:t>
      </w:r>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保险金不足以补偿损失时，承包人和发包人负责补偿的责任分摊：</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keepNext/>
        <w:keepLines/>
        <w:spacing w:before="120" w:beforeLines="50" w:after="120" w:afterLines="50" w:line="360" w:lineRule="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944" w:name="_Toc497584107"/>
      <w:bookmarkStart w:id="945" w:name="_Toc489280253"/>
      <w:bookmarkStart w:id="946" w:name="_Toc16935619"/>
      <w:bookmarkStart w:id="947" w:name="_Toc16710492"/>
      <w:bookmarkStart w:id="948" w:name="_Toc485323221"/>
      <w:bookmarkStart w:id="949" w:name="_Toc10235716"/>
      <w:bookmarkStart w:id="950" w:name="_Toc486580447"/>
      <w:bookmarkStart w:id="951" w:name="_Toc16856520"/>
      <w:bookmarkStart w:id="952" w:name="_Toc16708100"/>
      <w:bookmarkStart w:id="953" w:name="_Toc490331738"/>
      <w:bookmarkStart w:id="954" w:name="_Toc16856385"/>
      <w:bookmarkStart w:id="955" w:name="_Toc497214116"/>
      <w:r>
        <w:rPr>
          <w:rFonts w:hint="eastAsia" w:ascii="仿宋" w:hAnsi="仿宋" w:eastAsia="仿宋" w:cs="仿宋"/>
          <w:color w:val="000000" w:themeColor="text1"/>
          <w:sz w:val="24"/>
          <w:szCs w:val="24"/>
          <w:highlight w:val="none"/>
          <w14:textFill>
            <w14:solidFill>
              <w14:schemeClr w14:val="tx1"/>
            </w14:solidFill>
          </w14:textFill>
        </w:rPr>
        <w:t>21.不可抗力</w:t>
      </w:r>
      <w:bookmarkEnd w:id="944"/>
      <w:bookmarkEnd w:id="945"/>
      <w:bookmarkEnd w:id="946"/>
      <w:bookmarkEnd w:id="947"/>
      <w:bookmarkEnd w:id="948"/>
      <w:bookmarkEnd w:id="949"/>
      <w:bookmarkEnd w:id="950"/>
      <w:bookmarkEnd w:id="951"/>
      <w:bookmarkEnd w:id="952"/>
      <w:bookmarkEnd w:id="953"/>
      <w:bookmarkEnd w:id="954"/>
      <w:bookmarkEnd w:id="955"/>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956" w:name="_Toc489280254"/>
      <w:bookmarkStart w:id="957" w:name="_Toc490331739"/>
      <w:bookmarkStart w:id="958" w:name="_Toc10235717"/>
      <w:bookmarkStart w:id="959" w:name="_Toc486580448"/>
      <w:bookmarkStart w:id="960" w:name="_Toc485323222"/>
      <w:bookmarkStart w:id="961" w:name="_Toc16710493"/>
      <w:bookmarkStart w:id="962" w:name="_Toc497584108"/>
      <w:bookmarkStart w:id="963" w:name="_Toc497214117"/>
      <w:bookmarkStart w:id="964" w:name="_Toc16935620"/>
      <w:bookmarkStart w:id="965" w:name="_Toc16856521"/>
      <w:bookmarkStart w:id="966" w:name="_Toc16856386"/>
      <w:bookmarkStart w:id="967" w:name="_Toc16708101"/>
      <w:r>
        <w:rPr>
          <w:rFonts w:hint="eastAsia" w:ascii="仿宋" w:hAnsi="仿宋" w:eastAsia="仿宋" w:cs="仿宋"/>
          <w:color w:val="000000" w:themeColor="text1"/>
          <w:kern w:val="0"/>
          <w:sz w:val="24"/>
          <w:szCs w:val="24"/>
          <w:highlight w:val="none"/>
          <w14:textFill>
            <w14:solidFill>
              <w14:schemeClr w14:val="tx1"/>
            </w14:solidFill>
          </w14:textFill>
        </w:rPr>
        <w:t>21.1  不可抗力的确认</w:t>
      </w:r>
      <w:bookmarkEnd w:id="956"/>
      <w:bookmarkEnd w:id="957"/>
      <w:bookmarkEnd w:id="958"/>
      <w:bookmarkEnd w:id="959"/>
      <w:bookmarkEnd w:id="960"/>
      <w:bookmarkEnd w:id="961"/>
      <w:bookmarkEnd w:id="962"/>
      <w:bookmarkEnd w:id="963"/>
      <w:bookmarkEnd w:id="964"/>
      <w:bookmarkEnd w:id="965"/>
      <w:bookmarkEnd w:id="966"/>
      <w:bookmarkEnd w:id="967"/>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21.1.1  合同条款通用部分第21.1.1项约定的不可抗力以外的其他情形：</w:t>
      </w:r>
      <w:r>
        <w:rPr>
          <w:rFonts w:hint="eastAsia" w:ascii="仿宋" w:hAnsi="仿宋" w:eastAsia="仿宋" w:cs="仿宋"/>
          <w:color w:val="000000" w:themeColor="text1"/>
          <w:sz w:val="24"/>
          <w:szCs w:val="24"/>
          <w:highlight w:val="none"/>
          <w:u w:val="single"/>
          <w14:textFill>
            <w14:solidFill>
              <w14:schemeClr w14:val="tx1"/>
            </w14:solidFill>
          </w14:textFill>
        </w:rPr>
        <w:t xml:space="preserve">           由于战争、严重火灾、水灾、台风、地震、征收、征用、禁令、疫情防控等政府行为和战争、罢工、骚乱等不可抗力的客观情况以及因疫情防控导致工期延误属于不可抗力情形。</w:t>
      </w:r>
    </w:p>
    <w:p>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不可抗力的等级范围约定：</w:t>
      </w:r>
      <w:bookmarkStart w:id="968" w:name="_Toc16935621"/>
      <w:bookmarkStart w:id="969" w:name="_Toc486580450"/>
      <w:bookmarkStart w:id="970" w:name="_Toc497584109"/>
      <w:bookmarkStart w:id="971" w:name="_Toc490331741"/>
      <w:bookmarkStart w:id="972" w:name="_Toc489280256"/>
      <w:bookmarkStart w:id="973" w:name="_Toc497214118"/>
      <w:bookmarkStart w:id="974" w:name="_Toc16708102"/>
      <w:bookmarkStart w:id="975" w:name="_Toc16710494"/>
      <w:bookmarkStart w:id="976" w:name="_Toc16856387"/>
      <w:bookmarkStart w:id="977" w:name="_Toc16856522"/>
      <w:bookmarkStart w:id="978" w:name="_Toc485323224"/>
      <w:bookmarkStart w:id="979" w:name="_Toc10235718"/>
      <w:r>
        <w:rPr>
          <w:rFonts w:hint="eastAsia" w:ascii="仿宋" w:hAnsi="仿宋" w:eastAsia="仿宋" w:cs="仿宋"/>
          <w:color w:val="000000" w:themeColor="text1"/>
          <w:sz w:val="24"/>
          <w:szCs w:val="24"/>
          <w:highlight w:val="none"/>
          <w:u w:val="single"/>
          <w14:textFill>
            <w14:solidFill>
              <w14:schemeClr w14:val="tx1"/>
            </w14:solidFill>
          </w14:textFill>
        </w:rPr>
        <w:t xml:space="preserve">  /  </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24.争议的解决</w:t>
      </w:r>
      <w:bookmarkEnd w:id="968"/>
      <w:bookmarkEnd w:id="969"/>
      <w:bookmarkEnd w:id="970"/>
      <w:bookmarkEnd w:id="971"/>
      <w:bookmarkEnd w:id="972"/>
      <w:bookmarkEnd w:id="973"/>
      <w:bookmarkEnd w:id="974"/>
      <w:bookmarkEnd w:id="975"/>
      <w:bookmarkEnd w:id="976"/>
      <w:bookmarkEnd w:id="977"/>
      <w:bookmarkEnd w:id="978"/>
      <w:bookmarkEnd w:id="979"/>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980" w:name="_Toc489280257"/>
      <w:bookmarkStart w:id="981" w:name="_Toc497214119"/>
      <w:bookmarkStart w:id="982" w:name="_Toc16708103"/>
      <w:bookmarkStart w:id="983" w:name="_Toc497584110"/>
      <w:bookmarkStart w:id="984" w:name="_Toc16935622"/>
      <w:bookmarkStart w:id="985" w:name="_Toc485323225"/>
      <w:bookmarkStart w:id="986" w:name="_Toc490331742"/>
      <w:bookmarkStart w:id="987" w:name="_Toc10235719"/>
      <w:bookmarkStart w:id="988" w:name="_Toc16856523"/>
      <w:bookmarkStart w:id="989" w:name="_Toc486580451"/>
      <w:bookmarkStart w:id="990" w:name="_Toc16710495"/>
      <w:bookmarkStart w:id="991" w:name="_Toc16856388"/>
      <w:r>
        <w:rPr>
          <w:rFonts w:hint="eastAsia" w:ascii="仿宋" w:hAnsi="仿宋" w:eastAsia="仿宋" w:cs="仿宋"/>
          <w:color w:val="000000" w:themeColor="text1"/>
          <w:kern w:val="0"/>
          <w:sz w:val="24"/>
          <w:szCs w:val="24"/>
          <w:highlight w:val="none"/>
          <w14:textFill>
            <w14:solidFill>
              <w14:schemeClr w14:val="tx1"/>
            </w14:solidFill>
          </w14:textFill>
        </w:rPr>
        <w:t>24.1  争议的解决方式</w:t>
      </w:r>
      <w:bookmarkEnd w:id="980"/>
      <w:bookmarkEnd w:id="981"/>
      <w:bookmarkEnd w:id="982"/>
      <w:bookmarkEnd w:id="983"/>
      <w:bookmarkEnd w:id="984"/>
      <w:bookmarkEnd w:id="985"/>
      <w:bookmarkEnd w:id="986"/>
      <w:bookmarkEnd w:id="987"/>
      <w:bookmarkEnd w:id="988"/>
      <w:bookmarkEnd w:id="989"/>
      <w:bookmarkEnd w:id="990"/>
      <w:bookmarkEnd w:id="991"/>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因本合同引起的或与本合同有关的任何争议，合同双方友好协商不成、不愿提请争议组评审或者不愿接受争议评审组意见的，选择下列第</w:t>
      </w:r>
      <w:r>
        <w:rPr>
          <w:rFonts w:hint="eastAsia" w:ascii="仿宋" w:hAnsi="仿宋" w:eastAsia="仿宋" w:cs="仿宋"/>
          <w:color w:val="000000" w:themeColor="text1"/>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u w:val="single"/>
          <w:lang w:eastAsia="zh-Hans"/>
          <w14:textFill>
            <w14:solidFill>
              <w14:schemeClr w14:val="tx1"/>
            </w14:solidFill>
          </w14:textFill>
        </w:rPr>
        <w:t>贰</w:t>
      </w:r>
      <w:r>
        <w:rPr>
          <w:rFonts w:hint="eastAsia" w:ascii="仿宋" w:hAnsi="仿宋" w:eastAsia="仿宋" w:cs="仿宋"/>
          <w:color w:val="000000" w:themeColor="text1"/>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种方式解决：</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（壹）</w:t>
      </w:r>
      <w:r>
        <w:rPr>
          <w:rFonts w:hint="eastAsia" w:ascii="仿宋" w:hAnsi="仿宋" w:eastAsia="仿宋" w:cs="仿宋"/>
          <w:color w:val="000000" w:themeColor="text1"/>
          <w:sz w:val="24"/>
          <w:szCs w:val="24"/>
          <w:highlight w:val="none"/>
          <w14:textFill>
            <w14:solidFill>
              <w14:schemeClr w14:val="tx1"/>
            </w14:solidFill>
          </w14:textFill>
        </w:rPr>
        <w:t>提请</w:t>
      </w:r>
      <w:r>
        <w:rPr>
          <w:rFonts w:hint="eastAsia" w:ascii="仿宋" w:hAnsi="仿宋" w:eastAsia="仿宋" w:cs="仿宋"/>
          <w:color w:val="000000" w:themeColor="text1"/>
          <w:sz w:val="24"/>
          <w:szCs w:val="24"/>
          <w:highlight w:val="none"/>
          <w:u w:val="single"/>
          <w14:textFill>
            <w14:solidFill>
              <w14:schemeClr w14:val="tx1"/>
            </w14:solidFill>
          </w14:textFill>
        </w:rPr>
        <w:t>北京</w:t>
      </w:r>
      <w:r>
        <w:rPr>
          <w:rFonts w:hint="eastAsia" w:ascii="仿宋" w:hAnsi="仿宋" w:eastAsia="仿宋" w:cs="仿宋"/>
          <w:color w:val="000000" w:themeColor="text1"/>
          <w:sz w:val="24"/>
          <w:szCs w:val="24"/>
          <w:highlight w:val="none"/>
          <w14:textFill>
            <w14:solidFill>
              <w14:schemeClr w14:val="tx1"/>
            </w14:solidFill>
          </w14:textFill>
        </w:rPr>
        <w:t>仲裁委员会按照该会仲裁规则进行仲裁，仲裁裁决是终局的，对合同双方均有约束力。</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（贰）</w:t>
      </w:r>
      <w:r>
        <w:rPr>
          <w:rFonts w:hint="eastAsia" w:ascii="仿宋" w:hAnsi="仿宋" w:eastAsia="仿宋" w:cs="仿宋"/>
          <w:color w:val="000000" w:themeColor="text1"/>
          <w:sz w:val="24"/>
          <w:szCs w:val="24"/>
          <w:highlight w:val="none"/>
          <w14:textFill>
            <w14:solidFill>
              <w14:schemeClr w14:val="tx1"/>
            </w14:solidFill>
          </w14:textFill>
        </w:rPr>
        <w:t>向有</w:t>
      </w:r>
      <w:r>
        <w:rPr>
          <w:rFonts w:hint="eastAsia" w:ascii="仿宋" w:hAnsi="仿宋" w:eastAsia="仿宋" w:cs="仿宋"/>
          <w:color w:val="000000" w:themeColor="text1"/>
          <w:sz w:val="24"/>
          <w:szCs w:val="24"/>
          <w:highlight w:val="none"/>
          <w:lang w:eastAsia="zh-Hans"/>
          <w14:textFill>
            <w14:solidFill>
              <w14:schemeClr w14:val="tx1"/>
            </w14:solidFill>
          </w14:textFill>
        </w:rPr>
        <w:t>发包人所在地</w:t>
      </w:r>
      <w:r>
        <w:rPr>
          <w:rFonts w:hint="eastAsia" w:ascii="仿宋" w:hAnsi="仿宋" w:eastAsia="仿宋" w:cs="仿宋"/>
          <w:color w:val="000000" w:themeColor="text1"/>
          <w:sz w:val="24"/>
          <w:szCs w:val="24"/>
          <w:highlight w:val="none"/>
          <w14:textFill>
            <w14:solidFill>
              <w14:schemeClr w14:val="tx1"/>
            </w14:solidFill>
          </w14:textFill>
        </w:rPr>
        <w:t>管辖权的人民法院提起诉讼。</w:t>
      </w:r>
    </w:p>
    <w:p>
      <w:pPr>
        <w:keepNext/>
        <w:keepLines/>
        <w:spacing w:before="120" w:beforeLines="50" w:after="120" w:afterLines="50" w:line="360" w:lineRule="auto"/>
        <w:outlineLvl w:val="2"/>
        <w:rPr>
          <w:rFonts w:hint="eastAsia" w:ascii="仿宋" w:hAnsi="仿宋" w:eastAsia="仿宋" w:cs="仿宋"/>
          <w:color w:val="000000" w:themeColor="text1"/>
          <w:kern w:val="0"/>
          <w:sz w:val="24"/>
          <w:szCs w:val="24"/>
          <w:highlight w:val="none"/>
          <w14:textFill>
            <w14:solidFill>
              <w14:schemeClr w14:val="tx1"/>
            </w14:solidFill>
          </w14:textFill>
        </w:rPr>
      </w:pPr>
      <w:bookmarkStart w:id="992" w:name="_Toc489280258"/>
      <w:bookmarkStart w:id="993" w:name="_Toc10235720"/>
      <w:bookmarkStart w:id="994" w:name="_Toc16856524"/>
      <w:bookmarkStart w:id="995" w:name="_Toc486580452"/>
      <w:bookmarkStart w:id="996" w:name="_Toc497584111"/>
      <w:bookmarkStart w:id="997" w:name="_Toc16708104"/>
      <w:bookmarkStart w:id="998" w:name="_Toc16710496"/>
      <w:bookmarkStart w:id="999" w:name="_Toc490331743"/>
      <w:bookmarkStart w:id="1000" w:name="_Toc16935623"/>
      <w:bookmarkStart w:id="1001" w:name="_Toc16856389"/>
      <w:bookmarkStart w:id="1002" w:name="_Toc497214120"/>
      <w:bookmarkStart w:id="1003" w:name="_Toc485323226"/>
      <w:r>
        <w:rPr>
          <w:rFonts w:hint="eastAsia" w:ascii="仿宋" w:hAnsi="仿宋" w:eastAsia="仿宋" w:cs="仿宋"/>
          <w:color w:val="000000" w:themeColor="text1"/>
          <w:kern w:val="0"/>
          <w:sz w:val="24"/>
          <w:szCs w:val="24"/>
          <w:highlight w:val="none"/>
          <w14:textFill>
            <w14:solidFill>
              <w14:schemeClr w14:val="tx1"/>
            </w14:solidFill>
          </w14:textFill>
        </w:rPr>
        <w:t>24.3  争议评审</w:t>
      </w:r>
      <w:bookmarkEnd w:id="992"/>
      <w:bookmarkEnd w:id="993"/>
      <w:bookmarkEnd w:id="994"/>
      <w:bookmarkEnd w:id="995"/>
      <w:bookmarkEnd w:id="996"/>
      <w:bookmarkEnd w:id="997"/>
      <w:bookmarkEnd w:id="998"/>
      <w:bookmarkEnd w:id="999"/>
      <w:bookmarkEnd w:id="1000"/>
      <w:bookmarkEnd w:id="1001"/>
      <w:bookmarkEnd w:id="1002"/>
      <w:bookmarkEnd w:id="1003"/>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24.3.4  争议评审组邀请合同双方代表人和有关人员举行调查会的期限：</w:t>
      </w:r>
      <w:r>
        <w:rPr>
          <w:rFonts w:hint="eastAsia" w:ascii="仿宋" w:hAnsi="仿宋" w:eastAsia="仿宋" w:cs="仿宋"/>
          <w:color w:val="000000" w:themeColor="text1"/>
          <w:sz w:val="24"/>
          <w:szCs w:val="24"/>
          <w:highlight w:val="none"/>
          <w:u w:val="single"/>
          <w14:textFill>
            <w14:solidFill>
              <w14:schemeClr w14:val="tx1"/>
            </w14:solidFill>
          </w14:textFill>
        </w:rPr>
        <w:t>30天</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24.3.5  争议评审组在调查会后作出争议评审意见的期限：</w:t>
      </w:r>
      <w:r>
        <w:rPr>
          <w:rFonts w:hint="eastAsia" w:ascii="仿宋" w:hAnsi="仿宋" w:eastAsia="仿宋" w:cs="仿宋"/>
          <w:color w:val="000000" w:themeColor="text1"/>
          <w:sz w:val="24"/>
          <w:szCs w:val="24"/>
          <w:highlight w:val="none"/>
          <w:u w:val="single"/>
          <w14:textFill>
            <w14:solidFill>
              <w14:schemeClr w14:val="tx1"/>
            </w14:solidFill>
          </w14:textFill>
        </w:rPr>
        <w:t>30天</w:t>
      </w:r>
    </w:p>
    <w:p>
      <w:pPr>
        <w:adjustRightInd w:val="0"/>
        <w:snapToGrid w:val="0"/>
        <w:spacing w:line="360" w:lineRule="auto"/>
        <w:ind w:firstLine="420" w:firstLineChars="200"/>
        <w:jc w:val="left"/>
        <w:rPr>
          <w:rFonts w:hint="eastAsia" w:ascii="仿宋" w:hAnsi="仿宋" w:eastAsia="仿宋" w:cs="仿宋"/>
          <w:color w:val="000000" w:themeColor="text1"/>
          <w:sz w:val="21"/>
          <w:szCs w:val="24"/>
          <w:highlight w:val="none"/>
          <w:u w:val="single"/>
          <w14:textFill>
            <w14:solidFill>
              <w14:schemeClr w14:val="tx1"/>
            </w14:solidFill>
          </w14:textFill>
        </w:rPr>
      </w:pPr>
    </w:p>
    <w:p>
      <w:pPr>
        <w:keepNext/>
        <w:keepLines/>
        <w:spacing w:before="120" w:beforeLines="50" w:after="120" w:afterLines="50" w:line="360" w:lineRule="auto"/>
        <w:outlineLvl w:val="1"/>
        <w:rPr>
          <w:rFonts w:hint="eastAsia" w:ascii="仿宋" w:hAnsi="仿宋" w:eastAsia="仿宋" w:cs="仿宋"/>
          <w:color w:val="000000" w:themeColor="text1"/>
          <w:kern w:val="0"/>
          <w:sz w:val="24"/>
          <w:szCs w:val="20"/>
          <w:highlight w:val="none"/>
          <w14:textFill>
            <w14:solidFill>
              <w14:schemeClr w14:val="tx1"/>
            </w14:solidFill>
          </w14:textFill>
        </w:rPr>
      </w:pPr>
      <w:bookmarkStart w:id="1004" w:name="_Toc489280260"/>
      <w:bookmarkStart w:id="1005" w:name="_Toc497214122"/>
      <w:bookmarkStart w:id="1006" w:name="_Toc497584113"/>
      <w:bookmarkStart w:id="1007" w:name="_Toc486580454"/>
      <w:r>
        <w:rPr>
          <w:rFonts w:hint="eastAsia" w:ascii="仿宋" w:hAnsi="仿宋" w:eastAsia="仿宋" w:cs="仿宋"/>
          <w:color w:val="000000" w:themeColor="text1"/>
          <w:kern w:val="0"/>
          <w:sz w:val="24"/>
          <w:szCs w:val="20"/>
          <w:highlight w:val="none"/>
          <w14:textFill>
            <w14:solidFill>
              <w14:schemeClr w14:val="tx1"/>
            </w14:solidFill>
          </w14:textFill>
        </w:rPr>
        <w:br w:type="page"/>
      </w:r>
      <w:r>
        <w:rPr>
          <w:rFonts w:hint="eastAsia" w:ascii="仿宋" w:hAnsi="仿宋" w:eastAsia="仿宋" w:cs="仿宋"/>
          <w:color w:val="000000" w:themeColor="text1"/>
          <w:kern w:val="0"/>
          <w:sz w:val="24"/>
          <w:szCs w:val="20"/>
          <w:highlight w:val="none"/>
          <w14:textFill>
            <w14:solidFill>
              <w14:schemeClr w14:val="tx1"/>
            </w14:solidFill>
          </w14:textFill>
        </w:rPr>
        <w:t>附件一：承包人承揽工程项目一览表</w:t>
      </w:r>
      <w:bookmarkEnd w:id="1004"/>
      <w:bookmarkEnd w:id="1005"/>
      <w:bookmarkEnd w:id="1006"/>
      <w:bookmarkEnd w:id="1007"/>
    </w:p>
    <w:p>
      <w:pPr>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承包人承揽工程项目一览表</w:t>
      </w:r>
    </w:p>
    <w:tbl>
      <w:tblPr>
        <w:tblStyle w:val="9"/>
        <w:tblW w:w="9636"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791"/>
        <w:gridCol w:w="1155"/>
        <w:gridCol w:w="525"/>
        <w:gridCol w:w="525"/>
        <w:gridCol w:w="735"/>
        <w:gridCol w:w="1155"/>
        <w:gridCol w:w="735"/>
        <w:gridCol w:w="104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1" w:type="dxa"/>
          </w:tcPr>
          <w:p>
            <w:pPr>
              <w:spacing w:line="540" w:lineRule="exact"/>
              <w:jc w:val="center"/>
              <w:rPr>
                <w:rFonts w:hint="eastAsia" w:ascii="仿宋" w:hAnsi="仿宋" w:eastAsia="仿宋" w:cs="仿宋"/>
                <w:color w:val="000000" w:themeColor="text1"/>
                <w:spacing w:val="12"/>
                <w:sz w:val="21"/>
                <w:szCs w:val="24"/>
                <w:highlight w:val="none"/>
                <w14:textFill>
                  <w14:solidFill>
                    <w14:schemeClr w14:val="tx1"/>
                  </w14:solidFill>
                </w14:textFill>
              </w:rPr>
            </w:pPr>
            <w:r>
              <w:rPr>
                <w:rFonts w:hint="eastAsia" w:ascii="仿宋" w:hAnsi="仿宋" w:eastAsia="仿宋" w:cs="仿宋"/>
                <w:color w:val="000000" w:themeColor="text1"/>
                <w:spacing w:val="12"/>
                <w:sz w:val="21"/>
                <w:szCs w:val="24"/>
                <w:highlight w:val="none"/>
                <w14:textFill>
                  <w14:solidFill>
                    <w14:schemeClr w14:val="tx1"/>
                  </w14:solidFill>
                </w14:textFill>
              </w:rPr>
              <w:t>单位工程</w:t>
            </w:r>
          </w:p>
          <w:p>
            <w:pPr>
              <w:spacing w:line="540" w:lineRule="exact"/>
              <w:jc w:val="center"/>
              <w:rPr>
                <w:rFonts w:hint="eastAsia" w:ascii="仿宋" w:hAnsi="仿宋" w:eastAsia="仿宋" w:cs="仿宋"/>
                <w:color w:val="000000" w:themeColor="text1"/>
                <w:spacing w:val="12"/>
                <w:sz w:val="21"/>
                <w:szCs w:val="24"/>
                <w:highlight w:val="none"/>
                <w14:textFill>
                  <w14:solidFill>
                    <w14:schemeClr w14:val="tx1"/>
                  </w14:solidFill>
                </w14:textFill>
              </w:rPr>
            </w:pPr>
          </w:p>
          <w:p>
            <w:pPr>
              <w:spacing w:line="540" w:lineRule="exact"/>
              <w:jc w:val="center"/>
              <w:rPr>
                <w:rFonts w:hint="eastAsia" w:ascii="仿宋" w:hAnsi="仿宋" w:eastAsia="仿宋" w:cs="仿宋"/>
                <w:color w:val="000000" w:themeColor="text1"/>
                <w:spacing w:val="12"/>
                <w:sz w:val="21"/>
                <w:szCs w:val="24"/>
                <w:highlight w:val="none"/>
                <w14:textFill>
                  <w14:solidFill>
                    <w14:schemeClr w14:val="tx1"/>
                  </w14:solidFill>
                </w14:textFill>
              </w:rPr>
            </w:pPr>
            <w:r>
              <w:rPr>
                <w:rFonts w:hint="eastAsia" w:ascii="仿宋" w:hAnsi="仿宋" w:eastAsia="仿宋" w:cs="仿宋"/>
                <w:color w:val="000000" w:themeColor="text1"/>
                <w:spacing w:val="12"/>
                <w:sz w:val="21"/>
                <w:szCs w:val="24"/>
                <w:highlight w:val="none"/>
                <w14:textFill>
                  <w14:solidFill>
                    <w14:schemeClr w14:val="tx1"/>
                  </w14:solidFill>
                </w14:textFill>
              </w:rPr>
              <w:t>名    称</w:t>
            </w:r>
          </w:p>
        </w:tc>
        <w:tc>
          <w:tcPr>
            <w:tcW w:w="7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r>
              <w:rPr>
                <w:rFonts w:hint="eastAsia" w:ascii="仿宋" w:hAnsi="仿宋" w:eastAsia="仿宋" w:cs="仿宋"/>
                <w:color w:val="000000" w:themeColor="text1"/>
                <w:spacing w:val="12"/>
                <w:sz w:val="21"/>
                <w:szCs w:val="24"/>
                <w:highlight w:val="none"/>
                <w14:textFill>
                  <w14:solidFill>
                    <w14:schemeClr w14:val="tx1"/>
                  </w14:solidFill>
                </w14:textFill>
              </w:rPr>
              <w:t>建设</w:t>
            </w:r>
          </w:p>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r>
              <w:rPr>
                <w:rFonts w:hint="eastAsia" w:ascii="仿宋" w:hAnsi="仿宋" w:eastAsia="仿宋" w:cs="仿宋"/>
                <w:color w:val="000000" w:themeColor="text1"/>
                <w:spacing w:val="12"/>
                <w:sz w:val="21"/>
                <w:szCs w:val="24"/>
                <w:highlight w:val="none"/>
                <w14:textFill>
                  <w14:solidFill>
                    <w14:schemeClr w14:val="tx1"/>
                  </w14:solidFill>
                </w14:textFill>
              </w:rPr>
              <w:t>规模</w:t>
            </w: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r>
              <w:rPr>
                <w:rFonts w:hint="eastAsia" w:ascii="仿宋" w:hAnsi="仿宋" w:eastAsia="仿宋" w:cs="仿宋"/>
                <w:color w:val="000000" w:themeColor="text1"/>
                <w:spacing w:val="12"/>
                <w:sz w:val="21"/>
                <w:szCs w:val="24"/>
                <w:highlight w:val="none"/>
                <w14:textFill>
                  <w14:solidFill>
                    <w14:schemeClr w14:val="tx1"/>
                  </w14:solidFill>
                </w14:textFill>
              </w:rPr>
              <w:t>建筑面积</w:t>
            </w:r>
          </w:p>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r>
              <w:rPr>
                <w:rFonts w:hint="eastAsia" w:ascii="仿宋" w:hAnsi="仿宋" w:eastAsia="仿宋" w:cs="仿宋"/>
                <w:color w:val="000000" w:themeColor="text1"/>
                <w:spacing w:val="12"/>
                <w:sz w:val="21"/>
                <w:szCs w:val="24"/>
                <w:highlight w:val="none"/>
                <w14:textFill>
                  <w14:solidFill>
                    <w14:schemeClr w14:val="tx1"/>
                  </w14:solidFill>
                </w14:textFill>
              </w:rPr>
              <w:t>(平方米)</w:t>
            </w: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r>
              <w:rPr>
                <w:rFonts w:hint="eastAsia" w:ascii="仿宋" w:hAnsi="仿宋" w:eastAsia="仿宋" w:cs="仿宋"/>
                <w:color w:val="000000" w:themeColor="text1"/>
                <w:spacing w:val="12"/>
                <w:sz w:val="21"/>
                <w:szCs w:val="24"/>
                <w:highlight w:val="none"/>
                <w14:textFill>
                  <w14:solidFill>
                    <w14:schemeClr w14:val="tx1"/>
                  </w14:solidFill>
                </w14:textFill>
              </w:rPr>
              <w:t>结</w:t>
            </w:r>
          </w:p>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r>
              <w:rPr>
                <w:rFonts w:hint="eastAsia" w:ascii="仿宋" w:hAnsi="仿宋" w:eastAsia="仿宋" w:cs="仿宋"/>
                <w:color w:val="000000" w:themeColor="text1"/>
                <w:spacing w:val="12"/>
                <w:sz w:val="21"/>
                <w:szCs w:val="24"/>
                <w:highlight w:val="none"/>
                <w14:textFill>
                  <w14:solidFill>
                    <w14:schemeClr w14:val="tx1"/>
                  </w14:solidFill>
                </w14:textFill>
              </w:rPr>
              <w:t>构</w:t>
            </w:r>
          </w:p>
        </w:tc>
        <w:tc>
          <w:tcPr>
            <w:tcW w:w="525" w:type="dxa"/>
          </w:tcPr>
          <w:p>
            <w:pPr>
              <w:spacing w:line="540" w:lineRule="exact"/>
              <w:jc w:val="center"/>
              <w:rPr>
                <w:rFonts w:hint="eastAsia" w:ascii="仿宋" w:hAnsi="仿宋" w:eastAsia="仿宋" w:cs="仿宋"/>
                <w:color w:val="000000" w:themeColor="text1"/>
                <w:spacing w:val="12"/>
                <w:sz w:val="21"/>
                <w:szCs w:val="24"/>
                <w:highlight w:val="none"/>
                <w14:textFill>
                  <w14:solidFill>
                    <w14:schemeClr w14:val="tx1"/>
                  </w14:solidFill>
                </w14:textFill>
              </w:rPr>
            </w:pPr>
            <w:r>
              <w:rPr>
                <w:rFonts w:hint="eastAsia" w:ascii="仿宋" w:hAnsi="仿宋" w:eastAsia="仿宋" w:cs="仿宋"/>
                <w:color w:val="000000" w:themeColor="text1"/>
                <w:spacing w:val="12"/>
                <w:sz w:val="21"/>
                <w:szCs w:val="24"/>
                <w:highlight w:val="none"/>
                <w14:textFill>
                  <w14:solidFill>
                    <w14:schemeClr w14:val="tx1"/>
                  </w14:solidFill>
                </w14:textFill>
              </w:rPr>
              <w:t>层</w:t>
            </w:r>
          </w:p>
          <w:p>
            <w:pPr>
              <w:spacing w:line="540" w:lineRule="exact"/>
              <w:jc w:val="center"/>
              <w:rPr>
                <w:rFonts w:hint="eastAsia" w:ascii="仿宋" w:hAnsi="仿宋" w:eastAsia="仿宋" w:cs="仿宋"/>
                <w:color w:val="000000" w:themeColor="text1"/>
                <w:spacing w:val="12"/>
                <w:sz w:val="21"/>
                <w:szCs w:val="24"/>
                <w:highlight w:val="none"/>
                <w14:textFill>
                  <w14:solidFill>
                    <w14:schemeClr w14:val="tx1"/>
                  </w14:solidFill>
                </w14:textFill>
              </w:rPr>
            </w:pPr>
          </w:p>
          <w:p>
            <w:pPr>
              <w:spacing w:line="540" w:lineRule="exact"/>
              <w:jc w:val="center"/>
              <w:rPr>
                <w:rFonts w:hint="eastAsia" w:ascii="仿宋" w:hAnsi="仿宋" w:eastAsia="仿宋" w:cs="仿宋"/>
                <w:color w:val="000000" w:themeColor="text1"/>
                <w:spacing w:val="12"/>
                <w:sz w:val="21"/>
                <w:szCs w:val="24"/>
                <w:highlight w:val="none"/>
                <w14:textFill>
                  <w14:solidFill>
                    <w14:schemeClr w14:val="tx1"/>
                  </w14:solidFill>
                </w14:textFill>
              </w:rPr>
            </w:pPr>
            <w:r>
              <w:rPr>
                <w:rFonts w:hint="eastAsia" w:ascii="仿宋" w:hAnsi="仿宋" w:eastAsia="仿宋" w:cs="仿宋"/>
                <w:color w:val="000000" w:themeColor="text1"/>
                <w:spacing w:val="12"/>
                <w:sz w:val="21"/>
                <w:szCs w:val="24"/>
                <w:highlight w:val="none"/>
                <w14:textFill>
                  <w14:solidFill>
                    <w14:schemeClr w14:val="tx1"/>
                  </w14:solidFill>
                </w14:textFill>
              </w:rPr>
              <w:t>数</w:t>
            </w:r>
          </w:p>
        </w:tc>
        <w:tc>
          <w:tcPr>
            <w:tcW w:w="735" w:type="dxa"/>
            <w:vAlign w:val="center"/>
          </w:tcPr>
          <w:p>
            <w:pPr>
              <w:spacing w:line="540" w:lineRule="exact"/>
              <w:jc w:val="center"/>
              <w:rPr>
                <w:rFonts w:hint="eastAsia" w:ascii="仿宋" w:hAnsi="仿宋" w:eastAsia="仿宋" w:cs="仿宋"/>
                <w:color w:val="000000" w:themeColor="text1"/>
                <w:spacing w:val="12"/>
                <w:sz w:val="21"/>
                <w:szCs w:val="24"/>
                <w:highlight w:val="none"/>
                <w14:textFill>
                  <w14:solidFill>
                    <w14:schemeClr w14:val="tx1"/>
                  </w14:solidFill>
                </w14:textFill>
              </w:rPr>
            </w:pPr>
            <w:r>
              <w:rPr>
                <w:rFonts w:hint="eastAsia" w:ascii="仿宋" w:hAnsi="仿宋" w:eastAsia="仿宋" w:cs="仿宋"/>
                <w:color w:val="000000" w:themeColor="text1"/>
                <w:spacing w:val="12"/>
                <w:sz w:val="21"/>
                <w:szCs w:val="24"/>
                <w:highlight w:val="none"/>
                <w14:textFill>
                  <w14:solidFill>
                    <w14:schemeClr w14:val="tx1"/>
                  </w14:solidFill>
                </w14:textFill>
              </w:rPr>
              <w:t>跨</w:t>
            </w:r>
          </w:p>
          <w:p>
            <w:pPr>
              <w:spacing w:line="540" w:lineRule="exact"/>
              <w:jc w:val="center"/>
              <w:rPr>
                <w:rFonts w:hint="eastAsia" w:ascii="仿宋" w:hAnsi="仿宋" w:eastAsia="仿宋" w:cs="仿宋"/>
                <w:color w:val="000000" w:themeColor="text1"/>
                <w:spacing w:val="12"/>
                <w:sz w:val="21"/>
                <w:szCs w:val="24"/>
                <w:highlight w:val="none"/>
                <w14:textFill>
                  <w14:solidFill>
                    <w14:schemeClr w14:val="tx1"/>
                  </w14:solidFill>
                </w14:textFill>
              </w:rPr>
            </w:pPr>
            <w:r>
              <w:rPr>
                <w:rFonts w:hint="eastAsia" w:ascii="仿宋" w:hAnsi="仿宋" w:eastAsia="仿宋" w:cs="仿宋"/>
                <w:color w:val="000000" w:themeColor="text1"/>
                <w:spacing w:val="12"/>
                <w:sz w:val="21"/>
                <w:szCs w:val="24"/>
                <w:highlight w:val="none"/>
                <w14:textFill>
                  <w14:solidFill>
                    <w14:schemeClr w14:val="tx1"/>
                  </w14:solidFill>
                </w14:textFill>
              </w:rPr>
              <w:t>度(米)</w:t>
            </w:r>
          </w:p>
        </w:tc>
        <w:tc>
          <w:tcPr>
            <w:tcW w:w="1155" w:type="dxa"/>
          </w:tcPr>
          <w:p>
            <w:pPr>
              <w:spacing w:line="540" w:lineRule="exact"/>
              <w:jc w:val="center"/>
              <w:rPr>
                <w:rFonts w:hint="eastAsia" w:ascii="仿宋" w:hAnsi="仿宋" w:eastAsia="仿宋" w:cs="仿宋"/>
                <w:color w:val="000000" w:themeColor="text1"/>
                <w:spacing w:val="12"/>
                <w:sz w:val="21"/>
                <w:szCs w:val="24"/>
                <w:highlight w:val="none"/>
                <w14:textFill>
                  <w14:solidFill>
                    <w14:schemeClr w14:val="tx1"/>
                  </w14:solidFill>
                </w14:textFill>
              </w:rPr>
            </w:pPr>
            <w:r>
              <w:rPr>
                <w:rFonts w:hint="eastAsia" w:ascii="仿宋" w:hAnsi="仿宋" w:eastAsia="仿宋" w:cs="仿宋"/>
                <w:color w:val="000000" w:themeColor="text1"/>
                <w:spacing w:val="12"/>
                <w:sz w:val="21"/>
                <w:szCs w:val="24"/>
                <w:highlight w:val="none"/>
                <w14:textFill>
                  <w14:solidFill>
                    <w14:schemeClr w14:val="tx1"/>
                  </w14:solidFill>
                </w14:textFill>
              </w:rPr>
              <w:t>设备安装</w:t>
            </w:r>
          </w:p>
          <w:p>
            <w:pPr>
              <w:spacing w:line="540" w:lineRule="exact"/>
              <w:jc w:val="center"/>
              <w:rPr>
                <w:rFonts w:hint="eastAsia" w:ascii="仿宋" w:hAnsi="仿宋" w:eastAsia="仿宋" w:cs="仿宋"/>
                <w:color w:val="000000" w:themeColor="text1"/>
                <w:spacing w:val="12"/>
                <w:sz w:val="21"/>
                <w:szCs w:val="24"/>
                <w:highlight w:val="none"/>
                <w14:textFill>
                  <w14:solidFill>
                    <w14:schemeClr w14:val="tx1"/>
                  </w14:solidFill>
                </w14:textFill>
              </w:rPr>
            </w:pPr>
          </w:p>
          <w:p>
            <w:pPr>
              <w:spacing w:line="540" w:lineRule="exact"/>
              <w:jc w:val="center"/>
              <w:rPr>
                <w:rFonts w:hint="eastAsia" w:ascii="仿宋" w:hAnsi="仿宋" w:eastAsia="仿宋" w:cs="仿宋"/>
                <w:color w:val="000000" w:themeColor="text1"/>
                <w:spacing w:val="12"/>
                <w:sz w:val="21"/>
                <w:szCs w:val="24"/>
                <w:highlight w:val="none"/>
                <w14:textFill>
                  <w14:solidFill>
                    <w14:schemeClr w14:val="tx1"/>
                  </w14:solidFill>
                </w14:textFill>
              </w:rPr>
            </w:pPr>
            <w:r>
              <w:rPr>
                <w:rFonts w:hint="eastAsia" w:ascii="仿宋" w:hAnsi="仿宋" w:eastAsia="仿宋" w:cs="仿宋"/>
                <w:color w:val="000000" w:themeColor="text1"/>
                <w:spacing w:val="12"/>
                <w:sz w:val="21"/>
                <w:szCs w:val="24"/>
                <w:highlight w:val="none"/>
                <w14:textFill>
                  <w14:solidFill>
                    <w14:schemeClr w14:val="tx1"/>
                  </w14:solidFill>
                </w14:textFill>
              </w:rPr>
              <w:t>内   容</w:t>
            </w:r>
          </w:p>
        </w:tc>
        <w:tc>
          <w:tcPr>
            <w:tcW w:w="735" w:type="dxa"/>
          </w:tcPr>
          <w:p>
            <w:pPr>
              <w:spacing w:line="540" w:lineRule="exact"/>
              <w:jc w:val="center"/>
              <w:rPr>
                <w:rFonts w:hint="eastAsia" w:ascii="仿宋" w:hAnsi="仿宋" w:eastAsia="仿宋" w:cs="仿宋"/>
                <w:color w:val="000000" w:themeColor="text1"/>
                <w:spacing w:val="12"/>
                <w:sz w:val="21"/>
                <w:szCs w:val="24"/>
                <w:highlight w:val="none"/>
                <w14:textFill>
                  <w14:solidFill>
                    <w14:schemeClr w14:val="tx1"/>
                  </w14:solidFill>
                </w14:textFill>
              </w:rPr>
            </w:pPr>
            <w:r>
              <w:rPr>
                <w:rFonts w:hint="eastAsia" w:ascii="仿宋" w:hAnsi="仿宋" w:eastAsia="仿宋" w:cs="仿宋"/>
                <w:color w:val="000000" w:themeColor="text1"/>
                <w:spacing w:val="12"/>
                <w:sz w:val="21"/>
                <w:szCs w:val="24"/>
                <w:highlight w:val="none"/>
                <w14:textFill>
                  <w14:solidFill>
                    <w14:schemeClr w14:val="tx1"/>
                  </w14:solidFill>
                </w14:textFill>
              </w:rPr>
              <w:t>工程造价</w:t>
            </w:r>
          </w:p>
          <w:p>
            <w:pPr>
              <w:spacing w:line="540" w:lineRule="exact"/>
              <w:jc w:val="center"/>
              <w:rPr>
                <w:rFonts w:hint="eastAsia" w:ascii="仿宋" w:hAnsi="仿宋" w:eastAsia="仿宋" w:cs="仿宋"/>
                <w:color w:val="000000" w:themeColor="text1"/>
                <w:spacing w:val="12"/>
                <w:sz w:val="21"/>
                <w:szCs w:val="24"/>
                <w:highlight w:val="none"/>
                <w14:textFill>
                  <w14:solidFill>
                    <w14:schemeClr w14:val="tx1"/>
                  </w14:solidFill>
                </w14:textFill>
              </w:rPr>
            </w:pPr>
            <w:r>
              <w:rPr>
                <w:rFonts w:hint="eastAsia" w:ascii="仿宋" w:hAnsi="仿宋" w:eastAsia="仿宋" w:cs="仿宋"/>
                <w:color w:val="000000" w:themeColor="text1"/>
                <w:spacing w:val="12"/>
                <w:sz w:val="21"/>
                <w:szCs w:val="24"/>
                <w:highlight w:val="none"/>
                <w14:textFill>
                  <w14:solidFill>
                    <w14:schemeClr w14:val="tx1"/>
                  </w14:solidFill>
                </w14:textFill>
              </w:rPr>
              <w:t>(元)</w:t>
            </w:r>
          </w:p>
        </w:tc>
        <w:tc>
          <w:tcPr>
            <w:tcW w:w="1048"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r>
              <w:rPr>
                <w:rFonts w:hint="eastAsia" w:ascii="仿宋" w:hAnsi="仿宋" w:eastAsia="仿宋" w:cs="仿宋"/>
                <w:color w:val="000000" w:themeColor="text1"/>
                <w:spacing w:val="12"/>
                <w:sz w:val="21"/>
                <w:szCs w:val="24"/>
                <w:highlight w:val="none"/>
                <w14:textFill>
                  <w14:solidFill>
                    <w14:schemeClr w14:val="tx1"/>
                  </w14:solidFill>
                </w14:textFill>
              </w:rPr>
              <w:t>开工</w:t>
            </w:r>
          </w:p>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r>
              <w:rPr>
                <w:rFonts w:hint="eastAsia" w:ascii="仿宋" w:hAnsi="仿宋" w:eastAsia="仿宋" w:cs="仿宋"/>
                <w:color w:val="000000" w:themeColor="text1"/>
                <w:spacing w:val="12"/>
                <w:sz w:val="21"/>
                <w:szCs w:val="24"/>
                <w:highlight w:val="none"/>
                <w14:textFill>
                  <w14:solidFill>
                    <w14:schemeClr w14:val="tx1"/>
                  </w14:solidFill>
                </w14:textFill>
              </w:rPr>
              <w:t>日期</w:t>
            </w:r>
          </w:p>
        </w:tc>
        <w:tc>
          <w:tcPr>
            <w:tcW w:w="1276" w:type="dxa"/>
          </w:tcPr>
          <w:p>
            <w:pPr>
              <w:spacing w:line="540" w:lineRule="exact"/>
              <w:jc w:val="center"/>
              <w:rPr>
                <w:rFonts w:hint="eastAsia" w:ascii="仿宋" w:hAnsi="仿宋" w:eastAsia="仿宋" w:cs="仿宋"/>
                <w:color w:val="000000" w:themeColor="text1"/>
                <w:spacing w:val="12"/>
                <w:sz w:val="21"/>
                <w:szCs w:val="24"/>
                <w:highlight w:val="none"/>
                <w14:textFill>
                  <w14:solidFill>
                    <w14:schemeClr w14:val="tx1"/>
                  </w14:solidFill>
                </w14:textFill>
              </w:rPr>
            </w:pPr>
            <w:r>
              <w:rPr>
                <w:rFonts w:hint="eastAsia" w:ascii="仿宋" w:hAnsi="仿宋" w:eastAsia="仿宋" w:cs="仿宋"/>
                <w:color w:val="000000" w:themeColor="text1"/>
                <w:spacing w:val="12"/>
                <w:sz w:val="21"/>
                <w:szCs w:val="24"/>
                <w:highlight w:val="none"/>
                <w14:textFill>
                  <w14:solidFill>
                    <w14:schemeClr w14:val="tx1"/>
                  </w14:solidFill>
                </w14:textFill>
              </w:rPr>
              <w:t>竣工</w:t>
            </w:r>
          </w:p>
          <w:p>
            <w:pPr>
              <w:spacing w:line="540" w:lineRule="exact"/>
              <w:jc w:val="center"/>
              <w:rPr>
                <w:rFonts w:hint="eastAsia" w:ascii="仿宋" w:hAnsi="仿宋" w:eastAsia="仿宋" w:cs="仿宋"/>
                <w:color w:val="000000" w:themeColor="text1"/>
                <w:spacing w:val="12"/>
                <w:sz w:val="21"/>
                <w:szCs w:val="24"/>
                <w:highlight w:val="none"/>
                <w14:textFill>
                  <w14:solidFill>
                    <w14:schemeClr w14:val="tx1"/>
                  </w14:solidFill>
                </w14:textFill>
              </w:rPr>
            </w:pPr>
          </w:p>
          <w:p>
            <w:pPr>
              <w:spacing w:line="540" w:lineRule="exact"/>
              <w:jc w:val="center"/>
              <w:rPr>
                <w:rFonts w:hint="eastAsia" w:ascii="仿宋" w:hAnsi="仿宋" w:eastAsia="仿宋" w:cs="仿宋"/>
                <w:color w:val="000000" w:themeColor="text1"/>
                <w:spacing w:val="12"/>
                <w:sz w:val="21"/>
                <w:szCs w:val="24"/>
                <w:highlight w:val="none"/>
                <w14:textFill>
                  <w14:solidFill>
                    <w14:schemeClr w14:val="tx1"/>
                  </w14:solidFill>
                </w14:textFill>
              </w:rPr>
            </w:pPr>
            <w:r>
              <w:rPr>
                <w:rFonts w:hint="eastAsia" w:ascii="仿宋" w:hAnsi="仿宋" w:eastAsia="仿宋" w:cs="仿宋"/>
                <w:color w:val="000000" w:themeColor="text1"/>
                <w:spacing w:val="12"/>
                <w:sz w:val="21"/>
                <w:szCs w:val="24"/>
                <w:highlight w:val="none"/>
                <w14:textFill>
                  <w14:solidFill>
                    <w14:schemeClr w14:val="tx1"/>
                  </w14:solidFill>
                </w14:textFill>
              </w:rPr>
              <w:t>日期</w:t>
            </w:r>
          </w:p>
        </w:tc>
      </w:tr>
      <w:tr>
        <w:trPr>
          <w:cantSplit/>
          <w:trHeight w:val="465" w:hRule="atLeast"/>
        </w:trPr>
        <w:tc>
          <w:tcPr>
            <w:tcW w:w="1691" w:type="dxa"/>
          </w:tcPr>
          <w:p>
            <w:pPr>
              <w:spacing w:line="540" w:lineRule="exact"/>
              <w:rPr>
                <w:rFonts w:hint="eastAsia" w:ascii="仿宋" w:hAnsi="仿宋" w:eastAsia="仿宋" w:cs="仿宋"/>
                <w:color w:val="000000" w:themeColor="text1"/>
                <w:sz w:val="21"/>
                <w:szCs w:val="24"/>
                <w:highlight w:val="none"/>
                <w14:textFill>
                  <w14:solidFill>
                    <w14:schemeClr w14:val="tx1"/>
                  </w14:solidFill>
                </w14:textFill>
              </w:rPr>
            </w:pPr>
          </w:p>
        </w:tc>
        <w:tc>
          <w:tcPr>
            <w:tcW w:w="7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048"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276"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r>
      <w:tr>
        <w:tc>
          <w:tcPr>
            <w:tcW w:w="1691" w:type="dxa"/>
          </w:tcPr>
          <w:p>
            <w:pPr>
              <w:spacing w:line="540" w:lineRule="exact"/>
              <w:rPr>
                <w:rFonts w:hint="eastAsia" w:ascii="仿宋" w:hAnsi="仿宋" w:eastAsia="仿宋" w:cs="仿宋"/>
                <w:color w:val="000000" w:themeColor="text1"/>
                <w:sz w:val="21"/>
                <w:szCs w:val="24"/>
                <w:highlight w:val="none"/>
                <w14:textFill>
                  <w14:solidFill>
                    <w14:schemeClr w14:val="tx1"/>
                  </w14:solidFill>
                </w14:textFill>
              </w:rPr>
            </w:pPr>
          </w:p>
        </w:tc>
        <w:tc>
          <w:tcPr>
            <w:tcW w:w="7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048"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276"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r>
      <w:tr>
        <w:tc>
          <w:tcPr>
            <w:tcW w:w="16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048"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276"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r>
      <w:tr>
        <w:tc>
          <w:tcPr>
            <w:tcW w:w="16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048"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276"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r>
      <w:tr>
        <w:tc>
          <w:tcPr>
            <w:tcW w:w="16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048"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276"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r>
      <w:tr>
        <w:tc>
          <w:tcPr>
            <w:tcW w:w="16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048"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276"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r>
      <w:tr>
        <w:tc>
          <w:tcPr>
            <w:tcW w:w="16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048"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276"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r>
      <w:tr>
        <w:tc>
          <w:tcPr>
            <w:tcW w:w="16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048"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276"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r>
      <w:tr>
        <w:tc>
          <w:tcPr>
            <w:tcW w:w="16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048"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276"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r>
      <w:tr>
        <w:tc>
          <w:tcPr>
            <w:tcW w:w="16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048"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276"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r>
      <w:tr>
        <w:tc>
          <w:tcPr>
            <w:tcW w:w="16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048"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276"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r>
      <w:tr>
        <w:tc>
          <w:tcPr>
            <w:tcW w:w="16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048"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276"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r>
      <w:tr>
        <w:tc>
          <w:tcPr>
            <w:tcW w:w="16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048"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276"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r>
      <w:tr>
        <w:tc>
          <w:tcPr>
            <w:tcW w:w="16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048"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276"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r>
      <w:tr>
        <w:tc>
          <w:tcPr>
            <w:tcW w:w="16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048"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276"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r>
      <w:tr>
        <w:tc>
          <w:tcPr>
            <w:tcW w:w="16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048"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276"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r>
      <w:tr>
        <w:tc>
          <w:tcPr>
            <w:tcW w:w="16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048"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276"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r>
      <w:tr>
        <w:tc>
          <w:tcPr>
            <w:tcW w:w="16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048"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276"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r>
      <w:tr>
        <w:tc>
          <w:tcPr>
            <w:tcW w:w="16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91"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52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15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735"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048"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c>
          <w:tcPr>
            <w:tcW w:w="1276" w:type="dxa"/>
          </w:tcPr>
          <w:p>
            <w:pPr>
              <w:spacing w:line="540" w:lineRule="exact"/>
              <w:rPr>
                <w:rFonts w:hint="eastAsia" w:ascii="仿宋" w:hAnsi="仿宋" w:eastAsia="仿宋" w:cs="仿宋"/>
                <w:color w:val="000000" w:themeColor="text1"/>
                <w:spacing w:val="12"/>
                <w:sz w:val="21"/>
                <w:szCs w:val="24"/>
                <w:highlight w:val="none"/>
                <w14:textFill>
                  <w14:solidFill>
                    <w14:schemeClr w14:val="tx1"/>
                  </w14:solidFill>
                </w14:textFill>
              </w:rPr>
            </w:pPr>
          </w:p>
        </w:tc>
      </w:tr>
    </w:tbl>
    <w:p>
      <w:pPr>
        <w:keepNext/>
        <w:keepLines/>
        <w:spacing w:before="120" w:beforeLines="50" w:after="120" w:afterLines="50" w:line="360" w:lineRule="auto"/>
        <w:outlineLvl w:val="0"/>
        <w:rPr>
          <w:rFonts w:hint="eastAsia" w:ascii="仿宋" w:hAnsi="仿宋" w:eastAsia="仿宋" w:cs="仿宋"/>
          <w:b/>
          <w:bCs/>
          <w:color w:val="000000" w:themeColor="text1"/>
          <w:szCs w:val="21"/>
          <w:highlight w:val="none"/>
          <w14:textFill>
            <w14:solidFill>
              <w14:schemeClr w14:val="tx1"/>
            </w14:solidFill>
          </w14:textFill>
        </w:rPr>
        <w:sectPr>
          <w:footerReference r:id="rId3" w:type="default"/>
          <w:pgSz w:w="11905" w:h="16838"/>
          <w:pgMar w:top="1417" w:right="1134" w:bottom="1417" w:left="1134" w:header="851" w:footer="850" w:gutter="0"/>
          <w:cols w:space="0" w:num="1"/>
          <w:titlePg/>
          <w:rtlGutter w:val="0"/>
          <w:docGrid w:linePitch="312" w:charSpace="0"/>
        </w:sectPr>
      </w:pPr>
    </w:p>
    <w:p>
      <w:pPr>
        <w:keepNext/>
        <w:keepLines/>
        <w:spacing w:before="120" w:beforeLines="50" w:after="120" w:afterLines="50" w:line="360" w:lineRule="auto"/>
        <w:outlineLvl w:val="1"/>
        <w:rPr>
          <w:rFonts w:hint="eastAsia" w:ascii="仿宋" w:hAnsi="仿宋" w:eastAsia="仿宋" w:cs="仿宋"/>
          <w:color w:val="000000" w:themeColor="text1"/>
          <w:kern w:val="0"/>
          <w:sz w:val="24"/>
          <w:szCs w:val="20"/>
          <w:highlight w:val="none"/>
          <w14:textFill>
            <w14:solidFill>
              <w14:schemeClr w14:val="tx1"/>
            </w14:solidFill>
          </w14:textFill>
        </w:rPr>
      </w:pPr>
      <w:bookmarkStart w:id="1008" w:name="_Toc486580455"/>
      <w:bookmarkStart w:id="1009" w:name="_Toc497584114"/>
      <w:bookmarkStart w:id="1010" w:name="_Toc485323229"/>
      <w:bookmarkStart w:id="1011" w:name="_Toc489280261"/>
      <w:bookmarkStart w:id="1012" w:name="_Toc497214123"/>
      <w:r>
        <w:rPr>
          <w:rFonts w:hint="eastAsia" w:ascii="仿宋" w:hAnsi="仿宋" w:eastAsia="仿宋" w:cs="仿宋"/>
          <w:color w:val="000000" w:themeColor="text1"/>
          <w:kern w:val="0"/>
          <w:sz w:val="24"/>
          <w:szCs w:val="20"/>
          <w:highlight w:val="none"/>
          <w14:textFill>
            <w14:solidFill>
              <w14:schemeClr w14:val="tx1"/>
            </w14:solidFill>
          </w14:textFill>
        </w:rPr>
        <w:t>附件二：承包人提供的材料和工程设备一览表</w:t>
      </w:r>
      <w:bookmarkEnd w:id="1008"/>
      <w:bookmarkEnd w:id="1009"/>
      <w:bookmarkEnd w:id="1010"/>
      <w:bookmarkEnd w:id="1011"/>
      <w:bookmarkEnd w:id="1012"/>
    </w:p>
    <w:p>
      <w:pPr>
        <w:spacing w:line="360" w:lineRule="auto"/>
        <w:jc w:val="center"/>
        <w:rPr>
          <w:rFonts w:hint="eastAsia" w:ascii="仿宋" w:hAnsi="仿宋" w:eastAsia="仿宋" w:cs="仿宋"/>
          <w:b/>
          <w:color w:val="000000" w:themeColor="text1"/>
          <w:sz w:val="28"/>
          <w:szCs w:val="24"/>
          <w:highlight w:val="none"/>
          <w14:textFill>
            <w14:solidFill>
              <w14:schemeClr w14:val="tx1"/>
            </w14:solidFill>
          </w14:textFill>
        </w:rPr>
      </w:pPr>
      <w:r>
        <w:rPr>
          <w:rFonts w:hint="eastAsia" w:ascii="仿宋" w:hAnsi="仿宋" w:eastAsia="仿宋" w:cs="仿宋"/>
          <w:b/>
          <w:color w:val="000000" w:themeColor="text1"/>
          <w:sz w:val="28"/>
          <w:szCs w:val="24"/>
          <w:highlight w:val="none"/>
          <w14:textFill>
            <w14:solidFill>
              <w14:schemeClr w14:val="tx1"/>
            </w14:solidFill>
          </w14:textFill>
        </w:rPr>
        <w:t>承包人提供的材料和工程设备一览表</w:t>
      </w:r>
    </w:p>
    <w:tbl>
      <w:tblPr>
        <w:tblStyle w:val="9"/>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155"/>
        <w:gridCol w:w="1050"/>
        <w:gridCol w:w="630"/>
        <w:gridCol w:w="525"/>
        <w:gridCol w:w="735"/>
        <w:gridCol w:w="840"/>
        <w:gridCol w:w="840"/>
        <w:gridCol w:w="125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5" w:hRule="atLeast"/>
          <w:jc w:val="center"/>
        </w:trPr>
        <w:tc>
          <w:tcPr>
            <w:tcW w:w="1324" w:type="dxa"/>
            <w:vAlign w:val="center"/>
          </w:tcPr>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序</w:t>
            </w:r>
          </w:p>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号</w:t>
            </w:r>
          </w:p>
        </w:tc>
        <w:tc>
          <w:tcPr>
            <w:tcW w:w="1155" w:type="dxa"/>
            <w:vAlign w:val="center"/>
          </w:tcPr>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材料设备</w:t>
            </w:r>
          </w:p>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名    称</w:t>
            </w:r>
          </w:p>
        </w:tc>
        <w:tc>
          <w:tcPr>
            <w:tcW w:w="1050" w:type="dxa"/>
            <w:vAlign w:val="center"/>
          </w:tcPr>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规格</w:t>
            </w:r>
          </w:p>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型号</w:t>
            </w:r>
          </w:p>
        </w:tc>
        <w:tc>
          <w:tcPr>
            <w:tcW w:w="630" w:type="dxa"/>
            <w:vAlign w:val="center"/>
          </w:tcPr>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单</w:t>
            </w:r>
          </w:p>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位</w:t>
            </w:r>
          </w:p>
        </w:tc>
        <w:tc>
          <w:tcPr>
            <w:tcW w:w="525" w:type="dxa"/>
            <w:vAlign w:val="center"/>
          </w:tcPr>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数</w:t>
            </w:r>
          </w:p>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量</w:t>
            </w:r>
          </w:p>
        </w:tc>
        <w:tc>
          <w:tcPr>
            <w:tcW w:w="735" w:type="dxa"/>
            <w:vAlign w:val="center"/>
          </w:tcPr>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单</w:t>
            </w:r>
          </w:p>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价</w:t>
            </w:r>
          </w:p>
        </w:tc>
        <w:tc>
          <w:tcPr>
            <w:tcW w:w="840" w:type="dxa"/>
            <w:vAlign w:val="center"/>
          </w:tcPr>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交货</w:t>
            </w:r>
          </w:p>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方式</w:t>
            </w:r>
          </w:p>
        </w:tc>
        <w:tc>
          <w:tcPr>
            <w:tcW w:w="840" w:type="dxa"/>
            <w:vAlign w:val="center"/>
          </w:tcPr>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交货</w:t>
            </w:r>
          </w:p>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地点</w:t>
            </w:r>
          </w:p>
        </w:tc>
        <w:tc>
          <w:tcPr>
            <w:tcW w:w="1253" w:type="dxa"/>
            <w:vAlign w:val="center"/>
          </w:tcPr>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计划交货</w:t>
            </w:r>
          </w:p>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时间</w:t>
            </w:r>
          </w:p>
        </w:tc>
        <w:tc>
          <w:tcPr>
            <w:tcW w:w="1134" w:type="dxa"/>
            <w:vAlign w:val="center"/>
          </w:tcPr>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5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3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5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3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5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3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5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3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5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3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5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3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5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3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5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3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5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3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5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3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5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3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5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3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5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3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5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3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5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3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5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3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5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3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5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3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5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3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5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3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5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3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5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3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5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3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5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3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5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3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5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3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5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3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5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3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5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3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5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3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5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3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5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3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5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3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5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3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5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3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5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34"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bl>
    <w:p>
      <w:pPr>
        <w:keepNext/>
        <w:keepLines/>
        <w:spacing w:before="120" w:beforeLines="50" w:after="120" w:afterLines="50" w:line="360" w:lineRule="auto"/>
        <w:outlineLvl w:val="1"/>
        <w:rPr>
          <w:rFonts w:hint="eastAsia" w:ascii="仿宋" w:hAnsi="仿宋" w:eastAsia="仿宋" w:cs="仿宋"/>
          <w:color w:val="000000" w:themeColor="text1"/>
          <w:kern w:val="0"/>
          <w:sz w:val="24"/>
          <w:szCs w:val="20"/>
          <w:highlight w:val="none"/>
          <w14:textFill>
            <w14:solidFill>
              <w14:schemeClr w14:val="tx1"/>
            </w14:solidFill>
          </w14:textFill>
        </w:rPr>
      </w:pPr>
      <w:r>
        <w:rPr>
          <w:rFonts w:hint="eastAsia" w:ascii="仿宋" w:hAnsi="仿宋" w:eastAsia="仿宋" w:cs="仿宋"/>
          <w:color w:val="000000" w:themeColor="text1"/>
          <w:kern w:val="0"/>
          <w:sz w:val="24"/>
          <w:szCs w:val="20"/>
          <w:highlight w:val="none"/>
          <w14:textFill>
            <w14:solidFill>
              <w14:schemeClr w14:val="tx1"/>
            </w14:solidFill>
          </w14:textFill>
        </w:rPr>
        <w:br w:type="page"/>
      </w:r>
      <w:bookmarkStart w:id="1013" w:name="_Toc486580456"/>
      <w:bookmarkStart w:id="1014" w:name="_Toc497584115"/>
      <w:bookmarkStart w:id="1015" w:name="_Toc497214124"/>
      <w:bookmarkStart w:id="1016" w:name="_Toc485323230"/>
      <w:bookmarkStart w:id="1017" w:name="_Toc489280262"/>
      <w:r>
        <w:rPr>
          <w:rFonts w:hint="eastAsia" w:ascii="仿宋" w:hAnsi="仿宋" w:eastAsia="仿宋" w:cs="仿宋"/>
          <w:color w:val="000000" w:themeColor="text1"/>
          <w:kern w:val="0"/>
          <w:sz w:val="24"/>
          <w:szCs w:val="20"/>
          <w:highlight w:val="none"/>
          <w14:textFill>
            <w14:solidFill>
              <w14:schemeClr w14:val="tx1"/>
            </w14:solidFill>
          </w14:textFill>
        </w:rPr>
        <w:t>附件三：发包人提供的材料和工程设备一览表</w:t>
      </w:r>
      <w:bookmarkEnd w:id="1013"/>
      <w:bookmarkEnd w:id="1014"/>
      <w:bookmarkEnd w:id="1015"/>
      <w:bookmarkEnd w:id="1016"/>
      <w:bookmarkEnd w:id="1017"/>
    </w:p>
    <w:p>
      <w:pPr>
        <w:spacing w:line="360" w:lineRule="auto"/>
        <w:jc w:val="center"/>
        <w:rPr>
          <w:rFonts w:hint="eastAsia" w:ascii="仿宋" w:hAnsi="仿宋" w:eastAsia="仿宋" w:cs="仿宋"/>
          <w:b/>
          <w:color w:val="000000" w:themeColor="text1"/>
          <w:sz w:val="28"/>
          <w:szCs w:val="24"/>
          <w:highlight w:val="none"/>
          <w14:textFill>
            <w14:solidFill>
              <w14:schemeClr w14:val="tx1"/>
            </w14:solidFill>
          </w14:textFill>
        </w:rPr>
      </w:pPr>
      <w:r>
        <w:rPr>
          <w:rFonts w:hint="eastAsia" w:ascii="仿宋" w:hAnsi="仿宋" w:eastAsia="仿宋" w:cs="仿宋"/>
          <w:b/>
          <w:color w:val="000000" w:themeColor="text1"/>
          <w:sz w:val="28"/>
          <w:szCs w:val="24"/>
          <w:highlight w:val="none"/>
          <w14:textFill>
            <w14:solidFill>
              <w14:schemeClr w14:val="tx1"/>
            </w14:solidFill>
          </w14:textFill>
        </w:rPr>
        <w:t>发包人提供的材料和工程设备一览表</w:t>
      </w:r>
    </w:p>
    <w:tbl>
      <w:tblPr>
        <w:tblStyle w:val="9"/>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585"/>
        <w:gridCol w:w="1000"/>
        <w:gridCol w:w="882"/>
        <w:gridCol w:w="525"/>
        <w:gridCol w:w="735"/>
        <w:gridCol w:w="840"/>
        <w:gridCol w:w="840"/>
        <w:gridCol w:w="735"/>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5" w:hRule="atLeast"/>
          <w:jc w:val="center"/>
        </w:trPr>
        <w:tc>
          <w:tcPr>
            <w:tcW w:w="1193" w:type="dxa"/>
            <w:vAlign w:val="center"/>
          </w:tcPr>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序</w:t>
            </w:r>
          </w:p>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号</w:t>
            </w:r>
          </w:p>
        </w:tc>
        <w:tc>
          <w:tcPr>
            <w:tcW w:w="1585" w:type="dxa"/>
            <w:vAlign w:val="center"/>
          </w:tcPr>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材料设备</w:t>
            </w:r>
          </w:p>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名    称</w:t>
            </w:r>
          </w:p>
        </w:tc>
        <w:tc>
          <w:tcPr>
            <w:tcW w:w="1000" w:type="dxa"/>
            <w:vAlign w:val="center"/>
          </w:tcPr>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规格</w:t>
            </w:r>
          </w:p>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型号</w:t>
            </w:r>
          </w:p>
        </w:tc>
        <w:tc>
          <w:tcPr>
            <w:tcW w:w="882" w:type="dxa"/>
            <w:vAlign w:val="center"/>
          </w:tcPr>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单</w:t>
            </w:r>
          </w:p>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位</w:t>
            </w:r>
          </w:p>
        </w:tc>
        <w:tc>
          <w:tcPr>
            <w:tcW w:w="525" w:type="dxa"/>
            <w:vAlign w:val="center"/>
          </w:tcPr>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数</w:t>
            </w:r>
          </w:p>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量</w:t>
            </w:r>
          </w:p>
        </w:tc>
        <w:tc>
          <w:tcPr>
            <w:tcW w:w="735" w:type="dxa"/>
            <w:vAlign w:val="center"/>
          </w:tcPr>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单</w:t>
            </w:r>
          </w:p>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价</w:t>
            </w:r>
          </w:p>
        </w:tc>
        <w:tc>
          <w:tcPr>
            <w:tcW w:w="840" w:type="dxa"/>
            <w:vAlign w:val="center"/>
          </w:tcPr>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交货</w:t>
            </w:r>
          </w:p>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方式</w:t>
            </w:r>
          </w:p>
        </w:tc>
        <w:tc>
          <w:tcPr>
            <w:tcW w:w="840" w:type="dxa"/>
            <w:vAlign w:val="center"/>
          </w:tcPr>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交货</w:t>
            </w:r>
          </w:p>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地点</w:t>
            </w:r>
          </w:p>
        </w:tc>
        <w:tc>
          <w:tcPr>
            <w:tcW w:w="735" w:type="dxa"/>
            <w:vAlign w:val="center"/>
          </w:tcPr>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计划交货</w:t>
            </w:r>
          </w:p>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时间</w:t>
            </w:r>
          </w:p>
        </w:tc>
        <w:tc>
          <w:tcPr>
            <w:tcW w:w="1222" w:type="dxa"/>
            <w:vAlign w:val="center"/>
          </w:tcPr>
          <w:p>
            <w:pPr>
              <w:spacing w:line="360" w:lineRule="auto"/>
              <w:jc w:val="center"/>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8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0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2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8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0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2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8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0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2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8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0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2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8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0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2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8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0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2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8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0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2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8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0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2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8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0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2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8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0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2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8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0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2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8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0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2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8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0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2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8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0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2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8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0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2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8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0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2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3"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8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00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52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40"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35"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22" w:type="dxa"/>
          </w:tcPr>
          <w:p>
            <w:pPr>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bl>
    <w:p>
      <w:pPr>
        <w:tabs>
          <w:tab w:val="left" w:pos="1440"/>
        </w:tabs>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备注：除合同另有约定外，本表所列发包人供应材料和工程设备的数量不考虑施工损耗，施工损耗被认为已经包括在承包人的投标价格中。</w:t>
      </w:r>
    </w:p>
    <w:p>
      <w:pPr>
        <w:keepNext/>
        <w:keepLines/>
        <w:spacing w:before="120" w:beforeLines="50" w:after="120" w:afterLines="50" w:line="360" w:lineRule="auto"/>
        <w:outlineLvl w:val="1"/>
        <w:rPr>
          <w:rFonts w:hint="eastAsia" w:ascii="仿宋" w:hAnsi="仿宋" w:eastAsia="仿宋" w:cs="仿宋"/>
          <w:bCs/>
          <w:color w:val="000000" w:themeColor="text1"/>
          <w:sz w:val="21"/>
          <w:szCs w:val="24"/>
          <w:highlight w:val="none"/>
          <w14:textFill>
            <w14:solidFill>
              <w14:schemeClr w14:val="tx1"/>
            </w14:solidFill>
          </w14:textFill>
        </w:rPr>
      </w:pPr>
      <w:r>
        <w:rPr>
          <w:rFonts w:hint="eastAsia" w:ascii="仿宋" w:hAnsi="仿宋" w:eastAsia="仿宋" w:cs="仿宋"/>
          <w:bCs/>
          <w:color w:val="000000" w:themeColor="text1"/>
          <w:sz w:val="21"/>
          <w:szCs w:val="24"/>
          <w:highlight w:val="none"/>
          <w14:textFill>
            <w14:solidFill>
              <w14:schemeClr w14:val="tx1"/>
            </w14:solidFill>
          </w14:textFill>
        </w:rPr>
        <w:t xml:space="preserve"> </w:t>
      </w:r>
    </w:p>
    <w:p>
      <w:pPr>
        <w:spacing w:line="360" w:lineRule="auto"/>
        <w:rPr>
          <w:rFonts w:hint="eastAsia" w:ascii="仿宋" w:hAnsi="仿宋" w:eastAsia="仿宋" w:cs="仿宋"/>
          <w:bCs/>
          <w:color w:val="000000" w:themeColor="text1"/>
          <w:sz w:val="21"/>
          <w:szCs w:val="24"/>
          <w:highlight w:val="none"/>
          <w14:textFill>
            <w14:solidFill>
              <w14:schemeClr w14:val="tx1"/>
            </w14:solidFill>
          </w14:textFill>
        </w:rPr>
        <w:sectPr>
          <w:pgSz w:w="11905" w:h="16838"/>
          <w:pgMar w:top="1417" w:right="1134" w:bottom="1417" w:left="1134" w:header="851" w:footer="850" w:gutter="0"/>
          <w:cols w:space="0" w:num="1"/>
          <w:titlePg/>
          <w:rtlGutter w:val="0"/>
          <w:docGrid w:linePitch="312" w:charSpace="0"/>
        </w:sectPr>
      </w:pPr>
    </w:p>
    <w:p>
      <w:pPr>
        <w:keepNext/>
        <w:keepLines/>
        <w:spacing w:before="120" w:beforeLines="50" w:after="120" w:afterLines="50" w:line="360" w:lineRule="auto"/>
        <w:outlineLvl w:val="1"/>
        <w:rPr>
          <w:rFonts w:hint="eastAsia" w:ascii="仿宋" w:hAnsi="仿宋" w:eastAsia="仿宋" w:cs="仿宋"/>
          <w:color w:val="000000" w:themeColor="text1"/>
          <w:kern w:val="0"/>
          <w:sz w:val="24"/>
          <w:szCs w:val="20"/>
          <w:highlight w:val="none"/>
          <w14:textFill>
            <w14:solidFill>
              <w14:schemeClr w14:val="tx1"/>
            </w14:solidFill>
          </w14:textFill>
        </w:rPr>
      </w:pPr>
      <w:bookmarkStart w:id="1018" w:name="_Toc489219297"/>
      <w:bookmarkStart w:id="1019" w:name="_Toc497214128"/>
      <w:bookmarkStart w:id="1020" w:name="_Toc497584119"/>
      <w:r>
        <w:rPr>
          <w:rFonts w:hint="eastAsia" w:ascii="仿宋" w:hAnsi="仿宋" w:eastAsia="仿宋" w:cs="仿宋"/>
          <w:color w:val="000000" w:themeColor="text1"/>
          <w:kern w:val="0"/>
          <w:sz w:val="24"/>
          <w:szCs w:val="20"/>
          <w:highlight w:val="none"/>
          <w14:textFill>
            <w14:solidFill>
              <w14:schemeClr w14:val="tx1"/>
            </w14:solidFill>
          </w14:textFill>
        </w:rPr>
        <w:t>附件四：廉政责任书格式</w:t>
      </w:r>
      <w:bookmarkEnd w:id="1018"/>
      <w:bookmarkEnd w:id="1019"/>
      <w:bookmarkEnd w:id="1020"/>
    </w:p>
    <w:p>
      <w:pPr>
        <w:snapToGrid w:val="0"/>
        <w:spacing w:line="360" w:lineRule="auto"/>
        <w:ind w:firstLine="488"/>
        <w:jc w:val="center"/>
        <w:rPr>
          <w:rFonts w:hint="eastAsia" w:ascii="仿宋" w:hAnsi="仿宋" w:eastAsia="仿宋" w:cs="仿宋"/>
          <w:color w:val="000000" w:themeColor="text1"/>
          <w:sz w:val="21"/>
          <w:szCs w:val="24"/>
          <w:highlight w:val="none"/>
          <w14:textFill>
            <w14:solidFill>
              <w14:schemeClr w14:val="tx1"/>
            </w14:solidFill>
          </w14:textFill>
        </w:rPr>
      </w:pPr>
    </w:p>
    <w:p>
      <w:pPr>
        <w:snapToGrid w:val="0"/>
        <w:spacing w:line="360" w:lineRule="auto"/>
        <w:jc w:val="center"/>
        <w:rPr>
          <w:rFonts w:hint="eastAsia" w:ascii="仿宋" w:hAnsi="仿宋" w:eastAsia="仿宋" w:cs="仿宋"/>
          <w:b/>
          <w:color w:val="000000" w:themeColor="text1"/>
          <w:sz w:val="28"/>
          <w:szCs w:val="24"/>
          <w:highlight w:val="none"/>
          <w14:textFill>
            <w14:solidFill>
              <w14:schemeClr w14:val="tx1"/>
            </w14:solidFill>
          </w14:textFill>
        </w:rPr>
      </w:pPr>
      <w:r>
        <w:rPr>
          <w:rFonts w:hint="eastAsia" w:ascii="仿宋" w:hAnsi="仿宋" w:eastAsia="仿宋" w:cs="仿宋"/>
          <w:b/>
          <w:color w:val="000000" w:themeColor="text1"/>
          <w:sz w:val="28"/>
          <w:szCs w:val="24"/>
          <w:highlight w:val="none"/>
          <w14:textFill>
            <w14:solidFill>
              <w14:schemeClr w14:val="tx1"/>
            </w14:solidFill>
          </w14:textFill>
        </w:rPr>
        <w:t>建设工程廉政责任书</w:t>
      </w:r>
    </w:p>
    <w:p>
      <w:pPr>
        <w:snapToGrid w:val="0"/>
        <w:spacing w:line="360" w:lineRule="auto"/>
        <w:ind w:firstLine="420" w:firstLineChars="200"/>
        <w:rPr>
          <w:rFonts w:hint="eastAsia" w:ascii="仿宋" w:hAnsi="仿宋" w:eastAsia="仿宋" w:cs="仿宋"/>
          <w:color w:val="000000" w:themeColor="text1"/>
          <w:sz w:val="21"/>
          <w:szCs w:val="24"/>
          <w:highlight w:val="none"/>
          <w14:textFill>
            <w14:solidFill>
              <w14:schemeClr w14:val="tx1"/>
            </w14:solidFill>
          </w14:textFill>
        </w:rPr>
      </w:pPr>
    </w:p>
    <w:p>
      <w:pPr>
        <w:snapToGrid w:val="0"/>
        <w:spacing w:line="360" w:lineRule="auto"/>
        <w:rPr>
          <w:rFonts w:hint="eastAsia" w:ascii="仿宋" w:hAnsi="仿宋" w:eastAsia="仿宋" w:cs="仿宋"/>
          <w:color w:val="000000" w:themeColor="text1"/>
          <w:sz w:val="21"/>
          <w:szCs w:val="24"/>
          <w:highlight w:val="none"/>
          <w:u w:val="singl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发包人：</w:t>
      </w:r>
      <w:r>
        <w:rPr>
          <w:rFonts w:hint="eastAsia" w:ascii="仿宋" w:hAnsi="仿宋" w:eastAsia="仿宋" w:cs="仿宋"/>
          <w:color w:val="000000" w:themeColor="text1"/>
          <w:sz w:val="21"/>
          <w:szCs w:val="24"/>
          <w:highlight w:val="none"/>
          <w:u w:val="single"/>
          <w14:textFill>
            <w14:solidFill>
              <w14:schemeClr w14:val="tx1"/>
            </w14:solidFill>
          </w14:textFill>
        </w:rPr>
        <w:t xml:space="preserve">    北京市海淀区苏家坨镇人民政府                                  </w:t>
      </w:r>
    </w:p>
    <w:p>
      <w:pPr>
        <w:snapToGrid w:val="0"/>
        <w:spacing w:line="360" w:lineRule="auto"/>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承包人：</w:t>
      </w:r>
      <w:r>
        <w:rPr>
          <w:rFonts w:hint="eastAsia" w:ascii="仿宋" w:hAnsi="仿宋" w:eastAsia="仿宋" w:cs="仿宋"/>
          <w:color w:val="000000" w:themeColor="text1"/>
          <w:sz w:val="21"/>
          <w:szCs w:val="24"/>
          <w:highlight w:val="none"/>
          <w:u w:val="single"/>
          <w14:textFill>
            <w14:solidFill>
              <w14:schemeClr w14:val="tx1"/>
            </w14:solidFill>
          </w14:textFill>
        </w:rPr>
        <w:t xml:space="preserve">    北京环城旺泉建设发展有限公司                                  </w:t>
      </w:r>
    </w:p>
    <w:p>
      <w:pPr>
        <w:snapToGrid w:val="0"/>
        <w:spacing w:line="360" w:lineRule="auto"/>
        <w:ind w:firstLine="420" w:firstLineChars="200"/>
        <w:rPr>
          <w:rFonts w:hint="eastAsia" w:ascii="仿宋" w:hAnsi="仿宋" w:eastAsia="仿宋" w:cs="仿宋"/>
          <w:color w:val="000000" w:themeColor="text1"/>
          <w:sz w:val="21"/>
          <w:szCs w:val="24"/>
          <w:highlight w:val="none"/>
          <w14:textFill>
            <w14:solidFill>
              <w14:schemeClr w14:val="tx1"/>
            </w14:solidFill>
          </w14:textFill>
        </w:rPr>
      </w:pP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一、双方的责任</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1.1 应严格遵守国家关于建设工程的有关法律、法规，相关政策，以及廉政建设的各项规定。</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1.2 严格执行建设工程合同文件，自觉按合同办事。</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1.3 各项活动必须坚持公开、公平、公正、诚信、透明的原则（除法律法规另有规定者外），不得为获取不正当的利益，损害国家、集体和对方利益，不得违反建设工程管理的规章制度。</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1.4 发现对方在业务活动中有违规、违纪、违法行为的，应及时提醒对方，情节严重的，应向其上级主管部门或纪检监察、司法等有关机关举报。</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二、发包人责任</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发包人的领导和从事该建设工程项目的工作人员，在工程建设的事前、事中、事后应遵守以下规定：</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2.1不得向承包人和相关单位索要或接受回扣、礼金、有价证券、贵重物品和好处费、感谢费等。</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2.2 不得在承包人和相关单位报销任何应由发包人或个人支付的费用。</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2.3 不得要求、暗示或接受承包人和相关单位为个人装修住房、婚丧嫁娶、配偶子女的工作安排以及出国（境）、旅游等提供方便。</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2.4 不得参加有可能影响公正执行公务的承包人和相关单位的宴请、健身、娱乐等活动。</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2.5 不得向承包人和相关单位介绍或为配偶、子女、亲属参与同发包人工程建设管理合同有关的业务活动；不得以任何理由要求承包人和相关单位使用某种产品、材料和设备。</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三、承包人责任</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应与发包人保持正常的业务交往，按照有关法律法规和程序开展业务工作，严格执行工程建设的有关方针、政策，执行工程建设强制性标准，并遵守以下规定：</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3.1 不得以任何理由向发包人及其工作人员索要、接受或赠送礼金、有价证券、贵重物品及回扣、好处费、感谢费等。</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3.2不得以任何理由为发包人和相关单位报销应由对方或个人支付的费用。</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3.3不得接受或暗示为发包人、相关单位或个人装修住房、婚丧嫁娶、配偶子女的工作安排以及出国（境）、旅游等提供方便。</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3.4不得以任何理由为发包人、相关单位或个人组织有可能影响公正执行公务的宴请、健身、娱乐等活动。</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四、违约责任</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4.1发包人工作人员有违反本责任书第一、二条责任行为的，依据有关法律、法规给予处理；涉嫌犯罪的，移交司法机关追究刑事责任；给承包人单位造成经济损失的，应予以赔偿。</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4.2 承包人工作人员有违反本责任书第一、三条责任行为的，依据有关法律法规处理；涉嫌犯罪的，移交司法机关追究刑事责任；给发包人单位造成经济损失的，应予以赔偿。</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4.3 本责任书作为建设工程合同的组成部分，与建设工程合同具有同等法律效力。经双方签署后立即生效。</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五、责任书有效期</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本责任书的有效期为双方签署之日起至该工程项目竣工验收合格时止。</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六、责任书份数</w:t>
      </w:r>
    </w:p>
    <w:p>
      <w:pPr>
        <w:snapToGrid w:val="0"/>
        <w:spacing w:line="360" w:lineRule="auto"/>
        <w:ind w:firstLine="420" w:firstLineChars="200"/>
        <w:rPr>
          <w:rFonts w:hint="eastAsia" w:ascii="仿宋" w:hAnsi="仿宋" w:eastAsia="仿宋" w:cs="仿宋"/>
          <w:color w:val="000000" w:themeColor="text1"/>
          <w:sz w:val="21"/>
          <w:szCs w:val="28"/>
          <w:highlight w:val="none"/>
          <w14:textFill>
            <w14:solidFill>
              <w14:schemeClr w14:val="tx1"/>
            </w14:solidFill>
          </w14:textFill>
        </w:rPr>
      </w:pPr>
      <w:r>
        <w:rPr>
          <w:rFonts w:hint="eastAsia" w:ascii="仿宋" w:hAnsi="仿宋" w:eastAsia="仿宋" w:cs="仿宋"/>
          <w:color w:val="000000" w:themeColor="text1"/>
          <w:sz w:val="21"/>
          <w:szCs w:val="28"/>
          <w:highlight w:val="none"/>
          <w14:textFill>
            <w14:solidFill>
              <w14:schemeClr w14:val="tx1"/>
            </w14:solidFill>
          </w14:textFill>
        </w:rPr>
        <w:t>本责任书一式二份，发包人承包人各执一份，具有同等效力。</w:t>
      </w:r>
    </w:p>
    <w:p>
      <w:pPr>
        <w:snapToGrid w:val="0"/>
        <w:spacing w:line="360" w:lineRule="auto"/>
        <w:rPr>
          <w:rFonts w:hint="eastAsia" w:ascii="仿宋" w:hAnsi="仿宋" w:eastAsia="仿宋" w:cs="仿宋"/>
          <w:color w:val="000000" w:themeColor="text1"/>
          <w:sz w:val="21"/>
          <w:szCs w:val="28"/>
          <w:highlight w:val="none"/>
          <w14:textFill>
            <w14:solidFill>
              <w14:schemeClr w14:val="tx1"/>
            </w14:solidFill>
          </w14:textFill>
        </w:rPr>
      </w:pPr>
    </w:p>
    <w:p>
      <w:pPr>
        <w:snapToGrid w:val="0"/>
        <w:spacing w:line="360" w:lineRule="auto"/>
        <w:rPr>
          <w:rFonts w:hint="default" w:ascii="仿宋" w:hAnsi="仿宋" w:eastAsia="仿宋" w:cs="仿宋"/>
          <w:color w:val="000000" w:themeColor="text1"/>
          <w:sz w:val="21"/>
          <w:szCs w:val="24"/>
          <w:highlight w:val="none"/>
          <w:lang w:val="en-US" w:eastAsia="zh-CN"/>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发包人：</w:t>
      </w:r>
      <w:r>
        <w:rPr>
          <w:rFonts w:hint="eastAsia" w:ascii="仿宋" w:hAnsi="仿宋" w:eastAsia="仿宋" w:cs="仿宋"/>
          <w:color w:val="000000" w:themeColor="text1"/>
          <w:sz w:val="21"/>
          <w:szCs w:val="24"/>
          <w:highlight w:val="none"/>
          <w:u w:val="single"/>
          <w14:textFill>
            <w14:solidFill>
              <w14:schemeClr w14:val="tx1"/>
            </w14:solidFill>
          </w14:textFill>
        </w:rPr>
        <w:t xml:space="preserve"> 北京市海淀区苏家坨镇人民政府  </w:t>
      </w:r>
      <w:r>
        <w:rPr>
          <w:rFonts w:hint="eastAsia" w:ascii="仿宋" w:hAnsi="仿宋" w:eastAsia="仿宋" w:cs="仿宋"/>
          <w:color w:val="000000" w:themeColor="text1"/>
          <w:sz w:val="21"/>
          <w:szCs w:val="24"/>
          <w:highlight w:val="none"/>
          <w14:textFill>
            <w14:solidFill>
              <w14:schemeClr w14:val="tx1"/>
            </w14:solidFill>
          </w14:textFill>
        </w:rPr>
        <w:t xml:space="preserve">   承包人：</w:t>
      </w:r>
      <w:r>
        <w:rPr>
          <w:rFonts w:hint="eastAsia" w:ascii="仿宋" w:hAnsi="仿宋" w:eastAsia="仿宋" w:cs="仿宋"/>
          <w:color w:val="000000" w:themeColor="text1"/>
          <w:sz w:val="21"/>
          <w:szCs w:val="24"/>
          <w:highlight w:val="none"/>
          <w:u w:val="single"/>
          <w14:textFill>
            <w14:solidFill>
              <w14:schemeClr w14:val="tx1"/>
            </w14:solidFill>
          </w14:textFill>
        </w:rPr>
        <w:t xml:space="preserve">  </w:t>
      </w:r>
      <w:r>
        <w:rPr>
          <w:rFonts w:hint="eastAsia" w:ascii="仿宋" w:hAnsi="仿宋" w:eastAsia="仿宋" w:cs="仿宋"/>
          <w:color w:val="000000" w:themeColor="text1"/>
          <w:sz w:val="21"/>
          <w:szCs w:val="24"/>
          <w:highlight w:val="none"/>
          <w:u w:val="single"/>
          <w:lang w:val="en-US" w:eastAsia="zh-CN"/>
          <w14:textFill>
            <w14:solidFill>
              <w14:schemeClr w14:val="tx1"/>
            </w14:solidFill>
          </w14:textFill>
        </w:rPr>
        <w:t>北京环城旺泉建设发展有限公司</w:t>
      </w:r>
      <w:r>
        <w:rPr>
          <w:rFonts w:hint="eastAsia" w:ascii="仿宋" w:hAnsi="仿宋" w:eastAsia="仿宋" w:cs="仿宋"/>
          <w:color w:val="000000" w:themeColor="text1"/>
          <w:sz w:val="21"/>
          <w:szCs w:val="24"/>
          <w:highlight w:val="none"/>
          <w:u w:val="single"/>
          <w14:textFill>
            <w14:solidFill>
              <w14:schemeClr w14:val="tx1"/>
            </w14:solidFill>
          </w14:textFill>
        </w:rPr>
        <w:t xml:space="preserve"> </w:t>
      </w:r>
      <w:r>
        <w:rPr>
          <w:rFonts w:hint="eastAsia" w:ascii="仿宋" w:hAnsi="仿宋" w:eastAsia="仿宋" w:cs="仿宋"/>
          <w:color w:val="000000" w:themeColor="text1"/>
          <w:sz w:val="21"/>
          <w:szCs w:val="24"/>
          <w:highlight w:val="none"/>
          <w14:textFill>
            <w14:solidFill>
              <w14:schemeClr w14:val="tx1"/>
            </w14:solidFill>
          </w14:textFill>
        </w:rPr>
        <w:t xml:space="preserve">（公章） </w:t>
      </w:r>
      <w:r>
        <w:rPr>
          <w:rFonts w:hint="eastAsia" w:ascii="仿宋" w:hAnsi="仿宋" w:eastAsia="仿宋" w:cs="仿宋"/>
          <w:color w:val="000000" w:themeColor="text1"/>
          <w:sz w:val="21"/>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4"/>
          <w:highlight w:val="none"/>
          <w14:textFill>
            <w14:solidFill>
              <w14:schemeClr w14:val="tx1"/>
            </w14:solidFill>
          </w14:textFill>
        </w:rPr>
        <w:t>（公章）</w:t>
      </w:r>
    </w:p>
    <w:p>
      <w:pPr>
        <w:snapToGrid w:val="0"/>
        <w:spacing w:line="360" w:lineRule="auto"/>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法定地址：</w:t>
      </w:r>
      <w:r>
        <w:rPr>
          <w:rFonts w:hint="eastAsia" w:ascii="仿宋" w:hAnsi="仿宋" w:eastAsia="仿宋" w:cs="仿宋"/>
          <w:color w:val="000000" w:themeColor="text1"/>
          <w:sz w:val="21"/>
          <w:szCs w:val="24"/>
          <w:highlight w:val="none"/>
          <w:u w:val="single"/>
          <w14:textFill>
            <w14:solidFill>
              <w14:schemeClr w14:val="tx1"/>
            </w14:solidFill>
          </w14:textFill>
        </w:rPr>
        <w:t xml:space="preserve"> 北京市海淀区苏家坨镇西小营村  </w:t>
      </w:r>
      <w:r>
        <w:rPr>
          <w:rFonts w:hint="eastAsia" w:ascii="仿宋" w:hAnsi="仿宋" w:eastAsia="仿宋" w:cs="仿宋"/>
          <w:color w:val="000000" w:themeColor="text1"/>
          <w:sz w:val="21"/>
          <w:szCs w:val="24"/>
          <w:highlight w:val="none"/>
          <w14:textFill>
            <w14:solidFill>
              <w14:schemeClr w14:val="tx1"/>
            </w14:solidFill>
          </w14:textFill>
        </w:rPr>
        <w:t xml:space="preserve">    法定地址：</w:t>
      </w:r>
      <w:r>
        <w:rPr>
          <w:rFonts w:hint="eastAsia" w:ascii="仿宋" w:hAnsi="仿宋" w:eastAsia="仿宋" w:cs="仿宋"/>
          <w:color w:val="000000" w:themeColor="text1"/>
          <w:sz w:val="21"/>
          <w:szCs w:val="24"/>
          <w:highlight w:val="none"/>
          <w:u w:val="single"/>
          <w14:textFill>
            <w14:solidFill>
              <w14:schemeClr w14:val="tx1"/>
            </w14:solidFill>
          </w14:textFill>
        </w:rPr>
        <w:t xml:space="preserve"> </w:t>
      </w:r>
      <w:r>
        <w:rPr>
          <w:rFonts w:hint="eastAsia" w:ascii="仿宋" w:hAnsi="仿宋" w:eastAsia="仿宋" w:cs="仿宋"/>
          <w:color w:val="000000" w:themeColor="text1"/>
          <w:sz w:val="21"/>
          <w:szCs w:val="24"/>
          <w:highlight w:val="none"/>
          <w:u w:val="single"/>
          <w:lang w:val="en-US" w:eastAsia="zh-CN"/>
          <w14:textFill>
            <w14:solidFill>
              <w14:schemeClr w14:val="tx1"/>
            </w14:solidFill>
          </w14:textFill>
        </w:rPr>
        <w:t>北京市海淀区苏家坨镇西小营村东</w:t>
      </w:r>
      <w:r>
        <w:rPr>
          <w:rFonts w:hint="eastAsia" w:ascii="仿宋" w:hAnsi="仿宋" w:eastAsia="仿宋" w:cs="仿宋"/>
          <w:color w:val="000000" w:themeColor="text1"/>
          <w:sz w:val="21"/>
          <w:szCs w:val="24"/>
          <w:highlight w:val="none"/>
          <w:u w:val="single"/>
          <w14:textFill>
            <w14:solidFill>
              <w14:schemeClr w14:val="tx1"/>
            </w14:solidFill>
          </w14:textFill>
        </w:rPr>
        <w:t xml:space="preserve">    </w:t>
      </w:r>
    </w:p>
    <w:p>
      <w:pPr>
        <w:snapToGrid w:val="0"/>
        <w:spacing w:line="360" w:lineRule="auto"/>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法定代表人或其                       法定代表人或其</w:t>
      </w:r>
    </w:p>
    <w:p>
      <w:pPr>
        <w:snapToGrid w:val="0"/>
        <w:spacing w:line="360" w:lineRule="auto"/>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委托代理人：</w:t>
      </w:r>
      <w:r>
        <w:rPr>
          <w:rFonts w:hint="eastAsia" w:ascii="仿宋" w:hAnsi="仿宋" w:eastAsia="仿宋" w:cs="仿宋"/>
          <w:color w:val="000000" w:themeColor="text1"/>
          <w:sz w:val="21"/>
          <w:szCs w:val="24"/>
          <w:highlight w:val="none"/>
          <w:u w:val="single"/>
          <w14:textFill>
            <w14:solidFill>
              <w14:schemeClr w14:val="tx1"/>
            </w14:solidFill>
          </w14:textFill>
        </w:rPr>
        <w:t xml:space="preserve">              </w:t>
      </w:r>
      <w:r>
        <w:rPr>
          <w:rFonts w:hint="eastAsia" w:ascii="仿宋" w:hAnsi="仿宋" w:eastAsia="仿宋" w:cs="仿宋"/>
          <w:color w:val="000000" w:themeColor="text1"/>
          <w:sz w:val="21"/>
          <w:szCs w:val="24"/>
          <w:highlight w:val="none"/>
          <w14:textFill>
            <w14:solidFill>
              <w14:schemeClr w14:val="tx1"/>
            </w14:solidFill>
          </w14:textFill>
        </w:rPr>
        <w:t>（签字或盖章）  委托代理人：</w:t>
      </w:r>
      <w:r>
        <w:rPr>
          <w:rFonts w:hint="eastAsia" w:ascii="仿宋" w:hAnsi="仿宋" w:eastAsia="仿宋" w:cs="仿宋"/>
          <w:color w:val="000000" w:themeColor="text1"/>
          <w:sz w:val="21"/>
          <w:szCs w:val="24"/>
          <w:highlight w:val="none"/>
          <w:u w:val="single"/>
          <w14:textFill>
            <w14:solidFill>
              <w14:schemeClr w14:val="tx1"/>
            </w14:solidFill>
          </w14:textFill>
        </w:rPr>
        <w:t xml:space="preserve">              </w:t>
      </w:r>
      <w:r>
        <w:rPr>
          <w:rFonts w:hint="eastAsia" w:ascii="仿宋" w:hAnsi="仿宋" w:eastAsia="仿宋" w:cs="仿宋"/>
          <w:color w:val="000000" w:themeColor="text1"/>
          <w:sz w:val="21"/>
          <w:szCs w:val="24"/>
          <w:highlight w:val="none"/>
          <w14:textFill>
            <w14:solidFill>
              <w14:schemeClr w14:val="tx1"/>
            </w14:solidFill>
          </w14:textFill>
        </w:rPr>
        <w:t>（签字或盖章）</w:t>
      </w:r>
    </w:p>
    <w:p>
      <w:pPr>
        <w:snapToGrid w:val="0"/>
        <w:spacing w:line="360" w:lineRule="auto"/>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电话：</w:t>
      </w:r>
      <w:r>
        <w:rPr>
          <w:rFonts w:hint="eastAsia" w:ascii="仿宋" w:hAnsi="仿宋" w:eastAsia="仿宋" w:cs="仿宋"/>
          <w:color w:val="000000" w:themeColor="text1"/>
          <w:sz w:val="21"/>
          <w:szCs w:val="24"/>
          <w:highlight w:val="none"/>
          <w:u w:val="single"/>
          <w14:textFill>
            <w14:solidFill>
              <w14:schemeClr w14:val="tx1"/>
            </w14:solidFill>
          </w14:textFill>
        </w:rPr>
        <w:t xml:space="preserve">                            </w:t>
      </w:r>
      <w:r>
        <w:rPr>
          <w:rFonts w:hint="eastAsia" w:ascii="仿宋" w:hAnsi="仿宋" w:eastAsia="仿宋" w:cs="仿宋"/>
          <w:color w:val="000000" w:themeColor="text1"/>
          <w:sz w:val="21"/>
          <w:szCs w:val="24"/>
          <w:highlight w:val="none"/>
          <w14:textFill>
            <w14:solidFill>
              <w14:schemeClr w14:val="tx1"/>
            </w14:solidFill>
          </w14:textFill>
        </w:rPr>
        <w:t xml:space="preserve">   电话：</w:t>
      </w:r>
      <w:r>
        <w:rPr>
          <w:rFonts w:hint="eastAsia" w:ascii="仿宋" w:hAnsi="仿宋" w:eastAsia="仿宋" w:cs="仿宋"/>
          <w:color w:val="000000" w:themeColor="text1"/>
          <w:sz w:val="21"/>
          <w:szCs w:val="24"/>
          <w:highlight w:val="none"/>
          <w:u w:val="single"/>
          <w14:textFill>
            <w14:solidFill>
              <w14:schemeClr w14:val="tx1"/>
            </w14:solidFill>
          </w14:textFill>
        </w:rPr>
        <w:t xml:space="preserve">   </w:t>
      </w:r>
      <w:r>
        <w:rPr>
          <w:rFonts w:hint="eastAsia" w:ascii="仿宋" w:hAnsi="仿宋" w:eastAsia="仿宋" w:cs="仿宋"/>
          <w:color w:val="000000" w:themeColor="text1"/>
          <w:sz w:val="21"/>
          <w:szCs w:val="24"/>
          <w:highlight w:val="none"/>
          <w:u w:val="single"/>
          <w:lang w:val="en-US" w:eastAsia="zh-CN"/>
          <w14:textFill>
            <w14:solidFill>
              <w14:schemeClr w14:val="tx1"/>
            </w14:solidFill>
          </w14:textFill>
        </w:rPr>
        <w:t>010-62495866</w:t>
      </w:r>
      <w:r>
        <w:rPr>
          <w:rFonts w:hint="eastAsia" w:ascii="仿宋" w:hAnsi="仿宋" w:eastAsia="仿宋" w:cs="仿宋"/>
          <w:color w:val="000000" w:themeColor="text1"/>
          <w:sz w:val="21"/>
          <w:szCs w:val="24"/>
          <w:highlight w:val="none"/>
          <w:u w:val="single"/>
          <w14:textFill>
            <w14:solidFill>
              <w14:schemeClr w14:val="tx1"/>
            </w14:solidFill>
          </w14:textFill>
        </w:rPr>
        <w:t xml:space="preserve">                     </w:t>
      </w:r>
    </w:p>
    <w:p>
      <w:pPr>
        <w:snapToGrid w:val="0"/>
        <w:spacing w:line="360" w:lineRule="auto"/>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传真：</w:t>
      </w:r>
      <w:r>
        <w:rPr>
          <w:rFonts w:hint="eastAsia" w:ascii="仿宋" w:hAnsi="仿宋" w:eastAsia="仿宋" w:cs="仿宋"/>
          <w:color w:val="000000" w:themeColor="text1"/>
          <w:sz w:val="21"/>
          <w:szCs w:val="24"/>
          <w:highlight w:val="none"/>
          <w:u w:val="single"/>
          <w14:textFill>
            <w14:solidFill>
              <w14:schemeClr w14:val="tx1"/>
            </w14:solidFill>
          </w14:textFill>
        </w:rPr>
        <w:t xml:space="preserve">                            </w:t>
      </w:r>
      <w:r>
        <w:rPr>
          <w:rFonts w:hint="eastAsia" w:ascii="仿宋" w:hAnsi="仿宋" w:eastAsia="仿宋" w:cs="仿宋"/>
          <w:color w:val="000000" w:themeColor="text1"/>
          <w:sz w:val="21"/>
          <w:szCs w:val="24"/>
          <w:highlight w:val="none"/>
          <w14:textFill>
            <w14:solidFill>
              <w14:schemeClr w14:val="tx1"/>
            </w14:solidFill>
          </w14:textFill>
        </w:rPr>
        <w:t xml:space="preserve">   传真：</w:t>
      </w:r>
      <w:r>
        <w:rPr>
          <w:rFonts w:hint="eastAsia" w:ascii="仿宋" w:hAnsi="仿宋" w:eastAsia="仿宋" w:cs="仿宋"/>
          <w:color w:val="000000" w:themeColor="text1"/>
          <w:sz w:val="21"/>
          <w:szCs w:val="24"/>
          <w:highlight w:val="none"/>
          <w:u w:val="single"/>
          <w14:textFill>
            <w14:solidFill>
              <w14:schemeClr w14:val="tx1"/>
            </w14:solidFill>
          </w14:textFill>
        </w:rPr>
        <w:t xml:space="preserve">   </w:t>
      </w:r>
      <w:r>
        <w:rPr>
          <w:rFonts w:hint="eastAsia" w:ascii="仿宋" w:hAnsi="仿宋" w:eastAsia="仿宋" w:cs="仿宋"/>
          <w:color w:val="000000" w:themeColor="text1"/>
          <w:sz w:val="21"/>
          <w:szCs w:val="24"/>
          <w:highlight w:val="none"/>
          <w:u w:val="single"/>
          <w:lang w:val="en-US" w:eastAsia="zh-CN"/>
          <w14:textFill>
            <w14:solidFill>
              <w14:schemeClr w14:val="tx1"/>
            </w14:solidFill>
          </w14:textFill>
        </w:rPr>
        <w:t>010-62495866</w:t>
      </w:r>
      <w:r>
        <w:rPr>
          <w:rFonts w:hint="eastAsia" w:ascii="仿宋" w:hAnsi="仿宋" w:eastAsia="仿宋" w:cs="仿宋"/>
          <w:color w:val="000000" w:themeColor="text1"/>
          <w:sz w:val="21"/>
          <w:szCs w:val="24"/>
          <w:highlight w:val="none"/>
          <w:u w:val="single"/>
          <w14:textFill>
            <w14:solidFill>
              <w14:schemeClr w14:val="tx1"/>
            </w14:solidFill>
          </w14:textFill>
        </w:rPr>
        <w:t xml:space="preserve">                                </w:t>
      </w:r>
    </w:p>
    <w:p>
      <w:pPr>
        <w:snapToGrid w:val="0"/>
        <w:spacing w:line="360" w:lineRule="auto"/>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电子邮箱：</w:t>
      </w:r>
      <w:r>
        <w:rPr>
          <w:rFonts w:hint="eastAsia" w:ascii="仿宋" w:hAnsi="仿宋" w:eastAsia="仿宋" w:cs="仿宋"/>
          <w:color w:val="000000" w:themeColor="text1"/>
          <w:sz w:val="21"/>
          <w:szCs w:val="24"/>
          <w:highlight w:val="none"/>
          <w:u w:val="single"/>
          <w14:textFill>
            <w14:solidFill>
              <w14:schemeClr w14:val="tx1"/>
            </w14:solidFill>
          </w14:textFill>
        </w:rPr>
        <w:t xml:space="preserve">                        </w:t>
      </w:r>
      <w:r>
        <w:rPr>
          <w:rFonts w:hint="eastAsia" w:ascii="仿宋" w:hAnsi="仿宋" w:eastAsia="仿宋" w:cs="仿宋"/>
          <w:color w:val="000000" w:themeColor="text1"/>
          <w:sz w:val="21"/>
          <w:szCs w:val="24"/>
          <w:highlight w:val="none"/>
          <w14:textFill>
            <w14:solidFill>
              <w14:schemeClr w14:val="tx1"/>
            </w14:solidFill>
          </w14:textFill>
        </w:rPr>
        <w:t xml:space="preserve">   电子邮箱：</w:t>
      </w:r>
      <w:r>
        <w:rPr>
          <w:rFonts w:hint="eastAsia" w:ascii="仿宋" w:hAnsi="仿宋" w:eastAsia="仿宋" w:cs="仿宋"/>
          <w:color w:val="000000" w:themeColor="text1"/>
          <w:sz w:val="21"/>
          <w:szCs w:val="24"/>
          <w:highlight w:val="none"/>
          <w:u w:val="single"/>
          <w14:textFill>
            <w14:solidFill>
              <w14:schemeClr w14:val="tx1"/>
            </w14:solidFill>
          </w14:textFill>
        </w:rPr>
        <w:t xml:space="preserve">                                          </w:t>
      </w:r>
    </w:p>
    <w:p>
      <w:pPr>
        <w:snapToGrid w:val="0"/>
        <w:spacing w:line="360" w:lineRule="auto"/>
        <w:ind w:left="4830" w:hanging="4830" w:hangingChars="2300"/>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开户银行：</w:t>
      </w:r>
      <w:r>
        <w:rPr>
          <w:rFonts w:hint="eastAsia" w:ascii="仿宋" w:hAnsi="仿宋" w:eastAsia="仿宋" w:cs="仿宋"/>
          <w:color w:val="000000" w:themeColor="text1"/>
          <w:sz w:val="21"/>
          <w:szCs w:val="24"/>
          <w:highlight w:val="none"/>
          <w:u w:val="single"/>
          <w14:textFill>
            <w14:solidFill>
              <w14:schemeClr w14:val="tx1"/>
            </w14:solidFill>
          </w14:textFill>
        </w:rPr>
        <w:t xml:space="preserve">                        </w:t>
      </w:r>
      <w:r>
        <w:rPr>
          <w:rFonts w:hint="eastAsia" w:ascii="仿宋" w:hAnsi="仿宋" w:eastAsia="仿宋" w:cs="仿宋"/>
          <w:color w:val="000000" w:themeColor="text1"/>
          <w:sz w:val="21"/>
          <w:szCs w:val="24"/>
          <w:highlight w:val="none"/>
          <w14:textFill>
            <w14:solidFill>
              <w14:schemeClr w14:val="tx1"/>
            </w14:solidFill>
          </w14:textFill>
        </w:rPr>
        <w:t xml:space="preserve">   开户银行：</w:t>
      </w:r>
      <w:r>
        <w:rPr>
          <w:rFonts w:hint="eastAsia" w:ascii="仿宋" w:hAnsi="仿宋" w:eastAsia="仿宋" w:cs="仿宋"/>
          <w:color w:val="000000" w:themeColor="text1"/>
          <w:sz w:val="21"/>
          <w:szCs w:val="24"/>
          <w:highlight w:val="none"/>
          <w:u w:val="single"/>
          <w14:textFill>
            <w14:solidFill>
              <w14:schemeClr w14:val="tx1"/>
            </w14:solidFill>
          </w14:textFill>
        </w:rPr>
        <w:t xml:space="preserve">北京农商银行海淀新区支行凤凰岭分理处                </w:t>
      </w:r>
    </w:p>
    <w:p>
      <w:pPr>
        <w:snapToGrid w:val="0"/>
        <w:spacing w:line="360" w:lineRule="auto"/>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帐号：</w:t>
      </w:r>
      <w:r>
        <w:rPr>
          <w:rFonts w:hint="eastAsia" w:ascii="仿宋" w:hAnsi="仿宋" w:eastAsia="仿宋" w:cs="仿宋"/>
          <w:color w:val="000000" w:themeColor="text1"/>
          <w:sz w:val="21"/>
          <w:szCs w:val="24"/>
          <w:highlight w:val="none"/>
          <w:u w:val="single"/>
          <w14:textFill>
            <w14:solidFill>
              <w14:schemeClr w14:val="tx1"/>
            </w14:solidFill>
          </w14:textFill>
        </w:rPr>
        <w:t xml:space="preserve">                            </w:t>
      </w:r>
      <w:r>
        <w:rPr>
          <w:rFonts w:hint="eastAsia" w:ascii="仿宋" w:hAnsi="仿宋" w:eastAsia="仿宋" w:cs="仿宋"/>
          <w:color w:val="000000" w:themeColor="text1"/>
          <w:sz w:val="21"/>
          <w:szCs w:val="24"/>
          <w:highlight w:val="none"/>
          <w14:textFill>
            <w14:solidFill>
              <w14:schemeClr w14:val="tx1"/>
            </w14:solidFill>
          </w14:textFill>
        </w:rPr>
        <w:t xml:space="preserve">   帐号：</w:t>
      </w:r>
      <w:r>
        <w:rPr>
          <w:rFonts w:hint="eastAsia" w:ascii="仿宋" w:hAnsi="仿宋" w:eastAsia="仿宋" w:cs="仿宋"/>
          <w:color w:val="000000" w:themeColor="text1"/>
          <w:sz w:val="21"/>
          <w:szCs w:val="24"/>
          <w:highlight w:val="none"/>
          <w:u w:val="single"/>
          <w14:textFill>
            <w14:solidFill>
              <w14:schemeClr w14:val="tx1"/>
            </w14:solidFill>
          </w14:textFill>
        </w:rPr>
        <w:t xml:space="preserve">     2000000269231                       </w:t>
      </w:r>
    </w:p>
    <w:p>
      <w:pPr>
        <w:snapToGrid w:val="0"/>
        <w:spacing w:line="360" w:lineRule="auto"/>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邮政编码：</w:t>
      </w:r>
      <w:r>
        <w:rPr>
          <w:rFonts w:hint="eastAsia" w:ascii="仿宋" w:hAnsi="仿宋" w:eastAsia="仿宋" w:cs="仿宋"/>
          <w:color w:val="000000" w:themeColor="text1"/>
          <w:sz w:val="21"/>
          <w:szCs w:val="24"/>
          <w:highlight w:val="none"/>
          <w:u w:val="single"/>
          <w14:textFill>
            <w14:solidFill>
              <w14:schemeClr w14:val="tx1"/>
            </w14:solidFill>
          </w14:textFill>
        </w:rPr>
        <w:t xml:space="preserve">                        </w:t>
      </w:r>
      <w:r>
        <w:rPr>
          <w:rFonts w:hint="eastAsia" w:ascii="仿宋" w:hAnsi="仿宋" w:eastAsia="仿宋" w:cs="仿宋"/>
          <w:color w:val="000000" w:themeColor="text1"/>
          <w:sz w:val="21"/>
          <w:szCs w:val="24"/>
          <w:highlight w:val="none"/>
          <w14:textFill>
            <w14:solidFill>
              <w14:schemeClr w14:val="tx1"/>
            </w14:solidFill>
          </w14:textFill>
        </w:rPr>
        <w:t xml:space="preserve">   邮政编码：</w:t>
      </w:r>
      <w:r>
        <w:rPr>
          <w:rFonts w:hint="eastAsia" w:ascii="仿宋" w:hAnsi="仿宋" w:eastAsia="仿宋" w:cs="仿宋"/>
          <w:color w:val="000000" w:themeColor="text1"/>
          <w:sz w:val="21"/>
          <w:szCs w:val="24"/>
          <w:highlight w:val="none"/>
          <w:u w:val="single"/>
          <w14:textFill>
            <w14:solidFill>
              <w14:schemeClr w14:val="tx1"/>
            </w14:solidFill>
          </w14:textFill>
        </w:rPr>
        <w:t xml:space="preserve">   </w:t>
      </w:r>
      <w:r>
        <w:rPr>
          <w:rFonts w:hint="eastAsia" w:ascii="仿宋" w:hAnsi="仿宋" w:eastAsia="仿宋" w:cs="仿宋"/>
          <w:color w:val="000000" w:themeColor="text1"/>
          <w:sz w:val="21"/>
          <w:szCs w:val="24"/>
          <w:highlight w:val="none"/>
          <w:u w:val="single"/>
          <w:lang w:val="en-US" w:eastAsia="zh-CN"/>
          <w14:textFill>
            <w14:solidFill>
              <w14:schemeClr w14:val="tx1"/>
            </w14:solidFill>
          </w14:textFill>
        </w:rPr>
        <w:t>100194</w:t>
      </w:r>
      <w:r>
        <w:rPr>
          <w:rFonts w:hint="eastAsia" w:ascii="仿宋" w:hAnsi="仿宋" w:eastAsia="仿宋" w:cs="仿宋"/>
          <w:color w:val="000000" w:themeColor="text1"/>
          <w:sz w:val="21"/>
          <w:szCs w:val="24"/>
          <w:highlight w:val="none"/>
          <w:u w:val="single"/>
          <w14:textFill>
            <w14:solidFill>
              <w14:schemeClr w14:val="tx1"/>
            </w14:solidFill>
          </w14:textFill>
        </w:rPr>
        <w:t xml:space="preserve">                         </w:t>
      </w:r>
      <w:r>
        <w:rPr>
          <w:rFonts w:hint="eastAsia" w:ascii="仿宋" w:hAnsi="仿宋" w:eastAsia="仿宋" w:cs="仿宋"/>
          <w:color w:val="000000" w:themeColor="text1"/>
          <w:sz w:val="21"/>
          <w:szCs w:val="24"/>
          <w:highlight w:val="none"/>
          <w14:textFill>
            <w14:solidFill>
              <w14:schemeClr w14:val="tx1"/>
            </w14:solidFill>
          </w14:textFill>
        </w:rPr>
        <w:t xml:space="preserve"> </w:t>
      </w:r>
    </w:p>
    <w:p>
      <w:pPr>
        <w:spacing w:line="360" w:lineRule="auto"/>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监督单位：</w:t>
      </w:r>
      <w:r>
        <w:rPr>
          <w:rFonts w:hint="eastAsia" w:ascii="仿宋" w:hAnsi="仿宋" w:eastAsia="仿宋" w:cs="仿宋"/>
          <w:color w:val="000000" w:themeColor="text1"/>
          <w:sz w:val="21"/>
          <w:szCs w:val="24"/>
          <w:highlight w:val="none"/>
          <w:u w:val="single"/>
          <w14:textFill>
            <w14:solidFill>
              <w14:schemeClr w14:val="tx1"/>
            </w14:solidFill>
          </w14:textFill>
        </w:rPr>
        <w:t xml:space="preserve">         </w:t>
      </w:r>
      <w:r>
        <w:rPr>
          <w:rFonts w:hint="eastAsia" w:ascii="仿宋" w:hAnsi="仿宋" w:eastAsia="仿宋" w:cs="仿宋"/>
          <w:color w:val="000000" w:themeColor="text1"/>
          <w:sz w:val="21"/>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4"/>
          <w:highlight w:val="none"/>
          <w:u w:val="single"/>
          <w14:textFill>
            <w14:solidFill>
              <w14:schemeClr w14:val="tx1"/>
            </w14:solidFill>
          </w14:textFill>
        </w:rPr>
        <w:t xml:space="preserve">  </w:t>
      </w:r>
      <w:r>
        <w:rPr>
          <w:rFonts w:hint="eastAsia" w:ascii="仿宋" w:hAnsi="仿宋" w:eastAsia="仿宋" w:cs="仿宋"/>
          <w:color w:val="000000" w:themeColor="text1"/>
          <w:sz w:val="21"/>
          <w:szCs w:val="24"/>
          <w:highlight w:val="none"/>
          <w14:textFill>
            <w14:solidFill>
              <w14:schemeClr w14:val="tx1"/>
            </w14:solidFill>
          </w14:textFill>
        </w:rPr>
        <w:t>（盖章） 监督单位：</w:t>
      </w:r>
      <w:r>
        <w:rPr>
          <w:rFonts w:hint="eastAsia" w:ascii="仿宋" w:hAnsi="仿宋" w:eastAsia="仿宋" w:cs="仿宋"/>
          <w:color w:val="000000" w:themeColor="text1"/>
          <w:sz w:val="21"/>
          <w:szCs w:val="24"/>
          <w:highlight w:val="none"/>
          <w:u w:val="single"/>
          <w14:textFill>
            <w14:solidFill>
              <w14:schemeClr w14:val="tx1"/>
            </w14:solidFill>
          </w14:textFill>
        </w:rPr>
        <w:t xml:space="preserve">                         </w:t>
      </w:r>
      <w:r>
        <w:rPr>
          <w:rFonts w:hint="eastAsia" w:ascii="仿宋" w:hAnsi="仿宋" w:eastAsia="仿宋" w:cs="仿宋"/>
          <w:color w:val="000000" w:themeColor="text1"/>
          <w:sz w:val="21"/>
          <w:szCs w:val="24"/>
          <w:highlight w:val="none"/>
          <w14:textFill>
            <w14:solidFill>
              <w14:schemeClr w14:val="tx1"/>
            </w14:solidFill>
          </w14:textFill>
        </w:rPr>
        <w:t>（盖章）</w:t>
      </w:r>
    </w:p>
    <w:p>
      <w:pPr>
        <w:pStyle w:val="2"/>
        <w:rPr>
          <w:rFonts w:hint="eastAsia" w:ascii="仿宋" w:hAnsi="仿宋" w:eastAsia="仿宋" w:cs="仿宋"/>
          <w:color w:val="000000" w:themeColor="text1"/>
          <w:sz w:val="21"/>
          <w:szCs w:val="24"/>
          <w:highlight w:val="none"/>
          <w14:textFill>
            <w14:solidFill>
              <w14:schemeClr w14:val="tx1"/>
            </w14:solidFill>
          </w14:textFill>
        </w:rPr>
      </w:pPr>
    </w:p>
    <w:p>
      <w:pPr>
        <w:pStyle w:val="2"/>
        <w:rPr>
          <w:rFonts w:hint="eastAsia" w:ascii="仿宋" w:hAnsi="仿宋" w:eastAsia="仿宋" w:cs="仿宋"/>
          <w:color w:val="000000" w:themeColor="text1"/>
          <w:sz w:val="21"/>
          <w:szCs w:val="24"/>
          <w:highlight w:val="none"/>
          <w14:textFill>
            <w14:solidFill>
              <w14:schemeClr w14:val="tx1"/>
            </w14:solidFill>
          </w14:textFill>
        </w:rPr>
      </w:pPr>
    </w:p>
    <w:p>
      <w:pPr>
        <w:pStyle w:val="2"/>
        <w:rPr>
          <w:rFonts w:hint="eastAsia" w:ascii="仿宋" w:hAnsi="仿宋" w:eastAsia="仿宋" w:cs="仿宋"/>
          <w:color w:val="000000" w:themeColor="text1"/>
          <w:sz w:val="21"/>
          <w:szCs w:val="24"/>
          <w:highlight w:val="none"/>
          <w14:textFill>
            <w14:solidFill>
              <w14:schemeClr w14:val="tx1"/>
            </w14:solidFill>
          </w14:textFill>
        </w:rPr>
      </w:pPr>
    </w:p>
    <w:p>
      <w:pPr>
        <w:pStyle w:val="2"/>
        <w:rPr>
          <w:rFonts w:hint="eastAsia" w:ascii="仿宋" w:hAnsi="仿宋" w:eastAsia="仿宋" w:cs="仿宋"/>
          <w:color w:val="000000" w:themeColor="text1"/>
          <w:sz w:val="21"/>
          <w:szCs w:val="24"/>
          <w:highlight w:val="none"/>
          <w14:textFill>
            <w14:solidFill>
              <w14:schemeClr w14:val="tx1"/>
            </w14:solidFill>
          </w14:textFill>
        </w:rPr>
      </w:pPr>
    </w:p>
    <w:p>
      <w:pPr>
        <w:pStyle w:val="2"/>
        <w:rPr>
          <w:rFonts w:hint="eastAsia" w:ascii="仿宋" w:hAnsi="仿宋" w:eastAsia="仿宋" w:cs="仿宋"/>
          <w:color w:val="000000" w:themeColor="text1"/>
          <w:sz w:val="21"/>
          <w:szCs w:val="24"/>
          <w:highlight w:val="none"/>
          <w14:textFill>
            <w14:solidFill>
              <w14:schemeClr w14:val="tx1"/>
            </w14:solidFill>
          </w14:textFill>
        </w:rPr>
      </w:pPr>
    </w:p>
    <w:p>
      <w:pPr>
        <w:pStyle w:val="2"/>
        <w:rPr>
          <w:rFonts w:hint="eastAsia" w:ascii="仿宋" w:hAnsi="仿宋" w:eastAsia="仿宋" w:cs="仿宋"/>
          <w:color w:val="000000" w:themeColor="text1"/>
          <w:sz w:val="21"/>
          <w:szCs w:val="24"/>
          <w:highlight w:val="none"/>
          <w14:textFill>
            <w14:solidFill>
              <w14:schemeClr w14:val="tx1"/>
            </w14:solidFill>
          </w14:textFill>
        </w:rPr>
      </w:pPr>
    </w:p>
    <w:p>
      <w:pPr>
        <w:keepNext/>
        <w:keepLines/>
        <w:spacing w:before="120" w:beforeLines="50" w:after="120" w:afterLines="50" w:line="360" w:lineRule="auto"/>
        <w:outlineLvl w:val="1"/>
        <w:rPr>
          <w:rFonts w:hint="eastAsia" w:ascii="仿宋" w:hAnsi="仿宋" w:eastAsia="仿宋" w:cs="仿宋"/>
          <w:color w:val="000000" w:themeColor="text1"/>
          <w:kern w:val="0"/>
          <w:sz w:val="24"/>
          <w:szCs w:val="20"/>
          <w:highlight w:val="none"/>
          <w14:textFill>
            <w14:solidFill>
              <w14:schemeClr w14:val="tx1"/>
            </w14:solidFill>
          </w14:textFill>
        </w:rPr>
      </w:pPr>
      <w:r>
        <w:rPr>
          <w:rFonts w:hint="eastAsia" w:ascii="仿宋" w:hAnsi="仿宋" w:eastAsia="仿宋" w:cs="仿宋"/>
          <w:color w:val="000000" w:themeColor="text1"/>
          <w:kern w:val="0"/>
          <w:sz w:val="24"/>
          <w:szCs w:val="20"/>
          <w:highlight w:val="none"/>
          <w14:textFill>
            <w14:solidFill>
              <w14:schemeClr w14:val="tx1"/>
            </w14:solidFill>
          </w14:textFill>
        </w:rPr>
        <w:t>附件</w:t>
      </w:r>
      <w:r>
        <w:rPr>
          <w:rFonts w:hint="eastAsia" w:ascii="仿宋" w:hAnsi="仿宋" w:eastAsia="仿宋" w:cs="仿宋"/>
          <w:color w:val="000000" w:themeColor="text1"/>
          <w:kern w:val="0"/>
          <w:sz w:val="24"/>
          <w:szCs w:val="20"/>
          <w:highlight w:val="none"/>
          <w:lang w:val="en-US" w:eastAsia="zh-CN"/>
          <w14:textFill>
            <w14:solidFill>
              <w14:schemeClr w14:val="tx1"/>
            </w14:solidFill>
          </w14:textFill>
        </w:rPr>
        <w:t>五</w:t>
      </w:r>
      <w:r>
        <w:rPr>
          <w:rFonts w:hint="eastAsia" w:ascii="仿宋" w:hAnsi="仿宋" w:eastAsia="仿宋" w:cs="仿宋"/>
          <w:color w:val="000000" w:themeColor="text1"/>
          <w:kern w:val="0"/>
          <w:sz w:val="24"/>
          <w:szCs w:val="20"/>
          <w:highlight w:val="none"/>
          <w14:textFill>
            <w14:solidFill>
              <w14:schemeClr w14:val="tx1"/>
            </w14:solidFill>
          </w14:textFill>
        </w:rPr>
        <w:t>：工程质量保修书</w:t>
      </w:r>
    </w:p>
    <w:p>
      <w:pPr>
        <w:spacing w:line="360" w:lineRule="auto"/>
        <w:jc w:val="left"/>
        <w:rPr>
          <w:rFonts w:hint="eastAsia" w:ascii="仿宋" w:hAnsi="仿宋" w:eastAsia="仿宋" w:cs="仿宋"/>
          <w:b/>
          <w:sz w:val="28"/>
          <w:szCs w:val="28"/>
          <w:highlight w:val="none"/>
        </w:rPr>
      </w:pPr>
    </w:p>
    <w:p>
      <w:pPr>
        <w:pageBreakBefore w:val="0"/>
        <w:widowControl w:val="0"/>
        <w:kinsoku/>
        <w:wordWrap/>
        <w:overflowPunct/>
        <w:topLinePunct w:val="0"/>
        <w:autoSpaceDE/>
        <w:autoSpaceDN/>
        <w:bidi w:val="0"/>
        <w:adjustRightInd/>
        <w:snapToGrid/>
        <w:spacing w:line="360" w:lineRule="auto"/>
        <w:ind w:right="-6" w:firstLine="482" w:firstLineChars="20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工程质量保修书</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r>
        <w:rPr>
          <w:rFonts w:hint="eastAsia" w:ascii="仿宋" w:hAnsi="仿宋" w:eastAsia="仿宋" w:cs="仿宋"/>
          <w:sz w:val="24"/>
          <w:szCs w:val="24"/>
          <w:highlight w:val="none"/>
          <w:u w:val="single"/>
        </w:rPr>
        <w:t xml:space="preserve">   北京市海淀区苏家坨镇人民政府       </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r>
        <w:rPr>
          <w:rFonts w:hint="eastAsia" w:ascii="仿宋" w:hAnsi="仿宋" w:eastAsia="仿宋" w:cs="仿宋"/>
          <w:sz w:val="24"/>
          <w:szCs w:val="24"/>
          <w:highlight w:val="none"/>
          <w:u w:val="single"/>
        </w:rPr>
        <w:t xml:space="preserve">   北京环城旺泉建设发展有限公司       </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为保证</w:t>
      </w:r>
      <w:r>
        <w:rPr>
          <w:rFonts w:hint="eastAsia" w:ascii="仿宋" w:hAnsi="仿宋" w:eastAsia="仿宋" w:cs="仿宋"/>
          <w:sz w:val="24"/>
          <w:szCs w:val="24"/>
          <w:highlight w:val="none"/>
          <w:u w:val="single"/>
        </w:rPr>
        <w:t xml:space="preserve">   安河家园小区增建自行车车棚项目   </w:t>
      </w:r>
      <w:r>
        <w:rPr>
          <w:rFonts w:hint="eastAsia" w:ascii="仿宋" w:hAnsi="仿宋" w:eastAsia="仿宋" w:cs="仿宋"/>
          <w:sz w:val="24"/>
          <w:szCs w:val="24"/>
          <w:highlight w:val="none"/>
        </w:rPr>
        <w:t>在合理使用期限内正常使用，甲乙双方协商一致签订本工程质量保修书。乙方按国家《建设工程质量管理条例》及双方合同约定承担工程质量缺陷保修责任。</w:t>
      </w:r>
    </w:p>
    <w:p>
      <w:pPr>
        <w:keepNext/>
        <w:keepLines/>
        <w:pageBreakBefore w:val="0"/>
        <w:widowControl w:val="0"/>
        <w:kinsoku/>
        <w:wordWrap/>
        <w:overflowPunct/>
        <w:topLinePunct w:val="0"/>
        <w:autoSpaceDE/>
        <w:autoSpaceDN/>
        <w:bidi w:val="0"/>
        <w:adjustRightInd/>
        <w:snapToGrid/>
        <w:spacing w:line="360" w:lineRule="auto"/>
        <w:ind w:right="-6" w:firstLine="482" w:firstLineChars="200"/>
        <w:textAlignment w:val="auto"/>
        <w:outlineLvl w:val="3"/>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 缺陷责任期期限：</w:t>
      </w:r>
      <w:r>
        <w:rPr>
          <w:rFonts w:hint="eastAsia" w:ascii="仿宋" w:hAnsi="仿宋" w:eastAsia="仿宋" w:cs="仿宋"/>
          <w:color w:val="000000" w:themeColor="text1"/>
          <w:sz w:val="24"/>
          <w:szCs w:val="24"/>
          <w:highlight w:val="none"/>
          <w14:textFill>
            <w14:solidFill>
              <w14:schemeClr w14:val="tx1"/>
            </w14:solidFill>
          </w14:textFill>
        </w:rPr>
        <w:t xml:space="preserve">自竣工验收合格后 </w:t>
      </w: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个月</w:t>
      </w:r>
    </w:p>
    <w:p>
      <w:pPr>
        <w:keepNext/>
        <w:keepLines/>
        <w:pageBreakBefore w:val="0"/>
        <w:widowControl w:val="0"/>
        <w:kinsoku/>
        <w:wordWrap/>
        <w:overflowPunct/>
        <w:topLinePunct w:val="0"/>
        <w:autoSpaceDE/>
        <w:autoSpaceDN/>
        <w:bidi w:val="0"/>
        <w:adjustRightInd/>
        <w:snapToGrid/>
        <w:spacing w:line="360" w:lineRule="auto"/>
        <w:ind w:right="-6" w:firstLine="482" w:firstLineChars="200"/>
        <w:textAlignment w:val="auto"/>
        <w:outlineLvl w:val="3"/>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二、保修范围：</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本补充合同约定乙方承包范围内的工程项目，由于乙方施工质量缺陷问题和材料设备质量缺陷问题，均属乙方免费保修范围。</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保修期内出现因工程质量及安装而造成的质量问题，乙方负责无偿维修或更换并承担内、外墙漆恢复所产生的费用；在保修期内，工程出现质量问题或由质量原因引起的安全事故，乙方负责承担全部经济及法律责任。</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由于乙方工程质量问题造成甲方和业主的全部直接和间接损失，由乙方无条件承担。如业主另有索赔要求，则乙方授权甲方全权代表乙方与业主进行索赔谈判并确定赔偿金额，谈判结果经甲方和业主签字后立即生效，甲方负责知会乙方，并将乙方须承担的费用总额直接从乙方保修款中扣除，乙方予以无条件承认。</w:t>
      </w:r>
    </w:p>
    <w:p>
      <w:pPr>
        <w:keepNext/>
        <w:keepLines/>
        <w:pageBreakBefore w:val="0"/>
        <w:widowControl w:val="0"/>
        <w:kinsoku/>
        <w:wordWrap/>
        <w:overflowPunct/>
        <w:topLinePunct w:val="0"/>
        <w:autoSpaceDE/>
        <w:autoSpaceDN/>
        <w:bidi w:val="0"/>
        <w:adjustRightInd/>
        <w:snapToGrid/>
        <w:spacing w:line="360" w:lineRule="auto"/>
        <w:ind w:right="-6" w:firstLine="482" w:firstLineChars="200"/>
        <w:textAlignment w:val="auto"/>
        <w:outlineLvl w:val="3"/>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三、保修实施：</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程竣工验收合格后，本工程移交给物业管理公司管理，保修款由甲方客户服务中心负责保管。甲方客户服务中心负责本工程保修期内返修工作的统一协调管理，乙方就工程质量保修向甲方客户服务中心负责，工程保修款最终由乙方和甲方客户服务中心进行结算。同时，甲方保留根据相关法律法规就有关工程质量问题追究乙方质量责任的权利。</w:t>
      </w:r>
    </w:p>
    <w:p>
      <w:pPr>
        <w:keepNext/>
        <w:keepLines/>
        <w:pageBreakBefore w:val="0"/>
        <w:widowControl w:val="0"/>
        <w:kinsoku/>
        <w:wordWrap/>
        <w:overflowPunct/>
        <w:topLinePunct w:val="0"/>
        <w:autoSpaceDE/>
        <w:autoSpaceDN/>
        <w:bidi w:val="0"/>
        <w:adjustRightInd/>
        <w:snapToGrid/>
        <w:spacing w:line="360" w:lineRule="auto"/>
        <w:ind w:right="-6" w:firstLine="482" w:firstLineChars="200"/>
        <w:textAlignment w:val="auto"/>
        <w:outlineLvl w:val="3"/>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四、保修的时间性：</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1、渗水、漏水、给排水、供电设施及线路出现故障等影响居民正常生活的情况下，乙方承诺在甲方通知后4小时内赶到现场并于6小时内完成维修。</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2、发生紧急抢修事故的，乙方在接到事故通知后，应当立即到达事故现场抢修。</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3、其他情况下，乙方须在甲方通知后24小时内赶到现场，并于赶到现场之日起二日内完成通知所涉及之保修、维修项目。</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4、每个维修项目完成后，经业主和甲方验收并签字后，方为该维修项目本次维修完毕。所维修项目应保证在六个月内不再出现类似问题。</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5、违反以上规定，视为乙方同意由甲方处理，甲方委派他方处理，处理结果由业主和甲方签字认可后即生效，不再经由乙方确认（甲方将处理情况知会乙方），因此所发生的一切费用从乙方保修款中扣除，</w:t>
      </w:r>
      <w:ins w:id="15" w:author=" 嘉观" w:date="2022-10-27T15:49:24Z">
        <w:r>
          <w:rPr>
            <w:rFonts w:hint="eastAsia" w:ascii="仿宋" w:hAnsi="仿宋" w:eastAsia="仿宋" w:cs="仿宋"/>
            <w:sz w:val="24"/>
            <w:szCs w:val="24"/>
            <w:highlight w:val="none"/>
            <w:lang w:val="en-US" w:eastAsia="zh-Hans"/>
          </w:rPr>
          <w:t>按照</w:t>
        </w:r>
      </w:ins>
      <w:r>
        <w:rPr>
          <w:rFonts w:hint="eastAsia" w:ascii="仿宋" w:hAnsi="仿宋" w:eastAsia="仿宋" w:cs="仿宋"/>
          <w:sz w:val="24"/>
          <w:szCs w:val="24"/>
          <w:highlight w:val="none"/>
        </w:rPr>
        <w:t>甲方实际发生维修款的150%计费。</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乙方承诺，无论以上质量缺陷属乙方、甲方或业主责任，在接到通知后，均遵守上述时间性要求不问理由地进行维修，并在维修过程中与甲方及业主共同取证，以判断责任原因，不属乙方责任的，由责任方向乙方支付材料及人工费用。</w:t>
      </w:r>
    </w:p>
    <w:p>
      <w:pPr>
        <w:keepNext/>
        <w:keepLines/>
        <w:pageBreakBefore w:val="0"/>
        <w:widowControl w:val="0"/>
        <w:kinsoku/>
        <w:wordWrap/>
        <w:overflowPunct/>
        <w:topLinePunct w:val="0"/>
        <w:autoSpaceDE/>
        <w:autoSpaceDN/>
        <w:bidi w:val="0"/>
        <w:adjustRightInd/>
        <w:snapToGrid/>
        <w:spacing w:line="360" w:lineRule="auto"/>
        <w:ind w:right="-6" w:firstLine="482" w:firstLineChars="200"/>
        <w:textAlignment w:val="auto"/>
        <w:outlineLvl w:val="3"/>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五、维修质量的保障措施：</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1、每个维修项目完成后要经业主和甲方验收签字方可，所维修项目的保修期限按照国家与</w:t>
      </w:r>
      <w:ins w:id="16" w:author=" 嘉观" w:date="2022-10-27T15:50:03Z">
        <w:r>
          <w:rPr>
            <w:rFonts w:hint="eastAsia" w:ascii="仿宋" w:hAnsi="仿宋" w:eastAsia="仿宋" w:cs="仿宋"/>
            <w:sz w:val="24"/>
            <w:szCs w:val="24"/>
            <w:highlight w:val="none"/>
            <w:lang w:val="en-US" w:eastAsia="zh-Hans"/>
          </w:rPr>
          <w:t>北京</w:t>
        </w:r>
      </w:ins>
      <w:del w:id="17" w:author=" 嘉观" w:date="2022-10-27T15:50:01Z">
        <w:r>
          <w:rPr>
            <w:rFonts w:hint="eastAsia" w:ascii="仿宋" w:hAnsi="仿宋" w:eastAsia="仿宋" w:cs="仿宋"/>
            <w:sz w:val="24"/>
            <w:szCs w:val="24"/>
            <w:highlight w:val="none"/>
          </w:rPr>
          <w:delText>重庆</w:delText>
        </w:r>
      </w:del>
      <w:r>
        <w:rPr>
          <w:rFonts w:hint="eastAsia" w:ascii="仿宋" w:hAnsi="仿宋" w:eastAsia="仿宋" w:cs="仿宋"/>
          <w:sz w:val="24"/>
          <w:szCs w:val="24"/>
          <w:highlight w:val="none"/>
        </w:rPr>
        <w:t>市的相关规定周期执行。</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2、维修工作完成后，乙方负责将施工现场清理干净，如维修过程中给业主造成其他损失，则乙方应承担相应责任。</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3、如有下列情况之一发生，甲方有权另行聘请施工单位进行维修，由此引起的一切费用和责任由乙方承担。</w:t>
      </w:r>
      <w:bookmarkStart w:id="1022" w:name="_GoBack"/>
      <w:bookmarkEnd w:id="1022"/>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a：接到甲方返修通知（口头或书面）后拒不到现场处理问题；</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b：超过规定的到场时间后4小时仍未赶到现场；</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c：超过规定时间仍未完成有关工程返修任务，且不主动向甲方客户服务中心报告；</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d：对同一位置经过一次返修仍未彻底解决问题；</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e：因现场返修人员服务行为造成客户强烈投诉。</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4、因乙方责任造成返修、赔偿的，乙方应按照以下标准赔偿甲方直接和间接损失：直接返修加直接赔偿的费用在2000元以下的，按照3倍计算；直接返修加直接赔偿的费用在2000元以上的，按照2倍计算。</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5、按上述办法计算出的费用总额由甲方书面知会乙方，无需征得乙方书面签收意见即可直接从乙方保修款中扣除。</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6、若甲方垫付维修费用超出保修款总额，超出部分仍由乙方支付；所有保修款在结算时均不计利息。乙方不愿支付超额部分的，甲方有权由应支付乙方的其他任何费用中扣除，仍不够的，以法律手段追回。</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对于涉及结构安全的质量问题，应当按照《建设工程质量管理条例》的规定，立即向当地建设行政主管部门报告，采取安全防范措施；由原设计单位或者具有相应资质等级的设计单位提出保修方案，乙方实施保修。</w:t>
      </w:r>
    </w:p>
    <w:p>
      <w:pPr>
        <w:keepNext/>
        <w:keepLines/>
        <w:pageBreakBefore w:val="0"/>
        <w:widowControl w:val="0"/>
        <w:kinsoku/>
        <w:wordWrap/>
        <w:overflowPunct/>
        <w:topLinePunct w:val="0"/>
        <w:autoSpaceDE/>
        <w:autoSpaceDN/>
        <w:bidi w:val="0"/>
        <w:adjustRightInd/>
        <w:snapToGrid/>
        <w:spacing w:line="360" w:lineRule="auto"/>
        <w:ind w:right="-6" w:firstLine="482" w:firstLineChars="200"/>
        <w:textAlignment w:val="auto"/>
        <w:outlineLvl w:val="3"/>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六、</w:t>
      </w:r>
      <w:r>
        <w:rPr>
          <w:rFonts w:hint="eastAsia" w:ascii="仿宋" w:hAnsi="仿宋" w:eastAsia="仿宋" w:cs="仿宋"/>
          <w:b/>
          <w:bCs/>
          <w:sz w:val="24"/>
          <w:szCs w:val="24"/>
          <w:highlight w:val="none"/>
        </w:rPr>
        <w:t>乙方维修安排：</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1、乙方保修负责人：</w:t>
      </w:r>
      <w:r>
        <w:rPr>
          <w:rFonts w:hint="eastAsia" w:ascii="仿宋" w:hAnsi="仿宋" w:eastAsia="仿宋" w:cs="仿宋"/>
          <w:sz w:val="24"/>
          <w:szCs w:val="24"/>
          <w:highlight w:val="none"/>
          <w:lang w:val="en-US" w:eastAsia="zh-CN"/>
        </w:rPr>
        <w:t>祝光锋</w:t>
      </w:r>
      <w:r>
        <w:rPr>
          <w:rFonts w:hint="eastAsia" w:ascii="仿宋" w:hAnsi="仿宋" w:eastAsia="仿宋" w:cs="仿宋"/>
          <w:sz w:val="24"/>
          <w:szCs w:val="24"/>
          <w:highlight w:val="none"/>
        </w:rPr>
        <w:t xml:space="preserve">          </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通讯地址：</w:t>
      </w:r>
      <w:r>
        <w:rPr>
          <w:rFonts w:hint="eastAsia" w:ascii="仿宋" w:hAnsi="仿宋" w:eastAsia="仿宋" w:cs="仿宋"/>
          <w:sz w:val="24"/>
          <w:szCs w:val="24"/>
          <w:highlight w:val="none"/>
          <w:lang w:val="en-US" w:eastAsia="zh-CN"/>
        </w:rPr>
        <w:t>北京市海淀区苏家坨镇</w:t>
      </w:r>
      <w:r>
        <w:rPr>
          <w:rFonts w:hint="eastAsia" w:ascii="仿宋" w:hAnsi="仿宋" w:eastAsia="仿宋" w:cs="仿宋"/>
          <w:sz w:val="24"/>
          <w:szCs w:val="24"/>
          <w:highlight w:val="none"/>
        </w:rPr>
        <w:t xml:space="preserve"> </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电话/手机： </w:t>
      </w:r>
      <w:r>
        <w:rPr>
          <w:rFonts w:hint="eastAsia" w:ascii="仿宋" w:hAnsi="仿宋" w:eastAsia="仿宋" w:cs="仿宋"/>
          <w:sz w:val="24"/>
          <w:szCs w:val="24"/>
          <w:highlight w:val="none"/>
          <w:lang w:val="en-US" w:eastAsia="zh-CN"/>
        </w:rPr>
        <w:t>010-62495866</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传真：</w:t>
      </w:r>
      <w:r>
        <w:rPr>
          <w:rFonts w:hint="eastAsia" w:ascii="仿宋" w:hAnsi="仿宋" w:eastAsia="仿宋" w:cs="仿宋"/>
          <w:sz w:val="24"/>
          <w:szCs w:val="24"/>
          <w:highlight w:val="none"/>
          <w:lang w:val="en-US" w:eastAsia="zh-CN"/>
        </w:rPr>
        <w:t>010-62495866</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2、以上内容若有变动需及时书面知会甲方客户服务中心，否则无法联系时，视为乙方已收到甲方传达之信息。</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、维修人员应按甲方制定的维修程序进行维修，服从甲方客户服务中心的管理，服从业主的监督，统一着装、文明施工、文明用语，不得与业主发生任何争执，否则每人次乙方支付违约金500元。</w:t>
      </w:r>
    </w:p>
    <w:p>
      <w:pPr>
        <w:keepNext/>
        <w:keepLines/>
        <w:pageBreakBefore w:val="0"/>
        <w:widowControl w:val="0"/>
        <w:kinsoku/>
        <w:wordWrap/>
        <w:overflowPunct/>
        <w:topLinePunct w:val="0"/>
        <w:autoSpaceDE/>
        <w:autoSpaceDN/>
        <w:bidi w:val="0"/>
        <w:adjustRightInd/>
        <w:snapToGrid/>
        <w:spacing w:line="360" w:lineRule="auto"/>
        <w:ind w:right="-6" w:firstLine="482" w:firstLineChars="200"/>
        <w:textAlignment w:val="auto"/>
        <w:outlineLvl w:val="3"/>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七、质量保修金：</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本工程约定的工程质量保修金为结算价款的</w:t>
      </w:r>
      <w:r>
        <w:rPr>
          <w:rFonts w:hint="eastAsia" w:ascii="仿宋" w:hAnsi="仿宋" w:eastAsia="仿宋" w:cs="仿宋"/>
          <w:sz w:val="24"/>
          <w:szCs w:val="24"/>
          <w:highlight w:val="none"/>
          <w:u w:val="single"/>
        </w:rPr>
        <w:t xml:space="preserve"> </w:t>
      </w:r>
      <w:r>
        <w:rPr>
          <w:rFonts w:hint="eastAsia" w:ascii="仿宋" w:hAnsi="仿宋" w:eastAsia="仿宋" w:cs="仿宋"/>
          <w:b/>
          <w:sz w:val="24"/>
          <w:szCs w:val="24"/>
          <w:highlight w:val="none"/>
          <w:u w:val="single"/>
          <w:lang w:val="en-US" w:eastAsia="zh-CN"/>
        </w:rPr>
        <w:t>3</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keepNext/>
        <w:keepLines/>
        <w:pageBreakBefore w:val="0"/>
        <w:widowControl w:val="0"/>
        <w:kinsoku/>
        <w:wordWrap/>
        <w:overflowPunct/>
        <w:topLinePunct w:val="0"/>
        <w:autoSpaceDE/>
        <w:autoSpaceDN/>
        <w:bidi w:val="0"/>
        <w:adjustRightInd/>
        <w:snapToGrid/>
        <w:spacing w:line="360" w:lineRule="auto"/>
        <w:ind w:right="-6" w:firstLine="482" w:firstLineChars="200"/>
        <w:textAlignment w:val="auto"/>
        <w:outlineLvl w:val="3"/>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八、质量保修金的返还</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保修金在乙方履行保修责任后返还：质量保修金在保修期满且乙方履行了保修责任和义务后一周内一次性返还（不计利息）。</w:t>
      </w:r>
    </w:p>
    <w:p>
      <w:pPr>
        <w:keepNext/>
        <w:keepLines/>
        <w:pageBreakBefore w:val="0"/>
        <w:widowControl w:val="0"/>
        <w:kinsoku/>
        <w:wordWrap/>
        <w:overflowPunct/>
        <w:topLinePunct w:val="0"/>
        <w:autoSpaceDE/>
        <w:autoSpaceDN/>
        <w:bidi w:val="0"/>
        <w:adjustRightInd/>
        <w:snapToGrid/>
        <w:spacing w:line="360" w:lineRule="auto"/>
        <w:ind w:right="-6" w:firstLine="482" w:firstLineChars="200"/>
        <w:textAlignment w:val="auto"/>
        <w:outlineLvl w:val="3"/>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九、其他</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1、乙方同意在免费保修期满后至工程有效寿命年限内，继续提供适当维修服务，并按最优惠价收取费用。</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2、本保修书作为施工合同附件，由施工合同双方共同签署，在工程使用年限内一直生效。</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甲方：</w:t>
      </w:r>
      <w:r>
        <w:rPr>
          <w:rFonts w:hint="eastAsia" w:ascii="仿宋" w:hAnsi="仿宋" w:eastAsia="仿宋" w:cs="仿宋"/>
          <w:b/>
          <w:sz w:val="24"/>
          <w:szCs w:val="24"/>
          <w:highlight w:val="none"/>
        </w:rPr>
        <w:t xml:space="preserve">                           </w:t>
      </w:r>
      <w:r>
        <w:rPr>
          <w:rFonts w:hint="eastAsia" w:ascii="仿宋" w:hAnsi="仿宋" w:eastAsia="仿宋" w:cs="仿宋"/>
          <w:sz w:val="24"/>
          <w:szCs w:val="24"/>
          <w:highlight w:val="none"/>
        </w:rPr>
        <w:t xml:space="preserve">     乙方：</w:t>
      </w:r>
      <w:r>
        <w:rPr>
          <w:rFonts w:hint="eastAsia" w:ascii="仿宋" w:hAnsi="仿宋" w:eastAsia="仿宋" w:cs="仿宋"/>
          <w:b/>
          <w:sz w:val="24"/>
          <w:szCs w:val="24"/>
          <w:highlight w:val="none"/>
        </w:rPr>
        <w:t xml:space="preserve"> </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代表：　　　　　　　　　　　　　      代表：</w:t>
      </w: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 w:val="24"/>
          <w:szCs w:val="24"/>
          <w:highlight w:val="none"/>
        </w:rPr>
      </w:pPr>
    </w:p>
    <w:p>
      <w:pPr>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仿宋" w:hAnsi="仿宋" w:eastAsia="仿宋" w:cs="仿宋"/>
          <w:szCs w:val="21"/>
          <w:highlight w:val="none"/>
        </w:rPr>
      </w:pPr>
      <w:r>
        <w:rPr>
          <w:rFonts w:hint="eastAsia" w:ascii="仿宋" w:hAnsi="仿宋" w:eastAsia="仿宋" w:cs="仿宋"/>
          <w:sz w:val="24"/>
          <w:szCs w:val="24"/>
          <w:highlight w:val="none"/>
        </w:rPr>
        <w:t>本保修书于：</w:t>
      </w:r>
      <w:r>
        <w:rPr>
          <w:rFonts w:hint="eastAsia" w:ascii="仿宋" w:hAnsi="仿宋" w:eastAsia="仿宋" w:cs="仿宋"/>
          <w:sz w:val="24"/>
          <w:szCs w:val="24"/>
          <w:highlight w:val="none"/>
          <w:u w:val="single"/>
        </w:rPr>
        <w:t xml:space="preserve">     </w:t>
      </w:r>
      <w:r>
        <w:rPr>
          <w:rFonts w:hint="eastAsia" w:ascii="仿宋" w:hAnsi="仿宋" w:eastAsia="仿宋" w:cs="仿宋"/>
          <w:b/>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日签署</w:t>
      </w:r>
    </w:p>
    <w:p>
      <w:pPr>
        <w:tabs>
          <w:tab w:val="left" w:pos="900"/>
          <w:tab w:val="left" w:pos="1080"/>
        </w:tabs>
        <w:snapToGrid w:val="0"/>
        <w:spacing w:line="360" w:lineRule="auto"/>
        <w:rPr>
          <w:rFonts w:hint="eastAsia" w:ascii="仿宋" w:hAnsi="仿宋" w:eastAsia="仿宋" w:cs="仿宋"/>
          <w:color w:val="auto"/>
          <w:kern w:val="0"/>
          <w:sz w:val="18"/>
          <w:szCs w:val="18"/>
          <w:highlight w:val="none"/>
        </w:rPr>
      </w:pPr>
    </w:p>
    <w:p>
      <w:pPr>
        <w:tabs>
          <w:tab w:val="left" w:pos="900"/>
          <w:tab w:val="left" w:pos="1080"/>
        </w:tabs>
        <w:snapToGrid w:val="0"/>
        <w:spacing w:line="360" w:lineRule="auto"/>
        <w:rPr>
          <w:rFonts w:hint="eastAsia" w:ascii="仿宋" w:hAnsi="仿宋" w:eastAsia="仿宋" w:cs="仿宋"/>
          <w:color w:val="auto"/>
          <w:kern w:val="0"/>
          <w:sz w:val="18"/>
          <w:szCs w:val="18"/>
          <w:highlight w:val="none"/>
        </w:rPr>
      </w:pPr>
    </w:p>
    <w:p>
      <w:pPr>
        <w:spacing w:line="360" w:lineRule="auto"/>
        <w:jc w:val="both"/>
        <w:outlineLvl w:val="9"/>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pPr>
        <w:keepNext/>
        <w:keepLines/>
        <w:spacing w:before="120" w:beforeLines="50" w:after="120" w:afterLines="50" w:line="360" w:lineRule="auto"/>
        <w:outlineLvl w:val="1"/>
        <w:rPr>
          <w:rFonts w:hint="eastAsia" w:ascii="仿宋" w:hAnsi="仿宋" w:eastAsia="仿宋" w:cs="仿宋"/>
          <w:color w:val="000000" w:themeColor="text1"/>
          <w:kern w:val="0"/>
          <w:sz w:val="24"/>
          <w:szCs w:val="20"/>
          <w:highlight w:val="none"/>
          <w14:textFill>
            <w14:solidFill>
              <w14:schemeClr w14:val="tx1"/>
            </w14:solidFill>
          </w14:textFill>
        </w:rPr>
      </w:pPr>
      <w:bookmarkStart w:id="1021" w:name="_Hlk9842010"/>
      <w:r>
        <w:rPr>
          <w:rFonts w:hint="eastAsia" w:ascii="仿宋" w:hAnsi="仿宋" w:eastAsia="仿宋" w:cs="仿宋"/>
          <w:color w:val="000000" w:themeColor="text1"/>
          <w:kern w:val="0"/>
          <w:sz w:val="24"/>
          <w:szCs w:val="20"/>
          <w:highlight w:val="none"/>
          <w:lang w:val="en-US" w:eastAsia="zh-CN"/>
          <w14:textFill>
            <w14:solidFill>
              <w14:schemeClr w14:val="tx1"/>
            </w14:solidFill>
          </w14:textFill>
        </w:rPr>
        <w:t>附件六、</w:t>
      </w:r>
      <w:r>
        <w:rPr>
          <w:rFonts w:hint="eastAsia" w:ascii="仿宋" w:hAnsi="仿宋" w:eastAsia="仿宋" w:cs="仿宋"/>
          <w:color w:val="000000" w:themeColor="text1"/>
          <w:kern w:val="0"/>
          <w:sz w:val="24"/>
          <w:szCs w:val="20"/>
          <w:highlight w:val="none"/>
          <w14:textFill>
            <w14:solidFill>
              <w14:schemeClr w14:val="tx1"/>
            </w14:solidFill>
          </w14:textFill>
        </w:rPr>
        <w:t>安全生产责任书</w:t>
      </w:r>
      <w:bookmarkEnd w:id="1021"/>
      <w:r>
        <w:rPr>
          <w:rFonts w:hint="eastAsia" w:ascii="仿宋" w:hAnsi="仿宋" w:eastAsia="仿宋" w:cs="仿宋"/>
          <w:color w:val="000000" w:themeColor="text1"/>
          <w:kern w:val="0"/>
          <w:sz w:val="24"/>
          <w:szCs w:val="20"/>
          <w:highlight w:val="none"/>
          <w14:textFill>
            <w14:solidFill>
              <w14:schemeClr w14:val="tx1"/>
            </w14:solidFill>
          </w14:textFill>
        </w:rPr>
        <w:t>格式</w:t>
      </w:r>
    </w:p>
    <w:p>
      <w:pPr>
        <w:pageBreakBefore w:val="0"/>
        <w:widowControl w:val="0"/>
        <w:kinsoku/>
        <w:wordWrap/>
        <w:overflowPunct/>
        <w:topLinePunct w:val="0"/>
        <w:autoSpaceDE/>
        <w:autoSpaceDN/>
        <w:bidi w:val="0"/>
        <w:adjustRightInd/>
        <w:snapToGrid/>
        <w:spacing w:line="360" w:lineRule="auto"/>
        <w:ind w:right="-6" w:firstLine="482" w:firstLineChars="20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安全生产责任书</w:t>
      </w:r>
    </w:p>
    <w:p>
      <w:pPr>
        <w:widowControl/>
        <w:shd w:val="clear" w:color="auto" w:fill="FFFFFF"/>
        <w:spacing w:before="100" w:beforeAutospacing="1" w:after="100" w:afterAutospacing="1" w:line="360" w:lineRule="atLeast"/>
        <w:rPr>
          <w:rFonts w:hint="eastAsia" w:ascii="仿宋" w:hAnsi="仿宋" w:eastAsia="仿宋" w:cs="仿宋"/>
          <w:sz w:val="24"/>
          <w:szCs w:val="24"/>
          <w:highlight w:val="none"/>
          <w:u w:val="single"/>
        </w:rPr>
      </w:pPr>
      <w:r>
        <w:rPr>
          <w:rFonts w:hint="eastAsia" w:ascii="仿宋" w:hAnsi="仿宋" w:eastAsia="仿宋" w:cs="仿宋"/>
          <w:kern w:val="0"/>
          <w:sz w:val="24"/>
        </w:rPr>
        <w:t>甲方：（简称：甲方）</w:t>
      </w:r>
      <w:r>
        <w:rPr>
          <w:rFonts w:hint="eastAsia" w:ascii="仿宋" w:hAnsi="仿宋" w:eastAsia="仿宋" w:cs="仿宋"/>
          <w:sz w:val="24"/>
          <w:szCs w:val="24"/>
          <w:highlight w:val="none"/>
          <w:u w:val="single"/>
        </w:rPr>
        <w:t xml:space="preserve">   北京市海淀区苏家坨镇人民政府   </w:t>
      </w:r>
    </w:p>
    <w:p>
      <w:pPr>
        <w:widowControl/>
        <w:shd w:val="clear" w:color="auto" w:fill="FFFFFF"/>
        <w:spacing w:before="100" w:beforeAutospacing="1" w:after="100" w:afterAutospacing="1" w:line="360" w:lineRule="atLeast"/>
        <w:rPr>
          <w:rFonts w:hint="eastAsia" w:ascii="仿宋" w:hAnsi="仿宋" w:eastAsia="仿宋" w:cs="仿宋"/>
          <w:kern w:val="0"/>
          <w:sz w:val="24"/>
        </w:rPr>
      </w:pPr>
      <w:r>
        <w:rPr>
          <w:rFonts w:hint="eastAsia" w:ascii="仿宋" w:hAnsi="仿宋" w:eastAsia="仿宋" w:cs="仿宋"/>
          <w:kern w:val="0"/>
          <w:sz w:val="24"/>
        </w:rPr>
        <w:t>乙方: （简称：乙方）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北京环城旺泉建设发展有限公司</w:t>
      </w:r>
      <w:r>
        <w:rPr>
          <w:rFonts w:hint="eastAsia" w:ascii="仿宋" w:hAnsi="仿宋" w:eastAsia="仿宋" w:cs="仿宋"/>
          <w:sz w:val="24"/>
          <w:szCs w:val="24"/>
          <w:highlight w:val="none"/>
          <w:u w:val="single"/>
        </w:rPr>
        <w:t xml:space="preserve">  </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为加强建设工程施工现场安全管理，保障建设工程顺利进行，依据相关法律、法规、建设单位及有关管理文件规定，特制定本安全协议书。本协议书强制执行，甲已双方应共同遵守并履行相应责任与义务。</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一、甲方责任与义务：</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1、严格执行国家《安全生产法》和保障安全生产的国家标准或者行业标准。负责对乙方劳务人员进行安全生产的法律、法规和安全生产知识的宣传，提供劳务人员的安全生产意识。</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2、依法维护监督管理乙方劳务人员安全教育，建立、健全安全生产责任制度，完善安全生产条件确保安全生产。</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3、负责监督管理乙方劳务人员安全生产工作，保证乙方安全生产投入的有效实施，及时消除生产安全事故隐患，如有违章行为者应给予制止和纠正，情节严重者给予处罚。</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4、负责在有较大危险因素的生产场所和有关设施、设备上，设置明显的安全警示标志，制度并实施生产安全事故应急救援预案，及时如实报告生产安全事故。</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有权要求立刻撤走现场内的乙方劳务人员中没有适当理由而又不遵守、执行地方政府相关部门及行业主管部门发布的安全条例和指令的人员，无论在任何情况下，此人不得再雇佣于现场，除非事先有甲方的书面同意。</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6、对不符合安全规定的，甲方安全管理人员有权要求停工和强行整改使之达到安全标准，所须费用从工程款中加倍扣除。</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 违反安全生产、治安、消防、文明施工规定的行为，甲方依据相关规定有权对乙方进行经济处罚。</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二、乙方责任与义务：</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1、遵守国家《安全生产法》和其他有关安全生产的法律、法规，服从甲方的安全生产监督管理，依法履行安全生产方面的义务。</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2、设置专职或兼职安全生产管理人员，或者委托具有国家规定的相关专业技术资格的工程技术人员提供安全生产管理服务。负责全体劳务人员进行尊章守纪，安全生产教育。</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3、管理人员应持证上岗，未经安全生产教育和培训合格的人员，不得上岗。特征作业人员未按照规定经专门的安全作业培训并取得特种作业操作资格证书，不得上岗作业。</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4、乙方施工现场负责人、安全生产管理人员必须每天坚持施工现场安全巡查，发现问题及时处理解决，遇重大问题隐患及时报告工程项目部和项目经理。</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5、按规定向劳务人员发放生产必需的符合国家标准或者行业标准的劳动防护用品，并督促劳务人员正确使用，不得使用国家明令淘汰、禁止使用的危险及生产安全的工艺、设备。</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乙方必须严格执行安全防范制度，采取一切严密的、符合安全标准的预防措施，确保所有工作场所的安全，不得存在危及工人安全和健康的危险情况，并保证建设工地所有人员或附近人员免遭工地可能发生的一切危险。</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乙方自带的各类施工机械设备，机械性能应良好，各种安全防护装置齐全、灵敏、可靠。中小型机械设备和一般防护设施执行自检后依次报甲方、监理单位验收，合格后方可使用；大型机械设备和大型防护设施，在自检的基础上依次申报甲方、监理单位，并接受专职部门的专业验收。</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8、乙方必须教育和约束自己的职工严格遵守施工现场安全管理规定。</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9、乙方的车辆出入工地门口时应减速慢行，避免发生交通事故。</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10、在施工中进行作业时，必须严格遵守经甲方和监理批准的作业方案和操作规程。危险作业时应对所有人员、工程本体和公私财产采取保护措施。对由于未按甲方和监理批准的作业方案进行施工或没有对作业人员、工程本体和公私财产采取保护措施而造成的任何人身伤亡（包括第三者）、工程本体损坏、公私财产损失乙方承担全部责任。</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三、安全生产事故处理办法</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1、乙方必须严格执行职工因工伤亡报告制度。 乙方劳务人员在施工现场从事施工过程中所发生的伤害事故为工伤事故，因乙方原因而发生一般事故以下（不包括一般事故）的事故责任和损失均由乙方单位负责，发生一般事故以上（包括一般事故）的事故责任和损失按照有关部门认定的责任原因承担相应的经济、法律责任。</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如果发生因工伤亡事故，乙方应在1小时内，以最快捷的方式通知甲方的项目主管领导，向其报告事故的详情，由甲方及时逐级上报上级有关部门。同时乙方积极组织抢救工作，采取相应的措施保护好现场。如因抢救伤员必须移动现场设备、设施者要做好记录或拍照。甲方为抢救提供必要条件。</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3、乙方要积极配合甲方、上级主管部门对事故的调查和现场勘查。凡因乙方隐瞒不报、做伪证或擅自拆毁事故现场的，所造成的一切后果均由乙方承担。</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4、如果发生因工伤亡事故，甲方协助乙方做好事故的善后处理工作。伤亡人员为乙方人员的，乙方应直接负责伤亡者及其家属的接待善后工作。</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四、罚则</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1、乙方必须执行甲方以及其上级主管部门和各级政府、各行业主管部门的安全生产检查，施工现场因安全生产不达标而造成的罚款等损失乙方应承担相应的部分罚款。</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乙方应按有关规定，采取严格的安全防护措施，由于自身管理以及自身防范措施不利或乙方工人责任造成的案件、火灾、交通事故（含施工现场内）而造成事故的责任和因此而发生的费用由乙方承担。非乙方责任的伤亡事故，由责任方承担责任和有关费用。</w:t>
      </w:r>
    </w:p>
    <w:p>
      <w:pPr>
        <w:widowControl/>
        <w:shd w:val="clear" w:color="auto" w:fill="FFFFFF"/>
        <w:spacing w:before="100" w:beforeAutospacing="1" w:after="100" w:afterAutospacing="1" w:line="360" w:lineRule="atLeas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乙方必须认真遵守国家的有关法律、法规及建设部和当地政府、建委颁发的有关治安、消防、交通安全管理规定及条例，以及甲方对施工现场消防保卫的特殊要求组织施工，并接受各方的安全检查。对甲方及其他相关部门所签发的隐患整改通知，乙方应在指定的期限内整改完毕。逾期不改或整改不符合要求的、受到相关行业主管部门经济处罚的，甲方有权对乙方进行双倍经济处罚。</w:t>
      </w:r>
    </w:p>
    <w:p>
      <w:pPr>
        <w:widowControl/>
        <w:shd w:val="clear" w:color="auto" w:fill="FFFFFF"/>
        <w:spacing w:before="100" w:beforeAutospacing="1" w:after="100" w:afterAutospacing="1" w:line="360" w:lineRule="atLeast"/>
        <w:rPr>
          <w:rFonts w:hint="eastAsia" w:ascii="仿宋" w:hAnsi="仿宋" w:eastAsia="仿宋" w:cs="仿宋"/>
          <w:kern w:val="0"/>
          <w:sz w:val="24"/>
          <w:szCs w:val="24"/>
        </w:rPr>
      </w:pPr>
    </w:p>
    <w:p>
      <w:pPr>
        <w:widowControl/>
        <w:shd w:val="clear" w:color="auto" w:fill="FFFFFF"/>
        <w:spacing w:before="100" w:beforeAutospacing="1" w:after="100" w:afterAutospacing="1" w:line="360" w:lineRule="atLeast"/>
        <w:rPr>
          <w:rFonts w:hint="eastAsia" w:ascii="仿宋" w:hAnsi="仿宋" w:eastAsia="仿宋" w:cs="仿宋"/>
          <w:kern w:val="0"/>
          <w:sz w:val="24"/>
          <w:szCs w:val="24"/>
        </w:rPr>
      </w:pPr>
    </w:p>
    <w:p>
      <w:pPr>
        <w:widowControl/>
        <w:shd w:val="clear" w:color="auto" w:fill="FFFFFF"/>
        <w:spacing w:before="100" w:beforeAutospacing="1" w:after="100" w:afterAutospacing="1" w:line="360" w:lineRule="atLeast"/>
        <w:rPr>
          <w:rFonts w:hint="eastAsia" w:ascii="仿宋" w:hAnsi="仿宋" w:eastAsia="仿宋" w:cs="仿宋"/>
          <w:kern w:val="0"/>
          <w:sz w:val="24"/>
          <w:szCs w:val="24"/>
        </w:rPr>
      </w:pPr>
      <w:r>
        <w:rPr>
          <w:rFonts w:hint="eastAsia" w:ascii="仿宋" w:hAnsi="仿宋" w:eastAsia="仿宋" w:cs="仿宋"/>
          <w:kern w:val="0"/>
          <w:sz w:val="24"/>
          <w:szCs w:val="24"/>
        </w:rPr>
        <w:t>甲方：（盖章）               乙方：（盖章）</w:t>
      </w:r>
    </w:p>
    <w:p>
      <w:pPr>
        <w:widowControl/>
        <w:shd w:val="clear" w:color="auto" w:fill="FFFFFF"/>
        <w:spacing w:before="100" w:beforeAutospacing="1" w:after="100" w:afterAutospacing="1" w:line="360" w:lineRule="atLeast"/>
        <w:rPr>
          <w:rFonts w:hint="eastAsia" w:ascii="仿宋" w:hAnsi="仿宋" w:eastAsia="仿宋" w:cs="仿宋"/>
          <w:kern w:val="0"/>
          <w:sz w:val="24"/>
          <w:szCs w:val="24"/>
        </w:rPr>
      </w:pPr>
    </w:p>
    <w:p>
      <w:pPr>
        <w:widowControl/>
        <w:shd w:val="clear" w:color="auto" w:fill="FFFFFF"/>
        <w:spacing w:before="100" w:beforeAutospacing="1" w:after="100" w:afterAutospacing="1" w:line="360" w:lineRule="atLeast"/>
        <w:rPr>
          <w:rFonts w:hint="eastAsia" w:ascii="仿宋" w:hAnsi="仿宋" w:eastAsia="仿宋" w:cs="仿宋"/>
          <w:kern w:val="0"/>
          <w:sz w:val="24"/>
          <w:szCs w:val="24"/>
        </w:rPr>
      </w:pPr>
      <w:r>
        <w:rPr>
          <w:rFonts w:hint="eastAsia" w:ascii="仿宋" w:hAnsi="仿宋" w:eastAsia="仿宋" w:cs="仿宋"/>
          <w:kern w:val="0"/>
          <w:sz w:val="24"/>
          <w:szCs w:val="24"/>
        </w:rPr>
        <w:t>代表：（盖章）               代表：（盖章）</w:t>
      </w:r>
    </w:p>
    <w:p>
      <w:pPr>
        <w:widowControl/>
        <w:shd w:val="clear" w:color="auto" w:fill="FFFFFF"/>
        <w:spacing w:before="100" w:beforeAutospacing="1" w:after="100" w:afterAutospacing="1" w:line="360" w:lineRule="atLeast"/>
        <w:rPr>
          <w:rFonts w:hint="eastAsia" w:ascii="仿宋" w:hAnsi="仿宋" w:eastAsia="仿宋" w:cs="仿宋"/>
          <w:kern w:val="0"/>
          <w:sz w:val="24"/>
          <w:szCs w:val="24"/>
        </w:rPr>
      </w:pPr>
    </w:p>
    <w:p>
      <w:pPr>
        <w:widowControl/>
        <w:shd w:val="clear" w:color="auto" w:fill="FFFFFF"/>
        <w:spacing w:before="100" w:beforeAutospacing="1" w:after="100" w:afterAutospacing="1" w:line="360" w:lineRule="atLeast"/>
        <w:ind w:firstLine="5280" w:firstLineChars="2200"/>
      </w:pPr>
      <w:r>
        <w:rPr>
          <w:rFonts w:hint="eastAsia" w:ascii="仿宋" w:hAnsi="仿宋" w:eastAsia="仿宋" w:cs="仿宋"/>
          <w:kern w:val="0"/>
          <w:sz w:val="24"/>
          <w:szCs w:val="24"/>
        </w:rPr>
        <w:t xml:space="preserve">签订合同时间：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月</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日</w:t>
      </w: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Calibri Light">
    <w:altName w:val="Helvetica Neue"/>
    <w:panose1 w:val="020F0302020204030204"/>
    <w:charset w:val="00"/>
    <w:family w:val="swiss"/>
    <w:pitch w:val="default"/>
    <w:sig w:usb0="00000000" w:usb1="00000000" w:usb2="00000009" w:usb3="00000000" w:csb0="200001FF" w:csb1="00000000"/>
  </w:font>
  <w:font w:name="仿宋">
    <w:altName w:val="方正仿宋_GBK"/>
    <w:panose1 w:val="02010609060101010101"/>
    <w:charset w:val="86"/>
    <w:family w:val="auto"/>
    <w:pitch w:val="default"/>
    <w:sig w:usb0="00000000" w:usb1="00000000" w:usb2="00000016" w:usb3="00000000" w:csb0="00040001" w:csb1="00000000"/>
  </w:font>
  <w:font w:name="Kingsoft Sign">
    <w:panose1 w:val="05050102010706020507"/>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Unicode MS">
    <w:panose1 w:val="020B0604020202020204"/>
    <w:charset w:val="86"/>
    <w:family w:val="auto"/>
    <w:pitch w:val="default"/>
    <w:sig w:usb0="00000000" w:usb1="00000000" w:usb2="00000000" w:usb3="00000000" w:csb0="003E0000" w:csb1="00000000"/>
  </w:font>
  <w:font w:name="Apple Color Emoj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rvvpskBAACZAwAADgAAAAAA&#10;AAABACAAAAA0AQAAZHJzL2Uyb0RvYy54bWxQSwUGAAAAAAYABgBZAQAAbwU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CB489"/>
    <w:multiLevelType w:val="singleLevel"/>
    <w:tmpl w:val="0B3CB489"/>
    <w:lvl w:ilvl="0" w:tentative="0">
      <w:start w:val="3"/>
      <w:numFmt w:val="decimal"/>
      <w:suff w:val="nothing"/>
      <w:lvlText w:val="（%1）"/>
      <w:lvlJc w:val="left"/>
      <w:rPr>
        <w:rFonts w:hint="default"/>
        <w:color w:val="auto"/>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嘉观">
    <w15:presenceInfo w15:providerId="WPS Office" w15:userId="2833103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3ZmU5NTdlMDk0NTAyMzRlMjA4YjU3MjMyMjgzZjgifQ=="/>
  </w:docVars>
  <w:rsids>
    <w:rsidRoot w:val="4E1532FD"/>
    <w:rsid w:val="4E1532FD"/>
    <w:rsid w:val="BF5F3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5">
    <w:name w:val="Normal Indent"/>
    <w:basedOn w:val="1"/>
    <w:next w:val="1"/>
    <w:qFormat/>
    <w:uiPriority w:val="0"/>
    <w:pPr>
      <w:autoSpaceDE w:val="0"/>
      <w:autoSpaceDN w:val="0"/>
      <w:adjustRightInd w:val="0"/>
      <w:ind w:firstLine="420"/>
      <w:jc w:val="left"/>
    </w:pPr>
    <w:rPr>
      <w:rFonts w:ascii="宋体"/>
      <w:sz w:val="24"/>
    </w:rPr>
  </w:style>
  <w:style w:type="paragraph" w:styleId="7">
    <w:name w:val="Body Text Indent 2"/>
    <w:basedOn w:val="1"/>
    <w:qFormat/>
    <w:uiPriority w:val="0"/>
    <w:pPr>
      <w:ind w:firstLine="480" w:firstLineChars="200"/>
    </w:pPr>
    <w:rPr>
      <w:rFonts w:ascii="仿宋_GB2312" w:eastAsia="仿宋_GB2312"/>
      <w:sz w:val="24"/>
    </w:rPr>
  </w:style>
  <w:style w:type="paragraph" w:styleId="8">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customStyle="1" w:styleId="11">
    <w:name w:val="样式 标题 3 + (中文) 黑体 小四 非加粗 段前: 7.8 磅 段后: 0 磅 行距: 固定值 20 磅"/>
    <w:basedOn w:val="6"/>
    <w:qFormat/>
    <w:uiPriority w:val="0"/>
    <w:pPr>
      <w:widowControl/>
      <w:autoSpaceDE/>
      <w:autoSpaceDN/>
      <w:adjustRightInd/>
      <w:spacing w:before="0" w:after="0" w:line="400" w:lineRule="exact"/>
    </w:pPr>
    <w:rPr>
      <w:rFonts w:ascii="Calibri Light" w:hAnsi="Calibri Light" w:eastAsia="黑体"/>
      <w:bCs/>
      <w:color w:val="44546A"/>
      <w:u w:val="none"/>
    </w:rPr>
  </w:style>
  <w:style w:type="paragraph" w:customStyle="1" w:styleId="12">
    <w:name w:val="1"/>
    <w:next w:val="1"/>
    <w:qFormat/>
    <w:uiPriority w:val="0"/>
    <w:rPr>
      <w:rFonts w:ascii="Times New Roman" w:hAnsi="Times New Roman" w:eastAsia="宋体" w:cs="Times New Roman"/>
      <w:kern w:val="2"/>
      <w:sz w:val="21"/>
      <w:szCs w:val="24"/>
      <w:lang w:val="zh-CN"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98</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2022-10-25T10:07:00Z</dcterms:created>
  <dc:creator>亮宝宝</dc:creator>
  <cp:lastModifiedBy> 嘉观</cp:lastModifiedBy>
  <dcterms:modified xsi:type="dcterms:W3CDTF">2022-10-27T15:50:50Z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12C7C7048A120BB15A385A6364A8C121</vt:lpwstr>
  </property>
</Properties>
</file>