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numId w:val="0"/>
        </w:numPr>
        <w:snapToGrid w:val="0"/>
        <w:spacing w:before="0" w:after="0"/>
        <w:ind w:left="288" w:leftChars="0" w:firstLine="1405" w:firstLineChars="500"/>
        <w:jc w:val="both"/>
        <w:rPr>
          <w:rFonts w:ascii="宋体" w:hAnsi="宋体"/>
          <w:highlight w:val="none"/>
        </w:rPr>
      </w:pPr>
      <w:bookmarkStart w:id="3" w:name="_GoBack"/>
      <w:bookmarkEnd w:id="3"/>
      <w:r>
        <w:rPr>
          <w:rFonts w:hint="eastAsia" w:ascii="宋体" w:hAnsi="宋体"/>
          <w:highlight w:val="none"/>
        </w:rPr>
        <w:t>采购需求</w:t>
      </w:r>
    </w:p>
    <w:p>
      <w:pPr>
        <w:pStyle w:val="8"/>
        <w:numPr>
          <w:ilvl w:val="0"/>
          <w:numId w:val="0"/>
        </w:numPr>
        <w:snapToGrid w:val="0"/>
        <w:spacing w:before="0" w:after="0"/>
        <w:ind w:left="288" w:leftChars="0"/>
        <w:jc w:val="both"/>
        <w:rPr>
          <w:rFonts w:ascii="宋体" w:hAnsi="宋体"/>
          <w:highlight w:val="none"/>
        </w:rPr>
      </w:pPr>
    </w:p>
    <w:p>
      <w:pPr>
        <w:pStyle w:val="8"/>
        <w:numPr>
          <w:ilvl w:val="0"/>
          <w:numId w:val="0"/>
        </w:numPr>
        <w:snapToGrid w:val="0"/>
        <w:spacing w:before="0" w:after="0"/>
        <w:ind w:left="288" w:leftChars="0"/>
        <w:jc w:val="both"/>
        <w:rPr>
          <w:rFonts w:hint="eastAsia" w:ascii="宋体" w:hAnsi="宋体" w:eastAsia="宋体" w:cs="宋体"/>
          <w:sz w:val="21"/>
          <w:szCs w:val="21"/>
          <w:highlight w:val="none"/>
        </w:rPr>
      </w:pPr>
      <w:r>
        <w:rPr>
          <w:rFonts w:hint="eastAsia" w:ascii="宋体" w:hAnsi="宋体"/>
          <w:highlight w:val="none"/>
          <w:lang w:val="en-US" w:eastAsia="zh-CN"/>
        </w:rPr>
        <w:t>一、</w:t>
      </w:r>
      <w:bookmarkStart w:id="0" w:name="_Toc174185168"/>
      <w:bookmarkStart w:id="1" w:name="_Toc184023125"/>
      <w:bookmarkStart w:id="2" w:name="_Hlk132721912"/>
      <w:r>
        <w:rPr>
          <w:rFonts w:hint="eastAsia" w:ascii="宋体" w:hAnsi="宋体" w:eastAsia="宋体" w:cs="宋体"/>
          <w:sz w:val="21"/>
          <w:szCs w:val="21"/>
          <w:highlight w:val="none"/>
        </w:rPr>
        <w:t>采购清单</w:t>
      </w:r>
    </w:p>
    <w:bookmarkEnd w:id="0"/>
    <w:bookmarkEnd w:id="1"/>
    <w:bookmarkEnd w:id="2"/>
    <w:tbl>
      <w:tblPr>
        <w:tblStyle w:val="6"/>
        <w:tblW w:w="4998" w:type="pct"/>
        <w:tblInd w:w="0" w:type="dxa"/>
        <w:tblLayout w:type="autofit"/>
        <w:tblCellMar>
          <w:top w:w="0" w:type="dxa"/>
          <w:left w:w="108" w:type="dxa"/>
          <w:bottom w:w="0" w:type="dxa"/>
          <w:right w:w="108" w:type="dxa"/>
        </w:tblCellMar>
      </w:tblPr>
      <w:tblGrid>
        <w:gridCol w:w="752"/>
        <w:gridCol w:w="1979"/>
        <w:gridCol w:w="1799"/>
        <w:gridCol w:w="2506"/>
        <w:gridCol w:w="1483"/>
      </w:tblGrid>
      <w:tr>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货物或服务名称</w:t>
            </w:r>
          </w:p>
        </w:tc>
        <w:tc>
          <w:tcPr>
            <w:tcW w:w="1055"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tc>
      </w:tr>
      <w:tr>
        <w:tblPrEx>
          <w:tblCellMar>
            <w:top w:w="0" w:type="dxa"/>
            <w:left w:w="108" w:type="dxa"/>
            <w:bottom w:w="0" w:type="dxa"/>
            <w:right w:w="108" w:type="dxa"/>
          </w:tblCellMar>
        </w:tblPrEx>
        <w:trPr>
          <w:trHeight w:val="27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云计算服务</w:t>
            </w:r>
          </w:p>
        </w:tc>
        <w:tc>
          <w:tcPr>
            <w:tcW w:w="10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1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w:t>
            </w:r>
          </w:p>
        </w:tc>
        <w:tc>
          <w:tcPr>
            <w:tcW w:w="8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无</w:t>
            </w:r>
          </w:p>
        </w:tc>
      </w:tr>
    </w:tbl>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根据北京市知识产权局市级政务云资源实际，并结合云效率情况，需投标人提供政务云服务，服务期为36个月，具体采购清单如下。</w:t>
      </w:r>
    </w:p>
    <w:tbl>
      <w:tblPr>
        <w:tblStyle w:val="6"/>
        <w:tblW w:w="4997" w:type="pct"/>
        <w:tblInd w:w="0" w:type="dxa"/>
        <w:tblLayout w:type="autofit"/>
        <w:tblCellMar>
          <w:top w:w="0" w:type="dxa"/>
          <w:left w:w="108" w:type="dxa"/>
          <w:bottom w:w="0" w:type="dxa"/>
          <w:right w:w="108" w:type="dxa"/>
        </w:tblCellMar>
      </w:tblPr>
      <w:tblGrid>
        <w:gridCol w:w="1266"/>
        <w:gridCol w:w="1684"/>
        <w:gridCol w:w="1663"/>
        <w:gridCol w:w="1031"/>
        <w:gridCol w:w="1031"/>
        <w:gridCol w:w="962"/>
        <w:gridCol w:w="880"/>
      </w:tblGrid>
      <w:tr>
        <w:tblPrEx>
          <w:tblCellMar>
            <w:top w:w="0" w:type="dxa"/>
            <w:left w:w="108" w:type="dxa"/>
            <w:bottom w:w="0" w:type="dxa"/>
            <w:right w:w="108" w:type="dxa"/>
          </w:tblCellMar>
        </w:tblPrEx>
        <w:trPr>
          <w:trHeight w:val="560" w:hRule="atLeast"/>
        </w:trPr>
        <w:tc>
          <w:tcPr>
            <w:tcW w:w="743"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服务类别</w:t>
            </w:r>
          </w:p>
        </w:tc>
        <w:tc>
          <w:tcPr>
            <w:tcW w:w="988"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服务子类</w:t>
            </w:r>
          </w:p>
        </w:tc>
        <w:tc>
          <w:tcPr>
            <w:tcW w:w="976"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服务项</w:t>
            </w:r>
          </w:p>
        </w:tc>
        <w:tc>
          <w:tcPr>
            <w:tcW w:w="605"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计价单位</w:t>
            </w:r>
          </w:p>
        </w:tc>
        <w:tc>
          <w:tcPr>
            <w:tcW w:w="605"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报价单位</w:t>
            </w:r>
          </w:p>
        </w:tc>
        <w:tc>
          <w:tcPr>
            <w:tcW w:w="564"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数量</w:t>
            </w:r>
          </w:p>
        </w:tc>
        <w:tc>
          <w:tcPr>
            <w:tcW w:w="516" w:type="pct"/>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期限（月）</w:t>
            </w:r>
          </w:p>
        </w:tc>
      </w:tr>
      <w:tr>
        <w:tblPrEx>
          <w:tblCellMar>
            <w:top w:w="0" w:type="dxa"/>
            <w:left w:w="108" w:type="dxa"/>
            <w:bottom w:w="0" w:type="dxa"/>
            <w:right w:w="108" w:type="dxa"/>
          </w:tblCellMar>
        </w:tblPrEx>
        <w:trPr>
          <w:trHeight w:val="540" w:hRule="atLeast"/>
        </w:trPr>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计算服务</w:t>
            </w:r>
          </w:p>
        </w:tc>
        <w:tc>
          <w:tcPr>
            <w:tcW w:w="98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x86平台云主机服务</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vCPU（主频不低于2.4GHz）</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CPU</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396</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28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内存</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GB</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3224</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810" w:hRule="atLeast"/>
        </w:trPr>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存储服务</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普通性能存储</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普通存储（单盘技术指标: 单盘IOPS 1000-3000 ）</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GB</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141170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81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高性能存储</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高性能存储（单盘技术指标：单盘IOPS 3000-20000 ）</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GB</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141170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28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本地备份服务</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本地备份服务</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1GB</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141170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108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静态存储</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大容量、高可靠的数据存储服务，具备PB级线性扩展能力，提供静态数据存储</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1TB</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280" w:hRule="atLeast"/>
        </w:trPr>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网络服务</w:t>
            </w:r>
          </w:p>
        </w:tc>
        <w:tc>
          <w:tcPr>
            <w:tcW w:w="98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互联网链路服务</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互联网链路带宽</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Mb</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54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2"/>
                <w:sz w:val="21"/>
                <w:szCs w:val="21"/>
                <w:highlight w:val="none"/>
              </w:rPr>
            </w:pP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互联网IP地址租用服务、并提供备案服务</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IP</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24</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28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主机负载均衡服务</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主机负载均衡服务</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1IP(内网）</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28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远程接入服务</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远程接入服务</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1账号</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19</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520" w:hRule="atLeast"/>
        </w:trPr>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000000"/>
                <w:kern w:val="2"/>
                <w:sz w:val="21"/>
                <w:szCs w:val="21"/>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WAF防护</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web应用防火墙服务</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 IP（互联网）</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r>
        <w:tblPrEx>
          <w:tblCellMar>
            <w:top w:w="0" w:type="dxa"/>
            <w:left w:w="108" w:type="dxa"/>
            <w:bottom w:w="0" w:type="dxa"/>
            <w:right w:w="108" w:type="dxa"/>
          </w:tblCellMar>
        </w:tblPrEx>
        <w:trPr>
          <w:trHeight w:val="108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0"/>
                <w:sz w:val="21"/>
                <w:szCs w:val="21"/>
                <w:highlight w:val="none"/>
                <w:lang w:bidi="ar"/>
              </w:rPr>
              <w:t>云主机深度监控服务</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特定云主机深度监控及运维保障服务（7*24小时值守）</w:t>
            </w:r>
          </w:p>
        </w:tc>
        <w:tc>
          <w:tcPr>
            <w:tcW w:w="9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7*24小时深度监测云主机资源、硬件设备监控、云平台层应急处置等内容</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1主机</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元/月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5</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bidi="ar"/>
              </w:rPr>
              <w:t>36</w:t>
            </w:r>
          </w:p>
        </w:tc>
      </w:tr>
    </w:tbl>
    <w:p>
      <w:pPr>
        <w:keepNext/>
        <w:keepLines/>
        <w:pageBreakBefore w:val="0"/>
        <w:widowControl w:val="0"/>
        <w:numPr>
          <w:ilvl w:val="0"/>
          <w:numId w:val="2"/>
        </w:numPr>
        <w:kinsoku/>
        <w:wordWrap/>
        <w:overflowPunct/>
        <w:topLinePunct w:val="0"/>
        <w:autoSpaceDE/>
        <w:autoSpaceDN/>
        <w:bidi w:val="0"/>
        <w:adjustRightInd/>
        <w:spacing w:before="340" w:beforeLines="0" w:beforeAutospacing="0" w:after="330" w:afterLines="0" w:afterAutospacing="0" w:line="240" w:lineRule="auto"/>
        <w:ind w:left="0" w:firstLine="420"/>
        <w:jc w:val="both"/>
        <w:outlineLvl w:val="0"/>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项目背景</w:t>
      </w:r>
    </w:p>
    <w:p>
      <w:pPr>
        <w:keepNext/>
        <w:keepLines/>
        <w:pageBreakBefore w:val="0"/>
        <w:widowControl w:val="0"/>
        <w:numPr>
          <w:ilvl w:val="1"/>
          <w:numId w:val="2"/>
        </w:numPr>
        <w:kinsoku/>
        <w:wordWrap/>
        <w:overflowPunct/>
        <w:topLinePunct w:val="0"/>
        <w:autoSpaceDE/>
        <w:autoSpaceDN/>
        <w:bidi w:val="0"/>
        <w:adjustRightInd/>
        <w:spacing w:before="260" w:after="260" w:line="240" w:lineRule="auto"/>
        <w:ind w:left="575" w:hanging="575"/>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项目必要性</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根据《北京市市级政务云管理办法》要求，以“上云为常态、不上云为例外”原则，北京市知识产权局所属信息系统已迁入市级政务云，为保障系统运行，需要市级政务云提供持续的云计算服务。</w:t>
      </w:r>
    </w:p>
    <w:p>
      <w:pPr>
        <w:keepNext/>
        <w:keepLines/>
        <w:pageBreakBefore w:val="0"/>
        <w:widowControl w:val="0"/>
        <w:numPr>
          <w:ilvl w:val="1"/>
          <w:numId w:val="2"/>
        </w:numPr>
        <w:kinsoku/>
        <w:wordWrap/>
        <w:overflowPunct/>
        <w:topLinePunct w:val="0"/>
        <w:autoSpaceDE/>
        <w:autoSpaceDN/>
        <w:bidi w:val="0"/>
        <w:adjustRightInd/>
        <w:spacing w:before="260" w:after="260" w:line="240" w:lineRule="auto"/>
        <w:ind w:left="575" w:hanging="575"/>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项目目标</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为北京市知识产权局所属信息系统提供政务云服务，服务内容包括计算服务、存储服务、网络服务、基础软件支撑服务、云环境保障服务、其他服务等。配合政务云上系统、软件、虚拟机、物理机迁移服务，提供7×24小时运维保障，做好重大活动和节假日应急值守保障服务，确保各信息系统在政务云环境中安全稳定运行。</w:t>
      </w:r>
    </w:p>
    <w:p>
      <w:pPr>
        <w:keepNext/>
        <w:keepLines/>
        <w:pageBreakBefore w:val="0"/>
        <w:widowControl w:val="0"/>
        <w:numPr>
          <w:ilvl w:val="0"/>
          <w:numId w:val="2"/>
        </w:numPr>
        <w:kinsoku/>
        <w:wordWrap/>
        <w:overflowPunct/>
        <w:topLinePunct w:val="0"/>
        <w:autoSpaceDE/>
        <w:autoSpaceDN/>
        <w:bidi w:val="0"/>
        <w:adjustRightInd/>
        <w:spacing w:before="340" w:beforeLines="0" w:beforeAutospacing="0" w:after="330" w:afterLines="0" w:afterAutospacing="0" w:line="240" w:lineRule="auto"/>
        <w:ind w:left="0" w:firstLine="420"/>
        <w:jc w:val="both"/>
        <w:outlineLvl w:val="0"/>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技术参数要求</w:t>
      </w:r>
    </w:p>
    <w:p>
      <w:pPr>
        <w:keepNext/>
        <w:keepLines/>
        <w:pageBreakBefore w:val="0"/>
        <w:widowControl w:val="0"/>
        <w:numPr>
          <w:ilvl w:val="1"/>
          <w:numId w:val="2"/>
        </w:numPr>
        <w:kinsoku/>
        <w:wordWrap/>
        <w:overflowPunct/>
        <w:topLinePunct w:val="0"/>
        <w:autoSpaceDE/>
        <w:autoSpaceDN/>
        <w:bidi w:val="0"/>
        <w:adjustRightInd/>
        <w:spacing w:before="260" w:after="260" w:line="240" w:lineRule="auto"/>
        <w:ind w:left="575" w:hanging="575"/>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采购目标</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为我单位各信息系统提供可靠、稳定、安全的政务云基础服务，包括计算服务、存储服务、网络服务和云主机深度监控等基础环境日常维护、应急响应等工作。</w:t>
      </w:r>
    </w:p>
    <w:p>
      <w:pPr>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计算服务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提供计算服务，实现合理的计算资源配置。在提供政务云主机的服务过程中做好与采购人和应用开发厂商的协调沟通。</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存储服务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提供存储服务，实现合理的存储资源配置，包括：普通性能存储、高性能存储、静态存储、本地备份服务。在提供政务云存储的服务过程中做好与采购人和应用开发厂商的协调沟通。</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网络服务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提供网络服务，包括：互联网链路带宽服务、互联网IP地址租用服务、主机负载均衡服务、远程接入服务和WAF（网站应用级入侵防御）服务。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1.互联网链路服务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按照采购人的具体需求，提供运营商接入服务，提供互联网链路带宽服务和互联网IP地址租用服务。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2.主机负载均衡服务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提供主机负载均衡服务，主机负载采用全冗余或集群架构，避免业务系统出现单点故障。</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3.远程接入服务 </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提供远程接入服务，配合完成远程接入账户申请、创建、管理等相关工作。</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4.WAF防护服务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在政务云流量入口架设WAF（网站应用级入侵防御系统）防护服务，保证用户网站对已知安全隐患进行防御。</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云主机深度监控服务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提供云主机深度监控服务，7*24小时深度监测云主机资源、硬件设备监控、云平台层应急处置等内容。</w:t>
      </w:r>
    </w:p>
    <w:p>
      <w:pPr>
        <w:keepNext/>
        <w:keepLines/>
        <w:pageBreakBefore w:val="0"/>
        <w:widowControl w:val="0"/>
        <w:numPr>
          <w:ilvl w:val="1"/>
          <w:numId w:val="2"/>
        </w:numPr>
        <w:kinsoku/>
        <w:wordWrap/>
        <w:overflowPunct/>
        <w:topLinePunct w:val="0"/>
        <w:autoSpaceDE/>
        <w:autoSpaceDN/>
        <w:bidi w:val="0"/>
        <w:adjustRightInd/>
        <w:spacing w:before="260" w:after="260" w:line="240" w:lineRule="auto"/>
        <w:ind w:left="575" w:hanging="575"/>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运维及安全保障服务</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投标人提供的政务云环境应在安全等保三级基础上，按各业务系统具体安全需求，开展相应等保评估、检查、整改等工作。</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服务规范</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投标人须严格按照《北京市市级政务云管理办法》以及采购人制定的管理办法及流程等相关制度，开展标准化运维工作。</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服务方式</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投标人需利用监控系统或人工对机房环境、硬件设备及应用系统的运行情况进行7*24小时的不间断巡检监控，及时发现安全隐患，通知相关人员及时处理，并形成监控报告。</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安全及保密要求</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投标人须严格遵守采购人的相关信息安全规定，不得利用系统维护服务时的便利将采购人数据及其他信息进行擅自修改或透漏给第三方。</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响应的及时性</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应当提供高效的系统维护服务，有效防范系统风险，系统对应负责人7*24小时电话畅通，能够在系统发生除宕机外的其他故障问题时，能够协调人力资源在1小时内到达运维现场提供服务。系统发生宕机问题时，供应商应在30分钟内响应，在4个小时之内使系统恢复正常，故障处理完毕后提供相关系统宕机报告。</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重点保障要求</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投标人应具备完善的系统服务保障体系，配备足够的技术人员，在重大节假日、重大活动及业务高峰期内加大运维保障力度，保证期间系统平稳运行。</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服务团队要求</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该项目服务团队要求配备1名项目负责人（项目经理）及5名以上项目团队专职人员，为本项目提供实施服务工作。其中：</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项目经理须具有信息系统项目管理师（高级）证书</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技术负责人具有HCIE、网络工程师证书</w:t>
      </w:r>
    </w:p>
    <w:p>
      <w:pPr>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团队成员（除项目经理和技术负责人之外）具有CISP、KCP、HCIE证书。</w:t>
      </w:r>
    </w:p>
    <w:p>
      <w:pPr>
        <w:keepNext/>
        <w:keepLines/>
        <w:pageBreakBefore w:val="0"/>
        <w:widowControl w:val="0"/>
        <w:numPr>
          <w:ilvl w:val="2"/>
          <w:numId w:val="2"/>
        </w:numPr>
        <w:kinsoku/>
        <w:wordWrap/>
        <w:overflowPunct/>
        <w:topLinePunct w:val="0"/>
        <w:autoSpaceDE/>
        <w:autoSpaceDN/>
        <w:bidi w:val="0"/>
        <w:adjustRightInd/>
        <w:spacing w:before="260" w:beforeLines="0" w:beforeAutospacing="0" w:after="260" w:afterLines="0" w:afterAutospacing="0" w:line="240" w:lineRule="auto"/>
        <w:ind w:left="720" w:hanging="720"/>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业务系统迁移及部署调整要求</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目前我单位已上云信息系统均属于生产系统，因此保障业务系统连续性是关键。如因本项目服务执行涉及的系统迁移，供应商需保证在不中断业务的前提下，自合同生效之日起一周内完成各信息系统的迁移工作。供应商需具备类似项目经验，可根据业务特点制定应用系统迁移部署方案，配合用户完成系统迁移部署、运行和安全保障，最终保证现有业务系统可平滑迁移至中标单位云平台。具体要求如下：</w:t>
      </w:r>
    </w:p>
    <w:p>
      <w:pPr>
        <w:pageBreakBefore w:val="0"/>
        <w:numPr>
          <w:ilvl w:val="0"/>
          <w:numId w:val="3"/>
        </w:numPr>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根据采购人需求，完成各信息系统的迁移部署，迁移过程中保证应用系统不中断。</w:t>
      </w:r>
    </w:p>
    <w:p>
      <w:pPr>
        <w:pageBreakBefore w:val="0"/>
        <w:numPr>
          <w:ilvl w:val="0"/>
          <w:numId w:val="3"/>
        </w:numPr>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自合同生效之日起7日内，根据用户需求完成系统迁移工作，并且不能改变和影响原有系统的功能、技术状态以及用户的使用习惯。未按时完成系统迁移工作的，采购人有权解除合同并有权要求供应商按合同首付款双倍支付违约金。</w:t>
      </w:r>
    </w:p>
    <w:p>
      <w:pPr>
        <w:pageBreakBefore w:val="0"/>
        <w:numPr>
          <w:ilvl w:val="0"/>
          <w:numId w:val="3"/>
        </w:numPr>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针对已经运行在政务云平台上的应用系统，为确保迁移过程中数据不丢失、系统业务不中断，本次成交人负责与原政务云平台的服务商进行主动对接，系统迁移涉及的所有费用（包括但不限于各信息系统迁移测试阶段的云资源费用，系统开发商对业务系统的部署、调试费用，原服务商配合迁出系统的服务费用等）由本次成交人负责解决。</w:t>
      </w:r>
    </w:p>
    <w:p>
      <w:pPr>
        <w:keepNext/>
        <w:keepLines/>
        <w:pageBreakBefore w:val="0"/>
        <w:widowControl w:val="0"/>
        <w:numPr>
          <w:ilvl w:val="0"/>
          <w:numId w:val="2"/>
        </w:numPr>
        <w:kinsoku/>
        <w:wordWrap/>
        <w:overflowPunct/>
        <w:topLinePunct w:val="0"/>
        <w:autoSpaceDE/>
        <w:autoSpaceDN/>
        <w:bidi w:val="0"/>
        <w:adjustRightInd/>
        <w:spacing w:before="340" w:beforeLines="0" w:beforeAutospacing="0" w:after="330" w:afterLines="0" w:afterAutospacing="0" w:line="240" w:lineRule="auto"/>
        <w:ind w:left="432" w:hanging="432"/>
        <w:jc w:val="both"/>
        <w:outlineLvl w:val="0"/>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售后服务要求</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1、投标人应提供电话、邮件等方式解答、响应采购人的服务请求和故障申报。</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2、对采购人的服务请求，若投标人无法通过电话或邮件方式解决的，应在接到采购人通知__1__小时内，提供及时的现场支持服务;采购人政务云机房提供7*24小时全天候运维值守服务。</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3、云平台平均可用性99.99%；提供普通和高性能存储服务，要求稳定可靠，结合其他技术，确保数据可靠性99.9999%。</w:t>
      </w:r>
    </w:p>
    <w:p>
      <w:pPr>
        <w:keepNext/>
        <w:keepLines/>
        <w:pageBreakBefore w:val="0"/>
        <w:widowControl w:val="0"/>
        <w:numPr>
          <w:ilvl w:val="0"/>
          <w:numId w:val="2"/>
        </w:numPr>
        <w:kinsoku/>
        <w:wordWrap/>
        <w:overflowPunct/>
        <w:topLinePunct w:val="0"/>
        <w:autoSpaceDE/>
        <w:autoSpaceDN/>
        <w:bidi w:val="0"/>
        <w:adjustRightInd/>
        <w:spacing w:before="340" w:beforeLines="0" w:beforeAutospacing="0" w:after="330" w:afterLines="0" w:afterAutospacing="0" w:line="240" w:lineRule="auto"/>
        <w:ind w:left="432" w:hanging="432"/>
        <w:jc w:val="both"/>
        <w:outlineLvl w:val="0"/>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交货时间及地点（服务期限）</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1、服务期限/服务期/服务时间：3年。</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2、服务地点：采购人指定地点。</w:t>
      </w:r>
    </w:p>
    <w:p>
      <w:pPr>
        <w:keepNext/>
        <w:keepLines/>
        <w:pageBreakBefore w:val="0"/>
        <w:widowControl w:val="0"/>
        <w:numPr>
          <w:ilvl w:val="0"/>
          <w:numId w:val="2"/>
        </w:numPr>
        <w:kinsoku/>
        <w:wordWrap/>
        <w:overflowPunct/>
        <w:topLinePunct w:val="0"/>
        <w:autoSpaceDE/>
        <w:autoSpaceDN/>
        <w:bidi w:val="0"/>
        <w:adjustRightInd/>
        <w:spacing w:before="340" w:beforeLines="0" w:beforeAutospacing="0" w:after="330" w:afterLines="0" w:afterAutospacing="0" w:line="240" w:lineRule="auto"/>
        <w:ind w:left="432" w:hanging="432"/>
        <w:jc w:val="both"/>
        <w:outlineLvl w:val="0"/>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验收服务要求</w:t>
      </w:r>
    </w:p>
    <w:p>
      <w:pPr>
        <w:pageBreakBefore w:val="0"/>
        <w:kinsoku/>
        <w:wordWrap/>
        <w:overflowPunct/>
        <w:topLinePunct w:val="0"/>
        <w:autoSpaceDE/>
        <w:autoSpaceDN/>
        <w:bidi w:val="0"/>
        <w:adjustRightInd/>
        <w:spacing w:line="240" w:lineRule="auto"/>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rPr>
        <w:t>投标人所提供资源应满足招标文件规定的要求。保证合同期内系统安全稳定运行，不因硬件故障导致服务中断12小时。服务期满前30个工作日开始对合同项目进行验收。投标人应当在采购人指定的验收日前向采购人提交验收报告。验收报告的内容包括但不限于，合同规定的各项服务清单，各系统设备运行情况。</w:t>
      </w:r>
    </w:p>
    <w:p>
      <w:pPr>
        <w:keepNext/>
        <w:keepLines/>
        <w:pageBreakBefore w:val="0"/>
        <w:widowControl w:val="0"/>
        <w:numPr>
          <w:ilvl w:val="0"/>
          <w:numId w:val="2"/>
        </w:numPr>
        <w:kinsoku/>
        <w:wordWrap/>
        <w:overflowPunct/>
        <w:topLinePunct w:val="0"/>
        <w:autoSpaceDE/>
        <w:autoSpaceDN/>
        <w:bidi w:val="0"/>
        <w:adjustRightInd/>
        <w:spacing w:before="340" w:beforeLines="0" w:beforeAutospacing="0" w:after="330" w:afterLines="0" w:afterAutospacing="0" w:line="240" w:lineRule="auto"/>
        <w:ind w:left="432" w:hanging="432"/>
        <w:jc w:val="both"/>
        <w:outlineLvl w:val="0"/>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付款方式</w:t>
      </w:r>
    </w:p>
    <w:p>
      <w:pPr>
        <w:pageBreakBefore w:val="0"/>
        <w:tabs>
          <w:tab w:val="left" w:pos="567"/>
        </w:tabs>
        <w:kinsoku/>
        <w:wordWrap/>
        <w:overflowPunct/>
        <w:topLinePunct w:val="0"/>
        <w:autoSpaceDE/>
        <w:autoSpaceDN/>
        <w:bidi w:val="0"/>
        <w:adjustRightIn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rPr>
        <w:t>7.1该项目为财政预算资金，</w:t>
      </w:r>
      <w:r>
        <w:rPr>
          <w:rFonts w:hint="eastAsia" w:ascii="宋体" w:hAnsi="宋体" w:eastAsia="宋体" w:cs="宋体"/>
          <w:kern w:val="2"/>
          <w:sz w:val="21"/>
          <w:szCs w:val="21"/>
          <w:highlight w:val="none"/>
        </w:rPr>
        <w:t>甲方按照年度实际的预算批复金额分两次进行支付。</w:t>
      </w:r>
    </w:p>
    <w:p>
      <w:pPr>
        <w:pageBreakBefore w:val="0"/>
        <w:tabs>
          <w:tab w:val="left" w:pos="567"/>
        </w:tabs>
        <w:kinsoku/>
        <w:wordWrap/>
        <w:overflowPunct/>
        <w:topLinePunct w:val="0"/>
        <w:autoSpaceDE/>
        <w:autoSpaceDN/>
        <w:bidi w:val="0"/>
        <w:adjustRightInd/>
        <w:spacing w:line="240" w:lineRule="auto"/>
        <w:ind w:left="-397"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7.2  2023年服务费支付。甲方应于合同签订10日内，向乙方支付2023年合同额30%的服务费用，即人民币小写：￥</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元，大写：</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2023年11月30日前乙方将项目经费年度决算报告以书面形式提供给甲方，甲方进行项目2023年度验收和决算评审，项目通过验收并决算评审结束后【10】个工作日内，甲方支付2023年度项目70%服务费用，最终结算金额以决算评审结果为准。</w:t>
      </w:r>
    </w:p>
    <w:p>
      <w:pPr>
        <w:pageBreakBefore w:val="0"/>
        <w:tabs>
          <w:tab w:val="left" w:pos="567"/>
        </w:tabs>
        <w:kinsoku/>
        <w:wordWrap/>
        <w:overflowPunct/>
        <w:topLinePunct w:val="0"/>
        <w:autoSpaceDE/>
        <w:autoSpaceDN/>
        <w:bidi w:val="0"/>
        <w:adjustRightInd/>
        <w:spacing w:line="240" w:lineRule="auto"/>
        <w:ind w:left="-397"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7.3 2024年至2025年按照年度实际的预算批复金额在每年7月、11月分两次进行支付。7月支付当年年度项目预算的30%，11月31日乙方将项目经费年度决算报告以书面形式提供给甲方，甲方进行项目年度验收和决算评审，项目通过验收并决算评审结束后【10】个工作日内，甲方支付年度项目70%服务费用，最终结算金额以决算评审结果为准。</w:t>
      </w:r>
    </w:p>
    <w:p>
      <w:pPr>
        <w:pageBreakBefore w:val="0"/>
        <w:tabs>
          <w:tab w:val="left" w:pos="567"/>
        </w:tabs>
        <w:kinsoku/>
        <w:wordWrap/>
        <w:overflowPunct/>
        <w:topLinePunct w:val="0"/>
        <w:autoSpaceDE/>
        <w:autoSpaceDN/>
        <w:bidi w:val="0"/>
        <w:adjustRightInd/>
        <w:spacing w:line="240" w:lineRule="auto"/>
        <w:ind w:left="-397"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7.4 乙方在甲方付款前需向甲方交付等额的法定正规增值税专用发票。</w:t>
      </w:r>
    </w:p>
    <w:p>
      <w:pPr>
        <w:pageBreakBefore w:val="0"/>
        <w:tabs>
          <w:tab w:val="left" w:pos="567"/>
        </w:tabs>
        <w:kinsoku/>
        <w:wordWrap/>
        <w:overflowPunct/>
        <w:topLinePunct w:val="0"/>
        <w:autoSpaceDE/>
        <w:autoSpaceDN/>
        <w:bidi w:val="0"/>
        <w:adjustRightInd/>
        <w:spacing w:line="240" w:lineRule="auto"/>
        <w:ind w:left="-397"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7.5 费用的支付，如遇到财政国库支付受限，支付期限顺延，不承担违约责任，但要及时通知乙方。</w:t>
      </w:r>
    </w:p>
    <w:p>
      <w:pPr>
        <w:pageBreakBefore w:val="0"/>
        <w:kinsoku/>
        <w:wordWrap/>
        <w:overflowPunct/>
        <w:topLinePunct w:val="0"/>
        <w:autoSpaceDE/>
        <w:autoSpaceDN/>
        <w:bidi w:val="0"/>
        <w:adjustRightInd/>
        <w:spacing w:line="240" w:lineRule="auto"/>
        <w:ind w:left="2" w:firstLine="420" w:firstLineChars="200"/>
        <w:jc w:val="both"/>
        <w:textAlignment w:val="auto"/>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pPr>
        <w:pStyle w:val="2"/>
        <w:rPr>
          <w:rFonts w:hint="eastAsia" w:ascii="宋体" w:hAnsi="宋体" w:eastAsia="宋体" w:cs="宋体"/>
          <w:color w:val="000000"/>
          <w:kern w:val="2"/>
          <w:sz w:val="21"/>
          <w:szCs w:val="21"/>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部分"/>
      <w:lvlJc w:val="center"/>
      <w:pPr>
        <w:ind w:left="2973"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3616406"/>
    <w:multiLevelType w:val="singleLevel"/>
    <w:tmpl w:val="13616406"/>
    <w:lvl w:ilvl="0" w:tentative="0">
      <w:start w:val="1"/>
      <w:numFmt w:val="decimalEnclosedCircleChinese"/>
      <w:suff w:val="nothing"/>
      <w:lvlText w:val="%1　"/>
      <w:lvlJc w:val="left"/>
      <w:pPr>
        <w:ind w:left="0" w:firstLine="400"/>
      </w:pPr>
      <w:rPr>
        <w:rFonts w:hint="eastAsia"/>
      </w:rPr>
    </w:lvl>
  </w:abstractNum>
  <w:abstractNum w:abstractNumId="2">
    <w:nsid w:val="13DAFA5E"/>
    <w:multiLevelType w:val="multilevel"/>
    <w:tmpl w:val="13DAFA5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YWE0MTc4MWEwMTBjZmJmZTE3ODY4YjRlNmJkN2YifQ=="/>
  </w:docVars>
  <w:rsids>
    <w:rsidRoot w:val="00000000"/>
    <w:rsid w:val="26C13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5">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tabs>
        <w:tab w:val="left" w:pos="1332"/>
      </w:tabs>
    </w:pPr>
    <w:rPr>
      <w:rFonts w:ascii="Calibri" w:hAnsi="Calibri"/>
    </w:rPr>
  </w:style>
  <w:style w:type="paragraph" w:customStyle="1" w:styleId="8">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2023-06-20T08:56:41Z</dcterms:created>
  <dc:creator>admin</dc:creator>
  <cp:lastModifiedBy>阿欢</cp:lastModifiedBy>
  <dcterms:modified xsi:type="dcterms:W3CDTF">2023-06-20T08:57:18Z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410AF1DD50924B04B62547969CBEB0AD_12</vt:lpwstr>
  </property>
</Properties>
</file>