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b/>
          <w:bCs/>
          <w:sz w:val="24"/>
        </w:rPr>
      </w:pPr>
      <w:bookmarkStart w:id="0" w:name="_GoBack"/>
      <w:bookmarkEnd w:id="0"/>
      <w:r>
        <w:rPr>
          <w:rFonts w:hint="eastAsia" w:ascii="宋体" w:hAnsi="宋体"/>
          <w:b/>
          <w:bCs/>
          <w:sz w:val="24"/>
        </w:rPr>
        <w:t>金顶街街道精细化保洁作业街巷路统计表（二标段）</w:t>
      </w:r>
    </w:p>
    <w:tbl>
      <w:tblPr>
        <w:tblStyle w:val="13"/>
        <w:tblW w:w="9071" w:type="dxa"/>
        <w:tblInd w:w="0" w:type="dxa"/>
        <w:tblLayout w:type="fixed"/>
        <w:tblCellMar>
          <w:top w:w="15" w:type="dxa"/>
          <w:left w:w="15" w:type="dxa"/>
          <w:bottom w:w="15" w:type="dxa"/>
          <w:right w:w="15" w:type="dxa"/>
        </w:tblCellMar>
      </w:tblPr>
      <w:tblGrid>
        <w:gridCol w:w="475"/>
        <w:gridCol w:w="1360"/>
        <w:gridCol w:w="981"/>
        <w:gridCol w:w="721"/>
        <w:gridCol w:w="670"/>
        <w:gridCol w:w="1166"/>
        <w:gridCol w:w="999"/>
        <w:gridCol w:w="565"/>
        <w:gridCol w:w="673"/>
        <w:gridCol w:w="950"/>
        <w:gridCol w:w="511"/>
      </w:tblGrid>
      <w:tr>
        <w:tblPrEx>
          <w:tblLayout w:type="fixed"/>
          <w:tblCellMar>
            <w:top w:w="15" w:type="dxa"/>
            <w:left w:w="15" w:type="dxa"/>
            <w:bottom w:w="15" w:type="dxa"/>
            <w:right w:w="15" w:type="dxa"/>
          </w:tblCellMar>
        </w:tblPrEx>
        <w:trPr>
          <w:trHeight w:val="285" w:hRule="atLeast"/>
        </w:trPr>
        <w:tc>
          <w:tcPr>
            <w:tcW w:w="475"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序号</w:t>
            </w:r>
          </w:p>
        </w:tc>
        <w:tc>
          <w:tcPr>
            <w:tcW w:w="1360"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街巷</w:t>
            </w:r>
          </w:p>
        </w:tc>
        <w:tc>
          <w:tcPr>
            <w:tcW w:w="981"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长度（M）</w:t>
            </w:r>
          </w:p>
        </w:tc>
        <w:tc>
          <w:tcPr>
            <w:tcW w:w="1391" w:type="dxa"/>
            <w:gridSpan w:val="2"/>
            <w:tcBorders>
              <w:top w:val="single" w:color="000000" w:sz="4" w:space="0"/>
              <w:left w:val="single" w:color="000000" w:sz="4" w:space="0"/>
              <w:bottom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宽度（M)</w:t>
            </w:r>
          </w:p>
        </w:tc>
        <w:tc>
          <w:tcPr>
            <w:tcW w:w="1166"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面积</w:t>
            </w:r>
          </w:p>
        </w:tc>
        <w:tc>
          <w:tcPr>
            <w:tcW w:w="3187" w:type="dxa"/>
            <w:gridSpan w:val="4"/>
            <w:tcBorders>
              <w:top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其中</w:t>
            </w:r>
          </w:p>
        </w:tc>
        <w:tc>
          <w:tcPr>
            <w:tcW w:w="511"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分级</w:t>
            </w:r>
          </w:p>
        </w:tc>
      </w:tr>
      <w:tr>
        <w:tblPrEx>
          <w:tblLayout w:type="fixed"/>
          <w:tblCellMar>
            <w:top w:w="15" w:type="dxa"/>
            <w:left w:w="15" w:type="dxa"/>
            <w:bottom w:w="15" w:type="dxa"/>
            <w:right w:w="15" w:type="dxa"/>
          </w:tblCellMar>
        </w:tblPrEx>
        <w:trPr>
          <w:trHeight w:val="285" w:hRule="atLeast"/>
        </w:trPr>
        <w:tc>
          <w:tcPr>
            <w:tcW w:w="475"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136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98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7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主路</w:t>
            </w:r>
          </w:p>
        </w:tc>
        <w:tc>
          <w:tcPr>
            <w:tcW w:w="670" w:type="dxa"/>
            <w:tcBorders>
              <w:top w:val="single" w:color="000000" w:sz="4" w:space="0"/>
              <w:left w:val="single" w:color="000000" w:sz="4" w:space="0"/>
              <w:bottom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步道</w:t>
            </w: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99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主路</w:t>
            </w:r>
          </w:p>
        </w:tc>
        <w:tc>
          <w:tcPr>
            <w:tcW w:w="5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步道</w:t>
            </w:r>
          </w:p>
        </w:tc>
        <w:tc>
          <w:tcPr>
            <w:tcW w:w="6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绿化带</w:t>
            </w:r>
          </w:p>
        </w:tc>
        <w:tc>
          <w:tcPr>
            <w:tcW w:w="9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其他</w:t>
            </w:r>
          </w:p>
        </w:tc>
        <w:tc>
          <w:tcPr>
            <w:tcW w:w="51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r>
      <w:tr>
        <w:tblPrEx>
          <w:tblLayout w:type="fixed"/>
          <w:tblCellMar>
            <w:top w:w="15" w:type="dxa"/>
            <w:left w:w="15" w:type="dxa"/>
            <w:bottom w:w="15" w:type="dxa"/>
            <w:right w:w="15" w:type="dxa"/>
          </w:tblCellMar>
        </w:tblPrEx>
        <w:trPr>
          <w:trHeight w:val="285" w:hRule="atLeast"/>
        </w:trPr>
        <w:tc>
          <w:tcPr>
            <w:tcW w:w="4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1</w:t>
            </w:r>
          </w:p>
        </w:tc>
        <w:tc>
          <w:tcPr>
            <w:tcW w:w="13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法海寺防洪沟西路</w:t>
            </w:r>
          </w:p>
        </w:tc>
        <w:tc>
          <w:tcPr>
            <w:tcW w:w="9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160</w:t>
            </w:r>
          </w:p>
        </w:tc>
        <w:tc>
          <w:tcPr>
            <w:tcW w:w="7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4</w:t>
            </w:r>
          </w:p>
        </w:tc>
        <w:tc>
          <w:tcPr>
            <w:tcW w:w="67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116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640</w:t>
            </w:r>
          </w:p>
        </w:tc>
        <w:tc>
          <w:tcPr>
            <w:tcW w:w="99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640</w:t>
            </w:r>
          </w:p>
        </w:tc>
        <w:tc>
          <w:tcPr>
            <w:tcW w:w="5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67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9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51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3级</w:t>
            </w:r>
          </w:p>
        </w:tc>
      </w:tr>
      <w:tr>
        <w:tblPrEx>
          <w:tblLayout w:type="fixed"/>
          <w:tblCellMar>
            <w:top w:w="15" w:type="dxa"/>
            <w:left w:w="15" w:type="dxa"/>
            <w:bottom w:w="15" w:type="dxa"/>
            <w:right w:w="15" w:type="dxa"/>
          </w:tblCellMar>
        </w:tblPrEx>
        <w:trPr>
          <w:trHeight w:val="285" w:hRule="atLeast"/>
        </w:trPr>
        <w:tc>
          <w:tcPr>
            <w:tcW w:w="4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2</w:t>
            </w:r>
          </w:p>
        </w:tc>
        <w:tc>
          <w:tcPr>
            <w:tcW w:w="13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永引渠北岸</w:t>
            </w:r>
          </w:p>
        </w:tc>
        <w:tc>
          <w:tcPr>
            <w:tcW w:w="9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1000</w:t>
            </w:r>
          </w:p>
        </w:tc>
        <w:tc>
          <w:tcPr>
            <w:tcW w:w="7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5</w:t>
            </w:r>
          </w:p>
        </w:tc>
        <w:tc>
          <w:tcPr>
            <w:tcW w:w="67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116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5000</w:t>
            </w:r>
          </w:p>
        </w:tc>
        <w:tc>
          <w:tcPr>
            <w:tcW w:w="99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5000</w:t>
            </w:r>
          </w:p>
        </w:tc>
        <w:tc>
          <w:tcPr>
            <w:tcW w:w="5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67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9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51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2</w:t>
            </w:r>
          </w:p>
        </w:tc>
      </w:tr>
      <w:tr>
        <w:tblPrEx>
          <w:tblLayout w:type="fixed"/>
          <w:tblCellMar>
            <w:top w:w="15" w:type="dxa"/>
            <w:left w:w="15" w:type="dxa"/>
            <w:bottom w:w="15" w:type="dxa"/>
            <w:right w:w="15" w:type="dxa"/>
          </w:tblCellMar>
        </w:tblPrEx>
        <w:trPr>
          <w:trHeight w:val="285" w:hRule="atLeast"/>
        </w:trPr>
        <w:tc>
          <w:tcPr>
            <w:tcW w:w="4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3</w:t>
            </w:r>
          </w:p>
        </w:tc>
        <w:tc>
          <w:tcPr>
            <w:tcW w:w="13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永引渠南岸</w:t>
            </w:r>
          </w:p>
        </w:tc>
        <w:tc>
          <w:tcPr>
            <w:tcW w:w="9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1500</w:t>
            </w:r>
          </w:p>
        </w:tc>
        <w:tc>
          <w:tcPr>
            <w:tcW w:w="7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5</w:t>
            </w:r>
          </w:p>
        </w:tc>
        <w:tc>
          <w:tcPr>
            <w:tcW w:w="67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116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7500</w:t>
            </w:r>
          </w:p>
        </w:tc>
        <w:tc>
          <w:tcPr>
            <w:tcW w:w="99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7500</w:t>
            </w:r>
          </w:p>
        </w:tc>
        <w:tc>
          <w:tcPr>
            <w:tcW w:w="5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67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9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51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2</w:t>
            </w:r>
          </w:p>
        </w:tc>
      </w:tr>
      <w:tr>
        <w:tblPrEx>
          <w:tblLayout w:type="fixed"/>
          <w:tblCellMar>
            <w:top w:w="15" w:type="dxa"/>
            <w:left w:w="15" w:type="dxa"/>
            <w:bottom w:w="15" w:type="dxa"/>
            <w:right w:w="15" w:type="dxa"/>
          </w:tblCellMar>
        </w:tblPrEx>
        <w:trPr>
          <w:trHeight w:val="285" w:hRule="atLeast"/>
        </w:trPr>
        <w:tc>
          <w:tcPr>
            <w:tcW w:w="4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4</w:t>
            </w:r>
          </w:p>
        </w:tc>
        <w:tc>
          <w:tcPr>
            <w:tcW w:w="13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九中南墙外</w:t>
            </w:r>
          </w:p>
        </w:tc>
        <w:tc>
          <w:tcPr>
            <w:tcW w:w="9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700</w:t>
            </w:r>
          </w:p>
        </w:tc>
        <w:tc>
          <w:tcPr>
            <w:tcW w:w="7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3</w:t>
            </w:r>
          </w:p>
        </w:tc>
        <w:tc>
          <w:tcPr>
            <w:tcW w:w="67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116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2100</w:t>
            </w:r>
          </w:p>
        </w:tc>
        <w:tc>
          <w:tcPr>
            <w:tcW w:w="99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2100</w:t>
            </w:r>
          </w:p>
        </w:tc>
        <w:tc>
          <w:tcPr>
            <w:tcW w:w="5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67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9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51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2</w:t>
            </w:r>
          </w:p>
        </w:tc>
      </w:tr>
      <w:tr>
        <w:tblPrEx>
          <w:tblLayout w:type="fixed"/>
          <w:tblCellMar>
            <w:top w:w="15" w:type="dxa"/>
            <w:left w:w="15" w:type="dxa"/>
            <w:bottom w:w="15" w:type="dxa"/>
            <w:right w:w="15" w:type="dxa"/>
          </w:tblCellMar>
        </w:tblPrEx>
        <w:trPr>
          <w:trHeight w:val="285" w:hRule="atLeast"/>
        </w:trPr>
        <w:tc>
          <w:tcPr>
            <w:tcW w:w="4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5</w:t>
            </w:r>
          </w:p>
        </w:tc>
        <w:tc>
          <w:tcPr>
            <w:tcW w:w="13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法海寺 防洪沟</w:t>
            </w:r>
          </w:p>
        </w:tc>
        <w:tc>
          <w:tcPr>
            <w:tcW w:w="9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200</w:t>
            </w:r>
          </w:p>
        </w:tc>
        <w:tc>
          <w:tcPr>
            <w:tcW w:w="7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6</w:t>
            </w:r>
          </w:p>
        </w:tc>
        <w:tc>
          <w:tcPr>
            <w:tcW w:w="67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116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1200</w:t>
            </w:r>
          </w:p>
        </w:tc>
        <w:tc>
          <w:tcPr>
            <w:tcW w:w="99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1200</w:t>
            </w:r>
          </w:p>
        </w:tc>
        <w:tc>
          <w:tcPr>
            <w:tcW w:w="5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67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9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51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3</w:t>
            </w:r>
          </w:p>
        </w:tc>
      </w:tr>
      <w:tr>
        <w:tblPrEx>
          <w:tblLayout w:type="fixed"/>
          <w:tblCellMar>
            <w:top w:w="15" w:type="dxa"/>
            <w:left w:w="15" w:type="dxa"/>
            <w:bottom w:w="15" w:type="dxa"/>
            <w:right w:w="15" w:type="dxa"/>
          </w:tblCellMar>
        </w:tblPrEx>
        <w:trPr>
          <w:trHeight w:val="285" w:hRule="atLeast"/>
        </w:trPr>
        <w:tc>
          <w:tcPr>
            <w:tcW w:w="4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0"/>
                <w:szCs w:val="20"/>
                <w:lang w:val="en-US" w:eastAsia="zh-CN"/>
              </w:rPr>
            </w:pPr>
            <w:r>
              <w:rPr>
                <w:rFonts w:hint="eastAsia" w:ascii="宋体" w:hAnsi="宋体" w:cs="宋体"/>
                <w:sz w:val="20"/>
                <w:szCs w:val="20"/>
                <w:lang w:val="en-US" w:eastAsia="zh-CN"/>
              </w:rPr>
              <w:t>6</w:t>
            </w:r>
          </w:p>
        </w:tc>
        <w:tc>
          <w:tcPr>
            <w:tcW w:w="13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冰川路两侧胡同</w:t>
            </w:r>
          </w:p>
        </w:tc>
        <w:tc>
          <w:tcPr>
            <w:tcW w:w="9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800</w:t>
            </w:r>
          </w:p>
        </w:tc>
        <w:tc>
          <w:tcPr>
            <w:tcW w:w="7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2.5</w:t>
            </w:r>
          </w:p>
        </w:tc>
        <w:tc>
          <w:tcPr>
            <w:tcW w:w="67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116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2000</w:t>
            </w:r>
          </w:p>
        </w:tc>
        <w:tc>
          <w:tcPr>
            <w:tcW w:w="99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2000</w:t>
            </w:r>
          </w:p>
        </w:tc>
        <w:tc>
          <w:tcPr>
            <w:tcW w:w="5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67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9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51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1</w:t>
            </w:r>
          </w:p>
        </w:tc>
      </w:tr>
      <w:tr>
        <w:tblPrEx>
          <w:tblLayout w:type="fixed"/>
          <w:tblCellMar>
            <w:top w:w="15" w:type="dxa"/>
            <w:left w:w="15" w:type="dxa"/>
            <w:bottom w:w="15" w:type="dxa"/>
            <w:right w:w="15" w:type="dxa"/>
          </w:tblCellMar>
        </w:tblPrEx>
        <w:trPr>
          <w:trHeight w:val="285" w:hRule="atLeast"/>
        </w:trPr>
        <w:tc>
          <w:tcPr>
            <w:tcW w:w="4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0"/>
                <w:szCs w:val="20"/>
                <w:lang w:val="en-US" w:eastAsia="zh-CN"/>
              </w:rPr>
            </w:pPr>
            <w:r>
              <w:rPr>
                <w:rFonts w:hint="eastAsia" w:ascii="宋体" w:hAnsi="宋体" w:cs="宋体"/>
                <w:sz w:val="20"/>
                <w:szCs w:val="20"/>
                <w:lang w:val="en-US" w:eastAsia="zh-CN"/>
              </w:rPr>
              <w:t>7</w:t>
            </w:r>
          </w:p>
        </w:tc>
        <w:tc>
          <w:tcPr>
            <w:tcW w:w="13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模式口大街辅路</w:t>
            </w:r>
          </w:p>
        </w:tc>
        <w:tc>
          <w:tcPr>
            <w:tcW w:w="9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710</w:t>
            </w:r>
          </w:p>
        </w:tc>
        <w:tc>
          <w:tcPr>
            <w:tcW w:w="7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4</w:t>
            </w:r>
          </w:p>
        </w:tc>
        <w:tc>
          <w:tcPr>
            <w:tcW w:w="67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116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2840</w:t>
            </w:r>
          </w:p>
        </w:tc>
        <w:tc>
          <w:tcPr>
            <w:tcW w:w="99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2840</w:t>
            </w:r>
          </w:p>
        </w:tc>
        <w:tc>
          <w:tcPr>
            <w:tcW w:w="5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67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9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51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2</w:t>
            </w:r>
          </w:p>
        </w:tc>
      </w:tr>
      <w:tr>
        <w:tblPrEx>
          <w:tblLayout w:type="fixed"/>
          <w:tblCellMar>
            <w:top w:w="15" w:type="dxa"/>
            <w:left w:w="15" w:type="dxa"/>
            <w:bottom w:w="15" w:type="dxa"/>
            <w:right w:w="15" w:type="dxa"/>
          </w:tblCellMar>
        </w:tblPrEx>
        <w:trPr>
          <w:trHeight w:val="285" w:hRule="atLeast"/>
        </w:trPr>
        <w:tc>
          <w:tcPr>
            <w:tcW w:w="4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0"/>
                <w:szCs w:val="20"/>
                <w:lang w:val="en-US" w:eastAsia="zh-CN"/>
              </w:rPr>
            </w:pPr>
            <w:r>
              <w:rPr>
                <w:rFonts w:hint="eastAsia" w:ascii="宋体" w:hAnsi="宋体" w:cs="宋体"/>
                <w:sz w:val="20"/>
                <w:szCs w:val="20"/>
                <w:lang w:val="en-US" w:eastAsia="zh-CN"/>
              </w:rPr>
              <w:t>8</w:t>
            </w:r>
          </w:p>
        </w:tc>
        <w:tc>
          <w:tcPr>
            <w:tcW w:w="13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模式口南街西</w:t>
            </w:r>
          </w:p>
        </w:tc>
        <w:tc>
          <w:tcPr>
            <w:tcW w:w="9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600</w:t>
            </w:r>
          </w:p>
        </w:tc>
        <w:tc>
          <w:tcPr>
            <w:tcW w:w="7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3</w:t>
            </w:r>
          </w:p>
        </w:tc>
        <w:tc>
          <w:tcPr>
            <w:tcW w:w="67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116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1800</w:t>
            </w:r>
          </w:p>
        </w:tc>
        <w:tc>
          <w:tcPr>
            <w:tcW w:w="99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1800</w:t>
            </w:r>
          </w:p>
        </w:tc>
        <w:tc>
          <w:tcPr>
            <w:tcW w:w="5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67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9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51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2</w:t>
            </w:r>
          </w:p>
        </w:tc>
      </w:tr>
      <w:tr>
        <w:tblPrEx>
          <w:tblLayout w:type="fixed"/>
          <w:tblCellMar>
            <w:top w:w="15" w:type="dxa"/>
            <w:left w:w="15" w:type="dxa"/>
            <w:bottom w:w="15" w:type="dxa"/>
            <w:right w:w="15" w:type="dxa"/>
          </w:tblCellMar>
        </w:tblPrEx>
        <w:trPr>
          <w:trHeight w:val="285" w:hRule="atLeast"/>
        </w:trPr>
        <w:tc>
          <w:tcPr>
            <w:tcW w:w="4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0"/>
                <w:szCs w:val="20"/>
                <w:lang w:val="en-US" w:eastAsia="zh-CN"/>
              </w:rPr>
            </w:pPr>
            <w:r>
              <w:rPr>
                <w:rFonts w:hint="eastAsia" w:ascii="宋体" w:hAnsi="宋体" w:cs="宋体"/>
                <w:sz w:val="20"/>
                <w:szCs w:val="20"/>
                <w:lang w:val="en-US" w:eastAsia="zh-CN"/>
              </w:rPr>
              <w:t>9</w:t>
            </w:r>
          </w:p>
        </w:tc>
        <w:tc>
          <w:tcPr>
            <w:tcW w:w="13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模式口南街东</w:t>
            </w:r>
          </w:p>
        </w:tc>
        <w:tc>
          <w:tcPr>
            <w:tcW w:w="9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650</w:t>
            </w:r>
          </w:p>
        </w:tc>
        <w:tc>
          <w:tcPr>
            <w:tcW w:w="7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4</w:t>
            </w:r>
          </w:p>
        </w:tc>
        <w:tc>
          <w:tcPr>
            <w:tcW w:w="67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116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2600</w:t>
            </w:r>
          </w:p>
        </w:tc>
        <w:tc>
          <w:tcPr>
            <w:tcW w:w="99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2600</w:t>
            </w:r>
          </w:p>
        </w:tc>
        <w:tc>
          <w:tcPr>
            <w:tcW w:w="5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67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9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51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2</w:t>
            </w:r>
          </w:p>
        </w:tc>
      </w:tr>
      <w:tr>
        <w:tblPrEx>
          <w:tblLayout w:type="fixed"/>
          <w:tblCellMar>
            <w:top w:w="15" w:type="dxa"/>
            <w:left w:w="15" w:type="dxa"/>
            <w:bottom w:w="15" w:type="dxa"/>
            <w:right w:w="15" w:type="dxa"/>
          </w:tblCellMar>
        </w:tblPrEx>
        <w:trPr>
          <w:trHeight w:val="285" w:hRule="atLeast"/>
        </w:trPr>
        <w:tc>
          <w:tcPr>
            <w:tcW w:w="4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0"/>
                <w:szCs w:val="20"/>
                <w:lang w:val="en-US" w:eastAsia="zh-CN"/>
              </w:rPr>
            </w:pPr>
            <w:r>
              <w:rPr>
                <w:rFonts w:hint="eastAsia" w:ascii="宋体" w:hAnsi="宋体" w:cs="宋体"/>
                <w:sz w:val="20"/>
                <w:szCs w:val="20"/>
                <w:lang w:val="en-US" w:eastAsia="zh-CN"/>
              </w:rPr>
              <w:t>10</w:t>
            </w:r>
          </w:p>
        </w:tc>
        <w:tc>
          <w:tcPr>
            <w:tcW w:w="13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U字路</w:t>
            </w:r>
          </w:p>
        </w:tc>
        <w:tc>
          <w:tcPr>
            <w:tcW w:w="9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663</w:t>
            </w:r>
          </w:p>
        </w:tc>
        <w:tc>
          <w:tcPr>
            <w:tcW w:w="7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5</w:t>
            </w:r>
          </w:p>
        </w:tc>
        <w:tc>
          <w:tcPr>
            <w:tcW w:w="67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116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3315</w:t>
            </w:r>
          </w:p>
        </w:tc>
        <w:tc>
          <w:tcPr>
            <w:tcW w:w="99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3315</w:t>
            </w:r>
          </w:p>
        </w:tc>
        <w:tc>
          <w:tcPr>
            <w:tcW w:w="5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67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9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51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3</w:t>
            </w:r>
          </w:p>
        </w:tc>
      </w:tr>
      <w:tr>
        <w:tblPrEx>
          <w:tblLayout w:type="fixed"/>
          <w:tblCellMar>
            <w:top w:w="15" w:type="dxa"/>
            <w:left w:w="15" w:type="dxa"/>
            <w:bottom w:w="15" w:type="dxa"/>
            <w:right w:w="15" w:type="dxa"/>
          </w:tblCellMar>
        </w:tblPrEx>
        <w:trPr>
          <w:trHeight w:val="285" w:hRule="atLeast"/>
        </w:trPr>
        <w:tc>
          <w:tcPr>
            <w:tcW w:w="4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1</w:t>
            </w:r>
            <w:r>
              <w:rPr>
                <w:rFonts w:hint="eastAsia" w:ascii="宋体" w:hAnsi="宋体" w:cs="宋体"/>
                <w:kern w:val="0"/>
                <w:sz w:val="20"/>
                <w:szCs w:val="20"/>
                <w:lang w:val="en-US" w:eastAsia="zh-CN" w:bidi="ar"/>
              </w:rPr>
              <w:t>1</w:t>
            </w:r>
          </w:p>
        </w:tc>
        <w:tc>
          <w:tcPr>
            <w:tcW w:w="13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模式口西北台阶小巷</w:t>
            </w:r>
          </w:p>
        </w:tc>
        <w:tc>
          <w:tcPr>
            <w:tcW w:w="9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300</w:t>
            </w:r>
          </w:p>
        </w:tc>
        <w:tc>
          <w:tcPr>
            <w:tcW w:w="7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2.5</w:t>
            </w:r>
          </w:p>
        </w:tc>
        <w:tc>
          <w:tcPr>
            <w:tcW w:w="67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116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750</w:t>
            </w:r>
          </w:p>
        </w:tc>
        <w:tc>
          <w:tcPr>
            <w:tcW w:w="99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750</w:t>
            </w:r>
          </w:p>
        </w:tc>
        <w:tc>
          <w:tcPr>
            <w:tcW w:w="5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67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9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51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2</w:t>
            </w:r>
          </w:p>
        </w:tc>
      </w:tr>
      <w:tr>
        <w:tblPrEx>
          <w:tblLayout w:type="fixed"/>
          <w:tblCellMar>
            <w:top w:w="15" w:type="dxa"/>
            <w:left w:w="15" w:type="dxa"/>
            <w:bottom w:w="15" w:type="dxa"/>
            <w:right w:w="15" w:type="dxa"/>
          </w:tblCellMar>
        </w:tblPrEx>
        <w:trPr>
          <w:trHeight w:val="285" w:hRule="atLeast"/>
        </w:trPr>
        <w:tc>
          <w:tcPr>
            <w:tcW w:w="4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1</w:t>
            </w:r>
            <w:r>
              <w:rPr>
                <w:rFonts w:hint="eastAsia" w:ascii="宋体" w:hAnsi="宋体" w:cs="宋体"/>
                <w:kern w:val="0"/>
                <w:sz w:val="20"/>
                <w:szCs w:val="20"/>
                <w:lang w:val="en-US" w:eastAsia="zh-CN" w:bidi="ar"/>
              </w:rPr>
              <w:t>2</w:t>
            </w:r>
          </w:p>
        </w:tc>
        <w:tc>
          <w:tcPr>
            <w:tcW w:w="13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模北联建楼（含绿地及所有街巷）</w:t>
            </w:r>
          </w:p>
        </w:tc>
        <w:tc>
          <w:tcPr>
            <w:tcW w:w="9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704</w:t>
            </w:r>
          </w:p>
        </w:tc>
        <w:tc>
          <w:tcPr>
            <w:tcW w:w="7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6</w:t>
            </w:r>
          </w:p>
        </w:tc>
        <w:tc>
          <w:tcPr>
            <w:tcW w:w="67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116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4224</w:t>
            </w:r>
          </w:p>
        </w:tc>
        <w:tc>
          <w:tcPr>
            <w:tcW w:w="99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4224</w:t>
            </w:r>
          </w:p>
        </w:tc>
        <w:tc>
          <w:tcPr>
            <w:tcW w:w="5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67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9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51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3</w:t>
            </w:r>
          </w:p>
        </w:tc>
      </w:tr>
      <w:tr>
        <w:tblPrEx>
          <w:tblLayout w:type="fixed"/>
          <w:tblCellMar>
            <w:top w:w="15" w:type="dxa"/>
            <w:left w:w="15" w:type="dxa"/>
            <w:bottom w:w="15" w:type="dxa"/>
            <w:right w:w="15" w:type="dxa"/>
          </w:tblCellMar>
        </w:tblPrEx>
        <w:trPr>
          <w:trHeight w:val="479" w:hRule="atLeast"/>
        </w:trPr>
        <w:tc>
          <w:tcPr>
            <w:tcW w:w="4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1</w:t>
            </w:r>
            <w:r>
              <w:rPr>
                <w:rFonts w:hint="eastAsia" w:ascii="宋体" w:hAnsi="宋体" w:cs="宋体"/>
                <w:kern w:val="0"/>
                <w:sz w:val="20"/>
                <w:szCs w:val="20"/>
                <w:lang w:val="en-US" w:eastAsia="zh-CN" w:bidi="ar"/>
              </w:rPr>
              <w:t>3</w:t>
            </w:r>
          </w:p>
        </w:tc>
        <w:tc>
          <w:tcPr>
            <w:tcW w:w="13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法海寺东西小路</w:t>
            </w:r>
          </w:p>
        </w:tc>
        <w:tc>
          <w:tcPr>
            <w:tcW w:w="9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100</w:t>
            </w:r>
          </w:p>
        </w:tc>
        <w:tc>
          <w:tcPr>
            <w:tcW w:w="7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4</w:t>
            </w:r>
          </w:p>
        </w:tc>
        <w:tc>
          <w:tcPr>
            <w:tcW w:w="67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116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400</w:t>
            </w:r>
          </w:p>
        </w:tc>
        <w:tc>
          <w:tcPr>
            <w:tcW w:w="99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400</w:t>
            </w:r>
          </w:p>
        </w:tc>
        <w:tc>
          <w:tcPr>
            <w:tcW w:w="5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67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9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51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3</w:t>
            </w:r>
          </w:p>
        </w:tc>
      </w:tr>
      <w:tr>
        <w:tblPrEx>
          <w:tblLayout w:type="fixed"/>
          <w:tblCellMar>
            <w:top w:w="15" w:type="dxa"/>
            <w:left w:w="15" w:type="dxa"/>
            <w:bottom w:w="15" w:type="dxa"/>
            <w:right w:w="15" w:type="dxa"/>
          </w:tblCellMar>
        </w:tblPrEx>
        <w:trPr>
          <w:trHeight w:val="285" w:hRule="atLeast"/>
        </w:trPr>
        <w:tc>
          <w:tcPr>
            <w:tcW w:w="4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1</w:t>
            </w:r>
            <w:r>
              <w:rPr>
                <w:rFonts w:hint="eastAsia" w:ascii="宋体" w:hAnsi="宋体" w:cs="宋体"/>
                <w:kern w:val="0"/>
                <w:sz w:val="20"/>
                <w:szCs w:val="20"/>
                <w:lang w:val="en-US" w:eastAsia="zh-CN" w:bidi="ar"/>
              </w:rPr>
              <w:t>4</w:t>
            </w:r>
          </w:p>
        </w:tc>
        <w:tc>
          <w:tcPr>
            <w:tcW w:w="13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法海寺路两侧胡同</w:t>
            </w:r>
          </w:p>
        </w:tc>
        <w:tc>
          <w:tcPr>
            <w:tcW w:w="9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400</w:t>
            </w:r>
          </w:p>
        </w:tc>
        <w:tc>
          <w:tcPr>
            <w:tcW w:w="7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2.5</w:t>
            </w:r>
          </w:p>
        </w:tc>
        <w:tc>
          <w:tcPr>
            <w:tcW w:w="67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116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1000</w:t>
            </w:r>
          </w:p>
        </w:tc>
        <w:tc>
          <w:tcPr>
            <w:tcW w:w="99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1000</w:t>
            </w:r>
          </w:p>
        </w:tc>
        <w:tc>
          <w:tcPr>
            <w:tcW w:w="5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67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9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51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2</w:t>
            </w:r>
          </w:p>
        </w:tc>
      </w:tr>
      <w:tr>
        <w:tblPrEx>
          <w:tblLayout w:type="fixed"/>
          <w:tblCellMar>
            <w:top w:w="15" w:type="dxa"/>
            <w:left w:w="15" w:type="dxa"/>
            <w:bottom w:w="15" w:type="dxa"/>
            <w:right w:w="15" w:type="dxa"/>
          </w:tblCellMar>
        </w:tblPrEx>
        <w:trPr>
          <w:trHeight w:val="285" w:hRule="atLeast"/>
        </w:trPr>
        <w:tc>
          <w:tcPr>
            <w:tcW w:w="4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1</w:t>
            </w:r>
            <w:r>
              <w:rPr>
                <w:rFonts w:hint="eastAsia" w:ascii="宋体" w:hAnsi="宋体" w:cs="宋体"/>
                <w:kern w:val="0"/>
                <w:sz w:val="20"/>
                <w:szCs w:val="20"/>
                <w:lang w:val="en-US" w:eastAsia="zh-CN" w:bidi="ar"/>
              </w:rPr>
              <w:t>5</w:t>
            </w:r>
          </w:p>
        </w:tc>
        <w:tc>
          <w:tcPr>
            <w:tcW w:w="13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法海寺西庙路</w:t>
            </w:r>
          </w:p>
        </w:tc>
        <w:tc>
          <w:tcPr>
            <w:tcW w:w="9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267</w:t>
            </w:r>
          </w:p>
        </w:tc>
        <w:tc>
          <w:tcPr>
            <w:tcW w:w="7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5</w:t>
            </w:r>
          </w:p>
        </w:tc>
        <w:tc>
          <w:tcPr>
            <w:tcW w:w="67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116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1335</w:t>
            </w:r>
          </w:p>
        </w:tc>
        <w:tc>
          <w:tcPr>
            <w:tcW w:w="99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1335</w:t>
            </w:r>
          </w:p>
        </w:tc>
        <w:tc>
          <w:tcPr>
            <w:tcW w:w="5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67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9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51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3</w:t>
            </w:r>
          </w:p>
        </w:tc>
      </w:tr>
      <w:tr>
        <w:tblPrEx>
          <w:tblLayout w:type="fixed"/>
          <w:tblCellMar>
            <w:top w:w="15" w:type="dxa"/>
            <w:left w:w="15" w:type="dxa"/>
            <w:bottom w:w="15" w:type="dxa"/>
            <w:right w:w="15" w:type="dxa"/>
          </w:tblCellMar>
        </w:tblPrEx>
        <w:trPr>
          <w:trHeight w:val="285" w:hRule="atLeast"/>
        </w:trPr>
        <w:tc>
          <w:tcPr>
            <w:tcW w:w="4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1</w:t>
            </w:r>
            <w:r>
              <w:rPr>
                <w:rFonts w:hint="eastAsia" w:ascii="宋体" w:hAnsi="宋体" w:cs="宋体"/>
                <w:kern w:val="0"/>
                <w:sz w:val="20"/>
                <w:szCs w:val="20"/>
                <w:lang w:val="en-US" w:eastAsia="zh-CN" w:bidi="ar"/>
              </w:rPr>
              <w:t>6</w:t>
            </w:r>
          </w:p>
        </w:tc>
        <w:tc>
          <w:tcPr>
            <w:tcW w:w="13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冰川路</w:t>
            </w:r>
          </w:p>
        </w:tc>
        <w:tc>
          <w:tcPr>
            <w:tcW w:w="9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242.6</w:t>
            </w:r>
          </w:p>
        </w:tc>
        <w:tc>
          <w:tcPr>
            <w:tcW w:w="7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7.15</w:t>
            </w:r>
          </w:p>
        </w:tc>
        <w:tc>
          <w:tcPr>
            <w:tcW w:w="67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116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1352.2</w:t>
            </w:r>
          </w:p>
        </w:tc>
        <w:tc>
          <w:tcPr>
            <w:tcW w:w="99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1352.2</w:t>
            </w:r>
          </w:p>
        </w:tc>
        <w:tc>
          <w:tcPr>
            <w:tcW w:w="5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67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9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51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1</w:t>
            </w:r>
          </w:p>
        </w:tc>
      </w:tr>
      <w:tr>
        <w:tblPrEx>
          <w:tblLayout w:type="fixed"/>
          <w:tblCellMar>
            <w:top w:w="15" w:type="dxa"/>
            <w:left w:w="15" w:type="dxa"/>
            <w:bottom w:w="15" w:type="dxa"/>
            <w:right w:w="15" w:type="dxa"/>
          </w:tblCellMar>
        </w:tblPrEx>
        <w:trPr>
          <w:trHeight w:val="285" w:hRule="atLeast"/>
        </w:trPr>
        <w:tc>
          <w:tcPr>
            <w:tcW w:w="4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1</w:t>
            </w:r>
            <w:r>
              <w:rPr>
                <w:rFonts w:hint="eastAsia" w:ascii="宋体" w:hAnsi="宋体" w:cs="宋体"/>
                <w:kern w:val="0"/>
                <w:sz w:val="20"/>
                <w:szCs w:val="20"/>
                <w:lang w:val="en-US" w:eastAsia="zh-CN" w:bidi="ar"/>
              </w:rPr>
              <w:t>7</w:t>
            </w:r>
          </w:p>
        </w:tc>
        <w:tc>
          <w:tcPr>
            <w:tcW w:w="13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法海寺路</w:t>
            </w:r>
          </w:p>
        </w:tc>
        <w:tc>
          <w:tcPr>
            <w:tcW w:w="9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648.2</w:t>
            </w:r>
          </w:p>
        </w:tc>
        <w:tc>
          <w:tcPr>
            <w:tcW w:w="7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6.14</w:t>
            </w:r>
          </w:p>
        </w:tc>
        <w:tc>
          <w:tcPr>
            <w:tcW w:w="67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116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3979.2</w:t>
            </w:r>
          </w:p>
        </w:tc>
        <w:tc>
          <w:tcPr>
            <w:tcW w:w="99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3979.2</w:t>
            </w:r>
          </w:p>
        </w:tc>
        <w:tc>
          <w:tcPr>
            <w:tcW w:w="5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67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9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51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1</w:t>
            </w:r>
          </w:p>
        </w:tc>
      </w:tr>
      <w:tr>
        <w:tblPrEx>
          <w:tblLayout w:type="fixed"/>
          <w:tblCellMar>
            <w:top w:w="15" w:type="dxa"/>
            <w:left w:w="15" w:type="dxa"/>
            <w:bottom w:w="15" w:type="dxa"/>
            <w:right w:w="15" w:type="dxa"/>
          </w:tblCellMar>
        </w:tblPrEx>
        <w:trPr>
          <w:trHeight w:val="285" w:hRule="atLeast"/>
        </w:trPr>
        <w:tc>
          <w:tcPr>
            <w:tcW w:w="4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0"/>
                <w:szCs w:val="20"/>
                <w:lang w:val="en-US" w:eastAsia="zh-CN"/>
              </w:rPr>
            </w:pPr>
            <w:r>
              <w:rPr>
                <w:rFonts w:hint="eastAsia" w:ascii="宋体" w:hAnsi="宋体" w:cs="宋体"/>
                <w:sz w:val="20"/>
                <w:szCs w:val="20"/>
                <w:lang w:val="en-US" w:eastAsia="zh-CN"/>
              </w:rPr>
              <w:t>18</w:t>
            </w:r>
          </w:p>
        </w:tc>
        <w:tc>
          <w:tcPr>
            <w:tcW w:w="13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模式口大街</w:t>
            </w:r>
          </w:p>
        </w:tc>
        <w:tc>
          <w:tcPr>
            <w:tcW w:w="9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1387</w:t>
            </w:r>
          </w:p>
        </w:tc>
        <w:tc>
          <w:tcPr>
            <w:tcW w:w="7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9.23</w:t>
            </w:r>
          </w:p>
        </w:tc>
        <w:tc>
          <w:tcPr>
            <w:tcW w:w="67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116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12801</w:t>
            </w:r>
          </w:p>
        </w:tc>
        <w:tc>
          <w:tcPr>
            <w:tcW w:w="99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12801</w:t>
            </w:r>
          </w:p>
        </w:tc>
        <w:tc>
          <w:tcPr>
            <w:tcW w:w="5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67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9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51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1</w:t>
            </w:r>
          </w:p>
        </w:tc>
      </w:tr>
      <w:tr>
        <w:tblPrEx>
          <w:tblLayout w:type="fixed"/>
          <w:tblCellMar>
            <w:top w:w="15" w:type="dxa"/>
            <w:left w:w="15" w:type="dxa"/>
            <w:bottom w:w="15" w:type="dxa"/>
            <w:right w:w="15" w:type="dxa"/>
          </w:tblCellMar>
        </w:tblPrEx>
        <w:trPr>
          <w:trHeight w:val="285" w:hRule="atLeast"/>
        </w:trPr>
        <w:tc>
          <w:tcPr>
            <w:tcW w:w="4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0"/>
                <w:szCs w:val="20"/>
                <w:lang w:val="en-US" w:eastAsia="zh-CN"/>
              </w:rPr>
            </w:pPr>
            <w:r>
              <w:rPr>
                <w:rFonts w:hint="eastAsia" w:ascii="宋体" w:hAnsi="宋体" w:cs="宋体"/>
                <w:sz w:val="20"/>
                <w:szCs w:val="20"/>
                <w:lang w:val="en-US" w:eastAsia="zh-CN"/>
              </w:rPr>
              <w:t>19</w:t>
            </w:r>
          </w:p>
        </w:tc>
        <w:tc>
          <w:tcPr>
            <w:tcW w:w="13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模式口南街200号胡同</w:t>
            </w:r>
          </w:p>
        </w:tc>
        <w:tc>
          <w:tcPr>
            <w:tcW w:w="9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183.7</w:t>
            </w:r>
          </w:p>
        </w:tc>
        <w:tc>
          <w:tcPr>
            <w:tcW w:w="7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6.13</w:t>
            </w:r>
          </w:p>
        </w:tc>
        <w:tc>
          <w:tcPr>
            <w:tcW w:w="67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116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1126.08</w:t>
            </w:r>
          </w:p>
        </w:tc>
        <w:tc>
          <w:tcPr>
            <w:tcW w:w="99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1126.08</w:t>
            </w:r>
          </w:p>
        </w:tc>
        <w:tc>
          <w:tcPr>
            <w:tcW w:w="5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67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9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51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2</w:t>
            </w:r>
          </w:p>
        </w:tc>
      </w:tr>
      <w:tr>
        <w:tblPrEx>
          <w:tblLayout w:type="fixed"/>
          <w:tblCellMar>
            <w:top w:w="15" w:type="dxa"/>
            <w:left w:w="15" w:type="dxa"/>
            <w:bottom w:w="15" w:type="dxa"/>
            <w:right w:w="15" w:type="dxa"/>
          </w:tblCellMar>
        </w:tblPrEx>
        <w:trPr>
          <w:trHeight w:val="285" w:hRule="atLeast"/>
        </w:trPr>
        <w:tc>
          <w:tcPr>
            <w:tcW w:w="4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2</w:t>
            </w:r>
            <w:r>
              <w:rPr>
                <w:rFonts w:hint="eastAsia" w:ascii="宋体" w:hAnsi="宋体" w:cs="宋体"/>
                <w:kern w:val="0"/>
                <w:sz w:val="20"/>
                <w:szCs w:val="20"/>
                <w:lang w:val="en-US" w:eastAsia="zh-CN" w:bidi="ar"/>
              </w:rPr>
              <w:t>0</w:t>
            </w:r>
          </w:p>
        </w:tc>
        <w:tc>
          <w:tcPr>
            <w:tcW w:w="13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南小街</w:t>
            </w:r>
          </w:p>
        </w:tc>
        <w:tc>
          <w:tcPr>
            <w:tcW w:w="9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685.67</w:t>
            </w:r>
          </w:p>
        </w:tc>
        <w:tc>
          <w:tcPr>
            <w:tcW w:w="7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5.5</w:t>
            </w:r>
          </w:p>
        </w:tc>
        <w:tc>
          <w:tcPr>
            <w:tcW w:w="67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116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3771.2</w:t>
            </w:r>
          </w:p>
        </w:tc>
        <w:tc>
          <w:tcPr>
            <w:tcW w:w="99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3771.2</w:t>
            </w:r>
          </w:p>
        </w:tc>
        <w:tc>
          <w:tcPr>
            <w:tcW w:w="5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67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9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51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2</w:t>
            </w:r>
          </w:p>
        </w:tc>
      </w:tr>
      <w:tr>
        <w:tblPrEx>
          <w:tblLayout w:type="fixed"/>
          <w:tblCellMar>
            <w:top w:w="15" w:type="dxa"/>
            <w:left w:w="15" w:type="dxa"/>
            <w:bottom w:w="15" w:type="dxa"/>
            <w:right w:w="15" w:type="dxa"/>
          </w:tblCellMar>
        </w:tblPrEx>
        <w:trPr>
          <w:trHeight w:val="479" w:hRule="atLeast"/>
        </w:trPr>
        <w:tc>
          <w:tcPr>
            <w:tcW w:w="4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2</w:t>
            </w:r>
            <w:r>
              <w:rPr>
                <w:rFonts w:hint="eastAsia" w:ascii="宋体" w:hAnsi="宋体" w:cs="宋体"/>
                <w:kern w:val="0"/>
                <w:sz w:val="20"/>
                <w:szCs w:val="20"/>
                <w:lang w:val="en-US" w:eastAsia="zh-CN" w:bidi="ar"/>
              </w:rPr>
              <w:t>1</w:t>
            </w:r>
          </w:p>
        </w:tc>
        <w:tc>
          <w:tcPr>
            <w:tcW w:w="13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电力培训中心路</w:t>
            </w:r>
          </w:p>
        </w:tc>
        <w:tc>
          <w:tcPr>
            <w:tcW w:w="9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139.3</w:t>
            </w:r>
          </w:p>
        </w:tc>
        <w:tc>
          <w:tcPr>
            <w:tcW w:w="7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9.73</w:t>
            </w:r>
          </w:p>
        </w:tc>
        <w:tc>
          <w:tcPr>
            <w:tcW w:w="67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116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1354.4</w:t>
            </w:r>
          </w:p>
        </w:tc>
        <w:tc>
          <w:tcPr>
            <w:tcW w:w="99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1354.4</w:t>
            </w:r>
          </w:p>
        </w:tc>
        <w:tc>
          <w:tcPr>
            <w:tcW w:w="5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67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9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51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2</w:t>
            </w:r>
          </w:p>
        </w:tc>
      </w:tr>
      <w:tr>
        <w:tblPrEx>
          <w:tblLayout w:type="fixed"/>
          <w:tblCellMar>
            <w:top w:w="15" w:type="dxa"/>
            <w:left w:w="15" w:type="dxa"/>
            <w:bottom w:w="15" w:type="dxa"/>
            <w:right w:w="15" w:type="dxa"/>
          </w:tblCellMar>
        </w:tblPrEx>
        <w:trPr>
          <w:trHeight w:val="285" w:hRule="atLeast"/>
        </w:trPr>
        <w:tc>
          <w:tcPr>
            <w:tcW w:w="4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2</w:t>
            </w:r>
            <w:r>
              <w:rPr>
                <w:rFonts w:hint="eastAsia" w:ascii="宋体" w:hAnsi="宋体" w:cs="宋体"/>
                <w:kern w:val="0"/>
                <w:sz w:val="20"/>
                <w:szCs w:val="20"/>
                <w:lang w:val="en-US" w:eastAsia="zh-CN" w:bidi="ar"/>
              </w:rPr>
              <w:t>2</w:t>
            </w:r>
          </w:p>
        </w:tc>
        <w:tc>
          <w:tcPr>
            <w:tcW w:w="13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隘口园小路及公园</w:t>
            </w:r>
          </w:p>
        </w:tc>
        <w:tc>
          <w:tcPr>
            <w:tcW w:w="9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379</w:t>
            </w:r>
          </w:p>
        </w:tc>
        <w:tc>
          <w:tcPr>
            <w:tcW w:w="7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6.5</w:t>
            </w:r>
          </w:p>
        </w:tc>
        <w:tc>
          <w:tcPr>
            <w:tcW w:w="67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116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2463.5</w:t>
            </w:r>
          </w:p>
        </w:tc>
        <w:tc>
          <w:tcPr>
            <w:tcW w:w="99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5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6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2463.5</w:t>
            </w:r>
          </w:p>
        </w:tc>
        <w:tc>
          <w:tcPr>
            <w:tcW w:w="9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51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3</w:t>
            </w:r>
          </w:p>
        </w:tc>
      </w:tr>
      <w:tr>
        <w:tblPrEx>
          <w:tblLayout w:type="fixed"/>
          <w:tblCellMar>
            <w:top w:w="15" w:type="dxa"/>
            <w:left w:w="15" w:type="dxa"/>
            <w:bottom w:w="15" w:type="dxa"/>
            <w:right w:w="15" w:type="dxa"/>
          </w:tblCellMar>
        </w:tblPrEx>
        <w:trPr>
          <w:trHeight w:val="285" w:hRule="atLeast"/>
        </w:trPr>
        <w:tc>
          <w:tcPr>
            <w:tcW w:w="4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2</w:t>
            </w:r>
            <w:r>
              <w:rPr>
                <w:rFonts w:hint="eastAsia" w:ascii="宋体" w:hAnsi="宋体" w:cs="宋体"/>
                <w:kern w:val="0"/>
                <w:sz w:val="20"/>
                <w:szCs w:val="20"/>
                <w:lang w:val="en-US" w:eastAsia="zh-CN" w:bidi="ar"/>
              </w:rPr>
              <w:t>3</w:t>
            </w:r>
          </w:p>
        </w:tc>
        <w:tc>
          <w:tcPr>
            <w:tcW w:w="13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模南小区环形路</w:t>
            </w:r>
          </w:p>
        </w:tc>
        <w:tc>
          <w:tcPr>
            <w:tcW w:w="9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781.36</w:t>
            </w:r>
          </w:p>
        </w:tc>
        <w:tc>
          <w:tcPr>
            <w:tcW w:w="7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12.55</w:t>
            </w:r>
          </w:p>
        </w:tc>
        <w:tc>
          <w:tcPr>
            <w:tcW w:w="67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116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23864.18</w:t>
            </w:r>
          </w:p>
        </w:tc>
        <w:tc>
          <w:tcPr>
            <w:tcW w:w="99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9806.07</w:t>
            </w:r>
          </w:p>
        </w:tc>
        <w:tc>
          <w:tcPr>
            <w:tcW w:w="56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3907</w:t>
            </w:r>
          </w:p>
        </w:tc>
        <w:tc>
          <w:tcPr>
            <w:tcW w:w="6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3277</w:t>
            </w:r>
          </w:p>
        </w:tc>
        <w:tc>
          <w:tcPr>
            <w:tcW w:w="9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6874</w:t>
            </w:r>
          </w:p>
        </w:tc>
        <w:tc>
          <w:tcPr>
            <w:tcW w:w="51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2</w:t>
            </w:r>
          </w:p>
        </w:tc>
      </w:tr>
      <w:tr>
        <w:tblPrEx>
          <w:tblLayout w:type="fixed"/>
          <w:tblCellMar>
            <w:top w:w="15" w:type="dxa"/>
            <w:left w:w="15" w:type="dxa"/>
            <w:bottom w:w="15" w:type="dxa"/>
            <w:right w:w="15" w:type="dxa"/>
          </w:tblCellMar>
        </w:tblPrEx>
        <w:trPr>
          <w:trHeight w:val="285" w:hRule="atLeast"/>
        </w:trPr>
        <w:tc>
          <w:tcPr>
            <w:tcW w:w="4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2</w:t>
            </w:r>
            <w:r>
              <w:rPr>
                <w:rFonts w:hint="eastAsia" w:ascii="宋体" w:hAnsi="宋体" w:cs="宋体"/>
                <w:kern w:val="0"/>
                <w:sz w:val="20"/>
                <w:szCs w:val="20"/>
                <w:lang w:val="en-US" w:eastAsia="zh-CN" w:bidi="ar"/>
              </w:rPr>
              <w:t>4</w:t>
            </w:r>
          </w:p>
        </w:tc>
        <w:tc>
          <w:tcPr>
            <w:tcW w:w="13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隘口园乐园及南侧台阶和法治文化广场</w:t>
            </w:r>
          </w:p>
        </w:tc>
        <w:tc>
          <w:tcPr>
            <w:tcW w:w="9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2413</w:t>
            </w:r>
          </w:p>
        </w:tc>
        <w:tc>
          <w:tcPr>
            <w:tcW w:w="72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67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116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13430</w:t>
            </w:r>
          </w:p>
        </w:tc>
        <w:tc>
          <w:tcPr>
            <w:tcW w:w="99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5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67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9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13430</w:t>
            </w:r>
          </w:p>
        </w:tc>
        <w:tc>
          <w:tcPr>
            <w:tcW w:w="51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3</w:t>
            </w:r>
          </w:p>
        </w:tc>
      </w:tr>
      <w:tr>
        <w:tblPrEx>
          <w:tblLayout w:type="fixed"/>
          <w:tblCellMar>
            <w:top w:w="15" w:type="dxa"/>
            <w:left w:w="15" w:type="dxa"/>
            <w:bottom w:w="15" w:type="dxa"/>
            <w:right w:w="15" w:type="dxa"/>
          </w:tblCellMar>
        </w:tblPrEx>
        <w:trPr>
          <w:trHeight w:val="285" w:hRule="atLeast"/>
        </w:trPr>
        <w:tc>
          <w:tcPr>
            <w:tcW w:w="4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2</w:t>
            </w:r>
            <w:r>
              <w:rPr>
                <w:rFonts w:hint="eastAsia" w:ascii="宋体" w:hAnsi="宋体" w:cs="宋体"/>
                <w:kern w:val="0"/>
                <w:sz w:val="20"/>
                <w:szCs w:val="20"/>
                <w:lang w:val="en-US" w:eastAsia="zh-CN" w:bidi="ar"/>
              </w:rPr>
              <w:t>5</w:t>
            </w:r>
          </w:p>
        </w:tc>
        <w:tc>
          <w:tcPr>
            <w:tcW w:w="13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南山公园</w:t>
            </w:r>
          </w:p>
        </w:tc>
        <w:tc>
          <w:tcPr>
            <w:tcW w:w="9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3392</w:t>
            </w:r>
          </w:p>
        </w:tc>
        <w:tc>
          <w:tcPr>
            <w:tcW w:w="72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67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116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19690</w:t>
            </w:r>
          </w:p>
        </w:tc>
        <w:tc>
          <w:tcPr>
            <w:tcW w:w="99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5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67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9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19690</w:t>
            </w:r>
          </w:p>
        </w:tc>
        <w:tc>
          <w:tcPr>
            <w:tcW w:w="51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3</w:t>
            </w:r>
          </w:p>
        </w:tc>
      </w:tr>
      <w:tr>
        <w:tblPrEx>
          <w:tblLayout w:type="fixed"/>
          <w:tblCellMar>
            <w:top w:w="15" w:type="dxa"/>
            <w:left w:w="15" w:type="dxa"/>
            <w:bottom w:w="15" w:type="dxa"/>
            <w:right w:w="15" w:type="dxa"/>
          </w:tblCellMar>
        </w:tblPrEx>
        <w:trPr>
          <w:trHeight w:val="285" w:hRule="atLeast"/>
        </w:trPr>
        <w:tc>
          <w:tcPr>
            <w:tcW w:w="4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0"/>
                <w:szCs w:val="20"/>
                <w:lang w:val="en-US" w:eastAsia="zh-CN"/>
              </w:rPr>
            </w:pPr>
            <w:r>
              <w:rPr>
                <w:rFonts w:hint="eastAsia" w:ascii="宋体" w:hAnsi="宋体" w:cs="宋体"/>
                <w:sz w:val="20"/>
                <w:szCs w:val="20"/>
                <w:lang w:val="en-US" w:eastAsia="zh-CN"/>
              </w:rPr>
              <w:t>26</w:t>
            </w:r>
          </w:p>
        </w:tc>
        <w:tc>
          <w:tcPr>
            <w:tcW w:w="13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石门路两侧硬护坡及防洪沟</w:t>
            </w:r>
          </w:p>
        </w:tc>
        <w:tc>
          <w:tcPr>
            <w:tcW w:w="9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1000</w:t>
            </w:r>
          </w:p>
        </w:tc>
        <w:tc>
          <w:tcPr>
            <w:tcW w:w="7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45</w:t>
            </w:r>
          </w:p>
        </w:tc>
        <w:tc>
          <w:tcPr>
            <w:tcW w:w="67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116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47500</w:t>
            </w:r>
          </w:p>
        </w:tc>
        <w:tc>
          <w:tcPr>
            <w:tcW w:w="99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5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6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47500</w:t>
            </w:r>
          </w:p>
        </w:tc>
        <w:tc>
          <w:tcPr>
            <w:tcW w:w="9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51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应急</w:t>
            </w:r>
          </w:p>
        </w:tc>
      </w:tr>
      <w:tr>
        <w:tblPrEx>
          <w:tblLayout w:type="fixed"/>
          <w:tblCellMar>
            <w:top w:w="15" w:type="dxa"/>
            <w:left w:w="15" w:type="dxa"/>
            <w:bottom w:w="15" w:type="dxa"/>
            <w:right w:w="15" w:type="dxa"/>
          </w:tblCellMar>
        </w:tblPrEx>
        <w:trPr>
          <w:trHeight w:val="479" w:hRule="atLeast"/>
        </w:trPr>
        <w:tc>
          <w:tcPr>
            <w:tcW w:w="4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0"/>
                <w:szCs w:val="20"/>
                <w:lang w:val="en-US" w:eastAsia="zh-CN"/>
              </w:rPr>
            </w:pPr>
            <w:r>
              <w:rPr>
                <w:rFonts w:hint="eastAsia" w:ascii="宋体" w:hAnsi="宋体" w:cs="宋体"/>
                <w:sz w:val="20"/>
                <w:szCs w:val="20"/>
                <w:lang w:val="en-US" w:eastAsia="zh-CN"/>
              </w:rPr>
              <w:t>27</w:t>
            </w:r>
          </w:p>
        </w:tc>
        <w:tc>
          <w:tcPr>
            <w:tcW w:w="13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石门路两侧软护坡</w:t>
            </w:r>
          </w:p>
        </w:tc>
        <w:tc>
          <w:tcPr>
            <w:tcW w:w="9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640</w:t>
            </w:r>
          </w:p>
        </w:tc>
        <w:tc>
          <w:tcPr>
            <w:tcW w:w="7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10</w:t>
            </w:r>
          </w:p>
        </w:tc>
        <w:tc>
          <w:tcPr>
            <w:tcW w:w="67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116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6400</w:t>
            </w:r>
          </w:p>
        </w:tc>
        <w:tc>
          <w:tcPr>
            <w:tcW w:w="99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5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6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6400</w:t>
            </w:r>
          </w:p>
        </w:tc>
        <w:tc>
          <w:tcPr>
            <w:tcW w:w="9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51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应急</w:t>
            </w:r>
          </w:p>
        </w:tc>
      </w:tr>
      <w:tr>
        <w:tblPrEx>
          <w:tblLayout w:type="fixed"/>
          <w:tblCellMar>
            <w:top w:w="15" w:type="dxa"/>
            <w:left w:w="15" w:type="dxa"/>
            <w:bottom w:w="15" w:type="dxa"/>
            <w:right w:w="15" w:type="dxa"/>
          </w:tblCellMar>
        </w:tblPrEx>
        <w:trPr>
          <w:trHeight w:val="285" w:hRule="atLeast"/>
        </w:trPr>
        <w:tc>
          <w:tcPr>
            <w:tcW w:w="4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0"/>
                <w:szCs w:val="20"/>
                <w:lang w:val="en-US" w:eastAsia="zh-CN"/>
              </w:rPr>
            </w:pPr>
            <w:r>
              <w:rPr>
                <w:rFonts w:hint="eastAsia" w:ascii="宋体" w:hAnsi="宋体" w:cs="宋体"/>
                <w:sz w:val="20"/>
                <w:szCs w:val="20"/>
                <w:lang w:val="en-US" w:eastAsia="zh-CN"/>
              </w:rPr>
              <w:t>28</w:t>
            </w:r>
          </w:p>
        </w:tc>
        <w:tc>
          <w:tcPr>
            <w:tcW w:w="13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隘口园及石门路南侧绿地</w:t>
            </w:r>
          </w:p>
        </w:tc>
        <w:tc>
          <w:tcPr>
            <w:tcW w:w="9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318</w:t>
            </w:r>
          </w:p>
        </w:tc>
        <w:tc>
          <w:tcPr>
            <w:tcW w:w="7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25</w:t>
            </w:r>
          </w:p>
        </w:tc>
        <w:tc>
          <w:tcPr>
            <w:tcW w:w="67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116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7950</w:t>
            </w:r>
          </w:p>
        </w:tc>
        <w:tc>
          <w:tcPr>
            <w:tcW w:w="99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5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6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7950</w:t>
            </w:r>
          </w:p>
        </w:tc>
        <w:tc>
          <w:tcPr>
            <w:tcW w:w="9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51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应急</w:t>
            </w:r>
          </w:p>
        </w:tc>
      </w:tr>
      <w:tr>
        <w:tblPrEx>
          <w:tblLayout w:type="fixed"/>
          <w:tblCellMar>
            <w:top w:w="15" w:type="dxa"/>
            <w:left w:w="15" w:type="dxa"/>
            <w:bottom w:w="15" w:type="dxa"/>
            <w:right w:w="15" w:type="dxa"/>
          </w:tblCellMar>
        </w:tblPrEx>
        <w:trPr>
          <w:trHeight w:val="285" w:hRule="atLeast"/>
        </w:trPr>
        <w:tc>
          <w:tcPr>
            <w:tcW w:w="4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0"/>
                <w:szCs w:val="20"/>
                <w:lang w:val="en-US" w:eastAsia="zh-CN"/>
              </w:rPr>
            </w:pPr>
            <w:r>
              <w:rPr>
                <w:rFonts w:hint="eastAsia" w:ascii="宋体" w:hAnsi="宋体" w:cs="宋体"/>
                <w:sz w:val="20"/>
                <w:szCs w:val="20"/>
                <w:lang w:val="en-US" w:eastAsia="zh-CN"/>
              </w:rPr>
              <w:t>29</w:t>
            </w:r>
          </w:p>
        </w:tc>
        <w:tc>
          <w:tcPr>
            <w:tcW w:w="13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装司桥南两侧绿地</w:t>
            </w:r>
          </w:p>
        </w:tc>
        <w:tc>
          <w:tcPr>
            <w:tcW w:w="9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45</w:t>
            </w:r>
          </w:p>
        </w:tc>
        <w:tc>
          <w:tcPr>
            <w:tcW w:w="72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67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116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300</w:t>
            </w:r>
          </w:p>
        </w:tc>
        <w:tc>
          <w:tcPr>
            <w:tcW w:w="99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5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6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300</w:t>
            </w:r>
          </w:p>
        </w:tc>
        <w:tc>
          <w:tcPr>
            <w:tcW w:w="9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51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应急</w:t>
            </w:r>
          </w:p>
        </w:tc>
      </w:tr>
      <w:tr>
        <w:tblPrEx>
          <w:tblLayout w:type="fixed"/>
          <w:tblCellMar>
            <w:top w:w="15" w:type="dxa"/>
            <w:left w:w="15" w:type="dxa"/>
            <w:bottom w:w="15" w:type="dxa"/>
            <w:right w:w="15" w:type="dxa"/>
          </w:tblCellMar>
        </w:tblPrEx>
        <w:trPr>
          <w:trHeight w:val="479" w:hRule="atLeast"/>
        </w:trPr>
        <w:tc>
          <w:tcPr>
            <w:tcW w:w="47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0"/>
                <w:szCs w:val="20"/>
                <w:lang w:val="en-US" w:eastAsia="zh-CN"/>
              </w:rPr>
            </w:pPr>
            <w:r>
              <w:rPr>
                <w:rFonts w:hint="eastAsia" w:ascii="宋体" w:hAnsi="宋体" w:cs="宋体"/>
                <w:sz w:val="20"/>
                <w:szCs w:val="20"/>
                <w:lang w:val="en-US" w:eastAsia="zh-CN"/>
              </w:rPr>
              <w:t>30</w:t>
            </w:r>
          </w:p>
        </w:tc>
        <w:tc>
          <w:tcPr>
            <w:tcW w:w="13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0"/>
                <w:szCs w:val="20"/>
                <w:lang w:eastAsia="zh-CN"/>
              </w:rPr>
            </w:pPr>
            <w:r>
              <w:rPr>
                <w:rFonts w:hint="eastAsia" w:ascii="宋体" w:hAnsi="宋体" w:cs="宋体"/>
                <w:sz w:val="20"/>
                <w:szCs w:val="20"/>
                <w:lang w:eastAsia="zh-CN"/>
              </w:rPr>
              <w:t>模式口导行路</w:t>
            </w:r>
          </w:p>
        </w:tc>
        <w:tc>
          <w:tcPr>
            <w:tcW w:w="98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0"/>
                <w:szCs w:val="20"/>
                <w:lang w:val="en-US" w:eastAsia="zh-CN"/>
              </w:rPr>
            </w:pPr>
            <w:r>
              <w:rPr>
                <w:rFonts w:hint="eastAsia" w:ascii="宋体" w:hAnsi="宋体" w:cs="宋体"/>
                <w:sz w:val="20"/>
                <w:szCs w:val="20"/>
                <w:lang w:val="en-US" w:eastAsia="zh-CN"/>
              </w:rPr>
              <w:t>1223.7</w:t>
            </w:r>
          </w:p>
        </w:tc>
        <w:tc>
          <w:tcPr>
            <w:tcW w:w="7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0"/>
                <w:szCs w:val="20"/>
                <w:lang w:val="en-US" w:eastAsia="zh-CN"/>
              </w:rPr>
            </w:pPr>
            <w:r>
              <w:rPr>
                <w:rFonts w:hint="eastAsia" w:ascii="宋体" w:hAnsi="宋体" w:cs="宋体"/>
                <w:sz w:val="20"/>
                <w:szCs w:val="20"/>
                <w:lang w:val="en-US" w:eastAsia="zh-CN"/>
              </w:rPr>
              <w:t>9</w:t>
            </w:r>
          </w:p>
        </w:tc>
        <w:tc>
          <w:tcPr>
            <w:tcW w:w="67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116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sz w:val="20"/>
                <w:szCs w:val="20"/>
                <w:lang w:val="en-US" w:eastAsia="zh-CN"/>
              </w:rPr>
            </w:pPr>
            <w:r>
              <w:rPr>
                <w:rFonts w:hint="eastAsia" w:ascii="宋体" w:hAnsi="宋体" w:cs="宋体"/>
                <w:sz w:val="20"/>
                <w:szCs w:val="20"/>
                <w:lang w:val="en-US" w:eastAsia="zh-CN"/>
              </w:rPr>
              <w:t>11013.3</w:t>
            </w:r>
          </w:p>
        </w:tc>
        <w:tc>
          <w:tcPr>
            <w:tcW w:w="99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sz w:val="20"/>
                <w:szCs w:val="20"/>
                <w:lang w:val="en-US" w:eastAsia="zh-CN"/>
              </w:rPr>
            </w:pPr>
            <w:r>
              <w:rPr>
                <w:rFonts w:hint="eastAsia" w:ascii="宋体" w:hAnsi="宋体" w:cs="宋体"/>
                <w:sz w:val="20"/>
                <w:szCs w:val="20"/>
                <w:lang w:val="en-US" w:eastAsia="zh-CN"/>
              </w:rPr>
              <w:t>11013.3</w:t>
            </w:r>
          </w:p>
        </w:tc>
        <w:tc>
          <w:tcPr>
            <w:tcW w:w="5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6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p>
        </w:tc>
        <w:tc>
          <w:tcPr>
            <w:tcW w:w="9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51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p>
        </w:tc>
      </w:tr>
      <w:tr>
        <w:tblPrEx>
          <w:tblLayout w:type="fixed"/>
          <w:tblCellMar>
            <w:top w:w="15" w:type="dxa"/>
            <w:left w:w="15" w:type="dxa"/>
            <w:bottom w:w="15" w:type="dxa"/>
            <w:right w:w="15" w:type="dxa"/>
          </w:tblCellMar>
        </w:tblPrEx>
        <w:trPr>
          <w:trHeight w:val="285" w:hRule="atLeast"/>
        </w:trPr>
        <w:tc>
          <w:tcPr>
            <w:tcW w:w="47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13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合计</w:t>
            </w:r>
          </w:p>
        </w:tc>
        <w:tc>
          <w:tcPr>
            <w:tcW w:w="98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72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67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116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lang w:bidi="ar"/>
              </w:rPr>
              <w:t>19</w:t>
            </w:r>
            <w:r>
              <w:rPr>
                <w:rFonts w:hint="eastAsia" w:ascii="宋体" w:hAnsi="宋体" w:cs="宋体"/>
                <w:kern w:val="0"/>
                <w:sz w:val="20"/>
                <w:szCs w:val="20"/>
                <w:lang w:val="en-US" w:eastAsia="zh-CN" w:bidi="ar"/>
              </w:rPr>
              <w:t>3699.05</w:t>
            </w:r>
          </w:p>
        </w:tc>
        <w:tc>
          <w:tcPr>
            <w:tcW w:w="99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56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67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95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c>
          <w:tcPr>
            <w:tcW w:w="51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 w:val="20"/>
                <w:szCs w:val="20"/>
              </w:rPr>
            </w:pPr>
          </w:p>
        </w:tc>
      </w:tr>
    </w:tbl>
    <w:p>
      <w:pPr>
        <w:spacing w:line="360" w:lineRule="auto"/>
        <w:jc w:val="left"/>
        <w:rPr>
          <w:rFonts w:ascii="宋体" w:hAnsi="宋体"/>
          <w:b/>
          <w:sz w:val="24"/>
        </w:rPr>
      </w:pPr>
    </w:p>
    <w:p>
      <w:pPr>
        <w:pStyle w:val="3"/>
        <w:ind w:firstLine="0"/>
        <w:jc w:val="center"/>
        <w:rPr>
          <w:rFonts w:hAnsi="宋体"/>
        </w:rPr>
        <w:sectPr>
          <w:footerReference r:id="rId3" w:type="default"/>
          <w:pgSz w:w="11906" w:h="16838"/>
          <w:pgMar w:top="1440" w:right="1701" w:bottom="1361" w:left="1797" w:header="851" w:footer="992" w:gutter="0"/>
          <w:cols w:space="720" w:num="1"/>
          <w:docGrid w:linePitch="312" w:charSpace="0"/>
        </w:sectPr>
      </w:pPr>
    </w:p>
    <w:p>
      <w:pPr>
        <w:pStyle w:val="3"/>
        <w:ind w:firstLine="0"/>
        <w:jc w:val="center"/>
        <w:rPr>
          <w:rFonts w:hAnsi="宋体"/>
        </w:rPr>
      </w:pPr>
    </w:p>
    <w:p>
      <w:pPr>
        <w:spacing w:line="360" w:lineRule="auto"/>
        <w:jc w:val="left"/>
        <w:rPr>
          <w:rFonts w:ascii="宋体" w:hAnsi="宋体"/>
          <w:b/>
          <w:sz w:val="24"/>
        </w:rPr>
      </w:pPr>
      <w:r>
        <w:rPr>
          <w:rFonts w:hint="eastAsia" w:ascii="宋体" w:hAnsi="宋体"/>
          <w:b/>
          <w:sz w:val="24"/>
        </w:rPr>
        <w:t>附件1：</w:t>
      </w:r>
    </w:p>
    <w:p>
      <w:pPr>
        <w:spacing w:line="360" w:lineRule="auto"/>
        <w:jc w:val="center"/>
        <w:rPr>
          <w:rFonts w:ascii="宋体" w:hAnsi="宋体"/>
          <w:b/>
          <w:sz w:val="24"/>
        </w:rPr>
      </w:pPr>
      <w:r>
        <w:rPr>
          <w:rFonts w:hint="eastAsia" w:ascii="宋体" w:hAnsi="宋体"/>
          <w:b/>
          <w:sz w:val="24"/>
        </w:rPr>
        <w:t>北京市城市环境卫生质量标准</w:t>
      </w:r>
    </w:p>
    <w:p>
      <w:pPr>
        <w:spacing w:line="360" w:lineRule="auto"/>
        <w:ind w:firstLine="480" w:firstLineChars="200"/>
        <w:rPr>
          <w:rFonts w:ascii="宋体" w:hAnsi="宋体"/>
          <w:sz w:val="24"/>
        </w:rPr>
      </w:pPr>
      <w:r>
        <w:rPr>
          <w:rFonts w:hint="eastAsia" w:ascii="宋体" w:hAnsi="宋体"/>
          <w:sz w:val="24"/>
        </w:rPr>
        <w:t>第一条　为加强本市环境卫生服务管理，提高城市环境卫生质量，根据《北京市市容环境卫生条例》第十六条规定，制定本标准。</w:t>
      </w:r>
    </w:p>
    <w:p>
      <w:pPr>
        <w:spacing w:line="360" w:lineRule="auto"/>
        <w:ind w:firstLine="200"/>
        <w:rPr>
          <w:rFonts w:ascii="宋体" w:hAnsi="宋体"/>
          <w:sz w:val="24"/>
        </w:rPr>
      </w:pPr>
      <w:r>
        <w:rPr>
          <w:rFonts w:hint="eastAsia" w:ascii="宋体" w:hAnsi="宋体"/>
          <w:sz w:val="24"/>
        </w:rPr>
        <w:t>　第二条　本标准所称城市道路包括车行道、人行道、立体交叉桥、人行天桥、人行地下通道及其附属设施。</w:t>
      </w:r>
    </w:p>
    <w:p>
      <w:pPr>
        <w:spacing w:line="360" w:lineRule="auto"/>
        <w:ind w:firstLine="200"/>
        <w:rPr>
          <w:rFonts w:ascii="宋体" w:hAnsi="宋体"/>
          <w:sz w:val="24"/>
        </w:rPr>
      </w:pPr>
      <w:r>
        <w:rPr>
          <w:rFonts w:hint="eastAsia" w:ascii="宋体" w:hAnsi="宋体"/>
          <w:sz w:val="24"/>
        </w:rPr>
        <w:t>　本标准所称公共场所是指公共广场、公共绿地、公园、风景游览区、飞机场、火车站、公共电汽车（含长途客运汽车）首末站、地下铁路的车站、公路、铁路沿线、河湖水面、停车场、集贸市场、展览场馆、文化娱乐场馆、体育馆等。</w:t>
      </w:r>
    </w:p>
    <w:p>
      <w:pPr>
        <w:spacing w:line="360" w:lineRule="auto"/>
        <w:ind w:firstLine="200"/>
        <w:rPr>
          <w:rFonts w:ascii="宋体" w:hAnsi="宋体"/>
          <w:sz w:val="24"/>
        </w:rPr>
      </w:pPr>
      <w:r>
        <w:rPr>
          <w:rFonts w:hint="eastAsia" w:ascii="宋体" w:hAnsi="宋体"/>
          <w:sz w:val="24"/>
        </w:rPr>
        <w:t>　第三条　城市道路保洁应符合建设部《城市环境卫生质量标准》规定的一、二、三、四级等级划分条件（见附件1、2）。</w:t>
      </w:r>
    </w:p>
    <w:p>
      <w:pPr>
        <w:spacing w:line="360" w:lineRule="auto"/>
        <w:ind w:firstLine="200"/>
        <w:rPr>
          <w:rFonts w:ascii="宋体" w:hAnsi="宋体"/>
          <w:sz w:val="24"/>
        </w:rPr>
      </w:pPr>
      <w:r>
        <w:rPr>
          <w:rFonts w:hint="eastAsia" w:ascii="宋体" w:hAnsi="宋体"/>
          <w:sz w:val="24"/>
        </w:rPr>
        <w:t>　第四条　城市道路和公共场所的清扫保洁，实行夜间清扫白天保洁。清扫工作应在每日早晨六时半（冬季为七时半）前完成。</w:t>
      </w:r>
    </w:p>
    <w:p>
      <w:pPr>
        <w:spacing w:line="360" w:lineRule="auto"/>
        <w:ind w:firstLine="200"/>
        <w:rPr>
          <w:rFonts w:ascii="宋体" w:hAnsi="宋体"/>
          <w:sz w:val="24"/>
        </w:rPr>
      </w:pPr>
      <w:r>
        <w:rPr>
          <w:rFonts w:hint="eastAsia" w:ascii="宋体" w:hAnsi="宋体"/>
          <w:sz w:val="24"/>
        </w:rPr>
        <w:t>　一、二、三级道路和公共场所应随时保洁，四级道路应定时保洁。</w:t>
      </w:r>
    </w:p>
    <w:p>
      <w:pPr>
        <w:spacing w:line="360" w:lineRule="auto"/>
        <w:ind w:firstLine="200"/>
        <w:rPr>
          <w:rFonts w:ascii="宋体" w:hAnsi="宋体"/>
          <w:sz w:val="24"/>
        </w:rPr>
      </w:pPr>
      <w:r>
        <w:rPr>
          <w:rFonts w:hint="eastAsia" w:ascii="宋体" w:hAnsi="宋体"/>
          <w:sz w:val="24"/>
        </w:rPr>
        <w:t>　第五条　一、二级道路和公共场所的路面、路牙、便道、巷口、隔离墩（棚）无浮土，无垃圾、渣土，无烟头、纸屑、瓜果皮核、痰迹（每100平方米不得超过2处），无砖头石块等杂物（每100平方米不得超过１处），绿地无污物杂物（每100平方米不得超过１处），树坑、雨水口无污物。</w:t>
      </w:r>
    </w:p>
    <w:p>
      <w:pPr>
        <w:spacing w:line="360" w:lineRule="auto"/>
        <w:ind w:firstLine="200"/>
        <w:rPr>
          <w:rFonts w:ascii="宋体" w:hAnsi="宋体"/>
          <w:sz w:val="24"/>
        </w:rPr>
      </w:pPr>
      <w:r>
        <w:rPr>
          <w:rFonts w:hint="eastAsia" w:ascii="宋体" w:hAnsi="宋体"/>
          <w:sz w:val="24"/>
        </w:rPr>
        <w:t>　三级道路的路面、路牙、便道、巷口基本无浮土，无垃圾、渣土，无烟头、纸屑、瓜果皮核、痰迹（每100平方米不得超过2处），无砖头石块等杂物（每100平方米不得超过１块），绿地无污物杂物（每100平方米不得超过2处），树坑、雨水口、边沟无污物。</w:t>
      </w:r>
    </w:p>
    <w:p>
      <w:pPr>
        <w:spacing w:line="360" w:lineRule="auto"/>
        <w:ind w:firstLine="200"/>
        <w:rPr>
          <w:rFonts w:ascii="宋体" w:hAnsi="宋体"/>
          <w:sz w:val="24"/>
        </w:rPr>
      </w:pPr>
      <w:r>
        <w:rPr>
          <w:rFonts w:hint="eastAsia" w:ascii="宋体" w:hAnsi="宋体"/>
          <w:sz w:val="24"/>
        </w:rPr>
        <w:t>　四级道路的路面、便道、树坑、雨水口、边沟无暴露的垃圾渣土，无泥沙灰土，基本无烟头、纸屑、瓜果皮核、痰迹（每100平方米不得超过3处），无砖头石块等杂物（每100平方米不得超过2块），绿地无杂物（每100平方米不得超过３处）。</w:t>
      </w:r>
    </w:p>
    <w:p>
      <w:pPr>
        <w:spacing w:line="360" w:lineRule="auto"/>
        <w:ind w:firstLine="200"/>
        <w:rPr>
          <w:rFonts w:ascii="宋体" w:hAnsi="宋体"/>
          <w:sz w:val="24"/>
        </w:rPr>
      </w:pPr>
      <w:r>
        <w:rPr>
          <w:rFonts w:hint="eastAsia" w:ascii="宋体" w:hAnsi="宋体"/>
          <w:sz w:val="24"/>
        </w:rPr>
        <w:t>　第六条　清扫的垃圾应及时运走，做到垃圾不露天堆放在道路两侧或公共场所周围，不扫入或倾倒到雨水口、绿地内，不焚烧。</w:t>
      </w:r>
    </w:p>
    <w:p>
      <w:pPr>
        <w:spacing w:line="360" w:lineRule="auto"/>
        <w:ind w:firstLine="200"/>
        <w:rPr>
          <w:rFonts w:ascii="宋体" w:hAnsi="宋体"/>
          <w:sz w:val="24"/>
        </w:rPr>
      </w:pPr>
      <w:r>
        <w:rPr>
          <w:rFonts w:hint="eastAsia" w:ascii="宋体" w:hAnsi="宋体"/>
          <w:sz w:val="24"/>
        </w:rPr>
        <w:t>　第七条　一、二级道路实行机械清扫（机械清扫不到的地方由人工配合）。清扫作业做到喷雾清扫不扬尘，不漏土。</w:t>
      </w:r>
    </w:p>
    <w:p>
      <w:pPr>
        <w:spacing w:line="360" w:lineRule="auto"/>
        <w:ind w:firstLine="200"/>
        <w:rPr>
          <w:rFonts w:ascii="宋体" w:hAnsi="宋体"/>
          <w:sz w:val="24"/>
        </w:rPr>
      </w:pPr>
      <w:r>
        <w:rPr>
          <w:rFonts w:hint="eastAsia" w:ascii="宋体" w:hAnsi="宋体"/>
          <w:sz w:val="24"/>
        </w:rPr>
        <w:t>　第八条　一、二级道路冲刷作业期为每年4月10日至10月25日，每日夜间11时开始，次日早４时前完成。</w:t>
      </w:r>
    </w:p>
    <w:p>
      <w:pPr>
        <w:spacing w:line="360" w:lineRule="auto"/>
        <w:ind w:firstLine="200"/>
        <w:rPr>
          <w:rFonts w:ascii="宋体" w:hAnsi="宋体"/>
          <w:sz w:val="24"/>
        </w:rPr>
      </w:pPr>
      <w:r>
        <w:rPr>
          <w:rFonts w:hint="eastAsia" w:ascii="宋体" w:hAnsi="宋体"/>
          <w:sz w:val="24"/>
        </w:rPr>
        <w:t>　冲刷时应压好茬、冲刷路面时距路牙不超过50公分，冲刷后应及时人工轰水，做到路面、路牙、路口、隔离墩（棚）、岗台和安全岛周围无泥沙和积水。</w:t>
      </w:r>
    </w:p>
    <w:p>
      <w:pPr>
        <w:spacing w:line="360" w:lineRule="auto"/>
        <w:ind w:firstLine="200"/>
        <w:rPr>
          <w:rFonts w:ascii="宋体" w:hAnsi="宋体"/>
          <w:sz w:val="24"/>
        </w:rPr>
      </w:pPr>
      <w:r>
        <w:rPr>
          <w:rFonts w:hint="eastAsia" w:ascii="宋体" w:hAnsi="宋体"/>
          <w:sz w:val="24"/>
        </w:rPr>
        <w:t>　一、二级道路范围内的人行地下道应全天保洁，定时擦洗。</w:t>
      </w:r>
    </w:p>
    <w:p>
      <w:pPr>
        <w:spacing w:line="360" w:lineRule="auto"/>
        <w:ind w:firstLine="200"/>
        <w:rPr>
          <w:rFonts w:ascii="宋体" w:hAnsi="宋体"/>
          <w:sz w:val="24"/>
        </w:rPr>
      </w:pPr>
      <w:r>
        <w:rPr>
          <w:rFonts w:hint="eastAsia" w:ascii="宋体" w:hAnsi="宋体"/>
          <w:sz w:val="24"/>
        </w:rPr>
        <w:t>　第九条　降雪后，各单位应即自带工具，按照街道办事处或乡、镇人民政府划分的责任地段扫雪铲冰。昼间降雪的，应随时清扫；夜间降雪的，应在上午10时前清扫干净。</w:t>
      </w:r>
    </w:p>
    <w:p>
      <w:pPr>
        <w:spacing w:line="360" w:lineRule="auto"/>
        <w:ind w:firstLine="200"/>
        <w:rPr>
          <w:rFonts w:ascii="宋体" w:hAnsi="宋体"/>
          <w:sz w:val="24"/>
        </w:rPr>
      </w:pPr>
      <w:r>
        <w:rPr>
          <w:rFonts w:hint="eastAsia" w:ascii="宋体" w:hAnsi="宋体"/>
          <w:sz w:val="24"/>
        </w:rPr>
        <w:t>　环境卫生专业队对市人民政府划定的城市主要道路和立交桥，应按照先立交桥后主要道路的顺序洒盐水溶雪，盐水浓度不低于12℃。</w:t>
      </w:r>
    </w:p>
    <w:p>
      <w:pPr>
        <w:spacing w:line="360" w:lineRule="auto"/>
        <w:ind w:firstLine="200"/>
        <w:rPr>
          <w:rFonts w:ascii="宋体" w:hAnsi="宋体"/>
          <w:sz w:val="24"/>
        </w:rPr>
      </w:pPr>
      <w:r>
        <w:rPr>
          <w:rFonts w:hint="eastAsia" w:ascii="宋体" w:hAnsi="宋体"/>
          <w:sz w:val="24"/>
        </w:rPr>
        <w:t>　第十条　扫雪铲冰后，应做到路面无积雪，无结冰，露出路面。</w:t>
      </w:r>
    </w:p>
    <w:p>
      <w:pPr>
        <w:spacing w:line="360" w:lineRule="auto"/>
        <w:ind w:firstLine="200"/>
        <w:rPr>
          <w:rFonts w:ascii="宋体" w:hAnsi="宋体"/>
          <w:sz w:val="24"/>
        </w:rPr>
      </w:pPr>
      <w:r>
        <w:rPr>
          <w:rFonts w:hint="eastAsia" w:ascii="宋体" w:hAnsi="宋体"/>
          <w:sz w:val="24"/>
        </w:rPr>
        <w:t>　清除的冰雪，整齐堆放在不妨碍交通的向阳处；洒过盐水的冰雪，不得堆放在树坑和绿地内。</w:t>
      </w:r>
    </w:p>
    <w:p>
      <w:pPr>
        <w:spacing w:line="360" w:lineRule="auto"/>
        <w:ind w:firstLine="200"/>
        <w:rPr>
          <w:rFonts w:ascii="宋体" w:hAnsi="宋体"/>
          <w:sz w:val="24"/>
        </w:rPr>
      </w:pPr>
      <w:r>
        <w:rPr>
          <w:rFonts w:hint="eastAsia" w:ascii="宋体" w:hAnsi="宋体"/>
          <w:sz w:val="24"/>
        </w:rPr>
        <w:t>　第十一条　各单位应根据市容环境卫生部门的要求合理设置果皮箱、垃圾桶（箱），果皮箱、垃圾桶（箱）应做到周围整洁，及时清理，每周洗刷一次，每年油饰两次桶（箱）体。</w:t>
      </w:r>
    </w:p>
    <w:p>
      <w:pPr>
        <w:spacing w:line="360" w:lineRule="auto"/>
        <w:ind w:firstLine="200"/>
        <w:rPr>
          <w:rFonts w:ascii="宋体" w:hAnsi="宋体"/>
          <w:sz w:val="24"/>
        </w:rPr>
      </w:pPr>
      <w:r>
        <w:rPr>
          <w:rFonts w:hint="eastAsia" w:ascii="宋体" w:hAnsi="宋体"/>
          <w:sz w:val="24"/>
        </w:rPr>
        <w:t>　第十二条　垃圾收集装置应当便于使用和清运，不妨碍交通，不影响市容。设置的垃圾桶平时不超过15个，高产期间不超过20个。</w:t>
      </w:r>
    </w:p>
    <w:p>
      <w:pPr>
        <w:spacing w:line="360" w:lineRule="auto"/>
        <w:ind w:firstLine="200"/>
        <w:rPr>
          <w:rFonts w:ascii="宋体" w:hAnsi="宋体"/>
          <w:sz w:val="24"/>
        </w:rPr>
      </w:pPr>
      <w:r>
        <w:rPr>
          <w:rFonts w:hint="eastAsia" w:ascii="宋体" w:hAnsi="宋体"/>
          <w:sz w:val="24"/>
        </w:rPr>
        <w:t>　每年４月10日至10月20日期间，每日对垃圾收集站点进行打药灭蝇，杜绝苍蝇孳生。</w:t>
      </w:r>
    </w:p>
    <w:p>
      <w:pPr>
        <w:spacing w:line="360" w:lineRule="auto"/>
        <w:ind w:firstLine="200"/>
        <w:rPr>
          <w:rFonts w:ascii="宋体" w:hAnsi="宋体"/>
          <w:sz w:val="24"/>
        </w:rPr>
      </w:pPr>
      <w:r>
        <w:rPr>
          <w:rFonts w:hint="eastAsia" w:ascii="宋体" w:hAnsi="宋体"/>
          <w:sz w:val="24"/>
        </w:rPr>
        <w:t>　第十三条　密闭式清洁站周围环境应保持清洁，做到无暴露垃圾，箱槽、墙体、地面清洁无污物，基本无蝇。</w:t>
      </w:r>
    </w:p>
    <w:p>
      <w:pPr>
        <w:spacing w:line="360" w:lineRule="auto"/>
        <w:ind w:firstLine="200"/>
        <w:rPr>
          <w:rFonts w:ascii="宋体" w:hAnsi="宋体"/>
          <w:sz w:val="24"/>
        </w:rPr>
      </w:pPr>
      <w:r>
        <w:rPr>
          <w:rFonts w:hint="eastAsia" w:ascii="宋体" w:hAnsi="宋体"/>
          <w:sz w:val="24"/>
        </w:rPr>
        <w:t>　第十四条　居住区垃圾间应整洁，无散落垃圾和积留污水，基本无蝇。</w:t>
      </w:r>
    </w:p>
    <w:p>
      <w:pPr>
        <w:spacing w:line="360" w:lineRule="auto"/>
        <w:ind w:firstLine="200"/>
        <w:rPr>
          <w:rFonts w:ascii="宋体" w:hAnsi="宋体"/>
          <w:sz w:val="24"/>
        </w:rPr>
      </w:pPr>
      <w:r>
        <w:rPr>
          <w:rFonts w:hint="eastAsia" w:ascii="宋体" w:hAnsi="宋体"/>
          <w:sz w:val="24"/>
        </w:rPr>
        <w:t>　第十五条　一切单位和个人都应按照市容环境卫生部门规定的时间将生活垃圾倒入垃圾收集容器内；实行分类、袋装的地区，应将垃圾分类、袋装封闭后，定时投入容器内放置于指定的收集点。</w:t>
      </w:r>
    </w:p>
    <w:p>
      <w:pPr>
        <w:spacing w:line="360" w:lineRule="auto"/>
        <w:ind w:firstLine="200"/>
        <w:rPr>
          <w:rFonts w:ascii="宋体" w:hAnsi="宋体"/>
          <w:sz w:val="24"/>
        </w:rPr>
      </w:pPr>
      <w:r>
        <w:rPr>
          <w:rFonts w:hint="eastAsia" w:ascii="宋体" w:hAnsi="宋体"/>
          <w:sz w:val="24"/>
        </w:rPr>
        <w:t>　第十六条　大件垃圾的收集应设专门的收集站，每月定期收集清运。</w:t>
      </w:r>
    </w:p>
    <w:p>
      <w:pPr>
        <w:spacing w:line="360" w:lineRule="auto"/>
        <w:ind w:firstLine="200"/>
        <w:rPr>
          <w:rFonts w:ascii="宋体" w:hAnsi="宋体"/>
          <w:sz w:val="24"/>
        </w:rPr>
      </w:pPr>
      <w:r>
        <w:rPr>
          <w:rFonts w:hint="eastAsia" w:ascii="宋体" w:hAnsi="宋体"/>
          <w:sz w:val="24"/>
        </w:rPr>
        <w:t>　第十七条　垃圾清运做到定人、定车，包段负责，按日清运，车走站净，运到指定的垃圾消纳场所。</w:t>
      </w:r>
    </w:p>
    <w:p>
      <w:pPr>
        <w:spacing w:line="360" w:lineRule="auto"/>
        <w:ind w:firstLine="200"/>
        <w:rPr>
          <w:rFonts w:ascii="宋体" w:hAnsi="宋体"/>
          <w:sz w:val="24"/>
        </w:rPr>
      </w:pPr>
      <w:r>
        <w:rPr>
          <w:rFonts w:hint="eastAsia" w:ascii="宋体" w:hAnsi="宋体"/>
          <w:sz w:val="24"/>
        </w:rPr>
        <w:t>　第十八条　洒水车辆，垃圾、粪便清运车辆及设备，应做到车容貌整洁，车辆每日回场应冲洗干净，粪便车辆应定期清除罐内淤渣。各种设备齐全、安全有效，无失修。运输过程中做到密闭运输，不暴露、不遗撒。</w:t>
      </w:r>
    </w:p>
    <w:p>
      <w:pPr>
        <w:spacing w:line="360" w:lineRule="auto"/>
        <w:ind w:firstLine="200"/>
        <w:rPr>
          <w:rFonts w:ascii="宋体" w:hAnsi="宋体"/>
          <w:sz w:val="24"/>
        </w:rPr>
      </w:pPr>
      <w:r>
        <w:rPr>
          <w:rFonts w:hint="eastAsia" w:ascii="宋体" w:hAnsi="宋体"/>
          <w:sz w:val="24"/>
        </w:rPr>
        <w:t>　第十九条　垃圾收运的单位，应按指定的转运站和处理场消纳垃圾。</w:t>
      </w:r>
    </w:p>
    <w:p>
      <w:pPr>
        <w:spacing w:line="360" w:lineRule="auto"/>
        <w:ind w:firstLine="200"/>
        <w:rPr>
          <w:rFonts w:ascii="宋体" w:hAnsi="宋体"/>
          <w:sz w:val="24"/>
        </w:rPr>
      </w:pPr>
      <w:r>
        <w:rPr>
          <w:rFonts w:hint="eastAsia" w:ascii="宋体" w:hAnsi="宋体"/>
          <w:sz w:val="24"/>
        </w:rPr>
        <w:t>　每年4月10日至10月25日期间，垃圾转运站和处理场，每日进行打药灭蝇，减少苍蝇孳生聚集，做到环境整洁，室内基本无蝇。</w:t>
      </w:r>
    </w:p>
    <w:p>
      <w:pPr>
        <w:spacing w:line="360" w:lineRule="auto"/>
        <w:ind w:firstLine="200"/>
        <w:rPr>
          <w:rFonts w:ascii="宋体" w:hAnsi="宋体"/>
          <w:sz w:val="24"/>
        </w:rPr>
      </w:pPr>
      <w:r>
        <w:rPr>
          <w:rFonts w:hint="eastAsia" w:ascii="宋体" w:hAnsi="宋体"/>
          <w:sz w:val="24"/>
        </w:rPr>
        <w:t>　第二十条　公共厕所保洁实行专人责任制，实现保洁管理规范化、制度化。</w:t>
      </w:r>
    </w:p>
    <w:p>
      <w:pPr>
        <w:spacing w:line="360" w:lineRule="auto"/>
        <w:ind w:firstLine="200"/>
        <w:rPr>
          <w:rFonts w:ascii="宋体" w:hAnsi="宋体"/>
          <w:sz w:val="24"/>
        </w:rPr>
      </w:pPr>
      <w:r>
        <w:rPr>
          <w:rFonts w:hint="eastAsia" w:ascii="宋体" w:hAnsi="宋体"/>
          <w:sz w:val="24"/>
        </w:rPr>
        <w:t>　三类以上的公共厕所保洁做到“十洁”、“六无”。“十洁”即：顶棚墙壁洁、门窗纱洁、地面蹲台洁、沟槽便坑洁、尿池洁、隔断板门洁、镜面、洗手盆、墩布池洁、干手器、挂衣钩洁，标牌灯具洁和厕所外部环境洁。“六无”即：无乱写乱画、无蚊蝇、无臭味、无尿碱污物、无暴露保洁工具和便纸，厕内外地面无积尿、积水、结冰。</w:t>
      </w:r>
    </w:p>
    <w:p>
      <w:pPr>
        <w:spacing w:line="360" w:lineRule="auto"/>
        <w:ind w:firstLine="200"/>
        <w:rPr>
          <w:rFonts w:ascii="宋体" w:hAnsi="宋体"/>
          <w:sz w:val="24"/>
        </w:rPr>
      </w:pPr>
      <w:r>
        <w:rPr>
          <w:rFonts w:hint="eastAsia" w:ascii="宋体" w:hAnsi="宋体"/>
          <w:sz w:val="24"/>
        </w:rPr>
        <w:t>　第二十一条　一、二类公共厕所，实行全天保洁，随脏随保洁；一、二级道路的三、四类公厕和三级道路的三类公厕，实行四冲四扫；三级道路的四类公厕和四级道路的三、四类公厕，实行两冲两扫。</w:t>
      </w:r>
    </w:p>
    <w:p>
      <w:pPr>
        <w:spacing w:line="360" w:lineRule="auto"/>
        <w:ind w:firstLine="200"/>
        <w:rPr>
          <w:rFonts w:ascii="宋体" w:hAnsi="宋体"/>
          <w:sz w:val="24"/>
        </w:rPr>
      </w:pPr>
      <w:r>
        <w:rPr>
          <w:rFonts w:hint="eastAsia" w:ascii="宋体" w:hAnsi="宋体"/>
          <w:sz w:val="24"/>
        </w:rPr>
        <w:t>　第二十二条　街道厕所，实行一冲两扫，做到地面蹲台整洁无污物，墙壁清洁无污迹，便坑、便池无粪迹、尿碱和其它污物，基本无蚊蝇。</w:t>
      </w:r>
    </w:p>
    <w:p>
      <w:pPr>
        <w:spacing w:line="360" w:lineRule="auto"/>
        <w:ind w:firstLine="200"/>
        <w:rPr>
          <w:rFonts w:ascii="宋体" w:hAnsi="宋体"/>
          <w:sz w:val="24"/>
        </w:rPr>
      </w:pPr>
      <w:r>
        <w:rPr>
          <w:rFonts w:hint="eastAsia" w:ascii="宋体" w:hAnsi="宋体"/>
          <w:sz w:val="24"/>
        </w:rPr>
        <w:t>　第二十三条　一、二类公共厕所和一、二级道路的三类公共厕所按照《北京市公共厕所建设类别标准》的要求，做到设备齐全，完整，有效。</w:t>
      </w:r>
    </w:p>
    <w:p>
      <w:pPr>
        <w:spacing w:line="360" w:lineRule="auto"/>
        <w:ind w:firstLine="200"/>
        <w:rPr>
          <w:rFonts w:ascii="宋体" w:hAnsi="宋体"/>
          <w:sz w:val="24"/>
        </w:rPr>
      </w:pPr>
      <w:r>
        <w:rPr>
          <w:rFonts w:hint="eastAsia" w:ascii="宋体" w:hAnsi="宋体"/>
          <w:sz w:val="24"/>
        </w:rPr>
        <w:t>　第二十四条　三级道路的公共厕所和街道厕所做到门窗纱齐全，无破损，建筑结构安全、卫生设施基本完好有效，水电路和照明正常完好。</w:t>
      </w:r>
    </w:p>
    <w:p>
      <w:pPr>
        <w:spacing w:line="360" w:lineRule="auto"/>
        <w:ind w:firstLine="200"/>
        <w:rPr>
          <w:rFonts w:ascii="宋体" w:hAnsi="宋体"/>
          <w:sz w:val="24"/>
        </w:rPr>
      </w:pPr>
      <w:r>
        <w:rPr>
          <w:rFonts w:hint="eastAsia" w:ascii="宋体" w:hAnsi="宋体"/>
          <w:sz w:val="24"/>
        </w:rPr>
        <w:t>　第二十五条　移运式厕所应符合市环境卫生管理局规定的二类以上建设标准和保洁标准，做到设施齐全，完整有效。</w:t>
      </w:r>
    </w:p>
    <w:p>
      <w:pPr>
        <w:spacing w:line="360" w:lineRule="auto"/>
        <w:ind w:firstLine="200"/>
        <w:rPr>
          <w:rFonts w:ascii="宋体" w:hAnsi="宋体"/>
          <w:sz w:val="24"/>
        </w:rPr>
      </w:pPr>
      <w:r>
        <w:rPr>
          <w:rFonts w:hint="eastAsia" w:ascii="宋体" w:hAnsi="宋体"/>
          <w:sz w:val="24"/>
        </w:rPr>
        <w:t>　第二十六条　粪便清运实行定人、定车，包段负责。做到清运及时，粪井不满不冒，厕所沟槽不积粪。抽粪车抽粪后应盖好井盖，将粪井周围清扫干净，无污物粪迹。</w:t>
      </w:r>
    </w:p>
    <w:p>
      <w:pPr>
        <w:widowControl/>
        <w:spacing w:line="360" w:lineRule="auto"/>
        <w:rPr>
          <w:rFonts w:ascii="宋体" w:hAnsi="宋体"/>
          <w:b/>
          <w:kern w:val="44"/>
          <w:sz w:val="24"/>
        </w:rPr>
      </w:pPr>
    </w:p>
    <w:p>
      <w:pPr>
        <w:widowControl/>
        <w:spacing w:line="360" w:lineRule="auto"/>
        <w:rPr>
          <w:rFonts w:ascii="宋体" w:hAnsi="宋体"/>
          <w:b/>
          <w:kern w:val="44"/>
          <w:sz w:val="24"/>
        </w:rPr>
      </w:pPr>
    </w:p>
    <w:p>
      <w:pPr>
        <w:widowControl/>
        <w:spacing w:line="360" w:lineRule="auto"/>
        <w:rPr>
          <w:rFonts w:ascii="宋体" w:hAnsi="宋体"/>
          <w:b/>
          <w:kern w:val="44"/>
          <w:sz w:val="24"/>
        </w:rPr>
      </w:pPr>
    </w:p>
    <w:p>
      <w:pPr>
        <w:widowControl/>
        <w:spacing w:line="360" w:lineRule="auto"/>
        <w:rPr>
          <w:rFonts w:ascii="宋体" w:hAnsi="宋体"/>
          <w:b/>
          <w:kern w:val="44"/>
          <w:sz w:val="24"/>
        </w:rPr>
      </w:pPr>
    </w:p>
    <w:p>
      <w:pPr>
        <w:widowControl/>
        <w:spacing w:line="360" w:lineRule="auto"/>
        <w:rPr>
          <w:rFonts w:ascii="宋体" w:hAnsi="宋体"/>
          <w:b/>
          <w:kern w:val="44"/>
          <w:sz w:val="24"/>
        </w:rPr>
      </w:pPr>
      <w:r>
        <w:rPr>
          <w:rFonts w:hint="eastAsia" w:ascii="宋体" w:hAnsi="宋体"/>
          <w:b/>
          <w:kern w:val="44"/>
          <w:sz w:val="24"/>
        </w:rPr>
        <w:t>附件2：</w:t>
      </w:r>
    </w:p>
    <w:p>
      <w:pPr>
        <w:widowControl/>
        <w:tabs>
          <w:tab w:val="left" w:pos="5245"/>
        </w:tabs>
        <w:spacing w:line="360" w:lineRule="auto"/>
        <w:rPr>
          <w:rFonts w:ascii="宋体" w:hAnsi="宋体"/>
          <w:bCs/>
          <w:kern w:val="44"/>
          <w:sz w:val="24"/>
        </w:rPr>
      </w:pPr>
      <w:r>
        <w:rPr>
          <w:rFonts w:hint="eastAsia" w:ascii="宋体" w:hAnsi="宋体"/>
          <w:bCs/>
          <w:kern w:val="44"/>
          <w:sz w:val="24"/>
        </w:rPr>
        <w:drawing>
          <wp:inline distT="0" distB="0" distL="0" distR="0">
            <wp:extent cx="5337810" cy="7559675"/>
            <wp:effectExtent l="0" t="0" r="0" b="3175"/>
            <wp:docPr id="1" name="图片 1" descr="56c89a10c6f3b4cfba460d29e3139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6c89a10c6f3b4cfba460d29e31397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337810" cy="7559675"/>
                    </a:xfrm>
                    <a:prstGeom prst="rect">
                      <a:avLst/>
                    </a:prstGeom>
                    <a:noFill/>
                    <a:ln>
                      <a:noFill/>
                    </a:ln>
                  </pic:spPr>
                </pic:pic>
              </a:graphicData>
            </a:graphic>
          </wp:inline>
        </w:drawing>
      </w:r>
    </w:p>
    <w:p>
      <w:pPr>
        <w:widowControl/>
        <w:tabs>
          <w:tab w:val="left" w:pos="5245"/>
        </w:tabs>
        <w:spacing w:line="360" w:lineRule="auto"/>
        <w:rPr>
          <w:rFonts w:ascii="宋体" w:hAnsi="宋体"/>
          <w:bCs/>
          <w:kern w:val="44"/>
          <w:sz w:val="24"/>
        </w:rPr>
      </w:pPr>
      <w:r>
        <w:rPr>
          <w:rFonts w:ascii="宋体" w:hAnsi="宋体"/>
          <w:bCs/>
          <w:kern w:val="44"/>
          <w:sz w:val="24"/>
        </w:rPr>
        <w:drawing>
          <wp:inline distT="0" distB="0" distL="0" distR="0">
            <wp:extent cx="5528945" cy="7559675"/>
            <wp:effectExtent l="0" t="0" r="0" b="3175"/>
            <wp:docPr id="2" name="图片 2" descr="936f2b65669e43dc50d7694540d1a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36f2b65669e43dc50d7694540d1a8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528945" cy="7559675"/>
                    </a:xfrm>
                    <a:prstGeom prst="rect">
                      <a:avLst/>
                    </a:prstGeom>
                    <a:noFill/>
                    <a:ln>
                      <a:noFill/>
                    </a:ln>
                  </pic:spPr>
                </pic:pic>
              </a:graphicData>
            </a:graphic>
          </wp:inline>
        </w:drawing>
      </w:r>
    </w:p>
    <w:p>
      <w:pPr>
        <w:widowControl/>
        <w:tabs>
          <w:tab w:val="left" w:pos="5245"/>
        </w:tabs>
        <w:spacing w:line="360" w:lineRule="auto"/>
        <w:rPr>
          <w:rFonts w:ascii="宋体" w:hAnsi="宋体"/>
          <w:bCs/>
          <w:kern w:val="44"/>
          <w:sz w:val="24"/>
        </w:rPr>
      </w:pPr>
      <w:r>
        <w:rPr>
          <w:rFonts w:ascii="宋体" w:hAnsi="宋体"/>
          <w:bCs/>
          <w:kern w:val="44"/>
          <w:sz w:val="24"/>
        </w:rPr>
        <w:drawing>
          <wp:inline distT="0" distB="0" distL="0" distR="0">
            <wp:extent cx="5507355" cy="7846695"/>
            <wp:effectExtent l="0" t="0" r="0" b="1905"/>
            <wp:docPr id="3" name="图片 3" descr="4a8bcc1a1c3e8b2e4306bfbe5b8d1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a8bcc1a1c3e8b2e4306bfbe5b8d1a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507355" cy="7846695"/>
                    </a:xfrm>
                    <a:prstGeom prst="rect">
                      <a:avLst/>
                    </a:prstGeom>
                    <a:noFill/>
                    <a:ln>
                      <a:noFill/>
                    </a:ln>
                  </pic:spPr>
                </pic:pic>
              </a:graphicData>
            </a:graphic>
          </wp:inline>
        </w:drawing>
      </w:r>
    </w:p>
    <w:p>
      <w:pPr>
        <w:widowControl/>
        <w:tabs>
          <w:tab w:val="left" w:pos="5245"/>
        </w:tabs>
        <w:spacing w:line="360" w:lineRule="auto"/>
        <w:rPr>
          <w:rFonts w:ascii="宋体" w:hAnsi="宋体"/>
          <w:bCs/>
          <w:kern w:val="44"/>
          <w:sz w:val="24"/>
        </w:rPr>
      </w:pPr>
      <w:r>
        <w:rPr>
          <w:rFonts w:ascii="宋体" w:hAnsi="宋体"/>
          <w:bCs/>
          <w:kern w:val="44"/>
          <w:sz w:val="24"/>
        </w:rPr>
        <w:drawing>
          <wp:inline distT="0" distB="0" distL="0" distR="0">
            <wp:extent cx="5316220" cy="7176770"/>
            <wp:effectExtent l="0" t="0" r="0" b="5080"/>
            <wp:docPr id="4" name="图片 4" descr="767cb860bd884b89e8d61f50e33f3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67cb860bd884b89e8d61f50e33f3e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316220" cy="7176770"/>
                    </a:xfrm>
                    <a:prstGeom prst="rect">
                      <a:avLst/>
                    </a:prstGeom>
                    <a:noFill/>
                    <a:ln>
                      <a:noFill/>
                    </a:ln>
                  </pic:spPr>
                </pic:pic>
              </a:graphicData>
            </a:graphic>
          </wp:inline>
        </w:drawing>
      </w:r>
    </w:p>
    <w:p>
      <w:pPr>
        <w:widowControl/>
        <w:tabs>
          <w:tab w:val="left" w:pos="5245"/>
        </w:tabs>
        <w:spacing w:line="360" w:lineRule="auto"/>
        <w:rPr>
          <w:rFonts w:ascii="宋体" w:hAnsi="宋体"/>
          <w:bCs/>
          <w:kern w:val="44"/>
          <w:sz w:val="24"/>
        </w:rPr>
      </w:pPr>
      <w:r>
        <w:rPr>
          <w:rFonts w:ascii="宋体" w:hAnsi="宋体"/>
          <w:bCs/>
          <w:kern w:val="44"/>
          <w:sz w:val="24"/>
        </w:rPr>
        <w:drawing>
          <wp:inline distT="0" distB="0" distL="0" distR="0">
            <wp:extent cx="5241925" cy="6783705"/>
            <wp:effectExtent l="0" t="0" r="0" b="0"/>
            <wp:docPr id="5" name="图片 5" descr="65b9a1fd46e440f53e834c48c7eca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5b9a1fd46e440f53e834c48c7ecac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41925" cy="6783705"/>
                    </a:xfrm>
                    <a:prstGeom prst="rect">
                      <a:avLst/>
                    </a:prstGeom>
                    <a:noFill/>
                    <a:ln>
                      <a:noFill/>
                    </a:ln>
                  </pic:spPr>
                </pic:pic>
              </a:graphicData>
            </a:graphic>
          </wp:inline>
        </w:drawing>
      </w:r>
    </w:p>
    <w:p>
      <w:pPr>
        <w:widowControl/>
        <w:tabs>
          <w:tab w:val="left" w:pos="5245"/>
        </w:tabs>
        <w:spacing w:line="360" w:lineRule="auto"/>
        <w:rPr>
          <w:rFonts w:ascii="宋体" w:hAnsi="宋体"/>
          <w:bCs/>
          <w:kern w:val="44"/>
          <w:sz w:val="24"/>
        </w:rPr>
      </w:pPr>
      <w:r>
        <w:rPr>
          <w:rFonts w:ascii="宋体" w:hAnsi="宋体"/>
          <w:bCs/>
          <w:kern w:val="44"/>
          <w:sz w:val="24"/>
        </w:rPr>
        <w:drawing>
          <wp:inline distT="0" distB="0" distL="0" distR="0">
            <wp:extent cx="5358765" cy="6591935"/>
            <wp:effectExtent l="0" t="0" r="0" b="0"/>
            <wp:docPr id="6" name="图片 6" descr="e7eea7db3a1bafcec73ab92d8f78c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7eea7db3a1bafcec73ab92d8f78ca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358765" cy="6591935"/>
                    </a:xfrm>
                    <a:prstGeom prst="rect">
                      <a:avLst/>
                    </a:prstGeom>
                    <a:noFill/>
                    <a:ln>
                      <a:noFill/>
                    </a:ln>
                  </pic:spPr>
                </pic:pic>
              </a:graphicData>
            </a:graphic>
          </wp:inline>
        </w:drawing>
      </w:r>
    </w:p>
    <w:p>
      <w:pPr>
        <w:widowControl/>
        <w:tabs>
          <w:tab w:val="left" w:pos="5245"/>
        </w:tabs>
        <w:spacing w:line="360" w:lineRule="auto"/>
        <w:rPr>
          <w:rFonts w:ascii="宋体" w:hAnsi="宋体"/>
          <w:bCs/>
          <w:kern w:val="44"/>
          <w:sz w:val="24"/>
        </w:rPr>
      </w:pPr>
      <w:r>
        <w:rPr>
          <w:rFonts w:ascii="宋体" w:hAnsi="宋体"/>
          <w:bCs/>
          <w:kern w:val="44"/>
          <w:sz w:val="24"/>
        </w:rPr>
        <w:drawing>
          <wp:inline distT="0" distB="0" distL="0" distR="0">
            <wp:extent cx="5327015" cy="6921500"/>
            <wp:effectExtent l="0" t="0" r="6985" b="0"/>
            <wp:docPr id="7" name="图片 7" descr="b4edeff95de0c4293fb7f5e0d62ec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b4edeff95de0c4293fb7f5e0d62ecf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327015" cy="6921500"/>
                    </a:xfrm>
                    <a:prstGeom prst="rect">
                      <a:avLst/>
                    </a:prstGeom>
                    <a:noFill/>
                    <a:ln>
                      <a:noFill/>
                    </a:ln>
                  </pic:spPr>
                </pic:pic>
              </a:graphicData>
            </a:graphic>
          </wp:inline>
        </w:drawing>
      </w:r>
    </w:p>
    <w:p>
      <w:pPr>
        <w:widowControl/>
        <w:tabs>
          <w:tab w:val="left" w:pos="5245"/>
        </w:tabs>
        <w:spacing w:line="360" w:lineRule="auto"/>
        <w:rPr>
          <w:rFonts w:ascii="宋体" w:hAnsi="宋体"/>
          <w:bCs/>
          <w:kern w:val="44"/>
          <w:sz w:val="24"/>
        </w:rPr>
      </w:pPr>
      <w:r>
        <w:rPr>
          <w:rFonts w:ascii="宋体" w:hAnsi="宋体"/>
          <w:bCs/>
          <w:kern w:val="44"/>
          <w:sz w:val="24"/>
        </w:rPr>
        <w:drawing>
          <wp:inline distT="0" distB="0" distL="0" distR="0">
            <wp:extent cx="5390515" cy="6645275"/>
            <wp:effectExtent l="0" t="0" r="635" b="3175"/>
            <wp:docPr id="8" name="图片 8" descr="62c886c639951589dfb049087de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2c886c639951589dfb049087de106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390515" cy="6645275"/>
                    </a:xfrm>
                    <a:prstGeom prst="rect">
                      <a:avLst/>
                    </a:prstGeom>
                    <a:noFill/>
                    <a:ln>
                      <a:noFill/>
                    </a:ln>
                  </pic:spPr>
                </pic:pic>
              </a:graphicData>
            </a:graphic>
          </wp:inline>
        </w:drawing>
      </w:r>
    </w:p>
    <w:p>
      <w:pPr>
        <w:widowControl/>
        <w:tabs>
          <w:tab w:val="left" w:pos="5245"/>
        </w:tabs>
        <w:spacing w:line="360" w:lineRule="auto"/>
        <w:rPr>
          <w:rFonts w:ascii="宋体" w:hAnsi="宋体"/>
          <w:bCs/>
          <w:kern w:val="44"/>
          <w:sz w:val="24"/>
        </w:rPr>
      </w:pPr>
      <w:r>
        <w:rPr>
          <w:rFonts w:ascii="宋体" w:hAnsi="宋体"/>
          <w:bCs/>
          <w:kern w:val="44"/>
          <w:sz w:val="24"/>
        </w:rPr>
        <w:drawing>
          <wp:inline distT="0" distB="0" distL="0" distR="0">
            <wp:extent cx="5284470" cy="6772910"/>
            <wp:effectExtent l="0" t="0" r="0" b="8890"/>
            <wp:docPr id="9" name="图片 9" descr="7b5fdf72667f788985864bbd941ce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b5fdf72667f788985864bbd941ce8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84470" cy="6772910"/>
                    </a:xfrm>
                    <a:prstGeom prst="rect">
                      <a:avLst/>
                    </a:prstGeom>
                    <a:noFill/>
                    <a:ln>
                      <a:noFill/>
                    </a:ln>
                  </pic:spPr>
                </pic:pic>
              </a:graphicData>
            </a:graphic>
          </wp:inline>
        </w:drawing>
      </w:r>
    </w:p>
    <w:p>
      <w:pPr>
        <w:widowControl/>
        <w:tabs>
          <w:tab w:val="left" w:pos="5245"/>
        </w:tabs>
        <w:spacing w:line="360" w:lineRule="auto"/>
        <w:rPr>
          <w:rFonts w:ascii="宋体" w:hAnsi="宋体"/>
          <w:bCs/>
          <w:kern w:val="44"/>
          <w:sz w:val="24"/>
        </w:rPr>
      </w:pPr>
      <w:r>
        <w:rPr>
          <w:rFonts w:ascii="宋体" w:hAnsi="宋体"/>
          <w:bCs/>
          <w:kern w:val="44"/>
          <w:sz w:val="24"/>
        </w:rPr>
        <w:drawing>
          <wp:inline distT="0" distB="0" distL="0" distR="0">
            <wp:extent cx="5316220" cy="6591935"/>
            <wp:effectExtent l="0" t="0" r="0" b="0"/>
            <wp:docPr id="10" name="图片 10" descr="14874605db31c4b12a48eccd392d2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4874605db31c4b12a48eccd392d2e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316220" cy="6591935"/>
                    </a:xfrm>
                    <a:prstGeom prst="rect">
                      <a:avLst/>
                    </a:prstGeom>
                    <a:noFill/>
                    <a:ln>
                      <a:noFill/>
                    </a:ln>
                  </pic:spPr>
                </pic:pic>
              </a:graphicData>
            </a:graphic>
          </wp:inline>
        </w:drawing>
      </w:r>
    </w:p>
    <w:p>
      <w:pPr>
        <w:widowControl/>
        <w:tabs>
          <w:tab w:val="left" w:pos="5245"/>
        </w:tabs>
        <w:spacing w:line="360" w:lineRule="auto"/>
        <w:rPr>
          <w:rFonts w:ascii="宋体" w:hAnsi="宋体"/>
          <w:bCs/>
          <w:kern w:val="44"/>
          <w:sz w:val="24"/>
        </w:rPr>
      </w:pPr>
      <w:r>
        <w:rPr>
          <w:rFonts w:ascii="宋体" w:hAnsi="宋体"/>
          <w:bCs/>
          <w:kern w:val="44"/>
          <w:sz w:val="24"/>
        </w:rPr>
        <w:drawing>
          <wp:inline distT="0" distB="0" distL="0" distR="0">
            <wp:extent cx="5358765" cy="6858000"/>
            <wp:effectExtent l="0" t="0" r="0" b="0"/>
            <wp:docPr id="11" name="图片 11" descr="0d134707a6b56d6702c857d4f5806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d134707a6b56d6702c857d4f5806b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358765" cy="6858000"/>
                    </a:xfrm>
                    <a:prstGeom prst="rect">
                      <a:avLst/>
                    </a:prstGeom>
                    <a:noFill/>
                    <a:ln>
                      <a:noFill/>
                    </a:ln>
                  </pic:spPr>
                </pic:pic>
              </a:graphicData>
            </a:graphic>
          </wp:inline>
        </w:drawing>
      </w:r>
    </w:p>
    <w:p>
      <w:pPr>
        <w:widowControl/>
        <w:tabs>
          <w:tab w:val="left" w:pos="5245"/>
        </w:tabs>
        <w:spacing w:line="360" w:lineRule="auto"/>
        <w:rPr>
          <w:rFonts w:ascii="宋体" w:hAnsi="宋体"/>
          <w:bCs/>
          <w:kern w:val="44"/>
          <w:sz w:val="24"/>
        </w:rPr>
      </w:pPr>
      <w:r>
        <w:rPr>
          <w:rFonts w:ascii="宋体" w:hAnsi="宋体"/>
          <w:bCs/>
          <w:kern w:val="44"/>
          <w:sz w:val="24"/>
        </w:rPr>
        <w:drawing>
          <wp:inline distT="0" distB="0" distL="0" distR="0">
            <wp:extent cx="5358765" cy="6772910"/>
            <wp:effectExtent l="0" t="0" r="0" b="8890"/>
            <wp:docPr id="12" name="图片 12" descr="4f520c5b34cd3747253c9d5be8422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4f520c5b34cd3747253c9d5be84227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358765" cy="6772910"/>
                    </a:xfrm>
                    <a:prstGeom prst="rect">
                      <a:avLst/>
                    </a:prstGeom>
                    <a:noFill/>
                    <a:ln>
                      <a:noFill/>
                    </a:ln>
                  </pic:spPr>
                </pic:pic>
              </a:graphicData>
            </a:graphic>
          </wp:inline>
        </w:drawing>
      </w:r>
    </w:p>
    <w:p>
      <w:pPr>
        <w:widowControl/>
        <w:tabs>
          <w:tab w:val="left" w:pos="5245"/>
        </w:tabs>
        <w:spacing w:line="360" w:lineRule="auto"/>
        <w:rPr>
          <w:rFonts w:ascii="宋体" w:hAnsi="宋体"/>
          <w:bCs/>
          <w:kern w:val="44"/>
          <w:sz w:val="24"/>
        </w:rPr>
      </w:pPr>
      <w:r>
        <w:rPr>
          <w:rFonts w:ascii="宋体" w:hAnsi="宋体"/>
          <w:bCs/>
          <w:kern w:val="44"/>
          <w:sz w:val="24"/>
        </w:rPr>
        <w:drawing>
          <wp:inline distT="0" distB="0" distL="0" distR="0">
            <wp:extent cx="5337810" cy="6687820"/>
            <wp:effectExtent l="0" t="0" r="0" b="0"/>
            <wp:docPr id="13" name="图片 13" descr="3d98b20f9da6c41f761d74c89858b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3d98b20f9da6c41f761d74c89858b2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337810" cy="6687820"/>
                    </a:xfrm>
                    <a:prstGeom prst="rect">
                      <a:avLst/>
                    </a:prstGeom>
                    <a:noFill/>
                    <a:ln>
                      <a:noFill/>
                    </a:ln>
                  </pic:spPr>
                </pic:pic>
              </a:graphicData>
            </a:graphic>
          </wp:inline>
        </w:drawing>
      </w:r>
    </w:p>
    <w:p>
      <w:pPr>
        <w:widowControl/>
        <w:tabs>
          <w:tab w:val="left" w:pos="5245"/>
        </w:tabs>
        <w:spacing w:line="360" w:lineRule="auto"/>
        <w:rPr>
          <w:rFonts w:ascii="宋体" w:hAnsi="宋体"/>
          <w:bCs/>
          <w:kern w:val="44"/>
          <w:sz w:val="24"/>
        </w:rPr>
      </w:pPr>
      <w:r>
        <w:rPr>
          <w:rFonts w:ascii="宋体" w:hAnsi="宋体"/>
          <w:bCs/>
          <w:kern w:val="44"/>
          <w:sz w:val="24"/>
        </w:rPr>
        <w:drawing>
          <wp:inline distT="0" distB="0" distL="0" distR="0">
            <wp:extent cx="5401310" cy="6528435"/>
            <wp:effectExtent l="0" t="0" r="8890" b="5715"/>
            <wp:docPr id="14" name="图片 14" descr="b40d6aa62d0cff718091e89004489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b40d6aa62d0cff718091e89004489b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401310" cy="6528435"/>
                    </a:xfrm>
                    <a:prstGeom prst="rect">
                      <a:avLst/>
                    </a:prstGeom>
                    <a:noFill/>
                    <a:ln>
                      <a:noFill/>
                    </a:ln>
                  </pic:spPr>
                </pic:pic>
              </a:graphicData>
            </a:graphic>
          </wp:inline>
        </w:drawing>
      </w:r>
    </w:p>
    <w:p>
      <w:pPr>
        <w:spacing w:line="360" w:lineRule="auto"/>
        <w:jc w:val="left"/>
        <w:rPr>
          <w:rFonts w:ascii="宋体" w:hAnsi="宋体"/>
          <w:b/>
          <w:sz w:val="24"/>
        </w:rPr>
        <w:sectPr>
          <w:pgSz w:w="11906" w:h="16838"/>
          <w:pgMar w:top="1440" w:right="1701" w:bottom="1361" w:left="1797" w:header="851" w:footer="992" w:gutter="0"/>
          <w:cols w:space="720" w:num="1"/>
          <w:docGrid w:linePitch="312" w:charSpace="0"/>
        </w:sectPr>
      </w:pPr>
    </w:p>
    <w:p>
      <w:pPr>
        <w:spacing w:line="360" w:lineRule="auto"/>
        <w:jc w:val="left"/>
        <w:rPr>
          <w:rFonts w:ascii="宋体" w:hAnsi="宋体"/>
          <w:b/>
          <w:sz w:val="24"/>
        </w:rPr>
      </w:pPr>
      <w:r>
        <w:rPr>
          <w:rFonts w:hint="eastAsia" w:ascii="宋体" w:hAnsi="宋体"/>
          <w:b/>
          <w:sz w:val="24"/>
        </w:rPr>
        <w:t>附件3：</w:t>
      </w:r>
    </w:p>
    <w:p>
      <w:pPr>
        <w:widowControl/>
        <w:spacing w:line="360" w:lineRule="auto"/>
        <w:rPr>
          <w:rFonts w:ascii="宋体" w:hAnsi="宋体"/>
          <w:b/>
          <w:kern w:val="44"/>
          <w:sz w:val="24"/>
        </w:rPr>
      </w:pPr>
    </w:p>
    <w:p>
      <w:pPr>
        <w:widowControl/>
        <w:spacing w:line="360" w:lineRule="auto"/>
        <w:rPr>
          <w:rFonts w:ascii="宋体" w:hAnsi="宋体"/>
          <w:b/>
          <w:kern w:val="44"/>
          <w:sz w:val="24"/>
        </w:rPr>
      </w:pPr>
      <w:r>
        <w:rPr>
          <w:rFonts w:hint="eastAsia" w:ascii="宋体" w:hAnsi="宋体"/>
          <w:b/>
          <w:kern w:val="44"/>
          <w:sz w:val="24"/>
        </w:rPr>
        <w:drawing>
          <wp:inline distT="0" distB="0" distL="0" distR="0">
            <wp:extent cx="5295265" cy="7219315"/>
            <wp:effectExtent l="0" t="0" r="635" b="635"/>
            <wp:docPr id="15" name="图片 15" descr="234588146a76bc8b41de5070147d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34588146a76bc8b41de5070147d39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95265" cy="7219315"/>
                    </a:xfrm>
                    <a:prstGeom prst="rect">
                      <a:avLst/>
                    </a:prstGeom>
                    <a:noFill/>
                    <a:ln>
                      <a:noFill/>
                    </a:ln>
                  </pic:spPr>
                </pic:pic>
              </a:graphicData>
            </a:graphic>
          </wp:inline>
        </w:drawing>
      </w:r>
    </w:p>
    <w:p>
      <w:pPr>
        <w:widowControl/>
        <w:spacing w:line="360" w:lineRule="auto"/>
        <w:rPr>
          <w:rFonts w:ascii="宋体" w:hAnsi="宋体"/>
          <w:b/>
          <w:kern w:val="44"/>
          <w:sz w:val="24"/>
        </w:rPr>
      </w:pPr>
    </w:p>
    <w:p>
      <w:pPr>
        <w:widowControl/>
        <w:spacing w:line="360" w:lineRule="auto"/>
        <w:rPr>
          <w:rFonts w:ascii="宋体" w:hAnsi="宋体"/>
          <w:b/>
          <w:kern w:val="44"/>
          <w:sz w:val="24"/>
        </w:rPr>
      </w:pPr>
      <w:r>
        <w:rPr>
          <w:rFonts w:ascii="宋体" w:hAnsi="宋体"/>
          <w:b/>
          <w:kern w:val="44"/>
          <w:sz w:val="24"/>
        </w:rPr>
        <w:drawing>
          <wp:inline distT="0" distB="0" distL="0" distR="0">
            <wp:extent cx="5284470" cy="6932295"/>
            <wp:effectExtent l="0" t="0" r="0" b="1905"/>
            <wp:docPr id="16" name="图片 16" descr="6d31de7208ca7552f321dba908cdb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6d31de7208ca7552f321dba908cdbc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84470" cy="6932295"/>
                    </a:xfrm>
                    <a:prstGeom prst="rect">
                      <a:avLst/>
                    </a:prstGeom>
                    <a:noFill/>
                    <a:ln>
                      <a:noFill/>
                    </a:ln>
                  </pic:spPr>
                </pic:pic>
              </a:graphicData>
            </a:graphic>
          </wp:inline>
        </w:drawing>
      </w:r>
    </w:p>
    <w:p>
      <w:pPr>
        <w:widowControl/>
        <w:spacing w:line="360" w:lineRule="auto"/>
        <w:rPr>
          <w:rFonts w:ascii="宋体" w:hAnsi="宋体"/>
          <w:b/>
          <w:kern w:val="44"/>
          <w:sz w:val="24"/>
        </w:rPr>
      </w:pPr>
    </w:p>
    <w:p>
      <w:pPr>
        <w:widowControl/>
        <w:spacing w:line="360" w:lineRule="auto"/>
        <w:rPr>
          <w:rFonts w:ascii="宋体" w:hAnsi="宋体"/>
          <w:b/>
          <w:kern w:val="44"/>
          <w:sz w:val="24"/>
        </w:rPr>
        <w:sectPr>
          <w:pgSz w:w="11906" w:h="16838"/>
          <w:pgMar w:top="1440" w:right="1701" w:bottom="1361" w:left="1797" w:header="851" w:footer="992" w:gutter="0"/>
          <w:cols w:space="720" w:num="1"/>
          <w:docGrid w:linePitch="312" w:charSpace="0"/>
        </w:sectPr>
      </w:pPr>
      <w:r>
        <w:rPr>
          <w:rFonts w:ascii="宋体" w:hAnsi="宋体"/>
          <w:b/>
          <w:kern w:val="44"/>
          <w:sz w:val="24"/>
        </w:rPr>
        <w:drawing>
          <wp:inline distT="0" distB="0" distL="0" distR="0">
            <wp:extent cx="5347970" cy="7198360"/>
            <wp:effectExtent l="0" t="0" r="5080" b="2540"/>
            <wp:docPr id="17" name="图片 17" descr="50a636e4360a7f5377ce352b9dff1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50a636e4360a7f5377ce352b9dff1c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347970" cy="7198360"/>
                    </a:xfrm>
                    <a:prstGeom prst="rect">
                      <a:avLst/>
                    </a:prstGeom>
                    <a:noFill/>
                    <a:ln>
                      <a:noFill/>
                    </a:ln>
                  </pic:spPr>
                </pic:pic>
              </a:graphicData>
            </a:graphic>
          </wp:inline>
        </w:drawing>
      </w:r>
    </w:p>
    <w:p>
      <w:pPr>
        <w:widowControl/>
        <w:spacing w:line="360" w:lineRule="auto"/>
        <w:rPr>
          <w:rFonts w:ascii="宋体" w:hAnsi="宋体"/>
          <w:bCs/>
          <w:kern w:val="44"/>
          <w:sz w:val="24"/>
        </w:rPr>
      </w:pPr>
    </w:p>
    <w:p>
      <w:pPr>
        <w:spacing w:line="360" w:lineRule="auto"/>
        <w:jc w:val="left"/>
        <w:rPr>
          <w:rFonts w:ascii="宋体" w:hAnsi="宋体"/>
          <w:b/>
          <w:sz w:val="24"/>
        </w:rPr>
      </w:pPr>
      <w:r>
        <w:rPr>
          <w:rFonts w:hint="eastAsia" w:ascii="宋体" w:hAnsi="宋体"/>
          <w:b/>
          <w:sz w:val="24"/>
        </w:rPr>
        <w:t>附件</w:t>
      </w:r>
      <w:r>
        <w:rPr>
          <w:rFonts w:ascii="宋体" w:hAnsi="宋体"/>
          <w:b/>
          <w:sz w:val="24"/>
        </w:rPr>
        <w:t>4</w:t>
      </w:r>
      <w:r>
        <w:rPr>
          <w:rFonts w:hint="eastAsia" w:ascii="宋体" w:hAnsi="宋体"/>
          <w:b/>
          <w:sz w:val="24"/>
        </w:rPr>
        <w:t>：</w:t>
      </w:r>
    </w:p>
    <w:p>
      <w:pPr>
        <w:spacing w:line="360" w:lineRule="auto"/>
        <w:jc w:val="center"/>
        <w:rPr>
          <w:rFonts w:ascii="宋体" w:hAnsi="宋体"/>
          <w:b/>
          <w:sz w:val="24"/>
        </w:rPr>
      </w:pPr>
      <w:r>
        <w:rPr>
          <w:rFonts w:hint="eastAsia" w:ascii="宋体" w:hAnsi="宋体"/>
          <w:b/>
          <w:sz w:val="24"/>
        </w:rPr>
        <w:t>北京市街巷环境卫生质量标准（试行）</w:t>
      </w:r>
    </w:p>
    <w:p>
      <w:pPr>
        <w:spacing w:line="360" w:lineRule="auto"/>
        <w:ind w:firstLine="480" w:firstLineChars="200"/>
        <w:rPr>
          <w:rFonts w:ascii="宋体" w:hAnsi="宋体"/>
          <w:sz w:val="24"/>
        </w:rPr>
      </w:pPr>
      <w:r>
        <w:rPr>
          <w:rFonts w:hint="eastAsia" w:ascii="宋体" w:hAnsi="宋体"/>
          <w:sz w:val="24"/>
        </w:rPr>
        <w:t>第一条为全面落实市容环境卫生责任制，加强街巷环境卫生管理工作，提高环境卫生整体水平，依据《北京市市容环境卫生条例》和《北京市城市环境卫生质量标准》，制定本标准。</w:t>
      </w:r>
    </w:p>
    <w:p>
      <w:pPr>
        <w:spacing w:line="360" w:lineRule="auto"/>
        <w:ind w:firstLine="480" w:firstLineChars="200"/>
        <w:rPr>
          <w:rFonts w:ascii="宋体" w:hAnsi="宋体"/>
          <w:sz w:val="24"/>
        </w:rPr>
      </w:pPr>
      <w:r>
        <w:rPr>
          <w:rFonts w:hint="eastAsia" w:ascii="宋体" w:hAnsi="宋体"/>
          <w:sz w:val="24"/>
        </w:rPr>
        <w:t>第二条本标准适用于本市城镇地区胡同、街巷、居民小区（以下统称街巷）的环境卫生管理工作。</w:t>
      </w:r>
    </w:p>
    <w:p>
      <w:pPr>
        <w:spacing w:line="360" w:lineRule="auto"/>
        <w:ind w:firstLine="480" w:firstLineChars="200"/>
        <w:rPr>
          <w:rFonts w:ascii="宋体" w:hAnsi="宋体"/>
          <w:sz w:val="24"/>
        </w:rPr>
      </w:pPr>
      <w:r>
        <w:rPr>
          <w:rFonts w:hint="eastAsia" w:ascii="宋体" w:hAnsi="宋体"/>
          <w:sz w:val="24"/>
        </w:rPr>
        <w:t>列为2008年北京奥运会重点控制区域的街巷，应执行奥运场馆周边和重点区域环境卫生有关标准、规范。</w:t>
      </w:r>
    </w:p>
    <w:p>
      <w:pPr>
        <w:spacing w:line="360" w:lineRule="auto"/>
        <w:ind w:firstLine="480" w:firstLineChars="200"/>
        <w:rPr>
          <w:rFonts w:ascii="宋体" w:hAnsi="宋体"/>
          <w:sz w:val="24"/>
        </w:rPr>
      </w:pPr>
      <w:r>
        <w:rPr>
          <w:rFonts w:hint="eastAsia" w:ascii="宋体" w:hAnsi="宋体"/>
          <w:sz w:val="24"/>
        </w:rPr>
        <w:t>第三条街巷市容环境卫生责任区的责任人应当按照城镇地区市容环境卫生责任区责任标准履行环境卫生责任，也可委托环境卫生专业单位（企业）履行相应的环境卫生责任。</w:t>
      </w:r>
    </w:p>
    <w:p>
      <w:pPr>
        <w:spacing w:line="360" w:lineRule="auto"/>
        <w:ind w:firstLine="480" w:firstLineChars="200"/>
        <w:rPr>
          <w:rFonts w:ascii="宋体" w:hAnsi="宋体"/>
          <w:sz w:val="24"/>
        </w:rPr>
      </w:pPr>
      <w:r>
        <w:rPr>
          <w:rFonts w:hint="eastAsia" w:ascii="宋体" w:hAnsi="宋体"/>
          <w:sz w:val="24"/>
        </w:rPr>
        <w:t>第四条街巷市容环境卫生责任区的环境卫生质量应当符合以下要求：</w:t>
      </w:r>
    </w:p>
    <w:p>
      <w:pPr>
        <w:spacing w:line="360" w:lineRule="auto"/>
        <w:ind w:firstLine="480" w:firstLineChars="200"/>
        <w:rPr>
          <w:rFonts w:ascii="宋体" w:hAnsi="宋体"/>
          <w:sz w:val="24"/>
        </w:rPr>
      </w:pPr>
      <w:r>
        <w:rPr>
          <w:rFonts w:hint="eastAsia" w:ascii="宋体" w:hAnsi="宋体"/>
          <w:sz w:val="24"/>
        </w:rPr>
        <w:t>（一）保持环境卫生整洁，无暴露垃圾、粪便、污水，无污迹，无渣土，无乱张贴、无乱涂写、无乱刻画；环境卫生设施保持整洁、完好；按照规定扫雪铲冰。</w:t>
      </w:r>
    </w:p>
    <w:p>
      <w:pPr>
        <w:spacing w:line="360" w:lineRule="auto"/>
        <w:ind w:firstLine="480" w:firstLineChars="200"/>
        <w:rPr>
          <w:rFonts w:ascii="宋体" w:hAnsi="宋体"/>
          <w:sz w:val="24"/>
        </w:rPr>
      </w:pPr>
      <w:r>
        <w:rPr>
          <w:rFonts w:hint="eastAsia" w:ascii="宋体" w:hAnsi="宋体"/>
          <w:sz w:val="24"/>
        </w:rPr>
        <w:t>（二）街巷路面基本无浮土、烟头、纸屑、瓜果皮核、痰迹、砖头、石块等杂物。道路沟渠排水畅通，无污水、杂草、废弃物；花池、树坑内无垃圾、纸屑等杂物。</w:t>
      </w:r>
    </w:p>
    <w:p>
      <w:pPr>
        <w:spacing w:line="360" w:lineRule="auto"/>
        <w:ind w:firstLine="480" w:firstLineChars="200"/>
        <w:rPr>
          <w:rFonts w:ascii="宋体" w:hAnsi="宋体"/>
          <w:sz w:val="24"/>
        </w:rPr>
      </w:pPr>
      <w:r>
        <w:rPr>
          <w:rFonts w:hint="eastAsia" w:ascii="宋体" w:hAnsi="宋体"/>
          <w:sz w:val="24"/>
        </w:rPr>
        <w:t>（三）绿地和绿地内甬道应无瓜果皮核、纸屑、包装筐（箱）、废纸盒、纸袋等污物和杂物；绿地内外及花草、树木无挂带污物、杂物。</w:t>
      </w:r>
    </w:p>
    <w:p>
      <w:pPr>
        <w:spacing w:line="360" w:lineRule="auto"/>
        <w:ind w:firstLine="480" w:firstLineChars="200"/>
        <w:rPr>
          <w:rFonts w:ascii="宋体" w:hAnsi="宋体"/>
          <w:sz w:val="24"/>
        </w:rPr>
      </w:pPr>
      <w:r>
        <w:rPr>
          <w:rFonts w:hint="eastAsia" w:ascii="宋体" w:hAnsi="宋体"/>
          <w:sz w:val="24"/>
        </w:rPr>
        <w:t>第五条环境卫生清扫保洁作业应遵守以下要求：</w:t>
      </w:r>
    </w:p>
    <w:p>
      <w:pPr>
        <w:spacing w:line="360" w:lineRule="auto"/>
        <w:ind w:firstLine="480" w:firstLineChars="200"/>
        <w:rPr>
          <w:rFonts w:ascii="宋体" w:hAnsi="宋体"/>
          <w:sz w:val="24"/>
        </w:rPr>
      </w:pPr>
      <w:r>
        <w:rPr>
          <w:rFonts w:hint="eastAsia" w:ascii="宋体" w:hAnsi="宋体"/>
          <w:sz w:val="24"/>
        </w:rPr>
        <w:t>（一）街巷清扫保洁应实行“夜间清扫、白天保洁”的作业制度。夜间清扫作业21时—次日6时（冬季7：30时）；白天保洁作业时间为9时—17时。在市民晨练、上下班高峰时段（6时至9时、17时至21时）内，禁止清扫作业，可进行拣拾作业。</w:t>
      </w:r>
    </w:p>
    <w:p>
      <w:pPr>
        <w:spacing w:line="360" w:lineRule="auto"/>
        <w:ind w:firstLine="480" w:firstLineChars="200"/>
        <w:rPr>
          <w:rFonts w:ascii="宋体" w:hAnsi="宋体"/>
          <w:sz w:val="24"/>
        </w:rPr>
      </w:pPr>
      <w:r>
        <w:rPr>
          <w:rFonts w:hint="eastAsia" w:ascii="宋体" w:hAnsi="宋体"/>
          <w:sz w:val="24"/>
        </w:rPr>
        <w:t>（二）清扫保洁收集的废弃物，应当及时倒入垃圾收集站或垃圾收集容器，不得露天堆放，不得扫入绿地和道路的雨水口内，不得焚烧垃圾、树叶等杂物。</w:t>
      </w:r>
    </w:p>
    <w:p>
      <w:pPr>
        <w:spacing w:line="360" w:lineRule="auto"/>
        <w:ind w:firstLine="480" w:firstLineChars="200"/>
        <w:rPr>
          <w:rFonts w:ascii="宋体" w:hAnsi="宋体"/>
          <w:sz w:val="24"/>
        </w:rPr>
      </w:pPr>
      <w:r>
        <w:rPr>
          <w:rFonts w:hint="eastAsia" w:ascii="宋体" w:hAnsi="宋体"/>
          <w:sz w:val="24"/>
        </w:rPr>
        <w:t>（三）果皮箱要及时清掏、定时擦拭，每周洗刷，做到无满冒，箱容整洁，周围管理范围地面无散落、存留垃圾。出现丢失、损坏、移位的，应当及时补充、维修、更换。</w:t>
      </w:r>
    </w:p>
    <w:p>
      <w:pPr>
        <w:spacing w:line="360" w:lineRule="auto"/>
        <w:ind w:firstLine="480" w:firstLineChars="200"/>
        <w:rPr>
          <w:rFonts w:ascii="宋体" w:hAnsi="宋体"/>
          <w:sz w:val="24"/>
        </w:rPr>
      </w:pPr>
      <w:r>
        <w:rPr>
          <w:rFonts w:hint="eastAsia" w:ascii="宋体" w:hAnsi="宋体"/>
          <w:sz w:val="24"/>
        </w:rPr>
        <w:t>（四）有条件的街巷，应积极开展机械清扫作业，定期洒水降尘或冲洗路面，作业用水应尽可能使用中水。</w:t>
      </w:r>
    </w:p>
    <w:p>
      <w:pPr>
        <w:spacing w:line="360" w:lineRule="auto"/>
        <w:ind w:firstLine="480" w:firstLineChars="200"/>
        <w:rPr>
          <w:rFonts w:ascii="宋体" w:hAnsi="宋体"/>
          <w:sz w:val="24"/>
        </w:rPr>
      </w:pPr>
      <w:r>
        <w:rPr>
          <w:rFonts w:hint="eastAsia" w:ascii="宋体" w:hAnsi="宋体"/>
          <w:sz w:val="24"/>
        </w:rPr>
        <w:t>（五）街巷内的集贸市场要实行专人清扫保洁管理制度，保持市场的市容环境卫生责任区整洁。</w:t>
      </w:r>
    </w:p>
    <w:p>
      <w:pPr>
        <w:spacing w:line="360" w:lineRule="auto"/>
        <w:ind w:firstLine="480" w:firstLineChars="200"/>
        <w:rPr>
          <w:rFonts w:ascii="宋体" w:hAnsi="宋体"/>
          <w:sz w:val="24"/>
        </w:rPr>
      </w:pPr>
      <w:r>
        <w:rPr>
          <w:rFonts w:hint="eastAsia" w:ascii="宋体" w:hAnsi="宋体"/>
          <w:sz w:val="24"/>
        </w:rPr>
        <w:t>第六条垃圾、渣土的收集、清运作业应当遵守以下要求：</w:t>
      </w:r>
    </w:p>
    <w:p>
      <w:pPr>
        <w:spacing w:line="360" w:lineRule="auto"/>
        <w:ind w:firstLine="480" w:firstLineChars="200"/>
        <w:rPr>
          <w:rFonts w:ascii="宋体" w:hAnsi="宋体"/>
          <w:sz w:val="24"/>
        </w:rPr>
      </w:pPr>
      <w:r>
        <w:rPr>
          <w:rFonts w:hint="eastAsia" w:ascii="宋体" w:hAnsi="宋体"/>
          <w:sz w:val="24"/>
        </w:rPr>
        <w:t>（一）垃圾、渣土应日产日清。生活垃圾要密闭存放，不得堆放在道路两侧，不得向绿地、排水口和道路边沟内清扫和倾倒。</w:t>
      </w:r>
    </w:p>
    <w:p>
      <w:pPr>
        <w:spacing w:line="360" w:lineRule="auto"/>
        <w:ind w:firstLine="480" w:firstLineChars="200"/>
        <w:rPr>
          <w:rFonts w:ascii="宋体" w:hAnsi="宋体"/>
          <w:sz w:val="24"/>
        </w:rPr>
      </w:pPr>
      <w:r>
        <w:rPr>
          <w:rFonts w:hint="eastAsia" w:ascii="宋体" w:hAnsi="宋体"/>
          <w:sz w:val="24"/>
        </w:rPr>
        <w:t>（二）垃圾收集后，应将垃圾收集站周围打扫干净，采用垃圾房（屋）的，应锁好垃圾房（屋）门，避免污染环境。垃圾收集站周边要保持干净整洁，不得有垃圾暴露现象。</w:t>
      </w:r>
    </w:p>
    <w:p>
      <w:pPr>
        <w:spacing w:line="360" w:lineRule="auto"/>
        <w:ind w:firstLine="480" w:firstLineChars="200"/>
        <w:rPr>
          <w:rFonts w:ascii="宋体" w:hAnsi="宋体"/>
          <w:sz w:val="24"/>
        </w:rPr>
      </w:pPr>
      <w:r>
        <w:rPr>
          <w:rFonts w:hint="eastAsia" w:ascii="宋体" w:hAnsi="宋体"/>
          <w:sz w:val="24"/>
        </w:rPr>
        <w:t>（三）垃圾收集容器损坏时，要及时维修、更换；收集容量不足时，要及时补充设置。</w:t>
      </w:r>
    </w:p>
    <w:p>
      <w:pPr>
        <w:spacing w:line="360" w:lineRule="auto"/>
        <w:ind w:firstLine="480" w:firstLineChars="200"/>
        <w:rPr>
          <w:rFonts w:ascii="宋体" w:hAnsi="宋体"/>
          <w:sz w:val="24"/>
        </w:rPr>
      </w:pPr>
      <w:r>
        <w:rPr>
          <w:rFonts w:hint="eastAsia" w:ascii="宋体" w:hAnsi="宋体"/>
          <w:sz w:val="24"/>
        </w:rPr>
        <w:t>（四）大件垃圾和房屋修缮、装修等建筑垃圾、渣土等废弃物应单独堆放和清运、处置，装修垃圾要袋装密闭，不得混入生活垃圾中。</w:t>
      </w:r>
    </w:p>
    <w:p>
      <w:pPr>
        <w:spacing w:line="360" w:lineRule="auto"/>
        <w:ind w:firstLine="480" w:firstLineChars="200"/>
        <w:rPr>
          <w:rFonts w:ascii="宋体" w:hAnsi="宋体"/>
          <w:sz w:val="24"/>
        </w:rPr>
      </w:pPr>
      <w:r>
        <w:rPr>
          <w:rFonts w:hint="eastAsia" w:ascii="宋体" w:hAnsi="宋体"/>
          <w:sz w:val="24"/>
        </w:rPr>
        <w:t>（五）生活垃圾应以密闭化运输方式送至规定的垃圾收集站。</w:t>
      </w:r>
    </w:p>
    <w:p>
      <w:pPr>
        <w:spacing w:line="360" w:lineRule="auto"/>
        <w:ind w:firstLine="480" w:firstLineChars="200"/>
        <w:rPr>
          <w:rFonts w:ascii="宋体" w:hAnsi="宋体"/>
          <w:sz w:val="24"/>
        </w:rPr>
      </w:pPr>
      <w:r>
        <w:rPr>
          <w:rFonts w:hint="eastAsia" w:ascii="宋体" w:hAnsi="宋体"/>
          <w:sz w:val="24"/>
        </w:rPr>
        <w:t>第七条公共厕所保洁作业应当遵守以下要求：</w:t>
      </w:r>
    </w:p>
    <w:p>
      <w:pPr>
        <w:spacing w:line="360" w:lineRule="auto"/>
        <w:ind w:firstLine="480" w:firstLineChars="200"/>
        <w:rPr>
          <w:rFonts w:ascii="宋体" w:hAnsi="宋体"/>
          <w:sz w:val="24"/>
        </w:rPr>
      </w:pPr>
      <w:r>
        <w:rPr>
          <w:rFonts w:hint="eastAsia" w:ascii="宋体" w:hAnsi="宋体"/>
          <w:sz w:val="24"/>
        </w:rPr>
        <w:t>（一）公共厕所保洁服务质量应达到《北京市城市公厕服务管理标准》和《北京市公共厕所服务管理规范》的要求。</w:t>
      </w:r>
    </w:p>
    <w:p>
      <w:pPr>
        <w:spacing w:line="360" w:lineRule="auto"/>
        <w:ind w:firstLine="480" w:firstLineChars="200"/>
        <w:rPr>
          <w:rFonts w:ascii="宋体" w:hAnsi="宋体"/>
          <w:sz w:val="24"/>
        </w:rPr>
      </w:pPr>
      <w:r>
        <w:rPr>
          <w:rFonts w:hint="eastAsia" w:ascii="宋体" w:hAnsi="宋体"/>
          <w:sz w:val="24"/>
        </w:rPr>
        <w:t>（二）公共厕所周围管理范围内应当保持环境整洁，无垃圾、粪便、污水，屋顶无乱堆杂物。</w:t>
      </w:r>
    </w:p>
    <w:p>
      <w:pPr>
        <w:spacing w:line="360" w:lineRule="auto"/>
        <w:ind w:firstLine="480" w:firstLineChars="200"/>
        <w:rPr>
          <w:rFonts w:ascii="宋体" w:hAnsi="宋体"/>
          <w:sz w:val="24"/>
        </w:rPr>
      </w:pPr>
      <w:r>
        <w:rPr>
          <w:rFonts w:hint="eastAsia" w:ascii="宋体" w:hAnsi="宋体"/>
          <w:sz w:val="24"/>
        </w:rPr>
        <w:t>（三）粪便应纳入城市粪便处理体系，不得乱倒乱卸。</w:t>
      </w:r>
    </w:p>
    <w:p>
      <w:pPr>
        <w:spacing w:line="360" w:lineRule="auto"/>
        <w:ind w:firstLine="480" w:firstLineChars="200"/>
        <w:rPr>
          <w:rFonts w:ascii="宋体" w:hAnsi="宋体"/>
          <w:sz w:val="24"/>
        </w:rPr>
      </w:pPr>
      <w:r>
        <w:rPr>
          <w:rFonts w:hint="eastAsia" w:ascii="宋体" w:hAnsi="宋体"/>
          <w:sz w:val="24"/>
        </w:rPr>
        <w:t>第八条街巷责任区域内的厕所（包括公厕及户厕）、垃圾房、垃圾收集容器（桶或箱）等易于孳生和聚集蚊蝇的场所应坚持按季节打药，采取冲洗、消毒等措施，防止蚊蝇孳生，定时喷洒除“四害”药物。</w:t>
      </w:r>
    </w:p>
    <w:p>
      <w:pPr>
        <w:spacing w:line="360" w:lineRule="auto"/>
        <w:ind w:firstLine="480" w:firstLineChars="200"/>
        <w:rPr>
          <w:rFonts w:ascii="宋体" w:hAnsi="宋体"/>
          <w:sz w:val="24"/>
        </w:rPr>
      </w:pPr>
      <w:r>
        <w:rPr>
          <w:rFonts w:hint="eastAsia" w:ascii="宋体" w:hAnsi="宋体"/>
          <w:sz w:val="24"/>
        </w:rPr>
        <w:t>第九条在特殊天气时，责任区环境卫生作业应遵从以下要求：</w:t>
      </w:r>
    </w:p>
    <w:p>
      <w:pPr>
        <w:spacing w:line="360" w:lineRule="auto"/>
        <w:ind w:firstLine="480" w:firstLineChars="200"/>
        <w:rPr>
          <w:rFonts w:ascii="宋体" w:hAnsi="宋体"/>
          <w:sz w:val="24"/>
        </w:rPr>
      </w:pPr>
      <w:r>
        <w:rPr>
          <w:rFonts w:hint="eastAsia" w:ascii="宋体" w:hAnsi="宋体"/>
          <w:sz w:val="24"/>
        </w:rPr>
        <w:t>（一）小雨天气应坚持街巷清扫保洁；大风、大雨天气后要及时清扫街巷、绿地和清除树挂和白色污染，并及时清除路面上的积水。</w:t>
      </w:r>
    </w:p>
    <w:p>
      <w:pPr>
        <w:spacing w:line="360" w:lineRule="auto"/>
        <w:ind w:firstLine="480" w:firstLineChars="200"/>
        <w:rPr>
          <w:rFonts w:ascii="宋体" w:hAnsi="宋体"/>
          <w:sz w:val="24"/>
        </w:rPr>
      </w:pPr>
      <w:r>
        <w:rPr>
          <w:rFonts w:hint="eastAsia" w:ascii="宋体" w:hAnsi="宋体"/>
          <w:sz w:val="24"/>
        </w:rPr>
        <w:t>（二）降雪期间，要做到“下雪就是命令”，应以机械或人工扫雪为主的作业方式，白天降雪随时清扫；晚上降雪要于次日上午10时前清除，责任区内基本无积雪残冰。</w:t>
      </w:r>
    </w:p>
    <w:p>
      <w:pPr>
        <w:spacing w:line="360" w:lineRule="auto"/>
        <w:ind w:firstLine="480" w:firstLineChars="200"/>
        <w:rPr>
          <w:rFonts w:ascii="宋体" w:hAnsi="宋体"/>
          <w:sz w:val="24"/>
        </w:rPr>
        <w:sectPr>
          <w:pgSz w:w="11906" w:h="16838"/>
          <w:pgMar w:top="1440" w:right="1701" w:bottom="1361" w:left="1797" w:header="851" w:footer="992" w:gutter="0"/>
          <w:cols w:space="720" w:num="1"/>
          <w:docGrid w:linePitch="312" w:charSpace="0"/>
        </w:sectPr>
      </w:pPr>
      <w:r>
        <w:rPr>
          <w:rFonts w:hint="eastAsia" w:ascii="宋体" w:hAnsi="宋体"/>
          <w:sz w:val="24"/>
        </w:rPr>
        <w:t>第十条街巷环境卫生作业人员应当统一着装上岗作业，工作服、工作帽要保持整洁、干净。作业时间内不得私自离岗，实行文明清扫、文明操作。</w:t>
      </w:r>
    </w:p>
    <w:p>
      <w:pPr>
        <w:widowControl/>
        <w:spacing w:line="360" w:lineRule="auto"/>
        <w:rPr>
          <w:rFonts w:ascii="宋体" w:hAnsi="宋体"/>
          <w:b/>
          <w:kern w:val="44"/>
          <w:sz w:val="24"/>
        </w:rPr>
      </w:pPr>
      <w:r>
        <w:rPr>
          <w:rFonts w:hint="eastAsia" w:ascii="宋体" w:hAnsi="宋体"/>
          <w:b/>
          <w:kern w:val="44"/>
          <w:sz w:val="24"/>
        </w:rPr>
        <w:t>附件</w:t>
      </w:r>
      <w:r>
        <w:rPr>
          <w:rFonts w:ascii="宋体" w:hAnsi="宋体"/>
          <w:b/>
          <w:kern w:val="44"/>
          <w:sz w:val="24"/>
        </w:rPr>
        <w:t>5</w:t>
      </w:r>
      <w:r>
        <w:rPr>
          <w:rFonts w:hint="eastAsia" w:ascii="宋体" w:hAnsi="宋体"/>
          <w:b/>
          <w:kern w:val="44"/>
          <w:sz w:val="24"/>
        </w:rPr>
        <w:t>：</w:t>
      </w:r>
    </w:p>
    <w:p>
      <w:pPr>
        <w:widowControl/>
        <w:spacing w:line="360" w:lineRule="auto"/>
        <w:rPr>
          <w:rFonts w:ascii="宋体" w:hAnsi="宋体"/>
          <w:b/>
          <w:kern w:val="44"/>
          <w:sz w:val="24"/>
        </w:rPr>
      </w:pPr>
      <w:r>
        <w:rPr>
          <w:rFonts w:hint="eastAsia" w:ascii="宋体" w:hAnsi="宋体"/>
          <w:sz w:val="24"/>
        </w:rPr>
        <w:t>北京市地方标准</w:t>
      </w:r>
    </w:p>
    <w:p>
      <w:pPr>
        <w:spacing w:line="360" w:lineRule="auto"/>
        <w:rPr>
          <w:rFonts w:ascii="宋体" w:hAnsi="宋体"/>
          <w:sz w:val="24"/>
        </w:rPr>
      </w:pPr>
      <w:r>
        <w:rPr>
          <w:rFonts w:ascii="宋体" w:hAnsi="宋体"/>
          <w:sz w:val="24"/>
        </w:rPr>
        <w:t>DB</w:t>
      </w:r>
    </w:p>
    <w:p>
      <w:pPr>
        <w:spacing w:line="360" w:lineRule="auto"/>
        <w:rPr>
          <w:rFonts w:ascii="宋体" w:hAnsi="宋体"/>
          <w:sz w:val="24"/>
        </w:rPr>
      </w:pPr>
      <w:r>
        <w:rPr>
          <w:rFonts w:ascii="宋体" w:hAnsi="宋体"/>
          <w:sz w:val="24"/>
        </w:rPr>
        <w:t>DB11/T 354—2006</w:t>
      </w:r>
    </w:p>
    <w:p>
      <w:pPr>
        <w:spacing w:line="360" w:lineRule="auto"/>
        <w:rPr>
          <w:rFonts w:ascii="宋体" w:hAnsi="宋体"/>
          <w:sz w:val="24"/>
        </w:rPr>
      </w:pPr>
      <w:r>
        <w:rPr>
          <w:rFonts w:hint="eastAsia" w:ascii="宋体" w:hAnsi="宋体"/>
          <w:sz w:val="24"/>
        </w:rPr>
        <w:t>生活垃圾收集运输管理规范</w:t>
      </w:r>
    </w:p>
    <w:p>
      <w:pPr>
        <w:spacing w:line="360" w:lineRule="auto"/>
        <w:rPr>
          <w:rFonts w:ascii="宋体" w:hAnsi="宋体"/>
          <w:sz w:val="24"/>
        </w:rPr>
      </w:pPr>
      <w:r>
        <w:rPr>
          <w:rFonts w:ascii="宋体" w:hAnsi="宋体"/>
          <w:sz w:val="24"/>
        </w:rPr>
        <w:t>Code for Management of Collection &amp; Transportation of Domestic Wastes</w:t>
      </w:r>
    </w:p>
    <w:p>
      <w:pPr>
        <w:spacing w:line="360" w:lineRule="auto"/>
        <w:rPr>
          <w:rFonts w:ascii="宋体" w:hAnsi="宋体"/>
          <w:sz w:val="24"/>
        </w:rPr>
      </w:pPr>
      <w:r>
        <w:rPr>
          <w:rFonts w:hint="eastAsia" w:ascii="宋体" w:hAnsi="宋体"/>
          <w:sz w:val="24"/>
        </w:rPr>
        <w:t>2006-06-14 发布</w:t>
      </w:r>
    </w:p>
    <w:p>
      <w:pPr>
        <w:spacing w:line="360" w:lineRule="auto"/>
        <w:rPr>
          <w:rFonts w:ascii="宋体" w:hAnsi="宋体"/>
          <w:sz w:val="24"/>
        </w:rPr>
      </w:pPr>
      <w:r>
        <w:rPr>
          <w:rFonts w:hint="eastAsia" w:ascii="宋体" w:hAnsi="宋体"/>
          <w:sz w:val="24"/>
        </w:rPr>
        <w:t>2006-08-01 实施</w:t>
      </w:r>
    </w:p>
    <w:p>
      <w:pPr>
        <w:spacing w:line="360" w:lineRule="auto"/>
        <w:rPr>
          <w:rFonts w:ascii="宋体" w:hAnsi="宋体"/>
          <w:sz w:val="24"/>
        </w:rPr>
      </w:pPr>
      <w:r>
        <w:rPr>
          <w:rFonts w:hint="eastAsia" w:ascii="宋体" w:hAnsi="宋体"/>
          <w:sz w:val="24"/>
        </w:rPr>
        <w:t>北京市质量技术监督局发布</w:t>
      </w:r>
    </w:p>
    <w:p>
      <w:pPr>
        <w:spacing w:line="360" w:lineRule="auto"/>
        <w:rPr>
          <w:rFonts w:ascii="宋体" w:hAnsi="宋体"/>
          <w:sz w:val="24"/>
        </w:rPr>
      </w:pPr>
      <w:r>
        <w:rPr>
          <w:rFonts w:hint="eastAsia" w:ascii="宋体" w:hAnsi="宋体"/>
          <w:sz w:val="24"/>
        </w:rPr>
        <w:t>前言</w:t>
      </w:r>
    </w:p>
    <w:p>
      <w:pPr>
        <w:spacing w:line="360" w:lineRule="auto"/>
        <w:rPr>
          <w:rFonts w:ascii="宋体" w:hAnsi="宋体"/>
          <w:sz w:val="24"/>
        </w:rPr>
      </w:pPr>
      <w:r>
        <w:rPr>
          <w:rFonts w:hint="eastAsia" w:ascii="宋体" w:hAnsi="宋体"/>
          <w:sz w:val="24"/>
        </w:rPr>
        <w:t>本标准由北京市市政管理委员会提出和归口管理。</w:t>
      </w:r>
    </w:p>
    <w:p>
      <w:pPr>
        <w:spacing w:line="360" w:lineRule="auto"/>
        <w:rPr>
          <w:rFonts w:ascii="宋体" w:hAnsi="宋体"/>
          <w:sz w:val="24"/>
        </w:rPr>
      </w:pPr>
      <w:r>
        <w:rPr>
          <w:rFonts w:hint="eastAsia" w:ascii="宋体" w:hAnsi="宋体"/>
          <w:sz w:val="24"/>
        </w:rPr>
        <w:t>本标准起草单位：北京市环境卫生设计科学研究所。</w:t>
      </w:r>
    </w:p>
    <w:p>
      <w:pPr>
        <w:spacing w:line="360" w:lineRule="auto"/>
        <w:rPr>
          <w:rFonts w:ascii="宋体" w:hAnsi="宋体"/>
          <w:sz w:val="24"/>
        </w:rPr>
      </w:pPr>
      <w:r>
        <w:rPr>
          <w:rFonts w:hint="eastAsia" w:ascii="宋体" w:hAnsi="宋体"/>
          <w:sz w:val="24"/>
        </w:rPr>
        <w:t>本标准起草人：邢汝明、吴文伟、刘竞、卫潘明、王建民、王伟。</w:t>
      </w:r>
    </w:p>
    <w:p>
      <w:pPr>
        <w:spacing w:line="360" w:lineRule="auto"/>
        <w:rPr>
          <w:rFonts w:ascii="宋体" w:hAnsi="宋体"/>
          <w:sz w:val="24"/>
        </w:rPr>
      </w:pPr>
      <w:r>
        <w:rPr>
          <w:rFonts w:hint="eastAsia" w:ascii="宋体" w:hAnsi="宋体"/>
          <w:sz w:val="24"/>
        </w:rPr>
        <w:t>本标准由北京市环境卫生设计科学研究所解释。</w:t>
      </w:r>
    </w:p>
    <w:p>
      <w:pPr>
        <w:spacing w:line="360" w:lineRule="auto"/>
        <w:rPr>
          <w:rFonts w:ascii="宋体" w:hAnsi="宋体"/>
          <w:sz w:val="24"/>
        </w:rPr>
      </w:pPr>
      <w:r>
        <w:rPr>
          <w:rFonts w:hint="eastAsia" w:ascii="宋体" w:hAnsi="宋体"/>
          <w:sz w:val="24"/>
        </w:rPr>
        <w:t>本标准于 2006 年首次发布。</w:t>
      </w:r>
    </w:p>
    <w:p>
      <w:pPr>
        <w:widowControl/>
        <w:spacing w:line="360" w:lineRule="auto"/>
        <w:rPr>
          <w:rFonts w:ascii="宋体" w:hAnsi="宋体"/>
          <w:b/>
          <w:kern w:val="44"/>
          <w:sz w:val="24"/>
        </w:rPr>
      </w:pPr>
    </w:p>
    <w:p>
      <w:pPr>
        <w:spacing w:line="360" w:lineRule="auto"/>
        <w:jc w:val="center"/>
        <w:rPr>
          <w:rFonts w:ascii="宋体" w:hAnsi="宋体"/>
          <w:b/>
          <w:sz w:val="24"/>
        </w:rPr>
      </w:pPr>
      <w:r>
        <w:rPr>
          <w:rFonts w:hint="eastAsia" w:ascii="宋体" w:hAnsi="宋体"/>
          <w:b/>
          <w:sz w:val="24"/>
        </w:rPr>
        <w:t>生活垃圾收集运输管理规范</w:t>
      </w:r>
    </w:p>
    <w:p>
      <w:pPr>
        <w:adjustRightInd w:val="0"/>
        <w:snapToGrid w:val="0"/>
        <w:spacing w:line="360" w:lineRule="auto"/>
        <w:ind w:firstLine="482" w:firstLineChars="200"/>
        <w:rPr>
          <w:rFonts w:ascii="宋体" w:hAnsi="宋体"/>
          <w:b/>
          <w:sz w:val="24"/>
        </w:rPr>
      </w:pPr>
      <w:r>
        <w:rPr>
          <w:rFonts w:hint="eastAsia" w:ascii="宋体" w:hAnsi="宋体"/>
          <w:b/>
          <w:sz w:val="24"/>
        </w:rPr>
        <w:t xml:space="preserve">1.范围 </w:t>
      </w:r>
    </w:p>
    <w:p>
      <w:pPr>
        <w:adjustRightInd w:val="0"/>
        <w:snapToGrid w:val="0"/>
        <w:spacing w:line="360" w:lineRule="auto"/>
        <w:ind w:firstLine="480" w:firstLineChars="200"/>
        <w:rPr>
          <w:rFonts w:ascii="宋体" w:hAnsi="宋体"/>
          <w:sz w:val="24"/>
        </w:rPr>
      </w:pPr>
      <w:r>
        <w:rPr>
          <w:rFonts w:hint="eastAsia" w:ascii="宋体" w:hAnsi="宋体"/>
          <w:sz w:val="24"/>
        </w:rPr>
        <w:t xml:space="preserve">本标准规定了生活垃圾收集运输过程中的基本要求、垃圾投放、垃圾收集和垃圾运输的管理要求。  </w:t>
      </w:r>
    </w:p>
    <w:p>
      <w:pPr>
        <w:adjustRightInd w:val="0"/>
        <w:snapToGrid w:val="0"/>
        <w:spacing w:line="360" w:lineRule="auto"/>
        <w:ind w:firstLine="480" w:firstLineChars="200"/>
        <w:rPr>
          <w:rFonts w:ascii="宋体" w:hAnsi="宋体"/>
          <w:sz w:val="24"/>
        </w:rPr>
      </w:pPr>
      <w:r>
        <w:rPr>
          <w:rFonts w:hint="eastAsia" w:ascii="宋体" w:hAnsi="宋体"/>
          <w:sz w:val="24"/>
        </w:rPr>
        <w:t xml:space="preserve">本标准适用于生活垃圾收集运输管理。 </w:t>
      </w:r>
    </w:p>
    <w:p>
      <w:pPr>
        <w:adjustRightInd w:val="0"/>
        <w:snapToGrid w:val="0"/>
        <w:spacing w:line="360" w:lineRule="auto"/>
        <w:ind w:firstLine="482" w:firstLineChars="200"/>
        <w:rPr>
          <w:rFonts w:ascii="宋体" w:hAnsi="宋体"/>
          <w:b/>
          <w:sz w:val="24"/>
        </w:rPr>
      </w:pPr>
      <w:r>
        <w:rPr>
          <w:rFonts w:hint="eastAsia" w:ascii="宋体" w:hAnsi="宋体"/>
          <w:b/>
          <w:sz w:val="24"/>
        </w:rPr>
        <w:t xml:space="preserve">2.规范性引用文件 </w:t>
      </w:r>
    </w:p>
    <w:p>
      <w:pPr>
        <w:adjustRightInd w:val="0"/>
        <w:snapToGrid w:val="0"/>
        <w:spacing w:line="360" w:lineRule="auto"/>
        <w:ind w:firstLine="480" w:firstLineChars="200"/>
        <w:rPr>
          <w:rFonts w:ascii="宋体" w:hAnsi="宋体"/>
          <w:sz w:val="24"/>
        </w:rPr>
      </w:pPr>
      <w:r>
        <w:rPr>
          <w:rFonts w:hint="eastAsia" w:ascii="宋体" w:hAnsi="宋体"/>
          <w:sz w:val="24"/>
        </w:rPr>
        <w:t xml:space="preserve">下列文件中的条款通过本标准的引用而成为本标准的条款。 凡是注日期的引用文件， 其随后所有的修改单（不包括勘误的内容）或修订版均不适用于本标准，然而，鼓励根据本标准达成协议的各方研究是否可使用这些文件的最新版本。凡是不注日期的引用文件，其最新版本适用于本标准。 </w:t>
      </w:r>
    </w:p>
    <w:p>
      <w:pPr>
        <w:adjustRightInd w:val="0"/>
        <w:snapToGrid w:val="0"/>
        <w:spacing w:line="360" w:lineRule="auto"/>
        <w:ind w:firstLine="480" w:firstLineChars="200"/>
        <w:rPr>
          <w:rFonts w:ascii="宋体" w:hAnsi="宋体"/>
          <w:sz w:val="24"/>
        </w:rPr>
      </w:pPr>
      <w:r>
        <w:rPr>
          <w:rFonts w:hint="eastAsia" w:ascii="宋体" w:hAnsi="宋体"/>
          <w:sz w:val="24"/>
        </w:rPr>
        <w:t xml:space="preserve">GB 12801  生产过程安全卫生要求总则 </w:t>
      </w:r>
    </w:p>
    <w:p>
      <w:pPr>
        <w:adjustRightInd w:val="0"/>
        <w:snapToGrid w:val="0"/>
        <w:spacing w:line="360" w:lineRule="auto"/>
        <w:ind w:firstLine="480" w:firstLineChars="200"/>
        <w:rPr>
          <w:rFonts w:ascii="宋体" w:hAnsi="宋体"/>
          <w:sz w:val="24"/>
        </w:rPr>
      </w:pPr>
      <w:r>
        <w:rPr>
          <w:rFonts w:hint="eastAsia" w:ascii="宋体" w:hAnsi="宋体"/>
          <w:sz w:val="24"/>
        </w:rPr>
        <w:t xml:space="preserve">GB/T 19095  城市生活垃圾分类标志 </w:t>
      </w:r>
    </w:p>
    <w:p>
      <w:pPr>
        <w:adjustRightInd w:val="0"/>
        <w:snapToGrid w:val="0"/>
        <w:spacing w:line="360" w:lineRule="auto"/>
        <w:ind w:firstLine="480" w:firstLineChars="200"/>
        <w:rPr>
          <w:rFonts w:ascii="宋体" w:hAnsi="宋体"/>
          <w:sz w:val="24"/>
        </w:rPr>
      </w:pPr>
      <w:r>
        <w:rPr>
          <w:rFonts w:hint="eastAsia" w:ascii="宋体" w:hAnsi="宋体"/>
          <w:sz w:val="24"/>
        </w:rPr>
        <w:t xml:space="preserve">CJ/T 84  垃圾车 </w:t>
      </w:r>
    </w:p>
    <w:p>
      <w:pPr>
        <w:adjustRightInd w:val="0"/>
        <w:snapToGrid w:val="0"/>
        <w:spacing w:line="360" w:lineRule="auto"/>
        <w:ind w:firstLine="480" w:firstLineChars="200"/>
        <w:rPr>
          <w:rFonts w:ascii="宋体" w:hAnsi="宋体"/>
          <w:sz w:val="24"/>
        </w:rPr>
      </w:pPr>
      <w:r>
        <w:rPr>
          <w:rFonts w:hint="eastAsia" w:ascii="宋体" w:hAnsi="宋体"/>
          <w:sz w:val="24"/>
        </w:rPr>
        <w:t xml:space="preserve">CJ/T 127  压缩式垃圾车 </w:t>
      </w:r>
    </w:p>
    <w:p>
      <w:pPr>
        <w:adjustRightInd w:val="0"/>
        <w:snapToGrid w:val="0"/>
        <w:spacing w:line="360" w:lineRule="auto"/>
        <w:ind w:firstLine="480" w:firstLineChars="200"/>
        <w:rPr>
          <w:rFonts w:ascii="宋体" w:hAnsi="宋体"/>
          <w:sz w:val="24"/>
        </w:rPr>
      </w:pPr>
      <w:r>
        <w:rPr>
          <w:rFonts w:hint="eastAsia" w:ascii="宋体" w:hAnsi="宋体"/>
          <w:sz w:val="24"/>
        </w:rPr>
        <w:t xml:space="preserve">CJJ/T 65-2004  市容环境卫生术语标准 </w:t>
      </w:r>
    </w:p>
    <w:p>
      <w:pPr>
        <w:adjustRightInd w:val="0"/>
        <w:snapToGrid w:val="0"/>
        <w:spacing w:line="360" w:lineRule="auto"/>
        <w:ind w:firstLine="480" w:firstLineChars="200"/>
        <w:rPr>
          <w:rFonts w:ascii="宋体" w:hAnsi="宋体"/>
          <w:sz w:val="24"/>
        </w:rPr>
      </w:pPr>
      <w:r>
        <w:rPr>
          <w:rFonts w:hint="eastAsia" w:ascii="宋体" w:hAnsi="宋体"/>
          <w:sz w:val="24"/>
        </w:rPr>
        <w:t xml:space="preserve">CJJ/T 102  城市生活垃圾分类及其评价标准 </w:t>
      </w:r>
    </w:p>
    <w:p>
      <w:pPr>
        <w:adjustRightInd w:val="0"/>
        <w:snapToGrid w:val="0"/>
        <w:spacing w:line="360" w:lineRule="auto"/>
        <w:ind w:firstLine="482" w:firstLineChars="200"/>
        <w:rPr>
          <w:rFonts w:ascii="宋体" w:hAnsi="宋体"/>
          <w:b/>
          <w:sz w:val="24"/>
        </w:rPr>
      </w:pPr>
      <w:r>
        <w:rPr>
          <w:rFonts w:hint="eastAsia" w:ascii="宋体" w:hAnsi="宋体"/>
          <w:b/>
          <w:sz w:val="24"/>
        </w:rPr>
        <w:t xml:space="preserve">3.术语与定义 </w:t>
      </w:r>
    </w:p>
    <w:p>
      <w:pPr>
        <w:adjustRightInd w:val="0"/>
        <w:snapToGrid w:val="0"/>
        <w:spacing w:line="360" w:lineRule="auto"/>
        <w:ind w:firstLine="480" w:firstLineChars="200"/>
        <w:rPr>
          <w:rFonts w:ascii="宋体" w:hAnsi="宋体"/>
          <w:sz w:val="24"/>
        </w:rPr>
      </w:pPr>
      <w:r>
        <w:rPr>
          <w:rFonts w:hint="eastAsia" w:ascii="宋体" w:hAnsi="宋体"/>
          <w:sz w:val="24"/>
        </w:rPr>
        <w:t xml:space="preserve">以下术语和定义适用于本标准，凡未在本标准定义的环卫术语按CJJ/T 65-2004规定执行。 </w:t>
      </w:r>
    </w:p>
    <w:p>
      <w:pPr>
        <w:adjustRightInd w:val="0"/>
        <w:snapToGrid w:val="0"/>
        <w:spacing w:line="360" w:lineRule="auto"/>
        <w:ind w:firstLine="480" w:firstLineChars="200"/>
        <w:rPr>
          <w:rFonts w:ascii="宋体" w:hAnsi="宋体"/>
          <w:sz w:val="24"/>
        </w:rPr>
      </w:pPr>
      <w:r>
        <w:rPr>
          <w:rFonts w:ascii="宋体" w:hAnsi="宋体"/>
          <w:sz w:val="24"/>
        </w:rPr>
        <w:t xml:space="preserve">3.1 </w:t>
      </w:r>
      <w:r>
        <w:rPr>
          <w:rFonts w:hint="eastAsia" w:ascii="宋体" w:hAnsi="宋体"/>
          <w:sz w:val="24"/>
        </w:rPr>
        <w:t xml:space="preserve">垃圾收集容器 </w:t>
      </w:r>
      <w:r>
        <w:rPr>
          <w:rFonts w:ascii="宋体" w:hAnsi="宋体"/>
          <w:sz w:val="24"/>
        </w:rPr>
        <w:t xml:space="preserve">waste receptacles </w:t>
      </w:r>
      <w:r>
        <w:rPr>
          <w:rFonts w:hint="eastAsia" w:ascii="宋体" w:hAnsi="宋体"/>
          <w:sz w:val="24"/>
        </w:rPr>
        <w:t xml:space="preserve">,用于收集生活垃圾的容器，包括垃圾桶和垃圾箱。 </w:t>
      </w:r>
    </w:p>
    <w:p>
      <w:pPr>
        <w:adjustRightInd w:val="0"/>
        <w:snapToGrid w:val="0"/>
        <w:spacing w:line="360" w:lineRule="auto"/>
        <w:ind w:firstLine="480" w:firstLineChars="200"/>
        <w:rPr>
          <w:rFonts w:ascii="宋体" w:hAnsi="宋体"/>
          <w:sz w:val="24"/>
        </w:rPr>
      </w:pPr>
      <w:r>
        <w:rPr>
          <w:rFonts w:ascii="宋体" w:hAnsi="宋体"/>
          <w:sz w:val="24"/>
        </w:rPr>
        <w:t xml:space="preserve">3.2 </w:t>
      </w:r>
      <w:r>
        <w:rPr>
          <w:rFonts w:hint="eastAsia" w:ascii="宋体" w:hAnsi="宋体"/>
          <w:sz w:val="24"/>
        </w:rPr>
        <w:t xml:space="preserve">垃圾收集站 </w:t>
      </w:r>
      <w:r>
        <w:rPr>
          <w:rFonts w:ascii="宋体" w:hAnsi="宋体"/>
          <w:sz w:val="24"/>
        </w:rPr>
        <w:t xml:space="preserve">waste collection station </w:t>
      </w:r>
      <w:r>
        <w:rPr>
          <w:rFonts w:hint="eastAsia" w:ascii="宋体" w:hAnsi="宋体"/>
          <w:sz w:val="24"/>
        </w:rPr>
        <w:t xml:space="preserve">,将分散收集的垃圾集中后，由收集运输车运出去的小型垃圾收集设施，包括垃圾房、垃圾密闭式清洁站、地下箱站、小型垃圾中转站。 </w:t>
      </w:r>
    </w:p>
    <w:p>
      <w:pPr>
        <w:adjustRightInd w:val="0"/>
        <w:snapToGrid w:val="0"/>
        <w:spacing w:line="360" w:lineRule="auto"/>
        <w:ind w:firstLine="480" w:firstLineChars="200"/>
        <w:rPr>
          <w:rFonts w:ascii="宋体" w:hAnsi="宋体"/>
          <w:sz w:val="24"/>
        </w:rPr>
      </w:pPr>
      <w:r>
        <w:rPr>
          <w:rFonts w:ascii="宋体" w:hAnsi="宋体"/>
          <w:sz w:val="24"/>
        </w:rPr>
        <w:t xml:space="preserve">3.3 </w:t>
      </w:r>
      <w:r>
        <w:rPr>
          <w:rFonts w:hint="eastAsia" w:ascii="宋体" w:hAnsi="宋体"/>
          <w:sz w:val="24"/>
        </w:rPr>
        <w:t xml:space="preserve">垃圾收集运输车 </w:t>
      </w:r>
      <w:r>
        <w:rPr>
          <w:rFonts w:ascii="宋体" w:hAnsi="宋体"/>
          <w:sz w:val="24"/>
        </w:rPr>
        <w:t xml:space="preserve">trucks for waste collection and transportation </w:t>
      </w:r>
      <w:r>
        <w:rPr>
          <w:rFonts w:hint="eastAsia" w:ascii="宋体" w:hAnsi="宋体"/>
          <w:sz w:val="24"/>
        </w:rPr>
        <w:t xml:space="preserve">,用于收集、运输垃圾的车辆，包括机动和非机动车。   </w:t>
      </w:r>
    </w:p>
    <w:p>
      <w:pPr>
        <w:adjustRightInd w:val="0"/>
        <w:snapToGrid w:val="0"/>
        <w:spacing w:line="360" w:lineRule="auto"/>
        <w:ind w:firstLine="482" w:firstLineChars="200"/>
        <w:rPr>
          <w:rFonts w:ascii="宋体" w:hAnsi="宋体"/>
          <w:b/>
          <w:sz w:val="24"/>
        </w:rPr>
      </w:pPr>
      <w:r>
        <w:rPr>
          <w:rFonts w:hint="eastAsia" w:ascii="宋体" w:hAnsi="宋体"/>
          <w:b/>
          <w:sz w:val="24"/>
        </w:rPr>
        <w:t xml:space="preserve">4.基本要求 </w:t>
      </w:r>
    </w:p>
    <w:p>
      <w:pPr>
        <w:adjustRightInd w:val="0"/>
        <w:snapToGrid w:val="0"/>
        <w:spacing w:line="360" w:lineRule="auto"/>
        <w:ind w:firstLine="480" w:firstLineChars="200"/>
        <w:rPr>
          <w:rFonts w:ascii="宋体" w:hAnsi="宋体"/>
          <w:sz w:val="24"/>
        </w:rPr>
      </w:pPr>
      <w:r>
        <w:rPr>
          <w:rFonts w:hint="eastAsia" w:ascii="宋体" w:hAnsi="宋体"/>
          <w:sz w:val="24"/>
        </w:rPr>
        <w:t xml:space="preserve">4.1 收集运输企业要求 </w:t>
      </w:r>
    </w:p>
    <w:p>
      <w:pPr>
        <w:adjustRightInd w:val="0"/>
        <w:snapToGrid w:val="0"/>
        <w:spacing w:line="360" w:lineRule="auto"/>
        <w:ind w:firstLine="480" w:firstLineChars="200"/>
        <w:rPr>
          <w:rFonts w:ascii="宋体" w:hAnsi="宋体"/>
          <w:sz w:val="24"/>
        </w:rPr>
      </w:pPr>
      <w:r>
        <w:rPr>
          <w:rFonts w:hint="eastAsia" w:ascii="宋体" w:hAnsi="宋体"/>
          <w:sz w:val="24"/>
        </w:rPr>
        <w:t xml:space="preserve">生活垃圾收集运输作业单位应符合以下要求。 </w:t>
      </w:r>
    </w:p>
    <w:p>
      <w:pPr>
        <w:adjustRightInd w:val="0"/>
        <w:snapToGrid w:val="0"/>
        <w:spacing w:line="360" w:lineRule="auto"/>
        <w:ind w:firstLine="480" w:firstLineChars="200"/>
        <w:rPr>
          <w:rFonts w:ascii="宋体" w:hAnsi="宋体"/>
          <w:sz w:val="24"/>
        </w:rPr>
      </w:pPr>
      <w:r>
        <w:rPr>
          <w:rFonts w:hint="eastAsia" w:ascii="宋体" w:hAnsi="宋体"/>
          <w:sz w:val="24"/>
        </w:rPr>
        <w:t xml:space="preserve">4.1.1 具有经营资质，且具备的人员、设备和设施应符合北京市有关规定。 </w:t>
      </w:r>
    </w:p>
    <w:p>
      <w:pPr>
        <w:adjustRightInd w:val="0"/>
        <w:snapToGrid w:val="0"/>
        <w:spacing w:line="360" w:lineRule="auto"/>
        <w:ind w:firstLine="480" w:firstLineChars="200"/>
        <w:rPr>
          <w:rFonts w:ascii="宋体" w:hAnsi="宋体"/>
          <w:sz w:val="24"/>
        </w:rPr>
      </w:pPr>
      <w:r>
        <w:rPr>
          <w:rFonts w:hint="eastAsia" w:ascii="宋体" w:hAnsi="宋体"/>
          <w:sz w:val="24"/>
        </w:rPr>
        <w:t xml:space="preserve">4.1.2 经北京市或区级环境卫生主管部门备案和审批后方可进行作业。 </w:t>
      </w:r>
    </w:p>
    <w:p>
      <w:pPr>
        <w:adjustRightInd w:val="0"/>
        <w:snapToGrid w:val="0"/>
        <w:spacing w:line="360" w:lineRule="auto"/>
        <w:ind w:firstLine="480" w:firstLineChars="200"/>
        <w:rPr>
          <w:rFonts w:ascii="宋体" w:hAnsi="宋体"/>
          <w:sz w:val="24"/>
        </w:rPr>
      </w:pPr>
      <w:r>
        <w:rPr>
          <w:rFonts w:hint="eastAsia" w:ascii="宋体" w:hAnsi="宋体"/>
          <w:sz w:val="24"/>
        </w:rPr>
        <w:t xml:space="preserve">4.1.3 根据合同或协议，依据国家和北京市有关法律、法规和标准开展垃圾收集运输任务。 </w:t>
      </w:r>
    </w:p>
    <w:p>
      <w:pPr>
        <w:adjustRightInd w:val="0"/>
        <w:snapToGrid w:val="0"/>
        <w:spacing w:line="360" w:lineRule="auto"/>
        <w:ind w:firstLine="480" w:firstLineChars="200"/>
        <w:rPr>
          <w:rFonts w:ascii="宋体" w:hAnsi="宋体"/>
          <w:sz w:val="24"/>
        </w:rPr>
      </w:pPr>
      <w:r>
        <w:rPr>
          <w:rFonts w:hint="eastAsia" w:ascii="宋体" w:hAnsi="宋体"/>
          <w:sz w:val="24"/>
        </w:rPr>
        <w:t xml:space="preserve">4.1.4 接受各级市容环境卫生主管部门的管理和监督。 </w:t>
      </w:r>
    </w:p>
    <w:p>
      <w:pPr>
        <w:adjustRightInd w:val="0"/>
        <w:snapToGrid w:val="0"/>
        <w:spacing w:line="360" w:lineRule="auto"/>
        <w:ind w:firstLine="480" w:firstLineChars="200"/>
        <w:rPr>
          <w:rFonts w:ascii="宋体" w:hAnsi="宋体"/>
          <w:sz w:val="24"/>
        </w:rPr>
      </w:pPr>
      <w:r>
        <w:rPr>
          <w:rFonts w:hint="eastAsia" w:ascii="宋体" w:hAnsi="宋体"/>
          <w:sz w:val="24"/>
        </w:rPr>
        <w:t xml:space="preserve">4.1.5 安全运行应符合 GB 12801 的规定。 </w:t>
      </w:r>
    </w:p>
    <w:p>
      <w:pPr>
        <w:adjustRightInd w:val="0"/>
        <w:snapToGrid w:val="0"/>
        <w:spacing w:line="360" w:lineRule="auto"/>
        <w:ind w:firstLine="480" w:firstLineChars="200"/>
        <w:rPr>
          <w:rFonts w:ascii="宋体" w:hAnsi="宋体"/>
          <w:sz w:val="24"/>
        </w:rPr>
      </w:pPr>
      <w:r>
        <w:rPr>
          <w:rFonts w:hint="eastAsia" w:ascii="宋体" w:hAnsi="宋体"/>
          <w:sz w:val="24"/>
        </w:rPr>
        <w:t>4.1.6 经营生活垃圾收集运输作业单位应具备下列保证措施。</w:t>
      </w:r>
    </w:p>
    <w:p>
      <w:pPr>
        <w:adjustRightInd w:val="0"/>
        <w:snapToGrid w:val="0"/>
        <w:spacing w:line="360" w:lineRule="auto"/>
        <w:ind w:firstLine="480" w:firstLineChars="200"/>
        <w:rPr>
          <w:rFonts w:ascii="宋体" w:hAnsi="宋体"/>
          <w:sz w:val="24"/>
        </w:rPr>
      </w:pPr>
      <w:r>
        <w:rPr>
          <w:rFonts w:hint="eastAsia" w:ascii="宋体" w:hAnsi="宋体"/>
          <w:sz w:val="24"/>
        </w:rPr>
        <w:t xml:space="preserve">4.1.6.1 应有切实可行的环境卫生管理制度，保证在生活垃圾收集运输过程中达到本标准和北京市有关规定的要求。 </w:t>
      </w:r>
    </w:p>
    <w:p>
      <w:pPr>
        <w:adjustRightInd w:val="0"/>
        <w:snapToGrid w:val="0"/>
        <w:spacing w:line="360" w:lineRule="auto"/>
        <w:ind w:firstLine="480" w:firstLineChars="200"/>
        <w:rPr>
          <w:rFonts w:ascii="宋体" w:hAnsi="宋体"/>
          <w:sz w:val="24"/>
        </w:rPr>
      </w:pPr>
      <w:r>
        <w:rPr>
          <w:rFonts w:hint="eastAsia" w:ascii="宋体" w:hAnsi="宋体"/>
          <w:sz w:val="24"/>
        </w:rPr>
        <w:t xml:space="preserve">4.1.6.2 建立环境卫生检查、抽查制度，建立各级领导负责制度，以及奖罚制度。 </w:t>
      </w:r>
    </w:p>
    <w:p>
      <w:pPr>
        <w:adjustRightInd w:val="0"/>
        <w:snapToGrid w:val="0"/>
        <w:spacing w:line="360" w:lineRule="auto"/>
        <w:ind w:firstLine="480" w:firstLineChars="200"/>
        <w:rPr>
          <w:rFonts w:ascii="宋体" w:hAnsi="宋体"/>
          <w:sz w:val="24"/>
        </w:rPr>
      </w:pPr>
      <w:r>
        <w:rPr>
          <w:rFonts w:hint="eastAsia" w:ascii="宋体" w:hAnsi="宋体"/>
          <w:sz w:val="24"/>
        </w:rPr>
        <w:t xml:space="preserve">4.1.6.3 设有专职管理人员，负责环境卫生的检查和监督工作。 </w:t>
      </w:r>
    </w:p>
    <w:p>
      <w:pPr>
        <w:adjustRightInd w:val="0"/>
        <w:snapToGrid w:val="0"/>
        <w:spacing w:line="360" w:lineRule="auto"/>
        <w:ind w:firstLine="480" w:firstLineChars="200"/>
        <w:rPr>
          <w:rFonts w:ascii="宋体" w:hAnsi="宋体"/>
          <w:sz w:val="24"/>
        </w:rPr>
      </w:pPr>
      <w:r>
        <w:rPr>
          <w:rFonts w:hint="eastAsia" w:ascii="宋体" w:hAnsi="宋体"/>
          <w:sz w:val="24"/>
        </w:rPr>
        <w:t xml:space="preserve">4.1.6.4 制定各类工种人员的岗位责任制，组织、开展职工技术培训、岗位培训和安全生产培训。 </w:t>
      </w:r>
    </w:p>
    <w:p>
      <w:pPr>
        <w:adjustRightInd w:val="0"/>
        <w:snapToGrid w:val="0"/>
        <w:spacing w:line="360" w:lineRule="auto"/>
        <w:ind w:firstLine="480" w:firstLineChars="200"/>
        <w:rPr>
          <w:rFonts w:ascii="宋体" w:hAnsi="宋体"/>
          <w:sz w:val="24"/>
        </w:rPr>
      </w:pPr>
      <w:r>
        <w:rPr>
          <w:rFonts w:hint="eastAsia" w:ascii="宋体" w:hAnsi="宋体"/>
          <w:sz w:val="24"/>
        </w:rPr>
        <w:t xml:space="preserve">4.1.6.5 建立运营管理和相关工作程序文件，建立和完善垃圾收集运输设备、车辆的使用、保养和维修等相关文件。 </w:t>
      </w:r>
    </w:p>
    <w:p>
      <w:pPr>
        <w:adjustRightInd w:val="0"/>
        <w:snapToGrid w:val="0"/>
        <w:spacing w:line="360" w:lineRule="auto"/>
        <w:ind w:firstLine="480" w:firstLineChars="200"/>
        <w:rPr>
          <w:rFonts w:ascii="宋体" w:hAnsi="宋体"/>
          <w:sz w:val="24"/>
        </w:rPr>
      </w:pPr>
      <w:r>
        <w:rPr>
          <w:rFonts w:hint="eastAsia" w:ascii="宋体" w:hAnsi="宋体"/>
          <w:sz w:val="24"/>
        </w:rPr>
        <w:t xml:space="preserve">4.2 设备、设施要求  </w:t>
      </w:r>
    </w:p>
    <w:p>
      <w:pPr>
        <w:adjustRightInd w:val="0"/>
        <w:snapToGrid w:val="0"/>
        <w:spacing w:line="360" w:lineRule="auto"/>
        <w:ind w:firstLine="480" w:firstLineChars="200"/>
        <w:rPr>
          <w:rFonts w:ascii="宋体" w:hAnsi="宋体"/>
          <w:sz w:val="24"/>
        </w:rPr>
      </w:pPr>
      <w:r>
        <w:rPr>
          <w:rFonts w:hint="eastAsia" w:ascii="宋体" w:hAnsi="宋体"/>
          <w:sz w:val="24"/>
        </w:rPr>
        <w:t xml:space="preserve">4.2.1 一般要求 </w:t>
      </w:r>
    </w:p>
    <w:p>
      <w:pPr>
        <w:adjustRightInd w:val="0"/>
        <w:snapToGrid w:val="0"/>
        <w:spacing w:line="360" w:lineRule="auto"/>
        <w:ind w:firstLine="480" w:firstLineChars="200"/>
        <w:rPr>
          <w:rFonts w:ascii="宋体" w:hAnsi="宋体"/>
          <w:sz w:val="24"/>
        </w:rPr>
      </w:pPr>
      <w:r>
        <w:rPr>
          <w:rFonts w:hint="eastAsia" w:ascii="宋体" w:hAnsi="宋体"/>
          <w:sz w:val="24"/>
        </w:rPr>
        <w:t xml:space="preserve">4.2.1.1 经营生活垃圾收集运输作业单位有责任选用新设备、新工艺和新设施，不断更新设备、工艺和设施，淘汰落后的设备、工艺和设施，以适应北京市不断发展的需要。 </w:t>
      </w:r>
    </w:p>
    <w:p>
      <w:pPr>
        <w:adjustRightInd w:val="0"/>
        <w:snapToGrid w:val="0"/>
        <w:spacing w:line="360" w:lineRule="auto"/>
        <w:ind w:firstLine="480" w:firstLineChars="200"/>
        <w:rPr>
          <w:rFonts w:ascii="宋体" w:hAnsi="宋体"/>
          <w:sz w:val="24"/>
        </w:rPr>
      </w:pPr>
      <w:r>
        <w:rPr>
          <w:rFonts w:hint="eastAsia" w:ascii="宋体" w:hAnsi="宋体"/>
          <w:sz w:val="24"/>
        </w:rPr>
        <w:t xml:space="preserve">4.2.1.2 对正在使用的垃圾收集运输车辆和设备应建立必要的检测和淘汰制度，对影响市容、市貌、无法保证不遗洒垃圾和污水的垃圾收集运输车辆和设备应逐渐淘汰。 </w:t>
      </w:r>
    </w:p>
    <w:p>
      <w:pPr>
        <w:adjustRightInd w:val="0"/>
        <w:snapToGrid w:val="0"/>
        <w:spacing w:line="360" w:lineRule="auto"/>
        <w:ind w:firstLine="480" w:firstLineChars="200"/>
        <w:rPr>
          <w:rFonts w:ascii="宋体" w:hAnsi="宋体"/>
          <w:sz w:val="24"/>
        </w:rPr>
      </w:pPr>
      <w:r>
        <w:rPr>
          <w:rFonts w:hint="eastAsia" w:ascii="宋体" w:hAnsi="宋体"/>
          <w:sz w:val="24"/>
        </w:rPr>
        <w:t xml:space="preserve">4.2.1.3 新的垃圾收集运输车辆和设备首次投入使用， 应经过北京市或区县环境卫生主管部门的批准。  </w:t>
      </w:r>
    </w:p>
    <w:p>
      <w:pPr>
        <w:adjustRightInd w:val="0"/>
        <w:snapToGrid w:val="0"/>
        <w:spacing w:line="360" w:lineRule="auto"/>
        <w:ind w:firstLine="480" w:firstLineChars="200"/>
        <w:rPr>
          <w:rFonts w:ascii="宋体" w:hAnsi="宋体"/>
          <w:sz w:val="24"/>
        </w:rPr>
      </w:pPr>
      <w:r>
        <w:rPr>
          <w:rFonts w:hint="eastAsia" w:ascii="宋体" w:hAnsi="宋体"/>
          <w:sz w:val="24"/>
        </w:rPr>
        <w:t xml:space="preserve">4.2.1.4 新投入运营的垃圾收集运输车应符合 CJ/T 84 的规定。 </w:t>
      </w:r>
    </w:p>
    <w:p>
      <w:pPr>
        <w:adjustRightInd w:val="0"/>
        <w:snapToGrid w:val="0"/>
        <w:spacing w:line="360" w:lineRule="auto"/>
        <w:ind w:firstLine="480" w:firstLineChars="200"/>
        <w:rPr>
          <w:rFonts w:ascii="宋体" w:hAnsi="宋体"/>
          <w:sz w:val="24"/>
        </w:rPr>
      </w:pPr>
      <w:r>
        <w:rPr>
          <w:rFonts w:hint="eastAsia" w:ascii="宋体" w:hAnsi="宋体"/>
          <w:sz w:val="24"/>
        </w:rPr>
        <w:t xml:space="preserve">4.2.1.5 新投入运营的压缩式垃圾收集运输车应符合 CJ/T 127 的规定。 </w:t>
      </w:r>
    </w:p>
    <w:p>
      <w:pPr>
        <w:adjustRightInd w:val="0"/>
        <w:snapToGrid w:val="0"/>
        <w:spacing w:line="360" w:lineRule="auto"/>
        <w:ind w:firstLine="480" w:firstLineChars="200"/>
        <w:rPr>
          <w:rFonts w:ascii="宋体" w:hAnsi="宋体"/>
          <w:sz w:val="24"/>
        </w:rPr>
      </w:pPr>
      <w:r>
        <w:rPr>
          <w:rFonts w:hint="eastAsia" w:ascii="宋体" w:hAnsi="宋体"/>
          <w:sz w:val="24"/>
        </w:rPr>
        <w:t xml:space="preserve">4.2.1.6 新投入运营的垃圾收集运输车应设有防垃圾和污水遗洒的机构或装置，保证垃圾和污水在收运过程中不遗洒。 </w:t>
      </w:r>
    </w:p>
    <w:p>
      <w:pPr>
        <w:adjustRightInd w:val="0"/>
        <w:snapToGrid w:val="0"/>
        <w:spacing w:line="360" w:lineRule="auto"/>
        <w:ind w:firstLine="480" w:firstLineChars="200"/>
        <w:rPr>
          <w:rFonts w:ascii="宋体" w:hAnsi="宋体"/>
          <w:sz w:val="24"/>
        </w:rPr>
      </w:pPr>
      <w:r>
        <w:rPr>
          <w:rFonts w:hint="eastAsia" w:ascii="宋体" w:hAnsi="宋体"/>
          <w:sz w:val="24"/>
        </w:rPr>
        <w:t xml:space="preserve">4.2.2 管理要求  </w:t>
      </w:r>
    </w:p>
    <w:p>
      <w:pPr>
        <w:adjustRightInd w:val="0"/>
        <w:snapToGrid w:val="0"/>
        <w:spacing w:line="360" w:lineRule="auto"/>
        <w:ind w:firstLine="480" w:firstLineChars="200"/>
        <w:rPr>
          <w:rFonts w:ascii="宋体" w:hAnsi="宋体"/>
          <w:sz w:val="24"/>
        </w:rPr>
      </w:pPr>
      <w:r>
        <w:rPr>
          <w:rFonts w:hint="eastAsia" w:ascii="宋体" w:hAnsi="宋体"/>
          <w:sz w:val="24"/>
        </w:rPr>
        <w:t xml:space="preserve">4.2.2.1  建立设备、车辆台帐制度，主要内容包括：车辆型号、购置时间、主要部件、易损件、备件名称（规格、型号、数量）、工作情况、保养和维修情况等。 </w:t>
      </w:r>
    </w:p>
    <w:p>
      <w:pPr>
        <w:adjustRightInd w:val="0"/>
        <w:snapToGrid w:val="0"/>
        <w:spacing w:line="360" w:lineRule="auto"/>
        <w:ind w:firstLine="480" w:firstLineChars="200"/>
        <w:rPr>
          <w:rFonts w:ascii="宋体" w:hAnsi="宋体"/>
          <w:sz w:val="24"/>
        </w:rPr>
      </w:pPr>
      <w:r>
        <w:rPr>
          <w:rFonts w:hint="eastAsia" w:ascii="宋体" w:hAnsi="宋体"/>
          <w:sz w:val="24"/>
        </w:rPr>
        <w:t xml:space="preserve">4.2.2.2 建立设备、车辆运行记录制度，主要内容包括：能耗、开始和停止工作时间、故障情况等。 </w:t>
      </w:r>
    </w:p>
    <w:p>
      <w:pPr>
        <w:adjustRightInd w:val="0"/>
        <w:snapToGrid w:val="0"/>
        <w:spacing w:line="360" w:lineRule="auto"/>
        <w:ind w:firstLine="480" w:firstLineChars="200"/>
        <w:rPr>
          <w:rFonts w:ascii="宋体" w:hAnsi="宋体"/>
          <w:sz w:val="24"/>
        </w:rPr>
      </w:pPr>
      <w:r>
        <w:rPr>
          <w:rFonts w:hint="eastAsia" w:ascii="宋体" w:hAnsi="宋体"/>
          <w:sz w:val="24"/>
        </w:rPr>
        <w:t xml:space="preserve">4.2.2.3 建立设备、车辆维修、保养、年检和故障排除制度，确保按时、按质完成垃圾的收集运输任务。 </w:t>
      </w:r>
    </w:p>
    <w:p>
      <w:pPr>
        <w:adjustRightInd w:val="0"/>
        <w:snapToGrid w:val="0"/>
        <w:spacing w:line="360" w:lineRule="auto"/>
        <w:ind w:firstLine="480" w:firstLineChars="200"/>
        <w:rPr>
          <w:rFonts w:ascii="宋体" w:hAnsi="宋体"/>
          <w:sz w:val="24"/>
        </w:rPr>
      </w:pPr>
      <w:r>
        <w:rPr>
          <w:rFonts w:hint="eastAsia" w:ascii="宋体" w:hAnsi="宋体"/>
          <w:sz w:val="24"/>
        </w:rPr>
        <w:t xml:space="preserve">4.3 信息要求 </w:t>
      </w:r>
    </w:p>
    <w:p>
      <w:pPr>
        <w:adjustRightInd w:val="0"/>
        <w:snapToGrid w:val="0"/>
        <w:spacing w:line="360" w:lineRule="auto"/>
        <w:ind w:firstLine="480" w:firstLineChars="200"/>
        <w:rPr>
          <w:rFonts w:ascii="宋体" w:hAnsi="宋体"/>
          <w:sz w:val="24"/>
        </w:rPr>
      </w:pPr>
      <w:r>
        <w:rPr>
          <w:rFonts w:hint="eastAsia" w:ascii="宋体" w:hAnsi="宋体"/>
          <w:sz w:val="24"/>
        </w:rPr>
        <w:t xml:space="preserve">4.3.1 垃圾收集运输企业应按有关规定做好记录、备份、报送等项工作。 </w:t>
      </w:r>
    </w:p>
    <w:p>
      <w:pPr>
        <w:adjustRightInd w:val="0"/>
        <w:snapToGrid w:val="0"/>
        <w:spacing w:line="360" w:lineRule="auto"/>
        <w:ind w:firstLine="480" w:firstLineChars="200"/>
        <w:rPr>
          <w:rFonts w:ascii="宋体" w:hAnsi="宋体"/>
          <w:sz w:val="24"/>
        </w:rPr>
      </w:pPr>
      <w:r>
        <w:rPr>
          <w:rFonts w:hint="eastAsia" w:ascii="宋体" w:hAnsi="宋体"/>
          <w:sz w:val="24"/>
        </w:rPr>
        <w:t xml:space="preserve">4.3.2 信息数据的收集、整理和报送应及时、准确、完整，不得虚报、瞒报和迟报或伪造篡改。 </w:t>
      </w:r>
    </w:p>
    <w:p>
      <w:pPr>
        <w:adjustRightInd w:val="0"/>
        <w:snapToGrid w:val="0"/>
        <w:spacing w:line="360" w:lineRule="auto"/>
        <w:ind w:firstLine="480" w:firstLineChars="200"/>
        <w:rPr>
          <w:rFonts w:ascii="宋体" w:hAnsi="宋体"/>
          <w:sz w:val="24"/>
        </w:rPr>
      </w:pPr>
      <w:r>
        <w:rPr>
          <w:rFonts w:hint="eastAsia" w:ascii="宋体" w:hAnsi="宋体"/>
          <w:sz w:val="24"/>
        </w:rPr>
        <w:t xml:space="preserve">4.3.3 建立“运行工作日志”制度，日志内容主要包括：垃圾收运量、设备维修保养、设备运行状况等。 </w:t>
      </w:r>
    </w:p>
    <w:p>
      <w:pPr>
        <w:adjustRightInd w:val="0"/>
        <w:snapToGrid w:val="0"/>
        <w:spacing w:line="360" w:lineRule="auto"/>
        <w:ind w:firstLine="480" w:firstLineChars="200"/>
        <w:rPr>
          <w:rFonts w:ascii="宋体" w:hAnsi="宋体"/>
          <w:sz w:val="24"/>
        </w:rPr>
      </w:pPr>
      <w:r>
        <w:rPr>
          <w:rFonts w:hint="eastAsia" w:ascii="宋体" w:hAnsi="宋体"/>
          <w:sz w:val="24"/>
        </w:rPr>
        <w:t xml:space="preserve">4.3.4 按时向行政主管部门提交垃圾收集运输情况年度报告，主要内容包括：作业量、工艺、设备、人员和成本等。 </w:t>
      </w:r>
    </w:p>
    <w:p>
      <w:pPr>
        <w:adjustRightInd w:val="0"/>
        <w:snapToGrid w:val="0"/>
        <w:spacing w:line="360" w:lineRule="auto"/>
        <w:ind w:firstLine="482" w:firstLineChars="200"/>
        <w:rPr>
          <w:rFonts w:ascii="宋体" w:hAnsi="宋体"/>
          <w:b/>
          <w:sz w:val="24"/>
        </w:rPr>
      </w:pPr>
      <w:r>
        <w:rPr>
          <w:rFonts w:hint="eastAsia" w:ascii="宋体" w:hAnsi="宋体"/>
          <w:b/>
          <w:sz w:val="24"/>
        </w:rPr>
        <w:t xml:space="preserve">5.垃圾投放 </w:t>
      </w:r>
    </w:p>
    <w:p>
      <w:pPr>
        <w:adjustRightInd w:val="0"/>
        <w:snapToGrid w:val="0"/>
        <w:spacing w:line="360" w:lineRule="auto"/>
        <w:ind w:firstLine="480" w:firstLineChars="200"/>
        <w:rPr>
          <w:rFonts w:ascii="宋体" w:hAnsi="宋体"/>
          <w:sz w:val="24"/>
        </w:rPr>
      </w:pPr>
      <w:r>
        <w:rPr>
          <w:rFonts w:hint="eastAsia" w:ascii="宋体" w:hAnsi="宋体"/>
          <w:sz w:val="24"/>
        </w:rPr>
        <w:t xml:space="preserve">5.1 逐步推行生活垃圾分类收集、运输和处理，分类标志应符合 GB/T 19095 的规定，垃圾分类应符合CJJ/T 102 的规定。 </w:t>
      </w:r>
    </w:p>
    <w:p>
      <w:pPr>
        <w:adjustRightInd w:val="0"/>
        <w:snapToGrid w:val="0"/>
        <w:spacing w:line="360" w:lineRule="auto"/>
        <w:ind w:firstLine="480" w:firstLineChars="200"/>
        <w:rPr>
          <w:rFonts w:ascii="宋体" w:hAnsi="宋体"/>
          <w:sz w:val="24"/>
        </w:rPr>
      </w:pPr>
      <w:r>
        <w:rPr>
          <w:rFonts w:hint="eastAsia" w:ascii="宋体" w:hAnsi="宋体"/>
          <w:sz w:val="24"/>
        </w:rPr>
        <w:t>5.2 生活垃圾产生者应按当地规定的时间、地点等要求，将生活垃圾倒入垃圾收集容器中或者指定的生活垃圾收集场所。实行分类收集的区域，应按规定分类的要求，将生活垃圾投入相应的收集容器中。</w:t>
      </w:r>
    </w:p>
    <w:p>
      <w:pPr>
        <w:adjustRightInd w:val="0"/>
        <w:snapToGrid w:val="0"/>
        <w:spacing w:line="360" w:lineRule="auto"/>
        <w:ind w:firstLine="480" w:firstLineChars="200"/>
        <w:rPr>
          <w:rFonts w:ascii="宋体" w:hAnsi="宋体"/>
          <w:sz w:val="24"/>
        </w:rPr>
      </w:pPr>
      <w:r>
        <w:rPr>
          <w:rFonts w:hint="eastAsia" w:ascii="宋体" w:hAnsi="宋体"/>
          <w:sz w:val="24"/>
        </w:rPr>
        <w:t xml:space="preserve">5.3 单位和个人应遵守生活垃圾投放规定，不得乱倒、乱丢生活垃圾，不得将有害垃圾混入生活垃圾中。 </w:t>
      </w:r>
    </w:p>
    <w:p>
      <w:pPr>
        <w:adjustRightInd w:val="0"/>
        <w:snapToGrid w:val="0"/>
        <w:spacing w:line="360" w:lineRule="auto"/>
        <w:ind w:firstLine="480" w:firstLineChars="200"/>
        <w:rPr>
          <w:rFonts w:ascii="宋体" w:hAnsi="宋体"/>
          <w:sz w:val="24"/>
        </w:rPr>
      </w:pPr>
      <w:r>
        <w:rPr>
          <w:rFonts w:hint="eastAsia" w:ascii="宋体" w:hAnsi="宋体"/>
          <w:sz w:val="24"/>
        </w:rPr>
        <w:t>5.4 单位和组织应自行设置密闭式垃圾收集容器用于投放产生的生活垃圾，垃圾不得裸露堆放。</w:t>
      </w:r>
    </w:p>
    <w:p>
      <w:pPr>
        <w:adjustRightInd w:val="0"/>
        <w:snapToGrid w:val="0"/>
        <w:spacing w:line="360" w:lineRule="auto"/>
        <w:ind w:firstLine="480" w:firstLineChars="200"/>
        <w:rPr>
          <w:rFonts w:ascii="宋体" w:hAnsi="宋体"/>
          <w:sz w:val="24"/>
        </w:rPr>
      </w:pPr>
      <w:r>
        <w:rPr>
          <w:rFonts w:hint="eastAsia" w:ascii="宋体" w:hAnsi="宋体"/>
          <w:sz w:val="24"/>
        </w:rPr>
        <w:t xml:space="preserve">5.5 公共交通工具上的垃圾，应由运营单位自行收集，按规定存放。 </w:t>
      </w:r>
    </w:p>
    <w:p>
      <w:pPr>
        <w:adjustRightInd w:val="0"/>
        <w:snapToGrid w:val="0"/>
        <w:spacing w:line="360" w:lineRule="auto"/>
        <w:ind w:firstLine="482" w:firstLineChars="200"/>
        <w:rPr>
          <w:rFonts w:ascii="宋体" w:hAnsi="宋体"/>
          <w:b/>
          <w:sz w:val="24"/>
        </w:rPr>
      </w:pPr>
      <w:r>
        <w:rPr>
          <w:rFonts w:hint="eastAsia" w:ascii="宋体" w:hAnsi="宋体"/>
          <w:b/>
          <w:sz w:val="24"/>
        </w:rPr>
        <w:t xml:space="preserve">6.垃圾收集 </w:t>
      </w:r>
    </w:p>
    <w:p>
      <w:pPr>
        <w:adjustRightInd w:val="0"/>
        <w:snapToGrid w:val="0"/>
        <w:spacing w:line="360" w:lineRule="auto"/>
        <w:ind w:firstLine="480" w:firstLineChars="200"/>
        <w:rPr>
          <w:rFonts w:ascii="宋体" w:hAnsi="宋体"/>
          <w:sz w:val="24"/>
        </w:rPr>
      </w:pPr>
      <w:r>
        <w:rPr>
          <w:rFonts w:hint="eastAsia" w:ascii="宋体" w:hAnsi="宋体"/>
          <w:sz w:val="24"/>
        </w:rPr>
        <w:t>6.1 基本要求</w:t>
      </w:r>
    </w:p>
    <w:p>
      <w:pPr>
        <w:adjustRightInd w:val="0"/>
        <w:snapToGrid w:val="0"/>
        <w:spacing w:line="360" w:lineRule="auto"/>
        <w:ind w:firstLine="480" w:firstLineChars="200"/>
        <w:rPr>
          <w:rFonts w:ascii="宋体" w:hAnsi="宋体"/>
          <w:sz w:val="24"/>
        </w:rPr>
      </w:pPr>
      <w:r>
        <w:rPr>
          <w:rFonts w:hint="eastAsia" w:ascii="宋体" w:hAnsi="宋体"/>
          <w:sz w:val="24"/>
        </w:rPr>
        <w:t xml:space="preserve">6.1.1 生活垃圾应密闭收集运输，防止造成环境污染。 </w:t>
      </w:r>
    </w:p>
    <w:p>
      <w:pPr>
        <w:adjustRightInd w:val="0"/>
        <w:snapToGrid w:val="0"/>
        <w:spacing w:line="360" w:lineRule="auto"/>
        <w:ind w:firstLine="480" w:firstLineChars="200"/>
        <w:rPr>
          <w:rFonts w:ascii="宋体" w:hAnsi="宋体"/>
          <w:sz w:val="24"/>
        </w:rPr>
      </w:pPr>
      <w:r>
        <w:rPr>
          <w:rFonts w:hint="eastAsia" w:ascii="宋体" w:hAnsi="宋体"/>
          <w:sz w:val="24"/>
        </w:rPr>
        <w:t xml:space="preserve">6.1.2 居民区管理部门、单位和组织应设有专人负责垃圾收集运输工作，制定规章制度和保证措施，监督检查辖区生活垃圾收集运输工作。 </w:t>
      </w:r>
    </w:p>
    <w:p>
      <w:pPr>
        <w:adjustRightInd w:val="0"/>
        <w:snapToGrid w:val="0"/>
        <w:spacing w:line="360" w:lineRule="auto"/>
        <w:ind w:firstLine="480" w:firstLineChars="200"/>
        <w:rPr>
          <w:rFonts w:ascii="宋体" w:hAnsi="宋体"/>
          <w:sz w:val="24"/>
        </w:rPr>
      </w:pPr>
      <w:r>
        <w:rPr>
          <w:rFonts w:hint="eastAsia" w:ascii="宋体" w:hAnsi="宋体"/>
          <w:sz w:val="24"/>
        </w:rPr>
        <w:t xml:space="preserve">6.1.3 居民区管理部门、单位和组织应开展生活垃圾分类收集工作。 </w:t>
      </w:r>
    </w:p>
    <w:p>
      <w:pPr>
        <w:adjustRightInd w:val="0"/>
        <w:snapToGrid w:val="0"/>
        <w:spacing w:line="360" w:lineRule="auto"/>
        <w:ind w:firstLine="480" w:firstLineChars="200"/>
        <w:rPr>
          <w:rFonts w:ascii="宋体" w:hAnsi="宋体"/>
          <w:sz w:val="24"/>
        </w:rPr>
      </w:pPr>
      <w:r>
        <w:rPr>
          <w:rFonts w:hint="eastAsia" w:ascii="宋体" w:hAnsi="宋体"/>
          <w:sz w:val="24"/>
        </w:rPr>
        <w:t xml:space="preserve">6.1.4 垃圾收集人员应做好垃圾收集记录。 </w:t>
      </w:r>
    </w:p>
    <w:p>
      <w:pPr>
        <w:adjustRightInd w:val="0"/>
        <w:snapToGrid w:val="0"/>
        <w:spacing w:line="360" w:lineRule="auto"/>
        <w:ind w:firstLine="480" w:firstLineChars="200"/>
        <w:rPr>
          <w:rFonts w:ascii="宋体" w:hAnsi="宋体"/>
          <w:sz w:val="24"/>
        </w:rPr>
      </w:pPr>
      <w:r>
        <w:rPr>
          <w:rFonts w:hint="eastAsia" w:ascii="宋体" w:hAnsi="宋体"/>
          <w:sz w:val="24"/>
        </w:rPr>
        <w:t xml:space="preserve">6.2 固定收集 </w:t>
      </w:r>
    </w:p>
    <w:p>
      <w:pPr>
        <w:adjustRightInd w:val="0"/>
        <w:snapToGrid w:val="0"/>
        <w:spacing w:line="360" w:lineRule="auto"/>
        <w:ind w:firstLine="480" w:firstLineChars="200"/>
        <w:rPr>
          <w:rFonts w:ascii="宋体" w:hAnsi="宋体"/>
          <w:sz w:val="24"/>
        </w:rPr>
      </w:pPr>
      <w:r>
        <w:rPr>
          <w:rFonts w:hint="eastAsia" w:ascii="宋体" w:hAnsi="宋体"/>
          <w:sz w:val="24"/>
        </w:rPr>
        <w:t xml:space="preserve">固定收集包括收集容器和收集站二种收集方式。 </w:t>
      </w:r>
    </w:p>
    <w:p>
      <w:pPr>
        <w:adjustRightInd w:val="0"/>
        <w:snapToGrid w:val="0"/>
        <w:spacing w:line="360" w:lineRule="auto"/>
        <w:ind w:firstLine="480" w:firstLineChars="200"/>
        <w:rPr>
          <w:rFonts w:ascii="宋体" w:hAnsi="宋体"/>
          <w:sz w:val="24"/>
        </w:rPr>
      </w:pPr>
      <w:r>
        <w:rPr>
          <w:rFonts w:hint="eastAsia" w:ascii="宋体" w:hAnsi="宋体"/>
          <w:sz w:val="24"/>
        </w:rPr>
        <w:t xml:space="preserve">6.2.1 垃圾收集容器 </w:t>
      </w:r>
    </w:p>
    <w:p>
      <w:pPr>
        <w:adjustRightInd w:val="0"/>
        <w:snapToGrid w:val="0"/>
        <w:spacing w:line="360" w:lineRule="auto"/>
        <w:ind w:firstLine="480" w:firstLineChars="200"/>
        <w:rPr>
          <w:rFonts w:ascii="宋体" w:hAnsi="宋体"/>
          <w:sz w:val="24"/>
        </w:rPr>
      </w:pPr>
      <w:r>
        <w:rPr>
          <w:rFonts w:hint="eastAsia" w:ascii="宋体" w:hAnsi="宋体"/>
          <w:sz w:val="24"/>
        </w:rPr>
        <w:t xml:space="preserve">6.2.1.1 垃圾收集容器内的垃圾应及时清除，不得满溢和散落，外体干净。 </w:t>
      </w:r>
    </w:p>
    <w:p>
      <w:pPr>
        <w:adjustRightInd w:val="0"/>
        <w:snapToGrid w:val="0"/>
        <w:spacing w:line="360" w:lineRule="auto"/>
        <w:ind w:firstLine="480" w:firstLineChars="200"/>
        <w:rPr>
          <w:rFonts w:ascii="宋体" w:hAnsi="宋体"/>
          <w:sz w:val="24"/>
        </w:rPr>
      </w:pPr>
      <w:r>
        <w:rPr>
          <w:rFonts w:hint="eastAsia" w:ascii="宋体" w:hAnsi="宋体"/>
          <w:sz w:val="24"/>
        </w:rPr>
        <w:t xml:space="preserve">6.2.1.2 垃圾收集容器周围 3 米内应整洁，无存留垃圾和污水，周围无明显异味。 </w:t>
      </w:r>
    </w:p>
    <w:p>
      <w:pPr>
        <w:adjustRightInd w:val="0"/>
        <w:snapToGrid w:val="0"/>
        <w:spacing w:line="360" w:lineRule="auto"/>
        <w:ind w:firstLine="480" w:firstLineChars="200"/>
        <w:rPr>
          <w:rFonts w:ascii="宋体" w:hAnsi="宋体"/>
          <w:sz w:val="24"/>
        </w:rPr>
      </w:pPr>
      <w:r>
        <w:rPr>
          <w:rFonts w:hint="eastAsia" w:ascii="宋体" w:hAnsi="宋体"/>
          <w:sz w:val="24"/>
        </w:rPr>
        <w:t xml:space="preserve">6.2.1.3 垃圾收集容器应定位设置，摆放整齐。 </w:t>
      </w:r>
    </w:p>
    <w:p>
      <w:pPr>
        <w:adjustRightInd w:val="0"/>
        <w:snapToGrid w:val="0"/>
        <w:spacing w:line="360" w:lineRule="auto"/>
        <w:ind w:firstLine="480" w:firstLineChars="200"/>
        <w:rPr>
          <w:rFonts w:ascii="宋体" w:hAnsi="宋体"/>
          <w:sz w:val="24"/>
        </w:rPr>
      </w:pPr>
      <w:r>
        <w:rPr>
          <w:rFonts w:hint="eastAsia" w:ascii="宋体" w:hAnsi="宋体"/>
          <w:sz w:val="24"/>
        </w:rPr>
        <w:t xml:space="preserve">6.2.1.4 垃圾收集容器应按时清洗、保洁，保持外观整洁，无脏乱、污迹现象。 </w:t>
      </w:r>
    </w:p>
    <w:p>
      <w:pPr>
        <w:adjustRightInd w:val="0"/>
        <w:snapToGrid w:val="0"/>
        <w:spacing w:line="360" w:lineRule="auto"/>
        <w:ind w:firstLine="480" w:firstLineChars="200"/>
        <w:rPr>
          <w:rFonts w:ascii="宋体" w:hAnsi="宋体"/>
          <w:sz w:val="24"/>
        </w:rPr>
      </w:pPr>
      <w:r>
        <w:rPr>
          <w:rFonts w:hint="eastAsia" w:ascii="宋体" w:hAnsi="宋体"/>
          <w:sz w:val="24"/>
        </w:rPr>
        <w:t xml:space="preserve">6.2.1.5 垃圾收集容器应定期维护、维修，无破损、锈蚀现象，发现丢失、破损及时更新。 </w:t>
      </w:r>
    </w:p>
    <w:p>
      <w:pPr>
        <w:adjustRightInd w:val="0"/>
        <w:snapToGrid w:val="0"/>
        <w:spacing w:line="360" w:lineRule="auto"/>
        <w:ind w:firstLine="480" w:firstLineChars="200"/>
        <w:rPr>
          <w:rFonts w:ascii="宋体" w:hAnsi="宋体"/>
          <w:sz w:val="24"/>
        </w:rPr>
      </w:pPr>
      <w:r>
        <w:rPr>
          <w:rFonts w:hint="eastAsia" w:ascii="宋体" w:hAnsi="宋体"/>
          <w:sz w:val="24"/>
        </w:rPr>
        <w:t xml:space="preserve">6.2.1.6 垃圾桶收集应符合下列要求。 </w:t>
      </w:r>
    </w:p>
    <w:p>
      <w:pPr>
        <w:adjustRightInd w:val="0"/>
        <w:snapToGrid w:val="0"/>
        <w:spacing w:line="360" w:lineRule="auto"/>
        <w:ind w:firstLine="480" w:firstLineChars="200"/>
        <w:rPr>
          <w:rFonts w:ascii="宋体" w:hAnsi="宋体"/>
          <w:sz w:val="24"/>
        </w:rPr>
      </w:pPr>
      <w:r>
        <w:rPr>
          <w:rFonts w:hint="eastAsia" w:ascii="宋体" w:hAnsi="宋体"/>
          <w:sz w:val="24"/>
        </w:rPr>
        <w:t xml:space="preserve">6.2.1.6.1 垃圾桶配置数量符合 CJJ/T 102 的规定。 </w:t>
      </w:r>
    </w:p>
    <w:p>
      <w:pPr>
        <w:adjustRightInd w:val="0"/>
        <w:snapToGrid w:val="0"/>
        <w:spacing w:line="360" w:lineRule="auto"/>
        <w:ind w:firstLine="480" w:firstLineChars="200"/>
        <w:rPr>
          <w:rFonts w:ascii="宋体" w:hAnsi="宋体"/>
          <w:sz w:val="24"/>
        </w:rPr>
      </w:pPr>
      <w:r>
        <w:rPr>
          <w:rFonts w:hint="eastAsia" w:ascii="宋体" w:hAnsi="宋体"/>
          <w:sz w:val="24"/>
        </w:rPr>
        <w:t xml:space="preserve">6.2.1.6.2 垃圾桶应密闭，完好率应符合 CJJ/T 102 的规定。 </w:t>
      </w:r>
    </w:p>
    <w:p>
      <w:pPr>
        <w:adjustRightInd w:val="0"/>
        <w:snapToGrid w:val="0"/>
        <w:spacing w:line="360" w:lineRule="auto"/>
        <w:ind w:firstLine="480" w:firstLineChars="200"/>
        <w:rPr>
          <w:rFonts w:ascii="宋体" w:hAnsi="宋体"/>
          <w:sz w:val="24"/>
        </w:rPr>
      </w:pPr>
      <w:r>
        <w:rPr>
          <w:rFonts w:hint="eastAsia" w:ascii="宋体" w:hAnsi="宋体"/>
          <w:sz w:val="24"/>
        </w:rPr>
        <w:t xml:space="preserve">6.2.1.7 垃圾箱收集应符合下列要求。 </w:t>
      </w:r>
    </w:p>
    <w:p>
      <w:pPr>
        <w:adjustRightInd w:val="0"/>
        <w:snapToGrid w:val="0"/>
        <w:spacing w:line="360" w:lineRule="auto"/>
        <w:ind w:firstLine="480" w:firstLineChars="200"/>
        <w:rPr>
          <w:rFonts w:ascii="宋体" w:hAnsi="宋体"/>
          <w:sz w:val="24"/>
        </w:rPr>
      </w:pPr>
      <w:r>
        <w:rPr>
          <w:rFonts w:hint="eastAsia" w:ascii="宋体" w:hAnsi="宋体"/>
          <w:sz w:val="24"/>
        </w:rPr>
        <w:t xml:space="preserve">6.2.1.7.1 垃圾箱应整洁、部件齐全、无破损。 </w:t>
      </w:r>
    </w:p>
    <w:p>
      <w:pPr>
        <w:adjustRightInd w:val="0"/>
        <w:snapToGrid w:val="0"/>
        <w:spacing w:line="360" w:lineRule="auto"/>
        <w:ind w:firstLine="480" w:firstLineChars="200"/>
        <w:rPr>
          <w:rFonts w:ascii="宋体" w:hAnsi="宋体"/>
          <w:sz w:val="24"/>
        </w:rPr>
      </w:pPr>
      <w:r>
        <w:rPr>
          <w:rFonts w:hint="eastAsia" w:ascii="宋体" w:hAnsi="宋体"/>
          <w:sz w:val="24"/>
        </w:rPr>
        <w:t xml:space="preserve">6.2.1.7.2 垃圾箱不得有遗洒垃圾、渗漏污水现象。 </w:t>
      </w:r>
    </w:p>
    <w:p>
      <w:pPr>
        <w:adjustRightInd w:val="0"/>
        <w:snapToGrid w:val="0"/>
        <w:spacing w:line="360" w:lineRule="auto"/>
        <w:ind w:firstLine="480" w:firstLineChars="200"/>
        <w:rPr>
          <w:rFonts w:ascii="宋体" w:hAnsi="宋体"/>
          <w:sz w:val="24"/>
        </w:rPr>
      </w:pPr>
      <w:r>
        <w:rPr>
          <w:rFonts w:hint="eastAsia" w:ascii="宋体" w:hAnsi="宋体"/>
          <w:sz w:val="24"/>
        </w:rPr>
        <w:t xml:space="preserve">6.2.1.7.3 采用压缩方式的垃圾箱应有垃圾渗沥液收集装置。垃圾渗沥液应排入下水道或集中处理。 </w:t>
      </w:r>
    </w:p>
    <w:p>
      <w:pPr>
        <w:adjustRightInd w:val="0"/>
        <w:snapToGrid w:val="0"/>
        <w:spacing w:line="360" w:lineRule="auto"/>
        <w:ind w:firstLine="480" w:firstLineChars="200"/>
        <w:rPr>
          <w:rFonts w:ascii="宋体" w:hAnsi="宋体"/>
          <w:sz w:val="24"/>
        </w:rPr>
      </w:pPr>
      <w:r>
        <w:rPr>
          <w:rFonts w:hint="eastAsia" w:ascii="宋体" w:hAnsi="宋体"/>
          <w:sz w:val="24"/>
        </w:rPr>
        <w:t xml:space="preserve">6.2.1.7.4 固定式垃圾箱卸料时垃圾不得落地，收集后地面不得有垃圾和污水。 </w:t>
      </w:r>
    </w:p>
    <w:p>
      <w:pPr>
        <w:adjustRightInd w:val="0"/>
        <w:snapToGrid w:val="0"/>
        <w:spacing w:line="360" w:lineRule="auto"/>
        <w:ind w:firstLine="480" w:firstLineChars="200"/>
        <w:rPr>
          <w:rFonts w:ascii="宋体" w:hAnsi="宋体"/>
          <w:sz w:val="24"/>
        </w:rPr>
      </w:pPr>
      <w:r>
        <w:rPr>
          <w:rFonts w:hint="eastAsia" w:ascii="宋体" w:hAnsi="宋体"/>
          <w:sz w:val="24"/>
        </w:rPr>
        <w:t xml:space="preserve">6.2.1.7.5 垃圾箱的放置应便于使用和装运，不影响市容。 </w:t>
      </w:r>
    </w:p>
    <w:p>
      <w:pPr>
        <w:adjustRightInd w:val="0"/>
        <w:snapToGrid w:val="0"/>
        <w:spacing w:line="360" w:lineRule="auto"/>
        <w:ind w:firstLine="480" w:firstLineChars="200"/>
        <w:rPr>
          <w:rFonts w:ascii="宋体" w:hAnsi="宋体"/>
          <w:sz w:val="24"/>
        </w:rPr>
      </w:pPr>
      <w:r>
        <w:rPr>
          <w:rFonts w:hint="eastAsia" w:ascii="宋体" w:hAnsi="宋体"/>
          <w:sz w:val="24"/>
        </w:rPr>
        <w:t xml:space="preserve">6.2.2 垃圾收集站 </w:t>
      </w:r>
    </w:p>
    <w:p>
      <w:pPr>
        <w:adjustRightInd w:val="0"/>
        <w:snapToGrid w:val="0"/>
        <w:spacing w:line="360" w:lineRule="auto"/>
        <w:ind w:firstLine="480" w:firstLineChars="200"/>
        <w:rPr>
          <w:rFonts w:ascii="宋体" w:hAnsi="宋体"/>
          <w:sz w:val="24"/>
        </w:rPr>
      </w:pPr>
      <w:r>
        <w:rPr>
          <w:rFonts w:hint="eastAsia" w:ascii="宋体" w:hAnsi="宋体"/>
          <w:sz w:val="24"/>
        </w:rPr>
        <w:t xml:space="preserve">6.2.2.1 垃圾房 </w:t>
      </w:r>
    </w:p>
    <w:p>
      <w:pPr>
        <w:adjustRightInd w:val="0"/>
        <w:snapToGrid w:val="0"/>
        <w:spacing w:line="360" w:lineRule="auto"/>
        <w:ind w:firstLine="480" w:firstLineChars="200"/>
        <w:rPr>
          <w:rFonts w:ascii="宋体" w:hAnsi="宋体"/>
          <w:sz w:val="24"/>
        </w:rPr>
      </w:pPr>
      <w:r>
        <w:rPr>
          <w:rFonts w:hint="eastAsia" w:ascii="宋体" w:hAnsi="宋体"/>
          <w:sz w:val="24"/>
        </w:rPr>
        <w:t xml:space="preserve">6.2.2.1.1 垃圾房的服务半径不宜超过 70 米，不得影响市容市貌和景观环境。 </w:t>
      </w:r>
    </w:p>
    <w:p>
      <w:pPr>
        <w:adjustRightInd w:val="0"/>
        <w:snapToGrid w:val="0"/>
        <w:spacing w:line="360" w:lineRule="auto"/>
        <w:ind w:firstLine="480" w:firstLineChars="200"/>
        <w:rPr>
          <w:rFonts w:ascii="宋体" w:hAnsi="宋体"/>
          <w:sz w:val="24"/>
        </w:rPr>
      </w:pPr>
      <w:r>
        <w:rPr>
          <w:rFonts w:hint="eastAsia" w:ascii="宋体" w:hAnsi="宋体"/>
          <w:sz w:val="24"/>
        </w:rPr>
        <w:t xml:space="preserve">6.2.2.1.2 垃圾房应整洁、密闭、无积水和恶臭，外墙不得有明显积灰。 </w:t>
      </w:r>
    </w:p>
    <w:p>
      <w:pPr>
        <w:adjustRightInd w:val="0"/>
        <w:snapToGrid w:val="0"/>
        <w:spacing w:line="360" w:lineRule="auto"/>
        <w:ind w:firstLine="480" w:firstLineChars="200"/>
        <w:rPr>
          <w:rFonts w:ascii="宋体" w:hAnsi="宋体"/>
          <w:sz w:val="24"/>
        </w:rPr>
      </w:pPr>
      <w:r>
        <w:rPr>
          <w:rFonts w:hint="eastAsia" w:ascii="宋体" w:hAnsi="宋体"/>
          <w:sz w:val="24"/>
        </w:rPr>
        <w:t xml:space="preserve">6.2.2.1.3 垃圾房应有防尘、防臭措施，并能控制垃圾渗沥液和污水不外流。 </w:t>
      </w:r>
    </w:p>
    <w:p>
      <w:pPr>
        <w:adjustRightInd w:val="0"/>
        <w:snapToGrid w:val="0"/>
        <w:spacing w:line="360" w:lineRule="auto"/>
        <w:ind w:firstLine="480" w:firstLineChars="200"/>
        <w:rPr>
          <w:rFonts w:ascii="宋体" w:hAnsi="宋体"/>
          <w:sz w:val="24"/>
        </w:rPr>
      </w:pPr>
      <w:r>
        <w:rPr>
          <w:rFonts w:hint="eastAsia" w:ascii="宋体" w:hAnsi="宋体"/>
          <w:sz w:val="24"/>
        </w:rPr>
        <w:t xml:space="preserve">6.2.2.1.4 垃圾房在进行装载作业时，应控制扬尘和垃圾飘散，装载完毕及时清理。 </w:t>
      </w:r>
    </w:p>
    <w:p>
      <w:pPr>
        <w:adjustRightInd w:val="0"/>
        <w:snapToGrid w:val="0"/>
        <w:spacing w:line="360" w:lineRule="auto"/>
        <w:ind w:firstLine="480" w:firstLineChars="200"/>
        <w:rPr>
          <w:rFonts w:ascii="宋体" w:hAnsi="宋体"/>
          <w:sz w:val="24"/>
        </w:rPr>
      </w:pPr>
      <w:r>
        <w:rPr>
          <w:rFonts w:hint="eastAsia" w:ascii="宋体" w:hAnsi="宋体"/>
          <w:sz w:val="24"/>
        </w:rPr>
        <w:t xml:space="preserve">6.2.2.2 地下箱站 </w:t>
      </w:r>
    </w:p>
    <w:p>
      <w:pPr>
        <w:adjustRightInd w:val="0"/>
        <w:snapToGrid w:val="0"/>
        <w:spacing w:line="360" w:lineRule="auto"/>
        <w:ind w:firstLine="480" w:firstLineChars="200"/>
        <w:rPr>
          <w:rFonts w:ascii="宋体" w:hAnsi="宋体"/>
          <w:sz w:val="24"/>
        </w:rPr>
      </w:pPr>
      <w:r>
        <w:rPr>
          <w:rFonts w:hint="eastAsia" w:ascii="宋体" w:hAnsi="宋体"/>
          <w:sz w:val="24"/>
        </w:rPr>
        <w:t xml:space="preserve">6.2.2.2.1 地下箱站的垃圾应及时清运，不得有满溢和散落，地面无垃圾和污水。 </w:t>
      </w:r>
    </w:p>
    <w:p>
      <w:pPr>
        <w:adjustRightInd w:val="0"/>
        <w:snapToGrid w:val="0"/>
        <w:spacing w:line="360" w:lineRule="auto"/>
        <w:ind w:firstLine="480" w:firstLineChars="200"/>
        <w:rPr>
          <w:rFonts w:ascii="宋体" w:hAnsi="宋体"/>
          <w:sz w:val="24"/>
        </w:rPr>
      </w:pPr>
      <w:r>
        <w:rPr>
          <w:rFonts w:hint="eastAsia" w:ascii="宋体" w:hAnsi="宋体"/>
          <w:sz w:val="24"/>
        </w:rPr>
        <w:t xml:space="preserve">6.2.2.2.2 地下箱站设备应整洁、完好，运输过程中不得遗洒垃圾和垃圾渗沥液。 </w:t>
      </w:r>
    </w:p>
    <w:p>
      <w:pPr>
        <w:adjustRightInd w:val="0"/>
        <w:snapToGrid w:val="0"/>
        <w:spacing w:line="360" w:lineRule="auto"/>
        <w:ind w:firstLine="480" w:firstLineChars="200"/>
        <w:rPr>
          <w:rFonts w:ascii="宋体" w:hAnsi="宋体"/>
          <w:sz w:val="24"/>
        </w:rPr>
      </w:pPr>
      <w:r>
        <w:rPr>
          <w:rFonts w:hint="eastAsia" w:ascii="宋体" w:hAnsi="宋体"/>
          <w:sz w:val="24"/>
        </w:rPr>
        <w:t xml:space="preserve">6.2.2.3 垃圾密闭式清洁站和小型垃圾中转站 </w:t>
      </w:r>
    </w:p>
    <w:p>
      <w:pPr>
        <w:adjustRightInd w:val="0"/>
        <w:snapToGrid w:val="0"/>
        <w:spacing w:line="360" w:lineRule="auto"/>
        <w:ind w:firstLine="480" w:firstLineChars="200"/>
        <w:rPr>
          <w:rFonts w:ascii="宋体" w:hAnsi="宋体"/>
          <w:sz w:val="24"/>
        </w:rPr>
      </w:pPr>
      <w:r>
        <w:rPr>
          <w:rFonts w:hint="eastAsia" w:ascii="宋体" w:hAnsi="宋体"/>
          <w:sz w:val="24"/>
        </w:rPr>
        <w:t xml:space="preserve">6.2.2.3.1 在明显位置应设有站牌、《操作规程》牌和《倾倒垃圾人员须知》牌。应明确接收垃圾时间，并贴出公告，在接收垃圾时间内不得拒收垃圾。 </w:t>
      </w:r>
    </w:p>
    <w:p>
      <w:pPr>
        <w:adjustRightInd w:val="0"/>
        <w:snapToGrid w:val="0"/>
        <w:spacing w:line="360" w:lineRule="auto"/>
        <w:ind w:firstLine="480" w:firstLineChars="200"/>
        <w:rPr>
          <w:rFonts w:ascii="宋体" w:hAnsi="宋体"/>
          <w:sz w:val="24"/>
        </w:rPr>
      </w:pPr>
      <w:r>
        <w:rPr>
          <w:rFonts w:hint="eastAsia" w:ascii="宋体" w:hAnsi="宋体"/>
          <w:sz w:val="24"/>
        </w:rPr>
        <w:t xml:space="preserve">6.2.2.3.2 清洁和中转站应建立人员岗位责任制，明确职责范围。 </w:t>
      </w:r>
    </w:p>
    <w:p>
      <w:pPr>
        <w:adjustRightInd w:val="0"/>
        <w:snapToGrid w:val="0"/>
        <w:spacing w:line="360" w:lineRule="auto"/>
        <w:ind w:firstLine="480" w:firstLineChars="200"/>
        <w:rPr>
          <w:rFonts w:ascii="宋体" w:hAnsi="宋体"/>
          <w:sz w:val="24"/>
        </w:rPr>
      </w:pPr>
      <w:r>
        <w:rPr>
          <w:rFonts w:hint="eastAsia" w:ascii="宋体" w:hAnsi="宋体"/>
          <w:sz w:val="24"/>
        </w:rPr>
        <w:t xml:space="preserve">6.2.2.3.3 站内上、下水应保持畅通，电线不得乱拉。 </w:t>
      </w:r>
    </w:p>
    <w:p>
      <w:pPr>
        <w:adjustRightInd w:val="0"/>
        <w:snapToGrid w:val="0"/>
        <w:spacing w:line="360" w:lineRule="auto"/>
        <w:ind w:firstLine="480" w:firstLineChars="200"/>
        <w:rPr>
          <w:rFonts w:ascii="宋体" w:hAnsi="宋体"/>
          <w:sz w:val="24"/>
        </w:rPr>
      </w:pPr>
      <w:r>
        <w:rPr>
          <w:rFonts w:hint="eastAsia" w:ascii="宋体" w:hAnsi="宋体"/>
          <w:sz w:val="24"/>
        </w:rPr>
        <w:t xml:space="preserve">6.2.2.3.4 站周围 3 米内为垃圾收集站保洁区域，保洁区域不得有垃圾和杂物，如有大件垃圾应码放整齐，且应当日运走。 </w:t>
      </w:r>
    </w:p>
    <w:p>
      <w:pPr>
        <w:adjustRightInd w:val="0"/>
        <w:snapToGrid w:val="0"/>
        <w:spacing w:line="360" w:lineRule="auto"/>
        <w:ind w:firstLine="480" w:firstLineChars="200"/>
        <w:rPr>
          <w:rFonts w:ascii="宋体" w:hAnsi="宋体"/>
          <w:sz w:val="24"/>
        </w:rPr>
      </w:pPr>
      <w:r>
        <w:rPr>
          <w:rFonts w:hint="eastAsia" w:ascii="宋体" w:hAnsi="宋体"/>
          <w:sz w:val="24"/>
        </w:rPr>
        <w:t xml:space="preserve">6.2.2.3.5 站外立面、门窗和内墙应保持完好、整洁，如遇污迹，应及时清理。墙壁不得乱画、乱刻和乱贴。 </w:t>
      </w:r>
    </w:p>
    <w:p>
      <w:pPr>
        <w:adjustRightInd w:val="0"/>
        <w:snapToGrid w:val="0"/>
        <w:spacing w:line="360" w:lineRule="auto"/>
        <w:ind w:firstLine="480" w:firstLineChars="200"/>
        <w:rPr>
          <w:rFonts w:ascii="宋体" w:hAnsi="宋体"/>
          <w:sz w:val="24"/>
        </w:rPr>
      </w:pPr>
      <w:r>
        <w:rPr>
          <w:rFonts w:hint="eastAsia" w:ascii="宋体" w:hAnsi="宋体"/>
          <w:sz w:val="24"/>
        </w:rPr>
        <w:t xml:space="preserve">6.2.2.3.6 站外立面应根据具体情况，在 5 年～8 年之内粉刷一次。垃圾收集站内墙应根据具体情况，在 3 年～5 年之内粉刷一次。 </w:t>
      </w:r>
    </w:p>
    <w:p>
      <w:pPr>
        <w:adjustRightInd w:val="0"/>
        <w:snapToGrid w:val="0"/>
        <w:spacing w:line="360" w:lineRule="auto"/>
        <w:ind w:firstLine="480" w:firstLineChars="200"/>
        <w:rPr>
          <w:rFonts w:ascii="宋体" w:hAnsi="宋体"/>
          <w:sz w:val="24"/>
        </w:rPr>
      </w:pPr>
      <w:r>
        <w:rPr>
          <w:rFonts w:hint="eastAsia" w:ascii="宋体" w:hAnsi="宋体"/>
          <w:sz w:val="24"/>
        </w:rPr>
        <w:t>6.2.2.3.7 站内不得有蜘蛛网、老鼠、蛆等，每年 4 月至 10 月应进行打药灭蝇，清洁站应做到每15平方米不得超过 5 只苍蝇，小型垃圾中转站非生产区内应做到每 15 平方米不得超过 3 只苍蝇。</w:t>
      </w:r>
    </w:p>
    <w:p>
      <w:pPr>
        <w:adjustRightInd w:val="0"/>
        <w:snapToGrid w:val="0"/>
        <w:spacing w:line="360" w:lineRule="auto"/>
        <w:ind w:firstLine="480" w:firstLineChars="200"/>
        <w:rPr>
          <w:rFonts w:ascii="宋体" w:hAnsi="宋体"/>
          <w:sz w:val="24"/>
        </w:rPr>
      </w:pPr>
      <w:r>
        <w:rPr>
          <w:rFonts w:hint="eastAsia" w:ascii="宋体" w:hAnsi="宋体"/>
          <w:sz w:val="24"/>
        </w:rPr>
        <w:t xml:space="preserve">6.2.2.3.8 站内的垃圾应做到日产日清，站内垃圾不得过夜运输。 </w:t>
      </w:r>
    </w:p>
    <w:p>
      <w:pPr>
        <w:adjustRightInd w:val="0"/>
        <w:snapToGrid w:val="0"/>
        <w:spacing w:line="360" w:lineRule="auto"/>
        <w:ind w:firstLine="480" w:firstLineChars="200"/>
        <w:rPr>
          <w:rFonts w:ascii="宋体" w:hAnsi="宋体"/>
          <w:sz w:val="24"/>
        </w:rPr>
      </w:pPr>
      <w:r>
        <w:rPr>
          <w:rFonts w:hint="eastAsia" w:ascii="宋体" w:hAnsi="宋体"/>
          <w:sz w:val="24"/>
        </w:rPr>
        <w:t>6.2.2.3.9 每日工作完毕应清扫设施内外，清洗地面、地坑和垃圾箱。保证地面、地坑和垃圾箱的清洁，无污水和垃圾。</w:t>
      </w:r>
    </w:p>
    <w:p>
      <w:pPr>
        <w:adjustRightInd w:val="0"/>
        <w:snapToGrid w:val="0"/>
        <w:spacing w:line="360" w:lineRule="auto"/>
        <w:ind w:firstLine="480" w:firstLineChars="200"/>
        <w:rPr>
          <w:rFonts w:ascii="宋体" w:hAnsi="宋体"/>
          <w:sz w:val="24"/>
        </w:rPr>
      </w:pPr>
      <w:r>
        <w:rPr>
          <w:rFonts w:hint="eastAsia" w:ascii="宋体" w:hAnsi="宋体"/>
          <w:sz w:val="24"/>
        </w:rPr>
        <w:t xml:space="preserve">6.2.2.3.10 应有防尘和防臭措施，污水排入下水管线或收集后统一处理。 </w:t>
      </w:r>
    </w:p>
    <w:p>
      <w:pPr>
        <w:adjustRightInd w:val="0"/>
        <w:snapToGrid w:val="0"/>
        <w:spacing w:line="360" w:lineRule="auto"/>
        <w:ind w:firstLine="480" w:firstLineChars="200"/>
        <w:rPr>
          <w:rFonts w:ascii="宋体" w:hAnsi="宋体"/>
          <w:sz w:val="24"/>
        </w:rPr>
      </w:pPr>
      <w:r>
        <w:rPr>
          <w:rFonts w:hint="eastAsia" w:ascii="宋体" w:hAnsi="宋体"/>
          <w:sz w:val="24"/>
        </w:rPr>
        <w:t>6.2.2.3.11 垃圾箱应在后门、上盖关闭锁紧可靠后装车。</w:t>
      </w:r>
    </w:p>
    <w:p>
      <w:pPr>
        <w:adjustRightInd w:val="0"/>
        <w:snapToGrid w:val="0"/>
        <w:spacing w:line="360" w:lineRule="auto"/>
        <w:ind w:firstLine="480" w:firstLineChars="200"/>
        <w:rPr>
          <w:rFonts w:ascii="宋体" w:hAnsi="宋体"/>
          <w:sz w:val="24"/>
        </w:rPr>
      </w:pPr>
      <w:r>
        <w:rPr>
          <w:rFonts w:hint="eastAsia" w:ascii="宋体" w:hAnsi="宋体"/>
          <w:sz w:val="24"/>
        </w:rPr>
        <w:t xml:space="preserve">6.3 流动收集 </w:t>
      </w:r>
    </w:p>
    <w:p>
      <w:pPr>
        <w:adjustRightInd w:val="0"/>
        <w:snapToGrid w:val="0"/>
        <w:spacing w:line="360" w:lineRule="auto"/>
        <w:ind w:firstLine="480" w:firstLineChars="200"/>
        <w:rPr>
          <w:rFonts w:ascii="宋体" w:hAnsi="宋体"/>
          <w:sz w:val="24"/>
        </w:rPr>
      </w:pPr>
      <w:r>
        <w:rPr>
          <w:rFonts w:hint="eastAsia" w:ascii="宋体" w:hAnsi="宋体"/>
          <w:sz w:val="24"/>
        </w:rPr>
        <w:t xml:space="preserve">6.3.1 流动垃圾收集运输车应按规定路线和时间进行收集，不得甩点，达到垃圾收集点时应有明显声响作为提示。 </w:t>
      </w:r>
    </w:p>
    <w:p>
      <w:pPr>
        <w:adjustRightInd w:val="0"/>
        <w:snapToGrid w:val="0"/>
        <w:spacing w:line="360" w:lineRule="auto"/>
        <w:ind w:firstLine="480" w:firstLineChars="200"/>
        <w:rPr>
          <w:rFonts w:ascii="宋体" w:hAnsi="宋体"/>
          <w:sz w:val="24"/>
        </w:rPr>
      </w:pPr>
      <w:r>
        <w:rPr>
          <w:rFonts w:hint="eastAsia" w:ascii="宋体" w:hAnsi="宋体"/>
          <w:sz w:val="24"/>
        </w:rPr>
        <w:t xml:space="preserve">6.3.2 流动收集时垃圾不得落地，收集后地面不得有垃圾和污水。 </w:t>
      </w:r>
    </w:p>
    <w:p>
      <w:pPr>
        <w:adjustRightInd w:val="0"/>
        <w:snapToGrid w:val="0"/>
        <w:spacing w:line="360" w:lineRule="auto"/>
        <w:ind w:firstLine="480" w:firstLineChars="200"/>
        <w:rPr>
          <w:rFonts w:ascii="宋体" w:hAnsi="宋体"/>
          <w:sz w:val="24"/>
        </w:rPr>
      </w:pPr>
      <w:r>
        <w:rPr>
          <w:rFonts w:hint="eastAsia" w:ascii="宋体" w:hAnsi="宋体"/>
          <w:sz w:val="24"/>
        </w:rPr>
        <w:t xml:space="preserve">7 垃圾运输 </w:t>
      </w:r>
    </w:p>
    <w:p>
      <w:pPr>
        <w:adjustRightInd w:val="0"/>
        <w:snapToGrid w:val="0"/>
        <w:spacing w:line="360" w:lineRule="auto"/>
        <w:ind w:firstLine="480" w:firstLineChars="200"/>
        <w:rPr>
          <w:rFonts w:ascii="宋体" w:hAnsi="宋体"/>
          <w:sz w:val="24"/>
        </w:rPr>
      </w:pPr>
      <w:r>
        <w:rPr>
          <w:rFonts w:hint="eastAsia" w:ascii="宋体" w:hAnsi="宋体"/>
          <w:sz w:val="24"/>
        </w:rPr>
        <w:t xml:space="preserve">7.1 非机动垃圾收集运输车 </w:t>
      </w:r>
    </w:p>
    <w:p>
      <w:pPr>
        <w:adjustRightInd w:val="0"/>
        <w:snapToGrid w:val="0"/>
        <w:spacing w:line="360" w:lineRule="auto"/>
        <w:ind w:firstLine="480" w:firstLineChars="200"/>
        <w:rPr>
          <w:rFonts w:ascii="宋体" w:hAnsi="宋体"/>
          <w:sz w:val="24"/>
        </w:rPr>
      </w:pPr>
      <w:r>
        <w:rPr>
          <w:rFonts w:hint="eastAsia" w:ascii="宋体" w:hAnsi="宋体"/>
          <w:sz w:val="24"/>
        </w:rPr>
        <w:t xml:space="preserve">7.1.1 外观应整洁，车体外部无污物、灰垢。 </w:t>
      </w:r>
    </w:p>
    <w:p>
      <w:pPr>
        <w:adjustRightInd w:val="0"/>
        <w:snapToGrid w:val="0"/>
        <w:spacing w:line="360" w:lineRule="auto"/>
        <w:ind w:firstLine="480" w:firstLineChars="200"/>
        <w:rPr>
          <w:rFonts w:ascii="宋体" w:hAnsi="宋体"/>
          <w:sz w:val="24"/>
        </w:rPr>
      </w:pPr>
      <w:r>
        <w:rPr>
          <w:rFonts w:hint="eastAsia" w:ascii="宋体" w:hAnsi="宋体"/>
          <w:sz w:val="24"/>
        </w:rPr>
        <w:t xml:space="preserve">7.1.2 在运输垃圾过程中应密闭，无垃圾扬、撒、拖挂和污水滴漏。 </w:t>
      </w:r>
    </w:p>
    <w:p>
      <w:pPr>
        <w:adjustRightInd w:val="0"/>
        <w:snapToGrid w:val="0"/>
        <w:spacing w:line="360" w:lineRule="auto"/>
        <w:ind w:firstLine="480" w:firstLineChars="200"/>
        <w:rPr>
          <w:rFonts w:ascii="宋体" w:hAnsi="宋体"/>
          <w:sz w:val="24"/>
        </w:rPr>
      </w:pPr>
      <w:r>
        <w:rPr>
          <w:rFonts w:hint="eastAsia" w:ascii="宋体" w:hAnsi="宋体"/>
          <w:sz w:val="24"/>
        </w:rPr>
        <w:t xml:space="preserve">7.1.3 应按指定时间将垃圾运送到指定的清洁站，不得随意倾倒。 </w:t>
      </w:r>
    </w:p>
    <w:p>
      <w:pPr>
        <w:adjustRightInd w:val="0"/>
        <w:snapToGrid w:val="0"/>
        <w:spacing w:line="360" w:lineRule="auto"/>
        <w:ind w:firstLine="480" w:firstLineChars="200"/>
        <w:rPr>
          <w:rFonts w:ascii="宋体" w:hAnsi="宋体"/>
          <w:sz w:val="24"/>
        </w:rPr>
      </w:pPr>
      <w:r>
        <w:rPr>
          <w:rFonts w:hint="eastAsia" w:ascii="宋体" w:hAnsi="宋体"/>
          <w:sz w:val="24"/>
        </w:rPr>
        <w:t xml:space="preserve">7.2 机动垃圾收集运输车 </w:t>
      </w:r>
    </w:p>
    <w:p>
      <w:pPr>
        <w:adjustRightInd w:val="0"/>
        <w:snapToGrid w:val="0"/>
        <w:spacing w:line="360" w:lineRule="auto"/>
        <w:ind w:firstLine="480" w:firstLineChars="200"/>
        <w:rPr>
          <w:rFonts w:ascii="宋体" w:hAnsi="宋体"/>
          <w:sz w:val="24"/>
        </w:rPr>
      </w:pPr>
      <w:r>
        <w:rPr>
          <w:rFonts w:hint="eastAsia" w:ascii="宋体" w:hAnsi="宋体"/>
          <w:sz w:val="24"/>
        </w:rPr>
        <w:t xml:space="preserve">7.2.1 应符合国家和地方的有关法律法规和安全技术操作规程等。 </w:t>
      </w:r>
    </w:p>
    <w:p>
      <w:pPr>
        <w:adjustRightInd w:val="0"/>
        <w:snapToGrid w:val="0"/>
        <w:spacing w:line="360" w:lineRule="auto"/>
        <w:ind w:firstLine="480" w:firstLineChars="200"/>
        <w:rPr>
          <w:rFonts w:ascii="宋体" w:hAnsi="宋体"/>
          <w:sz w:val="24"/>
        </w:rPr>
      </w:pPr>
      <w:r>
        <w:rPr>
          <w:rFonts w:hint="eastAsia" w:ascii="宋体" w:hAnsi="宋体"/>
          <w:sz w:val="24"/>
        </w:rPr>
        <w:t xml:space="preserve">7.2.2 垃圾收集运输车在明显位置应标有本公司名称或图标。 </w:t>
      </w:r>
    </w:p>
    <w:p>
      <w:pPr>
        <w:adjustRightInd w:val="0"/>
        <w:snapToGrid w:val="0"/>
        <w:spacing w:line="360" w:lineRule="auto"/>
        <w:ind w:firstLine="480" w:firstLineChars="200"/>
        <w:rPr>
          <w:rFonts w:ascii="宋体" w:hAnsi="宋体"/>
          <w:sz w:val="24"/>
        </w:rPr>
      </w:pPr>
      <w:r>
        <w:rPr>
          <w:rFonts w:hint="eastAsia" w:ascii="宋体" w:hAnsi="宋体"/>
          <w:sz w:val="24"/>
        </w:rPr>
        <w:t xml:space="preserve">7.2.3 垃圾收集运输车的配置应符合 CJJ/T 102 的规定。 </w:t>
      </w:r>
    </w:p>
    <w:p>
      <w:pPr>
        <w:adjustRightInd w:val="0"/>
        <w:snapToGrid w:val="0"/>
        <w:spacing w:line="360" w:lineRule="auto"/>
        <w:ind w:firstLine="480" w:firstLineChars="200"/>
        <w:rPr>
          <w:rFonts w:ascii="宋体" w:hAnsi="宋体"/>
          <w:sz w:val="24"/>
        </w:rPr>
      </w:pPr>
      <w:r>
        <w:rPr>
          <w:rFonts w:hint="eastAsia" w:ascii="宋体" w:hAnsi="宋体"/>
          <w:sz w:val="24"/>
        </w:rPr>
        <w:t xml:space="preserve">7.2.4 日常运行的垃圾收集运输车完好率应在 85％以上。 </w:t>
      </w:r>
    </w:p>
    <w:p>
      <w:pPr>
        <w:adjustRightInd w:val="0"/>
        <w:snapToGrid w:val="0"/>
        <w:spacing w:line="360" w:lineRule="auto"/>
        <w:ind w:firstLine="480" w:firstLineChars="200"/>
        <w:rPr>
          <w:rFonts w:ascii="宋体" w:hAnsi="宋体"/>
          <w:sz w:val="24"/>
        </w:rPr>
      </w:pPr>
      <w:r>
        <w:rPr>
          <w:rFonts w:hint="eastAsia" w:ascii="宋体" w:hAnsi="宋体"/>
          <w:sz w:val="24"/>
        </w:rPr>
        <w:t xml:space="preserve">7.2.5 垃圾收集运输作业单位应建立和完善垃圾收集运输车使用、保养、维修及监督检查等各项内部制度。编写并组织实施车辆运营计划，负责统计、考核和评比检查工作。 </w:t>
      </w:r>
    </w:p>
    <w:p>
      <w:pPr>
        <w:adjustRightInd w:val="0"/>
        <w:snapToGrid w:val="0"/>
        <w:spacing w:line="360" w:lineRule="auto"/>
        <w:ind w:firstLine="480" w:firstLineChars="200"/>
        <w:rPr>
          <w:rFonts w:ascii="宋体" w:hAnsi="宋体"/>
          <w:sz w:val="24"/>
        </w:rPr>
      </w:pPr>
      <w:r>
        <w:rPr>
          <w:rFonts w:hint="eastAsia" w:ascii="宋体" w:hAnsi="宋体"/>
          <w:sz w:val="24"/>
        </w:rPr>
        <w:t xml:space="preserve">7.2.6 垃圾收集运输车应与清洁站和中转站设施、设备相配套，垃圾装卸方便。 </w:t>
      </w:r>
    </w:p>
    <w:p>
      <w:pPr>
        <w:adjustRightInd w:val="0"/>
        <w:snapToGrid w:val="0"/>
        <w:spacing w:line="360" w:lineRule="auto"/>
        <w:ind w:firstLine="480" w:firstLineChars="200"/>
        <w:rPr>
          <w:rFonts w:ascii="宋体" w:hAnsi="宋体"/>
          <w:sz w:val="24"/>
        </w:rPr>
      </w:pPr>
      <w:r>
        <w:rPr>
          <w:rFonts w:hint="eastAsia" w:ascii="宋体" w:hAnsi="宋体"/>
          <w:sz w:val="24"/>
        </w:rPr>
        <w:t xml:space="preserve">7.2.7 垃圾收集运输车应装备行驶和装载情况记录仪，并按有关规定提供作业记录信息。 </w:t>
      </w:r>
    </w:p>
    <w:p>
      <w:pPr>
        <w:adjustRightInd w:val="0"/>
        <w:snapToGrid w:val="0"/>
        <w:spacing w:line="360" w:lineRule="auto"/>
        <w:ind w:firstLine="480" w:firstLineChars="200"/>
        <w:rPr>
          <w:rFonts w:ascii="宋体" w:hAnsi="宋体"/>
          <w:sz w:val="24"/>
        </w:rPr>
      </w:pPr>
      <w:r>
        <w:rPr>
          <w:rFonts w:hint="eastAsia" w:ascii="宋体" w:hAnsi="宋体"/>
          <w:sz w:val="24"/>
        </w:rPr>
        <w:t xml:space="preserve">7.2.8 垃圾收集运输车应保持车容整洁，如遇污迹，应及时清理，每日工作完毕，应对垃圾收集运输车进行清洗。 </w:t>
      </w:r>
    </w:p>
    <w:p>
      <w:pPr>
        <w:adjustRightInd w:val="0"/>
        <w:snapToGrid w:val="0"/>
        <w:spacing w:line="360" w:lineRule="auto"/>
        <w:ind w:firstLine="480" w:firstLineChars="200"/>
        <w:rPr>
          <w:rFonts w:ascii="宋体" w:hAnsi="宋体"/>
          <w:sz w:val="24"/>
        </w:rPr>
      </w:pPr>
      <w:r>
        <w:rPr>
          <w:rFonts w:hint="eastAsia" w:ascii="宋体" w:hAnsi="宋体"/>
          <w:sz w:val="24"/>
        </w:rPr>
        <w:t xml:space="preserve">7.2.9 垃圾收集运输车应设有防遗洒、渗漏装置，在作业过程中不得遗洒垃圾和污水。 </w:t>
      </w:r>
    </w:p>
    <w:p>
      <w:pPr>
        <w:adjustRightInd w:val="0"/>
        <w:snapToGrid w:val="0"/>
        <w:spacing w:line="360" w:lineRule="auto"/>
        <w:ind w:firstLine="480" w:firstLineChars="200"/>
        <w:rPr>
          <w:rFonts w:ascii="宋体" w:hAnsi="宋体"/>
          <w:sz w:val="24"/>
        </w:rPr>
      </w:pPr>
      <w:r>
        <w:rPr>
          <w:rFonts w:hint="eastAsia" w:ascii="宋体" w:hAnsi="宋体"/>
          <w:sz w:val="24"/>
        </w:rPr>
        <w:t xml:space="preserve">7.2.10 垃圾收集运输车外部和垃圾箱体应完好无损，如遇磕、碰、漆皮脱落等，应及时修补。 </w:t>
      </w:r>
    </w:p>
    <w:p>
      <w:pPr>
        <w:adjustRightInd w:val="0"/>
        <w:snapToGrid w:val="0"/>
        <w:spacing w:line="360" w:lineRule="auto"/>
        <w:ind w:firstLine="480" w:firstLineChars="200"/>
        <w:rPr>
          <w:rFonts w:ascii="宋体" w:hAnsi="宋体"/>
          <w:sz w:val="24"/>
        </w:rPr>
      </w:pPr>
      <w:r>
        <w:rPr>
          <w:rFonts w:hint="eastAsia" w:ascii="宋体" w:hAnsi="宋体"/>
          <w:sz w:val="24"/>
        </w:rPr>
        <w:t xml:space="preserve">7.2.11 垃圾收集运输车在收集、运输和转运垃圾时，垃圾不得暴露，车辆不得超载。 </w:t>
      </w:r>
    </w:p>
    <w:p>
      <w:pPr>
        <w:adjustRightInd w:val="0"/>
        <w:snapToGrid w:val="0"/>
        <w:spacing w:line="360" w:lineRule="auto"/>
        <w:ind w:firstLine="480" w:firstLineChars="200"/>
        <w:rPr>
          <w:rFonts w:ascii="宋体" w:hAnsi="宋体"/>
          <w:sz w:val="24"/>
        </w:rPr>
      </w:pPr>
      <w:r>
        <w:rPr>
          <w:rFonts w:hint="eastAsia" w:ascii="宋体" w:hAnsi="宋体"/>
          <w:sz w:val="24"/>
        </w:rPr>
        <w:t xml:space="preserve">7.2.12 经营城市生活垃圾收集运输的企业应配有应急车辆和联系方式，垃圾收集运输车出现故障时，要及时调用备用车辆，尽快到达指定地点完成垃圾运输工作。 </w:t>
      </w:r>
    </w:p>
    <w:p>
      <w:pPr>
        <w:adjustRightInd w:val="0"/>
        <w:snapToGrid w:val="0"/>
        <w:spacing w:line="360" w:lineRule="auto"/>
        <w:ind w:firstLine="480" w:firstLineChars="200"/>
        <w:rPr>
          <w:rFonts w:ascii="宋体" w:hAnsi="宋体"/>
          <w:sz w:val="24"/>
        </w:rPr>
      </w:pPr>
      <w:r>
        <w:rPr>
          <w:rFonts w:hint="eastAsia" w:ascii="宋体" w:hAnsi="宋体"/>
          <w:sz w:val="24"/>
        </w:rPr>
        <w:t xml:space="preserve">7.2.13 垃圾收集运输车应按规定路线和指定收集点进行收集，不得甩站。 </w:t>
      </w:r>
    </w:p>
    <w:p>
      <w:pPr>
        <w:adjustRightInd w:val="0"/>
        <w:snapToGrid w:val="0"/>
        <w:spacing w:line="360" w:lineRule="auto"/>
        <w:ind w:firstLine="480" w:firstLineChars="200"/>
        <w:rPr>
          <w:rFonts w:ascii="宋体" w:hAnsi="宋体"/>
          <w:sz w:val="24"/>
        </w:rPr>
      </w:pPr>
      <w:r>
        <w:rPr>
          <w:rFonts w:hint="eastAsia" w:ascii="宋体" w:hAnsi="宋体"/>
          <w:sz w:val="24"/>
        </w:rPr>
        <w:t xml:space="preserve">7.2.14 垃圾应运送到指定地点处理或处置，不得自行乱倒。 </w:t>
      </w:r>
    </w:p>
    <w:p>
      <w:pPr>
        <w:adjustRightInd w:val="0"/>
        <w:snapToGrid w:val="0"/>
        <w:spacing w:line="360" w:lineRule="auto"/>
        <w:ind w:firstLine="480" w:firstLineChars="200"/>
        <w:rPr>
          <w:rFonts w:ascii="宋体" w:hAnsi="宋体"/>
          <w:sz w:val="24"/>
        </w:rPr>
      </w:pPr>
      <w:r>
        <w:rPr>
          <w:rFonts w:hint="eastAsia" w:ascii="宋体" w:hAnsi="宋体"/>
          <w:sz w:val="24"/>
        </w:rPr>
        <w:t>7.2.15 垃圾收集运输车到达垃圾处理设施后应遵守其管理规定。</w:t>
      </w:r>
    </w:p>
    <w:p>
      <w:pPr>
        <w:widowControl/>
        <w:jc w:val="left"/>
        <w:rPr>
          <w:rFonts w:ascii="宋体" w:hAnsi="宋体"/>
          <w:b/>
          <w:sz w:val="24"/>
        </w:rPr>
      </w:pPr>
      <w:r>
        <w:rPr>
          <w:rFonts w:ascii="宋体" w:hAnsi="宋体"/>
          <w:b/>
          <w:sz w:val="24"/>
        </w:rPr>
        <w:br w:type="page"/>
      </w:r>
    </w:p>
    <w:p>
      <w:pPr>
        <w:spacing w:line="360" w:lineRule="auto"/>
        <w:jc w:val="left"/>
        <w:rPr>
          <w:rFonts w:ascii="宋体" w:hAnsi="宋体"/>
          <w:b/>
          <w:sz w:val="24"/>
        </w:rPr>
      </w:pPr>
      <w:r>
        <w:rPr>
          <w:rFonts w:hint="eastAsia" w:ascii="宋体" w:hAnsi="宋体"/>
          <w:b/>
          <w:sz w:val="24"/>
        </w:rPr>
        <w:t>附件6：</w:t>
      </w:r>
    </w:p>
    <w:p>
      <w:pPr>
        <w:adjustRightInd w:val="0"/>
        <w:snapToGrid w:val="0"/>
        <w:spacing w:line="360" w:lineRule="auto"/>
        <w:jc w:val="center"/>
        <w:rPr>
          <w:rFonts w:ascii="宋体" w:hAnsi="宋体"/>
          <w:b/>
          <w:kern w:val="0"/>
          <w:sz w:val="24"/>
        </w:rPr>
      </w:pPr>
      <w:r>
        <w:rPr>
          <w:rFonts w:hint="eastAsia" w:ascii="宋体" w:hAnsi="宋体"/>
          <w:b/>
          <w:kern w:val="0"/>
          <w:sz w:val="24"/>
        </w:rPr>
        <w:t>北京市街乡（镇）管理范围环境卫生检查考评实施细则</w:t>
      </w:r>
    </w:p>
    <w:p>
      <w:pPr>
        <w:adjustRightInd w:val="0"/>
        <w:snapToGrid w:val="0"/>
        <w:spacing w:line="360" w:lineRule="auto"/>
        <w:ind w:firstLine="480" w:firstLineChars="200"/>
        <w:rPr>
          <w:rFonts w:ascii="宋体" w:hAnsi="宋体"/>
          <w:kern w:val="0"/>
          <w:sz w:val="24"/>
        </w:rPr>
      </w:pPr>
      <w:r>
        <w:rPr>
          <w:rFonts w:hint="eastAsia" w:ascii="宋体" w:hAnsi="宋体"/>
          <w:kern w:val="0"/>
          <w:sz w:val="24"/>
        </w:rPr>
        <w:t>为贯彻落实《北京市市容环境卫生条例》，推动北京市街乡(镇)管理范围环境卫生管理和作业水平提高，根据国家和本市相关法律、法规、规章、规范及标准，制定本实施细则。</w:t>
      </w:r>
    </w:p>
    <w:p>
      <w:pPr>
        <w:adjustRightInd w:val="0"/>
        <w:snapToGrid w:val="0"/>
        <w:spacing w:line="360" w:lineRule="auto"/>
        <w:ind w:firstLine="482" w:firstLineChars="200"/>
        <w:rPr>
          <w:rFonts w:ascii="宋体" w:hAnsi="宋体"/>
          <w:b/>
          <w:kern w:val="0"/>
          <w:sz w:val="24"/>
        </w:rPr>
      </w:pPr>
      <w:r>
        <w:rPr>
          <w:rFonts w:hint="eastAsia" w:ascii="宋体" w:hAnsi="宋体"/>
          <w:b/>
          <w:sz w:val="24"/>
        </w:rPr>
        <w:t>一、</w:t>
      </w:r>
      <w:r>
        <w:rPr>
          <w:rFonts w:hint="eastAsia" w:ascii="宋体" w:hAnsi="宋体"/>
          <w:b/>
          <w:kern w:val="0"/>
          <w:sz w:val="24"/>
        </w:rPr>
        <w:t>检查考评主体</w:t>
      </w:r>
    </w:p>
    <w:p>
      <w:pPr>
        <w:adjustRightInd w:val="0"/>
        <w:snapToGrid w:val="0"/>
        <w:spacing w:line="360" w:lineRule="auto"/>
        <w:ind w:firstLine="480" w:firstLineChars="200"/>
        <w:rPr>
          <w:rFonts w:ascii="宋体" w:hAnsi="宋体"/>
          <w:sz w:val="24"/>
        </w:rPr>
      </w:pPr>
      <w:r>
        <w:rPr>
          <w:rFonts w:hint="eastAsia" w:ascii="宋体" w:hAnsi="宋体"/>
          <w:sz w:val="24"/>
        </w:rPr>
        <w:t>北京市城管委作为检查考评的主体，组织全市街乡(镇)管理范围环境卫生检查考评工作，城区范围由</w:t>
      </w:r>
      <w:r>
        <w:rPr>
          <w:rFonts w:hint="eastAsia" w:ascii="宋体" w:hAnsi="宋体"/>
          <w:kern w:val="0"/>
          <w:sz w:val="24"/>
        </w:rPr>
        <w:t>市垃圾渣土管理处具体执行，郊区范围重点</w:t>
      </w:r>
      <w:r>
        <w:rPr>
          <w:rFonts w:hint="eastAsia" w:ascii="宋体" w:hAnsi="宋体"/>
          <w:sz w:val="24"/>
        </w:rPr>
        <w:t>新城、42个重点小城镇</w:t>
      </w:r>
      <w:r>
        <w:rPr>
          <w:rFonts w:hint="eastAsia" w:ascii="宋体" w:hAnsi="宋体"/>
          <w:kern w:val="0"/>
          <w:sz w:val="24"/>
        </w:rPr>
        <w:t>由市市容环境卫生协会具体执行。各区城管委负责辖区内街乡(镇)管理范围环境卫生日常检查考评工作，并接受市级环境卫生管理部门的指导和监督。</w:t>
      </w:r>
    </w:p>
    <w:p>
      <w:pPr>
        <w:adjustRightInd w:val="0"/>
        <w:snapToGrid w:val="0"/>
        <w:spacing w:line="360" w:lineRule="auto"/>
        <w:ind w:firstLine="482" w:firstLineChars="200"/>
        <w:rPr>
          <w:rFonts w:ascii="宋体" w:hAnsi="宋体"/>
          <w:b/>
          <w:sz w:val="24"/>
        </w:rPr>
      </w:pPr>
      <w:r>
        <w:rPr>
          <w:rFonts w:hint="eastAsia" w:ascii="宋体" w:hAnsi="宋体"/>
          <w:b/>
          <w:sz w:val="24"/>
        </w:rPr>
        <w:t>二、检查考评对象</w:t>
      </w:r>
    </w:p>
    <w:p>
      <w:pPr>
        <w:adjustRightInd w:val="0"/>
        <w:snapToGrid w:val="0"/>
        <w:spacing w:line="360" w:lineRule="auto"/>
        <w:ind w:firstLine="480" w:firstLineChars="200"/>
        <w:rPr>
          <w:rFonts w:ascii="宋体" w:hAnsi="宋体"/>
          <w:sz w:val="24"/>
        </w:rPr>
      </w:pPr>
      <w:r>
        <w:rPr>
          <w:rFonts w:hint="eastAsia" w:ascii="宋体" w:hAnsi="宋体"/>
          <w:sz w:val="24"/>
        </w:rPr>
        <w:t>全市街乡(镇)管理范围环境卫生服务工作。</w:t>
      </w:r>
    </w:p>
    <w:p>
      <w:pPr>
        <w:adjustRightInd w:val="0"/>
        <w:snapToGrid w:val="0"/>
        <w:spacing w:line="360" w:lineRule="auto"/>
        <w:ind w:firstLine="482" w:firstLineChars="200"/>
        <w:rPr>
          <w:rFonts w:ascii="宋体" w:hAnsi="宋体"/>
          <w:b/>
          <w:sz w:val="24"/>
        </w:rPr>
      </w:pPr>
      <w:r>
        <w:rPr>
          <w:rFonts w:hint="eastAsia" w:ascii="宋体" w:hAnsi="宋体"/>
          <w:b/>
          <w:sz w:val="24"/>
        </w:rPr>
        <w:t>三、检查考评项目</w:t>
      </w:r>
    </w:p>
    <w:p>
      <w:pPr>
        <w:adjustRightInd w:val="0"/>
        <w:snapToGrid w:val="0"/>
        <w:spacing w:line="360" w:lineRule="auto"/>
        <w:ind w:firstLine="480" w:firstLineChars="200"/>
        <w:rPr>
          <w:rFonts w:ascii="宋体" w:hAnsi="宋体"/>
          <w:kern w:val="0"/>
          <w:sz w:val="24"/>
        </w:rPr>
      </w:pPr>
      <w:r>
        <w:rPr>
          <w:rFonts w:hint="eastAsia" w:ascii="宋体" w:hAnsi="宋体"/>
          <w:kern w:val="0"/>
          <w:sz w:val="24"/>
        </w:rPr>
        <w:t>按北京市城管委纳入检查考评范围的街乡(镇)管理范围环境卫生作业项目进行检查考评，考评结果纳入</w:t>
      </w:r>
      <w:r>
        <w:rPr>
          <w:rFonts w:hint="eastAsia" w:ascii="宋体" w:hAnsi="宋体"/>
          <w:sz w:val="24"/>
        </w:rPr>
        <w:t>《市容环境卫生综合考评（专业评价）》。街乡（镇）管理范围作业项目包括背街小巷、门前及其他责任区等。</w:t>
      </w:r>
    </w:p>
    <w:p>
      <w:pPr>
        <w:adjustRightInd w:val="0"/>
        <w:snapToGrid w:val="0"/>
        <w:spacing w:line="360" w:lineRule="auto"/>
        <w:ind w:firstLine="482" w:firstLineChars="200"/>
        <w:rPr>
          <w:rFonts w:ascii="宋体" w:hAnsi="宋体"/>
          <w:b/>
          <w:sz w:val="24"/>
        </w:rPr>
      </w:pPr>
      <w:r>
        <w:rPr>
          <w:rFonts w:hint="eastAsia" w:ascii="宋体" w:hAnsi="宋体"/>
          <w:b/>
          <w:sz w:val="24"/>
        </w:rPr>
        <w:t>四、检查考评形式</w:t>
      </w:r>
    </w:p>
    <w:p>
      <w:pPr>
        <w:adjustRightInd w:val="0"/>
        <w:snapToGrid w:val="0"/>
        <w:spacing w:line="360" w:lineRule="auto"/>
        <w:ind w:firstLine="480" w:firstLineChars="200"/>
        <w:rPr>
          <w:rFonts w:ascii="宋体" w:hAnsi="宋体"/>
          <w:kern w:val="0"/>
          <w:sz w:val="24"/>
        </w:rPr>
      </w:pPr>
      <w:r>
        <w:rPr>
          <w:rFonts w:hint="eastAsia" w:ascii="宋体" w:hAnsi="宋体"/>
          <w:kern w:val="0"/>
          <w:sz w:val="24"/>
        </w:rPr>
        <w:t>考评采取“日检查、月考核、季评价、年汇总”的形式，对街乡(镇)管理范围环境卫生作业进行检查考评。即在各区规定的数量范围内，每日对各检查项目抽样实施现场检查；每月将现场检查结果统计进行考核；每季度综合月考核结果与季度检查情况进行评价；年终对全年工作进行总评。</w:t>
      </w:r>
    </w:p>
    <w:p>
      <w:pPr>
        <w:adjustRightInd w:val="0"/>
        <w:snapToGrid w:val="0"/>
        <w:spacing w:line="360" w:lineRule="auto"/>
        <w:ind w:firstLine="480" w:firstLineChars="200"/>
        <w:rPr>
          <w:rFonts w:ascii="宋体" w:hAnsi="宋体"/>
          <w:sz w:val="24"/>
        </w:rPr>
      </w:pPr>
      <w:r>
        <w:rPr>
          <w:rFonts w:hint="eastAsia" w:ascii="宋体" w:hAnsi="宋体"/>
          <w:sz w:val="24"/>
        </w:rPr>
        <w:t>（一）日检查</w:t>
      </w:r>
    </w:p>
    <w:p>
      <w:pPr>
        <w:adjustRightInd w:val="0"/>
        <w:snapToGrid w:val="0"/>
        <w:spacing w:line="360" w:lineRule="auto"/>
        <w:ind w:firstLine="480" w:firstLineChars="200"/>
        <w:rPr>
          <w:rFonts w:ascii="宋体" w:hAnsi="宋体"/>
          <w:kern w:val="0"/>
          <w:sz w:val="24"/>
        </w:rPr>
      </w:pPr>
      <w:r>
        <w:rPr>
          <w:rFonts w:hint="eastAsia" w:ascii="宋体" w:hAnsi="宋体"/>
          <w:kern w:val="0"/>
          <w:sz w:val="24"/>
        </w:rPr>
        <w:t>检查考核内容包含作业管理、作业基础、作业规范、作业质量、安全生产与应急处置等内容。市垃圾渣土管理处、市环境卫生协会将日检查结果整理审核后，在</w:t>
      </w:r>
      <w:r>
        <w:rPr>
          <w:rFonts w:hint="eastAsia" w:ascii="宋体" w:hAnsi="宋体"/>
          <w:sz w:val="24"/>
        </w:rPr>
        <w:t>北京市城管委</w:t>
      </w:r>
      <w:r>
        <w:rPr>
          <w:rFonts w:hint="eastAsia" w:ascii="宋体" w:hAnsi="宋体"/>
          <w:kern w:val="0"/>
          <w:sz w:val="24"/>
        </w:rPr>
        <w:t>与本单位网站《街乡环境卫生检查》栏公示。公示内容包含所属街乡（镇）、作业项目、地理位置、问题描述及图片、检查时间和检查结果等内容。</w:t>
      </w:r>
    </w:p>
    <w:p>
      <w:pPr>
        <w:adjustRightInd w:val="0"/>
        <w:snapToGrid w:val="0"/>
        <w:spacing w:line="360" w:lineRule="auto"/>
        <w:ind w:firstLine="480" w:firstLineChars="200"/>
        <w:rPr>
          <w:rFonts w:ascii="宋体" w:hAnsi="宋体"/>
          <w:sz w:val="24"/>
        </w:rPr>
      </w:pPr>
      <w:r>
        <w:rPr>
          <w:rFonts w:hint="eastAsia" w:ascii="宋体" w:hAnsi="宋体"/>
          <w:sz w:val="24"/>
        </w:rPr>
        <w:t>（二）月考核</w:t>
      </w:r>
    </w:p>
    <w:p>
      <w:pPr>
        <w:adjustRightInd w:val="0"/>
        <w:snapToGrid w:val="0"/>
        <w:spacing w:line="360" w:lineRule="auto"/>
        <w:ind w:firstLine="480" w:firstLineChars="200"/>
        <w:rPr>
          <w:rFonts w:ascii="宋体" w:hAnsi="宋体"/>
          <w:kern w:val="0"/>
          <w:sz w:val="24"/>
        </w:rPr>
      </w:pPr>
      <w:r>
        <w:rPr>
          <w:rFonts w:hint="eastAsia" w:ascii="宋体" w:hAnsi="宋体"/>
          <w:sz w:val="24"/>
        </w:rPr>
        <w:t>1.</w:t>
      </w:r>
      <w:r>
        <w:rPr>
          <w:rFonts w:hint="eastAsia" w:ascii="宋体" w:hAnsi="宋体"/>
          <w:kern w:val="0"/>
          <w:sz w:val="24"/>
        </w:rPr>
        <w:t>考核内容：以自然月为一个周期，对日检查结果汇总进行月考核</w:t>
      </w:r>
    </w:p>
    <w:p>
      <w:pPr>
        <w:adjustRightInd w:val="0"/>
        <w:snapToGrid w:val="0"/>
        <w:spacing w:line="360" w:lineRule="auto"/>
        <w:ind w:firstLine="480" w:firstLineChars="200"/>
        <w:rPr>
          <w:rFonts w:ascii="宋体" w:hAnsi="宋体"/>
          <w:kern w:val="0"/>
          <w:sz w:val="24"/>
        </w:rPr>
      </w:pPr>
      <w:r>
        <w:rPr>
          <w:rFonts w:hint="eastAsia" w:ascii="宋体" w:hAnsi="宋体"/>
          <w:sz w:val="24"/>
        </w:rPr>
        <w:t>2.</w:t>
      </w:r>
      <w:r>
        <w:rPr>
          <w:rFonts w:hint="eastAsia" w:ascii="宋体" w:hAnsi="宋体"/>
          <w:kern w:val="0"/>
          <w:sz w:val="24"/>
        </w:rPr>
        <w:t>考核计分</w:t>
      </w:r>
    </w:p>
    <w:p>
      <w:pPr>
        <w:adjustRightInd w:val="0"/>
        <w:snapToGrid w:val="0"/>
        <w:spacing w:line="360" w:lineRule="auto"/>
        <w:ind w:firstLine="480" w:firstLineChars="200"/>
        <w:rPr>
          <w:rFonts w:ascii="宋体" w:hAnsi="宋体"/>
          <w:kern w:val="0"/>
          <w:sz w:val="24"/>
        </w:rPr>
      </w:pPr>
      <w:r>
        <w:rPr>
          <w:rFonts w:hint="eastAsia" w:ascii="宋体" w:hAnsi="宋体"/>
          <w:kern w:val="0"/>
          <w:sz w:val="24"/>
        </w:rPr>
        <w:t>（1）分层级计分</w:t>
      </w:r>
    </w:p>
    <w:p>
      <w:pPr>
        <w:adjustRightInd w:val="0"/>
        <w:snapToGrid w:val="0"/>
        <w:spacing w:line="360" w:lineRule="auto"/>
        <w:ind w:firstLine="480" w:firstLineChars="200"/>
        <w:rPr>
          <w:rFonts w:ascii="宋体" w:hAnsi="宋体"/>
          <w:kern w:val="0"/>
          <w:sz w:val="24"/>
        </w:rPr>
      </w:pPr>
      <w:r>
        <w:rPr>
          <w:rFonts w:hint="eastAsia" w:ascii="宋体" w:hAnsi="宋体"/>
          <w:kern w:val="0"/>
          <w:sz w:val="24"/>
        </w:rPr>
        <w:t>检查考核内容分三个部分三个层级，第一及第二层级采用百分制按权重计分，第三层级采用固定分值按项次累计计分。由第三层级向上逐级计算，最终得出总分值。</w:t>
      </w:r>
    </w:p>
    <w:p>
      <w:pPr>
        <w:adjustRightInd w:val="0"/>
        <w:snapToGrid w:val="0"/>
        <w:spacing w:line="360" w:lineRule="auto"/>
        <w:ind w:firstLine="480" w:firstLineChars="200"/>
        <w:rPr>
          <w:rFonts w:ascii="宋体" w:hAnsi="宋体"/>
          <w:kern w:val="0"/>
          <w:sz w:val="24"/>
        </w:rPr>
      </w:pPr>
      <w:r>
        <w:rPr>
          <w:rFonts w:hint="eastAsia" w:ascii="宋体" w:hAnsi="宋体"/>
          <w:sz w:val="24"/>
        </w:rPr>
        <w:t>（2）</w:t>
      </w:r>
      <w:r>
        <w:rPr>
          <w:rFonts w:hint="eastAsia" w:ascii="宋体" w:hAnsi="宋体"/>
          <w:kern w:val="0"/>
          <w:sz w:val="24"/>
        </w:rPr>
        <w:t>计分方法</w:t>
      </w:r>
    </w:p>
    <w:p>
      <w:pPr>
        <w:adjustRightInd w:val="0"/>
        <w:snapToGrid w:val="0"/>
        <w:spacing w:line="360" w:lineRule="auto"/>
        <w:ind w:firstLine="480" w:firstLineChars="200"/>
        <w:rPr>
          <w:rFonts w:ascii="宋体" w:hAnsi="宋体"/>
          <w:kern w:val="0"/>
          <w:sz w:val="24"/>
        </w:rPr>
      </w:pPr>
      <w:r>
        <w:rPr>
          <w:rFonts w:hint="eastAsia" w:ascii="宋体" w:hAnsi="宋体"/>
          <w:kern w:val="0"/>
          <w:sz w:val="24"/>
        </w:rPr>
        <w:t>检查考核不合格时扣除该问题相应分值，按检查项次累计计分，扣分分值不超过该问题所属第二层级条目分值。（扣分分值=问题分值*不合格项次）</w:t>
      </w:r>
    </w:p>
    <w:p>
      <w:pPr>
        <w:adjustRightInd w:val="0"/>
        <w:snapToGrid w:val="0"/>
        <w:spacing w:line="360" w:lineRule="auto"/>
        <w:ind w:firstLine="480" w:firstLineChars="200"/>
        <w:rPr>
          <w:rFonts w:ascii="宋体" w:hAnsi="宋体"/>
          <w:kern w:val="0"/>
          <w:sz w:val="24"/>
        </w:rPr>
      </w:pPr>
      <w:r>
        <w:rPr>
          <w:rFonts w:hint="eastAsia" w:ascii="宋体" w:hAnsi="宋体"/>
          <w:sz w:val="24"/>
        </w:rPr>
        <w:t xml:space="preserve">  3.</w:t>
      </w:r>
      <w:r>
        <w:rPr>
          <w:rFonts w:hint="eastAsia" w:ascii="宋体" w:hAnsi="宋体"/>
          <w:kern w:val="0"/>
          <w:sz w:val="24"/>
        </w:rPr>
        <w:t>考核结果通报</w:t>
      </w:r>
    </w:p>
    <w:p>
      <w:pPr>
        <w:adjustRightInd w:val="0"/>
        <w:snapToGrid w:val="0"/>
        <w:spacing w:line="360" w:lineRule="auto"/>
        <w:ind w:firstLine="480" w:firstLineChars="200"/>
        <w:rPr>
          <w:rFonts w:ascii="宋体" w:hAnsi="宋体"/>
          <w:kern w:val="0"/>
          <w:sz w:val="24"/>
        </w:rPr>
      </w:pPr>
      <w:r>
        <w:rPr>
          <w:rFonts w:hint="eastAsia" w:ascii="宋体" w:hAnsi="宋体"/>
          <w:sz w:val="24"/>
        </w:rPr>
        <w:t>北京市城管委</w:t>
      </w:r>
      <w:r>
        <w:rPr>
          <w:rFonts w:hint="eastAsia" w:ascii="宋体" w:hAnsi="宋体"/>
          <w:kern w:val="0"/>
          <w:sz w:val="24"/>
        </w:rPr>
        <w:t>每月审核考核结果后，</w:t>
      </w:r>
      <w:r>
        <w:rPr>
          <w:rFonts w:hint="eastAsia" w:ascii="宋体" w:hAnsi="宋体"/>
          <w:sz w:val="24"/>
        </w:rPr>
        <w:t>上报市政府并通报区政府。考核结果包括分值、存在问题和工作建议等。</w:t>
      </w:r>
    </w:p>
    <w:p>
      <w:pPr>
        <w:adjustRightInd w:val="0"/>
        <w:snapToGrid w:val="0"/>
        <w:spacing w:line="360" w:lineRule="auto"/>
        <w:ind w:firstLine="480" w:firstLineChars="200"/>
        <w:rPr>
          <w:rFonts w:ascii="宋体" w:hAnsi="宋体"/>
          <w:sz w:val="24"/>
        </w:rPr>
      </w:pPr>
      <w:r>
        <w:rPr>
          <w:rFonts w:hint="eastAsia" w:ascii="宋体" w:hAnsi="宋体"/>
          <w:sz w:val="24"/>
        </w:rPr>
        <w:t>（三）季评价</w:t>
      </w:r>
    </w:p>
    <w:p>
      <w:pPr>
        <w:adjustRightInd w:val="0"/>
        <w:snapToGrid w:val="0"/>
        <w:spacing w:line="360" w:lineRule="auto"/>
        <w:ind w:firstLine="480" w:firstLineChars="200"/>
        <w:rPr>
          <w:rFonts w:ascii="宋体" w:hAnsi="宋体"/>
          <w:kern w:val="0"/>
          <w:sz w:val="24"/>
        </w:rPr>
      </w:pPr>
      <w:r>
        <w:rPr>
          <w:rFonts w:hint="eastAsia" w:ascii="宋体" w:hAnsi="宋体"/>
          <w:sz w:val="24"/>
        </w:rPr>
        <w:t>1.评价周期</w:t>
      </w:r>
      <w:r>
        <w:rPr>
          <w:rFonts w:hint="eastAsia" w:ascii="宋体" w:hAnsi="宋体"/>
          <w:kern w:val="0"/>
          <w:sz w:val="24"/>
        </w:rPr>
        <w:t>：</w:t>
      </w:r>
      <w:r>
        <w:rPr>
          <w:rFonts w:hint="eastAsia" w:ascii="宋体" w:hAnsi="宋体"/>
          <w:sz w:val="24"/>
        </w:rPr>
        <w:t>以自然季度为一个周期，对</w:t>
      </w:r>
      <w:r>
        <w:rPr>
          <w:rFonts w:hint="eastAsia" w:ascii="宋体" w:hAnsi="宋体"/>
          <w:kern w:val="0"/>
          <w:sz w:val="24"/>
        </w:rPr>
        <w:t>街乡（镇）管理范围作业考核、作业基础、专家季度检查评价等情况进行汇总评价。</w:t>
      </w:r>
    </w:p>
    <w:p>
      <w:pPr>
        <w:adjustRightInd w:val="0"/>
        <w:snapToGrid w:val="0"/>
        <w:spacing w:line="360" w:lineRule="auto"/>
        <w:ind w:firstLine="480" w:firstLineChars="200"/>
        <w:rPr>
          <w:rFonts w:ascii="宋体" w:hAnsi="宋体"/>
          <w:sz w:val="24"/>
        </w:rPr>
      </w:pPr>
      <w:r>
        <w:rPr>
          <w:rFonts w:hint="eastAsia" w:ascii="宋体" w:hAnsi="宋体"/>
          <w:sz w:val="24"/>
        </w:rPr>
        <w:t>2.</w:t>
      </w:r>
      <w:r>
        <w:rPr>
          <w:rFonts w:hint="eastAsia" w:ascii="宋体" w:hAnsi="宋体"/>
          <w:kern w:val="0"/>
          <w:sz w:val="24"/>
        </w:rPr>
        <w:t>评价结果通报</w:t>
      </w:r>
    </w:p>
    <w:p>
      <w:pPr>
        <w:adjustRightInd w:val="0"/>
        <w:snapToGrid w:val="0"/>
        <w:spacing w:line="360" w:lineRule="auto"/>
        <w:ind w:firstLine="480" w:firstLineChars="200"/>
        <w:rPr>
          <w:rFonts w:ascii="宋体" w:hAnsi="宋体"/>
          <w:kern w:val="0"/>
          <w:sz w:val="24"/>
        </w:rPr>
      </w:pPr>
      <w:r>
        <w:rPr>
          <w:rFonts w:hint="eastAsia" w:ascii="宋体" w:hAnsi="宋体"/>
          <w:sz w:val="24"/>
        </w:rPr>
        <w:t>北京市城管委</w:t>
      </w:r>
      <w:r>
        <w:rPr>
          <w:rFonts w:hint="eastAsia" w:ascii="宋体" w:hAnsi="宋体"/>
          <w:kern w:val="0"/>
          <w:sz w:val="24"/>
        </w:rPr>
        <w:t>每季度审核评价结果后，</w:t>
      </w:r>
      <w:r>
        <w:rPr>
          <w:rFonts w:hint="eastAsia" w:ascii="宋体" w:hAnsi="宋体"/>
          <w:sz w:val="24"/>
        </w:rPr>
        <w:t>上报市政府并通报区政府。</w:t>
      </w:r>
    </w:p>
    <w:p>
      <w:pPr>
        <w:adjustRightInd w:val="0"/>
        <w:snapToGrid w:val="0"/>
        <w:spacing w:line="360" w:lineRule="auto"/>
        <w:ind w:firstLine="482" w:firstLineChars="200"/>
        <w:rPr>
          <w:rFonts w:ascii="宋体" w:hAnsi="宋体"/>
          <w:b/>
          <w:sz w:val="24"/>
        </w:rPr>
      </w:pPr>
      <w:r>
        <w:rPr>
          <w:rFonts w:hint="eastAsia" w:ascii="宋体" w:hAnsi="宋体"/>
          <w:b/>
          <w:sz w:val="24"/>
        </w:rPr>
        <w:t>五、检查考评程序</w:t>
      </w:r>
    </w:p>
    <w:p>
      <w:pPr>
        <w:adjustRightInd w:val="0"/>
        <w:snapToGrid w:val="0"/>
        <w:spacing w:line="360" w:lineRule="auto"/>
        <w:ind w:firstLine="480" w:firstLineChars="200"/>
        <w:rPr>
          <w:rFonts w:ascii="宋体" w:hAnsi="宋体"/>
          <w:kern w:val="0"/>
          <w:sz w:val="24"/>
        </w:rPr>
      </w:pPr>
      <w:r>
        <w:rPr>
          <w:rFonts w:hint="eastAsia" w:ascii="宋体" w:hAnsi="宋体"/>
          <w:sz w:val="24"/>
        </w:rPr>
        <w:t>（一）</w:t>
      </w:r>
      <w:r>
        <w:rPr>
          <w:rFonts w:hint="eastAsia" w:ascii="宋体" w:hAnsi="宋体"/>
          <w:kern w:val="0"/>
          <w:sz w:val="24"/>
        </w:rPr>
        <w:t>岗前培训</w:t>
      </w:r>
    </w:p>
    <w:p>
      <w:pPr>
        <w:adjustRightInd w:val="0"/>
        <w:snapToGrid w:val="0"/>
        <w:spacing w:line="360" w:lineRule="auto"/>
        <w:ind w:firstLine="480" w:firstLineChars="200"/>
        <w:rPr>
          <w:rFonts w:ascii="宋体" w:hAnsi="宋体"/>
          <w:kern w:val="0"/>
          <w:sz w:val="24"/>
        </w:rPr>
      </w:pPr>
      <w:r>
        <w:rPr>
          <w:rFonts w:hint="eastAsia" w:ascii="宋体" w:hAnsi="宋体"/>
          <w:kern w:val="0"/>
          <w:sz w:val="24"/>
        </w:rPr>
        <w:t>为更好的实施检查考评工作，组织检查考评人员进行系统培训，考核合格后，方能参与检查考评工作；同时组织对被检查单位相关人员的培训。</w:t>
      </w:r>
    </w:p>
    <w:p>
      <w:pPr>
        <w:adjustRightInd w:val="0"/>
        <w:snapToGrid w:val="0"/>
        <w:spacing w:line="360" w:lineRule="auto"/>
        <w:ind w:firstLine="480" w:firstLineChars="200"/>
        <w:rPr>
          <w:rFonts w:ascii="宋体" w:hAnsi="宋体"/>
          <w:kern w:val="0"/>
          <w:sz w:val="24"/>
        </w:rPr>
      </w:pPr>
      <w:r>
        <w:rPr>
          <w:rFonts w:hint="eastAsia" w:ascii="宋体" w:hAnsi="宋体"/>
          <w:sz w:val="24"/>
        </w:rPr>
        <w:t>（二）实施</w:t>
      </w:r>
      <w:r>
        <w:rPr>
          <w:rFonts w:hint="eastAsia" w:ascii="宋体" w:hAnsi="宋体"/>
          <w:kern w:val="0"/>
          <w:sz w:val="24"/>
        </w:rPr>
        <w:t>检查</w:t>
      </w:r>
    </w:p>
    <w:p>
      <w:pPr>
        <w:adjustRightInd w:val="0"/>
        <w:snapToGrid w:val="0"/>
        <w:spacing w:line="360" w:lineRule="auto"/>
        <w:ind w:firstLine="480" w:firstLineChars="200"/>
        <w:rPr>
          <w:rFonts w:ascii="宋体" w:hAnsi="宋体"/>
          <w:kern w:val="0"/>
          <w:sz w:val="24"/>
        </w:rPr>
      </w:pPr>
      <w:r>
        <w:rPr>
          <w:rFonts w:hint="eastAsia" w:ascii="宋体" w:hAnsi="宋体"/>
          <w:kern w:val="0"/>
          <w:sz w:val="24"/>
        </w:rPr>
        <w:t>现场检查人员不少于2人。对检查项目采取观察作业情况、听取介绍、问询岗位人员、查阅相关运行资料和记录等方式进行检查，检查时填写《街乡(镇)管理范围检查考核记录表》，对存在的问题进行说明、拍照或摄像。</w:t>
      </w:r>
    </w:p>
    <w:p>
      <w:pPr>
        <w:adjustRightInd w:val="0"/>
        <w:snapToGrid w:val="0"/>
        <w:spacing w:line="360" w:lineRule="auto"/>
        <w:ind w:firstLine="480" w:firstLineChars="200"/>
        <w:rPr>
          <w:rFonts w:ascii="宋体" w:hAnsi="宋体"/>
          <w:kern w:val="0"/>
          <w:sz w:val="24"/>
        </w:rPr>
      </w:pPr>
      <w:r>
        <w:rPr>
          <w:rFonts w:hint="eastAsia" w:ascii="宋体" w:hAnsi="宋体"/>
          <w:kern w:val="0"/>
          <w:sz w:val="24"/>
        </w:rPr>
        <w:t>每季度组织专家对全市街乡(镇)管理范围环境卫生实施检查，检查时填写《季度专家检查记录表》，检查情况汇总后纳入季度评价报告。</w:t>
      </w:r>
    </w:p>
    <w:p>
      <w:pPr>
        <w:adjustRightInd w:val="0"/>
        <w:snapToGrid w:val="0"/>
        <w:spacing w:line="360" w:lineRule="auto"/>
        <w:ind w:firstLine="480" w:firstLineChars="200"/>
        <w:rPr>
          <w:rFonts w:ascii="宋体" w:hAnsi="宋体"/>
          <w:kern w:val="0"/>
          <w:sz w:val="24"/>
        </w:rPr>
      </w:pPr>
      <w:r>
        <w:rPr>
          <w:rFonts w:hint="eastAsia" w:ascii="宋体" w:hAnsi="宋体"/>
          <w:kern w:val="0"/>
          <w:sz w:val="24"/>
        </w:rPr>
        <w:t>（三）复查</w:t>
      </w:r>
    </w:p>
    <w:p>
      <w:pPr>
        <w:adjustRightInd w:val="0"/>
        <w:snapToGrid w:val="0"/>
        <w:spacing w:line="360" w:lineRule="auto"/>
        <w:ind w:firstLine="480" w:firstLineChars="200"/>
        <w:rPr>
          <w:rFonts w:ascii="宋体" w:hAnsi="宋体"/>
          <w:kern w:val="0"/>
          <w:sz w:val="24"/>
        </w:rPr>
      </w:pPr>
      <w:r>
        <w:rPr>
          <w:rFonts w:hint="eastAsia" w:ascii="宋体" w:hAnsi="宋体"/>
          <w:kern w:val="0"/>
          <w:sz w:val="24"/>
        </w:rPr>
        <w:t>检查中出现较为突出的问题，视情况进行复查，复查结果纳入复查当日检查结果。</w:t>
      </w:r>
    </w:p>
    <w:p>
      <w:pPr>
        <w:adjustRightInd w:val="0"/>
        <w:snapToGrid w:val="0"/>
        <w:spacing w:line="360" w:lineRule="auto"/>
        <w:ind w:firstLine="480" w:firstLineChars="200"/>
        <w:rPr>
          <w:rFonts w:ascii="宋体" w:hAnsi="宋体"/>
          <w:kern w:val="0"/>
          <w:sz w:val="24"/>
        </w:rPr>
      </w:pPr>
      <w:r>
        <w:rPr>
          <w:rFonts w:hint="eastAsia" w:ascii="宋体" w:hAnsi="宋体"/>
          <w:kern w:val="0"/>
          <w:sz w:val="24"/>
        </w:rPr>
        <w:t>（四）编写报告</w:t>
      </w:r>
    </w:p>
    <w:p>
      <w:pPr>
        <w:adjustRightInd w:val="0"/>
        <w:snapToGrid w:val="0"/>
        <w:spacing w:line="360" w:lineRule="auto"/>
        <w:ind w:firstLine="480" w:firstLineChars="200"/>
        <w:rPr>
          <w:rFonts w:ascii="宋体" w:hAnsi="宋体"/>
          <w:kern w:val="0"/>
          <w:sz w:val="24"/>
        </w:rPr>
      </w:pPr>
      <w:r>
        <w:rPr>
          <w:rFonts w:hint="eastAsia" w:ascii="宋体" w:hAnsi="宋体"/>
          <w:kern w:val="0"/>
          <w:sz w:val="24"/>
        </w:rPr>
        <w:t>1.月考核报告</w:t>
      </w:r>
    </w:p>
    <w:p>
      <w:pPr>
        <w:adjustRightInd w:val="0"/>
        <w:snapToGrid w:val="0"/>
        <w:spacing w:line="360" w:lineRule="auto"/>
        <w:ind w:firstLine="480" w:firstLineChars="200"/>
        <w:rPr>
          <w:rFonts w:ascii="宋体" w:hAnsi="宋体"/>
          <w:kern w:val="0"/>
          <w:sz w:val="24"/>
        </w:rPr>
      </w:pPr>
      <w:r>
        <w:rPr>
          <w:rFonts w:hint="eastAsia" w:ascii="宋体" w:hAnsi="宋体"/>
          <w:kern w:val="0"/>
          <w:sz w:val="24"/>
        </w:rPr>
        <w:t>市垃圾渣土管理处、市环境卫生协会每月将日常检查结果进行汇总、分析，分别编写考核报告，</w:t>
      </w:r>
      <w:r>
        <w:rPr>
          <w:rFonts w:hint="eastAsia" w:ascii="宋体" w:hAnsi="宋体"/>
          <w:sz w:val="24"/>
        </w:rPr>
        <w:t>于次月的前5个工作日内完成并</w:t>
      </w:r>
      <w:r>
        <w:rPr>
          <w:rFonts w:hint="eastAsia" w:ascii="宋体" w:hAnsi="宋体"/>
          <w:kern w:val="0"/>
          <w:sz w:val="24"/>
        </w:rPr>
        <w:t>上报市城管委。</w:t>
      </w:r>
    </w:p>
    <w:p>
      <w:pPr>
        <w:adjustRightInd w:val="0"/>
        <w:snapToGrid w:val="0"/>
        <w:spacing w:line="360" w:lineRule="auto"/>
        <w:ind w:firstLine="480" w:firstLineChars="200"/>
        <w:rPr>
          <w:rFonts w:ascii="宋体" w:hAnsi="宋体"/>
          <w:kern w:val="0"/>
          <w:sz w:val="24"/>
        </w:rPr>
      </w:pPr>
      <w:r>
        <w:rPr>
          <w:rFonts w:hint="eastAsia" w:ascii="宋体" w:hAnsi="宋体"/>
          <w:kern w:val="0"/>
          <w:sz w:val="24"/>
        </w:rPr>
        <w:t>2.季评价报告</w:t>
      </w:r>
    </w:p>
    <w:p>
      <w:pPr>
        <w:adjustRightInd w:val="0"/>
        <w:snapToGrid w:val="0"/>
        <w:spacing w:line="360" w:lineRule="auto"/>
        <w:ind w:firstLine="480" w:firstLineChars="200"/>
        <w:rPr>
          <w:rFonts w:ascii="宋体" w:hAnsi="宋体"/>
          <w:kern w:val="0"/>
          <w:sz w:val="24"/>
        </w:rPr>
      </w:pPr>
      <w:r>
        <w:rPr>
          <w:rFonts w:hint="eastAsia" w:ascii="宋体" w:hAnsi="宋体"/>
          <w:kern w:val="0"/>
          <w:sz w:val="24"/>
        </w:rPr>
        <w:t>各区环卫行业主管部门于下季度首月的前3个工作日内将《街乡（镇）管理范围环卫作业基础报表》（见附件1）经盖章后，城六区报送至市垃圾渣土管理处、郊区县</w:t>
      </w:r>
      <w:r>
        <w:rPr>
          <w:rFonts w:hint="eastAsia" w:ascii="宋体" w:hAnsi="宋体"/>
          <w:sz w:val="24"/>
        </w:rPr>
        <w:t>报送至</w:t>
      </w:r>
      <w:r>
        <w:rPr>
          <w:rFonts w:hint="eastAsia" w:ascii="宋体" w:hAnsi="宋体"/>
          <w:kern w:val="0"/>
          <w:sz w:val="24"/>
        </w:rPr>
        <w:t>市环境卫生协会。</w:t>
      </w:r>
    </w:p>
    <w:p>
      <w:pPr>
        <w:adjustRightInd w:val="0"/>
        <w:snapToGrid w:val="0"/>
        <w:spacing w:line="360" w:lineRule="auto"/>
        <w:ind w:firstLine="480" w:firstLineChars="200"/>
        <w:rPr>
          <w:rFonts w:ascii="宋体" w:hAnsi="宋体"/>
          <w:kern w:val="0"/>
          <w:sz w:val="24"/>
        </w:rPr>
      </w:pPr>
      <w:r>
        <w:rPr>
          <w:rFonts w:hint="eastAsia" w:ascii="宋体" w:hAnsi="宋体"/>
          <w:kern w:val="0"/>
          <w:sz w:val="24"/>
        </w:rPr>
        <w:t>市垃圾渣土管理处、市环境卫生协会按季度将月考核结果、专家检查评价意见、作业基础评价情况进行汇总分析，分别形成城六区、郊区县季评价报告，</w:t>
      </w:r>
      <w:r>
        <w:rPr>
          <w:rFonts w:hint="eastAsia" w:ascii="宋体" w:hAnsi="宋体"/>
          <w:sz w:val="24"/>
        </w:rPr>
        <w:t>于下季度首月的前</w:t>
      </w:r>
      <w:r>
        <w:rPr>
          <w:rFonts w:ascii="宋体" w:hAnsi="宋体"/>
          <w:sz w:val="24"/>
        </w:rPr>
        <w:t>5</w:t>
      </w:r>
      <w:r>
        <w:rPr>
          <w:rFonts w:hint="eastAsia" w:ascii="宋体" w:hAnsi="宋体"/>
          <w:sz w:val="24"/>
        </w:rPr>
        <w:t>个工作日内完成并</w:t>
      </w:r>
      <w:r>
        <w:rPr>
          <w:rFonts w:hint="eastAsia" w:ascii="宋体" w:hAnsi="宋体"/>
          <w:kern w:val="0"/>
          <w:sz w:val="24"/>
        </w:rPr>
        <w:t>上报</w:t>
      </w:r>
      <w:r>
        <w:rPr>
          <w:rFonts w:hint="eastAsia" w:ascii="宋体" w:hAnsi="宋体"/>
          <w:sz w:val="24"/>
        </w:rPr>
        <w:t>北京市城管委</w:t>
      </w:r>
      <w:r>
        <w:rPr>
          <w:rFonts w:hint="eastAsia" w:ascii="宋体" w:hAnsi="宋体"/>
          <w:kern w:val="0"/>
          <w:sz w:val="24"/>
        </w:rPr>
        <w:t>。</w:t>
      </w:r>
    </w:p>
    <w:p>
      <w:pPr>
        <w:adjustRightInd w:val="0"/>
        <w:snapToGrid w:val="0"/>
        <w:spacing w:line="360" w:lineRule="auto"/>
        <w:ind w:firstLine="480" w:firstLineChars="200"/>
        <w:rPr>
          <w:rFonts w:ascii="宋体" w:hAnsi="宋体"/>
          <w:kern w:val="0"/>
          <w:sz w:val="24"/>
        </w:rPr>
      </w:pPr>
      <w:r>
        <w:rPr>
          <w:rFonts w:hint="eastAsia" w:ascii="宋体" w:hAnsi="宋体"/>
          <w:kern w:val="0"/>
          <w:sz w:val="24"/>
        </w:rPr>
        <w:t>（五）整改</w:t>
      </w:r>
    </w:p>
    <w:p>
      <w:pPr>
        <w:adjustRightInd w:val="0"/>
        <w:snapToGrid w:val="0"/>
        <w:spacing w:line="360" w:lineRule="auto"/>
        <w:ind w:firstLine="480" w:firstLineChars="200"/>
        <w:rPr>
          <w:rFonts w:ascii="宋体" w:hAnsi="宋体"/>
          <w:kern w:val="0"/>
          <w:sz w:val="24"/>
        </w:rPr>
      </w:pPr>
      <w:r>
        <w:rPr>
          <w:rFonts w:hint="eastAsia" w:ascii="宋体" w:hAnsi="宋体"/>
          <w:sz w:val="24"/>
        </w:rPr>
        <w:t>北京市城管委</w:t>
      </w:r>
      <w:r>
        <w:rPr>
          <w:rFonts w:hint="eastAsia" w:ascii="宋体" w:hAnsi="宋体"/>
          <w:kern w:val="0"/>
          <w:sz w:val="24"/>
        </w:rPr>
        <w:t>定期组织召开分析通报会。</w:t>
      </w:r>
    </w:p>
    <w:p>
      <w:pPr>
        <w:adjustRightInd w:val="0"/>
        <w:snapToGrid w:val="0"/>
        <w:spacing w:line="360" w:lineRule="auto"/>
        <w:ind w:firstLine="480" w:firstLineChars="200"/>
        <w:rPr>
          <w:rFonts w:ascii="宋体" w:hAnsi="宋体"/>
          <w:kern w:val="0"/>
          <w:sz w:val="24"/>
        </w:rPr>
      </w:pPr>
      <w:r>
        <w:rPr>
          <w:rFonts w:hint="eastAsia" w:ascii="宋体" w:hAnsi="宋体"/>
          <w:kern w:val="0"/>
          <w:sz w:val="24"/>
        </w:rPr>
        <w:t>被检单位应针对检查考评中发现的问题，制定整改计划，并以书面形式，城六区报市垃圾渣土管理处，郊区报市环卫协会；对未能按期完成整改任务的单位, 市垃圾渣土管理处、市环卫协会将下发督办单限期完成，并复查。</w:t>
      </w:r>
    </w:p>
    <w:p>
      <w:pPr>
        <w:adjustRightInd w:val="0"/>
        <w:snapToGrid w:val="0"/>
        <w:spacing w:line="360" w:lineRule="auto"/>
        <w:ind w:firstLine="480" w:firstLineChars="200"/>
        <w:rPr>
          <w:rFonts w:ascii="宋体" w:hAnsi="宋体"/>
          <w:kern w:val="0"/>
          <w:sz w:val="24"/>
        </w:rPr>
      </w:pPr>
      <w:r>
        <w:rPr>
          <w:rFonts w:hint="eastAsia" w:ascii="宋体" w:hAnsi="宋体"/>
          <w:kern w:val="0"/>
          <w:sz w:val="24"/>
        </w:rPr>
        <w:t>（六）争议与复核</w:t>
      </w:r>
    </w:p>
    <w:p>
      <w:pPr>
        <w:adjustRightInd w:val="0"/>
        <w:snapToGrid w:val="0"/>
        <w:spacing w:line="360" w:lineRule="auto"/>
        <w:ind w:firstLine="480" w:firstLineChars="200"/>
        <w:rPr>
          <w:rFonts w:ascii="宋体" w:hAnsi="宋体"/>
          <w:kern w:val="0"/>
          <w:sz w:val="24"/>
        </w:rPr>
      </w:pPr>
      <w:r>
        <w:rPr>
          <w:rFonts w:hint="eastAsia" w:ascii="宋体" w:hAnsi="宋体"/>
          <w:kern w:val="0"/>
          <w:sz w:val="24"/>
        </w:rPr>
        <w:t>被检查单位对日检查结果存有异议,可以在公示之后3个工作日内，城区向市垃圾渣土管理处、郊区向市环卫协会反映，市垃圾渣土管理处和市环卫协会3个工作日内给予回复；被检查单位对回复结果有异议，可在收到回复后3个工作日内向</w:t>
      </w:r>
      <w:r>
        <w:rPr>
          <w:rFonts w:hint="eastAsia" w:ascii="宋体" w:hAnsi="宋体"/>
          <w:sz w:val="24"/>
        </w:rPr>
        <w:t>北京市城管委</w:t>
      </w:r>
      <w:r>
        <w:rPr>
          <w:rFonts w:hint="eastAsia" w:ascii="宋体" w:hAnsi="宋体"/>
          <w:kern w:val="0"/>
          <w:sz w:val="24"/>
        </w:rPr>
        <w:t>提请复核。</w:t>
      </w:r>
    </w:p>
    <w:p>
      <w:pPr>
        <w:adjustRightInd w:val="0"/>
        <w:snapToGrid w:val="0"/>
        <w:spacing w:line="360" w:lineRule="auto"/>
        <w:ind w:firstLine="480" w:firstLineChars="200"/>
        <w:rPr>
          <w:rFonts w:ascii="宋体" w:hAnsi="宋体"/>
          <w:kern w:val="0"/>
          <w:sz w:val="24"/>
        </w:rPr>
      </w:pPr>
      <w:r>
        <w:rPr>
          <w:rFonts w:hint="eastAsia" w:ascii="宋体" w:hAnsi="宋体"/>
          <w:kern w:val="0"/>
          <w:sz w:val="24"/>
        </w:rPr>
        <w:t>被检查单位对考评结果通报存有异议，可在接到通报后5个工作日内向</w:t>
      </w:r>
      <w:r>
        <w:rPr>
          <w:rFonts w:hint="eastAsia" w:ascii="宋体" w:hAnsi="宋体"/>
          <w:sz w:val="24"/>
        </w:rPr>
        <w:t>北京市城管委</w:t>
      </w:r>
      <w:r>
        <w:rPr>
          <w:rFonts w:hint="eastAsia" w:ascii="宋体" w:hAnsi="宋体"/>
          <w:kern w:val="0"/>
          <w:sz w:val="24"/>
        </w:rPr>
        <w:t>提请复核。</w:t>
      </w:r>
    </w:p>
    <w:p>
      <w:pPr>
        <w:adjustRightInd w:val="0"/>
        <w:snapToGrid w:val="0"/>
        <w:spacing w:line="360" w:lineRule="auto"/>
        <w:ind w:firstLine="480" w:firstLineChars="200"/>
        <w:rPr>
          <w:rFonts w:ascii="宋体" w:hAnsi="宋体"/>
          <w:kern w:val="0"/>
          <w:sz w:val="24"/>
        </w:rPr>
      </w:pPr>
      <w:r>
        <w:rPr>
          <w:rFonts w:hint="eastAsia" w:ascii="宋体" w:hAnsi="宋体"/>
          <w:kern w:val="0"/>
          <w:sz w:val="24"/>
        </w:rPr>
        <w:t>（七）存档</w:t>
      </w:r>
    </w:p>
    <w:p>
      <w:pPr>
        <w:adjustRightInd w:val="0"/>
        <w:snapToGrid w:val="0"/>
        <w:spacing w:line="360" w:lineRule="auto"/>
        <w:ind w:firstLine="480" w:firstLineChars="200"/>
        <w:rPr>
          <w:rFonts w:ascii="宋体" w:hAnsi="宋体"/>
          <w:sz w:val="24"/>
        </w:rPr>
      </w:pPr>
      <w:r>
        <w:rPr>
          <w:rFonts w:hint="eastAsia" w:ascii="宋体" w:hAnsi="宋体"/>
          <w:sz w:val="24"/>
        </w:rPr>
        <w:t>市垃圾渣土管理处、市环卫协会将每个项目全年的检查考评记录整理后存档保存，保存期为二年，电子记录保存期为五年。</w:t>
      </w:r>
    </w:p>
    <w:p>
      <w:pPr>
        <w:adjustRightInd w:val="0"/>
        <w:snapToGrid w:val="0"/>
        <w:spacing w:line="360" w:lineRule="auto"/>
        <w:ind w:firstLine="482" w:firstLineChars="200"/>
        <w:rPr>
          <w:rFonts w:ascii="宋体" w:hAnsi="宋体"/>
          <w:b/>
          <w:sz w:val="24"/>
        </w:rPr>
      </w:pPr>
      <w:r>
        <w:rPr>
          <w:rFonts w:hint="eastAsia" w:ascii="宋体" w:hAnsi="宋体"/>
          <w:b/>
          <w:sz w:val="24"/>
        </w:rPr>
        <w:t>六、年终考评总结</w:t>
      </w:r>
    </w:p>
    <w:p>
      <w:pPr>
        <w:adjustRightInd w:val="0"/>
        <w:snapToGrid w:val="0"/>
        <w:spacing w:line="360" w:lineRule="auto"/>
        <w:ind w:firstLine="480" w:firstLineChars="200"/>
        <w:rPr>
          <w:rFonts w:ascii="宋体" w:hAnsi="宋体"/>
          <w:kern w:val="0"/>
          <w:sz w:val="24"/>
        </w:rPr>
      </w:pPr>
      <w:r>
        <w:rPr>
          <w:rFonts w:hint="eastAsia" w:ascii="宋体" w:hAnsi="宋体"/>
          <w:kern w:val="0"/>
          <w:sz w:val="24"/>
        </w:rPr>
        <w:t>市垃圾渣土管理处、市环卫协会汇总全年检查考核和评价结果，分别形成城六区、郊区报告，上报</w:t>
      </w:r>
      <w:r>
        <w:rPr>
          <w:rFonts w:hint="eastAsia" w:ascii="宋体" w:hAnsi="宋体"/>
          <w:sz w:val="24"/>
        </w:rPr>
        <w:t>北京市城管委</w:t>
      </w:r>
      <w:r>
        <w:rPr>
          <w:rFonts w:hint="eastAsia" w:ascii="宋体" w:hAnsi="宋体"/>
          <w:kern w:val="0"/>
          <w:sz w:val="24"/>
        </w:rPr>
        <w:t>，</w:t>
      </w:r>
      <w:r>
        <w:rPr>
          <w:rFonts w:hint="eastAsia" w:ascii="宋体" w:hAnsi="宋体"/>
          <w:sz w:val="24"/>
        </w:rPr>
        <w:t>北京市城管委</w:t>
      </w:r>
      <w:r>
        <w:rPr>
          <w:rFonts w:hint="eastAsia" w:ascii="宋体" w:hAnsi="宋体"/>
          <w:kern w:val="0"/>
          <w:sz w:val="24"/>
        </w:rPr>
        <w:t>审核后对外进行通报。</w:t>
      </w:r>
    </w:p>
    <w:p>
      <w:pPr>
        <w:adjustRightInd w:val="0"/>
        <w:snapToGrid w:val="0"/>
        <w:spacing w:line="360" w:lineRule="auto"/>
        <w:ind w:firstLine="482" w:firstLineChars="200"/>
        <w:rPr>
          <w:rFonts w:ascii="宋体" w:hAnsi="宋体"/>
          <w:b/>
          <w:sz w:val="24"/>
        </w:rPr>
      </w:pPr>
      <w:r>
        <w:rPr>
          <w:rFonts w:hint="eastAsia" w:ascii="宋体" w:hAnsi="宋体"/>
          <w:b/>
          <w:sz w:val="24"/>
        </w:rPr>
        <w:t>七、监督检查体系的建设</w:t>
      </w:r>
    </w:p>
    <w:p>
      <w:pPr>
        <w:adjustRightInd w:val="0"/>
        <w:snapToGrid w:val="0"/>
        <w:spacing w:line="360" w:lineRule="auto"/>
        <w:ind w:firstLine="480" w:firstLineChars="200"/>
        <w:rPr>
          <w:rFonts w:ascii="宋体" w:hAnsi="宋体"/>
          <w:kern w:val="0"/>
          <w:sz w:val="24"/>
        </w:rPr>
      </w:pPr>
      <w:r>
        <w:rPr>
          <w:rFonts w:hint="eastAsia" w:ascii="宋体" w:hAnsi="宋体"/>
          <w:kern w:val="0"/>
          <w:sz w:val="24"/>
        </w:rPr>
        <w:t>各区应参照本实施细则制定辖区内街乡(镇)管理范围环境卫生检查考评细则，建立组织机构、定期检查、及时反馈、定期通报、督促整改，建立长效管理机制。</w:t>
      </w:r>
    </w:p>
    <w:p>
      <w:pPr>
        <w:adjustRightInd w:val="0"/>
        <w:snapToGrid w:val="0"/>
        <w:spacing w:line="360" w:lineRule="auto"/>
        <w:ind w:firstLine="480" w:firstLineChars="200"/>
        <w:rPr>
          <w:rFonts w:ascii="宋体" w:hAnsi="宋体"/>
          <w:sz w:val="24"/>
        </w:rPr>
      </w:pPr>
      <w:r>
        <w:rPr>
          <w:rFonts w:hint="eastAsia" w:ascii="宋体" w:hAnsi="宋体"/>
          <w:sz w:val="24"/>
        </w:rPr>
        <w:t>八、本细则由市城管委委负责解释。</w:t>
      </w:r>
    </w:p>
    <w:p>
      <w:pPr>
        <w:adjustRightInd w:val="0"/>
        <w:snapToGrid w:val="0"/>
        <w:spacing w:line="360" w:lineRule="auto"/>
        <w:ind w:firstLine="480" w:firstLineChars="200"/>
        <w:rPr>
          <w:rFonts w:ascii="宋体" w:hAnsi="宋体"/>
          <w:sz w:val="24"/>
        </w:rPr>
      </w:pPr>
      <w:r>
        <w:rPr>
          <w:rFonts w:hint="eastAsia" w:ascii="宋体" w:hAnsi="宋体"/>
          <w:sz w:val="24"/>
        </w:rPr>
        <w:t>九、本细则自2015年1月1日起执行。</w:t>
      </w:r>
    </w:p>
    <w:p>
      <w:pPr>
        <w:adjustRightInd w:val="0"/>
        <w:snapToGrid w:val="0"/>
        <w:spacing w:line="360" w:lineRule="auto"/>
        <w:ind w:firstLine="480" w:firstLineChars="200"/>
        <w:rPr>
          <w:rFonts w:ascii="宋体" w:hAnsi="宋体"/>
          <w:sz w:val="24"/>
        </w:rPr>
        <w:sectPr>
          <w:pgSz w:w="11906" w:h="16838"/>
          <w:pgMar w:top="1440" w:right="1701" w:bottom="1361" w:left="1797" w:header="851" w:footer="992" w:gutter="0"/>
          <w:cols w:space="720" w:num="1"/>
          <w:docGrid w:linePitch="312" w:charSpace="0"/>
        </w:sectPr>
      </w:pPr>
    </w:p>
    <w:p>
      <w:pPr>
        <w:adjustRightInd w:val="0"/>
        <w:snapToGrid w:val="0"/>
        <w:spacing w:line="360" w:lineRule="auto"/>
        <w:ind w:firstLine="480" w:firstLineChars="200"/>
        <w:rPr>
          <w:rFonts w:ascii="宋体" w:hAnsi="宋体"/>
          <w:sz w:val="24"/>
        </w:rPr>
      </w:pPr>
    </w:p>
    <w:p>
      <w:pPr>
        <w:pStyle w:val="2"/>
        <w:spacing w:line="360" w:lineRule="auto"/>
        <w:jc w:val="left"/>
        <w:rPr>
          <w:rFonts w:ascii="宋体" w:hAnsi="宋体"/>
          <w:sz w:val="24"/>
          <w:szCs w:val="24"/>
        </w:rPr>
      </w:pPr>
      <w:r>
        <w:rPr>
          <w:rFonts w:hint="eastAsia" w:ascii="宋体" w:hAnsi="宋体"/>
          <w:sz w:val="24"/>
          <w:szCs w:val="24"/>
        </w:rPr>
        <w:t>附件6：</w:t>
      </w:r>
    </w:p>
    <w:p>
      <w:pPr>
        <w:pStyle w:val="2"/>
        <w:spacing w:line="360" w:lineRule="auto"/>
        <w:rPr>
          <w:rFonts w:ascii="宋体" w:hAnsi="宋体"/>
          <w:sz w:val="24"/>
          <w:szCs w:val="24"/>
        </w:rPr>
      </w:pPr>
      <w:r>
        <w:rPr>
          <w:rFonts w:ascii="宋体" w:hAnsi="宋体"/>
          <w:sz w:val="24"/>
          <w:szCs w:val="24"/>
        </w:rPr>
        <w:t>北京市市政管理委员会清除非法张贴宣传品、广告作业质量标准（试行）</w:t>
      </w:r>
    </w:p>
    <w:p>
      <w:pPr>
        <w:spacing w:line="360" w:lineRule="auto"/>
        <w:ind w:firstLine="480" w:firstLineChars="200"/>
        <w:rPr>
          <w:rFonts w:ascii="宋体" w:hAnsi="宋体"/>
          <w:sz w:val="24"/>
        </w:rPr>
      </w:pPr>
      <w:r>
        <w:rPr>
          <w:rFonts w:ascii="宋体" w:hAnsi="宋体"/>
          <w:sz w:val="24"/>
        </w:rPr>
        <w:t>一、为了建设清洁、优美、文明的现代化国际大都市，提高对非法张贴宣传品、广告的清除作业质量，根据本市《北京市市容环境卫生条例》的有关规定，制定本标准。</w:t>
      </w:r>
    </w:p>
    <w:p>
      <w:pPr>
        <w:spacing w:line="360" w:lineRule="auto"/>
        <w:ind w:firstLine="480" w:firstLineChars="200"/>
        <w:rPr>
          <w:rFonts w:ascii="宋体" w:hAnsi="宋体"/>
          <w:sz w:val="24"/>
        </w:rPr>
      </w:pPr>
      <w:r>
        <w:rPr>
          <w:rFonts w:ascii="宋体" w:hAnsi="宋体"/>
          <w:sz w:val="24"/>
        </w:rPr>
        <w:t>本标准适用于城市道路和建筑物、构筑物、立交桥、人行过街天桥、公共设施上的非法张贴宣传品、广告。</w:t>
      </w:r>
    </w:p>
    <w:p>
      <w:pPr>
        <w:spacing w:line="360" w:lineRule="auto"/>
        <w:ind w:firstLine="480" w:firstLineChars="200"/>
        <w:rPr>
          <w:rFonts w:ascii="宋体" w:hAnsi="宋体"/>
          <w:sz w:val="24"/>
        </w:rPr>
      </w:pPr>
      <w:r>
        <w:rPr>
          <w:rFonts w:ascii="宋体" w:hAnsi="宋体"/>
          <w:sz w:val="24"/>
        </w:rPr>
        <w:t>二、清除非法张贴宣传品、广告的作业区可分为重点保洁区和一般保洁区，重点保洁区的非法张贴宣传品、广告的停留时间不得超过24小时，一般保洁区的非法张贴宣传品、广告的停留时间不得超过48小时。</w:t>
      </w:r>
    </w:p>
    <w:p>
      <w:pPr>
        <w:spacing w:line="360" w:lineRule="auto"/>
        <w:ind w:firstLine="480" w:firstLineChars="200"/>
        <w:rPr>
          <w:rFonts w:ascii="宋体" w:hAnsi="宋体"/>
          <w:sz w:val="24"/>
        </w:rPr>
      </w:pPr>
      <w:r>
        <w:rPr>
          <w:rFonts w:ascii="宋体" w:hAnsi="宋体"/>
          <w:sz w:val="24"/>
        </w:rPr>
        <w:t>三、冲刷车清除作业标准：</w:t>
      </w:r>
    </w:p>
    <w:p>
      <w:pPr>
        <w:spacing w:line="360" w:lineRule="auto"/>
        <w:ind w:firstLine="480" w:firstLineChars="200"/>
        <w:rPr>
          <w:rFonts w:ascii="宋体" w:hAnsi="宋体"/>
          <w:sz w:val="24"/>
        </w:rPr>
      </w:pPr>
      <w:r>
        <w:rPr>
          <w:rFonts w:ascii="宋体" w:hAnsi="宋体"/>
          <w:sz w:val="24"/>
        </w:rPr>
        <w:t>1、作业人员统一穿着反光背心，作业时靠路牙20公分距离处找准位置停车，同时开启双闪警示灯和黄色警示灯。</w:t>
      </w:r>
    </w:p>
    <w:p>
      <w:pPr>
        <w:spacing w:line="360" w:lineRule="auto"/>
        <w:ind w:firstLine="480" w:firstLineChars="200"/>
        <w:rPr>
          <w:rFonts w:ascii="宋体" w:hAnsi="宋体"/>
          <w:sz w:val="24"/>
        </w:rPr>
      </w:pPr>
      <w:r>
        <w:rPr>
          <w:rFonts w:ascii="宋体" w:hAnsi="宋体"/>
          <w:sz w:val="24"/>
        </w:rPr>
        <w:t>2、清除作业时高压水枪口距清除物距离为150—200mm，清刷平面时，枪口与平面保持45度角。</w:t>
      </w:r>
    </w:p>
    <w:p>
      <w:pPr>
        <w:spacing w:line="360" w:lineRule="auto"/>
        <w:ind w:firstLine="480" w:firstLineChars="200"/>
        <w:rPr>
          <w:rFonts w:ascii="宋体" w:hAnsi="宋体"/>
          <w:sz w:val="24"/>
        </w:rPr>
      </w:pPr>
      <w:r>
        <w:rPr>
          <w:rFonts w:ascii="宋体" w:hAnsi="宋体"/>
          <w:sz w:val="24"/>
        </w:rPr>
        <w:t>3、清除作业时要保持旋转枪头有足够冲刷压力，低于180kg/cm2时，须及时更换。</w:t>
      </w:r>
    </w:p>
    <w:p>
      <w:pPr>
        <w:spacing w:line="360" w:lineRule="auto"/>
        <w:ind w:firstLine="480" w:firstLineChars="200"/>
        <w:rPr>
          <w:rFonts w:ascii="宋体" w:hAnsi="宋体"/>
          <w:sz w:val="24"/>
        </w:rPr>
      </w:pPr>
      <w:r>
        <w:rPr>
          <w:rFonts w:ascii="宋体" w:hAnsi="宋体"/>
          <w:sz w:val="24"/>
        </w:rPr>
        <w:t>4、清除作业中，减少对交通影响，及时疏导行人，除非法张贴的宣传品、广告外，旋转枪头禁止指向任何物体</w:t>
      </w:r>
      <w:r>
        <w:rPr>
          <w:rFonts w:hint="eastAsia" w:ascii="宋体" w:hAnsi="宋体"/>
          <w:sz w:val="24"/>
        </w:rPr>
        <w:t>。</w:t>
      </w:r>
    </w:p>
    <w:p>
      <w:pPr>
        <w:spacing w:line="360" w:lineRule="auto"/>
        <w:ind w:firstLine="480" w:firstLineChars="200"/>
        <w:rPr>
          <w:rFonts w:ascii="宋体" w:hAnsi="宋体"/>
          <w:sz w:val="24"/>
        </w:rPr>
      </w:pPr>
      <w:r>
        <w:rPr>
          <w:rFonts w:ascii="宋体" w:hAnsi="宋体"/>
          <w:sz w:val="24"/>
        </w:rPr>
        <w:t>5、冲刷车在补充储罐水时，要在指定上水点加水，加水时要及时设置专用防护设施，保持上水井内清洁，禁止将上水工具存放在井内，加水后盖好井盖。</w:t>
      </w:r>
    </w:p>
    <w:p>
      <w:pPr>
        <w:spacing w:line="360" w:lineRule="auto"/>
        <w:ind w:firstLine="480" w:firstLineChars="200"/>
        <w:rPr>
          <w:rFonts w:ascii="宋体" w:hAnsi="宋体"/>
          <w:sz w:val="24"/>
        </w:rPr>
      </w:pPr>
      <w:r>
        <w:rPr>
          <w:rFonts w:ascii="宋体" w:hAnsi="宋体"/>
          <w:sz w:val="24"/>
        </w:rPr>
        <w:t>6、清除过街天桥上非法张贴宣传品、广告作业时，桥面、台阶不得积水。</w:t>
      </w:r>
    </w:p>
    <w:p>
      <w:pPr>
        <w:spacing w:line="360" w:lineRule="auto"/>
        <w:ind w:firstLine="480" w:firstLineChars="200"/>
        <w:rPr>
          <w:rFonts w:ascii="宋体" w:hAnsi="宋体"/>
          <w:sz w:val="24"/>
        </w:rPr>
      </w:pPr>
      <w:r>
        <w:rPr>
          <w:rFonts w:ascii="宋体" w:hAnsi="宋体"/>
          <w:sz w:val="24"/>
        </w:rPr>
        <w:t>7、清除作业完毕后，建筑物、构筑物表面应干净整洁，不留花斑，不留死角，及时清除落地纸屑，保持地面整洁。冬季清除非法张贴宣传品、广告作业完成后，桥面台阶地面不得结冰</w:t>
      </w:r>
      <w:r>
        <w:rPr>
          <w:rFonts w:hint="eastAsia" w:ascii="宋体" w:hAnsi="宋体"/>
          <w:sz w:val="24"/>
        </w:rPr>
        <w:t>。</w:t>
      </w:r>
    </w:p>
    <w:p>
      <w:pPr>
        <w:spacing w:line="360" w:lineRule="auto"/>
        <w:ind w:firstLine="480" w:firstLineChars="200"/>
        <w:rPr>
          <w:rFonts w:ascii="宋体" w:hAnsi="宋体"/>
          <w:sz w:val="24"/>
        </w:rPr>
      </w:pPr>
      <w:r>
        <w:rPr>
          <w:rFonts w:ascii="宋体" w:hAnsi="宋体"/>
          <w:sz w:val="24"/>
        </w:rPr>
        <w:t>8、对人行过街天桥、立交桥、隔音板进行清除作业时，要在作业区周边放置反光信号锥筒明示作业区域，方可进行清除作业</w:t>
      </w:r>
      <w:r>
        <w:rPr>
          <w:rFonts w:hint="eastAsia" w:ascii="宋体" w:hAnsi="宋体"/>
          <w:sz w:val="24"/>
        </w:rPr>
        <w:t>。</w:t>
      </w:r>
    </w:p>
    <w:p>
      <w:pPr>
        <w:spacing w:line="360" w:lineRule="auto"/>
        <w:ind w:firstLine="480" w:firstLineChars="200"/>
        <w:rPr>
          <w:rFonts w:ascii="宋体" w:hAnsi="宋体"/>
          <w:sz w:val="24"/>
        </w:rPr>
      </w:pPr>
      <w:r>
        <w:rPr>
          <w:rFonts w:ascii="宋体" w:hAnsi="宋体"/>
          <w:sz w:val="24"/>
        </w:rPr>
        <w:t>四、人工清除作业标准：</w:t>
      </w:r>
    </w:p>
    <w:p>
      <w:pPr>
        <w:spacing w:line="360" w:lineRule="auto"/>
        <w:ind w:firstLine="480" w:firstLineChars="200"/>
        <w:rPr>
          <w:rFonts w:ascii="宋体" w:hAnsi="宋体"/>
          <w:sz w:val="24"/>
        </w:rPr>
      </w:pPr>
      <w:r>
        <w:rPr>
          <w:rFonts w:ascii="宋体" w:hAnsi="宋体"/>
          <w:sz w:val="24"/>
        </w:rPr>
        <w:t>作业时做到不损坏建筑物、构筑物的表面，清除后建筑物、构筑物的表面干净整洁，并及时清理落地纸屑</w:t>
      </w:r>
      <w:r>
        <w:rPr>
          <w:rFonts w:hint="eastAsia" w:ascii="宋体" w:hAnsi="宋体"/>
          <w:sz w:val="24"/>
        </w:rPr>
        <w:t>。</w:t>
      </w:r>
    </w:p>
    <w:p>
      <w:pPr>
        <w:spacing w:line="360" w:lineRule="auto"/>
        <w:ind w:firstLine="480" w:firstLineChars="200"/>
        <w:rPr>
          <w:rFonts w:ascii="宋体" w:hAnsi="宋体"/>
          <w:sz w:val="24"/>
        </w:rPr>
      </w:pPr>
      <w:r>
        <w:rPr>
          <w:rFonts w:ascii="宋体" w:hAnsi="宋体"/>
          <w:sz w:val="24"/>
        </w:rPr>
        <w:t>五、清除非法张贴宣传品、广告时，要注意被张贴的建筑物、构筑物表面材质，严禁损坏建筑物、构筑物表面。</w:t>
      </w:r>
    </w:p>
    <w:p>
      <w:pPr>
        <w:spacing w:line="360" w:lineRule="auto"/>
        <w:ind w:firstLine="480" w:firstLineChars="200"/>
        <w:rPr>
          <w:rFonts w:ascii="宋体" w:hAnsi="宋体"/>
          <w:sz w:val="24"/>
        </w:rPr>
      </w:pPr>
      <w:r>
        <w:rPr>
          <w:rFonts w:ascii="宋体" w:hAnsi="宋体"/>
          <w:sz w:val="24"/>
        </w:rPr>
        <w:t>六、严禁用水清除变电柜、变压器等危险物上的非法张贴宣传品、广告。</w:t>
      </w:r>
    </w:p>
    <w:p>
      <w:pPr>
        <w:spacing w:line="360" w:lineRule="auto"/>
        <w:ind w:firstLine="480" w:firstLineChars="200"/>
        <w:rPr>
          <w:rFonts w:ascii="宋体" w:hAnsi="宋体"/>
          <w:sz w:val="24"/>
        </w:rPr>
      </w:pPr>
      <w:r>
        <w:rPr>
          <w:rFonts w:ascii="宋体" w:hAnsi="宋体"/>
          <w:sz w:val="24"/>
        </w:rPr>
        <w:t>七、认真完成上级及主管部门下达的临时性清除任务。接到临时性清除作业指令后，在规定时间内到达现场作业。</w:t>
      </w:r>
    </w:p>
    <w:p>
      <w:pPr>
        <w:widowControl/>
        <w:jc w:val="left"/>
        <w:rPr>
          <w:rFonts w:ascii="宋体" w:hAnsi="宋体"/>
          <w:b/>
          <w:sz w:val="24"/>
        </w:rPr>
      </w:pPr>
      <w:r>
        <w:rPr>
          <w:rFonts w:ascii="宋体" w:hAnsi="宋体"/>
          <w:b/>
          <w:sz w:val="24"/>
        </w:rPr>
        <w:br w:type="page"/>
      </w:r>
    </w:p>
    <w:p>
      <w:pPr>
        <w:spacing w:line="360" w:lineRule="auto"/>
        <w:jc w:val="left"/>
        <w:rPr>
          <w:rFonts w:ascii="宋体" w:hAnsi="宋体"/>
          <w:b/>
          <w:sz w:val="24"/>
        </w:rPr>
      </w:pPr>
      <w:r>
        <w:rPr>
          <w:rFonts w:hint="eastAsia" w:ascii="宋体" w:hAnsi="宋体"/>
          <w:b/>
          <w:sz w:val="24"/>
        </w:rPr>
        <w:t>附件7：</w:t>
      </w:r>
    </w:p>
    <w:p>
      <w:pPr>
        <w:spacing w:line="360" w:lineRule="auto"/>
        <w:ind w:firstLine="482" w:firstLineChars="200"/>
        <w:jc w:val="center"/>
        <w:rPr>
          <w:rFonts w:ascii="宋体" w:hAnsi="宋体"/>
          <w:b/>
          <w:sz w:val="24"/>
        </w:rPr>
      </w:pPr>
      <w:r>
        <w:rPr>
          <w:rFonts w:hint="eastAsia" w:ascii="宋体" w:hAnsi="宋体"/>
          <w:b/>
          <w:sz w:val="24"/>
        </w:rPr>
        <w:t>石景山区街道办事处市容环境综合管理检查考评办法（试行）</w:t>
      </w:r>
    </w:p>
    <w:p>
      <w:pPr>
        <w:adjustRightInd w:val="0"/>
        <w:snapToGrid w:val="0"/>
        <w:spacing w:line="360" w:lineRule="auto"/>
        <w:ind w:firstLine="480" w:firstLineChars="200"/>
        <w:rPr>
          <w:rFonts w:ascii="宋体" w:hAnsi="宋体"/>
          <w:sz w:val="24"/>
        </w:rPr>
      </w:pPr>
    </w:p>
    <w:p>
      <w:pPr>
        <w:adjustRightInd w:val="0"/>
        <w:snapToGrid w:val="0"/>
        <w:spacing w:line="360" w:lineRule="auto"/>
        <w:ind w:firstLine="480" w:firstLineChars="200"/>
        <w:rPr>
          <w:rFonts w:ascii="宋体" w:hAnsi="宋体"/>
          <w:b/>
          <w:sz w:val="24"/>
        </w:rPr>
      </w:pPr>
      <w:r>
        <w:rPr>
          <w:rFonts w:hint="eastAsia" w:ascii="宋体" w:hAnsi="宋体"/>
          <w:sz w:val="24"/>
        </w:rPr>
        <w:t>为落实《北京市市容环境卫生条例》、《北京市街乡(镇)管理范围环境卫生检查考评实施细则》、《北京市建筑垃圾综合管理考核评价办法》、《石景山区环境卫生管理办法（试行）》，提升各街道办事处环境卫生作业质量，提高建筑垃圾综合管理水平，完善街道办事处精细化资金监管机制，结合我区实际，制定本办法。</w:t>
      </w:r>
    </w:p>
    <w:p>
      <w:pPr>
        <w:adjustRightInd w:val="0"/>
        <w:snapToGrid w:val="0"/>
        <w:spacing w:line="360" w:lineRule="auto"/>
        <w:rPr>
          <w:rFonts w:ascii="宋体" w:hAnsi="宋体"/>
          <w:b/>
          <w:sz w:val="24"/>
        </w:rPr>
      </w:pPr>
      <w:r>
        <w:rPr>
          <w:rFonts w:hint="eastAsia" w:ascii="宋体" w:hAnsi="宋体"/>
          <w:b/>
          <w:sz w:val="24"/>
        </w:rPr>
        <w:t>一、考评检查主体</w:t>
      </w:r>
    </w:p>
    <w:p>
      <w:pPr>
        <w:adjustRightInd w:val="0"/>
        <w:snapToGrid w:val="0"/>
        <w:spacing w:line="360" w:lineRule="auto"/>
        <w:ind w:firstLine="480" w:firstLineChars="200"/>
        <w:rPr>
          <w:rFonts w:ascii="宋体" w:hAnsi="宋体"/>
          <w:sz w:val="24"/>
        </w:rPr>
      </w:pPr>
      <w:r>
        <w:rPr>
          <w:rFonts w:hint="eastAsia" w:ascii="宋体" w:hAnsi="宋体"/>
          <w:sz w:val="24"/>
        </w:rPr>
        <w:t>在区政府领导下，区城市管理委员会作为检查考评的主体，负责组织开展各街道办事处环境卫生作业、建筑垃圾综合管理、落实属地责任和精细化资金使用情况检查考评工作。</w:t>
      </w:r>
    </w:p>
    <w:p>
      <w:pPr>
        <w:adjustRightInd w:val="0"/>
        <w:snapToGrid w:val="0"/>
        <w:spacing w:line="360" w:lineRule="auto"/>
        <w:rPr>
          <w:rFonts w:ascii="宋体" w:hAnsi="宋体"/>
          <w:b/>
          <w:sz w:val="24"/>
        </w:rPr>
      </w:pPr>
      <w:r>
        <w:rPr>
          <w:rFonts w:hint="eastAsia" w:ascii="宋体" w:hAnsi="宋体"/>
          <w:b/>
          <w:sz w:val="24"/>
        </w:rPr>
        <w:t>二、考评检查对象</w:t>
      </w:r>
    </w:p>
    <w:p>
      <w:pPr>
        <w:adjustRightInd w:val="0"/>
        <w:snapToGrid w:val="0"/>
        <w:spacing w:line="360" w:lineRule="auto"/>
        <w:ind w:firstLine="480" w:firstLineChars="200"/>
        <w:rPr>
          <w:rFonts w:ascii="宋体" w:hAnsi="宋体"/>
          <w:sz w:val="24"/>
        </w:rPr>
      </w:pPr>
      <w:r>
        <w:rPr>
          <w:rFonts w:hint="eastAsia" w:ascii="宋体" w:hAnsi="宋体"/>
          <w:sz w:val="24"/>
        </w:rPr>
        <w:t>各街道办事处管理范围环境卫生工作。</w:t>
      </w:r>
    </w:p>
    <w:p>
      <w:pPr>
        <w:adjustRightInd w:val="0"/>
        <w:snapToGrid w:val="0"/>
        <w:spacing w:line="360" w:lineRule="auto"/>
        <w:rPr>
          <w:rFonts w:ascii="宋体" w:hAnsi="宋体"/>
          <w:b/>
          <w:sz w:val="24"/>
        </w:rPr>
      </w:pPr>
      <w:r>
        <w:rPr>
          <w:rFonts w:hint="eastAsia" w:ascii="宋体" w:hAnsi="宋体"/>
          <w:b/>
          <w:sz w:val="24"/>
        </w:rPr>
        <w:t>三、考评检查内容</w:t>
      </w:r>
    </w:p>
    <w:p>
      <w:pPr>
        <w:adjustRightInd w:val="0"/>
        <w:snapToGrid w:val="0"/>
        <w:spacing w:line="360" w:lineRule="auto"/>
        <w:ind w:firstLine="480" w:firstLineChars="200"/>
        <w:rPr>
          <w:rFonts w:ascii="宋体" w:hAnsi="宋体"/>
          <w:sz w:val="24"/>
        </w:rPr>
      </w:pPr>
      <w:r>
        <w:rPr>
          <w:rFonts w:hint="eastAsia" w:ascii="宋体" w:hAnsi="宋体"/>
          <w:sz w:val="24"/>
        </w:rPr>
        <w:t>包括落实市区督办、背街小巷、门前三包及其他责任区、建筑垃圾综合管理和属地管理五部分。</w:t>
      </w:r>
    </w:p>
    <w:p>
      <w:pPr>
        <w:adjustRightInd w:val="0"/>
        <w:snapToGrid w:val="0"/>
        <w:spacing w:line="360" w:lineRule="auto"/>
        <w:ind w:firstLine="480" w:firstLineChars="200"/>
        <w:rPr>
          <w:rFonts w:ascii="宋体" w:hAnsi="宋体"/>
          <w:sz w:val="24"/>
        </w:rPr>
      </w:pPr>
      <w:r>
        <w:rPr>
          <w:rFonts w:hint="eastAsia" w:ascii="宋体" w:hAnsi="宋体"/>
          <w:sz w:val="24"/>
        </w:rPr>
        <w:t>市区督办：市级检查、市区领导批示、媒体曝光、群众信访情况；</w:t>
      </w:r>
    </w:p>
    <w:p>
      <w:pPr>
        <w:adjustRightInd w:val="0"/>
        <w:snapToGrid w:val="0"/>
        <w:spacing w:line="360" w:lineRule="auto"/>
        <w:ind w:firstLine="480" w:firstLineChars="200"/>
        <w:rPr>
          <w:rFonts w:ascii="宋体" w:hAnsi="宋体"/>
          <w:sz w:val="24"/>
        </w:rPr>
      </w:pPr>
      <w:r>
        <w:rPr>
          <w:rFonts w:hint="eastAsia" w:ascii="宋体" w:hAnsi="宋体"/>
          <w:sz w:val="24"/>
        </w:rPr>
        <w:t>背街小巷：街巷胡同和代管的无物业老旧小区的保洁作业、垃圾收运、小广告清理、脏乱死角清理整治、扫雪铲冰、雨中清理雨水口、雨后推水、生活垃圾收运设施设备的更新和维护、社会产权公厕、应急保障等。</w:t>
      </w:r>
    </w:p>
    <w:p>
      <w:pPr>
        <w:adjustRightInd w:val="0"/>
        <w:snapToGrid w:val="0"/>
        <w:spacing w:line="360" w:lineRule="auto"/>
        <w:ind w:firstLine="480" w:firstLineChars="200"/>
        <w:rPr>
          <w:rFonts w:ascii="宋体" w:hAnsi="宋体"/>
          <w:sz w:val="24"/>
        </w:rPr>
      </w:pPr>
      <w:r>
        <w:rPr>
          <w:rFonts w:hint="eastAsia" w:ascii="宋体" w:hAnsi="宋体"/>
          <w:sz w:val="24"/>
        </w:rPr>
        <w:t>门前三包及其他责任区：门前三包责任书签订及公示、责任区保洁、果皮箱和垃圾收集容器的设置、维护、更新；废旧物资回收站、交通枢纽、停车场、农贸市场、拆改建地区等及周围管理范围环境卫生；扫雪铲冰。</w:t>
      </w:r>
    </w:p>
    <w:p>
      <w:pPr>
        <w:adjustRightInd w:val="0"/>
        <w:snapToGrid w:val="0"/>
        <w:spacing w:line="360" w:lineRule="auto"/>
        <w:ind w:firstLine="480" w:firstLineChars="200"/>
        <w:rPr>
          <w:rFonts w:ascii="宋体" w:hAnsi="宋体"/>
          <w:sz w:val="24"/>
        </w:rPr>
      </w:pPr>
      <w:r>
        <w:rPr>
          <w:rFonts w:hint="eastAsia" w:ascii="宋体" w:hAnsi="宋体"/>
          <w:sz w:val="24"/>
        </w:rPr>
        <w:t>建筑垃圾综合管理：建筑垃圾消纳证公示、达标车辆使用，运输行为规范、车轮冲洗设施设置利用、工地门前道路干净整洁、乱倒乱卸、非正规消纳场查处等。</w:t>
      </w:r>
    </w:p>
    <w:p>
      <w:pPr>
        <w:adjustRightInd w:val="0"/>
        <w:snapToGrid w:val="0"/>
        <w:spacing w:line="360" w:lineRule="auto"/>
        <w:ind w:firstLine="480" w:firstLineChars="200"/>
        <w:rPr>
          <w:rFonts w:ascii="宋体" w:hAnsi="宋体"/>
          <w:b/>
          <w:sz w:val="24"/>
        </w:rPr>
      </w:pPr>
      <w:r>
        <w:rPr>
          <w:rFonts w:hint="eastAsia" w:ascii="宋体" w:hAnsi="宋体"/>
          <w:sz w:val="24"/>
        </w:rPr>
        <w:t>属地管理：自查体系建立情况、作业基础、作业定额、作业安排、作业计划、建设工地台账、日常检查记录、信息数据报送、应急处置、问题反馈。</w:t>
      </w:r>
    </w:p>
    <w:p>
      <w:pPr>
        <w:adjustRightInd w:val="0"/>
        <w:snapToGrid w:val="0"/>
        <w:spacing w:line="360" w:lineRule="auto"/>
        <w:rPr>
          <w:rFonts w:ascii="宋体" w:hAnsi="宋体"/>
          <w:b/>
          <w:sz w:val="24"/>
        </w:rPr>
      </w:pPr>
      <w:r>
        <w:rPr>
          <w:rFonts w:hint="eastAsia" w:ascii="宋体" w:hAnsi="宋体"/>
          <w:b/>
          <w:sz w:val="24"/>
        </w:rPr>
        <w:t>四、考评检查原则</w:t>
      </w:r>
    </w:p>
    <w:p>
      <w:pPr>
        <w:adjustRightInd w:val="0"/>
        <w:snapToGrid w:val="0"/>
        <w:spacing w:line="360" w:lineRule="auto"/>
        <w:ind w:firstLine="480" w:firstLineChars="200"/>
        <w:rPr>
          <w:rFonts w:ascii="宋体" w:hAnsi="宋体"/>
          <w:sz w:val="24"/>
        </w:rPr>
      </w:pPr>
      <w:r>
        <w:rPr>
          <w:rFonts w:hint="eastAsia" w:ascii="宋体" w:hAnsi="宋体"/>
          <w:sz w:val="24"/>
        </w:rPr>
        <w:t>严格按照相关的法律法规、标准规范，遵循“公平、公正、公开”原则实施。考评注重环境卫生作业质量及过程控制、门前三包及其他责任区的日常管理、建设工地的日常管理和落实属地责任，反映各街道办事处的综合管理水平和作业质量。</w:t>
      </w:r>
    </w:p>
    <w:p>
      <w:pPr>
        <w:adjustRightInd w:val="0"/>
        <w:snapToGrid w:val="0"/>
        <w:spacing w:line="360" w:lineRule="auto"/>
        <w:rPr>
          <w:rFonts w:ascii="宋体" w:hAnsi="宋体"/>
          <w:b/>
          <w:sz w:val="24"/>
        </w:rPr>
      </w:pPr>
      <w:r>
        <w:rPr>
          <w:rFonts w:hint="eastAsia" w:ascii="宋体" w:hAnsi="宋体"/>
          <w:b/>
          <w:sz w:val="24"/>
        </w:rPr>
        <w:t>五、考评检查形式</w:t>
      </w:r>
    </w:p>
    <w:p>
      <w:pPr>
        <w:adjustRightInd w:val="0"/>
        <w:snapToGrid w:val="0"/>
        <w:spacing w:line="360" w:lineRule="auto"/>
        <w:ind w:firstLine="480" w:firstLineChars="200"/>
        <w:rPr>
          <w:rFonts w:ascii="宋体" w:hAnsi="宋体"/>
          <w:sz w:val="24"/>
        </w:rPr>
      </w:pPr>
      <w:r>
        <w:rPr>
          <w:rFonts w:hint="eastAsia" w:ascii="宋体" w:hAnsi="宋体"/>
          <w:sz w:val="24"/>
        </w:rPr>
        <w:t>实行日检查、月通报、季考核、年汇总。区城市综合管理委员会采取日检查方式，在各街道办事处管理范围内，每日对市区督办、背街小巷、门前三包及其他责任区、建筑垃圾综合管理和属地管理五部分内容抽样实施现场检查；每月将现场检查结果统计进行考核；每季度综合月考核结果进行评价；年终对全年工作进行总评。</w:t>
      </w:r>
    </w:p>
    <w:p>
      <w:pPr>
        <w:adjustRightInd w:val="0"/>
        <w:snapToGrid w:val="0"/>
        <w:spacing w:line="360" w:lineRule="auto"/>
        <w:ind w:firstLine="480" w:firstLineChars="200"/>
        <w:rPr>
          <w:rFonts w:ascii="宋体" w:hAnsi="宋体"/>
          <w:sz w:val="24"/>
        </w:rPr>
      </w:pPr>
      <w:r>
        <w:rPr>
          <w:rFonts w:hint="eastAsia" w:ascii="宋体" w:hAnsi="宋体"/>
          <w:sz w:val="24"/>
        </w:rPr>
        <w:t>各街道办事处应建立自查体系，对辖区内街巷胡同、代管的无物业老旧小区的环境卫生作业、垃圾收运、门前三包责任落实情况、建设工地管理情况进行自查。</w:t>
      </w:r>
    </w:p>
    <w:p>
      <w:pPr>
        <w:adjustRightInd w:val="0"/>
        <w:snapToGrid w:val="0"/>
        <w:spacing w:line="360" w:lineRule="auto"/>
        <w:rPr>
          <w:rFonts w:ascii="宋体" w:hAnsi="宋体"/>
          <w:b/>
          <w:sz w:val="24"/>
        </w:rPr>
      </w:pPr>
      <w:r>
        <w:rPr>
          <w:rFonts w:hint="eastAsia" w:ascii="宋体" w:hAnsi="宋体"/>
          <w:b/>
          <w:sz w:val="24"/>
        </w:rPr>
        <w:t>六、月通报</w:t>
      </w:r>
    </w:p>
    <w:p>
      <w:pPr>
        <w:adjustRightInd w:val="0"/>
        <w:snapToGrid w:val="0"/>
        <w:spacing w:line="360" w:lineRule="auto"/>
        <w:ind w:firstLine="480" w:firstLineChars="200"/>
        <w:rPr>
          <w:rFonts w:ascii="宋体" w:hAnsi="宋体"/>
          <w:sz w:val="24"/>
        </w:rPr>
      </w:pPr>
      <w:r>
        <w:rPr>
          <w:rFonts w:hint="eastAsia" w:ascii="宋体" w:hAnsi="宋体"/>
          <w:sz w:val="24"/>
        </w:rPr>
        <w:t>⒈通报内容：市区督办、背街小巷、门前三包及其他责任区、建筑垃圾综合管理和属地管理等考核结果，包括分值、存在问题和工作建议等。</w:t>
      </w:r>
    </w:p>
    <w:p>
      <w:pPr>
        <w:adjustRightInd w:val="0"/>
        <w:snapToGrid w:val="0"/>
        <w:spacing w:line="360" w:lineRule="auto"/>
        <w:ind w:firstLine="480" w:firstLineChars="200"/>
        <w:rPr>
          <w:rFonts w:ascii="宋体" w:hAnsi="宋体"/>
          <w:sz w:val="24"/>
        </w:rPr>
      </w:pPr>
      <w:r>
        <w:rPr>
          <w:rFonts w:hint="eastAsia" w:ascii="宋体" w:hAnsi="宋体"/>
          <w:sz w:val="24"/>
        </w:rPr>
        <w:t>⒉通报周期：以自然月为周期。</w:t>
      </w:r>
    </w:p>
    <w:p>
      <w:pPr>
        <w:adjustRightInd w:val="0"/>
        <w:snapToGrid w:val="0"/>
        <w:spacing w:line="360" w:lineRule="auto"/>
        <w:rPr>
          <w:rFonts w:ascii="宋体" w:hAnsi="宋体"/>
          <w:b/>
          <w:sz w:val="24"/>
        </w:rPr>
      </w:pPr>
      <w:r>
        <w:rPr>
          <w:rFonts w:hint="eastAsia" w:ascii="宋体" w:hAnsi="宋体"/>
          <w:b/>
          <w:sz w:val="24"/>
        </w:rPr>
        <w:t>七、季评价</w:t>
      </w:r>
    </w:p>
    <w:p>
      <w:pPr>
        <w:adjustRightInd w:val="0"/>
        <w:snapToGrid w:val="0"/>
        <w:spacing w:line="360" w:lineRule="auto"/>
        <w:ind w:firstLine="480" w:firstLineChars="200"/>
        <w:rPr>
          <w:rFonts w:ascii="宋体" w:hAnsi="宋体"/>
          <w:sz w:val="24"/>
        </w:rPr>
      </w:pPr>
      <w:r>
        <w:rPr>
          <w:rFonts w:hint="eastAsia" w:ascii="宋体" w:hAnsi="宋体"/>
          <w:sz w:val="24"/>
        </w:rPr>
        <w:t>以自然季度为一个周期，对各街道办事处月考核结果进行汇总评价。</w:t>
      </w:r>
    </w:p>
    <w:p>
      <w:pPr>
        <w:adjustRightInd w:val="0"/>
        <w:snapToGrid w:val="0"/>
        <w:spacing w:line="360" w:lineRule="auto"/>
        <w:rPr>
          <w:rFonts w:ascii="宋体" w:hAnsi="宋体"/>
          <w:b/>
          <w:sz w:val="24"/>
        </w:rPr>
      </w:pPr>
      <w:r>
        <w:rPr>
          <w:rFonts w:hint="eastAsia" w:ascii="宋体" w:hAnsi="宋体"/>
          <w:b/>
          <w:sz w:val="24"/>
        </w:rPr>
        <w:t>八、年汇总</w:t>
      </w:r>
    </w:p>
    <w:p>
      <w:pPr>
        <w:adjustRightInd w:val="0"/>
        <w:snapToGrid w:val="0"/>
        <w:spacing w:line="360" w:lineRule="auto"/>
        <w:ind w:firstLine="480" w:firstLineChars="200"/>
        <w:rPr>
          <w:rFonts w:ascii="宋体" w:hAnsi="宋体"/>
          <w:sz w:val="24"/>
        </w:rPr>
      </w:pPr>
      <w:r>
        <w:rPr>
          <w:rFonts w:hint="eastAsia" w:ascii="宋体" w:hAnsi="宋体"/>
          <w:sz w:val="24"/>
        </w:rPr>
        <w:t>区城市综合管理委员会对各街道办事处考核情况年度汇总。</w:t>
      </w:r>
    </w:p>
    <w:p>
      <w:pPr>
        <w:adjustRightInd w:val="0"/>
        <w:snapToGrid w:val="0"/>
        <w:spacing w:line="360" w:lineRule="auto"/>
        <w:rPr>
          <w:rFonts w:ascii="宋体" w:hAnsi="宋体"/>
          <w:b/>
          <w:sz w:val="24"/>
        </w:rPr>
      </w:pPr>
      <w:r>
        <w:rPr>
          <w:rFonts w:hint="eastAsia" w:ascii="宋体" w:hAnsi="宋体"/>
          <w:b/>
          <w:sz w:val="24"/>
        </w:rPr>
        <w:t>九、考评检查程序</w:t>
      </w:r>
    </w:p>
    <w:p>
      <w:pPr>
        <w:adjustRightInd w:val="0"/>
        <w:snapToGrid w:val="0"/>
        <w:spacing w:line="360" w:lineRule="auto"/>
        <w:ind w:firstLine="480" w:firstLineChars="200"/>
        <w:rPr>
          <w:rFonts w:ascii="宋体" w:hAnsi="宋体"/>
          <w:sz w:val="24"/>
        </w:rPr>
      </w:pPr>
      <w:r>
        <w:rPr>
          <w:rFonts w:hint="eastAsia" w:ascii="宋体" w:hAnsi="宋体"/>
          <w:sz w:val="24"/>
        </w:rPr>
        <w:t>㈠岗前培训</w:t>
      </w:r>
    </w:p>
    <w:p>
      <w:pPr>
        <w:adjustRightInd w:val="0"/>
        <w:snapToGrid w:val="0"/>
        <w:spacing w:line="360" w:lineRule="auto"/>
        <w:ind w:firstLine="480" w:firstLineChars="200"/>
        <w:rPr>
          <w:rFonts w:ascii="宋体" w:hAnsi="宋体"/>
          <w:sz w:val="24"/>
        </w:rPr>
      </w:pPr>
      <w:r>
        <w:rPr>
          <w:rFonts w:hint="eastAsia" w:ascii="宋体" w:hAnsi="宋体"/>
          <w:sz w:val="24"/>
        </w:rPr>
        <w:t>为更好的实施检查考评工作，区城市管理委员会组织负责检查考评人员进行系统培训，经考核合格后，方能参与检查考评工作；同时组织被检查单位相关人员的业务知识培训。</w:t>
      </w:r>
    </w:p>
    <w:p>
      <w:pPr>
        <w:adjustRightInd w:val="0"/>
        <w:snapToGrid w:val="0"/>
        <w:spacing w:line="360" w:lineRule="auto"/>
        <w:ind w:firstLine="480" w:firstLineChars="200"/>
        <w:rPr>
          <w:rFonts w:ascii="宋体" w:hAnsi="宋体"/>
          <w:sz w:val="24"/>
        </w:rPr>
      </w:pPr>
      <w:r>
        <w:rPr>
          <w:rFonts w:hint="eastAsia" w:ascii="宋体" w:hAnsi="宋体"/>
          <w:sz w:val="24"/>
        </w:rPr>
        <w:t>㈡实施检查</w:t>
      </w:r>
    </w:p>
    <w:p>
      <w:pPr>
        <w:adjustRightInd w:val="0"/>
        <w:snapToGrid w:val="0"/>
        <w:spacing w:line="360" w:lineRule="auto"/>
        <w:ind w:firstLine="480" w:firstLineChars="200"/>
        <w:rPr>
          <w:rFonts w:ascii="宋体" w:hAnsi="宋体"/>
          <w:sz w:val="24"/>
        </w:rPr>
      </w:pPr>
      <w:r>
        <w:rPr>
          <w:rFonts w:hint="eastAsia" w:ascii="宋体" w:hAnsi="宋体"/>
          <w:sz w:val="24"/>
        </w:rPr>
        <w:t>现场检查人员不少于2人。检查人员对检查项目采取观察作业情况、抽查作业人员到岗情况、听取介绍和问询岗位人员、查阅相关运行资料和自查记录等方式进行检查、记录，对存在的问题进行说明、拍照或摄像。</w:t>
      </w:r>
    </w:p>
    <w:p>
      <w:pPr>
        <w:adjustRightInd w:val="0"/>
        <w:snapToGrid w:val="0"/>
        <w:spacing w:line="360" w:lineRule="auto"/>
        <w:ind w:firstLine="480" w:firstLineChars="200"/>
        <w:rPr>
          <w:rFonts w:ascii="宋体" w:hAnsi="宋体"/>
          <w:sz w:val="24"/>
        </w:rPr>
      </w:pPr>
      <w:r>
        <w:rPr>
          <w:rFonts w:hint="eastAsia" w:ascii="宋体" w:hAnsi="宋体"/>
          <w:sz w:val="24"/>
        </w:rPr>
        <w:t>㈢复查</w:t>
      </w:r>
    </w:p>
    <w:p>
      <w:pPr>
        <w:adjustRightInd w:val="0"/>
        <w:snapToGrid w:val="0"/>
        <w:spacing w:line="360" w:lineRule="auto"/>
        <w:ind w:firstLine="480" w:firstLineChars="200"/>
        <w:rPr>
          <w:rFonts w:ascii="宋体" w:hAnsi="宋体"/>
          <w:sz w:val="24"/>
        </w:rPr>
      </w:pPr>
      <w:r>
        <w:rPr>
          <w:rFonts w:hint="eastAsia" w:ascii="宋体" w:hAnsi="宋体"/>
          <w:sz w:val="24"/>
        </w:rPr>
        <w:t>检查中出现较为突出的问题，视情况复查，复查结果纳入复查当日检查结果。</w:t>
      </w:r>
    </w:p>
    <w:p>
      <w:pPr>
        <w:adjustRightInd w:val="0"/>
        <w:snapToGrid w:val="0"/>
        <w:spacing w:line="360" w:lineRule="auto"/>
        <w:rPr>
          <w:rFonts w:ascii="宋体" w:hAnsi="宋体"/>
          <w:sz w:val="24"/>
        </w:rPr>
      </w:pPr>
      <w:r>
        <w:rPr>
          <w:rFonts w:hint="eastAsia" w:ascii="宋体" w:hAnsi="宋体"/>
          <w:sz w:val="24"/>
        </w:rPr>
        <w:t>十、考评检查评分</w:t>
      </w:r>
    </w:p>
    <w:p>
      <w:pPr>
        <w:adjustRightInd w:val="0"/>
        <w:snapToGrid w:val="0"/>
        <w:spacing w:line="360" w:lineRule="auto"/>
        <w:ind w:firstLine="480" w:firstLineChars="200"/>
        <w:rPr>
          <w:rFonts w:ascii="宋体" w:hAnsi="宋体"/>
          <w:sz w:val="24"/>
        </w:rPr>
      </w:pPr>
      <w:r>
        <w:rPr>
          <w:rFonts w:hint="eastAsia" w:ascii="宋体" w:hAnsi="宋体"/>
          <w:sz w:val="24"/>
        </w:rPr>
        <w:t>评分由市区督办、背街小巷、门前三包及其他责任区、建筑垃圾综合管理和属地管理五项组成，各项均采用百分制计分，由单项分值和权重计算得出总分值，五项权重分别为15%、30%、25%、20%、10%，总计100分。未按规定时限进行整改的问题纳入属地管理部分考核。背街小巷、门前三包及其他责任区、属地管理三项实行分层级计分制；市区督办、建筑垃圾综合管理两项实行直接扣分制。扣分标准详见附件。</w:t>
      </w:r>
    </w:p>
    <w:tbl>
      <w:tblPr>
        <w:tblStyle w:val="13"/>
        <w:tblW w:w="877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55"/>
        <w:gridCol w:w="1755"/>
        <w:gridCol w:w="1755"/>
        <w:gridCol w:w="1756"/>
        <w:gridCol w:w="17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52" w:hRule="atLeast"/>
        </w:trPr>
        <w:tc>
          <w:tcPr>
            <w:tcW w:w="1755" w:type="dxa"/>
            <w:vAlign w:val="center"/>
          </w:tcPr>
          <w:p>
            <w:pPr>
              <w:spacing w:line="360" w:lineRule="auto"/>
              <w:jc w:val="center"/>
              <w:rPr>
                <w:rFonts w:ascii="宋体" w:hAnsi="宋体"/>
                <w:sz w:val="24"/>
              </w:rPr>
            </w:pPr>
            <w:r>
              <w:rPr>
                <w:rFonts w:hint="eastAsia" w:ascii="宋体" w:hAnsi="宋体"/>
                <w:kern w:val="0"/>
                <w:sz w:val="24"/>
              </w:rPr>
              <w:t>市区督办</w:t>
            </w:r>
          </w:p>
        </w:tc>
        <w:tc>
          <w:tcPr>
            <w:tcW w:w="1755" w:type="dxa"/>
            <w:vAlign w:val="center"/>
          </w:tcPr>
          <w:p>
            <w:pPr>
              <w:spacing w:line="360" w:lineRule="auto"/>
              <w:jc w:val="center"/>
              <w:rPr>
                <w:rFonts w:ascii="宋体" w:hAnsi="宋体"/>
                <w:sz w:val="24"/>
              </w:rPr>
            </w:pPr>
            <w:r>
              <w:rPr>
                <w:rFonts w:hint="eastAsia" w:ascii="宋体" w:hAnsi="宋体" w:cs="宋体"/>
                <w:kern w:val="0"/>
                <w:sz w:val="24"/>
              </w:rPr>
              <w:t>背街小巷</w:t>
            </w:r>
          </w:p>
        </w:tc>
        <w:tc>
          <w:tcPr>
            <w:tcW w:w="1755" w:type="dxa"/>
            <w:vAlign w:val="center"/>
          </w:tcPr>
          <w:p>
            <w:pPr>
              <w:spacing w:line="360" w:lineRule="auto"/>
              <w:jc w:val="center"/>
              <w:rPr>
                <w:rFonts w:ascii="宋体" w:hAnsi="宋体" w:cs="宋体"/>
                <w:kern w:val="0"/>
                <w:sz w:val="24"/>
              </w:rPr>
            </w:pPr>
            <w:r>
              <w:rPr>
                <w:rFonts w:hint="eastAsia" w:ascii="宋体" w:hAnsi="宋体" w:cs="宋体"/>
                <w:kern w:val="0"/>
                <w:sz w:val="24"/>
              </w:rPr>
              <w:t>门前三包及</w:t>
            </w:r>
          </w:p>
          <w:p>
            <w:pPr>
              <w:spacing w:line="360" w:lineRule="auto"/>
              <w:jc w:val="center"/>
              <w:rPr>
                <w:rFonts w:ascii="宋体" w:hAnsi="宋体"/>
                <w:sz w:val="24"/>
              </w:rPr>
            </w:pPr>
            <w:r>
              <w:rPr>
                <w:rFonts w:hint="eastAsia" w:ascii="宋体" w:hAnsi="宋体" w:cs="宋体"/>
                <w:kern w:val="0"/>
                <w:sz w:val="24"/>
              </w:rPr>
              <w:t>其他责任区</w:t>
            </w:r>
          </w:p>
        </w:tc>
        <w:tc>
          <w:tcPr>
            <w:tcW w:w="1756" w:type="dxa"/>
            <w:vAlign w:val="center"/>
          </w:tcPr>
          <w:p>
            <w:pPr>
              <w:spacing w:line="360" w:lineRule="auto"/>
              <w:jc w:val="center"/>
              <w:rPr>
                <w:rFonts w:ascii="宋体" w:hAnsi="宋体" w:cs="宋体"/>
                <w:kern w:val="0"/>
                <w:sz w:val="24"/>
              </w:rPr>
            </w:pPr>
            <w:r>
              <w:rPr>
                <w:rFonts w:hint="eastAsia" w:ascii="宋体" w:hAnsi="宋体" w:cs="宋体"/>
                <w:kern w:val="0"/>
                <w:sz w:val="24"/>
              </w:rPr>
              <w:t>建筑垃圾</w:t>
            </w:r>
          </w:p>
          <w:p>
            <w:pPr>
              <w:spacing w:line="360" w:lineRule="auto"/>
              <w:jc w:val="center"/>
              <w:rPr>
                <w:rFonts w:ascii="宋体" w:hAnsi="宋体"/>
                <w:sz w:val="24"/>
              </w:rPr>
            </w:pPr>
            <w:r>
              <w:rPr>
                <w:rFonts w:hint="eastAsia" w:ascii="宋体" w:hAnsi="宋体" w:cs="宋体"/>
                <w:kern w:val="0"/>
                <w:sz w:val="24"/>
              </w:rPr>
              <w:t>综合管理</w:t>
            </w:r>
          </w:p>
        </w:tc>
        <w:tc>
          <w:tcPr>
            <w:tcW w:w="1756" w:type="dxa"/>
            <w:vAlign w:val="center"/>
          </w:tcPr>
          <w:p>
            <w:pPr>
              <w:spacing w:line="360" w:lineRule="auto"/>
              <w:jc w:val="center"/>
              <w:rPr>
                <w:rFonts w:ascii="宋体" w:hAnsi="宋体"/>
                <w:sz w:val="24"/>
              </w:rPr>
            </w:pPr>
            <w:r>
              <w:rPr>
                <w:rFonts w:hint="eastAsia" w:ascii="宋体" w:hAnsi="宋体" w:cs="宋体"/>
                <w:kern w:val="0"/>
                <w:sz w:val="24"/>
              </w:rPr>
              <w:t>属地管理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10" w:hRule="atLeast"/>
        </w:trPr>
        <w:tc>
          <w:tcPr>
            <w:tcW w:w="1755" w:type="dxa"/>
            <w:vAlign w:val="center"/>
          </w:tcPr>
          <w:p>
            <w:pPr>
              <w:spacing w:line="360" w:lineRule="auto"/>
              <w:jc w:val="center"/>
              <w:rPr>
                <w:rFonts w:ascii="宋体" w:hAnsi="宋体"/>
                <w:sz w:val="24"/>
              </w:rPr>
            </w:pPr>
            <w:r>
              <w:rPr>
                <w:rFonts w:hint="eastAsia" w:ascii="宋体" w:hAnsi="宋体"/>
                <w:sz w:val="24"/>
              </w:rPr>
              <w:t>15%</w:t>
            </w:r>
          </w:p>
        </w:tc>
        <w:tc>
          <w:tcPr>
            <w:tcW w:w="1755" w:type="dxa"/>
            <w:vAlign w:val="center"/>
          </w:tcPr>
          <w:p>
            <w:pPr>
              <w:spacing w:line="360" w:lineRule="auto"/>
              <w:jc w:val="center"/>
              <w:rPr>
                <w:rFonts w:ascii="宋体" w:hAnsi="宋体"/>
                <w:sz w:val="24"/>
              </w:rPr>
            </w:pPr>
            <w:r>
              <w:rPr>
                <w:rFonts w:hint="eastAsia" w:ascii="宋体" w:hAnsi="宋体"/>
                <w:sz w:val="24"/>
              </w:rPr>
              <w:t>30%</w:t>
            </w:r>
          </w:p>
        </w:tc>
        <w:tc>
          <w:tcPr>
            <w:tcW w:w="1755" w:type="dxa"/>
            <w:vAlign w:val="center"/>
          </w:tcPr>
          <w:p>
            <w:pPr>
              <w:spacing w:line="360" w:lineRule="auto"/>
              <w:jc w:val="center"/>
              <w:rPr>
                <w:rFonts w:ascii="宋体" w:hAnsi="宋体"/>
                <w:sz w:val="24"/>
              </w:rPr>
            </w:pPr>
            <w:r>
              <w:rPr>
                <w:rFonts w:hint="eastAsia" w:ascii="宋体" w:hAnsi="宋体"/>
                <w:sz w:val="24"/>
              </w:rPr>
              <w:t>25%</w:t>
            </w:r>
          </w:p>
        </w:tc>
        <w:tc>
          <w:tcPr>
            <w:tcW w:w="1756" w:type="dxa"/>
            <w:vAlign w:val="center"/>
          </w:tcPr>
          <w:p>
            <w:pPr>
              <w:spacing w:line="360" w:lineRule="auto"/>
              <w:jc w:val="center"/>
              <w:rPr>
                <w:rFonts w:ascii="宋体" w:hAnsi="宋体"/>
                <w:sz w:val="24"/>
              </w:rPr>
            </w:pPr>
            <w:r>
              <w:rPr>
                <w:rFonts w:hint="eastAsia" w:ascii="宋体" w:hAnsi="宋体"/>
                <w:sz w:val="24"/>
              </w:rPr>
              <w:t>20%</w:t>
            </w:r>
          </w:p>
        </w:tc>
        <w:tc>
          <w:tcPr>
            <w:tcW w:w="1756" w:type="dxa"/>
            <w:vAlign w:val="center"/>
          </w:tcPr>
          <w:p>
            <w:pPr>
              <w:spacing w:line="360" w:lineRule="auto"/>
              <w:jc w:val="center"/>
              <w:rPr>
                <w:rFonts w:ascii="宋体" w:hAnsi="宋体"/>
                <w:sz w:val="24"/>
              </w:rPr>
            </w:pPr>
            <w:r>
              <w:rPr>
                <w:rFonts w:hint="eastAsia" w:ascii="宋体" w:hAnsi="宋体"/>
                <w:sz w:val="24"/>
              </w:rPr>
              <w:t>10%</w:t>
            </w:r>
          </w:p>
        </w:tc>
      </w:tr>
    </w:tbl>
    <w:p>
      <w:pPr>
        <w:adjustRightInd w:val="0"/>
        <w:snapToGrid w:val="0"/>
        <w:spacing w:line="360" w:lineRule="auto"/>
        <w:ind w:firstLine="480" w:firstLineChars="200"/>
        <w:rPr>
          <w:rFonts w:ascii="宋体" w:hAnsi="宋体"/>
          <w:sz w:val="24"/>
        </w:rPr>
      </w:pPr>
      <w:r>
        <w:rPr>
          <w:rFonts w:hint="eastAsia" w:ascii="宋体" w:hAnsi="宋体"/>
          <w:sz w:val="24"/>
        </w:rPr>
        <w:t>总分值=市区督办×权重（15%）+背街小巷×权重（30%）＋门前三包及其他责任区×权重（25%）+建筑垃圾综合管理×权重（20%）+属地管理×权重（10%）</w:t>
      </w:r>
    </w:p>
    <w:p>
      <w:pPr>
        <w:adjustRightInd w:val="0"/>
        <w:snapToGrid w:val="0"/>
        <w:spacing w:line="360" w:lineRule="auto"/>
        <w:ind w:firstLine="480" w:firstLineChars="200"/>
        <w:rPr>
          <w:rFonts w:ascii="宋体" w:hAnsi="宋体"/>
          <w:sz w:val="24"/>
        </w:rPr>
      </w:pPr>
      <w:r>
        <w:rPr>
          <w:rFonts w:hint="eastAsia" w:ascii="宋体" w:hAnsi="宋体"/>
          <w:sz w:val="24"/>
        </w:rPr>
        <w:t>背街小巷、门前三包及其他责任区、属地管理三项计分方法：</w:t>
      </w:r>
    </w:p>
    <w:p>
      <w:pPr>
        <w:adjustRightInd w:val="0"/>
        <w:snapToGrid w:val="0"/>
        <w:spacing w:line="360" w:lineRule="auto"/>
        <w:ind w:firstLine="480" w:firstLineChars="200"/>
        <w:rPr>
          <w:rFonts w:ascii="宋体" w:hAnsi="宋体"/>
          <w:sz w:val="24"/>
        </w:rPr>
      </w:pPr>
      <w:r>
        <w:rPr>
          <w:rFonts w:hint="eastAsia" w:ascii="宋体" w:hAnsi="宋体"/>
          <w:sz w:val="24"/>
        </w:rPr>
        <w:t>采取分层级计分方式，每项考核内容分三个部分，每部分包括三个层级，第一及第二层级采用百分制按权重计分，第三层级采用固定分值按项次累计计分。由第三层级向上逐级计算，最终得出总分值。检查考核不合格时扣除该问题相应分值，按检查项次累计计分，扣分分值不超过该问题所属第二层级条目分值。（扣分分值=问题分值*不合格项次）</w:t>
      </w:r>
    </w:p>
    <w:p>
      <w:pPr>
        <w:adjustRightInd w:val="0"/>
        <w:snapToGrid w:val="0"/>
        <w:spacing w:line="360" w:lineRule="auto"/>
        <w:ind w:firstLine="480" w:firstLineChars="200"/>
        <w:rPr>
          <w:rFonts w:ascii="宋体" w:hAnsi="宋体"/>
          <w:sz w:val="24"/>
        </w:rPr>
      </w:pPr>
      <w:r>
        <w:rPr>
          <w:rFonts w:hint="eastAsia" w:ascii="宋体" w:hAnsi="宋体"/>
          <w:sz w:val="24"/>
        </w:rPr>
        <w:t>市区督办、建筑垃圾综合管理两项计分方法：</w:t>
      </w:r>
    </w:p>
    <w:p>
      <w:pPr>
        <w:adjustRightInd w:val="0"/>
        <w:snapToGrid w:val="0"/>
        <w:spacing w:line="360" w:lineRule="auto"/>
        <w:ind w:firstLine="480" w:firstLineChars="200"/>
        <w:rPr>
          <w:rFonts w:ascii="宋体" w:hAnsi="宋体"/>
          <w:sz w:val="24"/>
        </w:rPr>
      </w:pPr>
      <w:r>
        <w:rPr>
          <w:rFonts w:hint="eastAsia" w:ascii="宋体" w:hAnsi="宋体"/>
          <w:sz w:val="24"/>
        </w:rPr>
        <w:t>采取直接扣分方式，检查考核不合格时直接扣除该问题相应的分值，扣完为止。</w:t>
      </w:r>
    </w:p>
    <w:p>
      <w:pPr>
        <w:adjustRightInd w:val="0"/>
        <w:snapToGrid w:val="0"/>
        <w:spacing w:line="360" w:lineRule="auto"/>
        <w:ind w:firstLine="480" w:firstLineChars="200"/>
        <w:rPr>
          <w:rFonts w:ascii="宋体" w:hAnsi="宋体"/>
          <w:sz w:val="24"/>
        </w:rPr>
      </w:pPr>
      <w:r>
        <w:rPr>
          <w:rFonts w:hint="eastAsia" w:ascii="宋体" w:hAnsi="宋体"/>
          <w:sz w:val="24"/>
        </w:rPr>
        <w:t>其中市区督办、背街小巷、门前三包及其他责任区、属地管理每扣除总分1分，扣除街道保洁作业经费的0.5%（以精细化资金预算扣除10%预留应急资金后的金额为准），扣除的保洁作业经费按季度核算，由区财政局年底兑现。</w:t>
      </w:r>
    </w:p>
    <w:p>
      <w:pPr>
        <w:adjustRightInd w:val="0"/>
        <w:snapToGrid w:val="0"/>
        <w:spacing w:line="360" w:lineRule="auto"/>
        <w:rPr>
          <w:rFonts w:ascii="宋体" w:hAnsi="宋体"/>
          <w:sz w:val="24"/>
        </w:rPr>
      </w:pPr>
      <w:r>
        <w:rPr>
          <w:rFonts w:hint="eastAsia" w:ascii="宋体" w:hAnsi="宋体"/>
          <w:sz w:val="24"/>
        </w:rPr>
        <w:t>十一、考评结果运用</w:t>
      </w:r>
    </w:p>
    <w:p>
      <w:pPr>
        <w:adjustRightInd w:val="0"/>
        <w:snapToGrid w:val="0"/>
        <w:spacing w:line="360" w:lineRule="auto"/>
        <w:ind w:firstLine="480" w:firstLineChars="200"/>
        <w:rPr>
          <w:rFonts w:ascii="宋体" w:hAnsi="宋体"/>
          <w:sz w:val="24"/>
        </w:rPr>
      </w:pPr>
      <w:r>
        <w:rPr>
          <w:rFonts w:hint="eastAsia" w:ascii="宋体" w:hAnsi="宋体"/>
          <w:sz w:val="24"/>
        </w:rPr>
        <w:t>1.通过考评评分对各街道办事处进行综合排名，连续2个月评分最后一名的，街道应对保洁作业单位进行告诫;2016起实行退出机制，即年度综合排名最后的，街道与保洁作业单位解除合同，且两年内该保洁作业单位不得在我区从事任何形式的环境卫生保洁作业服务。</w:t>
      </w:r>
    </w:p>
    <w:p>
      <w:pPr>
        <w:adjustRightInd w:val="0"/>
        <w:snapToGrid w:val="0"/>
        <w:spacing w:line="360" w:lineRule="auto"/>
        <w:ind w:firstLine="480" w:firstLineChars="200"/>
        <w:rPr>
          <w:rFonts w:ascii="宋体" w:hAnsi="宋体"/>
          <w:sz w:val="24"/>
        </w:rPr>
      </w:pPr>
      <w:r>
        <w:rPr>
          <w:rFonts w:hint="eastAsia" w:ascii="宋体" w:hAnsi="宋体"/>
          <w:sz w:val="24"/>
        </w:rPr>
        <w:t>2.各街道办事处考评结果纳入全区城市管理综合考核。</w:t>
      </w:r>
    </w:p>
    <w:p>
      <w:pPr>
        <w:adjustRightInd w:val="0"/>
        <w:snapToGrid w:val="0"/>
        <w:spacing w:line="360" w:lineRule="auto"/>
        <w:rPr>
          <w:rFonts w:ascii="宋体" w:hAnsi="宋体"/>
          <w:sz w:val="24"/>
        </w:rPr>
      </w:pPr>
      <w:r>
        <w:rPr>
          <w:rFonts w:hint="eastAsia" w:ascii="宋体" w:hAnsi="宋体"/>
          <w:sz w:val="24"/>
        </w:rPr>
        <w:t>十二、结果公布形式</w:t>
      </w:r>
    </w:p>
    <w:p>
      <w:pPr>
        <w:adjustRightInd w:val="0"/>
        <w:snapToGrid w:val="0"/>
        <w:spacing w:line="360" w:lineRule="auto"/>
        <w:ind w:firstLine="480" w:firstLineChars="200"/>
        <w:rPr>
          <w:rFonts w:ascii="宋体" w:hAnsi="宋体"/>
          <w:sz w:val="24"/>
        </w:rPr>
      </w:pPr>
      <w:r>
        <w:rPr>
          <w:rFonts w:hint="eastAsia" w:ascii="宋体" w:hAnsi="宋体"/>
          <w:sz w:val="24"/>
        </w:rPr>
        <w:t>1.市区督办以转办单形式通过政务网发至各街道办事处办公室，限期整改。</w:t>
      </w:r>
    </w:p>
    <w:p>
      <w:pPr>
        <w:adjustRightInd w:val="0"/>
        <w:snapToGrid w:val="0"/>
        <w:spacing w:line="360" w:lineRule="auto"/>
        <w:ind w:firstLine="480" w:firstLineChars="200"/>
        <w:rPr>
          <w:rFonts w:ascii="宋体" w:hAnsi="宋体"/>
          <w:sz w:val="24"/>
        </w:rPr>
      </w:pPr>
      <w:r>
        <w:rPr>
          <w:rFonts w:hint="eastAsia" w:ascii="宋体" w:hAnsi="宋体"/>
          <w:sz w:val="24"/>
        </w:rPr>
        <w:t>2.日检查结果于次日9时前在区政务网公示，并以转办单形式通过政务网发至各街道办事处办公室，限期整改。</w:t>
      </w:r>
    </w:p>
    <w:p>
      <w:pPr>
        <w:adjustRightInd w:val="0"/>
        <w:snapToGrid w:val="0"/>
        <w:spacing w:line="360" w:lineRule="auto"/>
        <w:ind w:firstLine="480" w:firstLineChars="200"/>
        <w:rPr>
          <w:rFonts w:ascii="宋体" w:hAnsi="宋体"/>
          <w:sz w:val="24"/>
        </w:rPr>
      </w:pPr>
      <w:r>
        <w:rPr>
          <w:rFonts w:hint="eastAsia" w:ascii="宋体" w:hAnsi="宋体"/>
          <w:sz w:val="24"/>
        </w:rPr>
        <w:t>3.月通报结果区城市综合管理委员会对日检查结果进行汇总，形成月通报，于次月10个工作日内完成，发各街道办事处。</w:t>
      </w:r>
    </w:p>
    <w:p>
      <w:pPr>
        <w:adjustRightInd w:val="0"/>
        <w:snapToGrid w:val="0"/>
        <w:spacing w:line="360" w:lineRule="auto"/>
        <w:ind w:firstLine="480" w:firstLineChars="200"/>
        <w:rPr>
          <w:rFonts w:ascii="宋体" w:hAnsi="宋体"/>
          <w:sz w:val="24"/>
        </w:rPr>
      </w:pPr>
      <w:r>
        <w:rPr>
          <w:rFonts w:hint="eastAsia" w:ascii="宋体" w:hAnsi="宋体"/>
          <w:sz w:val="24"/>
        </w:rPr>
        <w:t>4.季评价结果区城市综合管理委员会对月考核结果进行汇总，形成评价后，上报区政府，并在区长办公会上通报。</w:t>
      </w:r>
    </w:p>
    <w:p>
      <w:pPr>
        <w:adjustRightInd w:val="0"/>
        <w:snapToGrid w:val="0"/>
        <w:spacing w:line="360" w:lineRule="auto"/>
        <w:ind w:firstLine="480" w:firstLineChars="200"/>
        <w:rPr>
          <w:rFonts w:ascii="宋体" w:hAnsi="宋体"/>
          <w:sz w:val="24"/>
        </w:rPr>
      </w:pPr>
      <w:r>
        <w:rPr>
          <w:rFonts w:hint="eastAsia" w:ascii="宋体" w:hAnsi="宋体"/>
          <w:sz w:val="24"/>
        </w:rPr>
        <w:t>5.年汇总结果对年度综合评分前三名的街道办事处给予奖励。考核结果奖励与当年精细管理美化市容资金挂钩。第一名奖励50万元，第二名奖励30万元，第三名奖励10万元。奖励资金主要用于各街道办事处次年的环境建设和环境整治等相关工作。</w:t>
      </w:r>
    </w:p>
    <w:p>
      <w:pPr>
        <w:adjustRightInd w:val="0"/>
        <w:snapToGrid w:val="0"/>
        <w:spacing w:line="360" w:lineRule="auto"/>
        <w:ind w:firstLine="480" w:firstLineChars="200"/>
        <w:rPr>
          <w:rFonts w:ascii="宋体" w:hAnsi="宋体"/>
          <w:sz w:val="24"/>
        </w:rPr>
      </w:pPr>
      <w:r>
        <w:rPr>
          <w:rFonts w:hint="eastAsia" w:ascii="宋体" w:hAnsi="宋体"/>
          <w:sz w:val="24"/>
        </w:rPr>
        <w:t>6.争议与复核</w:t>
      </w:r>
    </w:p>
    <w:p>
      <w:pPr>
        <w:adjustRightInd w:val="0"/>
        <w:snapToGrid w:val="0"/>
        <w:spacing w:line="360" w:lineRule="auto"/>
        <w:ind w:firstLine="480" w:firstLineChars="200"/>
        <w:rPr>
          <w:rFonts w:ascii="宋体" w:hAnsi="宋体"/>
          <w:sz w:val="24"/>
        </w:rPr>
      </w:pPr>
      <w:r>
        <w:rPr>
          <w:rFonts w:hint="eastAsia" w:ascii="宋体" w:hAnsi="宋体"/>
          <w:sz w:val="24"/>
        </w:rPr>
        <w:t>各街道办事处对日检查、月通报结果存有异议,可以在公布之后的第2个工作日内提出复核申请。</w:t>
      </w:r>
    </w:p>
    <w:p>
      <w:pPr>
        <w:adjustRightInd w:val="0"/>
        <w:snapToGrid w:val="0"/>
        <w:spacing w:line="360" w:lineRule="auto"/>
        <w:ind w:firstLine="480" w:firstLineChars="200"/>
        <w:rPr>
          <w:rFonts w:ascii="宋体" w:hAnsi="宋体"/>
          <w:sz w:val="24"/>
        </w:rPr>
      </w:pPr>
      <w:r>
        <w:rPr>
          <w:rFonts w:hint="eastAsia" w:ascii="宋体" w:hAnsi="宋体"/>
          <w:sz w:val="24"/>
        </w:rPr>
        <w:t>7.存档</w:t>
      </w:r>
    </w:p>
    <w:p>
      <w:pPr>
        <w:adjustRightInd w:val="0"/>
        <w:snapToGrid w:val="0"/>
        <w:spacing w:line="360" w:lineRule="auto"/>
        <w:ind w:firstLine="480" w:firstLineChars="200"/>
        <w:rPr>
          <w:rFonts w:ascii="宋体" w:hAnsi="宋体"/>
          <w:sz w:val="24"/>
        </w:rPr>
      </w:pPr>
      <w:r>
        <w:rPr>
          <w:rFonts w:hint="eastAsia" w:ascii="宋体" w:hAnsi="宋体"/>
          <w:sz w:val="24"/>
        </w:rPr>
        <w:t>每个项目全年的检查考评记录整理后存档保存，保存期为二年，电子记录保存期为五年。</w:t>
      </w:r>
    </w:p>
    <w:p>
      <w:pPr>
        <w:spacing w:line="360" w:lineRule="auto"/>
        <w:rPr>
          <w:rFonts w:ascii="宋体" w:hAnsi="宋体"/>
          <w:sz w:val="24"/>
        </w:rPr>
      </w:pPr>
      <w:r>
        <w:rPr>
          <w:rFonts w:hint="eastAsia" w:ascii="宋体" w:hAnsi="宋体"/>
          <w:sz w:val="24"/>
        </w:rPr>
        <w:t>十三、本办法由区城市综合管理委员会负责解释。</w:t>
      </w:r>
    </w:p>
    <w:p>
      <w:pPr>
        <w:widowControl/>
        <w:jc w:val="left"/>
        <w:rPr>
          <w:rFonts w:hint="eastAsia" w:ascii="宋体" w:hAnsi="宋体"/>
          <w:kern w:val="44"/>
          <w:sz w:val="24"/>
        </w:rPr>
      </w:pPr>
      <w:r>
        <w:rPr>
          <w:rFonts w:hint="eastAsia" w:ascii="宋体" w:hAnsi="宋体"/>
          <w:kern w:val="44"/>
          <w:sz w:val="24"/>
        </w:rPr>
        <w:t>十四、本办法自2015年4月1日起执行。</w:t>
      </w:r>
    </w:p>
    <w:p>
      <w:pPr>
        <w:widowControl/>
        <w:jc w:val="left"/>
        <w:rPr>
          <w:rFonts w:hint="eastAsia" w:ascii="宋体" w:hAnsi="宋体"/>
          <w:kern w:val="44"/>
          <w:sz w:val="24"/>
        </w:rPr>
      </w:pPr>
    </w:p>
    <w:p>
      <w:pPr>
        <w:rPr>
          <w:rFonts w:hint="eastAsia"/>
        </w:rPr>
      </w:pPr>
    </w:p>
    <w:p>
      <w:pPr>
        <w:rPr>
          <w:rFonts w:hint="eastAsia"/>
        </w:rPr>
      </w:pPr>
    </w:p>
    <w:p>
      <w:pPr>
        <w:rPr>
          <w:rFonts w:hint="eastAsia"/>
        </w:rPr>
      </w:pPr>
    </w:p>
    <w:p>
      <w:pPr>
        <w:rPr>
          <w:rFonts w:hint="eastAsia"/>
        </w:rPr>
      </w:pPr>
    </w:p>
    <w:p>
      <w:pPr>
        <w:rPr>
          <w:rFonts w:hint="eastAsia"/>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fldChar w:fldCharType="begin"/>
    </w:r>
    <w:r>
      <w:instrText xml:space="preserve">PAGE   \* MERGEFORMAT</w:instrText>
    </w:r>
    <w:r>
      <w:fldChar w:fldCharType="separate"/>
    </w:r>
    <w:r>
      <w:rPr>
        <w:lang w:val="zh-CN"/>
      </w:rPr>
      <w:t>9</w:t>
    </w:r>
    <w:r>
      <w:rPr>
        <w:lang w:val="zh-CN"/>
      </w:rPr>
      <w:fldChar w:fldCharType="end"/>
    </w:r>
  </w:p>
  <w:p>
    <w:pPr>
      <w:pStyle w:val="1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6FC8"/>
    <w:rsid w:val="00176FC8"/>
    <w:rsid w:val="00281F16"/>
    <w:rsid w:val="006239E6"/>
    <w:rsid w:val="008C7272"/>
    <w:rsid w:val="00A06020"/>
    <w:rsid w:val="00A2052C"/>
    <w:rsid w:val="00F44D3D"/>
    <w:rsid w:val="00F62352"/>
    <w:rsid w:val="00F7229A"/>
    <w:rsid w:val="075A1B6A"/>
    <w:rsid w:val="0D2C6BC4"/>
    <w:rsid w:val="13724E04"/>
    <w:rsid w:val="178929AF"/>
    <w:rsid w:val="245234FC"/>
    <w:rsid w:val="25C42003"/>
    <w:rsid w:val="5E6D5E8E"/>
    <w:rsid w:val="7D8602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99" w:semiHidden="0"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link w:val="20"/>
    <w:qFormat/>
    <w:uiPriority w:val="0"/>
    <w:pPr>
      <w:keepNext/>
      <w:keepLines/>
      <w:spacing w:before="260" w:after="260" w:line="413" w:lineRule="auto"/>
      <w:jc w:val="center"/>
      <w:outlineLvl w:val="1"/>
    </w:pPr>
    <w:rPr>
      <w:rFonts w:ascii="Arial" w:hAnsi="Arial" w:cstheme="majorBidi"/>
      <w:sz w:val="32"/>
      <w:szCs w:val="20"/>
    </w:rPr>
  </w:style>
  <w:style w:type="character" w:default="1" w:styleId="14">
    <w:name w:val="Default Paragraph Font"/>
    <w:unhideWhenUsed/>
    <w:qFormat/>
    <w:uiPriority w:val="1"/>
  </w:style>
  <w:style w:type="table" w:default="1" w:styleId="13">
    <w:name w:val="Normal Table"/>
    <w:unhideWhenUsed/>
    <w:qFormat/>
    <w:uiPriority w:val="99"/>
    <w:tblPr>
      <w:tblLayout w:type="fixed"/>
      <w:tblCellMar>
        <w:top w:w="0" w:type="dxa"/>
        <w:left w:w="108" w:type="dxa"/>
        <w:bottom w:w="0" w:type="dxa"/>
        <w:right w:w="108" w:type="dxa"/>
      </w:tblCellMar>
    </w:tblPr>
  </w:style>
  <w:style w:type="paragraph" w:styleId="3">
    <w:name w:val="Normal Indent"/>
    <w:basedOn w:val="1"/>
    <w:link w:val="23"/>
    <w:qFormat/>
    <w:uiPriority w:val="0"/>
    <w:pPr>
      <w:ind w:firstLine="420"/>
    </w:pPr>
    <w:rPr>
      <w:rFonts w:ascii="Calibri" w:hAnsi="Calibri"/>
      <w:szCs w:val="20"/>
    </w:rPr>
  </w:style>
  <w:style w:type="paragraph" w:styleId="4">
    <w:name w:val="Body Text"/>
    <w:basedOn w:val="1"/>
    <w:link w:val="26"/>
    <w:qFormat/>
    <w:uiPriority w:val="0"/>
    <w:pPr>
      <w:tabs>
        <w:tab w:val="left" w:pos="567"/>
      </w:tabs>
      <w:spacing w:before="120" w:line="22" w:lineRule="atLeast"/>
    </w:pPr>
    <w:rPr>
      <w:rFonts w:ascii="宋体" w:hAnsi="宋体"/>
      <w:sz w:val="24"/>
      <w:szCs w:val="20"/>
    </w:rPr>
  </w:style>
  <w:style w:type="paragraph" w:styleId="5">
    <w:name w:val="Body Text Indent"/>
    <w:basedOn w:val="1"/>
    <w:link w:val="27"/>
    <w:unhideWhenUsed/>
    <w:qFormat/>
    <w:uiPriority w:val="99"/>
    <w:pPr>
      <w:spacing w:after="120"/>
      <w:ind w:left="420" w:leftChars="200"/>
    </w:pPr>
    <w:rPr>
      <w:rFonts w:ascii="Calibri" w:hAnsi="Calibri"/>
      <w:szCs w:val="20"/>
    </w:rPr>
  </w:style>
  <w:style w:type="paragraph" w:styleId="6">
    <w:name w:val="List 2"/>
    <w:basedOn w:val="1"/>
    <w:qFormat/>
    <w:uiPriority w:val="0"/>
    <w:pPr>
      <w:spacing w:line="360" w:lineRule="auto"/>
      <w:ind w:left="100" w:leftChars="200" w:hanging="200" w:hangingChars="200"/>
    </w:pPr>
    <w:rPr>
      <w:rFonts w:ascii="Calibri" w:hAnsi="Calibri" w:cstheme="minorBidi"/>
      <w:szCs w:val="20"/>
    </w:rPr>
  </w:style>
  <w:style w:type="paragraph" w:styleId="7">
    <w:name w:val="Plain Text"/>
    <w:basedOn w:val="1"/>
    <w:link w:val="29"/>
    <w:qFormat/>
    <w:uiPriority w:val="0"/>
    <w:rPr>
      <w:rFonts w:hint="eastAsia" w:ascii="宋体" w:hAnsi="Courier New"/>
      <w:szCs w:val="20"/>
    </w:rPr>
  </w:style>
  <w:style w:type="paragraph" w:styleId="8">
    <w:name w:val="Date"/>
    <w:basedOn w:val="1"/>
    <w:next w:val="1"/>
    <w:link w:val="35"/>
    <w:unhideWhenUsed/>
    <w:qFormat/>
    <w:uiPriority w:val="99"/>
    <w:pPr>
      <w:ind w:left="100" w:leftChars="2500"/>
    </w:pPr>
  </w:style>
  <w:style w:type="paragraph" w:styleId="9">
    <w:name w:val="Balloon Text"/>
    <w:basedOn w:val="1"/>
    <w:link w:val="34"/>
    <w:unhideWhenUsed/>
    <w:uiPriority w:val="99"/>
    <w:rPr>
      <w:sz w:val="18"/>
      <w:szCs w:val="18"/>
    </w:rPr>
  </w:style>
  <w:style w:type="paragraph" w:styleId="10">
    <w:name w:val="footer"/>
    <w:basedOn w:val="1"/>
    <w:link w:val="25"/>
    <w:qFormat/>
    <w:uiPriority w:val="99"/>
    <w:pPr>
      <w:tabs>
        <w:tab w:val="center" w:pos="4153"/>
        <w:tab w:val="right" w:pos="8306"/>
      </w:tabs>
      <w:autoSpaceDE w:val="0"/>
      <w:autoSpaceDN w:val="0"/>
      <w:adjustRightInd w:val="0"/>
      <w:snapToGrid w:val="0"/>
      <w:jc w:val="left"/>
    </w:pPr>
    <w:rPr>
      <w:rFonts w:ascii="宋体" w:hAnsi="Calibri"/>
      <w:kern w:val="0"/>
      <w:sz w:val="18"/>
      <w:szCs w:val="20"/>
    </w:rPr>
  </w:style>
  <w:style w:type="paragraph" w:styleId="11">
    <w:name w:val="header"/>
    <w:basedOn w:val="1"/>
    <w:link w:val="24"/>
    <w:qFormat/>
    <w:uiPriority w:val="99"/>
    <w:pPr>
      <w:pBdr>
        <w:bottom w:val="single" w:color="auto" w:sz="6" w:space="1"/>
      </w:pBdr>
      <w:tabs>
        <w:tab w:val="center" w:pos="4153"/>
        <w:tab w:val="right" w:pos="8306"/>
      </w:tabs>
      <w:snapToGrid w:val="0"/>
      <w:jc w:val="center"/>
    </w:pPr>
    <w:rPr>
      <w:rFonts w:ascii="Calibri" w:hAnsi="Calibri"/>
      <w:sz w:val="18"/>
      <w:szCs w:val="18"/>
    </w:rPr>
  </w:style>
  <w:style w:type="paragraph" w:styleId="12">
    <w:name w:val="Body Text First Indent 2"/>
    <w:basedOn w:val="5"/>
    <w:link w:val="28"/>
    <w:qFormat/>
    <w:uiPriority w:val="0"/>
    <w:pPr>
      <w:spacing w:after="0"/>
      <w:ind w:left="0" w:leftChars="0" w:firstLine="200" w:firstLineChars="200"/>
    </w:pPr>
    <w:rPr>
      <w:rFonts w:ascii="Times New Roman" w:hAnsi="Times New Roman"/>
    </w:rPr>
  </w:style>
  <w:style w:type="character" w:styleId="15">
    <w:name w:val="page number"/>
    <w:qFormat/>
    <w:uiPriority w:val="0"/>
  </w:style>
  <w:style w:type="paragraph" w:customStyle="1" w:styleId="16">
    <w:name w:val="*正文"/>
    <w:basedOn w:val="1"/>
    <w:qFormat/>
    <w:uiPriority w:val="0"/>
    <w:pPr>
      <w:spacing w:line="360" w:lineRule="auto"/>
      <w:ind w:firstLine="200" w:firstLineChars="200"/>
    </w:pPr>
    <w:rPr>
      <w:rFonts w:ascii="Calibri" w:hAnsi="Calibri"/>
      <w:sz w:val="24"/>
      <w:szCs w:val="22"/>
    </w:rPr>
  </w:style>
  <w:style w:type="paragraph" w:customStyle="1" w:styleId="17">
    <w:name w:val="样式 小四"/>
    <w:qFormat/>
    <w:uiPriority w:val="0"/>
    <w:pPr>
      <w:widowControl w:val="0"/>
      <w:adjustRightInd w:val="0"/>
      <w:spacing w:line="360" w:lineRule="atLeast"/>
      <w:textAlignment w:val="baseline"/>
    </w:pPr>
    <w:rPr>
      <w:rFonts w:ascii="Calibri" w:hAnsi="Calibri" w:eastAsia="宋体" w:cs="Arial"/>
      <w:sz w:val="24"/>
      <w:szCs w:val="22"/>
      <w:lang w:val="en-US" w:eastAsia="zh-CN" w:bidi="ar-SA"/>
    </w:rPr>
  </w:style>
  <w:style w:type="paragraph" w:customStyle="1" w:styleId="18">
    <w:name w:val="111"/>
    <w:basedOn w:val="19"/>
    <w:qFormat/>
    <w:uiPriority w:val="0"/>
    <w:pPr>
      <w:tabs>
        <w:tab w:val="left" w:pos="567"/>
      </w:tabs>
      <w:spacing w:line="360" w:lineRule="auto"/>
      <w:jc w:val="center"/>
    </w:pPr>
    <w:rPr>
      <w:b/>
      <w:bCs/>
      <w:sz w:val="28"/>
      <w:szCs w:val="28"/>
    </w:rPr>
  </w:style>
  <w:style w:type="paragraph" w:customStyle="1" w:styleId="19">
    <w:name w:val="样式 标题 2 + 宋体 五号 行距: 单倍行距"/>
    <w:basedOn w:val="2"/>
    <w:qFormat/>
    <w:uiPriority w:val="0"/>
    <w:pPr>
      <w:tabs>
        <w:tab w:val="left" w:pos="567"/>
      </w:tabs>
      <w:adjustRightInd w:val="0"/>
      <w:spacing w:line="240" w:lineRule="auto"/>
      <w:jc w:val="left"/>
      <w:textAlignment w:val="baseline"/>
    </w:pPr>
    <w:rPr>
      <w:rFonts w:ascii="宋体" w:hAnsi="宋体" w:cs="Times New Roman"/>
      <w:sz w:val="21"/>
    </w:rPr>
  </w:style>
  <w:style w:type="character" w:customStyle="1" w:styleId="20">
    <w:name w:val="标题 2 Char"/>
    <w:basedOn w:val="14"/>
    <w:link w:val="2"/>
    <w:uiPriority w:val="0"/>
    <w:rPr>
      <w:rFonts w:ascii="Arial" w:hAnsi="Arial" w:eastAsia="宋体" w:cstheme="majorBidi"/>
      <w:kern w:val="2"/>
      <w:sz w:val="32"/>
    </w:rPr>
  </w:style>
  <w:style w:type="paragraph" w:customStyle="1" w:styleId="21">
    <w:name w:val="Char Char Char1"/>
    <w:basedOn w:val="1"/>
    <w:qFormat/>
    <w:uiPriority w:val="0"/>
    <w:pPr>
      <w:tabs>
        <w:tab w:val="right" w:pos="-2120"/>
      </w:tabs>
      <w:snapToGrid w:val="0"/>
    </w:pPr>
    <w:rPr>
      <w:rFonts w:ascii="Tahoma" w:hAnsi="Tahoma"/>
      <w:spacing w:val="6"/>
      <w:sz w:val="24"/>
      <w:szCs w:val="20"/>
    </w:rPr>
  </w:style>
  <w:style w:type="paragraph" w:customStyle="1" w:styleId="22">
    <w:name w:val="Table Paragraph"/>
    <w:basedOn w:val="1"/>
    <w:qFormat/>
    <w:uiPriority w:val="1"/>
    <w:rPr>
      <w:rFonts w:ascii="宋体" w:hAnsi="宋体" w:cs="宋体"/>
      <w:szCs w:val="20"/>
      <w:lang w:val="zh-CN" w:bidi="zh-CN"/>
    </w:rPr>
  </w:style>
  <w:style w:type="character" w:customStyle="1" w:styleId="23">
    <w:name w:val="正文缩进 Char"/>
    <w:link w:val="3"/>
    <w:qFormat/>
    <w:uiPriority w:val="0"/>
    <w:rPr>
      <w:rFonts w:ascii="Calibri" w:hAnsi="Calibri" w:eastAsia="宋体" w:cs="Times New Roman"/>
      <w:kern w:val="2"/>
      <w:sz w:val="21"/>
    </w:rPr>
  </w:style>
  <w:style w:type="character" w:customStyle="1" w:styleId="24">
    <w:name w:val="页眉 Char"/>
    <w:basedOn w:val="14"/>
    <w:link w:val="11"/>
    <w:uiPriority w:val="99"/>
    <w:rPr>
      <w:rFonts w:ascii="Calibri" w:hAnsi="Calibri" w:eastAsia="宋体" w:cs="Times New Roman"/>
      <w:kern w:val="2"/>
      <w:sz w:val="18"/>
      <w:szCs w:val="18"/>
    </w:rPr>
  </w:style>
  <w:style w:type="character" w:customStyle="1" w:styleId="25">
    <w:name w:val="页脚 Char"/>
    <w:basedOn w:val="14"/>
    <w:link w:val="10"/>
    <w:uiPriority w:val="99"/>
    <w:rPr>
      <w:rFonts w:ascii="宋体" w:hAnsi="Calibri" w:eastAsia="宋体" w:cs="Times New Roman"/>
      <w:sz w:val="18"/>
    </w:rPr>
  </w:style>
  <w:style w:type="character" w:customStyle="1" w:styleId="26">
    <w:name w:val="正文文本 Char"/>
    <w:basedOn w:val="14"/>
    <w:link w:val="4"/>
    <w:uiPriority w:val="0"/>
    <w:rPr>
      <w:rFonts w:ascii="宋体" w:hAnsi="宋体" w:eastAsia="宋体" w:cs="Times New Roman"/>
      <w:kern w:val="2"/>
      <w:sz w:val="24"/>
    </w:rPr>
  </w:style>
  <w:style w:type="character" w:customStyle="1" w:styleId="27">
    <w:name w:val="正文文本缩进 Char"/>
    <w:basedOn w:val="14"/>
    <w:link w:val="5"/>
    <w:uiPriority w:val="99"/>
    <w:rPr>
      <w:rFonts w:ascii="Calibri" w:hAnsi="Calibri" w:eastAsia="宋体" w:cs="Times New Roman"/>
      <w:kern w:val="2"/>
      <w:sz w:val="21"/>
    </w:rPr>
  </w:style>
  <w:style w:type="character" w:customStyle="1" w:styleId="28">
    <w:name w:val="正文首行缩进 2 Char"/>
    <w:basedOn w:val="27"/>
    <w:link w:val="12"/>
    <w:uiPriority w:val="0"/>
    <w:rPr>
      <w:rFonts w:ascii="Times New Roman" w:hAnsi="Times New Roman" w:eastAsia="宋体" w:cs="Times New Roman"/>
      <w:kern w:val="2"/>
      <w:sz w:val="21"/>
    </w:rPr>
  </w:style>
  <w:style w:type="character" w:customStyle="1" w:styleId="29">
    <w:name w:val="纯文本 Char"/>
    <w:basedOn w:val="14"/>
    <w:link w:val="7"/>
    <w:qFormat/>
    <w:uiPriority w:val="0"/>
    <w:rPr>
      <w:rFonts w:ascii="宋体" w:hAnsi="Courier New" w:eastAsia="宋体" w:cs="Times New Roman"/>
      <w:kern w:val="2"/>
      <w:sz w:val="21"/>
    </w:rPr>
  </w:style>
  <w:style w:type="paragraph" w:customStyle="1" w:styleId="30">
    <w:name w:val="List Paragraph"/>
    <w:basedOn w:val="1"/>
    <w:qFormat/>
    <w:uiPriority w:val="34"/>
    <w:pPr>
      <w:ind w:firstLine="420" w:firstLineChars="200"/>
    </w:pPr>
    <w:rPr>
      <w:rFonts w:ascii="Calibri" w:hAnsi="Calibri"/>
      <w:szCs w:val="20"/>
    </w:rPr>
  </w:style>
  <w:style w:type="character" w:customStyle="1" w:styleId="31">
    <w:name w:val="正文缩进 Char1"/>
    <w:qFormat/>
    <w:uiPriority w:val="0"/>
    <w:rPr>
      <w:rFonts w:ascii="宋体" w:eastAsia="宋体"/>
      <w:kern w:val="2"/>
      <w:sz w:val="24"/>
      <w:szCs w:val="24"/>
      <w:lang w:val="en-US" w:eastAsia="zh-CN" w:bidi="ar-SA"/>
    </w:rPr>
  </w:style>
  <w:style w:type="character" w:customStyle="1" w:styleId="32">
    <w:name w:val="标题 2 Char1"/>
    <w:qFormat/>
    <w:uiPriority w:val="3"/>
    <w:rPr>
      <w:rFonts w:ascii="Arial" w:hAnsi="Arial" w:eastAsia="黑体"/>
      <w:b/>
      <w:sz w:val="30"/>
      <w:lang w:val="en-US" w:eastAsia="zh-CN" w:bidi="ar-SA"/>
    </w:rPr>
  </w:style>
  <w:style w:type="character" w:customStyle="1" w:styleId="33">
    <w:name w:val="页脚 Char1"/>
    <w:qFormat/>
    <w:uiPriority w:val="0"/>
    <w:rPr>
      <w:rFonts w:ascii="宋体" w:eastAsia="宋体"/>
      <w:sz w:val="18"/>
      <w:lang w:val="en-US" w:eastAsia="zh-CN" w:bidi="ar-SA"/>
    </w:rPr>
  </w:style>
  <w:style w:type="character" w:customStyle="1" w:styleId="34">
    <w:name w:val="批注框文本 Char"/>
    <w:basedOn w:val="14"/>
    <w:link w:val="9"/>
    <w:semiHidden/>
    <w:uiPriority w:val="99"/>
    <w:rPr>
      <w:rFonts w:ascii="Times New Roman" w:hAnsi="Times New Roman" w:eastAsia="宋体" w:cs="Times New Roman"/>
      <w:kern w:val="2"/>
      <w:sz w:val="18"/>
      <w:szCs w:val="18"/>
    </w:rPr>
  </w:style>
  <w:style w:type="character" w:customStyle="1" w:styleId="35">
    <w:name w:val="日期 Char"/>
    <w:basedOn w:val="14"/>
    <w:link w:val="8"/>
    <w:semiHidden/>
    <w:uiPriority w:val="99"/>
    <w:rPr>
      <w:rFonts w:ascii="Times New Roman" w:hAnsi="Times New Roman" w:eastAsia="宋体" w:cs="Times New Roman"/>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family</Company>
  <Pages>48</Pages>
  <Words>3148</Words>
  <Characters>17944</Characters>
  <Lines>149</Lines>
  <Paragraphs>42</Paragraphs>
  <TotalTime>0</TotalTime>
  <ScaleCrop>false</ScaleCrop>
  <LinksUpToDate>false</LinksUpToDate>
  <CharactersWithSpaces>21050</CharactersWithSpaces>
  <Application>WPS Office_11.8.2.8506_F1E327BC-269C-435d-A152-05C5408002CA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2023-06-16T00:48:00Z</dcterms:created>
  <dc:creator>Administrator</dc:creator>
  <cp:lastModifiedBy>86131</cp:lastModifiedBy>
  <dcterms:modified xsi:type="dcterms:W3CDTF">2023-07-06T06:00:41Z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ies>
</file>