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rFonts w:eastAsia="宋体"/>
          <w:sz w:val="60"/>
          <w:szCs w:val="60"/>
        </w:rPr>
      </w:pPr>
    </w:p>
    <w:p>
      <w:pPr>
        <w:spacing w:line="360" w:lineRule="auto"/>
        <w:ind w:firstLine="300" w:firstLineChars="50"/>
        <w:rPr>
          <w:rFonts w:eastAsia="宋体"/>
          <w:sz w:val="60"/>
          <w:szCs w:val="60"/>
        </w:rPr>
      </w:pPr>
    </w:p>
    <w:p>
      <w:pPr>
        <w:jc w:val="center"/>
        <w:rPr>
          <w:rFonts w:eastAsia="宋体"/>
          <w:b/>
          <w:bCs/>
          <w:sz w:val="60"/>
          <w:szCs w:val="60"/>
        </w:rPr>
      </w:pPr>
      <w:r>
        <w:rPr>
          <w:rFonts w:eastAsia="宋体"/>
          <w:b/>
          <w:bCs/>
          <w:sz w:val="60"/>
          <w:szCs w:val="60"/>
        </w:rPr>
        <w:t>北京市政府采购项目</w:t>
      </w:r>
    </w:p>
    <w:p>
      <w:pPr>
        <w:jc w:val="center"/>
        <w:rPr>
          <w:rFonts w:eastAsia="宋体"/>
          <w:b/>
          <w:bCs/>
          <w:sz w:val="60"/>
          <w:szCs w:val="60"/>
        </w:rPr>
      </w:pPr>
      <w:r>
        <w:rPr>
          <w:rFonts w:eastAsia="宋体"/>
          <w:b/>
          <w:bCs/>
          <w:sz w:val="60"/>
          <w:szCs w:val="60"/>
        </w:rPr>
        <w:t>竞争性磋商文件</w:t>
      </w:r>
    </w:p>
    <w:p>
      <w:pPr>
        <w:jc w:val="center"/>
        <w:rPr>
          <w:b/>
          <w:bCs/>
          <w:sz w:val="60"/>
          <w:szCs w:val="60"/>
        </w:rPr>
      </w:pPr>
      <w:r>
        <w:rPr>
          <w:b/>
          <w:bCs/>
          <w:sz w:val="60"/>
          <w:szCs w:val="60"/>
        </w:rPr>
        <w:t>（2023年版）</w:t>
      </w:r>
    </w:p>
    <w:p>
      <w:pPr>
        <w:spacing w:line="360" w:lineRule="auto"/>
        <w:jc w:val="center"/>
        <w:rPr>
          <w:rFonts w:eastAsia="宋体"/>
          <w:b/>
          <w:bCs/>
          <w:sz w:val="60"/>
          <w:szCs w:val="60"/>
        </w:rPr>
      </w:pPr>
    </w:p>
    <w:p>
      <w:pPr>
        <w:spacing w:line="360" w:lineRule="auto"/>
        <w:jc w:val="center"/>
        <w:rPr>
          <w:rFonts w:eastAsia="宋体"/>
          <w:b/>
          <w:bCs/>
          <w:sz w:val="60"/>
          <w:szCs w:val="60"/>
        </w:rPr>
      </w:pPr>
    </w:p>
    <w:p>
      <w:pPr>
        <w:tabs>
          <w:tab w:val="left" w:pos="5609"/>
        </w:tabs>
        <w:spacing w:line="360" w:lineRule="auto"/>
        <w:ind w:left="2832" w:leftChars="444" w:hanging="1900" w:hangingChars="528"/>
        <w:jc w:val="left"/>
        <w:rPr>
          <w:rFonts w:eastAsia="宋体"/>
          <w:bCs/>
          <w:sz w:val="36"/>
          <w:szCs w:val="36"/>
        </w:rPr>
      </w:pPr>
      <w:r>
        <w:rPr>
          <w:rFonts w:eastAsia="宋体"/>
          <w:bCs/>
          <w:sz w:val="36"/>
          <w:szCs w:val="36"/>
        </w:rPr>
        <w:t>项目名称：</w:t>
      </w:r>
      <w:r>
        <w:rPr>
          <w:rFonts w:eastAsia="宋体"/>
          <w:bCs/>
          <w:sz w:val="36"/>
          <w:szCs w:val="36"/>
        </w:rPr>
        <w:tab/>
      </w:r>
      <w:r>
        <w:rPr>
          <w:rFonts w:hint="eastAsia" w:eastAsia="宋体"/>
          <w:bCs/>
          <w:sz w:val="36"/>
          <w:szCs w:val="36"/>
        </w:rPr>
        <w:t>延庆区政务云采购项目</w:t>
      </w:r>
      <w:r>
        <w:rPr>
          <w:rFonts w:hint="eastAsia" w:eastAsia="宋体"/>
          <w:bCs/>
          <w:sz w:val="36"/>
          <w:szCs w:val="36"/>
        </w:rPr>
        <w:tab/>
      </w:r>
    </w:p>
    <w:p>
      <w:pPr>
        <w:tabs>
          <w:tab w:val="left" w:pos="3240"/>
          <w:tab w:val="left" w:pos="3420"/>
        </w:tabs>
        <w:spacing w:line="360" w:lineRule="auto"/>
        <w:ind w:left="2832" w:leftChars="444" w:hanging="1900" w:hangingChars="528"/>
        <w:jc w:val="left"/>
        <w:rPr>
          <w:rFonts w:eastAsia="宋体"/>
          <w:bCs/>
          <w:sz w:val="36"/>
          <w:szCs w:val="36"/>
        </w:rPr>
      </w:pPr>
      <w:r>
        <w:rPr>
          <w:rFonts w:eastAsia="宋体"/>
          <w:bCs/>
          <w:sz w:val="36"/>
          <w:szCs w:val="36"/>
        </w:rPr>
        <w:t>项目编号/包号：</w:t>
      </w:r>
      <w:r>
        <w:rPr>
          <w:rFonts w:hint="eastAsia" w:eastAsia="宋体"/>
          <w:bCs/>
          <w:sz w:val="36"/>
          <w:szCs w:val="36"/>
        </w:rPr>
        <w:t>11011923210200005962-XM001</w:t>
      </w:r>
    </w:p>
    <w:p>
      <w:pPr>
        <w:tabs>
          <w:tab w:val="left" w:pos="3240"/>
          <w:tab w:val="left" w:pos="3420"/>
        </w:tabs>
        <w:spacing w:line="360" w:lineRule="auto"/>
        <w:ind w:left="2832" w:leftChars="444" w:hanging="1900" w:hangingChars="528"/>
        <w:jc w:val="left"/>
        <w:rPr>
          <w:rFonts w:eastAsia="宋体"/>
          <w:bCs/>
          <w:sz w:val="36"/>
          <w:szCs w:val="36"/>
        </w:rPr>
      </w:pPr>
      <w:r>
        <w:rPr>
          <w:rFonts w:eastAsia="宋体"/>
          <w:bCs/>
          <w:sz w:val="36"/>
          <w:szCs w:val="36"/>
        </w:rPr>
        <w:t>采 购 人：</w:t>
      </w:r>
      <w:r>
        <w:rPr>
          <w:rFonts w:hint="eastAsia" w:eastAsia="宋体"/>
          <w:bCs/>
          <w:sz w:val="36"/>
          <w:szCs w:val="36"/>
        </w:rPr>
        <w:t>北京市延庆区经济和信息化局</w:t>
      </w:r>
    </w:p>
    <w:p>
      <w:pPr>
        <w:tabs>
          <w:tab w:val="left" w:pos="3240"/>
          <w:tab w:val="left" w:pos="3420"/>
        </w:tabs>
        <w:spacing w:line="360" w:lineRule="auto"/>
        <w:ind w:left="2832" w:leftChars="444" w:hanging="1900" w:hangingChars="528"/>
        <w:jc w:val="left"/>
        <w:rPr>
          <w:rFonts w:eastAsia="宋体"/>
          <w:bCs/>
          <w:sz w:val="36"/>
          <w:szCs w:val="36"/>
        </w:rPr>
      </w:pPr>
      <w:r>
        <w:rPr>
          <w:rFonts w:eastAsia="宋体"/>
          <w:bCs/>
          <w:sz w:val="36"/>
          <w:szCs w:val="36"/>
        </w:rPr>
        <w:t xml:space="preserve">采购代理机构： </w:t>
      </w:r>
      <w:r>
        <w:rPr>
          <w:rFonts w:hint="eastAsia" w:eastAsia="宋体"/>
          <w:bCs/>
          <w:sz w:val="36"/>
          <w:szCs w:val="36"/>
        </w:rPr>
        <w:t>北京市延庆区政府采购中心</w:t>
      </w:r>
    </w:p>
    <w:p>
      <w:pPr>
        <w:widowControl/>
        <w:jc w:val="left"/>
        <w:rPr>
          <w:rFonts w:eastAsia="宋体"/>
        </w:rPr>
        <w:sectPr>
          <w:headerReference r:id="rId3" w:type="default"/>
          <w:type w:val="nextColumn"/>
          <w:pgSz w:w="11906" w:h="16838"/>
          <w:pgMar w:top="1418" w:right="1134" w:bottom="1418" w:left="1701" w:header="851" w:footer="992" w:gutter="0"/>
          <w:cols w:space="425" w:num="1"/>
          <w:docGrid w:linePitch="312" w:charSpace="0"/>
        </w:sectPr>
      </w:pPr>
    </w:p>
    <w:p>
      <w:pPr>
        <w:widowControl/>
        <w:jc w:val="left"/>
        <w:rPr>
          <w:rFonts w:eastAsia="宋体"/>
          <w:color w:val="000000"/>
          <w:kern w:val="0"/>
          <w:sz w:val="24"/>
        </w:rPr>
      </w:pPr>
    </w:p>
    <w:p>
      <w:pPr>
        <w:pStyle w:val="160"/>
        <w:spacing w:line="360" w:lineRule="auto"/>
        <w:rPr>
          <w:rFonts w:ascii="Times New Roman" w:hAnsi="Times New Roman" w:eastAsia="宋体" w:cs="Times New Roman"/>
        </w:rPr>
      </w:pPr>
    </w:p>
    <w:p>
      <w:pPr>
        <w:spacing w:line="360" w:lineRule="auto"/>
        <w:jc w:val="center"/>
        <w:outlineLvl w:val="0"/>
        <w:rPr>
          <w:rFonts w:eastAsia="宋体"/>
          <w:b/>
          <w:sz w:val="36"/>
          <w:szCs w:val="36"/>
        </w:rPr>
      </w:pPr>
      <w:r>
        <w:rPr>
          <w:rFonts w:eastAsia="宋体"/>
          <w:b/>
          <w:sz w:val="36"/>
          <w:szCs w:val="36"/>
        </w:rPr>
        <w:t>目      录</w:t>
      </w:r>
    </w:p>
    <w:p>
      <w:pPr>
        <w:rPr>
          <w:rFonts w:eastAsia="宋体"/>
        </w:rPr>
      </w:pPr>
    </w:p>
    <w:p>
      <w:pPr>
        <w:rPr>
          <w:rFonts w:eastAsia="宋体"/>
        </w:rPr>
      </w:pPr>
    </w:p>
    <w:p>
      <w:pPr>
        <w:rPr>
          <w:rFonts w:eastAsia="宋体"/>
        </w:rPr>
      </w:pPr>
    </w:p>
    <w:p>
      <w:pPr>
        <w:rPr>
          <w:rFonts w:eastAsia="宋体"/>
        </w:rPr>
      </w:pPr>
    </w:p>
    <w:p>
      <w:pPr>
        <w:pStyle w:val="32"/>
        <w:spacing w:line="360" w:lineRule="auto"/>
        <w:rPr>
          <w:rFonts w:ascii="Times New Roman" w:hAnsi="Times New Roman" w:eastAsia="宋体"/>
          <w:b w:val="0"/>
          <w:sz w:val="21"/>
          <w:szCs w:val="22"/>
        </w:rPr>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fldChar w:fldCharType="begin"/>
      </w:r>
      <w:r>
        <w:instrText xml:space="preserve"> HYPERLINK \l "_Toc97371941" </w:instrText>
      </w:r>
      <w:r>
        <w:fldChar w:fldCharType="separate"/>
      </w:r>
      <w:r>
        <w:rPr>
          <w:rStyle w:val="53"/>
          <w:rFonts w:ascii="Times New Roman" w:hAnsi="Times New Roman" w:eastAsia="宋体"/>
        </w:rPr>
        <w:t>第一章   采购邀请</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_Toc97371941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32"/>
        <w:spacing w:line="360" w:lineRule="auto"/>
        <w:rPr>
          <w:rFonts w:ascii="Times New Roman" w:hAnsi="Times New Roman" w:eastAsia="宋体"/>
          <w:b w:val="0"/>
          <w:sz w:val="21"/>
          <w:szCs w:val="22"/>
        </w:rPr>
      </w:pPr>
      <w:r>
        <w:fldChar w:fldCharType="begin"/>
      </w:r>
      <w:r>
        <w:instrText xml:space="preserve"> HYPERLINK \l "_Toc97371942" </w:instrText>
      </w:r>
      <w:r>
        <w:fldChar w:fldCharType="separate"/>
      </w:r>
      <w:r>
        <w:rPr>
          <w:rStyle w:val="53"/>
          <w:rFonts w:ascii="Times New Roman" w:hAnsi="Times New Roman" w:eastAsia="宋体"/>
        </w:rPr>
        <w:t>第二章   供应商须知</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_Toc97371942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ascii="Times New Roman" w:hAnsi="Times New Roman" w:eastAsia="宋体"/>
        </w:rPr>
        <w:fldChar w:fldCharType="end"/>
      </w:r>
    </w:p>
    <w:p>
      <w:pPr>
        <w:pStyle w:val="32"/>
        <w:spacing w:line="360" w:lineRule="auto"/>
        <w:rPr>
          <w:rFonts w:ascii="Times New Roman" w:hAnsi="Times New Roman" w:eastAsia="宋体"/>
          <w:b w:val="0"/>
          <w:sz w:val="21"/>
          <w:szCs w:val="22"/>
        </w:rPr>
      </w:pPr>
      <w:r>
        <w:fldChar w:fldCharType="begin"/>
      </w:r>
      <w:r>
        <w:instrText xml:space="preserve"> HYPERLINK \l "_Toc97371943" </w:instrText>
      </w:r>
      <w:r>
        <w:fldChar w:fldCharType="separate"/>
      </w:r>
      <w:r>
        <w:rPr>
          <w:rStyle w:val="53"/>
          <w:rFonts w:ascii="Times New Roman" w:hAnsi="Times New Roman" w:eastAsia="宋体"/>
        </w:rPr>
        <w:t>第三章   评审方法和评审标准</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_Toc97371943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32"/>
        <w:spacing w:line="360" w:lineRule="auto"/>
        <w:rPr>
          <w:rFonts w:ascii="Times New Roman" w:hAnsi="Times New Roman" w:eastAsia="宋体"/>
          <w:b w:val="0"/>
          <w:sz w:val="21"/>
          <w:szCs w:val="22"/>
        </w:rPr>
      </w:pPr>
      <w:r>
        <w:fldChar w:fldCharType="begin"/>
      </w:r>
      <w:r>
        <w:instrText xml:space="preserve"> HYPERLINK \l "_Toc97371945" </w:instrText>
      </w:r>
      <w:r>
        <w:fldChar w:fldCharType="separate"/>
      </w:r>
      <w:r>
        <w:rPr>
          <w:rStyle w:val="53"/>
          <w:rFonts w:ascii="Times New Roman" w:hAnsi="Times New Roman" w:eastAsia="宋体"/>
        </w:rPr>
        <w:t>第四章   采购需求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_Toc97371945 \h </w:instrText>
      </w:r>
      <w:r>
        <w:rPr>
          <w:rFonts w:ascii="Times New Roman" w:hAnsi="Times New Roman" w:eastAsia="宋体"/>
        </w:rPr>
        <w:fldChar w:fldCharType="separate"/>
      </w:r>
      <w:r>
        <w:rPr>
          <w:rFonts w:ascii="Times New Roman" w:hAnsi="Times New Roman" w:eastAsia="宋体"/>
        </w:rPr>
        <w:t>30</w:t>
      </w:r>
      <w:r>
        <w:rPr>
          <w:rFonts w:ascii="Times New Roman" w:hAnsi="Times New Roman" w:eastAsia="宋体"/>
        </w:rPr>
        <w:fldChar w:fldCharType="end"/>
      </w:r>
      <w:r>
        <w:rPr>
          <w:rFonts w:ascii="Times New Roman" w:hAnsi="Times New Roman" w:eastAsia="宋体"/>
        </w:rPr>
        <w:fldChar w:fldCharType="end"/>
      </w:r>
    </w:p>
    <w:p>
      <w:pPr>
        <w:pStyle w:val="32"/>
        <w:spacing w:line="360" w:lineRule="auto"/>
        <w:rPr>
          <w:rFonts w:ascii="Times New Roman" w:hAnsi="Times New Roman" w:eastAsia="宋体"/>
          <w:b w:val="0"/>
          <w:sz w:val="21"/>
          <w:szCs w:val="22"/>
        </w:rPr>
      </w:pPr>
      <w:r>
        <w:fldChar w:fldCharType="begin"/>
      </w:r>
      <w:r>
        <w:instrText xml:space="preserve"> HYPERLINK \l "_Toc97371946" </w:instrText>
      </w:r>
      <w:r>
        <w:fldChar w:fldCharType="separate"/>
      </w:r>
      <w:r>
        <w:rPr>
          <w:rStyle w:val="53"/>
          <w:rFonts w:ascii="Times New Roman" w:hAnsi="Times New Roman" w:eastAsia="宋体"/>
        </w:rPr>
        <w:t>第五章   合同草案条款</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_Toc97371946 \h </w:instrText>
      </w:r>
      <w:r>
        <w:rPr>
          <w:rFonts w:ascii="Times New Roman" w:hAnsi="Times New Roman" w:eastAsia="宋体"/>
        </w:rPr>
        <w:fldChar w:fldCharType="separate"/>
      </w:r>
      <w:r>
        <w:rPr>
          <w:rFonts w:ascii="Times New Roman" w:hAnsi="Times New Roman" w:eastAsia="宋体"/>
        </w:rPr>
        <w:t>43</w:t>
      </w:r>
      <w:r>
        <w:rPr>
          <w:rFonts w:ascii="Times New Roman" w:hAnsi="Times New Roman" w:eastAsia="宋体"/>
        </w:rPr>
        <w:fldChar w:fldCharType="end"/>
      </w:r>
      <w:r>
        <w:rPr>
          <w:rFonts w:ascii="Times New Roman" w:hAnsi="Times New Roman" w:eastAsia="宋体"/>
        </w:rPr>
        <w:fldChar w:fldCharType="end"/>
      </w:r>
    </w:p>
    <w:p>
      <w:pPr>
        <w:pStyle w:val="32"/>
        <w:spacing w:line="360" w:lineRule="auto"/>
        <w:rPr>
          <w:rFonts w:hint="eastAsia" w:ascii="Times New Roman" w:hAnsi="Times New Roman" w:eastAsia="宋体"/>
          <w:b w:val="0"/>
          <w:sz w:val="21"/>
          <w:szCs w:val="22"/>
          <w:lang w:val="en-US" w:eastAsia="zh-CN"/>
        </w:rPr>
      </w:pPr>
      <w:r>
        <w:fldChar w:fldCharType="begin"/>
      </w:r>
      <w:r>
        <w:instrText xml:space="preserve"> HYPERLINK \l "_Toc97371947" </w:instrText>
      </w:r>
      <w:r>
        <w:fldChar w:fldCharType="separate"/>
      </w:r>
      <w:r>
        <w:rPr>
          <w:rStyle w:val="53"/>
          <w:rFonts w:ascii="Times New Roman" w:hAnsi="Times New Roman" w:eastAsia="宋体"/>
        </w:rPr>
        <w:t>第六章   响应文件格式</w:t>
      </w:r>
      <w:r>
        <w:rPr>
          <w:rFonts w:ascii="Times New Roman" w:hAnsi="Times New Roman" w:eastAsia="宋体"/>
        </w:rPr>
        <w:tab/>
      </w:r>
      <w:r>
        <w:rPr>
          <w:rFonts w:hint="eastAsia" w:ascii="Times New Roman" w:hAnsi="Times New Roman" w:eastAsia="宋体"/>
          <w:lang w:val="en-US" w:eastAsia="zh-CN"/>
        </w:rPr>
        <w:t>5</w:t>
      </w:r>
      <w:r>
        <w:rPr>
          <w:rFonts w:ascii="Times New Roman" w:hAnsi="Times New Roman" w:eastAsia="宋体"/>
        </w:rPr>
        <w:fldChar w:fldCharType="end"/>
      </w:r>
      <w:r>
        <w:rPr>
          <w:rFonts w:hint="eastAsia" w:ascii="Times New Roman" w:hAnsi="Times New Roman" w:eastAsia="宋体"/>
          <w:lang w:val="en-US" w:eastAsia="zh-CN"/>
        </w:rPr>
        <w:t>9</w:t>
      </w:r>
    </w:p>
    <w:p>
      <w:pPr>
        <w:pStyle w:val="32"/>
        <w:spacing w:line="360" w:lineRule="auto"/>
        <w:rPr>
          <w:rFonts w:ascii="Times New Roman" w:hAnsi="Times New Roman" w:eastAsia="宋体"/>
          <w:b w:val="0"/>
        </w:rPr>
      </w:pPr>
      <w:r>
        <w:rPr>
          <w:rFonts w:ascii="Times New Roman" w:hAnsi="Times New Roman" w:eastAsia="宋体"/>
          <w:b w:val="0"/>
        </w:rPr>
        <w:fldChar w:fldCharType="end"/>
      </w:r>
    </w:p>
    <w:p>
      <w:pPr>
        <w:pStyle w:val="32"/>
        <w:spacing w:line="360" w:lineRule="auto"/>
        <w:rPr>
          <w:rFonts w:ascii="Times New Roman" w:hAnsi="Times New Roman" w:eastAsia="宋体"/>
          <w:b w:val="0"/>
          <w:sz w:val="36"/>
          <w:szCs w:val="36"/>
        </w:rPr>
      </w:pPr>
      <w:bookmarkStart w:id="0" w:name="_Toc97371941"/>
    </w:p>
    <w:p>
      <w:pPr>
        <w:spacing w:line="360" w:lineRule="auto"/>
        <w:jc w:val="center"/>
        <w:outlineLvl w:val="0"/>
        <w:rPr>
          <w:rFonts w:eastAsia="宋体"/>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bookmarkStart w:id="834" w:name="_GoBack"/>
      <w:bookmarkEnd w:id="834"/>
    </w:p>
    <w:p>
      <w:pPr>
        <w:spacing w:line="360" w:lineRule="auto"/>
        <w:jc w:val="center"/>
        <w:outlineLvl w:val="0"/>
        <w:rPr>
          <w:rFonts w:eastAsia="宋体"/>
          <w:b/>
          <w:sz w:val="36"/>
          <w:szCs w:val="36"/>
        </w:rPr>
      </w:pPr>
      <w:r>
        <w:rPr>
          <w:rFonts w:eastAsia="宋体"/>
          <w:b/>
          <w:sz w:val="36"/>
          <w:szCs w:val="36"/>
        </w:rPr>
        <w:t>第一章   采购邀请</w:t>
      </w:r>
      <w:bookmarkEnd w:id="0"/>
      <w:bookmarkStart w:id="1" w:name="_Toc35393621"/>
      <w:bookmarkStart w:id="2" w:name="_Toc35393790"/>
      <w:bookmarkStart w:id="3" w:name="_Toc28359002"/>
      <w:bookmarkStart w:id="4" w:name="_Toc28359079"/>
      <w:bookmarkStart w:id="5" w:name="_Hlk24379207"/>
    </w:p>
    <w:p>
      <w:pPr>
        <w:spacing w:line="360" w:lineRule="auto"/>
        <w:ind w:firstLine="480" w:firstLineChars="200"/>
        <w:rPr>
          <w:rFonts w:eastAsia="宋体"/>
          <w:sz w:val="24"/>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pPr>
        <w:spacing w:line="360" w:lineRule="auto"/>
        <w:ind w:firstLine="480" w:firstLineChars="200"/>
        <w:rPr>
          <w:rFonts w:eastAsia="宋体"/>
          <w:sz w:val="24"/>
        </w:rPr>
      </w:pPr>
      <w:r>
        <w:rPr>
          <w:rFonts w:eastAsia="宋体"/>
          <w:sz w:val="24"/>
        </w:rPr>
        <w:t>1.项目编号：</w:t>
      </w:r>
      <w:r>
        <w:rPr>
          <w:rFonts w:hint="eastAsia" w:eastAsia="宋体"/>
          <w:sz w:val="24"/>
        </w:rPr>
        <w:t>11011923210200005962-XM001</w:t>
      </w:r>
    </w:p>
    <w:p>
      <w:pPr>
        <w:spacing w:line="360" w:lineRule="auto"/>
        <w:ind w:firstLine="480" w:firstLineChars="200"/>
        <w:rPr>
          <w:rFonts w:eastAsia="宋体"/>
          <w:sz w:val="24"/>
        </w:rPr>
      </w:pPr>
      <w:r>
        <w:rPr>
          <w:rFonts w:eastAsia="宋体"/>
          <w:sz w:val="24"/>
        </w:rPr>
        <w:t>2.项目名称：</w:t>
      </w:r>
      <w:r>
        <w:rPr>
          <w:rFonts w:hint="eastAsia" w:eastAsia="宋体"/>
          <w:sz w:val="24"/>
        </w:rPr>
        <w:t>延庆区政务云采购项目</w:t>
      </w:r>
    </w:p>
    <w:p>
      <w:pPr>
        <w:spacing w:line="360" w:lineRule="auto"/>
        <w:ind w:firstLine="480" w:firstLineChars="200"/>
        <w:rPr>
          <w:rFonts w:eastAsia="宋体"/>
          <w:sz w:val="24"/>
        </w:rPr>
      </w:pPr>
      <w:r>
        <w:rPr>
          <w:rFonts w:eastAsia="宋体"/>
          <w:sz w:val="24"/>
        </w:rPr>
        <w:t>3.采购方式：竞争性磋商</w:t>
      </w:r>
    </w:p>
    <w:bookmarkEnd w:id="5"/>
    <w:p>
      <w:pPr>
        <w:spacing w:line="360" w:lineRule="auto"/>
        <w:ind w:firstLine="480" w:firstLineChars="200"/>
        <w:rPr>
          <w:rFonts w:eastAsia="宋体"/>
          <w:sz w:val="24"/>
        </w:rPr>
      </w:pPr>
      <w:r>
        <w:rPr>
          <w:rFonts w:eastAsia="宋体"/>
          <w:sz w:val="24"/>
        </w:rPr>
        <w:t>4.项目预算金额：</w:t>
      </w:r>
      <w:r>
        <w:rPr>
          <w:rFonts w:hint="eastAsia" w:eastAsia="宋体"/>
          <w:sz w:val="24"/>
        </w:rPr>
        <w:t>660</w:t>
      </w:r>
      <w:r>
        <w:rPr>
          <w:rFonts w:eastAsia="宋体"/>
          <w:sz w:val="24"/>
        </w:rPr>
        <w:t>万元</w:t>
      </w:r>
      <w:r>
        <w:rPr>
          <w:rFonts w:hint="eastAsia" w:eastAsia="宋体"/>
          <w:sz w:val="24"/>
        </w:rPr>
        <w:t>；</w:t>
      </w:r>
      <w:r>
        <w:rPr>
          <w:rFonts w:eastAsia="宋体"/>
          <w:sz w:val="24"/>
        </w:rPr>
        <w:t>项目最高限价：</w:t>
      </w:r>
      <w:r>
        <w:rPr>
          <w:rFonts w:hint="eastAsia" w:eastAsia="宋体"/>
          <w:sz w:val="24"/>
        </w:rPr>
        <w:t>660</w:t>
      </w:r>
      <w:r>
        <w:rPr>
          <w:rFonts w:eastAsia="宋体"/>
          <w:sz w:val="24"/>
        </w:rPr>
        <w:t>万元</w:t>
      </w:r>
      <w:r>
        <w:rPr>
          <w:rFonts w:hint="eastAsia" w:eastAsia="宋体"/>
          <w:sz w:val="24"/>
        </w:rPr>
        <w:t>；</w:t>
      </w:r>
    </w:p>
    <w:p>
      <w:pPr>
        <w:spacing w:line="360" w:lineRule="auto"/>
        <w:ind w:firstLine="480" w:firstLineChars="200"/>
        <w:rPr>
          <w:rFonts w:eastAsia="宋体"/>
          <w:sz w:val="24"/>
        </w:rPr>
      </w:pPr>
      <w:r>
        <w:rPr>
          <w:rFonts w:eastAsia="宋体"/>
          <w:sz w:val="24"/>
        </w:rPr>
        <w:t>5.采购需求：</w:t>
      </w:r>
    </w:p>
    <w:tbl>
      <w:tblPr>
        <w:tblStyle w:val="45"/>
        <w:tblW w:w="504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215"/>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 w:type="pct"/>
            <w:vAlign w:val="center"/>
          </w:tcPr>
          <w:p>
            <w:pPr>
              <w:spacing w:line="300" w:lineRule="exact"/>
              <w:jc w:val="center"/>
              <w:rPr>
                <w:rFonts w:eastAsia="宋体"/>
                <w:b/>
                <w:bCs/>
                <w:szCs w:val="21"/>
              </w:rPr>
            </w:pPr>
            <w:r>
              <w:rPr>
                <w:rFonts w:eastAsia="宋体"/>
                <w:b/>
                <w:bCs/>
                <w:szCs w:val="21"/>
              </w:rPr>
              <w:t>标的</w:t>
            </w:r>
          </w:p>
          <w:p>
            <w:pPr>
              <w:spacing w:line="300" w:lineRule="exact"/>
              <w:jc w:val="center"/>
              <w:rPr>
                <w:rFonts w:eastAsia="宋体"/>
                <w:b/>
                <w:bCs/>
                <w:szCs w:val="21"/>
              </w:rPr>
            </w:pPr>
            <w:r>
              <w:rPr>
                <w:rFonts w:eastAsia="宋体"/>
                <w:b/>
                <w:bCs/>
                <w:szCs w:val="21"/>
              </w:rPr>
              <w:t>名称</w:t>
            </w:r>
          </w:p>
        </w:tc>
        <w:tc>
          <w:tcPr>
            <w:tcW w:w="649" w:type="pct"/>
            <w:vAlign w:val="center"/>
          </w:tcPr>
          <w:p>
            <w:pPr>
              <w:spacing w:line="300" w:lineRule="exact"/>
              <w:jc w:val="center"/>
              <w:rPr>
                <w:rFonts w:eastAsia="宋体"/>
                <w:b/>
                <w:bCs/>
                <w:szCs w:val="21"/>
              </w:rPr>
            </w:pPr>
            <w:r>
              <w:rPr>
                <w:rFonts w:eastAsia="宋体"/>
                <w:b/>
                <w:bCs/>
                <w:szCs w:val="21"/>
              </w:rPr>
              <w:t>采购包预算金额</w:t>
            </w:r>
          </w:p>
          <w:p>
            <w:pPr>
              <w:spacing w:line="300" w:lineRule="exact"/>
              <w:jc w:val="center"/>
              <w:rPr>
                <w:rFonts w:eastAsia="宋体"/>
                <w:b/>
                <w:bCs/>
                <w:szCs w:val="21"/>
              </w:rPr>
            </w:pPr>
            <w:r>
              <w:rPr>
                <w:rFonts w:eastAsia="宋体"/>
                <w:b/>
                <w:bCs/>
                <w:szCs w:val="21"/>
              </w:rPr>
              <w:t>（万元）</w:t>
            </w:r>
          </w:p>
        </w:tc>
        <w:tc>
          <w:tcPr>
            <w:tcW w:w="3800" w:type="pct"/>
            <w:vAlign w:val="center"/>
          </w:tcPr>
          <w:p>
            <w:pPr>
              <w:spacing w:line="300" w:lineRule="exact"/>
              <w:jc w:val="center"/>
              <w:rPr>
                <w:rFonts w:eastAsia="宋体"/>
                <w:b/>
                <w:szCs w:val="21"/>
              </w:rPr>
            </w:pPr>
            <w:r>
              <w:rPr>
                <w:rFonts w:eastAsia="宋体"/>
                <w:b/>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 w:type="pct"/>
            <w:vAlign w:val="center"/>
          </w:tcPr>
          <w:p>
            <w:pPr>
              <w:spacing w:line="300" w:lineRule="exact"/>
              <w:jc w:val="center"/>
              <w:rPr>
                <w:rFonts w:eastAsia="宋体"/>
                <w:bCs/>
                <w:szCs w:val="21"/>
              </w:rPr>
            </w:pPr>
            <w:r>
              <w:rPr>
                <w:rFonts w:hint="eastAsia" w:eastAsia="宋体"/>
                <w:sz w:val="24"/>
              </w:rPr>
              <w:t>延庆区政务云采购项目</w:t>
            </w:r>
          </w:p>
        </w:tc>
        <w:tc>
          <w:tcPr>
            <w:tcW w:w="649" w:type="pct"/>
            <w:vAlign w:val="center"/>
          </w:tcPr>
          <w:p>
            <w:pPr>
              <w:spacing w:line="300" w:lineRule="exact"/>
              <w:jc w:val="center"/>
              <w:rPr>
                <w:rFonts w:eastAsia="宋体"/>
                <w:bCs/>
                <w:szCs w:val="21"/>
              </w:rPr>
            </w:pPr>
            <w:r>
              <w:rPr>
                <w:rFonts w:hint="eastAsia" w:eastAsia="宋体"/>
                <w:bCs/>
                <w:szCs w:val="21"/>
              </w:rPr>
              <w:t>660</w:t>
            </w:r>
          </w:p>
        </w:tc>
        <w:tc>
          <w:tcPr>
            <w:tcW w:w="3800" w:type="pct"/>
            <w:vAlign w:val="center"/>
          </w:tcPr>
          <w:p>
            <w:pPr>
              <w:spacing w:line="400" w:lineRule="exact"/>
              <w:ind w:firstLine="480" w:firstLineChars="200"/>
              <w:contextualSpacing/>
              <w:rPr>
                <w:rFonts w:eastAsia="宋体"/>
                <w:sz w:val="24"/>
              </w:rPr>
            </w:pPr>
            <w:r>
              <w:rPr>
                <w:rFonts w:hint="eastAsia" w:eastAsia="宋体"/>
                <w:sz w:val="24"/>
              </w:rPr>
              <w:t>延庆区国产化政务云平台需求分为政务外网区、互联网区，为满足延庆区的自主可控云基础设施需求，参照北京市政务云模式通过购买云服务的方式，打造自主可控的国产政务云基础设施，为延庆区各类政务应用提供具备云计算、支撑服务能力的国产政务云环境，满足延庆区各单位信息化系统上云需求，提升政务公共服务能力。</w:t>
            </w:r>
            <w:r>
              <w:rPr>
                <w:rFonts w:hint="eastAsia" w:ascii="宋体" w:hAnsi="宋体" w:cs="宋体"/>
                <w:b w:val="0"/>
                <w:bCs w:val="0"/>
                <w:sz w:val="24"/>
              </w:rPr>
              <w:t>所有资源服务项均需具备国产化能力</w:t>
            </w:r>
            <w:r>
              <w:rPr>
                <w:rFonts w:hint="eastAsia" w:ascii="宋体" w:hAnsi="宋体" w:cs="宋体"/>
                <w:b w:val="0"/>
                <w:bCs w:val="0"/>
                <w:sz w:val="24"/>
                <w:lang w:eastAsia="zh-CN"/>
              </w:rPr>
              <w:t>。</w:t>
            </w:r>
          </w:p>
        </w:tc>
      </w:tr>
    </w:tbl>
    <w:p>
      <w:pPr>
        <w:spacing w:line="360" w:lineRule="auto"/>
        <w:ind w:firstLine="480" w:firstLineChars="200"/>
        <w:rPr>
          <w:rFonts w:eastAsia="宋体"/>
          <w:sz w:val="24"/>
          <w:u w:val="single"/>
        </w:rPr>
      </w:pPr>
      <w:r>
        <w:rPr>
          <w:rFonts w:eastAsia="宋体"/>
          <w:sz w:val="24"/>
        </w:rPr>
        <w:t>6.合同履行期限：</w:t>
      </w:r>
      <w:r>
        <w:rPr>
          <w:rFonts w:hint="eastAsia" w:eastAsia="宋体"/>
          <w:sz w:val="24"/>
        </w:rPr>
        <w:t xml:space="preserve"> </w:t>
      </w:r>
      <w:r>
        <w:rPr>
          <w:rFonts w:hint="eastAsia" w:eastAsia="宋体"/>
          <w:sz w:val="24"/>
          <w:u w:val="single"/>
        </w:rPr>
        <w:t>12个月</w:t>
      </w:r>
      <w:r>
        <w:rPr>
          <w:rFonts w:eastAsia="宋体"/>
          <w:sz w:val="24"/>
          <w:u w:val="single"/>
        </w:rPr>
        <w:t xml:space="preserve"> </w:t>
      </w:r>
      <w:r>
        <w:rPr>
          <w:rFonts w:hint="eastAsia" w:eastAsia="宋体"/>
          <w:sz w:val="24"/>
          <w:u w:val="single"/>
        </w:rPr>
        <w:t xml:space="preserve"> </w:t>
      </w:r>
      <w:r>
        <w:rPr>
          <w:rFonts w:eastAsia="宋体"/>
          <w:sz w:val="24"/>
        </w:rPr>
        <w:t xml:space="preserve"> </w:t>
      </w:r>
    </w:p>
    <w:p>
      <w:pPr>
        <w:spacing w:line="360" w:lineRule="auto"/>
        <w:ind w:firstLine="480" w:firstLineChars="200"/>
        <w:rPr>
          <w:rFonts w:eastAsia="宋体"/>
          <w:sz w:val="24"/>
        </w:rPr>
      </w:pPr>
      <w:r>
        <w:rPr>
          <w:rFonts w:eastAsia="宋体"/>
          <w:sz w:val="24"/>
        </w:rPr>
        <w:t>7.本项目是否接受联合体：</w:t>
      </w:r>
      <w:r>
        <w:rPr>
          <w:rFonts w:eastAsia="宋体"/>
        </w:rPr>
        <w:t>□</w:t>
      </w:r>
      <w:r>
        <w:rPr>
          <w:rFonts w:eastAsia="宋体"/>
          <w:sz w:val="24"/>
        </w:rPr>
        <w:t xml:space="preserve">是 </w:t>
      </w:r>
      <w:r>
        <w:rPr>
          <w:sz w:val="32"/>
          <w:szCs w:val="32"/>
        </w:rPr>
        <w:t>■</w:t>
      </w:r>
      <w:r>
        <w:rPr>
          <w:rFonts w:eastAsia="宋体"/>
          <w:sz w:val="24"/>
        </w:rPr>
        <w:t>否。</w:t>
      </w:r>
    </w:p>
    <w:p>
      <w:pPr>
        <w:pStyle w:val="4"/>
        <w:spacing w:before="0" w:line="360" w:lineRule="auto"/>
        <w:jc w:val="left"/>
        <w:rPr>
          <w:rFonts w:ascii="Times New Roman" w:hAnsi="Times New Roman" w:eastAsia="宋体"/>
          <w:sz w:val="24"/>
          <w:szCs w:val="24"/>
        </w:rPr>
      </w:pPr>
      <w:bookmarkStart w:id="6" w:name="_Toc28359080"/>
      <w:bookmarkStart w:id="7" w:name="_Toc35393622"/>
      <w:bookmarkStart w:id="8" w:name="_Toc28359003"/>
      <w:bookmarkStart w:id="9" w:name="_Toc35393791"/>
      <w:r>
        <w:rPr>
          <w:rFonts w:ascii="Times New Roman" w:hAnsi="Times New Roman" w:eastAsia="宋体"/>
          <w:sz w:val="24"/>
          <w:szCs w:val="24"/>
        </w:rPr>
        <w:t>二、申请人的资格要求（须同时满足）</w:t>
      </w:r>
      <w:bookmarkEnd w:id="6"/>
      <w:bookmarkEnd w:id="7"/>
      <w:bookmarkEnd w:id="8"/>
      <w:bookmarkEnd w:id="9"/>
    </w:p>
    <w:p>
      <w:pPr>
        <w:spacing w:line="360" w:lineRule="auto"/>
        <w:ind w:firstLine="480" w:firstLineChars="200"/>
        <w:rPr>
          <w:rFonts w:eastAsia="宋体"/>
          <w:sz w:val="24"/>
        </w:rPr>
      </w:pPr>
      <w:r>
        <w:rPr>
          <w:rFonts w:eastAsia="宋体"/>
          <w:sz w:val="24"/>
        </w:rPr>
        <w:t>1.满足《中华人民共和国政府采购法》第二十二条规定；</w:t>
      </w:r>
    </w:p>
    <w:p>
      <w:pPr>
        <w:spacing w:line="360" w:lineRule="auto"/>
        <w:ind w:firstLine="480" w:firstLineChars="200"/>
        <w:rPr>
          <w:rFonts w:eastAsia="宋体"/>
          <w:sz w:val="24"/>
        </w:rPr>
      </w:pPr>
      <w:bookmarkStart w:id="10" w:name="_Toc28359004"/>
      <w:bookmarkStart w:id="11" w:name="_Toc28359081"/>
      <w:r>
        <w:rPr>
          <w:rFonts w:eastAsia="宋体"/>
          <w:sz w:val="24"/>
        </w:rPr>
        <w:t>2.落实政府采购政策需满足的资格要求：</w:t>
      </w:r>
    </w:p>
    <w:p>
      <w:pPr>
        <w:spacing w:line="360" w:lineRule="auto"/>
        <w:ind w:firstLine="480" w:firstLineChars="200"/>
        <w:rPr>
          <w:rFonts w:eastAsia="宋体"/>
          <w:sz w:val="24"/>
        </w:rPr>
      </w:pPr>
      <w:r>
        <w:rPr>
          <w:rFonts w:eastAsia="宋体"/>
          <w:sz w:val="24"/>
        </w:rPr>
        <w:t>2.1 中小企业政策</w:t>
      </w:r>
    </w:p>
    <w:p>
      <w:pPr>
        <w:spacing w:line="360" w:lineRule="auto"/>
        <w:ind w:firstLine="320" w:firstLineChars="100"/>
        <w:rPr>
          <w:rFonts w:eastAsia="宋体"/>
          <w:sz w:val="24"/>
        </w:rPr>
      </w:pPr>
      <w:r>
        <w:rPr>
          <w:rFonts w:hint="eastAsia"/>
          <w:sz w:val="32"/>
          <w:szCs w:val="32"/>
        </w:rPr>
        <w:t xml:space="preserve"> </w:t>
      </w:r>
      <w:r>
        <w:rPr>
          <w:sz w:val="32"/>
          <w:szCs w:val="32"/>
        </w:rPr>
        <w:t>■</w:t>
      </w:r>
      <w:r>
        <w:rPr>
          <w:rFonts w:eastAsia="宋体"/>
          <w:sz w:val="24"/>
        </w:rPr>
        <w:t>本项目不专门面向中小企业预留采购份额。</w:t>
      </w:r>
    </w:p>
    <w:p>
      <w:pPr>
        <w:spacing w:line="360" w:lineRule="auto"/>
        <w:ind w:firstLine="420" w:firstLineChars="200"/>
        <w:rPr>
          <w:rFonts w:eastAsia="宋体"/>
          <w:sz w:val="24"/>
        </w:rPr>
      </w:pPr>
      <w:r>
        <w:rPr>
          <w:rFonts w:eastAsia="宋体"/>
        </w:rPr>
        <w:t>□</w:t>
      </w:r>
      <w:r>
        <w:rPr>
          <w:rFonts w:eastAsia="宋体"/>
          <w:sz w:val="24"/>
        </w:rPr>
        <w:t xml:space="preserve">本项目专门面向  </w:t>
      </w:r>
      <w:r>
        <w:rPr>
          <w:rFonts w:eastAsia="宋体"/>
        </w:rPr>
        <w:t>□</w:t>
      </w:r>
      <w:r>
        <w:rPr>
          <w:rFonts w:eastAsia="宋体"/>
          <w:sz w:val="24"/>
        </w:rPr>
        <w:t xml:space="preserve">中小 </w:t>
      </w:r>
      <w:r>
        <w:rPr>
          <w:rFonts w:eastAsia="宋体"/>
        </w:rPr>
        <w:t>□</w:t>
      </w:r>
      <w:r>
        <w:rPr>
          <w:rFonts w:eastAsia="宋体"/>
          <w:sz w:val="24"/>
        </w:rPr>
        <w:t>小微企业  采购。即：提供的货物全部由符合政策要求的中小/小微企业制造、服务全部由符合政策要求的中小/小微企业承接。</w:t>
      </w:r>
    </w:p>
    <w:p>
      <w:pPr>
        <w:spacing w:line="360" w:lineRule="auto"/>
        <w:ind w:firstLine="420" w:firstLineChars="200"/>
        <w:rPr>
          <w:rFonts w:eastAsia="宋体"/>
          <w:sz w:val="24"/>
        </w:rPr>
      </w:pPr>
      <w:r>
        <w:rPr>
          <w:rFonts w:eastAsia="宋体"/>
        </w:rPr>
        <w:t>□</w:t>
      </w:r>
      <w:r>
        <w:rPr>
          <w:rFonts w:eastAsia="宋体"/>
          <w:sz w:val="24"/>
        </w:rPr>
        <w:t>本项目预留部分采购项目预算专门面向中小企业采购。对于预留份额，提供的货物由符合政策要求的中小企业制造、服务由符合政策要求的中小企业承接。预留份额通过以下措施进行：___________。</w:t>
      </w:r>
    </w:p>
    <w:p>
      <w:pPr>
        <w:spacing w:line="360" w:lineRule="auto"/>
        <w:ind w:firstLine="480" w:firstLineChars="200"/>
        <w:rPr>
          <w:rFonts w:eastAsia="宋体"/>
          <w:sz w:val="24"/>
        </w:rPr>
      </w:pPr>
      <w:r>
        <w:rPr>
          <w:rFonts w:eastAsia="宋体"/>
          <w:sz w:val="24"/>
        </w:rPr>
        <w:t>2.2 其它落实政府采购政策的资格要求（如有）：</w:t>
      </w:r>
      <w:r>
        <w:rPr>
          <w:rFonts w:hint="eastAsia" w:eastAsia="宋体"/>
          <w:sz w:val="24"/>
        </w:rPr>
        <w:t>无</w:t>
      </w:r>
      <w:r>
        <w:rPr>
          <w:rFonts w:eastAsia="宋体"/>
          <w:sz w:val="24"/>
        </w:rPr>
        <w:t>。</w:t>
      </w:r>
    </w:p>
    <w:p>
      <w:pPr>
        <w:spacing w:line="360" w:lineRule="auto"/>
        <w:ind w:firstLine="480" w:firstLineChars="200"/>
        <w:rPr>
          <w:rFonts w:eastAsia="宋体"/>
          <w:color w:val="FF0000"/>
          <w:sz w:val="24"/>
        </w:rPr>
      </w:pPr>
      <w:r>
        <w:rPr>
          <w:rFonts w:eastAsia="宋体"/>
          <w:sz w:val="24"/>
        </w:rPr>
        <w:t>3.本项目的特定资格要求：</w:t>
      </w:r>
      <w:r>
        <w:rPr>
          <w:rFonts w:hint="eastAsia" w:eastAsia="宋体"/>
          <w:sz w:val="24"/>
        </w:rPr>
        <w:t>无。</w:t>
      </w:r>
    </w:p>
    <w:p>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否</w:t>
      </w:r>
    </w:p>
    <w:p>
      <w:pPr>
        <w:tabs>
          <w:tab w:val="left" w:pos="900"/>
          <w:tab w:val="left" w:pos="1134"/>
          <w:tab w:val="left" w:pos="1589"/>
          <w:tab w:val="left" w:pos="5521"/>
        </w:tabs>
        <w:snapToGrid w:val="0"/>
        <w:spacing w:line="360" w:lineRule="auto"/>
        <w:ind w:left="991" w:leftChars="472" w:firstLine="2"/>
        <w:rPr>
          <w:rFonts w:eastAsia="宋体"/>
          <w:sz w:val="24"/>
        </w:rPr>
      </w:pPr>
      <w:r>
        <w:rPr>
          <w:sz w:val="32"/>
          <w:szCs w:val="32"/>
        </w:rPr>
        <w:t>■</w:t>
      </w:r>
      <w:r>
        <w:rPr>
          <w:rFonts w:eastAsia="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3.2其他特定资格要求：</w:t>
      </w:r>
      <w:r>
        <w:rPr>
          <w:rFonts w:hint="eastAsia" w:eastAsia="宋体"/>
          <w:sz w:val="24"/>
        </w:rPr>
        <w:t>无。</w:t>
      </w:r>
    </w:p>
    <w:bookmarkEnd w:id="10"/>
    <w:bookmarkEnd w:id="11"/>
    <w:p>
      <w:pPr>
        <w:pStyle w:val="4"/>
        <w:widowControl/>
        <w:spacing w:before="0" w:line="360" w:lineRule="auto"/>
        <w:jc w:val="left"/>
        <w:rPr>
          <w:rFonts w:ascii="Times New Roman" w:hAnsi="Times New Roman" w:eastAsia="宋体"/>
          <w:sz w:val="24"/>
          <w:szCs w:val="24"/>
        </w:rPr>
      </w:pPr>
      <w:bookmarkStart w:id="12" w:name="_Toc35393623"/>
      <w:bookmarkStart w:id="13" w:name="_Toc35393792"/>
      <w:r>
        <w:rPr>
          <w:rFonts w:ascii="Times New Roman" w:hAnsi="Times New Roman" w:eastAsia="宋体"/>
          <w:sz w:val="24"/>
          <w:szCs w:val="24"/>
        </w:rPr>
        <w:t>三、获取采购文件</w:t>
      </w:r>
      <w:bookmarkEnd w:id="12"/>
      <w:bookmarkEnd w:id="13"/>
    </w:p>
    <w:p>
      <w:pPr>
        <w:adjustRightInd w:val="0"/>
        <w:snapToGrid w:val="0"/>
        <w:spacing w:line="360" w:lineRule="auto"/>
        <w:ind w:firstLine="480" w:firstLineChars="200"/>
        <w:rPr>
          <w:rFonts w:eastAsia="宋体"/>
          <w:sz w:val="24"/>
        </w:rPr>
      </w:pPr>
      <w:r>
        <w:rPr>
          <w:rFonts w:eastAsia="宋体"/>
          <w:sz w:val="24"/>
        </w:rPr>
        <w:t>1.时间：</w:t>
      </w:r>
      <w:r>
        <w:rPr>
          <w:rFonts w:hint="eastAsia" w:eastAsia="宋体"/>
          <w:sz w:val="24"/>
        </w:rPr>
        <w:t>2023</w:t>
      </w:r>
      <w:r>
        <w:rPr>
          <w:rFonts w:eastAsia="宋体"/>
          <w:sz w:val="24"/>
        </w:rPr>
        <w:t>年</w:t>
      </w:r>
      <w:r>
        <w:rPr>
          <w:rFonts w:hint="eastAsia" w:eastAsia="宋体"/>
          <w:sz w:val="24"/>
        </w:rPr>
        <w:t>10</w:t>
      </w:r>
      <w:r>
        <w:rPr>
          <w:rFonts w:eastAsia="宋体"/>
          <w:sz w:val="24"/>
        </w:rPr>
        <w:t>月</w:t>
      </w:r>
      <w:r>
        <w:rPr>
          <w:rFonts w:hint="eastAsia" w:eastAsia="宋体"/>
          <w:sz w:val="24"/>
        </w:rPr>
        <w:t>23</w:t>
      </w:r>
      <w:r>
        <w:rPr>
          <w:rFonts w:eastAsia="宋体"/>
          <w:sz w:val="24"/>
        </w:rPr>
        <w:t>日至</w:t>
      </w:r>
      <w:r>
        <w:rPr>
          <w:rFonts w:hint="eastAsia" w:eastAsia="宋体"/>
          <w:sz w:val="24"/>
        </w:rPr>
        <w:t>2023</w:t>
      </w:r>
      <w:r>
        <w:rPr>
          <w:rFonts w:eastAsia="宋体"/>
          <w:sz w:val="24"/>
        </w:rPr>
        <w:t>年</w:t>
      </w:r>
      <w:r>
        <w:rPr>
          <w:rFonts w:hint="eastAsia" w:eastAsia="宋体"/>
          <w:sz w:val="24"/>
        </w:rPr>
        <w:t>10</w:t>
      </w:r>
      <w:r>
        <w:rPr>
          <w:rFonts w:eastAsia="宋体"/>
          <w:sz w:val="24"/>
        </w:rPr>
        <w:t>月</w:t>
      </w:r>
      <w:r>
        <w:rPr>
          <w:rFonts w:hint="eastAsia" w:eastAsia="宋体"/>
          <w:sz w:val="24"/>
        </w:rPr>
        <w:t>27</w:t>
      </w:r>
      <w:r>
        <w:rPr>
          <w:rFonts w:eastAsia="宋体"/>
          <w:sz w:val="24"/>
        </w:rPr>
        <w:t>日，每天上午</w:t>
      </w:r>
      <w:r>
        <w:rPr>
          <w:rFonts w:hint="eastAsia" w:eastAsia="宋体"/>
          <w:sz w:val="24"/>
        </w:rPr>
        <w:t>9:00</w:t>
      </w:r>
      <w:r>
        <w:rPr>
          <w:rFonts w:eastAsia="宋体"/>
          <w:sz w:val="24"/>
        </w:rPr>
        <w:t>至</w:t>
      </w:r>
      <w:r>
        <w:rPr>
          <w:rFonts w:hint="eastAsia" w:eastAsia="宋体"/>
          <w:sz w:val="24"/>
        </w:rPr>
        <w:t>12:00</w:t>
      </w:r>
      <w:r>
        <w:rPr>
          <w:rFonts w:eastAsia="宋体"/>
          <w:sz w:val="24"/>
        </w:rPr>
        <w:t>，下午</w:t>
      </w:r>
      <w:r>
        <w:rPr>
          <w:rFonts w:hint="eastAsia" w:eastAsia="宋体"/>
          <w:sz w:val="24"/>
        </w:rPr>
        <w:t>13:30</w:t>
      </w:r>
      <w:r>
        <w:rPr>
          <w:rFonts w:eastAsia="宋体"/>
          <w:sz w:val="24"/>
        </w:rPr>
        <w:t>至</w:t>
      </w:r>
      <w:r>
        <w:rPr>
          <w:rFonts w:hint="eastAsia" w:eastAsia="宋体"/>
          <w:sz w:val="24"/>
        </w:rPr>
        <w:t>17:30</w:t>
      </w:r>
      <w:r>
        <w:rPr>
          <w:rFonts w:eastAsia="宋体"/>
          <w:sz w:val="24"/>
        </w:rPr>
        <w:t>（北京时间，法定节假日除外）。</w:t>
      </w:r>
    </w:p>
    <w:p>
      <w:pPr>
        <w:adjustRightInd w:val="0"/>
        <w:snapToGrid w:val="0"/>
        <w:spacing w:line="360" w:lineRule="auto"/>
        <w:ind w:firstLine="480" w:firstLineChars="200"/>
        <w:rPr>
          <w:rFonts w:eastAsia="宋体"/>
          <w:sz w:val="24"/>
        </w:rPr>
      </w:pPr>
      <w:r>
        <w:rPr>
          <w:rFonts w:eastAsia="宋体"/>
          <w:sz w:val="24"/>
        </w:rPr>
        <w:t>2.地点：</w:t>
      </w:r>
      <w:r>
        <w:rPr>
          <w:sz w:val="24"/>
        </w:rPr>
        <w:t>北京市公共资源交易服务延庆区分平台</w:t>
      </w:r>
    </w:p>
    <w:p>
      <w:pPr>
        <w:widowControl/>
        <w:adjustRightInd w:val="0"/>
        <w:snapToGrid w:val="0"/>
        <w:spacing w:line="360" w:lineRule="auto"/>
        <w:ind w:firstLine="480" w:firstLineChars="200"/>
        <w:jc w:val="left"/>
        <w:rPr>
          <w:rFonts w:eastAsia="宋体"/>
          <w:sz w:val="24"/>
        </w:rPr>
      </w:pPr>
      <w:r>
        <w:rPr>
          <w:rFonts w:eastAsia="宋体"/>
          <w:sz w:val="24"/>
        </w:rPr>
        <w:t>3.方式：</w:t>
      </w:r>
      <w:r>
        <w:rPr>
          <w:sz w:val="24"/>
        </w:rPr>
        <w:t>供应商</w:t>
      </w:r>
      <w:r>
        <w:rPr>
          <w:rFonts w:hint="eastAsia"/>
          <w:sz w:val="24"/>
        </w:rPr>
        <w:t>登陆</w:t>
      </w:r>
      <w:r>
        <w:rPr>
          <w:sz w:val="24"/>
        </w:rPr>
        <w:t>北京市公共资源交易服务延庆区分平台</w:t>
      </w:r>
      <w:r>
        <w:rPr>
          <w:rFonts w:ascii="宋体" w:hAnsi="宋体" w:cs="宋体"/>
          <w:sz w:val="24"/>
        </w:rPr>
        <w:t>http://ggzy.bjyq.gov.cn:81/yqggzy/</w:t>
      </w:r>
      <w:r>
        <w:rPr>
          <w:sz w:val="24"/>
        </w:rPr>
        <w:t>完成注册</w:t>
      </w:r>
      <w:r>
        <w:rPr>
          <w:rFonts w:hint="eastAsia"/>
          <w:sz w:val="24"/>
        </w:rPr>
        <w:t>，</w:t>
      </w:r>
      <w:r>
        <w:rPr>
          <w:sz w:val="24"/>
        </w:rPr>
        <w:t>关注</w:t>
      </w:r>
      <w:r>
        <w:rPr>
          <w:rFonts w:hint="eastAsia"/>
          <w:sz w:val="24"/>
        </w:rPr>
        <w:t>项目</w:t>
      </w:r>
      <w:r>
        <w:rPr>
          <w:sz w:val="24"/>
        </w:rPr>
        <w:t>，获取电子版</w:t>
      </w:r>
      <w:r>
        <w:rPr>
          <w:rFonts w:hint="eastAsia"/>
          <w:sz w:val="24"/>
        </w:rPr>
        <w:t>竞争性磋商文件。</w:t>
      </w:r>
    </w:p>
    <w:p>
      <w:pPr>
        <w:widowControl/>
        <w:adjustRightInd w:val="0"/>
        <w:snapToGrid w:val="0"/>
        <w:spacing w:line="360" w:lineRule="auto"/>
        <w:ind w:firstLine="480" w:firstLineChars="200"/>
        <w:jc w:val="left"/>
        <w:rPr>
          <w:rFonts w:eastAsia="宋体"/>
          <w:sz w:val="24"/>
        </w:rPr>
      </w:pPr>
      <w:r>
        <w:rPr>
          <w:rFonts w:eastAsia="宋体"/>
          <w:sz w:val="24"/>
        </w:rPr>
        <w:t>4.售价：0元。</w:t>
      </w:r>
    </w:p>
    <w:p>
      <w:pPr>
        <w:pStyle w:val="4"/>
        <w:widowControl/>
        <w:spacing w:before="0" w:line="360" w:lineRule="auto"/>
        <w:jc w:val="left"/>
        <w:rPr>
          <w:rFonts w:ascii="Times New Roman" w:hAnsi="Times New Roman" w:eastAsia="宋体"/>
          <w:sz w:val="24"/>
          <w:szCs w:val="24"/>
        </w:rPr>
      </w:pPr>
      <w:bookmarkStart w:id="14" w:name="_Toc28359005"/>
      <w:bookmarkStart w:id="15" w:name="_Toc35393793"/>
      <w:bookmarkStart w:id="16" w:name="_Toc35393624"/>
      <w:bookmarkStart w:id="17" w:name="_Toc28359082"/>
      <w:r>
        <w:rPr>
          <w:rFonts w:ascii="Times New Roman" w:hAnsi="Times New Roman" w:eastAsia="宋体"/>
          <w:sz w:val="24"/>
          <w:szCs w:val="24"/>
        </w:rPr>
        <w:t>四、</w:t>
      </w:r>
      <w:bookmarkEnd w:id="14"/>
      <w:bookmarkEnd w:id="15"/>
      <w:bookmarkEnd w:id="16"/>
      <w:bookmarkEnd w:id="17"/>
      <w:r>
        <w:rPr>
          <w:rFonts w:ascii="Times New Roman" w:hAnsi="Times New Roman" w:eastAsia="宋体"/>
          <w:sz w:val="24"/>
          <w:szCs w:val="24"/>
        </w:rPr>
        <w:t>响应文件提交</w:t>
      </w:r>
    </w:p>
    <w:p>
      <w:pPr>
        <w:spacing w:line="360" w:lineRule="auto"/>
        <w:ind w:firstLine="480" w:firstLineChars="200"/>
        <w:rPr>
          <w:rFonts w:eastAsia="宋体"/>
          <w:bCs/>
          <w:sz w:val="24"/>
          <w:u w:val="single"/>
        </w:rPr>
      </w:pPr>
      <w:r>
        <w:rPr>
          <w:rFonts w:eastAsia="宋体"/>
          <w:sz w:val="24"/>
        </w:rPr>
        <w:t>截止时间：</w:t>
      </w:r>
      <w:r>
        <w:rPr>
          <w:rFonts w:hint="eastAsia" w:eastAsia="宋体"/>
          <w:sz w:val="24"/>
        </w:rPr>
        <w:t>2023</w:t>
      </w:r>
      <w:r>
        <w:rPr>
          <w:rFonts w:eastAsia="宋体"/>
          <w:sz w:val="24"/>
        </w:rPr>
        <w:t>年</w:t>
      </w:r>
      <w:r>
        <w:rPr>
          <w:rFonts w:hint="eastAsia" w:eastAsia="宋体"/>
          <w:sz w:val="24"/>
        </w:rPr>
        <w:t>11</w:t>
      </w:r>
      <w:r>
        <w:rPr>
          <w:rFonts w:eastAsia="宋体"/>
          <w:sz w:val="24"/>
        </w:rPr>
        <w:t>月</w:t>
      </w:r>
      <w:r>
        <w:rPr>
          <w:rFonts w:hint="eastAsia" w:eastAsia="宋体"/>
          <w:sz w:val="24"/>
        </w:rPr>
        <w:t>3</w:t>
      </w:r>
      <w:r>
        <w:rPr>
          <w:rFonts w:eastAsia="宋体"/>
          <w:sz w:val="24"/>
        </w:rPr>
        <w:t>日</w:t>
      </w:r>
      <w:r>
        <w:rPr>
          <w:rFonts w:hint="eastAsia" w:eastAsia="宋体"/>
          <w:sz w:val="24"/>
        </w:rPr>
        <w:t>9</w:t>
      </w:r>
      <w:r>
        <w:rPr>
          <w:rFonts w:eastAsia="宋体"/>
          <w:sz w:val="24"/>
        </w:rPr>
        <w:t>点</w:t>
      </w:r>
      <w:r>
        <w:rPr>
          <w:rFonts w:hint="eastAsia" w:eastAsia="宋体"/>
          <w:sz w:val="24"/>
        </w:rPr>
        <w:t>00</w:t>
      </w:r>
      <w:r>
        <w:rPr>
          <w:rFonts w:eastAsia="宋体"/>
          <w:sz w:val="24"/>
        </w:rPr>
        <w:t>分</w:t>
      </w:r>
      <w:r>
        <w:rPr>
          <w:rFonts w:eastAsia="宋体"/>
          <w:bCs/>
          <w:sz w:val="24"/>
        </w:rPr>
        <w:t>（北京时间）</w:t>
      </w:r>
      <w:r>
        <w:rPr>
          <w:rFonts w:eastAsia="宋体"/>
          <w:iCs/>
          <w:sz w:val="24"/>
        </w:rPr>
        <w:t>。</w:t>
      </w:r>
    </w:p>
    <w:p>
      <w:pPr>
        <w:spacing w:line="360" w:lineRule="auto"/>
        <w:ind w:firstLine="480" w:firstLineChars="200"/>
        <w:rPr>
          <w:bCs/>
          <w:sz w:val="24"/>
          <w:u w:val="single"/>
        </w:rPr>
      </w:pPr>
      <w:r>
        <w:rPr>
          <w:rFonts w:eastAsia="宋体"/>
          <w:sz w:val="24"/>
        </w:rPr>
        <w:t>地点：</w:t>
      </w:r>
      <w:r>
        <w:rPr>
          <w:rFonts w:hint="eastAsia"/>
          <w:sz w:val="24"/>
        </w:rPr>
        <w:t xml:space="preserve">北京市延庆区庆园街60号六层公共资源交易中心 </w:t>
      </w: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rFonts w:eastAsia="宋体"/>
          <w:bCs/>
          <w:sz w:val="24"/>
          <w:u w:val="single"/>
        </w:rPr>
      </w:pPr>
      <w:r>
        <w:rPr>
          <w:rFonts w:eastAsia="宋体"/>
          <w:sz w:val="24"/>
        </w:rPr>
        <w:t>时间：</w:t>
      </w:r>
      <w:r>
        <w:rPr>
          <w:rFonts w:hint="eastAsia" w:eastAsia="宋体"/>
          <w:sz w:val="24"/>
        </w:rPr>
        <w:t>2023</w:t>
      </w:r>
      <w:r>
        <w:rPr>
          <w:rFonts w:eastAsia="宋体"/>
          <w:sz w:val="24"/>
        </w:rPr>
        <w:t>年</w:t>
      </w:r>
      <w:r>
        <w:rPr>
          <w:rFonts w:hint="eastAsia" w:eastAsia="宋体"/>
          <w:sz w:val="24"/>
        </w:rPr>
        <w:t>11</w:t>
      </w:r>
      <w:r>
        <w:rPr>
          <w:rFonts w:eastAsia="宋体"/>
          <w:sz w:val="24"/>
        </w:rPr>
        <w:t>月</w:t>
      </w:r>
      <w:r>
        <w:rPr>
          <w:rFonts w:hint="eastAsia" w:eastAsia="宋体"/>
          <w:sz w:val="24"/>
        </w:rPr>
        <w:t>3</w:t>
      </w:r>
      <w:r>
        <w:rPr>
          <w:rFonts w:eastAsia="宋体"/>
          <w:sz w:val="24"/>
        </w:rPr>
        <w:t>日</w:t>
      </w:r>
      <w:r>
        <w:rPr>
          <w:rFonts w:hint="eastAsia" w:eastAsia="宋体"/>
          <w:sz w:val="24"/>
        </w:rPr>
        <w:t>9</w:t>
      </w:r>
      <w:r>
        <w:rPr>
          <w:rFonts w:eastAsia="宋体"/>
          <w:sz w:val="24"/>
        </w:rPr>
        <w:t>点</w:t>
      </w:r>
      <w:r>
        <w:rPr>
          <w:rFonts w:hint="eastAsia" w:eastAsia="宋体"/>
          <w:sz w:val="24"/>
        </w:rPr>
        <w:t>00</w:t>
      </w:r>
      <w:r>
        <w:rPr>
          <w:rFonts w:eastAsia="宋体"/>
          <w:sz w:val="24"/>
        </w:rPr>
        <w:t>分</w:t>
      </w:r>
      <w:r>
        <w:rPr>
          <w:rFonts w:eastAsia="宋体"/>
          <w:bCs/>
          <w:sz w:val="24"/>
        </w:rPr>
        <w:t>（北京时间）</w:t>
      </w:r>
      <w:r>
        <w:rPr>
          <w:rFonts w:eastAsia="宋体"/>
          <w:iCs/>
          <w:sz w:val="24"/>
        </w:rPr>
        <w:t>。</w:t>
      </w:r>
    </w:p>
    <w:p>
      <w:pPr>
        <w:spacing w:line="360" w:lineRule="auto"/>
        <w:ind w:firstLine="480" w:firstLineChars="200"/>
        <w:rPr>
          <w:rFonts w:eastAsia="宋体"/>
          <w:sz w:val="24"/>
        </w:rPr>
      </w:pPr>
      <w:r>
        <w:rPr>
          <w:rFonts w:eastAsia="宋体"/>
          <w:sz w:val="24"/>
        </w:rPr>
        <w:t>地点：</w:t>
      </w:r>
      <w:r>
        <w:rPr>
          <w:rFonts w:hint="eastAsia"/>
          <w:sz w:val="24"/>
        </w:rPr>
        <w:t xml:space="preserve">北京市延庆区庆园街60号六层公共资源交易中心 </w:t>
      </w:r>
    </w:p>
    <w:p>
      <w:pPr>
        <w:pStyle w:val="4"/>
        <w:spacing w:before="0" w:line="360" w:lineRule="auto"/>
        <w:jc w:val="left"/>
        <w:rPr>
          <w:rFonts w:ascii="Times New Roman" w:hAnsi="Times New Roman" w:eastAsia="宋体"/>
          <w:sz w:val="24"/>
          <w:szCs w:val="24"/>
        </w:rPr>
      </w:pPr>
      <w:bookmarkStart w:id="18" w:name="_Toc35393794"/>
      <w:bookmarkStart w:id="19" w:name="_Toc28359007"/>
      <w:bookmarkStart w:id="20" w:name="_Toc28359084"/>
      <w:bookmarkStart w:id="21" w:name="_Toc35393625"/>
      <w:r>
        <w:rPr>
          <w:rFonts w:ascii="Times New Roman" w:hAnsi="Times New Roman" w:eastAsia="宋体"/>
          <w:sz w:val="24"/>
          <w:szCs w:val="24"/>
        </w:rPr>
        <w:t>六、公告期限</w:t>
      </w:r>
      <w:bookmarkEnd w:id="18"/>
      <w:bookmarkEnd w:id="19"/>
      <w:bookmarkEnd w:id="20"/>
      <w:bookmarkEnd w:id="21"/>
    </w:p>
    <w:p>
      <w:pPr>
        <w:spacing w:line="360" w:lineRule="auto"/>
        <w:ind w:firstLine="480" w:firstLineChars="200"/>
        <w:rPr>
          <w:rFonts w:eastAsia="宋体"/>
          <w:kern w:val="0"/>
          <w:sz w:val="24"/>
        </w:rPr>
      </w:pPr>
      <w:r>
        <w:rPr>
          <w:rFonts w:eastAsia="宋体"/>
          <w:kern w:val="0"/>
          <w:sz w:val="24"/>
        </w:rPr>
        <w:t>自本公告发布之日起3个工作日。</w:t>
      </w:r>
    </w:p>
    <w:p>
      <w:pPr>
        <w:pStyle w:val="4"/>
        <w:spacing w:before="0" w:line="360" w:lineRule="auto"/>
        <w:jc w:val="left"/>
        <w:rPr>
          <w:rFonts w:ascii="Times New Roman" w:hAnsi="Times New Roman" w:eastAsia="宋体"/>
          <w:sz w:val="24"/>
          <w:szCs w:val="24"/>
        </w:rPr>
      </w:pPr>
      <w:bookmarkStart w:id="22" w:name="_Toc35393626"/>
      <w:bookmarkStart w:id="23" w:name="_Toc35393795"/>
      <w:r>
        <w:rPr>
          <w:rFonts w:ascii="Times New Roman" w:hAnsi="Times New Roman" w:eastAsia="宋体"/>
          <w:sz w:val="24"/>
          <w:szCs w:val="24"/>
        </w:rPr>
        <w:t>七、其他补充事宜</w:t>
      </w:r>
      <w:bookmarkEnd w:id="22"/>
      <w:bookmarkEnd w:id="23"/>
    </w:p>
    <w:p>
      <w:pPr>
        <w:spacing w:line="360" w:lineRule="auto"/>
        <w:ind w:firstLine="470" w:firstLineChars="196"/>
        <w:rPr>
          <w:rFonts w:eastAsia="宋体"/>
          <w:sz w:val="24"/>
        </w:rPr>
      </w:pPr>
      <w:r>
        <w:rPr>
          <w:rFonts w:eastAsia="宋体"/>
          <w:sz w:val="24"/>
        </w:rPr>
        <w:t>本项目需要落实的政府采购政策：</w:t>
      </w:r>
      <w:r>
        <w:rPr>
          <w:sz w:val="24"/>
        </w:rPr>
        <w:t>节能产品强制采购</w:t>
      </w:r>
      <w:r>
        <w:rPr>
          <w:rFonts w:hint="eastAsia"/>
          <w:sz w:val="24"/>
        </w:rPr>
        <w:t>、</w:t>
      </w:r>
      <w:r>
        <w:rPr>
          <w:sz w:val="24"/>
        </w:rPr>
        <w:t>节能产品、环境标志产品优先采购</w:t>
      </w:r>
      <w:r>
        <w:rPr>
          <w:rFonts w:hint="eastAsia"/>
          <w:sz w:val="24"/>
        </w:rPr>
        <w:t>、</w:t>
      </w:r>
      <w:r>
        <w:rPr>
          <w:sz w:val="24"/>
        </w:rPr>
        <w:t>政府采购促进中小企业发展</w:t>
      </w:r>
      <w:r>
        <w:rPr>
          <w:rFonts w:hint="eastAsia"/>
          <w:sz w:val="24"/>
        </w:rPr>
        <w:t>、</w:t>
      </w:r>
      <w:r>
        <w:rPr>
          <w:sz w:val="24"/>
        </w:rPr>
        <w:t>政府采购支持监狱企业发展</w:t>
      </w:r>
      <w:r>
        <w:rPr>
          <w:rFonts w:hint="eastAsia"/>
          <w:sz w:val="24"/>
        </w:rPr>
        <w:t>、</w:t>
      </w:r>
      <w:r>
        <w:rPr>
          <w:sz w:val="24"/>
        </w:rPr>
        <w:t>政府采购促进残疾人就业</w:t>
      </w:r>
      <w:r>
        <w:rPr>
          <w:rFonts w:hint="eastAsia"/>
          <w:sz w:val="24"/>
        </w:rPr>
        <w:t>、</w:t>
      </w:r>
      <w:r>
        <w:rPr>
          <w:sz w:val="24"/>
        </w:rPr>
        <w:t>政府采购信用担保</w:t>
      </w:r>
      <w:r>
        <w:rPr>
          <w:rFonts w:hint="eastAsia"/>
          <w:sz w:val="24"/>
        </w:rPr>
        <w:t>、</w:t>
      </w:r>
      <w:r>
        <w:rPr>
          <w:sz w:val="24"/>
        </w:rPr>
        <w:t>进口产品管理</w:t>
      </w:r>
      <w:r>
        <w:rPr>
          <w:rFonts w:hint="eastAsia"/>
          <w:sz w:val="24"/>
        </w:rPr>
        <w:t>。</w:t>
      </w:r>
    </w:p>
    <w:p>
      <w:pPr>
        <w:pStyle w:val="4"/>
        <w:spacing w:before="0" w:line="360" w:lineRule="auto"/>
        <w:jc w:val="left"/>
        <w:rPr>
          <w:rFonts w:ascii="Times New Roman" w:hAnsi="Times New Roman" w:eastAsia="宋体"/>
          <w:sz w:val="24"/>
          <w:szCs w:val="24"/>
        </w:rPr>
      </w:pPr>
      <w:bookmarkStart w:id="24" w:name="_Toc35393627"/>
      <w:bookmarkStart w:id="25" w:name="_Toc28359085"/>
      <w:bookmarkStart w:id="26" w:name="_Toc28359008"/>
      <w:bookmarkStart w:id="27" w:name="_Toc35393796"/>
      <w:r>
        <w:rPr>
          <w:rFonts w:ascii="Times New Roman" w:hAnsi="Times New Roman" w:eastAsia="宋体"/>
          <w:sz w:val="24"/>
          <w:szCs w:val="24"/>
        </w:rPr>
        <w:t>八、对本次采购提出询问，请按以下方式联系。</w:t>
      </w:r>
      <w:bookmarkEnd w:id="24"/>
      <w:bookmarkEnd w:id="25"/>
      <w:bookmarkEnd w:id="26"/>
      <w:bookmarkEnd w:id="27"/>
    </w:p>
    <w:p>
      <w:pPr>
        <w:widowControl/>
        <w:spacing w:line="360" w:lineRule="auto"/>
        <w:jc w:val="left"/>
        <w:rPr>
          <w:rFonts w:eastAsia="宋体"/>
          <w:b/>
          <w:sz w:val="24"/>
        </w:rPr>
      </w:pPr>
      <w:r>
        <w:rPr>
          <w:rFonts w:eastAsia="宋体"/>
          <w:sz w:val="24"/>
        </w:rPr>
        <w:t>　　　</w:t>
      </w:r>
      <w:r>
        <w:rPr>
          <w:rFonts w:eastAsia="宋体"/>
          <w:b/>
          <w:sz w:val="24"/>
        </w:rPr>
        <w:t>1.采购人信息</w:t>
      </w:r>
    </w:p>
    <w:p>
      <w:pPr>
        <w:spacing w:line="360" w:lineRule="auto"/>
        <w:ind w:left="1079" w:leftChars="371" w:hanging="300" w:hangingChars="125"/>
        <w:jc w:val="left"/>
        <w:rPr>
          <w:sz w:val="24"/>
        </w:rPr>
      </w:pPr>
      <w:bookmarkStart w:id="28" w:name="_Toc28359086"/>
      <w:bookmarkStart w:id="29" w:name="_Toc28359009"/>
      <w:r>
        <w:rPr>
          <w:sz w:val="24"/>
        </w:rPr>
        <w:t>名    称：</w:t>
      </w:r>
      <w:r>
        <w:rPr>
          <w:rFonts w:hint="eastAsia"/>
          <w:sz w:val="24"/>
          <w:u w:val="single"/>
        </w:rPr>
        <w:t>北京市</w:t>
      </w:r>
      <w:r>
        <w:rPr>
          <w:sz w:val="24"/>
          <w:u w:val="single"/>
        </w:rPr>
        <w:t>延庆区经济和信息化局</w:t>
      </w:r>
    </w:p>
    <w:p>
      <w:pPr>
        <w:spacing w:line="360" w:lineRule="auto"/>
        <w:ind w:left="1079" w:leftChars="371" w:hanging="300" w:hangingChars="125"/>
        <w:jc w:val="left"/>
        <w:rPr>
          <w:sz w:val="24"/>
        </w:rPr>
      </w:pPr>
      <w:r>
        <w:rPr>
          <w:sz w:val="24"/>
        </w:rPr>
        <w:t>地    址：</w:t>
      </w:r>
      <w:r>
        <w:rPr>
          <w:rFonts w:hint="eastAsia"/>
          <w:sz w:val="24"/>
          <w:u w:val="single"/>
        </w:rPr>
        <w:t>北京市</w:t>
      </w:r>
      <w:r>
        <w:rPr>
          <w:sz w:val="24"/>
          <w:u w:val="single"/>
        </w:rPr>
        <w:t>延庆区东外大街</w:t>
      </w:r>
      <w:r>
        <w:rPr>
          <w:rFonts w:hint="eastAsia"/>
          <w:sz w:val="24"/>
          <w:u w:val="single"/>
        </w:rPr>
        <w:t>建业</w:t>
      </w:r>
      <w:r>
        <w:rPr>
          <w:sz w:val="24"/>
          <w:u w:val="single"/>
        </w:rPr>
        <w:t>胡同</w:t>
      </w:r>
      <w:r>
        <w:rPr>
          <w:rFonts w:hint="eastAsia"/>
          <w:sz w:val="24"/>
          <w:u w:val="single"/>
        </w:rPr>
        <w:t>2号</w:t>
      </w:r>
    </w:p>
    <w:p>
      <w:pPr>
        <w:spacing w:line="360" w:lineRule="auto"/>
        <w:ind w:left="1079" w:leftChars="371" w:hanging="300" w:hangingChars="125"/>
        <w:jc w:val="left"/>
        <w:rPr>
          <w:sz w:val="24"/>
          <w:u w:val="single"/>
        </w:rPr>
      </w:pPr>
      <w:r>
        <w:rPr>
          <w:sz w:val="24"/>
        </w:rPr>
        <w:t>联系方式：</w:t>
      </w:r>
      <w:r>
        <w:rPr>
          <w:rFonts w:hint="eastAsia"/>
          <w:sz w:val="24"/>
          <w:u w:val="single"/>
        </w:rPr>
        <w:t>010-69103934</w:t>
      </w:r>
    </w:p>
    <w:p>
      <w:pPr>
        <w:spacing w:line="360" w:lineRule="auto"/>
        <w:ind w:left="1078" w:leftChars="371" w:hanging="299" w:hangingChars="124"/>
        <w:jc w:val="left"/>
        <w:rPr>
          <w:rFonts w:eastAsia="宋体"/>
          <w:b/>
          <w:sz w:val="24"/>
        </w:rPr>
      </w:pPr>
      <w:r>
        <w:rPr>
          <w:rFonts w:eastAsia="宋体"/>
          <w:b/>
          <w:sz w:val="24"/>
        </w:rPr>
        <w:t>2.采购代理机构信息</w:t>
      </w:r>
      <w:bookmarkEnd w:id="28"/>
      <w:bookmarkEnd w:id="29"/>
    </w:p>
    <w:p>
      <w:pPr>
        <w:spacing w:line="360" w:lineRule="auto"/>
        <w:ind w:left="1079" w:leftChars="371" w:hanging="300" w:hangingChars="125"/>
        <w:jc w:val="left"/>
        <w:rPr>
          <w:sz w:val="24"/>
        </w:rPr>
      </w:pPr>
      <w:bookmarkStart w:id="30" w:name="_Toc28359087"/>
      <w:bookmarkStart w:id="31" w:name="_Toc28359010"/>
      <w:r>
        <w:rPr>
          <w:sz w:val="24"/>
        </w:rPr>
        <w:t>名    称：</w:t>
      </w:r>
      <w:r>
        <w:rPr>
          <w:rFonts w:hint="eastAsia"/>
          <w:sz w:val="24"/>
          <w:u w:val="single"/>
        </w:rPr>
        <w:t xml:space="preserve">北京市延庆区政府采购中心 </w:t>
      </w:r>
      <w:r>
        <w:rPr>
          <w:rFonts w:hint="eastAsia" w:ascii="仿宋_GB2312" w:hAnsi="宋体" w:eastAsia="仿宋_GB2312" w:cs="宋体"/>
          <w:sz w:val="30"/>
          <w:szCs w:val="30"/>
          <w:u w:val="single"/>
        </w:rPr>
        <w:t xml:space="preserve"> </w:t>
      </w:r>
    </w:p>
    <w:p>
      <w:pPr>
        <w:spacing w:line="360" w:lineRule="auto"/>
        <w:ind w:left="1079" w:leftChars="371" w:hanging="300" w:hangingChars="125"/>
        <w:jc w:val="left"/>
        <w:rPr>
          <w:sz w:val="24"/>
        </w:rPr>
      </w:pPr>
      <w:r>
        <w:rPr>
          <w:sz w:val="24"/>
        </w:rPr>
        <w:t>地    址：</w:t>
      </w:r>
      <w:r>
        <w:rPr>
          <w:rFonts w:hint="eastAsia"/>
          <w:sz w:val="24"/>
          <w:u w:val="single"/>
        </w:rPr>
        <w:t xml:space="preserve">北京市延庆区庆园街60号   </w:t>
      </w:r>
    </w:p>
    <w:p>
      <w:pPr>
        <w:spacing w:line="360" w:lineRule="auto"/>
        <w:ind w:left="1079" w:leftChars="371" w:hanging="300" w:hangingChars="125"/>
        <w:jc w:val="left"/>
        <w:rPr>
          <w:sz w:val="24"/>
          <w:u w:val="single"/>
        </w:rPr>
      </w:pPr>
      <w:r>
        <w:rPr>
          <w:sz w:val="24"/>
        </w:rPr>
        <w:t>联系方式：</w:t>
      </w:r>
      <w:r>
        <w:rPr>
          <w:rFonts w:hint="eastAsia"/>
          <w:sz w:val="24"/>
          <w:u w:val="single"/>
        </w:rPr>
        <w:t xml:space="preserve">  010-69141782    </w:t>
      </w:r>
    </w:p>
    <w:p>
      <w:pPr>
        <w:spacing w:line="360" w:lineRule="auto"/>
        <w:ind w:left="1078" w:leftChars="371" w:hanging="299" w:hangingChars="124"/>
        <w:rPr>
          <w:rFonts w:eastAsia="宋体"/>
          <w:b/>
          <w:sz w:val="24"/>
          <w:u w:val="single"/>
        </w:rPr>
      </w:pPr>
      <w:r>
        <w:rPr>
          <w:rFonts w:eastAsia="宋体"/>
          <w:b/>
          <w:sz w:val="24"/>
        </w:rPr>
        <w:t>3.项目联系方式</w:t>
      </w:r>
      <w:bookmarkEnd w:id="30"/>
      <w:bookmarkEnd w:id="31"/>
    </w:p>
    <w:p>
      <w:pPr>
        <w:pStyle w:val="25"/>
        <w:spacing w:line="360" w:lineRule="auto"/>
        <w:ind w:firstLine="720" w:firstLineChars="300"/>
        <w:rPr>
          <w:rFonts w:hint="default" w:ascii="Times New Roman" w:hAnsi="Times New Roman"/>
          <w:sz w:val="24"/>
          <w:szCs w:val="24"/>
          <w:u w:val="single"/>
        </w:rPr>
      </w:pPr>
      <w:r>
        <w:rPr>
          <w:rFonts w:hint="default" w:ascii="Times New Roman" w:hAnsi="Times New Roman"/>
          <w:sz w:val="24"/>
          <w:szCs w:val="24"/>
        </w:rPr>
        <w:t>项目联系人：</w:t>
      </w:r>
      <w:r>
        <w:rPr>
          <w:rFonts w:ascii="Times New Roman" w:hAnsi="Times New Roman"/>
          <w:sz w:val="24"/>
          <w:szCs w:val="24"/>
          <w:u w:val="single"/>
        </w:rPr>
        <w:t xml:space="preserve">  </w:t>
      </w:r>
      <w:r>
        <w:rPr>
          <w:rFonts w:ascii="Times New Roman" w:hAnsi="Times New Roman"/>
          <w:sz w:val="24"/>
          <w:u w:val="single"/>
        </w:rPr>
        <w:t xml:space="preserve">董赢烁、赵静     </w:t>
      </w:r>
    </w:p>
    <w:p>
      <w:pPr>
        <w:pStyle w:val="25"/>
        <w:spacing w:line="360" w:lineRule="auto"/>
        <w:ind w:firstLine="720" w:firstLineChars="300"/>
        <w:rPr>
          <w:rFonts w:hint="default" w:ascii="Times New Roman" w:hAnsi="Times New Roman"/>
          <w:sz w:val="24"/>
          <w:szCs w:val="24"/>
          <w:u w:val="single"/>
        </w:rPr>
      </w:pPr>
      <w:r>
        <w:rPr>
          <w:rFonts w:hint="default" w:ascii="Times New Roman" w:hAnsi="Times New Roman"/>
          <w:sz w:val="24"/>
        </w:rPr>
        <w:t>电      话：</w:t>
      </w:r>
      <w:r>
        <w:rPr>
          <w:rFonts w:ascii="Times New Roman" w:hAnsi="Times New Roman"/>
          <w:sz w:val="24"/>
          <w:u w:val="single"/>
        </w:rPr>
        <w:t xml:space="preserve">  010-69141782      </w:t>
      </w:r>
    </w:p>
    <w:p>
      <w:pPr>
        <w:spacing w:line="360" w:lineRule="auto"/>
        <w:ind w:firstLine="5880" w:firstLineChars="2450"/>
        <w:jc w:val="right"/>
        <w:rPr>
          <w:rFonts w:eastAsia="宋体"/>
          <w:sz w:val="24"/>
        </w:rPr>
      </w:pPr>
    </w:p>
    <w:p>
      <w:pPr>
        <w:spacing w:line="360" w:lineRule="auto"/>
        <w:jc w:val="center"/>
        <w:outlineLvl w:val="0"/>
        <w:rPr>
          <w:rFonts w:eastAsia="宋体"/>
          <w:b/>
          <w:sz w:val="32"/>
          <w:szCs w:val="32"/>
        </w:rPr>
      </w:pPr>
      <w:r>
        <w:rPr>
          <w:rFonts w:eastAsia="宋体"/>
          <w:sz w:val="24"/>
        </w:rPr>
        <w:br w:type="page"/>
      </w:r>
      <w:bookmarkStart w:id="32" w:name="_Toc226965856"/>
      <w:bookmarkStart w:id="33" w:name="_Toc264969275"/>
      <w:bookmarkStart w:id="34" w:name="_Toc97371942"/>
      <w:bookmarkStart w:id="35" w:name="_Toc127161488"/>
      <w:bookmarkStart w:id="36" w:name="_Toc195842950"/>
      <w:bookmarkStart w:id="37" w:name="_Toc353873938"/>
      <w:bookmarkStart w:id="38" w:name="_Toc353825548"/>
      <w:bookmarkStart w:id="39" w:name="_Toc305158928"/>
      <w:bookmarkStart w:id="40" w:name="_Toc150774783"/>
      <w:bookmarkStart w:id="41" w:name="_Toc265228423"/>
      <w:bookmarkStart w:id="42" w:name="_Toc512937850"/>
      <w:bookmarkStart w:id="43" w:name="_Toc305158854"/>
      <w:bookmarkStart w:id="44" w:name="_Toc127151777"/>
      <w:r>
        <w:rPr>
          <w:rFonts w:eastAsia="宋体"/>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pPr>
        <w:pStyle w:val="4"/>
        <w:tabs>
          <w:tab w:val="center" w:pos="4592"/>
          <w:tab w:val="left" w:pos="7860"/>
        </w:tabs>
        <w:spacing w:before="0" w:line="360" w:lineRule="auto"/>
        <w:rPr>
          <w:rFonts w:ascii="Times New Roman" w:hAnsi="Times New Roman" w:eastAsia="宋体"/>
          <w:b w:val="0"/>
          <w:sz w:val="28"/>
        </w:rPr>
      </w:pPr>
      <w:bookmarkStart w:id="45" w:name="_Toc127161433"/>
      <w:bookmarkStart w:id="46" w:name="_Toc127151519"/>
      <w:bookmarkStart w:id="47" w:name="_Toc164608633"/>
      <w:bookmarkStart w:id="48" w:name="_Toc150774724"/>
      <w:bookmarkStart w:id="49" w:name="_Toc149720812"/>
      <w:bookmarkStart w:id="50" w:name="_Toc151193761"/>
      <w:bookmarkStart w:id="51" w:name="_Toc151193907"/>
      <w:bookmarkStart w:id="52" w:name="_Toc150509270"/>
      <w:bookmarkStart w:id="53" w:name="_Toc151190146"/>
      <w:bookmarkStart w:id="54" w:name="_Toc127151720"/>
      <w:bookmarkStart w:id="55" w:name="_Toc195842884"/>
      <w:bookmarkStart w:id="56" w:name="_Toc164229360"/>
      <w:bookmarkStart w:id="57" w:name="_Toc520356144"/>
      <w:bookmarkStart w:id="58" w:name="_Toc164608788"/>
      <w:bookmarkStart w:id="59" w:name="_Toc164351613"/>
      <w:bookmarkStart w:id="60" w:name="_Toc226309763"/>
      <w:bookmarkStart w:id="61" w:name="_Toc150480757"/>
      <w:bookmarkStart w:id="62" w:name="_Toc226337215"/>
      <w:bookmarkStart w:id="63" w:name="_Toc151193833"/>
      <w:bookmarkStart w:id="64" w:name="_Toc164229214"/>
      <w:bookmarkStart w:id="65" w:name="_Toc151193617"/>
      <w:bookmarkStart w:id="66" w:name="_Toc142311021"/>
      <w:bookmarkStart w:id="67" w:name="_Toc226965709"/>
      <w:bookmarkStart w:id="68" w:name="_Toc226965792"/>
      <w:bookmarkStart w:id="69" w:name="_Toc151193689"/>
      <w:bookmarkStart w:id="70" w:name="_Toc150774619"/>
      <w:r>
        <w:rPr>
          <w:rFonts w:ascii="Times New Roman" w:hAnsi="Times New Roman" w:eastAsia="宋体"/>
          <w:sz w:val="28"/>
        </w:rPr>
        <w:t>供应商须知资料表</w:t>
      </w:r>
    </w:p>
    <w:p>
      <w:pPr>
        <w:jc w:val="center"/>
        <w:rPr>
          <w:rFonts w:eastAsia="宋体"/>
          <w:b/>
          <w:sz w:val="28"/>
          <w:szCs w:val="28"/>
        </w:rPr>
      </w:pPr>
    </w:p>
    <w:p>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eastAsia="宋体"/>
                <w:b/>
                <w:bCs/>
                <w:sz w:val="24"/>
              </w:rPr>
            </w:pPr>
            <w:r>
              <w:rPr>
                <w:rFonts w:eastAsia="宋体"/>
                <w:b/>
                <w:sz w:val="24"/>
              </w:rPr>
              <w:t>条款号</w:t>
            </w:r>
          </w:p>
        </w:tc>
        <w:tc>
          <w:tcPr>
            <w:tcW w:w="1701" w:type="dxa"/>
            <w:vAlign w:val="center"/>
          </w:tcPr>
          <w:p>
            <w:pPr>
              <w:jc w:val="center"/>
              <w:rPr>
                <w:rFonts w:eastAsia="宋体"/>
                <w:b/>
                <w:bCs/>
                <w:sz w:val="24"/>
              </w:rPr>
            </w:pPr>
            <w:r>
              <w:rPr>
                <w:rFonts w:eastAsia="宋体"/>
                <w:b/>
                <w:bCs/>
                <w:sz w:val="24"/>
              </w:rPr>
              <w:t>条目</w:t>
            </w:r>
          </w:p>
        </w:tc>
        <w:tc>
          <w:tcPr>
            <w:tcW w:w="7253" w:type="dxa"/>
            <w:vAlign w:val="center"/>
          </w:tcPr>
          <w:p>
            <w:pPr>
              <w:jc w:val="center"/>
              <w:rPr>
                <w:rFonts w:eastAsia="宋体"/>
                <w:b/>
                <w:bCs/>
                <w:sz w:val="24"/>
              </w:rPr>
            </w:pPr>
            <w:r>
              <w:rPr>
                <w:rFonts w:eastAsia="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vAlign w:val="center"/>
          </w:tcPr>
          <w:p>
            <w:pPr>
              <w:jc w:val="center"/>
              <w:rPr>
                <w:rFonts w:eastAsia="宋体"/>
                <w:sz w:val="24"/>
              </w:rPr>
            </w:pPr>
            <w:r>
              <w:rPr>
                <w:rFonts w:eastAsia="宋体"/>
                <w:sz w:val="24"/>
              </w:rPr>
              <w:t>项目属性</w:t>
            </w:r>
          </w:p>
        </w:tc>
        <w:tc>
          <w:tcPr>
            <w:tcW w:w="7253" w:type="dxa"/>
            <w:vAlign w:val="center"/>
          </w:tcPr>
          <w:p>
            <w:pPr>
              <w:jc w:val="left"/>
              <w:rPr>
                <w:rFonts w:eastAsia="宋体"/>
                <w:sz w:val="24"/>
              </w:rPr>
            </w:pPr>
            <w:r>
              <w:rPr>
                <w:rFonts w:eastAsia="宋体"/>
                <w:sz w:val="24"/>
              </w:rPr>
              <w:t>项目属性：</w:t>
            </w:r>
          </w:p>
          <w:p>
            <w:pPr>
              <w:jc w:val="left"/>
              <w:rPr>
                <w:rFonts w:eastAsia="宋体"/>
                <w:sz w:val="24"/>
              </w:rPr>
            </w:pPr>
            <w:r>
              <w:rPr>
                <w:rFonts w:eastAsia="宋体"/>
                <w:b/>
                <w:color w:val="000000"/>
                <w:sz w:val="24"/>
              </w:rPr>
              <w:t>■</w:t>
            </w:r>
            <w:r>
              <w:rPr>
                <w:rFonts w:eastAsia="宋体"/>
                <w:sz w:val="24"/>
              </w:rPr>
              <w:t>服务</w:t>
            </w:r>
          </w:p>
          <w:p>
            <w:pPr>
              <w:jc w:val="left"/>
              <w:rPr>
                <w:rFonts w:eastAsia="宋体"/>
                <w:sz w:val="24"/>
              </w:rPr>
            </w:pPr>
            <w:r>
              <w:rPr>
                <w:rFonts w:eastAsia="宋体"/>
              </w:rPr>
              <w:t>□</w:t>
            </w:r>
            <w:r>
              <w:rPr>
                <w:rFonts w:eastAsia="宋体"/>
                <w:sz w:val="24"/>
              </w:rPr>
              <w:t>货物</w:t>
            </w:r>
          </w:p>
          <w:p>
            <w:pPr>
              <w:jc w:val="left"/>
              <w:rPr>
                <w:rFonts w:eastAsia="宋体"/>
                <w:sz w:val="24"/>
              </w:rPr>
            </w:pPr>
            <w:r>
              <w:rPr>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vAlign w:val="center"/>
          </w:tcPr>
          <w:p>
            <w:pPr>
              <w:jc w:val="center"/>
              <w:rPr>
                <w:rFonts w:eastAsia="宋体"/>
                <w:sz w:val="24"/>
              </w:rPr>
            </w:pPr>
            <w:r>
              <w:rPr>
                <w:rFonts w:eastAsia="宋体"/>
                <w:sz w:val="24"/>
              </w:rPr>
              <w:t>科研仪器设备</w:t>
            </w:r>
          </w:p>
        </w:tc>
        <w:tc>
          <w:tcPr>
            <w:tcW w:w="7253" w:type="dxa"/>
            <w:vAlign w:val="center"/>
          </w:tcPr>
          <w:p>
            <w:pPr>
              <w:jc w:val="left"/>
              <w:rPr>
                <w:rFonts w:eastAsia="宋体"/>
                <w:sz w:val="24"/>
              </w:rPr>
            </w:pPr>
            <w:r>
              <w:rPr>
                <w:rFonts w:eastAsia="宋体"/>
                <w:sz w:val="24"/>
              </w:rPr>
              <w:t>是否属于科研仪器设备采购项目：</w:t>
            </w:r>
          </w:p>
          <w:p>
            <w:pPr>
              <w:jc w:val="left"/>
              <w:rPr>
                <w:rFonts w:eastAsia="宋体"/>
                <w:sz w:val="24"/>
              </w:rPr>
            </w:pPr>
            <w:r>
              <w:rPr>
                <w:rFonts w:eastAsia="宋体"/>
              </w:rPr>
              <w:t>□</w:t>
            </w:r>
            <w:r>
              <w:rPr>
                <w:rFonts w:eastAsia="宋体"/>
                <w:sz w:val="24"/>
              </w:rPr>
              <w:t>是</w:t>
            </w:r>
          </w:p>
          <w:p>
            <w:pPr>
              <w:jc w:val="left"/>
              <w:rPr>
                <w:rFonts w:eastAsia="宋体"/>
                <w:sz w:val="24"/>
              </w:rPr>
            </w:pPr>
            <w:r>
              <w:rPr>
                <w:rFonts w:eastAsia="宋体"/>
                <w:b/>
                <w:color w:val="000000"/>
                <w:sz w:val="24"/>
              </w:rPr>
              <w:t>■</w:t>
            </w:r>
            <w:r>
              <w:rPr>
                <w:rFonts w:eastAsia="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vAlign w:val="center"/>
          </w:tcPr>
          <w:p>
            <w:pPr>
              <w:jc w:val="center"/>
              <w:rPr>
                <w:rFonts w:eastAsia="宋体"/>
                <w:sz w:val="24"/>
              </w:rPr>
            </w:pPr>
            <w:r>
              <w:rPr>
                <w:rFonts w:eastAsia="宋体"/>
                <w:sz w:val="24"/>
              </w:rPr>
              <w:t>现场考察</w:t>
            </w:r>
          </w:p>
        </w:tc>
        <w:tc>
          <w:tcPr>
            <w:tcW w:w="7253" w:type="dxa"/>
            <w:vAlign w:val="center"/>
          </w:tcPr>
          <w:p>
            <w:pPr>
              <w:jc w:val="left"/>
              <w:rPr>
                <w:rFonts w:eastAsia="宋体"/>
                <w:sz w:val="24"/>
              </w:rPr>
            </w:pPr>
            <w:r>
              <w:rPr>
                <w:rFonts w:eastAsia="宋体"/>
                <w:b/>
                <w:color w:val="000000"/>
                <w:sz w:val="24"/>
              </w:rPr>
              <w:t>■</w:t>
            </w:r>
            <w:r>
              <w:rPr>
                <w:rFonts w:eastAsia="宋体"/>
                <w:sz w:val="24"/>
              </w:rPr>
              <w:t>不组织</w:t>
            </w:r>
          </w:p>
          <w:p>
            <w:pPr>
              <w:jc w:val="left"/>
              <w:rPr>
                <w:rFonts w:eastAsia="宋体"/>
                <w:bCs/>
                <w:sz w:val="24"/>
              </w:rPr>
            </w:pPr>
            <w:r>
              <w:rPr>
                <w:rFonts w:eastAsia="宋体"/>
              </w:rPr>
              <w:t>□</w:t>
            </w:r>
            <w:r>
              <w:rPr>
                <w:rFonts w:eastAsia="宋体"/>
                <w:sz w:val="24"/>
              </w:rPr>
              <w:t>组织，考察时间：___年___月___日___点___分</w:t>
            </w:r>
          </w:p>
          <w:p>
            <w:pPr>
              <w:pStyle w:val="25"/>
              <w:adjustRightInd w:val="0"/>
              <w:snapToGrid w:val="0"/>
              <w:rPr>
                <w:rFonts w:hint="default" w:ascii="Times New Roman" w:hAnsi="Times New Roman" w:eastAsia="宋体"/>
                <w:sz w:val="24"/>
              </w:rPr>
            </w:pPr>
            <w:r>
              <w:rPr>
                <w:rFonts w:hint="default" w:ascii="Times New Roman" w:hAnsi="Times New Roman" w:eastAsia="宋体"/>
                <w:sz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5"/>
              <w:adjustRightInd w:val="0"/>
              <w:snapToGrid w:val="0"/>
              <w:jc w:val="center"/>
              <w:rPr>
                <w:rFonts w:hint="default" w:ascii="Times New Roman" w:hAnsi="Times New Roman" w:eastAsia="宋体"/>
                <w:sz w:val="24"/>
                <w:szCs w:val="24"/>
              </w:rPr>
            </w:pPr>
          </w:p>
        </w:tc>
        <w:tc>
          <w:tcPr>
            <w:tcW w:w="1701" w:type="dxa"/>
            <w:vAlign w:val="center"/>
          </w:tcPr>
          <w:p>
            <w:pPr>
              <w:jc w:val="center"/>
              <w:rPr>
                <w:rFonts w:eastAsia="宋体"/>
                <w:sz w:val="24"/>
              </w:rPr>
            </w:pPr>
            <w:r>
              <w:rPr>
                <w:rFonts w:eastAsia="宋体"/>
                <w:sz w:val="24"/>
              </w:rPr>
              <w:t>磋商前答疑会</w:t>
            </w:r>
          </w:p>
        </w:tc>
        <w:tc>
          <w:tcPr>
            <w:tcW w:w="7253" w:type="dxa"/>
            <w:vAlign w:val="center"/>
          </w:tcPr>
          <w:p>
            <w:pPr>
              <w:jc w:val="left"/>
              <w:rPr>
                <w:rFonts w:eastAsia="宋体"/>
                <w:sz w:val="24"/>
              </w:rPr>
            </w:pPr>
            <w:r>
              <w:rPr>
                <w:rFonts w:eastAsia="宋体"/>
                <w:b/>
                <w:color w:val="000000"/>
                <w:sz w:val="24"/>
              </w:rPr>
              <w:t>■</w:t>
            </w:r>
            <w:r>
              <w:rPr>
                <w:rFonts w:eastAsia="宋体"/>
                <w:sz w:val="24"/>
              </w:rPr>
              <w:t>不召开</w:t>
            </w:r>
          </w:p>
          <w:p>
            <w:pPr>
              <w:jc w:val="left"/>
              <w:rPr>
                <w:rFonts w:eastAsia="宋体"/>
                <w:sz w:val="24"/>
              </w:rPr>
            </w:pPr>
            <w:r>
              <w:rPr>
                <w:rFonts w:eastAsia="宋体"/>
              </w:rPr>
              <w:t>□</w:t>
            </w:r>
            <w:r>
              <w:rPr>
                <w:rFonts w:eastAsia="宋体"/>
                <w:sz w:val="24"/>
              </w:rPr>
              <w:t>召开，召开时间：___年___月___日___点___分</w:t>
            </w:r>
          </w:p>
          <w:p>
            <w:pPr>
              <w:jc w:val="left"/>
              <w:rPr>
                <w:rFonts w:eastAsia="宋体"/>
                <w:sz w:val="24"/>
              </w:rPr>
            </w:pPr>
            <w:r>
              <w:rPr>
                <w:rFonts w:eastAsia="宋体"/>
                <w:sz w:val="24"/>
              </w:rPr>
              <w:t>召开地点：___________。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vAlign w:val="center"/>
          </w:tcPr>
          <w:p>
            <w:pPr>
              <w:jc w:val="center"/>
              <w:rPr>
                <w:rFonts w:eastAsia="宋体"/>
                <w:sz w:val="24"/>
              </w:rPr>
            </w:pPr>
            <w:r>
              <w:rPr>
                <w:rFonts w:eastAsia="宋体"/>
                <w:sz w:val="24"/>
              </w:rPr>
              <w:t>标的所属行业</w:t>
            </w:r>
          </w:p>
        </w:tc>
        <w:tc>
          <w:tcPr>
            <w:tcW w:w="7253" w:type="dxa"/>
            <w:vAlign w:val="center"/>
          </w:tcPr>
          <w:p>
            <w:pPr>
              <w:jc w:val="left"/>
              <w:rPr>
                <w:rFonts w:eastAsia="宋体"/>
                <w:sz w:val="24"/>
              </w:rPr>
            </w:pPr>
            <w:r>
              <w:rPr>
                <w:rFonts w:eastAsia="宋体"/>
                <w:sz w:val="24"/>
              </w:rPr>
              <w:t>本项目采购标的对应的中小企业划分标准所属行业：</w:t>
            </w:r>
          </w:p>
          <w:tbl>
            <w:tblPr>
              <w:tblStyle w:val="45"/>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pPr>
                    <w:jc w:val="center"/>
                    <w:rPr>
                      <w:rFonts w:eastAsia="宋体"/>
                      <w:bCs/>
                      <w:sz w:val="24"/>
                    </w:rPr>
                  </w:pPr>
                  <w:r>
                    <w:rPr>
                      <w:rFonts w:eastAsia="宋体"/>
                      <w:bCs/>
                      <w:sz w:val="24"/>
                    </w:rPr>
                    <w:t>标的名称</w:t>
                  </w:r>
                </w:p>
              </w:tc>
              <w:tc>
                <w:tcPr>
                  <w:tcW w:w="2681" w:type="pct"/>
                  <w:tcBorders>
                    <w:top w:val="single" w:color="auto" w:sz="4" w:space="0"/>
                    <w:left w:val="single" w:color="auto" w:sz="4" w:space="0"/>
                    <w:bottom w:val="single" w:color="auto" w:sz="4" w:space="0"/>
                    <w:right w:val="single" w:color="auto" w:sz="4" w:space="0"/>
                  </w:tcBorders>
                  <w:vAlign w:val="center"/>
                </w:tcPr>
                <w:p>
                  <w:pPr>
                    <w:jc w:val="center"/>
                    <w:rPr>
                      <w:rFonts w:eastAsia="宋体"/>
                      <w:sz w:val="24"/>
                    </w:rPr>
                  </w:pPr>
                  <w:r>
                    <w:rPr>
                      <w:rFonts w:eastAsia="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pPr>
                    <w:jc w:val="center"/>
                    <w:rPr>
                      <w:rFonts w:eastAsia="宋体"/>
                      <w:bCs/>
                      <w:color w:val="auto"/>
                      <w:sz w:val="24"/>
                    </w:rPr>
                  </w:pPr>
                  <w:r>
                    <w:rPr>
                      <w:rFonts w:hint="eastAsia" w:eastAsia="宋体"/>
                      <w:bCs/>
                      <w:color w:val="auto"/>
                      <w:sz w:val="24"/>
                    </w:rPr>
                    <w:t>政务云</w:t>
                  </w:r>
                </w:p>
              </w:tc>
              <w:tc>
                <w:tcPr>
                  <w:tcW w:w="2681" w:type="pct"/>
                  <w:tcBorders>
                    <w:top w:val="single" w:color="auto" w:sz="4" w:space="0"/>
                    <w:left w:val="single" w:color="auto" w:sz="4" w:space="0"/>
                    <w:bottom w:val="single" w:color="auto" w:sz="4" w:space="0"/>
                    <w:right w:val="single" w:color="auto" w:sz="4" w:space="0"/>
                  </w:tcBorders>
                  <w:vAlign w:val="center"/>
                </w:tcPr>
                <w:p>
                  <w:pPr>
                    <w:jc w:val="center"/>
                    <w:rPr>
                      <w:rFonts w:eastAsia="宋体"/>
                      <w:color w:val="auto"/>
                      <w:kern w:val="0"/>
                      <w:sz w:val="24"/>
                    </w:rPr>
                  </w:pPr>
                  <w:r>
                    <w:rPr>
                      <w:rFonts w:hint="eastAsia" w:eastAsia="宋体"/>
                      <w:color w:val="auto"/>
                      <w:kern w:val="0"/>
                      <w:sz w:val="24"/>
                    </w:rPr>
                    <w:t>软件和信息技术服务业</w:t>
                  </w:r>
                </w:p>
              </w:tc>
            </w:tr>
          </w:tbl>
          <w:p>
            <w:pPr>
              <w:jc w:val="left"/>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vAlign w:val="center"/>
          </w:tcPr>
          <w:p>
            <w:pPr>
              <w:jc w:val="center"/>
              <w:rPr>
                <w:rFonts w:eastAsia="宋体"/>
                <w:sz w:val="24"/>
              </w:rPr>
            </w:pPr>
            <w:r>
              <w:rPr>
                <w:rFonts w:eastAsia="宋体"/>
                <w:sz w:val="24"/>
              </w:rPr>
              <w:t>报价</w:t>
            </w:r>
          </w:p>
        </w:tc>
        <w:tc>
          <w:tcPr>
            <w:tcW w:w="7253" w:type="dxa"/>
            <w:vAlign w:val="center"/>
          </w:tcPr>
          <w:p>
            <w:pPr>
              <w:jc w:val="left"/>
              <w:rPr>
                <w:rFonts w:eastAsia="宋体"/>
                <w:sz w:val="24"/>
              </w:rPr>
            </w:pPr>
            <w:r>
              <w:rPr>
                <w:rFonts w:eastAsia="宋体"/>
                <w:sz w:val="24"/>
              </w:rPr>
              <w:t>报价的特殊规定：</w:t>
            </w:r>
          </w:p>
          <w:p>
            <w:pPr>
              <w:jc w:val="left"/>
              <w:rPr>
                <w:rFonts w:eastAsia="宋体"/>
                <w:sz w:val="24"/>
              </w:rPr>
            </w:pPr>
            <w:r>
              <w:rPr>
                <w:rFonts w:eastAsia="宋体"/>
                <w:b/>
                <w:color w:val="000000"/>
                <w:sz w:val="24"/>
              </w:rPr>
              <w:t>■</w:t>
            </w:r>
            <w:r>
              <w:rPr>
                <w:rFonts w:eastAsia="宋体"/>
                <w:sz w:val="24"/>
              </w:rPr>
              <w:t>无</w:t>
            </w:r>
          </w:p>
          <w:p>
            <w:pPr>
              <w:jc w:val="left"/>
              <w:rPr>
                <w:rFonts w:eastAsia="宋体"/>
                <w:sz w:val="24"/>
              </w:rPr>
            </w:pPr>
            <w:r>
              <w:rPr>
                <w:rFonts w:eastAsia="宋体"/>
              </w:rPr>
              <w:t>□</w:t>
            </w:r>
            <w:r>
              <w:rPr>
                <w:rFonts w:eastAsia="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vAlign w:val="center"/>
          </w:tcPr>
          <w:p>
            <w:pPr>
              <w:jc w:val="center"/>
              <w:rPr>
                <w:rFonts w:eastAsia="宋体"/>
                <w:sz w:val="24"/>
              </w:rPr>
            </w:pPr>
            <w:r>
              <w:rPr>
                <w:rFonts w:eastAsia="宋体"/>
                <w:sz w:val="24"/>
              </w:rPr>
              <w:t>磋商保证金</w:t>
            </w:r>
          </w:p>
        </w:tc>
        <w:tc>
          <w:tcPr>
            <w:tcW w:w="7253" w:type="dxa"/>
            <w:vAlign w:val="center"/>
          </w:tcPr>
          <w:p>
            <w:pPr>
              <w:pStyle w:val="25"/>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r>
              <w:rPr>
                <w:rFonts w:ascii="Times New Roman" w:hAnsi="Times New Roman" w:eastAsia="宋体"/>
                <w:sz w:val="24"/>
                <w:szCs w:val="24"/>
              </w:rPr>
              <w:t>0元</w:t>
            </w:r>
          </w:p>
          <w:p>
            <w:pPr>
              <w:jc w:val="left"/>
              <w:rPr>
                <w:rFonts w:eastAsia="宋体"/>
                <w:sz w:val="24"/>
              </w:rPr>
            </w:pPr>
            <w:r>
              <w:rPr>
                <w:rFonts w:hint="eastAsia" w:eastAsia="宋体"/>
                <w:sz w:val="24"/>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vAlign w:val="center"/>
          </w:tcPr>
          <w:p>
            <w:pPr>
              <w:jc w:val="center"/>
              <w:rPr>
                <w:rFonts w:eastAsia="宋体"/>
                <w:sz w:val="24"/>
              </w:rPr>
            </w:pPr>
          </w:p>
        </w:tc>
        <w:tc>
          <w:tcPr>
            <w:tcW w:w="7253" w:type="dxa"/>
            <w:vAlign w:val="center"/>
          </w:tcPr>
          <w:p>
            <w:pPr>
              <w:jc w:val="left"/>
              <w:rPr>
                <w:rFonts w:eastAsia="宋体"/>
                <w:sz w:val="24"/>
              </w:rPr>
            </w:pPr>
            <w:r>
              <w:rPr>
                <w:rFonts w:eastAsia="宋体"/>
                <w:sz w:val="24"/>
              </w:rPr>
              <w:t>磋商保证金不予退还的其他情形：</w:t>
            </w:r>
          </w:p>
          <w:p>
            <w:pPr>
              <w:jc w:val="left"/>
              <w:rPr>
                <w:rFonts w:eastAsia="宋体"/>
                <w:sz w:val="24"/>
              </w:rPr>
            </w:pPr>
            <w:r>
              <w:rPr>
                <w:rFonts w:eastAsia="宋体"/>
                <w:b/>
                <w:color w:val="000000"/>
                <w:sz w:val="24"/>
              </w:rPr>
              <w:t>■</w:t>
            </w:r>
            <w:r>
              <w:rPr>
                <w:rFonts w:eastAsia="宋体"/>
                <w:sz w:val="24"/>
              </w:rPr>
              <w:t>无</w:t>
            </w:r>
          </w:p>
          <w:p>
            <w:pPr>
              <w:pStyle w:val="25"/>
              <w:adjustRightInd w:val="0"/>
              <w:snapToGrid w:val="0"/>
              <w:rPr>
                <w:rFonts w:hint="default" w:ascii="Times New Roman" w:hAnsi="Times New Roman" w:eastAsia="宋体"/>
                <w:sz w:val="24"/>
                <w:szCs w:val="24"/>
              </w:rPr>
            </w:pPr>
            <w:r>
              <w:rPr>
                <w:rFonts w:hint="default" w:ascii="Times New Roman" w:hAnsi="Times New Roman" w:eastAsia="宋体"/>
              </w:rPr>
              <w:t>□</w:t>
            </w:r>
            <w:r>
              <w:rPr>
                <w:rFonts w:hint="default" w:ascii="Times New Roman" w:hAnsi="Times New Roman" w:eastAsia="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vAlign w:val="center"/>
          </w:tcPr>
          <w:p>
            <w:pPr>
              <w:jc w:val="center"/>
              <w:rPr>
                <w:rFonts w:eastAsia="宋体"/>
                <w:sz w:val="24"/>
              </w:rPr>
            </w:pPr>
            <w:r>
              <w:rPr>
                <w:rFonts w:eastAsia="宋体"/>
                <w:sz w:val="24"/>
              </w:rPr>
              <w:t>响应有效期</w:t>
            </w:r>
          </w:p>
        </w:tc>
        <w:tc>
          <w:tcPr>
            <w:tcW w:w="7253" w:type="dxa"/>
            <w:vAlign w:val="center"/>
          </w:tcPr>
          <w:p>
            <w:pPr>
              <w:jc w:val="left"/>
              <w:rPr>
                <w:rFonts w:eastAsia="宋体"/>
                <w:sz w:val="24"/>
              </w:rPr>
            </w:pPr>
            <w:r>
              <w:rPr>
                <w:rFonts w:eastAsia="宋体"/>
                <w:sz w:val="24"/>
              </w:rPr>
              <w:t>自响应文件提交截止之日起算</w:t>
            </w:r>
            <w:r>
              <w:rPr>
                <w:rFonts w:hint="eastAsia" w:eastAsia="宋体"/>
                <w:sz w:val="24"/>
              </w:rPr>
              <w:t xml:space="preserve"> </w:t>
            </w:r>
            <w:r>
              <w:rPr>
                <w:rFonts w:hint="eastAsia" w:eastAsia="宋体"/>
                <w:sz w:val="24"/>
                <w:u w:val="single"/>
              </w:rPr>
              <w:t xml:space="preserve">60 </w:t>
            </w:r>
            <w:r>
              <w:rPr>
                <w:rFonts w:eastAsia="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5"/>
              <w:adjustRightInd w:val="0"/>
              <w:snapToGrid w:val="0"/>
              <w:jc w:val="center"/>
              <w:rPr>
                <w:rFonts w:hint="default" w:ascii="Times New Roman" w:hAnsi="Times New Roman" w:eastAsia="宋体"/>
                <w:color w:val="auto"/>
                <w:sz w:val="24"/>
                <w:szCs w:val="24"/>
              </w:rPr>
            </w:pPr>
            <w:r>
              <w:rPr>
                <w:rFonts w:ascii="Times New Roman" w:hAnsi="Times New Roman" w:eastAsia="宋体"/>
                <w:color w:val="auto"/>
                <w:sz w:val="24"/>
                <w:szCs w:val="24"/>
              </w:rPr>
              <w:t>14</w:t>
            </w:r>
          </w:p>
        </w:tc>
        <w:tc>
          <w:tcPr>
            <w:tcW w:w="1701" w:type="dxa"/>
            <w:vAlign w:val="center"/>
          </w:tcPr>
          <w:p>
            <w:pPr>
              <w:jc w:val="center"/>
              <w:rPr>
                <w:rFonts w:eastAsia="宋体"/>
                <w:color w:val="auto"/>
                <w:sz w:val="24"/>
              </w:rPr>
            </w:pPr>
            <w:r>
              <w:rPr>
                <w:rFonts w:hint="eastAsia" w:eastAsia="宋体"/>
                <w:color w:val="auto"/>
                <w:sz w:val="24"/>
              </w:rPr>
              <w:t>响应文件</w:t>
            </w:r>
          </w:p>
          <w:p>
            <w:pPr>
              <w:jc w:val="center"/>
              <w:rPr>
                <w:rFonts w:eastAsia="宋体"/>
                <w:color w:val="auto"/>
                <w:sz w:val="24"/>
              </w:rPr>
            </w:pPr>
            <w:r>
              <w:rPr>
                <w:rFonts w:hint="eastAsia" w:eastAsia="宋体"/>
                <w:color w:val="auto"/>
                <w:sz w:val="24"/>
              </w:rPr>
              <w:t>的提交</w:t>
            </w:r>
          </w:p>
        </w:tc>
        <w:tc>
          <w:tcPr>
            <w:tcW w:w="7253" w:type="dxa"/>
            <w:vAlign w:val="center"/>
          </w:tcPr>
          <w:p>
            <w:pPr>
              <w:jc w:val="left"/>
              <w:rPr>
                <w:rFonts w:eastAsia="宋体"/>
                <w:color w:val="auto"/>
                <w:sz w:val="24"/>
              </w:rPr>
            </w:pPr>
            <w:r>
              <w:rPr>
                <w:rFonts w:hint="eastAsia"/>
                <w:color w:val="auto"/>
                <w:sz w:val="24"/>
              </w:rPr>
              <w:t>响应文件份数及提交要求：投标人应将供应商响应文件（正本一份、副本两份）密封提交。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vAlign w:val="center"/>
          </w:tcPr>
          <w:p>
            <w:pPr>
              <w:jc w:val="center"/>
              <w:rPr>
                <w:sz w:val="24"/>
              </w:rPr>
            </w:pPr>
            <w:r>
              <w:rPr>
                <w:sz w:val="24"/>
              </w:rPr>
              <w:t>确定成交</w:t>
            </w:r>
          </w:p>
          <w:p>
            <w:pPr>
              <w:jc w:val="center"/>
              <w:rPr>
                <w:rFonts w:eastAsia="宋体"/>
                <w:sz w:val="24"/>
              </w:rPr>
            </w:pPr>
            <w:r>
              <w:rPr>
                <w:sz w:val="24"/>
              </w:rPr>
              <w:t>供应商</w:t>
            </w:r>
          </w:p>
        </w:tc>
        <w:tc>
          <w:tcPr>
            <w:tcW w:w="7253" w:type="dxa"/>
            <w:vAlign w:val="center"/>
          </w:tcPr>
          <w:p>
            <w:pPr>
              <w:pStyle w:val="25"/>
              <w:adjustRightInd w:val="0"/>
              <w:snapToGrid w:val="0"/>
              <w:rPr>
                <w:rFonts w:hint="default" w:ascii="Times New Roman" w:hAnsi="Times New Roman" w:eastAsia="宋体"/>
                <w:color w:val="auto"/>
                <w:sz w:val="24"/>
              </w:rPr>
            </w:pPr>
            <w:r>
              <w:rPr>
                <w:rFonts w:hint="default" w:ascii="Times New Roman" w:hAnsi="Times New Roman" w:eastAsia="宋体"/>
                <w:color w:val="auto"/>
                <w:sz w:val="24"/>
              </w:rPr>
              <w:t>采购人是否授权磋商小组直接确定成交供应商：</w:t>
            </w:r>
          </w:p>
          <w:p>
            <w:pPr>
              <w:pStyle w:val="25"/>
              <w:adjustRightInd w:val="0"/>
              <w:snapToGrid w:val="0"/>
              <w:rPr>
                <w:rFonts w:hint="default" w:ascii="Times New Roman" w:hAnsi="Times New Roman" w:eastAsia="宋体"/>
                <w:color w:val="auto"/>
                <w:sz w:val="24"/>
              </w:rPr>
            </w:pPr>
            <w:r>
              <w:rPr>
                <w:rFonts w:hint="default" w:ascii="Times New Roman" w:hAnsi="Times New Roman" w:eastAsia="宋体"/>
                <w:color w:val="auto"/>
              </w:rPr>
              <w:t>□</w:t>
            </w:r>
            <w:r>
              <w:rPr>
                <w:rFonts w:hint="default" w:ascii="Times New Roman" w:hAnsi="Times New Roman" w:eastAsia="宋体"/>
                <w:color w:val="auto"/>
                <w:sz w:val="24"/>
              </w:rPr>
              <w:t>否</w:t>
            </w:r>
          </w:p>
          <w:p>
            <w:pPr>
              <w:jc w:val="left"/>
              <w:rPr>
                <w:rFonts w:eastAsia="宋体"/>
                <w:color w:val="auto"/>
                <w:sz w:val="24"/>
              </w:rPr>
            </w:pPr>
            <w:r>
              <w:rPr>
                <w:rFonts w:eastAsia="宋体"/>
                <w:b/>
                <w:color w:val="auto"/>
                <w:sz w:val="24"/>
              </w:rPr>
              <w:t>■</w:t>
            </w:r>
            <w:r>
              <w:rPr>
                <w:rFonts w:eastAsia="宋体"/>
                <w:color w:val="auto"/>
                <w:sz w:val="24"/>
              </w:rPr>
              <w:t>是</w:t>
            </w:r>
          </w:p>
          <w:p>
            <w:pPr>
              <w:jc w:val="left"/>
              <w:rPr>
                <w:rFonts w:eastAsia="宋体"/>
                <w:color w:val="auto"/>
                <w:sz w:val="24"/>
                <w:u w:val="single"/>
              </w:rPr>
            </w:pPr>
            <w:r>
              <w:rPr>
                <w:rFonts w:eastAsia="宋体"/>
                <w:color w:val="auto"/>
                <w:sz w:val="24"/>
              </w:rPr>
              <w:t>成交候选人并列的，按照以下方式确定成交供应商：评审得分且最后报价相同的，按照技术指标优劣顺序推荐。响应文件满足竞争性磋商文件全部实质性要求，且按照评审因素的量化指标评审得分最高的供应商为排名第一的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vAlign w:val="center"/>
          </w:tcPr>
          <w:p>
            <w:pPr>
              <w:jc w:val="center"/>
              <w:rPr>
                <w:rFonts w:eastAsia="宋体"/>
                <w:sz w:val="24"/>
              </w:rPr>
            </w:pPr>
            <w:r>
              <w:rPr>
                <w:rFonts w:eastAsia="宋体"/>
                <w:sz w:val="24"/>
              </w:rPr>
              <w:t>分包</w:t>
            </w:r>
          </w:p>
        </w:tc>
        <w:tc>
          <w:tcPr>
            <w:tcW w:w="7253" w:type="dxa"/>
            <w:vAlign w:val="center"/>
          </w:tcPr>
          <w:p>
            <w:pPr>
              <w:jc w:val="left"/>
              <w:rPr>
                <w:rFonts w:eastAsia="宋体"/>
                <w:sz w:val="24"/>
              </w:rPr>
            </w:pPr>
            <w:r>
              <w:rPr>
                <w:rFonts w:eastAsia="宋体"/>
                <w:sz w:val="24"/>
              </w:rPr>
              <w:t xml:space="preserve">本项目是否允许分包： </w:t>
            </w:r>
          </w:p>
          <w:p>
            <w:pPr>
              <w:jc w:val="left"/>
              <w:rPr>
                <w:rFonts w:eastAsia="宋体"/>
                <w:sz w:val="24"/>
              </w:rPr>
            </w:pPr>
            <w:r>
              <w:rPr>
                <w:rFonts w:eastAsia="宋体"/>
                <w:b/>
                <w:color w:val="000000"/>
                <w:sz w:val="24"/>
              </w:rPr>
              <w:t>■</w:t>
            </w:r>
            <w:r>
              <w:rPr>
                <w:rFonts w:eastAsia="宋体"/>
                <w:sz w:val="24"/>
              </w:rPr>
              <w:t>不允许</w:t>
            </w:r>
          </w:p>
          <w:p>
            <w:pPr>
              <w:jc w:val="left"/>
              <w:rPr>
                <w:rFonts w:eastAsia="宋体"/>
                <w:sz w:val="24"/>
              </w:rPr>
            </w:pPr>
            <w:r>
              <w:rPr>
                <w:rFonts w:eastAsia="宋体"/>
              </w:rPr>
              <w:t>□</w:t>
            </w:r>
            <w:r>
              <w:rPr>
                <w:rFonts w:eastAsia="宋体"/>
                <w:sz w:val="24"/>
              </w:rPr>
              <w:t>允许，具体要求：_______。</w:t>
            </w:r>
          </w:p>
          <w:p>
            <w:pPr>
              <w:jc w:val="left"/>
              <w:rPr>
                <w:rFonts w:eastAsia="宋体"/>
                <w:sz w:val="24"/>
              </w:rPr>
            </w:pPr>
            <w:r>
              <w:rPr>
                <w:rFonts w:eastAsia="宋体"/>
                <w:sz w:val="24"/>
              </w:rPr>
              <w:t>（1）可以分包履行的具体内容：_______；</w:t>
            </w:r>
          </w:p>
          <w:p>
            <w:pPr>
              <w:jc w:val="left"/>
              <w:rPr>
                <w:rFonts w:eastAsia="宋体"/>
                <w:sz w:val="24"/>
              </w:rPr>
            </w:pPr>
            <w:r>
              <w:rPr>
                <w:rFonts w:eastAsia="宋体"/>
                <w:sz w:val="24"/>
              </w:rPr>
              <w:t>（2）允许分包的金额或者比例：_______；</w:t>
            </w:r>
          </w:p>
          <w:p>
            <w:pPr>
              <w:jc w:val="left"/>
              <w:rPr>
                <w:rFonts w:eastAsia="宋体"/>
                <w:sz w:val="24"/>
                <w:u w:val="single"/>
              </w:rPr>
            </w:pPr>
            <w:r>
              <w:rPr>
                <w:rFonts w:eastAsia="宋体"/>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vAlign w:val="center"/>
          </w:tcPr>
          <w:p>
            <w:pPr>
              <w:jc w:val="center"/>
              <w:rPr>
                <w:rFonts w:eastAsia="宋体"/>
                <w:sz w:val="24"/>
              </w:rPr>
            </w:pPr>
            <w:r>
              <w:rPr>
                <w:rFonts w:eastAsia="宋体"/>
                <w:sz w:val="24"/>
              </w:rPr>
              <w:t>询问</w:t>
            </w:r>
          </w:p>
        </w:tc>
        <w:tc>
          <w:tcPr>
            <w:tcW w:w="7253" w:type="dxa"/>
            <w:vAlign w:val="center"/>
          </w:tcPr>
          <w:p>
            <w:pPr>
              <w:jc w:val="left"/>
              <w:rPr>
                <w:rFonts w:eastAsia="宋体"/>
                <w:sz w:val="24"/>
              </w:rPr>
            </w:pPr>
            <w:r>
              <w:rPr>
                <w:rFonts w:eastAsia="宋体"/>
                <w:sz w:val="24"/>
              </w:rPr>
              <w:t>询问送达形式：__</w:t>
            </w:r>
            <w:r>
              <w:rPr>
                <w:rFonts w:hint="eastAsia" w:eastAsia="宋体"/>
                <w:sz w:val="24"/>
              </w:rPr>
              <w:t>电话</w:t>
            </w:r>
            <w:r>
              <w:rPr>
                <w:rFonts w:eastAsia="宋体"/>
                <w:sz w:val="24"/>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vAlign w:val="center"/>
          </w:tcPr>
          <w:p>
            <w:pPr>
              <w:jc w:val="center"/>
              <w:rPr>
                <w:rFonts w:eastAsia="宋体"/>
                <w:sz w:val="24"/>
              </w:rPr>
            </w:pPr>
            <w:r>
              <w:rPr>
                <w:rFonts w:eastAsia="宋体"/>
                <w:sz w:val="24"/>
              </w:rPr>
              <w:t>联系方式</w:t>
            </w:r>
          </w:p>
        </w:tc>
        <w:tc>
          <w:tcPr>
            <w:tcW w:w="7253" w:type="dxa"/>
            <w:vAlign w:val="center"/>
          </w:tcPr>
          <w:p>
            <w:pPr>
              <w:jc w:val="left"/>
              <w:rPr>
                <w:rFonts w:eastAsia="宋体"/>
                <w:sz w:val="24"/>
              </w:rPr>
            </w:pPr>
            <w:r>
              <w:rPr>
                <w:rFonts w:eastAsia="宋体"/>
                <w:sz w:val="24"/>
              </w:rPr>
              <w:t>接收询问和质疑的联系方式</w:t>
            </w:r>
          </w:p>
          <w:p>
            <w:pPr>
              <w:jc w:val="left"/>
              <w:rPr>
                <w:rFonts w:eastAsia="宋体"/>
                <w:sz w:val="24"/>
              </w:rPr>
            </w:pPr>
            <w:r>
              <w:rPr>
                <w:rFonts w:eastAsia="宋体"/>
                <w:sz w:val="24"/>
              </w:rPr>
              <w:t>联系部门：</w:t>
            </w:r>
            <w:r>
              <w:rPr>
                <w:rFonts w:hint="eastAsia"/>
                <w:sz w:val="24"/>
                <w:u w:val="single"/>
              </w:rPr>
              <w:t>北京市</w:t>
            </w:r>
            <w:r>
              <w:rPr>
                <w:sz w:val="24"/>
                <w:u w:val="single"/>
              </w:rPr>
              <w:t>延庆区经济和信息化局</w:t>
            </w:r>
            <w:r>
              <w:rPr>
                <w:rFonts w:hint="eastAsia"/>
                <w:sz w:val="24"/>
                <w:u w:val="single"/>
              </w:rPr>
              <w:t>、北京市延庆区政府采购中心</w:t>
            </w:r>
            <w:r>
              <w:rPr>
                <w:rFonts w:eastAsia="宋体"/>
                <w:sz w:val="24"/>
              </w:rPr>
              <w:t>；</w:t>
            </w:r>
          </w:p>
          <w:p>
            <w:pPr>
              <w:jc w:val="left"/>
              <w:rPr>
                <w:rFonts w:eastAsia="宋体"/>
                <w:sz w:val="24"/>
              </w:rPr>
            </w:pPr>
            <w:r>
              <w:rPr>
                <w:rFonts w:eastAsia="宋体"/>
                <w:sz w:val="24"/>
              </w:rPr>
              <w:t>联系电话：</w:t>
            </w:r>
            <w:r>
              <w:rPr>
                <w:rFonts w:hint="eastAsia"/>
                <w:sz w:val="24"/>
                <w:u w:val="single"/>
              </w:rPr>
              <w:t>010-69103934、</w:t>
            </w:r>
            <w:r>
              <w:rPr>
                <w:sz w:val="24"/>
                <w:u w:val="single"/>
              </w:rPr>
              <w:t xml:space="preserve">010-69141782 </w:t>
            </w:r>
            <w:r>
              <w:rPr>
                <w:rFonts w:eastAsia="宋体"/>
                <w:sz w:val="24"/>
              </w:rPr>
              <w:t>_____；</w:t>
            </w:r>
          </w:p>
          <w:p>
            <w:pPr>
              <w:jc w:val="left"/>
              <w:rPr>
                <w:rFonts w:eastAsia="宋体"/>
                <w:sz w:val="24"/>
              </w:rPr>
            </w:pPr>
            <w:r>
              <w:rPr>
                <w:rFonts w:eastAsia="宋体"/>
                <w:sz w:val="24"/>
              </w:rPr>
              <w:t>通讯地址：</w:t>
            </w:r>
            <w:r>
              <w:rPr>
                <w:rFonts w:hint="eastAsia"/>
                <w:sz w:val="24"/>
                <w:u w:val="single"/>
              </w:rPr>
              <w:t>北京市</w:t>
            </w:r>
            <w:r>
              <w:rPr>
                <w:sz w:val="24"/>
                <w:u w:val="single"/>
              </w:rPr>
              <w:t>延庆区东外大街</w:t>
            </w:r>
            <w:r>
              <w:rPr>
                <w:rFonts w:hint="eastAsia"/>
                <w:sz w:val="24"/>
                <w:u w:val="single"/>
              </w:rPr>
              <w:t>建业</w:t>
            </w:r>
            <w:r>
              <w:rPr>
                <w:sz w:val="24"/>
                <w:u w:val="single"/>
              </w:rPr>
              <w:t>胡同</w:t>
            </w:r>
            <w:r>
              <w:rPr>
                <w:rFonts w:hint="eastAsia"/>
                <w:sz w:val="24"/>
                <w:u w:val="single"/>
              </w:rPr>
              <w:t>2号、北京市延庆区庆园街60号</w:t>
            </w:r>
            <w:r>
              <w:rPr>
                <w:rFonts w:eastAsia="宋体"/>
                <w:sz w:val="24"/>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vAlign w:val="center"/>
          </w:tcPr>
          <w:p>
            <w:pPr>
              <w:jc w:val="center"/>
              <w:rPr>
                <w:rFonts w:eastAsia="宋体"/>
                <w:sz w:val="24"/>
              </w:rPr>
            </w:pPr>
            <w:r>
              <w:rPr>
                <w:rFonts w:eastAsia="宋体"/>
                <w:sz w:val="24"/>
              </w:rPr>
              <w:t>代理费</w:t>
            </w:r>
          </w:p>
        </w:tc>
        <w:tc>
          <w:tcPr>
            <w:tcW w:w="7253" w:type="dxa"/>
            <w:vAlign w:val="center"/>
          </w:tcPr>
          <w:p>
            <w:pPr>
              <w:jc w:val="left"/>
              <w:rPr>
                <w:rFonts w:eastAsia="宋体"/>
                <w:sz w:val="24"/>
              </w:rPr>
            </w:pPr>
            <w:r>
              <w:rPr>
                <w:rFonts w:hint="eastAsia" w:eastAsia="宋体"/>
                <w:sz w:val="24"/>
              </w:rPr>
              <w:t>本项目不收取代理费。</w:t>
            </w:r>
          </w:p>
        </w:tc>
      </w:tr>
    </w:tbl>
    <w:p>
      <w:pPr>
        <w:tabs>
          <w:tab w:val="left" w:pos="5580"/>
        </w:tabs>
        <w:adjustRightInd w:val="0"/>
        <w:spacing w:line="360" w:lineRule="auto"/>
        <w:jc w:val="distribute"/>
        <w:rPr>
          <w:rFonts w:eastAsia="宋体"/>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rFonts w:eastAsia="宋体"/>
          <w:b/>
          <w:sz w:val="28"/>
          <w:szCs w:val="28"/>
        </w:rPr>
      </w:pPr>
      <w:r>
        <w:rPr>
          <w:rFonts w:eastAsia="宋体"/>
          <w:b/>
          <w:sz w:val="28"/>
          <w:szCs w:val="28"/>
        </w:rPr>
        <w:t>供应商须知</w:t>
      </w:r>
    </w:p>
    <w:p>
      <w:pPr>
        <w:pStyle w:val="4"/>
        <w:tabs>
          <w:tab w:val="center" w:pos="4592"/>
          <w:tab w:val="left" w:pos="7860"/>
        </w:tabs>
        <w:spacing w:before="0" w:line="360" w:lineRule="auto"/>
        <w:jc w:val="left"/>
        <w:rPr>
          <w:rFonts w:ascii="Times New Roman" w:hAnsi="Times New Roman" w:eastAsia="宋体"/>
          <w:sz w:val="28"/>
        </w:rPr>
      </w:pPr>
      <w:bookmarkStart w:id="71" w:name="_Toc127151518"/>
      <w:bookmarkStart w:id="72" w:name="_Toc520356143"/>
      <w:r>
        <w:rPr>
          <w:rFonts w:ascii="Times New Roman" w:hAnsi="Times New Roman" w:eastAsia="宋体"/>
          <w:sz w:val="28"/>
        </w:rPr>
        <w:tab/>
      </w:r>
      <w:bookmarkStart w:id="73" w:name="_Toc151193688"/>
      <w:bookmarkStart w:id="74" w:name="_Toc150480756"/>
      <w:bookmarkStart w:id="75" w:name="_Toc305158786"/>
      <w:bookmarkStart w:id="76" w:name="_Toc150509269"/>
      <w:bookmarkStart w:id="77" w:name="_Toc150774618"/>
      <w:bookmarkStart w:id="78" w:name="_Toc195842883"/>
      <w:bookmarkStart w:id="79" w:name="_Toc151193760"/>
      <w:bookmarkStart w:id="80" w:name="_Toc151193616"/>
      <w:bookmarkStart w:id="81" w:name="_Toc265228356"/>
      <w:bookmarkStart w:id="82" w:name="_Toc226309762"/>
      <w:bookmarkStart w:id="83" w:name="_Toc305158860"/>
      <w:bookmarkStart w:id="84" w:name="_Toc151193832"/>
      <w:bookmarkStart w:id="85" w:name="_Toc226965708"/>
      <w:bookmarkStart w:id="86" w:name="_Toc142311020"/>
      <w:bookmarkStart w:id="87" w:name="_Toc151190145"/>
      <w:bookmarkStart w:id="88" w:name="_Toc226337214"/>
      <w:bookmarkStart w:id="89" w:name="_Toc151193906"/>
      <w:bookmarkStart w:id="90" w:name="_Toc226965791"/>
      <w:bookmarkStart w:id="91" w:name="_Toc150774723"/>
      <w:bookmarkStart w:id="92" w:name="_Toc264969208"/>
      <w:r>
        <w:rPr>
          <w:rFonts w:ascii="Times New Roman" w:hAnsi="Times New Roman" w:eastAsia="宋体"/>
          <w:sz w:val="28"/>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eastAsia="宋体"/>
          <w:sz w:val="28"/>
        </w:rPr>
        <w:tab/>
      </w:r>
    </w:p>
    <w:p>
      <w:pPr>
        <w:numPr>
          <w:ilvl w:val="0"/>
          <w:numId w:val="8"/>
        </w:numPr>
        <w:tabs>
          <w:tab w:val="clear" w:pos="900"/>
        </w:tabs>
        <w:snapToGrid w:val="0"/>
        <w:spacing w:line="360" w:lineRule="auto"/>
        <w:ind w:left="357" w:hanging="357"/>
        <w:outlineLvl w:val="1"/>
        <w:rPr>
          <w:rFonts w:eastAsia="宋体"/>
          <w:sz w:val="24"/>
        </w:rPr>
      </w:pPr>
      <w:bookmarkStart w:id="93" w:name="_Toc305158861"/>
      <w:bookmarkStart w:id="94" w:name="_Toc265228357"/>
      <w:bookmarkStart w:id="95" w:name="_Toc264969209"/>
      <w:bookmarkStart w:id="96" w:name="_Toc305158787"/>
      <w:r>
        <w:rPr>
          <w:rFonts w:eastAsia="宋体"/>
          <w:sz w:val="24"/>
        </w:rPr>
        <w:t>采购人、采购代理机构、供应商</w:t>
      </w:r>
      <w:bookmarkEnd w:id="93"/>
      <w:bookmarkEnd w:id="94"/>
      <w:bookmarkEnd w:id="95"/>
      <w:bookmarkEnd w:id="96"/>
      <w:r>
        <w:rPr>
          <w:rFonts w:eastAsia="宋体"/>
          <w:sz w:val="24"/>
        </w:rPr>
        <w:t>、联合体</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pPr>
        <w:numPr>
          <w:ilvl w:val="0"/>
          <w:numId w:val="8"/>
        </w:numPr>
        <w:tabs>
          <w:tab w:val="clear" w:pos="900"/>
        </w:tabs>
        <w:snapToGrid w:val="0"/>
        <w:spacing w:line="360" w:lineRule="auto"/>
        <w:ind w:left="357" w:hanging="357"/>
        <w:outlineLvl w:val="1"/>
        <w:rPr>
          <w:rFonts w:eastAsia="宋体"/>
          <w:sz w:val="24"/>
        </w:rPr>
      </w:pPr>
      <w:bookmarkStart w:id="97" w:name="_Toc264969210"/>
      <w:bookmarkStart w:id="98" w:name="_Toc127151721"/>
      <w:bookmarkStart w:id="99" w:name="_Toc164351614"/>
      <w:bookmarkStart w:id="100" w:name="_Toc151193690"/>
      <w:bookmarkStart w:id="101" w:name="_Toc142311022"/>
      <w:bookmarkStart w:id="102" w:name="_Toc151193908"/>
      <w:bookmarkStart w:id="103" w:name="_Toc226337216"/>
      <w:bookmarkStart w:id="104" w:name="_Toc151193618"/>
      <w:bookmarkStart w:id="105" w:name="_Toc151190147"/>
      <w:bookmarkStart w:id="106" w:name="_Toc164229215"/>
      <w:bookmarkStart w:id="107" w:name="_Toc305158788"/>
      <w:bookmarkStart w:id="108" w:name="_Toc195842885"/>
      <w:bookmarkStart w:id="109" w:name="_Toc150774725"/>
      <w:bookmarkStart w:id="110" w:name="_Toc164608634"/>
      <w:bookmarkStart w:id="111" w:name="_Toc305158862"/>
      <w:bookmarkStart w:id="112" w:name="_Toc164229361"/>
      <w:bookmarkStart w:id="113" w:name="_Toc127161434"/>
      <w:bookmarkStart w:id="114" w:name="_Toc150480758"/>
      <w:bookmarkStart w:id="115" w:name="_Toc149720813"/>
      <w:bookmarkStart w:id="116" w:name="_Toc127151520"/>
      <w:bookmarkStart w:id="117" w:name="_Toc150774620"/>
      <w:bookmarkStart w:id="118" w:name="_Toc226965793"/>
      <w:bookmarkStart w:id="119" w:name="_Toc226965710"/>
      <w:bookmarkStart w:id="120" w:name="_Toc150509271"/>
      <w:bookmarkStart w:id="121" w:name="_Toc265228358"/>
      <w:bookmarkStart w:id="122" w:name="_Toc164608789"/>
      <w:bookmarkStart w:id="123" w:name="_Toc151193834"/>
      <w:bookmarkStart w:id="124" w:name="_Toc151193762"/>
      <w:bookmarkStart w:id="125" w:name="_Toc226309764"/>
      <w:r>
        <w:rPr>
          <w:rFonts w:eastAsia="宋体"/>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eastAsia="宋体"/>
          <w:sz w:val="24"/>
        </w:rPr>
        <w:t>、项目属性、科研仪器设备采购</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6" w:name="_Toc151193836"/>
      <w:bookmarkStart w:id="127" w:name="_Toc226965712"/>
      <w:bookmarkStart w:id="128" w:name="_Toc150509273"/>
      <w:bookmarkStart w:id="129" w:name="_Toc151193764"/>
      <w:bookmarkStart w:id="130" w:name="_Toc127151522"/>
      <w:bookmarkStart w:id="131" w:name="_Toc305158864"/>
      <w:bookmarkStart w:id="132" w:name="_Toc150480760"/>
      <w:bookmarkStart w:id="133" w:name="_Toc264969212"/>
      <w:bookmarkStart w:id="134" w:name="_Toc520356146"/>
      <w:bookmarkStart w:id="135" w:name="_Toc150774727"/>
      <w:bookmarkStart w:id="136" w:name="_Toc226309766"/>
      <w:bookmarkStart w:id="137" w:name="_Toc226965795"/>
      <w:bookmarkStart w:id="138" w:name="_Toc195842887"/>
      <w:bookmarkStart w:id="139" w:name="_Toc265228360"/>
      <w:bookmarkStart w:id="140" w:name="_Toc151193620"/>
      <w:bookmarkStart w:id="141" w:name="_Toc151193910"/>
      <w:bookmarkStart w:id="142" w:name="_Toc150774622"/>
      <w:bookmarkStart w:id="143" w:name="_Toc226337218"/>
      <w:bookmarkStart w:id="144" w:name="_Toc142311024"/>
      <w:bookmarkStart w:id="145" w:name="_Toc151190149"/>
      <w:bookmarkStart w:id="146" w:name="_Toc151193692"/>
      <w:bookmarkStart w:id="147" w:name="_Toc305158790"/>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pPr>
        <w:numPr>
          <w:ilvl w:val="1"/>
          <w:numId w:val="8"/>
        </w:numPr>
        <w:tabs>
          <w:tab w:val="left" w:pos="1080"/>
          <w:tab w:val="left" w:pos="2014"/>
        </w:tabs>
        <w:snapToGrid w:val="0"/>
        <w:spacing w:line="360" w:lineRule="auto"/>
        <w:ind w:left="1080" w:hanging="720"/>
        <w:rPr>
          <w:rFonts w:eastAsia="宋体"/>
          <w:sz w:val="24"/>
        </w:rPr>
      </w:pPr>
      <w:r>
        <w:rPr>
          <w:sz w:val="24"/>
        </w:rPr>
        <w:t>采购本国货物、工程和服务</w:t>
      </w:r>
    </w:p>
    <w:p>
      <w:pPr>
        <w:numPr>
          <w:ilvl w:val="2"/>
          <w:numId w:val="8"/>
        </w:numPr>
        <w:tabs>
          <w:tab w:val="left" w:pos="2014"/>
        </w:tabs>
        <w:snapToGrid w:val="0"/>
        <w:spacing w:line="360" w:lineRule="auto"/>
        <w:rPr>
          <w:rFonts w:eastAsia="宋体"/>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8"/>
        </w:numPr>
        <w:tabs>
          <w:tab w:val="left" w:pos="2014"/>
        </w:tabs>
        <w:snapToGrid w:val="0"/>
        <w:spacing w:line="360" w:lineRule="auto"/>
        <w:rPr>
          <w:rFonts w:eastAsia="宋体"/>
          <w:sz w:val="24"/>
        </w:rPr>
      </w:pPr>
      <w:r>
        <w:rPr>
          <w:sz w:val="24"/>
        </w:rPr>
        <w:t>本项目如接受非本国货物、工程、服务参与投标，则具体要求见第四章《采购需求》。</w:t>
      </w:r>
    </w:p>
    <w:p>
      <w:pPr>
        <w:numPr>
          <w:ilvl w:val="2"/>
          <w:numId w:val="8"/>
        </w:numPr>
        <w:tabs>
          <w:tab w:val="left" w:pos="2014"/>
        </w:tabs>
        <w:snapToGrid w:val="0"/>
        <w:spacing w:line="360" w:lineRule="auto"/>
        <w:rPr>
          <w:rFonts w:eastAsia="宋体"/>
          <w:sz w:val="24"/>
        </w:rPr>
      </w:pPr>
      <w:r>
        <w:rPr>
          <w:rFonts w:eastAsia="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pPr>
        <w:numPr>
          <w:ilvl w:val="2"/>
          <w:numId w:val="8"/>
        </w:numPr>
        <w:snapToGrid w:val="0"/>
        <w:spacing w:line="360" w:lineRule="auto"/>
        <w:rPr>
          <w:rFonts w:eastAsia="宋体"/>
          <w:vanish/>
          <w:color w:val="000000"/>
          <w:sz w:val="24"/>
        </w:rPr>
      </w:pPr>
      <w:r>
        <w:rPr>
          <w:rFonts w:eastAsia="宋体"/>
          <w:sz w:val="24"/>
        </w:rPr>
        <w:t>中小企业定义：</w:t>
      </w:r>
    </w:p>
    <w:p>
      <w:pPr>
        <w:tabs>
          <w:tab w:val="left" w:pos="1980"/>
          <w:tab w:val="left" w:pos="2035"/>
          <w:tab w:val="left" w:pos="2885"/>
          <w:tab w:val="left" w:pos="2977"/>
        </w:tabs>
        <w:snapToGrid w:val="0"/>
        <w:spacing w:line="360" w:lineRule="auto"/>
        <w:ind w:left="2886" w:hanging="901"/>
        <w:rPr>
          <w:rFonts w:eastAsia="宋体"/>
          <w:color w:val="000000"/>
          <w:sz w:val="24"/>
        </w:rPr>
      </w:pPr>
      <w:r>
        <w:rPr>
          <w:rFonts w:hint="eastAsia" w:eastAsia="宋体"/>
          <w:color w:val="000000"/>
          <w:sz w:val="24"/>
        </w:rPr>
        <w:t xml:space="preserve">4.2.1.1  </w:t>
      </w:r>
      <w:r>
        <w:rPr>
          <w:rFonts w:eastAsia="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sz w:val="24"/>
        </w:rPr>
        <w:t>《关于进一步加大政府采购支持中小企业力度的通知》（财库〔2022〕19号）、</w:t>
      </w:r>
      <w:r>
        <w:rPr>
          <w:rFonts w:eastAsia="宋体"/>
          <w:color w:val="000000"/>
          <w:sz w:val="24"/>
        </w:rPr>
        <w:t>《政府采购促进中小企业发展管理办法》（财库〔2020〕46号）、《关于印发中小企业划型标准规定的通知》（工信部联企业〔2011〕300 号）。</w:t>
      </w:r>
    </w:p>
    <w:p>
      <w:pPr>
        <w:tabs>
          <w:tab w:val="left" w:pos="1980"/>
          <w:tab w:val="left" w:pos="2035"/>
          <w:tab w:val="left" w:pos="2885"/>
          <w:tab w:val="left" w:pos="2977"/>
        </w:tabs>
        <w:snapToGrid w:val="0"/>
        <w:spacing w:line="360" w:lineRule="auto"/>
        <w:ind w:left="2886" w:hanging="901"/>
        <w:rPr>
          <w:rFonts w:eastAsia="宋体"/>
          <w:color w:val="000000"/>
          <w:sz w:val="24"/>
        </w:rPr>
      </w:pPr>
      <w:r>
        <w:rPr>
          <w:rFonts w:hint="eastAsia" w:eastAsia="宋体"/>
          <w:sz w:val="24"/>
        </w:rPr>
        <w:t xml:space="preserve">4.2.1.2  </w:t>
      </w:r>
      <w:r>
        <w:rPr>
          <w:rFonts w:eastAsia="宋体"/>
          <w:sz w:val="24"/>
        </w:rPr>
        <w:t>供应商提供的货物、工程或者服务符合下列情形的，享受中小企业扶持政策：</w:t>
      </w:r>
    </w:p>
    <w:p>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pPr>
        <w:tabs>
          <w:tab w:val="left" w:pos="1980"/>
          <w:tab w:val="left" w:pos="2035"/>
          <w:tab w:val="left" w:pos="2885"/>
          <w:tab w:val="left" w:pos="2977"/>
        </w:tabs>
        <w:snapToGrid w:val="0"/>
        <w:spacing w:line="360" w:lineRule="auto"/>
        <w:ind w:left="2886" w:hanging="901"/>
        <w:rPr>
          <w:rFonts w:eastAsia="宋体"/>
          <w:sz w:val="24"/>
        </w:rPr>
      </w:pPr>
      <w:r>
        <w:rPr>
          <w:rFonts w:hint="eastAsia" w:eastAsia="宋体"/>
          <w:sz w:val="24"/>
        </w:rPr>
        <w:t xml:space="preserve">4.2.1.3  </w:t>
      </w:r>
      <w:r>
        <w:rPr>
          <w:rFonts w:eastAsia="宋体"/>
          <w:sz w:val="24"/>
        </w:rPr>
        <w:t>在货物采购项目中，供应商提供的货物既有中小企业制造货物，也有大型企业制造货物的，不享受中小企业扶持政策。</w:t>
      </w:r>
    </w:p>
    <w:p>
      <w:pPr>
        <w:tabs>
          <w:tab w:val="left" w:pos="1980"/>
          <w:tab w:val="left" w:pos="2035"/>
          <w:tab w:val="left" w:pos="2885"/>
          <w:tab w:val="left" w:pos="2977"/>
        </w:tabs>
        <w:snapToGrid w:val="0"/>
        <w:spacing w:line="360" w:lineRule="auto"/>
        <w:ind w:left="2886" w:hanging="901"/>
        <w:rPr>
          <w:rFonts w:eastAsia="宋体"/>
          <w:sz w:val="24"/>
        </w:rPr>
      </w:pPr>
      <w:r>
        <w:rPr>
          <w:rFonts w:hint="eastAsia" w:eastAsia="宋体"/>
          <w:color w:val="000000"/>
          <w:sz w:val="24"/>
        </w:rPr>
        <w:t xml:space="preserve">4.2.1.4  </w:t>
      </w:r>
      <w:r>
        <w:rPr>
          <w:rFonts w:eastAsia="宋体"/>
          <w:color w:val="000000"/>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eastAsia="宋体"/>
          <w:sz w:val="24"/>
        </w:rPr>
      </w:pPr>
      <w:r>
        <w:rPr>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eastAsia="宋体"/>
          <w:vanish/>
          <w:color w:val="000000"/>
          <w:sz w:val="24"/>
        </w:rPr>
      </w:pPr>
      <w:r>
        <w:rPr>
          <w:sz w:val="24"/>
        </w:rPr>
        <w:t>在政府采购活动中，残疾人福利性单位视同小型、微型企业，享受预留份额、评审中价格扣除等促进中小企业发展的政府采购政策。</w:t>
      </w:r>
      <w:r>
        <w:rPr>
          <w:rFonts w:eastAsia="宋体"/>
          <w:sz w:val="24"/>
        </w:rPr>
        <w:t>残疾人福利性单位定义：享受政府采购支持政策的残疾人福利性单位应当同时满足以下条件：</w:t>
      </w:r>
    </w:p>
    <w:p>
      <w:pPr>
        <w:tabs>
          <w:tab w:val="left" w:pos="1980"/>
          <w:tab w:val="left" w:pos="2035"/>
          <w:tab w:val="left" w:pos="2885"/>
          <w:tab w:val="left" w:pos="2977"/>
        </w:tabs>
        <w:snapToGrid w:val="0"/>
        <w:spacing w:line="360" w:lineRule="auto"/>
        <w:ind w:left="2886" w:hanging="901"/>
        <w:rPr>
          <w:rFonts w:eastAsia="宋体"/>
          <w:color w:val="000000"/>
          <w:sz w:val="24"/>
        </w:rPr>
      </w:pPr>
      <w:r>
        <w:rPr>
          <w:rFonts w:hint="eastAsia" w:eastAsia="宋体"/>
          <w:color w:val="000000"/>
          <w:sz w:val="24"/>
        </w:rPr>
        <w:t xml:space="preserve">4.2.3.1  </w:t>
      </w:r>
      <w:r>
        <w:rPr>
          <w:rFonts w:eastAsia="宋体"/>
          <w:color w:val="000000"/>
          <w:sz w:val="24"/>
        </w:rPr>
        <w:t>安置的残疾人占本单位在职职工人数的比例不低于25%（含25%），并且安置的残疾人人数不少于10 人（含10 人）；</w:t>
      </w:r>
    </w:p>
    <w:p>
      <w:pPr>
        <w:tabs>
          <w:tab w:val="left" w:pos="1980"/>
          <w:tab w:val="left" w:pos="2035"/>
          <w:tab w:val="left" w:pos="2885"/>
          <w:tab w:val="left" w:pos="2977"/>
        </w:tabs>
        <w:snapToGrid w:val="0"/>
        <w:spacing w:line="360" w:lineRule="auto"/>
        <w:ind w:left="2886" w:hanging="901"/>
        <w:rPr>
          <w:rFonts w:eastAsia="宋体"/>
          <w:color w:val="000000"/>
          <w:sz w:val="24"/>
        </w:rPr>
      </w:pPr>
      <w:r>
        <w:rPr>
          <w:rFonts w:hint="eastAsia" w:eastAsia="宋体"/>
          <w:sz w:val="24"/>
        </w:rPr>
        <w:t xml:space="preserve">4.2.3.2  </w:t>
      </w:r>
      <w:r>
        <w:rPr>
          <w:rFonts w:eastAsia="宋体"/>
          <w:sz w:val="24"/>
        </w:rPr>
        <w:t>依法与安置的每位残疾人签订了一年以上（含一年）的劳动合同或服务协议；</w:t>
      </w:r>
    </w:p>
    <w:p>
      <w:pPr>
        <w:tabs>
          <w:tab w:val="left" w:pos="1980"/>
          <w:tab w:val="left" w:pos="2035"/>
          <w:tab w:val="left" w:pos="2885"/>
          <w:tab w:val="left" w:pos="2977"/>
        </w:tabs>
        <w:snapToGrid w:val="0"/>
        <w:spacing w:line="360" w:lineRule="auto"/>
        <w:ind w:left="2886" w:hanging="901"/>
        <w:rPr>
          <w:rFonts w:eastAsia="宋体"/>
          <w:color w:val="000000"/>
          <w:sz w:val="24"/>
        </w:rPr>
      </w:pPr>
      <w:r>
        <w:rPr>
          <w:rFonts w:hint="eastAsia" w:eastAsia="宋体"/>
          <w:sz w:val="24"/>
        </w:rPr>
        <w:t xml:space="preserve">4.2.3.3  </w:t>
      </w:r>
      <w:r>
        <w:rPr>
          <w:rFonts w:eastAsia="宋体"/>
          <w:sz w:val="24"/>
        </w:rPr>
        <w:t>为安置的每位残疾人按月足额缴纳了基本养老保险、基本医疗保险、失业保险、工伤保险和生育保险等社会保险费；</w:t>
      </w:r>
    </w:p>
    <w:p>
      <w:pPr>
        <w:tabs>
          <w:tab w:val="left" w:pos="1980"/>
          <w:tab w:val="left" w:pos="2035"/>
          <w:tab w:val="left" w:pos="2885"/>
          <w:tab w:val="left" w:pos="2977"/>
        </w:tabs>
        <w:snapToGrid w:val="0"/>
        <w:spacing w:line="360" w:lineRule="auto"/>
        <w:ind w:left="2886" w:hanging="901"/>
        <w:rPr>
          <w:rFonts w:eastAsia="宋体"/>
          <w:color w:val="000000"/>
          <w:sz w:val="24"/>
        </w:rPr>
      </w:pPr>
      <w:r>
        <w:rPr>
          <w:rFonts w:hint="eastAsia" w:eastAsia="宋体"/>
          <w:sz w:val="24"/>
        </w:rPr>
        <w:t xml:space="preserve">4.2.3.4  </w:t>
      </w:r>
      <w:r>
        <w:rPr>
          <w:rFonts w:eastAsia="宋体"/>
          <w:sz w:val="24"/>
        </w:rPr>
        <w:t>通过银行等金融机构向安置的每位残疾人，按月支付了不低于单位所在区县适用的经省级人民政府批准的月最低工资标准的工资；</w:t>
      </w:r>
    </w:p>
    <w:p>
      <w:pPr>
        <w:tabs>
          <w:tab w:val="left" w:pos="1980"/>
          <w:tab w:val="left" w:pos="2035"/>
          <w:tab w:val="left" w:pos="2885"/>
          <w:tab w:val="left" w:pos="2977"/>
        </w:tabs>
        <w:snapToGrid w:val="0"/>
        <w:spacing w:line="360" w:lineRule="auto"/>
        <w:ind w:left="2886" w:hanging="901"/>
        <w:rPr>
          <w:rFonts w:eastAsia="宋体"/>
          <w:color w:val="000000"/>
          <w:sz w:val="24"/>
        </w:rPr>
      </w:pPr>
      <w:r>
        <w:rPr>
          <w:rFonts w:hint="eastAsia" w:eastAsia="宋体"/>
          <w:sz w:val="24"/>
        </w:rPr>
        <w:t xml:space="preserve">4.2.3.5  </w:t>
      </w:r>
      <w:r>
        <w:rPr>
          <w:rFonts w:eastAsia="宋体"/>
          <w:sz w:val="24"/>
        </w:rPr>
        <w:t>提供本单位制造的货物、承担的工程或者服务（以下简称产品），或者提供其他残疾人福利性单位制造的货物（不包括使用非残疾人福利性单位注册商标的货物）；</w:t>
      </w:r>
    </w:p>
    <w:p>
      <w:pPr>
        <w:tabs>
          <w:tab w:val="left" w:pos="1980"/>
          <w:tab w:val="left" w:pos="2035"/>
          <w:tab w:val="left" w:pos="2885"/>
          <w:tab w:val="left" w:pos="2977"/>
        </w:tabs>
        <w:snapToGrid w:val="0"/>
        <w:spacing w:line="360" w:lineRule="auto"/>
        <w:ind w:left="2886" w:hanging="901"/>
        <w:rPr>
          <w:rFonts w:eastAsia="宋体"/>
          <w:color w:val="000000"/>
          <w:sz w:val="24"/>
        </w:rPr>
      </w:pPr>
      <w:r>
        <w:rPr>
          <w:rFonts w:hint="eastAsia" w:eastAsia="宋体"/>
          <w:sz w:val="24"/>
        </w:rPr>
        <w:t xml:space="preserve">4.2.3.6  </w:t>
      </w: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pPr>
        <w:numPr>
          <w:ilvl w:val="2"/>
          <w:numId w:val="8"/>
        </w:numPr>
        <w:snapToGrid w:val="0"/>
        <w:spacing w:line="360" w:lineRule="auto"/>
        <w:rPr>
          <w:rFonts w:eastAsia="宋体"/>
          <w:sz w:val="24"/>
        </w:rPr>
      </w:pPr>
      <w:r>
        <w:rPr>
          <w:rFonts w:eastAsia="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宋体"/>
          <w:kern w:val="0"/>
          <w:sz w:val="24"/>
        </w:rPr>
        <w:t>否则</w:t>
      </w:r>
      <w:r>
        <w:rPr>
          <w:rFonts w:eastAsia="宋体"/>
          <w:b/>
          <w:kern w:val="0"/>
          <w:sz w:val="24"/>
        </w:rPr>
        <w:t>响应无效</w:t>
      </w:r>
      <w:r>
        <w:rPr>
          <w:rFonts w:eastAsia="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网络安全专用产品</w:t>
      </w:r>
    </w:p>
    <w:p>
      <w:pPr>
        <w:numPr>
          <w:ilvl w:val="2"/>
          <w:numId w:val="8"/>
        </w:numPr>
        <w:tabs>
          <w:tab w:val="left" w:pos="2014"/>
        </w:tabs>
        <w:snapToGrid w:val="0"/>
        <w:spacing w:line="360" w:lineRule="auto"/>
        <w:rPr>
          <w:rFonts w:eastAsia="宋体"/>
          <w:sz w:val="24"/>
        </w:rPr>
      </w:pPr>
      <w:r>
        <w:rPr>
          <w:rFonts w:eastAsia="宋体"/>
          <w:sz w:val="24"/>
        </w:rPr>
        <w:t>所投产品属于</w:t>
      </w:r>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pPr>
        <w:numPr>
          <w:ilvl w:val="1"/>
          <w:numId w:val="8"/>
        </w:numPr>
        <w:tabs>
          <w:tab w:val="left" w:pos="1080"/>
        </w:tabs>
        <w:snapToGrid w:val="0"/>
        <w:spacing w:line="360" w:lineRule="auto"/>
        <w:rPr>
          <w:sz w:val="24"/>
        </w:rPr>
      </w:pPr>
      <w:r>
        <w:rPr>
          <w:sz w:val="24"/>
        </w:rPr>
        <w:t>采购需求标准</w:t>
      </w:r>
    </w:p>
    <w:p>
      <w:pPr>
        <w:numPr>
          <w:ilvl w:val="2"/>
          <w:numId w:val="8"/>
        </w:numPr>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numPr>
          <w:ilvl w:val="2"/>
          <w:numId w:val="8"/>
        </w:numPr>
        <w:tabs>
          <w:tab w:val="left" w:pos="2014"/>
        </w:tabs>
        <w:snapToGrid w:val="0"/>
        <w:spacing w:line="360" w:lineRule="auto"/>
        <w:rPr>
          <w:sz w:val="24"/>
        </w:rPr>
      </w:pPr>
      <w:r>
        <w:rPr>
          <w:sz w:val="24"/>
        </w:rPr>
        <w:t>绿色数据中心政府采购需求标准（试行）</w:t>
      </w:r>
    </w:p>
    <w:p>
      <w:pPr>
        <w:tabs>
          <w:tab w:val="left" w:pos="900"/>
          <w:tab w:val="left" w:pos="1980"/>
        </w:tabs>
        <w:snapToGrid w:val="0"/>
        <w:spacing w:line="360" w:lineRule="auto"/>
        <w:ind w:left="1980"/>
        <w:rPr>
          <w:rFonts w:eastAsia="宋体"/>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宋体"/>
          <w:sz w:val="28"/>
        </w:rPr>
      </w:pPr>
      <w:bookmarkStart w:id="148" w:name="_1.8_计量单位"/>
      <w:bookmarkEnd w:id="148"/>
    </w:p>
    <w:p>
      <w:pPr>
        <w:pStyle w:val="4"/>
        <w:spacing w:before="0" w:line="360" w:lineRule="auto"/>
        <w:rPr>
          <w:rFonts w:ascii="Times New Roman" w:hAnsi="Times New Roman" w:eastAsia="宋体"/>
          <w:sz w:val="28"/>
        </w:rPr>
      </w:pPr>
      <w:r>
        <w:rPr>
          <w:rFonts w:ascii="Times New Roman" w:hAnsi="Times New Roman" w:eastAsia="宋体"/>
          <w:sz w:val="28"/>
        </w:rPr>
        <w:t>二   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numPr>
          <w:ilvl w:val="0"/>
          <w:numId w:val="8"/>
        </w:numPr>
        <w:tabs>
          <w:tab w:val="left" w:pos="360"/>
        </w:tabs>
        <w:snapToGrid w:val="0"/>
        <w:spacing w:line="360" w:lineRule="auto"/>
        <w:ind w:left="357" w:hanging="357"/>
        <w:outlineLvl w:val="1"/>
        <w:rPr>
          <w:rFonts w:eastAsia="宋体"/>
          <w:sz w:val="24"/>
        </w:rPr>
      </w:pPr>
      <w:bookmarkStart w:id="149" w:name="_Toc151190150"/>
      <w:bookmarkStart w:id="150" w:name="_Toc520356147"/>
      <w:bookmarkStart w:id="151" w:name="_Toc150509274"/>
      <w:bookmarkStart w:id="152" w:name="_Toc305158865"/>
      <w:bookmarkStart w:id="153" w:name="_Toc127151724"/>
      <w:bookmarkStart w:id="154" w:name="_Toc151193765"/>
      <w:bookmarkStart w:id="155" w:name="_Toc164229218"/>
      <w:bookmarkStart w:id="156" w:name="_Toc164608637"/>
      <w:bookmarkStart w:id="157" w:name="_Toc151193911"/>
      <w:bookmarkStart w:id="158" w:name="_Toc150774728"/>
      <w:bookmarkStart w:id="159" w:name="_Toc226965796"/>
      <w:bookmarkStart w:id="160" w:name="_Toc127151523"/>
      <w:bookmarkStart w:id="161" w:name="_Toc195842888"/>
      <w:bookmarkStart w:id="162" w:name="_Toc264969213"/>
      <w:bookmarkStart w:id="163" w:name="_Toc265228361"/>
      <w:bookmarkStart w:id="164" w:name="_Toc142311025"/>
      <w:bookmarkStart w:id="165" w:name="_Toc150480761"/>
      <w:bookmarkStart w:id="166" w:name="_Toc151193693"/>
      <w:bookmarkStart w:id="167" w:name="_Toc151193621"/>
      <w:bookmarkStart w:id="168" w:name="_Toc127161437"/>
      <w:bookmarkStart w:id="169" w:name="_Toc164608792"/>
      <w:bookmarkStart w:id="170" w:name="_Toc164351617"/>
      <w:bookmarkStart w:id="171" w:name="_Toc149720816"/>
      <w:bookmarkStart w:id="172" w:name="_Toc226337219"/>
      <w:bookmarkStart w:id="173" w:name="_Toc150774623"/>
      <w:bookmarkStart w:id="174" w:name="_Toc226309767"/>
      <w:bookmarkStart w:id="175" w:name="_Toc226965713"/>
      <w:bookmarkStart w:id="176" w:name="_Toc151193837"/>
      <w:bookmarkStart w:id="177" w:name="_Toc164229364"/>
      <w:bookmarkStart w:id="178" w:name="_Toc305158791"/>
      <w:r>
        <w:rPr>
          <w:rFonts w:eastAsia="宋体"/>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eastAsia="宋体"/>
          <w:sz w:val="24"/>
        </w:rPr>
        <w:t>成</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pPr>
        <w:numPr>
          <w:ilvl w:val="0"/>
          <w:numId w:val="9"/>
        </w:numPr>
        <w:tabs>
          <w:tab w:val="left" w:pos="1980"/>
          <w:tab w:val="left" w:pos="2520"/>
        </w:tabs>
        <w:snapToGrid w:val="0"/>
        <w:spacing w:line="360" w:lineRule="auto"/>
        <w:ind w:left="1440" w:firstLine="5"/>
        <w:rPr>
          <w:rFonts w:eastAsia="宋体"/>
          <w:sz w:val="24"/>
        </w:rPr>
      </w:pPr>
      <w:r>
        <w:rPr>
          <w:rFonts w:eastAsia="宋体"/>
          <w:sz w:val="24"/>
        </w:rPr>
        <w:t>采购邀请</w:t>
      </w:r>
    </w:p>
    <w:p>
      <w:pPr>
        <w:numPr>
          <w:ilvl w:val="0"/>
          <w:numId w:val="9"/>
        </w:numPr>
        <w:tabs>
          <w:tab w:val="left" w:pos="1980"/>
          <w:tab w:val="left" w:pos="2520"/>
        </w:tabs>
        <w:snapToGrid w:val="0"/>
        <w:spacing w:line="360" w:lineRule="auto"/>
        <w:ind w:left="1440" w:firstLine="5"/>
        <w:rPr>
          <w:rFonts w:eastAsia="宋体"/>
          <w:sz w:val="24"/>
        </w:rPr>
      </w:pPr>
      <w:r>
        <w:rPr>
          <w:rFonts w:eastAsia="宋体"/>
          <w:sz w:val="24"/>
        </w:rPr>
        <w:t>供应商须知</w:t>
      </w:r>
    </w:p>
    <w:p>
      <w:pPr>
        <w:numPr>
          <w:ilvl w:val="0"/>
          <w:numId w:val="9"/>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pPr>
        <w:numPr>
          <w:ilvl w:val="0"/>
          <w:numId w:val="9"/>
        </w:numPr>
        <w:tabs>
          <w:tab w:val="left" w:pos="1980"/>
          <w:tab w:val="left" w:pos="2520"/>
        </w:tabs>
        <w:snapToGrid w:val="0"/>
        <w:spacing w:line="360" w:lineRule="auto"/>
        <w:ind w:left="1440" w:firstLine="5"/>
        <w:rPr>
          <w:rFonts w:eastAsia="宋体"/>
          <w:sz w:val="24"/>
        </w:rPr>
      </w:pPr>
      <w:r>
        <w:rPr>
          <w:rFonts w:eastAsia="宋体"/>
          <w:sz w:val="24"/>
        </w:rPr>
        <w:t>采购需求</w:t>
      </w:r>
    </w:p>
    <w:p>
      <w:pPr>
        <w:numPr>
          <w:ilvl w:val="0"/>
          <w:numId w:val="9"/>
        </w:numPr>
        <w:tabs>
          <w:tab w:val="left" w:pos="1980"/>
          <w:tab w:val="left" w:pos="2520"/>
        </w:tabs>
        <w:snapToGrid w:val="0"/>
        <w:spacing w:line="360" w:lineRule="auto"/>
        <w:ind w:left="1440" w:firstLine="5"/>
        <w:rPr>
          <w:rFonts w:eastAsia="宋体"/>
          <w:sz w:val="24"/>
        </w:rPr>
      </w:pPr>
      <w:r>
        <w:rPr>
          <w:rFonts w:eastAsia="宋体"/>
          <w:sz w:val="24"/>
        </w:rPr>
        <w:t>合同草案条款</w:t>
      </w:r>
    </w:p>
    <w:p>
      <w:pPr>
        <w:numPr>
          <w:ilvl w:val="0"/>
          <w:numId w:val="9"/>
        </w:numPr>
        <w:tabs>
          <w:tab w:val="left" w:pos="1980"/>
          <w:tab w:val="left" w:pos="2520"/>
        </w:tabs>
        <w:snapToGrid w:val="0"/>
        <w:spacing w:line="360" w:lineRule="auto"/>
        <w:ind w:left="1440" w:firstLine="5"/>
        <w:rPr>
          <w:rFonts w:eastAsia="宋体"/>
          <w:sz w:val="24"/>
        </w:rPr>
      </w:pPr>
      <w:r>
        <w:rPr>
          <w:rFonts w:eastAsia="宋体"/>
          <w:sz w:val="24"/>
        </w:rPr>
        <w:t>响应文件格式</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宋体"/>
          <w:sz w:val="24"/>
        </w:rPr>
        <w:t>；不足上述时间的，将顺延提交响应文件截止时间。</w:t>
      </w:r>
    </w:p>
    <w:p>
      <w:pPr>
        <w:tabs>
          <w:tab w:val="left" w:pos="1080"/>
          <w:tab w:val="left" w:pos="1561"/>
        </w:tabs>
        <w:snapToGrid w:val="0"/>
        <w:spacing w:line="360" w:lineRule="auto"/>
        <w:ind w:left="1080"/>
        <w:rPr>
          <w:rFonts w:eastAsia="宋体"/>
          <w:sz w:val="28"/>
        </w:rPr>
      </w:pPr>
      <w:bookmarkStart w:id="179" w:name="_Toc516367020"/>
      <w:bookmarkStart w:id="180" w:name="_Toc226309770"/>
      <w:bookmarkStart w:id="181" w:name="_Toc151190153"/>
      <w:bookmarkStart w:id="182" w:name="_Toc520356150"/>
      <w:bookmarkStart w:id="183" w:name="_Toc264969216"/>
      <w:bookmarkStart w:id="184" w:name="_Toc195842891"/>
      <w:bookmarkStart w:id="185" w:name="_Toc150774626"/>
      <w:bookmarkStart w:id="186" w:name="_Toc226965716"/>
      <w:bookmarkStart w:id="187" w:name="_Toc305158868"/>
      <w:bookmarkStart w:id="188" w:name="_Toc305158794"/>
      <w:bookmarkStart w:id="189" w:name="_Toc151193840"/>
      <w:bookmarkStart w:id="190" w:name="_Toc150509277"/>
      <w:bookmarkStart w:id="191" w:name="_Toc151193696"/>
      <w:bookmarkStart w:id="192" w:name="_Toc127151526"/>
      <w:bookmarkStart w:id="193" w:name="_Toc142311028"/>
      <w:bookmarkStart w:id="194" w:name="_Toc151193624"/>
      <w:bookmarkStart w:id="195" w:name="_Toc226337222"/>
      <w:bookmarkStart w:id="196" w:name="_Toc265228364"/>
      <w:bookmarkStart w:id="197" w:name="_Toc150774731"/>
      <w:bookmarkStart w:id="198" w:name="_Toc151193768"/>
      <w:bookmarkStart w:id="199" w:name="_Toc151193914"/>
      <w:bookmarkStart w:id="200" w:name="_Toc226965799"/>
      <w:bookmarkStart w:id="201" w:name="_Toc150480764"/>
    </w:p>
    <w:p>
      <w:pPr>
        <w:pStyle w:val="4"/>
        <w:spacing w:before="0" w:line="360" w:lineRule="auto"/>
        <w:rPr>
          <w:rFonts w:ascii="Times New Roman" w:hAnsi="Times New Roman" w:eastAsia="宋体"/>
          <w:sz w:val="28"/>
        </w:rPr>
      </w:pPr>
      <w:r>
        <w:rPr>
          <w:rFonts w:ascii="Times New Roman" w:hAnsi="Times New Roman" w:eastAsia="宋体"/>
          <w:sz w:val="28"/>
        </w:rPr>
        <w:t>三   响应文件</w:t>
      </w:r>
      <w:bookmarkEnd w:id="179"/>
      <w:r>
        <w:rPr>
          <w:rFonts w:ascii="Times New Roman" w:hAnsi="Times New Roman" w:eastAsia="宋体"/>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numPr>
          <w:ilvl w:val="0"/>
          <w:numId w:val="8"/>
        </w:numPr>
        <w:tabs>
          <w:tab w:val="left" w:pos="360"/>
        </w:tabs>
        <w:snapToGrid w:val="0"/>
        <w:spacing w:line="360" w:lineRule="auto"/>
        <w:ind w:left="357" w:hanging="357"/>
        <w:outlineLvl w:val="1"/>
        <w:rPr>
          <w:rFonts w:eastAsia="宋体"/>
          <w:sz w:val="24"/>
        </w:rPr>
      </w:pPr>
      <w:bookmarkStart w:id="202" w:name="_Toc164229222"/>
      <w:bookmarkStart w:id="203" w:name="_Toc150774627"/>
      <w:bookmarkStart w:id="204" w:name="_Toc151190154"/>
      <w:bookmarkStart w:id="205" w:name="_Toc265228365"/>
      <w:bookmarkStart w:id="206" w:name="_Toc226965717"/>
      <w:bookmarkStart w:id="207" w:name="_Toc150480765"/>
      <w:bookmarkStart w:id="208" w:name="_Toc151193625"/>
      <w:bookmarkStart w:id="209" w:name="_Toc305158869"/>
      <w:bookmarkStart w:id="210" w:name="_Toc151193697"/>
      <w:bookmarkStart w:id="211" w:name="_Toc264969217"/>
      <w:bookmarkStart w:id="212" w:name="_Toc150509278"/>
      <w:bookmarkStart w:id="213" w:name="_Toc226337223"/>
      <w:bookmarkStart w:id="214" w:name="_Toc142311029"/>
      <w:bookmarkStart w:id="215" w:name="_Toc305158795"/>
      <w:bookmarkStart w:id="216" w:name="_Toc516367021"/>
      <w:bookmarkStart w:id="217" w:name="_Toc127161441"/>
      <w:bookmarkStart w:id="218" w:name="_Toc149720820"/>
      <w:bookmarkStart w:id="219" w:name="_Toc127151728"/>
      <w:bookmarkStart w:id="220" w:name="_Toc151193769"/>
      <w:bookmarkStart w:id="221" w:name="_Toc151193841"/>
      <w:bookmarkStart w:id="222" w:name="_Toc164351621"/>
      <w:bookmarkStart w:id="223" w:name="_Toc195842892"/>
      <w:bookmarkStart w:id="224" w:name="_Toc127151527"/>
      <w:bookmarkStart w:id="225" w:name="_Toc164608641"/>
      <w:bookmarkStart w:id="226" w:name="_Toc151193915"/>
      <w:bookmarkStart w:id="227" w:name="_Toc520356151"/>
      <w:bookmarkStart w:id="228" w:name="_Toc226965800"/>
      <w:bookmarkStart w:id="229" w:name="_Toc150774732"/>
      <w:bookmarkStart w:id="230" w:name="_Toc164608796"/>
      <w:bookmarkStart w:id="231" w:name="_Toc226309771"/>
      <w:bookmarkStart w:id="232" w:name="_Toc164229368"/>
      <w:r>
        <w:rPr>
          <w:rFonts w:eastAsia="宋体"/>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eastAsia="宋体"/>
          <w:sz w:val="24"/>
        </w:rPr>
        <w:t>及磋商语言</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宋体"/>
          <w:b/>
          <w:sz w:val="24"/>
        </w:rPr>
        <w:t>无效响应</w:t>
      </w:r>
      <w:r>
        <w:rPr>
          <w:rFonts w:eastAsia="宋体"/>
          <w:sz w:val="24"/>
        </w:rPr>
        <w:t>。</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rFonts w:eastAsia="宋体"/>
          <w:sz w:val="24"/>
        </w:rPr>
      </w:pPr>
      <w:bookmarkStart w:id="233" w:name="_Toc516367022"/>
      <w:bookmarkStart w:id="234" w:name="_Ref467306676"/>
      <w:bookmarkStart w:id="235" w:name="_Ref467306195"/>
      <w:bookmarkStart w:id="236" w:name="_Toc164351622"/>
      <w:bookmarkStart w:id="237" w:name="_Toc127151729"/>
      <w:bookmarkStart w:id="238" w:name="_Toc150509279"/>
      <w:bookmarkStart w:id="239" w:name="_Toc151190155"/>
      <w:bookmarkStart w:id="240" w:name="_Toc127161442"/>
      <w:bookmarkStart w:id="241" w:name="_Toc142311030"/>
      <w:bookmarkStart w:id="242" w:name="_Toc305158870"/>
      <w:bookmarkStart w:id="243" w:name="_Toc195842893"/>
      <w:bookmarkStart w:id="244" w:name="_Toc226965801"/>
      <w:bookmarkStart w:id="245" w:name="_Toc150480766"/>
      <w:bookmarkStart w:id="246" w:name="_Toc164608642"/>
      <w:bookmarkStart w:id="247" w:name="_Toc151193626"/>
      <w:bookmarkStart w:id="248" w:name="_Toc164229369"/>
      <w:bookmarkStart w:id="249" w:name="_Toc150774733"/>
      <w:bookmarkStart w:id="250" w:name="_Toc164229223"/>
      <w:bookmarkStart w:id="251" w:name="_Toc264969218"/>
      <w:bookmarkStart w:id="252" w:name="_Toc265228366"/>
      <w:bookmarkStart w:id="253" w:name="_Toc127151528"/>
      <w:bookmarkStart w:id="254" w:name="_Toc226337224"/>
      <w:bookmarkStart w:id="255" w:name="_Toc226309772"/>
      <w:bookmarkStart w:id="256" w:name="_Toc305158796"/>
      <w:bookmarkStart w:id="257" w:name="_Toc151193770"/>
      <w:bookmarkStart w:id="258" w:name="_Toc149720821"/>
      <w:bookmarkStart w:id="259" w:name="_Toc164608797"/>
      <w:bookmarkStart w:id="260" w:name="_Toc151193842"/>
      <w:bookmarkStart w:id="261" w:name="_Toc151193916"/>
      <w:bookmarkStart w:id="262" w:name="_Toc520356152"/>
      <w:bookmarkStart w:id="263" w:name="_Toc150774628"/>
      <w:bookmarkStart w:id="264" w:name="_Toc226965718"/>
      <w:bookmarkStart w:id="265" w:name="_Toc151193698"/>
      <w:r>
        <w:rPr>
          <w:rFonts w:eastAsia="宋体"/>
          <w:sz w:val="24"/>
        </w:rPr>
        <w:t>响应文件</w:t>
      </w:r>
      <w:bookmarkEnd w:id="233"/>
      <w:bookmarkEnd w:id="234"/>
      <w:bookmarkEnd w:id="235"/>
      <w:r>
        <w:rPr>
          <w:rFonts w:eastAsia="宋体"/>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numPr>
          <w:ilvl w:val="1"/>
          <w:numId w:val="8"/>
        </w:numPr>
        <w:tabs>
          <w:tab w:val="left" w:pos="1080"/>
          <w:tab w:val="left" w:pos="2014"/>
        </w:tabs>
        <w:snapToGrid w:val="0"/>
        <w:spacing w:line="360" w:lineRule="auto"/>
        <w:ind w:left="1077" w:hanging="720"/>
        <w:rPr>
          <w:rFonts w:eastAsia="宋体"/>
          <w:sz w:val="24"/>
        </w:rPr>
      </w:pPr>
      <w:bookmarkStart w:id="266"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6"/>
    </w:p>
    <w:p>
      <w:pPr>
        <w:numPr>
          <w:ilvl w:val="0"/>
          <w:numId w:val="8"/>
        </w:numPr>
        <w:tabs>
          <w:tab w:val="left" w:pos="360"/>
        </w:tabs>
        <w:snapToGrid w:val="0"/>
        <w:spacing w:line="360" w:lineRule="auto"/>
        <w:ind w:left="357" w:hanging="357"/>
        <w:outlineLvl w:val="1"/>
        <w:rPr>
          <w:rFonts w:eastAsia="宋体"/>
          <w:sz w:val="24"/>
        </w:rPr>
      </w:pPr>
      <w:bookmarkStart w:id="267" w:name="_Toc127151530"/>
      <w:bookmarkStart w:id="268" w:name="_Toc151193918"/>
      <w:bookmarkStart w:id="269" w:name="_Toc150774630"/>
      <w:bookmarkStart w:id="270" w:name="_Toc151193628"/>
      <w:bookmarkStart w:id="271" w:name="_Toc150480768"/>
      <w:bookmarkStart w:id="272" w:name="_Toc520356155"/>
      <w:bookmarkStart w:id="273" w:name="_Toc151193772"/>
      <w:bookmarkStart w:id="274" w:name="_Toc151193700"/>
      <w:bookmarkStart w:id="275" w:name="_Toc127161444"/>
      <w:bookmarkStart w:id="276" w:name="_Toc164608799"/>
      <w:bookmarkStart w:id="277" w:name="_Toc164229371"/>
      <w:bookmarkStart w:id="278" w:name="_Toc164229225"/>
      <w:bookmarkStart w:id="279" w:name="_Toc127151731"/>
      <w:bookmarkStart w:id="280" w:name="_Toc195842895"/>
      <w:bookmarkStart w:id="281" w:name="_Toc164608644"/>
      <w:bookmarkStart w:id="282" w:name="_Toc151190157"/>
      <w:bookmarkStart w:id="283" w:name="_Toc151193844"/>
      <w:bookmarkStart w:id="284" w:name="_Toc164351624"/>
      <w:bookmarkStart w:id="285" w:name="_Toc142311032"/>
      <w:bookmarkStart w:id="286" w:name="_Toc150774735"/>
      <w:bookmarkStart w:id="287" w:name="_Toc150509281"/>
      <w:bookmarkStart w:id="288" w:name="_Toc149720823"/>
      <w:r>
        <w:rPr>
          <w:rFonts w:eastAsia="宋体"/>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所有响应均以人民币报价。</w:t>
      </w:r>
    </w:p>
    <w:p>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供应商的报价应包括为完成本项目所发生的一切费用和税费，采购人将不再支付报价以外的任何费用。供应商的报价应包括但不限于下列内容，《供应商须知资料表》中有特殊规定的，从其规定。</w:t>
      </w:r>
    </w:p>
    <w:p>
      <w:pPr>
        <w:numPr>
          <w:ilvl w:val="2"/>
          <w:numId w:val="8"/>
        </w:numPr>
        <w:snapToGrid w:val="0"/>
        <w:spacing w:line="360" w:lineRule="auto"/>
        <w:rPr>
          <w:rFonts w:eastAsia="宋体"/>
          <w:sz w:val="24"/>
        </w:rPr>
      </w:pPr>
      <w:r>
        <w:rPr>
          <w:rFonts w:eastAsia="宋体"/>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rFonts w:eastAsia="宋体"/>
          <w:sz w:val="24"/>
        </w:rPr>
      </w:pPr>
      <w:r>
        <w:rPr>
          <w:rFonts w:eastAsia="宋体"/>
          <w:sz w:val="24"/>
        </w:rPr>
        <w:t>按照竞争性磋商文件要求完成本项目的全部相关费用。</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磋商保证金</w:t>
      </w:r>
      <w:r>
        <w:rPr>
          <w:rFonts w:hint="eastAsia" w:eastAsia="宋体"/>
          <w:color w:val="auto"/>
          <w:sz w:val="24"/>
          <w:highlight w:val="none"/>
        </w:rPr>
        <w:t>本项目不收取磋商保证金。</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color w:val="auto"/>
          <w:sz w:val="24"/>
        </w:rPr>
      </w:pPr>
      <w:bookmarkStart w:id="289" w:name="_Toc520356158"/>
      <w:bookmarkStart w:id="290" w:name="_Toc305158801"/>
      <w:bookmarkStart w:id="291" w:name="_Toc151193775"/>
      <w:bookmarkStart w:id="292" w:name="_Toc226965723"/>
      <w:bookmarkStart w:id="293" w:name="_Toc164229374"/>
      <w:bookmarkStart w:id="294" w:name="_Toc149720826"/>
      <w:bookmarkStart w:id="295" w:name="_Toc305158875"/>
      <w:bookmarkStart w:id="296" w:name="_Toc150480771"/>
      <w:bookmarkStart w:id="297" w:name="_Toc264969223"/>
      <w:bookmarkStart w:id="298" w:name="_Toc265228371"/>
      <w:bookmarkStart w:id="299" w:name="_Toc151193847"/>
      <w:bookmarkStart w:id="300" w:name="_Toc127151533"/>
      <w:bookmarkStart w:id="301" w:name="_Toc150774633"/>
      <w:bookmarkStart w:id="302" w:name="_Toc226337229"/>
      <w:bookmarkStart w:id="303" w:name="_Toc150774738"/>
      <w:bookmarkStart w:id="304" w:name="_Toc195842898"/>
      <w:bookmarkStart w:id="305" w:name="_Toc164608802"/>
      <w:bookmarkStart w:id="306" w:name="_Toc127151734"/>
      <w:bookmarkStart w:id="307" w:name="_Toc151193703"/>
      <w:bookmarkStart w:id="308" w:name="_Toc151190160"/>
      <w:bookmarkStart w:id="309" w:name="_Toc150509284"/>
      <w:bookmarkStart w:id="310" w:name="_Toc164608647"/>
      <w:bookmarkStart w:id="311" w:name="_Toc142311035"/>
      <w:bookmarkStart w:id="312" w:name="_Toc127161447"/>
      <w:bookmarkStart w:id="313" w:name="_Toc164229228"/>
      <w:bookmarkStart w:id="314" w:name="_Toc151193631"/>
      <w:bookmarkStart w:id="315" w:name="_Toc164351627"/>
      <w:bookmarkStart w:id="316" w:name="_Toc151193921"/>
      <w:bookmarkStart w:id="317" w:name="_Toc226965806"/>
      <w:bookmarkStart w:id="318" w:name="_Toc226309777"/>
      <w:r>
        <w:rPr>
          <w:rFonts w:eastAsia="宋体"/>
          <w:color w:val="auto"/>
          <w:sz w:val="24"/>
        </w:rPr>
        <w:t>响应文件的签署</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eastAsia="宋体"/>
          <w:color w:val="auto"/>
          <w:sz w:val="24"/>
        </w:rPr>
        <w:t>、盖章</w:t>
      </w:r>
    </w:p>
    <w:p>
      <w:pPr>
        <w:numPr>
          <w:ilvl w:val="1"/>
          <w:numId w:val="8"/>
        </w:numPr>
        <w:tabs>
          <w:tab w:val="left" w:pos="1080"/>
          <w:tab w:val="left" w:pos="2014"/>
        </w:tabs>
        <w:snapToGrid w:val="0"/>
        <w:spacing w:line="360" w:lineRule="auto"/>
        <w:ind w:left="1077" w:hanging="720"/>
        <w:rPr>
          <w:color w:val="auto"/>
        </w:rPr>
      </w:pPr>
      <w:bookmarkStart w:id="319" w:name="_Toc520356159"/>
      <w:bookmarkStart w:id="320" w:name="_Toc150774739"/>
      <w:bookmarkStart w:id="321" w:name="_Toc265228372"/>
      <w:bookmarkStart w:id="322" w:name="_Toc226965724"/>
      <w:bookmarkStart w:id="323" w:name="_Toc151193704"/>
      <w:bookmarkStart w:id="324" w:name="_Toc195842899"/>
      <w:bookmarkStart w:id="325" w:name="_Toc142311036"/>
      <w:bookmarkStart w:id="326" w:name="_Toc264969224"/>
      <w:bookmarkStart w:id="327" w:name="_Toc150509285"/>
      <w:bookmarkStart w:id="328" w:name="_Toc151193848"/>
      <w:bookmarkStart w:id="329" w:name="_Toc226965807"/>
      <w:bookmarkStart w:id="330" w:name="_Toc226337230"/>
      <w:bookmarkStart w:id="331" w:name="_Toc226309778"/>
      <w:bookmarkStart w:id="332" w:name="_Toc305158876"/>
      <w:bookmarkStart w:id="333" w:name="_Toc150774634"/>
      <w:bookmarkStart w:id="334" w:name="_Toc151193922"/>
      <w:bookmarkStart w:id="335" w:name="_Toc151193776"/>
      <w:bookmarkStart w:id="336" w:name="_Toc150480772"/>
      <w:bookmarkStart w:id="337" w:name="_Toc127151534"/>
      <w:bookmarkStart w:id="338" w:name="_Toc305158802"/>
      <w:bookmarkStart w:id="339" w:name="_Toc151193632"/>
      <w:bookmarkStart w:id="340" w:name="_Toc151190161"/>
      <w:r>
        <w:rPr>
          <w:rFonts w:hint="eastAsia"/>
          <w:color w:val="auto"/>
          <w:sz w:val="24"/>
        </w:rPr>
        <w:t>供应商应按照《供应商须知资料表》规定的份数提交响应文件正本、副本，每份响应文件须清楚地标明“正本”或“副本”。若正本与副本不符，以正本为准。</w:t>
      </w:r>
    </w:p>
    <w:p>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响应文件的正本需打印或用不退色墨水书写，并按要求由供应商的法定代表人或经其正式授权的代表在响应文件上签字并加盖供应商公章。授权代表须持有书面的“法定代表人授权书”（标准格式附后），并将其附在响应文件中。如对响应文件进行了修改，则应由供应商的法定代表人或经其正式授权的代表在修改的内容上签字。响应文件应当装订成册，编制页码。响应文件的副本可采用正本的复印件。</w:t>
      </w:r>
    </w:p>
    <w:p>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任何行间插字、涂改和增删，必须由供应商法定代表人或经其正式授权的代表签字后才有效。</w:t>
      </w:r>
    </w:p>
    <w:p>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响应文件因字迹潦草或表达不清所引起的后果由供应商负责。</w:t>
      </w:r>
    </w:p>
    <w:p>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本磋商文件中所要求加盖的供应商公章是指与供应商名称全称相一致的“行政公章”，不得加盖其它“合同专用章、投标专用章、财务专用章”等非行政公章；签字是指签字或名章。不符合本条规定的投标作无效投标处理。组成响应文件的各项文件均应遵守本条。</w:t>
      </w:r>
    </w:p>
    <w:p>
      <w:pPr>
        <w:rPr>
          <w:color w:val="auto"/>
        </w:rPr>
      </w:pPr>
    </w:p>
    <w:p>
      <w:pPr>
        <w:pStyle w:val="4"/>
        <w:spacing w:before="0" w:line="360" w:lineRule="auto"/>
        <w:rPr>
          <w:rFonts w:ascii="Times New Roman" w:hAnsi="Times New Roman" w:eastAsia="宋体"/>
          <w:color w:val="auto"/>
          <w:sz w:val="28"/>
        </w:rPr>
      </w:pPr>
      <w:r>
        <w:rPr>
          <w:rFonts w:ascii="Times New Roman" w:hAnsi="Times New Roman" w:eastAsia="宋体"/>
          <w:color w:val="auto"/>
          <w:sz w:val="28"/>
        </w:rPr>
        <w:t>四   响应文件的提交</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numPr>
          <w:ilvl w:val="0"/>
          <w:numId w:val="8"/>
        </w:numPr>
        <w:tabs>
          <w:tab w:val="left" w:pos="360"/>
        </w:tabs>
        <w:snapToGrid w:val="0"/>
        <w:spacing w:line="360" w:lineRule="auto"/>
        <w:ind w:left="357" w:hanging="357"/>
        <w:outlineLvl w:val="1"/>
        <w:rPr>
          <w:rFonts w:eastAsia="宋体"/>
          <w:color w:val="auto"/>
          <w:sz w:val="24"/>
        </w:rPr>
      </w:pPr>
      <w:bookmarkStart w:id="341" w:name="_Toc226965808"/>
      <w:bookmarkStart w:id="342" w:name="_Toc127161449"/>
      <w:bookmarkStart w:id="343" w:name="_Toc226337231"/>
      <w:bookmarkStart w:id="344" w:name="_Toc195842900"/>
      <w:bookmarkStart w:id="345" w:name="_Toc226309779"/>
      <w:bookmarkStart w:id="346" w:name="_Toc150774635"/>
      <w:bookmarkStart w:id="347" w:name="_Toc150774740"/>
      <w:bookmarkStart w:id="348" w:name="_Toc127151736"/>
      <w:bookmarkStart w:id="349" w:name="_Toc164229376"/>
      <w:bookmarkStart w:id="350" w:name="_Toc151193777"/>
      <w:bookmarkStart w:id="351" w:name="_Toc305158803"/>
      <w:bookmarkStart w:id="352" w:name="_Toc520356160"/>
      <w:bookmarkStart w:id="353" w:name="_Toc305158877"/>
      <w:bookmarkStart w:id="354" w:name="_Toc151193705"/>
      <w:bookmarkStart w:id="355" w:name="_Toc151193849"/>
      <w:bookmarkStart w:id="356" w:name="_Toc164608649"/>
      <w:bookmarkStart w:id="357" w:name="_Toc127151535"/>
      <w:bookmarkStart w:id="358" w:name="_Toc151190162"/>
      <w:bookmarkStart w:id="359" w:name="_Toc142311037"/>
      <w:bookmarkStart w:id="360" w:name="_Toc150480773"/>
      <w:bookmarkStart w:id="361" w:name="_Toc164229230"/>
      <w:bookmarkStart w:id="362" w:name="_Toc151193633"/>
      <w:bookmarkStart w:id="363" w:name="_Toc149720828"/>
      <w:bookmarkStart w:id="364" w:name="_Toc150509286"/>
      <w:bookmarkStart w:id="365" w:name="_Toc151193923"/>
      <w:bookmarkStart w:id="366" w:name="_Toc264969225"/>
      <w:bookmarkStart w:id="367" w:name="_Toc164351629"/>
      <w:bookmarkStart w:id="368" w:name="_Toc226965725"/>
      <w:bookmarkStart w:id="369" w:name="_Toc265228373"/>
      <w:bookmarkStart w:id="370" w:name="_Toc164608804"/>
      <w:r>
        <w:rPr>
          <w:rFonts w:eastAsia="宋体"/>
          <w:color w:val="auto"/>
          <w:sz w:val="24"/>
        </w:rPr>
        <w:t>响应文件的</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eastAsia="宋体"/>
          <w:color w:val="auto"/>
          <w:sz w:val="24"/>
        </w:rPr>
        <w:t>提交</w:t>
      </w:r>
    </w:p>
    <w:p>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投标时，供应商应将响应文件密封提交。</w:t>
      </w:r>
    </w:p>
    <w:p>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所有封装封面上均应：</w:t>
      </w:r>
    </w:p>
    <w:p>
      <w:pPr>
        <w:tabs>
          <w:tab w:val="left" w:pos="1080"/>
          <w:tab w:val="left" w:pos="2014"/>
        </w:tabs>
        <w:snapToGrid w:val="0"/>
        <w:spacing w:line="360" w:lineRule="auto"/>
        <w:ind w:firstLine="240" w:firstLineChars="100"/>
        <w:rPr>
          <w:color w:val="auto"/>
          <w:sz w:val="24"/>
        </w:rPr>
      </w:pPr>
      <w:r>
        <w:rPr>
          <w:rFonts w:hint="eastAsia"/>
          <w:color w:val="auto"/>
          <w:sz w:val="24"/>
        </w:rPr>
        <w:t xml:space="preserve">  （1）清楚标明提交至招标公告或采购邀请中指明的地址。</w:t>
      </w:r>
    </w:p>
    <w:p>
      <w:pPr>
        <w:tabs>
          <w:tab w:val="left" w:pos="1080"/>
          <w:tab w:val="left" w:pos="2014"/>
        </w:tabs>
        <w:snapToGrid w:val="0"/>
        <w:spacing w:line="360" w:lineRule="auto"/>
        <w:ind w:firstLine="240" w:firstLineChars="100"/>
        <w:rPr>
          <w:color w:val="auto"/>
          <w:sz w:val="24"/>
        </w:rPr>
      </w:pPr>
      <w:r>
        <w:rPr>
          <w:rFonts w:hint="eastAsia"/>
          <w:color w:val="auto"/>
          <w:sz w:val="24"/>
        </w:rPr>
        <w:t xml:space="preserve"> （2）注明磋商公告或投标邀请中指明的项目名称、项目编号和“（开标日期、时间）之前不得启封”的字样。</w:t>
      </w:r>
    </w:p>
    <w:p>
      <w:pPr>
        <w:tabs>
          <w:tab w:val="left" w:pos="1080"/>
          <w:tab w:val="left" w:pos="2014"/>
        </w:tabs>
        <w:snapToGrid w:val="0"/>
        <w:spacing w:line="360" w:lineRule="auto"/>
        <w:ind w:firstLine="240" w:firstLineChars="100"/>
        <w:rPr>
          <w:color w:val="auto"/>
          <w:sz w:val="24"/>
        </w:rPr>
      </w:pPr>
      <w:r>
        <w:rPr>
          <w:rFonts w:hint="eastAsia"/>
          <w:color w:val="auto"/>
          <w:sz w:val="24"/>
        </w:rPr>
        <w:t xml:space="preserve"> （3）写明供应商名称和地址，以便若其投标被宣布为“迟到”投标时，能原封退回。</w:t>
      </w:r>
    </w:p>
    <w:p>
      <w:pPr>
        <w:tabs>
          <w:tab w:val="left" w:pos="1080"/>
          <w:tab w:val="left" w:pos="2014"/>
        </w:tabs>
        <w:snapToGrid w:val="0"/>
        <w:spacing w:line="360" w:lineRule="auto"/>
        <w:ind w:firstLine="240" w:firstLineChars="100"/>
        <w:rPr>
          <w:color w:val="auto"/>
          <w:sz w:val="24"/>
        </w:rPr>
      </w:pPr>
      <w:r>
        <w:rPr>
          <w:rFonts w:hint="eastAsia"/>
          <w:color w:val="auto"/>
          <w:sz w:val="24"/>
        </w:rPr>
        <w:t xml:space="preserve"> （4）在密封封口处加盖供应商公章。</w:t>
      </w:r>
    </w:p>
    <w:p>
      <w:pPr>
        <w:numPr>
          <w:ilvl w:val="1"/>
          <w:numId w:val="8"/>
        </w:numPr>
        <w:tabs>
          <w:tab w:val="left" w:pos="1080"/>
          <w:tab w:val="left" w:pos="2014"/>
        </w:tabs>
        <w:snapToGrid w:val="0"/>
        <w:spacing w:line="360" w:lineRule="auto"/>
        <w:ind w:left="1077" w:hanging="720"/>
        <w:rPr>
          <w:rFonts w:eastAsia="宋体"/>
          <w:color w:val="auto"/>
          <w:sz w:val="24"/>
        </w:rPr>
      </w:pPr>
      <w:r>
        <w:rPr>
          <w:rFonts w:hint="eastAsia"/>
          <w:color w:val="auto"/>
          <w:sz w:val="24"/>
        </w:rPr>
        <w:t>如果响应文件未按上述要求密封、盖章的，采购人、采购中心应当拒收。</w:t>
      </w:r>
    </w:p>
    <w:p>
      <w:pPr>
        <w:numPr>
          <w:ilvl w:val="0"/>
          <w:numId w:val="8"/>
        </w:numPr>
        <w:tabs>
          <w:tab w:val="left" w:pos="360"/>
        </w:tabs>
        <w:snapToGrid w:val="0"/>
        <w:spacing w:line="360" w:lineRule="auto"/>
        <w:ind w:left="357" w:hanging="357"/>
        <w:outlineLvl w:val="1"/>
        <w:rPr>
          <w:rFonts w:eastAsia="宋体"/>
          <w:color w:val="auto"/>
          <w:sz w:val="24"/>
        </w:rPr>
      </w:pPr>
      <w:bookmarkStart w:id="371" w:name="_Toc127151737"/>
      <w:bookmarkStart w:id="372" w:name="_Toc150509287"/>
      <w:bookmarkStart w:id="373" w:name="_Toc164608805"/>
      <w:bookmarkStart w:id="374" w:name="_Toc226965809"/>
      <w:bookmarkStart w:id="375" w:name="_Toc265228374"/>
      <w:bookmarkStart w:id="376" w:name="_Toc151193924"/>
      <w:bookmarkStart w:id="377" w:name="_Toc150774636"/>
      <w:bookmarkStart w:id="378" w:name="_Toc305158804"/>
      <w:bookmarkStart w:id="379" w:name="_Toc164608650"/>
      <w:bookmarkStart w:id="380" w:name="_Toc226337232"/>
      <w:bookmarkStart w:id="381" w:name="_Toc142311038"/>
      <w:bookmarkStart w:id="382" w:name="_Toc151193706"/>
      <w:bookmarkStart w:id="383" w:name="_Toc151193634"/>
      <w:bookmarkStart w:id="384" w:name="_Toc164229377"/>
      <w:bookmarkStart w:id="385" w:name="_Toc150480774"/>
      <w:bookmarkStart w:id="386" w:name="_Toc520356161"/>
      <w:bookmarkStart w:id="387" w:name="_Toc127161450"/>
      <w:bookmarkStart w:id="388" w:name="_Toc151193778"/>
      <w:bookmarkStart w:id="389" w:name="_Toc164229231"/>
      <w:bookmarkStart w:id="390" w:name="_Toc150774741"/>
      <w:bookmarkStart w:id="391" w:name="_Toc127151536"/>
      <w:bookmarkStart w:id="392" w:name="_Toc195842901"/>
      <w:bookmarkStart w:id="393" w:name="_Toc264969226"/>
      <w:bookmarkStart w:id="394" w:name="_Toc305158878"/>
      <w:bookmarkStart w:id="395" w:name="_Toc226309780"/>
      <w:bookmarkStart w:id="396" w:name="_Toc151190163"/>
      <w:bookmarkStart w:id="397" w:name="_Toc164351630"/>
      <w:bookmarkStart w:id="398" w:name="_Toc151193850"/>
      <w:bookmarkStart w:id="399" w:name="_Toc226965726"/>
      <w:bookmarkStart w:id="400" w:name="_Toc149720829"/>
      <w:r>
        <w:rPr>
          <w:rFonts w:eastAsia="宋体"/>
          <w:color w:val="auto"/>
          <w:sz w:val="24"/>
        </w:rPr>
        <w:t>响应文件提交截止</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eastAsia="宋体"/>
          <w:color w:val="auto"/>
          <w:sz w:val="24"/>
        </w:rPr>
        <w:t>时间</w:t>
      </w:r>
    </w:p>
    <w:p>
      <w:pPr>
        <w:numPr>
          <w:ilvl w:val="1"/>
          <w:numId w:val="8"/>
        </w:numPr>
        <w:tabs>
          <w:tab w:val="left" w:pos="1080"/>
          <w:tab w:val="left" w:pos="2014"/>
        </w:tabs>
        <w:snapToGrid w:val="0"/>
        <w:spacing w:line="360" w:lineRule="auto"/>
        <w:ind w:left="1077" w:hanging="720"/>
        <w:rPr>
          <w:color w:val="auto"/>
          <w:sz w:val="24"/>
        </w:rPr>
      </w:pPr>
      <w:bookmarkStart w:id="401" w:name="_Toc149720830"/>
      <w:bookmarkStart w:id="402" w:name="_Toc226965810"/>
      <w:bookmarkStart w:id="403" w:name="_Toc265228375"/>
      <w:bookmarkStart w:id="404" w:name="_Toc164229378"/>
      <w:bookmarkStart w:id="405" w:name="_Toc127151738"/>
      <w:bookmarkStart w:id="406" w:name="_Toc150774742"/>
      <w:bookmarkStart w:id="407" w:name="_Toc150509288"/>
      <w:bookmarkStart w:id="408" w:name="_Toc520356162"/>
      <w:bookmarkStart w:id="409" w:name="_Toc226337233"/>
      <w:bookmarkStart w:id="410" w:name="_Toc127161451"/>
      <w:bookmarkStart w:id="411" w:name="_Toc150774637"/>
      <w:bookmarkStart w:id="412" w:name="_Toc164351631"/>
      <w:bookmarkStart w:id="413" w:name="_Toc226309781"/>
      <w:bookmarkStart w:id="414" w:name="_Toc264969227"/>
      <w:bookmarkStart w:id="415" w:name="_Toc195842902"/>
      <w:bookmarkStart w:id="416" w:name="_Toc150480775"/>
      <w:bookmarkStart w:id="417" w:name="_Toc226965727"/>
      <w:bookmarkStart w:id="418" w:name="_Toc164608806"/>
      <w:bookmarkStart w:id="419" w:name="_Toc151193779"/>
      <w:bookmarkStart w:id="420" w:name="_Toc151193635"/>
      <w:bookmarkStart w:id="421" w:name="_Toc305158805"/>
      <w:bookmarkStart w:id="422" w:name="_Toc142311039"/>
      <w:bookmarkStart w:id="423" w:name="_Toc305158879"/>
      <w:bookmarkStart w:id="424" w:name="_Toc151193925"/>
      <w:bookmarkStart w:id="425" w:name="_Toc127151537"/>
      <w:bookmarkStart w:id="426" w:name="_Toc151190164"/>
      <w:bookmarkStart w:id="427" w:name="_Toc151193707"/>
      <w:bookmarkStart w:id="428" w:name="_Toc164608651"/>
      <w:bookmarkStart w:id="429" w:name="_Toc164229232"/>
      <w:bookmarkStart w:id="430" w:name="_Toc151193851"/>
      <w:r>
        <w:rPr>
          <w:rFonts w:hint="eastAsia"/>
          <w:color w:val="auto"/>
          <w:sz w:val="24"/>
        </w:rPr>
        <w:t>供应商应在磋商公告或采购邀请中规定的截止日期和时间前，将响应文件递交至采购中心，递交地点应是磋商公告或采购邀请中规定的地址。</w:t>
      </w:r>
    </w:p>
    <w:p>
      <w:pPr>
        <w:numPr>
          <w:ilvl w:val="1"/>
          <w:numId w:val="8"/>
        </w:numPr>
        <w:tabs>
          <w:tab w:val="left" w:pos="1080"/>
          <w:tab w:val="left" w:pos="2014"/>
        </w:tabs>
        <w:snapToGrid w:val="0"/>
        <w:spacing w:line="360" w:lineRule="auto"/>
        <w:ind w:left="1077" w:hanging="720"/>
        <w:rPr>
          <w:color w:val="auto"/>
          <w:sz w:val="24"/>
        </w:rPr>
      </w:pPr>
      <w:r>
        <w:rPr>
          <w:rFonts w:hint="eastAsia"/>
          <w:color w:val="auto"/>
          <w:sz w:val="24"/>
        </w:rPr>
        <w:t>采购人有权按本须知的规定，通过修改竞争性磋商文件延长投标截止时间。在此情况下，采购人、采购中心和供应商受投标截止时间制约的所有权利和义务均应延长至新的截止时间。</w:t>
      </w:r>
    </w:p>
    <w:p>
      <w:pPr>
        <w:numPr>
          <w:ilvl w:val="0"/>
          <w:numId w:val="8"/>
        </w:numPr>
        <w:tabs>
          <w:tab w:val="left" w:pos="360"/>
        </w:tabs>
        <w:snapToGrid w:val="0"/>
        <w:spacing w:line="360" w:lineRule="auto"/>
        <w:ind w:left="357" w:hanging="357"/>
        <w:outlineLvl w:val="1"/>
        <w:rPr>
          <w:rFonts w:eastAsia="宋体"/>
          <w:color w:val="auto"/>
          <w:sz w:val="24"/>
        </w:rPr>
      </w:pPr>
      <w:r>
        <w:rPr>
          <w:rFonts w:eastAsia="宋体"/>
          <w:color w:val="auto"/>
          <w:sz w:val="24"/>
        </w:rPr>
        <w:t>响应文件的修改与撤回</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numPr>
          <w:ilvl w:val="1"/>
          <w:numId w:val="8"/>
        </w:numPr>
        <w:tabs>
          <w:tab w:val="left" w:pos="1080"/>
          <w:tab w:val="left" w:pos="2014"/>
        </w:tabs>
        <w:snapToGrid w:val="0"/>
        <w:spacing w:line="360" w:lineRule="auto"/>
        <w:ind w:left="1077" w:hanging="720"/>
        <w:rPr>
          <w:rFonts w:eastAsia="宋体"/>
          <w:color w:val="auto"/>
          <w:sz w:val="24"/>
        </w:rPr>
      </w:pPr>
      <w:r>
        <w:rPr>
          <w:rFonts w:eastAsia="宋体"/>
          <w:color w:val="auto"/>
          <w:sz w:val="24"/>
        </w:rPr>
        <w:t>提交响应文件截止时间前，供应商可以对所提交的响应文件进行补充、修改或者撤回。</w:t>
      </w:r>
    </w:p>
    <w:p>
      <w:pPr>
        <w:numPr>
          <w:ilvl w:val="1"/>
          <w:numId w:val="8"/>
        </w:numPr>
        <w:tabs>
          <w:tab w:val="left" w:pos="1080"/>
          <w:tab w:val="left" w:pos="2014"/>
        </w:tabs>
        <w:snapToGrid w:val="0"/>
        <w:spacing w:line="360" w:lineRule="auto"/>
        <w:ind w:left="1077" w:hanging="720"/>
        <w:rPr>
          <w:rFonts w:eastAsia="宋体"/>
          <w:color w:val="auto"/>
          <w:sz w:val="24"/>
        </w:rPr>
      </w:pPr>
      <w:r>
        <w:rPr>
          <w:rFonts w:eastAsia="宋体"/>
          <w:color w:val="auto"/>
          <w:sz w:val="24"/>
        </w:rPr>
        <w:t>供应商对响应文件的补充、修改的内容应当按照竞争性磋商文件要求签署、盖章，作为响应文件的组成部分。</w:t>
      </w:r>
      <w:r>
        <w:rPr>
          <w:rFonts w:eastAsia="宋体"/>
          <w:color w:val="auto"/>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宋体"/>
          <w:color w:val="auto"/>
          <w:sz w:val="24"/>
        </w:rPr>
      </w:pPr>
    </w:p>
    <w:p>
      <w:pPr>
        <w:pStyle w:val="4"/>
        <w:spacing w:before="0" w:line="360" w:lineRule="auto"/>
        <w:rPr>
          <w:rFonts w:ascii="Times New Roman" w:hAnsi="Times New Roman" w:eastAsia="宋体"/>
          <w:color w:val="auto"/>
          <w:sz w:val="28"/>
        </w:rPr>
      </w:pPr>
      <w:bookmarkStart w:id="431" w:name="_Toc127151538"/>
      <w:bookmarkStart w:id="432" w:name="_Toc265228376"/>
      <w:bookmarkStart w:id="433" w:name="_Toc151193636"/>
      <w:bookmarkStart w:id="434" w:name="_Toc520356163"/>
      <w:bookmarkStart w:id="435" w:name="_Toc151193852"/>
      <w:bookmarkStart w:id="436" w:name="_Toc142311040"/>
      <w:bookmarkStart w:id="437" w:name="_Toc151193780"/>
      <w:bookmarkStart w:id="438" w:name="_Toc150774743"/>
      <w:bookmarkStart w:id="439" w:name="_Toc151193708"/>
      <w:bookmarkStart w:id="440" w:name="_Toc226965811"/>
      <w:bookmarkStart w:id="441" w:name="_Toc150774638"/>
      <w:bookmarkStart w:id="442" w:name="_Toc150480776"/>
      <w:bookmarkStart w:id="443" w:name="_Toc226309782"/>
      <w:bookmarkStart w:id="444" w:name="_Toc305158880"/>
      <w:bookmarkStart w:id="445" w:name="_Toc226337234"/>
      <w:bookmarkStart w:id="446" w:name="_Toc195842903"/>
      <w:bookmarkStart w:id="447" w:name="_Toc305158806"/>
      <w:bookmarkStart w:id="448" w:name="_Toc226965728"/>
      <w:bookmarkStart w:id="449" w:name="_Toc150509289"/>
      <w:bookmarkStart w:id="450" w:name="_Toc151190165"/>
      <w:bookmarkStart w:id="451" w:name="_Toc264969228"/>
      <w:bookmarkStart w:id="452" w:name="_Toc151193926"/>
      <w:r>
        <w:rPr>
          <w:rFonts w:ascii="Times New Roman" w:hAnsi="Times New Roman" w:eastAsia="宋体"/>
          <w:color w:val="auto"/>
          <w:sz w:val="28"/>
        </w:rPr>
        <w:t xml:space="preserve">五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Times New Roman" w:hAnsi="Times New Roman" w:eastAsia="宋体"/>
          <w:color w:val="auto"/>
          <w:sz w:val="28"/>
        </w:rPr>
        <w:t>评审</w:t>
      </w:r>
    </w:p>
    <w:p>
      <w:pPr>
        <w:numPr>
          <w:ilvl w:val="0"/>
          <w:numId w:val="8"/>
        </w:numPr>
        <w:tabs>
          <w:tab w:val="left" w:pos="360"/>
        </w:tabs>
        <w:snapToGrid w:val="0"/>
        <w:spacing w:line="360" w:lineRule="auto"/>
        <w:ind w:left="357" w:hanging="357"/>
        <w:outlineLvl w:val="1"/>
        <w:rPr>
          <w:rFonts w:eastAsia="宋体"/>
          <w:color w:val="auto"/>
          <w:sz w:val="24"/>
        </w:rPr>
      </w:pPr>
      <w:r>
        <w:rPr>
          <w:rFonts w:eastAsia="宋体"/>
          <w:color w:val="auto"/>
          <w:sz w:val="24"/>
        </w:rPr>
        <w:t>响应文件的开启</w:t>
      </w:r>
    </w:p>
    <w:p>
      <w:pPr>
        <w:numPr>
          <w:ilvl w:val="1"/>
          <w:numId w:val="8"/>
        </w:numPr>
        <w:tabs>
          <w:tab w:val="left" w:pos="1080"/>
          <w:tab w:val="left" w:pos="2014"/>
        </w:tabs>
        <w:snapToGrid w:val="0"/>
        <w:spacing w:line="360" w:lineRule="auto"/>
        <w:ind w:left="1077" w:hanging="720"/>
        <w:rPr>
          <w:rFonts w:eastAsia="宋体"/>
          <w:color w:val="auto"/>
          <w:sz w:val="24"/>
        </w:rPr>
      </w:pPr>
      <w:r>
        <w:rPr>
          <w:rFonts w:eastAsia="宋体"/>
          <w:color w:val="auto"/>
          <w:sz w:val="24"/>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rFonts w:eastAsia="宋体"/>
          <w:color w:val="auto"/>
          <w:sz w:val="24"/>
        </w:rPr>
      </w:pPr>
      <w:r>
        <w:rPr>
          <w:rFonts w:hint="eastAsia"/>
          <w:color w:val="auto"/>
          <w:sz w:val="24"/>
        </w:rPr>
        <w:t>开标时，由供应商或其推选的代表检查响应文件的密封情况，经确认无误后，采购中心将对开标过程进行记录，由参加开标的相关工作人员签字确认。供应商未参加开标的，视同认可开标结果。</w:t>
      </w:r>
    </w:p>
    <w:p>
      <w:pPr>
        <w:numPr>
          <w:ilvl w:val="1"/>
          <w:numId w:val="8"/>
        </w:numPr>
        <w:tabs>
          <w:tab w:val="left" w:pos="1080"/>
          <w:tab w:val="left" w:pos="2014"/>
        </w:tabs>
        <w:snapToGrid w:val="0"/>
        <w:spacing w:line="360" w:lineRule="auto"/>
        <w:ind w:left="1077" w:hanging="720"/>
        <w:rPr>
          <w:rFonts w:eastAsia="宋体"/>
          <w:color w:val="auto"/>
          <w:sz w:val="24"/>
        </w:rPr>
      </w:pPr>
      <w:r>
        <w:rPr>
          <w:rFonts w:eastAsia="宋体"/>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rFonts w:eastAsia="宋体"/>
          <w:color w:val="auto"/>
          <w:sz w:val="24"/>
        </w:rPr>
      </w:pPr>
      <w:r>
        <w:rPr>
          <w:rFonts w:eastAsia="宋体"/>
          <w:color w:val="auto"/>
          <w:sz w:val="24"/>
        </w:rPr>
        <w:t>供应商不足3家的，不予</w:t>
      </w:r>
      <w:r>
        <w:rPr>
          <w:rFonts w:hint="eastAsia" w:eastAsia="宋体"/>
          <w:color w:val="auto"/>
          <w:sz w:val="24"/>
        </w:rPr>
        <w:t>开启</w:t>
      </w:r>
      <w:r>
        <w:rPr>
          <w:rFonts w:eastAsia="宋体"/>
          <w:color w:val="auto"/>
          <w:sz w:val="24"/>
        </w:rPr>
        <w:t>。</w:t>
      </w:r>
    </w:p>
    <w:p>
      <w:pPr>
        <w:numPr>
          <w:ilvl w:val="1"/>
          <w:numId w:val="8"/>
        </w:numPr>
        <w:tabs>
          <w:tab w:val="left" w:pos="1080"/>
          <w:tab w:val="left" w:pos="2014"/>
        </w:tabs>
        <w:snapToGrid w:val="0"/>
        <w:spacing w:line="360" w:lineRule="auto"/>
        <w:ind w:left="1077" w:hanging="720"/>
        <w:rPr>
          <w:rFonts w:eastAsia="宋体"/>
          <w:color w:val="auto"/>
          <w:sz w:val="24"/>
        </w:rPr>
      </w:pPr>
      <w:bookmarkStart w:id="453" w:name="_Toc520356165"/>
      <w:r>
        <w:rPr>
          <w:rFonts w:eastAsia="宋体"/>
          <w:color w:val="auto"/>
          <w:sz w:val="24"/>
        </w:rPr>
        <w:t>本项目不公开报价。</w:t>
      </w:r>
    </w:p>
    <w:bookmarkEnd w:id="453"/>
    <w:p>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eastAsia="宋体"/>
          <w:sz w:val="24"/>
        </w:rPr>
        <w:t>与磋商</w:t>
      </w:r>
      <w:r>
        <w:rPr>
          <w:rFonts w:eastAsia="宋体"/>
          <w:sz w:val="24"/>
        </w:rPr>
        <w:t>事务，独立履行职责。</w:t>
      </w:r>
      <w:bookmarkStart w:id="454" w:name="_Toc520356166"/>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4"/>
      <w:bookmarkStart w:id="455" w:name="_Toc520356169"/>
    </w:p>
    <w:p>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pPr>
        <w:tabs>
          <w:tab w:val="left" w:pos="360"/>
          <w:tab w:val="left" w:pos="1080"/>
        </w:tabs>
        <w:snapToGrid w:val="0"/>
        <w:spacing w:line="360" w:lineRule="auto"/>
        <w:ind w:left="1080"/>
        <w:rPr>
          <w:rFonts w:eastAsia="宋体"/>
          <w:sz w:val="24"/>
        </w:rPr>
      </w:pPr>
    </w:p>
    <w:p>
      <w:pPr>
        <w:pStyle w:val="4"/>
        <w:spacing w:before="0" w:line="360" w:lineRule="auto"/>
        <w:rPr>
          <w:rFonts w:ascii="Times New Roman" w:hAnsi="Times New Roman" w:eastAsia="宋体"/>
          <w:sz w:val="28"/>
        </w:rPr>
      </w:pPr>
      <w:bookmarkStart w:id="456" w:name="_Toc151193859"/>
      <w:bookmarkStart w:id="457" w:name="_Toc195842910"/>
      <w:bookmarkStart w:id="458" w:name="_Toc151193787"/>
      <w:bookmarkStart w:id="459" w:name="_Toc264969235"/>
      <w:bookmarkStart w:id="460" w:name="_Toc151193933"/>
      <w:bookmarkStart w:id="461" w:name="_Toc226965735"/>
      <w:bookmarkStart w:id="462" w:name="_Toc305158813"/>
      <w:bookmarkStart w:id="463" w:name="_Toc151193715"/>
      <w:bookmarkStart w:id="464" w:name="_Toc150774645"/>
      <w:bookmarkStart w:id="465" w:name="_Toc305158887"/>
      <w:bookmarkStart w:id="466" w:name="_Toc142311047"/>
      <w:bookmarkStart w:id="467" w:name="_Toc150480783"/>
      <w:bookmarkStart w:id="468" w:name="_Toc151193643"/>
      <w:bookmarkStart w:id="469" w:name="_Toc226309789"/>
      <w:bookmarkStart w:id="470" w:name="_Toc226337241"/>
      <w:bookmarkStart w:id="471" w:name="_Toc127151545"/>
      <w:bookmarkStart w:id="472" w:name="_Toc265228383"/>
      <w:bookmarkStart w:id="473" w:name="_Toc150774750"/>
      <w:bookmarkStart w:id="474" w:name="_Toc226965818"/>
      <w:bookmarkStart w:id="475" w:name="_Toc151190172"/>
      <w:bookmarkStart w:id="476" w:name="_Toc150509296"/>
      <w:r>
        <w:rPr>
          <w:rFonts w:ascii="Times New Roman" w:hAnsi="Times New Roman" w:eastAsia="宋体"/>
          <w:sz w:val="28"/>
        </w:rPr>
        <w:t xml:space="preserve">六   </w:t>
      </w:r>
      <w:bookmarkEnd w:id="455"/>
      <w:r>
        <w:rPr>
          <w:rFonts w:ascii="Times New Roman" w:hAnsi="Times New Roman" w:eastAsia="宋体"/>
          <w:sz w:val="28"/>
        </w:rPr>
        <w:t>确定</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ascii="Times New Roman" w:hAnsi="Times New Roman" w:eastAsia="宋体"/>
          <w:sz w:val="28"/>
        </w:rPr>
        <w:t>成交</w:t>
      </w:r>
    </w:p>
    <w:p>
      <w:pPr>
        <w:numPr>
          <w:ilvl w:val="0"/>
          <w:numId w:val="8"/>
        </w:numPr>
        <w:tabs>
          <w:tab w:val="left" w:pos="360"/>
        </w:tabs>
        <w:snapToGrid w:val="0"/>
        <w:spacing w:line="360" w:lineRule="auto"/>
        <w:ind w:left="357" w:hanging="357"/>
        <w:outlineLvl w:val="1"/>
        <w:rPr>
          <w:rFonts w:eastAsia="宋体"/>
          <w:sz w:val="24"/>
        </w:rPr>
      </w:pPr>
      <w:bookmarkStart w:id="477" w:name="_Toc164608661"/>
      <w:bookmarkStart w:id="478" w:name="_Toc127151547"/>
      <w:bookmarkStart w:id="479" w:name="_Toc226309791"/>
      <w:bookmarkStart w:id="480" w:name="_Toc150480785"/>
      <w:bookmarkStart w:id="481" w:name="_Toc151193717"/>
      <w:bookmarkStart w:id="482" w:name="_Toc149720840"/>
      <w:bookmarkStart w:id="483" w:name="_Toc164229242"/>
      <w:bookmarkStart w:id="484" w:name="_Toc127161461"/>
      <w:bookmarkStart w:id="485" w:name="_Toc164351641"/>
      <w:bookmarkStart w:id="486" w:name="_Toc151193645"/>
      <w:bookmarkStart w:id="487" w:name="_Toc305158889"/>
      <w:bookmarkStart w:id="488" w:name="_Toc226965737"/>
      <w:bookmarkStart w:id="489" w:name="_Toc150774752"/>
      <w:bookmarkStart w:id="490" w:name="_Toc265228385"/>
      <w:bookmarkStart w:id="491" w:name="_Toc151193861"/>
      <w:bookmarkStart w:id="492" w:name="_Toc226965820"/>
      <w:bookmarkStart w:id="493" w:name="_Toc264969237"/>
      <w:bookmarkStart w:id="494" w:name="_Toc226337243"/>
      <w:bookmarkStart w:id="495" w:name="_Toc150774647"/>
      <w:bookmarkStart w:id="496" w:name="_Toc164229388"/>
      <w:bookmarkStart w:id="497" w:name="_Toc150509298"/>
      <w:bookmarkStart w:id="498" w:name="_Toc151193935"/>
      <w:bookmarkStart w:id="499" w:name="_Toc195842912"/>
      <w:bookmarkStart w:id="500" w:name="_Toc127151748"/>
      <w:bookmarkStart w:id="501" w:name="_Toc151190174"/>
      <w:bookmarkStart w:id="502" w:name="_Toc151193789"/>
      <w:bookmarkStart w:id="503" w:name="_Toc305158815"/>
      <w:bookmarkStart w:id="504" w:name="_Toc164608816"/>
      <w:bookmarkStart w:id="505" w:name="_Toc142311049"/>
      <w:r>
        <w:rPr>
          <w:rFonts w:eastAsia="宋体"/>
          <w:sz w:val="24"/>
        </w:rPr>
        <w:t>确定成交供应商</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rFonts w:eastAsia="宋体"/>
          <w:sz w:val="24"/>
        </w:rPr>
      </w:pPr>
      <w:bookmarkStart w:id="506" w:name="_Toc305158817"/>
      <w:bookmarkStart w:id="507" w:name="_Toc305158891"/>
      <w:bookmarkStart w:id="508" w:name="_Toc164229390"/>
      <w:bookmarkStart w:id="509" w:name="_Toc164608818"/>
      <w:bookmarkStart w:id="510" w:name="_Toc150774754"/>
      <w:bookmarkStart w:id="511" w:name="_Toc151190176"/>
      <w:bookmarkStart w:id="512" w:name="_Toc226337245"/>
      <w:bookmarkStart w:id="513" w:name="_Toc265228387"/>
      <w:bookmarkStart w:id="514" w:name="_Toc195842914"/>
      <w:bookmarkStart w:id="515" w:name="_Toc226965739"/>
      <w:bookmarkStart w:id="516" w:name="_Toc226965822"/>
      <w:bookmarkStart w:id="517" w:name="_Toc150774649"/>
      <w:bookmarkStart w:id="518" w:name="_Toc150480787"/>
      <w:bookmarkStart w:id="519" w:name="_Toc151193719"/>
      <w:bookmarkStart w:id="520" w:name="_Toc127151750"/>
      <w:bookmarkStart w:id="521" w:name="_Toc226309793"/>
      <w:bookmarkStart w:id="522" w:name="_Toc127161463"/>
      <w:bookmarkStart w:id="523" w:name="_Toc264969239"/>
      <w:bookmarkStart w:id="524" w:name="_Toc164229244"/>
      <w:bookmarkStart w:id="525" w:name="_Toc142311051"/>
      <w:bookmarkStart w:id="526" w:name="_Toc151193791"/>
      <w:bookmarkStart w:id="527" w:name="_Toc151193937"/>
      <w:bookmarkStart w:id="528" w:name="_Toc151193863"/>
      <w:bookmarkStart w:id="529" w:name="_Toc151193647"/>
      <w:bookmarkStart w:id="530" w:name="_Toc164608663"/>
      <w:bookmarkStart w:id="531" w:name="_Toc149720842"/>
      <w:bookmarkStart w:id="532" w:name="_Toc150509300"/>
      <w:bookmarkStart w:id="533" w:name="_Toc164351643"/>
      <w:bookmarkStart w:id="534" w:name="_Toc127151549"/>
      <w:bookmarkStart w:id="535" w:name="_Toc520356176"/>
      <w:bookmarkStart w:id="536" w:name="_Ref467307090"/>
      <w:bookmarkStart w:id="537" w:name="_Ref467306425"/>
      <w:r>
        <w:rPr>
          <w:rFonts w:eastAsia="宋体"/>
          <w:sz w:val="24"/>
        </w:rPr>
        <w:t>成交公告与成交通知书</w:t>
      </w:r>
      <w:bookmarkEnd w:id="506"/>
      <w:bookmarkEnd w:id="507"/>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成交通知书对采购人和成交供应商均具有法律效力。成交通知书发出后，采购人改变成交结果的，或者成交供应商放弃成交项目的，应当依法承担法律责任。</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pPr>
        <w:numPr>
          <w:ilvl w:val="2"/>
          <w:numId w:val="8"/>
        </w:numPr>
        <w:snapToGrid w:val="0"/>
        <w:spacing w:line="360" w:lineRule="auto"/>
        <w:rPr>
          <w:rFonts w:eastAsia="宋体"/>
          <w:sz w:val="24"/>
        </w:rPr>
      </w:pPr>
      <w:r>
        <w:rPr>
          <w:rFonts w:eastAsia="宋体"/>
          <w:sz w:val="24"/>
        </w:rPr>
        <w:t>出现影响采购公正的违法、违规行为的；</w:t>
      </w:r>
    </w:p>
    <w:p>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numPr>
          <w:ilvl w:val="0"/>
          <w:numId w:val="8"/>
        </w:numPr>
        <w:tabs>
          <w:tab w:val="left" w:pos="360"/>
        </w:tabs>
        <w:snapToGrid w:val="0"/>
        <w:spacing w:line="360" w:lineRule="auto"/>
        <w:ind w:left="357" w:hanging="357"/>
        <w:outlineLvl w:val="1"/>
        <w:rPr>
          <w:rFonts w:eastAsia="宋体"/>
          <w:sz w:val="24"/>
        </w:rPr>
      </w:pPr>
      <w:bookmarkStart w:id="538" w:name="_Toc151193864"/>
      <w:bookmarkStart w:id="539" w:name="_Toc142311052"/>
      <w:bookmarkStart w:id="540" w:name="_Toc164229245"/>
      <w:bookmarkStart w:id="541" w:name="_Toc150480788"/>
      <w:bookmarkStart w:id="542" w:name="_Toc305158892"/>
      <w:bookmarkStart w:id="543" w:name="_Toc265228388"/>
      <w:bookmarkStart w:id="544" w:name="_Ref467307062"/>
      <w:bookmarkStart w:id="545" w:name="_Toc226965823"/>
      <w:bookmarkStart w:id="546" w:name="_Toc127151550"/>
      <w:bookmarkStart w:id="547" w:name="_Toc151193938"/>
      <w:bookmarkStart w:id="548" w:name="_Toc150774650"/>
      <w:bookmarkStart w:id="549" w:name="_Toc149720843"/>
      <w:bookmarkStart w:id="550" w:name="_Toc127161464"/>
      <w:bookmarkStart w:id="551" w:name="_Ref467307204"/>
      <w:bookmarkStart w:id="552" w:name="_Toc150774755"/>
      <w:bookmarkStart w:id="553" w:name="_Toc150509301"/>
      <w:bookmarkStart w:id="554" w:name="_Toc151190177"/>
      <w:bookmarkStart w:id="555" w:name="_Toc226337246"/>
      <w:bookmarkStart w:id="556" w:name="_Toc151193720"/>
      <w:bookmarkStart w:id="557" w:name="_Toc305158818"/>
      <w:bookmarkStart w:id="558" w:name="_Toc151193792"/>
      <w:bookmarkStart w:id="559" w:name="_Ref467306978"/>
      <w:bookmarkStart w:id="560" w:name="_Toc151193648"/>
      <w:bookmarkStart w:id="561" w:name="_Toc164229391"/>
      <w:bookmarkStart w:id="562" w:name="_Toc520356175"/>
      <w:bookmarkStart w:id="563" w:name="_Toc226309794"/>
      <w:bookmarkStart w:id="564" w:name="_Toc164351644"/>
      <w:bookmarkStart w:id="565" w:name="_Toc164608664"/>
      <w:bookmarkStart w:id="566" w:name="_Toc226965740"/>
      <w:bookmarkStart w:id="567" w:name="_Ref467306377"/>
      <w:bookmarkStart w:id="568" w:name="_Toc127151751"/>
      <w:bookmarkStart w:id="569" w:name="_Toc264969240"/>
      <w:bookmarkStart w:id="570" w:name="_Toc164608819"/>
      <w:bookmarkStart w:id="571" w:name="_Toc195842915"/>
      <w:r>
        <w:rPr>
          <w:rFonts w:eastAsia="宋体"/>
          <w:sz w:val="24"/>
        </w:rPr>
        <w:t>签订合同</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采购人与成交供应商应当在成交通知书发出之日起30日内，按照磋商文件确定的合同文本以及采购标的、规格型号、采购金额、采购数量、技术和服务要求等事项签订政府采购合同。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联合体成交的，联合体各方应当共同与采购人签订合同，就</w:t>
      </w:r>
      <w:r>
        <w:rPr>
          <w:sz w:val="24"/>
        </w:rPr>
        <w:t>采购合同约定的事项</w:t>
      </w:r>
      <w:r>
        <w:rPr>
          <w:rFonts w:eastAsia="宋体"/>
          <w:sz w:val="24"/>
        </w:rPr>
        <w:t>向采购人承担连带责任。</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bookmarkEnd w:id="535"/>
    <w:bookmarkEnd w:id="536"/>
    <w:bookmarkEnd w:id="537"/>
    <w:p>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pPr>
        <w:numPr>
          <w:ilvl w:val="2"/>
          <w:numId w:val="8"/>
        </w:numPr>
        <w:snapToGrid w:val="0"/>
        <w:spacing w:line="360" w:lineRule="auto"/>
        <w:rPr>
          <w:rFonts w:eastAsia="宋体"/>
          <w:sz w:val="24"/>
        </w:rPr>
      </w:pPr>
      <w:r>
        <w:rPr>
          <w:rFonts w:eastAsia="宋体"/>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rFonts w:eastAsia="宋体"/>
          <w:sz w:val="24"/>
        </w:rPr>
      </w:pPr>
      <w:r>
        <w:rPr>
          <w:rFonts w:eastAsia="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pPr>
        <w:numPr>
          <w:ilvl w:val="2"/>
          <w:numId w:val="8"/>
        </w:numPr>
        <w:snapToGrid w:val="0"/>
        <w:spacing w:line="360" w:lineRule="auto"/>
        <w:rPr>
          <w:rFonts w:eastAsia="宋体"/>
          <w:sz w:val="24"/>
        </w:rPr>
      </w:pPr>
      <w:r>
        <w:rPr>
          <w:rFonts w:eastAsia="宋体"/>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numPr>
          <w:ilvl w:val="2"/>
          <w:numId w:val="8"/>
        </w:numPr>
        <w:snapToGrid w:val="0"/>
        <w:spacing w:line="360" w:lineRule="auto"/>
        <w:rPr>
          <w:rFonts w:eastAsia="宋体"/>
          <w:sz w:val="24"/>
        </w:rPr>
      </w:pPr>
      <w:r>
        <w:rPr>
          <w:rFonts w:eastAsia="宋体"/>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p>
    <w:p>
      <w:pPr>
        <w:numPr>
          <w:ilvl w:val="0"/>
          <w:numId w:val="8"/>
        </w:numPr>
        <w:tabs>
          <w:tab w:val="left" w:pos="360"/>
        </w:tabs>
        <w:snapToGrid w:val="0"/>
        <w:spacing w:line="360" w:lineRule="auto"/>
        <w:ind w:left="357" w:hanging="357"/>
        <w:outlineLvl w:val="1"/>
        <w:rPr>
          <w:rFonts w:eastAsia="宋体"/>
          <w:sz w:val="24"/>
          <w:highlight w:val="none"/>
        </w:rPr>
      </w:pPr>
      <w:r>
        <w:rPr>
          <w:rFonts w:eastAsia="宋体"/>
          <w:sz w:val="24"/>
          <w:highlight w:val="none"/>
        </w:rPr>
        <w:t>代理费</w:t>
      </w:r>
      <w:r>
        <w:rPr>
          <w:rFonts w:hint="eastAsia" w:eastAsia="宋体"/>
          <w:color w:val="FF0000"/>
          <w:sz w:val="24"/>
          <w:highlight w:val="none"/>
        </w:rPr>
        <w:t xml:space="preserve"> </w:t>
      </w:r>
      <w:r>
        <w:rPr>
          <w:rFonts w:hint="eastAsia" w:eastAsia="宋体"/>
          <w:color w:val="auto"/>
          <w:sz w:val="24"/>
          <w:highlight w:val="none"/>
        </w:rPr>
        <w:t>本项目不收取代理费。</w:t>
      </w:r>
    </w:p>
    <w:p>
      <w:pPr>
        <w:tabs>
          <w:tab w:val="left" w:pos="360"/>
          <w:tab w:val="left" w:pos="1080"/>
        </w:tabs>
        <w:snapToGrid w:val="0"/>
        <w:spacing w:line="360" w:lineRule="auto"/>
        <w:ind w:left="360"/>
        <w:rPr>
          <w:rFonts w:eastAsia="宋体"/>
          <w:sz w:val="24"/>
        </w:rPr>
      </w:pPr>
    </w:p>
    <w:p>
      <w:pPr>
        <w:spacing w:line="360" w:lineRule="auto"/>
        <w:jc w:val="center"/>
        <w:outlineLvl w:val="0"/>
        <w:rPr>
          <w:rFonts w:eastAsia="宋体"/>
          <w:b/>
          <w:sz w:val="36"/>
          <w:szCs w:val="36"/>
        </w:rPr>
      </w:pPr>
      <w:bookmarkStart w:id="572" w:name="_Toc353873934"/>
      <w:bookmarkStart w:id="573" w:name="_Toc353825544"/>
      <w:bookmarkStart w:id="574" w:name="_Toc265228392"/>
      <w:bookmarkStart w:id="575" w:name="_Toc226337250"/>
      <w:bookmarkStart w:id="576" w:name="_Toc305158896"/>
      <w:bookmarkStart w:id="577" w:name="_Toc150774759"/>
      <w:bookmarkStart w:id="578" w:name="_Toc353873664"/>
      <w:bookmarkStart w:id="579" w:name="_Toc226965827"/>
      <w:bookmarkStart w:id="580" w:name="_Toc305158822"/>
      <w:bookmarkStart w:id="581" w:name="_Toc127151554"/>
      <w:bookmarkStart w:id="582" w:name="_Toc142311056"/>
      <w:bookmarkStart w:id="583" w:name="_Toc264969244"/>
      <w:bookmarkStart w:id="584" w:name="_Toc150480792"/>
      <w:r>
        <w:rPr>
          <w:rFonts w:eastAsia="宋体"/>
          <w:sz w:val="24"/>
        </w:rPr>
        <w:br w:type="page"/>
      </w:r>
      <w:bookmarkStart w:id="585" w:name="_Toc97371943"/>
      <w:r>
        <w:rPr>
          <w:rFonts w:eastAsia="宋体"/>
          <w:b/>
          <w:sz w:val="36"/>
          <w:szCs w:val="36"/>
        </w:rPr>
        <w:t xml:space="preserve">第三章   </w:t>
      </w:r>
      <w:bookmarkEnd w:id="572"/>
      <w:bookmarkEnd w:id="573"/>
      <w:bookmarkEnd w:id="574"/>
      <w:bookmarkEnd w:id="575"/>
      <w:bookmarkEnd w:id="576"/>
      <w:bookmarkEnd w:id="577"/>
      <w:bookmarkEnd w:id="578"/>
      <w:bookmarkEnd w:id="579"/>
      <w:bookmarkEnd w:id="580"/>
      <w:bookmarkEnd w:id="581"/>
      <w:bookmarkEnd w:id="582"/>
      <w:bookmarkEnd w:id="583"/>
      <w:bookmarkEnd w:id="584"/>
      <w:r>
        <w:rPr>
          <w:rFonts w:eastAsia="宋体"/>
          <w:b/>
          <w:sz w:val="36"/>
          <w:szCs w:val="36"/>
        </w:rPr>
        <w:t>评审方法和评审标准</w:t>
      </w:r>
      <w:bookmarkEnd w:id="585"/>
      <w:bookmarkStart w:id="586" w:name="_Toc487900382"/>
    </w:p>
    <w:p>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rFonts w:eastAsia="宋体"/>
          <w:b/>
          <w:sz w:val="24"/>
        </w:rPr>
      </w:pPr>
      <w:r>
        <w:rPr>
          <w:rFonts w:eastAsia="宋体"/>
          <w:b/>
          <w:sz w:val="24"/>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86"/>
    <w:p>
      <w:pPr>
        <w:numPr>
          <w:ilvl w:val="0"/>
          <w:numId w:val="10"/>
        </w:numPr>
        <w:tabs>
          <w:tab w:val="left" w:pos="360"/>
        </w:tabs>
        <w:snapToGrid w:val="0"/>
        <w:spacing w:line="360" w:lineRule="auto"/>
        <w:outlineLvl w:val="1"/>
        <w:rPr>
          <w:rFonts w:eastAsia="宋体"/>
          <w:sz w:val="24"/>
        </w:rPr>
      </w:pPr>
      <w:bookmarkStart w:id="587" w:name="_Toc149720834"/>
      <w:bookmarkStart w:id="588" w:name="_Toc164608655"/>
      <w:bookmarkStart w:id="589" w:name="_Toc151193783"/>
      <w:bookmarkStart w:id="590" w:name="_Toc151193929"/>
      <w:bookmarkStart w:id="591" w:name="_Toc151193711"/>
      <w:bookmarkStart w:id="592" w:name="_Toc150509292"/>
      <w:bookmarkStart w:id="593" w:name="_Toc226309785"/>
      <w:bookmarkStart w:id="594" w:name="_Toc195842906"/>
      <w:bookmarkStart w:id="595" w:name="_Toc151193855"/>
      <w:bookmarkStart w:id="596" w:name="_Toc164608810"/>
      <w:bookmarkStart w:id="597" w:name="_Toc151190168"/>
      <w:bookmarkStart w:id="598" w:name="_Toc164229236"/>
      <w:bookmarkStart w:id="599" w:name="_Toc142311043"/>
      <w:bookmarkStart w:id="600" w:name="_Toc305158883"/>
      <w:bookmarkStart w:id="601" w:name="_Toc226337237"/>
      <w:bookmarkStart w:id="602" w:name="_Toc164351635"/>
      <w:bookmarkStart w:id="603" w:name="_Toc127161455"/>
      <w:bookmarkStart w:id="604" w:name="_Toc150480779"/>
      <w:bookmarkStart w:id="605" w:name="_Toc226965814"/>
      <w:bookmarkStart w:id="606" w:name="_Toc127151742"/>
      <w:bookmarkStart w:id="607" w:name="_Toc150774641"/>
      <w:bookmarkStart w:id="608" w:name="_Toc127151541"/>
      <w:bookmarkStart w:id="609" w:name="_Toc164229382"/>
      <w:bookmarkStart w:id="610" w:name="_Toc226965731"/>
      <w:bookmarkStart w:id="611" w:name="_Toc150774746"/>
      <w:bookmarkStart w:id="612" w:name="_Toc264969231"/>
      <w:bookmarkStart w:id="613" w:name="_Toc305158809"/>
      <w:bookmarkStart w:id="614" w:name="_Toc265228379"/>
      <w:bookmarkStart w:id="615" w:name="_Toc151193639"/>
      <w:bookmarkStart w:id="616" w:name="_Toc353873941"/>
      <w:bookmarkStart w:id="617" w:name="_Toc353825551"/>
      <w:bookmarkStart w:id="618" w:name="_Toc353825545"/>
      <w:bookmarkStart w:id="619" w:name="_Toc142311057"/>
      <w:bookmarkStart w:id="620" w:name="_Toc305158823"/>
      <w:bookmarkStart w:id="621" w:name="_Toc226965828"/>
      <w:bookmarkStart w:id="622" w:name="_Toc305158897"/>
      <w:bookmarkStart w:id="623" w:name="_Toc150774760"/>
      <w:bookmarkStart w:id="624" w:name="_Toc264969245"/>
      <w:bookmarkStart w:id="625" w:name="_Toc353873665"/>
      <w:bookmarkStart w:id="626" w:name="_Toc127151555"/>
      <w:bookmarkStart w:id="627" w:name="_Toc226337251"/>
      <w:bookmarkStart w:id="628" w:name="_Toc353873935"/>
      <w:bookmarkStart w:id="629" w:name="_Toc195842920"/>
      <w:bookmarkStart w:id="630" w:name="_Toc265228393"/>
      <w:bookmarkStart w:id="631" w:name="_Toc150480793"/>
      <w:r>
        <w:rPr>
          <w:rFonts w:eastAsia="宋体"/>
          <w:sz w:val="24"/>
        </w:rPr>
        <w:t>响应文件的</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rFonts w:eastAsia="宋体"/>
          <w:sz w:val="24"/>
        </w:rPr>
        <w:t>资格审查和符合性审查</w:t>
      </w:r>
    </w:p>
    <w:p>
      <w:pPr>
        <w:numPr>
          <w:ilvl w:val="1"/>
          <w:numId w:val="10"/>
        </w:numPr>
        <w:tabs>
          <w:tab w:val="left" w:pos="1080"/>
        </w:tabs>
        <w:snapToGrid w:val="0"/>
        <w:spacing w:line="360" w:lineRule="auto"/>
        <w:ind w:left="1077" w:hanging="720"/>
        <w:rPr>
          <w:rFonts w:eastAsia="宋体"/>
          <w:sz w:val="24"/>
        </w:rPr>
      </w:pPr>
      <w:r>
        <w:rPr>
          <w:rFonts w:eastAsia="宋体"/>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pPr>
        <w:numPr>
          <w:ilvl w:val="1"/>
          <w:numId w:val="10"/>
        </w:numPr>
        <w:tabs>
          <w:tab w:val="left" w:pos="1080"/>
        </w:tabs>
        <w:snapToGrid w:val="0"/>
        <w:spacing w:line="360" w:lineRule="auto"/>
        <w:ind w:left="1077" w:hanging="720"/>
        <w:rPr>
          <w:rFonts w:eastAsia="宋体"/>
          <w:sz w:val="24"/>
        </w:rPr>
      </w:pPr>
      <w:r>
        <w:rPr>
          <w:rFonts w:eastAsia="宋体"/>
          <w:sz w:val="24"/>
        </w:rPr>
        <w:t>《资格审查要求》中对格式有要求的，除竞争性磋商文件另有规定外，均为“实质性格式”文件。</w:t>
      </w:r>
    </w:p>
    <w:p>
      <w:pPr>
        <w:numPr>
          <w:ilvl w:val="1"/>
          <w:numId w:val="10"/>
        </w:numPr>
        <w:tabs>
          <w:tab w:val="left" w:pos="1080"/>
        </w:tabs>
        <w:snapToGrid w:val="0"/>
        <w:spacing w:line="360" w:lineRule="auto"/>
        <w:ind w:left="1077" w:hanging="720"/>
        <w:rPr>
          <w:rFonts w:eastAsia="宋体"/>
          <w:sz w:val="24"/>
        </w:rPr>
      </w:pPr>
      <w:r>
        <w:rPr>
          <w:rFonts w:eastAsia="宋体"/>
          <w:sz w:val="24"/>
        </w:rPr>
        <w:t>《资格审查要求》见下表：</w:t>
      </w:r>
    </w:p>
    <w:p>
      <w:pPr>
        <w:tabs>
          <w:tab w:val="left" w:pos="900"/>
          <w:tab w:val="left" w:pos="1080"/>
        </w:tabs>
        <w:snapToGrid w:val="0"/>
        <w:spacing w:line="360" w:lineRule="auto"/>
        <w:ind w:left="1077" w:firstLine="2650" w:firstLineChars="1100"/>
        <w:rPr>
          <w:rFonts w:eastAsia="宋体"/>
          <w:b/>
          <w:sz w:val="24"/>
        </w:rPr>
      </w:pPr>
      <w:r>
        <w:rPr>
          <w:rFonts w:eastAsia="宋体"/>
          <w:b/>
          <w:sz w:val="24"/>
        </w:rPr>
        <w:t>资格审查要求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599"/>
        <w:gridCol w:w="4400"/>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spacing w:line="260" w:lineRule="exact"/>
              <w:jc w:val="center"/>
              <w:rPr>
                <w:rFonts w:eastAsia="宋体"/>
                <w:b/>
                <w:sz w:val="24"/>
              </w:rPr>
            </w:pPr>
            <w:bookmarkStart w:id="632" w:name="_Hlt487972895"/>
            <w:bookmarkEnd w:id="632"/>
            <w:r>
              <w:rPr>
                <w:rFonts w:eastAsia="宋体"/>
                <w:b/>
                <w:sz w:val="24"/>
              </w:rPr>
              <w:t>序号</w:t>
            </w:r>
          </w:p>
        </w:tc>
        <w:tc>
          <w:tcPr>
            <w:tcW w:w="937" w:type="pct"/>
            <w:vAlign w:val="center"/>
          </w:tcPr>
          <w:p>
            <w:pPr>
              <w:tabs>
                <w:tab w:val="left" w:pos="1080"/>
              </w:tabs>
              <w:snapToGrid w:val="0"/>
              <w:spacing w:line="260" w:lineRule="exact"/>
              <w:jc w:val="center"/>
              <w:rPr>
                <w:rFonts w:eastAsia="宋体"/>
                <w:b/>
                <w:sz w:val="24"/>
              </w:rPr>
            </w:pPr>
            <w:r>
              <w:rPr>
                <w:rFonts w:eastAsia="宋体"/>
                <w:b/>
                <w:sz w:val="24"/>
              </w:rPr>
              <w:t>检查因素</w:t>
            </w:r>
          </w:p>
        </w:tc>
        <w:tc>
          <w:tcPr>
            <w:tcW w:w="2579" w:type="pct"/>
            <w:vAlign w:val="center"/>
          </w:tcPr>
          <w:p>
            <w:pPr>
              <w:tabs>
                <w:tab w:val="left" w:pos="1080"/>
              </w:tabs>
              <w:snapToGrid w:val="0"/>
              <w:spacing w:line="260" w:lineRule="exact"/>
              <w:jc w:val="center"/>
              <w:rPr>
                <w:rFonts w:eastAsia="宋体"/>
                <w:b/>
                <w:sz w:val="24"/>
              </w:rPr>
            </w:pPr>
            <w:r>
              <w:rPr>
                <w:rFonts w:eastAsia="宋体"/>
                <w:b/>
                <w:sz w:val="24"/>
              </w:rPr>
              <w:t>检查内容</w:t>
            </w:r>
          </w:p>
        </w:tc>
        <w:tc>
          <w:tcPr>
            <w:tcW w:w="1027" w:type="pct"/>
            <w:vAlign w:val="center"/>
          </w:tcPr>
          <w:p>
            <w:pPr>
              <w:tabs>
                <w:tab w:val="left" w:pos="1080"/>
              </w:tabs>
              <w:snapToGrid w:val="0"/>
              <w:spacing w:line="260" w:lineRule="exact"/>
              <w:jc w:val="center"/>
              <w:rPr>
                <w:rFonts w:eastAsia="宋体"/>
                <w:b/>
                <w:sz w:val="24"/>
              </w:rPr>
            </w:pPr>
            <w:r>
              <w:rPr>
                <w:rFonts w:eastAsia="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spacing w:line="260" w:lineRule="exact"/>
              <w:jc w:val="center"/>
              <w:rPr>
                <w:rFonts w:eastAsia="宋体"/>
                <w:sz w:val="24"/>
              </w:rPr>
            </w:pPr>
            <w:r>
              <w:rPr>
                <w:rFonts w:eastAsia="宋体"/>
                <w:sz w:val="24"/>
              </w:rPr>
              <w:t>1</w:t>
            </w:r>
          </w:p>
        </w:tc>
        <w:tc>
          <w:tcPr>
            <w:tcW w:w="937" w:type="pct"/>
            <w:vAlign w:val="center"/>
          </w:tcPr>
          <w:p>
            <w:pPr>
              <w:tabs>
                <w:tab w:val="left" w:pos="1080"/>
              </w:tabs>
              <w:snapToGrid w:val="0"/>
              <w:spacing w:line="260" w:lineRule="exact"/>
              <w:jc w:val="center"/>
              <w:rPr>
                <w:rFonts w:eastAsia="宋体"/>
                <w:sz w:val="24"/>
              </w:rPr>
            </w:pPr>
            <w:r>
              <w:rPr>
                <w:rFonts w:eastAsia="宋体"/>
                <w:sz w:val="24"/>
              </w:rPr>
              <w:t>满足《中华人民共和国政府采购法》第二十二条规定</w:t>
            </w:r>
          </w:p>
        </w:tc>
        <w:tc>
          <w:tcPr>
            <w:tcW w:w="2579" w:type="pct"/>
            <w:vAlign w:val="center"/>
          </w:tcPr>
          <w:p>
            <w:pPr>
              <w:tabs>
                <w:tab w:val="left" w:pos="1080"/>
              </w:tabs>
              <w:snapToGrid w:val="0"/>
              <w:spacing w:line="260" w:lineRule="exact"/>
              <w:jc w:val="center"/>
              <w:rPr>
                <w:rFonts w:eastAsia="宋体"/>
                <w:sz w:val="24"/>
              </w:rPr>
            </w:pPr>
            <w:r>
              <w:rPr>
                <w:rFonts w:eastAsia="宋体"/>
                <w:sz w:val="24"/>
              </w:rPr>
              <w:t>具体规定见第一章《采购邀请》</w:t>
            </w:r>
          </w:p>
        </w:tc>
        <w:tc>
          <w:tcPr>
            <w:tcW w:w="1027" w:type="pct"/>
            <w:vAlign w:val="center"/>
          </w:tcPr>
          <w:p>
            <w:pPr>
              <w:tabs>
                <w:tab w:val="left" w:pos="1080"/>
              </w:tabs>
              <w:snapToGrid w:val="0"/>
              <w:spacing w:line="260" w:lineRule="exact"/>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spacing w:line="260" w:lineRule="exact"/>
              <w:jc w:val="center"/>
              <w:rPr>
                <w:rFonts w:eastAsia="宋体"/>
                <w:sz w:val="24"/>
              </w:rPr>
            </w:pPr>
            <w:r>
              <w:rPr>
                <w:rFonts w:eastAsia="宋体"/>
                <w:sz w:val="24"/>
              </w:rPr>
              <w:t>1-1</w:t>
            </w:r>
          </w:p>
        </w:tc>
        <w:tc>
          <w:tcPr>
            <w:tcW w:w="937" w:type="pct"/>
            <w:vAlign w:val="center"/>
          </w:tcPr>
          <w:p>
            <w:pPr>
              <w:tabs>
                <w:tab w:val="left" w:pos="1080"/>
              </w:tabs>
              <w:snapToGrid w:val="0"/>
              <w:spacing w:line="260" w:lineRule="exact"/>
              <w:jc w:val="center"/>
              <w:rPr>
                <w:rFonts w:eastAsia="宋体"/>
                <w:sz w:val="24"/>
              </w:rPr>
            </w:pPr>
            <w:r>
              <w:rPr>
                <w:rFonts w:eastAsia="宋体"/>
                <w:sz w:val="24"/>
              </w:rPr>
              <w:t>营业执照等证明文件</w:t>
            </w:r>
          </w:p>
        </w:tc>
        <w:tc>
          <w:tcPr>
            <w:tcW w:w="2579" w:type="pct"/>
            <w:vAlign w:val="center"/>
          </w:tcPr>
          <w:p>
            <w:pPr>
              <w:tabs>
                <w:tab w:val="left" w:pos="1080"/>
              </w:tabs>
              <w:snapToGrid w:val="0"/>
              <w:spacing w:line="260" w:lineRule="exact"/>
              <w:jc w:val="left"/>
              <w:rPr>
                <w:rFonts w:eastAsia="宋体"/>
                <w:sz w:val="24"/>
              </w:rPr>
            </w:pPr>
            <w:r>
              <w:rPr>
                <w:rFonts w:eastAsia="宋体"/>
                <w:sz w:val="24"/>
              </w:rPr>
              <w:t>供应商为企业（包括合伙企业）的，应提供有效的“营业执照”；</w:t>
            </w:r>
          </w:p>
          <w:p>
            <w:pPr>
              <w:tabs>
                <w:tab w:val="left" w:pos="1080"/>
              </w:tabs>
              <w:snapToGrid w:val="0"/>
              <w:spacing w:line="260" w:lineRule="exact"/>
              <w:jc w:val="left"/>
              <w:rPr>
                <w:rFonts w:eastAsia="宋体"/>
                <w:sz w:val="24"/>
              </w:rPr>
            </w:pPr>
            <w:r>
              <w:rPr>
                <w:rFonts w:eastAsia="宋体"/>
                <w:sz w:val="24"/>
              </w:rPr>
              <w:t>供应商为事业单位的，应提供有效的“事业单位法人证书”；</w:t>
            </w:r>
          </w:p>
          <w:p>
            <w:pPr>
              <w:tabs>
                <w:tab w:val="left" w:pos="1080"/>
              </w:tabs>
              <w:snapToGrid w:val="0"/>
              <w:spacing w:line="260" w:lineRule="exact"/>
              <w:jc w:val="left"/>
              <w:rPr>
                <w:rFonts w:eastAsia="宋体"/>
                <w:sz w:val="24"/>
              </w:rPr>
            </w:pPr>
            <w:r>
              <w:rPr>
                <w:rFonts w:eastAsia="宋体"/>
                <w:sz w:val="24"/>
              </w:rPr>
              <w:t>供应商</w:t>
            </w:r>
            <w:r>
              <w:rPr>
                <w:sz w:val="24"/>
              </w:rPr>
              <w:t>是非企业机构的，应提供有效的“执业许可证”、“登记证书”等证明文件</w:t>
            </w:r>
            <w:r>
              <w:rPr>
                <w:rFonts w:eastAsia="宋体"/>
                <w:sz w:val="24"/>
              </w:rPr>
              <w:t>；</w:t>
            </w:r>
          </w:p>
          <w:p>
            <w:pPr>
              <w:tabs>
                <w:tab w:val="left" w:pos="1080"/>
              </w:tabs>
              <w:snapToGrid w:val="0"/>
              <w:spacing w:line="260" w:lineRule="exact"/>
              <w:jc w:val="left"/>
              <w:rPr>
                <w:rFonts w:eastAsia="宋体"/>
                <w:sz w:val="24"/>
              </w:rPr>
            </w:pPr>
            <w:r>
              <w:rPr>
                <w:rFonts w:eastAsia="宋体"/>
                <w:sz w:val="24"/>
              </w:rPr>
              <w:t>供应商是个体工商户的，应提供有效的“个体工商户营业执照”；</w:t>
            </w:r>
          </w:p>
          <w:p>
            <w:pPr>
              <w:tabs>
                <w:tab w:val="left" w:pos="1080"/>
              </w:tabs>
              <w:snapToGrid w:val="0"/>
              <w:spacing w:line="260" w:lineRule="exact"/>
              <w:jc w:val="left"/>
              <w:rPr>
                <w:rFonts w:eastAsia="宋体"/>
                <w:sz w:val="24"/>
              </w:rPr>
            </w:pPr>
            <w:r>
              <w:rPr>
                <w:rFonts w:eastAsia="宋体"/>
                <w:sz w:val="24"/>
              </w:rPr>
              <w:t>供应商是自然人的，应提供有效的自然人身份证明。</w:t>
            </w:r>
          </w:p>
          <w:p>
            <w:pPr>
              <w:tabs>
                <w:tab w:val="left" w:pos="1080"/>
              </w:tabs>
              <w:snapToGrid w:val="0"/>
              <w:spacing w:line="260" w:lineRule="exact"/>
              <w:jc w:val="left"/>
              <w:rPr>
                <w:rFonts w:eastAsia="宋体"/>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w:t>
            </w:r>
            <w:r>
              <w:rPr>
                <w:sz w:val="24"/>
              </w:rPr>
              <w:t>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1027" w:type="pct"/>
            <w:vAlign w:val="center"/>
          </w:tcPr>
          <w:p>
            <w:pPr>
              <w:tabs>
                <w:tab w:val="left" w:pos="1080"/>
              </w:tabs>
              <w:snapToGrid w:val="0"/>
              <w:spacing w:line="260" w:lineRule="exact"/>
              <w:jc w:val="center"/>
              <w:rPr>
                <w:rFonts w:eastAsia="宋体"/>
                <w:sz w:val="24"/>
              </w:rPr>
            </w:pPr>
            <w:r>
              <w:rPr>
                <w:rFonts w:eastAsia="宋体"/>
                <w:sz w:val="24"/>
              </w:rPr>
              <w:t>提供证明文件的</w:t>
            </w:r>
            <w:r>
              <w:rPr>
                <w:rFonts w:hint="eastAsia" w:eastAsia="宋体"/>
                <w:sz w:val="24"/>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spacing w:line="260" w:lineRule="exact"/>
              <w:jc w:val="center"/>
              <w:rPr>
                <w:rFonts w:eastAsia="宋体"/>
                <w:sz w:val="24"/>
              </w:rPr>
            </w:pPr>
            <w:r>
              <w:rPr>
                <w:rFonts w:eastAsia="宋体"/>
                <w:sz w:val="24"/>
              </w:rPr>
              <w:t>1-2</w:t>
            </w:r>
          </w:p>
        </w:tc>
        <w:tc>
          <w:tcPr>
            <w:tcW w:w="937" w:type="pct"/>
            <w:vAlign w:val="center"/>
          </w:tcPr>
          <w:p>
            <w:pPr>
              <w:tabs>
                <w:tab w:val="left" w:pos="1080"/>
              </w:tabs>
              <w:snapToGrid w:val="0"/>
              <w:spacing w:line="260" w:lineRule="exact"/>
              <w:jc w:val="center"/>
              <w:rPr>
                <w:rFonts w:eastAsia="宋体"/>
                <w:sz w:val="24"/>
              </w:rPr>
            </w:pPr>
            <w:r>
              <w:rPr>
                <w:rFonts w:eastAsia="宋体"/>
                <w:sz w:val="24"/>
              </w:rPr>
              <w:t>供应商资格声明书</w:t>
            </w:r>
          </w:p>
        </w:tc>
        <w:tc>
          <w:tcPr>
            <w:tcW w:w="2579" w:type="pct"/>
            <w:vAlign w:val="center"/>
          </w:tcPr>
          <w:p>
            <w:pPr>
              <w:tabs>
                <w:tab w:val="left" w:pos="1080"/>
              </w:tabs>
              <w:snapToGrid w:val="0"/>
              <w:spacing w:line="260" w:lineRule="exact"/>
              <w:jc w:val="left"/>
              <w:rPr>
                <w:rFonts w:eastAsia="宋体"/>
                <w:sz w:val="24"/>
              </w:rPr>
            </w:pPr>
            <w:r>
              <w:rPr>
                <w:rFonts w:eastAsia="宋体"/>
                <w:sz w:val="24"/>
              </w:rPr>
              <w:t>提供符合竞争性磋商文件要求的《供应商资格声明书》。</w:t>
            </w:r>
          </w:p>
        </w:tc>
        <w:tc>
          <w:tcPr>
            <w:tcW w:w="1027" w:type="pct"/>
            <w:vAlign w:val="center"/>
          </w:tcPr>
          <w:p>
            <w:pPr>
              <w:tabs>
                <w:tab w:val="left" w:pos="1080"/>
              </w:tabs>
              <w:snapToGrid w:val="0"/>
              <w:spacing w:line="260" w:lineRule="exact"/>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spacing w:line="260" w:lineRule="exact"/>
              <w:jc w:val="center"/>
              <w:rPr>
                <w:rFonts w:eastAsia="宋体"/>
                <w:sz w:val="24"/>
              </w:rPr>
            </w:pPr>
            <w:r>
              <w:rPr>
                <w:rFonts w:eastAsia="宋体"/>
                <w:sz w:val="24"/>
              </w:rPr>
              <w:t>1-3</w:t>
            </w:r>
          </w:p>
        </w:tc>
        <w:tc>
          <w:tcPr>
            <w:tcW w:w="937" w:type="pct"/>
            <w:vAlign w:val="center"/>
          </w:tcPr>
          <w:p>
            <w:pPr>
              <w:tabs>
                <w:tab w:val="left" w:pos="1080"/>
              </w:tabs>
              <w:snapToGrid w:val="0"/>
              <w:spacing w:line="260" w:lineRule="exact"/>
              <w:jc w:val="center"/>
              <w:rPr>
                <w:rFonts w:eastAsia="宋体"/>
                <w:sz w:val="24"/>
              </w:rPr>
            </w:pPr>
            <w:r>
              <w:rPr>
                <w:rFonts w:eastAsia="宋体"/>
                <w:sz w:val="24"/>
              </w:rPr>
              <w:t>供应商信用记录</w:t>
            </w:r>
          </w:p>
        </w:tc>
        <w:tc>
          <w:tcPr>
            <w:tcW w:w="2579" w:type="pct"/>
            <w:vAlign w:val="center"/>
          </w:tcPr>
          <w:p>
            <w:pPr>
              <w:tabs>
                <w:tab w:val="left" w:pos="1080"/>
              </w:tabs>
              <w:snapToGrid w:val="0"/>
              <w:spacing w:line="260" w:lineRule="exact"/>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pPr>
              <w:tabs>
                <w:tab w:val="left" w:pos="900"/>
                <w:tab w:val="left" w:pos="1980"/>
              </w:tabs>
              <w:snapToGrid w:val="0"/>
              <w:spacing w:line="260" w:lineRule="exact"/>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、资格审查阶段采购人或采购代理机构的实际查询时间；</w:t>
            </w:r>
          </w:p>
          <w:p>
            <w:pPr>
              <w:tabs>
                <w:tab w:val="left" w:pos="900"/>
                <w:tab w:val="left" w:pos="1980"/>
              </w:tabs>
              <w:snapToGrid w:val="0"/>
              <w:spacing w:line="260" w:lineRule="exact"/>
              <w:rPr>
                <w:rFonts w:eastAsia="宋体"/>
                <w:sz w:val="24"/>
              </w:rPr>
            </w:pPr>
            <w:r>
              <w:rPr>
                <w:rFonts w:eastAsia="宋体"/>
                <w:sz w:val="24"/>
              </w:rPr>
              <w:t>信用信息查询记录和证据留存具体方式：查询结果网页打印页作为查询记录和证据，与其他竞争性磋商文件一并保存；</w:t>
            </w:r>
          </w:p>
          <w:p>
            <w:pPr>
              <w:tabs>
                <w:tab w:val="left" w:pos="1080"/>
              </w:tabs>
              <w:snapToGrid w:val="0"/>
              <w:spacing w:line="260" w:lineRule="exact"/>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7" w:type="pct"/>
            <w:vAlign w:val="center"/>
          </w:tcPr>
          <w:p>
            <w:pPr>
              <w:tabs>
                <w:tab w:val="left" w:pos="1080"/>
              </w:tabs>
              <w:snapToGrid w:val="0"/>
              <w:spacing w:line="260" w:lineRule="exact"/>
              <w:rPr>
                <w:rFonts w:eastAsia="宋体"/>
                <w:sz w:val="24"/>
              </w:rPr>
            </w:pPr>
            <w:r>
              <w:rPr>
                <w:rFonts w:eastAsia="宋体"/>
                <w:sz w:val="24"/>
              </w:rPr>
              <w:t>无须供应商提供，由采购人或采购代理机构查询。</w:t>
            </w:r>
          </w:p>
        </w:tc>
      </w:tr>
    </w:tbl>
    <w:p>
      <w:pPr>
        <w:widowControl/>
        <w:jc w:val="left"/>
        <w:rPr>
          <w:rFonts w:eastAsia="宋体"/>
          <w:sz w:val="24"/>
        </w:rPr>
      </w:pPr>
    </w:p>
    <w:p>
      <w:pPr>
        <w:numPr>
          <w:ilvl w:val="1"/>
          <w:numId w:val="10"/>
        </w:numPr>
        <w:tabs>
          <w:tab w:val="left" w:pos="1080"/>
        </w:tabs>
        <w:snapToGrid w:val="0"/>
        <w:spacing w:line="360" w:lineRule="auto"/>
        <w:ind w:left="1077" w:hanging="720"/>
        <w:rPr>
          <w:rFonts w:eastAsia="宋体"/>
          <w:sz w:val="24"/>
        </w:rPr>
      </w:pPr>
      <w:r>
        <w:rPr>
          <w:rFonts w:eastAsia="宋体"/>
          <w:sz w:val="24"/>
        </w:rPr>
        <w:t>《符合性审查要求》见下表：</w:t>
      </w:r>
    </w:p>
    <w:p>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699"/>
        <w:gridCol w:w="4391"/>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65" w:type="pct"/>
            <w:shd w:val="clear" w:color="000000" w:fill="FFFFFF"/>
            <w:vAlign w:val="center"/>
          </w:tcPr>
          <w:p>
            <w:pPr>
              <w:widowControl/>
              <w:spacing w:line="280" w:lineRule="exact"/>
              <w:jc w:val="center"/>
              <w:rPr>
                <w:rFonts w:eastAsia="宋体"/>
                <w:b/>
                <w:color w:val="000000"/>
                <w:kern w:val="0"/>
                <w:sz w:val="24"/>
              </w:rPr>
            </w:pPr>
            <w:r>
              <w:rPr>
                <w:rFonts w:eastAsia="宋体"/>
                <w:b/>
                <w:color w:val="000000"/>
                <w:kern w:val="0"/>
                <w:sz w:val="24"/>
              </w:rPr>
              <w:t>序号</w:t>
            </w:r>
          </w:p>
        </w:tc>
        <w:tc>
          <w:tcPr>
            <w:tcW w:w="996" w:type="pct"/>
            <w:shd w:val="clear" w:color="000000" w:fill="FFFFFF"/>
            <w:vAlign w:val="center"/>
          </w:tcPr>
          <w:p>
            <w:pPr>
              <w:widowControl/>
              <w:spacing w:line="280" w:lineRule="exact"/>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574" w:type="pct"/>
            <w:shd w:val="clear" w:color="000000" w:fill="FFFFFF"/>
            <w:vAlign w:val="center"/>
          </w:tcPr>
          <w:p>
            <w:pPr>
              <w:widowControl/>
              <w:spacing w:line="280" w:lineRule="exact"/>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963" w:type="pct"/>
            <w:shd w:val="clear" w:color="000000" w:fill="FFFFFF"/>
            <w:vAlign w:val="center"/>
          </w:tcPr>
          <w:p>
            <w:pPr>
              <w:widowControl/>
              <w:spacing w:line="280" w:lineRule="exact"/>
              <w:jc w:val="center"/>
              <w:rPr>
                <w:rFonts w:eastAsia="宋体"/>
                <w:b/>
                <w:color w:val="000000"/>
                <w:kern w:val="0"/>
                <w:sz w:val="24"/>
              </w:rPr>
            </w:pPr>
            <w:r>
              <w:rPr>
                <w:rFonts w:eastAsia="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shd w:val="clear" w:color="000000" w:fill="FFFFFF"/>
            <w:vAlign w:val="center"/>
          </w:tcPr>
          <w:p>
            <w:pPr>
              <w:widowControl/>
              <w:spacing w:line="280" w:lineRule="exact"/>
              <w:jc w:val="center"/>
              <w:rPr>
                <w:color w:val="000000"/>
                <w:kern w:val="0"/>
                <w:sz w:val="24"/>
              </w:rPr>
            </w:pPr>
            <w:r>
              <w:rPr>
                <w:color w:val="000000"/>
                <w:kern w:val="0"/>
                <w:sz w:val="24"/>
              </w:rPr>
              <w:t>1</w:t>
            </w:r>
          </w:p>
        </w:tc>
        <w:tc>
          <w:tcPr>
            <w:tcW w:w="996" w:type="pct"/>
            <w:shd w:val="clear" w:color="000000" w:fill="FFFFFF"/>
            <w:vAlign w:val="center"/>
          </w:tcPr>
          <w:p>
            <w:pPr>
              <w:widowControl/>
              <w:spacing w:line="280" w:lineRule="exact"/>
              <w:jc w:val="left"/>
              <w:rPr>
                <w:color w:val="000000"/>
                <w:kern w:val="0"/>
                <w:sz w:val="24"/>
              </w:rPr>
            </w:pPr>
            <w:r>
              <w:rPr>
                <w:color w:val="000000"/>
                <w:kern w:val="0"/>
                <w:sz w:val="24"/>
              </w:rPr>
              <w:t>授权委托书</w:t>
            </w:r>
          </w:p>
        </w:tc>
        <w:tc>
          <w:tcPr>
            <w:tcW w:w="2574" w:type="pct"/>
            <w:shd w:val="clear" w:color="000000" w:fill="FFFFFF"/>
            <w:vAlign w:val="center"/>
          </w:tcPr>
          <w:p>
            <w:pPr>
              <w:widowControl/>
              <w:spacing w:line="280" w:lineRule="exact"/>
              <w:jc w:val="left"/>
              <w:rPr>
                <w:color w:val="000000"/>
                <w:kern w:val="0"/>
                <w:sz w:val="24"/>
              </w:rPr>
            </w:pPr>
            <w:r>
              <w:rPr>
                <w:color w:val="000000"/>
                <w:kern w:val="0"/>
                <w:sz w:val="24"/>
              </w:rPr>
              <w:t>按</w:t>
            </w:r>
            <w:r>
              <w:rPr>
                <w:rFonts w:hint="eastAsia"/>
                <w:color w:val="000000"/>
                <w:kern w:val="0"/>
                <w:sz w:val="24"/>
              </w:rPr>
              <w:t>竞争性磋商文件</w:t>
            </w:r>
            <w:r>
              <w:rPr>
                <w:color w:val="000000"/>
                <w:kern w:val="0"/>
                <w:sz w:val="24"/>
              </w:rPr>
              <w:t>要求提供授权委托书；</w:t>
            </w:r>
          </w:p>
        </w:tc>
        <w:tc>
          <w:tcPr>
            <w:tcW w:w="963" w:type="pct"/>
            <w:shd w:val="clear" w:color="000000" w:fill="FFFFFF"/>
            <w:vAlign w:val="center"/>
          </w:tcPr>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shd w:val="clear" w:color="000000" w:fill="FFFFFF"/>
            <w:vAlign w:val="center"/>
          </w:tcPr>
          <w:p>
            <w:pPr>
              <w:widowControl/>
              <w:spacing w:line="280" w:lineRule="exact"/>
              <w:jc w:val="center"/>
              <w:rPr>
                <w:color w:val="000000"/>
                <w:kern w:val="0"/>
                <w:sz w:val="24"/>
              </w:rPr>
            </w:pPr>
            <w:r>
              <w:rPr>
                <w:color w:val="000000"/>
                <w:kern w:val="0"/>
                <w:sz w:val="24"/>
              </w:rPr>
              <w:t>2</w:t>
            </w:r>
          </w:p>
        </w:tc>
        <w:tc>
          <w:tcPr>
            <w:tcW w:w="996" w:type="pct"/>
            <w:shd w:val="clear" w:color="000000" w:fill="FFFFFF"/>
            <w:vAlign w:val="center"/>
          </w:tcPr>
          <w:p>
            <w:pPr>
              <w:widowControl/>
              <w:spacing w:line="280" w:lineRule="exact"/>
              <w:jc w:val="left"/>
              <w:rPr>
                <w:color w:val="000000"/>
                <w:kern w:val="0"/>
                <w:sz w:val="24"/>
              </w:rPr>
            </w:pPr>
            <w:r>
              <w:rPr>
                <w:color w:val="000000"/>
                <w:kern w:val="0"/>
                <w:sz w:val="24"/>
              </w:rPr>
              <w:t>投标完整性</w:t>
            </w:r>
          </w:p>
        </w:tc>
        <w:tc>
          <w:tcPr>
            <w:tcW w:w="2574" w:type="pct"/>
            <w:shd w:val="clear" w:color="000000" w:fill="FFFFFF"/>
            <w:vAlign w:val="center"/>
          </w:tcPr>
          <w:p>
            <w:pPr>
              <w:widowControl/>
              <w:spacing w:line="280" w:lineRule="exact"/>
              <w:jc w:val="left"/>
              <w:rPr>
                <w:color w:val="000000"/>
                <w:kern w:val="0"/>
                <w:sz w:val="24"/>
              </w:rPr>
            </w:pPr>
            <w:r>
              <w:rPr>
                <w:rFonts w:hint="eastAsia"/>
                <w:sz w:val="24"/>
              </w:rPr>
              <w:t>未</w:t>
            </w:r>
            <w:r>
              <w:rPr>
                <w:sz w:val="24"/>
              </w:rPr>
              <w:t>将一个采购包中的内容拆开投标；</w:t>
            </w:r>
          </w:p>
        </w:tc>
        <w:tc>
          <w:tcPr>
            <w:tcW w:w="963" w:type="pct"/>
            <w:shd w:val="clear" w:color="000000" w:fill="FFFFFF"/>
            <w:vAlign w:val="center"/>
          </w:tcPr>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shd w:val="clear" w:color="000000" w:fill="FFFFFF"/>
            <w:vAlign w:val="center"/>
          </w:tcPr>
          <w:p>
            <w:pPr>
              <w:widowControl/>
              <w:spacing w:line="280" w:lineRule="exact"/>
              <w:jc w:val="center"/>
              <w:rPr>
                <w:color w:val="000000"/>
                <w:kern w:val="0"/>
                <w:sz w:val="24"/>
              </w:rPr>
            </w:pPr>
            <w:r>
              <w:rPr>
                <w:color w:val="000000"/>
                <w:kern w:val="0"/>
                <w:sz w:val="24"/>
              </w:rPr>
              <w:t>3</w:t>
            </w:r>
          </w:p>
        </w:tc>
        <w:tc>
          <w:tcPr>
            <w:tcW w:w="996" w:type="pct"/>
            <w:shd w:val="clear" w:color="000000" w:fill="FFFFFF"/>
            <w:vAlign w:val="center"/>
          </w:tcPr>
          <w:p>
            <w:pPr>
              <w:widowControl/>
              <w:spacing w:line="280" w:lineRule="exact"/>
              <w:jc w:val="left"/>
              <w:rPr>
                <w:color w:val="000000"/>
                <w:kern w:val="0"/>
                <w:sz w:val="24"/>
              </w:rPr>
            </w:pPr>
            <w:r>
              <w:rPr>
                <w:color w:val="000000"/>
                <w:kern w:val="0"/>
                <w:sz w:val="24"/>
              </w:rPr>
              <w:t>投标报价</w:t>
            </w:r>
          </w:p>
        </w:tc>
        <w:tc>
          <w:tcPr>
            <w:tcW w:w="2574" w:type="pct"/>
            <w:shd w:val="clear" w:color="000000" w:fill="FFFFFF"/>
            <w:vAlign w:val="center"/>
          </w:tcPr>
          <w:p>
            <w:pPr>
              <w:widowControl/>
              <w:spacing w:line="280" w:lineRule="exact"/>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w:t>
            </w:r>
            <w:r>
              <w:rPr>
                <w:rFonts w:hint="eastAsia"/>
                <w:color w:val="000000"/>
                <w:sz w:val="24"/>
              </w:rPr>
              <w:t>竞争性磋商文件</w:t>
            </w:r>
            <w:r>
              <w:rPr>
                <w:color w:val="000000"/>
                <w:sz w:val="24"/>
              </w:rPr>
              <w:t>中规定的项目/采购包预算金额或者项目/采购包最高限价</w:t>
            </w:r>
            <w:r>
              <w:rPr>
                <w:color w:val="000000"/>
                <w:kern w:val="0"/>
                <w:sz w:val="24"/>
              </w:rPr>
              <w:t>；</w:t>
            </w:r>
          </w:p>
        </w:tc>
        <w:tc>
          <w:tcPr>
            <w:tcW w:w="963" w:type="pct"/>
            <w:shd w:val="clear" w:color="000000" w:fill="FFFFFF"/>
            <w:vAlign w:val="center"/>
          </w:tcPr>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shd w:val="clear" w:color="000000" w:fill="FFFFFF"/>
            <w:vAlign w:val="center"/>
          </w:tcPr>
          <w:p>
            <w:pPr>
              <w:widowControl/>
              <w:spacing w:line="280" w:lineRule="exact"/>
              <w:jc w:val="center"/>
              <w:rPr>
                <w:color w:val="000000"/>
                <w:kern w:val="0"/>
                <w:sz w:val="24"/>
              </w:rPr>
            </w:pPr>
            <w:r>
              <w:rPr>
                <w:color w:val="000000"/>
                <w:kern w:val="0"/>
                <w:sz w:val="24"/>
              </w:rPr>
              <w:t>4</w:t>
            </w:r>
          </w:p>
        </w:tc>
        <w:tc>
          <w:tcPr>
            <w:tcW w:w="996" w:type="pct"/>
            <w:shd w:val="clear" w:color="000000" w:fill="FFFFFF"/>
            <w:vAlign w:val="center"/>
          </w:tcPr>
          <w:p>
            <w:pPr>
              <w:widowControl/>
              <w:spacing w:line="280" w:lineRule="exact"/>
              <w:jc w:val="left"/>
              <w:rPr>
                <w:color w:val="000000"/>
                <w:kern w:val="0"/>
                <w:sz w:val="24"/>
              </w:rPr>
            </w:pPr>
            <w:r>
              <w:rPr>
                <w:color w:val="000000"/>
                <w:kern w:val="0"/>
                <w:sz w:val="24"/>
              </w:rPr>
              <w:t>投标有效期</w:t>
            </w:r>
          </w:p>
        </w:tc>
        <w:tc>
          <w:tcPr>
            <w:tcW w:w="2574" w:type="pct"/>
            <w:shd w:val="clear" w:color="000000" w:fill="FFFFFF"/>
            <w:vAlign w:val="center"/>
          </w:tcPr>
          <w:p>
            <w:pPr>
              <w:widowControl/>
              <w:spacing w:line="280" w:lineRule="exact"/>
              <w:jc w:val="left"/>
              <w:rPr>
                <w:color w:val="000000"/>
                <w:kern w:val="0"/>
                <w:sz w:val="24"/>
              </w:rPr>
            </w:pPr>
            <w:r>
              <w:rPr>
                <w:rFonts w:hint="eastAsia"/>
                <w:color w:val="000000"/>
                <w:kern w:val="0"/>
                <w:sz w:val="24"/>
              </w:rPr>
              <w:t>响应文件</w:t>
            </w:r>
            <w:r>
              <w:rPr>
                <w:color w:val="000000"/>
                <w:kern w:val="0"/>
                <w:sz w:val="24"/>
              </w:rPr>
              <w:t>中承诺的投标有效期</w:t>
            </w:r>
            <w:r>
              <w:rPr>
                <w:rFonts w:hint="eastAsia"/>
                <w:color w:val="000000"/>
                <w:kern w:val="0"/>
                <w:sz w:val="24"/>
              </w:rPr>
              <w:t>满足竞争性磋商文件</w:t>
            </w:r>
            <w:r>
              <w:rPr>
                <w:color w:val="000000"/>
                <w:kern w:val="0"/>
                <w:sz w:val="24"/>
              </w:rPr>
              <w:t>中载明的投标有效期的；</w:t>
            </w:r>
          </w:p>
        </w:tc>
        <w:tc>
          <w:tcPr>
            <w:tcW w:w="963" w:type="pct"/>
            <w:shd w:val="clear" w:color="000000" w:fill="FFFFFF"/>
            <w:vAlign w:val="center"/>
          </w:tcPr>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shd w:val="clear" w:color="000000" w:fill="FFFFFF"/>
            <w:vAlign w:val="center"/>
          </w:tcPr>
          <w:p>
            <w:pPr>
              <w:widowControl/>
              <w:spacing w:line="280" w:lineRule="exact"/>
              <w:jc w:val="center"/>
              <w:rPr>
                <w:color w:val="000000"/>
                <w:kern w:val="0"/>
                <w:sz w:val="24"/>
              </w:rPr>
            </w:pPr>
            <w:r>
              <w:rPr>
                <w:color w:val="000000"/>
                <w:kern w:val="0"/>
                <w:sz w:val="24"/>
              </w:rPr>
              <w:t>5</w:t>
            </w:r>
          </w:p>
        </w:tc>
        <w:tc>
          <w:tcPr>
            <w:tcW w:w="996" w:type="pct"/>
            <w:shd w:val="clear" w:color="000000" w:fill="FFFFFF"/>
            <w:vAlign w:val="center"/>
          </w:tcPr>
          <w:p>
            <w:pPr>
              <w:widowControl/>
              <w:spacing w:line="280" w:lineRule="exact"/>
              <w:jc w:val="left"/>
              <w:rPr>
                <w:color w:val="000000"/>
                <w:kern w:val="0"/>
                <w:sz w:val="24"/>
              </w:rPr>
            </w:pPr>
            <w:r>
              <w:rPr>
                <w:color w:val="000000"/>
                <w:kern w:val="0"/>
                <w:sz w:val="24"/>
              </w:rPr>
              <w:t>签署、盖章</w:t>
            </w:r>
          </w:p>
        </w:tc>
        <w:tc>
          <w:tcPr>
            <w:tcW w:w="2574" w:type="pct"/>
            <w:shd w:val="clear" w:color="000000" w:fill="FFFFFF"/>
            <w:vAlign w:val="center"/>
          </w:tcPr>
          <w:p>
            <w:pPr>
              <w:widowControl/>
              <w:spacing w:line="280" w:lineRule="exact"/>
              <w:jc w:val="left"/>
              <w:rPr>
                <w:color w:val="000000"/>
                <w:kern w:val="0"/>
                <w:sz w:val="24"/>
              </w:rPr>
            </w:pPr>
            <w:r>
              <w:rPr>
                <w:color w:val="000000"/>
                <w:kern w:val="0"/>
                <w:sz w:val="24"/>
              </w:rPr>
              <w:t>按照</w:t>
            </w:r>
            <w:r>
              <w:rPr>
                <w:rFonts w:hint="eastAsia"/>
                <w:color w:val="000000"/>
                <w:kern w:val="0"/>
                <w:sz w:val="24"/>
              </w:rPr>
              <w:t>竞争性磋商文件</w:t>
            </w:r>
            <w:r>
              <w:rPr>
                <w:color w:val="000000"/>
                <w:kern w:val="0"/>
                <w:sz w:val="24"/>
              </w:rPr>
              <w:t>要求签署、盖章的；</w:t>
            </w:r>
          </w:p>
        </w:tc>
        <w:tc>
          <w:tcPr>
            <w:tcW w:w="963" w:type="pct"/>
            <w:shd w:val="clear" w:color="000000" w:fill="FFFFFF"/>
            <w:vAlign w:val="center"/>
          </w:tcPr>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shd w:val="clear" w:color="000000" w:fill="FFFFFF"/>
            <w:vAlign w:val="center"/>
          </w:tcPr>
          <w:p>
            <w:pPr>
              <w:widowControl/>
              <w:spacing w:line="280" w:lineRule="exact"/>
              <w:jc w:val="center"/>
              <w:rPr>
                <w:color w:val="000000"/>
                <w:kern w:val="0"/>
                <w:sz w:val="24"/>
              </w:rPr>
            </w:pPr>
            <w:r>
              <w:rPr>
                <w:color w:val="000000"/>
                <w:kern w:val="0"/>
                <w:sz w:val="24"/>
              </w:rPr>
              <w:t>6</w:t>
            </w:r>
          </w:p>
        </w:tc>
        <w:tc>
          <w:tcPr>
            <w:tcW w:w="996" w:type="pct"/>
            <w:shd w:val="clear" w:color="000000" w:fill="FFFFFF"/>
            <w:vAlign w:val="center"/>
          </w:tcPr>
          <w:p>
            <w:pPr>
              <w:widowControl/>
              <w:spacing w:line="280" w:lineRule="exact"/>
              <w:jc w:val="left"/>
              <w:rPr>
                <w:color w:val="000000"/>
                <w:kern w:val="0"/>
                <w:sz w:val="24"/>
              </w:rPr>
            </w:pPr>
            <w:r>
              <w:rPr>
                <w:rFonts w:hint="eastAsia"/>
                <w:color w:val="000000"/>
                <w:kern w:val="0"/>
                <w:sz w:val="24"/>
              </w:rPr>
              <w:t>实质性格式</w:t>
            </w:r>
          </w:p>
        </w:tc>
        <w:tc>
          <w:tcPr>
            <w:tcW w:w="2574" w:type="pct"/>
            <w:shd w:val="clear" w:color="000000" w:fill="FFFFFF"/>
            <w:vAlign w:val="center"/>
          </w:tcPr>
          <w:p>
            <w:pPr>
              <w:widowControl/>
              <w:spacing w:line="280" w:lineRule="exact"/>
              <w:jc w:val="left"/>
              <w:rPr>
                <w:color w:val="000000"/>
                <w:kern w:val="0"/>
                <w:sz w:val="24"/>
              </w:rPr>
            </w:pPr>
            <w:r>
              <w:rPr>
                <w:rFonts w:hint="eastAsia"/>
                <w:kern w:val="0"/>
                <w:sz w:val="24"/>
              </w:rPr>
              <w:t>标记为</w:t>
            </w:r>
            <w:r>
              <w:rPr>
                <w:kern w:val="0"/>
                <w:sz w:val="24"/>
              </w:rPr>
              <w:t>“实质性格式”的</w:t>
            </w:r>
            <w:r>
              <w:rPr>
                <w:rFonts w:hint="eastAsia"/>
                <w:kern w:val="0"/>
                <w:sz w:val="24"/>
              </w:rPr>
              <w:t>文件均按竞争性磋商文件要求提供；</w:t>
            </w:r>
          </w:p>
        </w:tc>
        <w:tc>
          <w:tcPr>
            <w:tcW w:w="963" w:type="pct"/>
            <w:shd w:val="clear" w:color="000000" w:fill="FFFFFF"/>
            <w:vAlign w:val="center"/>
          </w:tcPr>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vAlign w:val="center"/>
          </w:tcPr>
          <w:p>
            <w:pPr>
              <w:widowControl/>
              <w:spacing w:line="280" w:lineRule="exact"/>
              <w:jc w:val="center"/>
              <w:rPr>
                <w:color w:val="000000"/>
                <w:kern w:val="0"/>
                <w:sz w:val="24"/>
              </w:rPr>
            </w:pPr>
            <w:r>
              <w:rPr>
                <w:rFonts w:hint="eastAsia"/>
                <w:color w:val="000000"/>
                <w:kern w:val="0"/>
                <w:sz w:val="24"/>
              </w:rPr>
              <w:t>7</w:t>
            </w:r>
          </w:p>
        </w:tc>
        <w:tc>
          <w:tcPr>
            <w:tcW w:w="996" w:type="pct"/>
            <w:vAlign w:val="center"/>
          </w:tcPr>
          <w:p>
            <w:pPr>
              <w:widowControl/>
              <w:spacing w:line="280" w:lineRule="exact"/>
              <w:jc w:val="left"/>
              <w:rPr>
                <w:kern w:val="0"/>
                <w:sz w:val="24"/>
              </w:rPr>
            </w:pPr>
            <w:r>
              <w:rPr>
                <w:kern w:val="0"/>
                <w:sz w:val="24"/>
              </w:rPr>
              <w:t>报价的修正</w:t>
            </w:r>
          </w:p>
        </w:tc>
        <w:tc>
          <w:tcPr>
            <w:tcW w:w="2574" w:type="pct"/>
            <w:vAlign w:val="center"/>
          </w:tcPr>
          <w:p>
            <w:pPr>
              <w:widowControl/>
              <w:spacing w:line="280" w:lineRule="exact"/>
              <w:jc w:val="left"/>
              <w:rPr>
                <w:kern w:val="0"/>
                <w:sz w:val="24"/>
              </w:rPr>
            </w:pPr>
            <w:r>
              <w:rPr>
                <w:rFonts w:hint="eastAsia"/>
                <w:kern w:val="0"/>
                <w:sz w:val="24"/>
              </w:rPr>
              <w:t>响应文件最后</w:t>
            </w:r>
            <w:r>
              <w:rPr>
                <w:kern w:val="0"/>
                <w:sz w:val="24"/>
              </w:rPr>
              <w:t>报价出现前后不一致</w:t>
            </w:r>
            <w:r>
              <w:rPr>
                <w:rFonts w:hint="eastAsia"/>
                <w:kern w:val="0"/>
                <w:sz w:val="24"/>
              </w:rPr>
              <w:t>的，</w:t>
            </w:r>
            <w:r>
              <w:rPr>
                <w:kern w:val="0"/>
                <w:sz w:val="24"/>
              </w:rPr>
              <w:t>最后报价的算术修正及政策调整</w:t>
            </w:r>
            <w:r>
              <w:rPr>
                <w:rFonts w:hint="eastAsia"/>
                <w:kern w:val="0"/>
                <w:sz w:val="24"/>
              </w:rPr>
              <w:t>3.2项进行修正；</w:t>
            </w:r>
          </w:p>
        </w:tc>
        <w:tc>
          <w:tcPr>
            <w:tcW w:w="963" w:type="pct"/>
          </w:tcPr>
          <w:p>
            <w:pPr>
              <w:widowControl/>
              <w:spacing w:line="280" w:lineRule="exact"/>
              <w:jc w:val="center"/>
              <w:rPr>
                <w:rFonts w:eastAsia="宋体"/>
                <w:color w:val="000000"/>
                <w:kern w:val="0"/>
                <w:sz w:val="24"/>
              </w:rPr>
            </w:pPr>
          </w:p>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65" w:type="pct"/>
            <w:vAlign w:val="center"/>
          </w:tcPr>
          <w:p>
            <w:pPr>
              <w:widowControl/>
              <w:spacing w:line="280" w:lineRule="exact"/>
              <w:jc w:val="center"/>
              <w:rPr>
                <w:color w:val="000000"/>
                <w:kern w:val="0"/>
                <w:sz w:val="24"/>
              </w:rPr>
            </w:pPr>
            <w:r>
              <w:rPr>
                <w:color w:val="000000"/>
                <w:kern w:val="0"/>
                <w:sz w:val="24"/>
              </w:rPr>
              <w:t>8</w:t>
            </w:r>
          </w:p>
        </w:tc>
        <w:tc>
          <w:tcPr>
            <w:tcW w:w="996" w:type="pct"/>
            <w:vAlign w:val="center"/>
          </w:tcPr>
          <w:p>
            <w:pPr>
              <w:widowControl/>
              <w:spacing w:line="280" w:lineRule="exact"/>
              <w:jc w:val="left"/>
              <w:rPr>
                <w:color w:val="000000"/>
                <w:kern w:val="0"/>
                <w:sz w:val="24"/>
              </w:rPr>
            </w:pPr>
            <w:r>
              <w:rPr>
                <w:color w:val="000000"/>
                <w:kern w:val="0"/>
                <w:sz w:val="24"/>
              </w:rPr>
              <w:t>报价合理性</w:t>
            </w:r>
          </w:p>
        </w:tc>
        <w:tc>
          <w:tcPr>
            <w:tcW w:w="2574" w:type="pct"/>
            <w:vAlign w:val="center"/>
          </w:tcPr>
          <w:p>
            <w:pPr>
              <w:tabs>
                <w:tab w:val="left" w:pos="360"/>
              </w:tabs>
              <w:snapToGrid w:val="0"/>
              <w:spacing w:line="280" w:lineRule="exact"/>
              <w:outlineLvl w:val="1"/>
              <w:rPr>
                <w:color w:val="000000"/>
                <w:kern w:val="0"/>
                <w:sz w:val="24"/>
              </w:rPr>
            </w:pPr>
            <w:r>
              <w:rPr>
                <w:color w:val="000000"/>
                <w:kern w:val="0"/>
                <w:sz w:val="24"/>
              </w:rPr>
              <w:t>报价合理或</w:t>
            </w:r>
            <w:r>
              <w:rPr>
                <w:rFonts w:hint="eastAsia"/>
                <w:sz w:val="24"/>
              </w:rPr>
              <w:t>供应商的报价明显低于其他通过符合性审查供应商的报价，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c>
          <w:tcPr>
            <w:tcW w:w="963" w:type="pct"/>
          </w:tcPr>
          <w:p>
            <w:pPr>
              <w:widowControl/>
              <w:spacing w:line="280" w:lineRule="exact"/>
              <w:jc w:val="center"/>
            </w:pPr>
          </w:p>
          <w:p>
            <w:pPr>
              <w:spacing w:line="280" w:lineRule="exact"/>
              <w:ind w:firstLine="720" w:firstLineChars="300"/>
              <w:jc w:val="center"/>
              <w:rPr>
                <w:rFonts w:eastAsia="宋体"/>
                <w:color w:val="000000"/>
                <w:kern w:val="0"/>
                <w:sz w:val="24"/>
              </w:rPr>
            </w:pPr>
          </w:p>
          <w:p>
            <w:pPr>
              <w:spacing w:line="280" w:lineRule="exact"/>
              <w:jc w:val="cente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vAlign w:val="center"/>
          </w:tcPr>
          <w:p>
            <w:pPr>
              <w:widowControl/>
              <w:spacing w:line="280" w:lineRule="exact"/>
              <w:jc w:val="center"/>
              <w:rPr>
                <w:color w:val="000000"/>
                <w:kern w:val="0"/>
                <w:sz w:val="24"/>
              </w:rPr>
            </w:pPr>
            <w:r>
              <w:rPr>
                <w:color w:val="000000"/>
                <w:kern w:val="0"/>
                <w:sz w:val="24"/>
              </w:rPr>
              <w:t>9</w:t>
            </w:r>
          </w:p>
        </w:tc>
        <w:tc>
          <w:tcPr>
            <w:tcW w:w="996" w:type="pct"/>
            <w:vAlign w:val="center"/>
          </w:tcPr>
          <w:p>
            <w:pPr>
              <w:widowControl/>
              <w:spacing w:line="280" w:lineRule="exact"/>
              <w:jc w:val="left"/>
              <w:rPr>
                <w:color w:val="000000"/>
                <w:kern w:val="0"/>
                <w:sz w:val="24"/>
              </w:rPr>
            </w:pPr>
            <w:r>
              <w:rPr>
                <w:color w:val="000000"/>
                <w:kern w:val="0"/>
                <w:sz w:val="24"/>
              </w:rPr>
              <w:t>进口产品</w:t>
            </w:r>
          </w:p>
          <w:p>
            <w:pPr>
              <w:widowControl/>
              <w:spacing w:line="280" w:lineRule="exact"/>
              <w:jc w:val="left"/>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lang w:val="en-US" w:eastAsia="zh-CN"/>
              </w:rPr>
              <w:t>如有</w:t>
            </w:r>
            <w:r>
              <w:rPr>
                <w:rFonts w:hint="eastAsia"/>
                <w:color w:val="000000"/>
                <w:kern w:val="0"/>
                <w:sz w:val="24"/>
                <w:lang w:eastAsia="zh-CN"/>
              </w:rPr>
              <w:t>）</w:t>
            </w:r>
          </w:p>
        </w:tc>
        <w:tc>
          <w:tcPr>
            <w:tcW w:w="2574" w:type="pct"/>
            <w:vAlign w:val="center"/>
          </w:tcPr>
          <w:p>
            <w:pPr>
              <w:widowControl/>
              <w:spacing w:line="280" w:lineRule="exact"/>
              <w:jc w:val="left"/>
              <w:rPr>
                <w:color w:val="000000"/>
                <w:kern w:val="0"/>
                <w:sz w:val="24"/>
              </w:rPr>
            </w:pPr>
            <w:r>
              <w:rPr>
                <w:rFonts w:hint="eastAsia" w:ascii="宋体" w:hAnsi="宋体"/>
                <w:sz w:val="24"/>
              </w:rPr>
              <w:t>本项目</w:t>
            </w:r>
            <w:r>
              <w:rPr>
                <w:rFonts w:ascii="宋体" w:hAnsi="宋体"/>
                <w:sz w:val="24"/>
              </w:rPr>
              <w:t>不接受进口产品</w:t>
            </w:r>
            <w:r>
              <w:rPr>
                <w:rFonts w:hint="eastAsia" w:ascii="宋体" w:hAnsi="宋体"/>
                <w:sz w:val="24"/>
              </w:rPr>
              <w:t>；</w:t>
            </w:r>
          </w:p>
        </w:tc>
        <w:tc>
          <w:tcPr>
            <w:tcW w:w="963" w:type="pct"/>
            <w:vAlign w:val="center"/>
          </w:tcPr>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vAlign w:val="center"/>
          </w:tcPr>
          <w:p>
            <w:pPr>
              <w:widowControl/>
              <w:spacing w:line="280" w:lineRule="exact"/>
              <w:jc w:val="center"/>
              <w:rPr>
                <w:color w:val="000000"/>
                <w:kern w:val="0"/>
                <w:sz w:val="24"/>
              </w:rPr>
            </w:pPr>
            <w:r>
              <w:rPr>
                <w:color w:val="000000"/>
                <w:kern w:val="0"/>
                <w:sz w:val="24"/>
              </w:rPr>
              <w:t>10</w:t>
            </w:r>
          </w:p>
        </w:tc>
        <w:tc>
          <w:tcPr>
            <w:tcW w:w="996" w:type="pct"/>
            <w:vAlign w:val="center"/>
          </w:tcPr>
          <w:p>
            <w:pPr>
              <w:widowControl/>
              <w:spacing w:line="280" w:lineRule="exact"/>
              <w:jc w:val="left"/>
              <w:rPr>
                <w:rFonts w:hint="eastAsia" w:eastAsia="宋体"/>
                <w:color w:val="000000"/>
                <w:kern w:val="0"/>
                <w:sz w:val="24"/>
                <w:lang w:eastAsia="zh-CN"/>
              </w:rPr>
            </w:pPr>
            <w:r>
              <w:rPr>
                <w:color w:val="000000"/>
                <w:kern w:val="0"/>
                <w:sz w:val="24"/>
              </w:rPr>
              <w:t>国家有关部门对</w:t>
            </w:r>
            <w:r>
              <w:rPr>
                <w:rFonts w:hint="eastAsia"/>
                <w:color w:val="000000"/>
                <w:kern w:val="0"/>
                <w:sz w:val="24"/>
              </w:rPr>
              <w:t>供应商</w:t>
            </w:r>
            <w:r>
              <w:rPr>
                <w:color w:val="000000"/>
                <w:kern w:val="0"/>
                <w:sz w:val="24"/>
              </w:rPr>
              <w:t>的投标产品有强制性规定或要求的</w:t>
            </w:r>
            <w:r>
              <w:rPr>
                <w:rFonts w:hint="eastAsia"/>
                <w:color w:val="000000"/>
                <w:kern w:val="0"/>
                <w:sz w:val="24"/>
                <w:lang w:eastAsia="zh-CN"/>
              </w:rPr>
              <w:t>（</w:t>
            </w:r>
            <w:r>
              <w:rPr>
                <w:rFonts w:hint="eastAsia"/>
                <w:color w:val="000000"/>
                <w:kern w:val="0"/>
                <w:sz w:val="24"/>
                <w:lang w:val="en-US" w:eastAsia="zh-CN"/>
              </w:rPr>
              <w:t>如有</w:t>
            </w:r>
            <w:r>
              <w:rPr>
                <w:rFonts w:hint="eastAsia"/>
                <w:color w:val="000000"/>
                <w:kern w:val="0"/>
                <w:sz w:val="24"/>
                <w:lang w:eastAsia="zh-CN"/>
              </w:rPr>
              <w:t>）</w:t>
            </w:r>
          </w:p>
        </w:tc>
        <w:tc>
          <w:tcPr>
            <w:tcW w:w="2574" w:type="pct"/>
            <w:vAlign w:val="center"/>
          </w:tcPr>
          <w:p>
            <w:pPr>
              <w:widowControl/>
              <w:spacing w:line="280" w:lineRule="exact"/>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的投标产品有强制性规定或要求的（如相应技术、安全、节能和环保等），</w:t>
            </w:r>
            <w:r>
              <w:rPr>
                <w:rFonts w:hint="eastAsia"/>
                <w:color w:val="000000"/>
                <w:kern w:val="0"/>
                <w:sz w:val="24"/>
              </w:rPr>
              <w:t>供应商</w:t>
            </w:r>
            <w:r>
              <w:rPr>
                <w:color w:val="000000"/>
                <w:kern w:val="0"/>
                <w:sz w:val="24"/>
              </w:rPr>
              <w:t>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w:t>
            </w:r>
          </w:p>
          <w:p>
            <w:pPr>
              <w:widowControl/>
              <w:spacing w:line="280" w:lineRule="exact"/>
              <w:jc w:val="left"/>
              <w:rPr>
                <w:color w:val="000000"/>
                <w:kern w:val="0"/>
                <w:sz w:val="24"/>
              </w:rPr>
            </w:pPr>
            <w:r>
              <w:rPr>
                <w:rFonts w:hint="eastAsia"/>
                <w:color w:val="000000"/>
                <w:kern w:val="0"/>
                <w:sz w:val="24"/>
              </w:rPr>
              <w:t>1）</w:t>
            </w:r>
            <w:r>
              <w:rPr>
                <w:color w:val="000000"/>
                <w:kern w:val="0"/>
                <w:sz w:val="24"/>
              </w:rPr>
              <w:t>采购的产品若属于《</w:t>
            </w:r>
            <w:r>
              <w:rPr>
                <w:rFonts w:hint="eastAsia"/>
                <w:color w:val="000000"/>
                <w:kern w:val="0"/>
                <w:sz w:val="24"/>
              </w:rPr>
              <w:t>环境标志</w:t>
            </w:r>
            <w:r>
              <w:rPr>
                <w:color w:val="000000"/>
                <w:kern w:val="0"/>
                <w:sz w:val="24"/>
              </w:rPr>
              <w:t>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pPr>
              <w:widowControl/>
              <w:spacing w:line="280" w:lineRule="exact"/>
              <w:jc w:val="left"/>
              <w:rPr>
                <w:color w:val="000000"/>
                <w:kern w:val="0"/>
                <w:sz w:val="24"/>
              </w:rPr>
            </w:pPr>
            <w:r>
              <w:rPr>
                <w:rFonts w:hint="eastAsia"/>
                <w:color w:val="000000"/>
                <w:kern w:val="0"/>
                <w:sz w:val="24"/>
              </w:rPr>
              <w:t>2）</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pPr>
              <w:widowControl/>
              <w:spacing w:line="280" w:lineRule="exact"/>
              <w:jc w:val="left"/>
              <w:rPr>
                <w:color w:val="000000"/>
                <w:kern w:val="0"/>
                <w:sz w:val="24"/>
              </w:rPr>
            </w:pPr>
            <w:r>
              <w:rPr>
                <w:rFonts w:hint="eastAsia"/>
                <w:color w:val="000000"/>
                <w:kern w:val="0"/>
                <w:sz w:val="24"/>
              </w:rPr>
              <w:t>3）</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pPr>
              <w:widowControl/>
              <w:spacing w:line="280" w:lineRule="exact"/>
              <w:jc w:val="left"/>
              <w:rPr>
                <w:sz w:val="24"/>
              </w:rPr>
            </w:pPr>
            <w:r>
              <w:rPr>
                <w:rFonts w:hint="eastAsia"/>
                <w:sz w:val="24"/>
              </w:rPr>
              <w:t>4）</w:t>
            </w:r>
            <w:r>
              <w:rPr>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pPr>
              <w:widowControl/>
              <w:spacing w:line="280" w:lineRule="exact"/>
              <w:jc w:val="left"/>
              <w:rPr>
                <w:color w:val="000000"/>
                <w:kern w:val="0"/>
                <w:sz w:val="24"/>
              </w:rPr>
            </w:pPr>
            <w:r>
              <w:rPr>
                <w:rFonts w:hint="eastAsia"/>
                <w:sz w:val="24"/>
              </w:rPr>
              <w:t>5）</w:t>
            </w:r>
            <w:r>
              <w:rPr>
                <w:sz w:val="24"/>
              </w:rPr>
              <w:t>项目中涉及涂料、胶黏剂、油墨、清洗剂等挥发性有机物产品，且属于强制性标准的，供应商应执行符合本市和国家的VOCs 含量限制标准</w:t>
            </w:r>
            <w:r>
              <w:rPr>
                <w:rFonts w:hint="eastAsia"/>
                <w:sz w:val="24"/>
              </w:rPr>
              <w:t>。</w:t>
            </w:r>
          </w:p>
        </w:tc>
        <w:tc>
          <w:tcPr>
            <w:tcW w:w="963" w:type="pct"/>
            <w:vAlign w:val="center"/>
          </w:tcPr>
          <w:p>
            <w:pPr>
              <w:widowControl/>
              <w:spacing w:line="280" w:lineRule="exact"/>
              <w:jc w:val="center"/>
              <w:rPr>
                <w:rFonts w:eastAsia="宋体"/>
                <w:color w:val="000000"/>
                <w:kern w:val="0"/>
                <w:sz w:val="24"/>
              </w:rPr>
            </w:pPr>
          </w:p>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vAlign w:val="center"/>
          </w:tcPr>
          <w:p>
            <w:pPr>
              <w:widowControl/>
              <w:spacing w:line="280" w:lineRule="exact"/>
              <w:jc w:val="center"/>
              <w:rPr>
                <w:color w:val="000000"/>
                <w:kern w:val="0"/>
                <w:sz w:val="24"/>
              </w:rPr>
            </w:pPr>
            <w:r>
              <w:rPr>
                <w:color w:val="000000"/>
                <w:kern w:val="0"/>
                <w:sz w:val="24"/>
              </w:rPr>
              <w:t>1</w:t>
            </w:r>
            <w:r>
              <w:rPr>
                <w:rFonts w:hint="eastAsia"/>
                <w:color w:val="000000"/>
                <w:kern w:val="0"/>
                <w:sz w:val="24"/>
              </w:rPr>
              <w:t>1</w:t>
            </w:r>
          </w:p>
        </w:tc>
        <w:tc>
          <w:tcPr>
            <w:tcW w:w="996" w:type="pct"/>
            <w:vAlign w:val="center"/>
          </w:tcPr>
          <w:p>
            <w:pPr>
              <w:widowControl/>
              <w:spacing w:line="280" w:lineRule="exact"/>
              <w:jc w:val="center"/>
              <w:rPr>
                <w:color w:val="000000"/>
                <w:kern w:val="0"/>
                <w:sz w:val="24"/>
              </w:rPr>
            </w:pPr>
            <w:r>
              <w:rPr>
                <w:color w:val="000000"/>
                <w:kern w:val="0"/>
                <w:sz w:val="24"/>
              </w:rPr>
              <w:t>公平竞争</w:t>
            </w:r>
          </w:p>
        </w:tc>
        <w:tc>
          <w:tcPr>
            <w:tcW w:w="2574" w:type="pct"/>
            <w:vAlign w:val="center"/>
          </w:tcPr>
          <w:p>
            <w:pPr>
              <w:widowControl/>
              <w:spacing w:line="280" w:lineRule="exact"/>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c>
          <w:tcPr>
            <w:tcW w:w="963" w:type="pct"/>
          </w:tcPr>
          <w:p>
            <w:pPr>
              <w:widowControl/>
              <w:spacing w:line="280" w:lineRule="exact"/>
              <w:jc w:val="center"/>
              <w:rPr>
                <w:rFonts w:eastAsia="宋体"/>
                <w:color w:val="000000"/>
                <w:kern w:val="0"/>
                <w:sz w:val="24"/>
              </w:rPr>
            </w:pPr>
          </w:p>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vAlign w:val="center"/>
          </w:tcPr>
          <w:p>
            <w:pPr>
              <w:widowControl/>
              <w:spacing w:line="280" w:lineRule="exact"/>
              <w:jc w:val="center"/>
              <w:rPr>
                <w:color w:val="000000"/>
                <w:kern w:val="0"/>
                <w:sz w:val="24"/>
              </w:rPr>
            </w:pPr>
            <w:r>
              <w:rPr>
                <w:color w:val="000000"/>
                <w:kern w:val="0"/>
                <w:sz w:val="24"/>
              </w:rPr>
              <w:t>1</w:t>
            </w:r>
            <w:r>
              <w:rPr>
                <w:rFonts w:hint="eastAsia"/>
                <w:color w:val="000000"/>
                <w:kern w:val="0"/>
                <w:sz w:val="24"/>
              </w:rPr>
              <w:t>2</w:t>
            </w:r>
          </w:p>
        </w:tc>
        <w:tc>
          <w:tcPr>
            <w:tcW w:w="996" w:type="pct"/>
            <w:vAlign w:val="center"/>
          </w:tcPr>
          <w:p>
            <w:pPr>
              <w:widowControl/>
              <w:spacing w:line="280" w:lineRule="exact"/>
              <w:jc w:val="center"/>
              <w:rPr>
                <w:color w:val="000000"/>
                <w:kern w:val="0"/>
                <w:sz w:val="24"/>
              </w:rPr>
            </w:pPr>
            <w:r>
              <w:rPr>
                <w:color w:val="000000"/>
                <w:kern w:val="0"/>
                <w:sz w:val="24"/>
              </w:rPr>
              <w:t>附加条件</w:t>
            </w:r>
          </w:p>
        </w:tc>
        <w:tc>
          <w:tcPr>
            <w:tcW w:w="2574" w:type="pct"/>
            <w:vAlign w:val="center"/>
          </w:tcPr>
          <w:p>
            <w:pPr>
              <w:widowControl/>
              <w:spacing w:line="280" w:lineRule="exact"/>
              <w:jc w:val="left"/>
              <w:rPr>
                <w:color w:val="000000"/>
                <w:kern w:val="0"/>
                <w:sz w:val="24"/>
              </w:rPr>
            </w:pPr>
            <w:r>
              <w:rPr>
                <w:rFonts w:hint="eastAsia"/>
                <w:color w:val="000000"/>
                <w:kern w:val="0"/>
                <w:sz w:val="24"/>
              </w:rPr>
              <w:t>响应文件未</w:t>
            </w:r>
            <w:r>
              <w:rPr>
                <w:color w:val="000000"/>
                <w:kern w:val="0"/>
                <w:sz w:val="24"/>
              </w:rPr>
              <w:t>含有采购人不能接受的附加条件的；</w:t>
            </w:r>
          </w:p>
        </w:tc>
        <w:tc>
          <w:tcPr>
            <w:tcW w:w="963" w:type="pct"/>
          </w:tcPr>
          <w:p>
            <w:pPr>
              <w:widowControl/>
              <w:spacing w:line="280" w:lineRule="exact"/>
              <w:jc w:val="center"/>
              <w:rPr>
                <w:rFonts w:eastAsia="宋体"/>
                <w:color w:val="000000"/>
                <w:kern w:val="0"/>
                <w:sz w:val="24"/>
              </w:rPr>
            </w:pPr>
          </w:p>
          <w:p>
            <w:pPr>
              <w:widowControl/>
              <w:spacing w:line="280" w:lineRule="exact"/>
              <w:jc w:val="center"/>
              <w:rPr>
                <w:rFonts w:eastAsia="宋体"/>
                <w:color w:val="000000"/>
                <w:kern w:val="0"/>
                <w:sz w:val="24"/>
              </w:rPr>
            </w:pPr>
            <w:r>
              <w:rPr>
                <w:rFonts w:hint="eastAsia"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5" w:type="pct"/>
            <w:vAlign w:val="center"/>
          </w:tcPr>
          <w:p>
            <w:pPr>
              <w:widowControl/>
              <w:spacing w:line="280" w:lineRule="exact"/>
              <w:jc w:val="center"/>
              <w:rPr>
                <w:color w:val="000000"/>
                <w:kern w:val="0"/>
                <w:sz w:val="24"/>
              </w:rPr>
            </w:pPr>
            <w:r>
              <w:rPr>
                <w:color w:val="000000"/>
                <w:kern w:val="0"/>
                <w:sz w:val="24"/>
              </w:rPr>
              <w:t>1</w:t>
            </w:r>
            <w:r>
              <w:rPr>
                <w:rFonts w:hint="eastAsia"/>
                <w:color w:val="000000"/>
                <w:kern w:val="0"/>
                <w:sz w:val="24"/>
              </w:rPr>
              <w:t>3</w:t>
            </w:r>
          </w:p>
        </w:tc>
        <w:tc>
          <w:tcPr>
            <w:tcW w:w="996" w:type="pct"/>
            <w:vAlign w:val="center"/>
          </w:tcPr>
          <w:p>
            <w:pPr>
              <w:widowControl/>
              <w:spacing w:line="280" w:lineRule="exact"/>
              <w:jc w:val="center"/>
              <w:rPr>
                <w:color w:val="000000"/>
                <w:kern w:val="0"/>
                <w:sz w:val="24"/>
              </w:rPr>
            </w:pPr>
            <w:r>
              <w:rPr>
                <w:color w:val="000000"/>
                <w:kern w:val="0"/>
                <w:sz w:val="24"/>
              </w:rPr>
              <w:t>其他无效情形</w:t>
            </w:r>
          </w:p>
        </w:tc>
        <w:tc>
          <w:tcPr>
            <w:tcW w:w="2574" w:type="pct"/>
            <w:vAlign w:val="center"/>
          </w:tcPr>
          <w:p>
            <w:pPr>
              <w:widowControl/>
              <w:spacing w:line="280" w:lineRule="exact"/>
              <w:jc w:val="left"/>
              <w:rPr>
                <w:color w:val="000000"/>
                <w:kern w:val="0"/>
                <w:sz w:val="24"/>
              </w:rPr>
            </w:pPr>
            <w:r>
              <w:rPr>
                <w:rFonts w:hint="eastAsia"/>
                <w:color w:val="000000"/>
                <w:sz w:val="24"/>
              </w:rPr>
              <w:t>供应商</w:t>
            </w:r>
            <w:r>
              <w:rPr>
                <w:color w:val="000000"/>
                <w:sz w:val="24"/>
              </w:rPr>
              <w:t>、</w:t>
            </w:r>
            <w:r>
              <w:rPr>
                <w:rFonts w:hint="eastAsia"/>
                <w:color w:val="000000"/>
                <w:sz w:val="24"/>
              </w:rPr>
              <w:t>响应文件不存在</w:t>
            </w:r>
            <w:r>
              <w:rPr>
                <w:color w:val="000000"/>
                <w:sz w:val="24"/>
              </w:rPr>
              <w:t>不符合法律、法规和</w:t>
            </w:r>
            <w:r>
              <w:rPr>
                <w:rFonts w:hint="eastAsia"/>
                <w:color w:val="000000"/>
                <w:sz w:val="24"/>
              </w:rPr>
              <w:t>竞争性磋商文件</w:t>
            </w:r>
            <w:r>
              <w:rPr>
                <w:color w:val="000000"/>
                <w:sz w:val="24"/>
              </w:rPr>
              <w:t>规定的其他无效情形。</w:t>
            </w:r>
          </w:p>
        </w:tc>
        <w:tc>
          <w:tcPr>
            <w:tcW w:w="963" w:type="pct"/>
          </w:tcPr>
          <w:p>
            <w:pPr>
              <w:widowControl/>
              <w:spacing w:line="280" w:lineRule="exact"/>
              <w:jc w:val="center"/>
              <w:rPr>
                <w:rFonts w:eastAsia="宋体"/>
                <w:color w:val="000000"/>
                <w:kern w:val="0"/>
                <w:sz w:val="24"/>
              </w:rPr>
            </w:pPr>
          </w:p>
          <w:p>
            <w:pPr>
              <w:widowControl/>
              <w:spacing w:line="280" w:lineRule="exact"/>
              <w:jc w:val="center"/>
              <w:rPr>
                <w:rFonts w:eastAsia="宋体"/>
                <w:color w:val="000000"/>
                <w:kern w:val="0"/>
                <w:sz w:val="24"/>
              </w:rPr>
            </w:pPr>
            <w:r>
              <w:rPr>
                <w:rFonts w:hint="eastAsia" w:eastAsia="宋体"/>
                <w:color w:val="000000"/>
                <w:kern w:val="0"/>
                <w:sz w:val="24"/>
              </w:rPr>
              <w:t>否</w:t>
            </w:r>
          </w:p>
        </w:tc>
      </w:tr>
    </w:tbl>
    <w:p>
      <w:pPr>
        <w:tabs>
          <w:tab w:val="left" w:pos="900"/>
          <w:tab w:val="left" w:pos="1080"/>
          <w:tab w:val="left" w:pos="1589"/>
        </w:tabs>
        <w:snapToGrid w:val="0"/>
        <w:spacing w:line="360" w:lineRule="auto"/>
        <w:rPr>
          <w:rFonts w:eastAsia="宋体"/>
          <w:sz w:val="24"/>
        </w:rPr>
      </w:pPr>
    </w:p>
    <w:p>
      <w:pPr>
        <w:numPr>
          <w:ilvl w:val="0"/>
          <w:numId w:val="10"/>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pPr>
        <w:numPr>
          <w:ilvl w:val="1"/>
          <w:numId w:val="10"/>
        </w:numPr>
        <w:tabs>
          <w:tab w:val="left" w:pos="1080"/>
        </w:tabs>
        <w:snapToGrid w:val="0"/>
        <w:spacing w:line="360" w:lineRule="auto"/>
        <w:ind w:left="1077" w:hanging="720"/>
        <w:rPr>
          <w:rFonts w:eastAsia="宋体"/>
          <w:sz w:val="24"/>
        </w:rPr>
      </w:pPr>
      <w:r>
        <w:rPr>
          <w:rFonts w:eastAsia="宋体"/>
          <w:sz w:val="24"/>
        </w:rPr>
        <w:t>磋商小组所有成员将集中与单一供应商分别进行磋商，并给予所有参加磋商的供应商平等的磋商机会。</w:t>
      </w:r>
    </w:p>
    <w:p>
      <w:pPr>
        <w:numPr>
          <w:ilvl w:val="1"/>
          <w:numId w:val="10"/>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0"/>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pPr>
        <w:numPr>
          <w:ilvl w:val="1"/>
          <w:numId w:val="10"/>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宋体"/>
          <w:kern w:val="0"/>
          <w:sz w:val="24"/>
        </w:rPr>
        <w:t>）或授权代表签字或者加盖公章。由授权代表签字的，应当附授权委托书。供应商为自然人的，应当由本人签字并附身份证明。</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p>
    <w:p>
      <w:pPr>
        <w:numPr>
          <w:ilvl w:val="2"/>
          <w:numId w:val="10"/>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0"/>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pPr>
        <w:numPr>
          <w:ilvl w:val="2"/>
          <w:numId w:val="10"/>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宋体"/>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宋体"/>
          <w:kern w:val="0"/>
          <w:sz w:val="24"/>
        </w:rPr>
        <w:t>）</w:t>
      </w:r>
      <w:r>
        <w:rPr>
          <w:rFonts w:eastAsia="宋体"/>
          <w:sz w:val="24"/>
        </w:rPr>
        <w:t>或其授权代表签字或者加盖公章。由授权代表签字的，应当附授权委托书。供应商为自然人的，应当由本人签字并附身份证明。澄清、说明或者更正文件将作为响应文件内容的一部分。</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pPr>
        <w:numPr>
          <w:ilvl w:val="1"/>
          <w:numId w:val="10"/>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pPr>
        <w:numPr>
          <w:ilvl w:val="0"/>
          <w:numId w:val="10"/>
        </w:numPr>
        <w:tabs>
          <w:tab w:val="left" w:pos="360"/>
        </w:tabs>
        <w:snapToGrid w:val="0"/>
        <w:spacing w:line="360" w:lineRule="auto"/>
        <w:outlineLvl w:val="1"/>
        <w:rPr>
          <w:rFonts w:eastAsia="宋体"/>
          <w:sz w:val="24"/>
        </w:rPr>
      </w:pPr>
      <w:r>
        <w:rPr>
          <w:rFonts w:eastAsia="宋体"/>
          <w:sz w:val="24"/>
        </w:rPr>
        <w:t>最后报价的算术修正及政策调整</w:t>
      </w:r>
    </w:p>
    <w:p>
      <w:pPr>
        <w:numPr>
          <w:ilvl w:val="1"/>
          <w:numId w:val="10"/>
        </w:numPr>
        <w:tabs>
          <w:tab w:val="left" w:pos="1080"/>
        </w:tabs>
        <w:snapToGrid w:val="0"/>
        <w:spacing w:line="360" w:lineRule="auto"/>
        <w:ind w:left="1077" w:hanging="720"/>
        <w:rPr>
          <w:rFonts w:eastAsia="宋体"/>
          <w:sz w:val="24"/>
        </w:rPr>
      </w:pPr>
      <w:r>
        <w:rPr>
          <w:rFonts w:eastAsia="宋体"/>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pPr>
        <w:numPr>
          <w:ilvl w:val="2"/>
          <w:numId w:val="10"/>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pPr>
        <w:tabs>
          <w:tab w:val="left" w:pos="1080"/>
          <w:tab w:val="left" w:pos="1589"/>
          <w:tab w:val="left" w:pos="2035"/>
          <w:tab w:val="left" w:pos="2114"/>
        </w:tabs>
        <w:snapToGrid w:val="0"/>
        <w:spacing w:line="360" w:lineRule="auto"/>
        <w:ind w:left="2035"/>
        <w:rPr>
          <w:rFonts w:eastAsia="宋体"/>
          <w:sz w:val="24"/>
        </w:rPr>
      </w:pPr>
      <w:r>
        <w:rPr>
          <w:sz w:val="32"/>
          <w:szCs w:val="32"/>
        </w:rPr>
        <w:t>■</w:t>
      </w:r>
      <w:r>
        <w:rPr>
          <w:rFonts w:eastAsia="宋体"/>
          <w:sz w:val="24"/>
        </w:rPr>
        <w:t>无，按下述3.2.2-3.2.5项规定修正。</w:t>
      </w:r>
    </w:p>
    <w:p>
      <w:pPr>
        <w:numPr>
          <w:ilvl w:val="2"/>
          <w:numId w:val="10"/>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pPr>
        <w:numPr>
          <w:ilvl w:val="2"/>
          <w:numId w:val="10"/>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单价金额小数点或者百分比有明显错位的，以总价为准，并修改单价；</w:t>
      </w:r>
    </w:p>
    <w:p>
      <w:pPr>
        <w:numPr>
          <w:ilvl w:val="2"/>
          <w:numId w:val="10"/>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pPr>
        <w:numPr>
          <w:ilvl w:val="2"/>
          <w:numId w:val="10"/>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pPr>
        <w:numPr>
          <w:ilvl w:val="2"/>
          <w:numId w:val="10"/>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w:t>
      </w:r>
      <w:r>
        <w:rPr>
          <w:rFonts w:hint="eastAsia" w:eastAsia="宋体"/>
          <w:sz w:val="24"/>
          <w:u w:val="single"/>
        </w:rPr>
        <w:t>10</w:t>
      </w:r>
      <w:r>
        <w:rPr>
          <w:rFonts w:eastAsia="宋体"/>
          <w:sz w:val="24"/>
        </w:rPr>
        <w:t>%的扣除，用扣除后的价格参加评审。</w:t>
      </w:r>
    </w:p>
    <w:p>
      <w:pPr>
        <w:numPr>
          <w:ilvl w:val="2"/>
          <w:numId w:val="10"/>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宋体"/>
          <w:sz w:val="24"/>
        </w:rPr>
        <w:t xml:space="preserve"> </w:t>
      </w:r>
      <w:r>
        <w:rPr>
          <w:rFonts w:hint="eastAsia" w:eastAsia="宋体"/>
          <w:sz w:val="24"/>
          <w:u w:val="single"/>
        </w:rPr>
        <w:t xml:space="preserve">3 </w:t>
      </w:r>
      <w:r>
        <w:rPr>
          <w:rFonts w:eastAsia="宋体"/>
          <w:sz w:val="24"/>
        </w:rPr>
        <w:t>%的扣除，用扣除后的价格参加评审。</w:t>
      </w:r>
    </w:p>
    <w:p>
      <w:pPr>
        <w:numPr>
          <w:ilvl w:val="2"/>
          <w:numId w:val="10"/>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pPr>
        <w:numPr>
          <w:ilvl w:val="2"/>
          <w:numId w:val="10"/>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pPr>
        <w:numPr>
          <w:ilvl w:val="2"/>
          <w:numId w:val="10"/>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pPr>
        <w:numPr>
          <w:ilvl w:val="2"/>
          <w:numId w:val="10"/>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pPr>
        <w:numPr>
          <w:ilvl w:val="2"/>
          <w:numId w:val="10"/>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pPr>
        <w:numPr>
          <w:ilvl w:val="2"/>
          <w:numId w:val="10"/>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pPr>
        <w:numPr>
          <w:ilvl w:val="2"/>
          <w:numId w:val="10"/>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w:t>
      </w:r>
      <w:r>
        <w:rPr>
          <w:rFonts w:hint="eastAsia" w:eastAsia="宋体"/>
          <w:sz w:val="24"/>
        </w:rPr>
        <w:t>无</w:t>
      </w:r>
      <w:r>
        <w:rPr>
          <w:rFonts w:eastAsia="宋体"/>
          <w:sz w:val="24"/>
        </w:rPr>
        <w:t>。</w:t>
      </w:r>
    </w:p>
    <w:p>
      <w:pPr>
        <w:numPr>
          <w:ilvl w:val="0"/>
          <w:numId w:val="10"/>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pPr>
        <w:numPr>
          <w:ilvl w:val="1"/>
          <w:numId w:val="10"/>
        </w:numPr>
        <w:tabs>
          <w:tab w:val="left" w:pos="1080"/>
        </w:tabs>
        <w:snapToGrid w:val="0"/>
        <w:spacing w:line="360" w:lineRule="auto"/>
        <w:ind w:left="1077" w:hanging="720"/>
        <w:rPr>
          <w:rFonts w:eastAsia="宋体"/>
          <w:sz w:val="24"/>
        </w:rPr>
      </w:pPr>
      <w:r>
        <w:rPr>
          <w:rFonts w:eastAsia="宋体"/>
          <w:sz w:val="24"/>
        </w:rPr>
        <w:t>供应商对实质性变动不予确认的；</w:t>
      </w:r>
    </w:p>
    <w:p>
      <w:pPr>
        <w:numPr>
          <w:ilvl w:val="1"/>
          <w:numId w:val="10"/>
        </w:numPr>
        <w:tabs>
          <w:tab w:val="left" w:pos="1080"/>
        </w:tabs>
        <w:snapToGrid w:val="0"/>
        <w:spacing w:line="360" w:lineRule="auto"/>
        <w:ind w:left="1077" w:hanging="720"/>
        <w:rPr>
          <w:rFonts w:eastAsia="宋体"/>
          <w:sz w:val="24"/>
        </w:rPr>
      </w:pPr>
      <w:r>
        <w:rPr>
          <w:rFonts w:eastAsia="宋体"/>
          <w:sz w:val="24"/>
        </w:rPr>
        <w:t>磋商文件技术指标超出磋商文件《采购需求》中主要技术参数允许偏差的最大范围的（如有）；</w:t>
      </w:r>
    </w:p>
    <w:p>
      <w:pPr>
        <w:numPr>
          <w:ilvl w:val="1"/>
          <w:numId w:val="10"/>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pPr>
        <w:numPr>
          <w:ilvl w:val="1"/>
          <w:numId w:val="10"/>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pPr>
        <w:numPr>
          <w:ilvl w:val="1"/>
          <w:numId w:val="10"/>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pPr>
        <w:numPr>
          <w:ilvl w:val="1"/>
          <w:numId w:val="10"/>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pPr>
        <w:numPr>
          <w:ilvl w:val="1"/>
          <w:numId w:val="10"/>
        </w:numPr>
        <w:tabs>
          <w:tab w:val="left" w:pos="1080"/>
        </w:tabs>
        <w:snapToGrid w:val="0"/>
        <w:spacing w:line="360" w:lineRule="auto"/>
        <w:ind w:left="1077" w:hanging="720"/>
        <w:rPr>
          <w:rFonts w:eastAsia="宋体"/>
          <w:sz w:val="24"/>
        </w:rPr>
      </w:pPr>
      <w:r>
        <w:rPr>
          <w:rFonts w:eastAsia="宋体"/>
          <w:sz w:val="24"/>
        </w:rPr>
        <w:t>其他：</w:t>
      </w:r>
      <w:r>
        <w:rPr>
          <w:rFonts w:hint="eastAsia" w:eastAsia="宋体"/>
          <w:sz w:val="24"/>
        </w:rPr>
        <w:t>无</w:t>
      </w:r>
      <w:r>
        <w:rPr>
          <w:rFonts w:eastAsia="宋体"/>
          <w:sz w:val="24"/>
        </w:rPr>
        <w:t>。</w:t>
      </w:r>
    </w:p>
    <w:bookmarkEnd w:id="616"/>
    <w:bookmarkEnd w:id="617"/>
    <w:p>
      <w:pPr>
        <w:numPr>
          <w:ilvl w:val="0"/>
          <w:numId w:val="10"/>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hint="eastAsia" w:eastAsia="宋体"/>
          <w:sz w:val="24"/>
          <w:u w:val="single"/>
        </w:rPr>
        <w:t>本项目不涉及</w:t>
      </w:r>
      <w:r>
        <w:rPr>
          <w:rFonts w:eastAsia="宋体"/>
          <w:sz w:val="24"/>
        </w:rPr>
        <w:t>。</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关于无线局域网认证产品政府采购清单中的产品，优先采购的具体规定（如涉及）</w:t>
      </w:r>
      <w:r>
        <w:rPr>
          <w:rFonts w:hint="eastAsia" w:eastAsia="宋体"/>
          <w:sz w:val="24"/>
          <w:u w:val="single"/>
        </w:rPr>
        <w:t>本项目不涉及</w:t>
      </w:r>
      <w:r>
        <w:rPr>
          <w:rFonts w:eastAsia="宋体"/>
          <w:sz w:val="24"/>
        </w:rPr>
        <w:t>。</w:t>
      </w:r>
    </w:p>
    <w:p>
      <w:pPr>
        <w:numPr>
          <w:ilvl w:val="0"/>
          <w:numId w:val="10"/>
        </w:numPr>
        <w:tabs>
          <w:tab w:val="left" w:pos="360"/>
        </w:tabs>
        <w:snapToGrid w:val="0"/>
        <w:spacing w:line="360" w:lineRule="auto"/>
        <w:outlineLvl w:val="1"/>
        <w:rPr>
          <w:rFonts w:eastAsia="宋体"/>
          <w:sz w:val="24"/>
        </w:rPr>
      </w:pPr>
      <w:r>
        <w:rPr>
          <w:rFonts w:eastAsia="宋体"/>
          <w:sz w:val="24"/>
        </w:rPr>
        <w:t>确定</w:t>
      </w:r>
      <w:bookmarkStart w:id="633" w:name="_Toc305158888"/>
      <w:bookmarkStart w:id="634" w:name="_Toc164229241"/>
      <w:bookmarkStart w:id="635" w:name="_Toc265228384"/>
      <w:bookmarkStart w:id="636" w:name="_Toc127151546"/>
      <w:bookmarkStart w:id="637" w:name="_Toc226965819"/>
      <w:bookmarkStart w:id="638" w:name="_Toc195842911"/>
      <w:bookmarkStart w:id="639" w:name="_Toc142311048"/>
      <w:bookmarkStart w:id="640" w:name="_Toc150774751"/>
      <w:bookmarkStart w:id="641" w:name="_Toc226309790"/>
      <w:bookmarkStart w:id="642" w:name="_Toc164608660"/>
      <w:bookmarkStart w:id="643" w:name="_Toc151193716"/>
      <w:bookmarkStart w:id="644" w:name="_Toc151193934"/>
      <w:bookmarkStart w:id="645" w:name="_Toc164351640"/>
      <w:bookmarkStart w:id="646" w:name="_Ref467307010"/>
      <w:bookmarkStart w:id="647" w:name="_Toc127161460"/>
      <w:bookmarkStart w:id="648" w:name="_Toc520356170"/>
      <w:bookmarkStart w:id="649" w:name="_Toc151193860"/>
      <w:bookmarkStart w:id="650" w:name="_Toc151193788"/>
      <w:bookmarkStart w:id="651" w:name="_Toc226965736"/>
      <w:bookmarkStart w:id="652" w:name="_Toc127151747"/>
      <w:bookmarkStart w:id="653" w:name="_Toc150774646"/>
      <w:bookmarkStart w:id="654" w:name="_Toc151193644"/>
      <w:bookmarkStart w:id="655" w:name="_Toc149720839"/>
      <w:bookmarkStart w:id="656" w:name="_Toc164229387"/>
      <w:bookmarkStart w:id="657" w:name="_Toc164608815"/>
      <w:bookmarkStart w:id="658" w:name="_Toc150509297"/>
      <w:bookmarkStart w:id="659" w:name="_Toc264969236"/>
      <w:bookmarkStart w:id="660" w:name="_Toc226337242"/>
      <w:bookmarkStart w:id="661" w:name="_Toc150480784"/>
      <w:bookmarkStart w:id="662" w:name="_Toc305158814"/>
      <w:bookmarkStart w:id="663" w:name="_Toc151190173"/>
      <w:r>
        <w:rPr>
          <w:rFonts w:eastAsia="宋体"/>
          <w:sz w:val="24"/>
        </w:rPr>
        <w:t>成交候选人名单</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0"/>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rPr>
        <w:t>___</w:t>
      </w:r>
      <w:r>
        <w:rPr>
          <w:rFonts w:hint="eastAsia"/>
          <w:sz w:val="24"/>
        </w:rPr>
        <w:t>3</w:t>
      </w:r>
      <w:r>
        <w:rPr>
          <w:sz w:val="24"/>
        </w:rPr>
        <w:t>___名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pPr>
        <w:numPr>
          <w:ilvl w:val="1"/>
          <w:numId w:val="10"/>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pPr>
        <w:numPr>
          <w:ilvl w:val="0"/>
          <w:numId w:val="10"/>
        </w:numPr>
        <w:tabs>
          <w:tab w:val="left" w:pos="360"/>
        </w:tabs>
        <w:snapToGrid w:val="0"/>
        <w:spacing w:line="360" w:lineRule="auto"/>
        <w:outlineLvl w:val="1"/>
        <w:rPr>
          <w:rFonts w:eastAsia="宋体"/>
          <w:sz w:val="24"/>
        </w:rPr>
      </w:pPr>
      <w:r>
        <w:rPr>
          <w:rFonts w:eastAsia="宋体"/>
          <w:sz w:val="24"/>
        </w:rPr>
        <w:t>报告违法行为</w:t>
      </w:r>
    </w:p>
    <w:p>
      <w:pPr>
        <w:widowControl/>
        <w:numPr>
          <w:ilvl w:val="1"/>
          <w:numId w:val="10"/>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pPr>
        <w:pStyle w:val="4"/>
        <w:spacing w:before="0" w:line="360" w:lineRule="auto"/>
        <w:rPr>
          <w:rFonts w:ascii="宋体" w:hAnsi="宋体"/>
          <w:sz w:val="24"/>
        </w:rPr>
      </w:pPr>
      <w:r>
        <w:rPr>
          <w:rFonts w:ascii="Times New Roman" w:hAnsi="Times New Roman" w:eastAsia="宋体"/>
          <w:sz w:val="24"/>
          <w:szCs w:val="24"/>
        </w:rPr>
        <w:t>二、评审标准</w:t>
      </w:r>
    </w:p>
    <w:tbl>
      <w:tblPr>
        <w:tblStyle w:val="45"/>
        <w:tblW w:w="9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5"/>
        <w:gridCol w:w="1320"/>
        <w:gridCol w:w="7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1235" w:type="dxa"/>
            <w:vAlign w:val="center"/>
          </w:tcPr>
          <w:p>
            <w:pPr>
              <w:pStyle w:val="249"/>
              <w:spacing w:before="69" w:line="340" w:lineRule="exact"/>
              <w:jc w:val="center"/>
              <w:rPr>
                <w:rFonts w:cs="仿宋"/>
                <w:color w:val="000000"/>
              </w:rPr>
            </w:pPr>
            <w:r>
              <w:rPr>
                <w:rFonts w:eastAsia="宋体"/>
                <w:b/>
                <w:szCs w:val="21"/>
              </w:rPr>
              <w:t>评分因素</w:t>
            </w:r>
          </w:p>
        </w:tc>
        <w:tc>
          <w:tcPr>
            <w:tcW w:w="1320" w:type="dxa"/>
            <w:vAlign w:val="center"/>
          </w:tcPr>
          <w:p>
            <w:pPr>
              <w:pStyle w:val="249"/>
              <w:spacing w:before="69" w:line="340" w:lineRule="exact"/>
              <w:ind w:left="105"/>
              <w:jc w:val="center"/>
              <w:rPr>
                <w:rFonts w:cs="仿宋"/>
                <w:b/>
                <w:bCs/>
                <w:color w:val="000000"/>
                <w:lang w:eastAsia="zh-CN"/>
              </w:rPr>
            </w:pPr>
            <w:r>
              <w:rPr>
                <w:rFonts w:hint="eastAsia" w:cs="仿宋"/>
                <w:b/>
                <w:bCs/>
                <w:color w:val="000000"/>
                <w:lang w:eastAsia="zh-CN"/>
              </w:rPr>
              <w:t>评审内容及分值</w:t>
            </w:r>
          </w:p>
        </w:tc>
        <w:tc>
          <w:tcPr>
            <w:tcW w:w="7202" w:type="dxa"/>
            <w:vAlign w:val="center"/>
          </w:tcPr>
          <w:p>
            <w:pPr>
              <w:pStyle w:val="249"/>
              <w:spacing w:before="69" w:line="340" w:lineRule="exact"/>
              <w:ind w:left="105"/>
              <w:jc w:val="center"/>
              <w:rPr>
                <w:rFonts w:cs="仿宋"/>
                <w:color w:val="000000"/>
                <w:lang w:eastAsia="zh-CN"/>
              </w:rPr>
            </w:pPr>
            <w:r>
              <w:rPr>
                <w:rFonts w:eastAsia="宋体"/>
                <w:b/>
                <w:szCs w:val="21"/>
              </w:rPr>
              <w:t>评分标准</w:t>
            </w:r>
            <w:r>
              <w:rPr>
                <w:rFonts w:hint="eastAsia" w:cs="仿宋"/>
                <w:b/>
                <w:bCs/>
                <w:color w:val="000000"/>
                <w:lang w:eastAsia="zh-CN"/>
              </w:rPr>
              <w:t>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1235" w:type="dxa"/>
            <w:vAlign w:val="center"/>
          </w:tcPr>
          <w:p>
            <w:pPr>
              <w:pStyle w:val="249"/>
              <w:spacing w:before="130" w:line="340" w:lineRule="exact"/>
              <w:ind w:left="151" w:right="47"/>
              <w:jc w:val="center"/>
              <w:rPr>
                <w:rFonts w:cs="仿宋"/>
                <w:color w:val="000000"/>
                <w:lang w:eastAsia="zh-CN"/>
              </w:rPr>
            </w:pPr>
            <w:r>
              <w:rPr>
                <w:rFonts w:hint="eastAsia" w:cs="仿宋"/>
                <w:color w:val="000000"/>
                <w:lang w:eastAsia="zh-CN"/>
              </w:rPr>
              <w:t>价格分</w:t>
            </w:r>
          </w:p>
          <w:p>
            <w:pPr>
              <w:pStyle w:val="249"/>
              <w:spacing w:before="130" w:line="340" w:lineRule="exact"/>
              <w:ind w:left="151" w:right="47"/>
              <w:jc w:val="center"/>
              <w:rPr>
                <w:rFonts w:cs="仿宋"/>
                <w:color w:val="000000"/>
                <w:lang w:eastAsia="zh-CN"/>
              </w:rPr>
            </w:pPr>
            <w:r>
              <w:rPr>
                <w:rFonts w:hint="eastAsia" w:cs="仿宋"/>
                <w:color w:val="auto"/>
                <w:lang w:eastAsia="zh-CN"/>
              </w:rPr>
              <w:t>（30</w:t>
            </w:r>
            <w:r>
              <w:rPr>
                <w:rFonts w:hint="eastAsia" w:cs="仿宋"/>
                <w:color w:val="auto"/>
                <w:spacing w:val="-3"/>
                <w:lang w:eastAsia="zh-CN"/>
              </w:rPr>
              <w:t>分</w:t>
            </w:r>
            <w:r>
              <w:rPr>
                <w:rFonts w:hint="eastAsia" w:cs="仿宋"/>
                <w:color w:val="000000"/>
                <w:spacing w:val="-3"/>
                <w:lang w:eastAsia="zh-CN"/>
              </w:rPr>
              <w:t>）</w:t>
            </w:r>
          </w:p>
        </w:tc>
        <w:tc>
          <w:tcPr>
            <w:tcW w:w="1320" w:type="dxa"/>
            <w:vAlign w:val="center"/>
          </w:tcPr>
          <w:p>
            <w:pPr>
              <w:pStyle w:val="249"/>
              <w:spacing w:line="340" w:lineRule="exact"/>
              <w:ind w:left="103" w:right="96"/>
              <w:jc w:val="center"/>
              <w:rPr>
                <w:rFonts w:cs="仿宋"/>
                <w:color w:val="000000"/>
                <w:lang w:eastAsia="zh-CN"/>
              </w:rPr>
            </w:pPr>
            <w:r>
              <w:rPr>
                <w:rFonts w:hint="eastAsia" w:cs="仿宋"/>
                <w:color w:val="000000"/>
                <w:lang w:eastAsia="zh-CN"/>
              </w:rPr>
              <w:t>价格</w:t>
            </w:r>
          </w:p>
          <w:p>
            <w:pPr>
              <w:pStyle w:val="249"/>
              <w:spacing w:line="340" w:lineRule="exact"/>
              <w:ind w:left="103" w:right="96"/>
              <w:jc w:val="center"/>
              <w:rPr>
                <w:rFonts w:cs="仿宋"/>
                <w:color w:val="000000"/>
                <w:lang w:eastAsia="zh-CN"/>
              </w:rPr>
            </w:pPr>
            <w:r>
              <w:rPr>
                <w:rFonts w:hint="eastAsia" w:cs="仿宋"/>
                <w:color w:val="000000"/>
                <w:lang w:eastAsia="zh-CN"/>
              </w:rPr>
              <w:t>（</w:t>
            </w:r>
            <w:r>
              <w:rPr>
                <w:rFonts w:hint="eastAsia" w:cs="仿宋"/>
                <w:color w:val="auto"/>
                <w:lang w:eastAsia="zh-CN"/>
              </w:rPr>
              <w:t>30</w:t>
            </w:r>
            <w:r>
              <w:rPr>
                <w:rFonts w:hint="eastAsia" w:cs="仿宋"/>
                <w:color w:val="auto"/>
                <w:spacing w:val="-3"/>
                <w:lang w:eastAsia="zh-CN"/>
              </w:rPr>
              <w:t>分</w:t>
            </w:r>
            <w:r>
              <w:rPr>
                <w:rFonts w:hint="eastAsia" w:cs="仿宋"/>
                <w:color w:val="000000"/>
                <w:spacing w:val="-3"/>
                <w:lang w:eastAsia="zh-CN"/>
              </w:rPr>
              <w:t>）</w:t>
            </w:r>
          </w:p>
        </w:tc>
        <w:tc>
          <w:tcPr>
            <w:tcW w:w="7202" w:type="dxa"/>
          </w:tcPr>
          <w:p>
            <w:pPr>
              <w:spacing w:line="340" w:lineRule="exact"/>
              <w:ind w:firstLine="28"/>
              <w:jc w:val="left"/>
              <w:rPr>
                <w:rFonts w:eastAsia="宋体"/>
                <w:color w:val="auto"/>
                <w:sz w:val="22"/>
                <w:szCs w:val="22"/>
              </w:rPr>
            </w:pPr>
            <w:r>
              <w:rPr>
                <w:rFonts w:eastAsia="宋体"/>
                <w:color w:val="auto"/>
                <w:sz w:val="22"/>
                <w:szCs w:val="22"/>
              </w:rPr>
              <w:t>满足磋商文件要求的最后报价最低的供应商的价格为磋商基准价，其价格分为满分。其他供应商的价格分统一按照下列公式计算：</w:t>
            </w:r>
          </w:p>
          <w:p>
            <w:pPr>
              <w:pStyle w:val="249"/>
              <w:spacing w:line="340" w:lineRule="exact"/>
              <w:ind w:left="103" w:right="96"/>
              <w:rPr>
                <w:rFonts w:eastAsia="宋体"/>
                <w:color w:val="auto"/>
                <w:szCs w:val="21"/>
                <w:lang w:eastAsia="zh-CN"/>
              </w:rPr>
            </w:pPr>
            <w:r>
              <w:rPr>
                <w:rFonts w:eastAsia="宋体"/>
                <w:color w:val="auto"/>
                <w:szCs w:val="21"/>
                <w:lang w:eastAsia="zh-CN"/>
              </w:rPr>
              <w:t>磋商报价得分=（磋商基准价/最后报价）×</w:t>
            </w:r>
            <w:r>
              <w:rPr>
                <w:rFonts w:hint="eastAsia" w:eastAsia="宋体"/>
                <w:color w:val="auto"/>
                <w:szCs w:val="21"/>
                <w:lang w:eastAsia="zh-CN"/>
              </w:rPr>
              <w:t>30</w:t>
            </w:r>
          </w:p>
          <w:p>
            <w:pPr>
              <w:pStyle w:val="249"/>
              <w:spacing w:line="340" w:lineRule="exact"/>
              <w:ind w:left="103" w:right="96"/>
              <w:rPr>
                <w:rFonts w:cs="仿宋"/>
                <w:color w:val="000000"/>
                <w:lang w:eastAsia="zh-CN"/>
              </w:rPr>
            </w:pPr>
            <w:r>
              <w:rPr>
                <w:rFonts w:hint="eastAsia" w:eastAsia="宋体"/>
                <w:color w:val="auto"/>
                <w:szCs w:val="21"/>
                <w:lang w:eastAsia="zh-CN"/>
              </w:rPr>
              <w:t>（</w:t>
            </w:r>
            <w:r>
              <w:rPr>
                <w:rFonts w:eastAsia="宋体"/>
                <w:color w:val="auto"/>
                <w:szCs w:val="21"/>
                <w:lang w:eastAsia="zh-CN"/>
              </w:rPr>
              <w:t>此处最后报价指经过报价修正，及因落实政府采购政策进行价格调整后的报价，详见第三章《评审方法和评审标准》3.2、3.3</w:t>
            </w:r>
            <w:r>
              <w:rPr>
                <w:rFonts w:hint="eastAsia" w:cs="仿宋"/>
                <w:color w:val="auto"/>
                <w:lang w:eastAsia="zh-CN"/>
              </w:rPr>
              <w:t>分值</w:t>
            </w:r>
            <w:r>
              <w:rPr>
                <w:rFonts w:hint="eastAsia" w:eastAsia="宋体"/>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35" w:type="dxa"/>
            <w:vMerge w:val="restart"/>
            <w:vAlign w:val="center"/>
          </w:tcPr>
          <w:p>
            <w:pPr>
              <w:pStyle w:val="249"/>
              <w:spacing w:before="130" w:line="340" w:lineRule="exact"/>
              <w:ind w:left="100" w:right="-3"/>
              <w:jc w:val="center"/>
              <w:rPr>
                <w:rFonts w:cs="仿宋"/>
                <w:b w:val="0"/>
                <w:bCs/>
                <w:color w:val="auto"/>
                <w:lang w:eastAsia="zh-CN"/>
              </w:rPr>
            </w:pPr>
            <w:r>
              <w:rPr>
                <w:rFonts w:hint="eastAsia" w:cs="仿宋"/>
                <w:b w:val="0"/>
                <w:bCs/>
                <w:color w:val="auto"/>
                <w:lang w:eastAsia="zh-CN"/>
              </w:rPr>
              <w:t>客观分</w:t>
            </w:r>
          </w:p>
          <w:p>
            <w:pPr>
              <w:pStyle w:val="249"/>
              <w:spacing w:before="130" w:line="340" w:lineRule="exact"/>
              <w:ind w:left="100" w:right="-3"/>
              <w:jc w:val="center"/>
              <w:rPr>
                <w:rFonts w:cs="仿宋"/>
                <w:color w:val="000000"/>
                <w:lang w:eastAsia="zh-CN"/>
              </w:rPr>
            </w:pPr>
            <w:r>
              <w:rPr>
                <w:rFonts w:hint="eastAsia" w:cs="仿宋"/>
                <w:b w:val="0"/>
                <w:bCs/>
                <w:color w:val="auto"/>
                <w:lang w:eastAsia="zh-CN"/>
              </w:rPr>
              <w:t>（44分）</w:t>
            </w:r>
          </w:p>
        </w:tc>
        <w:tc>
          <w:tcPr>
            <w:tcW w:w="1320" w:type="dxa"/>
            <w:vAlign w:val="center"/>
          </w:tcPr>
          <w:p>
            <w:pPr>
              <w:pStyle w:val="249"/>
              <w:spacing w:line="340" w:lineRule="exact"/>
              <w:ind w:left="103"/>
              <w:jc w:val="center"/>
              <w:rPr>
                <w:rFonts w:cs="仿宋"/>
                <w:color w:val="000000"/>
                <w:lang w:eastAsia="zh-CN"/>
              </w:rPr>
            </w:pPr>
            <w:r>
              <w:rPr>
                <w:rFonts w:hint="eastAsia" w:cs="仿宋"/>
                <w:color w:val="000000"/>
                <w:lang w:eastAsia="zh-CN"/>
              </w:rPr>
              <w:t>资质证明</w:t>
            </w:r>
          </w:p>
          <w:p>
            <w:pPr>
              <w:pStyle w:val="249"/>
              <w:spacing w:line="340" w:lineRule="exact"/>
              <w:ind w:left="103"/>
              <w:jc w:val="center"/>
              <w:rPr>
                <w:rFonts w:cs="仿宋"/>
                <w:color w:val="000000"/>
                <w:lang w:eastAsia="zh-CN"/>
              </w:rPr>
            </w:pPr>
            <w:r>
              <w:rPr>
                <w:rFonts w:hint="eastAsia" w:cs="仿宋"/>
                <w:color w:val="000000"/>
                <w:lang w:eastAsia="zh-CN"/>
              </w:rPr>
              <w:t>（</w:t>
            </w:r>
            <w:r>
              <w:rPr>
                <w:rFonts w:hint="eastAsia" w:cs="仿宋"/>
                <w:color w:val="auto"/>
                <w:lang w:eastAsia="zh-CN"/>
              </w:rPr>
              <w:t>12分</w:t>
            </w:r>
            <w:r>
              <w:rPr>
                <w:rFonts w:hint="eastAsia" w:cs="仿宋"/>
                <w:color w:val="000000"/>
                <w:lang w:eastAsia="zh-CN"/>
              </w:rPr>
              <w:t>）</w:t>
            </w:r>
          </w:p>
          <w:p>
            <w:pPr>
              <w:pStyle w:val="249"/>
              <w:spacing w:line="340" w:lineRule="exact"/>
              <w:ind w:left="103" w:firstLine="220" w:firstLineChars="100"/>
              <w:rPr>
                <w:rFonts w:cs="仿宋"/>
                <w:color w:val="000000"/>
                <w:lang w:eastAsia="zh-CN"/>
              </w:rPr>
            </w:pPr>
          </w:p>
        </w:tc>
        <w:tc>
          <w:tcPr>
            <w:tcW w:w="7202" w:type="dxa"/>
          </w:tcPr>
          <w:p>
            <w:pPr>
              <w:pStyle w:val="249"/>
              <w:numPr>
                <w:ilvl w:val="0"/>
                <w:numId w:val="11"/>
              </w:numPr>
              <w:spacing w:line="340" w:lineRule="exact"/>
              <w:ind w:left="0"/>
              <w:rPr>
                <w:rFonts w:cs="仿宋"/>
                <w:color w:val="000000"/>
                <w:spacing w:val="-3"/>
                <w:lang w:eastAsia="zh-CN"/>
              </w:rPr>
            </w:pPr>
            <w:r>
              <w:rPr>
                <w:rFonts w:hint="eastAsia" w:cs="仿宋"/>
                <w:color w:val="000000"/>
                <w:lang w:eastAsia="zh-CN"/>
              </w:rPr>
              <w:t>投标人（含分子公司）全国范围内已建设的云计算服务平台通过中央网信办云计算服务安全评估，每提供一个得0.5分，总分3分。</w:t>
            </w:r>
          </w:p>
          <w:p>
            <w:pPr>
              <w:pStyle w:val="249"/>
              <w:spacing w:line="340" w:lineRule="exact"/>
              <w:rPr>
                <w:rFonts w:cs="仿宋"/>
                <w:color w:val="000000"/>
                <w:spacing w:val="-3"/>
                <w:lang w:eastAsia="zh-CN"/>
              </w:rPr>
            </w:pPr>
            <w:r>
              <w:rPr>
                <w:rFonts w:hint="eastAsia" w:cs="仿宋"/>
                <w:color w:val="000000"/>
                <w:lang w:eastAsia="zh-CN"/>
              </w:rPr>
              <w:t>（提供官网链接和截图证明。）</w:t>
            </w:r>
          </w:p>
          <w:p>
            <w:pPr>
              <w:pStyle w:val="249"/>
              <w:numPr>
                <w:ilvl w:val="0"/>
                <w:numId w:val="11"/>
              </w:numPr>
              <w:spacing w:line="340" w:lineRule="exact"/>
              <w:ind w:left="0"/>
              <w:rPr>
                <w:rFonts w:cs="仿宋"/>
                <w:color w:val="auto"/>
                <w:spacing w:val="-3"/>
                <w:lang w:eastAsia="zh-CN"/>
              </w:rPr>
            </w:pPr>
            <w:r>
              <w:rPr>
                <w:rFonts w:hint="eastAsia" w:cs="仿宋"/>
                <w:color w:val="000000"/>
                <w:lang w:eastAsia="zh-CN"/>
              </w:rPr>
              <w:t>投标人所投云平台厂商具备中国网络安全审查技术与认证中心颁发的信息安全服务资质（云计算</w:t>
            </w:r>
            <w:r>
              <w:rPr>
                <w:rFonts w:hint="eastAsia" w:cs="仿宋"/>
                <w:color w:val="auto"/>
                <w:lang w:eastAsia="zh-CN"/>
              </w:rPr>
              <w:t>安全类、安全工程、信息安全集成服务、信息安全应急处理服务）均能提供得4分，少一项扣减1分，未提供证明材料不得分。</w:t>
            </w:r>
          </w:p>
          <w:p>
            <w:pPr>
              <w:pStyle w:val="249"/>
              <w:numPr>
                <w:ilvl w:val="0"/>
                <w:numId w:val="11"/>
              </w:numPr>
              <w:spacing w:line="340" w:lineRule="exact"/>
              <w:ind w:left="0"/>
              <w:rPr>
                <w:rFonts w:cs="仿宋"/>
                <w:color w:val="auto"/>
                <w:spacing w:val="-3"/>
                <w:lang w:eastAsia="zh-CN"/>
              </w:rPr>
            </w:pPr>
            <w:r>
              <w:rPr>
                <w:rFonts w:hint="eastAsia" w:cs="仿宋"/>
                <w:color w:val="auto"/>
                <w:lang w:eastAsia="zh-CN"/>
              </w:rPr>
              <w:t>投标人所投云平台厂商具备TL9000质量管理体系认证证书得2分，提供证书复印件或扫描件并加盖云平台厂商公章，未提供证明材料不得分。</w:t>
            </w:r>
          </w:p>
          <w:p>
            <w:pPr>
              <w:pStyle w:val="249"/>
              <w:numPr>
                <w:ilvl w:val="0"/>
                <w:numId w:val="11"/>
              </w:numPr>
              <w:spacing w:line="340" w:lineRule="exact"/>
              <w:ind w:left="0"/>
              <w:rPr>
                <w:rFonts w:cs="仿宋"/>
                <w:color w:val="000000"/>
                <w:spacing w:val="-3"/>
                <w:lang w:eastAsia="zh-CN"/>
              </w:rPr>
            </w:pPr>
            <w:r>
              <w:rPr>
                <w:rFonts w:hint="eastAsia" w:cs="仿宋"/>
                <w:color w:val="auto"/>
                <w:lang w:eastAsia="zh-CN"/>
              </w:rPr>
              <w:t>投标人所投云平台厂商CTEAS售后服务体系完善程度达标（五星）得1分，认证程度优秀（六星）的得2分，完善程度卓越（七星）的得3分</w:t>
            </w:r>
            <w:r>
              <w:rPr>
                <w:rFonts w:hint="eastAsia" w:cs="仿宋"/>
                <w:color w:val="000000"/>
                <w:lang w:eastAsia="zh-CN"/>
              </w:rPr>
              <w:t>，需提供相关证书复印件，并加盖投标人公章。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235" w:type="dxa"/>
            <w:vMerge w:val="continue"/>
            <w:vAlign w:val="center"/>
          </w:tcPr>
          <w:p>
            <w:pPr>
              <w:pStyle w:val="249"/>
              <w:spacing w:before="130" w:line="340" w:lineRule="exact"/>
              <w:ind w:left="100" w:right="-3"/>
              <w:jc w:val="center"/>
              <w:rPr>
                <w:rFonts w:cs="仿宋"/>
                <w:color w:val="000000"/>
                <w:lang w:eastAsia="zh-CN"/>
              </w:rPr>
            </w:pPr>
          </w:p>
        </w:tc>
        <w:tc>
          <w:tcPr>
            <w:tcW w:w="1320" w:type="dxa"/>
            <w:vAlign w:val="center"/>
          </w:tcPr>
          <w:p>
            <w:pPr>
              <w:pStyle w:val="249"/>
              <w:spacing w:line="340" w:lineRule="exact"/>
              <w:ind w:left="102"/>
              <w:jc w:val="center"/>
              <w:rPr>
                <w:rFonts w:cs="仿宋"/>
                <w:color w:val="000000"/>
                <w:lang w:eastAsia="zh-CN"/>
              </w:rPr>
            </w:pPr>
            <w:r>
              <w:rPr>
                <w:rFonts w:hint="eastAsia" w:cs="仿宋"/>
                <w:color w:val="000000"/>
                <w:lang w:eastAsia="zh-CN"/>
              </w:rPr>
              <w:t>案例</w:t>
            </w:r>
          </w:p>
          <w:p>
            <w:pPr>
              <w:pStyle w:val="249"/>
              <w:spacing w:line="340" w:lineRule="exact"/>
              <w:ind w:left="102"/>
              <w:jc w:val="center"/>
              <w:rPr>
                <w:rFonts w:cs="仿宋"/>
                <w:color w:val="000000"/>
                <w:lang w:eastAsia="zh-CN"/>
              </w:rPr>
            </w:pPr>
            <w:r>
              <w:rPr>
                <w:rFonts w:hint="eastAsia" w:cs="仿宋"/>
                <w:color w:val="000000"/>
                <w:lang w:eastAsia="zh-CN"/>
              </w:rPr>
              <w:t>（5分）</w:t>
            </w:r>
          </w:p>
          <w:p>
            <w:pPr>
              <w:pStyle w:val="249"/>
              <w:spacing w:line="340" w:lineRule="exact"/>
              <w:ind w:left="102"/>
              <w:jc w:val="center"/>
              <w:rPr>
                <w:rFonts w:cs="仿宋"/>
                <w:color w:val="000000"/>
                <w:lang w:eastAsia="zh-CN"/>
              </w:rPr>
            </w:pPr>
          </w:p>
        </w:tc>
        <w:tc>
          <w:tcPr>
            <w:tcW w:w="7202" w:type="dxa"/>
            <w:vAlign w:val="center"/>
          </w:tcPr>
          <w:p>
            <w:pPr>
              <w:pStyle w:val="249"/>
              <w:spacing w:line="340" w:lineRule="exact"/>
              <w:rPr>
                <w:rFonts w:cs="仿宋"/>
                <w:color w:val="000000"/>
                <w:lang w:eastAsia="zh-CN"/>
              </w:rPr>
            </w:pPr>
            <w:r>
              <w:rPr>
                <w:rFonts w:hint="eastAsia" w:cs="仿宋"/>
                <w:color w:val="000000"/>
                <w:lang w:eastAsia="zh-CN"/>
              </w:rPr>
              <w:t>投标人（含分子公司）提供近三年（自2020年1月1日起）类似案例或项目业绩的证明材料（至少包括合同首页、合同金额页、内容描述页、盖章页的复印件，并加盖投标人公章，合同中甲方名称相同的均算一个业绩证明）每个得1分，最多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5" w:type="dxa"/>
            <w:vMerge w:val="continue"/>
            <w:vAlign w:val="center"/>
          </w:tcPr>
          <w:p>
            <w:pPr>
              <w:pStyle w:val="249"/>
              <w:spacing w:before="130" w:line="340" w:lineRule="exact"/>
              <w:ind w:left="100" w:right="-3"/>
              <w:jc w:val="center"/>
              <w:rPr>
                <w:rFonts w:cs="仿宋"/>
                <w:color w:val="000000"/>
                <w:lang w:eastAsia="zh-CN"/>
              </w:rPr>
            </w:pPr>
          </w:p>
        </w:tc>
        <w:tc>
          <w:tcPr>
            <w:tcW w:w="1320" w:type="dxa"/>
            <w:vAlign w:val="center"/>
          </w:tcPr>
          <w:p>
            <w:pPr>
              <w:pStyle w:val="249"/>
              <w:spacing w:line="340" w:lineRule="exact"/>
              <w:ind w:left="103"/>
              <w:jc w:val="center"/>
              <w:rPr>
                <w:rFonts w:cs="仿宋"/>
                <w:color w:val="000000"/>
                <w:lang w:eastAsia="zh-CN"/>
              </w:rPr>
            </w:pPr>
            <w:r>
              <w:rPr>
                <w:rFonts w:hint="eastAsia" w:cs="仿宋"/>
                <w:color w:val="000000"/>
                <w:lang w:eastAsia="zh-CN"/>
              </w:rPr>
              <w:t>人员</w:t>
            </w:r>
          </w:p>
          <w:p>
            <w:pPr>
              <w:pStyle w:val="249"/>
              <w:spacing w:line="340" w:lineRule="exact"/>
              <w:ind w:left="103"/>
              <w:jc w:val="center"/>
              <w:rPr>
                <w:rFonts w:cs="仿宋"/>
                <w:color w:val="000000"/>
                <w:lang w:eastAsia="zh-CN"/>
              </w:rPr>
            </w:pPr>
            <w:r>
              <w:rPr>
                <w:rFonts w:hint="eastAsia" w:cs="仿宋"/>
                <w:color w:val="000000"/>
                <w:lang w:eastAsia="zh-CN"/>
              </w:rPr>
              <w:t>（10分）</w:t>
            </w:r>
          </w:p>
          <w:p>
            <w:pPr>
              <w:pStyle w:val="249"/>
              <w:spacing w:line="340" w:lineRule="exact"/>
              <w:ind w:left="103"/>
              <w:jc w:val="center"/>
              <w:rPr>
                <w:rFonts w:cs="仿宋"/>
                <w:color w:val="000000"/>
                <w:lang w:eastAsia="zh-CN"/>
              </w:rPr>
            </w:pPr>
          </w:p>
        </w:tc>
        <w:tc>
          <w:tcPr>
            <w:tcW w:w="7202" w:type="dxa"/>
          </w:tcPr>
          <w:p>
            <w:pPr>
              <w:pStyle w:val="249"/>
              <w:tabs>
                <w:tab w:val="left" w:pos="312"/>
              </w:tabs>
              <w:spacing w:before="2" w:line="340" w:lineRule="exact"/>
              <w:ind w:right="96"/>
              <w:rPr>
                <w:rFonts w:cs="仿宋"/>
                <w:color w:val="000000"/>
                <w:lang w:eastAsia="zh-CN"/>
              </w:rPr>
            </w:pPr>
            <w:r>
              <w:rPr>
                <w:rFonts w:cs="仿宋"/>
                <w:color w:val="000000"/>
                <w:lang w:eastAsia="zh-CN"/>
              </w:rPr>
              <w:t>1.</w:t>
            </w:r>
            <w:r>
              <w:rPr>
                <w:rFonts w:hint="eastAsia" w:cs="仿宋"/>
                <w:color w:val="000000"/>
                <w:lang w:eastAsia="zh-CN"/>
              </w:rPr>
              <w:t>项目经理具有良好的项目管理能力，具有5年及以上项目管理工作经验且同时具有PMP证书、高级工程师证书（副高级及以上）、CCSC证书，具备其中1个证书得1分，全部具备得3分。须提供项目经理工作简历及证书复印件并加盖投标人公章，否则不得分。</w:t>
            </w:r>
          </w:p>
          <w:p>
            <w:pPr>
              <w:pStyle w:val="249"/>
              <w:tabs>
                <w:tab w:val="left" w:pos="312"/>
              </w:tabs>
              <w:spacing w:before="2" w:line="340" w:lineRule="exact"/>
              <w:ind w:right="96"/>
              <w:rPr>
                <w:rFonts w:cs="仿宋"/>
                <w:color w:val="000000"/>
                <w:lang w:eastAsia="zh-CN"/>
              </w:rPr>
            </w:pPr>
            <w:r>
              <w:rPr>
                <w:rFonts w:hint="eastAsia" w:cs="仿宋"/>
                <w:color w:val="000000"/>
                <w:lang w:eastAsia="zh-CN"/>
              </w:rPr>
              <w:t>2.云平台技术负责人同时具有网络和虚拟化的高级技术认证证书，得2分。</w:t>
            </w:r>
          </w:p>
          <w:p>
            <w:pPr>
              <w:pStyle w:val="249"/>
              <w:tabs>
                <w:tab w:val="left" w:pos="312"/>
              </w:tabs>
              <w:spacing w:before="2" w:line="340" w:lineRule="exact"/>
              <w:ind w:right="96"/>
              <w:rPr>
                <w:rFonts w:cs="仿宋"/>
                <w:color w:val="000000"/>
                <w:lang w:eastAsia="zh-CN"/>
              </w:rPr>
            </w:pPr>
            <w:r>
              <w:rPr>
                <w:rFonts w:hint="eastAsia" w:cs="仿宋"/>
                <w:color w:val="000000"/>
                <w:lang w:eastAsia="zh-CN"/>
              </w:rPr>
              <w:t>3.网络安全负责人同时具有网络与信息安全管理师、高级信息系统项目管理师、高级系统架构设计师证书，</w:t>
            </w:r>
            <w:r>
              <w:rPr>
                <w:rFonts w:hint="eastAsia" w:cs="仿宋"/>
                <w:color w:val="auto"/>
                <w:lang w:eastAsia="zh-CN"/>
              </w:rPr>
              <w:t>具备其中1个证书得1分，全部具备得3分。</w:t>
            </w:r>
          </w:p>
          <w:p>
            <w:pPr>
              <w:pStyle w:val="249"/>
              <w:tabs>
                <w:tab w:val="left" w:pos="312"/>
              </w:tabs>
              <w:spacing w:before="2" w:line="340" w:lineRule="exact"/>
              <w:ind w:right="96"/>
              <w:rPr>
                <w:rFonts w:cs="仿宋"/>
                <w:color w:val="000000"/>
                <w:lang w:eastAsia="zh-CN"/>
              </w:rPr>
            </w:pPr>
            <w:r>
              <w:rPr>
                <w:rFonts w:hint="eastAsia" w:cs="仿宋"/>
                <w:color w:val="000000"/>
                <w:lang w:eastAsia="zh-CN"/>
              </w:rPr>
              <w:t>4.其他团队人员具备在有效期内的以下类别证书，满分2分：</w:t>
            </w:r>
          </w:p>
          <w:p>
            <w:pPr>
              <w:pStyle w:val="249"/>
              <w:spacing w:before="2" w:line="340" w:lineRule="exact"/>
              <w:ind w:right="96" w:firstLine="440" w:firstLineChars="200"/>
              <w:rPr>
                <w:rFonts w:cs="仿宋"/>
                <w:color w:val="000000"/>
                <w:lang w:eastAsia="zh-CN"/>
              </w:rPr>
            </w:pPr>
            <w:r>
              <w:rPr>
                <w:rFonts w:hint="eastAsia" w:cs="仿宋"/>
                <w:color w:val="000000"/>
                <w:lang w:eastAsia="zh-CN"/>
              </w:rPr>
              <w:t>信息技术应用创新专业人员认证证书，提供得1分</w:t>
            </w:r>
          </w:p>
          <w:p>
            <w:pPr>
              <w:pStyle w:val="249"/>
              <w:spacing w:before="2" w:line="340" w:lineRule="exact"/>
              <w:ind w:left="103" w:right="96" w:firstLine="330" w:firstLineChars="150"/>
              <w:rPr>
                <w:rFonts w:cs="仿宋"/>
                <w:color w:val="000000"/>
                <w:lang w:eastAsia="zh-CN"/>
              </w:rPr>
            </w:pPr>
            <w:r>
              <w:rPr>
                <w:rFonts w:hint="eastAsia" w:cs="仿宋"/>
                <w:color w:val="000000"/>
                <w:lang w:eastAsia="zh-CN"/>
              </w:rPr>
              <w:t>数据安全专业人员认证（CDSP）二级，提供得1分。</w:t>
            </w:r>
          </w:p>
          <w:p>
            <w:pPr>
              <w:pStyle w:val="249"/>
              <w:spacing w:before="2" w:line="340" w:lineRule="exact"/>
              <w:ind w:left="103" w:right="96" w:firstLine="330" w:firstLineChars="150"/>
              <w:rPr>
                <w:rFonts w:cs="仿宋"/>
                <w:color w:val="000000"/>
                <w:lang w:eastAsia="zh-CN"/>
              </w:rPr>
            </w:pPr>
            <w:r>
              <w:rPr>
                <w:rFonts w:hint="eastAsia" w:cs="仿宋"/>
                <w:color w:val="000000"/>
                <w:lang w:eastAsia="zh-CN"/>
              </w:rPr>
              <w:t>上述证明材料须提供证书复印件，并加盖投标人公章。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5" w:hRule="atLeast"/>
          <w:jc w:val="center"/>
        </w:trPr>
        <w:tc>
          <w:tcPr>
            <w:tcW w:w="1235" w:type="dxa"/>
            <w:vMerge w:val="restart"/>
            <w:tcBorders>
              <w:right w:val="single" w:color="auto" w:sz="4" w:space="0"/>
            </w:tcBorders>
            <w:vAlign w:val="center"/>
          </w:tcPr>
          <w:p>
            <w:pPr>
              <w:pStyle w:val="249"/>
              <w:spacing w:before="130" w:line="340" w:lineRule="exact"/>
              <w:ind w:left="100" w:right="-3"/>
              <w:jc w:val="center"/>
              <w:rPr>
                <w:rFonts w:cs="仿宋"/>
                <w:color w:val="FF0000"/>
                <w:lang w:eastAsia="zh-CN"/>
              </w:rPr>
            </w:pPr>
          </w:p>
          <w:p>
            <w:pPr>
              <w:pStyle w:val="249"/>
              <w:spacing w:before="130" w:line="340" w:lineRule="exact"/>
              <w:ind w:left="100" w:right="-3"/>
              <w:jc w:val="center"/>
              <w:rPr>
                <w:rFonts w:cs="仿宋"/>
                <w:color w:val="000000"/>
                <w:lang w:eastAsia="zh-CN"/>
              </w:rPr>
            </w:pPr>
          </w:p>
        </w:tc>
        <w:tc>
          <w:tcPr>
            <w:tcW w:w="1320" w:type="dxa"/>
            <w:tcBorders>
              <w:left w:val="single" w:color="auto" w:sz="4" w:space="0"/>
              <w:bottom w:val="single" w:color="auto" w:sz="4" w:space="0"/>
            </w:tcBorders>
            <w:vAlign w:val="center"/>
          </w:tcPr>
          <w:p>
            <w:pPr>
              <w:pStyle w:val="249"/>
              <w:spacing w:before="27" w:line="340" w:lineRule="exact"/>
              <w:ind w:left="103" w:right="96"/>
              <w:jc w:val="center"/>
              <w:rPr>
                <w:rFonts w:cs="仿宋"/>
                <w:lang w:eastAsia="zh-CN"/>
              </w:rPr>
            </w:pPr>
            <w:r>
              <w:rPr>
                <w:rFonts w:hint="eastAsia" w:cs="仿宋"/>
                <w:lang w:eastAsia="zh-CN"/>
              </w:rPr>
              <w:t>数据中心</w:t>
            </w:r>
          </w:p>
          <w:p>
            <w:pPr>
              <w:pStyle w:val="249"/>
              <w:spacing w:before="27" w:line="340" w:lineRule="exact"/>
              <w:ind w:left="103" w:right="96"/>
              <w:jc w:val="center"/>
              <w:rPr>
                <w:rFonts w:cs="仿宋"/>
                <w:lang w:eastAsia="zh-CN"/>
              </w:rPr>
            </w:pPr>
            <w:r>
              <w:rPr>
                <w:rFonts w:hint="eastAsia" w:cs="仿宋"/>
                <w:lang w:eastAsia="zh-CN"/>
              </w:rPr>
              <w:t>要求</w:t>
            </w:r>
          </w:p>
          <w:p>
            <w:pPr>
              <w:pStyle w:val="249"/>
              <w:spacing w:before="27" w:line="340" w:lineRule="exact"/>
              <w:ind w:left="103" w:right="96"/>
              <w:jc w:val="center"/>
              <w:rPr>
                <w:sz w:val="21"/>
                <w:szCs w:val="21"/>
              </w:rPr>
            </w:pPr>
            <w:r>
              <w:rPr>
                <w:rFonts w:hint="eastAsia" w:cs="仿宋"/>
                <w:color w:val="auto"/>
                <w:lang w:eastAsia="zh-CN"/>
              </w:rPr>
              <w:t>（7分</w:t>
            </w:r>
            <w:r>
              <w:rPr>
                <w:rFonts w:hint="eastAsia" w:cs="仿宋"/>
                <w:lang w:eastAsia="zh-CN"/>
              </w:rPr>
              <w:t>）</w:t>
            </w:r>
          </w:p>
          <w:p>
            <w:pPr>
              <w:pStyle w:val="249"/>
              <w:spacing w:before="27" w:line="340" w:lineRule="exact"/>
              <w:ind w:left="103" w:right="96"/>
              <w:jc w:val="center"/>
              <w:rPr>
                <w:sz w:val="21"/>
                <w:szCs w:val="21"/>
                <w:lang w:eastAsia="zh-CN"/>
              </w:rPr>
            </w:pPr>
          </w:p>
        </w:tc>
        <w:tc>
          <w:tcPr>
            <w:tcW w:w="7202" w:type="dxa"/>
            <w:tcBorders>
              <w:bottom w:val="single" w:color="auto" w:sz="4" w:space="0"/>
            </w:tcBorders>
          </w:tcPr>
          <w:p>
            <w:pPr>
              <w:pStyle w:val="249"/>
              <w:tabs>
                <w:tab w:val="left" w:pos="312"/>
              </w:tabs>
              <w:spacing w:line="340" w:lineRule="exact"/>
              <w:ind w:right="106"/>
              <w:rPr>
                <w:rFonts w:cs="仿宋"/>
                <w:color w:val="auto"/>
                <w:lang w:eastAsia="zh-CN"/>
              </w:rPr>
            </w:pPr>
            <w:r>
              <w:rPr>
                <w:rFonts w:hint="eastAsia" w:cs="仿宋"/>
                <w:color w:val="000000"/>
                <w:lang w:eastAsia="zh-CN"/>
              </w:rPr>
              <w:t>1.投标人所投的数据中心须为自有产权，须提供数据中心自有产权证或土地证。满足</w:t>
            </w:r>
            <w:r>
              <w:rPr>
                <w:rFonts w:hint="eastAsia" w:cs="仿宋"/>
                <w:color w:val="auto"/>
                <w:lang w:eastAsia="zh-CN"/>
              </w:rPr>
              <w:t>得3分，不满足不得分。</w:t>
            </w:r>
          </w:p>
          <w:p>
            <w:pPr>
              <w:pStyle w:val="249"/>
              <w:tabs>
                <w:tab w:val="left" w:pos="312"/>
              </w:tabs>
              <w:spacing w:line="340" w:lineRule="exact"/>
              <w:ind w:right="106"/>
              <w:rPr>
                <w:rFonts w:cs="仿宋"/>
                <w:color w:val="000000"/>
                <w:lang w:eastAsia="zh-CN"/>
              </w:rPr>
            </w:pPr>
            <w:r>
              <w:rPr>
                <w:rFonts w:hint="eastAsia" w:cs="仿宋"/>
                <w:color w:val="auto"/>
                <w:lang w:eastAsia="zh-CN"/>
              </w:rPr>
              <w:t>2.投标人提供的数据中心须提供独立物理区域供政务云平台使用，本次项目需求需提供不少于20架连续机柜，同一物理区域内可扩展机柜空间不低于40架的得3分，</w:t>
            </w:r>
            <w:r>
              <w:rPr>
                <w:rFonts w:hint="eastAsia" w:cs="仿宋"/>
                <w:color w:val="000000"/>
                <w:lang w:eastAsia="zh-CN"/>
              </w:rPr>
              <w:t>可扩展至不低于20架</w:t>
            </w:r>
            <w:r>
              <w:rPr>
                <w:rFonts w:hint="eastAsia" w:cs="仿宋"/>
                <w:color w:val="auto"/>
                <w:lang w:eastAsia="zh-CN"/>
              </w:rPr>
              <w:t>得1分</w:t>
            </w:r>
            <w:r>
              <w:rPr>
                <w:rFonts w:hint="eastAsia" w:cs="仿宋"/>
                <w:color w:val="000000"/>
                <w:lang w:eastAsia="zh-CN"/>
              </w:rPr>
              <w:t>，低于20架不得分</w:t>
            </w:r>
            <w:r>
              <w:rPr>
                <w:rFonts w:hint="eastAsia" w:cs="仿宋"/>
                <w:color w:val="auto"/>
                <w:lang w:eastAsia="zh-CN"/>
              </w:rPr>
              <w:t>。</w:t>
            </w:r>
            <w:r>
              <w:rPr>
                <w:rFonts w:hint="eastAsia" w:cs="仿宋"/>
                <w:b w:val="0"/>
                <w:bCs/>
                <w:color w:val="auto"/>
                <w:lang w:eastAsia="zh-CN"/>
              </w:rPr>
              <w:t>此项需提供相应证明材料并在响应文件中做出专项承诺，加盖投标人公章。</w:t>
            </w:r>
          </w:p>
          <w:p>
            <w:pPr>
              <w:pStyle w:val="249"/>
              <w:tabs>
                <w:tab w:val="left" w:pos="312"/>
              </w:tabs>
              <w:spacing w:line="340" w:lineRule="exact"/>
              <w:ind w:right="106"/>
              <w:rPr>
                <w:rFonts w:cs="仿宋"/>
                <w:color w:val="000000"/>
                <w:lang w:eastAsia="zh-CN"/>
              </w:rPr>
            </w:pPr>
            <w:r>
              <w:rPr>
                <w:rFonts w:hint="eastAsia" w:cs="仿宋"/>
                <w:color w:val="000000"/>
                <w:lang w:eastAsia="zh-CN"/>
              </w:rPr>
              <w:t>3.投标人所投的数据中心与延庆区大数据中心（北京市延庆区新城街1</w:t>
            </w:r>
            <w:r>
              <w:rPr>
                <w:rFonts w:hint="eastAsia" w:cs="仿宋"/>
                <w:lang w:eastAsia="zh-CN"/>
              </w:rPr>
              <w:t>10号）的直线距离不大于</w:t>
            </w:r>
            <w:r>
              <w:rPr>
                <w:rFonts w:cs="仿宋"/>
                <w:lang w:eastAsia="zh-CN"/>
              </w:rPr>
              <w:t>20</w:t>
            </w:r>
            <w:r>
              <w:rPr>
                <w:rFonts w:hint="eastAsia" w:cs="仿宋"/>
                <w:lang w:eastAsia="zh-CN"/>
              </w:rPr>
              <w:t>公里。</w:t>
            </w:r>
            <w:r>
              <w:rPr>
                <w:rFonts w:hint="eastAsia" w:cs="仿宋"/>
                <w:color w:val="000000"/>
                <w:lang w:eastAsia="zh-CN"/>
              </w:rPr>
              <w:t>投标人须使用百度地图对投标人为本项目提供的云服务所在的数据中心机房与延庆区大数据中心（北京市延庆区新城街110号）之间的直线距离进行测距并截图，加盖投标人公章。满足得</w:t>
            </w:r>
            <w:r>
              <w:rPr>
                <w:rFonts w:cs="仿宋"/>
                <w:color w:val="000000"/>
                <w:lang w:eastAsia="zh-CN"/>
              </w:rPr>
              <w:t>1</w:t>
            </w:r>
            <w:r>
              <w:rPr>
                <w:rFonts w:hint="eastAsia" w:cs="仿宋"/>
                <w:color w:val="000000"/>
                <w:lang w:eastAsia="zh-CN"/>
              </w:rPr>
              <w:t>分，不满足不得分。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235" w:type="dxa"/>
            <w:vMerge w:val="continue"/>
            <w:tcBorders>
              <w:bottom w:val="single" w:color="auto" w:sz="4" w:space="0"/>
              <w:right w:val="single" w:color="auto" w:sz="4" w:space="0"/>
            </w:tcBorders>
            <w:vAlign w:val="center"/>
          </w:tcPr>
          <w:p>
            <w:pPr>
              <w:pStyle w:val="249"/>
              <w:spacing w:before="130" w:line="340" w:lineRule="exact"/>
              <w:ind w:left="100" w:right="-3"/>
              <w:jc w:val="center"/>
              <w:rPr>
                <w:rFonts w:cs="仿宋"/>
                <w:color w:val="000000"/>
                <w:lang w:eastAsia="zh-CN"/>
              </w:rPr>
            </w:pPr>
          </w:p>
        </w:tc>
        <w:tc>
          <w:tcPr>
            <w:tcW w:w="1320" w:type="dxa"/>
            <w:tcBorders>
              <w:top w:val="single" w:color="auto" w:sz="4" w:space="0"/>
              <w:left w:val="single" w:color="auto" w:sz="4" w:space="0"/>
            </w:tcBorders>
            <w:vAlign w:val="center"/>
          </w:tcPr>
          <w:p>
            <w:pPr>
              <w:pStyle w:val="249"/>
              <w:spacing w:before="27" w:line="340" w:lineRule="exact"/>
              <w:ind w:left="103" w:right="96"/>
              <w:jc w:val="center"/>
              <w:rPr>
                <w:rFonts w:cs="仿宋"/>
                <w:shd w:val="clear" w:color="auto" w:fill="FFFFFF"/>
                <w:lang w:eastAsia="zh-CN"/>
              </w:rPr>
            </w:pPr>
            <w:r>
              <w:rPr>
                <w:rFonts w:hint="eastAsia" w:cs="仿宋"/>
                <w:shd w:val="clear" w:color="auto" w:fill="FFFFFF"/>
                <w:lang w:eastAsia="zh-CN"/>
              </w:rPr>
              <w:t>技术指标响应能力</w:t>
            </w:r>
          </w:p>
          <w:p>
            <w:pPr>
              <w:pStyle w:val="249"/>
              <w:spacing w:before="27" w:line="340" w:lineRule="exact"/>
              <w:ind w:left="103" w:right="96"/>
              <w:jc w:val="center"/>
              <w:rPr>
                <w:rFonts w:cs="仿宋"/>
                <w:lang w:eastAsia="zh-CN"/>
              </w:rPr>
            </w:pPr>
            <w:r>
              <w:rPr>
                <w:rFonts w:hint="eastAsia" w:cs="仿宋"/>
                <w:shd w:val="clear" w:color="auto" w:fill="FFFFFF"/>
                <w:lang w:eastAsia="zh-CN"/>
              </w:rPr>
              <w:t>（10分）</w:t>
            </w:r>
          </w:p>
        </w:tc>
        <w:tc>
          <w:tcPr>
            <w:tcW w:w="7202" w:type="dxa"/>
            <w:tcBorders>
              <w:top w:val="single" w:color="auto" w:sz="4" w:space="0"/>
              <w:bottom w:val="single" w:color="auto" w:sz="4" w:space="0"/>
            </w:tcBorders>
            <w:vAlign w:val="center"/>
          </w:tcPr>
          <w:p>
            <w:pPr>
              <w:pStyle w:val="249"/>
              <w:spacing w:line="340" w:lineRule="exact"/>
              <w:ind w:right="108"/>
              <w:rPr>
                <w:rFonts w:cs="仿宋"/>
                <w:szCs w:val="21"/>
                <w:shd w:val="clear" w:color="auto" w:fill="FFFFFF"/>
                <w:lang w:eastAsia="zh-CN"/>
              </w:rPr>
            </w:pPr>
            <w:r>
              <w:rPr>
                <w:rFonts w:hint="eastAsia" w:cs="仿宋"/>
                <w:b/>
                <w:shd w:val="clear" w:color="auto" w:fill="FFFFFF"/>
                <w:lang w:eastAsia="zh-CN"/>
              </w:rPr>
              <w:t>所有技术指标需点对点逐项应答，#号项指标为关键指标，</w:t>
            </w:r>
            <w:r>
              <w:rPr>
                <w:rFonts w:hint="eastAsia" w:cs="仿宋"/>
                <w:shd w:val="clear" w:color="auto" w:fill="FFFFFF"/>
                <w:lang w:eastAsia="zh-CN"/>
              </w:rPr>
              <w:t>每项1分，满分10分。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5" w:type="dxa"/>
            <w:vMerge w:val="restart"/>
            <w:tcBorders>
              <w:top w:val="single" w:color="auto" w:sz="4" w:space="0"/>
            </w:tcBorders>
            <w:vAlign w:val="center"/>
          </w:tcPr>
          <w:p>
            <w:pPr>
              <w:pStyle w:val="249"/>
              <w:spacing w:before="130" w:line="340" w:lineRule="exact"/>
              <w:ind w:left="100" w:right="-3"/>
              <w:jc w:val="center"/>
              <w:rPr>
                <w:rFonts w:cs="仿宋"/>
                <w:b w:val="0"/>
                <w:bCs/>
                <w:color w:val="auto"/>
                <w:lang w:eastAsia="zh-CN"/>
              </w:rPr>
            </w:pPr>
            <w:r>
              <w:rPr>
                <w:rFonts w:hint="eastAsia" w:cs="仿宋"/>
                <w:b w:val="0"/>
                <w:bCs/>
                <w:color w:val="auto"/>
                <w:lang w:eastAsia="zh-CN"/>
              </w:rPr>
              <w:t>主观分</w:t>
            </w:r>
          </w:p>
          <w:p>
            <w:pPr>
              <w:pStyle w:val="249"/>
              <w:spacing w:before="130" w:line="340" w:lineRule="exact"/>
              <w:ind w:left="100" w:right="-3"/>
              <w:jc w:val="center"/>
              <w:rPr>
                <w:rFonts w:cs="仿宋"/>
                <w:color w:val="000000"/>
                <w:lang w:eastAsia="zh-CN"/>
              </w:rPr>
            </w:pPr>
            <w:r>
              <w:rPr>
                <w:rFonts w:hint="eastAsia" w:cs="仿宋"/>
                <w:b w:val="0"/>
                <w:bCs/>
                <w:color w:val="000000"/>
                <w:lang w:eastAsia="zh-CN"/>
              </w:rPr>
              <w:t>（26分）</w:t>
            </w:r>
          </w:p>
        </w:tc>
        <w:tc>
          <w:tcPr>
            <w:tcW w:w="1320" w:type="dxa"/>
            <w:vAlign w:val="center"/>
          </w:tcPr>
          <w:p>
            <w:pPr>
              <w:pStyle w:val="249"/>
              <w:spacing w:before="27" w:line="340" w:lineRule="exact"/>
              <w:ind w:left="103" w:right="96"/>
              <w:jc w:val="center"/>
              <w:rPr>
                <w:rFonts w:cs="仿宋"/>
                <w:color w:val="000000"/>
                <w:lang w:eastAsia="zh-CN"/>
              </w:rPr>
            </w:pPr>
            <w:r>
              <w:rPr>
                <w:rFonts w:hint="eastAsia" w:cs="仿宋"/>
                <w:color w:val="000000"/>
                <w:lang w:eastAsia="zh-CN"/>
              </w:rPr>
              <w:t>需求理解与难点分析</w:t>
            </w:r>
          </w:p>
          <w:p>
            <w:pPr>
              <w:pStyle w:val="249"/>
              <w:spacing w:before="27" w:line="340" w:lineRule="exact"/>
              <w:ind w:left="103" w:right="96"/>
              <w:jc w:val="center"/>
              <w:rPr>
                <w:rFonts w:cs="仿宋"/>
                <w:color w:val="000000"/>
                <w:lang w:eastAsia="zh-CN"/>
              </w:rPr>
            </w:pPr>
            <w:r>
              <w:rPr>
                <w:rFonts w:hint="eastAsia" w:cs="仿宋"/>
                <w:color w:val="000000"/>
                <w:lang w:eastAsia="zh-CN"/>
              </w:rPr>
              <w:t>（</w:t>
            </w:r>
            <w:r>
              <w:rPr>
                <w:rFonts w:hint="eastAsia" w:cs="仿宋"/>
                <w:color w:val="FF0000"/>
                <w:lang w:eastAsia="zh-CN"/>
              </w:rPr>
              <w:t>3</w:t>
            </w:r>
            <w:r>
              <w:rPr>
                <w:rFonts w:hint="eastAsia" w:cs="仿宋"/>
                <w:color w:val="000000"/>
                <w:lang w:eastAsia="zh-CN"/>
              </w:rPr>
              <w:t>分）</w:t>
            </w:r>
          </w:p>
        </w:tc>
        <w:tc>
          <w:tcPr>
            <w:tcW w:w="7202" w:type="dxa"/>
            <w:tcBorders>
              <w:top w:val="single" w:color="auto" w:sz="4" w:space="0"/>
            </w:tcBorders>
          </w:tcPr>
          <w:p>
            <w:pPr>
              <w:spacing w:line="340" w:lineRule="exact"/>
              <w:rPr>
                <w:sz w:val="22"/>
                <w:szCs w:val="22"/>
              </w:rPr>
            </w:pPr>
            <w:r>
              <w:rPr>
                <w:rFonts w:hint="eastAsia"/>
                <w:sz w:val="22"/>
                <w:szCs w:val="22"/>
              </w:rPr>
              <w:t>投标人对采购需求应有充分、准确、全面的理解，对本项目实施过程中难点有明确的认识和合理的应对方案。</w:t>
            </w:r>
          </w:p>
          <w:p>
            <w:pPr>
              <w:spacing w:line="340" w:lineRule="exact"/>
              <w:rPr>
                <w:color w:val="auto"/>
                <w:sz w:val="22"/>
                <w:szCs w:val="22"/>
              </w:rPr>
            </w:pPr>
            <w:r>
              <w:rPr>
                <w:rFonts w:hint="eastAsia"/>
                <w:sz w:val="22"/>
                <w:szCs w:val="22"/>
              </w:rPr>
              <w:t>对业务系统需求有较深入的了解，并对本项目实施过程中的难点分析归纳完整、准确、有针</w:t>
            </w:r>
            <w:r>
              <w:rPr>
                <w:rFonts w:hint="eastAsia"/>
                <w:color w:val="auto"/>
                <w:sz w:val="22"/>
                <w:szCs w:val="22"/>
              </w:rPr>
              <w:t>对性，得3分；</w:t>
            </w:r>
          </w:p>
          <w:p>
            <w:pPr>
              <w:spacing w:line="340" w:lineRule="exact"/>
              <w:rPr>
                <w:color w:val="auto"/>
                <w:sz w:val="22"/>
                <w:szCs w:val="22"/>
              </w:rPr>
            </w:pPr>
            <w:r>
              <w:rPr>
                <w:rFonts w:hint="eastAsia"/>
                <w:color w:val="auto"/>
                <w:sz w:val="22"/>
                <w:szCs w:val="22"/>
              </w:rPr>
              <w:t>对业务系统需求有基本了解，并对本项目实施过程中的难点分析归纳较为完整、准确，得2分；</w:t>
            </w:r>
          </w:p>
          <w:p>
            <w:pPr>
              <w:spacing w:line="340" w:lineRule="exact"/>
              <w:rPr>
                <w:sz w:val="22"/>
                <w:szCs w:val="22"/>
              </w:rPr>
            </w:pPr>
            <w:r>
              <w:rPr>
                <w:rFonts w:hint="eastAsia"/>
                <w:sz w:val="22"/>
                <w:szCs w:val="22"/>
              </w:rPr>
              <w:t>对业务系统需求不够了解，对本项目实施过程中的难点分析归纳不完整，应对方案不明确或不合理，得1分；</w:t>
            </w:r>
          </w:p>
          <w:p>
            <w:pPr>
              <w:spacing w:line="340" w:lineRule="exact"/>
              <w:rPr>
                <w:color w:val="000000"/>
                <w:sz w:val="20"/>
                <w:szCs w:val="22"/>
              </w:rPr>
            </w:pPr>
            <w:r>
              <w:rPr>
                <w:rFonts w:hint="eastAsia"/>
                <w:sz w:val="22"/>
                <w:szCs w:val="22"/>
              </w:rPr>
              <w:t>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5" w:type="dxa"/>
            <w:vMerge w:val="continue"/>
            <w:tcBorders>
              <w:top w:val="single" w:color="auto" w:sz="4" w:space="0"/>
              <w:bottom w:val="single" w:color="auto" w:sz="4" w:space="0"/>
            </w:tcBorders>
            <w:vAlign w:val="center"/>
          </w:tcPr>
          <w:p>
            <w:pPr>
              <w:pStyle w:val="249"/>
              <w:spacing w:before="130" w:line="340" w:lineRule="exact"/>
              <w:ind w:left="100" w:right="-3"/>
              <w:jc w:val="center"/>
              <w:rPr>
                <w:rFonts w:cs="仿宋"/>
                <w:color w:val="000000"/>
                <w:lang w:eastAsia="zh-CN"/>
              </w:rPr>
            </w:pPr>
          </w:p>
        </w:tc>
        <w:tc>
          <w:tcPr>
            <w:tcW w:w="1320" w:type="dxa"/>
            <w:tcBorders>
              <w:bottom w:val="single" w:color="auto" w:sz="4" w:space="0"/>
            </w:tcBorders>
            <w:vAlign w:val="center"/>
          </w:tcPr>
          <w:p>
            <w:pPr>
              <w:widowControl/>
              <w:spacing w:line="340" w:lineRule="exact"/>
              <w:jc w:val="center"/>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总体服务</w:t>
            </w:r>
          </w:p>
          <w:p>
            <w:pPr>
              <w:widowControl/>
              <w:spacing w:line="340" w:lineRule="exact"/>
              <w:jc w:val="center"/>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w:t>
            </w:r>
          </w:p>
          <w:p>
            <w:pPr>
              <w:widowControl/>
              <w:spacing w:line="340" w:lineRule="exact"/>
              <w:jc w:val="center"/>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（4分）</w:t>
            </w:r>
          </w:p>
        </w:tc>
        <w:tc>
          <w:tcPr>
            <w:tcW w:w="7202" w:type="dxa"/>
            <w:tcBorders>
              <w:bottom w:val="single" w:color="auto" w:sz="4" w:space="0"/>
            </w:tcBorders>
          </w:tcPr>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整体云平台技术方案，包含但不限于云平台技术能力及云平台服务能力。</w:t>
            </w:r>
          </w:p>
          <w:p>
            <w:pPr>
              <w:widowControl/>
              <w:spacing w:line="340" w:lineRule="exact"/>
              <w:textAlignment w:val="center"/>
              <w:rPr>
                <w:rFonts w:ascii="宋体" w:hAnsi="宋体" w:cs="仿宋"/>
                <w:color w:val="auto"/>
                <w:sz w:val="22"/>
                <w:szCs w:val="22"/>
                <w:shd w:val="clear" w:color="auto" w:fill="FFFFFF"/>
              </w:rPr>
            </w:pPr>
            <w:r>
              <w:rPr>
                <w:rFonts w:hint="eastAsia" w:ascii="宋体" w:hAnsi="宋体" w:cs="仿宋"/>
                <w:sz w:val="22"/>
                <w:szCs w:val="22"/>
                <w:shd w:val="clear" w:color="auto" w:fill="FFFFFF"/>
              </w:rPr>
              <w:t>方案全面、具体、详细、针对性强、可行性高</w:t>
            </w:r>
            <w:r>
              <w:rPr>
                <w:rFonts w:hint="eastAsia" w:ascii="宋体" w:hAnsi="宋体" w:cs="仿宋"/>
                <w:color w:val="auto"/>
                <w:sz w:val="22"/>
                <w:szCs w:val="22"/>
                <w:shd w:val="clear" w:color="auto" w:fill="FFFFFF"/>
              </w:rPr>
              <w:t>，得4分；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color w:val="auto"/>
                <w:sz w:val="22"/>
                <w:szCs w:val="22"/>
                <w:shd w:val="clear" w:color="auto" w:fill="FFFFFF"/>
              </w:rPr>
              <w:t>方案较为全面、具备一定针对性、可行性，得2分</w:t>
            </w:r>
            <w:r>
              <w:rPr>
                <w:rFonts w:hint="eastAsia" w:ascii="宋体" w:hAnsi="宋体" w:cs="仿宋"/>
                <w:sz w:val="22"/>
                <w:szCs w:val="22"/>
                <w:shd w:val="clear" w:color="auto" w:fill="FFFFFF"/>
              </w:rPr>
              <w:t>；</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方案内容有缺失，表述笼统，针对性和可行性较差，得1分；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 xml:space="preserve">未提供得0分。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5" w:type="dxa"/>
            <w:vMerge w:val="continue"/>
            <w:tcBorders>
              <w:top w:val="single" w:color="auto" w:sz="4" w:space="0"/>
              <w:bottom w:val="single" w:color="auto" w:sz="4" w:space="0"/>
            </w:tcBorders>
            <w:vAlign w:val="center"/>
          </w:tcPr>
          <w:p>
            <w:pPr>
              <w:pStyle w:val="249"/>
              <w:spacing w:before="130" w:line="340" w:lineRule="exact"/>
              <w:ind w:left="100" w:right="-3"/>
              <w:jc w:val="center"/>
              <w:rPr>
                <w:rFonts w:cs="仿宋"/>
                <w:color w:val="000000"/>
                <w:lang w:eastAsia="zh-CN"/>
              </w:rPr>
            </w:pPr>
          </w:p>
        </w:tc>
        <w:tc>
          <w:tcPr>
            <w:tcW w:w="1320" w:type="dxa"/>
            <w:tcBorders>
              <w:top w:val="single" w:color="auto" w:sz="4" w:space="0"/>
            </w:tcBorders>
            <w:vAlign w:val="center"/>
          </w:tcPr>
          <w:p>
            <w:pPr>
              <w:pStyle w:val="249"/>
              <w:spacing w:before="27" w:line="340" w:lineRule="exact"/>
              <w:ind w:left="103" w:right="96"/>
              <w:jc w:val="center"/>
              <w:rPr>
                <w:rFonts w:cs="仿宋"/>
                <w:lang w:eastAsia="zh-CN"/>
              </w:rPr>
            </w:pPr>
            <w:r>
              <w:rPr>
                <w:rFonts w:hint="eastAsia" w:cs="仿宋"/>
                <w:lang w:eastAsia="zh-CN"/>
              </w:rPr>
              <w:t>数据中心</w:t>
            </w:r>
          </w:p>
          <w:p>
            <w:pPr>
              <w:pStyle w:val="249"/>
              <w:spacing w:before="27" w:line="340" w:lineRule="exact"/>
              <w:ind w:left="103" w:right="96"/>
              <w:jc w:val="center"/>
              <w:rPr>
                <w:rFonts w:cs="仿宋"/>
                <w:lang w:eastAsia="zh-CN"/>
              </w:rPr>
            </w:pPr>
            <w:r>
              <w:rPr>
                <w:rFonts w:hint="eastAsia" w:cs="仿宋"/>
                <w:lang w:eastAsia="zh-CN"/>
              </w:rPr>
              <w:t>方案</w:t>
            </w:r>
          </w:p>
          <w:p>
            <w:pPr>
              <w:pStyle w:val="249"/>
              <w:spacing w:before="27" w:line="340" w:lineRule="exact"/>
              <w:ind w:left="103" w:right="96"/>
              <w:jc w:val="center"/>
              <w:rPr>
                <w:rFonts w:cs="仿宋"/>
                <w:color w:val="000000"/>
                <w:lang w:eastAsia="zh-CN"/>
              </w:rPr>
            </w:pPr>
            <w:r>
              <w:rPr>
                <w:rFonts w:hint="eastAsia" w:cs="仿宋"/>
                <w:lang w:eastAsia="zh-CN"/>
              </w:rPr>
              <w:t>（3分）</w:t>
            </w:r>
          </w:p>
        </w:tc>
        <w:tc>
          <w:tcPr>
            <w:tcW w:w="7202" w:type="dxa"/>
            <w:tcBorders>
              <w:top w:val="single" w:color="auto" w:sz="4" w:space="0"/>
            </w:tcBorders>
          </w:tcPr>
          <w:p>
            <w:pPr>
              <w:pStyle w:val="249"/>
              <w:spacing w:line="340" w:lineRule="exact"/>
              <w:ind w:right="106"/>
              <w:rPr>
                <w:rFonts w:cs="仿宋"/>
                <w:color w:val="000000"/>
                <w:lang w:eastAsia="zh-CN"/>
              </w:rPr>
            </w:pPr>
            <w:r>
              <w:rPr>
                <w:rFonts w:hint="eastAsia" w:cs="仿宋"/>
                <w:color w:val="000000"/>
                <w:lang w:val="zh-CN" w:eastAsia="zh-CN"/>
              </w:rPr>
              <w:t>投标人</w:t>
            </w:r>
            <w:r>
              <w:rPr>
                <w:rFonts w:hint="eastAsia" w:cs="仿宋"/>
                <w:color w:val="000000"/>
                <w:lang w:eastAsia="zh-CN"/>
              </w:rPr>
              <w:t>应</w:t>
            </w:r>
            <w:r>
              <w:rPr>
                <w:rFonts w:hint="eastAsia" w:cs="仿宋"/>
                <w:color w:val="000000"/>
                <w:lang w:val="zh-CN" w:eastAsia="zh-CN"/>
              </w:rPr>
              <w:t>提供详细的数据中心方案，</w:t>
            </w:r>
            <w:r>
              <w:rPr>
                <w:rFonts w:hint="eastAsia" w:cs="仿宋"/>
                <w:color w:val="000000"/>
                <w:lang w:eastAsia="zh-CN"/>
              </w:rPr>
              <w:t>包括</w:t>
            </w:r>
            <w:r>
              <w:rPr>
                <w:rFonts w:hint="eastAsia" w:cs="仿宋"/>
                <w:color w:val="000000"/>
                <w:lang w:val="zh-CN" w:eastAsia="zh-CN"/>
              </w:rPr>
              <w:t>基础设施、安防、</w:t>
            </w:r>
            <w:r>
              <w:rPr>
                <w:rFonts w:hint="eastAsia" w:cs="仿宋"/>
                <w:color w:val="000000"/>
                <w:lang w:eastAsia="zh-CN"/>
              </w:rPr>
              <w:t>应急、</w:t>
            </w:r>
            <w:r>
              <w:rPr>
                <w:rFonts w:hint="eastAsia" w:cs="仿宋"/>
                <w:color w:val="000000"/>
                <w:lang w:val="zh-CN" w:eastAsia="zh-CN"/>
              </w:rPr>
              <w:t>运维等多个维度。</w:t>
            </w:r>
          </w:p>
          <w:p>
            <w:pPr>
              <w:pStyle w:val="249"/>
              <w:spacing w:line="340" w:lineRule="exact"/>
              <w:ind w:right="106"/>
              <w:rPr>
                <w:rFonts w:cs="仿宋"/>
                <w:szCs w:val="21"/>
                <w:shd w:val="clear" w:color="auto" w:fill="FFFFFF"/>
                <w:lang w:eastAsia="zh-CN"/>
              </w:rPr>
            </w:pPr>
            <w:r>
              <w:rPr>
                <w:rFonts w:hint="eastAsia" w:cs="仿宋"/>
                <w:szCs w:val="21"/>
                <w:shd w:val="clear" w:color="auto" w:fill="FFFFFF"/>
                <w:lang w:eastAsia="zh-CN"/>
              </w:rPr>
              <w:t>方案全面、具体、详细、针对性强、可行性高，得3分；</w:t>
            </w:r>
          </w:p>
          <w:p>
            <w:pPr>
              <w:pStyle w:val="249"/>
              <w:spacing w:line="340" w:lineRule="exact"/>
              <w:ind w:right="106"/>
              <w:rPr>
                <w:rFonts w:cs="仿宋"/>
                <w:szCs w:val="21"/>
                <w:shd w:val="clear" w:color="auto" w:fill="FFFFFF"/>
                <w:lang w:eastAsia="zh-CN"/>
              </w:rPr>
            </w:pPr>
            <w:r>
              <w:rPr>
                <w:rFonts w:hint="eastAsia" w:cs="仿宋"/>
                <w:szCs w:val="21"/>
                <w:shd w:val="clear" w:color="auto" w:fill="FFFFFF"/>
                <w:lang w:eastAsia="zh-CN"/>
              </w:rPr>
              <w:t>方案较为全面、具备一定针对性、可行性，得2分；</w:t>
            </w:r>
          </w:p>
          <w:p>
            <w:pPr>
              <w:pStyle w:val="249"/>
              <w:spacing w:line="340" w:lineRule="exact"/>
              <w:ind w:right="106"/>
              <w:rPr>
                <w:rFonts w:cs="仿宋"/>
                <w:szCs w:val="21"/>
                <w:shd w:val="clear" w:color="auto" w:fill="FFFFFF"/>
                <w:lang w:eastAsia="zh-CN"/>
              </w:rPr>
            </w:pPr>
            <w:r>
              <w:rPr>
                <w:rFonts w:hint="eastAsia" w:cs="仿宋"/>
                <w:szCs w:val="21"/>
                <w:shd w:val="clear" w:color="auto" w:fill="FFFFFF"/>
                <w:lang w:eastAsia="zh-CN"/>
              </w:rPr>
              <w:t>方案内容有缺失，表述笼统，针对性和可行性较差，得1分；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1"/>
                <w:shd w:val="clear" w:color="auto" w:fill="FFFFFF"/>
              </w:rPr>
              <w:t>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5" w:type="dxa"/>
            <w:vMerge w:val="continue"/>
            <w:tcBorders>
              <w:top w:val="single" w:color="auto" w:sz="4" w:space="0"/>
              <w:bottom w:val="single" w:color="auto" w:sz="4" w:space="0"/>
            </w:tcBorders>
            <w:vAlign w:val="center"/>
          </w:tcPr>
          <w:p>
            <w:pPr>
              <w:pStyle w:val="249"/>
              <w:spacing w:before="130" w:line="340" w:lineRule="exact"/>
              <w:ind w:left="100" w:right="-3"/>
              <w:jc w:val="center"/>
              <w:rPr>
                <w:rFonts w:cs="仿宋"/>
                <w:color w:val="000000"/>
                <w:lang w:eastAsia="zh-CN"/>
              </w:rPr>
            </w:pPr>
          </w:p>
        </w:tc>
        <w:tc>
          <w:tcPr>
            <w:tcW w:w="1320" w:type="dxa"/>
            <w:vAlign w:val="center"/>
          </w:tcPr>
          <w:p>
            <w:pPr>
              <w:pStyle w:val="249"/>
              <w:spacing w:before="27" w:line="340" w:lineRule="exact"/>
              <w:ind w:left="103" w:right="96"/>
              <w:jc w:val="center"/>
              <w:rPr>
                <w:rFonts w:cs="仿宋"/>
                <w:color w:val="000000"/>
              </w:rPr>
            </w:pPr>
            <w:r>
              <w:rPr>
                <w:rFonts w:hint="eastAsia" w:cs="仿宋"/>
                <w:color w:val="000000"/>
              </w:rPr>
              <w:t>安全防护</w:t>
            </w:r>
          </w:p>
          <w:p>
            <w:pPr>
              <w:pStyle w:val="249"/>
              <w:spacing w:before="27" w:line="340" w:lineRule="exact"/>
              <w:ind w:left="103" w:right="96"/>
              <w:jc w:val="center"/>
              <w:rPr>
                <w:rFonts w:cs="仿宋"/>
                <w:color w:val="000000"/>
              </w:rPr>
            </w:pPr>
            <w:r>
              <w:rPr>
                <w:rFonts w:hint="eastAsia" w:cs="仿宋"/>
                <w:color w:val="000000"/>
              </w:rPr>
              <w:t>服务</w:t>
            </w:r>
          </w:p>
          <w:p>
            <w:pPr>
              <w:pStyle w:val="249"/>
              <w:spacing w:before="27" w:line="340" w:lineRule="exact"/>
              <w:ind w:left="103" w:right="96"/>
              <w:jc w:val="center"/>
              <w:rPr>
                <w:rFonts w:cs="仿宋"/>
                <w:color w:val="000000"/>
                <w:lang w:eastAsia="zh-CN"/>
              </w:rPr>
            </w:pPr>
            <w:r>
              <w:rPr>
                <w:rFonts w:hint="eastAsia" w:cs="仿宋"/>
                <w:color w:val="auto"/>
              </w:rPr>
              <w:t>（</w:t>
            </w:r>
            <w:r>
              <w:rPr>
                <w:rFonts w:hint="eastAsia" w:cs="仿宋"/>
                <w:color w:val="auto"/>
                <w:lang w:eastAsia="zh-CN"/>
              </w:rPr>
              <w:t>4</w:t>
            </w:r>
            <w:r>
              <w:rPr>
                <w:rFonts w:hint="eastAsia" w:cs="仿宋"/>
                <w:color w:val="auto"/>
              </w:rPr>
              <w:t>分）</w:t>
            </w:r>
          </w:p>
        </w:tc>
        <w:tc>
          <w:tcPr>
            <w:tcW w:w="7202" w:type="dxa"/>
          </w:tcPr>
          <w:p>
            <w:pPr>
              <w:pStyle w:val="249"/>
              <w:spacing w:line="340" w:lineRule="exact"/>
              <w:ind w:right="106"/>
              <w:rPr>
                <w:rFonts w:cs="仿宋"/>
                <w:color w:val="000000"/>
                <w:lang w:eastAsia="zh-CN"/>
              </w:rPr>
            </w:pPr>
            <w:r>
              <w:rPr>
                <w:rFonts w:hint="eastAsia" w:cs="仿宋"/>
                <w:color w:val="000000"/>
                <w:lang w:eastAsia="zh-CN"/>
              </w:rPr>
              <w:t>根据投标人提供的云平台安全防护服务方案进行评价。需明确云平台安全防护服务方案和服务目录规定的及其他能够提供的安全服务能力，要求能够满足云平台三级等保及应用系统三级等保要求，重点评价云平台安全防护体系的可靠性、全面性及可行性。</w:t>
            </w:r>
          </w:p>
          <w:p>
            <w:pPr>
              <w:widowControl/>
              <w:spacing w:line="340" w:lineRule="exact"/>
              <w:textAlignment w:val="center"/>
              <w:rPr>
                <w:rFonts w:ascii="宋体" w:hAnsi="宋体" w:cs="仿宋"/>
                <w:color w:val="auto"/>
                <w:sz w:val="22"/>
                <w:szCs w:val="22"/>
                <w:shd w:val="clear" w:color="auto" w:fill="FFFFFF"/>
              </w:rPr>
            </w:pPr>
            <w:r>
              <w:rPr>
                <w:rFonts w:hint="eastAsia" w:ascii="宋体" w:hAnsi="宋体" w:cs="仿宋"/>
                <w:sz w:val="22"/>
                <w:szCs w:val="22"/>
                <w:shd w:val="clear" w:color="auto" w:fill="FFFFFF"/>
              </w:rPr>
              <w:t>方案全面、具体、详细、针对性强、可行性高，</w:t>
            </w:r>
            <w:r>
              <w:rPr>
                <w:rFonts w:hint="eastAsia" w:ascii="宋体" w:hAnsi="宋体" w:cs="仿宋"/>
                <w:color w:val="auto"/>
                <w:sz w:val="22"/>
                <w:szCs w:val="22"/>
                <w:shd w:val="clear" w:color="auto" w:fill="FFFFFF"/>
              </w:rPr>
              <w:t>得4分；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color w:val="auto"/>
                <w:sz w:val="22"/>
                <w:szCs w:val="22"/>
                <w:shd w:val="clear" w:color="auto" w:fill="FFFFFF"/>
              </w:rPr>
              <w:t>方案较为全面、具备一定的针对性、可行性，得2分</w:t>
            </w:r>
            <w:r>
              <w:rPr>
                <w:rFonts w:hint="eastAsia" w:ascii="宋体" w:hAnsi="宋体" w:cs="仿宋"/>
                <w:sz w:val="22"/>
                <w:szCs w:val="22"/>
                <w:shd w:val="clear" w:color="auto" w:fill="FFFFFF"/>
              </w:rPr>
              <w:t>；</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方案内容有缺失，表述笼统，针对性和可行性较差，得</w:t>
            </w:r>
            <w:r>
              <w:rPr>
                <w:rFonts w:hint="eastAsia" w:ascii="宋体" w:hAnsi="宋体" w:cs="仿宋"/>
                <w:color w:val="auto"/>
                <w:sz w:val="22"/>
                <w:szCs w:val="22"/>
                <w:shd w:val="clear" w:color="auto" w:fill="FFFFFF"/>
              </w:rPr>
              <w:t>1分</w:t>
            </w:r>
            <w:r>
              <w:rPr>
                <w:rFonts w:hint="eastAsia" w:ascii="宋体" w:hAnsi="宋体" w:cs="仿宋"/>
                <w:sz w:val="22"/>
                <w:szCs w:val="22"/>
                <w:shd w:val="clear" w:color="auto" w:fill="FFFFFF"/>
              </w:rPr>
              <w:t>；</w:t>
            </w:r>
          </w:p>
          <w:p>
            <w:pPr>
              <w:pStyle w:val="249"/>
              <w:spacing w:line="340" w:lineRule="exact"/>
              <w:ind w:right="106"/>
              <w:rPr>
                <w:rFonts w:cs="仿宋"/>
                <w:color w:val="000000"/>
                <w:lang w:eastAsia="zh-CN"/>
              </w:rPr>
            </w:pPr>
            <w:r>
              <w:rPr>
                <w:rFonts w:hint="eastAsia" w:cs="仿宋"/>
                <w:shd w:val="clear" w:color="auto" w:fill="FFFFFF"/>
                <w:lang w:eastAsia="zh-CN"/>
              </w:rPr>
              <w:t>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5" w:type="dxa"/>
            <w:vMerge w:val="continue"/>
            <w:tcBorders>
              <w:top w:val="single" w:color="auto" w:sz="4" w:space="0"/>
              <w:bottom w:val="single" w:color="auto" w:sz="4" w:space="0"/>
            </w:tcBorders>
            <w:vAlign w:val="center"/>
          </w:tcPr>
          <w:p>
            <w:pPr>
              <w:pStyle w:val="249"/>
              <w:spacing w:before="130" w:line="340" w:lineRule="exact"/>
              <w:ind w:left="100" w:right="-3"/>
              <w:jc w:val="center"/>
              <w:rPr>
                <w:rFonts w:cs="仿宋"/>
                <w:color w:val="000000"/>
                <w:lang w:eastAsia="zh-CN"/>
              </w:rPr>
            </w:pPr>
          </w:p>
        </w:tc>
        <w:tc>
          <w:tcPr>
            <w:tcW w:w="1320" w:type="dxa"/>
            <w:vMerge w:val="restart"/>
            <w:vAlign w:val="center"/>
          </w:tcPr>
          <w:p>
            <w:pPr>
              <w:pStyle w:val="249"/>
              <w:spacing w:before="27" w:line="340" w:lineRule="exact"/>
              <w:ind w:left="103" w:right="96"/>
              <w:jc w:val="center"/>
              <w:rPr>
                <w:rFonts w:cs="仿宋"/>
                <w:color w:val="000000"/>
                <w:lang w:eastAsia="zh-CN"/>
              </w:rPr>
            </w:pPr>
            <w:r>
              <w:rPr>
                <w:rFonts w:hint="eastAsia" w:cs="仿宋"/>
                <w:color w:val="000000"/>
                <w:lang w:eastAsia="zh-CN"/>
              </w:rPr>
              <w:t>云运维</w:t>
            </w:r>
          </w:p>
          <w:p>
            <w:pPr>
              <w:pStyle w:val="249"/>
              <w:spacing w:before="27" w:line="340" w:lineRule="exact"/>
              <w:ind w:left="103" w:right="96"/>
              <w:jc w:val="center"/>
              <w:rPr>
                <w:rFonts w:cs="仿宋"/>
                <w:color w:val="000000"/>
                <w:lang w:eastAsia="zh-CN"/>
              </w:rPr>
            </w:pPr>
            <w:r>
              <w:rPr>
                <w:rFonts w:hint="eastAsia" w:cs="仿宋"/>
                <w:color w:val="000000"/>
                <w:lang w:eastAsia="zh-CN"/>
              </w:rPr>
              <w:t>服务</w:t>
            </w:r>
          </w:p>
          <w:p>
            <w:pPr>
              <w:pStyle w:val="249"/>
              <w:spacing w:before="27" w:line="340" w:lineRule="exact"/>
              <w:ind w:left="103" w:right="96"/>
              <w:jc w:val="center"/>
              <w:rPr>
                <w:rFonts w:cs="仿宋"/>
                <w:color w:val="000000"/>
                <w:lang w:eastAsia="zh-CN"/>
              </w:rPr>
            </w:pPr>
            <w:r>
              <w:rPr>
                <w:rFonts w:hint="eastAsia" w:cs="仿宋"/>
                <w:color w:val="auto"/>
                <w:lang w:eastAsia="zh-CN"/>
              </w:rPr>
              <w:t>（9分</w:t>
            </w:r>
            <w:r>
              <w:rPr>
                <w:rFonts w:hint="eastAsia" w:cs="仿宋"/>
                <w:color w:val="000000"/>
                <w:lang w:eastAsia="zh-CN"/>
              </w:rPr>
              <w:t>）</w:t>
            </w:r>
          </w:p>
          <w:p>
            <w:pPr>
              <w:pStyle w:val="249"/>
              <w:spacing w:before="27" w:line="340" w:lineRule="exact"/>
              <w:ind w:left="103" w:right="96"/>
              <w:jc w:val="center"/>
              <w:rPr>
                <w:rFonts w:cs="仿宋"/>
                <w:color w:val="000000"/>
                <w:lang w:eastAsia="zh-CN"/>
              </w:rPr>
            </w:pPr>
          </w:p>
        </w:tc>
        <w:tc>
          <w:tcPr>
            <w:tcW w:w="7202" w:type="dxa"/>
          </w:tcPr>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1.投标方案中应提供《政务云服务水平规范》《政务云运维保障方案及制度流程》《云平台应急预案》等多项管理制度或规范文件，其内容应包含但不限于云运维服务项目和出现故障后的处理措施等。</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方案全面、具体、详细、针对性强、可行性高，</w:t>
            </w:r>
            <w:r>
              <w:rPr>
                <w:rFonts w:hint="eastAsia" w:ascii="宋体" w:hAnsi="宋体" w:cs="仿宋"/>
                <w:color w:val="auto"/>
                <w:sz w:val="22"/>
                <w:szCs w:val="22"/>
                <w:shd w:val="clear" w:color="auto" w:fill="FFFFFF"/>
              </w:rPr>
              <w:t>得3</w:t>
            </w:r>
            <w:r>
              <w:rPr>
                <w:rFonts w:hint="eastAsia" w:ascii="宋体" w:hAnsi="宋体" w:cs="仿宋"/>
                <w:sz w:val="22"/>
                <w:szCs w:val="22"/>
                <w:shd w:val="clear" w:color="auto" w:fill="FFFFFF"/>
              </w:rPr>
              <w:t>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方案较为全面、具备一定针对性、可行性，得2分；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方案内容有缺失，表述笼统，针对性和可行性较差，得1分；</w:t>
            </w:r>
          </w:p>
          <w:p>
            <w:pPr>
              <w:widowControl/>
              <w:spacing w:line="340" w:lineRule="exact"/>
              <w:textAlignment w:val="center"/>
              <w:rPr>
                <w:rFonts w:ascii="宋体" w:hAnsi="宋体" w:cs="仿宋"/>
                <w:color w:val="000000"/>
                <w:sz w:val="22"/>
                <w:szCs w:val="22"/>
              </w:rPr>
            </w:pPr>
            <w:r>
              <w:rPr>
                <w:rFonts w:hint="eastAsia" w:ascii="宋体" w:hAnsi="宋体" w:cs="仿宋"/>
                <w:sz w:val="22"/>
                <w:szCs w:val="22"/>
                <w:shd w:val="clear" w:color="auto" w:fill="FFFFFF"/>
              </w:rPr>
              <w:t>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5" w:type="dxa"/>
            <w:vMerge w:val="continue"/>
            <w:tcBorders>
              <w:top w:val="single" w:color="auto" w:sz="4" w:space="0"/>
              <w:bottom w:val="single" w:color="auto" w:sz="4" w:space="0"/>
            </w:tcBorders>
            <w:vAlign w:val="center"/>
          </w:tcPr>
          <w:p>
            <w:pPr>
              <w:pStyle w:val="249"/>
              <w:spacing w:before="130" w:line="340" w:lineRule="exact"/>
              <w:ind w:left="100" w:right="-3"/>
              <w:jc w:val="center"/>
              <w:rPr>
                <w:rFonts w:cs="仿宋"/>
                <w:color w:val="000000"/>
                <w:lang w:eastAsia="zh-CN"/>
              </w:rPr>
            </w:pPr>
          </w:p>
        </w:tc>
        <w:tc>
          <w:tcPr>
            <w:tcW w:w="1320" w:type="dxa"/>
            <w:vMerge w:val="continue"/>
            <w:vAlign w:val="center"/>
          </w:tcPr>
          <w:p>
            <w:pPr>
              <w:pStyle w:val="249"/>
              <w:spacing w:before="27" w:line="340" w:lineRule="exact"/>
              <w:ind w:left="103" w:right="96"/>
              <w:rPr>
                <w:rFonts w:cs="仿宋"/>
                <w:color w:val="000000"/>
                <w:lang w:eastAsia="zh-CN"/>
              </w:rPr>
            </w:pPr>
          </w:p>
        </w:tc>
        <w:tc>
          <w:tcPr>
            <w:tcW w:w="7202" w:type="dxa"/>
          </w:tcPr>
          <w:p>
            <w:pPr>
              <w:widowControl/>
              <w:spacing w:line="340" w:lineRule="exact"/>
              <w:textAlignment w:val="center"/>
              <w:rPr>
                <w:rFonts w:ascii="宋体" w:hAnsi="宋体" w:cs="仿宋"/>
                <w:color w:val="FF0000"/>
                <w:sz w:val="22"/>
                <w:szCs w:val="22"/>
                <w:shd w:val="clear" w:color="auto" w:fill="FFFFFF"/>
              </w:rPr>
            </w:pPr>
            <w:r>
              <w:rPr>
                <w:rFonts w:hint="eastAsia" w:ascii="宋体" w:hAnsi="宋体" w:cs="仿宋"/>
                <w:sz w:val="22"/>
                <w:szCs w:val="22"/>
                <w:shd w:val="clear" w:color="auto" w:fill="FFFFFF"/>
              </w:rPr>
              <w:t>2.投标人为本项目设置合理的运维团队；为本项目提供7*24小时运维服务，运维需求平均响应时间小于等于15分钟，平均故障恢复时间小于等于 30 分钟；</w:t>
            </w:r>
            <w:r>
              <w:rPr>
                <w:rFonts w:hint="eastAsia" w:ascii="宋体" w:hAnsi="宋体" w:cs="仿宋"/>
                <w:color w:val="FF0000"/>
                <w:sz w:val="22"/>
                <w:szCs w:val="22"/>
                <w:shd w:val="clear" w:color="auto" w:fill="FFFFFF"/>
              </w:rPr>
              <w:t xml:space="preserve"> </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完全满足项目需求，项目团队人员经验丰富，得3分；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基本满足项目需求，项目团队人员配置待提升，得2分；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不满足基本要求，项目团队人员简单，得1分；</w:t>
            </w:r>
          </w:p>
          <w:p>
            <w:pPr>
              <w:widowControl/>
              <w:spacing w:line="340" w:lineRule="exact"/>
              <w:ind w:right="106"/>
              <w:textAlignment w:val="center"/>
              <w:rPr>
                <w:rFonts w:ascii="宋体" w:hAnsi="宋体" w:cs="仿宋"/>
                <w:color w:val="000000"/>
                <w:sz w:val="22"/>
                <w:szCs w:val="22"/>
              </w:rPr>
            </w:pPr>
            <w:r>
              <w:rPr>
                <w:rFonts w:hint="eastAsia" w:ascii="宋体" w:hAnsi="宋体" w:cs="仿宋"/>
                <w:color w:val="000000"/>
                <w:sz w:val="22"/>
                <w:szCs w:val="22"/>
              </w:rPr>
              <w:t>其它情况或未提供得0分。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5" w:type="dxa"/>
            <w:vMerge w:val="continue"/>
            <w:tcBorders>
              <w:top w:val="single" w:color="auto" w:sz="4" w:space="0"/>
              <w:bottom w:val="single" w:color="auto" w:sz="4" w:space="0"/>
            </w:tcBorders>
            <w:vAlign w:val="center"/>
          </w:tcPr>
          <w:p>
            <w:pPr>
              <w:pStyle w:val="249"/>
              <w:spacing w:before="130" w:line="340" w:lineRule="exact"/>
              <w:ind w:left="100" w:right="-3"/>
              <w:jc w:val="center"/>
              <w:rPr>
                <w:rFonts w:cs="仿宋"/>
                <w:color w:val="000000"/>
                <w:lang w:eastAsia="zh-CN"/>
              </w:rPr>
            </w:pPr>
          </w:p>
        </w:tc>
        <w:tc>
          <w:tcPr>
            <w:tcW w:w="1320" w:type="dxa"/>
            <w:vMerge w:val="continue"/>
            <w:vAlign w:val="center"/>
          </w:tcPr>
          <w:p>
            <w:pPr>
              <w:pStyle w:val="249"/>
              <w:spacing w:before="27" w:line="340" w:lineRule="exact"/>
              <w:ind w:left="103" w:right="96"/>
              <w:rPr>
                <w:rFonts w:cs="仿宋"/>
                <w:color w:val="000000"/>
                <w:lang w:eastAsia="zh-CN"/>
              </w:rPr>
            </w:pPr>
          </w:p>
        </w:tc>
        <w:tc>
          <w:tcPr>
            <w:tcW w:w="7202" w:type="dxa"/>
          </w:tcPr>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3.投标人须具有完善的系统服务保障体系，提供重大服务保障，并针对本项目提供安全应急处置方案。</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方案全面、具体、详细、针对性强、可行性高，得3分；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方案较为全面、具备一定针对性、可行性，得2分；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方案内容有缺失，表述笼统，针对性和可行性较差，得1分；</w:t>
            </w:r>
          </w:p>
          <w:p>
            <w:pPr>
              <w:widowControl/>
              <w:spacing w:line="340" w:lineRule="exact"/>
              <w:textAlignment w:val="center"/>
              <w:rPr>
                <w:rFonts w:ascii="宋体" w:hAnsi="宋体" w:cs="仿宋"/>
                <w:color w:val="000000"/>
                <w:sz w:val="22"/>
                <w:szCs w:val="22"/>
              </w:rPr>
            </w:pPr>
            <w:r>
              <w:rPr>
                <w:rFonts w:hint="eastAsia" w:ascii="宋体" w:hAnsi="宋体" w:cs="仿宋"/>
                <w:sz w:val="22"/>
                <w:szCs w:val="22"/>
                <w:shd w:val="clear" w:color="auto" w:fill="FFFFFF"/>
              </w:rPr>
              <w:t>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35" w:type="dxa"/>
            <w:vMerge w:val="continue"/>
            <w:tcBorders>
              <w:top w:val="single" w:color="auto" w:sz="4" w:space="0"/>
              <w:bottom w:val="single" w:color="auto" w:sz="4" w:space="0"/>
            </w:tcBorders>
            <w:vAlign w:val="center"/>
          </w:tcPr>
          <w:p>
            <w:pPr>
              <w:pStyle w:val="249"/>
              <w:spacing w:before="130" w:line="340" w:lineRule="exact"/>
              <w:ind w:left="100" w:right="-3"/>
              <w:jc w:val="center"/>
              <w:rPr>
                <w:rFonts w:cs="仿宋"/>
                <w:color w:val="000000"/>
                <w:lang w:eastAsia="zh-CN"/>
              </w:rPr>
            </w:pPr>
          </w:p>
        </w:tc>
        <w:tc>
          <w:tcPr>
            <w:tcW w:w="1320" w:type="dxa"/>
            <w:vAlign w:val="center"/>
          </w:tcPr>
          <w:p>
            <w:pPr>
              <w:pStyle w:val="249"/>
              <w:spacing w:before="27" w:line="340" w:lineRule="exact"/>
              <w:ind w:left="103" w:right="96"/>
              <w:rPr>
                <w:rFonts w:hint="eastAsia" w:cs="仿宋"/>
                <w:color w:val="000000"/>
                <w:spacing w:val="-1"/>
                <w:lang w:eastAsia="zh-CN"/>
              </w:rPr>
            </w:pPr>
            <w:r>
              <w:rPr>
                <w:rFonts w:hint="eastAsia" w:cs="仿宋"/>
                <w:color w:val="000000"/>
                <w:spacing w:val="-1"/>
                <w:lang w:eastAsia="zh-CN"/>
              </w:rPr>
              <w:t>培训服务</w:t>
            </w:r>
          </w:p>
          <w:p>
            <w:pPr>
              <w:pStyle w:val="249"/>
              <w:spacing w:before="27" w:line="340" w:lineRule="exact"/>
              <w:ind w:left="103" w:right="96"/>
              <w:rPr>
                <w:rFonts w:cs="仿宋"/>
                <w:color w:val="000000"/>
                <w:spacing w:val="-1"/>
                <w:lang w:eastAsia="zh-CN"/>
              </w:rPr>
            </w:pPr>
            <w:r>
              <w:rPr>
                <w:rFonts w:hint="eastAsia" w:cs="仿宋"/>
                <w:color w:val="000000"/>
                <w:spacing w:val="-1"/>
                <w:lang w:eastAsia="zh-CN"/>
              </w:rPr>
              <w:t>（</w:t>
            </w:r>
            <w:r>
              <w:rPr>
                <w:rFonts w:hint="eastAsia" w:cs="仿宋"/>
                <w:color w:val="auto"/>
                <w:spacing w:val="-1"/>
                <w:lang w:eastAsia="zh-CN"/>
              </w:rPr>
              <w:t>3</w:t>
            </w:r>
            <w:r>
              <w:rPr>
                <w:rFonts w:hint="eastAsia" w:cs="仿宋"/>
                <w:color w:val="000000"/>
                <w:spacing w:val="-1"/>
                <w:lang w:eastAsia="zh-CN"/>
              </w:rPr>
              <w:t>分）</w:t>
            </w:r>
          </w:p>
        </w:tc>
        <w:tc>
          <w:tcPr>
            <w:tcW w:w="7202" w:type="dxa"/>
          </w:tcPr>
          <w:p>
            <w:pPr>
              <w:widowControl/>
              <w:spacing w:line="340" w:lineRule="exact"/>
              <w:textAlignment w:val="center"/>
              <w:rPr>
                <w:rFonts w:ascii="宋体" w:hAnsi="宋体" w:cs="仿宋"/>
                <w:color w:val="auto"/>
                <w:sz w:val="22"/>
                <w:szCs w:val="22"/>
                <w:shd w:val="clear" w:color="auto" w:fill="FFFFFF"/>
              </w:rPr>
            </w:pPr>
            <w:r>
              <w:rPr>
                <w:rFonts w:hint="eastAsia" w:ascii="宋体" w:hAnsi="宋体" w:cs="仿宋"/>
                <w:sz w:val="22"/>
                <w:szCs w:val="22"/>
                <w:shd w:val="clear" w:color="auto" w:fill="FFFFFF"/>
              </w:rPr>
              <w:t>投标人应提供针对项目管理人员、系统运维人员、云平台最终用户及开发人员提供对应的培训、培训方案及手册等。</w:t>
            </w:r>
          </w:p>
          <w:p>
            <w:pPr>
              <w:widowControl/>
              <w:spacing w:line="340" w:lineRule="exact"/>
              <w:textAlignment w:val="center"/>
              <w:rPr>
                <w:rFonts w:ascii="宋体" w:hAnsi="宋体" w:cs="仿宋"/>
                <w:color w:val="auto"/>
                <w:sz w:val="22"/>
                <w:szCs w:val="22"/>
                <w:shd w:val="clear" w:color="auto" w:fill="FFFFFF"/>
              </w:rPr>
            </w:pPr>
            <w:r>
              <w:rPr>
                <w:rFonts w:hint="eastAsia" w:ascii="宋体" w:hAnsi="宋体" w:cs="仿宋"/>
                <w:color w:val="auto"/>
                <w:sz w:val="22"/>
                <w:szCs w:val="22"/>
                <w:shd w:val="clear" w:color="auto" w:fill="FFFFFF"/>
              </w:rPr>
              <w:t>方案全面、具体、详细、针对性强、可行性高，得3分；</w:t>
            </w:r>
          </w:p>
          <w:p>
            <w:pPr>
              <w:widowControl/>
              <w:spacing w:line="340" w:lineRule="exact"/>
              <w:textAlignment w:val="center"/>
              <w:rPr>
                <w:rFonts w:ascii="宋体" w:hAnsi="宋体" w:cs="仿宋"/>
                <w:color w:val="auto"/>
                <w:sz w:val="22"/>
                <w:szCs w:val="22"/>
                <w:shd w:val="clear" w:color="auto" w:fill="FFFFFF"/>
              </w:rPr>
            </w:pPr>
            <w:r>
              <w:rPr>
                <w:rFonts w:hint="eastAsia" w:ascii="宋体" w:hAnsi="宋体" w:cs="仿宋"/>
                <w:color w:val="auto"/>
                <w:sz w:val="22"/>
                <w:szCs w:val="22"/>
                <w:shd w:val="clear" w:color="auto" w:fill="FFFFFF"/>
              </w:rPr>
              <w:t>方案较为全面、具备一定针对性、可行性，得2分；</w:t>
            </w:r>
          </w:p>
          <w:p>
            <w:pPr>
              <w:widowControl/>
              <w:spacing w:line="340" w:lineRule="exact"/>
              <w:textAlignment w:val="center"/>
              <w:rPr>
                <w:rFonts w:ascii="宋体" w:hAnsi="宋体" w:cs="仿宋"/>
                <w:sz w:val="22"/>
                <w:szCs w:val="22"/>
                <w:shd w:val="clear" w:color="auto" w:fill="FFFFFF"/>
              </w:rPr>
            </w:pPr>
            <w:r>
              <w:rPr>
                <w:rFonts w:hint="eastAsia" w:ascii="宋体" w:hAnsi="宋体" w:cs="仿宋"/>
                <w:sz w:val="22"/>
                <w:szCs w:val="22"/>
                <w:shd w:val="clear" w:color="auto" w:fill="FFFFFF"/>
              </w:rPr>
              <w:t>方案内容有缺失，表述笼统，针对性和可行性较差，得1分；</w:t>
            </w:r>
          </w:p>
          <w:p>
            <w:pPr>
              <w:widowControl/>
              <w:spacing w:line="340" w:lineRule="exact"/>
              <w:textAlignment w:val="center"/>
              <w:rPr>
                <w:rFonts w:ascii="宋体" w:hAnsi="宋体" w:cs="仿宋"/>
                <w:color w:val="000000"/>
                <w:sz w:val="22"/>
                <w:szCs w:val="22"/>
              </w:rPr>
            </w:pPr>
            <w:r>
              <w:rPr>
                <w:rFonts w:hint="eastAsia" w:ascii="宋体" w:hAnsi="宋体" w:cs="仿宋"/>
                <w:sz w:val="22"/>
                <w:szCs w:val="22"/>
                <w:shd w:val="clear" w:color="auto" w:fill="FFFFFF"/>
              </w:rPr>
              <w:t>未提供得0分。</w:t>
            </w:r>
          </w:p>
        </w:tc>
      </w:tr>
    </w:tbl>
    <w:p>
      <w:pPr>
        <w:spacing w:line="400" w:lineRule="exact"/>
        <w:jc w:val="left"/>
        <w:rPr>
          <w:rFonts w:ascii="宋体" w:hAnsi="宋体"/>
          <w:sz w:val="24"/>
        </w:rPr>
      </w:pPr>
    </w:p>
    <w:p>
      <w:pPr>
        <w:spacing w:line="360" w:lineRule="exact"/>
        <w:outlineLvl w:val="1"/>
        <w:rPr>
          <w:rFonts w:ascii="宋体" w:hAnsi="宋体"/>
          <w:sz w:val="22"/>
          <w:szCs w:val="22"/>
        </w:rPr>
      </w:pPr>
      <w:r>
        <w:rPr>
          <w:rFonts w:hint="eastAsia" w:ascii="宋体" w:hAnsi="宋体"/>
          <w:b/>
          <w:sz w:val="22"/>
          <w:szCs w:val="22"/>
        </w:rPr>
        <w:t>注：</w:t>
      </w:r>
      <w:r>
        <w:rPr>
          <w:rFonts w:hint="eastAsia" w:ascii="宋体" w:hAnsi="宋体"/>
          <w:sz w:val="22"/>
          <w:szCs w:val="22"/>
        </w:rPr>
        <w:t>1.根据财政部、工业和信息化</w:t>
      </w:r>
      <w:r>
        <w:rPr>
          <w:rFonts w:hint="eastAsia" w:ascii="宋体" w:hAnsi="宋体" w:cs="宋体"/>
          <w:kern w:val="0"/>
          <w:sz w:val="22"/>
          <w:szCs w:val="22"/>
        </w:rPr>
        <w:t>部发布的《政府采购促进中小企业发展管理办法》</w:t>
      </w:r>
      <w:r>
        <w:rPr>
          <w:rFonts w:eastAsia="宋体"/>
          <w:color w:val="000000"/>
          <w:sz w:val="22"/>
          <w:szCs w:val="22"/>
        </w:rPr>
        <w:t>（财库〔2020〕46号）</w:t>
      </w:r>
      <w:r>
        <w:rPr>
          <w:rFonts w:hint="eastAsia" w:eastAsia="宋体"/>
          <w:color w:val="auto"/>
          <w:sz w:val="22"/>
          <w:szCs w:val="22"/>
        </w:rPr>
        <w:t>、</w:t>
      </w:r>
      <w:r>
        <w:rPr>
          <w:color w:val="auto"/>
          <w:sz w:val="22"/>
          <w:szCs w:val="22"/>
        </w:rPr>
        <w:t>《关于进一步加大政府采购支持中小企业力度的通知》（财库〔2022〕19号）</w:t>
      </w:r>
      <w:r>
        <w:rPr>
          <w:rFonts w:hint="eastAsia" w:ascii="宋体" w:hAnsi="宋体" w:cs="宋体"/>
          <w:color w:val="auto"/>
          <w:kern w:val="0"/>
          <w:sz w:val="22"/>
          <w:szCs w:val="22"/>
        </w:rPr>
        <w:t>、财政部、司法部发布的《关于政府采购支持监狱企业发展有关问题》及财政部、民政部、中国残疾人联</w:t>
      </w:r>
      <w:r>
        <w:rPr>
          <w:rFonts w:hint="eastAsia" w:ascii="宋体" w:hAnsi="宋体" w:cs="宋体"/>
          <w:kern w:val="0"/>
          <w:sz w:val="22"/>
          <w:szCs w:val="22"/>
        </w:rPr>
        <w:t>合会发布的《关于促进残疾人就业政府采购政策的通知》的规定，如投标产品被认定为小微型企业或监狱企业或残疾人福利性单位制造的产品（须提供相关证明文件，小微企业提供《中小企业声明函》，监狱</w:t>
      </w:r>
      <w:r>
        <w:rPr>
          <w:rFonts w:hint="eastAsia" w:ascii="宋体" w:hAnsi="宋体"/>
          <w:sz w:val="22"/>
          <w:szCs w:val="22"/>
        </w:rPr>
        <w:t>企业提供由省级以上监狱管理局、戒毒管理局(含新疆生产建设兵团)出具的属于监狱企业的证明文件，残疾人福利性单位提供《残疾人福利性单位声明函》），可在价格评分中，对该产品的价格给</w:t>
      </w:r>
      <w:r>
        <w:rPr>
          <w:rFonts w:hint="eastAsia" w:ascii="宋体" w:hAnsi="宋体"/>
          <w:color w:val="auto"/>
          <w:sz w:val="22"/>
          <w:szCs w:val="22"/>
        </w:rPr>
        <w:t>予10%的</w:t>
      </w:r>
      <w:r>
        <w:rPr>
          <w:rFonts w:hint="eastAsia" w:ascii="宋体" w:hAnsi="宋体"/>
          <w:sz w:val="22"/>
          <w:szCs w:val="22"/>
        </w:rPr>
        <w:t>扣除，并用扣除后的价格计算价格分。</w:t>
      </w:r>
    </w:p>
    <w:p>
      <w:pPr>
        <w:spacing w:line="360" w:lineRule="exact"/>
        <w:ind w:firstLine="440" w:firstLineChars="200"/>
        <w:rPr>
          <w:rFonts w:eastAsia="宋体"/>
          <w:b/>
          <w:sz w:val="32"/>
          <w:szCs w:val="32"/>
        </w:rPr>
      </w:pPr>
      <w:r>
        <w:rPr>
          <w:rFonts w:hint="eastAsia" w:ascii="宋体" w:hAnsi="宋体" w:cs="宋体"/>
          <w:kern w:val="0"/>
          <w:sz w:val="22"/>
          <w:szCs w:val="22"/>
        </w:rPr>
        <w:t xml:space="preserve">2. </w:t>
      </w:r>
      <w:r>
        <w:rPr>
          <w:rFonts w:hint="eastAsia" w:ascii="宋体" w:hAnsi="宋体"/>
          <w:sz w:val="22"/>
          <w:szCs w:val="22"/>
        </w:rPr>
        <w:t>评分分值计算保留小数点后两位，第三位四舍五入</w:t>
      </w:r>
    </w:p>
    <w:p>
      <w:pPr>
        <w:spacing w:line="360" w:lineRule="auto"/>
        <w:jc w:val="center"/>
        <w:outlineLvl w:val="0"/>
        <w:rPr>
          <w:rFonts w:eastAsia="宋体"/>
          <w:b/>
          <w:sz w:val="36"/>
          <w:szCs w:val="36"/>
        </w:rPr>
      </w:pPr>
      <w:r>
        <w:rPr>
          <w:rFonts w:eastAsia="宋体"/>
          <w:b/>
          <w:sz w:val="36"/>
          <w:szCs w:val="36"/>
        </w:rPr>
        <w:br w:type="page"/>
      </w:r>
      <w:bookmarkStart w:id="664" w:name="_Toc97371945"/>
      <w:r>
        <w:rPr>
          <w:rFonts w:eastAsia="宋体"/>
          <w:b/>
          <w:sz w:val="36"/>
          <w:szCs w:val="36"/>
        </w:rPr>
        <w:t>第四章   采购需求</w:t>
      </w:r>
      <w:bookmarkEnd w:id="664"/>
    </w:p>
    <w:p>
      <w:pPr>
        <w:spacing w:line="360" w:lineRule="auto"/>
        <w:contextualSpacing/>
        <w:rPr>
          <w:rFonts w:ascii="宋体" w:hAnsi="宋体" w:cs="宋体"/>
          <w:sz w:val="24"/>
        </w:rPr>
      </w:pPr>
      <w:r>
        <w:rPr>
          <w:rFonts w:hint="eastAsia" w:ascii="宋体" w:hAnsi="宋体" w:cs="宋体"/>
          <w:sz w:val="24"/>
        </w:rPr>
        <w:t>说明：</w:t>
      </w:r>
    </w:p>
    <w:p>
      <w:pPr>
        <w:spacing w:line="360" w:lineRule="auto"/>
        <w:contextualSpacing/>
        <w:rPr>
          <w:rFonts w:ascii="宋体" w:hAnsi="宋体" w:cs="宋体"/>
          <w:sz w:val="24"/>
        </w:rPr>
      </w:pPr>
      <w:r>
        <w:rPr>
          <w:rFonts w:hint="eastAsia" w:ascii="宋体" w:hAnsi="宋体" w:cs="宋体"/>
          <w:sz w:val="24"/>
        </w:rPr>
        <w:t xml:space="preserve">    1.当采购项目涉及数据中心相关设备、运维服务时，采购需求应当符合《绿色数据中心政府采购需求标准（试行）》（财库〔2023〕7号）的有关要求。</w:t>
      </w:r>
    </w:p>
    <w:p>
      <w:pPr>
        <w:spacing w:line="360" w:lineRule="auto"/>
        <w:contextualSpacing/>
        <w:rPr>
          <w:rFonts w:ascii="宋体" w:hAnsi="宋体" w:cs="宋体"/>
          <w:sz w:val="24"/>
        </w:rPr>
      </w:pPr>
      <w:r>
        <w:rPr>
          <w:rFonts w:hint="eastAsia" w:ascii="宋体" w:hAnsi="宋体" w:cs="宋体"/>
          <w:sz w:val="24"/>
        </w:rPr>
        <w:t xml:space="preserve">    2.当采购项目涉及政务信息系统时，采购需求应当符合《政务信息系统政府采购管理暂行办法》（财库〔2017〕210号）的相关要求。</w:t>
      </w:r>
    </w:p>
    <w:p>
      <w:pPr>
        <w:spacing w:line="400" w:lineRule="exact"/>
        <w:ind w:firstLine="480" w:firstLineChars="200"/>
        <w:contextualSpacing/>
        <w:rPr>
          <w:rFonts w:ascii="黑体" w:hAnsi="黑体" w:eastAsia="黑体" w:cs="宋体"/>
          <w:sz w:val="24"/>
        </w:rPr>
      </w:pPr>
      <w:r>
        <w:rPr>
          <w:rFonts w:hint="eastAsia" w:ascii="黑体" w:hAnsi="黑体" w:eastAsia="黑体" w:cs="宋体"/>
          <w:sz w:val="24"/>
        </w:rPr>
        <w:t>一、采购标的</w:t>
      </w:r>
    </w:p>
    <w:p>
      <w:pPr>
        <w:spacing w:line="400" w:lineRule="exact"/>
        <w:ind w:firstLine="480" w:firstLineChars="200"/>
        <w:contextualSpacing/>
        <w:rPr>
          <w:rFonts w:ascii="宋体" w:hAnsi="宋体" w:eastAsia="宋体" w:cs="宋体"/>
          <w:bCs/>
          <w:sz w:val="24"/>
        </w:rPr>
      </w:pPr>
      <w:r>
        <w:rPr>
          <w:rFonts w:hint="eastAsia" w:ascii="宋体" w:hAnsi="宋体" w:eastAsia="宋体" w:cs="宋体"/>
          <w:bCs/>
          <w:sz w:val="24"/>
        </w:rPr>
        <w:t>（一）采购标的</w:t>
      </w:r>
    </w:p>
    <w:p>
      <w:pPr>
        <w:spacing w:line="400" w:lineRule="exact"/>
        <w:ind w:firstLine="480" w:firstLineChars="200"/>
        <w:contextualSpacing/>
        <w:rPr>
          <w:rFonts w:ascii="宋体" w:hAnsi="宋体" w:cs="宋体"/>
          <w:bCs/>
          <w:sz w:val="24"/>
        </w:rPr>
      </w:pPr>
      <w:r>
        <w:rPr>
          <w:rFonts w:hint="eastAsia" w:ascii="宋体" w:hAnsi="宋体" w:cs="宋体"/>
          <w:bCs/>
          <w:sz w:val="24"/>
        </w:rPr>
        <w:t>所有资源服务项均需具备国产化能力</w:t>
      </w:r>
    </w:p>
    <w:p>
      <w:pPr>
        <w:adjustRightInd w:val="0"/>
        <w:spacing w:line="400" w:lineRule="exact"/>
        <w:textAlignment w:val="baseline"/>
        <w:rPr>
          <w:rFonts w:ascii="宋体" w:hAnsi="宋体" w:cs="宋体"/>
          <w:sz w:val="24"/>
          <w:lang w:val="zh-CN"/>
        </w:rPr>
      </w:pPr>
      <w:r>
        <w:rPr>
          <w:rFonts w:hint="eastAsia" w:ascii="宋体" w:hAnsi="宋体" w:cs="宋体"/>
          <w:sz w:val="24"/>
        </w:rPr>
        <w:t xml:space="preserve">    1.基础资源</w:t>
      </w:r>
      <w:r>
        <w:rPr>
          <w:rFonts w:hint="eastAsia" w:ascii="宋体" w:hAnsi="宋体" w:cs="宋体"/>
          <w:sz w:val="24"/>
          <w:lang w:val="zh-CN"/>
        </w:rPr>
        <w:t>服务</w:t>
      </w:r>
    </w:p>
    <w:tbl>
      <w:tblPr>
        <w:tblStyle w:val="45"/>
        <w:tblW w:w="0" w:type="auto"/>
        <w:tblInd w:w="98" w:type="dxa"/>
        <w:tblLayout w:type="fixed"/>
        <w:tblCellMar>
          <w:top w:w="0" w:type="dxa"/>
          <w:left w:w="108" w:type="dxa"/>
          <w:bottom w:w="0" w:type="dxa"/>
          <w:right w:w="108" w:type="dxa"/>
        </w:tblCellMar>
      </w:tblPr>
      <w:tblGrid>
        <w:gridCol w:w="734"/>
        <w:gridCol w:w="831"/>
        <w:gridCol w:w="5177"/>
        <w:gridCol w:w="721"/>
        <w:gridCol w:w="936"/>
      </w:tblGrid>
      <w:tr>
        <w:tblPrEx>
          <w:tblCellMar>
            <w:top w:w="0" w:type="dxa"/>
            <w:left w:w="108" w:type="dxa"/>
            <w:bottom w:w="0" w:type="dxa"/>
            <w:right w:w="108" w:type="dxa"/>
          </w:tblCellMar>
        </w:tblPrEx>
        <w:trPr>
          <w:trHeight w:val="280"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b/>
                <w:sz w:val="24"/>
              </w:rPr>
            </w:pPr>
            <w:r>
              <w:rPr>
                <w:rFonts w:hint="eastAsia" w:ascii="宋体" w:hAnsi="宋体" w:cs="宋体"/>
                <w:b/>
                <w:sz w:val="24"/>
              </w:rPr>
              <w:t>服务</w:t>
            </w:r>
          </w:p>
          <w:p>
            <w:pPr>
              <w:spacing w:line="320" w:lineRule="exact"/>
              <w:jc w:val="center"/>
              <w:rPr>
                <w:rFonts w:ascii="宋体" w:hAnsi="宋体" w:cs="宋体"/>
                <w:b/>
                <w:sz w:val="24"/>
              </w:rPr>
            </w:pPr>
            <w:r>
              <w:rPr>
                <w:rFonts w:hint="eastAsia" w:ascii="宋体" w:hAnsi="宋体" w:cs="宋体"/>
                <w:b/>
                <w:sz w:val="24"/>
              </w:rPr>
              <w:t>类别</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b/>
                <w:sz w:val="24"/>
              </w:rPr>
            </w:pPr>
            <w:r>
              <w:rPr>
                <w:rFonts w:hint="eastAsia" w:ascii="宋体" w:hAnsi="宋体" w:cs="宋体"/>
                <w:b/>
                <w:sz w:val="24"/>
              </w:rPr>
              <w:t>服务子类</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b/>
                <w:sz w:val="24"/>
              </w:rPr>
            </w:pPr>
            <w:r>
              <w:rPr>
                <w:rFonts w:hint="eastAsia" w:ascii="宋体" w:hAnsi="宋体" w:cs="宋体"/>
                <w:b/>
                <w:sz w:val="24"/>
              </w:rPr>
              <w:t>服务项</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b/>
                <w:sz w:val="24"/>
              </w:rPr>
            </w:pPr>
            <w:r>
              <w:rPr>
                <w:rFonts w:hint="eastAsia" w:ascii="宋体" w:hAnsi="宋体" w:cs="宋体"/>
                <w:b/>
                <w:sz w:val="24"/>
              </w:rPr>
              <w:t>单位</w:t>
            </w:r>
          </w:p>
        </w:tc>
        <w:tc>
          <w:tcPr>
            <w:tcW w:w="936"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b/>
                <w:sz w:val="24"/>
              </w:rPr>
            </w:pPr>
            <w:r>
              <w:rPr>
                <w:rFonts w:hint="eastAsia" w:ascii="宋体" w:hAnsi="宋体" w:cs="宋体"/>
                <w:b/>
                <w:sz w:val="24"/>
              </w:rPr>
              <w:t>数量</w:t>
            </w:r>
          </w:p>
        </w:tc>
      </w:tr>
      <w:tr>
        <w:tblPrEx>
          <w:tblCellMar>
            <w:top w:w="0" w:type="dxa"/>
            <w:left w:w="108" w:type="dxa"/>
            <w:bottom w:w="0" w:type="dxa"/>
            <w:right w:w="108" w:type="dxa"/>
          </w:tblCellMar>
        </w:tblPrEx>
        <w:trPr>
          <w:trHeight w:val="280"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r>
              <w:rPr>
                <w:rFonts w:hint="eastAsia" w:ascii="宋体" w:hAnsi="宋体" w:cs="宋体"/>
                <w:sz w:val="24"/>
              </w:rPr>
              <w:t>计算</w:t>
            </w:r>
          </w:p>
          <w:p>
            <w:pPr>
              <w:spacing w:line="320" w:lineRule="exact"/>
              <w:jc w:val="center"/>
              <w:rPr>
                <w:rFonts w:ascii="宋体" w:hAnsi="宋体" w:cs="宋体"/>
                <w:sz w:val="24"/>
              </w:rPr>
            </w:pPr>
            <w:r>
              <w:rPr>
                <w:rFonts w:hint="eastAsia" w:ascii="宋体" w:hAnsi="宋体" w:cs="宋体"/>
                <w:sz w:val="24"/>
              </w:rPr>
              <w:t>服务</w:t>
            </w:r>
          </w:p>
        </w:tc>
        <w:tc>
          <w:tcPr>
            <w:tcW w:w="83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云主机服务</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CPU（主频不低于2.6GHz）</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1CPU</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1392</w:t>
            </w:r>
          </w:p>
        </w:tc>
      </w:tr>
      <w:tr>
        <w:tblPrEx>
          <w:tblCellMar>
            <w:top w:w="0" w:type="dxa"/>
            <w:left w:w="108" w:type="dxa"/>
            <w:bottom w:w="0" w:type="dxa"/>
            <w:right w:w="108" w:type="dxa"/>
          </w:tblCellMar>
        </w:tblPrEx>
        <w:trPr>
          <w:trHeight w:val="28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内存</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1GB</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3440</w:t>
            </w:r>
          </w:p>
        </w:tc>
      </w:tr>
      <w:tr>
        <w:tblPrEx>
          <w:tblCellMar>
            <w:top w:w="0" w:type="dxa"/>
            <w:left w:w="108" w:type="dxa"/>
            <w:bottom w:w="0" w:type="dxa"/>
            <w:right w:w="108" w:type="dxa"/>
          </w:tblCellMar>
        </w:tblPrEx>
        <w:trPr>
          <w:trHeight w:val="84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物理服务器租用服务</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物理服务器租用</w:t>
            </w:r>
          </w:p>
          <w:p>
            <w:pPr>
              <w:pStyle w:val="2"/>
              <w:numPr>
                <w:ilvl w:val="0"/>
                <w:numId w:val="0"/>
              </w:numPr>
              <w:adjustRightInd w:val="0"/>
              <w:spacing w:line="320" w:lineRule="exact"/>
              <w:textAlignment w:val="baseline"/>
              <w:rPr>
                <w:rFonts w:ascii="宋体" w:hAnsi="宋体" w:cs="宋体"/>
                <w:sz w:val="24"/>
              </w:rPr>
            </w:pPr>
            <w:r>
              <w:rPr>
                <w:rFonts w:ascii="宋体" w:hAnsi="宋体" w:cs="宋体"/>
                <w:sz w:val="24"/>
                <w:lang w:val="en-US"/>
              </w:rPr>
              <w:t>配置：CPU（不低于2.2GHz、10-core）*2颗；</w:t>
            </w:r>
            <w:r>
              <w:rPr>
                <w:rFonts w:hint="eastAsia" w:ascii="宋体" w:hAnsi="宋体" w:cs="宋体"/>
                <w:sz w:val="24"/>
                <w:lang w:val="en-US" w:eastAsia="zh-CN"/>
              </w:rPr>
              <w:t>不低于</w:t>
            </w:r>
            <w:r>
              <w:rPr>
                <w:rFonts w:ascii="宋体" w:hAnsi="宋体" w:cs="宋体"/>
                <w:sz w:val="24"/>
                <w:lang w:val="en-US"/>
              </w:rPr>
              <w:t>8*32G（2400MT/s-2Rank(2G*4bit)-1.2V-ECC）内存；配置25*1200GB SAS盘（12Gb/s-10K rpm-128MB）、2*600GB SAS盘（12Gb/s-10K rpm-128MB）配置2.5英寸托架；配置不少于2*GE 电口+2*10GE光口,1*SR430C-M 1G(LSI3108) SAS/SATA RAID卡-RAID0,1,5,6,10,50,60-12Gb/s-1GB Cache；</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16</w:t>
            </w:r>
          </w:p>
        </w:tc>
      </w:tr>
      <w:tr>
        <w:tblPrEx>
          <w:tblCellMar>
            <w:top w:w="0" w:type="dxa"/>
            <w:left w:w="108" w:type="dxa"/>
            <w:bottom w:w="0" w:type="dxa"/>
            <w:right w:w="108" w:type="dxa"/>
          </w:tblCellMar>
        </w:tblPrEx>
        <w:trPr>
          <w:trHeight w:val="560"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r>
              <w:rPr>
                <w:rFonts w:hint="eastAsia" w:ascii="宋体" w:hAnsi="宋体" w:cs="宋体"/>
                <w:sz w:val="24"/>
              </w:rPr>
              <w:t>存储</w:t>
            </w:r>
          </w:p>
          <w:p>
            <w:pPr>
              <w:spacing w:line="320" w:lineRule="exact"/>
              <w:jc w:val="center"/>
              <w:rPr>
                <w:rFonts w:ascii="宋体" w:hAnsi="宋体" w:cs="宋体"/>
                <w:sz w:val="24"/>
              </w:rPr>
            </w:pPr>
            <w:r>
              <w:rPr>
                <w:rFonts w:hint="eastAsia" w:ascii="宋体" w:hAnsi="宋体" w:cs="宋体"/>
                <w:sz w:val="24"/>
              </w:rPr>
              <w:t>服务</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普通性能存储</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普通存储（单盘技术指标：单盘IOPS 1000-3000）</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1GB</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309874</w:t>
            </w:r>
          </w:p>
        </w:tc>
      </w:tr>
      <w:tr>
        <w:tblPrEx>
          <w:tblCellMar>
            <w:top w:w="0" w:type="dxa"/>
            <w:left w:w="108" w:type="dxa"/>
            <w:bottom w:w="0" w:type="dxa"/>
            <w:right w:w="108" w:type="dxa"/>
          </w:tblCellMar>
        </w:tblPrEx>
        <w:trPr>
          <w:trHeight w:val="56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高性能存储</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高性能存储（单盘技术指标：单盘IOPS 3000-20000）</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1GB</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20627</w:t>
            </w:r>
          </w:p>
        </w:tc>
      </w:tr>
      <w:tr>
        <w:tblPrEx>
          <w:tblCellMar>
            <w:top w:w="0" w:type="dxa"/>
            <w:left w:w="108" w:type="dxa"/>
            <w:bottom w:w="0" w:type="dxa"/>
            <w:right w:w="108" w:type="dxa"/>
          </w:tblCellMar>
        </w:tblPrEx>
        <w:trPr>
          <w:trHeight w:val="60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备份服务</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通过备份策略实现文件、操作系统、数据库备份（不包含备份存储空间费用）</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1GB</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15772</w:t>
            </w:r>
          </w:p>
        </w:tc>
      </w:tr>
      <w:tr>
        <w:tblPrEx>
          <w:tblCellMar>
            <w:top w:w="0" w:type="dxa"/>
            <w:left w:w="108" w:type="dxa"/>
            <w:bottom w:w="0" w:type="dxa"/>
            <w:right w:w="108" w:type="dxa"/>
          </w:tblCellMar>
        </w:tblPrEx>
        <w:trPr>
          <w:trHeight w:val="280" w:hRule="atLeas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r>
              <w:rPr>
                <w:rFonts w:hint="eastAsia" w:ascii="宋体" w:hAnsi="宋体" w:cs="宋体"/>
                <w:sz w:val="24"/>
              </w:rPr>
              <w:t>网络</w:t>
            </w:r>
          </w:p>
          <w:p>
            <w:pPr>
              <w:spacing w:line="320" w:lineRule="exact"/>
              <w:jc w:val="center"/>
              <w:rPr>
                <w:rFonts w:ascii="宋体" w:hAnsi="宋体" w:cs="宋体"/>
                <w:sz w:val="24"/>
              </w:rPr>
            </w:pPr>
            <w:r>
              <w:rPr>
                <w:rFonts w:hint="eastAsia" w:ascii="宋体" w:hAnsi="宋体" w:cs="宋体"/>
                <w:sz w:val="24"/>
              </w:rPr>
              <w:t>服务</w:t>
            </w:r>
          </w:p>
        </w:tc>
        <w:tc>
          <w:tcPr>
            <w:tcW w:w="83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互联网链路服务</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互联网链路带宽</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1Mb</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1100</w:t>
            </w:r>
          </w:p>
        </w:tc>
      </w:tr>
      <w:tr>
        <w:tblPrEx>
          <w:tblCellMar>
            <w:top w:w="0" w:type="dxa"/>
            <w:left w:w="108" w:type="dxa"/>
            <w:bottom w:w="0" w:type="dxa"/>
            <w:right w:w="108" w:type="dxa"/>
          </w:tblCellMar>
        </w:tblPrEx>
        <w:trPr>
          <w:trHeight w:val="28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互联网IP地址租用服务，并提供备案服务</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1IP</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18</w:t>
            </w:r>
          </w:p>
        </w:tc>
      </w:tr>
      <w:tr>
        <w:tblPrEx>
          <w:tblCellMar>
            <w:top w:w="0" w:type="dxa"/>
            <w:left w:w="108" w:type="dxa"/>
            <w:bottom w:w="0" w:type="dxa"/>
            <w:right w:w="108" w:type="dxa"/>
          </w:tblCellMar>
        </w:tblPrEx>
        <w:trPr>
          <w:trHeight w:val="56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主机负载均衡服务</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主机负载均衡服务</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1IP（内网）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2</w:t>
            </w:r>
          </w:p>
        </w:tc>
      </w:tr>
      <w:tr>
        <w:tblPrEx>
          <w:tblCellMar>
            <w:top w:w="0" w:type="dxa"/>
            <w:left w:w="108" w:type="dxa"/>
            <w:bottom w:w="0" w:type="dxa"/>
            <w:right w:w="108" w:type="dxa"/>
          </w:tblCellMar>
        </w:tblPrEx>
        <w:trPr>
          <w:trHeight w:val="28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远程接入服务</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远程接入运维</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1账号</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16</w:t>
            </w:r>
          </w:p>
        </w:tc>
      </w:tr>
      <w:tr>
        <w:tblPrEx>
          <w:tblCellMar>
            <w:top w:w="0" w:type="dxa"/>
            <w:left w:w="108" w:type="dxa"/>
            <w:bottom w:w="0" w:type="dxa"/>
            <w:right w:w="108" w:type="dxa"/>
          </w:tblCellMar>
        </w:tblPrEx>
        <w:trPr>
          <w:trHeight w:val="28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VPN服务</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SSL VPN接入</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56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WAF防护</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web应用防火墙服务</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1IP（互联网）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18</w:t>
            </w:r>
          </w:p>
        </w:tc>
      </w:tr>
      <w:tr>
        <w:tblPrEx>
          <w:tblCellMar>
            <w:top w:w="0" w:type="dxa"/>
            <w:left w:w="108" w:type="dxa"/>
            <w:bottom w:w="0" w:type="dxa"/>
            <w:right w:w="108" w:type="dxa"/>
          </w:tblCellMar>
        </w:tblPrEx>
        <w:trPr>
          <w:trHeight w:val="560"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云主机深度监控服务</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特定云主机深度监控及运维保障服务（7*24小时值守）</w:t>
            </w:r>
          </w:p>
        </w:tc>
        <w:tc>
          <w:tcPr>
            <w:tcW w:w="5177"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7*24小时深度监控云主机资源、硬件设备监控、云平台应急处置等内容</w:t>
            </w:r>
          </w:p>
        </w:tc>
        <w:tc>
          <w:tcPr>
            <w:tcW w:w="721" w:type="dxa"/>
            <w:tcBorders>
              <w:top w:val="single" w:color="000000" w:sz="4" w:space="0"/>
              <w:left w:val="single" w:color="000000" w:sz="4" w:space="0"/>
              <w:bottom w:val="single" w:color="000000" w:sz="4" w:space="0"/>
              <w:right w:val="single" w:color="000000" w:sz="4" w:space="0"/>
            </w:tcBorders>
            <w:vAlign w:val="center"/>
          </w:tcPr>
          <w:p>
            <w:pPr>
              <w:adjustRightInd w:val="0"/>
              <w:spacing w:line="320" w:lineRule="exact"/>
              <w:textAlignment w:val="baseline"/>
              <w:rPr>
                <w:rFonts w:ascii="宋体" w:hAnsi="宋体" w:cs="宋体"/>
                <w:sz w:val="24"/>
              </w:rPr>
            </w:pPr>
            <w:r>
              <w:rPr>
                <w:rFonts w:hint="eastAsia" w:ascii="宋体" w:hAnsi="宋体" w:cs="宋体"/>
                <w:sz w:val="24"/>
              </w:rPr>
              <w:t>1主机</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20" w:lineRule="exact"/>
              <w:jc w:val="center"/>
              <w:textAlignment w:val="baseline"/>
              <w:rPr>
                <w:rFonts w:ascii="宋体" w:hAnsi="宋体" w:cs="宋体"/>
                <w:sz w:val="24"/>
              </w:rPr>
            </w:pPr>
            <w:r>
              <w:rPr>
                <w:rFonts w:hint="eastAsia" w:ascii="宋体" w:hAnsi="宋体" w:cs="宋体"/>
                <w:sz w:val="24"/>
              </w:rPr>
              <w:t>92</w:t>
            </w:r>
          </w:p>
        </w:tc>
      </w:tr>
    </w:tbl>
    <w:p>
      <w:pPr>
        <w:adjustRightInd w:val="0"/>
        <w:spacing w:line="400" w:lineRule="exact"/>
        <w:ind w:firstLine="480" w:firstLineChars="200"/>
        <w:textAlignment w:val="baseline"/>
        <w:rPr>
          <w:rFonts w:ascii="宋体" w:hAnsi="宋体" w:cs="宋体"/>
          <w:sz w:val="24"/>
          <w:lang w:val="zh-CN"/>
        </w:rPr>
      </w:pPr>
      <w:r>
        <w:rPr>
          <w:rFonts w:hint="eastAsia" w:ascii="宋体" w:hAnsi="宋体" w:cs="宋体"/>
          <w:sz w:val="24"/>
          <w:lang w:val="zh-CN"/>
        </w:rPr>
        <w:t>2.扩展服务</w:t>
      </w:r>
    </w:p>
    <w:tbl>
      <w:tblPr>
        <w:tblStyle w:val="45"/>
        <w:tblW w:w="0" w:type="auto"/>
        <w:tblInd w:w="98" w:type="dxa"/>
        <w:tblLayout w:type="autofit"/>
        <w:tblCellMar>
          <w:top w:w="0" w:type="dxa"/>
          <w:left w:w="108" w:type="dxa"/>
          <w:bottom w:w="0" w:type="dxa"/>
          <w:right w:w="108" w:type="dxa"/>
        </w:tblCellMar>
      </w:tblPr>
      <w:tblGrid>
        <w:gridCol w:w="2086"/>
        <w:gridCol w:w="2067"/>
        <w:gridCol w:w="2067"/>
        <w:gridCol w:w="1110"/>
        <w:gridCol w:w="1099"/>
      </w:tblGrid>
      <w:tr>
        <w:tblPrEx>
          <w:tblCellMar>
            <w:top w:w="0" w:type="dxa"/>
            <w:left w:w="108" w:type="dxa"/>
            <w:bottom w:w="0" w:type="dxa"/>
            <w:right w:w="108" w:type="dxa"/>
          </w:tblCellMar>
        </w:tblPrEx>
        <w:trPr>
          <w:trHeight w:val="648" w:hRule="atLeast"/>
        </w:trPr>
        <w:tc>
          <w:tcPr>
            <w:tcW w:w="2137"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b/>
                <w:sz w:val="24"/>
              </w:rPr>
            </w:pPr>
            <w:r>
              <w:rPr>
                <w:rFonts w:hint="eastAsia" w:ascii="宋体" w:hAnsi="宋体" w:cs="宋体"/>
                <w:b/>
                <w:sz w:val="24"/>
              </w:rPr>
              <w:t>服务类别</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b/>
                <w:sz w:val="24"/>
              </w:rPr>
            </w:pPr>
            <w:r>
              <w:rPr>
                <w:rFonts w:hint="eastAsia" w:ascii="宋体" w:hAnsi="宋体" w:cs="宋体"/>
                <w:b/>
                <w:sz w:val="24"/>
              </w:rPr>
              <w:t>服务子类</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b/>
                <w:sz w:val="24"/>
              </w:rPr>
            </w:pPr>
            <w:r>
              <w:rPr>
                <w:rFonts w:hint="eastAsia" w:ascii="宋体" w:hAnsi="宋体" w:cs="宋体"/>
                <w:b/>
                <w:sz w:val="24"/>
              </w:rPr>
              <w:t>服务项</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b/>
                <w:sz w:val="24"/>
              </w:rPr>
            </w:pPr>
            <w:r>
              <w:rPr>
                <w:rFonts w:hint="eastAsia" w:ascii="宋体" w:hAnsi="宋体" w:cs="宋体"/>
                <w:b/>
                <w:sz w:val="24"/>
              </w:rPr>
              <w:t>单位</w:t>
            </w:r>
          </w:p>
        </w:tc>
        <w:tc>
          <w:tcPr>
            <w:tcW w:w="1099"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b/>
                <w:sz w:val="24"/>
              </w:rPr>
            </w:pPr>
            <w:r>
              <w:rPr>
                <w:rFonts w:hint="eastAsia" w:ascii="宋体" w:hAnsi="宋体" w:cs="宋体"/>
                <w:b/>
                <w:sz w:val="24"/>
              </w:rPr>
              <w:t>数量</w:t>
            </w:r>
          </w:p>
        </w:tc>
      </w:tr>
      <w:tr>
        <w:tblPrEx>
          <w:tblCellMar>
            <w:top w:w="0" w:type="dxa"/>
            <w:left w:w="108" w:type="dxa"/>
            <w:bottom w:w="0" w:type="dxa"/>
            <w:right w:w="108" w:type="dxa"/>
          </w:tblCellMar>
        </w:tblPrEx>
        <w:trPr>
          <w:trHeight w:val="300" w:hRule="atLeast"/>
        </w:trPr>
        <w:tc>
          <w:tcPr>
            <w:tcW w:w="213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安全服务</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主机杀毒服务</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主机杀毒服务</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1台</w:t>
            </w:r>
          </w:p>
        </w:tc>
        <w:tc>
          <w:tcPr>
            <w:tcW w:w="109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92</w:t>
            </w:r>
          </w:p>
        </w:tc>
      </w:tr>
      <w:tr>
        <w:tblPrEx>
          <w:tblCellMar>
            <w:top w:w="0" w:type="dxa"/>
            <w:left w:w="108" w:type="dxa"/>
            <w:bottom w:w="0" w:type="dxa"/>
            <w:right w:w="108" w:type="dxa"/>
          </w:tblCellMar>
        </w:tblPrEx>
        <w:trPr>
          <w:trHeight w:val="300" w:hRule="atLeast"/>
        </w:trPr>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主机防护</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主机防护</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1台</w:t>
            </w:r>
          </w:p>
        </w:tc>
        <w:tc>
          <w:tcPr>
            <w:tcW w:w="109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92</w:t>
            </w:r>
          </w:p>
        </w:tc>
      </w:tr>
      <w:tr>
        <w:tblPrEx>
          <w:tblCellMar>
            <w:top w:w="0" w:type="dxa"/>
            <w:left w:w="108" w:type="dxa"/>
            <w:bottom w:w="0" w:type="dxa"/>
            <w:right w:w="108" w:type="dxa"/>
          </w:tblCellMar>
        </w:tblPrEx>
        <w:trPr>
          <w:trHeight w:val="300" w:hRule="atLeast"/>
        </w:trPr>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主机安全加固</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主机安全加固</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1台</w:t>
            </w:r>
          </w:p>
        </w:tc>
        <w:tc>
          <w:tcPr>
            <w:tcW w:w="109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184</w:t>
            </w:r>
          </w:p>
        </w:tc>
      </w:tr>
      <w:tr>
        <w:tblPrEx>
          <w:tblCellMar>
            <w:top w:w="0" w:type="dxa"/>
            <w:left w:w="108" w:type="dxa"/>
            <w:bottom w:w="0" w:type="dxa"/>
            <w:right w:w="108" w:type="dxa"/>
          </w:tblCellMar>
        </w:tblPrEx>
        <w:trPr>
          <w:trHeight w:val="280" w:hRule="atLeast"/>
        </w:trPr>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网页防篡改服务</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网页防篡改服务</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1监控点</w:t>
            </w:r>
          </w:p>
        </w:tc>
        <w:tc>
          <w:tcPr>
            <w:tcW w:w="109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18</w:t>
            </w:r>
          </w:p>
        </w:tc>
      </w:tr>
      <w:tr>
        <w:tblPrEx>
          <w:tblCellMar>
            <w:top w:w="0" w:type="dxa"/>
            <w:left w:w="108" w:type="dxa"/>
            <w:bottom w:w="0" w:type="dxa"/>
            <w:right w:w="108" w:type="dxa"/>
          </w:tblCellMar>
        </w:tblPrEx>
        <w:trPr>
          <w:trHeight w:val="280" w:hRule="atLeast"/>
        </w:trPr>
        <w:tc>
          <w:tcPr>
            <w:tcW w:w="213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安全检测监测、审计服务</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主机漏洞扫描</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主机漏洞扫描</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1台</w:t>
            </w:r>
          </w:p>
        </w:tc>
        <w:tc>
          <w:tcPr>
            <w:tcW w:w="109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184</w:t>
            </w:r>
          </w:p>
        </w:tc>
      </w:tr>
      <w:tr>
        <w:tblPrEx>
          <w:tblCellMar>
            <w:top w:w="0" w:type="dxa"/>
            <w:left w:w="108" w:type="dxa"/>
            <w:bottom w:w="0" w:type="dxa"/>
            <w:right w:w="108" w:type="dxa"/>
          </w:tblCellMar>
        </w:tblPrEx>
        <w:trPr>
          <w:trHeight w:val="280" w:hRule="atLeast"/>
        </w:trPr>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textAlignment w:val="baseline"/>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主机日志分析</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主机日志分析</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1台</w:t>
            </w:r>
          </w:p>
        </w:tc>
        <w:tc>
          <w:tcPr>
            <w:tcW w:w="109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184</w:t>
            </w:r>
          </w:p>
        </w:tc>
      </w:tr>
      <w:tr>
        <w:tblPrEx>
          <w:tblCellMar>
            <w:top w:w="0" w:type="dxa"/>
            <w:left w:w="108" w:type="dxa"/>
            <w:bottom w:w="0" w:type="dxa"/>
            <w:right w:w="108" w:type="dxa"/>
          </w:tblCellMar>
        </w:tblPrEx>
        <w:trPr>
          <w:trHeight w:val="300" w:hRule="atLeast"/>
        </w:trPr>
        <w:tc>
          <w:tcPr>
            <w:tcW w:w="213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textAlignment w:val="baseline"/>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数据库审计服务</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数据库审计服务</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1套</w:t>
            </w:r>
          </w:p>
        </w:tc>
        <w:tc>
          <w:tcPr>
            <w:tcW w:w="109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400" w:lineRule="exact"/>
              <w:jc w:val="center"/>
              <w:textAlignment w:val="baseline"/>
              <w:rPr>
                <w:rFonts w:ascii="宋体" w:hAnsi="宋体" w:cs="宋体"/>
                <w:sz w:val="24"/>
              </w:rPr>
            </w:pPr>
            <w:r>
              <w:rPr>
                <w:rFonts w:hint="eastAsia" w:ascii="宋体" w:hAnsi="宋体" w:cs="宋体"/>
                <w:sz w:val="24"/>
              </w:rPr>
              <w:t>36</w:t>
            </w:r>
          </w:p>
        </w:tc>
      </w:tr>
    </w:tbl>
    <w:p>
      <w:pPr>
        <w:spacing w:line="390" w:lineRule="exact"/>
        <w:ind w:firstLine="480" w:firstLineChars="200"/>
        <w:contextualSpacing/>
        <w:rPr>
          <w:rFonts w:ascii="宋体" w:hAnsi="宋体" w:cs="宋体"/>
          <w:bCs/>
          <w:sz w:val="24"/>
        </w:rPr>
      </w:pPr>
      <w:r>
        <w:rPr>
          <w:rFonts w:hint="eastAsia" w:ascii="宋体" w:hAnsi="宋体" w:cs="宋体"/>
          <w:bCs/>
          <w:sz w:val="24"/>
        </w:rPr>
        <w:t>（二）项目概述</w:t>
      </w:r>
    </w:p>
    <w:p>
      <w:pPr>
        <w:spacing w:line="390" w:lineRule="exact"/>
        <w:ind w:firstLine="480" w:firstLineChars="200"/>
        <w:contextualSpacing/>
        <w:rPr>
          <w:rFonts w:ascii="宋体" w:hAnsi="宋体" w:cs="宋体"/>
          <w:sz w:val="24"/>
        </w:rPr>
      </w:pPr>
      <w:r>
        <w:rPr>
          <w:rFonts w:hint="eastAsia" w:ascii="宋体" w:hAnsi="宋体" w:cs="宋体"/>
          <w:sz w:val="24"/>
        </w:rPr>
        <w:t>1.项目背景</w:t>
      </w:r>
    </w:p>
    <w:p>
      <w:pPr>
        <w:spacing w:line="390" w:lineRule="exact"/>
        <w:ind w:firstLine="482"/>
        <w:contextualSpacing/>
        <w:rPr>
          <w:rFonts w:ascii="宋体" w:hAnsi="宋体" w:cs="宋体"/>
          <w:sz w:val="24"/>
        </w:rPr>
      </w:pPr>
      <w:r>
        <w:rPr>
          <w:rFonts w:hint="eastAsia" w:ascii="宋体" w:hAnsi="宋体" w:cs="宋体"/>
          <w:sz w:val="24"/>
        </w:rPr>
        <w:t>参照《北京市市级政务云管理办法》（京经信委函〔2019〕150号）和《北京市市级政务云服务指南》等相关法律法规以及政策文件要求，政务云按照“统筹规划、适度超前、分级管理、资源共享”的原则建设和管理，除公安、国家安全等部门以及涉密和信息安全等级保护四级（含）以上信息系统外，各单位现有信息系统应逐步迁移至政务云，凡政务云已具备服务能力的，软硬件原则上不再新购。</w:t>
      </w:r>
    </w:p>
    <w:p>
      <w:pPr>
        <w:spacing w:line="390" w:lineRule="exact"/>
        <w:ind w:firstLine="482"/>
        <w:contextualSpacing/>
        <w:rPr>
          <w:rFonts w:ascii="宋体" w:hAnsi="宋体" w:cs="宋体"/>
          <w:sz w:val="24"/>
        </w:rPr>
      </w:pPr>
      <w:r>
        <w:rPr>
          <w:rFonts w:hint="eastAsia" w:ascii="宋体" w:hAnsi="宋体" w:cs="宋体"/>
          <w:sz w:val="24"/>
        </w:rPr>
        <w:t>根据区政府指示精神，按照“上云为常态，不上云为意外”原则，各部门上云的业务系统越来越多，需要更多的政务云资源来承载各系统，现急需重新确定投标人，确保各委办局乡镇街道现有业务应用稳定可靠运行，满足各信息系统业务迁移及未来新增上云需求。参考市经信局电子政务云模式，引入企业，采用“企业投资建设，政府购买服务”方式，由企业在延庆区大数据中心（北京市延庆区新城街110号）直线距离不大于20公里的范围和指定的时间内完成政务云平台的建设部署。</w:t>
      </w:r>
    </w:p>
    <w:p>
      <w:pPr>
        <w:spacing w:line="390" w:lineRule="exact"/>
        <w:ind w:firstLine="480" w:firstLineChars="200"/>
        <w:contextualSpacing/>
        <w:rPr>
          <w:rFonts w:ascii="宋体" w:hAnsi="宋体" w:cs="宋体"/>
          <w:sz w:val="24"/>
        </w:rPr>
      </w:pPr>
      <w:r>
        <w:rPr>
          <w:rFonts w:hint="eastAsia" w:ascii="宋体" w:hAnsi="宋体" w:cs="宋体"/>
          <w:sz w:val="24"/>
        </w:rPr>
        <w:t>2.延庆区政务云总体规划</w:t>
      </w:r>
    </w:p>
    <w:p>
      <w:pPr>
        <w:spacing w:line="390" w:lineRule="exact"/>
        <w:ind w:firstLine="482"/>
        <w:contextualSpacing/>
        <w:rPr>
          <w:rFonts w:ascii="宋体" w:hAnsi="宋体" w:cs="宋体"/>
          <w:sz w:val="24"/>
        </w:rPr>
      </w:pPr>
      <w:r>
        <w:rPr>
          <w:rFonts w:hint="eastAsia" w:ascii="宋体" w:hAnsi="宋体" w:cs="宋体"/>
          <w:sz w:val="24"/>
        </w:rPr>
        <w:t>延庆区政务云平台（以下政务云平台）是支撑延庆区各委办局乡镇街道非涉密电子政务系统运行的云计算平台，由延庆区经济和信息化局、延庆区大数据中心统筹规划和管理，统一面向区属行政事业等单位提供云计算、网络、云平台安全及相关配套服务。</w:t>
      </w:r>
    </w:p>
    <w:p>
      <w:pPr>
        <w:spacing w:line="390" w:lineRule="exact"/>
        <w:ind w:firstLine="482"/>
        <w:contextualSpacing/>
        <w:rPr>
          <w:rFonts w:ascii="宋体" w:hAnsi="宋体" w:cs="宋体"/>
          <w:sz w:val="24"/>
        </w:rPr>
      </w:pPr>
      <w:r>
        <w:rPr>
          <w:rFonts w:hint="eastAsia" w:ascii="宋体" w:hAnsi="宋体" w:cs="宋体"/>
          <w:sz w:val="24"/>
        </w:rPr>
        <w:t>延庆区目前的政务云均构建在以X86架构和MySQL数据库为基础的国外技术体系上，无法满足国产政务应用部署需求。延庆区政务云规划中明确提出“探索自主创新、高可靠的国产政务云服务环境，力争为全区提供一流的国产政务云服务，探索国产软件应用示范，逐步推动政务信息系统适配开发、改造与迁移”。通过对延庆区现有政务云资源整合优化，实现从底层到上层全栈国产化升级改造，整体提升延庆区政务云服务能力和自主创新能力，满足延庆区政府应用系统的国产化资源部署需求，同时能够满足延庆区未来国产化场景应用的环境适配和性能测试验证服务。</w:t>
      </w:r>
    </w:p>
    <w:p>
      <w:pPr>
        <w:spacing w:line="390" w:lineRule="exact"/>
        <w:ind w:firstLine="482"/>
        <w:contextualSpacing/>
        <w:rPr>
          <w:rFonts w:ascii="宋体" w:hAnsi="宋体" w:cs="宋体"/>
          <w:sz w:val="24"/>
        </w:rPr>
      </w:pPr>
      <w:r>
        <w:rPr>
          <w:rFonts w:hint="eastAsia" w:ascii="宋体" w:hAnsi="宋体" w:cs="宋体"/>
          <w:sz w:val="24"/>
        </w:rPr>
        <w:t>政务云平台同时也是延庆区政府大数据发展的技术基础、新基建建设重点工作内容，在政务数据汇聚、融合和公开等方面发挥着极大的保障作用。政务云平台急需探索完善提升云计算大数据中心服务支撑能力，强化数据资源分析处理和应用，推动跨部门信息共享和业务协同。</w:t>
      </w:r>
    </w:p>
    <w:p>
      <w:pPr>
        <w:spacing w:line="390" w:lineRule="exact"/>
        <w:ind w:firstLine="480" w:firstLineChars="200"/>
        <w:contextualSpacing/>
        <w:rPr>
          <w:rFonts w:ascii="宋体" w:hAnsi="宋体" w:cs="宋体"/>
          <w:sz w:val="24"/>
        </w:rPr>
      </w:pPr>
      <w:r>
        <w:rPr>
          <w:rFonts w:hint="eastAsia" w:ascii="宋体" w:hAnsi="宋体" w:cs="宋体"/>
          <w:sz w:val="24"/>
        </w:rPr>
        <w:t>3.延庆区政务云平台总体需求</w:t>
      </w:r>
    </w:p>
    <w:p>
      <w:pPr>
        <w:spacing w:line="390" w:lineRule="exact"/>
        <w:ind w:firstLine="480" w:firstLineChars="200"/>
        <w:contextualSpacing/>
        <w:rPr>
          <w:rFonts w:ascii="宋体" w:hAnsi="宋体" w:cs="宋体"/>
          <w:sz w:val="24"/>
        </w:rPr>
      </w:pPr>
      <w:r>
        <w:rPr>
          <w:rFonts w:hint="eastAsia" w:ascii="宋体" w:hAnsi="宋体" w:cs="宋体"/>
          <w:sz w:val="24"/>
        </w:rPr>
        <w:t>本次延庆区国产化政务云平台需求分为政务外网区、互联网区，为满足延庆区的自主可控云基础设施需求，参照北京市政务云模式通过购买云服务的方式，打造自主可控的国产政务云基础设施，为延庆区各类政务应用提供具备云计算、支撑服务能力的国产政务云环境，满足延庆区各单位信息化系统上云需求，提升政务公共服务能力。</w:t>
      </w:r>
    </w:p>
    <w:p>
      <w:pPr>
        <w:spacing w:line="390" w:lineRule="exact"/>
        <w:ind w:firstLine="480" w:firstLineChars="200"/>
        <w:contextualSpacing/>
        <w:rPr>
          <w:rFonts w:ascii="宋体" w:hAnsi="宋体" w:cs="宋体"/>
          <w:sz w:val="24"/>
        </w:rPr>
      </w:pPr>
      <w:r>
        <w:rPr>
          <w:rFonts w:hint="eastAsia" w:ascii="宋体" w:hAnsi="宋体" w:cs="宋体"/>
          <w:sz w:val="24"/>
        </w:rPr>
        <w:t>平台提供以下服务：云主机服务、网络服务、存储服务及配套安全服务，且国产平台应满足日后对于产品的升级要求。</w:t>
      </w:r>
    </w:p>
    <w:p>
      <w:pPr>
        <w:pStyle w:val="75"/>
        <w:spacing w:line="390" w:lineRule="exact"/>
        <w:ind w:left="500" w:firstLine="0" w:firstLineChars="0"/>
        <w:contextualSpacing/>
        <w:rPr>
          <w:rFonts w:ascii="黑体" w:hAnsi="黑体" w:eastAsia="黑体" w:cs="宋体"/>
          <w:sz w:val="24"/>
          <w:szCs w:val="24"/>
        </w:rPr>
      </w:pPr>
      <w:r>
        <w:rPr>
          <w:rFonts w:hint="eastAsia" w:ascii="黑体" w:hAnsi="黑体" w:eastAsia="黑体" w:cs="宋体"/>
          <w:sz w:val="24"/>
          <w:szCs w:val="24"/>
        </w:rPr>
        <w:t>二、商务要求</w:t>
      </w:r>
    </w:p>
    <w:p>
      <w:pPr>
        <w:spacing w:line="390" w:lineRule="exact"/>
        <w:ind w:firstLine="480" w:firstLineChars="200"/>
        <w:contextualSpacing/>
        <w:rPr>
          <w:rStyle w:val="54"/>
          <w:rFonts w:ascii="宋体" w:hAnsi="宋体" w:cs="宋体"/>
          <w:sz w:val="24"/>
          <w:szCs w:val="24"/>
        </w:rPr>
      </w:pPr>
      <w:r>
        <w:rPr>
          <w:rFonts w:hint="eastAsia" w:ascii="宋体" w:hAnsi="宋体" w:cs="宋体"/>
          <w:sz w:val="24"/>
        </w:rPr>
        <w:t>（一）实施的时间和地点</w:t>
      </w:r>
    </w:p>
    <w:p>
      <w:pPr>
        <w:spacing w:line="390" w:lineRule="exact"/>
        <w:ind w:firstLine="480" w:firstLineChars="200"/>
        <w:contextualSpacing/>
        <w:rPr>
          <w:rFonts w:ascii="宋体" w:hAnsi="宋体" w:cs="宋体"/>
          <w:sz w:val="24"/>
          <w:lang w:val="zh-CN"/>
        </w:rPr>
      </w:pPr>
      <w:r>
        <w:rPr>
          <w:rFonts w:hint="eastAsia" w:ascii="宋体" w:hAnsi="宋体" w:cs="宋体"/>
          <w:sz w:val="24"/>
          <w:lang w:val="zh-CN"/>
        </w:rPr>
        <w:t>实施时间：</w:t>
      </w:r>
    </w:p>
    <w:p>
      <w:pPr>
        <w:numPr>
          <w:ilvl w:val="0"/>
          <w:numId w:val="12"/>
        </w:numPr>
        <w:spacing w:line="390" w:lineRule="exact"/>
        <w:ind w:firstLine="480" w:firstLineChars="200"/>
        <w:contextualSpacing/>
        <w:rPr>
          <w:rFonts w:ascii="宋体" w:hAnsi="宋体" w:cs="宋体"/>
          <w:sz w:val="24"/>
          <w:lang w:val="zh-CN"/>
        </w:rPr>
      </w:pPr>
      <w:r>
        <w:rPr>
          <w:rFonts w:hint="eastAsia" w:ascii="宋体" w:hAnsi="宋体" w:cs="宋体"/>
          <w:sz w:val="24"/>
          <w:lang w:val="zh-CN"/>
        </w:rPr>
        <w:t>投标人应在合同签订后</w:t>
      </w:r>
      <w:r>
        <w:rPr>
          <w:rFonts w:hint="default" w:ascii="宋体" w:hAnsi="宋体" w:cs="宋体"/>
          <w:sz w:val="24"/>
          <w:lang w:val="en-US"/>
        </w:rPr>
        <w:t>20</w:t>
      </w:r>
      <w:r>
        <w:rPr>
          <w:rFonts w:hint="eastAsia" w:ascii="宋体" w:hAnsi="宋体" w:cs="宋体"/>
          <w:sz w:val="24"/>
          <w:lang w:val="zh-CN"/>
        </w:rPr>
        <w:t>个工作日内完成云平台建设和测试等工作。</w:t>
      </w:r>
    </w:p>
    <w:p>
      <w:pPr>
        <w:numPr>
          <w:ilvl w:val="0"/>
          <w:numId w:val="12"/>
        </w:numPr>
        <w:spacing w:line="390" w:lineRule="exact"/>
        <w:ind w:firstLine="480" w:firstLineChars="200"/>
        <w:contextualSpacing/>
        <w:rPr>
          <w:rFonts w:ascii="宋体" w:hAnsi="宋体" w:cs="宋体"/>
          <w:sz w:val="24"/>
          <w:lang w:val="zh-CN"/>
        </w:rPr>
      </w:pPr>
      <w:r>
        <w:rPr>
          <w:rFonts w:hint="eastAsia" w:ascii="宋体" w:hAnsi="宋体" w:cs="宋体"/>
          <w:sz w:val="24"/>
          <w:lang w:val="zh-CN"/>
        </w:rPr>
        <w:t>投标人在服务期内应根据用户方的扩容需求，可在</w:t>
      </w:r>
      <w:r>
        <w:rPr>
          <w:rFonts w:hint="default" w:ascii="宋体" w:hAnsi="宋体" w:cs="宋体"/>
          <w:sz w:val="24"/>
          <w:lang w:val="en-US"/>
        </w:rPr>
        <w:t>7</w:t>
      </w:r>
      <w:r>
        <w:rPr>
          <w:rFonts w:hint="eastAsia" w:ascii="宋体" w:hAnsi="宋体" w:cs="宋体"/>
          <w:sz w:val="24"/>
          <w:lang w:val="zh-CN"/>
        </w:rPr>
        <w:t>个工作日内完成云平台的资源扩容。</w:t>
      </w:r>
    </w:p>
    <w:p>
      <w:pPr>
        <w:spacing w:line="390" w:lineRule="exact"/>
        <w:ind w:firstLine="480" w:firstLineChars="200"/>
        <w:contextualSpacing/>
        <w:rPr>
          <w:rFonts w:ascii="宋体" w:hAnsi="宋体" w:cs="宋体"/>
          <w:sz w:val="24"/>
          <w:lang w:val="zh-CN"/>
        </w:rPr>
      </w:pPr>
      <w:r>
        <w:rPr>
          <w:rFonts w:hint="eastAsia" w:ascii="宋体" w:hAnsi="宋体" w:cs="宋体"/>
          <w:sz w:val="24"/>
          <w:lang w:val="zh-CN"/>
        </w:rPr>
        <w:t>实施地点：由投标人提供数据中心。</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contextualSpacing/>
        <w:textAlignment w:val="auto"/>
        <w:rPr>
          <w:rFonts w:ascii="宋体" w:hAnsi="宋体" w:cs="宋体"/>
          <w:sz w:val="24"/>
        </w:rPr>
      </w:pPr>
      <w:r>
        <w:rPr>
          <w:rFonts w:hint="eastAsia" w:ascii="宋体" w:hAnsi="宋体" w:cs="宋体"/>
          <w:sz w:val="24"/>
        </w:rPr>
        <w:t>（二）付款条件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rPr>
          <w:rFonts w:ascii="宋体" w:hAnsi="宋体" w:cs="宋体"/>
          <w:sz w:val="24"/>
        </w:rPr>
      </w:pPr>
      <w:r>
        <w:rPr>
          <w:rFonts w:hint="default" w:ascii="宋体" w:hAnsi="宋体" w:eastAsia="宋体" w:cs="宋体"/>
          <w:b w:val="0"/>
          <w:bCs w:val="0"/>
          <w:i w:val="0"/>
          <w:iCs w:val="0"/>
          <w:color w:val="auto"/>
          <w:kern w:val="2"/>
          <w:sz w:val="24"/>
          <w:szCs w:val="24"/>
          <w:highlight w:val="none"/>
          <w:vertAlign w:val="baseline"/>
          <w:lang w:val="en-US" w:eastAsia="zh-CN" w:bidi="ar-SA"/>
        </w:rPr>
        <w:t>2. 付款方式</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rPr>
          <w:rFonts w:ascii="宋体" w:hAnsi="宋体" w:cs="宋体"/>
          <w:sz w:val="24"/>
        </w:rPr>
      </w:pPr>
      <w:r>
        <w:rPr>
          <w:rFonts w:hint="default" w:ascii="宋体" w:hAnsi="宋体" w:eastAsia="宋体" w:cs="宋体"/>
          <w:b w:val="0"/>
          <w:bCs w:val="0"/>
          <w:i w:val="0"/>
          <w:iCs w:val="0"/>
          <w:color w:val="auto"/>
          <w:kern w:val="2"/>
          <w:sz w:val="24"/>
          <w:szCs w:val="24"/>
          <w:highlight w:val="none"/>
          <w:vertAlign w:val="baseline"/>
          <w:lang w:val="en-US" w:eastAsia="zh-CN" w:bidi="ar-SA"/>
        </w:rPr>
        <w:t>甲方将按照分期支付的方式向乙方支付服务费:</w:t>
      </w:r>
      <w:r>
        <w:rPr>
          <w:rFonts w:hint="default" w:ascii="宋体" w:hAnsi="宋体" w:eastAsia="宋体" w:cs="Times New Roman"/>
          <w:b w:val="0"/>
          <w:bCs w:val="0"/>
          <w:i w:val="0"/>
          <w:iCs w:val="0"/>
          <w:color w:val="auto"/>
          <w:kern w:val="2"/>
          <w:sz w:val="24"/>
          <w:szCs w:val="21"/>
          <w:highlight w:val="none"/>
          <w:vertAlign w:val="baseline"/>
          <w:lang w:val="en-US" w:eastAsia="zh-CN" w:bidi="ar-SA"/>
        </w:rPr>
        <w:t>合同签订、财政资金到账之日起20个工作日内且云平台完成建设、测试、具备部署条件后，甲方向乙方支付合同金额的50％，合同期满且最终验收合格后，甲方向乙方支付合同金额的50％。</w:t>
      </w:r>
      <w:r>
        <w:rPr>
          <w:rFonts w:hint="default" w:ascii="宋体" w:hAnsi="宋体" w:eastAsia="宋体" w:cs="宋体"/>
          <w:b w:val="0"/>
          <w:bCs w:val="0"/>
          <w:i w:val="0"/>
          <w:iCs w:val="0"/>
          <w:color w:val="auto"/>
          <w:kern w:val="2"/>
          <w:sz w:val="24"/>
          <w:szCs w:val="24"/>
          <w:highlight w:val="none"/>
          <w:vertAlign w:val="baseline"/>
          <w:lang w:val="en-US" w:eastAsia="zh-CN" w:bidi="ar-SA"/>
        </w:rPr>
        <w:t>付款前15日内乙方应当开具合法、有效的等额发票。否则，甲方有权拒绝付款且无需承担违约责任。</w:t>
      </w:r>
    </w:p>
    <w:p>
      <w:pPr>
        <w:spacing w:line="390" w:lineRule="exact"/>
        <w:ind w:firstLine="480" w:firstLineChars="200"/>
        <w:contextualSpacing/>
        <w:rPr>
          <w:rFonts w:ascii="宋体" w:hAnsi="宋体" w:cs="宋体"/>
          <w:sz w:val="24"/>
        </w:rPr>
      </w:pPr>
      <w:r>
        <w:rPr>
          <w:rFonts w:hint="eastAsia" w:ascii="宋体" w:hAnsi="宋体" w:cs="宋体"/>
          <w:sz w:val="24"/>
        </w:rPr>
        <w:t>（三）售后服务</w:t>
      </w:r>
    </w:p>
    <w:p>
      <w:pPr>
        <w:adjustRightInd w:val="0"/>
        <w:spacing w:line="390" w:lineRule="exact"/>
        <w:ind w:firstLine="480" w:firstLineChars="200"/>
        <w:textAlignment w:val="baseline"/>
        <w:rPr>
          <w:rFonts w:ascii="宋体" w:hAnsi="宋体" w:cs="宋体"/>
          <w:sz w:val="24"/>
        </w:rPr>
      </w:pPr>
      <w:r>
        <w:rPr>
          <w:rFonts w:hint="eastAsia" w:ascii="宋体" w:hAnsi="宋体" w:cs="宋体"/>
          <w:sz w:val="24"/>
        </w:rPr>
        <w:t>1.乙方对云平台进行日常维护和监控，以保证其正常运行。</w:t>
      </w:r>
    </w:p>
    <w:p>
      <w:pPr>
        <w:adjustRightInd w:val="0"/>
        <w:spacing w:line="390" w:lineRule="exact"/>
        <w:ind w:firstLine="480" w:firstLineChars="200"/>
        <w:textAlignment w:val="baseline"/>
        <w:rPr>
          <w:rFonts w:ascii="宋体" w:hAnsi="宋体" w:cs="宋体"/>
          <w:sz w:val="24"/>
        </w:rPr>
      </w:pPr>
      <w:r>
        <w:rPr>
          <w:rFonts w:hint="eastAsia" w:ascii="宋体" w:hAnsi="宋体" w:cs="宋体"/>
          <w:sz w:val="24"/>
        </w:rPr>
        <w:t>2.乙方负责提供网络环境及基础安全服务。</w:t>
      </w:r>
    </w:p>
    <w:p>
      <w:pPr>
        <w:adjustRightInd w:val="0"/>
        <w:spacing w:line="390" w:lineRule="exact"/>
        <w:ind w:firstLine="480" w:firstLineChars="200"/>
        <w:textAlignment w:val="baseline"/>
        <w:rPr>
          <w:rFonts w:ascii="宋体" w:hAnsi="宋体" w:cs="宋体"/>
          <w:sz w:val="24"/>
        </w:rPr>
      </w:pPr>
      <w:r>
        <w:rPr>
          <w:rFonts w:hint="eastAsia" w:ascii="宋体" w:hAnsi="宋体" w:cs="宋体"/>
          <w:sz w:val="24"/>
        </w:rPr>
        <w:t>3.乙方为甲方提供每周7天 × 24小时运维服务及重要节假日保障服务。</w:t>
      </w:r>
    </w:p>
    <w:p>
      <w:pPr>
        <w:spacing w:line="390" w:lineRule="exact"/>
        <w:ind w:firstLine="480" w:firstLineChars="200"/>
        <w:contextualSpacing/>
        <w:rPr>
          <w:rFonts w:ascii="黑体" w:hAnsi="黑体" w:eastAsia="黑体" w:cs="宋体"/>
          <w:sz w:val="24"/>
          <w:highlight w:val="yellow"/>
        </w:rPr>
      </w:pPr>
      <w:r>
        <w:rPr>
          <w:rFonts w:hint="eastAsia" w:ascii="黑体" w:hAnsi="黑体" w:eastAsia="黑体" w:cs="宋体"/>
          <w:sz w:val="24"/>
        </w:rPr>
        <w:t>三、技术要求</w:t>
      </w:r>
    </w:p>
    <w:p>
      <w:pPr>
        <w:spacing w:line="390" w:lineRule="exact"/>
        <w:ind w:firstLine="480" w:firstLineChars="200"/>
        <w:contextualSpacing/>
        <w:rPr>
          <w:rFonts w:ascii="宋体" w:hAnsi="宋体" w:eastAsia="宋体" w:cs="宋体"/>
          <w:sz w:val="24"/>
        </w:rPr>
      </w:pPr>
      <w:r>
        <w:rPr>
          <w:rFonts w:hint="eastAsia" w:ascii="宋体" w:hAnsi="宋体" w:eastAsia="宋体" w:cs="宋体"/>
          <w:sz w:val="24"/>
        </w:rPr>
        <w:t>（一）基本要求</w:t>
      </w:r>
    </w:p>
    <w:p>
      <w:pPr>
        <w:spacing w:line="390" w:lineRule="exact"/>
        <w:ind w:firstLine="482"/>
        <w:contextualSpacing/>
        <w:rPr>
          <w:rFonts w:ascii="宋体" w:hAnsi="宋体" w:cs="宋体"/>
          <w:sz w:val="24"/>
        </w:rPr>
      </w:pPr>
      <w:r>
        <w:rPr>
          <w:rFonts w:hint="eastAsia" w:ascii="宋体" w:hAnsi="宋体" w:cs="宋体"/>
          <w:sz w:val="24"/>
        </w:rPr>
        <w:t>1.总体设计要求</w:t>
      </w:r>
    </w:p>
    <w:p>
      <w:pPr>
        <w:pStyle w:val="16"/>
        <w:spacing w:line="390" w:lineRule="exact"/>
        <w:ind w:firstLine="482"/>
        <w:contextualSpacing/>
        <w:rPr>
          <w:rFonts w:ascii="宋体" w:hAnsi="宋体" w:cs="宋体"/>
          <w:sz w:val="24"/>
        </w:rPr>
      </w:pPr>
      <w:r>
        <w:rPr>
          <w:rFonts w:hint="eastAsia" w:ascii="宋体" w:hAnsi="宋体" w:cs="宋体"/>
          <w:sz w:val="24"/>
          <w:lang w:val="zh-CN"/>
        </w:rPr>
        <w:t>投标人以云平台建设的合理性、进度要求为总约束，合理</w:t>
      </w:r>
      <w:r>
        <w:rPr>
          <w:rFonts w:ascii="宋体" w:hAnsi="宋体" w:cs="宋体"/>
          <w:sz w:val="24"/>
          <w:lang w:val="zh-CN"/>
        </w:rPr>
        <w:t>规划、</w:t>
      </w:r>
      <w:r>
        <w:rPr>
          <w:rFonts w:hint="eastAsia" w:ascii="宋体" w:hAnsi="宋体" w:cs="宋体"/>
          <w:sz w:val="24"/>
          <w:lang w:val="zh-CN"/>
        </w:rPr>
        <w:t>科学组织、编制可行的实施方案，</w:t>
      </w:r>
      <w:r>
        <w:rPr>
          <w:rFonts w:hint="eastAsia" w:ascii="宋体" w:hAnsi="宋体" w:cs="宋体"/>
          <w:sz w:val="24"/>
        </w:rPr>
        <w:t>方案中应包括（但不限于）政务云资源规划方案，安全保障方案，应急保障方案，运维保障方案。</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基础设施服务满足本期政务云平台的计算、存储、网络需求，基础设施服务层通过部署云管理平台，将本期部署的硬件设备（计算设备、存储设备、网络设备）通过云计算技术构筑为计算资源池、存储资源池、网络资源池，为政务应用提供按需获取的资源。</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要保障政务云计算中心的稳定高效运行，除了信息安全保障体系之外还需要一个良好的运维体系，以提供资源管理、调度管理、监控管理等运维功能。</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云服务商根据对延庆区政务云的理解，结次政务云平台的要求，在投标文件中给出实际部署拓扑图。</w:t>
      </w:r>
    </w:p>
    <w:p>
      <w:pPr>
        <w:adjustRightInd w:val="0"/>
        <w:spacing w:line="390" w:lineRule="exact"/>
        <w:ind w:firstLine="480" w:firstLineChars="200"/>
        <w:textAlignment w:val="baseline"/>
        <w:rPr>
          <w:rFonts w:ascii="宋体" w:hAnsi="宋体" w:cs="宋体"/>
          <w:sz w:val="24"/>
        </w:rPr>
      </w:pPr>
      <w:r>
        <w:rPr>
          <w:rFonts w:hint="eastAsia" w:ascii="宋体" w:hAnsi="宋体" w:cs="宋体"/>
          <w:sz w:val="24"/>
        </w:rPr>
        <w:t>2.设计原则要求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要遵循当前业界认可的、先进的技术思想和国际标准，尤其是要遵循国家和北京市电子政务及政务云平台相关标准规范。</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要考虑软硬件支撑环境的先进性，更要考虑系统结构、应用设计和数据结构的可扩展性，以适应后续新开发和新部署系统上云的发展需求。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本次云平台建设是为了承担未来延庆区政府部门上云的系统，这些系统是面向各级延庆区政府部门、项目单位和广大的社会公众提供相关服务的，涉及大量政府信息，要确保此次政务云平台运行的稳定和安全可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投标人应具备完备的安全防护体系和安全防护设备，具有成熟的安全运维方案，应保证各业务应用系统的支撑环境的安全，满足不低于网络安全等级保护（GB/T22239-2019）第三级要求。</w:t>
      </w:r>
    </w:p>
    <w:p>
      <w:pPr>
        <w:spacing w:line="390" w:lineRule="exact"/>
        <w:ind w:firstLine="480" w:firstLineChars="200"/>
        <w:contextualSpacing/>
        <w:rPr>
          <w:rFonts w:ascii="宋体" w:hAnsi="宋体" w:cs="宋体"/>
          <w:sz w:val="24"/>
        </w:rPr>
      </w:pPr>
      <w:r>
        <w:rPr>
          <w:rFonts w:hint="eastAsia" w:ascii="宋体" w:hAnsi="宋体" w:cs="宋体"/>
          <w:sz w:val="24"/>
        </w:rPr>
        <w:t>（二）服务内容及要求</w:t>
      </w:r>
    </w:p>
    <w:p>
      <w:pPr>
        <w:widowControl/>
        <w:spacing w:line="390" w:lineRule="exact"/>
        <w:ind w:firstLine="480" w:firstLineChars="200"/>
        <w:contextualSpacing/>
        <w:rPr>
          <w:rFonts w:ascii="宋体" w:hAnsi="宋体" w:cs="宋体"/>
          <w:sz w:val="24"/>
          <w:lang w:val="zh-CN"/>
        </w:rPr>
      </w:pPr>
      <w:r>
        <w:rPr>
          <w:rFonts w:hint="eastAsia" w:ascii="宋体" w:hAnsi="宋体" w:cs="宋体"/>
          <w:sz w:val="24"/>
          <w:lang w:val="zh-CN"/>
        </w:rPr>
        <w:t>1.技术指标要求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1.1总体技术要求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本次采购基于国产技术架构的政务云平台服务，政务云</w:t>
      </w:r>
      <w:r>
        <w:rPr>
          <w:rFonts w:hint="eastAsia" w:ascii="宋体" w:hAnsi="宋体" w:cs="宋体"/>
          <w:sz w:val="24"/>
        </w:rPr>
        <w:t>平台建设所涉及的服务器、网络设备、安全设备及其它软、硬件均须国产化</w:t>
      </w:r>
      <w:r>
        <w:rPr>
          <w:rFonts w:hint="eastAsia" w:ascii="宋体" w:hAnsi="宋体" w:cs="宋体"/>
          <w:sz w:val="24"/>
          <w:lang w:val="zh-CN"/>
        </w:rPr>
        <w:t>，为</w:t>
      </w:r>
      <w:r>
        <w:rPr>
          <w:rFonts w:hint="eastAsia" w:ascii="宋体" w:hAnsi="宋体" w:cs="宋体"/>
          <w:sz w:val="24"/>
        </w:rPr>
        <w:t>延庆</w:t>
      </w:r>
      <w:r>
        <w:rPr>
          <w:rFonts w:hint="eastAsia" w:ascii="宋体" w:hAnsi="宋体" w:cs="宋体"/>
          <w:sz w:val="24"/>
          <w:lang w:val="zh-CN"/>
        </w:rPr>
        <w:t>区</w:t>
      </w:r>
      <w:r>
        <w:rPr>
          <w:rFonts w:hint="eastAsia" w:ascii="宋体" w:hAnsi="宋体" w:cs="宋体"/>
          <w:sz w:val="24"/>
        </w:rPr>
        <w:t>政务云</w:t>
      </w:r>
      <w:r>
        <w:rPr>
          <w:rFonts w:hint="eastAsia" w:ascii="宋体" w:hAnsi="宋体" w:cs="宋体"/>
          <w:sz w:val="24"/>
          <w:lang w:val="zh-CN"/>
        </w:rPr>
        <w:t>提供</w:t>
      </w:r>
      <w:r>
        <w:rPr>
          <w:rFonts w:hint="eastAsia" w:ascii="宋体" w:hAnsi="宋体" w:cs="宋体"/>
          <w:sz w:val="24"/>
        </w:rPr>
        <w:t>全栈</w:t>
      </w:r>
      <w:r>
        <w:rPr>
          <w:rFonts w:hint="eastAsia" w:ascii="宋体" w:hAnsi="宋体" w:cs="宋体"/>
          <w:sz w:val="24"/>
          <w:lang w:val="zh-CN"/>
        </w:rPr>
        <w:t>国产</w:t>
      </w:r>
      <w:r>
        <w:rPr>
          <w:rFonts w:hint="eastAsia" w:ascii="宋体" w:hAnsi="宋体" w:cs="宋体"/>
          <w:sz w:val="24"/>
        </w:rPr>
        <w:t>化</w:t>
      </w:r>
      <w:r>
        <w:rPr>
          <w:rFonts w:hint="eastAsia" w:ascii="宋体" w:hAnsi="宋体" w:cs="宋体"/>
          <w:sz w:val="24"/>
          <w:lang w:val="zh-CN"/>
        </w:rPr>
        <w:t>云</w:t>
      </w:r>
      <w:r>
        <w:rPr>
          <w:rFonts w:hint="eastAsia" w:ascii="宋体" w:hAnsi="宋体" w:cs="宋体"/>
          <w:sz w:val="24"/>
        </w:rPr>
        <w:t>服务</w:t>
      </w:r>
      <w:r>
        <w:rPr>
          <w:rFonts w:hint="eastAsia" w:ascii="宋体" w:hAnsi="宋体" w:cs="宋体"/>
          <w:sz w:val="24"/>
          <w:lang w:val="zh-CN"/>
        </w:rPr>
        <w:t>。</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政务云平台分为政务外网区和互联网区，分别建设计算资源池、存储资源池、网络资源池和安全资源池等。</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rPr>
        <w:t>1.1.1</w:t>
      </w:r>
      <w:r>
        <w:rPr>
          <w:rFonts w:hint="eastAsia" w:ascii="宋体" w:hAnsi="宋体" w:cs="宋体"/>
          <w:sz w:val="24"/>
          <w:lang w:val="zh-CN"/>
        </w:rPr>
        <w:t>本次云平台使用的CPU、操作系统均为国产产品。</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rPr>
        <w:t>1.1.2</w:t>
      </w:r>
      <w:r>
        <w:rPr>
          <w:rFonts w:hint="eastAsia" w:ascii="宋体" w:hAnsi="宋体" w:cs="宋体"/>
          <w:sz w:val="24"/>
          <w:lang w:val="zh-CN"/>
        </w:rPr>
        <w:t xml:space="preserve"> 云平台具备高可用和动态迁移功能，发生物理设备故障后，虚拟机可以自动迁移到其他可用资源上运行，确保业务系统不受物理设备故障影响。</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rPr>
        <w:t>1.1.3</w:t>
      </w:r>
      <w:r>
        <w:rPr>
          <w:rFonts w:hint="eastAsia" w:ascii="宋体" w:hAnsi="宋体" w:cs="宋体"/>
          <w:sz w:val="24"/>
          <w:lang w:val="zh-CN"/>
        </w:rPr>
        <w:t>云平台支持对虚拟机CPU、内存、存储、带宽进行实时监控，并支持自定义告警规则。</w:t>
      </w:r>
    </w:p>
    <w:p>
      <w:pPr>
        <w:adjustRightInd w:val="0"/>
        <w:spacing w:line="390" w:lineRule="exact"/>
        <w:ind w:firstLine="480" w:firstLineChars="200"/>
        <w:textAlignment w:val="baseline"/>
        <w:rPr>
          <w:rFonts w:ascii="宋体" w:hAnsi="宋体" w:cs="宋体"/>
          <w:sz w:val="24"/>
        </w:rPr>
      </w:pPr>
      <w:r>
        <w:rPr>
          <w:rFonts w:hint="eastAsia" w:ascii="宋体" w:hAnsi="宋体" w:cs="宋体"/>
          <w:sz w:val="24"/>
        </w:rPr>
        <w:t>1.1.4</w:t>
      </w:r>
      <w:r>
        <w:rPr>
          <w:rFonts w:hint="eastAsia" w:ascii="宋体" w:hAnsi="宋体" w:cs="宋体"/>
          <w:sz w:val="24"/>
          <w:lang w:val="zh-CN"/>
        </w:rPr>
        <w:t>云平台提供备份/快照功能，能对云平台中的物理和虚拟服务器进行备份，防止存储故障导致数据丢失，</w:t>
      </w:r>
      <w:r>
        <w:rPr>
          <w:rFonts w:hint="eastAsia" w:ascii="宋体" w:hAnsi="宋体" w:cs="宋体"/>
          <w:sz w:val="24"/>
        </w:rPr>
        <w:t>同时云服务商应提供异地备份能力。</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rPr>
        <w:t>1.1.5</w:t>
      </w:r>
      <w:r>
        <w:rPr>
          <w:rFonts w:hint="eastAsia" w:ascii="宋体" w:hAnsi="宋体" w:cs="宋体"/>
          <w:sz w:val="24"/>
          <w:lang w:val="zh-CN"/>
        </w:rPr>
        <w:t>云管平台支持图形化管理，支持自动生成资源使用的数据报表。</w:t>
      </w:r>
    </w:p>
    <w:p>
      <w:pPr>
        <w:adjustRightInd w:val="0"/>
        <w:spacing w:line="390" w:lineRule="exact"/>
        <w:ind w:firstLine="480" w:firstLineChars="200"/>
        <w:textAlignment w:val="baseline"/>
        <w:rPr>
          <w:rFonts w:ascii="宋体" w:hAnsi="宋体" w:cs="宋体"/>
          <w:sz w:val="24"/>
        </w:rPr>
      </w:pPr>
      <w:r>
        <w:rPr>
          <w:rFonts w:hint="eastAsia" w:ascii="宋体" w:hAnsi="宋体" w:cs="宋体"/>
          <w:sz w:val="24"/>
        </w:rPr>
        <w:t>1.2计算服务要求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1.2.1支持异构多类型CPU集群混合部署。</w:t>
      </w:r>
    </w:p>
    <w:p>
      <w:pPr>
        <w:adjustRightInd w:val="0"/>
        <w:spacing w:line="390" w:lineRule="exact"/>
        <w:ind w:firstLine="482" w:firstLineChars="200"/>
        <w:textAlignment w:val="baseline"/>
        <w:rPr>
          <w:rFonts w:ascii="宋体" w:hAnsi="宋体" w:cs="宋体"/>
          <w:b/>
          <w:bCs/>
          <w:sz w:val="24"/>
          <w:lang w:val="zh-CN"/>
        </w:rPr>
      </w:pPr>
      <w:r>
        <w:rPr>
          <w:rFonts w:hint="eastAsia" w:ascii="宋体" w:hAnsi="宋体" w:cs="宋体"/>
          <w:b/>
          <w:bCs/>
          <w:sz w:val="24"/>
          <w:lang w:val="zh-CN"/>
        </w:rPr>
        <w:t>#1.2.2提供云主机服务，用户申请该服务时可以选择虚拟机所在位置，CPU、内存规格，虚拟机操作系统、磁盘容量、网络、安全组、登录认证方式、申请数量，同时，用户可以在申请虚拟机时为虚拟机指定非管理员账号的用户名、密码。提供截图或官方文档证明，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1.2.3支持云主机生命周期管理，用户申请云主机后，可以通过管理平台对云主机执行开机、关机、重启、删除、远程登录、磁盘快照、整机快照、重置密码、在线克隆（无需中断业务）、离线克隆、挂载光驱等，也可以根据云主机名称、私有IP、弹性IP、ID、运行状态以及自定义标签等快速查找、过滤云主机。</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1.2.4支持云主机所在物理服务器故障，系统会自动在其他物理服务器上重建云主机，保证业务的连续性。</w:t>
      </w:r>
    </w:p>
    <w:p>
      <w:pPr>
        <w:adjustRightInd w:val="0"/>
        <w:spacing w:line="390" w:lineRule="exact"/>
        <w:ind w:firstLine="482" w:firstLineChars="200"/>
        <w:textAlignment w:val="baseline"/>
        <w:rPr>
          <w:rFonts w:ascii="宋体" w:hAnsi="宋体" w:cs="宋体"/>
          <w:b/>
          <w:bCs/>
          <w:sz w:val="24"/>
          <w:lang w:val="zh-CN"/>
        </w:rPr>
      </w:pPr>
      <w:r>
        <w:rPr>
          <w:rFonts w:hint="eastAsia" w:ascii="宋体" w:hAnsi="宋体" w:cs="宋体"/>
          <w:b/>
          <w:bCs/>
          <w:sz w:val="24"/>
          <w:lang w:val="zh-CN"/>
        </w:rPr>
        <w:t>#1.2.5支持云主机设备直通，用户申请虚拟机时，可以申请将USB、GPU、SSD磁盘等设备映射给虚拟机使用。提供功能截图证明，加盖投标人公章。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1.2.6支持镜像服务能力。支持公共镜像、私有镜像以及共享镜像等多种方式。同时，也支持用户通过管理平台自行通过已有虚拟机来转换为私有镜像或者通过平台自行上传镜像文件（支持常见的VMDK、QCOW2、VHD、ZVHD等格式），用户可以共享自己的私有镜像给其余用户使用。</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1.2.7支持数据盘镜像。用户可以通过租户界面通过虚拟机数据盘制作数据盘镜像，使用数据盘镜像创建云磁盘，导出数据盘镜像，导入数据盘镜像。</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1.2.8支持镜像管理，用户可以查看镜像基本信息，包括镜像名称、操作系统、镜像类型（虚拟化/非虚拟化）、镜像文件大小、部署后磁盘大小等；支持用户删除自己创建的私有镜像。</w:t>
      </w:r>
    </w:p>
    <w:p>
      <w:pPr>
        <w:adjustRightInd w:val="0"/>
        <w:spacing w:line="390" w:lineRule="exact"/>
        <w:ind w:firstLine="480" w:firstLineChars="200"/>
        <w:textAlignment w:val="baseline"/>
        <w:rPr>
          <w:rFonts w:ascii="宋体" w:hAnsi="宋体" w:cs="宋体"/>
          <w:sz w:val="24"/>
        </w:rPr>
      </w:pPr>
      <w:r>
        <w:rPr>
          <w:rFonts w:hint="eastAsia" w:ascii="宋体" w:hAnsi="宋体" w:cs="宋体"/>
          <w:sz w:val="24"/>
        </w:rPr>
        <w:t>1.3网络服务要求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rPr>
        <w:t>1.3.1</w:t>
      </w:r>
      <w:r>
        <w:rPr>
          <w:rFonts w:hint="eastAsia" w:ascii="宋体" w:hAnsi="宋体" w:cs="宋体"/>
          <w:sz w:val="24"/>
          <w:lang w:val="zh-CN"/>
        </w:rPr>
        <w:t>考虑到网络扩展性、网络可靠性、硬件解耦性，要求本次VPC、ELB、网络ACL等网络相关功能必须采用软件方式部署，不依赖于特定的设备实现。</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1.3.2网络服务对应的软件支持适配能力和兼容性，应支持国产主流技术架构。</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1.3.3支持用户自助创建私有、隔离的虚拟网络环境，每个虚拟网络环境包含一套虚拟出口路由器、若干虚拟防火墙以及子网网络等。用户可以独立配置自己的网络环境，包括自助创建子网（IPV4、IPV4&amp;IPV6）、指定子网网段/网关/掩码、子网使用的DNS等参数，支持为子网中云服务器配置静态路由。</w:t>
      </w:r>
    </w:p>
    <w:p>
      <w:pPr>
        <w:adjustRightInd w:val="0"/>
        <w:spacing w:line="390" w:lineRule="exact"/>
        <w:ind w:firstLine="482" w:firstLineChars="200"/>
        <w:textAlignment w:val="baseline"/>
        <w:rPr>
          <w:rFonts w:ascii="宋体" w:hAnsi="宋体" w:cs="宋体"/>
          <w:b/>
          <w:bCs/>
          <w:sz w:val="24"/>
          <w:lang w:val="zh-CN"/>
        </w:rPr>
      </w:pPr>
      <w:r>
        <w:rPr>
          <w:rFonts w:hint="eastAsia" w:ascii="宋体" w:hAnsi="宋体" w:cs="宋体"/>
          <w:b/>
          <w:bCs/>
          <w:sz w:val="24"/>
          <w:lang w:val="zh-CN"/>
        </w:rPr>
        <w:t>#1.3.4VPC支持组播能力，支持通过图形化界面配置组播开启、关闭操作。提供截图或官方文档证明，加盖投标人公章。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1.3.5支持跨region网络互通能力，通过云连接服务可以实现多个region间VPC网络自动化互通能力。</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1.3.6支持将EIP与弹性云服务器、裸金属服务器、弹性负载均衡、虚拟IP等对象进行绑定。</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1.3.7支持一次申请多个弹性IP地址，并支持申请时指定EIP QoS限制弹性IP所能使用的最大带宽。申请EIP时，可根据业务要求灵活设置EIP的有效时长，最小单位是天，也可以不限时长。</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1.3.8支持安全组服务，可以对进出虚拟机端口的网络报文进行安全过滤规则设置。虚拟机端口与安全组关联后，安全组规则可对进出虚拟机端口的网络报文进行过滤，只有规则允许的报文可通过。</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1.3.9安全组内支持对TCP、UDP、ICMP、ANY协议进行配置。支持指定安全组出/入方向过滤的对象，过滤对象可以为IP段（可以指定TCP/UDP的源/目的IP及端口）、其它安全组等。</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1.3.10支持用户申请专线服务，实现VPC中子网和云外网络互通，支持指定网络打通使用的物理专线、虚拟网关、远端子网等信息。</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1.3.11支持在管理界面上进行NAT网关实例创建、修改和删除，每个NAT网关实例可配置SNAT规则和DNAT规则。</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1.3.12支持负载均衡服务，负载均衡服务基于软件方式实现，不依赖于特殊硬件设备。可以将用户业务访问流量自动分发到多台云服务器，扩展应用系统对外服务能力。</w:t>
      </w:r>
    </w:p>
    <w:p>
      <w:pPr>
        <w:adjustRightInd w:val="0"/>
        <w:spacing w:line="390" w:lineRule="exact"/>
        <w:ind w:firstLine="482" w:firstLineChars="200"/>
        <w:textAlignment w:val="baseline"/>
        <w:rPr>
          <w:rFonts w:ascii="宋体" w:hAnsi="宋体" w:cs="宋体"/>
          <w:b/>
          <w:bCs/>
          <w:sz w:val="24"/>
          <w:lang w:val="zh-CN"/>
        </w:rPr>
      </w:pPr>
      <w:r>
        <w:rPr>
          <w:rFonts w:hint="eastAsia" w:ascii="宋体" w:hAnsi="宋体" w:cs="宋体"/>
          <w:b/>
          <w:bCs/>
          <w:sz w:val="24"/>
          <w:lang w:val="zh-CN"/>
        </w:rPr>
        <w:t>#1.3.13支持深度健康检查，提供基于响应内容的深度健康检查。支持配置TCP Socket、HTTP响应字符串进行比较判断健康情况，支持响应字串的精确匹配和模糊匹配。提供截图或官方文档证明，加盖投标人公章。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1.3.14支持网络ACL服务，用户可以在管理界面上进行网络ACL的申请、修改、删除操作，支持对规则创建、修改、删除操作。</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1.3.15支持内网域名解析功能，支持VPC内生效的内网域名与私网IP进行关联，为云上资源提供VPC内的域名解析服务。</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1.3.16提供互联网接入，互联网总带宽不低于</w:t>
      </w:r>
      <w:r>
        <w:rPr>
          <w:rFonts w:hint="eastAsia" w:ascii="宋体" w:hAnsi="宋体" w:cs="宋体"/>
          <w:sz w:val="24"/>
        </w:rPr>
        <w:t>1.1</w:t>
      </w:r>
      <w:r>
        <w:rPr>
          <w:rFonts w:hint="eastAsia" w:ascii="宋体" w:hAnsi="宋体" w:cs="宋体"/>
          <w:sz w:val="24"/>
          <w:lang w:val="zh-CN"/>
        </w:rPr>
        <w:t>Gbps，扩展能力大于10Gbps，带宽调整步长10Mbps，提供对应的IP地址服务。</w:t>
      </w:r>
    </w:p>
    <w:p>
      <w:pPr>
        <w:adjustRightInd w:val="0"/>
        <w:spacing w:line="390" w:lineRule="exact"/>
        <w:ind w:firstLine="480" w:firstLineChars="200"/>
        <w:textAlignment w:val="baseline"/>
        <w:rPr>
          <w:rFonts w:ascii="宋体" w:hAnsi="宋体" w:cs="宋体"/>
          <w:sz w:val="24"/>
        </w:rPr>
      </w:pPr>
      <w:r>
        <w:rPr>
          <w:rFonts w:hint="eastAsia" w:ascii="宋体" w:hAnsi="宋体" w:cs="宋体"/>
          <w:sz w:val="24"/>
        </w:rPr>
        <w:t>1.4存储服务要求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rPr>
        <w:t>1.4.1</w:t>
      </w:r>
      <w:r>
        <w:rPr>
          <w:rFonts w:hint="eastAsia" w:ascii="宋体" w:hAnsi="宋体" w:cs="宋体"/>
          <w:sz w:val="24"/>
          <w:lang w:val="zh-CN"/>
        </w:rPr>
        <w:t>全对称分布式架构，无独立元数据节点，性能、容量随节点数增加而线性增加，通过软件层面的全分布式架构和数据冗余技术，来达到高可伸缩性和高可用性。</w:t>
      </w:r>
    </w:p>
    <w:p>
      <w:pPr>
        <w:adjustRightInd w:val="0"/>
        <w:spacing w:line="390" w:lineRule="exact"/>
        <w:ind w:firstLine="482" w:firstLineChars="200"/>
        <w:textAlignment w:val="baseline"/>
        <w:rPr>
          <w:rFonts w:ascii="宋体" w:hAnsi="宋体" w:cs="宋体"/>
          <w:sz w:val="24"/>
          <w:lang w:val="zh-CN"/>
        </w:rPr>
      </w:pPr>
      <w:r>
        <w:rPr>
          <w:rFonts w:hint="eastAsia" w:ascii="宋体" w:hAnsi="宋体" w:cs="宋体"/>
          <w:b/>
          <w:bCs/>
          <w:sz w:val="24"/>
          <w:lang w:val="zh-CN"/>
        </w:rPr>
        <w:t>#1.4.2支持数据高冗余模式，最多可容忍任意4个节点同时失效而不丢失数据。支持动态EC，当节点故障时，自动调整EC配比，确保新数据可靠性不降级。需提供证明材料，加盖投标人公章。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1.4.3支持横向扩展能力，扩容过程服务不中断。单集群最大可扩展至≥256节点。</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1.4.4支持云硬盘服务，用户可以通过管理平台为虚拟机或者物理机申请磁盘，用户可以将申请到的磁盘空间分配给一台或者多台虚拟机/物理机/容器使用，支持云硬盘进行在线/离线扩容。</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1.4.5支持快速搜索磁盘，可以通过磁盘名称或者磁盘是否挂载等条件搜索目标磁盘/磁盘组。</w:t>
      </w:r>
    </w:p>
    <w:p>
      <w:pPr>
        <w:adjustRightInd w:val="0"/>
        <w:spacing w:line="390" w:lineRule="exact"/>
        <w:ind w:firstLine="482" w:firstLineChars="200"/>
        <w:textAlignment w:val="baseline"/>
        <w:rPr>
          <w:rFonts w:ascii="宋体" w:hAnsi="宋体" w:cs="宋体"/>
          <w:b/>
          <w:bCs/>
          <w:sz w:val="24"/>
          <w:lang w:val="zh-CN"/>
        </w:rPr>
      </w:pPr>
      <w:r>
        <w:rPr>
          <w:rFonts w:hint="eastAsia" w:ascii="宋体" w:hAnsi="宋体" w:cs="宋体"/>
          <w:b/>
          <w:bCs/>
          <w:sz w:val="24"/>
          <w:lang w:val="zh-CN"/>
        </w:rPr>
        <w:t>#1.4.6支持从各种数据源创建云硬盘（系统盘&amp;数据盘），包括从镜像创建云硬盘，从已有云硬盘创建云硬盘，从备份创建云硬盘，从快照创建云硬盘。提供功能截图证明，加盖投标人公章。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1.4.7支持快照服务，用户可以通过管理平台为自己的虚拟机/虚拟机磁盘/物理机磁盘创建快照，并自助完成快照恢复。</w:t>
      </w:r>
    </w:p>
    <w:p>
      <w:pPr>
        <w:adjustRightInd w:val="0"/>
        <w:spacing w:line="390" w:lineRule="exact"/>
        <w:ind w:firstLine="482" w:firstLineChars="200"/>
        <w:textAlignment w:val="baseline"/>
        <w:rPr>
          <w:rFonts w:ascii="宋体" w:hAnsi="宋体" w:cs="宋体"/>
          <w:b/>
          <w:bCs/>
          <w:sz w:val="24"/>
          <w:lang w:val="zh-CN"/>
        </w:rPr>
      </w:pPr>
      <w:r>
        <w:rPr>
          <w:rFonts w:hint="eastAsia" w:ascii="宋体" w:hAnsi="宋体" w:cs="宋体"/>
          <w:b/>
          <w:bCs/>
          <w:sz w:val="24"/>
          <w:lang w:val="zh-CN"/>
        </w:rPr>
        <w:t>#1.4.8支持磁盘QoS限速，能对指定磁盘类型的IO性能进行限制，包括磁盘的IOPS上限、带宽、IO优先级，防止某些业务抢占存储性能资源，保障所有业务性能均衡。提供截图或官方文档证明，加盖投标人公章。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1.4.9支持云磁盘加密，申请云磁盘时可以指定是否加密，以及指定加密算法。</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1.4.10支持系统盘和数据盘在线扩容，扩容不中断业务。</w:t>
      </w:r>
    </w:p>
    <w:p>
      <w:pPr>
        <w:adjustRightInd w:val="0"/>
        <w:spacing w:line="390" w:lineRule="exact"/>
        <w:ind w:firstLine="480" w:firstLineChars="200"/>
        <w:textAlignment w:val="baseline"/>
        <w:rPr>
          <w:rFonts w:ascii="宋体" w:hAnsi="宋体" w:cs="宋体"/>
          <w:sz w:val="24"/>
        </w:rPr>
      </w:pPr>
      <w:r>
        <w:rPr>
          <w:rFonts w:hint="eastAsia" w:ascii="宋体" w:hAnsi="宋体" w:cs="宋体"/>
          <w:sz w:val="24"/>
        </w:rPr>
        <w:t>1.5云管服务要求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1.5.1支持用户定义多种不同的大屏展示内容功能。支持容量、性能、资源统计、告警等对象的自定义大屏展示，且可以定义每个内容的不同呈现形式（例如柱状图、饼图、仪表盘等等）。</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1.5.2支持统一的告警管理功能，云平台可以统一管理系统中物理设备（服务器、存储、网络设备）和虚拟资源的告警，并支持告警的清除、指派、调整级别、设置告警提示音等；支持告警转发能力，系统可以按照管理员指定的规则，将不同类型的告警通过短信或者邮件发送给不同的用户或者用户组进行处理。</w:t>
      </w:r>
    </w:p>
    <w:p>
      <w:pPr>
        <w:adjustRightInd w:val="0"/>
        <w:spacing w:line="390" w:lineRule="exact"/>
        <w:ind w:firstLine="482" w:firstLineChars="200"/>
        <w:textAlignment w:val="baseline"/>
        <w:rPr>
          <w:rFonts w:ascii="宋体" w:hAnsi="宋体" w:cs="宋体"/>
          <w:b/>
          <w:bCs/>
          <w:sz w:val="24"/>
          <w:lang w:val="zh-CN"/>
        </w:rPr>
      </w:pPr>
      <w:r>
        <w:rPr>
          <w:rFonts w:hint="eastAsia" w:ascii="宋体" w:hAnsi="宋体" w:cs="宋体"/>
          <w:b/>
          <w:bCs/>
          <w:sz w:val="24"/>
          <w:lang w:val="zh-CN"/>
        </w:rPr>
        <w:t>#1.5.3支持健康繁忙度评估，从应用视角量化评估业务健康、繁忙状态。支持根据业务实际情况设置关键节点，可调整关键节点对系统健康繁忙度影响权重。提供功能截图证明材料，加盖投标人公章。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1.5.4支持报表管理功能。支持容量、资源/设备统计、资源利用率、告警统计报表。同时支持报表的自定义呈现，管理员可以对已有的指标进行重新组合、过滤来进行自助式的业务分析，通过表格和图表的方式进行展示。</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1.5.5支持提供统计类数据，包括但不限于虚拟机、虚拟磁盘、IP地址、裸金属、服务器、存储设备、网络设备的数量统计。</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1.5.6支持提供性能类数据，包括但不限于虚拟机/物理机的CPU使用率、内存使用率、网络IOPS、存储IOPS，服务器、存储、网络设备的性能指标。</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1.5.7支持提供容量类数据，包括但不限于CPU、内存、存储的总量、使用/分配量、使用/分配率。</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1.5.8支持管理员配置定期生成指定报表并发送到指定用户/用户组。</w:t>
      </w:r>
    </w:p>
    <w:p>
      <w:pPr>
        <w:adjustRightInd w:val="0"/>
        <w:spacing w:line="390" w:lineRule="exact"/>
        <w:ind w:firstLine="482" w:firstLineChars="200"/>
        <w:textAlignment w:val="baseline"/>
        <w:rPr>
          <w:rFonts w:ascii="宋体" w:hAnsi="宋体" w:cs="宋体"/>
          <w:b/>
          <w:bCs/>
          <w:sz w:val="24"/>
          <w:lang w:val="zh-CN"/>
        </w:rPr>
      </w:pPr>
      <w:r>
        <w:rPr>
          <w:rFonts w:hint="eastAsia" w:ascii="宋体" w:hAnsi="宋体" w:cs="宋体"/>
          <w:b/>
          <w:bCs/>
          <w:sz w:val="24"/>
          <w:lang w:val="zh-CN"/>
        </w:rPr>
        <w:t>#1.5.9支持基于动态阈值基线产生性能阈值告警，避免手工配置，避免告警误报漏报。提供功能截图证明材料，加盖投标人公章。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1.5.10提供虚拟数据中心（VDC）管理能力，并支持在VDC下再划分多级子VDC（可以支持到5级VDC），以匹配业主的组织/租户体系进行管理。每个VDC都可以分配多个数据中心/地域的资源。支持对VDC（组织）可以使用的资源做配额限制，包括但不限于对这些服务配额进行控制：虚拟机、裸金属、镜像、云硬盘、对象存储、VPC、弹性IP、虚拟防火墙、VPN、虚拟负载均衡。</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1.5.11支持对VDC使用的资源做配额限制，包括但不限于虚拟机、裸金属、镜像、云硬盘、VPC、弹性IP、虚拟防火墙、VPN、虚拟负载均衡等服务。</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1.5.12支持用户管理。可以支持用户的创建、删除、修改、查询、禁用、重置密码等操作，并且可以限定每个用户可以操作的资源范围；用户忘记密码后，可以通过管理平台通过用户的邮箱或者手机来找回密码。</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1.5.13支持服务自定义。管理员可以创建新的服务，配置用户申请服务时需要输入的参数，例如管理员可以创建一个新的虚拟机服务，新的服务可以配置用户申请虚拟机时是否可以指定虚拟机规格。新的服务发布时可以分别指定用户申请、修改、删除这个服务时是否需要审批，需要被谁审批。</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1.5.14支持自定义线下服务。管理员可以自定义需要线下实施的任何业务，提供统一的申请、审批、开通能力。</w:t>
      </w:r>
    </w:p>
    <w:p>
      <w:pPr>
        <w:adjustRightInd w:val="0"/>
        <w:spacing w:line="390" w:lineRule="exact"/>
        <w:ind w:firstLine="482" w:firstLineChars="200"/>
        <w:textAlignment w:val="baseline"/>
        <w:rPr>
          <w:rFonts w:ascii="宋体" w:hAnsi="宋体" w:cs="宋体"/>
          <w:b/>
          <w:bCs/>
          <w:sz w:val="24"/>
          <w:lang w:val="zh-CN"/>
        </w:rPr>
      </w:pPr>
      <w:r>
        <w:rPr>
          <w:rFonts w:hint="eastAsia" w:ascii="宋体" w:hAnsi="宋体" w:cs="宋体"/>
          <w:b/>
          <w:bCs/>
          <w:sz w:val="24"/>
          <w:lang w:val="zh-CN"/>
        </w:rPr>
        <w:t>#1.5.15支持应用繁忙度评估，可在拓扑图中对不同繁忙度等级的云服务资源进行着色，支持查看云服务资源的告警信息和性能监控。提供功能截图证明材料，加盖投标人公章。</w:t>
      </w:r>
    </w:p>
    <w:p>
      <w:pPr>
        <w:widowControl/>
        <w:spacing w:line="390" w:lineRule="exact"/>
        <w:ind w:left="600"/>
        <w:contextualSpacing/>
        <w:rPr>
          <w:rFonts w:ascii="宋体" w:hAnsi="宋体" w:cs="宋体"/>
          <w:sz w:val="24"/>
          <w:lang w:val="zh-CN"/>
        </w:rPr>
      </w:pPr>
      <w:r>
        <w:rPr>
          <w:rFonts w:hint="eastAsia" w:ascii="宋体" w:hAnsi="宋体" w:cs="宋体"/>
          <w:sz w:val="24"/>
          <w:lang w:val="zh-CN"/>
        </w:rPr>
        <w:t>2.数据中心要求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投标人所投的数据中心与延庆区大数据中心（北京市延庆区新城街110号）的直线距离不大于</w:t>
      </w:r>
      <w:r>
        <w:rPr>
          <w:rFonts w:hint="eastAsia" w:ascii="宋体" w:hAnsi="宋体" w:cs="宋体"/>
          <w:sz w:val="24"/>
        </w:rPr>
        <w:t>20</w:t>
      </w:r>
      <w:r>
        <w:rPr>
          <w:rFonts w:hint="eastAsia" w:ascii="宋体" w:hAnsi="宋体" w:cs="宋体"/>
          <w:sz w:val="24"/>
          <w:lang w:val="zh-CN"/>
        </w:rPr>
        <w:t>公里。数据中心应具有完善的基础设施和规范的管理制度。投标人须提供详细的数据中心方案，从基础设施、安防、</w:t>
      </w:r>
      <w:r>
        <w:rPr>
          <w:rFonts w:hint="eastAsia" w:ascii="宋体" w:hAnsi="宋体" w:cs="宋体"/>
          <w:sz w:val="24"/>
        </w:rPr>
        <w:t>应急、</w:t>
      </w:r>
      <w:r>
        <w:rPr>
          <w:rFonts w:hint="eastAsia" w:ascii="宋体" w:hAnsi="宋体" w:cs="宋体"/>
          <w:sz w:val="24"/>
          <w:lang w:val="zh-CN"/>
        </w:rPr>
        <w:t>运维等多个维度阐述。</w:t>
      </w:r>
    </w:p>
    <w:tbl>
      <w:tblPr>
        <w:tblStyle w:val="45"/>
        <w:tblW w:w="8951" w:type="dxa"/>
        <w:jc w:val="center"/>
        <w:shd w:val="clear" w:color="auto" w:fill="FFFFFF"/>
        <w:tblLayout w:type="fixed"/>
        <w:tblCellMar>
          <w:top w:w="0" w:type="dxa"/>
          <w:left w:w="0" w:type="dxa"/>
          <w:bottom w:w="0" w:type="dxa"/>
          <w:right w:w="0" w:type="dxa"/>
        </w:tblCellMar>
      </w:tblPr>
      <w:tblGrid>
        <w:gridCol w:w="2133"/>
        <w:gridCol w:w="6818"/>
      </w:tblGrid>
      <w:tr>
        <w:tblPrEx>
          <w:shd w:val="clear" w:color="auto" w:fill="FFFFFF"/>
          <w:tblCellMar>
            <w:top w:w="0" w:type="dxa"/>
            <w:left w:w="0" w:type="dxa"/>
            <w:bottom w:w="0" w:type="dxa"/>
            <w:right w:w="0" w:type="dxa"/>
          </w:tblCellMar>
        </w:tblPrEx>
        <w:trPr>
          <w:trHeight w:val="294" w:hRule="atLeast"/>
          <w:tblHeader/>
          <w:jc w:val="center"/>
        </w:trPr>
        <w:tc>
          <w:tcPr>
            <w:tcW w:w="2133" w:type="dxa"/>
            <w:tcBorders>
              <w:top w:val="single" w:color="auto" w:sz="6"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jc w:val="center"/>
              <w:textAlignment w:val="baseline"/>
              <w:rPr>
                <w:rFonts w:ascii="宋体" w:hAnsi="宋体" w:cs="宋体"/>
                <w:sz w:val="24"/>
                <w:lang w:val="zh-CN"/>
              </w:rPr>
            </w:pPr>
            <w:r>
              <w:rPr>
                <w:rFonts w:hint="eastAsia" w:ascii="宋体" w:hAnsi="宋体" w:cs="宋体"/>
                <w:sz w:val="24"/>
                <w:lang w:val="zh-CN"/>
              </w:rPr>
              <w:t>指标项</w:t>
            </w:r>
          </w:p>
        </w:tc>
        <w:tc>
          <w:tcPr>
            <w:tcW w:w="681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jc w:val="center"/>
              <w:textAlignment w:val="baseline"/>
              <w:rPr>
                <w:rFonts w:ascii="宋体" w:hAnsi="宋体" w:cs="宋体"/>
                <w:sz w:val="24"/>
                <w:lang w:val="zh-CN"/>
              </w:rPr>
            </w:pPr>
            <w:r>
              <w:rPr>
                <w:rFonts w:hint="eastAsia" w:ascii="宋体" w:hAnsi="宋体" w:cs="宋体"/>
                <w:sz w:val="24"/>
                <w:lang w:val="zh-CN"/>
              </w:rPr>
              <w:t>参数要求</w:t>
            </w:r>
          </w:p>
        </w:tc>
      </w:tr>
      <w:tr>
        <w:tblPrEx>
          <w:shd w:val="clear" w:color="auto" w:fill="FFFFFF"/>
          <w:tblCellMar>
            <w:top w:w="0" w:type="dxa"/>
            <w:left w:w="0" w:type="dxa"/>
            <w:bottom w:w="0" w:type="dxa"/>
            <w:right w:w="0" w:type="dxa"/>
          </w:tblCellMar>
        </w:tblPrEx>
        <w:trPr>
          <w:trHeight w:val="392" w:hRule="atLeast"/>
          <w:jc w:val="center"/>
        </w:trPr>
        <w:tc>
          <w:tcPr>
            <w:tcW w:w="2133"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jc w:val="center"/>
              <w:textAlignment w:val="baseline"/>
              <w:rPr>
                <w:rFonts w:ascii="宋体" w:hAnsi="宋体" w:cs="宋体"/>
                <w:sz w:val="24"/>
              </w:rPr>
            </w:pPr>
            <w:r>
              <w:rPr>
                <w:rFonts w:hint="eastAsia" w:ascii="宋体" w:hAnsi="宋体" w:cs="宋体"/>
                <w:sz w:val="24"/>
                <w:lang w:val="zh-CN"/>
              </w:rPr>
              <w:t>机房</w:t>
            </w:r>
            <w:r>
              <w:rPr>
                <w:rFonts w:hint="eastAsia" w:ascii="宋体" w:hAnsi="宋体" w:cs="宋体"/>
                <w:sz w:val="24"/>
              </w:rPr>
              <w:t>安防</w:t>
            </w:r>
          </w:p>
        </w:tc>
        <w:tc>
          <w:tcPr>
            <w:tcW w:w="6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textAlignment w:val="baseline"/>
              <w:rPr>
                <w:rFonts w:ascii="宋体" w:hAnsi="宋体" w:cs="宋体"/>
                <w:sz w:val="24"/>
                <w:lang w:val="zh-CN"/>
              </w:rPr>
            </w:pPr>
            <w:r>
              <w:rPr>
                <w:rFonts w:hint="eastAsia" w:ascii="宋体" w:hAnsi="宋体" w:cs="宋体"/>
                <w:sz w:val="24"/>
                <w:lang w:val="zh-CN"/>
              </w:rPr>
              <w:t>机房进出需要有7×24小时保安执勤、出入登记。</w:t>
            </w:r>
          </w:p>
        </w:tc>
      </w:tr>
      <w:tr>
        <w:tblPrEx>
          <w:tblCellMar>
            <w:top w:w="0" w:type="dxa"/>
            <w:left w:w="0" w:type="dxa"/>
            <w:bottom w:w="0" w:type="dxa"/>
            <w:right w:w="0" w:type="dxa"/>
          </w:tblCellMar>
        </w:tblPrEx>
        <w:trPr>
          <w:trHeight w:val="392" w:hRule="atLeast"/>
          <w:jc w:val="center"/>
        </w:trPr>
        <w:tc>
          <w:tcPr>
            <w:tcW w:w="2133"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jc w:val="center"/>
              <w:textAlignment w:val="baseline"/>
              <w:rPr>
                <w:rFonts w:ascii="宋体" w:hAnsi="宋体" w:cs="宋体"/>
                <w:sz w:val="24"/>
                <w:lang w:val="zh-CN"/>
              </w:rPr>
            </w:pPr>
            <w:r>
              <w:rPr>
                <w:rFonts w:hint="eastAsia" w:ascii="宋体" w:hAnsi="宋体" w:cs="宋体"/>
                <w:sz w:val="24"/>
                <w:lang w:val="zh-CN"/>
              </w:rPr>
              <w:t>视频监控</w:t>
            </w:r>
          </w:p>
        </w:tc>
        <w:tc>
          <w:tcPr>
            <w:tcW w:w="6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textAlignment w:val="baseline"/>
              <w:rPr>
                <w:rFonts w:ascii="宋体" w:hAnsi="宋体" w:cs="宋体"/>
                <w:sz w:val="24"/>
                <w:lang w:val="zh-CN"/>
              </w:rPr>
            </w:pPr>
            <w:r>
              <w:rPr>
                <w:rFonts w:hint="eastAsia" w:ascii="宋体" w:hAnsi="宋体" w:cs="宋体"/>
                <w:sz w:val="24"/>
                <w:lang w:val="zh-CN"/>
              </w:rPr>
              <w:t>本项目资源所在物理隔离区域的出入口、通道及关键点进行7×24小时视频监控，视频监控录像留存时间大于6个月，云管理单位有权随时调阅。</w:t>
            </w:r>
          </w:p>
        </w:tc>
      </w:tr>
      <w:tr>
        <w:tblPrEx>
          <w:tblCellMar>
            <w:top w:w="0" w:type="dxa"/>
            <w:left w:w="0" w:type="dxa"/>
            <w:bottom w:w="0" w:type="dxa"/>
            <w:right w:w="0" w:type="dxa"/>
          </w:tblCellMar>
        </w:tblPrEx>
        <w:trPr>
          <w:trHeight w:val="392" w:hRule="atLeast"/>
          <w:jc w:val="center"/>
        </w:trPr>
        <w:tc>
          <w:tcPr>
            <w:tcW w:w="2133"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jc w:val="center"/>
              <w:textAlignment w:val="baseline"/>
              <w:rPr>
                <w:rFonts w:ascii="宋体" w:hAnsi="宋体" w:cs="宋体"/>
                <w:sz w:val="24"/>
                <w:lang w:val="zh-CN"/>
              </w:rPr>
            </w:pPr>
            <w:r>
              <w:rPr>
                <w:rFonts w:hint="eastAsia" w:ascii="宋体" w:hAnsi="宋体" w:cs="宋体"/>
                <w:sz w:val="24"/>
                <w:lang w:val="zh-CN"/>
              </w:rPr>
              <w:t>门禁系统</w:t>
            </w:r>
          </w:p>
        </w:tc>
        <w:tc>
          <w:tcPr>
            <w:tcW w:w="6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textAlignment w:val="baseline"/>
              <w:rPr>
                <w:rFonts w:ascii="宋体" w:hAnsi="宋体" w:cs="宋体"/>
                <w:sz w:val="24"/>
                <w:lang w:val="zh-CN"/>
              </w:rPr>
            </w:pPr>
            <w:r>
              <w:rPr>
                <w:rFonts w:hint="eastAsia" w:ascii="宋体" w:hAnsi="宋体" w:cs="宋体"/>
                <w:sz w:val="24"/>
                <w:lang w:val="zh-CN"/>
              </w:rPr>
              <w:t>配备门禁系统，云管理单位有权随时调阅出入记录。</w:t>
            </w:r>
          </w:p>
        </w:tc>
      </w:tr>
      <w:tr>
        <w:tblPrEx>
          <w:tblCellMar>
            <w:top w:w="0" w:type="dxa"/>
            <w:left w:w="0" w:type="dxa"/>
            <w:bottom w:w="0" w:type="dxa"/>
            <w:right w:w="0" w:type="dxa"/>
          </w:tblCellMar>
        </w:tblPrEx>
        <w:trPr>
          <w:trHeight w:val="392" w:hRule="atLeast"/>
          <w:jc w:val="center"/>
        </w:trPr>
        <w:tc>
          <w:tcPr>
            <w:tcW w:w="2133" w:type="dxa"/>
            <w:tcBorders>
              <w:top w:val="nil"/>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jc w:val="center"/>
              <w:textAlignment w:val="baseline"/>
              <w:rPr>
                <w:rFonts w:ascii="宋体" w:hAnsi="宋体" w:cs="宋体"/>
                <w:sz w:val="24"/>
                <w:lang w:val="zh-CN"/>
              </w:rPr>
            </w:pPr>
            <w:r>
              <w:rPr>
                <w:rFonts w:hint="eastAsia" w:ascii="宋体" w:hAnsi="宋体" w:cs="宋体"/>
                <w:sz w:val="24"/>
                <w:lang w:val="zh-CN"/>
              </w:rPr>
              <w:t>应急演练</w:t>
            </w:r>
          </w:p>
        </w:tc>
        <w:tc>
          <w:tcPr>
            <w:tcW w:w="681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textAlignment w:val="baseline"/>
              <w:rPr>
                <w:rFonts w:ascii="宋体" w:hAnsi="宋体" w:cs="宋体"/>
                <w:sz w:val="24"/>
              </w:rPr>
            </w:pPr>
            <w:r>
              <w:rPr>
                <w:rFonts w:hint="eastAsia" w:ascii="宋体" w:hAnsi="宋体" w:cs="宋体"/>
                <w:sz w:val="24"/>
                <w:lang w:val="zh-CN"/>
              </w:rPr>
              <w:t>需具备应急机制和应急预案并定期进行应急演练。</w:t>
            </w:r>
          </w:p>
        </w:tc>
      </w:tr>
      <w:tr>
        <w:tblPrEx>
          <w:shd w:val="clear" w:color="auto" w:fill="FFFFFF"/>
          <w:tblCellMar>
            <w:top w:w="0" w:type="dxa"/>
            <w:left w:w="0" w:type="dxa"/>
            <w:bottom w:w="0" w:type="dxa"/>
            <w:right w:w="0" w:type="dxa"/>
          </w:tblCellMar>
        </w:tblPrEx>
        <w:trPr>
          <w:trHeight w:val="392" w:hRule="atLeast"/>
          <w:jc w:val="center"/>
        </w:trPr>
        <w:tc>
          <w:tcPr>
            <w:tcW w:w="2133" w:type="dxa"/>
            <w:tcBorders>
              <w:top w:val="nil"/>
              <w:left w:val="single" w:color="auto" w:sz="4" w:space="0"/>
              <w:bottom w:val="single" w:color="auto" w:sz="4"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jc w:val="center"/>
              <w:textAlignment w:val="baseline"/>
              <w:rPr>
                <w:rFonts w:ascii="宋体" w:hAnsi="宋体" w:cs="宋体"/>
                <w:sz w:val="24"/>
                <w:lang w:val="zh-CN"/>
              </w:rPr>
            </w:pPr>
            <w:r>
              <w:rPr>
                <w:rFonts w:hint="eastAsia" w:ascii="宋体" w:hAnsi="宋体" w:cs="宋体"/>
                <w:sz w:val="24"/>
                <w:lang w:val="zh-CN"/>
              </w:rPr>
              <w:t>维护保养</w:t>
            </w:r>
          </w:p>
        </w:tc>
        <w:tc>
          <w:tcPr>
            <w:tcW w:w="6818"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adjustRightInd w:val="0"/>
              <w:spacing w:line="390" w:lineRule="exact"/>
              <w:textAlignment w:val="baseline"/>
              <w:rPr>
                <w:rFonts w:ascii="宋体" w:hAnsi="宋体" w:cs="宋体"/>
                <w:sz w:val="24"/>
                <w:lang w:val="zh-CN"/>
              </w:rPr>
            </w:pPr>
            <w:r>
              <w:rPr>
                <w:rFonts w:hint="eastAsia" w:ascii="宋体" w:hAnsi="宋体" w:cs="宋体"/>
                <w:sz w:val="24"/>
                <w:lang w:val="zh-CN"/>
              </w:rPr>
              <w:t>需对机房基础设施定期维护保养，能够根据采购人的要求免费提供相应的维护记录。</w:t>
            </w:r>
          </w:p>
        </w:tc>
      </w:tr>
    </w:tbl>
    <w:p>
      <w:pPr>
        <w:widowControl/>
        <w:spacing w:line="390" w:lineRule="exact"/>
        <w:ind w:firstLine="480" w:firstLineChars="200"/>
        <w:contextualSpacing/>
        <w:rPr>
          <w:rFonts w:ascii="宋体" w:hAnsi="宋体" w:cs="宋体"/>
          <w:sz w:val="24"/>
          <w:lang w:val="zh-CN"/>
        </w:rPr>
      </w:pPr>
      <w:r>
        <w:rPr>
          <w:rFonts w:hint="eastAsia" w:ascii="宋体" w:hAnsi="宋体" w:cs="宋体"/>
          <w:sz w:val="24"/>
          <w:lang w:val="zh-CN"/>
        </w:rPr>
        <w:t>3.云平台安全能力要求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投标人需要做好政务云机房内的用电安全、防火安全和防水安全等基础设施安全；</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投标人需要制定完善的政务云机房内部物理设备安全操作流程及安全操作步骤，需要能够对操作流程及操作过程进行记录；记录保存最短保存期限为1年；并接受出入记录审计；</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投标人应具备完备的安全防护体系和安全防护设备，具有成熟的安全运维方案，应保证各业务应用系统的支撑环境的安全，满足不低于网络安全等级保护（GB/T22239-2019）第三级要求。</w:t>
      </w:r>
    </w:p>
    <w:p>
      <w:pPr>
        <w:widowControl/>
        <w:spacing w:line="390" w:lineRule="exact"/>
        <w:ind w:firstLine="480" w:firstLineChars="200"/>
        <w:contextualSpacing/>
        <w:rPr>
          <w:rFonts w:ascii="宋体" w:hAnsi="宋体" w:cs="宋体"/>
          <w:sz w:val="24"/>
          <w:lang w:val="zh-CN"/>
        </w:rPr>
      </w:pPr>
      <w:r>
        <w:rPr>
          <w:rFonts w:hint="eastAsia" w:ascii="宋体" w:hAnsi="宋体" w:cs="宋体"/>
          <w:sz w:val="24"/>
          <w:lang w:val="zh-CN"/>
        </w:rPr>
        <w:t xml:space="preserve">4.运维保障服务要求 </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4.1服务规范</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投标人须严格按照政务云管理单位制定的管理办法、流程、应急制度、文档管理、资产管理、基线管理、人员管理与培训、知识库管理、安全管理等相关制度，规范地开展标准化的运维服务工作。</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4.2运维要求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投标人需利用监控系统或人工对机房环境、硬件设备及应用系统的运行情况进行7*24小时的监控，及时发现安全隐患，通知相关人员及时处理，并形成监控报告。</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4.3安全及保密要求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投标人须严格遵守采购人的相关信息安全规定，不得利用系统维护服务时的便利对采购人数据及其他信息擅自修改或透漏给第三方。</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4.4响应的及时性要求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投标人应当提供高效的系统维护服务，有效防范系统风险，系统对应负责人7*24小时电话畅通，能够在系统发生除宕机外的其他故障问题时，投标人求平均响应时间小于等于15分钟，平均故障恢复时间小于等于 30 分钟。故障处理完毕后提供相关报告。</w:t>
      </w:r>
    </w:p>
    <w:p>
      <w:pPr>
        <w:adjustRightInd w:val="0"/>
        <w:spacing w:line="390" w:lineRule="exact"/>
        <w:ind w:left="420" w:firstLine="120" w:firstLineChars="50"/>
        <w:textAlignment w:val="baseline"/>
        <w:rPr>
          <w:rFonts w:ascii="宋体" w:hAnsi="宋体" w:cs="宋体"/>
          <w:sz w:val="24"/>
          <w:lang w:val="zh-CN"/>
        </w:rPr>
      </w:pPr>
      <w:r>
        <w:rPr>
          <w:rFonts w:hint="eastAsia" w:ascii="宋体" w:hAnsi="宋体" w:cs="宋体"/>
          <w:sz w:val="24"/>
          <w:lang w:val="zh-CN"/>
        </w:rPr>
        <w:t>4.5重点保障要求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为保障五一、十一、春节、两会等重要时期以及业务高峰期内系统平稳运行，缓解系统高峰期内因业务发生量增大而带来系统压力风险，要求投标人根据业务周期性特点，加大运维保障力度，保证在业务高峰期内系统平稳运行。</w:t>
      </w:r>
    </w:p>
    <w:p>
      <w:pPr>
        <w:adjustRightInd w:val="0"/>
        <w:spacing w:line="390" w:lineRule="exact"/>
        <w:ind w:left="420" w:firstLine="120" w:firstLineChars="50"/>
        <w:textAlignment w:val="baseline"/>
        <w:rPr>
          <w:rFonts w:ascii="宋体" w:hAnsi="宋体" w:cs="宋体"/>
          <w:sz w:val="24"/>
          <w:lang w:val="zh-CN"/>
        </w:rPr>
      </w:pPr>
      <w:r>
        <w:rPr>
          <w:rFonts w:hint="eastAsia" w:ascii="宋体" w:hAnsi="宋体" w:cs="宋体"/>
          <w:sz w:val="24"/>
          <w:lang w:val="zh-CN"/>
        </w:rPr>
        <w:t>4.6应急保障和风险防控措施</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云平台应具备相应的应急预案与风险防控措施,在云平台运行维护期间，出现应急情况和风险状况时，按照预案处置,快速解决问题。</w:t>
      </w:r>
    </w:p>
    <w:p>
      <w:pPr>
        <w:widowControl/>
        <w:spacing w:line="390" w:lineRule="exact"/>
        <w:ind w:firstLine="480" w:firstLineChars="200"/>
        <w:contextualSpacing/>
        <w:rPr>
          <w:rFonts w:ascii="宋体" w:hAnsi="宋体" w:cs="宋体"/>
          <w:sz w:val="24"/>
          <w:lang w:val="zh-CN"/>
        </w:rPr>
      </w:pPr>
      <w:r>
        <w:rPr>
          <w:rFonts w:hint="eastAsia" w:ascii="宋体" w:hAnsi="宋体" w:cs="宋体"/>
          <w:sz w:val="24"/>
          <w:lang w:val="zh-CN"/>
        </w:rPr>
        <w:t>5.售后服务及培训要求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5.1云服务能力要求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云服务管理体系建设能力</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投标人可参考以下管理制度要求，在响应文件中制定投标人管理制度体系，并按照云管理单位要求，在云安全监管单位的具体指导下，调整完善相关制度规范。</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（1）投标人服务水平规范</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服务水平规范应全面体现投标人所提供的云服务能力，投标人在与云使用单位签订服务协议时应遵守规范要求，如用户需求与规范不一致，应在服务协议中明确差异。云平台投入运行后，规范将在政务云网站发布公示。规范可参考如下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云平台整体服务能力</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云服务介绍；各方权利义务、责任边界、服务规则（服务开通、费用、中止或终止）、第三方产品或服务、服务费抵扣索赔、服务级别协议排除项等</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云服务交付质量</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应根据政务云服务内容给出量化指标，具体内容要求应包括但不限于：服务内容说明、服务水平级别目标（如可用性、响应能力、故障恢复能力、可审查性等）、服务交付物、服务变更流程、各方职责义务、补偿方式等。</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（2）运维管理规范</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为了保障平台的服务质量，投标人应基于ITSS运维管理最佳实践编制运维管理流程，规范包括但不限于：事件/故障管理流程、变更管理流程、资源管理流程、监控与告警管理流程、备份与恢复管理流程等。</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（3）应急响应规范</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提出云平台应急制度、应急流程规范和云平台应急演练要求，并指导用户开展业务系统应急演练。</w:t>
      </w:r>
    </w:p>
    <w:p>
      <w:pPr>
        <w:adjustRightInd w:val="0"/>
        <w:spacing w:line="390" w:lineRule="exact"/>
        <w:ind w:left="420" w:firstLine="120" w:firstLineChars="50"/>
        <w:textAlignment w:val="baseline"/>
        <w:rPr>
          <w:rFonts w:ascii="宋体" w:hAnsi="宋体" w:cs="宋体"/>
          <w:sz w:val="24"/>
          <w:lang w:val="zh-CN"/>
        </w:rPr>
      </w:pPr>
      <w:r>
        <w:rPr>
          <w:rFonts w:hint="eastAsia" w:ascii="宋体" w:hAnsi="宋体" w:cs="宋体"/>
          <w:sz w:val="24"/>
          <w:lang w:val="zh-CN"/>
        </w:rPr>
        <w:t>5.2云平台售后整体要求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售后服务要求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投标人应制定机房、人员、备份、安全、设备、介质、泄密事件等管理制度，覆盖事件/故障管理、变更管理、资源监控、安全事件处置、安全通告处置等全生命周期运维流程。</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提供包含日常运维、重保运维、资源优化三个方面的运维服务，主动提供日、周、月、应急、巡检、监控、值班、来访等多维度、各层级日志文档。</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须根据项目要求安排具备相应资质和经验的专业人员从事本项目工作，确保项目实施队伍的稳定，保证担任重要岗位的人员具备相应专业资质。任命1名项目经理作为政务云售前和售后的总接口人，定期向政务云管理单位汇报工作。</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项目实施过程中，投标人应保证关键岗位人员不能随意变更，如因正当理由需要调整项目主要人员的，应当提前1个月通知云管理单位，获得书面同意后方可更换。</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应急保障要求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投标人应制定自身云平台的应急安全保障策略，保障平台稳定运行。</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提供定期的应急演练服务，通过定期开展应急演练，以检验应急方案的正确性，不断加强人员的应急安全意识和应急响应的熟练程度。</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提供应急响应服务和安全事件处置服务，针对云平台的网络、主机及应用系统，遭到黑客攻击或意外事故出现紧急情况时，应急工程师将在第一时间内赶赴现场协助解决问题，降低安全事件造成的损失，避免安全事件的扩大化。</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制定信息安全事件应急响应制度及规范，建立应急响应组织架构、信息安全事件定级表、上报流程、处置流程、处置预案、总结报告等。根据应急演练及应急响应优化应急预案体系知识库。</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云服务水平能力要求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维护人员具备故障快速定位和恢复能力，故障定位排除时限不超过30分钟，重要业务系统故障定位排除时限不超过10分钟。</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投标人应提供包括邮件、电话、即时通讯工具等响应手段。</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制定严格的日常巡检计划，定期对服务器、操作系统、云平台软件、存储、等设备进行巡检，巡检周期不可超过一周时间，巡检记录需要保存1年。平台相关设备的各级管理口令、密码，每半年一次周期性修改，口令的设置应符合密码复杂度要求。</w:t>
      </w:r>
    </w:p>
    <w:p>
      <w:pPr>
        <w:adjustRightInd w:val="0"/>
        <w:spacing w:line="390" w:lineRule="exact"/>
        <w:ind w:left="420" w:firstLine="120" w:firstLineChars="50"/>
        <w:textAlignment w:val="baseline"/>
        <w:rPr>
          <w:rFonts w:ascii="宋体" w:hAnsi="宋体" w:cs="宋体"/>
          <w:sz w:val="24"/>
          <w:lang w:val="zh-CN"/>
        </w:rPr>
      </w:pPr>
      <w:r>
        <w:rPr>
          <w:rFonts w:hint="eastAsia" w:ascii="宋体" w:hAnsi="宋体" w:cs="宋体"/>
          <w:sz w:val="24"/>
          <w:lang w:val="zh-CN"/>
        </w:rPr>
        <w:t>5.3培训要求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培训工作是投标人提高运维能力和云服务水平的重要工作之一。投标人应根据云环境下不同的维护角色提供具有针对性的专业培训。</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内部培训</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内部培训旨在提高云平台运维能力，规范运维管理。内容包括但不限于：</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（1）面向项目管理人员、系统管理人员的培训，确保此类人员能清晰地了解云平台的设计理念和设计方法，掌握云平台的整体结构，以及各类云资源的申请、审核、开通、回收等管理流程。</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（2）面向系统维护人员的培训，确保此类人员能理解和掌握云平台的相关技术知识，能够熟练地维护云平台，快速定位和解决系统出现的问题，保证云平台服务期间正常运转，并持续提高运维服务质量。</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（3）本单位人员的安全培训教育，确保工作人员符合岗位要求。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（4）云平台维护人员的定期业务培训和保密培训，重保前的业务培训和应急保障培训等。</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（5）面向政务云管理单位及云安全监管服务商的培训，确保此类人员充分了解云平台的技术架构、服务水平等。</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外部培训</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应根据本项目的特点制定培训方案并提供培训，负责安排专业培训讲师授课，并提供全套培训教材和培训课程计划表，培训课程涵盖政务云平台使用和管理培训，使政务云使用单位在培训后能够独立使用相关服务功能，而不必依赖投标人现场指导。投标人每年应组织安排至少一次针对云使用单位的系统入云及用户培训，培训规模应至少50人次。投标人应将所有培训费用（含培训教材费）及各项支出计入资源租赁费用中，不单独报价。内容包括但不限于：</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（1）面向使用单位和开发人员的技术交流，包括云架构规划咨询、应用系统部署、迁移，云平台运维及其他技术服务。</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2）面向使用单位的培训，确保云平台最终用户能理解和掌握各类云服务的使用方法和操作技巧，能够高效、熟练地基于云平台部署上层业务应用，最终使政务云使用单位在培训后能够独立使用相关服务功能，而不必依赖投标人现场指导。</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3）面向开发人员的培训，确保其能理解和掌握基于云平台的开发规范，针对具体的业务应用场景能够充分发挥云平台的技术优势，合理地设计上层业务应用的技术架构，制订部署、迁移方案，评估云资源的容量需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（4）定期对系统相关的人员进行应急预案培训，并进行应急预案的演练；每年至少开展1次云平台应急演练。</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投标人应在此基础上制定具有本单位特色的政务云培训方案。</w:t>
      </w:r>
    </w:p>
    <w:p>
      <w:pPr>
        <w:spacing w:line="390" w:lineRule="exact"/>
        <w:ind w:firstLine="480" w:firstLineChars="200"/>
        <w:contextualSpacing/>
        <w:rPr>
          <w:rFonts w:ascii="宋体" w:hAnsi="宋体" w:cs="宋体"/>
          <w:sz w:val="24"/>
        </w:rPr>
      </w:pPr>
      <w:r>
        <w:rPr>
          <w:rFonts w:hint="eastAsia" w:ascii="宋体" w:hAnsi="宋体" w:cs="宋体"/>
          <w:sz w:val="24"/>
        </w:rPr>
        <w:t>（三）验收标准</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rPr>
        <w:t>1.</w:t>
      </w:r>
      <w:r>
        <w:rPr>
          <w:rFonts w:hint="eastAsia" w:ascii="宋体" w:hAnsi="宋体" w:cs="宋体"/>
          <w:sz w:val="24"/>
          <w:lang w:val="zh-CN"/>
        </w:rPr>
        <w:t>中标人为采购人提供的服务质量应符合国家或相关行业，以及《北京市市级政务云管理办法》的标准。</w:t>
      </w:r>
    </w:p>
    <w:p>
      <w:pPr>
        <w:adjustRightInd w:val="0"/>
        <w:spacing w:line="390" w:lineRule="exact"/>
        <w:ind w:left="-36" w:leftChars="-17" w:firstLine="480" w:firstLineChars="200"/>
        <w:textAlignment w:val="baseline"/>
        <w:rPr>
          <w:rFonts w:ascii="宋体" w:hAnsi="宋体" w:cs="宋体"/>
          <w:sz w:val="24"/>
          <w:lang w:val="zh-CN"/>
        </w:rPr>
      </w:pPr>
      <w:r>
        <w:rPr>
          <w:rFonts w:hint="eastAsia" w:ascii="宋体" w:hAnsi="宋体" w:cs="宋体"/>
          <w:sz w:val="24"/>
          <w:lang w:val="zh-CN"/>
        </w:rPr>
        <w:t>2.中标人在按合同要求提供各项服务并形成服务报告文档后，在系统运行正常的前提下，由采购人进行验收。中标人需提供最终签署的合同中约定的相关文档并配合采购人验收工作。</w:t>
      </w:r>
    </w:p>
    <w:p>
      <w:pPr>
        <w:spacing w:line="390" w:lineRule="exact"/>
        <w:ind w:firstLine="480" w:firstLineChars="200"/>
        <w:contextualSpacing/>
        <w:rPr>
          <w:rFonts w:ascii="宋体" w:hAnsi="宋体" w:cs="宋体"/>
          <w:sz w:val="24"/>
          <w:lang w:val="zh-CN"/>
        </w:rPr>
      </w:pPr>
      <w:r>
        <w:rPr>
          <w:rFonts w:hint="eastAsia" w:ascii="宋体" w:hAnsi="宋体" w:cs="宋体"/>
          <w:sz w:val="24"/>
        </w:rPr>
        <w:t>（四）其他要求</w:t>
      </w:r>
    </w:p>
    <w:p>
      <w:pPr>
        <w:spacing w:line="390" w:lineRule="exact"/>
        <w:ind w:firstLine="480" w:firstLineChars="200"/>
        <w:contextualSpacing/>
        <w:rPr>
          <w:rFonts w:ascii="宋体" w:hAnsi="宋体" w:cs="宋体"/>
          <w:sz w:val="24"/>
          <w:lang w:val="zh-CN"/>
        </w:rPr>
      </w:pPr>
      <w:r>
        <w:rPr>
          <w:rFonts w:hint="eastAsia" w:ascii="宋体" w:hAnsi="宋体" w:cs="宋体"/>
          <w:sz w:val="24"/>
        </w:rPr>
        <w:t>1.</w:t>
      </w:r>
      <w:r>
        <w:rPr>
          <w:rFonts w:hint="eastAsia" w:ascii="宋体" w:hAnsi="宋体" w:cs="宋体"/>
          <w:sz w:val="24"/>
          <w:lang w:val="zh-CN"/>
        </w:rPr>
        <w:t>服务团队要求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须根据项目要求安排具备相应资质和经验的专业人员从事本项目工作，确保项目实施队伍的稳定，保证担任重要岗位的人员具备相应专业资质。任命1名项目经理作为政务云售前和售后的总接口人，常驻现场工作，定期向政务云管理单位汇报工作。</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为本项目提供不少于3人的服务团队，团队专业要求包括但不限于基础环境、网络安全、云平台等，团队职责明确,架构和岗位设置合理,团队人员都具备相应资质证书和相关项目经验。项目经理具有5年及以上项目管理工作经验且同时具有PMP证书、高级工程师证书（副高级及以上）、CCSC证书，云平台技术负责人具有网络和虚拟化的高级技术认证证书，网络安全负责人具有同时具有网络与信息安全管理师、高级信息系统项目管理师、高级系统架构设计师证书，其他团队人员具备在有效期内的以下证书：信息技术应用创新专业人员认证证书、数据安全专业人员认证（CDSP）二级证书。上述证书需提供证书复印件，并加盖投标人公章。</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项目实施过程中，投标人应保证关键岗位人员（包含云平台厂商原厂人员）不能随意变更，如因正当理由需要调整关键岗位人员，应当提前1个月通知云管理单位，获得书面同意后方可更换。</w:t>
      </w:r>
    </w:p>
    <w:p>
      <w:pPr>
        <w:spacing w:line="390" w:lineRule="exact"/>
        <w:ind w:firstLine="480" w:firstLineChars="200"/>
        <w:contextualSpacing/>
        <w:rPr>
          <w:rFonts w:ascii="宋体" w:hAnsi="宋体" w:cs="宋体"/>
          <w:sz w:val="24"/>
          <w:lang w:val="zh-CN"/>
        </w:rPr>
      </w:pPr>
      <w:r>
        <w:rPr>
          <w:rFonts w:hint="eastAsia" w:ascii="宋体" w:hAnsi="宋体" w:cs="宋体"/>
          <w:sz w:val="24"/>
        </w:rPr>
        <w:t>2.</w:t>
      </w:r>
      <w:r>
        <w:rPr>
          <w:rFonts w:hint="eastAsia" w:ascii="宋体" w:hAnsi="宋体" w:cs="宋体"/>
          <w:sz w:val="24"/>
          <w:lang w:val="zh-CN"/>
        </w:rPr>
        <w:t>运维知识库体系建设要求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投标人需提供知识库工具作为日常运维管理工作中经验累积沉淀工具，运维人员可以通过知识库功能很方便地实现对于知识的新建、审批、分类、查询、统计、管理等操作。</w:t>
      </w:r>
    </w:p>
    <w:p>
      <w:pPr>
        <w:spacing w:line="390" w:lineRule="exact"/>
        <w:ind w:firstLine="480" w:firstLineChars="200"/>
        <w:contextualSpacing/>
        <w:rPr>
          <w:rFonts w:ascii="宋体" w:hAnsi="宋体" w:cs="宋体"/>
          <w:sz w:val="24"/>
          <w:lang w:val="zh-CN"/>
        </w:rPr>
      </w:pPr>
      <w:r>
        <w:rPr>
          <w:rFonts w:hint="eastAsia" w:ascii="宋体" w:hAnsi="宋体" w:cs="宋体"/>
          <w:sz w:val="24"/>
        </w:rPr>
        <w:t>3.</w:t>
      </w:r>
      <w:r>
        <w:rPr>
          <w:rFonts w:hint="eastAsia" w:ascii="宋体" w:hAnsi="宋体" w:cs="宋体"/>
          <w:sz w:val="24"/>
          <w:lang w:val="zh-CN"/>
        </w:rPr>
        <w:t>保密要求</w:t>
      </w:r>
    </w:p>
    <w:p>
      <w:pPr>
        <w:adjustRightInd w:val="0"/>
        <w:spacing w:line="390" w:lineRule="exact"/>
        <w:ind w:firstLine="480" w:firstLineChars="200"/>
        <w:textAlignment w:val="baseline"/>
        <w:rPr>
          <w:rFonts w:ascii="宋体" w:hAnsi="宋体" w:cs="宋体"/>
          <w:sz w:val="24"/>
          <w:lang w:val="zh-CN"/>
        </w:rPr>
      </w:pPr>
      <w:r>
        <w:rPr>
          <w:rFonts w:hint="eastAsia" w:ascii="宋体" w:hAnsi="宋体" w:cs="宋体"/>
          <w:sz w:val="24"/>
          <w:lang w:val="zh-CN"/>
        </w:rPr>
        <w:t>投标人须严格遵守采购人的相关信息安全规定，不得利用系统维护服务时的便利对采购人数据及其他信息擅自修改或透漏给第三方。</w:t>
      </w:r>
    </w:p>
    <w:p>
      <w:pPr>
        <w:spacing w:line="400" w:lineRule="exact"/>
        <w:rPr>
          <w:rFonts w:ascii="宋体" w:hAnsi="宋体" w:cs="宋体"/>
          <w:sz w:val="28"/>
          <w:szCs w:val="28"/>
        </w:rPr>
      </w:pPr>
    </w:p>
    <w:p>
      <w:pPr>
        <w:autoSpaceDE w:val="0"/>
        <w:autoSpaceDN w:val="0"/>
        <w:rPr>
          <w:rFonts w:ascii="宋体" w:hAnsi="宋体" w:cs="宋体"/>
          <w:bCs/>
          <w:sz w:val="28"/>
          <w:szCs w:val="28"/>
        </w:rPr>
      </w:pPr>
    </w:p>
    <w:p>
      <w:pPr>
        <w:rPr>
          <w:rFonts w:ascii="宋体" w:hAnsi="宋体" w:cs="宋体"/>
          <w:sz w:val="28"/>
          <w:szCs w:val="28"/>
        </w:rPr>
      </w:pPr>
    </w:p>
    <w:p>
      <w:pPr>
        <w:spacing w:line="360" w:lineRule="auto"/>
        <w:jc w:val="center"/>
        <w:outlineLvl w:val="0"/>
        <w:rPr>
          <w:rFonts w:eastAsia="宋体"/>
          <w:kern w:val="0"/>
          <w:sz w:val="18"/>
          <w:szCs w:val="18"/>
        </w:rPr>
      </w:pPr>
      <w:r>
        <w:rPr>
          <w:rFonts w:eastAsia="宋体"/>
          <w:b/>
          <w:sz w:val="36"/>
          <w:szCs w:val="36"/>
        </w:rPr>
        <w:br w:type="page"/>
      </w:r>
      <w:bookmarkStart w:id="665" w:name="_Toc97371946"/>
      <w:r>
        <w:rPr>
          <w:rFonts w:eastAsia="宋体"/>
          <w:b/>
          <w:sz w:val="36"/>
          <w:szCs w:val="36"/>
        </w:rPr>
        <w:t>第五章   合同草案条款</w:t>
      </w:r>
      <w:bookmarkEnd w:id="665"/>
    </w:p>
    <w:p>
      <w:pPr>
        <w:tabs>
          <w:tab w:val="left" w:pos="900"/>
          <w:tab w:val="left" w:pos="1080"/>
        </w:tabs>
        <w:snapToGrid w:val="0"/>
        <w:spacing w:line="420" w:lineRule="exact"/>
        <w:rPr>
          <w:kern w:val="0"/>
          <w:sz w:val="24"/>
        </w:rPr>
      </w:pPr>
      <w:r>
        <w:rPr>
          <w:kern w:val="0"/>
          <w:sz w:val="24"/>
        </w:rPr>
        <w:t>说明：</w:t>
      </w:r>
    </w:p>
    <w:p>
      <w:pPr>
        <w:tabs>
          <w:tab w:val="left" w:pos="900"/>
          <w:tab w:val="left" w:pos="1080"/>
        </w:tabs>
        <w:snapToGrid w:val="0"/>
        <w:spacing w:line="420" w:lineRule="exact"/>
        <w:rPr>
          <w:kern w:val="0"/>
          <w:sz w:val="24"/>
        </w:rPr>
      </w:pPr>
      <w:r>
        <w:rPr>
          <w:kern w:val="0"/>
          <w:sz w:val="24"/>
        </w:rPr>
        <w:t>1. 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p>
      <w:pPr>
        <w:tabs>
          <w:tab w:val="left" w:pos="900"/>
          <w:tab w:val="left" w:pos="1080"/>
        </w:tabs>
        <w:snapToGrid w:val="0"/>
        <w:spacing w:line="420" w:lineRule="exact"/>
        <w:rPr>
          <w:kern w:val="0"/>
          <w:sz w:val="24"/>
        </w:rPr>
      </w:pPr>
      <w:r>
        <w:rPr>
          <w:kern w:val="0"/>
          <w:sz w:val="24"/>
        </w:rPr>
        <w:t>2.</w:t>
      </w:r>
      <w:r>
        <w:t xml:space="preserve"> </w:t>
      </w:r>
      <w:r>
        <w:rPr>
          <w:kern w:val="0"/>
          <w:sz w:val="24"/>
        </w:rPr>
        <w:t>合同类型按照民法典规定的典型合同类别，结合采购标的的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tabs>
          <w:tab w:val="left" w:pos="900"/>
          <w:tab w:val="left" w:pos="1080"/>
        </w:tabs>
        <w:snapToGrid w:val="0"/>
        <w:spacing w:line="420" w:lineRule="exact"/>
        <w:rPr>
          <w:kern w:val="0"/>
          <w:sz w:val="24"/>
        </w:rPr>
      </w:pPr>
      <w:r>
        <w:rPr>
          <w:kern w:val="0"/>
          <w:sz w:val="24"/>
        </w:rPr>
        <w:t>3. 合同条款中应规定，乙方完全遵守《中华人民共和国妇女权益保障法》中关于“劳动和社会保障权益”的有关要求。</w:t>
      </w:r>
    </w:p>
    <w:p>
      <w:pPr>
        <w:tabs>
          <w:tab w:val="left" w:pos="900"/>
          <w:tab w:val="left" w:pos="1080"/>
        </w:tabs>
        <w:snapToGrid w:val="0"/>
        <w:spacing w:line="420" w:lineRule="exact"/>
        <w:rPr>
          <w:sz w:val="24"/>
        </w:rPr>
      </w:pPr>
      <w:r>
        <w:rPr>
          <w:kern w:val="0"/>
          <w:sz w:val="24"/>
        </w:rPr>
        <w:t xml:space="preserve">4. </w:t>
      </w:r>
      <w:r>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900"/>
          <w:tab w:val="left" w:pos="1080"/>
        </w:tabs>
        <w:snapToGrid w:val="0"/>
        <w:spacing w:line="420" w:lineRule="exact"/>
        <w:rPr>
          <w:sz w:val="24"/>
        </w:rPr>
      </w:pPr>
      <w:r>
        <w:rPr>
          <w:sz w:val="24"/>
        </w:rPr>
        <w:t>5. 政府采购合同设定首付款支付方式的，首付款支付比例原则上不低于合同金额的30%；对于中小企业，首付款支付比例原则上不低于合同金额的50%。</w:t>
      </w:r>
    </w:p>
    <w:p>
      <w:pPr>
        <w:tabs>
          <w:tab w:val="left" w:pos="900"/>
          <w:tab w:val="left" w:pos="1080"/>
        </w:tabs>
        <w:snapToGrid w:val="0"/>
        <w:spacing w:line="420" w:lineRule="exact"/>
        <w:rPr>
          <w:sz w:val="24"/>
        </w:rPr>
      </w:pPr>
      <w:r>
        <w:rPr>
          <w:sz w:val="24"/>
        </w:rPr>
        <w:t>6. 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tabs>
          <w:tab w:val="left" w:pos="900"/>
          <w:tab w:val="left" w:pos="1080"/>
        </w:tabs>
        <w:snapToGrid w:val="0"/>
        <w:spacing w:line="420" w:lineRule="exact"/>
        <w:rPr>
          <w:sz w:val="24"/>
        </w:rPr>
      </w:pPr>
      <w:r>
        <w:rPr>
          <w:sz w:val="24"/>
        </w:rPr>
        <w:t>7.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pPr>
        <w:tabs>
          <w:tab w:val="left" w:pos="900"/>
          <w:tab w:val="left" w:pos="1080"/>
        </w:tabs>
        <w:snapToGrid w:val="0"/>
        <w:spacing w:line="420" w:lineRule="exact"/>
        <w:rPr>
          <w:rFonts w:eastAsia="宋体"/>
          <w:b/>
          <w:sz w:val="36"/>
          <w:szCs w:val="36"/>
        </w:rPr>
      </w:pPr>
      <w:r>
        <w:rPr>
          <w:sz w:val="24"/>
        </w:rPr>
        <w:t>8. 当采购项目涉及数据中心相关设备、运维服务时，采购需求应当符合《绿色数据中心政府采购需求标准（试行）》（财库〔2023〕7号）的有关要求，并在合同中明确对相关指标的验收方式和违约责任。</w:t>
      </w:r>
      <w:bookmarkStart w:id="666" w:name="_Toc97371947"/>
    </w:p>
    <w:p>
      <w:pPr>
        <w:widowControl/>
        <w:jc w:val="center"/>
        <w:rPr>
          <w:rFonts w:ascii="宋体" w:hAnsi="宋体" w:cs="宋体"/>
          <w:b/>
          <w:bCs/>
          <w:sz w:val="28"/>
          <w:szCs w:val="28"/>
        </w:rPr>
      </w:pPr>
      <w:r>
        <w:rPr>
          <w:rFonts w:eastAsia="宋体"/>
          <w:b/>
          <w:sz w:val="36"/>
          <w:szCs w:val="36"/>
        </w:rPr>
        <w:br w:type="page"/>
      </w:r>
      <w:bookmarkStart w:id="667" w:name="_Toc23703"/>
      <w:bookmarkStart w:id="668" w:name="_Toc328816004"/>
      <w:bookmarkStart w:id="669" w:name="_Toc466015315"/>
      <w:r>
        <w:rPr>
          <w:rFonts w:hint="eastAsia" w:ascii="宋体" w:hAnsi="宋体" w:cs="宋体"/>
          <w:b/>
          <w:bCs/>
          <w:sz w:val="28"/>
          <w:szCs w:val="28"/>
        </w:rPr>
        <w:t>政府采购合同</w:t>
      </w:r>
      <w:bookmarkEnd w:id="667"/>
      <w:bookmarkEnd w:id="668"/>
      <w:bookmarkEnd w:id="669"/>
    </w:p>
    <w:p>
      <w:pPr>
        <w:spacing w:line="360" w:lineRule="auto"/>
        <w:rPr>
          <w:rFonts w:ascii="宋体" w:hAnsi="宋体" w:cs="宋体"/>
          <w:b/>
          <w:bCs/>
          <w:color w:val="0000FF"/>
          <w:sz w:val="28"/>
          <w:szCs w:val="28"/>
        </w:rPr>
      </w:pPr>
    </w:p>
    <w:p>
      <w:pPr>
        <w:spacing w:line="400" w:lineRule="exact"/>
        <w:jc w:val="center"/>
        <w:rPr>
          <w:rFonts w:ascii="宋体" w:hAnsi="宋体" w:cs="宋体"/>
          <w:b/>
          <w:bCs/>
          <w:sz w:val="28"/>
          <w:szCs w:val="28"/>
        </w:rPr>
      </w:pPr>
      <w:r>
        <w:rPr>
          <w:rFonts w:hint="eastAsia" w:ascii="宋体" w:hAnsi="宋体" w:cs="宋体"/>
          <w:b/>
          <w:bCs/>
          <w:sz w:val="28"/>
          <w:szCs w:val="28"/>
        </w:rPr>
        <w:t>（此合同仅供参考。以最终采购人与中标人签定的合同条款为准进行公示，</w:t>
      </w:r>
    </w:p>
    <w:p>
      <w:pPr>
        <w:spacing w:line="400" w:lineRule="exact"/>
        <w:jc w:val="center"/>
        <w:rPr>
          <w:rFonts w:ascii="宋体" w:hAnsi="宋体" w:cs="宋体"/>
          <w:b/>
          <w:bCs/>
          <w:sz w:val="28"/>
          <w:szCs w:val="28"/>
        </w:rPr>
      </w:pPr>
      <w:r>
        <w:rPr>
          <w:rFonts w:hint="eastAsia" w:ascii="宋体" w:hAnsi="宋体" w:cs="宋体"/>
          <w:b/>
          <w:bCs/>
          <w:sz w:val="28"/>
          <w:szCs w:val="28"/>
        </w:rPr>
        <w:t>最终签定合同的主要条款不能与招标文件有冲突）</w:t>
      </w:r>
    </w:p>
    <w:p>
      <w:pPr>
        <w:pStyle w:val="6"/>
        <w:rPr>
          <w:rFonts w:hAnsi="宋体" w:cs="宋体"/>
          <w:b/>
          <w:bCs/>
          <w:sz w:val="28"/>
          <w:szCs w:val="28"/>
        </w:rPr>
      </w:pPr>
    </w:p>
    <w:p>
      <w:pPr>
        <w:pStyle w:val="6"/>
        <w:rPr>
          <w:rFonts w:hAnsi="宋体" w:cs="宋体"/>
          <w:b/>
          <w:bCs/>
          <w:sz w:val="28"/>
          <w:szCs w:val="28"/>
        </w:rPr>
      </w:pPr>
    </w:p>
    <w:p>
      <w:pPr>
        <w:pStyle w:val="6"/>
        <w:rPr>
          <w:rFonts w:hAnsi="宋体" w:cs="宋体"/>
          <w:b/>
          <w:bCs/>
          <w:sz w:val="28"/>
          <w:szCs w:val="28"/>
        </w:rPr>
      </w:pPr>
    </w:p>
    <w:p>
      <w:pPr>
        <w:rPr>
          <w:rFonts w:ascii="宋体" w:hAnsi="宋体" w:cs="宋体"/>
          <w:sz w:val="24"/>
        </w:rPr>
      </w:pPr>
    </w:p>
    <w:p>
      <w:pPr>
        <w:rPr>
          <w:rFonts w:ascii="宋体" w:hAnsi="宋体" w:cs="宋体"/>
          <w:sz w:val="24"/>
        </w:rPr>
      </w:pPr>
    </w:p>
    <w:p>
      <w:pPr>
        <w:pStyle w:val="3"/>
        <w:snapToGrid w:val="0"/>
        <w:spacing w:line="304" w:lineRule="auto"/>
        <w:ind w:right="420" w:firstLine="5520" w:firstLineChars="2300"/>
        <w:jc w:val="both"/>
        <w:rPr>
          <w:rFonts w:hAnsi="宋体" w:cs="宋体"/>
          <w:b w:val="0"/>
          <w:sz w:val="24"/>
          <w:szCs w:val="24"/>
          <w:u w:val="single"/>
        </w:rPr>
      </w:pPr>
      <w:r>
        <w:rPr>
          <w:rFonts w:hint="eastAsia" w:hAnsi="宋体" w:cs="宋体"/>
          <w:b w:val="0"/>
          <w:sz w:val="24"/>
          <w:szCs w:val="24"/>
        </w:rPr>
        <w:t>合同编号：</w:t>
      </w:r>
      <w:r>
        <w:rPr>
          <w:rFonts w:hint="eastAsia" w:hAnsi="宋体" w:cs="宋体"/>
          <w:b w:val="0"/>
          <w:sz w:val="24"/>
          <w:szCs w:val="24"/>
          <w:u w:val="single"/>
        </w:rPr>
        <w:t xml:space="preserve">                  </w:t>
      </w:r>
    </w:p>
    <w:p>
      <w:pPr>
        <w:pStyle w:val="3"/>
        <w:snapToGrid w:val="0"/>
        <w:spacing w:line="304" w:lineRule="auto"/>
        <w:ind w:right="480"/>
        <w:jc w:val="both"/>
        <w:rPr>
          <w:rFonts w:hAnsi="宋体" w:cs="宋体"/>
          <w:sz w:val="24"/>
          <w:szCs w:val="24"/>
        </w:rPr>
      </w:pPr>
      <w:r>
        <w:rPr>
          <w:rFonts w:hint="eastAsia" w:hAnsi="宋体" w:cs="宋体"/>
          <w:b w:val="0"/>
          <w:sz w:val="24"/>
          <w:szCs w:val="24"/>
        </w:rPr>
        <w:t xml:space="preserve">                                                </w:t>
      </w:r>
    </w:p>
    <w:p>
      <w:pPr>
        <w:pStyle w:val="4"/>
        <w:numPr>
          <w:ilvl w:val="1"/>
          <w:numId w:val="0"/>
        </w:numPr>
        <w:snapToGrid w:val="0"/>
        <w:spacing w:line="272" w:lineRule="atLeast"/>
        <w:rPr>
          <w:rFonts w:ascii="宋体" w:hAnsi="宋体" w:eastAsia="宋体" w:cs="宋体"/>
          <w:sz w:val="24"/>
          <w:szCs w:val="24"/>
        </w:rPr>
      </w:pPr>
    </w:p>
    <w:p>
      <w:pPr>
        <w:pStyle w:val="4"/>
        <w:numPr>
          <w:ilvl w:val="1"/>
          <w:numId w:val="0"/>
        </w:numPr>
        <w:snapToGrid w:val="0"/>
        <w:spacing w:line="272" w:lineRule="atLeast"/>
        <w:rPr>
          <w:rFonts w:ascii="宋体" w:hAnsi="宋体" w:eastAsia="宋体" w:cs="宋体"/>
          <w:sz w:val="24"/>
          <w:szCs w:val="24"/>
        </w:rPr>
      </w:pPr>
    </w:p>
    <w:p>
      <w:pPr>
        <w:snapToGrid w:val="0"/>
        <w:spacing w:before="119" w:line="272" w:lineRule="atLeast"/>
        <w:ind w:left="958"/>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snapToGrid w:val="0"/>
        <w:spacing w:before="119" w:line="272" w:lineRule="atLeast"/>
        <w:ind w:left="958"/>
        <w:rPr>
          <w:rFonts w:ascii="宋体" w:hAnsi="宋体" w:cs="宋体"/>
          <w:sz w:val="24"/>
        </w:rPr>
      </w:pPr>
      <w:r>
        <w:rPr>
          <w:rFonts w:hint="eastAsia" w:ascii="宋体" w:hAnsi="宋体" w:cs="宋体"/>
          <w:sz w:val="24"/>
        </w:rPr>
        <w:t xml:space="preserve"> </w:t>
      </w:r>
    </w:p>
    <w:p>
      <w:pPr>
        <w:snapToGrid w:val="0"/>
        <w:spacing w:before="119" w:line="272" w:lineRule="atLeast"/>
        <w:rPr>
          <w:rFonts w:ascii="宋体" w:hAnsi="宋体" w:cs="宋体"/>
          <w:sz w:val="24"/>
        </w:rPr>
      </w:pPr>
    </w:p>
    <w:p>
      <w:pPr>
        <w:snapToGrid w:val="0"/>
        <w:spacing w:before="119" w:line="272" w:lineRule="atLeast"/>
        <w:rPr>
          <w:rFonts w:ascii="宋体" w:hAnsi="宋体" w:cs="宋体"/>
          <w:sz w:val="24"/>
        </w:rPr>
      </w:pPr>
    </w:p>
    <w:p>
      <w:pPr>
        <w:snapToGrid w:val="0"/>
        <w:spacing w:before="119" w:line="272" w:lineRule="atLeast"/>
        <w:ind w:left="958"/>
        <w:rPr>
          <w:rFonts w:ascii="宋体" w:hAnsi="宋体" w:cs="宋体"/>
          <w:sz w:val="24"/>
        </w:rPr>
      </w:pPr>
      <w:r>
        <w:rPr>
          <w:rFonts w:hint="eastAsia" w:ascii="宋体" w:hAnsi="宋体" w:cs="宋体"/>
          <w:sz w:val="24"/>
        </w:rPr>
        <w:t>甲　　方：</w:t>
      </w:r>
      <w:r>
        <w:rPr>
          <w:rFonts w:hint="eastAsia" w:ascii="宋体" w:hAnsi="宋体" w:cs="宋体"/>
          <w:sz w:val="24"/>
          <w:u w:val="single"/>
        </w:rPr>
        <w:t xml:space="preserve">                                              </w:t>
      </w:r>
    </w:p>
    <w:p>
      <w:pPr>
        <w:snapToGrid w:val="0"/>
        <w:spacing w:before="119" w:line="272" w:lineRule="atLeast"/>
        <w:ind w:left="958"/>
        <w:rPr>
          <w:rFonts w:ascii="宋体" w:hAnsi="宋体" w:cs="宋体"/>
          <w:sz w:val="24"/>
        </w:rPr>
      </w:pPr>
      <w:r>
        <w:rPr>
          <w:rFonts w:hint="eastAsia" w:ascii="宋体" w:hAnsi="宋体" w:cs="宋体"/>
          <w:sz w:val="24"/>
        </w:rPr>
        <w:t xml:space="preserve">  </w:t>
      </w:r>
    </w:p>
    <w:p>
      <w:pPr>
        <w:snapToGrid w:val="0"/>
        <w:spacing w:before="119" w:line="272" w:lineRule="atLeast"/>
        <w:ind w:left="958"/>
        <w:rPr>
          <w:rFonts w:ascii="宋体" w:hAnsi="宋体" w:cs="宋体"/>
          <w:sz w:val="24"/>
        </w:rPr>
      </w:pPr>
      <w:r>
        <w:rPr>
          <w:rFonts w:hint="eastAsia" w:ascii="宋体" w:hAnsi="宋体" w:cs="宋体"/>
          <w:sz w:val="24"/>
        </w:rPr>
        <w:t>乙　　方：</w:t>
      </w:r>
      <w:r>
        <w:rPr>
          <w:rFonts w:hint="eastAsia" w:ascii="宋体" w:hAnsi="宋体" w:cs="宋体"/>
          <w:sz w:val="24"/>
          <w:u w:val="single"/>
        </w:rPr>
        <w:t xml:space="preserve">                                              </w:t>
      </w:r>
    </w:p>
    <w:p>
      <w:pPr>
        <w:snapToGrid w:val="0"/>
        <w:spacing w:before="119" w:line="272" w:lineRule="atLeast"/>
        <w:rPr>
          <w:rFonts w:ascii="宋体" w:hAnsi="宋体" w:cs="宋体"/>
          <w:sz w:val="24"/>
        </w:rPr>
      </w:pPr>
      <w:r>
        <w:rPr>
          <w:rFonts w:hint="eastAsia" w:ascii="宋体" w:hAnsi="宋体" w:cs="宋体"/>
          <w:sz w:val="24"/>
        </w:rPr>
        <w:t xml:space="preserve"> </w:t>
      </w:r>
    </w:p>
    <w:p>
      <w:pPr>
        <w:snapToGrid w:val="0"/>
        <w:spacing w:before="119" w:line="272" w:lineRule="atLeast"/>
        <w:ind w:left="958"/>
        <w:jc w:val="center"/>
        <w:rPr>
          <w:rFonts w:ascii="宋体" w:hAnsi="宋体" w:cs="宋体"/>
          <w:sz w:val="24"/>
        </w:rPr>
      </w:pPr>
    </w:p>
    <w:p>
      <w:pPr>
        <w:snapToGrid w:val="0"/>
        <w:spacing w:before="119" w:line="272" w:lineRule="atLeast"/>
        <w:ind w:left="958"/>
        <w:jc w:val="center"/>
        <w:rPr>
          <w:rFonts w:ascii="宋体" w:hAnsi="宋体" w:cs="宋体"/>
          <w:sz w:val="24"/>
        </w:rPr>
      </w:pPr>
    </w:p>
    <w:p>
      <w:pPr>
        <w:snapToGrid w:val="0"/>
        <w:spacing w:before="119" w:line="272" w:lineRule="atLeast"/>
        <w:ind w:left="958"/>
        <w:rPr>
          <w:rFonts w:ascii="宋体" w:hAnsi="宋体" w:cs="宋体"/>
          <w:sz w:val="24"/>
        </w:rPr>
      </w:pPr>
      <w:r>
        <w:rPr>
          <w:rFonts w:hint="eastAsia" w:ascii="宋体" w:hAnsi="宋体" w:cs="宋体"/>
          <w:sz w:val="24"/>
        </w:rPr>
        <w:t>签署日期：</w:t>
      </w:r>
      <w:r>
        <w:rPr>
          <w:rFonts w:hint="eastAsia" w:ascii="宋体" w:hAnsi="宋体" w:cs="宋体"/>
          <w:sz w:val="24"/>
          <w:u w:val="single"/>
        </w:rPr>
        <w:t xml:space="preserve">                年  </w:t>
      </w:r>
      <w:r>
        <w:rPr>
          <w:rFonts w:ascii="宋体" w:hAnsi="宋体" w:cs="宋体"/>
          <w:sz w:val="24"/>
          <w:u w:val="single"/>
        </w:rPr>
        <w:t xml:space="preserve"> </w:t>
      </w:r>
      <w:r>
        <w:rPr>
          <w:rFonts w:hint="eastAsia" w:ascii="宋体" w:hAnsi="宋体" w:cs="宋体"/>
          <w:sz w:val="24"/>
          <w:u w:val="single"/>
        </w:rPr>
        <w:t xml:space="preserve">  月    日                </w:t>
      </w:r>
    </w:p>
    <w:p>
      <w:pPr>
        <w:snapToGrid w:val="0"/>
        <w:spacing w:before="119" w:line="272" w:lineRule="atLeast"/>
        <w:ind w:left="958"/>
        <w:rPr>
          <w:rFonts w:ascii="宋体" w:hAnsi="宋体" w:cs="宋体"/>
          <w:sz w:val="24"/>
        </w:rPr>
      </w:pPr>
      <w:r>
        <w:rPr>
          <w:rFonts w:hint="eastAsia" w:ascii="宋体" w:hAnsi="宋体" w:cs="宋体"/>
          <w:sz w:val="24"/>
        </w:rPr>
        <w:t xml:space="preserve">                                           </w:t>
      </w:r>
    </w:p>
    <w:p>
      <w:pPr>
        <w:snapToGrid w:val="0"/>
        <w:spacing w:before="119" w:line="232" w:lineRule="atLeast"/>
        <w:ind w:left="958"/>
        <w:rPr>
          <w:rFonts w:ascii="宋体" w:hAnsi="宋体" w:cs="宋体"/>
          <w:sz w:val="24"/>
        </w:rPr>
      </w:pPr>
    </w:p>
    <w:p>
      <w:pPr>
        <w:snapToGrid w:val="0"/>
        <w:spacing w:before="119" w:line="345" w:lineRule="auto"/>
        <w:jc w:val="center"/>
        <w:rPr>
          <w:rFonts w:ascii="宋体" w:hAnsi="宋体" w:cs="宋体"/>
          <w:sz w:val="24"/>
        </w:rPr>
        <w:sectPr>
          <w:headerReference r:id="rId11" w:type="default"/>
          <w:footerReference r:id="rId12" w:type="default"/>
          <w:pgSz w:w="11905" w:h="16837"/>
          <w:pgMar w:top="1439" w:right="1797" w:bottom="1439" w:left="1797" w:header="850" w:footer="992" w:gutter="0"/>
          <w:cols w:space="720" w:num="1"/>
        </w:sectPr>
      </w:pPr>
    </w:p>
    <w:p>
      <w:pPr>
        <w:spacing w:line="360" w:lineRule="auto"/>
        <w:ind w:firstLine="480" w:firstLineChars="200"/>
        <w:rPr>
          <w:rFonts w:ascii="宋体" w:hAnsi="宋体" w:cs="宋体"/>
          <w:sz w:val="24"/>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rPr>
        <w:t>（以下简称“甲方”）</w:t>
      </w:r>
    </w:p>
    <w:p>
      <w:pPr>
        <w:spacing w:line="360" w:lineRule="auto"/>
        <w:ind w:firstLine="480" w:firstLineChars="200"/>
        <w:rPr>
          <w:rFonts w:ascii="宋体" w:hAnsi="宋体" w:cs="宋体"/>
          <w:sz w:val="24"/>
        </w:rPr>
      </w:pPr>
      <w:r>
        <w:rPr>
          <w:rFonts w:hint="eastAsia" w:ascii="宋体" w:hAnsi="宋体" w:cs="宋体"/>
          <w:sz w:val="24"/>
        </w:rPr>
        <w:t xml:space="preserve">法定代表人或授权代表人：          </w:t>
      </w:r>
    </w:p>
    <w:p>
      <w:pPr>
        <w:spacing w:line="360" w:lineRule="auto"/>
        <w:ind w:firstLine="480" w:firstLineChars="200"/>
        <w:rPr>
          <w:rFonts w:ascii="宋体" w:hAnsi="宋体" w:cs="宋体"/>
          <w:sz w:val="24"/>
        </w:rPr>
      </w:pPr>
      <w:r>
        <w:rPr>
          <w:rFonts w:hint="eastAsia" w:ascii="宋体" w:hAnsi="宋体" w:cs="宋体"/>
          <w:sz w:val="24"/>
        </w:rPr>
        <w:t>办公地址：</w:t>
      </w:r>
    </w:p>
    <w:p>
      <w:pPr>
        <w:spacing w:line="360" w:lineRule="auto"/>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pPr>
        <w:spacing w:line="360" w:lineRule="auto"/>
        <w:ind w:firstLine="480" w:firstLineChars="200"/>
        <w:rPr>
          <w:rFonts w:ascii="宋体" w:hAnsi="宋体" w:cs="宋体"/>
          <w:sz w:val="24"/>
        </w:rPr>
      </w:pPr>
      <w:r>
        <w:rPr>
          <w:rFonts w:hint="eastAsia" w:ascii="宋体" w:hAnsi="宋体" w:cs="宋体"/>
          <w:sz w:val="24"/>
        </w:rPr>
        <w:t>法定代表人或授权代表人：</w:t>
      </w:r>
    </w:p>
    <w:p>
      <w:pPr>
        <w:spacing w:line="360" w:lineRule="auto"/>
        <w:ind w:firstLine="480" w:firstLineChars="200"/>
        <w:rPr>
          <w:rFonts w:ascii="宋体" w:hAnsi="宋体" w:cs="宋体"/>
          <w:sz w:val="24"/>
        </w:rPr>
      </w:pPr>
      <w:r>
        <w:rPr>
          <w:rFonts w:hint="eastAsia" w:ascii="宋体" w:hAnsi="宋体" w:cs="宋体"/>
          <w:sz w:val="24"/>
        </w:rPr>
        <w:t>办公地址：</w:t>
      </w:r>
    </w:p>
    <w:p>
      <w:pPr>
        <w:spacing w:line="360" w:lineRule="auto"/>
        <w:ind w:firstLine="480" w:firstLineChars="200"/>
        <w:rPr>
          <w:rFonts w:ascii="宋体" w:hAnsi="宋体" w:cs="宋体"/>
          <w:sz w:val="24"/>
          <w:highlight w:val="yellow"/>
        </w:rPr>
      </w:pPr>
    </w:p>
    <w:p>
      <w:pPr>
        <w:spacing w:line="360" w:lineRule="auto"/>
        <w:ind w:firstLine="480" w:firstLineChars="200"/>
        <w:rPr>
          <w:rFonts w:ascii="宋体" w:hAnsi="宋体" w:cs="宋体"/>
          <w:sz w:val="24"/>
        </w:rPr>
      </w:pPr>
      <w:r>
        <w:rPr>
          <w:rFonts w:hint="eastAsia" w:ascii="宋体" w:hAnsi="宋体" w:cs="宋体"/>
          <w:sz w:val="24"/>
        </w:rPr>
        <w:t>甲方就</w:t>
      </w:r>
      <w:r>
        <w:rPr>
          <w:rFonts w:hint="eastAsia" w:ascii="宋体" w:hAnsi="宋体" w:cs="宋体"/>
          <w:sz w:val="24"/>
          <w:u w:val="single"/>
        </w:rPr>
        <w:t xml:space="preserve">                          </w:t>
      </w:r>
      <w:r>
        <w:rPr>
          <w:rFonts w:hint="eastAsia" w:ascii="宋体" w:hAnsi="宋体" w:cs="宋体"/>
          <w:sz w:val="24"/>
        </w:rPr>
        <w:t>，依据《中华人民共和国民法典》、《中华人民共和国政府采购法》相关规定，委托</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rPr>
        <w:t>方式进行采购，确定乙方为中标人（见附件一：中标通知书）。甲乙双方本着友好合作、平等互利的原则，经双方友好协商，就乙方为甲方提供</w:t>
      </w:r>
      <w:r>
        <w:rPr>
          <w:rFonts w:hint="eastAsia" w:ascii="宋体" w:hAnsi="宋体" w:cs="宋体"/>
          <w:sz w:val="24"/>
          <w:u w:val="single"/>
        </w:rPr>
        <w:t>政务云租用</w:t>
      </w:r>
      <w:r>
        <w:rPr>
          <w:rFonts w:hint="eastAsia" w:ascii="宋体" w:hAnsi="宋体" w:cs="宋体"/>
          <w:sz w:val="24"/>
        </w:rPr>
        <w:t>服务（下称“服务”）事宜，共同签订本合同，以兹双方共同遵守。具体约定如下：</w:t>
      </w:r>
    </w:p>
    <w:p>
      <w:pPr>
        <w:spacing w:line="360" w:lineRule="auto"/>
        <w:ind w:left="420"/>
        <w:outlineLvl w:val="0"/>
        <w:rPr>
          <w:rFonts w:ascii="宋体" w:hAnsi="宋体" w:cs="宋体"/>
          <w:b/>
          <w:sz w:val="24"/>
        </w:rPr>
      </w:pPr>
      <w:bookmarkStart w:id="670" w:name="_Toc522174705"/>
      <w:bookmarkStart w:id="671" w:name="_Toc525937775"/>
      <w:bookmarkStart w:id="672" w:name="_Toc384722334"/>
      <w:bookmarkStart w:id="673" w:name="_Toc493595013"/>
      <w:bookmarkStart w:id="674" w:name="_Toc425268708"/>
      <w:r>
        <w:rPr>
          <w:rFonts w:hint="eastAsia" w:ascii="宋体" w:hAnsi="宋体" w:cs="宋体"/>
          <w:b/>
          <w:sz w:val="24"/>
        </w:rPr>
        <w:t>一、定义</w:t>
      </w:r>
      <w:bookmarkEnd w:id="670"/>
      <w:bookmarkEnd w:id="671"/>
      <w:bookmarkEnd w:id="672"/>
      <w:bookmarkEnd w:id="673"/>
      <w:bookmarkEnd w:id="674"/>
    </w:p>
    <w:p>
      <w:pPr>
        <w:spacing w:line="360" w:lineRule="auto"/>
        <w:ind w:firstLine="480" w:firstLineChars="200"/>
        <w:rPr>
          <w:rFonts w:ascii="宋体" w:hAnsi="宋体" w:cs="宋体"/>
          <w:sz w:val="24"/>
        </w:rPr>
      </w:pPr>
      <w:r>
        <w:rPr>
          <w:rFonts w:hint="eastAsia" w:ascii="宋体" w:hAnsi="宋体" w:cs="宋体"/>
          <w:sz w:val="24"/>
        </w:rPr>
        <w:t>1. “合同”：系指甲乙双方自愿签署、载明双方权利与义务的协议，包括本合同以及本合同提及的与本合同具有同等法律效力的所有文件。</w:t>
      </w:r>
    </w:p>
    <w:p>
      <w:pPr>
        <w:spacing w:line="360" w:lineRule="auto"/>
        <w:ind w:firstLine="480" w:firstLineChars="200"/>
        <w:rPr>
          <w:rFonts w:ascii="宋体" w:hAnsi="宋体" w:cs="宋体"/>
          <w:sz w:val="24"/>
        </w:rPr>
      </w:pPr>
      <w:r>
        <w:rPr>
          <w:rFonts w:hint="eastAsia" w:ascii="宋体" w:hAnsi="宋体" w:cs="宋体"/>
          <w:sz w:val="24"/>
        </w:rPr>
        <w:t>2. “合同款总额”：系指根据本合同规定，乙方在正确、全面地履行合同义务并全部通过验收后，甲方应支付给乙方的费用金额。</w:t>
      </w:r>
    </w:p>
    <w:p>
      <w:pPr>
        <w:spacing w:line="360" w:lineRule="auto"/>
        <w:ind w:firstLine="480" w:firstLineChars="200"/>
        <w:jc w:val="left"/>
        <w:rPr>
          <w:rFonts w:ascii="宋体" w:hAnsi="宋体" w:cs="宋体"/>
          <w:sz w:val="24"/>
        </w:rPr>
      </w:pPr>
      <w:r>
        <w:rPr>
          <w:rFonts w:hint="eastAsia" w:ascii="宋体" w:hAnsi="宋体" w:cs="宋体"/>
          <w:sz w:val="24"/>
        </w:rPr>
        <w:t>3. “服务”：系指任何由乙方按合同项下的要求为正常运行信息系统提供的必要服务，这些服务可以包括但不限于</w:t>
      </w:r>
      <w:r>
        <w:rPr>
          <w:rFonts w:hint="eastAsia" w:ascii="宋体" w:hAnsi="宋体" w:cs="宋体"/>
          <w:sz w:val="24"/>
          <w:u w:val="single"/>
        </w:rPr>
        <w:t xml:space="preserve">                      </w:t>
      </w:r>
      <w:r>
        <w:rPr>
          <w:rFonts w:hint="eastAsia" w:ascii="宋体" w:hAnsi="宋体" w:cs="宋体"/>
          <w:sz w:val="24"/>
        </w:rPr>
        <w:t>等基础服务;</w:t>
      </w:r>
      <w:r>
        <w:rPr>
          <w:rFonts w:hint="eastAsia" w:ascii="宋体" w:hAnsi="宋体" w:cs="宋体"/>
          <w:sz w:val="24"/>
          <w:u w:val="single"/>
        </w:rPr>
        <w:t xml:space="preserve">                        </w:t>
      </w:r>
      <w:r>
        <w:rPr>
          <w:rFonts w:hint="eastAsia" w:ascii="宋体" w:hAnsi="宋体" w:cs="宋体"/>
          <w:sz w:val="24"/>
        </w:rPr>
        <w:t>等扩展服务和其他技术支持。</w:t>
      </w:r>
    </w:p>
    <w:p>
      <w:pPr>
        <w:spacing w:line="360" w:lineRule="auto"/>
        <w:ind w:firstLine="480" w:firstLineChars="200"/>
        <w:rPr>
          <w:rFonts w:ascii="宋体" w:hAnsi="宋体" w:cs="宋体"/>
          <w:sz w:val="24"/>
        </w:rPr>
      </w:pPr>
      <w:r>
        <w:rPr>
          <w:rFonts w:hint="eastAsia" w:ascii="宋体" w:hAnsi="宋体" w:cs="宋体"/>
          <w:sz w:val="24"/>
        </w:rPr>
        <w:t>4. “保密信息”：系指甲乙双方各自所拥有的不为公众所知的管理信息、方式方法、产品信息、计算机源代码、技术文档和技术资料等，或者由甲乙双方在履行本合同过程中明确指明为保密的合法信息。</w:t>
      </w:r>
    </w:p>
    <w:p>
      <w:pPr>
        <w:spacing w:line="360" w:lineRule="auto"/>
        <w:ind w:firstLine="480" w:firstLineChars="200"/>
        <w:rPr>
          <w:rFonts w:ascii="宋体" w:hAnsi="宋体" w:cs="宋体"/>
          <w:sz w:val="24"/>
        </w:rPr>
      </w:pPr>
      <w:r>
        <w:rPr>
          <w:rFonts w:hint="eastAsia" w:ascii="宋体" w:hAnsi="宋体" w:cs="宋体"/>
          <w:sz w:val="24"/>
        </w:rPr>
        <w:t>5. “本项目”：系指</w:t>
      </w:r>
      <w:r>
        <w:rPr>
          <w:rFonts w:hint="eastAsia" w:ascii="宋体" w:hAnsi="宋体" w:cs="宋体"/>
          <w:sz w:val="24"/>
          <w:u w:val="single"/>
        </w:rPr>
        <w:t xml:space="preserve">                           </w:t>
      </w:r>
      <w:r>
        <w:rPr>
          <w:rFonts w:hint="eastAsia" w:ascii="宋体" w:hAnsi="宋体" w:cs="宋体"/>
          <w:sz w:val="24"/>
        </w:rPr>
        <w:t>项目。</w:t>
      </w:r>
    </w:p>
    <w:p>
      <w:pPr>
        <w:spacing w:line="360" w:lineRule="auto"/>
        <w:ind w:firstLine="480" w:firstLineChars="200"/>
        <w:rPr>
          <w:rFonts w:ascii="宋体" w:hAnsi="宋体" w:cs="宋体"/>
          <w:sz w:val="24"/>
        </w:rPr>
      </w:pPr>
      <w:r>
        <w:rPr>
          <w:rFonts w:hint="eastAsia" w:ascii="宋体" w:hAnsi="宋体" w:cs="宋体"/>
          <w:sz w:val="24"/>
        </w:rPr>
        <w:t>6. “验收”：系指本项目内乙方按要求提供各项服务及相关文档，保障各系统安全、稳定地运行，甲方对本项目服务成果的最终验收。</w:t>
      </w:r>
    </w:p>
    <w:p>
      <w:pPr>
        <w:spacing w:line="360" w:lineRule="auto"/>
        <w:ind w:left="420"/>
        <w:outlineLvl w:val="0"/>
        <w:rPr>
          <w:rFonts w:ascii="宋体" w:hAnsi="宋体" w:cs="宋体"/>
          <w:b/>
          <w:sz w:val="24"/>
        </w:rPr>
      </w:pPr>
      <w:bookmarkStart w:id="675" w:name="_Toc525937776"/>
      <w:bookmarkStart w:id="676" w:name="_Toc384722335"/>
      <w:bookmarkStart w:id="677" w:name="_Toc493595014"/>
      <w:bookmarkStart w:id="678" w:name="_Toc425268709"/>
      <w:bookmarkStart w:id="679" w:name="_Toc522174706"/>
      <w:r>
        <w:rPr>
          <w:rFonts w:hint="eastAsia" w:ascii="宋体" w:hAnsi="宋体" w:cs="宋体"/>
          <w:b/>
          <w:sz w:val="24"/>
        </w:rPr>
        <w:t>二、合同文件</w:t>
      </w:r>
    </w:p>
    <w:p>
      <w:pPr>
        <w:spacing w:line="360" w:lineRule="auto"/>
        <w:ind w:firstLine="480" w:firstLineChars="200"/>
        <w:rPr>
          <w:rFonts w:ascii="宋体" w:hAnsi="宋体" w:cs="宋体"/>
          <w:sz w:val="24"/>
        </w:rPr>
      </w:pPr>
      <w:r>
        <w:rPr>
          <w:rFonts w:hint="eastAsia" w:ascii="宋体" w:hAnsi="宋体" w:cs="宋体"/>
          <w:sz w:val="24"/>
        </w:rPr>
        <w:t>下列文件构成本合同的组成部分，应当认为是一个整体，彼此相互解释，相互补充。为便于解释，组成合同的多个文件的优先支配地位的次序如下：</w:t>
      </w:r>
    </w:p>
    <w:p>
      <w:pPr>
        <w:spacing w:line="360" w:lineRule="auto"/>
        <w:ind w:firstLine="480" w:firstLineChars="200"/>
        <w:rPr>
          <w:rFonts w:ascii="宋体" w:hAnsi="宋体" w:cs="宋体"/>
          <w:sz w:val="24"/>
        </w:rPr>
      </w:pPr>
      <w:r>
        <w:rPr>
          <w:rFonts w:hint="eastAsia" w:ascii="宋体" w:hAnsi="宋体" w:cs="宋体"/>
          <w:sz w:val="24"/>
        </w:rPr>
        <w:t>1. 本合同书</w:t>
      </w:r>
    </w:p>
    <w:p>
      <w:pPr>
        <w:spacing w:line="360" w:lineRule="auto"/>
        <w:ind w:firstLine="480" w:firstLineChars="200"/>
        <w:rPr>
          <w:rFonts w:ascii="宋体" w:hAnsi="宋体" w:cs="宋体"/>
          <w:sz w:val="24"/>
        </w:rPr>
      </w:pPr>
      <w:r>
        <w:rPr>
          <w:rFonts w:hint="eastAsia" w:ascii="宋体" w:hAnsi="宋体" w:cs="宋体"/>
          <w:sz w:val="24"/>
        </w:rPr>
        <w:t>2. 合同特殊条款</w:t>
      </w:r>
    </w:p>
    <w:p>
      <w:pPr>
        <w:spacing w:line="360" w:lineRule="auto"/>
        <w:ind w:firstLine="480" w:firstLineChars="200"/>
        <w:rPr>
          <w:rFonts w:ascii="宋体" w:hAnsi="宋体" w:cs="宋体"/>
          <w:sz w:val="24"/>
        </w:rPr>
      </w:pPr>
      <w:r>
        <w:rPr>
          <w:rFonts w:hint="eastAsia" w:ascii="宋体" w:hAnsi="宋体" w:cs="宋体"/>
          <w:sz w:val="24"/>
        </w:rPr>
        <w:t>3. 中标通知书（附件一）</w:t>
      </w:r>
    </w:p>
    <w:p>
      <w:pPr>
        <w:spacing w:line="360" w:lineRule="auto"/>
        <w:ind w:firstLine="480" w:firstLineChars="200"/>
        <w:rPr>
          <w:rFonts w:ascii="宋体" w:hAnsi="宋体" w:cs="宋体"/>
          <w:sz w:val="24"/>
        </w:rPr>
      </w:pPr>
      <w:r>
        <w:rPr>
          <w:rFonts w:hint="eastAsia" w:ascii="宋体" w:hAnsi="宋体" w:cs="宋体"/>
          <w:sz w:val="24"/>
        </w:rPr>
        <w:t>4. 服务内容和范围（附件二）</w:t>
      </w:r>
    </w:p>
    <w:p>
      <w:pPr>
        <w:spacing w:line="360" w:lineRule="auto"/>
        <w:ind w:left="420"/>
        <w:outlineLvl w:val="0"/>
        <w:rPr>
          <w:rFonts w:ascii="宋体" w:hAnsi="宋体" w:cs="宋体"/>
          <w:b/>
          <w:sz w:val="24"/>
        </w:rPr>
      </w:pPr>
      <w:r>
        <w:rPr>
          <w:rFonts w:hint="eastAsia" w:ascii="宋体" w:hAnsi="宋体" w:cs="宋体"/>
          <w:b/>
          <w:sz w:val="24"/>
        </w:rPr>
        <w:t>三、服务内容、范围</w:t>
      </w:r>
      <w:bookmarkEnd w:id="675"/>
      <w:bookmarkEnd w:id="676"/>
      <w:bookmarkEnd w:id="677"/>
      <w:bookmarkEnd w:id="678"/>
      <w:bookmarkEnd w:id="679"/>
    </w:p>
    <w:p>
      <w:pPr>
        <w:spacing w:line="360" w:lineRule="auto"/>
        <w:ind w:firstLine="480" w:firstLineChars="200"/>
        <w:rPr>
          <w:rFonts w:ascii="宋体" w:hAnsi="宋体" w:cs="宋体"/>
          <w:sz w:val="24"/>
        </w:rPr>
      </w:pPr>
      <w:r>
        <w:rPr>
          <w:rFonts w:hint="eastAsia" w:ascii="宋体" w:hAnsi="宋体" w:cs="宋体"/>
          <w:sz w:val="24"/>
        </w:rPr>
        <w:t>本项目服务内容和范围详见附件二。</w:t>
      </w:r>
    </w:p>
    <w:p>
      <w:pPr>
        <w:spacing w:line="360" w:lineRule="auto"/>
        <w:ind w:firstLine="482" w:firstLineChars="200"/>
        <w:rPr>
          <w:rFonts w:ascii="宋体" w:hAnsi="宋体" w:cs="宋体"/>
          <w:b/>
          <w:sz w:val="24"/>
        </w:rPr>
      </w:pPr>
      <w:r>
        <w:rPr>
          <w:rFonts w:hint="eastAsia" w:ascii="宋体" w:hAnsi="宋体" w:cs="宋体"/>
          <w:b/>
          <w:sz w:val="24"/>
        </w:rPr>
        <w:t>四、服务期限</w:t>
      </w:r>
    </w:p>
    <w:p>
      <w:pPr>
        <w:spacing w:line="360" w:lineRule="auto"/>
        <w:ind w:firstLine="480" w:firstLineChars="200"/>
        <w:rPr>
          <w:rFonts w:ascii="宋体" w:hAnsi="宋体" w:cs="宋体"/>
          <w:sz w:val="24"/>
        </w:rPr>
      </w:pPr>
      <w:r>
        <w:rPr>
          <w:rFonts w:hint="eastAsia" w:ascii="宋体" w:hAnsi="宋体" w:cs="宋体"/>
          <w:sz w:val="24"/>
        </w:rPr>
        <w:t>乙方为甲方提供为期</w:t>
      </w:r>
      <w:r>
        <w:rPr>
          <w:rFonts w:hint="eastAsia" w:ascii="宋体" w:hAnsi="宋体" w:cs="宋体"/>
          <w:sz w:val="24"/>
          <w:u w:val="single"/>
        </w:rPr>
        <w:t>12</w:t>
      </w:r>
      <w:r>
        <w:rPr>
          <w:rFonts w:hint="eastAsia" w:ascii="宋体" w:hAnsi="宋体" w:cs="宋体"/>
          <w:sz w:val="24"/>
        </w:rPr>
        <w:t>个月的政务云租用服务，自</w:t>
      </w:r>
      <w:r>
        <w:rPr>
          <w:rFonts w:hint="eastAsia" w:ascii="宋体" w:hAnsi="宋体" w:cs="宋体"/>
          <w:sz w:val="24"/>
          <w:u w:val="single"/>
        </w:rPr>
        <w:t>202</w:t>
      </w:r>
      <w:r>
        <w:rPr>
          <w:rFonts w:hint="default" w:ascii="宋体" w:hAnsi="宋体" w:cs="宋体"/>
          <w:sz w:val="24"/>
          <w:u w:val="single"/>
          <w:lang w:val="en-US"/>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202</w:t>
      </w:r>
      <w:r>
        <w:rPr>
          <w:rFonts w:hint="default" w:ascii="宋体" w:hAnsi="宋体" w:cs="宋体"/>
          <w:sz w:val="24"/>
          <w:u w:val="single"/>
          <w:lang w:val="en-US"/>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日止，乙方完成合同规定全部任务，甲方最终验收通过后合同自动终止。</w:t>
      </w:r>
    </w:p>
    <w:p>
      <w:pPr>
        <w:spacing w:line="360" w:lineRule="auto"/>
        <w:ind w:firstLine="482" w:firstLineChars="200"/>
        <w:rPr>
          <w:rFonts w:ascii="宋体" w:hAnsi="宋体" w:cs="宋体"/>
          <w:b/>
          <w:sz w:val="24"/>
        </w:rPr>
      </w:pPr>
      <w:bookmarkStart w:id="680" w:name="_Toc425268711"/>
      <w:bookmarkStart w:id="681" w:name="_Toc525937778"/>
      <w:bookmarkStart w:id="682" w:name="_Toc522174708"/>
      <w:bookmarkStart w:id="683" w:name="_Toc493595016"/>
      <w:bookmarkStart w:id="684" w:name="_Toc384722337"/>
      <w:r>
        <w:rPr>
          <w:rFonts w:hint="eastAsia" w:ascii="宋体" w:hAnsi="宋体" w:cs="宋体"/>
          <w:b/>
          <w:sz w:val="24"/>
        </w:rPr>
        <w:t>五、服务要求</w:t>
      </w:r>
    </w:p>
    <w:p>
      <w:pPr>
        <w:spacing w:line="360" w:lineRule="auto"/>
        <w:ind w:firstLine="480" w:firstLineChars="200"/>
        <w:rPr>
          <w:rFonts w:ascii="宋体" w:hAnsi="宋体" w:cs="宋体"/>
          <w:sz w:val="24"/>
        </w:rPr>
      </w:pPr>
      <w:r>
        <w:rPr>
          <w:rFonts w:hint="eastAsia" w:ascii="宋体" w:hAnsi="宋体" w:cs="宋体"/>
          <w:sz w:val="24"/>
        </w:rPr>
        <w:t>1. 乙方应当为甲方提供</w:t>
      </w:r>
      <w:r>
        <w:rPr>
          <w:rFonts w:hint="eastAsia" w:ascii="宋体" w:hAnsi="宋体" w:cs="宋体"/>
          <w:sz w:val="24"/>
          <w:u w:val="single"/>
        </w:rPr>
        <w:t xml:space="preserve">                          </w:t>
      </w:r>
      <w:r>
        <w:rPr>
          <w:rFonts w:hint="eastAsia" w:ascii="宋体" w:hAnsi="宋体" w:cs="宋体"/>
          <w:sz w:val="24"/>
        </w:rPr>
        <w:t>，有效防范甲方委托服务中涉及的风险，为甲方系统排除障碍。</w:t>
      </w:r>
    </w:p>
    <w:p>
      <w:pPr>
        <w:spacing w:line="360" w:lineRule="auto"/>
        <w:ind w:firstLine="480" w:firstLineChars="200"/>
        <w:rPr>
          <w:rFonts w:ascii="宋体" w:hAnsi="宋体" w:cs="宋体"/>
          <w:sz w:val="24"/>
        </w:rPr>
      </w:pPr>
      <w:r>
        <w:rPr>
          <w:rFonts w:hint="eastAsia" w:ascii="宋体" w:hAnsi="宋体" w:cs="宋体"/>
          <w:sz w:val="24"/>
        </w:rPr>
        <w:t>3. 乙方不得利用为信息系统提供服务的便利，对甲方系统的信息及其他数据擅自进行修改，任何未经甲方书面同意的擅自修改行为，均视为乙方违反本合同的行为，甲方有权追究乙方的相关法律责任。</w:t>
      </w:r>
    </w:p>
    <w:p>
      <w:pPr>
        <w:spacing w:line="360" w:lineRule="auto"/>
        <w:ind w:firstLine="480" w:firstLineChars="200"/>
        <w:rPr>
          <w:rFonts w:ascii="宋体" w:hAnsi="宋体" w:cs="宋体"/>
          <w:sz w:val="24"/>
        </w:rPr>
      </w:pPr>
      <w:r>
        <w:rPr>
          <w:rFonts w:hint="eastAsia" w:ascii="宋体" w:hAnsi="宋体" w:cs="宋体"/>
          <w:sz w:val="24"/>
        </w:rPr>
        <w:t>4. 乙方负责确保其服务团队成员具有合同约定的工作能力。乙方应自行保障其服务团队成员的人身及财产安全，并承担相应的义务和责任。</w:t>
      </w:r>
    </w:p>
    <w:p>
      <w:pPr>
        <w:pStyle w:val="44"/>
        <w:ind w:left="0" w:leftChars="0" w:firstLine="0" w:firstLineChars="0"/>
        <w:rPr>
          <w:rFonts w:ascii="宋体" w:hAnsi="宋体" w:cs="宋体"/>
          <w:szCs w:val="24"/>
        </w:rPr>
      </w:pPr>
      <w:r>
        <w:rPr>
          <w:rFonts w:hint="eastAsia" w:ascii="宋体" w:hAnsi="宋体" w:cs="宋体"/>
          <w:szCs w:val="24"/>
        </w:rPr>
        <w:t xml:space="preserve">    5. 如涉及到系统迁移，乙方应根据各系统运行特点提供应用部署迁移服务</w:t>
      </w:r>
      <w:r>
        <w:rPr>
          <w:rFonts w:hint="default" w:ascii="宋体" w:hAnsi="宋体" w:cs="宋体"/>
          <w:szCs w:val="24"/>
          <w:lang w:val="en-US"/>
        </w:rPr>
        <w:t>，系统迁移涉及迁移费用由乙方承担</w:t>
      </w:r>
      <w:r>
        <w:rPr>
          <w:rFonts w:hint="eastAsia" w:ascii="宋体" w:hAnsi="宋体" w:cs="宋体"/>
          <w:szCs w:val="24"/>
        </w:rPr>
        <w:t>。</w:t>
      </w:r>
    </w:p>
    <w:p>
      <w:pPr>
        <w:spacing w:line="360" w:lineRule="auto"/>
        <w:ind w:left="420"/>
        <w:outlineLvl w:val="0"/>
        <w:rPr>
          <w:rFonts w:ascii="宋体" w:hAnsi="宋体" w:cs="宋体"/>
          <w:b/>
          <w:sz w:val="24"/>
        </w:rPr>
      </w:pPr>
      <w:r>
        <w:rPr>
          <w:rFonts w:hint="eastAsia" w:ascii="宋体" w:hAnsi="宋体" w:cs="宋体"/>
          <w:b/>
          <w:sz w:val="24"/>
        </w:rPr>
        <w:t>六、权利和义务</w:t>
      </w:r>
    </w:p>
    <w:p>
      <w:pPr>
        <w:spacing w:line="360" w:lineRule="auto"/>
        <w:ind w:firstLine="480" w:firstLineChars="200"/>
        <w:rPr>
          <w:rFonts w:ascii="宋体" w:hAnsi="宋体" w:cs="宋体"/>
          <w:sz w:val="24"/>
        </w:rPr>
      </w:pPr>
      <w:r>
        <w:rPr>
          <w:rFonts w:hint="eastAsia" w:ascii="宋体" w:hAnsi="宋体" w:cs="宋体"/>
          <w:sz w:val="24"/>
        </w:rPr>
        <w:t>1. 甲方权利及义务</w:t>
      </w:r>
    </w:p>
    <w:p>
      <w:pPr>
        <w:spacing w:line="360" w:lineRule="auto"/>
        <w:ind w:firstLine="480" w:firstLineChars="200"/>
        <w:rPr>
          <w:rFonts w:ascii="宋体" w:hAnsi="宋体" w:cs="宋体"/>
          <w:sz w:val="24"/>
        </w:rPr>
      </w:pPr>
      <w:r>
        <w:rPr>
          <w:rFonts w:hint="eastAsia" w:ascii="宋体" w:hAnsi="宋体" w:cs="宋体"/>
          <w:sz w:val="24"/>
        </w:rPr>
        <w:t>（1）在项目实施过程中，甲方有权指派项目负责人，并组织有关人员参与本项目的组织管理。</w:t>
      </w:r>
    </w:p>
    <w:p>
      <w:pPr>
        <w:spacing w:line="360" w:lineRule="auto"/>
        <w:ind w:firstLine="480" w:firstLineChars="200"/>
        <w:rPr>
          <w:rFonts w:ascii="宋体" w:hAnsi="宋体" w:cs="宋体"/>
          <w:sz w:val="24"/>
        </w:rPr>
      </w:pPr>
      <w:r>
        <w:rPr>
          <w:rFonts w:hint="eastAsia" w:ascii="宋体" w:hAnsi="宋体" w:cs="宋体"/>
          <w:sz w:val="24"/>
        </w:rPr>
        <w:t>（2）甲方有权拒绝、要求更换乙方所委派的但其业务素质不被甲方所认可、或不遵守甲方规章制度的服务团队成员。</w:t>
      </w:r>
    </w:p>
    <w:p>
      <w:pPr>
        <w:spacing w:line="360" w:lineRule="auto"/>
        <w:ind w:firstLine="480" w:firstLineChars="200"/>
        <w:rPr>
          <w:rFonts w:ascii="宋体" w:hAnsi="宋体" w:cs="宋体"/>
          <w:sz w:val="24"/>
        </w:rPr>
      </w:pPr>
      <w:r>
        <w:rPr>
          <w:rFonts w:hint="eastAsia" w:ascii="宋体" w:hAnsi="宋体" w:cs="宋体"/>
          <w:sz w:val="24"/>
        </w:rPr>
        <w:t>（3）甲方有权当面询问相关业务问题，乙方必须配合，保障甲方工作的顺利进行。</w:t>
      </w:r>
    </w:p>
    <w:p>
      <w:pPr>
        <w:spacing w:line="360" w:lineRule="auto"/>
        <w:ind w:firstLine="480" w:firstLineChars="200"/>
        <w:rPr>
          <w:rFonts w:ascii="宋体" w:hAnsi="宋体" w:cs="宋体"/>
          <w:sz w:val="24"/>
        </w:rPr>
      </w:pPr>
      <w:r>
        <w:rPr>
          <w:rFonts w:hint="eastAsia" w:ascii="宋体" w:hAnsi="宋体" w:cs="宋体"/>
          <w:sz w:val="24"/>
        </w:rPr>
        <w:t>（4）按照合同规定向乙方支付合同款。如乙方服务未达到合同要求，甲方有权扣除违约金、赔偿金和其他费用。</w:t>
      </w:r>
    </w:p>
    <w:p>
      <w:pPr>
        <w:spacing w:line="360" w:lineRule="auto"/>
        <w:ind w:firstLine="480" w:firstLineChars="200"/>
        <w:rPr>
          <w:rFonts w:ascii="宋体" w:hAnsi="宋体" w:cs="宋体"/>
          <w:sz w:val="24"/>
        </w:rPr>
      </w:pPr>
      <w:r>
        <w:rPr>
          <w:rFonts w:hint="eastAsia" w:ascii="宋体" w:hAnsi="宋体" w:cs="宋体"/>
          <w:sz w:val="24"/>
        </w:rPr>
        <w:t>（5）甲方应对乙方提交的方案、建议等请示文件做出及时的审定、回应。</w:t>
      </w:r>
    </w:p>
    <w:p>
      <w:pPr>
        <w:spacing w:line="360" w:lineRule="auto"/>
        <w:ind w:firstLine="480" w:firstLineChars="200"/>
        <w:rPr>
          <w:rFonts w:ascii="宋体" w:hAnsi="宋体" w:cs="宋体"/>
          <w:sz w:val="24"/>
        </w:rPr>
      </w:pPr>
      <w:r>
        <w:rPr>
          <w:rFonts w:hint="eastAsia" w:ascii="宋体" w:hAnsi="宋体" w:cs="宋体"/>
          <w:sz w:val="24"/>
        </w:rPr>
        <w:t>（6）甲方应对乙方提供的内部资料予以保密，不得向任何第三方泄露乙方的商业机密和技术机密。</w:t>
      </w:r>
    </w:p>
    <w:p>
      <w:pPr>
        <w:spacing w:line="360" w:lineRule="auto"/>
        <w:ind w:firstLine="480" w:firstLineChars="200"/>
        <w:rPr>
          <w:rFonts w:ascii="宋体" w:hAnsi="宋体" w:cs="宋体"/>
          <w:sz w:val="24"/>
        </w:rPr>
      </w:pPr>
      <w:r>
        <w:rPr>
          <w:rFonts w:hint="eastAsia" w:ascii="宋体" w:hAnsi="宋体" w:cs="宋体"/>
          <w:sz w:val="24"/>
        </w:rPr>
        <w:t>（7）甲方根据合同及相关规定及时组织相关人员对项目进行验收。</w:t>
      </w:r>
    </w:p>
    <w:p>
      <w:pPr>
        <w:spacing w:line="360" w:lineRule="auto"/>
        <w:ind w:firstLine="480" w:firstLineChars="200"/>
        <w:rPr>
          <w:rFonts w:ascii="宋体" w:hAnsi="宋体" w:cs="宋体"/>
          <w:sz w:val="24"/>
        </w:rPr>
      </w:pPr>
      <w:r>
        <w:rPr>
          <w:rFonts w:hint="eastAsia" w:ascii="宋体" w:hAnsi="宋体" w:cs="宋体"/>
          <w:sz w:val="24"/>
        </w:rPr>
        <w:t xml:space="preserve">2. 乙方权利及义务 </w:t>
      </w:r>
    </w:p>
    <w:p>
      <w:pPr>
        <w:spacing w:line="360" w:lineRule="auto"/>
        <w:ind w:firstLine="480" w:firstLineChars="200"/>
        <w:rPr>
          <w:rFonts w:ascii="宋体" w:hAnsi="宋体" w:cs="宋体"/>
          <w:sz w:val="24"/>
        </w:rPr>
      </w:pPr>
      <w:r>
        <w:rPr>
          <w:rFonts w:hint="eastAsia" w:ascii="宋体" w:hAnsi="宋体" w:cs="宋体"/>
          <w:sz w:val="24"/>
        </w:rPr>
        <w:t>（1）组织服务团队成员会同甲方指定人员成立项目组，负责本项目的具体实施工作。乙方保证具有完成本合同项下工作的全部资质和能力，并配备具有履行本合同所需相关能力和成员数量的服务团队。</w:t>
      </w:r>
    </w:p>
    <w:p>
      <w:pPr>
        <w:spacing w:line="360" w:lineRule="auto"/>
        <w:ind w:firstLine="480" w:firstLineChars="200"/>
        <w:rPr>
          <w:rFonts w:ascii="宋体" w:hAnsi="宋体" w:cs="宋体"/>
          <w:sz w:val="24"/>
        </w:rPr>
      </w:pPr>
      <w:r>
        <w:rPr>
          <w:rFonts w:hint="eastAsia" w:ascii="宋体" w:hAnsi="宋体" w:cs="宋体"/>
          <w:sz w:val="24"/>
        </w:rPr>
        <w:t>（2）乙方应履行投标/响应文件及澄清文件中的各项承诺，按质按量完成所列全部任务。</w:t>
      </w:r>
    </w:p>
    <w:p>
      <w:pPr>
        <w:spacing w:line="360" w:lineRule="auto"/>
        <w:ind w:firstLine="480" w:firstLineChars="200"/>
        <w:rPr>
          <w:rFonts w:ascii="宋体" w:hAnsi="宋体" w:cs="宋体"/>
          <w:sz w:val="24"/>
        </w:rPr>
      </w:pPr>
      <w:r>
        <w:rPr>
          <w:rFonts w:hint="eastAsia" w:ascii="宋体" w:hAnsi="宋体" w:cs="宋体"/>
          <w:sz w:val="24"/>
        </w:rPr>
        <w:t>（3）乙方在服务中应接受并积极配合甲方的监督、考核，按要求提交报告，接纳甲方的合理建议，对服务问题进行整改，优化提升服务质量。</w:t>
      </w:r>
    </w:p>
    <w:p>
      <w:pPr>
        <w:spacing w:line="360" w:lineRule="auto"/>
        <w:ind w:firstLine="480" w:firstLineChars="200"/>
        <w:jc w:val="left"/>
        <w:rPr>
          <w:rFonts w:ascii="宋体" w:hAnsi="宋体" w:cs="宋体"/>
          <w:sz w:val="24"/>
        </w:rPr>
      </w:pPr>
      <w:r>
        <w:rPr>
          <w:rFonts w:hint="eastAsia" w:ascii="宋体" w:hAnsi="宋体" w:cs="宋体"/>
          <w:sz w:val="24"/>
        </w:rPr>
        <w:t>（4）根据甲方的实际工作情况，完成</w:t>
      </w:r>
      <w:r>
        <w:rPr>
          <w:rFonts w:hint="eastAsia" w:ascii="宋体" w:hAnsi="宋体" w:cs="宋体"/>
          <w:sz w:val="24"/>
          <w:u w:val="single"/>
        </w:rPr>
        <w:t xml:space="preserve">               </w:t>
      </w:r>
      <w:r>
        <w:rPr>
          <w:rFonts w:hint="eastAsia" w:ascii="宋体" w:hAnsi="宋体" w:cs="宋体"/>
          <w:sz w:val="24"/>
        </w:rPr>
        <w:t>等基础服务；</w:t>
      </w:r>
      <w:r>
        <w:rPr>
          <w:rFonts w:hint="eastAsia" w:ascii="宋体" w:hAnsi="宋体" w:cs="宋体"/>
          <w:sz w:val="24"/>
          <w:u w:val="single"/>
        </w:rPr>
        <w:t xml:space="preserve">                </w:t>
      </w:r>
      <w:r>
        <w:rPr>
          <w:rFonts w:hint="eastAsia" w:ascii="宋体" w:hAnsi="宋体" w:cs="宋体"/>
          <w:sz w:val="24"/>
        </w:rPr>
        <w:t>等扩展服务；为甲方提供可行的技术解决方案，并组织相关服务团队成员进行实施，对可能遇到的问题及处理故障的方法应及时书面通知甲方，经甲方书面确认同意后实施。乙方保证本项目服务符合甲方需求。</w:t>
      </w:r>
    </w:p>
    <w:p>
      <w:pPr>
        <w:spacing w:line="360" w:lineRule="auto"/>
        <w:ind w:firstLine="480" w:firstLineChars="200"/>
        <w:rPr>
          <w:rFonts w:ascii="宋体" w:hAnsi="宋体" w:cs="宋体"/>
          <w:sz w:val="24"/>
        </w:rPr>
      </w:pPr>
      <w:r>
        <w:rPr>
          <w:rFonts w:hint="eastAsia" w:ascii="宋体" w:hAnsi="宋体" w:cs="宋体"/>
          <w:sz w:val="24"/>
        </w:rPr>
        <w:t>（5）乙方应配合甲方对项目进行验收。</w:t>
      </w:r>
    </w:p>
    <w:p>
      <w:pPr>
        <w:spacing w:line="360" w:lineRule="auto"/>
        <w:ind w:firstLine="480" w:firstLineChars="200"/>
        <w:rPr>
          <w:rFonts w:ascii="宋体" w:hAnsi="宋体" w:cs="宋体"/>
          <w:sz w:val="24"/>
        </w:rPr>
      </w:pPr>
      <w:r>
        <w:rPr>
          <w:rFonts w:hint="eastAsia" w:ascii="宋体" w:hAnsi="宋体" w:cs="宋体"/>
          <w:sz w:val="24"/>
        </w:rPr>
        <w:t>（6）乙方承诺对甲方提供的所有技术文档仅用于本次项目，不得泄露或用于本项目之外的其他用途。</w:t>
      </w:r>
    </w:p>
    <w:p>
      <w:pPr>
        <w:spacing w:line="360" w:lineRule="auto"/>
        <w:ind w:firstLine="480" w:firstLineChars="200"/>
        <w:rPr>
          <w:rFonts w:ascii="宋体" w:hAnsi="宋体" w:cs="宋体"/>
          <w:sz w:val="24"/>
        </w:rPr>
      </w:pPr>
      <w:r>
        <w:rPr>
          <w:rFonts w:hint="eastAsia" w:ascii="宋体" w:hAnsi="宋体" w:cs="宋体"/>
          <w:sz w:val="24"/>
        </w:rPr>
        <w:t>（7）乙方承诺按照甲方的要求与其他承建单位共同完成本项目工作，确保本项目的正常运转。</w:t>
      </w:r>
    </w:p>
    <w:p>
      <w:pPr>
        <w:spacing w:line="360" w:lineRule="auto"/>
        <w:ind w:firstLine="480" w:firstLineChars="200"/>
        <w:rPr>
          <w:rFonts w:ascii="宋体" w:hAnsi="宋体" w:cs="宋体"/>
          <w:sz w:val="24"/>
        </w:rPr>
      </w:pPr>
      <w:r>
        <w:rPr>
          <w:rFonts w:hint="eastAsia" w:ascii="宋体" w:hAnsi="宋体" w:cs="宋体"/>
          <w:sz w:val="24"/>
        </w:rPr>
        <w:t>（8）为保证甲方正常使用该系统，乙方同意依照本合同规定的技术支持与售后服务相关条款向甲方提供技术支持与服务。</w:t>
      </w:r>
    </w:p>
    <w:p>
      <w:pPr>
        <w:spacing w:line="360" w:lineRule="auto"/>
        <w:ind w:firstLine="480" w:firstLineChars="200"/>
        <w:rPr>
          <w:rFonts w:ascii="宋体" w:hAnsi="宋体" w:cs="宋体"/>
          <w:sz w:val="24"/>
          <w:highlight w:val="yellow"/>
        </w:rPr>
      </w:pPr>
      <w:r>
        <w:rPr>
          <w:rFonts w:hint="eastAsia" w:ascii="宋体" w:hAnsi="宋体" w:cs="宋体"/>
          <w:sz w:val="24"/>
        </w:rPr>
        <w:t>（9）乙方不得将本项目规定的工作内容转让、转包、分包给任何第三方。</w:t>
      </w:r>
    </w:p>
    <w:p>
      <w:pPr>
        <w:spacing w:line="360" w:lineRule="auto"/>
        <w:ind w:firstLine="480" w:firstLineChars="200"/>
        <w:rPr>
          <w:rFonts w:ascii="宋体" w:hAnsi="宋体" w:cs="宋体"/>
          <w:sz w:val="24"/>
        </w:rPr>
      </w:pPr>
      <w:r>
        <w:rPr>
          <w:rFonts w:hint="eastAsia" w:ascii="宋体" w:hAnsi="宋体" w:cs="宋体"/>
          <w:sz w:val="24"/>
        </w:rPr>
        <w:t>（10）乙方在为甲方提供服务过程中，应遵守国家和北京市网络安全有关法律规定要求，严格落实网络安全及数据安全保护责任，明确专人负责网络安全相关工作。</w:t>
      </w:r>
    </w:p>
    <w:p>
      <w:pPr>
        <w:spacing w:line="360" w:lineRule="auto"/>
        <w:ind w:firstLine="480" w:firstLineChars="200"/>
        <w:rPr>
          <w:rFonts w:ascii="宋体" w:hAnsi="宋体" w:cs="宋体"/>
          <w:sz w:val="24"/>
        </w:rPr>
      </w:pPr>
      <w:r>
        <w:rPr>
          <w:rFonts w:hint="eastAsia" w:ascii="宋体" w:hAnsi="宋体" w:cs="宋体"/>
          <w:sz w:val="24"/>
        </w:rPr>
        <w:t>（11）乙方应做好</w:t>
      </w:r>
      <w:r>
        <w:rPr>
          <w:rFonts w:hint="default" w:ascii="宋体" w:hAnsi="宋体" w:cs="宋体"/>
          <w:sz w:val="24"/>
          <w:lang w:val="en-US"/>
        </w:rPr>
        <w:t>云平台及</w:t>
      </w:r>
      <w:r>
        <w:rPr>
          <w:rFonts w:hint="eastAsia" w:ascii="宋体" w:hAnsi="宋体" w:cs="宋体"/>
          <w:sz w:val="24"/>
        </w:rPr>
        <w:t>信息系统相关的网络安全保障工作。发现安全事件或高危风险隐患，乙方必须及时、主动书面报告甲方，不得隐瞒不报或延误报告。</w:t>
      </w:r>
    </w:p>
    <w:p>
      <w:pPr>
        <w:spacing w:line="360" w:lineRule="auto"/>
        <w:ind w:firstLine="480" w:firstLineChars="200"/>
        <w:rPr>
          <w:rFonts w:ascii="宋体" w:hAnsi="宋体" w:cs="宋体"/>
          <w:sz w:val="24"/>
        </w:rPr>
      </w:pPr>
      <w:r>
        <w:rPr>
          <w:rFonts w:hint="eastAsia" w:ascii="宋体" w:hAnsi="宋体" w:cs="宋体"/>
          <w:sz w:val="24"/>
        </w:rPr>
        <w:t>（12）乙方向甲方提交的验收材料中应包含网络安全专项内容；验收时，由甲方对乙方完成的网络安全工作进行验收考核。</w:t>
      </w:r>
    </w:p>
    <w:p>
      <w:pPr>
        <w:pStyle w:val="28"/>
        <w:spacing w:line="360" w:lineRule="auto"/>
        <w:jc w:val="left"/>
        <w:rPr>
          <w:rFonts w:ascii="宋体" w:hAnsi="宋体" w:eastAsia="宋体" w:cs="宋体"/>
        </w:rPr>
      </w:pPr>
      <w:r>
        <w:rPr>
          <w:rFonts w:hint="eastAsia" w:ascii="宋体" w:hAnsi="宋体" w:eastAsia="宋体" w:cs="宋体"/>
        </w:rPr>
        <w:t>（13）乙方应建立政府购买服务项目台账，依照有关规定或合同约定记录保存并向甲方提供项目实施相关重要资料信息。</w:t>
      </w:r>
    </w:p>
    <w:p>
      <w:pPr>
        <w:pStyle w:val="28"/>
        <w:spacing w:line="360" w:lineRule="auto"/>
        <w:jc w:val="left"/>
        <w:rPr>
          <w:rFonts w:ascii="宋体" w:hAnsi="宋体" w:eastAsia="宋体" w:cs="宋体"/>
        </w:rPr>
      </w:pPr>
      <w:r>
        <w:rPr>
          <w:rFonts w:hint="eastAsia" w:ascii="宋体" w:hAnsi="宋体" w:eastAsia="宋体" w:cs="宋体"/>
        </w:rPr>
        <w:t>（14）乙方应严格遵守相关财务规定规范管理和使用政府购买服务项目资金。</w:t>
      </w:r>
    </w:p>
    <w:p>
      <w:pPr>
        <w:pStyle w:val="28"/>
        <w:spacing w:line="360" w:lineRule="auto"/>
        <w:jc w:val="left"/>
        <w:rPr>
          <w:rFonts w:ascii="宋体" w:hAnsi="宋体" w:eastAsia="宋体" w:cs="宋体"/>
        </w:rPr>
      </w:pPr>
      <w:r>
        <w:rPr>
          <w:rFonts w:hint="eastAsia" w:ascii="宋体" w:hAnsi="宋体" w:eastAsia="宋体" w:cs="宋体"/>
        </w:rPr>
        <w:t>（15）乙方应配合相关部门对资金使用情况进行监督检查与绩效评价。</w:t>
      </w:r>
    </w:p>
    <w:p>
      <w:pPr>
        <w:spacing w:line="360" w:lineRule="auto"/>
        <w:ind w:left="420"/>
        <w:outlineLvl w:val="0"/>
        <w:rPr>
          <w:rFonts w:ascii="宋体" w:hAnsi="宋体" w:cs="宋体"/>
          <w:b/>
          <w:sz w:val="24"/>
        </w:rPr>
      </w:pPr>
      <w:r>
        <w:rPr>
          <w:rFonts w:hint="eastAsia" w:ascii="宋体" w:hAnsi="宋体" w:cs="宋体"/>
          <w:b/>
          <w:sz w:val="24"/>
        </w:rPr>
        <w:t>七、付款条件和方式</w:t>
      </w:r>
      <w:bookmarkEnd w:id="680"/>
      <w:bookmarkEnd w:id="681"/>
      <w:bookmarkEnd w:id="682"/>
      <w:bookmarkEnd w:id="683"/>
      <w:bookmarkEnd w:id="684"/>
    </w:p>
    <w:p>
      <w:pPr>
        <w:spacing w:line="360" w:lineRule="auto"/>
        <w:ind w:firstLine="480" w:firstLineChars="200"/>
        <w:rPr>
          <w:rFonts w:ascii="宋体" w:hAnsi="宋体" w:cs="宋体"/>
          <w:sz w:val="24"/>
        </w:rPr>
      </w:pPr>
      <w:r>
        <w:rPr>
          <w:rFonts w:hint="eastAsia" w:ascii="宋体" w:hAnsi="宋体" w:cs="宋体"/>
          <w:sz w:val="24"/>
        </w:rPr>
        <w:t>1. 本项目合同款总额为人民币￥</w:t>
      </w:r>
      <w:r>
        <w:rPr>
          <w:rFonts w:hint="eastAsia" w:ascii="宋体" w:hAnsi="宋体" w:cs="宋体"/>
          <w:sz w:val="24"/>
          <w:u w:val="single"/>
        </w:rPr>
        <w:t xml:space="preserve">      </w:t>
      </w:r>
      <w:r>
        <w:rPr>
          <w:rFonts w:hint="eastAsia" w:ascii="宋体" w:hAnsi="宋体" w:cs="宋体"/>
          <w:sz w:val="24"/>
        </w:rPr>
        <w:t>元，大写：人民币</w:t>
      </w:r>
      <w:r>
        <w:rPr>
          <w:rFonts w:hint="eastAsia" w:ascii="宋体" w:hAnsi="宋体" w:cs="宋体"/>
          <w:sz w:val="24"/>
          <w:u w:val="single"/>
        </w:rPr>
        <w:t xml:space="preserve">      </w:t>
      </w:r>
      <w:r>
        <w:rPr>
          <w:rFonts w:hint="eastAsia" w:ascii="宋体" w:hAnsi="宋体" w:cs="宋体"/>
          <w:sz w:val="24"/>
        </w:rPr>
        <w:t>元整。本项目合同款总额包括但不限于</w:t>
      </w:r>
      <w:r>
        <w:rPr>
          <w:rFonts w:hint="eastAsia" w:ascii="宋体" w:hAnsi="宋体" w:cs="宋体"/>
          <w:sz w:val="24"/>
          <w:u w:val="single"/>
        </w:rPr>
        <w:t xml:space="preserve">                          </w:t>
      </w:r>
      <w:r>
        <w:rPr>
          <w:rFonts w:hint="eastAsia" w:ascii="宋体" w:hAnsi="宋体" w:cs="宋体"/>
          <w:sz w:val="24"/>
        </w:rPr>
        <w:t>等乙方履行本合同约定的义务的所有费用。</w:t>
      </w:r>
    </w:p>
    <w:p>
      <w:pPr>
        <w:spacing w:line="360" w:lineRule="auto"/>
        <w:ind w:firstLine="480" w:firstLineChars="200"/>
        <w:rPr>
          <w:rFonts w:hint="default" w:ascii="宋体" w:hAnsi="宋体" w:cs="宋体"/>
          <w:sz w:val="24"/>
          <w:lang w:val="en-US"/>
        </w:rPr>
      </w:pPr>
      <w:r>
        <w:rPr>
          <w:rFonts w:hint="eastAsia" w:ascii="宋体" w:hAnsi="宋体" w:cs="宋体"/>
          <w:sz w:val="24"/>
        </w:rPr>
        <w:t>2. 付款方式</w:t>
      </w:r>
      <w:bookmarkStart w:id="685" w:name="_Toc493595017"/>
      <w:bookmarkStart w:id="686" w:name="_Toc522174709"/>
      <w:bookmarkStart w:id="687" w:name="_Toc425268712"/>
      <w:bookmarkStart w:id="688" w:name="_Toc384722338"/>
      <w:bookmarkStart w:id="689" w:name="_Toc525937779"/>
    </w:p>
    <w:p>
      <w:pPr>
        <w:spacing w:line="360" w:lineRule="auto"/>
        <w:ind w:firstLine="480" w:firstLineChars="200"/>
        <w:jc w:val="both"/>
        <w:rPr>
          <w:rFonts w:ascii="宋体" w:hAnsi="宋体" w:cs="宋体"/>
          <w:sz w:val="24"/>
        </w:rPr>
      </w:pPr>
      <w:r>
        <w:rPr>
          <w:rFonts w:hint="default" w:ascii="宋体" w:hAnsi="宋体" w:eastAsia="宋体" w:cs="宋体"/>
          <w:b w:val="0"/>
          <w:bCs w:val="0"/>
          <w:i w:val="0"/>
          <w:iCs w:val="0"/>
          <w:color w:val="auto"/>
          <w:kern w:val="2"/>
          <w:sz w:val="24"/>
          <w:szCs w:val="24"/>
          <w:highlight w:val="none"/>
          <w:vertAlign w:val="baseline"/>
          <w:lang w:val="en-US" w:eastAsia="zh-CN" w:bidi="ar-SA"/>
        </w:rPr>
        <w:t>甲方将按照分期支付的方式向乙方支付服务费:</w:t>
      </w:r>
      <w:r>
        <w:rPr>
          <w:rFonts w:hint="default" w:ascii="宋体" w:hAnsi="宋体" w:eastAsia="宋体" w:cs="Times New Roman"/>
          <w:b w:val="0"/>
          <w:bCs w:val="0"/>
          <w:i w:val="0"/>
          <w:iCs w:val="0"/>
          <w:color w:val="auto"/>
          <w:kern w:val="2"/>
          <w:sz w:val="24"/>
          <w:szCs w:val="21"/>
          <w:highlight w:val="none"/>
          <w:vertAlign w:val="baseline"/>
          <w:lang w:val="en-US" w:eastAsia="zh-CN" w:bidi="ar-SA"/>
        </w:rPr>
        <w:t>合同签订、财政资金到账之日起20个工作日内且云平台完成建设、测试、具备部署条件后</w:t>
      </w:r>
      <w:r>
        <w:rPr>
          <w:rFonts w:hint="default" w:ascii="宋体" w:hAnsi="宋体" w:cs="Times New Roman"/>
          <w:b w:val="0"/>
          <w:bCs w:val="0"/>
          <w:i w:val="0"/>
          <w:iCs w:val="0"/>
          <w:color w:val="auto"/>
          <w:kern w:val="2"/>
          <w:sz w:val="24"/>
          <w:szCs w:val="21"/>
          <w:highlight w:val="none"/>
          <w:vertAlign w:val="baseline"/>
          <w:lang w:val="en-US" w:eastAsia="zh-CN" w:bidi="ar-SA"/>
        </w:rPr>
        <w:t>，</w:t>
      </w:r>
      <w:r>
        <w:rPr>
          <w:rFonts w:hint="default" w:ascii="宋体" w:hAnsi="宋体" w:eastAsia="宋体" w:cs="Times New Roman"/>
          <w:b w:val="0"/>
          <w:bCs w:val="0"/>
          <w:i w:val="0"/>
          <w:iCs w:val="0"/>
          <w:color w:val="auto"/>
          <w:kern w:val="2"/>
          <w:sz w:val="24"/>
          <w:szCs w:val="21"/>
          <w:highlight w:val="none"/>
          <w:vertAlign w:val="baseline"/>
          <w:lang w:val="en-US" w:eastAsia="zh-CN" w:bidi="ar-SA"/>
        </w:rPr>
        <w:t>甲方向乙方支付合同金额的50％</w:t>
      </w:r>
      <w:r>
        <w:rPr>
          <w:rFonts w:hint="default" w:ascii="宋体" w:hAnsi="宋体" w:eastAsia="宋体" w:cs="宋体"/>
          <w:b w:val="0"/>
          <w:bCs w:val="0"/>
          <w:i w:val="0"/>
          <w:iCs w:val="0"/>
          <w:color w:val="auto"/>
          <w:kern w:val="2"/>
          <w:sz w:val="24"/>
          <w:szCs w:val="24"/>
          <w:highlight w:val="none"/>
          <w:vertAlign w:val="baseline"/>
          <w:lang w:val="en-US" w:eastAsia="zh-CN" w:bidi="ar-SA"/>
        </w:rPr>
        <w:t>即人民币￥</w:t>
      </w:r>
      <w:r>
        <w:rPr>
          <w:rFonts w:hint="default"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default" w:ascii="宋体" w:hAnsi="宋体" w:eastAsia="宋体" w:cs="宋体"/>
          <w:b w:val="0"/>
          <w:bCs w:val="0"/>
          <w:i w:val="0"/>
          <w:iCs w:val="0"/>
          <w:color w:val="auto"/>
          <w:kern w:val="2"/>
          <w:sz w:val="24"/>
          <w:szCs w:val="24"/>
          <w:highlight w:val="none"/>
          <w:vertAlign w:val="baseline"/>
          <w:lang w:val="en-US" w:eastAsia="zh-CN" w:bidi="ar-SA"/>
        </w:rPr>
        <w:t>元（大写：人民币</w:t>
      </w:r>
      <w:r>
        <w:rPr>
          <w:rFonts w:hint="default"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default" w:ascii="宋体" w:hAnsi="宋体" w:eastAsia="宋体" w:cs="宋体"/>
          <w:b w:val="0"/>
          <w:bCs w:val="0"/>
          <w:i w:val="0"/>
          <w:iCs w:val="0"/>
          <w:color w:val="auto"/>
          <w:kern w:val="2"/>
          <w:sz w:val="24"/>
          <w:szCs w:val="24"/>
          <w:highlight w:val="none"/>
          <w:vertAlign w:val="baseline"/>
          <w:lang w:val="en-US" w:eastAsia="zh-CN" w:bidi="ar-SA"/>
        </w:rPr>
        <w:t>元整）</w:t>
      </w:r>
      <w:r>
        <w:rPr>
          <w:rFonts w:hint="default" w:ascii="宋体" w:hAnsi="宋体" w:eastAsia="宋体" w:cs="Times New Roman"/>
          <w:b w:val="0"/>
          <w:bCs w:val="0"/>
          <w:i w:val="0"/>
          <w:iCs w:val="0"/>
          <w:color w:val="auto"/>
          <w:kern w:val="2"/>
          <w:sz w:val="24"/>
          <w:szCs w:val="21"/>
          <w:highlight w:val="none"/>
          <w:vertAlign w:val="baseline"/>
          <w:lang w:val="en-US" w:eastAsia="zh-CN" w:bidi="ar-SA"/>
        </w:rPr>
        <w:t>，合同期满且最终验收合格后，甲方向乙方支付合同金额的50％</w:t>
      </w:r>
      <w:r>
        <w:rPr>
          <w:rFonts w:hint="default" w:ascii="宋体" w:hAnsi="宋体" w:eastAsia="宋体" w:cs="宋体"/>
          <w:b w:val="0"/>
          <w:bCs w:val="0"/>
          <w:i w:val="0"/>
          <w:iCs w:val="0"/>
          <w:color w:val="auto"/>
          <w:kern w:val="2"/>
          <w:sz w:val="24"/>
          <w:szCs w:val="24"/>
          <w:highlight w:val="none"/>
          <w:vertAlign w:val="baseline"/>
          <w:lang w:val="en-US" w:eastAsia="zh-CN" w:bidi="ar-SA"/>
        </w:rPr>
        <w:t>即人民币￥</w:t>
      </w:r>
      <w:r>
        <w:rPr>
          <w:rFonts w:hint="default"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default" w:ascii="宋体" w:hAnsi="宋体" w:eastAsia="宋体" w:cs="宋体"/>
          <w:b w:val="0"/>
          <w:bCs w:val="0"/>
          <w:i w:val="0"/>
          <w:iCs w:val="0"/>
          <w:color w:val="auto"/>
          <w:kern w:val="2"/>
          <w:sz w:val="24"/>
          <w:szCs w:val="24"/>
          <w:highlight w:val="none"/>
          <w:vertAlign w:val="baseline"/>
          <w:lang w:val="en-US" w:eastAsia="zh-CN" w:bidi="ar-SA"/>
        </w:rPr>
        <w:t>元（大写：人民币</w:t>
      </w:r>
      <w:r>
        <w:rPr>
          <w:rFonts w:hint="default" w:ascii="宋体" w:hAnsi="宋体" w:eastAsia="宋体" w:cs="宋体"/>
          <w:b w:val="0"/>
          <w:bCs w:val="0"/>
          <w:i w:val="0"/>
          <w:iCs w:val="0"/>
          <w:color w:val="auto"/>
          <w:kern w:val="2"/>
          <w:sz w:val="24"/>
          <w:szCs w:val="24"/>
          <w:highlight w:val="none"/>
          <w:u w:val="single" w:color="auto"/>
          <w:vertAlign w:val="baseline"/>
          <w:lang w:val="en-US" w:eastAsia="zh-CN" w:bidi="ar-SA"/>
        </w:rPr>
        <w:t xml:space="preserve">      </w:t>
      </w:r>
      <w:r>
        <w:rPr>
          <w:rFonts w:hint="default" w:ascii="宋体" w:hAnsi="宋体" w:eastAsia="宋体" w:cs="宋体"/>
          <w:b w:val="0"/>
          <w:bCs w:val="0"/>
          <w:i w:val="0"/>
          <w:iCs w:val="0"/>
          <w:color w:val="auto"/>
          <w:kern w:val="2"/>
          <w:sz w:val="24"/>
          <w:szCs w:val="24"/>
          <w:highlight w:val="none"/>
          <w:vertAlign w:val="baseline"/>
          <w:lang w:val="en-US" w:eastAsia="zh-CN" w:bidi="ar-SA"/>
        </w:rPr>
        <w:t>元整）</w:t>
      </w:r>
      <w:r>
        <w:rPr>
          <w:rFonts w:hint="default" w:ascii="宋体" w:hAnsi="宋体" w:eastAsia="宋体" w:cs="Times New Roman"/>
          <w:b w:val="0"/>
          <w:bCs w:val="0"/>
          <w:i w:val="0"/>
          <w:iCs w:val="0"/>
          <w:color w:val="auto"/>
          <w:kern w:val="2"/>
          <w:sz w:val="24"/>
          <w:szCs w:val="21"/>
          <w:highlight w:val="none"/>
          <w:vertAlign w:val="baseline"/>
          <w:lang w:val="en-US" w:eastAsia="zh-CN" w:bidi="ar-SA"/>
        </w:rPr>
        <w:t>。</w:t>
      </w:r>
      <w:r>
        <w:rPr>
          <w:rFonts w:hint="default" w:ascii="宋体" w:hAnsi="宋体" w:eastAsia="宋体" w:cs="宋体"/>
          <w:b w:val="0"/>
          <w:bCs w:val="0"/>
          <w:i w:val="0"/>
          <w:iCs w:val="0"/>
          <w:color w:val="auto"/>
          <w:kern w:val="2"/>
          <w:sz w:val="24"/>
          <w:szCs w:val="24"/>
          <w:highlight w:val="none"/>
          <w:vertAlign w:val="baseline"/>
          <w:lang w:val="en-US" w:eastAsia="zh-CN" w:bidi="ar-SA"/>
        </w:rPr>
        <w:t>付款前15日内乙方应当开具合法、有效的等额发票。否则，甲方有权拒绝付款且无需承担违约责任。</w:t>
      </w:r>
    </w:p>
    <w:bookmarkEnd w:id="685"/>
    <w:bookmarkEnd w:id="686"/>
    <w:bookmarkEnd w:id="687"/>
    <w:bookmarkEnd w:id="688"/>
    <w:bookmarkEnd w:id="689"/>
    <w:p>
      <w:pPr>
        <w:spacing w:line="360" w:lineRule="auto"/>
        <w:ind w:left="420"/>
        <w:outlineLvl w:val="0"/>
        <w:rPr>
          <w:rFonts w:ascii="宋体" w:hAnsi="宋体" w:cs="宋体"/>
          <w:b/>
          <w:sz w:val="24"/>
        </w:rPr>
      </w:pPr>
      <w:bookmarkStart w:id="690" w:name="_Toc384722347"/>
      <w:bookmarkStart w:id="691" w:name="_Toc493595026"/>
      <w:bookmarkStart w:id="692" w:name="_Toc525937787"/>
      <w:bookmarkStart w:id="693" w:name="_Toc522174718"/>
      <w:bookmarkStart w:id="694" w:name="_Toc425268721"/>
      <w:r>
        <w:rPr>
          <w:rFonts w:hint="default" w:ascii="宋体" w:hAnsi="宋体" w:cs="宋体"/>
          <w:b/>
          <w:sz w:val="24"/>
          <w:lang w:val="en-US"/>
        </w:rPr>
        <w:t>八</w:t>
      </w:r>
      <w:r>
        <w:rPr>
          <w:rFonts w:hint="eastAsia" w:ascii="宋体" w:hAnsi="宋体" w:cs="宋体"/>
          <w:b/>
          <w:sz w:val="24"/>
        </w:rPr>
        <w:t>、需求变更</w:t>
      </w:r>
      <w:bookmarkEnd w:id="690"/>
      <w:bookmarkEnd w:id="691"/>
      <w:bookmarkEnd w:id="692"/>
      <w:bookmarkEnd w:id="693"/>
      <w:bookmarkEnd w:id="694"/>
    </w:p>
    <w:p>
      <w:pPr>
        <w:spacing w:line="360" w:lineRule="auto"/>
        <w:ind w:firstLine="480" w:firstLineChars="200"/>
        <w:rPr>
          <w:rFonts w:ascii="宋体" w:hAnsi="宋体" w:cs="宋体"/>
          <w:sz w:val="24"/>
        </w:rPr>
      </w:pPr>
      <w:r>
        <w:rPr>
          <w:rFonts w:hint="eastAsia" w:ascii="宋体" w:hAnsi="宋体" w:cs="宋体"/>
          <w:sz w:val="24"/>
        </w:rPr>
        <w:t>为了维护和兼顾各方的利益，确保信息系统的质量，在本合同签署后，甲乙双方均有权在履行本合同的过程中合理地提出变更、扩展、替换或修改本项目的某些部分的建议，包括增加或减少系统的相应功能/提高有关技术参数/变更交付或安装的时间与地点。为此，双方同意：</w:t>
      </w:r>
    </w:p>
    <w:p>
      <w:pPr>
        <w:spacing w:line="360" w:lineRule="auto"/>
        <w:ind w:firstLine="480" w:firstLineChars="200"/>
        <w:rPr>
          <w:rFonts w:ascii="宋体" w:hAnsi="宋体" w:cs="宋体"/>
          <w:sz w:val="24"/>
        </w:rPr>
      </w:pPr>
      <w:r>
        <w:rPr>
          <w:rFonts w:hint="eastAsia" w:ascii="宋体" w:hAnsi="宋体" w:cs="宋体"/>
          <w:sz w:val="24"/>
        </w:rPr>
        <w:t>1. 甲方应当将变更要求以书面形式提交给乙方。乙方应在</w:t>
      </w:r>
      <w:r>
        <w:rPr>
          <w:rFonts w:hint="eastAsia" w:ascii="宋体" w:hAnsi="宋体" w:cs="宋体"/>
          <w:sz w:val="24"/>
          <w:u w:val="single"/>
        </w:rPr>
        <w:t xml:space="preserve">    </w:t>
      </w:r>
      <w:r>
        <w:rPr>
          <w:rFonts w:hint="eastAsia" w:ascii="宋体" w:hAnsi="宋体" w:cs="宋体"/>
          <w:sz w:val="24"/>
        </w:rPr>
        <w:t>个工作日内对此作出书面回复，其回复内容包括该变更对合同价格、项目交付日期、系统性能、项目技术参数的影响和变化以及对合同条款的影响等。</w:t>
      </w:r>
    </w:p>
    <w:p>
      <w:pPr>
        <w:spacing w:line="360" w:lineRule="auto"/>
        <w:ind w:firstLine="480" w:firstLineChars="200"/>
        <w:rPr>
          <w:rFonts w:ascii="宋体" w:hAnsi="宋体" w:cs="宋体"/>
          <w:sz w:val="24"/>
        </w:rPr>
      </w:pPr>
      <w:r>
        <w:rPr>
          <w:rFonts w:hint="eastAsia" w:ascii="宋体" w:hAnsi="宋体" w:cs="宋体"/>
          <w:sz w:val="24"/>
        </w:rPr>
        <w:t>2. 甲方在收到乙方的回复后，应在</w:t>
      </w:r>
      <w:r>
        <w:rPr>
          <w:rFonts w:hint="eastAsia" w:ascii="宋体" w:hAnsi="宋体" w:cs="宋体"/>
          <w:sz w:val="24"/>
          <w:u w:val="single"/>
        </w:rPr>
        <w:t xml:space="preserve">    </w:t>
      </w:r>
      <w:r>
        <w:rPr>
          <w:rFonts w:hint="eastAsia" w:ascii="宋体" w:hAnsi="宋体" w:cs="宋体"/>
          <w:sz w:val="24"/>
        </w:rPr>
        <w:t>个工作日内以书面方式通知乙方是否接受乙方上述回复。如果甲方接受乙方的上述回复，则双方应对此变更以书面形式予以确认，并按变更后的条款履行本合同。</w:t>
      </w:r>
    </w:p>
    <w:p>
      <w:pPr>
        <w:spacing w:line="360" w:lineRule="auto"/>
        <w:ind w:firstLine="480" w:firstLineChars="200"/>
        <w:rPr>
          <w:rFonts w:ascii="宋体" w:hAnsi="宋体" w:cs="宋体"/>
          <w:sz w:val="24"/>
        </w:rPr>
      </w:pPr>
      <w:r>
        <w:rPr>
          <w:rFonts w:hint="eastAsia" w:ascii="宋体" w:hAnsi="宋体" w:cs="宋体"/>
          <w:sz w:val="24"/>
        </w:rPr>
        <w:t>3. 如乙方提出部分项目的变更建议，乙方应同时详细阐明该变更对合同价格、服务期限、系统性能、项目技术参数的影响和变化以及对合同条款的影响等。</w:t>
      </w:r>
    </w:p>
    <w:p>
      <w:pPr>
        <w:spacing w:line="360" w:lineRule="auto"/>
        <w:ind w:firstLine="480" w:firstLineChars="200"/>
        <w:rPr>
          <w:rFonts w:ascii="宋体" w:hAnsi="宋体" w:cs="宋体"/>
          <w:sz w:val="24"/>
        </w:rPr>
      </w:pPr>
      <w:r>
        <w:rPr>
          <w:rFonts w:hint="eastAsia" w:ascii="宋体" w:hAnsi="宋体" w:cs="宋体"/>
          <w:sz w:val="24"/>
        </w:rPr>
        <w:t>4. 甲方在收到乙方的上述变更建议后，应当在</w:t>
      </w:r>
      <w:r>
        <w:rPr>
          <w:rFonts w:hint="eastAsia" w:ascii="宋体" w:hAnsi="宋体" w:cs="宋体"/>
          <w:sz w:val="24"/>
          <w:u w:val="single"/>
        </w:rPr>
        <w:t xml:space="preserve">    </w:t>
      </w:r>
      <w:r>
        <w:rPr>
          <w:rFonts w:hint="eastAsia" w:ascii="宋体" w:hAnsi="宋体" w:cs="宋体"/>
          <w:sz w:val="24"/>
        </w:rPr>
        <w:t>个工作日内以书面方式通知乙方是否同意和接受乙方的上述变更建议。如果甲方接受回复，则双方对此变更以书面形式作出确认，双方按照变更后的约定履行本合同。</w:t>
      </w:r>
    </w:p>
    <w:p>
      <w:pPr>
        <w:spacing w:line="360" w:lineRule="auto"/>
        <w:ind w:firstLine="420"/>
        <w:rPr>
          <w:rFonts w:ascii="宋体" w:hAnsi="宋体" w:cs="宋体"/>
          <w:sz w:val="24"/>
        </w:rPr>
      </w:pPr>
      <w:r>
        <w:rPr>
          <w:rFonts w:hint="eastAsia" w:ascii="宋体" w:hAnsi="宋体" w:cs="宋体"/>
          <w:sz w:val="24"/>
        </w:rPr>
        <w:t>5. 双方对项目的变更内容，不得构成对招标文件确定的事项和中标人投标文件内容的实质性改变。</w:t>
      </w:r>
    </w:p>
    <w:p>
      <w:pPr>
        <w:spacing w:line="360" w:lineRule="auto"/>
        <w:ind w:left="420"/>
        <w:outlineLvl w:val="0"/>
        <w:rPr>
          <w:rFonts w:ascii="宋体" w:hAnsi="宋体" w:cs="宋体"/>
          <w:b/>
          <w:sz w:val="24"/>
        </w:rPr>
      </w:pPr>
      <w:r>
        <w:rPr>
          <w:rFonts w:hint="default" w:ascii="宋体" w:hAnsi="宋体" w:cs="宋体"/>
          <w:b/>
          <w:sz w:val="24"/>
          <w:lang w:val="en-US"/>
        </w:rPr>
        <w:t>九</w:t>
      </w:r>
      <w:r>
        <w:rPr>
          <w:rFonts w:hint="eastAsia" w:ascii="宋体" w:hAnsi="宋体" w:cs="宋体"/>
          <w:b/>
          <w:sz w:val="24"/>
        </w:rPr>
        <w:t>、安全责任边界</w:t>
      </w:r>
    </w:p>
    <w:p>
      <w:pPr>
        <w:spacing w:line="360" w:lineRule="auto"/>
        <w:ind w:firstLine="480" w:firstLineChars="200"/>
        <w:rPr>
          <w:rFonts w:ascii="宋体" w:hAnsi="宋体" w:cs="宋体"/>
          <w:sz w:val="24"/>
        </w:rPr>
      </w:pPr>
      <w:r>
        <w:rPr>
          <w:rFonts w:hint="eastAsia" w:ascii="宋体" w:hAnsi="宋体" w:cs="宋体"/>
          <w:sz w:val="24"/>
        </w:rPr>
        <w:t>1. 甲方安全责任</w:t>
      </w:r>
    </w:p>
    <w:p>
      <w:pPr>
        <w:spacing w:line="360" w:lineRule="auto"/>
        <w:ind w:firstLine="480" w:firstLineChars="200"/>
        <w:rPr>
          <w:rFonts w:ascii="宋体" w:hAnsi="宋体" w:cs="宋体"/>
          <w:sz w:val="24"/>
        </w:rPr>
      </w:pPr>
      <w:r>
        <w:rPr>
          <w:rFonts w:hint="eastAsia" w:ascii="宋体" w:hAnsi="宋体" w:cs="宋体"/>
          <w:sz w:val="24"/>
        </w:rPr>
        <w:t>甲方负责组织信息系统的应急演练，如有需要，甲方有权要求乙方配合应急演练。</w:t>
      </w:r>
    </w:p>
    <w:p>
      <w:pPr>
        <w:spacing w:line="360" w:lineRule="auto"/>
        <w:ind w:firstLine="480" w:firstLineChars="200"/>
        <w:rPr>
          <w:rFonts w:ascii="宋体" w:hAnsi="宋体" w:cs="宋体"/>
          <w:sz w:val="24"/>
        </w:rPr>
      </w:pPr>
      <w:r>
        <w:rPr>
          <w:rFonts w:hint="eastAsia" w:ascii="宋体" w:hAnsi="宋体" w:cs="宋体"/>
          <w:sz w:val="24"/>
        </w:rPr>
        <w:t>2. 乙方安全责任</w:t>
      </w:r>
    </w:p>
    <w:p>
      <w:pPr>
        <w:spacing w:line="360" w:lineRule="auto"/>
        <w:ind w:firstLine="480" w:firstLineChars="200"/>
        <w:rPr>
          <w:rFonts w:ascii="宋体" w:hAnsi="宋体" w:cs="宋体"/>
          <w:sz w:val="24"/>
        </w:rPr>
      </w:pPr>
      <w:r>
        <w:rPr>
          <w:rFonts w:hint="eastAsia" w:ascii="宋体" w:hAnsi="宋体" w:cs="宋体"/>
          <w:sz w:val="24"/>
        </w:rPr>
        <w:t>（1）乙方承担云平台层面（主要包括物理资源、计算资源、存储资源、网络资源）以及数据防篡改的安全责任。</w:t>
      </w:r>
    </w:p>
    <w:p>
      <w:pPr>
        <w:spacing w:line="360" w:lineRule="auto"/>
        <w:ind w:firstLine="480" w:firstLineChars="200"/>
        <w:rPr>
          <w:rFonts w:ascii="宋体" w:hAnsi="宋体" w:cs="宋体"/>
          <w:sz w:val="24"/>
        </w:rPr>
      </w:pPr>
      <w:r>
        <w:rPr>
          <w:rFonts w:hint="eastAsia" w:ascii="宋体" w:hAnsi="宋体" w:cs="宋体"/>
          <w:sz w:val="24"/>
        </w:rPr>
        <w:t>（2）乙方在取得甲方许可后，开展云平台应急演练；乙方有义务配合甲方完成信息系统的应急演练。</w:t>
      </w:r>
    </w:p>
    <w:p>
      <w:pPr>
        <w:spacing w:line="360" w:lineRule="auto"/>
        <w:ind w:left="420"/>
        <w:outlineLvl w:val="0"/>
        <w:rPr>
          <w:rFonts w:ascii="宋体" w:hAnsi="宋体" w:cs="宋体"/>
          <w:sz w:val="24"/>
        </w:rPr>
      </w:pPr>
      <w:bookmarkStart w:id="695" w:name="_Toc425268715"/>
      <w:bookmarkStart w:id="696" w:name="_Toc525937781"/>
      <w:bookmarkStart w:id="697" w:name="_Toc522174712"/>
      <w:bookmarkStart w:id="698" w:name="_Toc384722341"/>
      <w:bookmarkStart w:id="699" w:name="_Toc493595020"/>
      <w:bookmarkStart w:id="700" w:name="_Toc522174725"/>
      <w:bookmarkStart w:id="701" w:name="_Toc493595033"/>
      <w:bookmarkStart w:id="702" w:name="_Toc425268728"/>
      <w:bookmarkStart w:id="703" w:name="_Toc384722354"/>
      <w:bookmarkStart w:id="704" w:name="_Toc525937794"/>
      <w:bookmarkStart w:id="705" w:name="_Toc522174711"/>
      <w:bookmarkStart w:id="706" w:name="_Toc493595019"/>
      <w:bookmarkStart w:id="707" w:name="_Toc525937780"/>
      <w:bookmarkStart w:id="708" w:name="_Toc384722340"/>
      <w:bookmarkStart w:id="709" w:name="_Toc425268714"/>
      <w:r>
        <w:rPr>
          <w:rFonts w:hint="eastAsia" w:ascii="宋体" w:hAnsi="宋体" w:cs="宋体"/>
          <w:b/>
          <w:sz w:val="24"/>
        </w:rPr>
        <w:t>十、知识产权</w:t>
      </w:r>
    </w:p>
    <w:p>
      <w:pPr>
        <w:spacing w:line="360" w:lineRule="auto"/>
        <w:ind w:firstLine="480" w:firstLineChars="200"/>
        <w:rPr>
          <w:rFonts w:ascii="宋体" w:hAnsi="宋体" w:cs="宋体"/>
          <w:sz w:val="24"/>
        </w:rPr>
      </w:pPr>
      <w:r>
        <w:rPr>
          <w:rFonts w:hint="eastAsia" w:ascii="宋体" w:hAnsi="宋体" w:cs="宋体"/>
          <w:sz w:val="24"/>
        </w:rPr>
        <w:t>1. 本合同签订前已经存在的或履行过程中产生的其他与本合同系统无关的成果，包括但不限于设计方案、各种说明书、测试数据资料、计算机软件以及其他技术文档，知识产权归原权利人所有。</w:t>
      </w:r>
    </w:p>
    <w:p>
      <w:pPr>
        <w:spacing w:line="360" w:lineRule="auto"/>
        <w:ind w:firstLine="480" w:firstLineChars="200"/>
        <w:rPr>
          <w:rFonts w:ascii="宋体" w:hAnsi="宋体" w:cs="宋体"/>
          <w:sz w:val="24"/>
        </w:rPr>
      </w:pPr>
      <w:r>
        <w:rPr>
          <w:rFonts w:hint="eastAsia" w:ascii="宋体" w:hAnsi="宋体" w:cs="宋体"/>
          <w:sz w:val="24"/>
        </w:rPr>
        <w:t>2. 本合同执行期间产生的相关运维报告的知识产权归甲方所有。</w:t>
      </w:r>
    </w:p>
    <w:p>
      <w:pPr>
        <w:spacing w:line="360" w:lineRule="auto"/>
        <w:ind w:firstLine="480" w:firstLineChars="200"/>
        <w:rPr>
          <w:rFonts w:ascii="宋体" w:hAnsi="宋体" w:cs="宋体"/>
          <w:b/>
          <w:sz w:val="24"/>
        </w:rPr>
      </w:pPr>
      <w:r>
        <w:rPr>
          <w:rFonts w:hint="eastAsia" w:ascii="宋体" w:hAnsi="宋体" w:cs="宋体"/>
          <w:sz w:val="24"/>
        </w:rPr>
        <w:t>3. 乙方应保证甲方使用合同项下乙方工作成果的任何一部分时免受第三方提出的侵犯其专利权、著作权、商标权或工业设计权等知识产权的起诉。如果任何第三方对此提出起诉，乙方应负责与之交涉并承担由此引起的一切法律责任、交涉费用及甲方全部损失。为履行本合同义务形成的知识产权成果归甲方所有（已有的第三方知识产权除外）。</w:t>
      </w:r>
    </w:p>
    <w:p>
      <w:pPr>
        <w:spacing w:line="360" w:lineRule="auto"/>
        <w:ind w:left="420"/>
        <w:outlineLvl w:val="0"/>
        <w:rPr>
          <w:rFonts w:ascii="宋体" w:hAnsi="宋体" w:cs="宋体"/>
          <w:b/>
          <w:sz w:val="24"/>
        </w:rPr>
      </w:pPr>
      <w:r>
        <w:rPr>
          <w:rFonts w:hint="eastAsia" w:ascii="宋体" w:hAnsi="宋体" w:cs="宋体"/>
          <w:b/>
          <w:sz w:val="24"/>
        </w:rPr>
        <w:t>十</w:t>
      </w:r>
      <w:r>
        <w:rPr>
          <w:rFonts w:hint="default" w:ascii="宋体" w:hAnsi="宋体" w:cs="宋体"/>
          <w:b/>
          <w:sz w:val="24"/>
          <w:lang w:val="en-US"/>
        </w:rPr>
        <w:t>一</w:t>
      </w:r>
      <w:r>
        <w:rPr>
          <w:rFonts w:hint="eastAsia" w:ascii="宋体" w:hAnsi="宋体" w:cs="宋体"/>
          <w:b/>
          <w:sz w:val="24"/>
        </w:rPr>
        <w:t>、保密条款</w:t>
      </w:r>
    </w:p>
    <w:p>
      <w:pPr>
        <w:spacing w:line="360" w:lineRule="auto"/>
        <w:ind w:firstLine="480" w:firstLineChars="200"/>
        <w:rPr>
          <w:rFonts w:ascii="宋体" w:hAnsi="宋体" w:cs="宋体"/>
          <w:sz w:val="24"/>
        </w:rPr>
      </w:pPr>
      <w:r>
        <w:rPr>
          <w:rFonts w:hint="eastAsia" w:ascii="宋体" w:hAnsi="宋体" w:cs="宋体"/>
          <w:sz w:val="24"/>
        </w:rPr>
        <w:t>1. 任何一方对其获知的本合同及附件中的各方秘密信息负有保密义务。</w:t>
      </w:r>
    </w:p>
    <w:p>
      <w:pPr>
        <w:spacing w:line="360" w:lineRule="auto"/>
        <w:ind w:firstLine="480" w:firstLineChars="200"/>
        <w:rPr>
          <w:rFonts w:ascii="宋体" w:hAnsi="宋体" w:cs="宋体"/>
          <w:sz w:val="24"/>
        </w:rPr>
      </w:pPr>
      <w:r>
        <w:rPr>
          <w:rFonts w:hint="eastAsia" w:ascii="宋体" w:hAnsi="宋体" w:cs="宋体"/>
          <w:sz w:val="24"/>
        </w:rPr>
        <w:t>2. 甲方同意使用至少与甲方使用于自身专有资料相同的谨慎与防范措施，对乙方向甲方透露的、包含专有资料并标明“专有”或“保密”的任何资料或数据，如乙方图纸和软件（包括但不限于设计、报告、软件文件、手册、模型、说明书等）予以保密。未明确标注“专有”或“保密”字样的资料或数据除外。未经乙方书面允许，不得复制、向他人透露或者使用该等资料或数据。</w:t>
      </w:r>
    </w:p>
    <w:p>
      <w:pPr>
        <w:spacing w:line="360" w:lineRule="auto"/>
        <w:ind w:firstLine="480" w:firstLineChars="200"/>
        <w:rPr>
          <w:rFonts w:ascii="宋体" w:hAnsi="宋体" w:cs="宋体"/>
          <w:sz w:val="24"/>
        </w:rPr>
      </w:pPr>
      <w:r>
        <w:rPr>
          <w:rFonts w:hint="eastAsia" w:ascii="宋体" w:hAnsi="宋体" w:cs="宋体"/>
          <w:sz w:val="24"/>
        </w:rPr>
        <w:t>3. 乙方同意使用至少与乙方使用于自身专有资料相同的谨慎与防范措施，对甲方向乙方透露的、包含专有资料并表明“专有”或“保密”的任何资料或数据，如甲方的需求、业务模式（包括但不限于岗位职能等）予以保密，但无论如何，谨慎不得低于合理限度。未经甲方书面允许，不得复制、向他人透露或者使用该等资料或数据。</w:t>
      </w:r>
    </w:p>
    <w:p>
      <w:pPr>
        <w:spacing w:line="360" w:lineRule="auto"/>
        <w:ind w:firstLine="480" w:firstLineChars="200"/>
        <w:rPr>
          <w:rFonts w:ascii="宋体" w:hAnsi="宋体" w:cs="宋体"/>
          <w:sz w:val="24"/>
        </w:rPr>
      </w:pPr>
      <w:r>
        <w:rPr>
          <w:rFonts w:hint="eastAsia" w:ascii="宋体" w:hAnsi="宋体" w:cs="宋体"/>
          <w:sz w:val="24"/>
        </w:rPr>
        <w:t>4. 对于甲方自身的特殊保密需求，甲方可以对因系统开发、维护等的需要而提供给乙方的资料和数据实施合乎规定（该类规定包括但不限于相关的保密法律、法规、规定、通知等）施加保密处理措施，并对此负责；同时，乙方有义务遵守和配合执行甲方的保密管理规定与保密处理措施，并在项目实施完成后，归还甲方提供的非公开的业务资料。</w:t>
      </w:r>
    </w:p>
    <w:p>
      <w:pPr>
        <w:spacing w:line="360" w:lineRule="auto"/>
        <w:ind w:firstLine="480" w:firstLineChars="200"/>
        <w:rPr>
          <w:rFonts w:ascii="宋体" w:hAnsi="宋体" w:cs="宋体"/>
          <w:sz w:val="24"/>
        </w:rPr>
      </w:pPr>
      <w:r>
        <w:rPr>
          <w:rFonts w:hint="eastAsia" w:ascii="宋体" w:hAnsi="宋体" w:cs="宋体"/>
          <w:sz w:val="24"/>
        </w:rPr>
        <w:t>5. 如果合作解除，乙方</w:t>
      </w:r>
      <w:r>
        <w:rPr>
          <w:rFonts w:hint="default" w:ascii="宋体" w:hAnsi="宋体" w:cs="宋体"/>
          <w:sz w:val="24"/>
          <w:lang w:val="en-US"/>
        </w:rPr>
        <w:t>须按照</w:t>
      </w:r>
      <w:r>
        <w:rPr>
          <w:rFonts w:hint="eastAsia" w:ascii="宋体" w:hAnsi="宋体" w:cs="宋体"/>
          <w:sz w:val="24"/>
        </w:rPr>
        <w:t>甲方</w:t>
      </w:r>
      <w:r>
        <w:rPr>
          <w:rFonts w:hint="default" w:ascii="宋体" w:hAnsi="宋体" w:cs="宋体"/>
          <w:sz w:val="24"/>
          <w:lang w:val="en-US"/>
        </w:rPr>
        <w:t>要求</w:t>
      </w:r>
      <w:r>
        <w:rPr>
          <w:rFonts w:hint="eastAsia" w:ascii="宋体" w:hAnsi="宋体" w:cs="宋体"/>
          <w:sz w:val="24"/>
        </w:rPr>
        <w:t>处理好信息系统及数据迁出本云平台的一切工作，</w:t>
      </w:r>
      <w:r>
        <w:rPr>
          <w:rFonts w:hint="default" w:ascii="宋体" w:hAnsi="宋体" w:cs="宋体"/>
          <w:sz w:val="24"/>
          <w:lang w:val="en-US"/>
        </w:rPr>
        <w:t>包含迁移方案及相关迁移费用等，</w:t>
      </w:r>
      <w:r>
        <w:rPr>
          <w:rFonts w:hint="eastAsia" w:ascii="宋体" w:hAnsi="宋体" w:cs="宋体"/>
          <w:sz w:val="24"/>
        </w:rPr>
        <w:t>确保信息系统在新环境运行稳定后，对原有信息系统数据进行安全擦除，并保证不保留、不使用、不泄露甲方的任何信息资源。</w:t>
      </w:r>
    </w:p>
    <w:p>
      <w:pPr>
        <w:spacing w:line="360" w:lineRule="auto"/>
        <w:ind w:firstLine="480" w:firstLineChars="200"/>
        <w:rPr>
          <w:rFonts w:ascii="宋体" w:hAnsi="宋体" w:cs="宋体"/>
          <w:sz w:val="24"/>
        </w:rPr>
      </w:pPr>
      <w:r>
        <w:rPr>
          <w:rFonts w:hint="eastAsia" w:ascii="宋体" w:hAnsi="宋体" w:cs="宋体"/>
          <w:sz w:val="24"/>
        </w:rPr>
        <w:t>6. 乙方须保证对项目技术文件以及由甲方提供的所有数据、内部资料、技术文档和信息予以保密；未经甲方书面许可，乙方不得将甲方提供的本项目数据、资料以及项目成果以任何形式向第三方透露或使用。本条款在项目完成或无论何种原因导致合同终止后依然有效。</w:t>
      </w:r>
    </w:p>
    <w:p>
      <w:pPr>
        <w:spacing w:line="360" w:lineRule="auto"/>
        <w:ind w:firstLine="480" w:firstLineChars="200"/>
        <w:rPr>
          <w:rFonts w:ascii="宋体" w:hAnsi="宋体" w:cs="宋体"/>
          <w:sz w:val="24"/>
        </w:rPr>
      </w:pPr>
      <w:r>
        <w:rPr>
          <w:rFonts w:hint="eastAsia" w:ascii="宋体" w:hAnsi="宋体" w:cs="宋体"/>
          <w:sz w:val="24"/>
        </w:rPr>
        <w:t>7. 乙方违反上述保密约定，应立即采取措施停止泄密行为，减小泄密造成的损失；乙方应赔偿甲方由此发生的任何及所有成本、费用和损失，包括但不限于解决争议，赔偿甲方因此支出的交通费、律师费、调查费、公证费、仲裁费、保全费、鉴定费、诉讼费等一切合理费用；乙方应向甲方支付合同款总额5%作为违约金并承担相关法律责任。同时，甲方还有权根据泄密造成损失的大小，单方解除本合同，并要求乙方退还甲方已经支付的全部合同款。</w:t>
      </w:r>
    </w:p>
    <w:p>
      <w:pPr>
        <w:pStyle w:val="44"/>
        <w:ind w:left="0" w:leftChars="0" w:firstLine="480"/>
        <w:rPr>
          <w:rFonts w:ascii="宋体" w:hAnsi="宋体" w:cs="宋体"/>
          <w:szCs w:val="24"/>
        </w:rPr>
      </w:pPr>
      <w:r>
        <w:rPr>
          <w:rFonts w:hint="eastAsia" w:ascii="宋体" w:hAnsi="宋体" w:cs="宋体"/>
          <w:szCs w:val="24"/>
        </w:rPr>
        <w:t>8. 此款不受合同无效影响。</w:t>
      </w:r>
    </w:p>
    <w:p>
      <w:pPr>
        <w:spacing w:line="360" w:lineRule="auto"/>
        <w:ind w:left="420"/>
        <w:outlineLvl w:val="0"/>
        <w:rPr>
          <w:rFonts w:ascii="宋体" w:hAnsi="宋体" w:cs="宋体"/>
          <w:b/>
          <w:sz w:val="24"/>
        </w:rPr>
      </w:pPr>
      <w:bookmarkStart w:id="710" w:name="_Toc384722342"/>
      <w:bookmarkStart w:id="711" w:name="_Toc525937782"/>
      <w:bookmarkStart w:id="712" w:name="_Toc522174713"/>
      <w:bookmarkStart w:id="713" w:name="_Toc425268716"/>
      <w:bookmarkStart w:id="714" w:name="_Toc493595021"/>
      <w:r>
        <w:rPr>
          <w:rFonts w:hint="eastAsia" w:ascii="宋体" w:hAnsi="宋体" w:cs="宋体"/>
          <w:b/>
          <w:sz w:val="24"/>
        </w:rPr>
        <w:t>十</w:t>
      </w:r>
      <w:r>
        <w:rPr>
          <w:rFonts w:hint="default" w:ascii="宋体" w:hAnsi="宋体" w:cs="宋体"/>
          <w:b/>
          <w:sz w:val="24"/>
          <w:lang w:val="en-US"/>
        </w:rPr>
        <w:t>二</w:t>
      </w:r>
      <w:r>
        <w:rPr>
          <w:rFonts w:hint="eastAsia" w:ascii="宋体" w:hAnsi="宋体" w:cs="宋体"/>
          <w:b/>
          <w:sz w:val="24"/>
        </w:rPr>
        <w:t>、</w:t>
      </w:r>
      <w:bookmarkEnd w:id="710"/>
      <w:bookmarkEnd w:id="711"/>
      <w:bookmarkEnd w:id="712"/>
      <w:bookmarkEnd w:id="713"/>
      <w:bookmarkEnd w:id="714"/>
      <w:r>
        <w:rPr>
          <w:rFonts w:hint="eastAsia" w:ascii="宋体" w:hAnsi="宋体" w:cs="宋体"/>
          <w:b/>
          <w:sz w:val="24"/>
        </w:rPr>
        <w:t>服务质量考核</w:t>
      </w:r>
    </w:p>
    <w:p>
      <w:pPr>
        <w:spacing w:line="360" w:lineRule="auto"/>
        <w:ind w:firstLine="480" w:firstLineChars="200"/>
        <w:rPr>
          <w:rFonts w:ascii="宋体" w:hAnsi="宋体" w:cs="宋体"/>
          <w:sz w:val="24"/>
        </w:rPr>
      </w:pPr>
      <w:r>
        <w:rPr>
          <w:rFonts w:hint="eastAsia" w:ascii="宋体" w:hAnsi="宋体" w:cs="宋体"/>
          <w:sz w:val="24"/>
        </w:rPr>
        <w:t>1. 乙方云平台运行技术指标应符合国家法规、标准，云平台可用性不低于99.99%，数据可靠性不低于 99.9999%。</w:t>
      </w:r>
    </w:p>
    <w:p>
      <w:pPr>
        <w:spacing w:line="360" w:lineRule="auto"/>
        <w:ind w:firstLine="480" w:firstLineChars="200"/>
        <w:rPr>
          <w:rFonts w:ascii="宋体" w:hAnsi="宋体" w:cs="宋体"/>
          <w:sz w:val="24"/>
        </w:rPr>
      </w:pPr>
      <w:r>
        <w:rPr>
          <w:rFonts w:hint="eastAsia" w:ascii="宋体" w:hAnsi="宋体" w:cs="宋体"/>
          <w:sz w:val="24"/>
        </w:rPr>
        <w:t>2. 在项目具体实施的过程当中，乙方必须严密组织，认真规划，严格监管，以确保项目高质量按期完成。如果乙方没有兑现服务质量承诺，乙方除应采取补救措施外，甲方有权要求乙方给予一定的赔偿。</w:t>
      </w:r>
    </w:p>
    <w:p>
      <w:pPr>
        <w:spacing w:line="360" w:lineRule="auto"/>
        <w:ind w:firstLine="480" w:firstLineChars="200"/>
        <w:rPr>
          <w:rFonts w:ascii="宋体" w:hAnsi="宋体" w:cs="宋体"/>
          <w:sz w:val="24"/>
        </w:rPr>
      </w:pPr>
      <w:r>
        <w:rPr>
          <w:rFonts w:hint="eastAsia" w:ascii="宋体" w:hAnsi="宋体" w:cs="宋体"/>
          <w:sz w:val="24"/>
        </w:rPr>
        <w:t>3. 乙方成立专门的服务团队，服务团队应具有丰富的政府信息化建设和组织管理能力，成员名单和资历报甲方备案。乙方服务团队成员在项目实施及试运行期间应稳定不变，以保证项目的总体质量。如甲方认为乙方服务团队成员不能满足要求，乙方应及时更换；乙方在未征得甲方同意的条件下，不得无故更换服务团队成员。不论何种原因，因乙方更换服务团队成员影响本项目顺利进行的，甲方有权依法追究乙方责任。</w:t>
      </w:r>
    </w:p>
    <w:p>
      <w:pPr>
        <w:spacing w:line="360" w:lineRule="auto"/>
        <w:ind w:firstLine="480" w:firstLineChars="200"/>
        <w:rPr>
          <w:rFonts w:ascii="宋体" w:hAnsi="宋体" w:cs="宋体"/>
          <w:sz w:val="24"/>
        </w:rPr>
      </w:pPr>
      <w:r>
        <w:rPr>
          <w:rFonts w:hint="eastAsia" w:ascii="宋体" w:hAnsi="宋体" w:cs="宋体"/>
          <w:sz w:val="24"/>
        </w:rPr>
        <w:t>4. 服务期间，乙方应妥善保存本项目的各类文档，包括且不限于：项目总结报告、运行月报、安全月报、故障处理报告、应急预案、重保方案。</w:t>
      </w:r>
    </w:p>
    <w:p>
      <w:pPr>
        <w:spacing w:line="360" w:lineRule="auto"/>
        <w:ind w:firstLine="480" w:firstLineChars="200"/>
        <w:rPr>
          <w:rFonts w:ascii="宋体" w:hAnsi="宋体" w:cs="宋体"/>
          <w:sz w:val="24"/>
        </w:rPr>
      </w:pPr>
      <w:r>
        <w:rPr>
          <w:rFonts w:hint="eastAsia" w:ascii="宋体" w:hAnsi="宋体" w:cs="宋体"/>
          <w:sz w:val="24"/>
        </w:rPr>
        <w:t>5. 甲方于本合同约定的服务期届满后</w:t>
      </w:r>
      <w:r>
        <w:rPr>
          <w:rFonts w:hint="eastAsia" w:ascii="宋体" w:hAnsi="宋体" w:cs="宋体"/>
          <w:sz w:val="24"/>
          <w:u w:val="single"/>
        </w:rPr>
        <w:t xml:space="preserve">    </w:t>
      </w:r>
      <w:r>
        <w:rPr>
          <w:rFonts w:hint="eastAsia" w:ascii="宋体" w:hAnsi="宋体" w:cs="宋体"/>
          <w:sz w:val="24"/>
        </w:rPr>
        <w:t>个工作日内开始对合同进行最终验收。乙方应当在甲方指定的验收日前按照</w:t>
      </w:r>
      <w:r>
        <w:rPr>
          <w:rFonts w:hint="default" w:ascii="宋体" w:hAnsi="宋体" w:cs="宋体"/>
          <w:sz w:val="24"/>
          <w:lang w:val="en-US"/>
        </w:rPr>
        <w:t>合同约定内容及</w:t>
      </w:r>
      <w:r>
        <w:rPr>
          <w:rFonts w:hint="eastAsia" w:ascii="宋体" w:hAnsi="宋体" w:cs="宋体"/>
          <w:sz w:val="24"/>
        </w:rPr>
        <w:t>标准做好验收的</w:t>
      </w:r>
      <w:r>
        <w:rPr>
          <w:rFonts w:hint="default" w:ascii="宋体" w:hAnsi="宋体" w:cs="宋体"/>
          <w:sz w:val="24"/>
          <w:lang w:val="en-US"/>
        </w:rPr>
        <w:t>全部</w:t>
      </w:r>
      <w:r>
        <w:rPr>
          <w:rFonts w:hint="eastAsia" w:ascii="宋体" w:hAnsi="宋体" w:cs="宋体"/>
          <w:sz w:val="24"/>
        </w:rPr>
        <w:t>准备</w:t>
      </w:r>
      <w:r>
        <w:rPr>
          <w:rFonts w:hint="default" w:ascii="宋体" w:hAnsi="宋体" w:cs="宋体"/>
          <w:sz w:val="24"/>
          <w:lang w:val="en-US"/>
        </w:rPr>
        <w:t>工作</w:t>
      </w:r>
      <w:r>
        <w:rPr>
          <w:rFonts w:hint="eastAsia" w:ascii="宋体" w:hAnsi="宋体" w:cs="宋体"/>
          <w:sz w:val="24"/>
        </w:rPr>
        <w:t>并向甲方提交验收申请、项目总结报告、运行月报、安全月报、故障处理报告、应急预案、重保方案</w:t>
      </w:r>
      <w:r>
        <w:rPr>
          <w:rFonts w:hint="default" w:ascii="宋体" w:hAnsi="宋体" w:cs="宋体"/>
          <w:sz w:val="24"/>
          <w:lang w:val="en-US"/>
        </w:rPr>
        <w:t>及合同履行所有支撑材料</w:t>
      </w:r>
      <w:r>
        <w:rPr>
          <w:rFonts w:hint="eastAsia" w:ascii="宋体" w:hAnsi="宋体" w:cs="宋体"/>
          <w:sz w:val="24"/>
        </w:rPr>
        <w:t>。交付份数：纸质版1份，电子版1份。</w:t>
      </w:r>
    </w:p>
    <w:p>
      <w:pPr>
        <w:spacing w:line="360" w:lineRule="auto"/>
        <w:ind w:firstLine="480" w:firstLineChars="200"/>
        <w:rPr>
          <w:rFonts w:ascii="宋体" w:hAnsi="宋体" w:cs="宋体"/>
          <w:sz w:val="24"/>
        </w:rPr>
      </w:pPr>
      <w:r>
        <w:rPr>
          <w:rFonts w:hint="eastAsia" w:ascii="宋体" w:hAnsi="宋体" w:cs="宋体"/>
          <w:sz w:val="24"/>
        </w:rPr>
        <w:t>6. 合同验收采取由甲方组织召开评审会方式进行，验收标准以本合同约定的云资源及相关文档为依据。验收通过后，双方签署验收报告。如果乙方没有通过验收，乙方除应按甲方的要求在甲方规定的时限内进行修改、补救外，甲方有权要求乙方给予一定的赔偿。</w:t>
      </w:r>
    </w:p>
    <w:bookmarkEnd w:id="695"/>
    <w:bookmarkEnd w:id="696"/>
    <w:bookmarkEnd w:id="697"/>
    <w:bookmarkEnd w:id="698"/>
    <w:bookmarkEnd w:id="699"/>
    <w:p>
      <w:pPr>
        <w:spacing w:line="360" w:lineRule="auto"/>
        <w:ind w:left="420"/>
        <w:outlineLvl w:val="0"/>
        <w:rPr>
          <w:rFonts w:ascii="宋体" w:hAnsi="宋体" w:cs="宋体"/>
          <w:b/>
          <w:sz w:val="24"/>
        </w:rPr>
      </w:pPr>
      <w:bookmarkStart w:id="715" w:name="_Toc384722344"/>
      <w:bookmarkStart w:id="716" w:name="_Toc522174715"/>
      <w:bookmarkStart w:id="717" w:name="_Toc525937784"/>
      <w:bookmarkStart w:id="718" w:name="_Toc493595023"/>
      <w:bookmarkStart w:id="719" w:name="_Toc425268718"/>
      <w:r>
        <w:rPr>
          <w:rFonts w:hint="eastAsia" w:ascii="宋体" w:hAnsi="宋体" w:cs="宋体"/>
          <w:b/>
          <w:sz w:val="24"/>
        </w:rPr>
        <w:t>十</w:t>
      </w:r>
      <w:r>
        <w:rPr>
          <w:rFonts w:hint="default" w:ascii="宋体" w:hAnsi="宋体" w:cs="宋体"/>
          <w:b/>
          <w:sz w:val="24"/>
          <w:lang w:val="en-US"/>
        </w:rPr>
        <w:t>三</w:t>
      </w:r>
      <w:r>
        <w:rPr>
          <w:rFonts w:hint="eastAsia" w:ascii="宋体" w:hAnsi="宋体" w:cs="宋体"/>
          <w:b/>
          <w:sz w:val="24"/>
        </w:rPr>
        <w:t>、技术支持与售后服务</w:t>
      </w:r>
      <w:bookmarkEnd w:id="715"/>
      <w:bookmarkEnd w:id="716"/>
      <w:bookmarkEnd w:id="717"/>
      <w:bookmarkEnd w:id="718"/>
      <w:bookmarkEnd w:id="719"/>
    </w:p>
    <w:p>
      <w:pPr>
        <w:spacing w:line="360" w:lineRule="auto"/>
        <w:ind w:firstLine="480" w:firstLineChars="200"/>
        <w:rPr>
          <w:rFonts w:ascii="宋体" w:hAnsi="宋体" w:cs="宋体"/>
          <w:sz w:val="24"/>
        </w:rPr>
      </w:pPr>
      <w:r>
        <w:rPr>
          <w:rFonts w:hint="eastAsia" w:ascii="宋体" w:hAnsi="宋体" w:cs="宋体"/>
          <w:sz w:val="24"/>
        </w:rPr>
        <w:t>在合同服务期限内，甲方项目工作组提出现场维护要求后乙方应于</w:t>
      </w:r>
      <w:r>
        <w:rPr>
          <w:rFonts w:hint="eastAsia" w:ascii="宋体" w:hAnsi="宋体" w:cs="宋体"/>
          <w:sz w:val="24"/>
          <w:u w:val="single"/>
        </w:rPr>
        <w:t xml:space="preserve">    </w:t>
      </w:r>
      <w:r>
        <w:rPr>
          <w:rFonts w:hint="eastAsia" w:ascii="宋体" w:hAnsi="宋体" w:cs="宋体"/>
          <w:sz w:val="24"/>
        </w:rPr>
        <w:t>小时内到达运维现场解决。乙方同时提供以下技术支持：</w:t>
      </w:r>
    </w:p>
    <w:p>
      <w:pPr>
        <w:spacing w:line="360" w:lineRule="auto"/>
        <w:ind w:firstLine="480" w:firstLineChars="200"/>
        <w:rPr>
          <w:rFonts w:ascii="宋体" w:hAnsi="宋体" w:cs="宋体"/>
          <w:sz w:val="24"/>
        </w:rPr>
      </w:pPr>
      <w:r>
        <w:rPr>
          <w:rFonts w:hint="eastAsia" w:ascii="宋体" w:hAnsi="宋体" w:cs="宋体"/>
          <w:sz w:val="24"/>
        </w:rPr>
        <w:t>1. 提供24小时热线电话支持、Email支持、远程技术支持，接到甲方的技术咨询，在</w:t>
      </w:r>
      <w:r>
        <w:rPr>
          <w:rFonts w:hint="eastAsia" w:ascii="宋体" w:hAnsi="宋体" w:cs="宋体"/>
          <w:sz w:val="24"/>
          <w:u w:val="single"/>
        </w:rPr>
        <w:t>48</w:t>
      </w:r>
      <w:r>
        <w:rPr>
          <w:rFonts w:hint="eastAsia" w:ascii="宋体" w:hAnsi="宋体" w:cs="宋体"/>
          <w:sz w:val="24"/>
        </w:rPr>
        <w:t>小时内提出解决方案。</w:t>
      </w:r>
    </w:p>
    <w:p>
      <w:pPr>
        <w:spacing w:line="360" w:lineRule="auto"/>
        <w:ind w:firstLine="480" w:firstLineChars="200"/>
        <w:rPr>
          <w:rFonts w:ascii="宋体" w:hAnsi="宋体" w:cs="宋体"/>
          <w:sz w:val="24"/>
        </w:rPr>
      </w:pPr>
      <w:r>
        <w:rPr>
          <w:rFonts w:hint="eastAsia" w:ascii="宋体" w:hAnsi="宋体" w:cs="宋体"/>
          <w:sz w:val="24"/>
        </w:rPr>
        <w:t>2. 对系统的运行、维护提供7*24小时全年的实时技术支持。制订详细的应急响应策略，并在甲方认为的重要事件中，给予现场技术保障。</w:t>
      </w:r>
    </w:p>
    <w:p>
      <w:pPr>
        <w:spacing w:line="360" w:lineRule="auto"/>
        <w:ind w:left="420"/>
        <w:outlineLvl w:val="0"/>
        <w:rPr>
          <w:rFonts w:ascii="宋体" w:hAnsi="宋体" w:cs="宋体"/>
          <w:b/>
          <w:sz w:val="24"/>
        </w:rPr>
      </w:pPr>
      <w:r>
        <w:rPr>
          <w:rFonts w:hint="eastAsia" w:ascii="宋体" w:hAnsi="宋体" w:cs="宋体"/>
          <w:b/>
          <w:sz w:val="24"/>
        </w:rPr>
        <w:t>十</w:t>
      </w:r>
      <w:r>
        <w:rPr>
          <w:rFonts w:hint="default" w:ascii="宋体" w:hAnsi="宋体" w:cs="宋体"/>
          <w:b/>
          <w:sz w:val="24"/>
          <w:lang w:val="en-US"/>
        </w:rPr>
        <w:t>四</w:t>
      </w:r>
      <w:r>
        <w:rPr>
          <w:rFonts w:hint="eastAsia" w:ascii="宋体" w:hAnsi="宋体" w:cs="宋体"/>
          <w:b/>
          <w:sz w:val="24"/>
        </w:rPr>
        <w:t>、不可抗力</w:t>
      </w:r>
    </w:p>
    <w:p>
      <w:pPr>
        <w:spacing w:line="360" w:lineRule="auto"/>
        <w:ind w:firstLine="480" w:firstLineChars="200"/>
        <w:rPr>
          <w:rFonts w:ascii="宋体" w:hAnsi="宋体" w:cs="宋体"/>
          <w:sz w:val="24"/>
        </w:rPr>
      </w:pPr>
      <w:r>
        <w:rPr>
          <w:rFonts w:hint="eastAsia" w:ascii="宋体" w:hAnsi="宋体" w:cs="宋体"/>
          <w:sz w:val="24"/>
        </w:rPr>
        <w:t>1. 如果双方任何一方由于遭受不可抗力致使影响合同履行，履行合同的期限应予以延长，延长的期限应相当于事件所影响的时间。不可抗力事件系指甲乙双方在缔结合同时所不能预见的，并且它的发生及其后果是无法避免和无法克服的事件，包括但不限于严重火灾、洪水、地震、风暴等自然灾害以及战争、暴乱、罢工、政府政策等事件。</w:t>
      </w:r>
    </w:p>
    <w:p>
      <w:pPr>
        <w:spacing w:line="360" w:lineRule="auto"/>
        <w:ind w:firstLine="480" w:firstLineChars="200"/>
        <w:rPr>
          <w:rFonts w:ascii="宋体" w:hAnsi="宋体" w:cs="宋体"/>
          <w:sz w:val="24"/>
        </w:rPr>
      </w:pPr>
      <w:r>
        <w:rPr>
          <w:rFonts w:hint="eastAsia" w:ascii="宋体" w:hAnsi="宋体" w:cs="宋体"/>
          <w:sz w:val="24"/>
        </w:rPr>
        <w:t>2. 遭受不可抗力一方应在不可抗力事件发生后5日内以书面形式通知另一方；并在事件发生后10日，将有关部门出具的证明文件、详细情况报告以及不可抗力对合同影响程度的说明用特快专递或挂号信的形式寄给另一方。如果不可抗力使合同的某些内容有变更必要的，双方应通过协商达成进一步履行合同的协议，因不可抗力致使合同不能履行的，合同终止。</w:t>
      </w:r>
    </w:p>
    <w:p>
      <w:pPr>
        <w:spacing w:line="360" w:lineRule="auto"/>
        <w:ind w:firstLine="480" w:firstLineChars="200"/>
        <w:rPr>
          <w:rFonts w:ascii="宋体" w:hAnsi="宋体" w:cs="宋体"/>
          <w:sz w:val="24"/>
        </w:rPr>
      </w:pPr>
      <w:r>
        <w:rPr>
          <w:rFonts w:hint="eastAsia" w:ascii="宋体" w:hAnsi="宋体" w:cs="宋体"/>
          <w:sz w:val="24"/>
        </w:rPr>
        <w:t>3. 除迟延履行后发生不可抗力外，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pPr>
        <w:spacing w:line="360" w:lineRule="auto"/>
        <w:ind w:firstLine="480" w:firstLineChars="200"/>
        <w:rPr>
          <w:rFonts w:ascii="宋体" w:hAnsi="宋体" w:cs="宋体"/>
          <w:sz w:val="24"/>
        </w:rPr>
      </w:pPr>
      <w:r>
        <w:rPr>
          <w:rFonts w:hint="eastAsia" w:ascii="宋体" w:hAnsi="宋体" w:cs="宋体"/>
          <w:sz w:val="24"/>
        </w:rPr>
        <w:t>4. 受事件影响的一方应在不可抗力事件影响停止或消除后10日内将不可抗力事件已停止的报告以书面形式通知对方。</w:t>
      </w:r>
    </w:p>
    <w:p>
      <w:pPr>
        <w:spacing w:line="360" w:lineRule="auto"/>
        <w:ind w:firstLine="480" w:firstLineChars="200"/>
        <w:rPr>
          <w:rFonts w:ascii="宋体" w:hAnsi="宋体" w:cs="宋体"/>
          <w:sz w:val="24"/>
        </w:rPr>
      </w:pPr>
      <w:r>
        <w:rPr>
          <w:rFonts w:hint="eastAsia" w:ascii="宋体" w:hAnsi="宋体" w:cs="宋体"/>
          <w:sz w:val="24"/>
        </w:rPr>
        <w:t>5. 一方谎报、虚报、错报不可抗力造成另一方损失的，应承担违约责任，迟延履行后遭遇不可抗力的，不免除迟延履行的责任。</w:t>
      </w:r>
    </w:p>
    <w:p>
      <w:pPr>
        <w:spacing w:line="360" w:lineRule="auto"/>
        <w:ind w:left="420"/>
        <w:outlineLvl w:val="0"/>
        <w:rPr>
          <w:rFonts w:ascii="宋体" w:hAnsi="宋体" w:cs="宋体"/>
          <w:b/>
          <w:sz w:val="24"/>
        </w:rPr>
      </w:pPr>
      <w:r>
        <w:rPr>
          <w:rFonts w:hint="eastAsia" w:ascii="宋体" w:hAnsi="宋体" w:cs="宋体"/>
          <w:b/>
          <w:sz w:val="24"/>
        </w:rPr>
        <w:t>十</w:t>
      </w:r>
      <w:r>
        <w:rPr>
          <w:rFonts w:hint="default" w:ascii="宋体" w:hAnsi="宋体" w:cs="宋体"/>
          <w:b/>
          <w:sz w:val="24"/>
          <w:lang w:val="en-US"/>
        </w:rPr>
        <w:t>五</w:t>
      </w:r>
      <w:r>
        <w:rPr>
          <w:rFonts w:hint="eastAsia" w:ascii="宋体" w:hAnsi="宋体" w:cs="宋体"/>
          <w:b/>
          <w:sz w:val="24"/>
        </w:rPr>
        <w:t>、合同变更、终止、解除</w:t>
      </w:r>
    </w:p>
    <w:p>
      <w:pPr>
        <w:spacing w:line="360" w:lineRule="auto"/>
        <w:ind w:firstLine="480" w:firstLineChars="200"/>
        <w:rPr>
          <w:rFonts w:ascii="宋体" w:hAnsi="宋体" w:cs="宋体"/>
          <w:sz w:val="24"/>
        </w:rPr>
      </w:pPr>
      <w:r>
        <w:rPr>
          <w:rFonts w:hint="eastAsia" w:ascii="宋体" w:hAnsi="宋体" w:cs="宋体"/>
          <w:sz w:val="24"/>
        </w:rPr>
        <w:t>1. 本合同一经生效，非经甲乙双方书面同意，任何一方以任意方式对合同条款的增减及其他变更均无约束力。对合同的任何修改和变更，任何一方需提前</w:t>
      </w:r>
      <w:r>
        <w:rPr>
          <w:rFonts w:hint="eastAsia" w:ascii="宋体" w:hAnsi="宋体" w:cs="宋体"/>
          <w:sz w:val="24"/>
          <w:u w:val="single"/>
        </w:rPr>
        <w:t xml:space="preserve">    </w:t>
      </w:r>
      <w:r>
        <w:rPr>
          <w:rFonts w:hint="eastAsia" w:ascii="宋体" w:hAnsi="宋体" w:cs="宋体"/>
          <w:sz w:val="24"/>
        </w:rPr>
        <w:t>个工作日向另一方发出书面通知。任何对合同条款的变更或修改均须甲乙双方签订书面补充协议。</w:t>
      </w:r>
    </w:p>
    <w:p>
      <w:pPr>
        <w:spacing w:line="360" w:lineRule="auto"/>
        <w:ind w:firstLine="480" w:firstLineChars="200"/>
        <w:rPr>
          <w:rFonts w:ascii="宋体" w:hAnsi="宋体" w:cs="宋体"/>
          <w:sz w:val="24"/>
        </w:rPr>
      </w:pPr>
      <w:r>
        <w:rPr>
          <w:rFonts w:hint="eastAsia" w:ascii="宋体" w:hAnsi="宋体" w:cs="宋体"/>
          <w:sz w:val="24"/>
        </w:rPr>
        <w:t>2. 若合同一方有足够证据证明合同另一方未在规定时间履行或者不完全履行本合同项下规定义务，可向对方提出书面违约通知，提出终止部分或全部合同，但合同终止须经甲乙双方商量确定（根据法律规定或本合同约定一方有权单方终止的情况除外），乙方应在合同终止后5日内退还甲方已经支付但尚未履行部分的费用。若合同部分终止，合同中未终止的部分应继续履行。</w:t>
      </w:r>
    </w:p>
    <w:p>
      <w:pPr>
        <w:spacing w:line="360" w:lineRule="auto"/>
        <w:ind w:firstLine="480" w:firstLineChars="200"/>
        <w:rPr>
          <w:rFonts w:ascii="宋体" w:hAnsi="宋体" w:cs="宋体"/>
          <w:sz w:val="24"/>
        </w:rPr>
      </w:pPr>
      <w:r>
        <w:rPr>
          <w:rFonts w:hint="eastAsia" w:ascii="宋体" w:hAnsi="宋体" w:cs="宋体"/>
          <w:sz w:val="24"/>
        </w:rPr>
        <w:t>3. 若合同一方破产、解散、清算、停业、濒临破产或因其他原因无力履行本合同时，另一方可在任何时候以书面形式通知对方，提出终止合同而不给对方补偿，或要求资产保全防止损失扩大。本合同的终止将不影响甲方、乙方采取或将要采取的任何行动或补救措施的权利。</w:t>
      </w:r>
    </w:p>
    <w:p>
      <w:pPr>
        <w:spacing w:line="360" w:lineRule="auto"/>
        <w:ind w:firstLine="480" w:firstLineChars="200"/>
        <w:rPr>
          <w:rFonts w:ascii="宋体" w:hAnsi="宋体" w:cs="宋体"/>
          <w:sz w:val="24"/>
        </w:rPr>
      </w:pPr>
      <w:r>
        <w:rPr>
          <w:rFonts w:hint="eastAsia" w:ascii="宋体" w:hAnsi="宋体" w:cs="宋体"/>
          <w:sz w:val="24"/>
        </w:rPr>
        <w:t>4. 合同解除</w:t>
      </w:r>
    </w:p>
    <w:p>
      <w:pPr>
        <w:spacing w:line="360" w:lineRule="auto"/>
        <w:ind w:firstLine="480" w:firstLineChars="200"/>
        <w:rPr>
          <w:rFonts w:ascii="宋体" w:hAnsi="宋体" w:cs="宋体"/>
          <w:sz w:val="24"/>
        </w:rPr>
      </w:pPr>
      <w:r>
        <w:rPr>
          <w:rFonts w:hint="eastAsia" w:ascii="宋体" w:hAnsi="宋体" w:cs="宋体"/>
          <w:sz w:val="24"/>
        </w:rPr>
        <w:t>（1）本合同签订后，如发现乙方在参加本项目采购活动过程中存在弄虚作假和恶意串通等违反《中华人民共和国政府采购法》等国家和北京市相关法律法规规定的情形，甲方将视情况保留无条件解除合同；给甲方造成损失的，乙方应依法承担赔偿责任。</w:t>
      </w:r>
    </w:p>
    <w:p>
      <w:pPr>
        <w:spacing w:line="360" w:lineRule="auto"/>
        <w:ind w:firstLine="480" w:firstLineChars="200"/>
        <w:rPr>
          <w:rFonts w:ascii="宋体" w:hAnsi="宋体" w:cs="宋体"/>
          <w:sz w:val="24"/>
        </w:rPr>
      </w:pPr>
      <w:r>
        <w:rPr>
          <w:rFonts w:hint="eastAsia" w:ascii="宋体" w:hAnsi="宋体" w:cs="宋体"/>
          <w:sz w:val="24"/>
        </w:rPr>
        <w:t>（2）如果乙方破产、解散、清算、停业、濒临破产或因其他原因无力履行本合同时，甲方可在任何时候以书面通知乙方解除本合同。</w:t>
      </w:r>
    </w:p>
    <w:p>
      <w:pPr>
        <w:spacing w:line="360" w:lineRule="auto"/>
        <w:ind w:firstLine="480" w:firstLineChars="200"/>
        <w:rPr>
          <w:rFonts w:ascii="宋体" w:hAnsi="宋体" w:cs="宋体"/>
          <w:sz w:val="24"/>
        </w:rPr>
      </w:pPr>
      <w:r>
        <w:rPr>
          <w:rFonts w:hint="eastAsia" w:ascii="宋体" w:hAnsi="宋体" w:cs="宋体"/>
          <w:sz w:val="24"/>
        </w:rPr>
        <w:t>（3）甲方依本合同条款解除合同的，自甲方向乙方发出解除本合同的书面通知到达乙方时，本合同即告解除。该合同的解除将不损害或不影响甲方已经采取或将要采取的任何行动或补救措施的权利。根据合同履行情况，甲方可以要求乙方做好服务工作交接</w:t>
      </w:r>
      <w:bookmarkStart w:id="720" w:name="_Hlk136809346"/>
      <w:r>
        <w:rPr>
          <w:rFonts w:hint="eastAsia" w:ascii="宋体" w:hAnsi="宋体" w:cs="宋体"/>
          <w:sz w:val="24"/>
        </w:rPr>
        <w:t>，且可以要求乙方恢复原状、采取补救措施，并有权要求赔偿损失。</w:t>
      </w:r>
      <w:bookmarkEnd w:id="720"/>
    </w:p>
    <w:p>
      <w:pPr>
        <w:spacing w:line="360" w:lineRule="auto"/>
        <w:ind w:firstLine="480" w:firstLineChars="200"/>
        <w:rPr>
          <w:rFonts w:ascii="宋体" w:hAnsi="宋体" w:cs="宋体"/>
          <w:sz w:val="24"/>
        </w:rPr>
      </w:pPr>
      <w:r>
        <w:rPr>
          <w:rFonts w:hint="eastAsia" w:ascii="宋体" w:hAnsi="宋体" w:cs="宋体"/>
          <w:sz w:val="24"/>
        </w:rPr>
        <w:t>（4）甲方依据法律法规和本合同的相关规定解除或部分解除本合同后，有权选择其他有能力的服务商重新作为合同乙方，另行签订服务合同，提供同类或类似服务。</w:t>
      </w:r>
      <w:bookmarkStart w:id="721" w:name="_Hlk136809393"/>
      <w:r>
        <w:rPr>
          <w:rFonts w:hint="eastAsia" w:ascii="宋体" w:hAnsi="宋体" w:cs="宋体"/>
          <w:sz w:val="24"/>
        </w:rPr>
        <w:t>因此而支付的费用，甲方有权要求乙方赔偿。</w:t>
      </w:r>
      <w:bookmarkEnd w:id="721"/>
    </w:p>
    <w:p>
      <w:pPr>
        <w:spacing w:line="360" w:lineRule="auto"/>
        <w:ind w:left="420"/>
        <w:outlineLvl w:val="0"/>
        <w:rPr>
          <w:rFonts w:ascii="宋体" w:hAnsi="宋体" w:cs="宋体"/>
          <w:b/>
          <w:sz w:val="24"/>
        </w:rPr>
      </w:pPr>
      <w:r>
        <w:rPr>
          <w:rFonts w:hint="eastAsia" w:ascii="宋体" w:hAnsi="宋体" w:cs="宋体"/>
          <w:b/>
          <w:sz w:val="24"/>
        </w:rPr>
        <w:t>十</w:t>
      </w:r>
      <w:r>
        <w:rPr>
          <w:rFonts w:hint="default" w:ascii="宋体" w:hAnsi="宋体" w:cs="宋体"/>
          <w:b/>
          <w:sz w:val="24"/>
          <w:lang w:val="en-US"/>
        </w:rPr>
        <w:t>六</w:t>
      </w:r>
      <w:r>
        <w:rPr>
          <w:rFonts w:hint="eastAsia" w:ascii="宋体" w:hAnsi="宋体" w:cs="宋体"/>
          <w:b/>
          <w:sz w:val="24"/>
        </w:rPr>
        <w:t>、违约</w:t>
      </w:r>
      <w:bookmarkEnd w:id="700"/>
      <w:bookmarkEnd w:id="701"/>
      <w:bookmarkEnd w:id="702"/>
      <w:bookmarkEnd w:id="703"/>
      <w:bookmarkEnd w:id="704"/>
      <w:r>
        <w:rPr>
          <w:rFonts w:hint="eastAsia" w:ascii="宋体" w:hAnsi="宋体" w:cs="宋体"/>
          <w:b/>
          <w:sz w:val="24"/>
        </w:rPr>
        <w:t>责任</w:t>
      </w:r>
    </w:p>
    <w:bookmarkEnd w:id="705"/>
    <w:bookmarkEnd w:id="706"/>
    <w:bookmarkEnd w:id="707"/>
    <w:bookmarkEnd w:id="708"/>
    <w:bookmarkEnd w:id="709"/>
    <w:p>
      <w:pPr>
        <w:spacing w:line="360" w:lineRule="auto"/>
        <w:ind w:firstLine="480" w:firstLineChars="200"/>
        <w:rPr>
          <w:rFonts w:ascii="宋体" w:hAnsi="宋体" w:cs="宋体"/>
          <w:sz w:val="24"/>
        </w:rPr>
      </w:pPr>
      <w:bookmarkStart w:id="722" w:name="_Toc425268722"/>
      <w:bookmarkStart w:id="723" w:name="_Toc493595027"/>
      <w:bookmarkStart w:id="724" w:name="_Toc384722348"/>
      <w:bookmarkStart w:id="725" w:name="_Toc525937788"/>
      <w:bookmarkStart w:id="726" w:name="_Toc522174719"/>
      <w:r>
        <w:rPr>
          <w:rFonts w:hint="eastAsia" w:ascii="宋体" w:hAnsi="宋体" w:cs="宋体"/>
          <w:sz w:val="24"/>
        </w:rPr>
        <w:t>1. 甲乙双方任何一方不履行合同义务或者履行合同义务不符合合同约定的，均视为违约。违约方应按照《中华人民共和国民法典》有关条款的规定承担违约责任。</w:t>
      </w:r>
    </w:p>
    <w:p>
      <w:pPr>
        <w:spacing w:line="360" w:lineRule="auto"/>
        <w:ind w:firstLine="480" w:firstLineChars="200"/>
        <w:rPr>
          <w:rFonts w:ascii="宋体" w:hAnsi="宋体" w:cs="宋体"/>
          <w:sz w:val="24"/>
        </w:rPr>
      </w:pPr>
      <w:r>
        <w:rPr>
          <w:rFonts w:hint="eastAsia" w:ascii="宋体" w:hAnsi="宋体" w:cs="宋体"/>
          <w:sz w:val="24"/>
        </w:rPr>
        <w:t>2. 由于甲方的原因造成合同款延期支付的，每逾期1日，甲方须向乙方支付本合同款总额</w:t>
      </w:r>
      <w:r>
        <w:rPr>
          <w:rFonts w:hint="eastAsia" w:ascii="宋体" w:hAnsi="宋体" w:cs="宋体"/>
          <w:sz w:val="24"/>
          <w:u w:val="single"/>
        </w:rPr>
        <w:t xml:space="preserve">    </w:t>
      </w:r>
      <w:r>
        <w:rPr>
          <w:rFonts w:hint="eastAsia" w:ascii="宋体" w:hAnsi="宋体" w:cs="宋体"/>
          <w:sz w:val="24"/>
        </w:rPr>
        <w:t>的违约金，最高违约金不高于本合同款总额的</w:t>
      </w:r>
      <w:r>
        <w:rPr>
          <w:rFonts w:hint="eastAsia" w:ascii="宋体" w:hAnsi="宋体" w:cs="宋体"/>
          <w:sz w:val="24"/>
          <w:u w:val="single"/>
        </w:rPr>
        <w:t xml:space="preserve">    </w:t>
      </w:r>
      <w:r>
        <w:rPr>
          <w:rFonts w:hint="eastAsia" w:ascii="宋体" w:hAnsi="宋体" w:cs="宋体"/>
          <w:sz w:val="24"/>
        </w:rPr>
        <w:t>。如违约金的数额累计达到本合同款总额</w:t>
      </w:r>
      <w:r>
        <w:rPr>
          <w:rFonts w:hint="eastAsia" w:ascii="宋体" w:hAnsi="宋体" w:cs="宋体"/>
          <w:sz w:val="24"/>
          <w:u w:val="single"/>
        </w:rPr>
        <w:t xml:space="preserve">    </w:t>
      </w:r>
      <w:r>
        <w:rPr>
          <w:rFonts w:hint="eastAsia" w:ascii="宋体" w:hAnsi="宋体" w:cs="宋体"/>
          <w:sz w:val="24"/>
        </w:rPr>
        <w:t>及以上时，乙方有权解除合同。</w:t>
      </w:r>
    </w:p>
    <w:p>
      <w:pPr>
        <w:spacing w:line="360" w:lineRule="auto"/>
        <w:ind w:firstLine="480" w:firstLineChars="200"/>
        <w:rPr>
          <w:rFonts w:ascii="宋体" w:hAnsi="宋体" w:cs="宋体"/>
          <w:sz w:val="24"/>
          <w:lang w:val="zh-CN"/>
        </w:rPr>
      </w:pPr>
      <w:r>
        <w:rPr>
          <w:rFonts w:hint="eastAsia" w:ascii="宋体" w:hAnsi="宋体" w:cs="宋体"/>
          <w:sz w:val="24"/>
        </w:rPr>
        <w:t>3. 由乙方的原因造成项目工期延期的，每逾期1日，乙方须向甲方支付本合同款总额的</w:t>
      </w:r>
      <w:r>
        <w:rPr>
          <w:rFonts w:hint="eastAsia" w:ascii="宋体" w:hAnsi="宋体" w:cs="宋体"/>
          <w:sz w:val="24"/>
          <w:u w:val="single"/>
        </w:rPr>
        <w:t xml:space="preserve">   </w:t>
      </w:r>
      <w:r>
        <w:rPr>
          <w:rFonts w:hint="eastAsia" w:ascii="宋体" w:hAnsi="宋体" w:cs="宋体"/>
          <w:sz w:val="24"/>
        </w:rPr>
        <w:t>的违约金，最高违约金不高于本合同款总额的</w:t>
      </w:r>
      <w:r>
        <w:rPr>
          <w:rFonts w:hint="eastAsia" w:ascii="宋体" w:hAnsi="宋体" w:cs="宋体"/>
          <w:sz w:val="24"/>
          <w:u w:val="single"/>
        </w:rPr>
        <w:t xml:space="preserve">    </w:t>
      </w:r>
      <w:r>
        <w:rPr>
          <w:rFonts w:hint="eastAsia" w:ascii="宋体" w:hAnsi="宋体" w:cs="宋体"/>
          <w:sz w:val="24"/>
        </w:rPr>
        <w:t>。如违约金的数额累计达到本合同款总额</w:t>
      </w:r>
      <w:r>
        <w:rPr>
          <w:rFonts w:hint="eastAsia" w:ascii="宋体" w:hAnsi="宋体" w:cs="宋体"/>
          <w:sz w:val="24"/>
          <w:u w:val="single"/>
        </w:rPr>
        <w:t xml:space="preserve">    </w:t>
      </w:r>
      <w:r>
        <w:rPr>
          <w:rFonts w:hint="eastAsia" w:ascii="宋体" w:hAnsi="宋体" w:cs="宋体"/>
          <w:sz w:val="24"/>
        </w:rPr>
        <w:t>及以上时，甲方有权解除合同，</w:t>
      </w:r>
      <w:r>
        <w:rPr>
          <w:rFonts w:hint="eastAsia" w:ascii="宋体" w:hAnsi="宋体" w:cs="宋体"/>
          <w:sz w:val="24"/>
          <w:lang w:val="zh-CN"/>
        </w:rPr>
        <w:t>乙方除应向甲方支付相当于合同款总额</w:t>
      </w:r>
      <w:r>
        <w:rPr>
          <w:rFonts w:hint="eastAsia" w:ascii="宋体" w:hAnsi="宋体" w:cs="宋体"/>
          <w:sz w:val="24"/>
          <w:u w:val="single"/>
        </w:rPr>
        <w:t xml:space="preserve">    </w:t>
      </w:r>
      <w:r>
        <w:rPr>
          <w:rFonts w:hint="eastAsia" w:ascii="宋体" w:hAnsi="宋体" w:cs="宋体"/>
          <w:sz w:val="24"/>
          <w:lang w:val="zh-CN"/>
        </w:rPr>
        <w:t>的违约金</w:t>
      </w:r>
      <w:r>
        <w:rPr>
          <w:rFonts w:hint="eastAsia" w:ascii="宋体" w:hAnsi="宋体" w:cs="宋体"/>
          <w:sz w:val="24"/>
        </w:rPr>
        <w:t>外，还</w:t>
      </w:r>
      <w:r>
        <w:rPr>
          <w:rFonts w:hint="eastAsia" w:ascii="宋体" w:hAnsi="宋体" w:cs="宋体"/>
          <w:sz w:val="24"/>
          <w:lang w:val="zh-CN"/>
        </w:rPr>
        <w:t>应全额退还甲方已经支付的全部合同款，同时乙方还应赔偿因此给甲方造成的损失。</w:t>
      </w:r>
    </w:p>
    <w:p>
      <w:pPr>
        <w:spacing w:line="360" w:lineRule="auto"/>
        <w:ind w:firstLine="480" w:firstLineChars="200"/>
        <w:rPr>
          <w:rFonts w:ascii="宋体" w:hAnsi="宋体" w:cs="宋体"/>
          <w:sz w:val="24"/>
          <w:lang w:val="zh-CN"/>
        </w:rPr>
      </w:pPr>
      <w:r>
        <w:rPr>
          <w:rFonts w:hint="eastAsia" w:ascii="宋体" w:hAnsi="宋体" w:cs="宋体"/>
          <w:sz w:val="24"/>
        </w:rPr>
        <w:t xml:space="preserve">4. </w:t>
      </w:r>
      <w:r>
        <w:rPr>
          <w:rFonts w:hint="eastAsia" w:ascii="宋体" w:hAnsi="宋体" w:cs="宋体"/>
          <w:sz w:val="24"/>
          <w:lang w:val="zh-CN"/>
        </w:rPr>
        <w:t>乙方不能按照</w:t>
      </w:r>
      <w:r>
        <w:rPr>
          <w:rFonts w:hint="eastAsia" w:ascii="宋体" w:hAnsi="宋体" w:cs="宋体"/>
          <w:sz w:val="24"/>
        </w:rPr>
        <w:t>本</w:t>
      </w:r>
      <w:r>
        <w:rPr>
          <w:rFonts w:hint="eastAsia" w:ascii="宋体" w:hAnsi="宋体" w:cs="宋体"/>
          <w:sz w:val="24"/>
          <w:lang w:val="zh-CN"/>
        </w:rPr>
        <w:t>合同约定通过验收的，</w:t>
      </w:r>
      <w:r>
        <w:rPr>
          <w:rFonts w:hint="eastAsia" w:ascii="宋体" w:hAnsi="宋体" w:cs="宋体"/>
          <w:sz w:val="24"/>
        </w:rPr>
        <w:t>甲方有权要求乙方限期整改，工期不予顺延；乙方拒绝整改或整改两次及以上仍未通过的，甲方有权解除合同，</w:t>
      </w:r>
      <w:r>
        <w:rPr>
          <w:rFonts w:hint="eastAsia" w:ascii="宋体" w:hAnsi="宋体" w:cs="宋体"/>
          <w:sz w:val="24"/>
          <w:lang w:val="zh-CN"/>
        </w:rPr>
        <w:t>乙方除应向甲方支付相当于</w:t>
      </w:r>
      <w:r>
        <w:rPr>
          <w:rFonts w:hint="eastAsia" w:ascii="宋体" w:hAnsi="宋体" w:cs="宋体"/>
          <w:sz w:val="24"/>
        </w:rPr>
        <w:t>本合同款总额</w:t>
      </w:r>
      <w:r>
        <w:rPr>
          <w:rFonts w:hint="eastAsia" w:ascii="宋体" w:hAnsi="宋体" w:cs="宋体"/>
          <w:sz w:val="24"/>
          <w:u w:val="single"/>
        </w:rPr>
        <w:t xml:space="preserve">    </w:t>
      </w:r>
      <w:r>
        <w:rPr>
          <w:rFonts w:hint="eastAsia" w:ascii="宋体" w:hAnsi="宋体" w:cs="宋体"/>
          <w:sz w:val="24"/>
          <w:lang w:val="zh-CN"/>
        </w:rPr>
        <w:t>的违约金外，还应赔偿因此给甲方造成的损失。</w:t>
      </w:r>
    </w:p>
    <w:p>
      <w:pPr>
        <w:spacing w:line="360" w:lineRule="auto"/>
        <w:ind w:firstLine="480" w:firstLineChars="200"/>
        <w:rPr>
          <w:rFonts w:ascii="宋体" w:hAnsi="宋体" w:cs="宋体"/>
          <w:sz w:val="24"/>
        </w:rPr>
      </w:pPr>
      <w:r>
        <w:rPr>
          <w:rFonts w:hint="eastAsia" w:ascii="宋体" w:hAnsi="宋体" w:cs="宋体"/>
          <w:sz w:val="24"/>
        </w:rPr>
        <w:t>5. 除本合同另有约定外，乙方违反本合同约定义务的，不履行合同约定义务或履行义务不符合甲方要求的，构成违约。每出现一次，甲方有权要求乙方整改并按本合同款总额</w:t>
      </w:r>
      <w:r>
        <w:rPr>
          <w:rFonts w:hint="eastAsia" w:ascii="宋体" w:hAnsi="宋体" w:cs="宋体"/>
          <w:sz w:val="24"/>
          <w:u w:val="single"/>
        </w:rPr>
        <w:t>5%</w:t>
      </w:r>
      <w:r>
        <w:rPr>
          <w:rFonts w:hint="eastAsia" w:ascii="宋体" w:hAnsi="宋体" w:cs="宋体"/>
          <w:sz w:val="24"/>
        </w:rPr>
        <w:t>要求乙方支付违约金。违约金的数额累计达到本合同款总额</w:t>
      </w:r>
      <w:r>
        <w:rPr>
          <w:rFonts w:hint="eastAsia" w:ascii="宋体" w:hAnsi="宋体" w:cs="宋体"/>
          <w:sz w:val="24"/>
          <w:u w:val="single"/>
        </w:rPr>
        <w:t xml:space="preserve">    </w:t>
      </w:r>
      <w:r>
        <w:rPr>
          <w:rFonts w:hint="eastAsia" w:ascii="宋体" w:hAnsi="宋体" w:cs="宋体"/>
          <w:sz w:val="24"/>
        </w:rPr>
        <w:t>及以上时，甲方有权解除合同，并要求乙方退还</w:t>
      </w:r>
      <w:r>
        <w:rPr>
          <w:rFonts w:hint="eastAsia" w:ascii="宋体" w:hAnsi="宋体" w:cs="宋体"/>
          <w:sz w:val="24"/>
          <w:lang w:val="zh-CN"/>
        </w:rPr>
        <w:t>未完成项目服务相应款</w:t>
      </w:r>
      <w:r>
        <w:rPr>
          <w:rFonts w:hint="eastAsia" w:ascii="宋体" w:hAnsi="宋体" w:cs="宋体"/>
          <w:sz w:val="24"/>
        </w:rPr>
        <w:t>项，由此给甲方造成损失的，乙方应承担赔偿责任。</w:t>
      </w:r>
    </w:p>
    <w:p>
      <w:pPr>
        <w:spacing w:line="360" w:lineRule="auto"/>
        <w:ind w:firstLine="480" w:firstLineChars="200"/>
        <w:rPr>
          <w:rFonts w:ascii="宋体" w:hAnsi="宋体" w:cs="宋体"/>
          <w:sz w:val="24"/>
        </w:rPr>
      </w:pPr>
      <w:r>
        <w:rPr>
          <w:rFonts w:hint="eastAsia" w:ascii="宋体" w:hAnsi="宋体" w:cs="宋体"/>
          <w:sz w:val="24"/>
        </w:rPr>
        <w:t>6. 出现下列情形，视乙方严重违约，乙方同意甲方解除合同，扣除违约金，最多不超过合同款总额的</w:t>
      </w:r>
      <w:r>
        <w:rPr>
          <w:rFonts w:hint="eastAsia" w:ascii="宋体" w:hAnsi="宋体" w:cs="宋体"/>
          <w:sz w:val="24"/>
          <w:u w:val="single"/>
        </w:rPr>
        <w:t xml:space="preserve">    </w:t>
      </w:r>
      <w:r>
        <w:rPr>
          <w:rFonts w:hint="eastAsia" w:ascii="宋体" w:hAnsi="宋体" w:cs="宋体"/>
          <w:sz w:val="24"/>
        </w:rPr>
        <w:t>，甲方并保留追回已经支付的全部合同款的权利。违约金不足以赔偿甲方损失的，乙方还应当赔偿甲方损失。</w:t>
      </w:r>
    </w:p>
    <w:p>
      <w:pPr>
        <w:spacing w:line="360" w:lineRule="auto"/>
        <w:ind w:firstLine="480" w:firstLineChars="200"/>
        <w:rPr>
          <w:rFonts w:ascii="宋体" w:hAnsi="宋体" w:cs="宋体"/>
          <w:sz w:val="24"/>
        </w:rPr>
      </w:pPr>
      <w:r>
        <w:rPr>
          <w:rFonts w:hint="eastAsia" w:ascii="宋体" w:hAnsi="宋体" w:cs="宋体"/>
          <w:sz w:val="24"/>
        </w:rPr>
        <w:t>（1）将本项目规定的工作内容转让、转包、分包给第三方；</w:t>
      </w:r>
    </w:p>
    <w:p>
      <w:pPr>
        <w:spacing w:line="360" w:lineRule="auto"/>
        <w:ind w:firstLine="480" w:firstLineChars="200"/>
        <w:rPr>
          <w:rFonts w:ascii="宋体" w:hAnsi="宋体" w:cs="宋体"/>
          <w:sz w:val="24"/>
        </w:rPr>
      </w:pPr>
      <w:r>
        <w:rPr>
          <w:rFonts w:hint="eastAsia" w:ascii="宋体" w:hAnsi="宋体" w:cs="宋体"/>
          <w:sz w:val="24"/>
        </w:rPr>
        <w:t>（2）由于乙方原因，造成项目工期滞后，未能在规定时间内完成任务；</w:t>
      </w:r>
    </w:p>
    <w:p>
      <w:pPr>
        <w:spacing w:line="360" w:lineRule="auto"/>
        <w:ind w:firstLine="480" w:firstLineChars="200"/>
        <w:rPr>
          <w:rFonts w:ascii="宋体" w:hAnsi="宋体" w:cs="宋体"/>
          <w:sz w:val="24"/>
        </w:rPr>
      </w:pPr>
      <w:r>
        <w:rPr>
          <w:rFonts w:hint="eastAsia" w:ascii="宋体" w:hAnsi="宋体" w:cs="宋体"/>
          <w:sz w:val="24"/>
        </w:rPr>
        <w:t>（3）</w:t>
      </w:r>
      <w:bookmarkStart w:id="727" w:name="_Hlk136809514"/>
      <w:r>
        <w:rPr>
          <w:rFonts w:hint="eastAsia" w:ascii="宋体" w:hAnsi="宋体" w:cs="宋体"/>
          <w:sz w:val="24"/>
        </w:rPr>
        <w:t>由于乙方原因，导致本项目出现重大质量问题的；</w:t>
      </w:r>
      <w:bookmarkEnd w:id="727"/>
    </w:p>
    <w:p>
      <w:pPr>
        <w:spacing w:line="360" w:lineRule="auto"/>
        <w:ind w:firstLine="480" w:firstLineChars="200"/>
        <w:rPr>
          <w:rFonts w:ascii="宋体" w:hAnsi="宋体" w:cs="宋体"/>
          <w:sz w:val="24"/>
        </w:rPr>
      </w:pPr>
      <w:r>
        <w:rPr>
          <w:rFonts w:hint="eastAsia" w:ascii="宋体" w:hAnsi="宋体" w:cs="宋体"/>
          <w:sz w:val="24"/>
        </w:rPr>
        <w:t>（4）违反本合同约定的保密条款或知识产权条款；</w:t>
      </w:r>
    </w:p>
    <w:p>
      <w:pPr>
        <w:spacing w:line="360" w:lineRule="auto"/>
        <w:ind w:firstLine="480" w:firstLineChars="200"/>
        <w:rPr>
          <w:rFonts w:ascii="宋体" w:hAnsi="宋体" w:cs="宋体"/>
          <w:sz w:val="24"/>
        </w:rPr>
      </w:pPr>
      <w:r>
        <w:rPr>
          <w:rFonts w:hint="eastAsia" w:ascii="宋体" w:hAnsi="宋体" w:cs="宋体"/>
          <w:sz w:val="24"/>
        </w:rPr>
        <w:t>（5）未按合同约定提供技术支持与售后服务。</w:t>
      </w:r>
    </w:p>
    <w:p>
      <w:pPr>
        <w:spacing w:line="360" w:lineRule="auto"/>
        <w:ind w:firstLine="480" w:firstLineChars="200"/>
        <w:rPr>
          <w:rFonts w:ascii="宋体" w:hAnsi="宋体" w:cs="宋体"/>
          <w:sz w:val="24"/>
        </w:rPr>
      </w:pPr>
      <w:r>
        <w:rPr>
          <w:rFonts w:hint="eastAsia" w:ascii="宋体" w:hAnsi="宋体" w:cs="宋体"/>
          <w:sz w:val="24"/>
        </w:rPr>
        <w:t>7. 本合同所称的甲方损失，是指甲方因调查乙方的违约行为、采取补救措施而支出的所有费用，包括但不限于甲方的先期经济投入，以及甲方向乙方及有关单位追索而发生的仲裁费、诉讼费、执行费、保全费、公证费、律师费、差旅费等费用。上述金额甲方有权要求乙方予以赔偿。</w:t>
      </w:r>
    </w:p>
    <w:bookmarkEnd w:id="722"/>
    <w:bookmarkEnd w:id="723"/>
    <w:bookmarkEnd w:id="724"/>
    <w:bookmarkEnd w:id="725"/>
    <w:bookmarkEnd w:id="726"/>
    <w:p>
      <w:pPr>
        <w:spacing w:line="360" w:lineRule="auto"/>
        <w:ind w:left="420"/>
        <w:outlineLvl w:val="0"/>
        <w:rPr>
          <w:rFonts w:ascii="宋体" w:hAnsi="宋体" w:cs="宋体"/>
          <w:b/>
          <w:sz w:val="24"/>
        </w:rPr>
      </w:pPr>
      <w:bookmarkStart w:id="728" w:name="_Toc522174720"/>
      <w:bookmarkStart w:id="729" w:name="_Toc425268723"/>
      <w:bookmarkStart w:id="730" w:name="_Toc525937789"/>
      <w:bookmarkStart w:id="731" w:name="_Toc384722349"/>
      <w:bookmarkStart w:id="732" w:name="_Toc493595028"/>
      <w:r>
        <w:rPr>
          <w:rFonts w:hint="default" w:ascii="宋体" w:hAnsi="宋体" w:cs="宋体"/>
          <w:b/>
          <w:sz w:val="24"/>
          <w:lang w:val="en-US"/>
        </w:rPr>
        <w:t>十七</w:t>
      </w:r>
      <w:r>
        <w:rPr>
          <w:rFonts w:hint="eastAsia" w:ascii="宋体" w:hAnsi="宋体" w:cs="宋体"/>
          <w:b/>
          <w:sz w:val="24"/>
        </w:rPr>
        <w:t>、争议的解决</w:t>
      </w:r>
    </w:p>
    <w:p>
      <w:pPr>
        <w:spacing w:line="360" w:lineRule="auto"/>
        <w:ind w:firstLine="480" w:firstLineChars="200"/>
        <w:rPr>
          <w:rFonts w:ascii="宋体" w:hAnsi="宋体" w:cs="宋体"/>
          <w:sz w:val="24"/>
        </w:rPr>
      </w:pPr>
      <w:r>
        <w:rPr>
          <w:rFonts w:hint="eastAsia" w:ascii="宋体" w:hAnsi="宋体" w:cs="宋体"/>
          <w:sz w:val="24"/>
        </w:rPr>
        <w:t>1. 本协议按中华人民共和国相关法律、法规进行解决。</w:t>
      </w:r>
    </w:p>
    <w:p>
      <w:pPr>
        <w:spacing w:line="360" w:lineRule="auto"/>
        <w:ind w:firstLine="480" w:firstLineChars="200"/>
        <w:rPr>
          <w:rFonts w:ascii="宋体" w:hAnsi="宋体" w:cs="宋体"/>
          <w:sz w:val="24"/>
        </w:rPr>
      </w:pPr>
      <w:r>
        <w:rPr>
          <w:rFonts w:hint="eastAsia" w:ascii="宋体" w:hAnsi="宋体" w:cs="宋体"/>
          <w:sz w:val="24"/>
        </w:rPr>
        <w:t>2. 因履行合同所发生的一切争议，双方应友好协商解决，协商不成的按下列第（1）种方式解决：</w:t>
      </w:r>
    </w:p>
    <w:p>
      <w:pPr>
        <w:spacing w:line="360" w:lineRule="auto"/>
        <w:ind w:firstLine="480" w:firstLineChars="200"/>
        <w:rPr>
          <w:rFonts w:ascii="宋体" w:hAnsi="宋体" w:cs="宋体"/>
          <w:sz w:val="24"/>
        </w:rPr>
      </w:pPr>
      <w:r>
        <w:rPr>
          <w:rFonts w:hint="eastAsia" w:ascii="宋体" w:hAnsi="宋体" w:cs="宋体"/>
          <w:sz w:val="24"/>
        </w:rPr>
        <w:t>（1）提交北京仲裁委员会仲裁，仲裁裁决为终局裁决；</w:t>
      </w:r>
    </w:p>
    <w:p>
      <w:pPr>
        <w:spacing w:line="360" w:lineRule="auto"/>
        <w:ind w:firstLine="480" w:firstLineChars="200"/>
        <w:rPr>
          <w:rFonts w:ascii="宋体" w:hAnsi="宋体" w:cs="宋体"/>
          <w:sz w:val="24"/>
        </w:rPr>
      </w:pPr>
      <w:r>
        <w:rPr>
          <w:rFonts w:hint="eastAsia" w:ascii="宋体" w:hAnsi="宋体" w:cs="宋体"/>
          <w:sz w:val="24"/>
        </w:rPr>
        <w:t>（2）依法向甲方所在地有管辖权的人民法院起诉。</w:t>
      </w:r>
    </w:p>
    <w:p>
      <w:pPr>
        <w:spacing w:line="360" w:lineRule="auto"/>
        <w:ind w:firstLine="480" w:firstLineChars="200"/>
        <w:rPr>
          <w:rFonts w:ascii="宋体" w:hAnsi="宋体" w:cs="宋体"/>
          <w:sz w:val="24"/>
        </w:rPr>
      </w:pPr>
      <w:r>
        <w:rPr>
          <w:rFonts w:hint="eastAsia" w:ascii="宋体" w:hAnsi="宋体" w:cs="宋体"/>
          <w:sz w:val="24"/>
        </w:rPr>
        <w:t>3. 发生争议期间，乙方有义务继续按照服务内容条款中的要求提供服务，不得中断。</w:t>
      </w:r>
    </w:p>
    <w:bookmarkEnd w:id="728"/>
    <w:bookmarkEnd w:id="729"/>
    <w:bookmarkEnd w:id="730"/>
    <w:bookmarkEnd w:id="731"/>
    <w:bookmarkEnd w:id="732"/>
    <w:p>
      <w:pPr>
        <w:spacing w:line="360" w:lineRule="auto"/>
        <w:ind w:left="420"/>
        <w:outlineLvl w:val="0"/>
        <w:rPr>
          <w:rFonts w:ascii="宋体" w:hAnsi="宋体" w:cs="宋体"/>
          <w:b/>
          <w:sz w:val="24"/>
        </w:rPr>
      </w:pPr>
      <w:bookmarkStart w:id="733" w:name="_Toc522174723"/>
      <w:bookmarkStart w:id="734" w:name="_Toc525937792"/>
      <w:bookmarkStart w:id="735" w:name="_Toc384722352"/>
      <w:bookmarkStart w:id="736" w:name="_Toc493595031"/>
      <w:bookmarkStart w:id="737" w:name="_Toc425268726"/>
      <w:r>
        <w:rPr>
          <w:rFonts w:hint="default" w:ascii="宋体" w:hAnsi="宋体" w:cs="宋体"/>
          <w:b/>
          <w:sz w:val="24"/>
          <w:lang w:val="en-US"/>
        </w:rPr>
        <w:t>十八</w:t>
      </w:r>
      <w:r>
        <w:rPr>
          <w:rFonts w:hint="eastAsia" w:ascii="宋体" w:hAnsi="宋体" w:cs="宋体"/>
          <w:b/>
          <w:sz w:val="24"/>
        </w:rPr>
        <w:t>、适用法律</w:t>
      </w:r>
      <w:bookmarkEnd w:id="733"/>
      <w:bookmarkEnd w:id="734"/>
      <w:bookmarkEnd w:id="735"/>
      <w:bookmarkEnd w:id="736"/>
      <w:bookmarkEnd w:id="737"/>
    </w:p>
    <w:p>
      <w:pPr>
        <w:spacing w:line="360" w:lineRule="auto"/>
        <w:ind w:firstLine="480" w:firstLineChars="200"/>
        <w:rPr>
          <w:rFonts w:ascii="宋体" w:hAnsi="宋体" w:cs="宋体"/>
          <w:sz w:val="24"/>
        </w:rPr>
      </w:pPr>
      <w:r>
        <w:rPr>
          <w:rFonts w:hint="eastAsia" w:ascii="宋体" w:hAnsi="宋体" w:cs="宋体"/>
          <w:sz w:val="24"/>
        </w:rPr>
        <w:t>本合同适用中华人民共和国相关法律、法规及其司法解释。</w:t>
      </w:r>
    </w:p>
    <w:p>
      <w:pPr>
        <w:spacing w:line="360" w:lineRule="auto"/>
        <w:ind w:left="420"/>
        <w:outlineLvl w:val="0"/>
        <w:rPr>
          <w:rFonts w:ascii="宋体" w:hAnsi="宋体" w:cs="宋体"/>
          <w:b/>
          <w:sz w:val="24"/>
        </w:rPr>
      </w:pPr>
      <w:bookmarkStart w:id="738" w:name="_Toc522174727"/>
      <w:bookmarkStart w:id="739" w:name="_Toc384722356"/>
      <w:bookmarkStart w:id="740" w:name="_Toc425268730"/>
      <w:bookmarkStart w:id="741" w:name="_Toc493595035"/>
      <w:bookmarkStart w:id="742" w:name="_Toc525937796"/>
      <w:r>
        <w:rPr>
          <w:rFonts w:hint="default" w:ascii="宋体" w:hAnsi="宋体" w:cs="宋体"/>
          <w:b/>
          <w:sz w:val="24"/>
          <w:lang w:val="en-US"/>
        </w:rPr>
        <w:t>十九</w:t>
      </w:r>
      <w:r>
        <w:rPr>
          <w:rFonts w:hint="eastAsia" w:ascii="宋体" w:hAnsi="宋体" w:cs="宋体"/>
          <w:b/>
          <w:sz w:val="24"/>
        </w:rPr>
        <w:t>、合同生效及其他</w:t>
      </w:r>
      <w:bookmarkEnd w:id="738"/>
      <w:bookmarkEnd w:id="739"/>
      <w:bookmarkEnd w:id="740"/>
      <w:bookmarkEnd w:id="741"/>
      <w:bookmarkEnd w:id="742"/>
    </w:p>
    <w:p>
      <w:pPr>
        <w:spacing w:line="360" w:lineRule="auto"/>
        <w:ind w:firstLine="420"/>
        <w:rPr>
          <w:rFonts w:ascii="宋体" w:hAnsi="宋体" w:cs="宋体"/>
          <w:sz w:val="24"/>
        </w:rPr>
      </w:pPr>
      <w:r>
        <w:rPr>
          <w:rFonts w:hint="eastAsia" w:ascii="宋体" w:hAnsi="宋体" w:cs="宋体"/>
          <w:sz w:val="24"/>
        </w:rPr>
        <w:t>1. 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变更列明的通讯地址、电话等联络方式的，应提前</w:t>
      </w:r>
      <w:r>
        <w:rPr>
          <w:rFonts w:hint="eastAsia" w:ascii="宋体" w:hAnsi="宋体" w:cs="宋体"/>
          <w:sz w:val="24"/>
          <w:u w:val="single"/>
        </w:rPr>
        <w:t xml:space="preserve">    </w:t>
      </w:r>
      <w:r>
        <w:rPr>
          <w:rFonts w:hint="eastAsia" w:ascii="宋体" w:hAnsi="宋体" w:cs="宋体"/>
          <w:sz w:val="24"/>
        </w:rPr>
        <w:t>个工作日通知对方。否则变更一方应自行承担因通知不及时所造成的一切后果。</w:t>
      </w:r>
    </w:p>
    <w:p>
      <w:pPr>
        <w:spacing w:line="360" w:lineRule="auto"/>
        <w:ind w:firstLine="420"/>
        <w:rPr>
          <w:rFonts w:ascii="宋体" w:hAnsi="宋体" w:cs="宋体"/>
          <w:sz w:val="24"/>
        </w:rPr>
      </w:pPr>
      <w:r>
        <w:rPr>
          <w:rFonts w:hint="eastAsia" w:ascii="宋体" w:hAnsi="宋体" w:cs="宋体"/>
          <w:sz w:val="24"/>
        </w:rPr>
        <w:t>2. 本合同一式</w:t>
      </w:r>
      <w:r>
        <w:rPr>
          <w:rFonts w:hint="eastAsia" w:ascii="宋体" w:hAnsi="宋体" w:cs="宋体"/>
          <w:sz w:val="24"/>
          <w:u w:val="single"/>
        </w:rPr>
        <w:t xml:space="preserve">    </w:t>
      </w:r>
      <w:r>
        <w:rPr>
          <w:rFonts w:hint="eastAsia" w:ascii="宋体" w:hAnsi="宋体" w:cs="宋体"/>
          <w:sz w:val="24"/>
        </w:rPr>
        <w:t>份，甲方持</w:t>
      </w:r>
      <w:r>
        <w:rPr>
          <w:rFonts w:hint="eastAsia" w:ascii="宋体" w:hAnsi="宋体" w:cs="宋体"/>
          <w:sz w:val="24"/>
          <w:u w:val="single"/>
        </w:rPr>
        <w:t xml:space="preserve">    </w:t>
      </w:r>
      <w:r>
        <w:rPr>
          <w:rFonts w:hint="eastAsia" w:ascii="宋体" w:hAnsi="宋体" w:cs="宋体"/>
          <w:sz w:val="24"/>
        </w:rPr>
        <w:t>份，乙方持</w:t>
      </w:r>
      <w:r>
        <w:rPr>
          <w:rFonts w:hint="eastAsia" w:ascii="宋体" w:hAnsi="宋体" w:cs="宋体"/>
          <w:sz w:val="24"/>
          <w:u w:val="single"/>
        </w:rPr>
        <w:t xml:space="preserve">    </w:t>
      </w:r>
      <w:r>
        <w:rPr>
          <w:rFonts w:hint="eastAsia" w:ascii="宋体" w:hAnsi="宋体" w:cs="宋体"/>
          <w:sz w:val="24"/>
        </w:rPr>
        <w:t>份。本合同自甲乙双方法定代表人或授权代表人签字并盖章后生效。</w:t>
      </w:r>
    </w:p>
    <w:p>
      <w:pPr>
        <w:spacing w:line="360" w:lineRule="auto"/>
        <w:ind w:firstLine="420"/>
        <w:rPr>
          <w:rFonts w:ascii="宋体" w:hAnsi="宋体" w:cs="宋体"/>
          <w:sz w:val="24"/>
        </w:rPr>
      </w:pPr>
      <w:r>
        <w:rPr>
          <w:rFonts w:hint="eastAsia" w:ascii="宋体" w:hAnsi="宋体" w:cs="宋体"/>
          <w:sz w:val="24"/>
        </w:rPr>
        <w:t>3. 合同中涉及的所有附件作为合同的一部分，与合同主体同等重要，具有相同的法律效力。</w:t>
      </w:r>
    </w:p>
    <w:p>
      <w:pPr>
        <w:spacing w:line="360" w:lineRule="auto"/>
        <w:ind w:firstLine="420"/>
        <w:rPr>
          <w:rFonts w:ascii="宋体" w:hAnsi="宋体" w:cs="宋体"/>
          <w:sz w:val="24"/>
        </w:rPr>
      </w:pPr>
      <w:r>
        <w:rPr>
          <w:rFonts w:hint="eastAsia" w:ascii="宋体" w:hAnsi="宋体" w:cs="宋体"/>
          <w:sz w:val="24"/>
        </w:rPr>
        <w:t>4. 本合同签订后，如需变更或补充内容，应当以书面形式签订变更或补充协议，变更或补充协议是本合同不可分割的组成部分。</w:t>
      </w:r>
    </w:p>
    <w:p>
      <w:pPr>
        <w:spacing w:line="360" w:lineRule="auto"/>
        <w:jc w:val="center"/>
        <w:outlineLvl w:val="0"/>
        <w:rPr>
          <w:rFonts w:ascii="宋体" w:hAnsi="宋体" w:cs="宋体"/>
          <w:b/>
          <w:sz w:val="24"/>
        </w:rPr>
      </w:pPr>
      <w:r>
        <w:rPr>
          <w:rFonts w:hint="eastAsia" w:ascii="宋体" w:hAnsi="宋体" w:cs="宋体"/>
          <w:b/>
          <w:sz w:val="24"/>
        </w:rPr>
        <w:t>合同特殊条款</w:t>
      </w:r>
    </w:p>
    <w:p>
      <w:pPr>
        <w:pStyle w:val="44"/>
        <w:spacing w:line="360" w:lineRule="auto"/>
        <w:ind w:left="0" w:leftChars="0" w:firstLine="480"/>
        <w:rPr>
          <w:rFonts w:ascii="宋体" w:hAnsi="宋体" w:cs="宋体"/>
          <w:szCs w:val="24"/>
        </w:rPr>
      </w:pPr>
      <w:r>
        <w:rPr>
          <w:rFonts w:hint="eastAsia" w:ascii="宋体" w:hAnsi="宋体" w:cs="宋体"/>
          <w:szCs w:val="24"/>
        </w:rPr>
        <w:t xml:space="preserve">无                     </w:t>
      </w:r>
    </w:p>
    <w:p>
      <w:pPr>
        <w:pStyle w:val="44"/>
        <w:spacing w:line="360" w:lineRule="auto"/>
        <w:ind w:left="0" w:leftChars="0" w:firstLine="480"/>
        <w:jc w:val="center"/>
        <w:rPr>
          <w:rFonts w:ascii="宋体" w:hAnsi="宋体" w:cs="宋体"/>
          <w:szCs w:val="24"/>
        </w:rPr>
      </w:pPr>
      <w:r>
        <w:rPr>
          <w:rFonts w:hint="eastAsia" w:ascii="宋体" w:hAnsi="宋体" w:cs="宋体"/>
          <w:szCs w:val="24"/>
        </w:rPr>
        <w:t>（本页以下无正文）</w:t>
      </w:r>
    </w:p>
    <w:p>
      <w:pPr>
        <w:rPr>
          <w:rFonts w:ascii="宋体" w:hAnsi="宋体" w:cs="宋体"/>
          <w:sz w:val="24"/>
        </w:rPr>
      </w:pPr>
      <w:r>
        <w:rPr>
          <w:rFonts w:hint="eastAsia" w:ascii="宋体" w:hAnsi="宋体" w:cs="宋体"/>
          <w:sz w:val="24"/>
        </w:rPr>
        <w:br w:type="page"/>
      </w:r>
    </w:p>
    <w:p>
      <w:pPr>
        <w:spacing w:line="360" w:lineRule="auto"/>
        <w:jc w:val="center"/>
        <w:rPr>
          <w:rFonts w:ascii="宋体" w:hAnsi="宋体" w:cs="宋体"/>
          <w:sz w:val="24"/>
        </w:rPr>
      </w:pPr>
      <w:r>
        <w:rPr>
          <w:rFonts w:hint="eastAsia" w:ascii="宋体" w:hAnsi="宋体" w:cs="宋体"/>
          <w:sz w:val="24"/>
        </w:rPr>
        <w:t>签署页（本页无正文）</w:t>
      </w:r>
    </w:p>
    <w:tbl>
      <w:tblPr>
        <w:tblStyle w:val="45"/>
        <w:tblW w:w="0" w:type="auto"/>
        <w:tblInd w:w="113" w:type="dxa"/>
        <w:tblLayout w:type="fixed"/>
        <w:tblCellMar>
          <w:top w:w="0" w:type="dxa"/>
          <w:left w:w="108" w:type="dxa"/>
          <w:bottom w:w="0" w:type="dxa"/>
          <w:right w:w="108" w:type="dxa"/>
        </w:tblCellMar>
      </w:tblPr>
      <w:tblGrid>
        <w:gridCol w:w="4203"/>
        <w:gridCol w:w="4097"/>
      </w:tblGrid>
      <w:tr>
        <w:tblPrEx>
          <w:tblCellMar>
            <w:top w:w="0" w:type="dxa"/>
            <w:left w:w="108" w:type="dxa"/>
            <w:bottom w:w="0" w:type="dxa"/>
            <w:right w:w="108" w:type="dxa"/>
          </w:tblCellMar>
        </w:tblPrEx>
        <w:trPr>
          <w:trHeight w:val="884" w:hRule="atLeast"/>
        </w:trPr>
        <w:tc>
          <w:tcPr>
            <w:tcW w:w="4203" w:type="dxa"/>
          </w:tcPr>
          <w:p>
            <w:pPr>
              <w:pStyle w:val="43"/>
              <w:ind w:firstLine="0" w:firstLineChars="0"/>
              <w:rPr>
                <w:rFonts w:cs="宋体"/>
              </w:rPr>
            </w:pPr>
            <w:r>
              <w:rPr>
                <w:rFonts w:hint="eastAsia" w:cs="宋体"/>
              </w:rPr>
              <w:t>甲方：</w:t>
            </w:r>
          </w:p>
        </w:tc>
        <w:tc>
          <w:tcPr>
            <w:tcW w:w="4097" w:type="dxa"/>
          </w:tcPr>
          <w:p>
            <w:pPr>
              <w:pStyle w:val="43"/>
              <w:ind w:firstLine="0" w:firstLineChars="0"/>
              <w:rPr>
                <w:rFonts w:cs="宋体"/>
              </w:rPr>
            </w:pPr>
            <w:r>
              <w:rPr>
                <w:rFonts w:hint="eastAsia" w:cs="宋体"/>
              </w:rPr>
              <w:t>乙方：</w:t>
            </w:r>
          </w:p>
        </w:tc>
      </w:tr>
      <w:tr>
        <w:tblPrEx>
          <w:tblCellMar>
            <w:top w:w="0" w:type="dxa"/>
            <w:left w:w="108" w:type="dxa"/>
            <w:bottom w:w="0" w:type="dxa"/>
            <w:right w:w="108" w:type="dxa"/>
          </w:tblCellMar>
        </w:tblPrEx>
        <w:trPr>
          <w:trHeight w:val="3060" w:hRule="atLeast"/>
        </w:trPr>
        <w:tc>
          <w:tcPr>
            <w:tcW w:w="4203" w:type="dxa"/>
          </w:tcPr>
          <w:p>
            <w:pPr>
              <w:pStyle w:val="43"/>
              <w:ind w:firstLine="0" w:firstLineChars="0"/>
              <w:rPr>
                <w:rFonts w:cs="宋体"/>
              </w:rPr>
            </w:pPr>
            <w:r>
              <w:rPr>
                <w:rFonts w:hint="eastAsia" w:cs="宋体"/>
              </w:rPr>
              <w:t>名称：（印章）</w:t>
            </w:r>
          </w:p>
        </w:tc>
        <w:tc>
          <w:tcPr>
            <w:tcW w:w="4097" w:type="dxa"/>
          </w:tcPr>
          <w:p>
            <w:pPr>
              <w:pStyle w:val="43"/>
              <w:ind w:firstLine="0" w:firstLineChars="0"/>
              <w:rPr>
                <w:rFonts w:cs="宋体"/>
              </w:rPr>
            </w:pPr>
            <w:r>
              <w:rPr>
                <w:rFonts w:hint="eastAsia" w:cs="宋体"/>
              </w:rPr>
              <w:t>名称：（印章）</w:t>
            </w:r>
          </w:p>
        </w:tc>
      </w:tr>
      <w:tr>
        <w:tblPrEx>
          <w:tblCellMar>
            <w:top w:w="0" w:type="dxa"/>
            <w:left w:w="108" w:type="dxa"/>
            <w:bottom w:w="0" w:type="dxa"/>
            <w:right w:w="108" w:type="dxa"/>
          </w:tblCellMar>
        </w:tblPrEx>
        <w:trPr>
          <w:trHeight w:val="845" w:hRule="atLeast"/>
        </w:trPr>
        <w:tc>
          <w:tcPr>
            <w:tcW w:w="4203" w:type="dxa"/>
            <w:vAlign w:val="bottom"/>
          </w:tcPr>
          <w:p>
            <w:pPr>
              <w:pStyle w:val="43"/>
              <w:ind w:firstLine="0" w:firstLineChars="0"/>
              <w:jc w:val="center"/>
              <w:rPr>
                <w:rFonts w:cs="宋体"/>
              </w:rPr>
            </w:pPr>
            <w:r>
              <w:rPr>
                <w:rFonts w:hint="eastAsia" w:cs="宋体"/>
              </w:rPr>
              <w:t>年      月      日</w:t>
            </w:r>
          </w:p>
        </w:tc>
        <w:tc>
          <w:tcPr>
            <w:tcW w:w="4097" w:type="dxa"/>
            <w:vAlign w:val="bottom"/>
          </w:tcPr>
          <w:p>
            <w:pPr>
              <w:pStyle w:val="43"/>
              <w:ind w:firstLine="0" w:firstLineChars="0"/>
              <w:jc w:val="center"/>
              <w:rPr>
                <w:rFonts w:cs="宋体"/>
              </w:rPr>
            </w:pPr>
            <w:r>
              <w:rPr>
                <w:rFonts w:hint="eastAsia" w:cs="宋体"/>
              </w:rPr>
              <w:t>年      月      日</w:t>
            </w:r>
          </w:p>
        </w:tc>
      </w:tr>
      <w:tr>
        <w:tblPrEx>
          <w:tblCellMar>
            <w:top w:w="0" w:type="dxa"/>
            <w:left w:w="108" w:type="dxa"/>
            <w:bottom w:w="0" w:type="dxa"/>
            <w:right w:w="108" w:type="dxa"/>
          </w:tblCellMar>
        </w:tblPrEx>
        <w:trPr>
          <w:trHeight w:val="3695" w:hRule="atLeast"/>
        </w:trPr>
        <w:tc>
          <w:tcPr>
            <w:tcW w:w="4203" w:type="dxa"/>
          </w:tcPr>
          <w:p>
            <w:pPr>
              <w:pStyle w:val="43"/>
              <w:ind w:firstLine="0" w:firstLineChars="0"/>
              <w:rPr>
                <w:rFonts w:cs="宋体"/>
              </w:rPr>
            </w:pPr>
            <w:r>
              <w:rPr>
                <w:rFonts w:hint="eastAsia" w:cs="宋体"/>
              </w:rPr>
              <w:t>法定代表人或授权代表人（签字）：</w:t>
            </w:r>
          </w:p>
          <w:p>
            <w:pPr>
              <w:pStyle w:val="43"/>
              <w:ind w:firstLine="240"/>
              <w:rPr>
                <w:rFonts w:cs="宋体"/>
              </w:rPr>
            </w:pPr>
          </w:p>
          <w:p>
            <w:pPr>
              <w:pStyle w:val="43"/>
              <w:ind w:firstLine="240"/>
              <w:rPr>
                <w:rFonts w:cs="宋体"/>
              </w:rPr>
            </w:pPr>
          </w:p>
          <w:p>
            <w:pPr>
              <w:pStyle w:val="43"/>
              <w:ind w:firstLine="240"/>
              <w:rPr>
                <w:rFonts w:cs="宋体"/>
              </w:rPr>
            </w:pPr>
          </w:p>
          <w:p>
            <w:pPr>
              <w:pStyle w:val="43"/>
              <w:ind w:firstLine="240"/>
              <w:rPr>
                <w:rFonts w:cs="宋体"/>
              </w:rPr>
            </w:pPr>
          </w:p>
        </w:tc>
        <w:tc>
          <w:tcPr>
            <w:tcW w:w="4097" w:type="dxa"/>
          </w:tcPr>
          <w:p>
            <w:pPr>
              <w:pStyle w:val="43"/>
              <w:ind w:firstLine="0" w:firstLineChars="0"/>
              <w:rPr>
                <w:rFonts w:cs="宋体"/>
              </w:rPr>
            </w:pPr>
            <w:r>
              <w:rPr>
                <w:rFonts w:hint="eastAsia" w:cs="宋体"/>
              </w:rPr>
              <w:t>法定代表人或授权代表人（签字）：</w:t>
            </w:r>
          </w:p>
          <w:p>
            <w:pPr>
              <w:pStyle w:val="43"/>
              <w:ind w:firstLine="240"/>
              <w:rPr>
                <w:rFonts w:cs="宋体"/>
              </w:rPr>
            </w:pPr>
          </w:p>
        </w:tc>
      </w:tr>
      <w:tr>
        <w:tblPrEx>
          <w:tblCellMar>
            <w:top w:w="0" w:type="dxa"/>
            <w:left w:w="108" w:type="dxa"/>
            <w:bottom w:w="0" w:type="dxa"/>
            <w:right w:w="108" w:type="dxa"/>
          </w:tblCellMar>
        </w:tblPrEx>
        <w:trPr>
          <w:trHeight w:val="646" w:hRule="atLeast"/>
        </w:trPr>
        <w:tc>
          <w:tcPr>
            <w:tcW w:w="4203" w:type="dxa"/>
          </w:tcPr>
          <w:p>
            <w:pPr>
              <w:pStyle w:val="43"/>
              <w:ind w:firstLine="0" w:firstLineChars="0"/>
              <w:rPr>
                <w:rFonts w:cs="宋体"/>
              </w:rPr>
            </w:pPr>
            <w:r>
              <w:rPr>
                <w:rFonts w:hint="eastAsia" w:cs="宋体"/>
              </w:rPr>
              <w:t>地址：</w:t>
            </w:r>
          </w:p>
        </w:tc>
        <w:tc>
          <w:tcPr>
            <w:tcW w:w="4097" w:type="dxa"/>
          </w:tcPr>
          <w:p>
            <w:pPr>
              <w:pStyle w:val="43"/>
              <w:ind w:firstLine="0" w:firstLineChars="0"/>
              <w:rPr>
                <w:rFonts w:cs="宋体"/>
              </w:rPr>
            </w:pPr>
            <w:r>
              <w:rPr>
                <w:rFonts w:hint="eastAsia" w:cs="宋体"/>
              </w:rPr>
              <w:t>地址：</w:t>
            </w:r>
          </w:p>
        </w:tc>
      </w:tr>
      <w:tr>
        <w:tblPrEx>
          <w:tblCellMar>
            <w:top w:w="0" w:type="dxa"/>
            <w:left w:w="108" w:type="dxa"/>
            <w:bottom w:w="0" w:type="dxa"/>
            <w:right w:w="108" w:type="dxa"/>
          </w:tblCellMar>
        </w:tblPrEx>
        <w:trPr>
          <w:trHeight w:val="646" w:hRule="atLeast"/>
        </w:trPr>
        <w:tc>
          <w:tcPr>
            <w:tcW w:w="4203" w:type="dxa"/>
          </w:tcPr>
          <w:p>
            <w:pPr>
              <w:pStyle w:val="43"/>
              <w:ind w:firstLine="0" w:firstLineChars="0"/>
              <w:rPr>
                <w:rFonts w:cs="宋体"/>
              </w:rPr>
            </w:pPr>
            <w:r>
              <w:rPr>
                <w:rFonts w:hint="eastAsia" w:cs="宋体"/>
              </w:rPr>
              <w:t>邮政编码：</w:t>
            </w:r>
          </w:p>
        </w:tc>
        <w:tc>
          <w:tcPr>
            <w:tcW w:w="4097" w:type="dxa"/>
          </w:tcPr>
          <w:p>
            <w:pPr>
              <w:pStyle w:val="43"/>
              <w:ind w:firstLine="0" w:firstLineChars="0"/>
              <w:rPr>
                <w:rFonts w:cs="宋体"/>
              </w:rPr>
            </w:pPr>
            <w:r>
              <w:rPr>
                <w:rFonts w:hint="eastAsia" w:cs="宋体"/>
              </w:rPr>
              <w:t>邮政编码：</w:t>
            </w:r>
          </w:p>
        </w:tc>
      </w:tr>
      <w:tr>
        <w:tblPrEx>
          <w:tblCellMar>
            <w:top w:w="0" w:type="dxa"/>
            <w:left w:w="108" w:type="dxa"/>
            <w:bottom w:w="0" w:type="dxa"/>
            <w:right w:w="108" w:type="dxa"/>
          </w:tblCellMar>
        </w:tblPrEx>
        <w:trPr>
          <w:trHeight w:val="646" w:hRule="atLeast"/>
        </w:trPr>
        <w:tc>
          <w:tcPr>
            <w:tcW w:w="4203" w:type="dxa"/>
          </w:tcPr>
          <w:p>
            <w:pPr>
              <w:pStyle w:val="43"/>
              <w:ind w:firstLine="0" w:firstLineChars="0"/>
              <w:rPr>
                <w:rFonts w:cs="宋体"/>
              </w:rPr>
            </w:pPr>
            <w:r>
              <w:rPr>
                <w:rFonts w:hint="eastAsia" w:cs="宋体"/>
              </w:rPr>
              <w:t>电话：</w:t>
            </w:r>
          </w:p>
        </w:tc>
        <w:tc>
          <w:tcPr>
            <w:tcW w:w="4097" w:type="dxa"/>
          </w:tcPr>
          <w:p>
            <w:pPr>
              <w:pStyle w:val="43"/>
              <w:ind w:firstLine="0" w:firstLineChars="0"/>
              <w:rPr>
                <w:rFonts w:cs="宋体"/>
              </w:rPr>
            </w:pPr>
            <w:r>
              <w:rPr>
                <w:rFonts w:hint="eastAsia" w:cs="宋体"/>
              </w:rPr>
              <w:t>电话：</w:t>
            </w:r>
          </w:p>
        </w:tc>
      </w:tr>
      <w:tr>
        <w:tblPrEx>
          <w:tblCellMar>
            <w:top w:w="0" w:type="dxa"/>
            <w:left w:w="108" w:type="dxa"/>
            <w:bottom w:w="0" w:type="dxa"/>
            <w:right w:w="108" w:type="dxa"/>
          </w:tblCellMar>
        </w:tblPrEx>
        <w:trPr>
          <w:trHeight w:val="646" w:hRule="atLeast"/>
        </w:trPr>
        <w:tc>
          <w:tcPr>
            <w:tcW w:w="4203" w:type="dxa"/>
          </w:tcPr>
          <w:p>
            <w:pPr>
              <w:pStyle w:val="43"/>
              <w:ind w:firstLine="0" w:firstLineChars="0"/>
              <w:rPr>
                <w:rFonts w:cs="宋体"/>
              </w:rPr>
            </w:pPr>
            <w:r>
              <w:rPr>
                <w:rFonts w:hint="eastAsia" w:cs="宋体"/>
              </w:rPr>
              <w:t>开户银行：</w:t>
            </w:r>
          </w:p>
        </w:tc>
        <w:tc>
          <w:tcPr>
            <w:tcW w:w="4097" w:type="dxa"/>
          </w:tcPr>
          <w:p>
            <w:pPr>
              <w:pStyle w:val="43"/>
              <w:ind w:firstLine="0" w:firstLineChars="0"/>
              <w:rPr>
                <w:rFonts w:cs="宋体"/>
              </w:rPr>
            </w:pPr>
            <w:r>
              <w:rPr>
                <w:rFonts w:hint="eastAsia" w:cs="宋体"/>
              </w:rPr>
              <w:t>开户银行：</w:t>
            </w:r>
          </w:p>
        </w:tc>
      </w:tr>
      <w:tr>
        <w:tblPrEx>
          <w:tblCellMar>
            <w:top w:w="0" w:type="dxa"/>
            <w:left w:w="108" w:type="dxa"/>
            <w:bottom w:w="0" w:type="dxa"/>
            <w:right w:w="108" w:type="dxa"/>
          </w:tblCellMar>
        </w:tblPrEx>
        <w:trPr>
          <w:trHeight w:val="646" w:hRule="atLeast"/>
        </w:trPr>
        <w:tc>
          <w:tcPr>
            <w:tcW w:w="4203" w:type="dxa"/>
          </w:tcPr>
          <w:p>
            <w:pPr>
              <w:pStyle w:val="43"/>
              <w:ind w:firstLine="0" w:firstLineChars="0"/>
              <w:rPr>
                <w:rFonts w:cs="宋体"/>
              </w:rPr>
            </w:pPr>
            <w:r>
              <w:rPr>
                <w:rFonts w:hint="eastAsia" w:cs="宋体"/>
              </w:rPr>
              <w:t>账号：</w:t>
            </w:r>
          </w:p>
        </w:tc>
        <w:tc>
          <w:tcPr>
            <w:tcW w:w="4097" w:type="dxa"/>
          </w:tcPr>
          <w:p>
            <w:pPr>
              <w:pStyle w:val="43"/>
              <w:ind w:firstLine="0" w:firstLineChars="0"/>
              <w:rPr>
                <w:rFonts w:cs="宋体"/>
              </w:rPr>
            </w:pPr>
            <w:r>
              <w:rPr>
                <w:rFonts w:hint="eastAsia" w:cs="宋体"/>
              </w:rPr>
              <w:t>账号：</w:t>
            </w:r>
          </w:p>
        </w:tc>
      </w:tr>
    </w:tbl>
    <w:p>
      <w:pPr>
        <w:pStyle w:val="44"/>
        <w:ind w:left="0" w:leftChars="0" w:firstLine="0" w:firstLineChars="0"/>
        <w:rPr>
          <w:rFonts w:ascii="宋体" w:hAnsi="宋体" w:cs="宋体"/>
          <w:szCs w:val="24"/>
        </w:rPr>
      </w:pPr>
    </w:p>
    <w:p>
      <w:pPr>
        <w:pStyle w:val="44"/>
        <w:ind w:left="0" w:leftChars="0" w:firstLine="0" w:firstLineChars="0"/>
        <w:rPr>
          <w:rFonts w:ascii="宋体" w:hAnsi="宋体" w:cs="宋体"/>
          <w:szCs w:val="24"/>
        </w:rPr>
      </w:pPr>
    </w:p>
    <w:p>
      <w:pPr>
        <w:pStyle w:val="44"/>
        <w:ind w:left="0" w:leftChars="0" w:firstLine="0" w:firstLineChars="0"/>
        <w:rPr>
          <w:rFonts w:ascii="宋体" w:hAnsi="宋体" w:cs="宋体"/>
          <w:szCs w:val="24"/>
        </w:rPr>
      </w:pPr>
    </w:p>
    <w:p>
      <w:pPr>
        <w:pStyle w:val="44"/>
        <w:ind w:left="0" w:leftChars="0" w:firstLine="0" w:firstLineChars="0"/>
        <w:rPr>
          <w:rFonts w:ascii="宋体" w:hAnsi="宋体" w:cs="宋体"/>
          <w:szCs w:val="24"/>
        </w:rPr>
      </w:pPr>
      <w:r>
        <w:rPr>
          <w:rFonts w:hint="eastAsia" w:ascii="宋体" w:hAnsi="宋体" w:cs="宋体"/>
          <w:szCs w:val="24"/>
        </w:rPr>
        <w:t>附件一：中标通知书</w:t>
      </w:r>
    </w:p>
    <w:p>
      <w:pPr>
        <w:pStyle w:val="44"/>
        <w:ind w:left="0" w:leftChars="0" w:firstLine="0" w:firstLineChars="0"/>
        <w:rPr>
          <w:rFonts w:hint="eastAsia" w:ascii="宋体" w:hAnsi="宋体" w:eastAsia="宋体" w:cs="宋体"/>
          <w:sz w:val="24"/>
          <w:lang w:val="en-US" w:eastAsia="zh-CN"/>
        </w:rPr>
      </w:pPr>
      <w:r>
        <w:rPr>
          <w:rFonts w:hint="eastAsia" w:ascii="宋体" w:hAnsi="宋体" w:cs="宋体"/>
          <w:szCs w:val="24"/>
        </w:rPr>
        <w:t xml:space="preserve">附件二：服务内容和范围（由中标人根据招标文件的要求制定） </w:t>
      </w:r>
    </w:p>
    <w:p>
      <w:pPr>
        <w:adjustRightInd w:val="0"/>
        <w:spacing w:line="360" w:lineRule="auto"/>
        <w:ind w:firstLine="480" w:firstLineChars="200"/>
        <w:textAlignment w:val="baseline"/>
        <w:rPr>
          <w:rFonts w:ascii="宋体" w:hAnsi="宋体" w:cs="宋体"/>
          <w:sz w:val="24"/>
          <w:lang w:val="zh-CN"/>
        </w:rPr>
      </w:pPr>
      <w:r>
        <w:rPr>
          <w:rFonts w:hint="eastAsia" w:ascii="宋体" w:hAnsi="宋体" w:cs="宋体"/>
          <w:sz w:val="24"/>
        </w:rPr>
        <w:t>（一）基础资源</w:t>
      </w:r>
      <w:r>
        <w:rPr>
          <w:rFonts w:hint="eastAsia" w:ascii="宋体" w:hAnsi="宋体" w:cs="宋体"/>
          <w:sz w:val="24"/>
          <w:lang w:val="zh-CN"/>
        </w:rPr>
        <w:t>服务</w:t>
      </w:r>
    </w:p>
    <w:tbl>
      <w:tblPr>
        <w:tblStyle w:val="45"/>
        <w:tblW w:w="0" w:type="auto"/>
        <w:tblInd w:w="98" w:type="dxa"/>
        <w:tblLayout w:type="fixed"/>
        <w:tblCellMar>
          <w:top w:w="0" w:type="dxa"/>
          <w:left w:w="108" w:type="dxa"/>
          <w:bottom w:w="0" w:type="dxa"/>
          <w:right w:w="108" w:type="dxa"/>
        </w:tblCellMar>
      </w:tblPr>
      <w:tblGrid>
        <w:gridCol w:w="1056"/>
        <w:gridCol w:w="1270"/>
        <w:gridCol w:w="2834"/>
        <w:gridCol w:w="765"/>
        <w:gridCol w:w="810"/>
        <w:gridCol w:w="840"/>
        <w:gridCol w:w="849"/>
      </w:tblGrid>
      <w:tr>
        <w:tblPrEx>
          <w:tblCellMar>
            <w:top w:w="0" w:type="dxa"/>
            <w:left w:w="108" w:type="dxa"/>
            <w:bottom w:w="0" w:type="dxa"/>
            <w:right w:w="108" w:type="dxa"/>
          </w:tblCellMar>
        </w:tblPrEx>
        <w:trPr>
          <w:trHeight w:val="28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服务</w:t>
            </w:r>
          </w:p>
          <w:p>
            <w:pPr>
              <w:adjustRightInd w:val="0"/>
              <w:spacing w:line="300" w:lineRule="exact"/>
              <w:jc w:val="center"/>
              <w:textAlignment w:val="baseline"/>
              <w:rPr>
                <w:rFonts w:ascii="宋体" w:hAnsi="宋体" w:cs="宋体"/>
                <w:b/>
                <w:sz w:val="24"/>
              </w:rPr>
            </w:pPr>
            <w:r>
              <w:rPr>
                <w:rFonts w:hint="eastAsia" w:ascii="宋体" w:hAnsi="宋体" w:cs="宋体"/>
                <w:b/>
                <w:sz w:val="24"/>
              </w:rPr>
              <w:t>类别</w:t>
            </w: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服务子类</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服务项</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单位</w:t>
            </w:r>
          </w:p>
        </w:tc>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数量</w:t>
            </w:r>
          </w:p>
        </w:tc>
        <w:tc>
          <w:tcPr>
            <w:tcW w:w="840"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单价（元）</w:t>
            </w:r>
          </w:p>
        </w:tc>
        <w:tc>
          <w:tcPr>
            <w:tcW w:w="849"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总价（元）</w:t>
            </w:r>
          </w:p>
        </w:tc>
      </w:tr>
      <w:tr>
        <w:tblPrEx>
          <w:tblCellMar>
            <w:top w:w="0" w:type="dxa"/>
            <w:left w:w="108" w:type="dxa"/>
            <w:bottom w:w="0" w:type="dxa"/>
            <w:right w:w="108" w:type="dxa"/>
          </w:tblCellMar>
        </w:tblPrEx>
        <w:trPr>
          <w:trHeight w:val="280" w:hRule="atLeast"/>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计算</w:t>
            </w:r>
          </w:p>
          <w:p>
            <w:pPr>
              <w:adjustRightInd w:val="0"/>
              <w:spacing w:line="280" w:lineRule="exact"/>
              <w:jc w:val="center"/>
              <w:textAlignment w:val="baseline"/>
              <w:rPr>
                <w:rFonts w:ascii="宋体" w:hAnsi="宋体" w:cs="宋体"/>
                <w:sz w:val="24"/>
              </w:rPr>
            </w:pPr>
            <w:r>
              <w:rPr>
                <w:rFonts w:hint="eastAsia" w:ascii="宋体" w:hAnsi="宋体" w:cs="宋体"/>
                <w:sz w:val="24"/>
              </w:rPr>
              <w:t>服务</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云主机</w:t>
            </w:r>
          </w:p>
          <w:p>
            <w:pPr>
              <w:adjustRightInd w:val="0"/>
              <w:spacing w:line="280" w:lineRule="exact"/>
              <w:jc w:val="center"/>
              <w:textAlignment w:val="baseline"/>
              <w:rPr>
                <w:rFonts w:ascii="宋体" w:hAnsi="宋体" w:cs="宋体"/>
                <w:sz w:val="24"/>
              </w:rPr>
            </w:pPr>
            <w:r>
              <w:rPr>
                <w:rFonts w:hint="eastAsia" w:ascii="宋体" w:hAnsi="宋体" w:cs="宋体"/>
                <w:sz w:val="24"/>
              </w:rPr>
              <w:t>服务</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CPU（主频不低于2.6GHz）</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1CPU</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1392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内存</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1GB</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3440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84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物理服务器租用服务</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物理服务器租用</w:t>
            </w:r>
            <w:r>
              <w:rPr>
                <w:rFonts w:hint="default" w:ascii="宋体" w:hAnsi="宋体" w:cs="宋体"/>
                <w:sz w:val="24"/>
                <w:lang w:val="en-US"/>
              </w:rPr>
              <w:t>配置：CPU（不低于2.2GHz、10-core）*2颗；不低于8*32G（2400MT/s-2Rank(2G*4bit)-1.2V-ECC）内存；配置25*1200GB SAS盘（12Gb/s-10K rpm-128MB）、2*600GB SAS盘（12Gb/s-10K rpm-128MB）配置2.5英寸托架；配置不少于2*GE 电口+2*10GE光口,1*SR430C-M 1G(LSI3108) SAS/SATA RAID卡-RAID0,1,5,6,10,50,60-12Gb/s-1GB Cache；</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1台</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16</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560" w:hRule="atLeast"/>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存储</w:t>
            </w:r>
          </w:p>
          <w:p>
            <w:pPr>
              <w:adjustRightInd w:val="0"/>
              <w:spacing w:line="280" w:lineRule="exact"/>
              <w:jc w:val="center"/>
              <w:textAlignment w:val="baseline"/>
              <w:rPr>
                <w:rFonts w:ascii="宋体" w:hAnsi="宋体" w:cs="宋体"/>
                <w:sz w:val="24"/>
              </w:rPr>
            </w:pPr>
            <w:r>
              <w:rPr>
                <w:rFonts w:hint="eastAsia" w:ascii="宋体" w:hAnsi="宋体" w:cs="宋体"/>
                <w:sz w:val="24"/>
              </w:rPr>
              <w:t>服务</w:t>
            </w: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普通性能存储</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普通存储（单盘技术指标：单盘IOPS 1000-3000）</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1GB</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309874</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56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高性能</w:t>
            </w:r>
          </w:p>
          <w:p>
            <w:pPr>
              <w:adjustRightInd w:val="0"/>
              <w:spacing w:line="280" w:lineRule="exact"/>
              <w:jc w:val="center"/>
              <w:textAlignment w:val="baseline"/>
              <w:rPr>
                <w:rFonts w:ascii="宋体" w:hAnsi="宋体" w:cs="宋体"/>
                <w:sz w:val="24"/>
              </w:rPr>
            </w:pPr>
            <w:r>
              <w:rPr>
                <w:rFonts w:hint="eastAsia" w:ascii="宋体" w:hAnsi="宋体" w:cs="宋体"/>
                <w:sz w:val="24"/>
              </w:rPr>
              <w:t>存储</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高性能存储（单盘技术指标：单盘IOPS 3000-20000）</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1GB</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20627</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60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备份服务</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通过备份策略实现文件、操作系统、数据库备份（不包含备份存储空间费用）</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1GB</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15772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280" w:hRule="atLeast"/>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网络</w:t>
            </w:r>
          </w:p>
          <w:p>
            <w:pPr>
              <w:adjustRightInd w:val="0"/>
              <w:spacing w:line="280" w:lineRule="exact"/>
              <w:jc w:val="center"/>
              <w:textAlignment w:val="baseline"/>
              <w:rPr>
                <w:rFonts w:ascii="宋体" w:hAnsi="宋体" w:cs="宋体"/>
                <w:sz w:val="24"/>
              </w:rPr>
            </w:pPr>
            <w:r>
              <w:rPr>
                <w:rFonts w:hint="eastAsia" w:ascii="宋体" w:hAnsi="宋体" w:cs="宋体"/>
                <w:sz w:val="24"/>
              </w:rPr>
              <w:t>服务</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互联网链路服务</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互联网链路带宽</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1Mb</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1100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互联网IP地址租用服务，并提供备案服务</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1IP</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56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主机负载均衡服务</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主机负载均衡服务</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1IP（内网）</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远程接入服务</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远程接入运维</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1账号</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16</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28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VPN服务</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SSL VPN接入</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1套</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56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WAF防护</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web应用防火墙服务</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1IP（互联网）</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r>
        <w:tblPrEx>
          <w:tblCellMar>
            <w:top w:w="0" w:type="dxa"/>
            <w:left w:w="108" w:type="dxa"/>
            <w:bottom w:w="0" w:type="dxa"/>
            <w:right w:w="108" w:type="dxa"/>
          </w:tblCellMar>
        </w:tblPrEx>
        <w:trPr>
          <w:trHeight w:val="56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云主机深度监控服务</w:t>
            </w:r>
          </w:p>
        </w:tc>
        <w:tc>
          <w:tcPr>
            <w:tcW w:w="1270"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特定云主机深度监控及运维保障服务（7*24小时值守）</w:t>
            </w:r>
          </w:p>
        </w:tc>
        <w:tc>
          <w:tcPr>
            <w:tcW w:w="2834"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textAlignment w:val="baseline"/>
              <w:rPr>
                <w:rFonts w:ascii="宋体" w:hAnsi="宋体" w:cs="宋体"/>
                <w:sz w:val="24"/>
              </w:rPr>
            </w:pPr>
            <w:r>
              <w:rPr>
                <w:rFonts w:hint="eastAsia" w:ascii="宋体" w:hAnsi="宋体" w:cs="宋体"/>
                <w:sz w:val="24"/>
              </w:rPr>
              <w:t>7*24小时深度监控云主机资源、硬件设备监控、云平台应急处置等内容</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1主机</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jc w:val="center"/>
              <w:textAlignment w:val="baseline"/>
              <w:rPr>
                <w:rFonts w:ascii="宋体" w:hAnsi="宋体" w:cs="宋体"/>
                <w:sz w:val="24"/>
              </w:rPr>
            </w:pPr>
            <w:r>
              <w:rPr>
                <w:rFonts w:hint="eastAsia" w:ascii="宋体" w:hAnsi="宋体" w:cs="宋体"/>
                <w:sz w:val="24"/>
              </w:rPr>
              <w:t>92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280" w:lineRule="exact"/>
              <w:textAlignment w:val="baseline"/>
              <w:rPr>
                <w:rFonts w:ascii="宋体" w:hAnsi="宋体" w:cs="宋体"/>
                <w:sz w:val="24"/>
              </w:rPr>
            </w:pPr>
          </w:p>
        </w:tc>
      </w:tr>
    </w:tbl>
    <w:p>
      <w:pPr>
        <w:adjustRightInd w:val="0"/>
        <w:spacing w:line="360" w:lineRule="auto"/>
        <w:ind w:firstLine="480" w:firstLineChars="200"/>
        <w:textAlignment w:val="baseline"/>
        <w:rPr>
          <w:rFonts w:ascii="宋体" w:hAnsi="宋体" w:cs="宋体"/>
          <w:sz w:val="24"/>
          <w:lang w:val="zh-CN"/>
        </w:rPr>
      </w:pPr>
    </w:p>
    <w:p>
      <w:pPr>
        <w:adjustRightInd w:val="0"/>
        <w:spacing w:line="360" w:lineRule="auto"/>
        <w:ind w:firstLine="480" w:firstLineChars="200"/>
        <w:textAlignment w:val="baseline"/>
        <w:rPr>
          <w:rFonts w:ascii="宋体" w:hAnsi="宋体" w:cs="宋体"/>
          <w:sz w:val="24"/>
          <w:lang w:val="zh-CN"/>
        </w:rPr>
      </w:pPr>
    </w:p>
    <w:p>
      <w:pPr>
        <w:adjustRightInd w:val="0"/>
        <w:spacing w:line="360" w:lineRule="auto"/>
        <w:ind w:firstLine="480" w:firstLineChars="200"/>
        <w:textAlignment w:val="baseline"/>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）扩展服务</w:t>
      </w:r>
    </w:p>
    <w:tbl>
      <w:tblPr>
        <w:tblStyle w:val="45"/>
        <w:tblW w:w="8686" w:type="dxa"/>
        <w:tblInd w:w="98" w:type="dxa"/>
        <w:tblLayout w:type="fixed"/>
        <w:tblCellMar>
          <w:top w:w="0" w:type="dxa"/>
          <w:left w:w="108" w:type="dxa"/>
          <w:bottom w:w="0" w:type="dxa"/>
          <w:right w:w="108" w:type="dxa"/>
        </w:tblCellMar>
      </w:tblPr>
      <w:tblGrid>
        <w:gridCol w:w="1000"/>
        <w:gridCol w:w="2020"/>
        <w:gridCol w:w="1935"/>
        <w:gridCol w:w="975"/>
        <w:gridCol w:w="915"/>
        <w:gridCol w:w="878"/>
        <w:gridCol w:w="963"/>
      </w:tblGrid>
      <w:tr>
        <w:tblPrEx>
          <w:tblCellMar>
            <w:top w:w="0" w:type="dxa"/>
            <w:left w:w="108" w:type="dxa"/>
            <w:bottom w:w="0" w:type="dxa"/>
            <w:right w:w="108" w:type="dxa"/>
          </w:tblCellMar>
        </w:tblPrEx>
        <w:trPr>
          <w:trHeight w:val="799"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服务</w:t>
            </w:r>
          </w:p>
          <w:p>
            <w:pPr>
              <w:adjustRightInd w:val="0"/>
              <w:spacing w:line="300" w:lineRule="exact"/>
              <w:jc w:val="center"/>
              <w:textAlignment w:val="baseline"/>
              <w:rPr>
                <w:rFonts w:ascii="宋体" w:hAnsi="宋体" w:cs="宋体"/>
                <w:b/>
                <w:sz w:val="24"/>
              </w:rPr>
            </w:pPr>
            <w:r>
              <w:rPr>
                <w:rFonts w:hint="eastAsia" w:ascii="宋体" w:hAnsi="宋体" w:cs="宋体"/>
                <w:b/>
                <w:sz w:val="24"/>
              </w:rPr>
              <w:t>类别</w:t>
            </w:r>
          </w:p>
        </w:tc>
        <w:tc>
          <w:tcPr>
            <w:tcW w:w="2020"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服务子类</w:t>
            </w:r>
          </w:p>
        </w:tc>
        <w:tc>
          <w:tcPr>
            <w:tcW w:w="1935"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服务项</w:t>
            </w:r>
          </w:p>
        </w:tc>
        <w:tc>
          <w:tcPr>
            <w:tcW w:w="975"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单位</w:t>
            </w:r>
          </w:p>
        </w:tc>
        <w:tc>
          <w:tcPr>
            <w:tcW w:w="915"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数量</w:t>
            </w:r>
          </w:p>
        </w:tc>
        <w:tc>
          <w:tcPr>
            <w:tcW w:w="878"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单价（元）</w:t>
            </w:r>
          </w:p>
        </w:tc>
        <w:tc>
          <w:tcPr>
            <w:tcW w:w="963" w:type="dxa"/>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b/>
                <w:sz w:val="24"/>
              </w:rPr>
            </w:pPr>
            <w:r>
              <w:rPr>
                <w:rFonts w:hint="eastAsia" w:ascii="宋体" w:hAnsi="宋体" w:cs="宋体"/>
                <w:b/>
                <w:sz w:val="24"/>
              </w:rPr>
              <w:t>总价（元）</w:t>
            </w:r>
          </w:p>
        </w:tc>
      </w:tr>
      <w:tr>
        <w:tblPrEx>
          <w:tblCellMar>
            <w:top w:w="0" w:type="dxa"/>
            <w:left w:w="108" w:type="dxa"/>
            <w:bottom w:w="0" w:type="dxa"/>
            <w:right w:w="108" w:type="dxa"/>
          </w:tblCellMar>
        </w:tblPrEx>
        <w:trPr>
          <w:trHeight w:val="300" w:hRule="atLeast"/>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sz w:val="24"/>
              </w:rPr>
            </w:pPr>
            <w:r>
              <w:rPr>
                <w:rFonts w:hint="eastAsia" w:ascii="宋体" w:hAnsi="宋体" w:cs="宋体"/>
                <w:sz w:val="24"/>
              </w:rPr>
              <w:t>安全</w:t>
            </w:r>
          </w:p>
          <w:p>
            <w:pPr>
              <w:adjustRightInd w:val="0"/>
              <w:spacing w:line="300" w:lineRule="exact"/>
              <w:jc w:val="center"/>
              <w:textAlignment w:val="baseline"/>
              <w:rPr>
                <w:rFonts w:ascii="宋体" w:hAnsi="宋体" w:cs="宋体"/>
                <w:sz w:val="24"/>
              </w:rPr>
            </w:pPr>
            <w:r>
              <w:rPr>
                <w:rFonts w:hint="eastAsia" w:ascii="宋体" w:hAnsi="宋体" w:cs="宋体"/>
                <w:sz w:val="24"/>
              </w:rPr>
              <w:t>服务</w:t>
            </w:r>
          </w:p>
        </w:tc>
        <w:tc>
          <w:tcPr>
            <w:tcW w:w="202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主机杀毒服务</w:t>
            </w:r>
          </w:p>
        </w:tc>
        <w:tc>
          <w:tcPr>
            <w:tcW w:w="193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主机杀毒服务</w:t>
            </w:r>
          </w:p>
        </w:tc>
        <w:tc>
          <w:tcPr>
            <w:tcW w:w="97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1台</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92</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r>
      <w:tr>
        <w:tblPrEx>
          <w:tblCellMar>
            <w:top w:w="0" w:type="dxa"/>
            <w:left w:w="108" w:type="dxa"/>
            <w:bottom w:w="0" w:type="dxa"/>
            <w:right w:w="108" w:type="dxa"/>
          </w:tblCellMar>
        </w:tblPrEx>
        <w:trPr>
          <w:trHeight w:val="300"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sz w:val="24"/>
              </w:rPr>
            </w:pPr>
          </w:p>
        </w:tc>
        <w:tc>
          <w:tcPr>
            <w:tcW w:w="202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主机防护</w:t>
            </w:r>
          </w:p>
        </w:tc>
        <w:tc>
          <w:tcPr>
            <w:tcW w:w="193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主机防护</w:t>
            </w:r>
          </w:p>
        </w:tc>
        <w:tc>
          <w:tcPr>
            <w:tcW w:w="97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1台</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92</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r>
      <w:tr>
        <w:tblPrEx>
          <w:tblCellMar>
            <w:top w:w="0" w:type="dxa"/>
            <w:left w:w="108" w:type="dxa"/>
            <w:bottom w:w="0" w:type="dxa"/>
            <w:right w:w="108" w:type="dxa"/>
          </w:tblCellMar>
        </w:tblPrEx>
        <w:trPr>
          <w:trHeight w:val="300"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sz w:val="24"/>
              </w:rPr>
            </w:pPr>
          </w:p>
        </w:tc>
        <w:tc>
          <w:tcPr>
            <w:tcW w:w="202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主机安全加固</w:t>
            </w:r>
          </w:p>
        </w:tc>
        <w:tc>
          <w:tcPr>
            <w:tcW w:w="193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主机安全加固</w:t>
            </w:r>
          </w:p>
        </w:tc>
        <w:tc>
          <w:tcPr>
            <w:tcW w:w="97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1台</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184</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r>
      <w:tr>
        <w:tblPrEx>
          <w:tblCellMar>
            <w:top w:w="0" w:type="dxa"/>
            <w:left w:w="108" w:type="dxa"/>
            <w:bottom w:w="0" w:type="dxa"/>
            <w:right w:w="108" w:type="dxa"/>
          </w:tblCellMar>
        </w:tblPrEx>
        <w:trPr>
          <w:trHeight w:val="280"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sz w:val="24"/>
              </w:rPr>
            </w:pPr>
          </w:p>
        </w:tc>
        <w:tc>
          <w:tcPr>
            <w:tcW w:w="202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网页防篡改服务</w:t>
            </w:r>
          </w:p>
        </w:tc>
        <w:tc>
          <w:tcPr>
            <w:tcW w:w="193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网页防篡改服务</w:t>
            </w:r>
          </w:p>
        </w:tc>
        <w:tc>
          <w:tcPr>
            <w:tcW w:w="97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1监控点</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18</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r>
      <w:tr>
        <w:tblPrEx>
          <w:tblCellMar>
            <w:top w:w="0" w:type="dxa"/>
            <w:left w:w="108" w:type="dxa"/>
            <w:bottom w:w="0" w:type="dxa"/>
            <w:right w:w="108" w:type="dxa"/>
          </w:tblCellMar>
        </w:tblPrEx>
        <w:trPr>
          <w:trHeight w:val="280" w:hRule="atLeast"/>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300" w:lineRule="exact"/>
              <w:jc w:val="center"/>
              <w:textAlignment w:val="baseline"/>
              <w:rPr>
                <w:rFonts w:ascii="宋体" w:hAnsi="宋体" w:cs="宋体"/>
                <w:sz w:val="24"/>
              </w:rPr>
            </w:pPr>
            <w:r>
              <w:rPr>
                <w:rFonts w:hint="eastAsia" w:ascii="宋体" w:hAnsi="宋体" w:cs="宋体"/>
                <w:sz w:val="24"/>
              </w:rPr>
              <w:t>安全检测监测、审计服务</w:t>
            </w:r>
          </w:p>
        </w:tc>
        <w:tc>
          <w:tcPr>
            <w:tcW w:w="202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主机漏洞扫描</w:t>
            </w:r>
          </w:p>
        </w:tc>
        <w:tc>
          <w:tcPr>
            <w:tcW w:w="193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主机漏洞扫描</w:t>
            </w:r>
          </w:p>
        </w:tc>
        <w:tc>
          <w:tcPr>
            <w:tcW w:w="97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1台</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184</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r>
      <w:tr>
        <w:tblPrEx>
          <w:tblCellMar>
            <w:top w:w="0" w:type="dxa"/>
            <w:left w:w="108" w:type="dxa"/>
            <w:bottom w:w="0" w:type="dxa"/>
            <w:right w:w="108" w:type="dxa"/>
          </w:tblCellMar>
        </w:tblPrEx>
        <w:trPr>
          <w:trHeight w:val="280"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textAlignment w:val="baseline"/>
              <w:rPr>
                <w:rFonts w:ascii="宋体" w:hAnsi="宋体" w:cs="宋体"/>
                <w:sz w:val="24"/>
              </w:rPr>
            </w:pPr>
          </w:p>
        </w:tc>
        <w:tc>
          <w:tcPr>
            <w:tcW w:w="202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主机日志分析</w:t>
            </w:r>
          </w:p>
        </w:tc>
        <w:tc>
          <w:tcPr>
            <w:tcW w:w="193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主机日志分析</w:t>
            </w:r>
          </w:p>
        </w:tc>
        <w:tc>
          <w:tcPr>
            <w:tcW w:w="97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1台</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184</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r>
      <w:tr>
        <w:tblPrEx>
          <w:tblCellMar>
            <w:top w:w="0" w:type="dxa"/>
            <w:left w:w="108" w:type="dxa"/>
            <w:bottom w:w="0" w:type="dxa"/>
            <w:right w:w="108" w:type="dxa"/>
          </w:tblCellMar>
        </w:tblPrEx>
        <w:trPr>
          <w:trHeight w:val="300"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textAlignment w:val="baseline"/>
              <w:rPr>
                <w:rFonts w:ascii="宋体" w:hAnsi="宋体" w:cs="宋体"/>
                <w:sz w:val="24"/>
              </w:rPr>
            </w:pPr>
          </w:p>
        </w:tc>
        <w:tc>
          <w:tcPr>
            <w:tcW w:w="202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数据库审计服务</w:t>
            </w:r>
          </w:p>
        </w:tc>
        <w:tc>
          <w:tcPr>
            <w:tcW w:w="193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rFonts w:ascii="宋体" w:hAnsi="宋体" w:cs="宋体"/>
                <w:sz w:val="24"/>
              </w:rPr>
            </w:pPr>
            <w:r>
              <w:rPr>
                <w:rFonts w:hint="eastAsia" w:ascii="宋体" w:hAnsi="宋体" w:cs="宋体"/>
                <w:sz w:val="24"/>
              </w:rPr>
              <w:t>数据库审计服务</w:t>
            </w:r>
          </w:p>
        </w:tc>
        <w:tc>
          <w:tcPr>
            <w:tcW w:w="97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1套</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jc w:val="center"/>
              <w:textAlignment w:val="baseline"/>
              <w:rPr>
                <w:rFonts w:ascii="宋体" w:hAnsi="宋体" w:cs="宋体"/>
                <w:sz w:val="24"/>
              </w:rPr>
            </w:pPr>
            <w:r>
              <w:rPr>
                <w:rFonts w:hint="eastAsia" w:ascii="宋体" w:hAnsi="宋体" w:cs="宋体"/>
                <w:sz w:val="24"/>
              </w:rPr>
              <w:t>36</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textAlignment w:val="baseline"/>
              <w:rPr>
                <w:rFonts w:ascii="宋体" w:hAnsi="宋体" w:cs="宋体"/>
                <w:sz w:val="24"/>
              </w:rPr>
            </w:pPr>
          </w:p>
        </w:tc>
      </w:tr>
    </w:tbl>
    <w:p>
      <w:pPr>
        <w:pStyle w:val="44"/>
        <w:ind w:left="0" w:leftChars="0" w:firstLine="0" w:firstLineChars="0"/>
        <w:rPr>
          <w:rFonts w:ascii="宋体" w:hAnsi="宋体" w:cs="宋体"/>
          <w:sz w:val="21"/>
          <w:szCs w:val="21"/>
        </w:rPr>
      </w:pPr>
    </w:p>
    <w:p>
      <w:pPr>
        <w:pStyle w:val="2"/>
      </w:pPr>
    </w:p>
    <w:p>
      <w:pPr>
        <w:rPr>
          <w:rFonts w:eastAsia="宋体"/>
          <w:b/>
          <w:sz w:val="36"/>
          <w:szCs w:val="36"/>
        </w:rPr>
      </w:pPr>
      <w:r>
        <w:rPr>
          <w:rFonts w:eastAsia="宋体"/>
          <w:b/>
          <w:sz w:val="36"/>
          <w:szCs w:val="36"/>
        </w:rPr>
        <w:br w:type="page"/>
      </w:r>
    </w:p>
    <w:p>
      <w:pPr>
        <w:spacing w:line="360" w:lineRule="auto"/>
        <w:jc w:val="center"/>
        <w:outlineLvl w:val="0"/>
        <w:rPr>
          <w:rFonts w:eastAsia="宋体"/>
          <w:b/>
          <w:sz w:val="36"/>
          <w:szCs w:val="36"/>
        </w:rPr>
      </w:pPr>
      <w:r>
        <w:rPr>
          <w:rFonts w:eastAsia="宋体"/>
          <w:b/>
          <w:sz w:val="36"/>
          <w:szCs w:val="36"/>
        </w:rPr>
        <w:t>第六章   响应文件格式</w:t>
      </w:r>
      <w:bookmarkEnd w:id="666"/>
    </w:p>
    <w:p>
      <w:pPr>
        <w:widowControl/>
        <w:spacing w:line="360" w:lineRule="auto"/>
        <w:jc w:val="left"/>
        <w:rPr>
          <w:rFonts w:eastAsia="宋体"/>
          <w:b/>
          <w:sz w:val="24"/>
        </w:rPr>
      </w:pPr>
    </w:p>
    <w:p>
      <w:pPr>
        <w:tabs>
          <w:tab w:val="left" w:pos="900"/>
          <w:tab w:val="left" w:pos="1980"/>
        </w:tabs>
        <w:snapToGrid w:val="0"/>
        <w:spacing w:line="360" w:lineRule="auto"/>
        <w:ind w:left="142"/>
        <w:rPr>
          <w:rFonts w:eastAsia="宋体"/>
          <w:b/>
          <w:kern w:val="0"/>
          <w:sz w:val="24"/>
        </w:rPr>
      </w:pPr>
      <w:r>
        <w:rPr>
          <w:rFonts w:eastAsia="宋体"/>
          <w:b/>
          <w:kern w:val="0"/>
          <w:sz w:val="24"/>
        </w:rPr>
        <w:t>供应商编制文件须知</w:t>
      </w:r>
    </w:p>
    <w:p>
      <w:pPr>
        <w:tabs>
          <w:tab w:val="left" w:pos="900"/>
          <w:tab w:val="left" w:pos="1980"/>
        </w:tabs>
        <w:snapToGrid w:val="0"/>
        <w:spacing w:line="360" w:lineRule="auto"/>
        <w:rPr>
          <w:rFonts w:eastAsia="宋体"/>
          <w:sz w:val="24"/>
        </w:rPr>
      </w:pPr>
      <w:r>
        <w:rPr>
          <w:rFonts w:hint="eastAsia" w:eastAsia="宋体"/>
          <w:sz w:val="24"/>
        </w:rPr>
        <w:t>1</w:t>
      </w:r>
      <w:r>
        <w:rPr>
          <w:rFonts w:eastAsia="宋体"/>
          <w:sz w:val="24"/>
        </w:rPr>
        <w:t>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rPr>
          <w:rFonts w:eastAsia="宋体"/>
          <w:sz w:val="24"/>
        </w:rPr>
      </w:pPr>
      <w:r>
        <w:rPr>
          <w:rFonts w:hint="eastAsia"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tabs>
          <w:tab w:val="left" w:pos="900"/>
          <w:tab w:val="left" w:pos="1980"/>
        </w:tabs>
        <w:snapToGrid w:val="0"/>
        <w:spacing w:line="360" w:lineRule="auto"/>
        <w:rPr>
          <w:rFonts w:eastAsia="宋体"/>
          <w:sz w:val="24"/>
        </w:rPr>
      </w:pPr>
      <w:r>
        <w:rPr>
          <w:rFonts w:eastAsia="宋体"/>
          <w:sz w:val="24"/>
        </w:rPr>
        <w:t>3.全部声明和问题的回答及所附材料必须是真实的、准确的和完整的。</w:t>
      </w:r>
    </w:p>
    <w:p>
      <w:pPr>
        <w:tabs>
          <w:tab w:val="left" w:pos="900"/>
          <w:tab w:val="left" w:pos="1980"/>
        </w:tabs>
        <w:snapToGrid w:val="0"/>
        <w:spacing w:line="360" w:lineRule="auto"/>
        <w:ind w:left="142"/>
        <w:rPr>
          <w:rFonts w:eastAsia="宋体"/>
          <w:sz w:val="24"/>
        </w:rPr>
      </w:pPr>
    </w:p>
    <w:p>
      <w:pPr>
        <w:widowControl/>
        <w:jc w:val="left"/>
        <w:rPr>
          <w:rFonts w:eastAsia="宋体"/>
          <w:sz w:val="24"/>
        </w:rPr>
      </w:pPr>
      <w:r>
        <w:rPr>
          <w:rFonts w:eastAsia="宋体"/>
          <w:sz w:val="24"/>
        </w:rPr>
        <w:br w:type="page"/>
      </w:r>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Pr>
        <w:rPr>
          <w:rFonts w:eastAsia="宋体"/>
          <w:b/>
          <w:spacing w:val="20"/>
          <w:szCs w:val="21"/>
        </w:rPr>
      </w:pPr>
    </w:p>
    <w:p>
      <w:pPr>
        <w:rPr>
          <w:rFonts w:eastAsia="宋体"/>
          <w:b/>
          <w:sz w:val="24"/>
        </w:rPr>
      </w:pPr>
      <w:r>
        <w:rPr>
          <w:rFonts w:eastAsia="宋体"/>
          <w:b/>
          <w:spacing w:val="20"/>
          <w:sz w:val="24"/>
        </w:rPr>
        <w:t>响应文件</w:t>
      </w:r>
      <w:r>
        <w:rPr>
          <w:rFonts w:eastAsia="宋体"/>
          <w:b/>
          <w:sz w:val="24"/>
        </w:rPr>
        <w:t>封面（非实质性格式）</w:t>
      </w:r>
    </w:p>
    <w:p>
      <w:pPr>
        <w:jc w:val="center"/>
        <w:rPr>
          <w:rFonts w:eastAsia="宋体"/>
          <w:szCs w:val="21"/>
        </w:rPr>
      </w:pPr>
    </w:p>
    <w:p>
      <w:pPr>
        <w:jc w:val="center"/>
        <w:rPr>
          <w:rFonts w:eastAsia="宋体"/>
          <w:b/>
          <w:spacing w:val="60"/>
          <w:sz w:val="84"/>
          <w:szCs w:val="84"/>
        </w:rPr>
      </w:pPr>
      <w:r>
        <w:rPr>
          <w:rFonts w:eastAsia="宋体"/>
          <w:b/>
          <w:spacing w:val="60"/>
          <w:sz w:val="84"/>
          <w:szCs w:val="84"/>
        </w:rPr>
        <w:t>响 应 文 件</w:t>
      </w:r>
    </w:p>
    <w:p>
      <w:pPr>
        <w:jc w:val="center"/>
        <w:rPr>
          <w:rFonts w:eastAsia="宋体"/>
          <w:b/>
          <w:spacing w:val="60"/>
          <w:sz w:val="52"/>
          <w:szCs w:val="52"/>
        </w:rPr>
      </w:pPr>
    </w:p>
    <w:p>
      <w:pPr>
        <w:ind w:firstLine="542" w:firstLineChars="150"/>
        <w:rPr>
          <w:rFonts w:eastAsia="宋体"/>
          <w:b/>
          <w:spacing w:val="20"/>
          <w:sz w:val="32"/>
          <w:szCs w:val="32"/>
        </w:rPr>
      </w:pPr>
    </w:p>
    <w:p>
      <w:pPr>
        <w:ind w:firstLine="542" w:firstLineChars="150"/>
        <w:rPr>
          <w:rFonts w:eastAsia="宋体"/>
          <w:b/>
          <w:spacing w:val="20"/>
          <w:sz w:val="32"/>
          <w:szCs w:val="32"/>
        </w:rPr>
      </w:pPr>
    </w:p>
    <w:p>
      <w:pPr>
        <w:ind w:firstLine="542" w:firstLineChars="150"/>
        <w:rPr>
          <w:rFonts w:eastAsia="宋体"/>
          <w:b/>
          <w:spacing w:val="20"/>
          <w:sz w:val="32"/>
          <w:szCs w:val="32"/>
        </w:rPr>
      </w:pPr>
      <w:r>
        <w:rPr>
          <w:rFonts w:eastAsia="宋体"/>
          <w:b/>
          <w:spacing w:val="20"/>
          <w:sz w:val="32"/>
          <w:szCs w:val="32"/>
        </w:rPr>
        <w:t>项目名称:</w:t>
      </w:r>
    </w:p>
    <w:p>
      <w:pPr>
        <w:ind w:firstLine="542" w:firstLineChars="150"/>
        <w:rPr>
          <w:rFonts w:eastAsia="宋体"/>
          <w:b/>
          <w:spacing w:val="20"/>
          <w:sz w:val="32"/>
          <w:szCs w:val="32"/>
        </w:rPr>
      </w:pPr>
      <w:r>
        <w:rPr>
          <w:rFonts w:eastAsia="宋体"/>
          <w:b/>
          <w:spacing w:val="20"/>
          <w:sz w:val="32"/>
          <w:szCs w:val="32"/>
        </w:rPr>
        <w:t>项目编号：</w:t>
      </w:r>
    </w:p>
    <w:p>
      <w:pPr>
        <w:ind w:firstLine="542" w:firstLineChars="150"/>
        <w:rPr>
          <w:rFonts w:eastAsia="宋体"/>
          <w:b/>
          <w:spacing w:val="20"/>
          <w:sz w:val="32"/>
          <w:szCs w:val="32"/>
        </w:rPr>
      </w:pPr>
    </w:p>
    <w:p>
      <w:pPr>
        <w:ind w:firstLine="542" w:firstLineChars="150"/>
        <w:rPr>
          <w:rFonts w:eastAsia="宋体"/>
          <w:b/>
          <w:spacing w:val="20"/>
          <w:sz w:val="32"/>
          <w:szCs w:val="32"/>
        </w:rPr>
      </w:pPr>
    </w:p>
    <w:p>
      <w:pPr>
        <w:jc w:val="center"/>
        <w:rPr>
          <w:rFonts w:eastAsia="宋体"/>
          <w:b/>
          <w:sz w:val="32"/>
          <w:szCs w:val="32"/>
        </w:rPr>
      </w:pPr>
    </w:p>
    <w:p>
      <w:pPr>
        <w:jc w:val="center"/>
        <w:rPr>
          <w:rFonts w:eastAsia="宋体"/>
          <w:b/>
          <w:sz w:val="32"/>
          <w:szCs w:val="32"/>
        </w:rPr>
      </w:pPr>
    </w:p>
    <w:p>
      <w:pPr>
        <w:jc w:val="center"/>
        <w:rPr>
          <w:rFonts w:eastAsia="宋体"/>
          <w:b/>
          <w:sz w:val="32"/>
          <w:szCs w:val="32"/>
        </w:rPr>
      </w:pPr>
    </w:p>
    <w:p>
      <w:pPr>
        <w:jc w:val="center"/>
        <w:rPr>
          <w:rFonts w:eastAsia="宋体"/>
          <w:b/>
          <w:spacing w:val="20"/>
          <w:sz w:val="32"/>
          <w:szCs w:val="32"/>
        </w:rPr>
      </w:pPr>
    </w:p>
    <w:p>
      <w:pPr>
        <w:jc w:val="center"/>
        <w:rPr>
          <w:rFonts w:eastAsia="宋体"/>
          <w:b/>
          <w:spacing w:val="20"/>
          <w:sz w:val="32"/>
          <w:szCs w:val="32"/>
        </w:rPr>
      </w:pPr>
    </w:p>
    <w:p>
      <w:pPr>
        <w:jc w:val="center"/>
        <w:rPr>
          <w:rFonts w:eastAsia="宋体"/>
          <w:b/>
          <w:spacing w:val="20"/>
          <w:sz w:val="32"/>
          <w:szCs w:val="32"/>
        </w:rPr>
      </w:pPr>
    </w:p>
    <w:p>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pPr>
        <w:jc w:val="center"/>
        <w:rPr>
          <w:rFonts w:eastAsia="宋体"/>
          <w:b/>
          <w:sz w:val="32"/>
          <w:szCs w:val="32"/>
        </w:rPr>
      </w:pPr>
    </w:p>
    <w:p>
      <w:pPr>
        <w:rPr>
          <w:rFonts w:eastAsia="宋体"/>
          <w:b/>
        </w:rPr>
      </w:pPr>
      <w:r>
        <w:rPr>
          <w:rFonts w:eastAsia="宋体"/>
          <w:b/>
          <w:spacing w:val="20"/>
          <w:sz w:val="32"/>
          <w:szCs w:val="32"/>
        </w:rPr>
        <w:br w:type="page"/>
      </w:r>
    </w:p>
    <w:p>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pPr>
        <w:spacing w:line="360" w:lineRule="auto"/>
        <w:outlineLvl w:val="2"/>
        <w:rPr>
          <w:rFonts w:eastAsia="宋体"/>
          <w:color w:val="000000"/>
          <w:sz w:val="24"/>
        </w:rPr>
      </w:pPr>
      <w:r>
        <w:rPr>
          <w:rFonts w:eastAsia="宋体"/>
          <w:color w:val="000000"/>
          <w:sz w:val="24"/>
        </w:rPr>
        <w:t>1-1 营业执照等证明文件</w:t>
      </w:r>
      <w:r>
        <w:rPr>
          <w:rFonts w:hint="eastAsia" w:eastAsia="宋体"/>
          <w:color w:val="000000"/>
          <w:sz w:val="24"/>
        </w:rPr>
        <w:t>（</w:t>
      </w:r>
      <w:r>
        <w:rPr>
          <w:rFonts w:eastAsia="宋体"/>
          <w:kern w:val="0"/>
          <w:sz w:val="24"/>
        </w:rPr>
        <w:t>实质性格式</w:t>
      </w:r>
      <w:r>
        <w:rPr>
          <w:rFonts w:hint="eastAsia" w:eastAsia="宋体"/>
          <w:color w:val="000000"/>
          <w:sz w:val="24"/>
        </w:rPr>
        <w:t>）</w:t>
      </w:r>
    </w:p>
    <w:p>
      <w:pPr>
        <w:tabs>
          <w:tab w:val="left" w:pos="1080"/>
        </w:tabs>
        <w:snapToGrid w:val="0"/>
        <w:rPr>
          <w:rFonts w:eastAsia="宋体"/>
          <w:sz w:val="24"/>
        </w:rPr>
      </w:pPr>
    </w:p>
    <w:p>
      <w:pPr>
        <w:widowControl/>
        <w:jc w:val="left"/>
        <w:rPr>
          <w:rFonts w:eastAsia="宋体"/>
          <w:color w:val="000000"/>
          <w:sz w:val="24"/>
          <w:szCs w:val="20"/>
        </w:rPr>
      </w:pPr>
      <w:r>
        <w:rPr>
          <w:rFonts w:eastAsia="宋体"/>
          <w:color w:val="000000"/>
          <w:sz w:val="24"/>
        </w:rPr>
        <w:br w:type="page"/>
      </w:r>
    </w:p>
    <w:p>
      <w:pPr>
        <w:pStyle w:val="5"/>
        <w:rPr>
          <w:rFonts w:ascii="Times New Roman" w:eastAsia="宋体"/>
          <w:b w:val="0"/>
          <w:bCs/>
          <w:color w:val="000000"/>
          <w:szCs w:val="24"/>
          <w:u w:val="none"/>
        </w:rPr>
      </w:pPr>
      <w:r>
        <w:rPr>
          <w:rFonts w:ascii="Times New Roman" w:eastAsia="宋体"/>
          <w:b w:val="0"/>
          <w:color w:val="000000"/>
          <w:szCs w:val="24"/>
          <w:u w:val="none"/>
        </w:rPr>
        <w:t>1-2 供应商资格声明书</w:t>
      </w:r>
      <w:r>
        <w:rPr>
          <w:rFonts w:hint="eastAsia" w:ascii="Times New Roman" w:eastAsia="宋体"/>
          <w:b w:val="0"/>
          <w:color w:val="000000"/>
          <w:szCs w:val="24"/>
          <w:u w:val="none"/>
        </w:rPr>
        <w:t>（</w:t>
      </w:r>
      <w:r>
        <w:rPr>
          <w:rFonts w:eastAsia="宋体"/>
          <w:b w:val="0"/>
          <w:bCs/>
          <w:u w:val="none"/>
        </w:rPr>
        <w:t>实质性格式</w:t>
      </w:r>
      <w:r>
        <w:rPr>
          <w:rFonts w:hint="eastAsia" w:ascii="Times New Roman" w:eastAsia="宋体"/>
          <w:b w:val="0"/>
          <w:color w:val="000000"/>
          <w:szCs w:val="24"/>
          <w:u w:val="none"/>
        </w:rPr>
        <w:t>）</w:t>
      </w:r>
    </w:p>
    <w:p>
      <w:pPr>
        <w:jc w:val="center"/>
        <w:rPr>
          <w:b/>
          <w:color w:val="000000"/>
          <w:sz w:val="36"/>
          <w:szCs w:val="36"/>
        </w:rPr>
      </w:pPr>
      <w:r>
        <w:rPr>
          <w:b/>
          <w:color w:val="000000"/>
          <w:sz w:val="36"/>
          <w:szCs w:val="36"/>
        </w:rPr>
        <w:t>供应商资格声明书</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pPr>
        <w:spacing w:line="360" w:lineRule="auto"/>
        <w:ind w:firstLine="480" w:firstLineChars="200"/>
        <w:rPr>
          <w:rFonts w:eastAsia="宋体"/>
          <w:sz w:val="24"/>
        </w:rPr>
      </w:pPr>
      <w:r>
        <w:rPr>
          <w:rFonts w:eastAsia="宋体"/>
          <w:sz w:val="24"/>
        </w:rPr>
        <w:t>在参与本次项目磋商中，我单位承诺：</w:t>
      </w:r>
    </w:p>
    <w:p>
      <w:pPr>
        <w:numPr>
          <w:ilvl w:val="0"/>
          <w:numId w:val="13"/>
        </w:numPr>
        <w:spacing w:line="360" w:lineRule="auto"/>
        <w:ind w:left="1134"/>
        <w:rPr>
          <w:rFonts w:eastAsia="宋体"/>
          <w:sz w:val="24"/>
          <w:szCs w:val="22"/>
        </w:rPr>
      </w:pPr>
      <w:r>
        <w:rPr>
          <w:rFonts w:eastAsia="宋体"/>
          <w:sz w:val="24"/>
          <w:szCs w:val="22"/>
        </w:rPr>
        <w:t>具有良好的商业信誉和健全的财务会计制度；</w:t>
      </w:r>
    </w:p>
    <w:p>
      <w:pPr>
        <w:numPr>
          <w:ilvl w:val="0"/>
          <w:numId w:val="13"/>
        </w:numPr>
        <w:spacing w:line="360" w:lineRule="auto"/>
        <w:ind w:left="1134"/>
        <w:rPr>
          <w:rFonts w:eastAsia="宋体"/>
          <w:sz w:val="24"/>
          <w:szCs w:val="22"/>
        </w:rPr>
      </w:pPr>
      <w:r>
        <w:rPr>
          <w:rFonts w:eastAsia="宋体"/>
          <w:sz w:val="24"/>
          <w:szCs w:val="22"/>
        </w:rPr>
        <w:t>具有履行合同所必需的设备和专业技术能力；</w:t>
      </w:r>
    </w:p>
    <w:p>
      <w:pPr>
        <w:numPr>
          <w:ilvl w:val="0"/>
          <w:numId w:val="13"/>
        </w:numPr>
        <w:spacing w:line="360" w:lineRule="auto"/>
        <w:ind w:left="1134"/>
        <w:rPr>
          <w:rFonts w:eastAsia="宋体"/>
          <w:sz w:val="24"/>
          <w:szCs w:val="22"/>
        </w:rPr>
      </w:pPr>
      <w:r>
        <w:rPr>
          <w:rFonts w:eastAsia="宋体"/>
          <w:sz w:val="24"/>
          <w:szCs w:val="22"/>
        </w:rPr>
        <w:t>有依法缴纳税收和社会保障资金的良好记录；</w:t>
      </w:r>
    </w:p>
    <w:p>
      <w:pPr>
        <w:numPr>
          <w:ilvl w:val="0"/>
          <w:numId w:val="13"/>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3"/>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pPr>
        <w:numPr>
          <w:ilvl w:val="0"/>
          <w:numId w:val="13"/>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pPr>
        <w:numPr>
          <w:ilvl w:val="0"/>
          <w:numId w:val="13"/>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宋体"/>
                <w:sz w:val="24"/>
              </w:rPr>
            </w:pPr>
            <w:r>
              <w:rPr>
                <w:rFonts w:eastAsia="宋体"/>
                <w:sz w:val="24"/>
              </w:rPr>
              <w:t>序号</w:t>
            </w:r>
          </w:p>
        </w:tc>
        <w:tc>
          <w:tcPr>
            <w:tcW w:w="4574" w:type="dxa"/>
            <w:vAlign w:val="center"/>
          </w:tcPr>
          <w:p>
            <w:pPr>
              <w:jc w:val="center"/>
              <w:rPr>
                <w:rFonts w:eastAsia="宋体"/>
                <w:sz w:val="24"/>
              </w:rPr>
            </w:pPr>
            <w:r>
              <w:rPr>
                <w:rFonts w:eastAsia="宋体"/>
                <w:sz w:val="24"/>
              </w:rPr>
              <w:t>单位名称</w:t>
            </w:r>
          </w:p>
        </w:tc>
        <w:tc>
          <w:tcPr>
            <w:tcW w:w="2976" w:type="dxa"/>
            <w:vAlign w:val="center"/>
          </w:tcPr>
          <w:p>
            <w:pPr>
              <w:jc w:val="center"/>
              <w:rPr>
                <w:rFonts w:eastAsia="宋体"/>
                <w:sz w:val="24"/>
              </w:rPr>
            </w:pPr>
            <w:r>
              <w:rPr>
                <w:rFonts w:eastAsia="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pPr>
              <w:jc w:val="center"/>
              <w:rPr>
                <w:rFonts w:eastAsia="宋体"/>
                <w:sz w:val="24"/>
              </w:rPr>
            </w:pPr>
            <w:r>
              <w:rPr>
                <w:rFonts w:eastAsia="宋体"/>
                <w:sz w:val="24"/>
              </w:rPr>
              <w:t>1</w:t>
            </w:r>
          </w:p>
        </w:tc>
        <w:tc>
          <w:tcPr>
            <w:tcW w:w="4574" w:type="dxa"/>
            <w:vAlign w:val="center"/>
          </w:tcPr>
          <w:p>
            <w:pPr>
              <w:jc w:val="center"/>
              <w:rPr>
                <w:rFonts w:eastAsia="宋体"/>
                <w:sz w:val="24"/>
              </w:rPr>
            </w:pPr>
          </w:p>
        </w:tc>
        <w:tc>
          <w:tcPr>
            <w:tcW w:w="2976" w:type="dxa"/>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宋体"/>
                <w:sz w:val="24"/>
              </w:rPr>
            </w:pPr>
            <w:r>
              <w:rPr>
                <w:rFonts w:eastAsia="宋体"/>
                <w:sz w:val="24"/>
              </w:rPr>
              <w:t>2</w:t>
            </w:r>
          </w:p>
        </w:tc>
        <w:tc>
          <w:tcPr>
            <w:tcW w:w="4574" w:type="dxa"/>
            <w:vAlign w:val="center"/>
          </w:tcPr>
          <w:p>
            <w:pPr>
              <w:jc w:val="center"/>
              <w:rPr>
                <w:rFonts w:eastAsia="宋体"/>
                <w:sz w:val="24"/>
              </w:rPr>
            </w:pPr>
          </w:p>
        </w:tc>
        <w:tc>
          <w:tcPr>
            <w:tcW w:w="2976" w:type="dxa"/>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宋体"/>
                <w:sz w:val="24"/>
              </w:rPr>
            </w:pPr>
            <w:r>
              <w:rPr>
                <w:rFonts w:eastAsia="宋体"/>
                <w:sz w:val="24"/>
              </w:rPr>
              <w:t>…</w:t>
            </w:r>
          </w:p>
        </w:tc>
        <w:tc>
          <w:tcPr>
            <w:tcW w:w="4574" w:type="dxa"/>
            <w:vAlign w:val="center"/>
          </w:tcPr>
          <w:p>
            <w:pPr>
              <w:jc w:val="center"/>
              <w:rPr>
                <w:rFonts w:eastAsia="宋体"/>
                <w:sz w:val="24"/>
              </w:rPr>
            </w:pPr>
          </w:p>
        </w:tc>
        <w:tc>
          <w:tcPr>
            <w:tcW w:w="2976" w:type="dxa"/>
            <w:vAlign w:val="center"/>
          </w:tcPr>
          <w:p>
            <w:pPr>
              <w:jc w:val="center"/>
              <w:rPr>
                <w:rFonts w:eastAsia="宋体"/>
                <w:sz w:val="24"/>
              </w:rPr>
            </w:pPr>
          </w:p>
        </w:tc>
      </w:tr>
    </w:tbl>
    <w:p>
      <w:pPr>
        <w:rPr>
          <w:rFonts w:eastAsia="宋体"/>
        </w:rPr>
      </w:pPr>
    </w:p>
    <w:p>
      <w:pPr>
        <w:ind w:firstLine="480" w:firstLineChars="200"/>
        <w:rPr>
          <w:rFonts w:eastAsia="宋体"/>
          <w:sz w:val="24"/>
          <w:szCs w:val="22"/>
        </w:rPr>
      </w:pPr>
      <w:r>
        <w:rPr>
          <w:rFonts w:eastAsia="宋体"/>
          <w:sz w:val="24"/>
        </w:rPr>
        <w:t>上述声明真实有效，否则我方负全部责任。</w:t>
      </w:r>
    </w:p>
    <w:p>
      <w:pPr>
        <w:spacing w:line="360" w:lineRule="auto"/>
        <w:rPr>
          <w:rFonts w:eastAsia="宋体"/>
          <w:sz w:val="24"/>
        </w:rPr>
      </w:pPr>
    </w:p>
    <w:p>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360" w:firstLine="480"/>
        <w:jc w:val="right"/>
        <w:rPr>
          <w:rFonts w:eastAsia="宋体"/>
          <w:sz w:val="24"/>
        </w:rPr>
      </w:pPr>
      <w:r>
        <w:rPr>
          <w:rFonts w:eastAsia="宋体"/>
          <w:color w:val="000000"/>
          <w:sz w:val="24"/>
          <w:szCs w:val="20"/>
        </w:rPr>
        <w:t xml:space="preserve">日期：____年____月____日   </w:t>
      </w:r>
    </w:p>
    <w:p>
      <w:pPr>
        <w:spacing w:line="360" w:lineRule="auto"/>
        <w:rPr>
          <w:rFonts w:eastAsia="宋体"/>
          <w:sz w:val="24"/>
        </w:rPr>
      </w:pPr>
      <w:r>
        <w:rPr>
          <w:sz w:val="24"/>
        </w:rPr>
        <w:t>说明：供应商承诺不实的，依据《政府采购法》第七十七条“提供虚假材料谋取中标、成交的”有关规定予以处理。</w:t>
      </w:r>
    </w:p>
    <w:p>
      <w:pPr>
        <w:tabs>
          <w:tab w:val="left" w:pos="5580"/>
        </w:tabs>
        <w:spacing w:line="360" w:lineRule="auto"/>
        <w:rPr>
          <w:rFonts w:eastAsia="宋体"/>
          <w:sz w:val="24"/>
        </w:rPr>
        <w:sectPr>
          <w:headerReference r:id="rId14" w:type="first"/>
          <w:footerReference r:id="rId16" w:type="first"/>
          <w:headerReference r:id="rId13" w:type="even"/>
          <w:footerReference r:id="rId15" w:type="even"/>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2 落实政府采购政策需满足的资格要求（如有）</w:t>
      </w:r>
      <w:r>
        <w:rPr>
          <w:rFonts w:hint="eastAsia" w:eastAsia="宋体"/>
          <w:sz w:val="24"/>
        </w:rPr>
        <w:t>：本项目不涉及</w:t>
      </w:r>
    </w:p>
    <w:p>
      <w:pPr>
        <w:spacing w:line="360" w:lineRule="auto"/>
        <w:outlineLvl w:val="2"/>
        <w:rPr>
          <w:rFonts w:eastAsia="宋体"/>
          <w:color w:val="000000"/>
          <w:sz w:val="24"/>
          <w:szCs w:val="20"/>
        </w:rPr>
      </w:pPr>
      <w:r>
        <w:rPr>
          <w:rFonts w:eastAsia="宋体"/>
          <w:color w:val="000000"/>
          <w:sz w:val="24"/>
          <w:szCs w:val="20"/>
        </w:rPr>
        <w:t>2-1 中小企业证明文件</w:t>
      </w:r>
    </w:p>
    <w:p>
      <w:pPr>
        <w:tabs>
          <w:tab w:val="left" w:pos="5580"/>
        </w:tabs>
        <w:spacing w:line="360" w:lineRule="auto"/>
        <w:rPr>
          <w:rFonts w:eastAsia="宋体"/>
          <w:sz w:val="24"/>
        </w:rPr>
      </w:pPr>
      <w:r>
        <w:rPr>
          <w:rFonts w:eastAsia="宋体"/>
          <w:sz w:val="24"/>
        </w:rPr>
        <w:t>说明：</w:t>
      </w:r>
    </w:p>
    <w:p>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宋体"/>
          <w:color w:val="000000"/>
          <w:sz w:val="24"/>
        </w:rPr>
        <w:t>否则不享受相关中小企业扶持政策</w:t>
      </w:r>
      <w:r>
        <w:rPr>
          <w:sz w:val="24"/>
        </w:rPr>
        <w:t>。</w:t>
      </w:r>
    </w:p>
    <w:p>
      <w:pPr>
        <w:tabs>
          <w:tab w:val="left" w:pos="5580"/>
        </w:tabs>
        <w:spacing w:line="360" w:lineRule="auto"/>
        <w:rPr>
          <w:rFonts w:eastAsia="宋体"/>
          <w:sz w:val="24"/>
        </w:rPr>
      </w:pPr>
      <w:r>
        <w:rPr>
          <w:rFonts w:eastAsia="宋体"/>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宋体"/>
          <w:sz w:val="24"/>
        </w:rPr>
        <w:t>。</w:t>
      </w:r>
    </w:p>
    <w:p>
      <w:pPr>
        <w:tabs>
          <w:tab w:val="left" w:pos="5580"/>
        </w:tabs>
        <w:spacing w:line="360" w:lineRule="auto"/>
        <w:rPr>
          <w:rFonts w:eastAsia="宋体"/>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sz w:val="24"/>
        </w:rPr>
      </w:pPr>
      <w:r>
        <w:rPr>
          <w:rFonts w:eastAsia="宋体"/>
          <w:sz w:val="24"/>
        </w:rPr>
        <w:t>（4）</w:t>
      </w:r>
      <w:r>
        <w:rPr>
          <w:sz w:val="24"/>
        </w:rPr>
        <w:t>中小企业声明函填写注意事项</w:t>
      </w:r>
    </w:p>
    <w:p>
      <w:pPr>
        <w:tabs>
          <w:tab w:val="left" w:pos="5580"/>
        </w:tabs>
        <w:spacing w:line="360" w:lineRule="auto"/>
        <w:rPr>
          <w:sz w:val="24"/>
        </w:rPr>
      </w:pPr>
      <w:r>
        <w:rPr>
          <w:sz w:val="24"/>
        </w:rPr>
        <w:t>1）《中小企业声明函》由参加政府采购活动的供应商出具。联合体参与的，《中小企业声明函》可由牵头人出具。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rFonts w:eastAsia="宋体"/>
          <w:sz w:val="24"/>
        </w:rPr>
      </w:pPr>
      <w:r>
        <w:rPr>
          <w:sz w:val="24"/>
        </w:rPr>
        <w:t>3）对于多标的采购项目，供应商应充分、准确地了解所提供货物的制造企业、提供服务的承接企业信息。对相关情况了解不清楚的，不建议填报本声明函。</w:t>
      </w:r>
    </w:p>
    <w:p>
      <w:pPr>
        <w:tabs>
          <w:tab w:val="left" w:pos="5580"/>
        </w:tabs>
        <w:spacing w:line="360" w:lineRule="auto"/>
        <w:rPr>
          <w:rFonts w:eastAsia="宋体"/>
          <w:sz w:val="24"/>
        </w:rPr>
      </w:pPr>
      <w:r>
        <w:rPr>
          <w:rFonts w:eastAsia="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rFonts w:eastAsia="宋体"/>
          <w:b/>
          <w:bCs/>
          <w:color w:val="000000"/>
          <w:sz w:val="36"/>
          <w:szCs w:val="36"/>
        </w:rPr>
      </w:pPr>
      <w:r>
        <w:rPr>
          <w:rFonts w:eastAsia="宋体"/>
          <w:b/>
          <w:bCs/>
          <w:color w:val="000000"/>
          <w:sz w:val="36"/>
          <w:szCs w:val="36"/>
        </w:rPr>
        <w:br w:type="page"/>
      </w:r>
    </w:p>
    <w:p>
      <w:pPr>
        <w:pStyle w:val="7"/>
        <w:rPr>
          <w:rFonts w:ascii="Times New Roman" w:hAnsi="Times New Roman" w:eastAsia="宋体"/>
          <w:sz w:val="24"/>
          <w:szCs w:val="24"/>
        </w:rPr>
      </w:pPr>
      <w:r>
        <w:rPr>
          <w:rFonts w:ascii="Times New Roman" w:hAnsi="Times New Roman" w:eastAsia="宋体"/>
          <w:sz w:val="24"/>
          <w:szCs w:val="24"/>
        </w:rPr>
        <w:t>2-1-1 中小企业声明函及残疾人福利性单位声明函格式</w:t>
      </w:r>
    </w:p>
    <w:p>
      <w:pPr>
        <w:spacing w:before="240" w:beforeLines="100" w:after="240" w:afterLines="100" w:line="360" w:lineRule="auto"/>
        <w:ind w:firstLine="361" w:firstLineChars="100"/>
        <w:jc w:val="center"/>
        <w:rPr>
          <w:rFonts w:eastAsia="宋体"/>
          <w:b/>
          <w:bCs/>
          <w:color w:val="000000"/>
          <w:sz w:val="36"/>
          <w:szCs w:val="36"/>
        </w:rPr>
      </w:pPr>
      <w:r>
        <w:rPr>
          <w:rFonts w:eastAsia="宋体"/>
          <w:b/>
          <w:bCs/>
          <w:color w:val="000000"/>
          <w:sz w:val="36"/>
          <w:szCs w:val="36"/>
        </w:rPr>
        <w:t>中小企业声明函（工程、服务）格式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（采购文件中明确的所属行业）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（采购文件中明确的所属行业）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adjustRightInd w:val="0"/>
        <w:snapToGrid w:val="0"/>
        <w:jc w:val="left"/>
        <w:rPr>
          <w:rFonts w:eastAsia="宋体"/>
          <w:color w:val="000000"/>
          <w:sz w:val="24"/>
          <w:szCs w:val="21"/>
        </w:rPr>
      </w:pPr>
    </w:p>
    <w:p>
      <w:pPr>
        <w:adjustRightInd w:val="0"/>
        <w:snapToGrid w:val="0"/>
        <w:jc w:val="left"/>
        <w:rPr>
          <w:rFonts w:eastAsia="宋体"/>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djustRightInd w:val="0"/>
        <w:snapToGrid w:val="0"/>
        <w:jc w:val="left"/>
        <w:rPr>
          <w:rFonts w:eastAsia="宋体"/>
          <w:color w:val="000000"/>
          <w:szCs w:val="21"/>
          <w:vertAlign w:val="superscript"/>
        </w:rPr>
      </w:pP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szCs w:val="20"/>
        </w:rPr>
      </w:pPr>
      <w:r>
        <w:rPr>
          <w:rFonts w:eastAsia="宋体"/>
          <w:color w:val="000000"/>
          <w:sz w:val="24"/>
          <w:szCs w:val="20"/>
        </w:rPr>
        <w:br w:type="page"/>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（请进行选择）</w:t>
      </w:r>
      <w:r>
        <w:rPr>
          <w:rFonts w:eastAsia="宋体"/>
          <w:spacing w:val="6"/>
          <w:sz w:val="24"/>
        </w:rPr>
        <w:t>：</w:t>
      </w:r>
    </w:p>
    <w:p>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pPr>
        <w:spacing w:line="588" w:lineRule="exact"/>
        <w:ind w:firstLine="504" w:firstLineChars="200"/>
        <w:rPr>
          <w:rFonts w:eastAsia="宋体"/>
          <w:spacing w:val="6"/>
          <w:sz w:val="24"/>
        </w:rPr>
      </w:pPr>
    </w:p>
    <w:p>
      <w:pPr>
        <w:spacing w:line="588" w:lineRule="exact"/>
        <w:ind w:firstLine="504" w:firstLineChars="200"/>
        <w:rPr>
          <w:rFonts w:eastAsia="宋体"/>
          <w:spacing w:val="6"/>
          <w:sz w:val="24"/>
        </w:rPr>
      </w:pP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pPr>
        <w:widowControl/>
        <w:jc w:val="left"/>
        <w:rPr>
          <w:rFonts w:eastAsia="宋体"/>
          <w:sz w:val="24"/>
        </w:rPr>
      </w:pPr>
      <w:r>
        <w:rPr>
          <w:rFonts w:eastAsia="宋体"/>
          <w:color w:val="000000"/>
          <w:sz w:val="24"/>
          <w:szCs w:val="20"/>
        </w:rPr>
        <w:br w:type="page"/>
      </w:r>
    </w:p>
    <w:p>
      <w:pPr>
        <w:tabs>
          <w:tab w:val="left" w:pos="360"/>
        </w:tabs>
        <w:snapToGrid w:val="0"/>
        <w:spacing w:line="360" w:lineRule="auto"/>
        <w:outlineLvl w:val="1"/>
        <w:rPr>
          <w:rFonts w:eastAsia="宋体"/>
          <w:sz w:val="24"/>
        </w:rPr>
      </w:pPr>
      <w:bookmarkStart w:id="743" w:name="_Hlt520274121"/>
      <w:bookmarkEnd w:id="743"/>
      <w:bookmarkStart w:id="744" w:name="_Hlt520274407"/>
      <w:bookmarkEnd w:id="744"/>
      <w:bookmarkStart w:id="745" w:name="_Hlt520274065"/>
      <w:bookmarkEnd w:id="745"/>
      <w:bookmarkStart w:id="746" w:name="_Hlt520271212"/>
      <w:bookmarkEnd w:id="746"/>
      <w:bookmarkStart w:id="747" w:name="_Hlt520355504"/>
      <w:bookmarkEnd w:id="747"/>
      <w:bookmarkStart w:id="748" w:name="_Hlt520274393"/>
      <w:bookmarkEnd w:id="748"/>
      <w:bookmarkStart w:id="749" w:name="_Hlt520343000"/>
      <w:bookmarkEnd w:id="749"/>
      <w:bookmarkStart w:id="750" w:name="_Hlt520343392"/>
      <w:bookmarkEnd w:id="750"/>
      <w:bookmarkStart w:id="751" w:name="_Hlt520273711"/>
      <w:bookmarkEnd w:id="751"/>
      <w:bookmarkStart w:id="752" w:name="_Hlt520350918"/>
      <w:bookmarkEnd w:id="752"/>
      <w:bookmarkStart w:id="753" w:name="_Ref467988698"/>
      <w:bookmarkStart w:id="754" w:name="_Toc480942349"/>
      <w:bookmarkStart w:id="755" w:name="_Toc226965746"/>
      <w:bookmarkStart w:id="756" w:name="_Toc127151556"/>
      <w:bookmarkStart w:id="757" w:name="_Toc226337252"/>
      <w:bookmarkStart w:id="758" w:name="_Toc195842921"/>
      <w:bookmarkStart w:id="759" w:name="_Toc150774761"/>
      <w:bookmarkStart w:id="760" w:name="_Toc150480794"/>
      <w:bookmarkStart w:id="761" w:name="_Toc142311058"/>
      <w:bookmarkStart w:id="762" w:name="_Toc226309800"/>
      <w:bookmarkStart w:id="763" w:name="_Toc226965829"/>
      <w:bookmarkStart w:id="764" w:name="_Toc520356217"/>
      <w:r>
        <w:rPr>
          <w:rFonts w:hint="eastAsia" w:eastAsia="宋体"/>
          <w:sz w:val="24"/>
        </w:rPr>
        <w:t>3</w:t>
      </w:r>
      <w:r>
        <w:rPr>
          <w:rFonts w:eastAsia="宋体"/>
          <w:sz w:val="24"/>
        </w:rPr>
        <w:t xml:space="preserve">  </w:t>
      </w:r>
      <w:bookmarkEnd w:id="753"/>
      <w:bookmarkEnd w:id="754"/>
      <w:r>
        <w:rPr>
          <w:rFonts w:eastAsia="宋体"/>
          <w:sz w:val="24"/>
        </w:rPr>
        <w:t>响应书</w:t>
      </w:r>
      <w:bookmarkEnd w:id="755"/>
      <w:bookmarkEnd w:id="756"/>
      <w:bookmarkEnd w:id="757"/>
      <w:bookmarkEnd w:id="758"/>
      <w:bookmarkEnd w:id="759"/>
      <w:bookmarkEnd w:id="760"/>
      <w:bookmarkEnd w:id="761"/>
      <w:bookmarkEnd w:id="762"/>
      <w:bookmarkEnd w:id="763"/>
      <w:bookmarkEnd w:id="764"/>
      <w:r>
        <w:rPr>
          <w:rFonts w:eastAsia="宋体"/>
          <w:sz w:val="24"/>
        </w:rPr>
        <w:t>（实质性格式）</w:t>
      </w:r>
    </w:p>
    <w:p>
      <w:pPr>
        <w:tabs>
          <w:tab w:val="left" w:pos="5580"/>
        </w:tabs>
        <w:spacing w:line="360" w:lineRule="auto"/>
        <w:rPr>
          <w:rFonts w:eastAsia="宋体"/>
          <w:color w:val="000000"/>
          <w:sz w:val="24"/>
        </w:rPr>
      </w:pPr>
    </w:p>
    <w:p>
      <w:pPr>
        <w:spacing w:line="360" w:lineRule="auto"/>
        <w:jc w:val="center"/>
        <w:rPr>
          <w:rFonts w:eastAsia="宋体"/>
          <w:b/>
          <w:color w:val="000000"/>
          <w:sz w:val="36"/>
          <w:szCs w:val="36"/>
        </w:rPr>
      </w:pPr>
      <w:r>
        <w:rPr>
          <w:rFonts w:eastAsia="宋体"/>
          <w:b/>
          <w:color w:val="000000"/>
          <w:sz w:val="36"/>
          <w:szCs w:val="36"/>
        </w:rPr>
        <w:t>响应书</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tabs>
          <w:tab w:val="left" w:pos="5580"/>
        </w:tabs>
        <w:spacing w:line="360" w:lineRule="auto"/>
        <w:rPr>
          <w:rFonts w:eastAsia="宋体"/>
          <w:color w:val="000000"/>
          <w:sz w:val="24"/>
          <w:szCs w:val="20"/>
        </w:rPr>
      </w:pPr>
    </w:p>
    <w:p>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（4）如我方成交，我方将在法律规定的期限内与你方签订合同，并在合同约定的期限内完成合同规定的全部义务。</w:t>
      </w:r>
    </w:p>
    <w:p>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pPr>
        <w:spacing w:line="360" w:lineRule="auto"/>
        <w:ind w:firstLine="480" w:firstLineChars="200"/>
        <w:rPr>
          <w:rFonts w:eastAsia="宋体"/>
          <w:color w:val="000000"/>
          <w:sz w:val="24"/>
        </w:rPr>
      </w:pPr>
      <w:r>
        <w:rPr>
          <w:rFonts w:eastAsia="宋体"/>
          <w:color w:val="000000"/>
          <w:sz w:val="24"/>
        </w:rPr>
        <w:t>与本磋商有关的一切正式往来信函请寄：</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pPr>
        <w:tabs>
          <w:tab w:val="left" w:pos="5580"/>
        </w:tabs>
        <w:spacing w:line="360" w:lineRule="auto"/>
        <w:ind w:left="420"/>
        <w:jc w:val="left"/>
        <w:rPr>
          <w:rFonts w:eastAsia="宋体"/>
          <w:color w:val="000000"/>
          <w:sz w:val="24"/>
          <w:szCs w:val="20"/>
        </w:rPr>
      </w:pPr>
    </w:p>
    <w:p>
      <w:pPr>
        <w:widowControl/>
        <w:jc w:val="left"/>
        <w:rPr>
          <w:rFonts w:eastAsia="宋体"/>
          <w:b/>
          <w:color w:val="000000"/>
          <w:sz w:val="24"/>
          <w:szCs w:val="20"/>
        </w:rPr>
      </w:pPr>
      <w:r>
        <w:rPr>
          <w:rFonts w:eastAsia="宋体"/>
          <w:b/>
          <w:color w:val="000000"/>
          <w:sz w:val="24"/>
          <w:szCs w:val="20"/>
        </w:rPr>
        <w:br w:type="page"/>
      </w:r>
    </w:p>
    <w:p>
      <w:pPr>
        <w:tabs>
          <w:tab w:val="left" w:pos="360"/>
        </w:tabs>
        <w:snapToGrid w:val="0"/>
        <w:spacing w:line="360" w:lineRule="auto"/>
        <w:outlineLvl w:val="1"/>
        <w:rPr>
          <w:rFonts w:eastAsia="宋体"/>
          <w:sz w:val="24"/>
        </w:rPr>
      </w:pPr>
      <w:bookmarkStart w:id="765" w:name="_Hlt520356243"/>
      <w:bookmarkEnd w:id="765"/>
      <w:bookmarkStart w:id="766" w:name="_Hlt520355938"/>
      <w:bookmarkEnd w:id="766"/>
      <w:bookmarkStart w:id="767" w:name="_Toc305158899"/>
      <w:bookmarkStart w:id="768" w:name="_Toc226965747"/>
      <w:bookmarkStart w:id="769" w:name="_Toc480942350"/>
      <w:bookmarkStart w:id="770" w:name="_Toc226337253"/>
      <w:bookmarkStart w:id="771" w:name="_Toc226965830"/>
      <w:bookmarkStart w:id="772" w:name="_Toc265228395"/>
      <w:bookmarkStart w:id="773" w:name="_Toc127151557"/>
      <w:bookmarkStart w:id="774" w:name="_Ref467988705"/>
      <w:bookmarkStart w:id="775" w:name="_Toc520356218"/>
      <w:bookmarkStart w:id="776" w:name="_Toc264969247"/>
      <w:bookmarkStart w:id="777" w:name="_Toc226309801"/>
      <w:bookmarkStart w:id="778" w:name="_Toc305158825"/>
      <w:bookmarkStart w:id="779" w:name="_Toc150774762"/>
      <w:bookmarkStart w:id="780" w:name="_Toc150480795"/>
      <w:bookmarkStart w:id="781" w:name="_Toc195842922"/>
      <w:bookmarkStart w:id="782" w:name="_Toc142311059"/>
      <w:r>
        <w:rPr>
          <w:rFonts w:hint="eastAsia" w:eastAsia="宋体"/>
          <w:sz w:val="24"/>
        </w:rPr>
        <w:t>4</w:t>
      </w:r>
      <w:r>
        <w:rPr>
          <w:rFonts w:eastAsia="宋体"/>
          <w:sz w:val="24"/>
        </w:rPr>
        <w:t xml:space="preserve">  授权委托书（实质性格式）</w:t>
      </w:r>
    </w:p>
    <w:p>
      <w:pPr>
        <w:autoSpaceDE w:val="0"/>
        <w:autoSpaceDN w:val="0"/>
        <w:adjustRightInd w:val="0"/>
        <w:spacing w:line="360" w:lineRule="auto"/>
        <w:jc w:val="center"/>
        <w:rPr>
          <w:rFonts w:eastAsia="宋体"/>
          <w:b/>
          <w:color w:val="000000"/>
          <w:sz w:val="36"/>
          <w:szCs w:val="36"/>
        </w:rPr>
      </w:pPr>
      <w:r>
        <w:rPr>
          <w:rFonts w:eastAsia="宋体"/>
          <w:b/>
          <w:color w:val="000000"/>
          <w:sz w:val="36"/>
          <w:szCs w:val="36"/>
        </w:rPr>
        <w:t>授权委托书</w:t>
      </w:r>
    </w:p>
    <w:p>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pPr>
        <w:spacing w:line="360" w:lineRule="auto"/>
        <w:rPr>
          <w:rFonts w:eastAsia="宋体"/>
          <w:color w:val="000000"/>
          <w:sz w:val="24"/>
          <w:szCs w:val="20"/>
        </w:rPr>
      </w:pPr>
      <w:r>
        <w:rPr>
          <w:rFonts w:eastAsia="宋体"/>
          <w:color w:val="000000"/>
          <w:sz w:val="24"/>
          <w:szCs w:val="20"/>
        </w:rPr>
        <w:t>法定代表人（单位负责人）（签字</w:t>
      </w:r>
      <w:r>
        <w:rPr>
          <w:color w:val="000000"/>
          <w:sz w:val="24"/>
          <w:szCs w:val="20"/>
        </w:rPr>
        <w:t>或签章</w:t>
      </w:r>
      <w:r>
        <w:rPr>
          <w:rFonts w:eastAsia="宋体"/>
          <w:color w:val="000000"/>
          <w:sz w:val="24"/>
          <w:szCs w:val="20"/>
        </w:rPr>
        <w:t>）：______________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color w:val="000000"/>
          <w:sz w:val="24"/>
          <w:szCs w:val="20"/>
        </w:rPr>
        <w:t>或签章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pPr>
        <w:tabs>
          <w:tab w:val="left" w:pos="5580"/>
        </w:tabs>
        <w:spacing w:line="360" w:lineRule="auto"/>
        <w:ind w:firstLine="480" w:firstLineChars="200"/>
        <w:rPr>
          <w:rFonts w:eastAsia="宋体"/>
          <w:color w:val="000000"/>
          <w:sz w:val="24"/>
          <w:szCs w:val="20"/>
        </w:rPr>
      </w:pPr>
    </w:p>
    <w:p>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w:t>
      </w:r>
      <w:r>
        <w:rPr>
          <w:rFonts w:hint="eastAsia"/>
          <w:color w:val="000000"/>
          <w:sz w:val="24"/>
          <w:szCs w:val="20"/>
        </w:rPr>
        <w:t>复印件</w:t>
      </w:r>
      <w:r>
        <w:rPr>
          <w:color w:val="000000"/>
          <w:sz w:val="24"/>
          <w:szCs w:val="20"/>
        </w:rPr>
        <w:t>：</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pPr>
              <w:tabs>
                <w:tab w:val="left" w:pos="5580"/>
              </w:tabs>
              <w:spacing w:line="360" w:lineRule="auto"/>
              <w:rPr>
                <w:color w:val="000000"/>
                <w:sz w:val="24"/>
                <w:szCs w:val="20"/>
              </w:rPr>
            </w:pPr>
          </w:p>
        </w:tc>
      </w:tr>
    </w:tbl>
    <w:p>
      <w:pPr>
        <w:tabs>
          <w:tab w:val="left" w:pos="5580"/>
        </w:tabs>
        <w:spacing w:line="360" w:lineRule="auto"/>
        <w:jc w:val="left"/>
        <w:rPr>
          <w:rFonts w:eastAsia="宋体"/>
          <w:color w:val="000000"/>
          <w:sz w:val="24"/>
          <w:szCs w:val="20"/>
        </w:rPr>
      </w:pPr>
      <w:r>
        <w:rPr>
          <w:rFonts w:eastAsia="宋体"/>
          <w:color w:val="000000"/>
          <w:sz w:val="24"/>
          <w:szCs w:val="20"/>
        </w:rPr>
        <w:t>说明：</w:t>
      </w:r>
    </w:p>
    <w:p>
      <w:pPr>
        <w:tabs>
          <w:tab w:val="left" w:pos="5580"/>
        </w:tabs>
        <w:spacing w:line="360" w:lineRule="auto"/>
        <w:jc w:val="left"/>
        <w:rPr>
          <w:rFonts w:eastAsia="宋体"/>
          <w:color w:val="000000"/>
          <w:sz w:val="24"/>
          <w:szCs w:val="20"/>
        </w:rPr>
      </w:pPr>
      <w:r>
        <w:rPr>
          <w:rFonts w:eastAsia="宋体"/>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rFonts w:eastAsia="宋体"/>
          <w:color w:val="000000"/>
          <w:sz w:val="24"/>
          <w:szCs w:val="20"/>
        </w:rPr>
      </w:pPr>
      <w:r>
        <w:rPr>
          <w:rFonts w:eastAsia="宋体"/>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宋体"/>
          <w:color w:val="000000"/>
          <w:sz w:val="24"/>
          <w:szCs w:val="20"/>
        </w:rPr>
        <w:t>。</w:t>
      </w:r>
    </w:p>
    <w:p>
      <w:pPr>
        <w:tabs>
          <w:tab w:val="left" w:pos="5580"/>
        </w:tabs>
        <w:spacing w:line="360" w:lineRule="auto"/>
        <w:jc w:val="left"/>
        <w:rPr>
          <w:rFonts w:eastAsia="宋体"/>
          <w:color w:val="000000"/>
          <w:sz w:val="24"/>
          <w:szCs w:val="20"/>
        </w:rPr>
      </w:pPr>
      <w:r>
        <w:rPr>
          <w:rFonts w:eastAsia="宋体"/>
          <w:color w:val="000000"/>
          <w:sz w:val="24"/>
          <w:szCs w:val="20"/>
        </w:rPr>
        <w:t>3.供应商为自然人的情形，可不提供本《授权委托书》。</w:t>
      </w:r>
    </w:p>
    <w:p>
      <w:pPr>
        <w:tabs>
          <w:tab w:val="left" w:pos="5580"/>
        </w:tabs>
        <w:spacing w:line="360" w:lineRule="auto"/>
        <w:jc w:val="left"/>
        <w:rPr>
          <w:rFonts w:eastAsia="宋体"/>
          <w:color w:val="000000"/>
          <w:sz w:val="30"/>
          <w:szCs w:val="30"/>
        </w:rPr>
      </w:pPr>
      <w:r>
        <w:rPr>
          <w:color w:val="000000"/>
          <w:sz w:val="24"/>
          <w:szCs w:val="20"/>
        </w:rPr>
        <w:t>4.供应商应随本《授权委托书》同时提供法定代表人（单位负责人）及委托代理人的有效的身份证、护照等身份证明文件</w:t>
      </w:r>
      <w:r>
        <w:rPr>
          <w:rFonts w:hint="eastAsia"/>
          <w:color w:val="000000"/>
          <w:sz w:val="24"/>
          <w:szCs w:val="20"/>
        </w:rPr>
        <w:t>复印件</w:t>
      </w:r>
      <w:r>
        <w:rPr>
          <w:color w:val="000000"/>
          <w:sz w:val="24"/>
          <w:szCs w:val="20"/>
        </w:rPr>
        <w:t>。提供身份证的，应同时提供身份证</w:t>
      </w:r>
      <w:r>
        <w:rPr>
          <w:b/>
          <w:color w:val="000000"/>
          <w:sz w:val="24"/>
          <w:szCs w:val="20"/>
        </w:rPr>
        <w:t>双面</w:t>
      </w:r>
      <w:r>
        <w:rPr>
          <w:rFonts w:hint="eastAsia"/>
          <w:color w:val="000000"/>
          <w:sz w:val="24"/>
          <w:szCs w:val="20"/>
        </w:rPr>
        <w:t>复印件</w:t>
      </w:r>
      <w:r>
        <w:rPr>
          <w:color w:val="000000"/>
          <w:sz w:val="24"/>
          <w:szCs w:val="20"/>
        </w:rPr>
        <w:t>。</w:t>
      </w:r>
      <w:r>
        <w:rPr>
          <w:rFonts w:eastAsia="宋体"/>
          <w:color w:val="000000"/>
          <w:sz w:val="30"/>
          <w:szCs w:val="30"/>
        </w:rPr>
        <w:br w:type="page"/>
      </w:r>
    </w:p>
    <w:p>
      <w:pPr>
        <w:autoSpaceDE w:val="0"/>
        <w:autoSpaceDN w:val="0"/>
        <w:adjustRightInd w:val="0"/>
        <w:spacing w:line="360" w:lineRule="auto"/>
        <w:jc w:val="center"/>
        <w:rPr>
          <w:rFonts w:eastAsia="宋体"/>
          <w:b/>
          <w:color w:val="000000"/>
          <w:sz w:val="36"/>
          <w:szCs w:val="36"/>
        </w:rPr>
      </w:pPr>
      <w:r>
        <w:rPr>
          <w:rFonts w:eastAsia="宋体"/>
          <w:b/>
          <w:color w:val="000000"/>
          <w:sz w:val="36"/>
          <w:szCs w:val="36"/>
        </w:rPr>
        <w:t>法定代表人（单位负责人）身份证明</w:t>
      </w:r>
    </w:p>
    <w:p>
      <w:pPr>
        <w:kinsoku w:val="0"/>
        <w:overflowPunct w:val="0"/>
        <w:spacing w:line="200" w:lineRule="exact"/>
        <w:rPr>
          <w:rFonts w:eastAsia="宋体"/>
          <w:sz w:val="20"/>
          <w:szCs w:val="20"/>
        </w:rPr>
      </w:pP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pPr>
        <w:pStyle w:val="18"/>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pPr>
        <w:pStyle w:val="18"/>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18"/>
        <w:tabs>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pPr>
        <w:pStyle w:val="18"/>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18"/>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18"/>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w:t>
      </w:r>
      <w:r>
        <w:rPr>
          <w:rFonts w:hint="eastAsia"/>
          <w:color w:val="000000"/>
          <w:szCs w:val="20"/>
        </w:rPr>
        <w:t>复印件</w:t>
      </w:r>
      <w:r>
        <w:rPr>
          <w:color w:val="000000"/>
          <w:szCs w:val="20"/>
        </w:rPr>
        <w:t>：</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pPr>
              <w:pStyle w:val="18"/>
              <w:kinsoku w:val="0"/>
              <w:overflowPunct w:val="0"/>
              <w:spacing w:line="583" w:lineRule="auto"/>
              <w:ind w:right="-46"/>
              <w:rPr>
                <w:color w:val="000000"/>
                <w:szCs w:val="20"/>
              </w:rPr>
            </w:pPr>
          </w:p>
        </w:tc>
      </w:tr>
    </w:tbl>
    <w:p>
      <w:pPr>
        <w:pStyle w:val="18"/>
        <w:kinsoku w:val="0"/>
        <w:overflowPunct w:val="0"/>
        <w:spacing w:line="583" w:lineRule="auto"/>
        <w:ind w:right="4305"/>
        <w:rPr>
          <w:rFonts w:ascii="Times New Roman" w:hAnsi="Times New Roman" w:eastAsia="宋体"/>
          <w:spacing w:val="-3"/>
        </w:rPr>
      </w:pPr>
    </w:p>
    <w:p>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color w:val="000000"/>
          <w:sz w:val="24"/>
          <w:szCs w:val="20"/>
        </w:rPr>
        <w:t>或签章</w:t>
      </w:r>
      <w:r>
        <w:rPr>
          <w:rFonts w:eastAsia="宋体"/>
          <w:spacing w:val="-3"/>
          <w:sz w:val="24"/>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widowControl/>
        <w:jc w:val="left"/>
        <w:rPr>
          <w:rFonts w:eastAsia="宋体"/>
          <w:i/>
          <w:color w:val="000000"/>
          <w:sz w:val="24"/>
          <w:szCs w:val="20"/>
          <w:u w:val="single"/>
        </w:rPr>
      </w:pPr>
    </w:p>
    <w:p>
      <w:pPr>
        <w:widowControl/>
        <w:jc w:val="left"/>
        <w:rPr>
          <w:rFonts w:eastAsia="宋体"/>
          <w:color w:val="000000"/>
          <w:sz w:val="24"/>
          <w:szCs w:val="20"/>
        </w:rPr>
      </w:pPr>
      <w:r>
        <w:rPr>
          <w:rFonts w:eastAsia="宋体"/>
          <w:color w:val="000000"/>
          <w:sz w:val="24"/>
          <w:szCs w:val="20"/>
        </w:rPr>
        <w:br w:type="page"/>
      </w:r>
    </w:p>
    <w:p>
      <w:pPr>
        <w:tabs>
          <w:tab w:val="left" w:pos="360"/>
        </w:tabs>
        <w:snapToGrid w:val="0"/>
        <w:spacing w:line="360" w:lineRule="auto"/>
        <w:outlineLvl w:val="1"/>
        <w:rPr>
          <w:rFonts w:eastAsia="宋体"/>
          <w:sz w:val="24"/>
        </w:rPr>
      </w:pPr>
      <w:r>
        <w:rPr>
          <w:rFonts w:hint="eastAsia" w:eastAsia="宋体"/>
          <w:sz w:val="24"/>
        </w:rPr>
        <w:t>5</w:t>
      </w:r>
      <w:r>
        <w:rPr>
          <w:rFonts w:eastAsia="宋体"/>
          <w:sz w:val="24"/>
        </w:rPr>
        <w:t xml:space="preserve">  报价一览表</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pPr>
        <w:spacing w:line="360" w:lineRule="exact"/>
        <w:jc w:val="center"/>
        <w:rPr>
          <w:rFonts w:eastAsia="宋体"/>
          <w:b/>
          <w:color w:val="000000"/>
          <w:sz w:val="36"/>
          <w:szCs w:val="36"/>
        </w:rPr>
      </w:pPr>
      <w:bookmarkStart w:id="783" w:name="_Toc305158826"/>
      <w:bookmarkStart w:id="784" w:name="_Toc226965831"/>
      <w:bookmarkStart w:id="785" w:name="_Toc305158900"/>
      <w:bookmarkStart w:id="786" w:name="_Toc164608827"/>
      <w:bookmarkStart w:id="787" w:name="_Toc264969248"/>
      <w:bookmarkStart w:id="788" w:name="_Toc265228396"/>
      <w:bookmarkStart w:id="789" w:name="_Toc195842923"/>
      <w:bookmarkStart w:id="790" w:name="_Toc226965748"/>
      <w:bookmarkStart w:id="791" w:name="_Toc226309802"/>
      <w:bookmarkStart w:id="792" w:name="_Toc164608672"/>
      <w:bookmarkStart w:id="793" w:name="_Toc226337254"/>
      <w:r>
        <w:rPr>
          <w:rFonts w:eastAsia="宋体"/>
          <w:b/>
          <w:color w:val="000000"/>
          <w:sz w:val="36"/>
          <w:szCs w:val="36"/>
        </w:rPr>
        <w:t>报价一览表</w:t>
      </w:r>
      <w:bookmarkEnd w:id="783"/>
      <w:bookmarkEnd w:id="784"/>
      <w:bookmarkEnd w:id="785"/>
      <w:bookmarkEnd w:id="786"/>
      <w:bookmarkEnd w:id="787"/>
      <w:bookmarkEnd w:id="788"/>
      <w:bookmarkEnd w:id="789"/>
      <w:bookmarkEnd w:id="790"/>
      <w:bookmarkEnd w:id="791"/>
      <w:bookmarkEnd w:id="792"/>
      <w:bookmarkEnd w:id="793"/>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宋体"/>
                <w:b/>
                <w:sz w:val="24"/>
              </w:rPr>
            </w:pPr>
            <w:r>
              <w:rPr>
                <w:rFonts w:eastAsia="宋体"/>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宋体"/>
                <w:b/>
                <w:sz w:val="24"/>
              </w:rPr>
            </w:pPr>
            <w:r>
              <w:rPr>
                <w:rFonts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宋体"/>
                <w:b/>
                <w:sz w:val="24"/>
              </w:rPr>
            </w:pPr>
            <w:r>
              <w:rPr>
                <w:rFonts w:eastAsia="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宋体"/>
                <w:b/>
                <w:sz w:val="24"/>
              </w:rPr>
            </w:pPr>
            <w:r>
              <w:rPr>
                <w:rFonts w:eastAsia="宋体"/>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宋体"/>
                <w:b/>
                <w:sz w:val="24"/>
              </w:rPr>
            </w:pPr>
            <w:r>
              <w:rPr>
                <w:rFonts w:eastAsia="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pPr>
        <w:tabs>
          <w:tab w:val="left" w:pos="5580"/>
        </w:tabs>
        <w:ind w:firstLine="480" w:firstLineChars="200"/>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  </w:t>
      </w:r>
    </w:p>
    <w:p>
      <w:pPr>
        <w:tabs>
          <w:tab w:val="left" w:pos="360"/>
        </w:tabs>
        <w:snapToGrid w:val="0"/>
        <w:spacing w:line="360" w:lineRule="auto"/>
        <w:outlineLvl w:val="1"/>
        <w:rPr>
          <w:rFonts w:eastAsia="宋体"/>
          <w:sz w:val="24"/>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bookmarkStart w:id="794" w:name="_Toc150774763"/>
      <w:bookmarkStart w:id="795" w:name="_Toc127151558"/>
      <w:bookmarkStart w:id="796" w:name="_Toc195842924"/>
      <w:bookmarkStart w:id="797" w:name="_Toc226965832"/>
      <w:bookmarkStart w:id="798" w:name="_Toc150480796"/>
      <w:bookmarkStart w:id="799" w:name="_Toc226337255"/>
      <w:bookmarkStart w:id="800" w:name="_Toc305158901"/>
      <w:bookmarkStart w:id="801" w:name="_Toc265228397"/>
      <w:bookmarkStart w:id="802" w:name="_Toc264969249"/>
      <w:bookmarkStart w:id="803" w:name="_Toc226965749"/>
      <w:bookmarkStart w:id="804" w:name="_Toc305158827"/>
      <w:bookmarkStart w:id="805" w:name="_Toc142311060"/>
      <w:bookmarkStart w:id="806" w:name="_Toc226309803"/>
    </w:p>
    <w:p>
      <w:pPr>
        <w:tabs>
          <w:tab w:val="left" w:pos="360"/>
        </w:tabs>
        <w:snapToGrid w:val="0"/>
        <w:spacing w:line="360" w:lineRule="auto"/>
        <w:outlineLvl w:val="1"/>
        <w:rPr>
          <w:rFonts w:eastAsia="宋体"/>
          <w:sz w:val="24"/>
        </w:rPr>
      </w:pPr>
      <w:r>
        <w:rPr>
          <w:rFonts w:hint="eastAsia" w:eastAsia="宋体"/>
          <w:sz w:val="24"/>
        </w:rPr>
        <w:t>6</w:t>
      </w:r>
      <w:r>
        <w:rPr>
          <w:rFonts w:eastAsia="宋体"/>
          <w:sz w:val="24"/>
        </w:rPr>
        <w:t xml:space="preserve">  分项报价表</w:t>
      </w:r>
      <w:bookmarkEnd w:id="794"/>
      <w:bookmarkEnd w:id="795"/>
      <w:bookmarkEnd w:id="796"/>
      <w:bookmarkEnd w:id="797"/>
      <w:bookmarkEnd w:id="798"/>
      <w:bookmarkEnd w:id="799"/>
      <w:bookmarkEnd w:id="800"/>
      <w:bookmarkEnd w:id="801"/>
      <w:bookmarkEnd w:id="802"/>
      <w:bookmarkEnd w:id="803"/>
      <w:bookmarkEnd w:id="804"/>
      <w:bookmarkEnd w:id="805"/>
      <w:bookmarkEnd w:id="806"/>
    </w:p>
    <w:p>
      <w:pPr>
        <w:spacing w:line="360" w:lineRule="exact"/>
        <w:jc w:val="center"/>
        <w:rPr>
          <w:rFonts w:eastAsia="宋体"/>
          <w:b/>
          <w:color w:val="000000"/>
          <w:sz w:val="36"/>
          <w:szCs w:val="36"/>
          <w:highlight w:val="none"/>
        </w:rPr>
      </w:pPr>
      <w:r>
        <w:rPr>
          <w:rFonts w:eastAsia="宋体"/>
          <w:b/>
          <w:color w:val="000000"/>
          <w:sz w:val="36"/>
          <w:szCs w:val="36"/>
          <w:highlight w:val="none"/>
        </w:rPr>
        <w:t>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项目编号：_________ 项目名称：_________报价单位：人民币元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pPr>
              <w:adjustRightInd w:val="0"/>
              <w:snapToGrid w:val="0"/>
              <w:jc w:val="left"/>
              <w:rPr>
                <w:rFonts w:eastAsia="宋体"/>
                <w:b/>
                <w:color w:val="000000"/>
                <w:sz w:val="24"/>
              </w:rPr>
            </w:pPr>
            <w:r>
              <w:rPr>
                <w:rFonts w:eastAsia="宋体"/>
                <w:b/>
                <w:color w:val="000000"/>
                <w:sz w:val="24"/>
              </w:rPr>
              <w:t>序号</w:t>
            </w:r>
          </w:p>
        </w:tc>
        <w:tc>
          <w:tcPr>
            <w:tcW w:w="1581" w:type="pct"/>
            <w:vAlign w:val="center"/>
          </w:tcPr>
          <w:p>
            <w:pPr>
              <w:adjustRightInd w:val="0"/>
              <w:snapToGrid w:val="0"/>
              <w:jc w:val="center"/>
              <w:rPr>
                <w:rFonts w:eastAsia="宋体"/>
                <w:b/>
                <w:color w:val="000000"/>
                <w:sz w:val="24"/>
              </w:rPr>
            </w:pPr>
            <w:r>
              <w:rPr>
                <w:rFonts w:eastAsia="宋体"/>
                <w:b/>
                <w:color w:val="000000"/>
                <w:sz w:val="24"/>
              </w:rPr>
              <w:t>分项名称</w:t>
            </w:r>
          </w:p>
        </w:tc>
        <w:tc>
          <w:tcPr>
            <w:tcW w:w="725" w:type="pct"/>
            <w:vAlign w:val="center"/>
          </w:tcPr>
          <w:p>
            <w:pPr>
              <w:adjustRightInd w:val="0"/>
              <w:snapToGrid w:val="0"/>
              <w:jc w:val="center"/>
              <w:rPr>
                <w:rFonts w:eastAsia="宋体"/>
                <w:b/>
                <w:color w:val="000000"/>
                <w:sz w:val="24"/>
              </w:rPr>
            </w:pPr>
            <w:r>
              <w:rPr>
                <w:rFonts w:eastAsia="宋体"/>
                <w:b/>
                <w:color w:val="000000"/>
                <w:sz w:val="24"/>
              </w:rPr>
              <w:t>单价（元）</w:t>
            </w:r>
          </w:p>
        </w:tc>
        <w:tc>
          <w:tcPr>
            <w:tcW w:w="724" w:type="pct"/>
            <w:vAlign w:val="center"/>
          </w:tcPr>
          <w:p>
            <w:pPr>
              <w:adjustRightInd w:val="0"/>
              <w:snapToGrid w:val="0"/>
              <w:jc w:val="center"/>
              <w:rPr>
                <w:rFonts w:eastAsia="宋体"/>
                <w:b/>
                <w:color w:val="000000"/>
                <w:sz w:val="24"/>
              </w:rPr>
            </w:pPr>
            <w:r>
              <w:rPr>
                <w:rFonts w:eastAsia="宋体"/>
                <w:b/>
                <w:color w:val="000000"/>
                <w:sz w:val="24"/>
              </w:rPr>
              <w:t>数量</w:t>
            </w:r>
          </w:p>
        </w:tc>
        <w:tc>
          <w:tcPr>
            <w:tcW w:w="724" w:type="pct"/>
            <w:vAlign w:val="center"/>
          </w:tcPr>
          <w:p>
            <w:pPr>
              <w:adjustRightInd w:val="0"/>
              <w:snapToGrid w:val="0"/>
              <w:jc w:val="center"/>
              <w:rPr>
                <w:rFonts w:eastAsia="宋体"/>
                <w:b/>
                <w:color w:val="000000"/>
                <w:sz w:val="24"/>
              </w:rPr>
            </w:pPr>
            <w:r>
              <w:rPr>
                <w:rFonts w:eastAsia="宋体"/>
                <w:b/>
                <w:color w:val="000000"/>
                <w:sz w:val="24"/>
              </w:rPr>
              <w:t>合价（元）</w:t>
            </w:r>
          </w:p>
        </w:tc>
        <w:tc>
          <w:tcPr>
            <w:tcW w:w="919" w:type="pct"/>
            <w:vAlign w:val="center"/>
          </w:tcPr>
          <w:p>
            <w:pPr>
              <w:adjustRightInd w:val="0"/>
              <w:snapToGrid w:val="0"/>
              <w:jc w:val="center"/>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pPr>
              <w:adjustRightInd w:val="0"/>
              <w:snapToGrid w:val="0"/>
              <w:jc w:val="center"/>
              <w:rPr>
                <w:rFonts w:eastAsia="宋体"/>
                <w:color w:val="000000"/>
                <w:sz w:val="24"/>
              </w:rPr>
            </w:pPr>
            <w:r>
              <w:rPr>
                <w:rFonts w:eastAsia="宋体"/>
                <w:color w:val="000000"/>
                <w:sz w:val="24"/>
              </w:rPr>
              <w:t>1</w:t>
            </w:r>
          </w:p>
        </w:tc>
        <w:tc>
          <w:tcPr>
            <w:tcW w:w="1581" w:type="pct"/>
            <w:vAlign w:val="center"/>
          </w:tcPr>
          <w:p>
            <w:pPr>
              <w:adjustRightInd w:val="0"/>
              <w:snapToGrid w:val="0"/>
              <w:jc w:val="left"/>
              <w:rPr>
                <w:rFonts w:eastAsia="宋体"/>
                <w:color w:val="000000"/>
                <w:sz w:val="24"/>
              </w:rPr>
            </w:pPr>
          </w:p>
        </w:tc>
        <w:tc>
          <w:tcPr>
            <w:tcW w:w="725" w:type="pct"/>
            <w:vAlign w:val="center"/>
          </w:tcPr>
          <w:p>
            <w:pPr>
              <w:adjustRightInd w:val="0"/>
              <w:snapToGrid w:val="0"/>
              <w:jc w:val="left"/>
              <w:rPr>
                <w:rFonts w:eastAsia="宋体"/>
                <w:color w:val="000000"/>
                <w:sz w:val="24"/>
              </w:rPr>
            </w:pPr>
          </w:p>
        </w:tc>
        <w:tc>
          <w:tcPr>
            <w:tcW w:w="724" w:type="pct"/>
            <w:vAlign w:val="center"/>
          </w:tcPr>
          <w:p>
            <w:pPr>
              <w:adjustRightInd w:val="0"/>
              <w:snapToGrid w:val="0"/>
              <w:jc w:val="center"/>
              <w:rPr>
                <w:rFonts w:eastAsia="宋体"/>
                <w:color w:val="000000"/>
                <w:sz w:val="24"/>
              </w:rPr>
            </w:pPr>
          </w:p>
        </w:tc>
        <w:tc>
          <w:tcPr>
            <w:tcW w:w="724" w:type="pct"/>
            <w:vAlign w:val="center"/>
          </w:tcPr>
          <w:p>
            <w:pPr>
              <w:adjustRightInd w:val="0"/>
              <w:snapToGrid w:val="0"/>
              <w:jc w:val="left"/>
              <w:rPr>
                <w:rFonts w:eastAsia="宋体"/>
                <w:color w:val="000000"/>
                <w:sz w:val="24"/>
              </w:rPr>
            </w:pPr>
          </w:p>
        </w:tc>
        <w:tc>
          <w:tcPr>
            <w:tcW w:w="919" w:type="pct"/>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pPr>
              <w:adjustRightInd w:val="0"/>
              <w:snapToGrid w:val="0"/>
              <w:jc w:val="center"/>
              <w:rPr>
                <w:rFonts w:eastAsia="宋体"/>
                <w:color w:val="000000"/>
                <w:sz w:val="24"/>
              </w:rPr>
            </w:pPr>
            <w:r>
              <w:rPr>
                <w:rFonts w:eastAsia="宋体"/>
                <w:color w:val="000000"/>
                <w:sz w:val="24"/>
              </w:rPr>
              <w:t>2</w:t>
            </w:r>
          </w:p>
        </w:tc>
        <w:tc>
          <w:tcPr>
            <w:tcW w:w="1581" w:type="pct"/>
            <w:vAlign w:val="center"/>
          </w:tcPr>
          <w:p>
            <w:pPr>
              <w:adjustRightInd w:val="0"/>
              <w:snapToGrid w:val="0"/>
              <w:jc w:val="left"/>
              <w:rPr>
                <w:rFonts w:eastAsia="宋体"/>
                <w:color w:val="000000"/>
                <w:sz w:val="24"/>
              </w:rPr>
            </w:pPr>
          </w:p>
        </w:tc>
        <w:tc>
          <w:tcPr>
            <w:tcW w:w="725" w:type="pct"/>
            <w:vAlign w:val="center"/>
          </w:tcPr>
          <w:p>
            <w:pPr>
              <w:adjustRightInd w:val="0"/>
              <w:snapToGrid w:val="0"/>
              <w:jc w:val="left"/>
              <w:rPr>
                <w:rFonts w:eastAsia="宋体"/>
                <w:color w:val="000000"/>
                <w:sz w:val="24"/>
              </w:rPr>
            </w:pPr>
          </w:p>
        </w:tc>
        <w:tc>
          <w:tcPr>
            <w:tcW w:w="724" w:type="pct"/>
            <w:vAlign w:val="center"/>
          </w:tcPr>
          <w:p>
            <w:pPr>
              <w:adjustRightInd w:val="0"/>
              <w:snapToGrid w:val="0"/>
              <w:jc w:val="center"/>
              <w:rPr>
                <w:rFonts w:eastAsia="宋体"/>
                <w:color w:val="000000"/>
                <w:sz w:val="24"/>
              </w:rPr>
            </w:pPr>
          </w:p>
        </w:tc>
        <w:tc>
          <w:tcPr>
            <w:tcW w:w="724" w:type="pct"/>
            <w:vAlign w:val="center"/>
          </w:tcPr>
          <w:p>
            <w:pPr>
              <w:adjustRightInd w:val="0"/>
              <w:snapToGrid w:val="0"/>
              <w:jc w:val="left"/>
              <w:rPr>
                <w:rFonts w:eastAsia="宋体"/>
                <w:color w:val="000000"/>
                <w:sz w:val="24"/>
              </w:rPr>
            </w:pPr>
          </w:p>
        </w:tc>
        <w:tc>
          <w:tcPr>
            <w:tcW w:w="919" w:type="pct"/>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pPr>
              <w:adjustRightInd w:val="0"/>
              <w:snapToGrid w:val="0"/>
              <w:jc w:val="center"/>
              <w:rPr>
                <w:rFonts w:eastAsia="宋体"/>
                <w:color w:val="000000"/>
                <w:sz w:val="24"/>
              </w:rPr>
            </w:pPr>
            <w:r>
              <w:rPr>
                <w:rFonts w:eastAsia="宋体"/>
                <w:color w:val="000000"/>
                <w:sz w:val="24"/>
              </w:rPr>
              <w:t>3</w:t>
            </w:r>
          </w:p>
        </w:tc>
        <w:tc>
          <w:tcPr>
            <w:tcW w:w="1581" w:type="pct"/>
            <w:vAlign w:val="center"/>
          </w:tcPr>
          <w:p>
            <w:pPr>
              <w:adjustRightInd w:val="0"/>
              <w:snapToGrid w:val="0"/>
              <w:jc w:val="left"/>
              <w:rPr>
                <w:rFonts w:eastAsia="宋体"/>
                <w:color w:val="000000"/>
                <w:sz w:val="24"/>
              </w:rPr>
            </w:pPr>
            <w:r>
              <w:rPr>
                <w:rFonts w:eastAsia="宋体"/>
                <w:color w:val="000000"/>
                <w:sz w:val="24"/>
              </w:rPr>
              <w:t>…</w:t>
            </w:r>
          </w:p>
        </w:tc>
        <w:tc>
          <w:tcPr>
            <w:tcW w:w="725" w:type="pct"/>
            <w:vAlign w:val="center"/>
          </w:tcPr>
          <w:p>
            <w:pPr>
              <w:adjustRightInd w:val="0"/>
              <w:snapToGrid w:val="0"/>
              <w:jc w:val="left"/>
              <w:rPr>
                <w:rFonts w:eastAsia="宋体"/>
                <w:color w:val="000000"/>
                <w:sz w:val="24"/>
              </w:rPr>
            </w:pPr>
          </w:p>
        </w:tc>
        <w:tc>
          <w:tcPr>
            <w:tcW w:w="724" w:type="pct"/>
            <w:vAlign w:val="center"/>
          </w:tcPr>
          <w:p>
            <w:pPr>
              <w:adjustRightInd w:val="0"/>
              <w:snapToGrid w:val="0"/>
              <w:jc w:val="center"/>
              <w:rPr>
                <w:rFonts w:eastAsia="宋体"/>
                <w:color w:val="000000"/>
                <w:sz w:val="24"/>
              </w:rPr>
            </w:pPr>
          </w:p>
        </w:tc>
        <w:tc>
          <w:tcPr>
            <w:tcW w:w="724" w:type="pct"/>
            <w:vAlign w:val="center"/>
          </w:tcPr>
          <w:p>
            <w:pPr>
              <w:adjustRightInd w:val="0"/>
              <w:snapToGrid w:val="0"/>
              <w:jc w:val="left"/>
              <w:rPr>
                <w:rFonts w:eastAsia="宋体"/>
                <w:color w:val="000000"/>
                <w:sz w:val="24"/>
              </w:rPr>
            </w:pPr>
          </w:p>
        </w:tc>
        <w:tc>
          <w:tcPr>
            <w:tcW w:w="919" w:type="pct"/>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pPr>
              <w:adjustRightInd w:val="0"/>
              <w:snapToGrid w:val="0"/>
              <w:jc w:val="right"/>
              <w:rPr>
                <w:rFonts w:eastAsia="宋体"/>
                <w:color w:val="000000"/>
                <w:sz w:val="24"/>
              </w:rPr>
            </w:pPr>
            <w:r>
              <w:rPr>
                <w:rFonts w:eastAsia="宋体"/>
                <w:color w:val="000000"/>
                <w:sz w:val="24"/>
              </w:rPr>
              <w:t>总价（元）</w:t>
            </w:r>
          </w:p>
        </w:tc>
        <w:tc>
          <w:tcPr>
            <w:tcW w:w="724" w:type="pct"/>
            <w:vAlign w:val="center"/>
          </w:tcPr>
          <w:p>
            <w:pPr>
              <w:adjustRightInd w:val="0"/>
              <w:snapToGrid w:val="0"/>
              <w:jc w:val="left"/>
              <w:rPr>
                <w:rFonts w:eastAsia="宋体"/>
                <w:color w:val="000000"/>
                <w:sz w:val="24"/>
              </w:rPr>
            </w:pPr>
          </w:p>
        </w:tc>
        <w:tc>
          <w:tcPr>
            <w:tcW w:w="919" w:type="pct"/>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r>
        <w:rPr>
          <w:rFonts w:eastAsia="宋体"/>
          <w:color w:val="000000"/>
          <w:sz w:val="24"/>
        </w:rPr>
        <w:t>注：1.本表应按包分别填写。</w:t>
      </w:r>
    </w:p>
    <w:p>
      <w:pPr>
        <w:tabs>
          <w:tab w:val="left" w:pos="1800"/>
          <w:tab w:val="left" w:pos="5580"/>
        </w:tabs>
        <w:ind w:firstLine="480" w:firstLineChars="200"/>
        <w:jc w:val="left"/>
        <w:rPr>
          <w:rFonts w:eastAsia="宋体"/>
          <w:color w:val="000000"/>
          <w:sz w:val="24"/>
        </w:rPr>
      </w:pPr>
      <w:r>
        <w:rPr>
          <w:rFonts w:eastAsia="宋体"/>
          <w:color w:val="000000"/>
          <w:sz w:val="24"/>
        </w:rPr>
        <w:t>2.上述各项的详细规格（如有），可另页描述。</w:t>
      </w:r>
    </w:p>
    <w:p>
      <w:pPr>
        <w:autoSpaceDE w:val="0"/>
        <w:autoSpaceDN w:val="0"/>
        <w:adjustRightInd w:val="0"/>
        <w:snapToGrid w:val="0"/>
        <w:spacing w:before="25" w:after="25" w:line="360" w:lineRule="auto"/>
        <w:rPr>
          <w:rFonts w:eastAsia="宋体"/>
          <w:color w:val="000000"/>
          <w:sz w:val="24"/>
        </w:rPr>
      </w:pPr>
    </w:p>
    <w:p>
      <w:pPr>
        <w:autoSpaceDE w:val="0"/>
        <w:autoSpaceDN w:val="0"/>
        <w:adjustRightInd w:val="0"/>
        <w:snapToGrid w:val="0"/>
        <w:spacing w:before="25" w:after="25" w:line="360" w:lineRule="auto"/>
        <w:rPr>
          <w:rFonts w:eastAsia="宋体"/>
          <w:color w:val="000000"/>
          <w:sz w:val="24"/>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rPr>
          <w:rFonts w:eastAsia="宋体"/>
          <w:sz w:val="24"/>
        </w:rPr>
        <w:sectPr>
          <w:pgSz w:w="11907" w:h="16840"/>
          <w:pgMar w:top="1418" w:right="1134" w:bottom="1418" w:left="1701" w:header="851" w:footer="851" w:gutter="0"/>
          <w:cols w:space="720" w:num="1"/>
          <w:docGrid w:linePitch="462" w:charSpace="0"/>
        </w:sectPr>
      </w:pPr>
      <w:r>
        <w:rPr>
          <w:rFonts w:eastAsia="宋体"/>
          <w:color w:val="000000"/>
          <w:sz w:val="24"/>
          <w:szCs w:val="20"/>
        </w:rPr>
        <w:t>日期：____年____月_</w:t>
      </w:r>
      <w:bookmarkStart w:id="807" w:name="_Toc264969252"/>
      <w:bookmarkStart w:id="808" w:name="_Toc226965835"/>
      <w:bookmarkStart w:id="809" w:name="_Toc305158904"/>
      <w:bookmarkStart w:id="810" w:name="_Toc226309806"/>
      <w:bookmarkStart w:id="811" w:name="_Toc226965752"/>
      <w:bookmarkStart w:id="812" w:name="_Toc142311062"/>
      <w:bookmarkStart w:id="813" w:name="_Toc127151562"/>
      <w:bookmarkStart w:id="814" w:name="_Toc226337258"/>
      <w:bookmarkStart w:id="815" w:name="_Toc195842927"/>
      <w:bookmarkStart w:id="816" w:name="_Toc150774765"/>
      <w:bookmarkStart w:id="817" w:name="_Toc265228400"/>
      <w:bookmarkStart w:id="818" w:name="_Toc150480798"/>
      <w:bookmarkStart w:id="819" w:name="_Toc305158830"/>
      <w:bookmarkStart w:id="820" w:name="_Toc305158829"/>
      <w:bookmarkStart w:id="821" w:name="_Toc226337257"/>
      <w:bookmarkStart w:id="822" w:name="_Toc195842926"/>
      <w:bookmarkStart w:id="823" w:name="_Toc142311061"/>
      <w:bookmarkStart w:id="824" w:name="_Toc305158903"/>
      <w:bookmarkStart w:id="825" w:name="_Toc226965751"/>
      <w:bookmarkStart w:id="826" w:name="_Toc150774764"/>
      <w:bookmarkStart w:id="827" w:name="_Toc150480797"/>
      <w:bookmarkStart w:id="828" w:name="_Toc265228399"/>
      <w:bookmarkStart w:id="829" w:name="_Toc226965834"/>
      <w:bookmarkStart w:id="830" w:name="_Toc264969251"/>
      <w:bookmarkStart w:id="831" w:name="_Toc127151561"/>
      <w:bookmarkStart w:id="832" w:name="_Toc226309805"/>
    </w:p>
    <w:p>
      <w:pPr>
        <w:tabs>
          <w:tab w:val="left" w:pos="360"/>
        </w:tabs>
        <w:snapToGrid w:val="0"/>
        <w:spacing w:line="360" w:lineRule="auto"/>
        <w:outlineLvl w:val="1"/>
        <w:rPr>
          <w:rFonts w:eastAsia="宋体"/>
          <w:color w:val="000000"/>
          <w:sz w:val="24"/>
          <w:szCs w:val="20"/>
        </w:rPr>
      </w:pPr>
      <w:r>
        <w:rPr>
          <w:rFonts w:hint="eastAsia" w:eastAsia="宋体"/>
          <w:sz w:val="24"/>
        </w:rPr>
        <w:t>7</w:t>
      </w:r>
      <w:r>
        <w:rPr>
          <w:rFonts w:eastAsia="宋体"/>
          <w:sz w:val="24"/>
        </w:rPr>
        <w:t xml:space="preserve">  合同条款偏离表</w:t>
      </w:r>
      <w:bookmarkEnd w:id="807"/>
      <w:bookmarkEnd w:id="808"/>
      <w:bookmarkEnd w:id="809"/>
      <w:bookmarkEnd w:id="810"/>
      <w:bookmarkEnd w:id="811"/>
      <w:bookmarkEnd w:id="812"/>
      <w:bookmarkEnd w:id="813"/>
      <w:bookmarkEnd w:id="814"/>
      <w:bookmarkEnd w:id="815"/>
      <w:bookmarkEnd w:id="816"/>
      <w:bookmarkEnd w:id="817"/>
      <w:bookmarkEnd w:id="818"/>
      <w:bookmarkEnd w:id="819"/>
      <w:r>
        <w:rPr>
          <w:rFonts w:eastAsia="宋体"/>
          <w:sz w:val="24"/>
        </w:rPr>
        <w:t>（实质性格式）</w:t>
      </w:r>
    </w:p>
    <w:p>
      <w:pPr>
        <w:spacing w:line="360" w:lineRule="auto"/>
        <w:rPr>
          <w:rFonts w:eastAsia="宋体"/>
          <w:color w:val="000000"/>
          <w:sz w:val="24"/>
          <w:szCs w:val="20"/>
        </w:rPr>
      </w:pPr>
    </w:p>
    <w:p>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eastAsia="宋体"/>
          <w:b/>
          <w:color w:val="000000"/>
          <w:sz w:val="36"/>
          <w:szCs w:val="36"/>
        </w:rPr>
        <w:t>合同条款偏离表</w:t>
      </w:r>
    </w:p>
    <w:p>
      <w:pPr>
        <w:spacing w:line="360" w:lineRule="auto"/>
        <w:rPr>
          <w:rFonts w:eastAsia="宋体"/>
          <w:color w:val="000000"/>
          <w:sz w:val="24"/>
          <w:szCs w:val="20"/>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560"/>
        <w:gridCol w:w="1777"/>
        <w:gridCol w:w="1778"/>
        <w:gridCol w:w="218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宋体"/>
                <w:color w:val="000000"/>
                <w:sz w:val="24"/>
              </w:rPr>
            </w:pPr>
            <w:r>
              <w:rPr>
                <w:rFonts w:eastAsia="宋体"/>
                <w:color w:val="000000"/>
                <w:sz w:val="24"/>
              </w:rPr>
              <w:t>序号</w:t>
            </w:r>
          </w:p>
        </w:tc>
        <w:tc>
          <w:tcPr>
            <w:tcW w:w="1394" w:type="dxa"/>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808" w:type="dxa"/>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809" w:type="dxa"/>
            <w:vAlign w:val="center"/>
          </w:tcPr>
          <w:p>
            <w:pPr>
              <w:adjustRightInd w:val="0"/>
              <w:snapToGrid w:val="0"/>
              <w:jc w:val="center"/>
              <w:rPr>
                <w:rFonts w:eastAsia="宋体"/>
                <w:color w:val="000000"/>
                <w:sz w:val="24"/>
              </w:rPr>
            </w:pPr>
            <w:r>
              <w:rPr>
                <w:rFonts w:eastAsia="宋体"/>
                <w:color w:val="000000"/>
                <w:sz w:val="24"/>
              </w:rPr>
              <w:t>响应文件内容</w:t>
            </w:r>
          </w:p>
        </w:tc>
        <w:tc>
          <w:tcPr>
            <w:tcW w:w="2290" w:type="dxa"/>
            <w:vAlign w:val="center"/>
          </w:tcPr>
          <w:p>
            <w:pPr>
              <w:adjustRightInd w:val="0"/>
              <w:snapToGrid w:val="0"/>
              <w:jc w:val="center"/>
              <w:rPr>
                <w:rFonts w:eastAsia="宋体"/>
                <w:color w:val="000000"/>
                <w:sz w:val="24"/>
              </w:rPr>
            </w:pPr>
            <w:r>
              <w:rPr>
                <w:rFonts w:eastAsia="宋体"/>
                <w:color w:val="000000"/>
                <w:sz w:val="24"/>
              </w:rPr>
              <w:t>偏离情况</w:t>
            </w:r>
          </w:p>
        </w:tc>
        <w:tc>
          <w:tcPr>
            <w:tcW w:w="863" w:type="dxa"/>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eastAsia="宋体"/>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pPr>
              <w:adjustRightInd w:val="0"/>
              <w:snapToGrid w:val="0"/>
              <w:jc w:val="left"/>
              <w:rPr>
                <w:rFonts w:eastAsia="宋体"/>
                <w:b/>
                <w:color w:val="000000"/>
                <w:sz w:val="24"/>
              </w:rPr>
            </w:pPr>
            <w:r>
              <w:rPr>
                <w:rFonts w:eastAsia="宋体"/>
                <w:b/>
                <w:color w:val="000000"/>
                <w:sz w:val="24"/>
              </w:rPr>
              <w:t>□无偏离</w:t>
            </w:r>
            <w:r>
              <w:rPr>
                <w:rFonts w:eastAsia="宋体"/>
                <w:color w:val="000000"/>
                <w:sz w:val="24"/>
              </w:rPr>
              <w:t>（</w:t>
            </w:r>
            <w:r>
              <w:rPr>
                <w:rFonts w:eastAsia="宋体"/>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宋体"/>
                <w:color w:val="000000"/>
                <w:sz w:val="24"/>
              </w:rPr>
              <w:t>）</w:t>
            </w:r>
          </w:p>
          <w:p>
            <w:pPr>
              <w:adjustRightInd w:val="0"/>
              <w:snapToGrid w:val="0"/>
              <w:jc w:val="left"/>
              <w:rPr>
                <w:rFonts w:eastAsia="宋体"/>
                <w:color w:val="000000"/>
                <w:sz w:val="24"/>
              </w:rPr>
            </w:pPr>
            <w:r>
              <w:rPr>
                <w:rFonts w:eastAsia="宋体"/>
                <w:b/>
                <w:color w:val="000000"/>
                <w:sz w:val="24"/>
              </w:rPr>
              <w:t>□有偏离</w:t>
            </w:r>
            <w:r>
              <w:rPr>
                <w:rFonts w:eastAsia="宋体"/>
                <w:color w:val="000000"/>
                <w:sz w:val="24"/>
              </w:rPr>
              <w:t>（</w:t>
            </w:r>
            <w:r>
              <w:rPr>
                <w:rFonts w:eastAsia="宋体"/>
                <w:color w:val="000000"/>
                <w:sz w:val="24"/>
                <w:szCs w:val="21"/>
              </w:rPr>
              <w:t>如有偏离，</w:t>
            </w:r>
            <w:r>
              <w:rPr>
                <w:rFonts w:eastAsia="宋体"/>
                <w:color w:val="000000"/>
                <w:sz w:val="24"/>
              </w:rPr>
              <w:t>则</w:t>
            </w:r>
            <w:r>
              <w:rPr>
                <w:rFonts w:hint="eastAsia" w:eastAsia="宋体"/>
                <w:color w:val="000000"/>
                <w:sz w:val="24"/>
              </w:rPr>
              <w:t>应</w:t>
            </w:r>
            <w:r>
              <w:rPr>
                <w:rFonts w:eastAsia="宋体"/>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宋体"/>
                <w:color w:val="000000"/>
                <w:sz w:val="24"/>
              </w:rPr>
            </w:pPr>
          </w:p>
        </w:tc>
        <w:tc>
          <w:tcPr>
            <w:tcW w:w="1394" w:type="dxa"/>
            <w:vAlign w:val="center"/>
          </w:tcPr>
          <w:p>
            <w:pPr>
              <w:adjustRightInd w:val="0"/>
              <w:snapToGrid w:val="0"/>
              <w:jc w:val="center"/>
              <w:rPr>
                <w:rFonts w:eastAsia="宋体"/>
                <w:color w:val="000000"/>
                <w:sz w:val="24"/>
              </w:rPr>
            </w:pPr>
          </w:p>
        </w:tc>
        <w:tc>
          <w:tcPr>
            <w:tcW w:w="1808" w:type="dxa"/>
            <w:vAlign w:val="center"/>
          </w:tcPr>
          <w:p>
            <w:pPr>
              <w:adjustRightInd w:val="0"/>
              <w:snapToGrid w:val="0"/>
              <w:jc w:val="center"/>
              <w:rPr>
                <w:rFonts w:eastAsia="宋体"/>
                <w:color w:val="000000"/>
                <w:sz w:val="24"/>
              </w:rPr>
            </w:pPr>
          </w:p>
        </w:tc>
        <w:tc>
          <w:tcPr>
            <w:tcW w:w="1809" w:type="dxa"/>
            <w:vAlign w:val="center"/>
          </w:tcPr>
          <w:p>
            <w:pPr>
              <w:adjustRightInd w:val="0"/>
              <w:snapToGrid w:val="0"/>
              <w:jc w:val="center"/>
              <w:rPr>
                <w:rFonts w:eastAsia="宋体"/>
                <w:color w:val="000000"/>
                <w:sz w:val="24"/>
              </w:rPr>
            </w:pPr>
          </w:p>
        </w:tc>
        <w:tc>
          <w:tcPr>
            <w:tcW w:w="2290" w:type="dxa"/>
            <w:vAlign w:val="center"/>
          </w:tcPr>
          <w:p>
            <w:pPr>
              <w:adjustRightInd w:val="0"/>
              <w:snapToGrid w:val="0"/>
              <w:jc w:val="center"/>
              <w:rPr>
                <w:rFonts w:eastAsia="宋体"/>
                <w:color w:val="000000"/>
                <w:sz w:val="24"/>
              </w:rPr>
            </w:pPr>
          </w:p>
        </w:tc>
        <w:tc>
          <w:tcPr>
            <w:tcW w:w="863" w:type="dxa"/>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宋体"/>
                <w:color w:val="000000"/>
                <w:sz w:val="24"/>
              </w:rPr>
            </w:pPr>
          </w:p>
        </w:tc>
        <w:tc>
          <w:tcPr>
            <w:tcW w:w="1394" w:type="dxa"/>
            <w:vAlign w:val="center"/>
          </w:tcPr>
          <w:p>
            <w:pPr>
              <w:adjustRightInd w:val="0"/>
              <w:snapToGrid w:val="0"/>
              <w:jc w:val="center"/>
              <w:rPr>
                <w:rFonts w:eastAsia="宋体"/>
                <w:color w:val="000000"/>
                <w:sz w:val="24"/>
              </w:rPr>
            </w:pPr>
          </w:p>
        </w:tc>
        <w:tc>
          <w:tcPr>
            <w:tcW w:w="1808" w:type="dxa"/>
            <w:vAlign w:val="center"/>
          </w:tcPr>
          <w:p>
            <w:pPr>
              <w:adjustRightInd w:val="0"/>
              <w:snapToGrid w:val="0"/>
              <w:jc w:val="center"/>
              <w:rPr>
                <w:rFonts w:eastAsia="宋体"/>
                <w:color w:val="000000"/>
                <w:sz w:val="24"/>
              </w:rPr>
            </w:pPr>
          </w:p>
        </w:tc>
        <w:tc>
          <w:tcPr>
            <w:tcW w:w="1809" w:type="dxa"/>
            <w:vAlign w:val="center"/>
          </w:tcPr>
          <w:p>
            <w:pPr>
              <w:adjustRightInd w:val="0"/>
              <w:snapToGrid w:val="0"/>
              <w:jc w:val="center"/>
              <w:rPr>
                <w:rFonts w:eastAsia="宋体"/>
                <w:color w:val="000000"/>
                <w:sz w:val="24"/>
              </w:rPr>
            </w:pPr>
          </w:p>
        </w:tc>
        <w:tc>
          <w:tcPr>
            <w:tcW w:w="2290" w:type="dxa"/>
            <w:vAlign w:val="center"/>
          </w:tcPr>
          <w:p>
            <w:pPr>
              <w:adjustRightInd w:val="0"/>
              <w:snapToGrid w:val="0"/>
              <w:jc w:val="center"/>
              <w:rPr>
                <w:rFonts w:eastAsia="宋体"/>
                <w:color w:val="000000"/>
                <w:sz w:val="24"/>
              </w:rPr>
            </w:pPr>
          </w:p>
        </w:tc>
        <w:tc>
          <w:tcPr>
            <w:tcW w:w="863" w:type="dxa"/>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宋体"/>
                <w:color w:val="000000"/>
                <w:sz w:val="24"/>
              </w:rPr>
            </w:pPr>
          </w:p>
        </w:tc>
        <w:tc>
          <w:tcPr>
            <w:tcW w:w="1394" w:type="dxa"/>
            <w:vAlign w:val="center"/>
          </w:tcPr>
          <w:p>
            <w:pPr>
              <w:adjustRightInd w:val="0"/>
              <w:snapToGrid w:val="0"/>
              <w:jc w:val="center"/>
              <w:rPr>
                <w:rFonts w:eastAsia="宋体"/>
                <w:color w:val="000000"/>
                <w:sz w:val="24"/>
              </w:rPr>
            </w:pPr>
          </w:p>
        </w:tc>
        <w:tc>
          <w:tcPr>
            <w:tcW w:w="1808" w:type="dxa"/>
            <w:vAlign w:val="center"/>
          </w:tcPr>
          <w:p>
            <w:pPr>
              <w:adjustRightInd w:val="0"/>
              <w:snapToGrid w:val="0"/>
              <w:jc w:val="center"/>
              <w:rPr>
                <w:rFonts w:eastAsia="宋体"/>
                <w:color w:val="000000"/>
                <w:sz w:val="24"/>
              </w:rPr>
            </w:pPr>
          </w:p>
        </w:tc>
        <w:tc>
          <w:tcPr>
            <w:tcW w:w="1809" w:type="dxa"/>
            <w:vAlign w:val="center"/>
          </w:tcPr>
          <w:p>
            <w:pPr>
              <w:adjustRightInd w:val="0"/>
              <w:snapToGrid w:val="0"/>
              <w:jc w:val="center"/>
              <w:rPr>
                <w:rFonts w:eastAsia="宋体"/>
                <w:color w:val="000000"/>
                <w:sz w:val="24"/>
              </w:rPr>
            </w:pPr>
          </w:p>
        </w:tc>
        <w:tc>
          <w:tcPr>
            <w:tcW w:w="2290" w:type="dxa"/>
            <w:vAlign w:val="center"/>
          </w:tcPr>
          <w:p>
            <w:pPr>
              <w:adjustRightInd w:val="0"/>
              <w:snapToGrid w:val="0"/>
              <w:jc w:val="center"/>
              <w:rPr>
                <w:rFonts w:eastAsia="宋体"/>
                <w:color w:val="000000"/>
                <w:sz w:val="24"/>
              </w:rPr>
            </w:pPr>
          </w:p>
        </w:tc>
        <w:tc>
          <w:tcPr>
            <w:tcW w:w="863" w:type="dxa"/>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宋体"/>
                <w:color w:val="000000"/>
                <w:sz w:val="24"/>
              </w:rPr>
            </w:pPr>
          </w:p>
        </w:tc>
        <w:tc>
          <w:tcPr>
            <w:tcW w:w="1394" w:type="dxa"/>
            <w:vAlign w:val="center"/>
          </w:tcPr>
          <w:p>
            <w:pPr>
              <w:adjustRightInd w:val="0"/>
              <w:snapToGrid w:val="0"/>
              <w:jc w:val="center"/>
              <w:rPr>
                <w:rFonts w:eastAsia="宋体"/>
                <w:color w:val="000000"/>
                <w:sz w:val="24"/>
              </w:rPr>
            </w:pPr>
          </w:p>
        </w:tc>
        <w:tc>
          <w:tcPr>
            <w:tcW w:w="1808" w:type="dxa"/>
            <w:vAlign w:val="center"/>
          </w:tcPr>
          <w:p>
            <w:pPr>
              <w:adjustRightInd w:val="0"/>
              <w:snapToGrid w:val="0"/>
              <w:jc w:val="center"/>
              <w:rPr>
                <w:rFonts w:eastAsia="宋体"/>
                <w:color w:val="000000"/>
                <w:sz w:val="24"/>
              </w:rPr>
            </w:pPr>
          </w:p>
        </w:tc>
        <w:tc>
          <w:tcPr>
            <w:tcW w:w="1809" w:type="dxa"/>
            <w:vAlign w:val="center"/>
          </w:tcPr>
          <w:p>
            <w:pPr>
              <w:adjustRightInd w:val="0"/>
              <w:snapToGrid w:val="0"/>
              <w:jc w:val="center"/>
              <w:rPr>
                <w:rFonts w:eastAsia="宋体"/>
                <w:color w:val="000000"/>
                <w:sz w:val="24"/>
              </w:rPr>
            </w:pPr>
          </w:p>
        </w:tc>
        <w:tc>
          <w:tcPr>
            <w:tcW w:w="2290" w:type="dxa"/>
            <w:vAlign w:val="center"/>
          </w:tcPr>
          <w:p>
            <w:pPr>
              <w:adjustRightInd w:val="0"/>
              <w:snapToGrid w:val="0"/>
              <w:jc w:val="center"/>
              <w:rPr>
                <w:rFonts w:eastAsia="宋体"/>
                <w:color w:val="000000"/>
                <w:sz w:val="24"/>
              </w:rPr>
            </w:pPr>
          </w:p>
        </w:tc>
        <w:tc>
          <w:tcPr>
            <w:tcW w:w="863" w:type="dxa"/>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rFonts w:eastAsia="宋体"/>
                <w:color w:val="000000"/>
                <w:sz w:val="24"/>
              </w:rPr>
            </w:pPr>
          </w:p>
        </w:tc>
        <w:tc>
          <w:tcPr>
            <w:tcW w:w="1394" w:type="dxa"/>
            <w:vAlign w:val="center"/>
          </w:tcPr>
          <w:p>
            <w:pPr>
              <w:adjustRightInd w:val="0"/>
              <w:snapToGrid w:val="0"/>
              <w:jc w:val="center"/>
              <w:rPr>
                <w:rFonts w:eastAsia="宋体"/>
                <w:color w:val="000000"/>
                <w:sz w:val="24"/>
              </w:rPr>
            </w:pPr>
          </w:p>
        </w:tc>
        <w:tc>
          <w:tcPr>
            <w:tcW w:w="1808" w:type="dxa"/>
            <w:vAlign w:val="center"/>
          </w:tcPr>
          <w:p>
            <w:pPr>
              <w:adjustRightInd w:val="0"/>
              <w:snapToGrid w:val="0"/>
              <w:jc w:val="center"/>
              <w:rPr>
                <w:rFonts w:eastAsia="宋体"/>
                <w:color w:val="000000"/>
                <w:sz w:val="24"/>
              </w:rPr>
            </w:pPr>
          </w:p>
        </w:tc>
        <w:tc>
          <w:tcPr>
            <w:tcW w:w="1809" w:type="dxa"/>
            <w:vAlign w:val="center"/>
          </w:tcPr>
          <w:p>
            <w:pPr>
              <w:adjustRightInd w:val="0"/>
              <w:snapToGrid w:val="0"/>
              <w:jc w:val="center"/>
              <w:rPr>
                <w:rFonts w:eastAsia="宋体"/>
                <w:color w:val="000000"/>
                <w:sz w:val="24"/>
              </w:rPr>
            </w:pPr>
          </w:p>
        </w:tc>
        <w:tc>
          <w:tcPr>
            <w:tcW w:w="2290" w:type="dxa"/>
            <w:vAlign w:val="center"/>
          </w:tcPr>
          <w:p>
            <w:pPr>
              <w:adjustRightInd w:val="0"/>
              <w:snapToGrid w:val="0"/>
              <w:jc w:val="center"/>
              <w:rPr>
                <w:rFonts w:eastAsia="宋体"/>
                <w:color w:val="000000"/>
                <w:sz w:val="24"/>
              </w:rPr>
            </w:pPr>
          </w:p>
        </w:tc>
        <w:tc>
          <w:tcPr>
            <w:tcW w:w="863" w:type="dxa"/>
            <w:vAlign w:val="center"/>
          </w:tcPr>
          <w:p>
            <w:pPr>
              <w:adjustRightInd w:val="0"/>
              <w:snapToGrid w:val="0"/>
              <w:jc w:val="center"/>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pPr>
        <w:spacing w:line="360" w:lineRule="auto"/>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hint="eastAsia" w:eastAsia="宋体"/>
          <w:color w:val="000000"/>
          <w:sz w:val="24"/>
          <w:szCs w:val="20"/>
        </w:rPr>
        <w:t>8</w:t>
      </w:r>
      <w:r>
        <w:rPr>
          <w:rFonts w:eastAsia="宋体"/>
          <w:sz w:val="24"/>
        </w:rPr>
        <w:t xml:space="preserve">  </w:t>
      </w:r>
      <w:bookmarkEnd w:id="820"/>
      <w:bookmarkEnd w:id="821"/>
      <w:bookmarkEnd w:id="822"/>
      <w:bookmarkEnd w:id="823"/>
      <w:bookmarkEnd w:id="824"/>
      <w:bookmarkEnd w:id="825"/>
      <w:bookmarkEnd w:id="826"/>
      <w:bookmarkEnd w:id="827"/>
      <w:bookmarkEnd w:id="828"/>
      <w:bookmarkEnd w:id="829"/>
      <w:bookmarkEnd w:id="830"/>
      <w:bookmarkEnd w:id="831"/>
      <w:bookmarkEnd w:id="832"/>
      <w:r>
        <w:rPr>
          <w:rFonts w:eastAsia="宋体"/>
          <w:sz w:val="24"/>
        </w:rPr>
        <w:t>采购需求偏离表（实质性格式）</w:t>
      </w:r>
    </w:p>
    <w:p>
      <w:pPr>
        <w:autoSpaceDE w:val="0"/>
        <w:autoSpaceDN w:val="0"/>
        <w:adjustRightInd w:val="0"/>
        <w:spacing w:line="360" w:lineRule="auto"/>
        <w:jc w:val="center"/>
        <w:rPr>
          <w:rFonts w:eastAsia="宋体"/>
          <w:b/>
          <w:color w:val="000000"/>
          <w:sz w:val="36"/>
          <w:szCs w:val="36"/>
        </w:rPr>
      </w:pPr>
      <w:r>
        <w:rPr>
          <w:rFonts w:eastAsia="宋体"/>
          <w:b/>
          <w:color w:val="000000"/>
          <w:sz w:val="36"/>
          <w:szCs w:val="36"/>
        </w:rPr>
        <w:t>采购需求偏离表</w:t>
      </w: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eastAsia="宋体"/>
                <w:color w:val="000000"/>
                <w:sz w:val="24"/>
              </w:rPr>
            </w:pPr>
            <w:r>
              <w:rPr>
                <w:rFonts w:eastAsia="宋体"/>
                <w:color w:val="000000"/>
                <w:sz w:val="24"/>
              </w:rPr>
              <w:t>序号</w:t>
            </w:r>
          </w:p>
        </w:tc>
        <w:tc>
          <w:tcPr>
            <w:tcW w:w="1482" w:type="dxa"/>
            <w:vAlign w:val="center"/>
          </w:tcPr>
          <w:p>
            <w:pPr>
              <w:adjustRightInd w:val="0"/>
              <w:snapToGrid w:val="0"/>
              <w:jc w:val="center"/>
              <w:rPr>
                <w:rFonts w:eastAsia="宋体"/>
                <w:color w:val="000000"/>
                <w:sz w:val="24"/>
              </w:rPr>
            </w:pPr>
            <w:r>
              <w:rPr>
                <w:rFonts w:eastAsia="宋体"/>
                <w:color w:val="000000"/>
                <w:sz w:val="24"/>
              </w:rPr>
              <w:t>竞争性磋商文件条目号(页码)</w:t>
            </w:r>
          </w:p>
        </w:tc>
        <w:tc>
          <w:tcPr>
            <w:tcW w:w="2384" w:type="dxa"/>
            <w:vAlign w:val="center"/>
          </w:tcPr>
          <w:p>
            <w:pPr>
              <w:adjustRightInd w:val="0"/>
              <w:snapToGrid w:val="0"/>
              <w:jc w:val="center"/>
              <w:rPr>
                <w:rFonts w:eastAsia="宋体"/>
                <w:color w:val="000000"/>
                <w:sz w:val="24"/>
              </w:rPr>
            </w:pPr>
            <w:r>
              <w:rPr>
                <w:rFonts w:eastAsia="宋体"/>
                <w:color w:val="000000"/>
                <w:sz w:val="24"/>
              </w:rPr>
              <w:t>竞争性磋商文件要求</w:t>
            </w:r>
          </w:p>
        </w:tc>
        <w:tc>
          <w:tcPr>
            <w:tcW w:w="2126" w:type="dxa"/>
            <w:vAlign w:val="center"/>
          </w:tcPr>
          <w:p>
            <w:pPr>
              <w:adjustRightInd w:val="0"/>
              <w:snapToGrid w:val="0"/>
              <w:jc w:val="center"/>
              <w:rPr>
                <w:rFonts w:eastAsia="宋体"/>
                <w:color w:val="000000"/>
                <w:sz w:val="24"/>
              </w:rPr>
            </w:pPr>
            <w:r>
              <w:rPr>
                <w:rFonts w:eastAsia="宋体"/>
                <w:color w:val="000000"/>
                <w:sz w:val="24"/>
              </w:rPr>
              <w:t>响应内容</w:t>
            </w:r>
          </w:p>
        </w:tc>
        <w:tc>
          <w:tcPr>
            <w:tcW w:w="1875" w:type="dxa"/>
            <w:vAlign w:val="center"/>
          </w:tcPr>
          <w:p>
            <w:pPr>
              <w:adjustRightInd w:val="0"/>
              <w:snapToGrid w:val="0"/>
              <w:jc w:val="center"/>
              <w:rPr>
                <w:rFonts w:eastAsia="宋体"/>
                <w:color w:val="000000"/>
                <w:sz w:val="24"/>
              </w:rPr>
            </w:pPr>
            <w:r>
              <w:rPr>
                <w:rFonts w:eastAsia="宋体"/>
                <w:color w:val="000000"/>
                <w:sz w:val="24"/>
              </w:rPr>
              <w:t>偏离情况</w:t>
            </w:r>
          </w:p>
        </w:tc>
        <w:tc>
          <w:tcPr>
            <w:tcW w:w="1009" w:type="dxa"/>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宋体"/>
                <w:color w:val="000000"/>
                <w:sz w:val="24"/>
              </w:rPr>
            </w:pPr>
          </w:p>
        </w:tc>
        <w:tc>
          <w:tcPr>
            <w:tcW w:w="1482" w:type="dxa"/>
            <w:vAlign w:val="center"/>
          </w:tcPr>
          <w:p>
            <w:pPr>
              <w:adjustRightInd w:val="0"/>
              <w:snapToGrid w:val="0"/>
              <w:jc w:val="center"/>
              <w:rPr>
                <w:rFonts w:eastAsia="宋体"/>
                <w:color w:val="000000"/>
                <w:sz w:val="24"/>
              </w:rPr>
            </w:pPr>
          </w:p>
        </w:tc>
        <w:tc>
          <w:tcPr>
            <w:tcW w:w="2384" w:type="dxa"/>
            <w:vAlign w:val="center"/>
          </w:tcPr>
          <w:p>
            <w:pPr>
              <w:adjustRightInd w:val="0"/>
              <w:snapToGrid w:val="0"/>
              <w:jc w:val="center"/>
              <w:rPr>
                <w:rFonts w:eastAsia="宋体"/>
                <w:color w:val="000000"/>
                <w:sz w:val="24"/>
              </w:rPr>
            </w:pPr>
          </w:p>
        </w:tc>
        <w:tc>
          <w:tcPr>
            <w:tcW w:w="2126" w:type="dxa"/>
            <w:vAlign w:val="center"/>
          </w:tcPr>
          <w:p>
            <w:pPr>
              <w:adjustRightInd w:val="0"/>
              <w:snapToGrid w:val="0"/>
              <w:jc w:val="center"/>
              <w:rPr>
                <w:rFonts w:eastAsia="宋体"/>
                <w:color w:val="000000"/>
                <w:sz w:val="24"/>
              </w:rPr>
            </w:pPr>
          </w:p>
        </w:tc>
        <w:tc>
          <w:tcPr>
            <w:tcW w:w="1875" w:type="dxa"/>
            <w:vAlign w:val="center"/>
          </w:tcPr>
          <w:p>
            <w:pPr>
              <w:adjustRightInd w:val="0"/>
              <w:snapToGrid w:val="0"/>
              <w:jc w:val="center"/>
              <w:rPr>
                <w:rFonts w:eastAsia="宋体"/>
                <w:color w:val="000000"/>
                <w:sz w:val="24"/>
              </w:rPr>
            </w:pPr>
          </w:p>
        </w:tc>
        <w:tc>
          <w:tcPr>
            <w:tcW w:w="1009" w:type="dxa"/>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宋体"/>
                <w:color w:val="000000"/>
                <w:sz w:val="24"/>
              </w:rPr>
            </w:pPr>
          </w:p>
        </w:tc>
        <w:tc>
          <w:tcPr>
            <w:tcW w:w="1482" w:type="dxa"/>
            <w:vAlign w:val="center"/>
          </w:tcPr>
          <w:p>
            <w:pPr>
              <w:adjustRightInd w:val="0"/>
              <w:snapToGrid w:val="0"/>
              <w:jc w:val="center"/>
              <w:rPr>
                <w:rFonts w:eastAsia="宋体"/>
                <w:color w:val="000000"/>
                <w:sz w:val="24"/>
              </w:rPr>
            </w:pPr>
          </w:p>
        </w:tc>
        <w:tc>
          <w:tcPr>
            <w:tcW w:w="2384" w:type="dxa"/>
            <w:vAlign w:val="center"/>
          </w:tcPr>
          <w:p>
            <w:pPr>
              <w:adjustRightInd w:val="0"/>
              <w:snapToGrid w:val="0"/>
              <w:jc w:val="center"/>
              <w:rPr>
                <w:rFonts w:eastAsia="宋体"/>
                <w:color w:val="000000"/>
                <w:sz w:val="24"/>
              </w:rPr>
            </w:pPr>
          </w:p>
        </w:tc>
        <w:tc>
          <w:tcPr>
            <w:tcW w:w="2126" w:type="dxa"/>
            <w:vAlign w:val="center"/>
          </w:tcPr>
          <w:p>
            <w:pPr>
              <w:adjustRightInd w:val="0"/>
              <w:snapToGrid w:val="0"/>
              <w:jc w:val="center"/>
              <w:rPr>
                <w:rFonts w:eastAsia="宋体"/>
                <w:color w:val="000000"/>
                <w:sz w:val="24"/>
              </w:rPr>
            </w:pPr>
          </w:p>
        </w:tc>
        <w:tc>
          <w:tcPr>
            <w:tcW w:w="1875" w:type="dxa"/>
            <w:vAlign w:val="center"/>
          </w:tcPr>
          <w:p>
            <w:pPr>
              <w:adjustRightInd w:val="0"/>
              <w:snapToGrid w:val="0"/>
              <w:jc w:val="center"/>
              <w:rPr>
                <w:rFonts w:eastAsia="宋体"/>
                <w:color w:val="000000"/>
                <w:sz w:val="24"/>
              </w:rPr>
            </w:pPr>
          </w:p>
        </w:tc>
        <w:tc>
          <w:tcPr>
            <w:tcW w:w="1009" w:type="dxa"/>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宋体"/>
                <w:color w:val="000000"/>
                <w:sz w:val="24"/>
              </w:rPr>
            </w:pPr>
          </w:p>
        </w:tc>
        <w:tc>
          <w:tcPr>
            <w:tcW w:w="1482" w:type="dxa"/>
            <w:vAlign w:val="center"/>
          </w:tcPr>
          <w:p>
            <w:pPr>
              <w:adjustRightInd w:val="0"/>
              <w:snapToGrid w:val="0"/>
              <w:jc w:val="center"/>
              <w:rPr>
                <w:rFonts w:eastAsia="宋体"/>
                <w:color w:val="000000"/>
                <w:sz w:val="24"/>
              </w:rPr>
            </w:pPr>
          </w:p>
        </w:tc>
        <w:tc>
          <w:tcPr>
            <w:tcW w:w="2384" w:type="dxa"/>
            <w:vAlign w:val="center"/>
          </w:tcPr>
          <w:p>
            <w:pPr>
              <w:adjustRightInd w:val="0"/>
              <w:snapToGrid w:val="0"/>
              <w:jc w:val="center"/>
              <w:rPr>
                <w:rFonts w:eastAsia="宋体"/>
                <w:color w:val="000000"/>
                <w:sz w:val="24"/>
              </w:rPr>
            </w:pPr>
          </w:p>
        </w:tc>
        <w:tc>
          <w:tcPr>
            <w:tcW w:w="2126" w:type="dxa"/>
            <w:vAlign w:val="center"/>
          </w:tcPr>
          <w:p>
            <w:pPr>
              <w:adjustRightInd w:val="0"/>
              <w:snapToGrid w:val="0"/>
              <w:jc w:val="center"/>
              <w:rPr>
                <w:rFonts w:eastAsia="宋体"/>
                <w:color w:val="000000"/>
                <w:sz w:val="24"/>
              </w:rPr>
            </w:pPr>
          </w:p>
        </w:tc>
        <w:tc>
          <w:tcPr>
            <w:tcW w:w="1875" w:type="dxa"/>
            <w:vAlign w:val="center"/>
          </w:tcPr>
          <w:p>
            <w:pPr>
              <w:adjustRightInd w:val="0"/>
              <w:snapToGrid w:val="0"/>
              <w:jc w:val="center"/>
              <w:rPr>
                <w:rFonts w:eastAsia="宋体"/>
                <w:color w:val="000000"/>
                <w:sz w:val="24"/>
              </w:rPr>
            </w:pPr>
          </w:p>
        </w:tc>
        <w:tc>
          <w:tcPr>
            <w:tcW w:w="1009" w:type="dxa"/>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宋体"/>
                <w:color w:val="000000"/>
                <w:sz w:val="24"/>
              </w:rPr>
            </w:pPr>
          </w:p>
        </w:tc>
        <w:tc>
          <w:tcPr>
            <w:tcW w:w="1482" w:type="dxa"/>
            <w:vAlign w:val="center"/>
          </w:tcPr>
          <w:p>
            <w:pPr>
              <w:adjustRightInd w:val="0"/>
              <w:snapToGrid w:val="0"/>
              <w:jc w:val="center"/>
              <w:rPr>
                <w:rFonts w:eastAsia="宋体"/>
                <w:color w:val="000000"/>
                <w:sz w:val="24"/>
              </w:rPr>
            </w:pPr>
          </w:p>
        </w:tc>
        <w:tc>
          <w:tcPr>
            <w:tcW w:w="2384" w:type="dxa"/>
            <w:vAlign w:val="center"/>
          </w:tcPr>
          <w:p>
            <w:pPr>
              <w:adjustRightInd w:val="0"/>
              <w:snapToGrid w:val="0"/>
              <w:jc w:val="center"/>
              <w:rPr>
                <w:rFonts w:eastAsia="宋体"/>
                <w:color w:val="000000"/>
                <w:sz w:val="24"/>
              </w:rPr>
            </w:pPr>
          </w:p>
        </w:tc>
        <w:tc>
          <w:tcPr>
            <w:tcW w:w="2126" w:type="dxa"/>
            <w:vAlign w:val="center"/>
          </w:tcPr>
          <w:p>
            <w:pPr>
              <w:adjustRightInd w:val="0"/>
              <w:snapToGrid w:val="0"/>
              <w:jc w:val="center"/>
              <w:rPr>
                <w:rFonts w:eastAsia="宋体"/>
                <w:color w:val="000000"/>
                <w:sz w:val="24"/>
              </w:rPr>
            </w:pPr>
          </w:p>
        </w:tc>
        <w:tc>
          <w:tcPr>
            <w:tcW w:w="1875" w:type="dxa"/>
            <w:vAlign w:val="center"/>
          </w:tcPr>
          <w:p>
            <w:pPr>
              <w:adjustRightInd w:val="0"/>
              <w:snapToGrid w:val="0"/>
              <w:jc w:val="center"/>
              <w:rPr>
                <w:rFonts w:eastAsia="宋体"/>
                <w:color w:val="000000"/>
                <w:sz w:val="24"/>
              </w:rPr>
            </w:pPr>
          </w:p>
        </w:tc>
        <w:tc>
          <w:tcPr>
            <w:tcW w:w="1009" w:type="dxa"/>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宋体"/>
                <w:color w:val="000000"/>
                <w:sz w:val="24"/>
              </w:rPr>
            </w:pPr>
          </w:p>
        </w:tc>
        <w:tc>
          <w:tcPr>
            <w:tcW w:w="1482" w:type="dxa"/>
            <w:vAlign w:val="center"/>
          </w:tcPr>
          <w:p>
            <w:pPr>
              <w:adjustRightInd w:val="0"/>
              <w:snapToGrid w:val="0"/>
              <w:jc w:val="center"/>
              <w:rPr>
                <w:rFonts w:eastAsia="宋体"/>
                <w:color w:val="000000"/>
                <w:sz w:val="24"/>
              </w:rPr>
            </w:pPr>
          </w:p>
        </w:tc>
        <w:tc>
          <w:tcPr>
            <w:tcW w:w="2384" w:type="dxa"/>
            <w:vAlign w:val="center"/>
          </w:tcPr>
          <w:p>
            <w:pPr>
              <w:adjustRightInd w:val="0"/>
              <w:snapToGrid w:val="0"/>
              <w:jc w:val="center"/>
              <w:rPr>
                <w:rFonts w:eastAsia="宋体"/>
                <w:color w:val="000000"/>
                <w:sz w:val="24"/>
              </w:rPr>
            </w:pPr>
          </w:p>
        </w:tc>
        <w:tc>
          <w:tcPr>
            <w:tcW w:w="2126" w:type="dxa"/>
            <w:vAlign w:val="center"/>
          </w:tcPr>
          <w:p>
            <w:pPr>
              <w:adjustRightInd w:val="0"/>
              <w:snapToGrid w:val="0"/>
              <w:jc w:val="center"/>
              <w:rPr>
                <w:rFonts w:eastAsia="宋体"/>
                <w:color w:val="000000"/>
                <w:sz w:val="24"/>
              </w:rPr>
            </w:pPr>
          </w:p>
        </w:tc>
        <w:tc>
          <w:tcPr>
            <w:tcW w:w="1875" w:type="dxa"/>
            <w:vAlign w:val="center"/>
          </w:tcPr>
          <w:p>
            <w:pPr>
              <w:adjustRightInd w:val="0"/>
              <w:snapToGrid w:val="0"/>
              <w:jc w:val="center"/>
              <w:rPr>
                <w:rFonts w:eastAsia="宋体"/>
                <w:color w:val="000000"/>
                <w:sz w:val="24"/>
              </w:rPr>
            </w:pPr>
          </w:p>
        </w:tc>
        <w:tc>
          <w:tcPr>
            <w:tcW w:w="1009" w:type="dxa"/>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宋体"/>
                <w:color w:val="000000"/>
                <w:sz w:val="24"/>
              </w:rPr>
            </w:pPr>
          </w:p>
        </w:tc>
        <w:tc>
          <w:tcPr>
            <w:tcW w:w="1482" w:type="dxa"/>
            <w:vAlign w:val="center"/>
          </w:tcPr>
          <w:p>
            <w:pPr>
              <w:adjustRightInd w:val="0"/>
              <w:snapToGrid w:val="0"/>
              <w:jc w:val="center"/>
              <w:rPr>
                <w:rFonts w:eastAsia="宋体"/>
                <w:color w:val="000000"/>
                <w:sz w:val="24"/>
              </w:rPr>
            </w:pPr>
          </w:p>
        </w:tc>
        <w:tc>
          <w:tcPr>
            <w:tcW w:w="2384" w:type="dxa"/>
            <w:vAlign w:val="center"/>
          </w:tcPr>
          <w:p>
            <w:pPr>
              <w:adjustRightInd w:val="0"/>
              <w:snapToGrid w:val="0"/>
              <w:jc w:val="center"/>
              <w:rPr>
                <w:rFonts w:eastAsia="宋体"/>
                <w:color w:val="000000"/>
                <w:sz w:val="24"/>
              </w:rPr>
            </w:pPr>
          </w:p>
        </w:tc>
        <w:tc>
          <w:tcPr>
            <w:tcW w:w="2126" w:type="dxa"/>
            <w:vAlign w:val="center"/>
          </w:tcPr>
          <w:p>
            <w:pPr>
              <w:adjustRightInd w:val="0"/>
              <w:snapToGrid w:val="0"/>
              <w:jc w:val="center"/>
              <w:rPr>
                <w:rFonts w:eastAsia="宋体"/>
                <w:color w:val="000000"/>
                <w:sz w:val="24"/>
              </w:rPr>
            </w:pPr>
          </w:p>
        </w:tc>
        <w:tc>
          <w:tcPr>
            <w:tcW w:w="1875" w:type="dxa"/>
            <w:vAlign w:val="center"/>
          </w:tcPr>
          <w:p>
            <w:pPr>
              <w:adjustRightInd w:val="0"/>
              <w:snapToGrid w:val="0"/>
              <w:jc w:val="center"/>
              <w:rPr>
                <w:rFonts w:eastAsia="宋体"/>
                <w:color w:val="000000"/>
                <w:sz w:val="24"/>
              </w:rPr>
            </w:pPr>
          </w:p>
        </w:tc>
        <w:tc>
          <w:tcPr>
            <w:tcW w:w="1009" w:type="dxa"/>
            <w:vAlign w:val="center"/>
          </w:tcPr>
          <w:p>
            <w:pPr>
              <w:adjustRightInd w:val="0"/>
              <w:snapToGrid w:val="0"/>
              <w:jc w:val="center"/>
              <w:rPr>
                <w:rFonts w:eastAsia="宋体"/>
                <w:color w:val="000000"/>
                <w:sz w:val="24"/>
              </w:rPr>
            </w:pPr>
          </w:p>
        </w:tc>
      </w:tr>
    </w:tbl>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jc w:val="left"/>
        <w:rPr>
          <w:rFonts w:eastAsia="宋体"/>
          <w:color w:val="000000"/>
          <w:sz w:val="24"/>
        </w:rPr>
      </w:pPr>
      <w:r>
        <w:rPr>
          <w:rFonts w:eastAsia="宋体"/>
          <w:color w:val="000000"/>
          <w:sz w:val="24"/>
        </w:rPr>
        <w:t>注：</w:t>
      </w:r>
    </w:p>
    <w:p>
      <w:pPr>
        <w:tabs>
          <w:tab w:val="left" w:pos="1800"/>
          <w:tab w:val="left" w:pos="5580"/>
        </w:tabs>
        <w:jc w:val="left"/>
        <w:rPr>
          <w:rFonts w:eastAsia="宋体"/>
          <w:sz w:val="24"/>
        </w:rPr>
      </w:pPr>
      <w:r>
        <w:rPr>
          <w:rFonts w:eastAsia="宋体"/>
          <w:color w:val="000000"/>
          <w:sz w:val="24"/>
        </w:rPr>
        <w:t xml:space="preserve">1. </w:t>
      </w:r>
      <w:r>
        <w:rPr>
          <w:rFonts w:eastAsia="宋体"/>
          <w:sz w:val="24"/>
        </w:rPr>
        <w:t>对竞争性磋商文件中的所有商务、技术要求，除本表所列明的所有偏离外，均视作供应商已对之理解和响应。此表中若无任何文字说明，内容为空白的，</w:t>
      </w:r>
      <w:r>
        <w:rPr>
          <w:rFonts w:eastAsia="宋体"/>
          <w:b/>
          <w:sz w:val="24"/>
        </w:rPr>
        <w:t>响应无效</w:t>
      </w:r>
      <w:r>
        <w:rPr>
          <w:rFonts w:eastAsia="宋体"/>
          <w:sz w:val="24"/>
        </w:rPr>
        <w:t>。</w:t>
      </w:r>
    </w:p>
    <w:p>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pPr>
        <w:tabs>
          <w:tab w:val="left" w:pos="1800"/>
          <w:tab w:val="left" w:pos="5580"/>
        </w:tabs>
        <w:jc w:val="left"/>
        <w:rPr>
          <w:rFonts w:eastAsia="宋体"/>
          <w:color w:val="000000"/>
          <w:sz w:val="24"/>
        </w:rPr>
      </w:pPr>
    </w:p>
    <w:p>
      <w:pPr>
        <w:rPr>
          <w:rFonts w:eastAsia="宋体"/>
          <w:color w:val="000000"/>
          <w:sz w:val="24"/>
          <w:szCs w:val="20"/>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hint="eastAsia" w:eastAsia="宋体"/>
          <w:color w:val="000000"/>
          <w:sz w:val="24"/>
          <w:szCs w:val="20"/>
        </w:rPr>
        <w:t>9</w:t>
      </w:r>
      <w:r>
        <w:rPr>
          <w:rFonts w:eastAsia="宋体"/>
          <w:sz w:val="24"/>
        </w:rPr>
        <w:t xml:space="preserve">  竞争性磋商文件要求提供或供应商认为应附的其他材料</w:t>
      </w:r>
    </w:p>
    <w:p>
      <w:pPr>
        <w:widowControl/>
        <w:jc w:val="left"/>
        <w:rPr>
          <w:rFonts w:eastAsia="宋体"/>
          <w:b/>
          <w:sz w:val="36"/>
          <w:szCs w:val="36"/>
        </w:rPr>
      </w:pPr>
    </w:p>
    <w:p>
      <w:pPr>
        <w:widowControl/>
        <w:jc w:val="left"/>
        <w:rPr>
          <w:rFonts w:eastAsia="宋体"/>
          <w:b/>
          <w:sz w:val="36"/>
          <w:szCs w:val="36"/>
        </w:rPr>
      </w:pPr>
      <w:r>
        <w:rPr>
          <w:rFonts w:eastAsia="宋体"/>
          <w:b/>
          <w:sz w:val="36"/>
          <w:szCs w:val="36"/>
        </w:rPr>
        <w:br w:type="page"/>
      </w:r>
    </w:p>
    <w:p>
      <w:pPr>
        <w:tabs>
          <w:tab w:val="left" w:pos="360"/>
        </w:tabs>
        <w:snapToGrid w:val="0"/>
        <w:spacing w:line="360" w:lineRule="auto"/>
        <w:outlineLvl w:val="1"/>
        <w:rPr>
          <w:rFonts w:eastAsia="宋体"/>
          <w:sz w:val="24"/>
        </w:rPr>
      </w:pPr>
      <w:r>
        <w:rPr>
          <w:rFonts w:eastAsia="宋体"/>
          <w:sz w:val="24"/>
        </w:rPr>
        <w:t>1</w:t>
      </w:r>
      <w:r>
        <w:rPr>
          <w:rFonts w:hint="eastAsia" w:eastAsia="宋体"/>
          <w:sz w:val="24"/>
        </w:rPr>
        <w:t>0</w:t>
      </w:r>
      <w:r>
        <w:rPr>
          <w:rFonts w:eastAsia="宋体"/>
          <w:sz w:val="24"/>
        </w:rPr>
        <w:t xml:space="preserve">  最后报价一览表（实质性格式，磋商后提交）</w:t>
      </w:r>
    </w:p>
    <w:p>
      <w:pPr>
        <w:widowControl/>
        <w:jc w:val="left"/>
        <w:rPr>
          <w:rFonts w:eastAsia="宋体"/>
          <w:kern w:val="0"/>
          <w:sz w:val="24"/>
          <w:szCs w:val="20"/>
        </w:rPr>
      </w:pPr>
    </w:p>
    <w:p>
      <w:pPr>
        <w:spacing w:line="360" w:lineRule="exact"/>
        <w:ind w:firstLine="720"/>
        <w:jc w:val="center"/>
        <w:rPr>
          <w:rFonts w:eastAsia="宋体"/>
          <w:b/>
          <w:color w:val="000000"/>
          <w:sz w:val="36"/>
          <w:szCs w:val="36"/>
        </w:rPr>
      </w:pPr>
      <w:r>
        <w:rPr>
          <w:rFonts w:eastAsia="宋体"/>
          <w:b/>
          <w:color w:val="000000"/>
          <w:sz w:val="36"/>
          <w:szCs w:val="36"/>
        </w:rPr>
        <w:t>最后报价一览表</w:t>
      </w:r>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项目编号：_______________     项目名称：_______________</w:t>
      </w:r>
    </w:p>
    <w:tbl>
      <w:tblPr>
        <w:tblStyle w:val="45"/>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88"/>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71" w:type="pct"/>
            <w:vMerge w:val="restart"/>
            <w:vAlign w:val="center"/>
          </w:tcPr>
          <w:p>
            <w:pPr>
              <w:tabs>
                <w:tab w:val="left" w:pos="5580"/>
              </w:tabs>
              <w:jc w:val="center"/>
              <w:rPr>
                <w:rFonts w:eastAsia="宋体"/>
                <w:b/>
                <w:sz w:val="24"/>
              </w:rPr>
            </w:pPr>
            <w:r>
              <w:rPr>
                <w:rFonts w:eastAsia="宋体"/>
                <w:b/>
                <w:sz w:val="24"/>
              </w:rPr>
              <w:t>序号</w:t>
            </w:r>
          </w:p>
        </w:tc>
        <w:tc>
          <w:tcPr>
            <w:tcW w:w="1326" w:type="pct"/>
            <w:vMerge w:val="restart"/>
            <w:vAlign w:val="center"/>
          </w:tcPr>
          <w:p>
            <w:pPr>
              <w:tabs>
                <w:tab w:val="left" w:pos="5580"/>
              </w:tabs>
              <w:jc w:val="center"/>
              <w:rPr>
                <w:rFonts w:eastAsia="宋体"/>
                <w:b/>
                <w:sz w:val="24"/>
              </w:rPr>
            </w:pPr>
            <w:r>
              <w:rPr>
                <w:rFonts w:eastAsia="宋体"/>
                <w:b/>
                <w:sz w:val="24"/>
              </w:rPr>
              <w:t>供应商名称</w:t>
            </w:r>
          </w:p>
        </w:tc>
        <w:tc>
          <w:tcPr>
            <w:tcW w:w="1864" w:type="pct"/>
            <w:gridSpan w:val="2"/>
            <w:vAlign w:val="center"/>
          </w:tcPr>
          <w:p>
            <w:pPr>
              <w:tabs>
                <w:tab w:val="left" w:pos="5580"/>
              </w:tabs>
              <w:jc w:val="center"/>
              <w:rPr>
                <w:rFonts w:eastAsia="宋体"/>
                <w:b/>
                <w:sz w:val="24"/>
              </w:rPr>
            </w:pPr>
            <w:r>
              <w:rPr>
                <w:rFonts w:eastAsia="宋体"/>
                <w:b/>
                <w:sz w:val="24"/>
              </w:rPr>
              <w:t>最后报价</w:t>
            </w:r>
          </w:p>
        </w:tc>
        <w:tc>
          <w:tcPr>
            <w:tcW w:w="840" w:type="pct"/>
            <w:vMerge w:val="restart"/>
            <w:vAlign w:val="center"/>
          </w:tcPr>
          <w:p>
            <w:pPr>
              <w:tabs>
                <w:tab w:val="left" w:pos="5580"/>
              </w:tabs>
              <w:jc w:val="center"/>
              <w:rPr>
                <w:rFonts w:eastAsia="宋体"/>
                <w:b/>
                <w:sz w:val="24"/>
              </w:rPr>
            </w:pPr>
            <w:r>
              <w:rPr>
                <w:rFonts w:eastAsia="宋体"/>
                <w:b/>
                <w:sz w:val="24"/>
              </w:rPr>
              <w:t>其他</w:t>
            </w:r>
          </w:p>
          <w:p>
            <w:pPr>
              <w:tabs>
                <w:tab w:val="left" w:pos="5580"/>
              </w:tabs>
              <w:jc w:val="center"/>
              <w:rPr>
                <w:rFonts w:eastAsia="宋体"/>
                <w:b/>
                <w:sz w:val="24"/>
              </w:rPr>
            </w:pPr>
            <w:r>
              <w:rPr>
                <w:rFonts w:eastAsia="宋体"/>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971" w:type="pct"/>
            <w:vMerge w:val="continue"/>
            <w:vAlign w:val="center"/>
          </w:tcPr>
          <w:p>
            <w:pPr>
              <w:tabs>
                <w:tab w:val="left" w:pos="5580"/>
              </w:tabs>
              <w:jc w:val="center"/>
              <w:rPr>
                <w:rFonts w:eastAsia="宋体"/>
                <w:sz w:val="24"/>
              </w:rPr>
            </w:pPr>
          </w:p>
        </w:tc>
        <w:tc>
          <w:tcPr>
            <w:tcW w:w="1326" w:type="pct"/>
            <w:vMerge w:val="continue"/>
            <w:vAlign w:val="center"/>
          </w:tcPr>
          <w:p>
            <w:pPr>
              <w:tabs>
                <w:tab w:val="left" w:pos="5580"/>
              </w:tabs>
              <w:jc w:val="center"/>
              <w:rPr>
                <w:rFonts w:eastAsia="宋体"/>
                <w:sz w:val="24"/>
              </w:rPr>
            </w:pPr>
          </w:p>
        </w:tc>
        <w:tc>
          <w:tcPr>
            <w:tcW w:w="986" w:type="pct"/>
            <w:vAlign w:val="center"/>
          </w:tcPr>
          <w:p>
            <w:pPr>
              <w:tabs>
                <w:tab w:val="left" w:pos="5580"/>
              </w:tabs>
              <w:jc w:val="center"/>
              <w:rPr>
                <w:rFonts w:eastAsia="宋体"/>
                <w:b/>
                <w:sz w:val="24"/>
              </w:rPr>
            </w:pPr>
            <w:r>
              <w:rPr>
                <w:rFonts w:eastAsia="宋体"/>
                <w:b/>
                <w:sz w:val="24"/>
              </w:rPr>
              <w:t>大写</w:t>
            </w:r>
          </w:p>
        </w:tc>
        <w:tc>
          <w:tcPr>
            <w:tcW w:w="878" w:type="pct"/>
            <w:vAlign w:val="center"/>
          </w:tcPr>
          <w:p>
            <w:pPr>
              <w:tabs>
                <w:tab w:val="left" w:pos="5580"/>
              </w:tabs>
              <w:jc w:val="center"/>
              <w:rPr>
                <w:rFonts w:eastAsia="宋体"/>
                <w:b/>
                <w:sz w:val="24"/>
              </w:rPr>
            </w:pPr>
            <w:r>
              <w:rPr>
                <w:rFonts w:eastAsia="宋体"/>
                <w:b/>
                <w:sz w:val="24"/>
              </w:rPr>
              <w:t>小写</w:t>
            </w:r>
          </w:p>
        </w:tc>
        <w:tc>
          <w:tcPr>
            <w:tcW w:w="840" w:type="pct"/>
            <w:vMerge w:val="continue"/>
            <w:vAlign w:val="center"/>
          </w:tcPr>
          <w:p>
            <w:pPr>
              <w:tabs>
                <w:tab w:val="left" w:pos="5580"/>
              </w:tabs>
              <w:ind w:firstLine="482"/>
              <w:jc w:val="center"/>
              <w:rPr>
                <w:rFonts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71" w:type="pct"/>
            <w:vAlign w:val="center"/>
          </w:tcPr>
          <w:p>
            <w:pPr>
              <w:tabs>
                <w:tab w:val="left" w:pos="5580"/>
              </w:tabs>
              <w:jc w:val="center"/>
              <w:rPr>
                <w:rFonts w:eastAsia="宋体"/>
                <w:sz w:val="24"/>
              </w:rPr>
            </w:pPr>
          </w:p>
        </w:tc>
        <w:tc>
          <w:tcPr>
            <w:tcW w:w="1326" w:type="pct"/>
            <w:vAlign w:val="center"/>
          </w:tcPr>
          <w:p>
            <w:pPr>
              <w:tabs>
                <w:tab w:val="left" w:pos="5580"/>
              </w:tabs>
              <w:jc w:val="center"/>
              <w:rPr>
                <w:rFonts w:eastAsia="宋体"/>
                <w:sz w:val="24"/>
              </w:rPr>
            </w:pPr>
          </w:p>
        </w:tc>
        <w:tc>
          <w:tcPr>
            <w:tcW w:w="986" w:type="pct"/>
            <w:vAlign w:val="center"/>
          </w:tcPr>
          <w:p>
            <w:pPr>
              <w:tabs>
                <w:tab w:val="left" w:pos="5580"/>
              </w:tabs>
              <w:jc w:val="center"/>
              <w:rPr>
                <w:rFonts w:eastAsia="宋体"/>
                <w:sz w:val="24"/>
              </w:rPr>
            </w:pPr>
          </w:p>
        </w:tc>
        <w:tc>
          <w:tcPr>
            <w:tcW w:w="878" w:type="pct"/>
            <w:vAlign w:val="center"/>
          </w:tcPr>
          <w:p>
            <w:pPr>
              <w:tabs>
                <w:tab w:val="left" w:pos="5580"/>
              </w:tabs>
              <w:jc w:val="center"/>
              <w:rPr>
                <w:rFonts w:eastAsia="宋体"/>
                <w:sz w:val="24"/>
              </w:rPr>
            </w:pPr>
          </w:p>
        </w:tc>
        <w:tc>
          <w:tcPr>
            <w:tcW w:w="840" w:type="pct"/>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w:t>
      </w:r>
      <w:r>
        <w:rPr>
          <w:color w:val="000000"/>
          <w:sz w:val="24"/>
          <w:szCs w:val="20"/>
        </w:rPr>
        <w:t>最后</w:t>
      </w:r>
      <w:r>
        <w:rPr>
          <w:rFonts w:eastAsia="宋体"/>
          <w:color w:val="000000"/>
          <w:sz w:val="24"/>
          <w:szCs w:val="20"/>
        </w:rPr>
        <w:t>报价应和《最后分项报价表》中的总价相一致。</w:t>
      </w:r>
    </w:p>
    <w:p>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pPr>
        <w:pStyle w:val="180"/>
        <w:ind w:left="642" w:leftChars="227" w:hanging="165" w:hangingChars="69"/>
        <w:rPr>
          <w:rFonts w:ascii="Times New Roman" w:hAnsi="Times New Roman"/>
          <w:sz w:val="24"/>
          <w:szCs w:val="24"/>
        </w:rPr>
      </w:pPr>
      <w:r>
        <w:rPr>
          <w:rFonts w:ascii="Times New Roman" w:hAnsi="Times New Roman"/>
          <w:sz w:val="24"/>
          <w:szCs w:val="24"/>
        </w:rPr>
        <w:t>3.</w:t>
      </w:r>
      <w:bookmarkStart w:id="833" w:name="_Hlk137145809"/>
      <w:r>
        <w:rPr>
          <w:rFonts w:ascii="Times New Roman" w:hAnsi="Times New Roman"/>
          <w:sz w:val="24"/>
          <w:szCs w:val="24"/>
        </w:rPr>
        <w:t>此表无需在响应文件中提交，磋商后供应商按磋商小组要求提交。</w:t>
      </w:r>
      <w:bookmarkEnd w:id="833"/>
    </w:p>
    <w:p>
      <w:pPr>
        <w:tabs>
          <w:tab w:val="left" w:pos="5580"/>
        </w:tabs>
        <w:ind w:firstLine="480" w:firstLineChars="200"/>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sz w:val="24"/>
        </w:rPr>
        <w:sectPr>
          <w:pgSz w:w="11907" w:h="16840"/>
          <w:pgMar w:top="1418" w:right="1134" w:bottom="1418" w:left="1701" w:header="851" w:footer="851" w:gutter="0"/>
          <w:cols w:space="720" w:num="1"/>
          <w:docGrid w:linePitch="462" w:charSpace="0"/>
        </w:sect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sz w:val="24"/>
        </w:rPr>
      </w:pPr>
      <w:r>
        <w:rPr>
          <w:rFonts w:eastAsia="宋体"/>
          <w:sz w:val="24"/>
        </w:rPr>
        <w:t>1</w:t>
      </w:r>
      <w:r>
        <w:rPr>
          <w:rFonts w:hint="eastAsia" w:eastAsia="宋体"/>
          <w:sz w:val="24"/>
        </w:rPr>
        <w:t>1</w:t>
      </w:r>
      <w:r>
        <w:rPr>
          <w:rFonts w:eastAsia="宋体"/>
          <w:sz w:val="24"/>
        </w:rPr>
        <w:t xml:space="preserve">  最后分项报价表（实质性格式</w:t>
      </w:r>
      <w:r>
        <w:rPr>
          <w:rFonts w:hint="eastAsia" w:eastAsia="宋体"/>
          <w:sz w:val="24"/>
        </w:rPr>
        <w:t>，磋商后提交</w:t>
      </w:r>
      <w:r>
        <w:rPr>
          <w:rFonts w:eastAsia="宋体"/>
          <w:sz w:val="24"/>
        </w:rPr>
        <w:t>）</w:t>
      </w:r>
    </w:p>
    <w:p>
      <w:pPr>
        <w:spacing w:line="360" w:lineRule="exact"/>
        <w:ind w:firstLine="720"/>
        <w:jc w:val="center"/>
        <w:rPr>
          <w:rFonts w:eastAsia="宋体"/>
          <w:b/>
          <w:color w:val="000000"/>
          <w:sz w:val="36"/>
          <w:szCs w:val="36"/>
        </w:rPr>
      </w:pPr>
    </w:p>
    <w:p>
      <w:pPr>
        <w:spacing w:line="360" w:lineRule="exact"/>
        <w:jc w:val="center"/>
        <w:rPr>
          <w:rFonts w:eastAsia="宋体"/>
          <w:b/>
          <w:color w:val="auto"/>
          <w:sz w:val="36"/>
          <w:szCs w:val="36"/>
          <w:highlight w:val="none"/>
        </w:rPr>
      </w:pPr>
      <w:r>
        <w:rPr>
          <w:rFonts w:eastAsia="宋体"/>
          <w:b/>
          <w:color w:val="auto"/>
          <w:sz w:val="36"/>
          <w:szCs w:val="36"/>
          <w:highlight w:val="none"/>
        </w:rPr>
        <w:t>最后分项报价</w:t>
      </w:r>
      <w:r>
        <w:rPr>
          <w:rFonts w:hint="eastAsia" w:eastAsia="宋体"/>
          <w:b/>
          <w:color w:val="auto"/>
          <w:sz w:val="36"/>
          <w:szCs w:val="36"/>
          <w:highlight w:val="none"/>
        </w:rPr>
        <w:t>表</w:t>
      </w:r>
    </w:p>
    <w:p>
      <w:pPr>
        <w:tabs>
          <w:tab w:val="left" w:pos="1800"/>
          <w:tab w:val="left" w:pos="5580"/>
        </w:tabs>
        <w:rPr>
          <w:rFonts w:eastAsia="宋体"/>
          <w:color w:val="000000"/>
          <w:sz w:val="24"/>
        </w:rPr>
      </w:pPr>
    </w:p>
    <w:tbl>
      <w:tblPr>
        <w:tblStyle w:val="45"/>
        <w:tblpPr w:leftFromText="180" w:rightFromText="180" w:vertAnchor="text" w:horzAnchor="page" w:tblpX="1510" w:tblpY="5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938"/>
        <w:gridCol w:w="1347"/>
        <w:gridCol w:w="1345"/>
        <w:gridCol w:w="134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Align w:val="center"/>
          </w:tcPr>
          <w:p>
            <w:pPr>
              <w:adjustRightInd w:val="0"/>
              <w:snapToGrid w:val="0"/>
              <w:jc w:val="left"/>
              <w:rPr>
                <w:rFonts w:eastAsia="宋体"/>
                <w:b/>
                <w:color w:val="000000"/>
                <w:sz w:val="24"/>
              </w:rPr>
            </w:pPr>
            <w:r>
              <w:rPr>
                <w:rFonts w:eastAsia="宋体"/>
                <w:b/>
                <w:color w:val="000000"/>
                <w:sz w:val="24"/>
              </w:rPr>
              <w:t>序号</w:t>
            </w:r>
          </w:p>
        </w:tc>
        <w:tc>
          <w:tcPr>
            <w:tcW w:w="1581" w:type="pct"/>
            <w:vAlign w:val="center"/>
          </w:tcPr>
          <w:p>
            <w:pPr>
              <w:adjustRightInd w:val="0"/>
              <w:snapToGrid w:val="0"/>
              <w:jc w:val="center"/>
              <w:rPr>
                <w:rFonts w:eastAsia="宋体"/>
                <w:b/>
                <w:color w:val="000000"/>
                <w:sz w:val="24"/>
              </w:rPr>
            </w:pPr>
            <w:r>
              <w:rPr>
                <w:rFonts w:eastAsia="宋体"/>
                <w:b/>
                <w:color w:val="000000"/>
                <w:sz w:val="24"/>
              </w:rPr>
              <w:t>分项名称</w:t>
            </w:r>
          </w:p>
        </w:tc>
        <w:tc>
          <w:tcPr>
            <w:tcW w:w="725" w:type="pct"/>
            <w:vAlign w:val="center"/>
          </w:tcPr>
          <w:p>
            <w:pPr>
              <w:adjustRightInd w:val="0"/>
              <w:snapToGrid w:val="0"/>
              <w:jc w:val="center"/>
              <w:rPr>
                <w:rFonts w:eastAsia="宋体"/>
                <w:b/>
                <w:color w:val="000000"/>
                <w:sz w:val="24"/>
              </w:rPr>
            </w:pPr>
            <w:r>
              <w:rPr>
                <w:rFonts w:eastAsia="宋体"/>
                <w:b/>
                <w:color w:val="000000"/>
                <w:sz w:val="24"/>
              </w:rPr>
              <w:t>单价（元）</w:t>
            </w:r>
          </w:p>
        </w:tc>
        <w:tc>
          <w:tcPr>
            <w:tcW w:w="724" w:type="pct"/>
            <w:vAlign w:val="center"/>
          </w:tcPr>
          <w:p>
            <w:pPr>
              <w:adjustRightInd w:val="0"/>
              <w:snapToGrid w:val="0"/>
              <w:jc w:val="center"/>
              <w:rPr>
                <w:rFonts w:eastAsia="宋体"/>
                <w:b/>
                <w:color w:val="000000"/>
                <w:sz w:val="24"/>
              </w:rPr>
            </w:pPr>
            <w:r>
              <w:rPr>
                <w:rFonts w:eastAsia="宋体"/>
                <w:b/>
                <w:color w:val="000000"/>
                <w:sz w:val="24"/>
              </w:rPr>
              <w:t>数量</w:t>
            </w:r>
          </w:p>
        </w:tc>
        <w:tc>
          <w:tcPr>
            <w:tcW w:w="724" w:type="pct"/>
            <w:vAlign w:val="center"/>
          </w:tcPr>
          <w:p>
            <w:pPr>
              <w:adjustRightInd w:val="0"/>
              <w:snapToGrid w:val="0"/>
              <w:jc w:val="center"/>
              <w:rPr>
                <w:rFonts w:eastAsia="宋体"/>
                <w:b/>
                <w:color w:val="000000"/>
                <w:sz w:val="24"/>
              </w:rPr>
            </w:pPr>
            <w:r>
              <w:rPr>
                <w:rFonts w:eastAsia="宋体"/>
                <w:b/>
                <w:color w:val="000000"/>
                <w:sz w:val="24"/>
              </w:rPr>
              <w:t>合价（元）</w:t>
            </w:r>
          </w:p>
        </w:tc>
        <w:tc>
          <w:tcPr>
            <w:tcW w:w="918" w:type="pct"/>
            <w:vAlign w:val="center"/>
          </w:tcPr>
          <w:p>
            <w:pPr>
              <w:adjustRightInd w:val="0"/>
              <w:snapToGrid w:val="0"/>
              <w:jc w:val="center"/>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vAlign w:val="center"/>
          </w:tcPr>
          <w:p>
            <w:pPr>
              <w:adjustRightInd w:val="0"/>
              <w:snapToGrid w:val="0"/>
              <w:jc w:val="center"/>
              <w:rPr>
                <w:rFonts w:eastAsia="宋体"/>
                <w:color w:val="000000"/>
                <w:sz w:val="24"/>
              </w:rPr>
            </w:pPr>
            <w:r>
              <w:rPr>
                <w:rFonts w:eastAsia="宋体"/>
                <w:color w:val="000000"/>
                <w:sz w:val="24"/>
              </w:rPr>
              <w:t>1</w:t>
            </w:r>
          </w:p>
        </w:tc>
        <w:tc>
          <w:tcPr>
            <w:tcW w:w="1581" w:type="pct"/>
            <w:vAlign w:val="center"/>
          </w:tcPr>
          <w:p>
            <w:pPr>
              <w:adjustRightInd w:val="0"/>
              <w:snapToGrid w:val="0"/>
              <w:jc w:val="left"/>
              <w:rPr>
                <w:rFonts w:eastAsia="宋体"/>
                <w:color w:val="000000"/>
                <w:sz w:val="24"/>
              </w:rPr>
            </w:pPr>
          </w:p>
        </w:tc>
        <w:tc>
          <w:tcPr>
            <w:tcW w:w="725" w:type="pct"/>
            <w:vAlign w:val="center"/>
          </w:tcPr>
          <w:p>
            <w:pPr>
              <w:adjustRightInd w:val="0"/>
              <w:snapToGrid w:val="0"/>
              <w:jc w:val="left"/>
              <w:rPr>
                <w:rFonts w:eastAsia="宋体"/>
                <w:color w:val="000000"/>
                <w:sz w:val="24"/>
              </w:rPr>
            </w:pPr>
          </w:p>
        </w:tc>
        <w:tc>
          <w:tcPr>
            <w:tcW w:w="724" w:type="pct"/>
            <w:vAlign w:val="center"/>
          </w:tcPr>
          <w:p>
            <w:pPr>
              <w:adjustRightInd w:val="0"/>
              <w:snapToGrid w:val="0"/>
              <w:jc w:val="center"/>
              <w:rPr>
                <w:rFonts w:eastAsia="宋体"/>
                <w:color w:val="000000"/>
                <w:sz w:val="24"/>
              </w:rPr>
            </w:pPr>
          </w:p>
        </w:tc>
        <w:tc>
          <w:tcPr>
            <w:tcW w:w="724" w:type="pct"/>
            <w:vAlign w:val="center"/>
          </w:tcPr>
          <w:p>
            <w:pPr>
              <w:adjustRightInd w:val="0"/>
              <w:snapToGrid w:val="0"/>
              <w:jc w:val="left"/>
              <w:rPr>
                <w:rFonts w:eastAsia="宋体"/>
                <w:color w:val="000000"/>
                <w:sz w:val="24"/>
              </w:rPr>
            </w:pPr>
          </w:p>
        </w:tc>
        <w:tc>
          <w:tcPr>
            <w:tcW w:w="918" w:type="pct"/>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rFonts w:eastAsia="宋体"/>
                <w:color w:val="000000"/>
                <w:sz w:val="24"/>
              </w:rPr>
            </w:pPr>
            <w:r>
              <w:rPr>
                <w:rFonts w:eastAsia="宋体"/>
                <w:color w:val="000000"/>
                <w:sz w:val="24"/>
              </w:rPr>
              <w:t>2</w:t>
            </w:r>
          </w:p>
        </w:tc>
        <w:tc>
          <w:tcPr>
            <w:tcW w:w="1581" w:type="pct"/>
            <w:vAlign w:val="center"/>
          </w:tcPr>
          <w:p>
            <w:pPr>
              <w:adjustRightInd w:val="0"/>
              <w:snapToGrid w:val="0"/>
              <w:jc w:val="left"/>
              <w:rPr>
                <w:rFonts w:eastAsia="宋体"/>
                <w:color w:val="000000"/>
                <w:sz w:val="24"/>
              </w:rPr>
            </w:pPr>
          </w:p>
        </w:tc>
        <w:tc>
          <w:tcPr>
            <w:tcW w:w="725" w:type="pct"/>
            <w:vAlign w:val="center"/>
          </w:tcPr>
          <w:p>
            <w:pPr>
              <w:adjustRightInd w:val="0"/>
              <w:snapToGrid w:val="0"/>
              <w:jc w:val="left"/>
              <w:rPr>
                <w:rFonts w:eastAsia="宋体"/>
                <w:color w:val="000000"/>
                <w:sz w:val="24"/>
              </w:rPr>
            </w:pPr>
          </w:p>
        </w:tc>
        <w:tc>
          <w:tcPr>
            <w:tcW w:w="724" w:type="pct"/>
            <w:vAlign w:val="center"/>
          </w:tcPr>
          <w:p>
            <w:pPr>
              <w:adjustRightInd w:val="0"/>
              <w:snapToGrid w:val="0"/>
              <w:jc w:val="center"/>
              <w:rPr>
                <w:rFonts w:eastAsia="宋体"/>
                <w:color w:val="000000"/>
                <w:sz w:val="24"/>
              </w:rPr>
            </w:pPr>
          </w:p>
        </w:tc>
        <w:tc>
          <w:tcPr>
            <w:tcW w:w="724" w:type="pct"/>
            <w:vAlign w:val="center"/>
          </w:tcPr>
          <w:p>
            <w:pPr>
              <w:adjustRightInd w:val="0"/>
              <w:snapToGrid w:val="0"/>
              <w:jc w:val="left"/>
              <w:rPr>
                <w:rFonts w:eastAsia="宋体"/>
                <w:color w:val="000000"/>
                <w:sz w:val="24"/>
              </w:rPr>
            </w:pPr>
          </w:p>
        </w:tc>
        <w:tc>
          <w:tcPr>
            <w:tcW w:w="918" w:type="pct"/>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vAlign w:val="center"/>
          </w:tcPr>
          <w:p>
            <w:pPr>
              <w:adjustRightInd w:val="0"/>
              <w:snapToGrid w:val="0"/>
              <w:jc w:val="center"/>
              <w:rPr>
                <w:rFonts w:eastAsia="宋体"/>
                <w:color w:val="000000"/>
                <w:sz w:val="24"/>
              </w:rPr>
            </w:pPr>
            <w:r>
              <w:rPr>
                <w:rFonts w:eastAsia="宋体"/>
                <w:color w:val="000000"/>
                <w:sz w:val="24"/>
              </w:rPr>
              <w:t>3</w:t>
            </w:r>
          </w:p>
        </w:tc>
        <w:tc>
          <w:tcPr>
            <w:tcW w:w="1581" w:type="pct"/>
            <w:vAlign w:val="center"/>
          </w:tcPr>
          <w:p>
            <w:pPr>
              <w:adjustRightInd w:val="0"/>
              <w:snapToGrid w:val="0"/>
              <w:jc w:val="left"/>
              <w:rPr>
                <w:rFonts w:eastAsia="宋体"/>
                <w:color w:val="000000"/>
                <w:sz w:val="24"/>
              </w:rPr>
            </w:pPr>
            <w:r>
              <w:rPr>
                <w:rFonts w:eastAsia="宋体"/>
                <w:color w:val="000000"/>
                <w:sz w:val="24"/>
              </w:rPr>
              <w:t>…</w:t>
            </w:r>
          </w:p>
        </w:tc>
        <w:tc>
          <w:tcPr>
            <w:tcW w:w="725" w:type="pct"/>
            <w:vAlign w:val="center"/>
          </w:tcPr>
          <w:p>
            <w:pPr>
              <w:adjustRightInd w:val="0"/>
              <w:snapToGrid w:val="0"/>
              <w:jc w:val="left"/>
              <w:rPr>
                <w:rFonts w:eastAsia="宋体"/>
                <w:color w:val="000000"/>
                <w:sz w:val="24"/>
              </w:rPr>
            </w:pPr>
          </w:p>
        </w:tc>
        <w:tc>
          <w:tcPr>
            <w:tcW w:w="724" w:type="pct"/>
            <w:vAlign w:val="center"/>
          </w:tcPr>
          <w:p>
            <w:pPr>
              <w:adjustRightInd w:val="0"/>
              <w:snapToGrid w:val="0"/>
              <w:jc w:val="center"/>
              <w:rPr>
                <w:rFonts w:eastAsia="宋体"/>
                <w:color w:val="000000"/>
                <w:sz w:val="24"/>
              </w:rPr>
            </w:pPr>
          </w:p>
        </w:tc>
        <w:tc>
          <w:tcPr>
            <w:tcW w:w="724" w:type="pct"/>
            <w:vAlign w:val="center"/>
          </w:tcPr>
          <w:p>
            <w:pPr>
              <w:adjustRightInd w:val="0"/>
              <w:snapToGrid w:val="0"/>
              <w:jc w:val="left"/>
              <w:rPr>
                <w:rFonts w:eastAsia="宋体"/>
                <w:color w:val="000000"/>
                <w:sz w:val="24"/>
              </w:rPr>
            </w:pPr>
          </w:p>
        </w:tc>
        <w:tc>
          <w:tcPr>
            <w:tcW w:w="918" w:type="pct"/>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pPr>
              <w:adjustRightInd w:val="0"/>
              <w:snapToGrid w:val="0"/>
              <w:jc w:val="left"/>
              <w:rPr>
                <w:rFonts w:eastAsia="宋体"/>
                <w:color w:val="000000"/>
                <w:sz w:val="24"/>
              </w:rPr>
            </w:pPr>
            <w:r>
              <w:rPr>
                <w:rFonts w:eastAsia="宋体"/>
                <w:color w:val="000000"/>
                <w:sz w:val="24"/>
              </w:rPr>
              <w:t>总价（元）</w:t>
            </w:r>
          </w:p>
        </w:tc>
        <w:tc>
          <w:tcPr>
            <w:tcW w:w="724" w:type="pct"/>
            <w:vAlign w:val="center"/>
          </w:tcPr>
          <w:p>
            <w:pPr>
              <w:adjustRightInd w:val="0"/>
              <w:snapToGrid w:val="0"/>
              <w:jc w:val="center"/>
              <w:rPr>
                <w:rFonts w:eastAsia="宋体"/>
                <w:color w:val="000000"/>
                <w:sz w:val="24"/>
              </w:rPr>
            </w:pPr>
          </w:p>
        </w:tc>
        <w:tc>
          <w:tcPr>
            <w:tcW w:w="724" w:type="pct"/>
            <w:vAlign w:val="center"/>
          </w:tcPr>
          <w:p>
            <w:pPr>
              <w:adjustRightInd w:val="0"/>
              <w:snapToGrid w:val="0"/>
              <w:jc w:val="left"/>
              <w:rPr>
                <w:rFonts w:eastAsia="宋体"/>
                <w:color w:val="000000"/>
                <w:sz w:val="24"/>
              </w:rPr>
            </w:pPr>
          </w:p>
        </w:tc>
        <w:tc>
          <w:tcPr>
            <w:tcW w:w="918" w:type="pct"/>
            <w:vAlign w:val="center"/>
          </w:tcPr>
          <w:p>
            <w:pPr>
              <w:adjustRightInd w:val="0"/>
              <w:snapToGrid w:val="0"/>
              <w:jc w:val="left"/>
              <w:rPr>
                <w:rFonts w:eastAsia="宋体"/>
                <w:color w:val="000000"/>
                <w:sz w:val="24"/>
              </w:rPr>
            </w:pPr>
          </w:p>
        </w:tc>
      </w:tr>
    </w:tbl>
    <w:p>
      <w:pPr>
        <w:tabs>
          <w:tab w:val="left" w:pos="1800"/>
          <w:tab w:val="left" w:pos="5580"/>
        </w:tabs>
        <w:rPr>
          <w:rFonts w:eastAsia="宋体"/>
          <w:color w:val="000000"/>
          <w:sz w:val="24"/>
        </w:rPr>
      </w:pPr>
      <w:r>
        <w:rPr>
          <w:rFonts w:eastAsia="宋体"/>
          <w:color w:val="000000"/>
          <w:sz w:val="24"/>
        </w:rPr>
        <w:t>项目编号：_________ 项目名称：_________报价单位：人民币元</w:t>
      </w:r>
    </w:p>
    <w:p>
      <w:pPr>
        <w:spacing w:line="360" w:lineRule="exact"/>
        <w:jc w:val="center"/>
        <w:rPr>
          <w:rFonts w:eastAsia="宋体"/>
          <w:b/>
          <w:i/>
          <w:color w:val="FF0000"/>
          <w:sz w:val="24"/>
        </w:rPr>
      </w:pPr>
    </w:p>
    <w:p>
      <w:pPr>
        <w:rPr>
          <w:rFonts w:eastAsia="宋体"/>
          <w:b/>
          <w:i/>
          <w:color w:val="FF0000"/>
          <w:sz w:val="24"/>
        </w:rPr>
      </w:pPr>
    </w:p>
    <w:p>
      <w:pPr>
        <w:tabs>
          <w:tab w:val="left" w:pos="1800"/>
          <w:tab w:val="left" w:pos="5580"/>
        </w:tabs>
        <w:jc w:val="left"/>
        <w:rPr>
          <w:rFonts w:eastAsia="宋体"/>
          <w:color w:val="000000"/>
          <w:sz w:val="24"/>
        </w:rPr>
      </w:pPr>
      <w:r>
        <w:rPr>
          <w:rFonts w:eastAsia="宋体"/>
          <w:color w:val="000000"/>
          <w:sz w:val="24"/>
        </w:rPr>
        <w:t>注：1.本表应按包分别填写。</w:t>
      </w:r>
    </w:p>
    <w:p>
      <w:pPr>
        <w:tabs>
          <w:tab w:val="left" w:pos="1800"/>
          <w:tab w:val="left" w:pos="5580"/>
        </w:tabs>
        <w:ind w:firstLine="480" w:firstLineChars="200"/>
        <w:jc w:val="left"/>
        <w:rPr>
          <w:rFonts w:eastAsia="宋体"/>
          <w:color w:val="000000"/>
          <w:sz w:val="24"/>
        </w:rPr>
      </w:pPr>
      <w:r>
        <w:rPr>
          <w:rFonts w:eastAsia="宋体"/>
          <w:color w:val="000000"/>
          <w:sz w:val="24"/>
        </w:rPr>
        <w:t>2.上述各项的详细规格（如有），可另页描述。</w:t>
      </w:r>
    </w:p>
    <w:p>
      <w:pPr>
        <w:tabs>
          <w:tab w:val="left" w:pos="1800"/>
          <w:tab w:val="left" w:pos="5580"/>
        </w:tabs>
        <w:ind w:firstLine="480" w:firstLineChars="200"/>
        <w:jc w:val="left"/>
        <w:rPr>
          <w:sz w:val="24"/>
        </w:rPr>
      </w:pPr>
      <w:r>
        <w:rPr>
          <w:sz w:val="24"/>
        </w:rPr>
        <w:t>3.此表无需在响应文件中提交，磋商后供应商按磋商小组要求提交。</w:t>
      </w: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kern w:val="0"/>
          <w:sz w:val="24"/>
        </w:rPr>
        <w:t>供应商授权代表签字（或加盖供应商公章）</w:t>
      </w:r>
      <w:r>
        <w:rPr>
          <w:rFonts w:eastAsia="宋体"/>
          <w:color w:val="000000"/>
          <w:sz w:val="24"/>
          <w:lang w:val="zh-CN"/>
        </w:rPr>
        <w:t xml:space="preserve">：____________ </w:t>
      </w:r>
    </w:p>
    <w:p>
      <w:pPr>
        <w:autoSpaceDE w:val="0"/>
        <w:autoSpaceDN w:val="0"/>
        <w:adjustRightInd w:val="0"/>
        <w:snapToGrid w:val="0"/>
        <w:spacing w:before="25" w:after="25" w:line="360" w:lineRule="auto"/>
        <w:rPr>
          <w:rFonts w:eastAsia="宋体"/>
          <w:color w:val="000000"/>
          <w:sz w:val="24"/>
        </w:rPr>
      </w:pPr>
      <w:r>
        <w:rPr>
          <w:rFonts w:eastAsia="宋体"/>
          <w:color w:val="000000"/>
          <w:sz w:val="24"/>
          <w:szCs w:val="20"/>
        </w:rPr>
        <w:t>日期：____年____月___</w:t>
      </w: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000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000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altName w:val="NumberOnly"/>
    <w:panose1 w:val="020B0502020000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rPr>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0"/>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w:t>
                          </w:r>
                          <w:r>
                            <w:rPr>
                              <w:rFonts w:ascii="Times New Roman"/>
                            </w:rPr>
                            <w:fldChar w:fldCharType="end"/>
                          </w:r>
                        </w:p>
                        <w:p>
                          <w:pPr>
                            <w:pStyle w:val="2"/>
                          </w:pP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HwkrQrKAQAAkgMAAA4AAAAAAAAAAQAgAAAAHwEAAGRycy9lMm9E&#10;b2MueG1sUEsFBgAAAAAGAAYAWQEAAFsFAAAAAA==&#10;">
              <v:fill on="f" focussize="0,0"/>
              <v:stroke on="f"/>
              <v:imagedata o:title=""/>
              <o:lock v:ext="edit" aspectratio="f"/>
              <v:textbox inset="0mm,0mm,0mm,0mm" style="mso-fit-shape-to-text:t;">
                <w:txbxContent>
                  <w:p>
                    <w:pPr>
                      <w:pStyle w:val="30"/>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w:t>
                    </w:r>
                    <w:r>
                      <w:rPr>
                        <w:rFonts w:ascii="Times New Roman"/>
                      </w:rPr>
                      <w:fldChar w:fldCharType="end"/>
                    </w:r>
                  </w:p>
                  <w:p>
                    <w:pPr>
                      <w:pStyle w:val="2"/>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0"/>
                            <w:jc w:val="center"/>
                          </w:pPr>
                          <w:r>
                            <w:fldChar w:fldCharType="begin"/>
                          </w:r>
                          <w:r>
                            <w:instrText xml:space="preserve">PAGE   \* MERGEFORMAT</w:instrText>
                          </w:r>
                          <w:r>
                            <w:fldChar w:fldCharType="separate"/>
                          </w:r>
                          <w:r>
                            <w:rPr>
                              <w:lang w:val="zh-CN"/>
                            </w:rPr>
                            <w:t>1</w:t>
                          </w:r>
                          <w:r>
                            <w:fldChar w:fldCharType="end"/>
                          </w:r>
                        </w:p>
                        <w:p>
                          <w:pPr>
                            <w:pStyle w:val="2"/>
                          </w:pP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2bgjvJAQAAkg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7n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nZuCO8kBAACSAwAADgAAAAAAAAABACAAAAAfAQAAZHJzL2Uyb0Rv&#10;Yy54bWxQSwUGAAAAAAYABgBZAQAAWgUAAAAA&#10;">
              <v:fill on="f" focussize="0,0"/>
              <v:stroke on="f"/>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1</w:t>
                    </w:r>
                    <w:r>
                      <w:fldChar w:fldCharType="end"/>
                    </w:r>
                  </w:p>
                  <w:p>
                    <w:pPr>
                      <w:pStyle w:val="2"/>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0"/>
                          </w:pPr>
                          <w:r>
                            <w:fldChar w:fldCharType="begin"/>
                          </w:r>
                          <w:r>
                            <w:instrText xml:space="preserve"> PAGE  \* MERGEFORMAT </w:instrText>
                          </w:r>
                          <w:r>
                            <w:fldChar w:fldCharType="separate"/>
                          </w:r>
                          <w:r>
                            <w:t>15</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15</w:t>
                    </w:r>
                    <w:r>
                      <w:fldChar w:fldCharType="end"/>
                    </w:r>
                  </w:p>
                </w:txbxContent>
              </v:textbox>
            </v:rect>
          </w:pict>
        </mc:Fallback>
      </mc:AlternateContent>
    </w: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9777095</wp:posOffset>
              </wp:positionV>
              <wp:extent cx="5277485" cy="283845"/>
              <wp:effectExtent l="0" t="0" r="0" b="0"/>
              <wp:wrapNone/>
              <wp:docPr id="4101" name="文本框 4"/>
              <wp:cNvGraphicFramePr/>
              <a:graphic xmlns:a="http://schemas.openxmlformats.org/drawingml/2006/main">
                <a:graphicData uri="http://schemas.microsoft.com/office/word/2010/wordprocessingShape">
                  <wps:wsp>
                    <wps:cNvSpPr/>
                    <wps:spPr>
                      <a:xfrm>
                        <a:off x="0" y="0"/>
                        <a:ext cx="5277485" cy="283843"/>
                      </a:xfrm>
                      <a:prstGeom prst="rect">
                        <a:avLst/>
                      </a:prstGeom>
                      <a:ln>
                        <a:noFill/>
                      </a:ln>
                      <a:effectLst>
                        <a:outerShdw algn="ctr" rotWithShape="0">
                          <a:srgbClr val="A0A0A4"/>
                        </a:outerShdw>
                      </a:effectLst>
                    </wps:spPr>
                    <wps:bodyPr/>
                  </wps:wsp>
                </a:graphicData>
              </a:graphic>
            </wp:anchor>
          </w:drawing>
        </mc:Choice>
        <mc:Fallback>
          <w:pict>
            <v:rect id="文本框 4" o:spid="_x0000_s1026" o:spt="1" style="position:absolute;left:0pt;margin-left:89.85pt;margin-top:769.85pt;height:22.35pt;width:415.55pt;mso-position-horizontal-relative:page;mso-position-vertical-relative:page;z-index:-251657216;mso-width-relative:page;mso-height-relative:page;" filled="f" stroked="f" coordsize="21600,21600" o:allowincell="f" o:gfxdata="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bwI+dYAAAAOAQAADwAAAAAAAAABACAAAAAiAAAA&#10;ZHJzL2Rvd25yZXYueG1sUEsBAhQAFAAAAAgAh07iQKv61UvQAQAAkAMAAA4AAAAAAAAAAQAgAAAA&#10;JQEAAGRycy9lMm9Eb2MueG1sUEsFBgAAAAAGAAYAWQEAAGcFAAAAAA==&#10;">
              <v:fill on="f" focussize="0,0"/>
              <v:stroke on="f"/>
              <v:imagedata o:title=""/>
              <o:lock v:ext="edit" aspectratio="f"/>
              <v:shadow on="t" color="#A0A0A4" offset="0pt,0pt" origin="0f,0f" matrix="65536f,0f,0f,65536f"/>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30"/>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延庆区政务云采购项目</w:t>
    </w:r>
  </w:p>
  <w:p>
    <w:pPr>
      <w:pStyle w:val="31"/>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pPr>
    <w:r>
      <w:rPr>
        <w:rFonts w:hint="eastAsia"/>
      </w:rPr>
      <w:t>延庆区政务云采购项目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黑体" w:hAnsi="宋体" w:eastAsia="黑体"/>
        <w:sz w:val="24"/>
        <w:u w:val="single"/>
      </w:rPr>
    </w:pPr>
    <w:r>
      <w:rPr>
        <w:rFonts w:hint="eastAsia" w:ascii="黑体" w:hAnsi="宋体" w:eastAsia="黑体"/>
        <w:sz w:val="24"/>
        <w:u w:val="single"/>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4099" name="文本框 3"/>
              <wp:cNvGraphicFramePr/>
              <a:graphic xmlns:a="http://schemas.openxmlformats.org/drawingml/2006/main">
                <a:graphicData uri="http://schemas.microsoft.com/office/word/2010/wordprocessingShape">
                  <wps:wsp>
                    <wps:cNvSpPr/>
                    <wps:spPr>
                      <a:xfrm>
                        <a:off x="0" y="0"/>
                        <a:ext cx="5277485" cy="374014"/>
                      </a:xfrm>
                      <a:prstGeom prst="rect">
                        <a:avLst/>
                      </a:prstGeom>
                      <a:ln>
                        <a:noFill/>
                      </a:ln>
                      <a:effectLst>
                        <a:outerShdw algn="ctr" rotWithShape="0">
                          <a:srgbClr val="A0A0A4"/>
                        </a:outerShdw>
                      </a:effectLst>
                    </wps:spPr>
                    <wps:bodyPr/>
                  </wps:wsp>
                </a:graphicData>
              </a:graphic>
            </wp:anchor>
          </w:drawing>
        </mc:Choice>
        <mc:Fallback>
          <w:pict>
            <v:rect id="文本框 3" o:spid="_x0000_s1026" o:spt="1"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lEpldYAAAALAQAADwAAAAAAAAABACAAAAAiAAAA&#10;ZHJzL2Rvd25yZXYueG1sUEsBAhQAFAAAAAgAh07iQGSslwjQAQAAkAMAAA4AAAAAAAAAAQAgAAAA&#10;JQEAAGRycy9lMm9Eb2MueG1sUEsFBgAAAAAGAAYAWQEAAGcFAAAAAA==&#10;">
              <v:fill on="f" focussize="0,0"/>
              <v:stroke on="f"/>
              <v:imagedata o:title=""/>
              <o:lock v:ext="edit" aspectratio="f"/>
              <v:shadow on="t" color="#A0A0A4" offset="0pt,0pt" origin="0f,0f" matrix="65536f,0f,0f,65536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1"/>
    <w:multiLevelType w:val="multilevel"/>
    <w:tmpl w:val="00000001"/>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03"/>
    <w:multiLevelType w:val="singleLevel"/>
    <w:tmpl w:val="00000003"/>
    <w:lvl w:ilvl="0" w:tentative="0">
      <w:start w:val="1"/>
      <w:numFmt w:val="decimal"/>
      <w:pStyle w:val="135"/>
      <w:lvlText w:val="%1."/>
      <w:lvlJc w:val="left"/>
      <w:pPr>
        <w:tabs>
          <w:tab w:val="left" w:pos="360"/>
        </w:tabs>
        <w:ind w:left="360" w:hanging="360"/>
      </w:pPr>
      <w:rPr>
        <w:rFonts w:hint="default"/>
      </w:rPr>
    </w:lvl>
  </w:abstractNum>
  <w:abstractNum w:abstractNumId="4">
    <w:nsid w:val="00000004"/>
    <w:multiLevelType w:val="multilevel"/>
    <w:tmpl w:val="00000004"/>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05"/>
    <w:multiLevelType w:val="multilevel"/>
    <w:tmpl w:val="00000005"/>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06"/>
    <w:multiLevelType w:val="multilevel"/>
    <w:tmpl w:val="00000006"/>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07"/>
    <w:multiLevelType w:val="multilevel"/>
    <w:tmpl w:val="00000007"/>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00000009"/>
    <w:multiLevelType w:val="multilevel"/>
    <w:tmpl w:val="0000000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0A"/>
    <w:multiLevelType w:val="singleLevel"/>
    <w:tmpl w:val="0000000A"/>
    <w:lvl w:ilvl="0" w:tentative="0">
      <w:start w:val="1"/>
      <w:numFmt w:val="decimal"/>
      <w:suff w:val="space"/>
      <w:lvlText w:val="%1."/>
      <w:lvlJc w:val="left"/>
    </w:lvl>
  </w:abstractNum>
  <w:abstractNum w:abstractNumId="11">
    <w:nsid w:val="0000000B"/>
    <w:multiLevelType w:val="multilevel"/>
    <w:tmpl w:val="0000000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000000C"/>
    <w:multiLevelType w:val="singleLevel"/>
    <w:tmpl w:val="0000000C"/>
    <w:lvl w:ilvl="0" w:tentative="0">
      <w:start w:val="1"/>
      <w:numFmt w:val="decimal"/>
      <w:lvlText w:val="%1."/>
      <w:lvlJc w:val="left"/>
      <w:pPr>
        <w:tabs>
          <w:tab w:val="left" w:pos="312"/>
        </w:tabs>
        <w:ind w:left="-103"/>
      </w:p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621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qFormat/>
    <w:uiPriority w:val="1"/>
  </w:style>
  <w:style w:type="table" w:default="1" w:styleId="45">
    <w:name w:val="Normal Table"/>
    <w:qFormat/>
    <w:uiPriority w:val="99"/>
    <w:tblPr>
      <w:tblCellMar>
        <w:top w:w="0" w:type="dxa"/>
        <w:left w:w="108" w:type="dxa"/>
        <w:bottom w:w="0" w:type="dxa"/>
        <w:right w:w="108" w:type="dxa"/>
      </w:tblCellMar>
    </w:tblPr>
  </w:style>
  <w:style w:type="paragraph" w:styleId="2">
    <w:name w:val="toa heading"/>
    <w:next w:val="1"/>
    <w:qFormat/>
    <w:uiPriority w:val="0"/>
    <w:pPr>
      <w:widowControl w:val="0"/>
      <w:spacing w:before="120"/>
      <w:jc w:val="both"/>
    </w:pPr>
    <w:rPr>
      <w:rFonts w:ascii="Arial" w:hAnsi="Arial" w:eastAsia="宋体" w:cs="Times New Roman"/>
      <w:kern w:val="2"/>
      <w:sz w:val="24"/>
      <w:szCs w:val="24"/>
      <w:lang w:val="en-US" w:eastAsia="zh-CN" w:bidi="ar-SA"/>
    </w:rPr>
  </w:style>
  <w:style w:type="paragraph" w:styleId="6">
    <w:name w:val="Normal Indent"/>
    <w:basedOn w:val="1"/>
    <w:link w:val="64"/>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38"/>
    <w:qFormat/>
    <w:uiPriority w:val="0"/>
    <w:pPr>
      <w:shd w:val="clear" w:color="auto" w:fill="000080"/>
    </w:pPr>
  </w:style>
  <w:style w:type="paragraph" w:styleId="16">
    <w:name w:val="annotation text"/>
    <w:basedOn w:val="1"/>
    <w:link w:val="184"/>
    <w:qFormat/>
    <w:uiPriority w:val="99"/>
    <w:pPr>
      <w:jc w:val="left"/>
    </w:pPr>
  </w:style>
  <w:style w:type="paragraph" w:styleId="17">
    <w:name w:val="Body Text 3"/>
    <w:basedOn w:val="1"/>
    <w:link w:val="239"/>
    <w:qFormat/>
    <w:uiPriority w:val="0"/>
    <w:pPr>
      <w:spacing w:after="120"/>
    </w:pPr>
    <w:rPr>
      <w:sz w:val="16"/>
      <w:szCs w:val="16"/>
    </w:rPr>
  </w:style>
  <w:style w:type="paragraph" w:styleId="18">
    <w:name w:val="Body Text"/>
    <w:basedOn w:val="1"/>
    <w:next w:val="1"/>
    <w:link w:val="240"/>
    <w:qFormat/>
    <w:uiPriority w:val="0"/>
    <w:pPr>
      <w:tabs>
        <w:tab w:val="left" w:pos="567"/>
      </w:tabs>
      <w:spacing w:before="120" w:line="22" w:lineRule="atLeast"/>
    </w:pPr>
    <w:rPr>
      <w:rFonts w:ascii="宋体" w:hAnsi="宋体"/>
      <w:sz w:val="24"/>
    </w:rPr>
  </w:style>
  <w:style w:type="paragraph" w:styleId="19">
    <w:name w:val="Body Text Indent"/>
    <w:basedOn w:val="1"/>
    <w:next w:val="20"/>
    <w:link w:val="69"/>
    <w:qFormat/>
    <w:uiPriority w:val="0"/>
    <w:pPr>
      <w:spacing w:line="360" w:lineRule="auto"/>
      <w:ind w:firstLine="570"/>
    </w:pPr>
    <w:rPr>
      <w:sz w:val="24"/>
    </w:rPr>
  </w:style>
  <w:style w:type="paragraph" w:styleId="20">
    <w:name w:val="envelope return"/>
    <w:basedOn w:val="1"/>
    <w:qFormat/>
    <w:uiPriority w:val="0"/>
    <w:pPr>
      <w:tabs>
        <w:tab w:val="left" w:pos="1332"/>
      </w:tabs>
    </w:pPr>
    <w:rPr>
      <w:rFonts w:ascii="Calibri" w:hAnsi="Calibri"/>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04"/>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1"/>
    <w:qFormat/>
    <w:uiPriority w:val="0"/>
    <w:pPr>
      <w:ind w:left="100" w:leftChars="2500"/>
    </w:pPr>
    <w:rPr>
      <w:rFonts w:ascii="仿宋_GB2312" w:hAnsi="宋体" w:eastAsia="仿宋_GB2312"/>
      <w:color w:val="000000"/>
      <w:sz w:val="24"/>
    </w:rPr>
  </w:style>
  <w:style w:type="paragraph" w:styleId="28">
    <w:name w:val="Body Text Indent 2"/>
    <w:basedOn w:val="1"/>
    <w:link w:val="242"/>
    <w:qFormat/>
    <w:uiPriority w:val="0"/>
    <w:pPr>
      <w:ind w:firstLine="480" w:firstLineChars="200"/>
    </w:pPr>
    <w:rPr>
      <w:rFonts w:ascii="仿宋_GB2312" w:eastAsia="仿宋_GB2312"/>
      <w:sz w:val="24"/>
    </w:rPr>
  </w:style>
  <w:style w:type="paragraph" w:styleId="29">
    <w:name w:val="Balloon Text"/>
    <w:basedOn w:val="1"/>
    <w:link w:val="243"/>
    <w:qFormat/>
    <w:uiPriority w:val="0"/>
    <w:rPr>
      <w:sz w:val="18"/>
      <w:szCs w:val="18"/>
    </w:rPr>
  </w:style>
  <w:style w:type="paragraph" w:styleId="30">
    <w:name w:val="footer"/>
    <w:basedOn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90"/>
    <w:qFormat/>
    <w:uiPriority w:val="0"/>
    <w:pPr>
      <w:jc w:val="center"/>
      <w:outlineLvl w:val="0"/>
    </w:pPr>
    <w:rPr>
      <w:b/>
      <w:sz w:val="32"/>
      <w:szCs w:val="20"/>
    </w:rPr>
  </w:style>
  <w:style w:type="paragraph" w:styleId="42">
    <w:name w:val="annotation subject"/>
    <w:basedOn w:val="16"/>
    <w:next w:val="16"/>
    <w:link w:val="246"/>
    <w:qFormat/>
    <w:uiPriority w:val="0"/>
    <w:rPr>
      <w:b/>
      <w:bCs/>
    </w:rPr>
  </w:style>
  <w:style w:type="paragraph" w:styleId="43">
    <w:name w:val="Body Text First Indent"/>
    <w:basedOn w:val="18"/>
    <w:qFormat/>
    <w:uiPriority w:val="0"/>
    <w:pPr>
      <w:ind w:firstLine="420" w:firstLineChars="100"/>
    </w:pPr>
  </w:style>
  <w:style w:type="paragraph" w:styleId="44">
    <w:name w:val="Body Text First Indent 2"/>
    <w:basedOn w:val="19"/>
    <w:link w:val="247"/>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basedOn w:val="48"/>
    <w:qFormat/>
    <w:uiPriority w:val="99"/>
    <w:rPr>
      <w:sz w:val="21"/>
      <w:szCs w:val="21"/>
    </w:rPr>
  </w:style>
  <w:style w:type="character" w:styleId="55">
    <w:name w:val="HTML Cite"/>
    <w:qFormat/>
    <w:uiPriority w:val="0"/>
    <w:rPr>
      <w:i/>
      <w:iCs/>
    </w:rPr>
  </w:style>
  <w:style w:type="character" w:customStyle="1" w:styleId="56">
    <w:name w:val="标题 2 Char1"/>
    <w:link w:val="4"/>
    <w:qFormat/>
    <w:uiPriority w:val="0"/>
    <w:rPr>
      <w:rFonts w:ascii="Arial" w:hAnsi="Arial" w:eastAsia="黑体"/>
      <w:b/>
      <w:sz w:val="30"/>
      <w:lang w:val="en-US" w:eastAsia="zh-CN" w:bidi="ar-SA"/>
    </w:rPr>
  </w:style>
  <w:style w:type="character" w:customStyle="1" w:styleId="57">
    <w:name w:val="标题 3 Char1"/>
    <w:link w:val="5"/>
    <w:qFormat/>
    <w:uiPriority w:val="0"/>
    <w:rPr>
      <w:rFonts w:ascii="宋体" w:eastAsia="宋体"/>
      <w:b/>
      <w:sz w:val="24"/>
      <w:u w:val="single"/>
      <w:lang w:val="en-US" w:eastAsia="zh-CN" w:bidi="ar-SA"/>
    </w:rPr>
  </w:style>
  <w:style w:type="character" w:customStyle="1" w:styleId="58">
    <w:name w:val="c21"/>
    <w:qFormat/>
    <w:uiPriority w:val="0"/>
    <w:rPr>
      <w:rFonts w:hint="default" w:ascii="ˎ̥" w:hAnsi="ˎ̥"/>
      <w:color w:val="000000"/>
      <w:sz w:val="20"/>
      <w:szCs w:val="20"/>
      <w:u w:val="none"/>
    </w:rPr>
  </w:style>
  <w:style w:type="character" w:customStyle="1" w:styleId="59">
    <w:name w:val="title4"/>
    <w:qFormat/>
    <w:uiPriority w:val="0"/>
    <w:rPr>
      <w:b/>
      <w:bCs/>
      <w:color w:val="1D87B3"/>
      <w:sz w:val="15"/>
      <w:szCs w:val="15"/>
    </w:rPr>
  </w:style>
  <w:style w:type="character" w:customStyle="1" w:styleId="60">
    <w:name w:val="标题 2 Char Char"/>
    <w:qFormat/>
    <w:uiPriority w:val="0"/>
    <w:rPr>
      <w:rFonts w:ascii="Arial" w:hAnsi="Arial" w:eastAsia="黑体"/>
      <w:b/>
      <w:bCs/>
      <w:kern w:val="2"/>
      <w:sz w:val="32"/>
      <w:szCs w:val="32"/>
      <w:lang w:val="en-US" w:eastAsia="zh-CN" w:bidi="ar-SA"/>
    </w:rPr>
  </w:style>
  <w:style w:type="character" w:customStyle="1" w:styleId="61">
    <w:name w:val="black1"/>
    <w:qFormat/>
    <w:uiPriority w:val="0"/>
    <w:rPr>
      <w:color w:val="000000"/>
    </w:rPr>
  </w:style>
  <w:style w:type="character" w:customStyle="1" w:styleId="62">
    <w:name w:val="street-address"/>
    <w:basedOn w:val="48"/>
    <w:qFormat/>
    <w:uiPriority w:val="0"/>
  </w:style>
  <w:style w:type="character" w:customStyle="1" w:styleId="63">
    <w:name w:val="locality"/>
    <w:basedOn w:val="48"/>
    <w:qFormat/>
    <w:uiPriority w:val="0"/>
  </w:style>
  <w:style w:type="character" w:customStyle="1" w:styleId="64">
    <w:name w:val="正文缩进 Char1"/>
    <w:link w:val="6"/>
    <w:qFormat/>
    <w:uiPriority w:val="0"/>
    <w:rPr>
      <w:rFonts w:ascii="宋体" w:eastAsia="宋体"/>
      <w:kern w:val="2"/>
      <w:sz w:val="24"/>
      <w:szCs w:val="24"/>
      <w:lang w:val="en-US" w:eastAsia="zh-CN" w:bidi="ar-SA"/>
    </w:rPr>
  </w:style>
  <w:style w:type="character" w:customStyle="1" w:styleId="65">
    <w:name w:val="正文文本缩进 Char1"/>
    <w:link w:val="66"/>
    <w:qFormat/>
    <w:uiPriority w:val="0"/>
    <w:rPr>
      <w:rFonts w:ascii="宋体" w:hAnsi="宋体" w:eastAsia="宋体"/>
      <w:sz w:val="24"/>
      <w:szCs w:val="24"/>
      <w:lang w:bidi="ar-SA"/>
    </w:rPr>
  </w:style>
  <w:style w:type="paragraph" w:customStyle="1" w:styleId="66">
    <w:name w:val="正文文本缩进1"/>
    <w:basedOn w:val="1"/>
    <w:link w:val="65"/>
    <w:qFormat/>
    <w:uiPriority w:val="0"/>
    <w:pPr>
      <w:spacing w:line="480" w:lineRule="exact"/>
      <w:ind w:firstLine="480" w:firstLineChars="200"/>
    </w:pPr>
    <w:rPr>
      <w:rFonts w:ascii="宋体" w:hAnsi="宋体"/>
      <w:kern w:val="0"/>
      <w:sz w:val="24"/>
    </w:rPr>
  </w:style>
  <w:style w:type="character" w:customStyle="1" w:styleId="67">
    <w:name w:val="Char Char11"/>
    <w:qFormat/>
    <w:uiPriority w:val="0"/>
    <w:rPr>
      <w:rFonts w:ascii="宋体" w:eastAsia="宋体"/>
      <w:b/>
      <w:sz w:val="24"/>
      <w:u w:val="single"/>
      <w:lang w:val="en-US" w:eastAsia="zh-CN" w:bidi="ar-SA"/>
    </w:rPr>
  </w:style>
  <w:style w:type="character" w:customStyle="1" w:styleId="68">
    <w:name w:val="txt"/>
    <w:basedOn w:val="48"/>
    <w:qFormat/>
    <w:uiPriority w:val="0"/>
  </w:style>
  <w:style w:type="character" w:customStyle="1" w:styleId="69">
    <w:name w:val="正文文本缩进 Char2"/>
    <w:link w:val="19"/>
    <w:qFormat/>
    <w:uiPriority w:val="0"/>
    <w:rPr>
      <w:rFonts w:eastAsia="宋体"/>
      <w:kern w:val="2"/>
      <w:sz w:val="24"/>
      <w:szCs w:val="24"/>
      <w:lang w:val="en-US" w:eastAsia="zh-CN" w:bidi="ar-SA"/>
    </w:rPr>
  </w:style>
  <w:style w:type="character" w:customStyle="1" w:styleId="70">
    <w:name w:val="正文缩进 Char Char"/>
    <w:link w:val="71"/>
    <w:qFormat/>
    <w:uiPriority w:val="0"/>
    <w:rPr>
      <w:rFonts w:ascii="宋体" w:eastAsia="宋体"/>
      <w:snapToGrid w:val="0"/>
      <w:color w:val="000000"/>
      <w:kern w:val="28"/>
      <w:sz w:val="28"/>
      <w:lang w:bidi="ar-SA"/>
    </w:rPr>
  </w:style>
  <w:style w:type="paragraph" w:customStyle="1" w:styleId="71">
    <w:name w:val="正文缩进1"/>
    <w:basedOn w:val="1"/>
    <w:link w:val="7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2">
    <w:name w:val="普通文字1 Char1"/>
    <w:qFormat/>
    <w:uiPriority w:val="0"/>
    <w:rPr>
      <w:rFonts w:ascii="宋体" w:hAnsi="Courier New" w:eastAsia="宋体"/>
      <w:kern w:val="2"/>
      <w:sz w:val="21"/>
      <w:lang w:val="en-US" w:eastAsia="zh-CN" w:bidi="ar-SA"/>
    </w:rPr>
  </w:style>
  <w:style w:type="character" w:customStyle="1" w:styleId="73">
    <w:name w:val="chanpin1"/>
    <w:qFormat/>
    <w:uiPriority w:val="0"/>
    <w:rPr>
      <w:rFonts w:hint="default" w:ascii="ˎ̥" w:hAnsi="ˎ̥"/>
      <w:color w:val="000000"/>
      <w:sz w:val="20"/>
      <w:szCs w:val="20"/>
      <w:u w:val="none"/>
    </w:rPr>
  </w:style>
  <w:style w:type="character" w:customStyle="1" w:styleId="74">
    <w:name w:val="列出段落 Char1"/>
    <w:link w:val="75"/>
    <w:qFormat/>
    <w:uiPriority w:val="34"/>
    <w:rPr>
      <w:rFonts w:ascii="Calibri" w:hAnsi="Calibri" w:eastAsia="宋体"/>
      <w:kern w:val="2"/>
      <w:sz w:val="21"/>
      <w:szCs w:val="22"/>
      <w:lang w:val="en-US" w:eastAsia="zh-CN" w:bidi="ar-SA"/>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Char1"/>
    <w:link w:val="31"/>
    <w:qFormat/>
    <w:uiPriority w:val="99"/>
    <w:rPr>
      <w:rFonts w:eastAsia="宋体"/>
      <w:kern w:val="2"/>
      <w:sz w:val="18"/>
      <w:szCs w:val="18"/>
      <w:lang w:val="en-US" w:eastAsia="zh-CN" w:bidi="ar-SA"/>
    </w:rPr>
  </w:style>
  <w:style w:type="character" w:customStyle="1" w:styleId="79">
    <w:name w:val="chanpin拷贝"/>
    <w:basedOn w:val="48"/>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Id w:val="0"/>
      </w:numPr>
      <w:tabs>
        <w:tab w:val="left" w:pos="360"/>
        <w:tab w:val="left" w:pos="840"/>
      </w:tabs>
      <w:ind w:left="0" w:hanging="840"/>
      <w:outlineLvl w:val="1"/>
    </w:pPr>
  </w:style>
  <w:style w:type="paragraph" w:customStyle="1" w:styleId="8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ilvl w:val="0"/>
        <w:numId w:val="2"/>
      </w:numPr>
    </w:pPr>
  </w:style>
  <w:style w:type="paragraph" w:customStyle="1" w:styleId="9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1"/>
    <w:basedOn w:val="15"/>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Id w:val="0"/>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1"/>
      </w:numPr>
      <w:ind w:left="0" w:hanging="840"/>
      <w:outlineLvl w:val="3"/>
    </w:pPr>
  </w:style>
  <w:style w:type="paragraph" w:customStyle="1" w:styleId="12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Id w:val="0"/>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5"/>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40"/>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Char1"/>
    <w:link w:val="30"/>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Char1"/>
    <w:link w:val="16"/>
    <w:qFormat/>
    <w:uiPriority w:val="99"/>
    <w:rPr>
      <w:kern w:val="2"/>
      <w:sz w:val="21"/>
      <w:szCs w:val="24"/>
    </w:rPr>
  </w:style>
  <w:style w:type="paragraph" w:customStyle="1" w:styleId="185">
    <w:name w:val="标题1-附件"/>
    <w:basedOn w:val="3"/>
    <w:qFormat/>
    <w:uiPriority w:val="0"/>
    <w:pPr>
      <w:jc w:val="left"/>
    </w:pPr>
    <w:rPr>
      <w:sz w:val="24"/>
      <w:szCs w:val="24"/>
    </w:rPr>
  </w:style>
  <w:style w:type="paragraph" w:customStyle="1" w:styleId="186">
    <w:name w:val="正文小标题"/>
    <w:basedOn w:val="1"/>
    <w:next w:val="6"/>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6"/>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Char1"/>
    <w:link w:val="41"/>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Char"/>
    <w:basedOn w:val="48"/>
    <w:link w:val="25"/>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3">
    <w:name w:val="修订1"/>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Char"/>
    <w:basedOn w:val="48"/>
    <w:link w:val="3"/>
    <w:qFormat/>
    <w:uiPriority w:val="0"/>
    <w:rPr>
      <w:rFonts w:ascii="宋体"/>
      <w:b/>
      <w:kern w:val="44"/>
      <w:sz w:val="32"/>
    </w:rPr>
  </w:style>
  <w:style w:type="character" w:customStyle="1" w:styleId="232">
    <w:name w:val="标题 4 Char"/>
    <w:basedOn w:val="48"/>
    <w:link w:val="7"/>
    <w:qFormat/>
    <w:uiPriority w:val="0"/>
    <w:rPr>
      <w:rFonts w:ascii="Arial" w:hAnsi="Arial" w:eastAsia="黑体"/>
      <w:b/>
      <w:sz w:val="28"/>
    </w:rPr>
  </w:style>
  <w:style w:type="character" w:customStyle="1" w:styleId="233">
    <w:name w:val="标题 5 Char"/>
    <w:basedOn w:val="48"/>
    <w:link w:val="8"/>
    <w:qFormat/>
    <w:uiPriority w:val="0"/>
    <w:rPr>
      <w:b/>
      <w:sz w:val="28"/>
    </w:rPr>
  </w:style>
  <w:style w:type="character" w:customStyle="1" w:styleId="234">
    <w:name w:val="标题 6 Char"/>
    <w:basedOn w:val="48"/>
    <w:link w:val="9"/>
    <w:qFormat/>
    <w:uiPriority w:val="0"/>
    <w:rPr>
      <w:rFonts w:ascii="Arial" w:hAnsi="Arial" w:eastAsia="黑体"/>
      <w:b/>
      <w:sz w:val="24"/>
    </w:rPr>
  </w:style>
  <w:style w:type="character" w:customStyle="1" w:styleId="235">
    <w:name w:val="标题 7 Char"/>
    <w:basedOn w:val="48"/>
    <w:link w:val="10"/>
    <w:qFormat/>
    <w:uiPriority w:val="0"/>
    <w:rPr>
      <w:b/>
      <w:sz w:val="24"/>
    </w:rPr>
  </w:style>
  <w:style w:type="character" w:customStyle="1" w:styleId="236">
    <w:name w:val="标题 8 Char"/>
    <w:basedOn w:val="48"/>
    <w:link w:val="11"/>
    <w:qFormat/>
    <w:uiPriority w:val="0"/>
    <w:rPr>
      <w:rFonts w:ascii="Arial" w:hAnsi="Arial" w:eastAsia="黑体"/>
      <w:sz w:val="24"/>
    </w:rPr>
  </w:style>
  <w:style w:type="character" w:customStyle="1" w:styleId="237">
    <w:name w:val="标题 9 Char"/>
    <w:basedOn w:val="48"/>
    <w:link w:val="12"/>
    <w:qFormat/>
    <w:uiPriority w:val="0"/>
    <w:rPr>
      <w:rFonts w:ascii="Arial" w:hAnsi="Arial" w:eastAsia="黑体"/>
      <w:sz w:val="21"/>
    </w:rPr>
  </w:style>
  <w:style w:type="character" w:customStyle="1" w:styleId="238">
    <w:name w:val="文档结构图 Char"/>
    <w:basedOn w:val="48"/>
    <w:link w:val="15"/>
    <w:qFormat/>
    <w:uiPriority w:val="0"/>
    <w:rPr>
      <w:kern w:val="2"/>
      <w:sz w:val="21"/>
      <w:szCs w:val="24"/>
      <w:shd w:val="clear" w:color="auto" w:fill="000080"/>
    </w:rPr>
  </w:style>
  <w:style w:type="character" w:customStyle="1" w:styleId="239">
    <w:name w:val="正文文本 3 Char"/>
    <w:basedOn w:val="48"/>
    <w:link w:val="17"/>
    <w:qFormat/>
    <w:uiPriority w:val="0"/>
    <w:rPr>
      <w:kern w:val="2"/>
      <w:sz w:val="16"/>
      <w:szCs w:val="16"/>
    </w:rPr>
  </w:style>
  <w:style w:type="character" w:customStyle="1" w:styleId="240">
    <w:name w:val="正文文本 Char"/>
    <w:basedOn w:val="48"/>
    <w:link w:val="18"/>
    <w:qFormat/>
    <w:uiPriority w:val="0"/>
    <w:rPr>
      <w:rFonts w:ascii="宋体" w:hAnsi="宋体"/>
      <w:kern w:val="2"/>
      <w:sz w:val="24"/>
      <w:szCs w:val="24"/>
    </w:rPr>
  </w:style>
  <w:style w:type="character" w:customStyle="1" w:styleId="241">
    <w:name w:val="日期 Char"/>
    <w:basedOn w:val="48"/>
    <w:link w:val="27"/>
    <w:qFormat/>
    <w:uiPriority w:val="0"/>
    <w:rPr>
      <w:rFonts w:ascii="仿宋_GB2312" w:hAnsi="宋体" w:eastAsia="仿宋_GB2312"/>
      <w:color w:val="000000"/>
      <w:kern w:val="2"/>
      <w:sz w:val="24"/>
      <w:szCs w:val="24"/>
    </w:rPr>
  </w:style>
  <w:style w:type="character" w:customStyle="1" w:styleId="242">
    <w:name w:val="正文文本缩进 2 Char"/>
    <w:basedOn w:val="48"/>
    <w:link w:val="28"/>
    <w:qFormat/>
    <w:uiPriority w:val="0"/>
    <w:rPr>
      <w:rFonts w:ascii="仿宋_GB2312" w:eastAsia="仿宋_GB2312"/>
      <w:kern w:val="2"/>
      <w:sz w:val="24"/>
      <w:szCs w:val="24"/>
    </w:rPr>
  </w:style>
  <w:style w:type="character" w:customStyle="1" w:styleId="243">
    <w:name w:val="批注框文本 Char"/>
    <w:basedOn w:val="48"/>
    <w:link w:val="29"/>
    <w:qFormat/>
    <w:uiPriority w:val="0"/>
    <w:rPr>
      <w:kern w:val="2"/>
      <w:sz w:val="18"/>
      <w:szCs w:val="18"/>
    </w:rPr>
  </w:style>
  <w:style w:type="character" w:customStyle="1" w:styleId="244">
    <w:name w:val="正文文本缩进 3 Char"/>
    <w:basedOn w:val="48"/>
    <w:link w:val="35"/>
    <w:qFormat/>
    <w:uiPriority w:val="0"/>
    <w:rPr>
      <w:rFonts w:ascii="宋体"/>
      <w:sz w:val="24"/>
    </w:rPr>
  </w:style>
  <w:style w:type="character" w:customStyle="1" w:styleId="245">
    <w:name w:val="HTML 预设格式 Char"/>
    <w:basedOn w:val="48"/>
    <w:link w:val="38"/>
    <w:qFormat/>
    <w:uiPriority w:val="0"/>
    <w:rPr>
      <w:rFonts w:ascii="宋体" w:hAnsi="宋体" w:cs="宋体"/>
      <w:sz w:val="24"/>
      <w:szCs w:val="24"/>
    </w:rPr>
  </w:style>
  <w:style w:type="character" w:customStyle="1" w:styleId="246">
    <w:name w:val="批注主题 Char"/>
    <w:basedOn w:val="196"/>
    <w:link w:val="42"/>
    <w:qFormat/>
    <w:uiPriority w:val="0"/>
    <w:rPr>
      <w:rFonts w:ascii="Times New Roman" w:hAnsi="Times New Roman" w:eastAsia="宋体" w:cs="Times New Roman"/>
      <w:b/>
      <w:bCs/>
      <w:kern w:val="2"/>
      <w:sz w:val="21"/>
      <w:szCs w:val="24"/>
      <w:lang w:val="en-US" w:eastAsia="zh-CN" w:bidi="ar-SA"/>
    </w:rPr>
  </w:style>
  <w:style w:type="character" w:customStyle="1" w:styleId="247">
    <w:name w:val="正文首行缩进 2 Char"/>
    <w:basedOn w:val="69"/>
    <w:link w:val="44"/>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qFormat/>
    <w:uiPriority w:val="2"/>
    <w:pPr>
      <w:widowControl w:val="0"/>
      <w:autoSpaceDE w:val="0"/>
      <w:autoSpaceDN w:val="0"/>
    </w:pPr>
    <w:rPr>
      <w:rFonts w:ascii="Calibri" w:hAnsi="Calibri" w:eastAsia="宋体" w:cs="宋体"/>
      <w:sz w:val="22"/>
      <w:szCs w:val="22"/>
      <w:lang w:eastAsia="en-US"/>
    </w:rPr>
    <w:tblPr>
      <w:tblCellMar>
        <w:top w:w="0" w:type="dxa"/>
        <w:left w:w="0" w:type="dxa"/>
        <w:bottom w:w="0" w:type="dxa"/>
        <w:right w:w="0" w:type="dxa"/>
      </w:tblCellMar>
    </w:tblPr>
  </w:style>
  <w:style w:type="paragraph" w:customStyle="1" w:styleId="251">
    <w:name w:val="样式 标题 1 + 四号 居中 段前: 12 磅 段后: 12 磅 行距: 单倍行距"/>
    <w:basedOn w:val="3"/>
    <w:qFormat/>
    <w:uiPriority w:val="0"/>
    <w:pPr>
      <w:spacing w:after="240" w:line="240" w:lineRule="auto"/>
      <w:ind w:left="-288"/>
    </w:pPr>
    <w:rPr>
      <w:rFonts w:cs="宋体"/>
      <w:sz w:val="28"/>
    </w:rPr>
  </w:style>
  <w:style w:type="paragraph" w:customStyle="1" w:styleId="252">
    <w:name w:val="&quot;正文样式1&quot;"/>
    <w:basedOn w:val="1"/>
    <w:uiPriority w:val="0"/>
    <w:pPr>
      <w:widowControl w:val="0"/>
      <w:spacing w:before="100" w:beforeAutospacing="1" w:after="100" w:afterAutospacing="1" w:line="360" w:lineRule="auto"/>
      <w:ind w:left="0" w:right="0" w:firstLine="420" w:firstLineChars="200"/>
      <w:jc w:val="both"/>
    </w:pPr>
    <w:rPr>
      <w:rFonts w:ascii="等线" w:hAnsi="等线"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501B7-94F0-4347-AFC8-7FAC978352D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79</Pages>
  <Words>43119</Words>
  <Characters>45660</Characters>
  <Paragraphs>1907</Paragraphs>
  <TotalTime>71</TotalTime>
  <ScaleCrop>false</ScaleCrop>
  <LinksUpToDate>false</LinksUpToDate>
  <CharactersWithSpaces>46911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2023-06-08T06:39:00Z</dcterms:created>
  <dc:creator>Yin Hao</dc:creator>
  <cp:lastModifiedBy>Administrator</cp:lastModifiedBy>
  <cp:lastPrinted>2020-04-01T03:13:00Z</cp:lastPrinted>
  <dcterms:modified xsi:type="dcterms:W3CDTF">2023-10-20T02:26:06Z</dcterms:modified>
  <dc:title>政府采购示范文本（2023）</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75A99E46A91C4BFB85105B09F3BE62FD</vt:lpwstr>
  </property>
</Properties>
</file>