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C0081" w14:textId="4907431C" w:rsidR="00694D27" w:rsidRDefault="00774DB8" w:rsidP="00694D2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北京市老年病医疗研究中心</w:t>
      </w:r>
      <w:proofErr w:type="gramStart"/>
      <w:r>
        <w:rPr>
          <w:rFonts w:ascii="华文中宋" w:eastAsia="华文中宋" w:hAnsi="华文中宋" w:hint="eastAsia"/>
        </w:rPr>
        <w:t>脑网络</w:t>
      </w:r>
      <w:proofErr w:type="gramEnd"/>
      <w:r>
        <w:rPr>
          <w:rFonts w:ascii="华文中宋" w:eastAsia="华文中宋" w:hAnsi="华文中宋" w:hint="eastAsia"/>
        </w:rPr>
        <w:t>疾病的分子诊断机制研究测试加工项目</w:t>
      </w:r>
      <w:r w:rsidR="00694D27">
        <w:rPr>
          <w:rFonts w:ascii="华文中宋" w:eastAsia="华文中宋" w:hAnsi="华文中宋" w:hint="eastAsia"/>
        </w:rPr>
        <w:t>中标结果公告</w:t>
      </w:r>
      <w:bookmarkEnd w:id="0"/>
      <w:bookmarkEnd w:id="1"/>
    </w:p>
    <w:p w14:paraId="6A9C2915" w14:textId="6268F042" w:rsidR="00694D27" w:rsidRDefault="00694D27" w:rsidP="00694D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 w:rsidR="0050631B"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 w:rsidR="00774DB8">
        <w:rPr>
          <w:rFonts w:ascii="黑体" w:eastAsia="黑体" w:hAnsi="黑体"/>
          <w:sz w:val="28"/>
          <w:szCs w:val="28"/>
        </w:rPr>
        <w:t>0701-234106140958</w:t>
      </w:r>
      <w:bookmarkStart w:id="2" w:name="_GoBack"/>
      <w:bookmarkEnd w:id="2"/>
    </w:p>
    <w:p w14:paraId="03E0EAC4" w14:textId="19AC1349" w:rsidR="00694D27" w:rsidRPr="00665A26" w:rsidRDefault="00694D27" w:rsidP="00694D27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774DB8">
        <w:rPr>
          <w:rFonts w:ascii="黑体" w:eastAsia="黑体" w:hAnsi="黑体" w:hint="eastAsia"/>
          <w:sz w:val="28"/>
          <w:szCs w:val="28"/>
        </w:rPr>
        <w:t>北京市老年病医疗研究中心</w:t>
      </w:r>
      <w:proofErr w:type="gramStart"/>
      <w:r w:rsidR="00774DB8">
        <w:rPr>
          <w:rFonts w:ascii="黑体" w:eastAsia="黑体" w:hAnsi="黑体" w:hint="eastAsia"/>
          <w:sz w:val="28"/>
          <w:szCs w:val="28"/>
        </w:rPr>
        <w:t>脑网络</w:t>
      </w:r>
      <w:proofErr w:type="gramEnd"/>
      <w:r w:rsidR="00774DB8">
        <w:rPr>
          <w:rFonts w:ascii="黑体" w:eastAsia="黑体" w:hAnsi="黑体" w:hint="eastAsia"/>
          <w:sz w:val="28"/>
          <w:szCs w:val="28"/>
        </w:rPr>
        <w:t>疾病的分子诊断机制研究测试加工项目</w:t>
      </w:r>
    </w:p>
    <w:p w14:paraId="669B1666" w14:textId="77777777" w:rsidR="00694D27" w:rsidRDefault="00694D27" w:rsidP="00694D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2001C2FB" w14:textId="51B3626D" w:rsidR="00694D27" w:rsidRDefault="00694D27" w:rsidP="00694D2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626737" w:rsidRPr="00626737">
        <w:rPr>
          <w:rFonts w:ascii="仿宋" w:eastAsia="仿宋" w:hAnsi="仿宋" w:hint="eastAsia"/>
          <w:sz w:val="28"/>
          <w:szCs w:val="28"/>
        </w:rPr>
        <w:t>北京寻因生物科技有限公司</w:t>
      </w:r>
    </w:p>
    <w:p w14:paraId="7EA1C7A9" w14:textId="7C560E82" w:rsidR="00694D27" w:rsidRPr="008B6CCE" w:rsidRDefault="00694D27" w:rsidP="00694D2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626737" w:rsidRPr="00626737">
        <w:rPr>
          <w:rFonts w:ascii="仿宋" w:eastAsia="仿宋" w:hAnsi="仿宋" w:hint="eastAsia"/>
          <w:sz w:val="28"/>
          <w:szCs w:val="28"/>
        </w:rPr>
        <w:t>北京市</w:t>
      </w:r>
      <w:proofErr w:type="gramStart"/>
      <w:r w:rsidR="00626737" w:rsidRPr="00626737">
        <w:rPr>
          <w:rFonts w:ascii="仿宋" w:eastAsia="仿宋" w:hAnsi="仿宋" w:hint="eastAsia"/>
          <w:sz w:val="28"/>
          <w:szCs w:val="28"/>
        </w:rPr>
        <w:t>昌平区生命科学园生命园</w:t>
      </w:r>
      <w:proofErr w:type="gramEnd"/>
      <w:r w:rsidR="00626737" w:rsidRPr="00626737">
        <w:rPr>
          <w:rFonts w:ascii="仿宋" w:eastAsia="仿宋" w:hAnsi="仿宋" w:hint="eastAsia"/>
          <w:sz w:val="28"/>
          <w:szCs w:val="28"/>
        </w:rPr>
        <w:t>路8号院一区9号-1至5层101(A座2层201室)</w:t>
      </w:r>
    </w:p>
    <w:p w14:paraId="1F758C3E" w14:textId="51C9016D" w:rsidR="00694D27" w:rsidRDefault="00694D27" w:rsidP="00694D2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626737" w:rsidRPr="00626737">
        <w:rPr>
          <w:rFonts w:ascii="宋体" w:hAnsi="宋体" w:cs="宋体" w:hint="eastAsia"/>
          <w:sz w:val="28"/>
          <w:szCs w:val="28"/>
        </w:rPr>
        <w:t>¥</w:t>
      </w:r>
      <w:r w:rsidR="00626737" w:rsidRPr="00626737">
        <w:rPr>
          <w:rFonts w:ascii="仿宋" w:eastAsia="仿宋" w:hAnsi="仿宋"/>
          <w:sz w:val="28"/>
          <w:szCs w:val="28"/>
        </w:rPr>
        <w:t>1,435,000.00</w:t>
      </w:r>
    </w:p>
    <w:p w14:paraId="7B91E516" w14:textId="77777777" w:rsidR="00694D27" w:rsidRDefault="00694D27" w:rsidP="00694D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22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698"/>
        <w:gridCol w:w="2546"/>
        <w:gridCol w:w="851"/>
        <w:gridCol w:w="993"/>
        <w:gridCol w:w="1133"/>
        <w:gridCol w:w="1135"/>
        <w:gridCol w:w="1133"/>
      </w:tblGrid>
      <w:tr w:rsidR="00260FC0" w:rsidRPr="00ED66FA" w14:paraId="1CC80EB9" w14:textId="77777777" w:rsidTr="00B414E1">
        <w:trPr>
          <w:trHeight w:val="416"/>
        </w:trPr>
        <w:tc>
          <w:tcPr>
            <w:tcW w:w="229" w:type="pct"/>
            <w:shd w:val="clear" w:color="auto" w:fill="auto"/>
            <w:vAlign w:val="center"/>
            <w:hideMark/>
          </w:tcPr>
          <w:p w14:paraId="6FC5010B" w14:textId="77777777" w:rsidR="00BC5EB7" w:rsidRPr="00ED66FA" w:rsidRDefault="00BC5EB7" w:rsidP="001E560B">
            <w:pPr>
              <w:widowControl/>
              <w:snapToGrid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</w:pPr>
            <w:proofErr w:type="gramStart"/>
            <w:r w:rsidRPr="00ED66FA"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  <w:t>包号</w:t>
            </w:r>
            <w:proofErr w:type="gramEnd"/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73C5FA47" w14:textId="77777777" w:rsidR="00BC5EB7" w:rsidRPr="00ED66FA" w:rsidRDefault="00BC5EB7" w:rsidP="001E560B">
            <w:pPr>
              <w:widowControl/>
              <w:snapToGrid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</w:pPr>
            <w:r w:rsidRPr="00ED66FA"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  <w:t>品目号</w:t>
            </w:r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0D1F7C98" w14:textId="3C14C76C" w:rsidR="00BC5EB7" w:rsidRPr="00ED66FA" w:rsidRDefault="003A0001" w:rsidP="001E560B">
            <w:pPr>
              <w:widowControl/>
              <w:snapToGrid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</w:pPr>
            <w:r w:rsidRPr="00ED66FA">
              <w:rPr>
                <w:rFonts w:ascii="仿宋" w:eastAsia="仿宋" w:hAnsi="仿宋" w:hint="eastAsia"/>
                <w:b/>
                <w:color w:val="000000"/>
                <w:kern w:val="0"/>
                <w:sz w:val="18"/>
                <w:szCs w:val="18"/>
              </w:rPr>
              <w:t>标的名称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BFB7E02" w14:textId="547D6D76" w:rsidR="00BC5EB7" w:rsidRPr="00ED66FA" w:rsidRDefault="00BC5EB7" w:rsidP="001E560B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18"/>
                <w:szCs w:val="18"/>
              </w:rPr>
            </w:pPr>
            <w:r w:rsidRPr="00ED66FA"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A1DBB56" w14:textId="77777777" w:rsidR="00BC5EB7" w:rsidRPr="00ED66FA" w:rsidRDefault="00BC5EB7" w:rsidP="001E560B">
            <w:pPr>
              <w:widowControl/>
              <w:snapToGrid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</w:pPr>
            <w:r w:rsidRPr="00ED66FA"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  <w:t>服务范围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14:paraId="71A8BD50" w14:textId="77777777" w:rsidR="00BC5EB7" w:rsidRPr="00ED66FA" w:rsidRDefault="00BC5EB7" w:rsidP="001E560B">
            <w:pPr>
              <w:widowControl/>
              <w:snapToGrid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</w:pPr>
            <w:r w:rsidRPr="00ED66FA"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  <w:t>服务要求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7173958E" w14:textId="77777777" w:rsidR="00BC5EB7" w:rsidRPr="00ED66FA" w:rsidRDefault="00BC5EB7" w:rsidP="001E560B">
            <w:pPr>
              <w:widowControl/>
              <w:snapToGrid w:val="0"/>
              <w:jc w:val="center"/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</w:pPr>
            <w:r w:rsidRPr="00ED66FA">
              <w:rPr>
                <w:rFonts w:ascii="仿宋" w:eastAsia="仿宋" w:hAnsi="仿宋"/>
                <w:b/>
                <w:sz w:val="18"/>
                <w:szCs w:val="18"/>
              </w:rPr>
              <w:t>服务时间</w:t>
            </w:r>
          </w:p>
        </w:tc>
        <w:tc>
          <w:tcPr>
            <w:tcW w:w="637" w:type="pct"/>
            <w:vAlign w:val="center"/>
          </w:tcPr>
          <w:p w14:paraId="7A3D4D36" w14:textId="77777777" w:rsidR="00BC5EB7" w:rsidRPr="00ED66FA" w:rsidRDefault="00BC5EB7" w:rsidP="001E560B">
            <w:pPr>
              <w:widowControl/>
              <w:snapToGrid w:val="0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ED66FA">
              <w:rPr>
                <w:rFonts w:ascii="仿宋" w:eastAsia="仿宋" w:hAnsi="仿宋"/>
                <w:b/>
                <w:sz w:val="18"/>
                <w:szCs w:val="18"/>
              </w:rPr>
              <w:t>服务标准</w:t>
            </w:r>
          </w:p>
        </w:tc>
      </w:tr>
      <w:tr w:rsidR="00774DB8" w:rsidRPr="00ED66FA" w14:paraId="72AC33A0" w14:textId="77777777" w:rsidTr="00B414E1">
        <w:trPr>
          <w:trHeight w:val="528"/>
        </w:trPr>
        <w:tc>
          <w:tcPr>
            <w:tcW w:w="229" w:type="pct"/>
            <w:vMerge w:val="restart"/>
            <w:shd w:val="clear" w:color="auto" w:fill="auto"/>
            <w:noWrap/>
            <w:vAlign w:val="center"/>
          </w:tcPr>
          <w:p w14:paraId="2B836666" w14:textId="72E0D38B" w:rsidR="00774DB8" w:rsidRPr="00ED66FA" w:rsidRDefault="00774DB8" w:rsidP="001E560B">
            <w:pPr>
              <w:widowControl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1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6AFC1AF0" w14:textId="7B07CFF2" w:rsidR="00774DB8" w:rsidRDefault="00774DB8" w:rsidP="001E560B">
            <w:pPr>
              <w:widowControl/>
              <w:tabs>
                <w:tab w:val="left" w:pos="2700"/>
              </w:tabs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1-1</w:t>
            </w:r>
          </w:p>
        </w:tc>
        <w:tc>
          <w:tcPr>
            <w:tcW w:w="1431" w:type="pct"/>
            <w:shd w:val="clear" w:color="000000" w:fill="FFFFFF"/>
            <w:vAlign w:val="center"/>
          </w:tcPr>
          <w:p w14:paraId="64A258C1" w14:textId="75C16AD3" w:rsidR="00774DB8" w:rsidRPr="001831FF" w:rsidRDefault="00774DB8" w:rsidP="001E560B">
            <w:pPr>
              <w:widowControl/>
              <w:tabs>
                <w:tab w:val="left" w:pos="2700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75E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单细胞</w:t>
            </w:r>
            <w:proofErr w:type="gramStart"/>
            <w:r w:rsidRPr="00575E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转录组</w:t>
            </w:r>
            <w:proofErr w:type="gramEnd"/>
            <w:r w:rsidRPr="00575E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测序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4333CFC9" w14:textId="5EAF39E5" w:rsidR="00774DB8" w:rsidRPr="001831FF" w:rsidRDefault="00774DB8" w:rsidP="00774DB8">
            <w:pPr>
              <w:tabs>
                <w:tab w:val="left" w:pos="900"/>
              </w:tabs>
              <w:spacing w:beforeLines="50" w:before="156"/>
              <w:jc w:val="center"/>
              <w:rPr>
                <w:rFonts w:ascii="仿宋" w:eastAsia="仿宋" w:hAnsi="仿宋" w:cs="宋体"/>
                <w:sz w:val="24"/>
              </w:rPr>
            </w:pPr>
            <w:r w:rsidRPr="00575E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10个</w:t>
            </w:r>
          </w:p>
        </w:tc>
        <w:tc>
          <w:tcPr>
            <w:tcW w:w="558" w:type="pct"/>
            <w:vMerge w:val="restart"/>
            <w:shd w:val="clear" w:color="auto" w:fill="auto"/>
            <w:noWrap/>
            <w:vAlign w:val="center"/>
          </w:tcPr>
          <w:p w14:paraId="35B72C89" w14:textId="2E56CB09" w:rsidR="00774DB8" w:rsidRPr="00ED66FA" w:rsidRDefault="001479D0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  <w:r w:rsidRPr="001479D0">
              <w:rPr>
                <w:rFonts w:ascii="仿宋" w:eastAsia="仿宋" w:hAnsi="仿宋" w:hint="eastAsia"/>
                <w:color w:val="000000" w:themeColor="text1"/>
                <w:kern w:val="0"/>
                <w:sz w:val="18"/>
                <w:szCs w:val="18"/>
              </w:rPr>
              <w:t>拥有单细胞</w:t>
            </w:r>
            <w:proofErr w:type="gramStart"/>
            <w:r w:rsidRPr="001479D0">
              <w:rPr>
                <w:rFonts w:ascii="仿宋" w:eastAsia="仿宋" w:hAnsi="仿宋" w:hint="eastAsia"/>
                <w:color w:val="000000" w:themeColor="text1"/>
                <w:kern w:val="0"/>
                <w:sz w:val="18"/>
                <w:szCs w:val="18"/>
              </w:rPr>
              <w:t>转录组</w:t>
            </w:r>
            <w:proofErr w:type="gramEnd"/>
            <w:r w:rsidRPr="001479D0">
              <w:rPr>
                <w:rFonts w:ascii="仿宋" w:eastAsia="仿宋" w:hAnsi="仿宋" w:hint="eastAsia"/>
                <w:color w:val="000000" w:themeColor="text1"/>
                <w:kern w:val="0"/>
                <w:sz w:val="18"/>
                <w:szCs w:val="18"/>
              </w:rPr>
              <w:t>测序、空间</w:t>
            </w:r>
            <w:proofErr w:type="gramStart"/>
            <w:r w:rsidRPr="001479D0">
              <w:rPr>
                <w:rFonts w:ascii="仿宋" w:eastAsia="仿宋" w:hAnsi="仿宋" w:hint="eastAsia"/>
                <w:color w:val="000000" w:themeColor="text1"/>
                <w:kern w:val="0"/>
                <w:sz w:val="18"/>
                <w:szCs w:val="18"/>
              </w:rPr>
              <w:t>转录组</w:t>
            </w:r>
            <w:proofErr w:type="gramEnd"/>
            <w:r w:rsidRPr="001479D0">
              <w:rPr>
                <w:rFonts w:ascii="仿宋" w:eastAsia="仿宋" w:hAnsi="仿宋" w:hint="eastAsia"/>
                <w:color w:val="000000" w:themeColor="text1"/>
                <w:kern w:val="0"/>
                <w:sz w:val="18"/>
                <w:szCs w:val="18"/>
              </w:rPr>
              <w:t>测序、单细胞ATAC测序等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4F34476E" w14:textId="6BA43352" w:rsidR="00774DB8" w:rsidRPr="00ED66FA" w:rsidRDefault="001479D0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  <w:r w:rsidRPr="001479D0">
              <w:rPr>
                <w:rFonts w:ascii="仿宋" w:eastAsia="仿宋" w:hAnsi="仿宋" w:hint="eastAsia"/>
                <w:color w:val="000000" w:themeColor="text1"/>
                <w:kern w:val="0"/>
                <w:sz w:val="18"/>
                <w:szCs w:val="18"/>
              </w:rPr>
              <w:t>单细胞</w:t>
            </w:r>
            <w:proofErr w:type="gramStart"/>
            <w:r w:rsidRPr="001479D0">
              <w:rPr>
                <w:rFonts w:ascii="仿宋" w:eastAsia="仿宋" w:hAnsi="仿宋" w:hint="eastAsia"/>
                <w:color w:val="000000" w:themeColor="text1"/>
                <w:kern w:val="0"/>
                <w:sz w:val="18"/>
                <w:szCs w:val="18"/>
              </w:rPr>
              <w:t>转录组</w:t>
            </w:r>
            <w:proofErr w:type="gramEnd"/>
            <w:r w:rsidRPr="001479D0">
              <w:rPr>
                <w:rFonts w:ascii="仿宋" w:eastAsia="仿宋" w:hAnsi="仿宋" w:hint="eastAsia"/>
                <w:color w:val="000000" w:themeColor="text1"/>
                <w:kern w:val="0"/>
                <w:sz w:val="18"/>
                <w:szCs w:val="18"/>
              </w:rPr>
              <w:t>测序实验能够在4h内迅速响应安排20份样本解离、上机标记，样本解离完成当日发送全部样本的质</w:t>
            </w:r>
            <w:proofErr w:type="gramStart"/>
            <w:r w:rsidRPr="001479D0">
              <w:rPr>
                <w:rFonts w:ascii="仿宋" w:eastAsia="仿宋" w:hAnsi="仿宋" w:hint="eastAsia"/>
                <w:color w:val="000000" w:themeColor="text1"/>
                <w:kern w:val="0"/>
                <w:sz w:val="18"/>
                <w:szCs w:val="18"/>
              </w:rPr>
              <w:t>控报告</w:t>
            </w:r>
            <w:proofErr w:type="gramEnd"/>
          </w:p>
        </w:tc>
        <w:tc>
          <w:tcPr>
            <w:tcW w:w="638" w:type="pct"/>
            <w:vMerge w:val="restart"/>
            <w:shd w:val="clear" w:color="000000" w:fill="FFFFFF"/>
            <w:vAlign w:val="center"/>
          </w:tcPr>
          <w:p w14:paraId="23A521A0" w14:textId="7CB49E36" w:rsidR="00774DB8" w:rsidRPr="00ED66FA" w:rsidRDefault="008C0767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  <w:r w:rsidRPr="008C0767">
              <w:rPr>
                <w:rFonts w:ascii="仿宋" w:eastAsia="仿宋" w:hAnsi="仿宋" w:hint="eastAsia"/>
                <w:color w:val="000000" w:themeColor="text1"/>
                <w:kern w:val="0"/>
                <w:sz w:val="18"/>
                <w:szCs w:val="18"/>
              </w:rPr>
              <w:t>合同签署后1年</w:t>
            </w:r>
          </w:p>
        </w:tc>
        <w:tc>
          <w:tcPr>
            <w:tcW w:w="637" w:type="pct"/>
            <w:vMerge w:val="restart"/>
            <w:shd w:val="clear" w:color="000000" w:fill="FFFFFF"/>
            <w:vAlign w:val="center"/>
          </w:tcPr>
          <w:p w14:paraId="1107C8BA" w14:textId="7702BFCB" w:rsidR="00774DB8" w:rsidRPr="00ED66FA" w:rsidRDefault="00771D1D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  <w:r w:rsidRPr="00771D1D">
              <w:rPr>
                <w:rFonts w:ascii="仿宋" w:eastAsia="仿宋" w:hAnsi="仿宋" w:hint="eastAsia"/>
                <w:color w:val="000000" w:themeColor="text1"/>
                <w:kern w:val="0"/>
                <w:sz w:val="18"/>
                <w:szCs w:val="18"/>
              </w:rPr>
              <w:t>拥有本地化服务机构，具备上门解离以及相关实验的服务及能力，4小时内能到达实验现场。</w:t>
            </w:r>
          </w:p>
        </w:tc>
      </w:tr>
      <w:tr w:rsidR="00774DB8" w:rsidRPr="00ED66FA" w14:paraId="5AD9E364" w14:textId="77777777" w:rsidTr="00B414E1">
        <w:trPr>
          <w:trHeight w:val="528"/>
        </w:trPr>
        <w:tc>
          <w:tcPr>
            <w:tcW w:w="229" w:type="pct"/>
            <w:vMerge/>
            <w:shd w:val="clear" w:color="auto" w:fill="auto"/>
            <w:noWrap/>
            <w:vAlign w:val="center"/>
          </w:tcPr>
          <w:p w14:paraId="534579D5" w14:textId="77777777" w:rsidR="00774DB8" w:rsidRPr="00ED66FA" w:rsidRDefault="00774DB8" w:rsidP="001E560B">
            <w:pPr>
              <w:widowControl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2B5FD232" w14:textId="182C20DB" w:rsidR="00774DB8" w:rsidRDefault="00774DB8" w:rsidP="001E560B">
            <w:pPr>
              <w:widowControl/>
              <w:tabs>
                <w:tab w:val="left" w:pos="2700"/>
              </w:tabs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1-2</w:t>
            </w:r>
          </w:p>
        </w:tc>
        <w:tc>
          <w:tcPr>
            <w:tcW w:w="1431" w:type="pct"/>
            <w:shd w:val="clear" w:color="000000" w:fill="FFFFFF"/>
            <w:vAlign w:val="center"/>
          </w:tcPr>
          <w:p w14:paraId="160F9EA2" w14:textId="6FF5434E" w:rsidR="00774DB8" w:rsidRPr="001831FF" w:rsidRDefault="00774DB8" w:rsidP="001E560B">
            <w:pPr>
              <w:widowControl/>
              <w:tabs>
                <w:tab w:val="left" w:pos="2700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75E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单细胞</w:t>
            </w:r>
            <w:proofErr w:type="gramStart"/>
            <w:r w:rsidRPr="00575E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转录组</w:t>
            </w:r>
            <w:proofErr w:type="gramEnd"/>
            <w:r w:rsidRPr="00575E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测序数据分析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704577DA" w14:textId="034CEE7F" w:rsidR="00774DB8" w:rsidRPr="001831FF" w:rsidRDefault="00774DB8" w:rsidP="001E560B">
            <w:pPr>
              <w:tabs>
                <w:tab w:val="left" w:pos="900"/>
              </w:tabs>
              <w:spacing w:beforeLines="50" w:before="156"/>
              <w:jc w:val="center"/>
              <w:rPr>
                <w:rFonts w:ascii="仿宋" w:eastAsia="仿宋" w:hAnsi="仿宋" w:cs="宋体"/>
                <w:sz w:val="24"/>
              </w:rPr>
            </w:pPr>
            <w:r w:rsidRPr="00575E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10次</w:t>
            </w:r>
          </w:p>
        </w:tc>
        <w:tc>
          <w:tcPr>
            <w:tcW w:w="558" w:type="pct"/>
            <w:vMerge/>
            <w:shd w:val="clear" w:color="auto" w:fill="auto"/>
            <w:noWrap/>
            <w:vAlign w:val="center"/>
          </w:tcPr>
          <w:p w14:paraId="3413DF95" w14:textId="77777777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7975147E" w14:textId="77777777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vMerge/>
            <w:shd w:val="clear" w:color="000000" w:fill="FFFFFF"/>
            <w:vAlign w:val="center"/>
          </w:tcPr>
          <w:p w14:paraId="1BA01CE9" w14:textId="77777777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7" w:type="pct"/>
            <w:vMerge/>
            <w:shd w:val="clear" w:color="000000" w:fill="FFFFFF"/>
            <w:vAlign w:val="center"/>
          </w:tcPr>
          <w:p w14:paraId="6881E923" w14:textId="77777777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74DB8" w:rsidRPr="00ED66FA" w14:paraId="7D2C8F17" w14:textId="77777777" w:rsidTr="00B414E1">
        <w:trPr>
          <w:trHeight w:val="528"/>
        </w:trPr>
        <w:tc>
          <w:tcPr>
            <w:tcW w:w="229" w:type="pct"/>
            <w:vMerge/>
            <w:shd w:val="clear" w:color="auto" w:fill="auto"/>
            <w:noWrap/>
            <w:vAlign w:val="center"/>
          </w:tcPr>
          <w:p w14:paraId="73F560F2" w14:textId="77777777" w:rsidR="00774DB8" w:rsidRPr="00ED66FA" w:rsidRDefault="00774DB8" w:rsidP="001E560B">
            <w:pPr>
              <w:widowControl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27951A27" w14:textId="2F23E7B2" w:rsidR="00774DB8" w:rsidRDefault="00774DB8" w:rsidP="001E560B">
            <w:pPr>
              <w:widowControl/>
              <w:tabs>
                <w:tab w:val="left" w:pos="2700"/>
              </w:tabs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1-3</w:t>
            </w:r>
          </w:p>
        </w:tc>
        <w:tc>
          <w:tcPr>
            <w:tcW w:w="1431" w:type="pct"/>
            <w:shd w:val="clear" w:color="000000" w:fill="FFFFFF"/>
            <w:vAlign w:val="center"/>
          </w:tcPr>
          <w:p w14:paraId="1E1915C6" w14:textId="0F7C61C5" w:rsidR="00774DB8" w:rsidRPr="001831FF" w:rsidRDefault="00774DB8" w:rsidP="001E560B">
            <w:pPr>
              <w:widowControl/>
              <w:tabs>
                <w:tab w:val="left" w:pos="2700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75E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空间</w:t>
            </w:r>
            <w:proofErr w:type="gramStart"/>
            <w:r w:rsidRPr="00575E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转录组</w:t>
            </w:r>
            <w:proofErr w:type="gramEnd"/>
            <w:r w:rsidRPr="00575E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测序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43650AF8" w14:textId="39662B9E" w:rsidR="00774DB8" w:rsidRPr="001831FF" w:rsidRDefault="00774DB8" w:rsidP="001E560B">
            <w:pPr>
              <w:tabs>
                <w:tab w:val="left" w:pos="900"/>
              </w:tabs>
              <w:spacing w:beforeLines="50" w:before="156"/>
              <w:jc w:val="center"/>
              <w:rPr>
                <w:rFonts w:ascii="仿宋" w:eastAsia="仿宋" w:hAnsi="仿宋" w:cs="宋体"/>
                <w:sz w:val="24"/>
              </w:rPr>
            </w:pPr>
            <w:r w:rsidRPr="00575E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12个</w:t>
            </w:r>
          </w:p>
        </w:tc>
        <w:tc>
          <w:tcPr>
            <w:tcW w:w="558" w:type="pct"/>
            <w:vMerge/>
            <w:shd w:val="clear" w:color="auto" w:fill="auto"/>
            <w:noWrap/>
            <w:vAlign w:val="center"/>
          </w:tcPr>
          <w:p w14:paraId="1662B539" w14:textId="77777777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63CEF91D" w14:textId="77777777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vMerge/>
            <w:shd w:val="clear" w:color="000000" w:fill="FFFFFF"/>
            <w:vAlign w:val="center"/>
          </w:tcPr>
          <w:p w14:paraId="1637AA39" w14:textId="77777777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7" w:type="pct"/>
            <w:vMerge/>
            <w:shd w:val="clear" w:color="000000" w:fill="FFFFFF"/>
            <w:vAlign w:val="center"/>
          </w:tcPr>
          <w:p w14:paraId="708A1AA1" w14:textId="77777777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74DB8" w:rsidRPr="00ED66FA" w14:paraId="298C4901" w14:textId="77777777" w:rsidTr="00B414E1">
        <w:trPr>
          <w:trHeight w:val="528"/>
        </w:trPr>
        <w:tc>
          <w:tcPr>
            <w:tcW w:w="229" w:type="pct"/>
            <w:vMerge/>
            <w:shd w:val="clear" w:color="auto" w:fill="auto"/>
            <w:noWrap/>
            <w:vAlign w:val="center"/>
          </w:tcPr>
          <w:p w14:paraId="317A6842" w14:textId="77777777" w:rsidR="00774DB8" w:rsidRPr="00ED66FA" w:rsidRDefault="00774DB8" w:rsidP="001E560B">
            <w:pPr>
              <w:widowControl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3FFE6C0A" w14:textId="31BF8EB2" w:rsidR="00774DB8" w:rsidRDefault="00774DB8" w:rsidP="001E560B">
            <w:pPr>
              <w:widowControl/>
              <w:tabs>
                <w:tab w:val="left" w:pos="2700"/>
              </w:tabs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1-4</w:t>
            </w:r>
          </w:p>
        </w:tc>
        <w:tc>
          <w:tcPr>
            <w:tcW w:w="1431" w:type="pct"/>
            <w:shd w:val="clear" w:color="000000" w:fill="FFFFFF"/>
            <w:vAlign w:val="center"/>
          </w:tcPr>
          <w:p w14:paraId="1E83A117" w14:textId="1CD20B1F" w:rsidR="00774DB8" w:rsidRPr="001831FF" w:rsidRDefault="00774DB8" w:rsidP="001E560B">
            <w:pPr>
              <w:widowControl/>
              <w:tabs>
                <w:tab w:val="left" w:pos="2700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75E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空间</w:t>
            </w:r>
            <w:proofErr w:type="gramStart"/>
            <w:r w:rsidRPr="00575E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转录组</w:t>
            </w:r>
            <w:proofErr w:type="gramEnd"/>
            <w:r w:rsidRPr="00575E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测序数据分析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3AC7A096" w14:textId="1FA4300F" w:rsidR="00774DB8" w:rsidRPr="001831FF" w:rsidRDefault="00774DB8" w:rsidP="001E560B">
            <w:pPr>
              <w:tabs>
                <w:tab w:val="left" w:pos="900"/>
              </w:tabs>
              <w:spacing w:beforeLines="50" w:before="156"/>
              <w:jc w:val="center"/>
              <w:rPr>
                <w:rFonts w:ascii="仿宋" w:eastAsia="仿宋" w:hAnsi="仿宋" w:cs="宋体"/>
                <w:sz w:val="24"/>
              </w:rPr>
            </w:pPr>
            <w:r w:rsidRPr="00575E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12次</w:t>
            </w:r>
          </w:p>
        </w:tc>
        <w:tc>
          <w:tcPr>
            <w:tcW w:w="558" w:type="pct"/>
            <w:vMerge/>
            <w:shd w:val="clear" w:color="auto" w:fill="auto"/>
            <w:noWrap/>
            <w:vAlign w:val="center"/>
          </w:tcPr>
          <w:p w14:paraId="17685AEF" w14:textId="77777777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19753E65" w14:textId="77777777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vMerge/>
            <w:shd w:val="clear" w:color="000000" w:fill="FFFFFF"/>
            <w:vAlign w:val="center"/>
          </w:tcPr>
          <w:p w14:paraId="41E76BAD" w14:textId="77777777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7" w:type="pct"/>
            <w:vMerge/>
            <w:shd w:val="clear" w:color="000000" w:fill="FFFFFF"/>
            <w:vAlign w:val="center"/>
          </w:tcPr>
          <w:p w14:paraId="661AB485" w14:textId="77777777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74DB8" w:rsidRPr="00ED66FA" w14:paraId="7DF06D85" w14:textId="77777777" w:rsidTr="00B414E1">
        <w:trPr>
          <w:trHeight w:val="528"/>
        </w:trPr>
        <w:tc>
          <w:tcPr>
            <w:tcW w:w="229" w:type="pct"/>
            <w:vMerge/>
            <w:shd w:val="clear" w:color="auto" w:fill="auto"/>
            <w:noWrap/>
            <w:vAlign w:val="center"/>
          </w:tcPr>
          <w:p w14:paraId="05D97A6B" w14:textId="77777777" w:rsidR="00774DB8" w:rsidRPr="00ED66FA" w:rsidRDefault="00774DB8" w:rsidP="001E560B">
            <w:pPr>
              <w:widowControl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033A0030" w14:textId="4101708A" w:rsidR="00774DB8" w:rsidRDefault="00774DB8" w:rsidP="001E560B">
            <w:pPr>
              <w:widowControl/>
              <w:tabs>
                <w:tab w:val="left" w:pos="2700"/>
              </w:tabs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1-5</w:t>
            </w:r>
          </w:p>
        </w:tc>
        <w:tc>
          <w:tcPr>
            <w:tcW w:w="1431" w:type="pct"/>
            <w:shd w:val="clear" w:color="000000" w:fill="FFFFFF"/>
            <w:vAlign w:val="center"/>
          </w:tcPr>
          <w:p w14:paraId="6325F672" w14:textId="6F473486" w:rsidR="00774DB8" w:rsidRPr="001831FF" w:rsidRDefault="00774DB8" w:rsidP="001E560B">
            <w:pPr>
              <w:widowControl/>
              <w:tabs>
                <w:tab w:val="left" w:pos="2700"/>
              </w:tabs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75E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单细胞ATAC测序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426C586B" w14:textId="78D469E4" w:rsidR="00774DB8" w:rsidRPr="001831FF" w:rsidRDefault="00774DB8" w:rsidP="001E560B">
            <w:pPr>
              <w:tabs>
                <w:tab w:val="left" w:pos="900"/>
              </w:tabs>
              <w:spacing w:beforeLines="50" w:before="156"/>
              <w:jc w:val="center"/>
              <w:rPr>
                <w:rFonts w:ascii="仿宋" w:eastAsia="仿宋" w:hAnsi="仿宋" w:cs="宋体"/>
                <w:sz w:val="24"/>
              </w:rPr>
            </w:pPr>
            <w:r w:rsidRPr="00575E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10个</w:t>
            </w:r>
          </w:p>
        </w:tc>
        <w:tc>
          <w:tcPr>
            <w:tcW w:w="558" w:type="pct"/>
            <w:vMerge/>
            <w:shd w:val="clear" w:color="auto" w:fill="auto"/>
            <w:noWrap/>
            <w:vAlign w:val="center"/>
          </w:tcPr>
          <w:p w14:paraId="5188EC05" w14:textId="77777777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0CD34BEB" w14:textId="77777777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vMerge/>
            <w:shd w:val="clear" w:color="000000" w:fill="FFFFFF"/>
            <w:vAlign w:val="center"/>
          </w:tcPr>
          <w:p w14:paraId="21143085" w14:textId="77777777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7" w:type="pct"/>
            <w:vMerge/>
            <w:shd w:val="clear" w:color="000000" w:fill="FFFFFF"/>
            <w:vAlign w:val="center"/>
          </w:tcPr>
          <w:p w14:paraId="1E960FFF" w14:textId="77777777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74DB8" w:rsidRPr="00ED66FA" w14:paraId="4AA6A392" w14:textId="77777777" w:rsidTr="00B414E1">
        <w:trPr>
          <w:trHeight w:val="528"/>
        </w:trPr>
        <w:tc>
          <w:tcPr>
            <w:tcW w:w="229" w:type="pct"/>
            <w:vMerge/>
            <w:shd w:val="clear" w:color="auto" w:fill="auto"/>
            <w:noWrap/>
            <w:vAlign w:val="center"/>
          </w:tcPr>
          <w:p w14:paraId="41E99DA8" w14:textId="2B05A613" w:rsidR="00774DB8" w:rsidRPr="00ED66FA" w:rsidRDefault="00774DB8" w:rsidP="001E560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3A5216B0" w14:textId="19B6E315" w:rsidR="00774DB8" w:rsidRPr="00ED66FA" w:rsidRDefault="00774DB8" w:rsidP="001E560B">
            <w:pPr>
              <w:widowControl/>
              <w:tabs>
                <w:tab w:val="left" w:pos="2700"/>
              </w:tabs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1-6</w:t>
            </w:r>
          </w:p>
        </w:tc>
        <w:tc>
          <w:tcPr>
            <w:tcW w:w="1431" w:type="pct"/>
            <w:shd w:val="clear" w:color="000000" w:fill="FFFFFF"/>
            <w:vAlign w:val="center"/>
          </w:tcPr>
          <w:p w14:paraId="7A3D43E9" w14:textId="18324D69" w:rsidR="00774DB8" w:rsidRPr="00ED66FA" w:rsidRDefault="00774DB8" w:rsidP="001E560B">
            <w:pPr>
              <w:widowControl/>
              <w:tabs>
                <w:tab w:val="left" w:pos="2700"/>
              </w:tabs>
              <w:jc w:val="center"/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</w:pPr>
            <w:r w:rsidRPr="00575E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单细胞ATAC测序分析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1B634A04" w14:textId="07EF43BF" w:rsidR="00774DB8" w:rsidRPr="00ED66FA" w:rsidRDefault="00774DB8" w:rsidP="001E560B">
            <w:pPr>
              <w:tabs>
                <w:tab w:val="left" w:pos="900"/>
              </w:tabs>
              <w:spacing w:beforeLines="50" w:before="156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75E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10次</w:t>
            </w:r>
          </w:p>
        </w:tc>
        <w:tc>
          <w:tcPr>
            <w:tcW w:w="558" w:type="pct"/>
            <w:vMerge/>
            <w:shd w:val="clear" w:color="auto" w:fill="auto"/>
            <w:noWrap/>
            <w:vAlign w:val="center"/>
          </w:tcPr>
          <w:p w14:paraId="4B1B4568" w14:textId="6740F498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70428B55" w14:textId="227B177E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vMerge/>
            <w:shd w:val="clear" w:color="000000" w:fill="FFFFFF"/>
            <w:vAlign w:val="center"/>
          </w:tcPr>
          <w:p w14:paraId="43E832F1" w14:textId="38FB79C4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7" w:type="pct"/>
            <w:vMerge/>
            <w:shd w:val="clear" w:color="000000" w:fill="FFFFFF"/>
            <w:vAlign w:val="center"/>
          </w:tcPr>
          <w:p w14:paraId="3DF71327" w14:textId="2C46F396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74DB8" w:rsidRPr="00ED66FA" w14:paraId="55ACEA33" w14:textId="77777777" w:rsidTr="00B414E1">
        <w:trPr>
          <w:trHeight w:val="528"/>
        </w:trPr>
        <w:tc>
          <w:tcPr>
            <w:tcW w:w="229" w:type="pct"/>
            <w:vMerge/>
            <w:shd w:val="clear" w:color="auto" w:fill="auto"/>
            <w:noWrap/>
            <w:vAlign w:val="center"/>
          </w:tcPr>
          <w:p w14:paraId="3DD4A4DE" w14:textId="77777777" w:rsidR="00774DB8" w:rsidRPr="00ED66FA" w:rsidRDefault="00774DB8" w:rsidP="001E560B">
            <w:pPr>
              <w:widowControl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21C5B9C2" w14:textId="5CD07222" w:rsidR="00774DB8" w:rsidRPr="00ED66FA" w:rsidRDefault="00774DB8" w:rsidP="001E560B">
            <w:pPr>
              <w:widowControl/>
              <w:tabs>
                <w:tab w:val="left" w:pos="2700"/>
              </w:tabs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1-7</w:t>
            </w:r>
          </w:p>
        </w:tc>
        <w:tc>
          <w:tcPr>
            <w:tcW w:w="1431" w:type="pct"/>
            <w:shd w:val="clear" w:color="000000" w:fill="FFFFFF"/>
            <w:vAlign w:val="center"/>
          </w:tcPr>
          <w:p w14:paraId="39740A8A" w14:textId="43B77D02" w:rsidR="00774DB8" w:rsidRPr="00ED66FA" w:rsidRDefault="00774DB8" w:rsidP="001E560B">
            <w:pPr>
              <w:widowControl/>
              <w:tabs>
                <w:tab w:val="left" w:pos="2700"/>
              </w:tabs>
              <w:jc w:val="center"/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</w:pPr>
            <w:r w:rsidRPr="00575E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人DNA甲基化芯片检测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33C5196A" w14:textId="0106A9DE" w:rsidR="00774DB8" w:rsidRPr="00ED66FA" w:rsidRDefault="00774DB8" w:rsidP="001E560B">
            <w:pPr>
              <w:tabs>
                <w:tab w:val="left" w:pos="900"/>
              </w:tabs>
              <w:spacing w:beforeLines="50" w:before="156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75E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40个</w:t>
            </w:r>
          </w:p>
        </w:tc>
        <w:tc>
          <w:tcPr>
            <w:tcW w:w="558" w:type="pct"/>
            <w:vMerge/>
            <w:shd w:val="clear" w:color="auto" w:fill="auto"/>
            <w:noWrap/>
            <w:vAlign w:val="center"/>
          </w:tcPr>
          <w:p w14:paraId="2B6CC3B6" w14:textId="77777777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069CEC8C" w14:textId="77777777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vMerge/>
            <w:shd w:val="clear" w:color="000000" w:fill="FFFFFF"/>
            <w:vAlign w:val="center"/>
          </w:tcPr>
          <w:p w14:paraId="4D2B58A7" w14:textId="77777777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7" w:type="pct"/>
            <w:vMerge/>
            <w:shd w:val="clear" w:color="000000" w:fill="FFFFFF"/>
            <w:vAlign w:val="center"/>
          </w:tcPr>
          <w:p w14:paraId="12F4D570" w14:textId="77777777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74DB8" w:rsidRPr="00ED66FA" w14:paraId="6BE8794D" w14:textId="77777777" w:rsidTr="00B414E1">
        <w:trPr>
          <w:trHeight w:val="528"/>
        </w:trPr>
        <w:tc>
          <w:tcPr>
            <w:tcW w:w="229" w:type="pct"/>
            <w:vMerge/>
            <w:shd w:val="clear" w:color="auto" w:fill="auto"/>
            <w:noWrap/>
            <w:vAlign w:val="center"/>
          </w:tcPr>
          <w:p w14:paraId="336C8330" w14:textId="77777777" w:rsidR="00774DB8" w:rsidRPr="00ED66FA" w:rsidRDefault="00774DB8" w:rsidP="001E560B">
            <w:pPr>
              <w:widowControl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64F19A68" w14:textId="71439CD3" w:rsidR="00774DB8" w:rsidRPr="00ED66FA" w:rsidRDefault="00774DB8" w:rsidP="001E560B">
            <w:pPr>
              <w:widowControl/>
              <w:tabs>
                <w:tab w:val="left" w:pos="2700"/>
              </w:tabs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1-8</w:t>
            </w:r>
          </w:p>
        </w:tc>
        <w:tc>
          <w:tcPr>
            <w:tcW w:w="1431" w:type="pct"/>
            <w:shd w:val="clear" w:color="000000" w:fill="FFFFFF"/>
            <w:vAlign w:val="center"/>
          </w:tcPr>
          <w:p w14:paraId="23BD7D0C" w14:textId="49E44875" w:rsidR="00774DB8" w:rsidRPr="00ED66FA" w:rsidRDefault="00774DB8" w:rsidP="001E560B">
            <w:pPr>
              <w:widowControl/>
              <w:tabs>
                <w:tab w:val="left" w:pos="2700"/>
              </w:tabs>
              <w:jc w:val="center"/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</w:pPr>
            <w:r w:rsidRPr="00575E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外显子组测序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3772F31A" w14:textId="77AF54F4" w:rsidR="00774DB8" w:rsidRPr="00ED66FA" w:rsidRDefault="00774DB8" w:rsidP="001E560B">
            <w:pPr>
              <w:tabs>
                <w:tab w:val="left" w:pos="900"/>
              </w:tabs>
              <w:spacing w:beforeLines="50" w:before="156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75E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100个</w:t>
            </w:r>
          </w:p>
        </w:tc>
        <w:tc>
          <w:tcPr>
            <w:tcW w:w="558" w:type="pct"/>
            <w:vMerge/>
            <w:shd w:val="clear" w:color="auto" w:fill="auto"/>
            <w:noWrap/>
            <w:vAlign w:val="center"/>
          </w:tcPr>
          <w:p w14:paraId="4FE4F9B2" w14:textId="77777777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1E4C05EC" w14:textId="77777777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vMerge/>
            <w:shd w:val="clear" w:color="000000" w:fill="FFFFFF"/>
            <w:vAlign w:val="center"/>
          </w:tcPr>
          <w:p w14:paraId="658BE38F" w14:textId="77777777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7" w:type="pct"/>
            <w:vMerge/>
            <w:shd w:val="clear" w:color="000000" w:fill="FFFFFF"/>
            <w:vAlign w:val="center"/>
          </w:tcPr>
          <w:p w14:paraId="42A5C0F6" w14:textId="77777777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74DB8" w:rsidRPr="00ED66FA" w14:paraId="263CB63B" w14:textId="77777777" w:rsidTr="00B414E1">
        <w:trPr>
          <w:trHeight w:val="528"/>
        </w:trPr>
        <w:tc>
          <w:tcPr>
            <w:tcW w:w="229" w:type="pct"/>
            <w:vMerge/>
            <w:shd w:val="clear" w:color="auto" w:fill="auto"/>
            <w:noWrap/>
            <w:vAlign w:val="center"/>
          </w:tcPr>
          <w:p w14:paraId="25795EDE" w14:textId="77777777" w:rsidR="00774DB8" w:rsidRPr="00ED66FA" w:rsidRDefault="00774DB8" w:rsidP="001E560B">
            <w:pPr>
              <w:widowControl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3C393ABF" w14:textId="55BC8971" w:rsidR="00774DB8" w:rsidRPr="00ED66FA" w:rsidRDefault="00774DB8" w:rsidP="001E560B">
            <w:pPr>
              <w:widowControl/>
              <w:tabs>
                <w:tab w:val="left" w:pos="2700"/>
              </w:tabs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1-9</w:t>
            </w:r>
          </w:p>
        </w:tc>
        <w:tc>
          <w:tcPr>
            <w:tcW w:w="1431" w:type="pct"/>
            <w:shd w:val="clear" w:color="000000" w:fill="FFFFFF"/>
            <w:vAlign w:val="center"/>
          </w:tcPr>
          <w:p w14:paraId="7A8F91E4" w14:textId="3CF1A531" w:rsidR="00774DB8" w:rsidRPr="00ED66FA" w:rsidRDefault="00774DB8" w:rsidP="001E560B">
            <w:pPr>
              <w:widowControl/>
              <w:tabs>
                <w:tab w:val="left" w:pos="2700"/>
              </w:tabs>
              <w:jc w:val="center"/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</w:pPr>
            <w:r w:rsidRPr="00575E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外显子组测序分析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70DCD63B" w14:textId="1C5B1466" w:rsidR="00774DB8" w:rsidRPr="00ED66FA" w:rsidRDefault="00774DB8" w:rsidP="001E560B">
            <w:pPr>
              <w:tabs>
                <w:tab w:val="left" w:pos="900"/>
              </w:tabs>
              <w:spacing w:beforeLines="50" w:before="156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75E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100次</w:t>
            </w:r>
          </w:p>
        </w:tc>
        <w:tc>
          <w:tcPr>
            <w:tcW w:w="558" w:type="pct"/>
            <w:vMerge/>
            <w:shd w:val="clear" w:color="auto" w:fill="auto"/>
            <w:noWrap/>
            <w:vAlign w:val="center"/>
          </w:tcPr>
          <w:p w14:paraId="63137FC1" w14:textId="77777777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7E1905B9" w14:textId="77777777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vMerge/>
            <w:shd w:val="clear" w:color="000000" w:fill="FFFFFF"/>
            <w:vAlign w:val="center"/>
          </w:tcPr>
          <w:p w14:paraId="20FD78A7" w14:textId="77777777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7" w:type="pct"/>
            <w:vMerge/>
            <w:shd w:val="clear" w:color="000000" w:fill="FFFFFF"/>
            <w:vAlign w:val="center"/>
          </w:tcPr>
          <w:p w14:paraId="370A6E78" w14:textId="77777777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74DB8" w:rsidRPr="00ED66FA" w14:paraId="05F11A29" w14:textId="77777777" w:rsidTr="00B414E1">
        <w:trPr>
          <w:trHeight w:val="528"/>
        </w:trPr>
        <w:tc>
          <w:tcPr>
            <w:tcW w:w="229" w:type="pct"/>
            <w:vMerge/>
            <w:shd w:val="clear" w:color="auto" w:fill="auto"/>
            <w:noWrap/>
            <w:vAlign w:val="center"/>
          </w:tcPr>
          <w:p w14:paraId="2943C39D" w14:textId="77777777" w:rsidR="00774DB8" w:rsidRPr="00ED66FA" w:rsidRDefault="00774DB8" w:rsidP="001E560B">
            <w:pPr>
              <w:widowControl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27B4230C" w14:textId="1D5B2D48" w:rsidR="00774DB8" w:rsidRPr="00ED66FA" w:rsidRDefault="00774DB8" w:rsidP="001E560B">
            <w:pPr>
              <w:widowControl/>
              <w:tabs>
                <w:tab w:val="left" w:pos="2700"/>
              </w:tabs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1-10</w:t>
            </w:r>
          </w:p>
        </w:tc>
        <w:tc>
          <w:tcPr>
            <w:tcW w:w="1431" w:type="pct"/>
            <w:shd w:val="clear" w:color="000000" w:fill="FFFFFF"/>
            <w:vAlign w:val="center"/>
          </w:tcPr>
          <w:p w14:paraId="44B14200" w14:textId="4DE4ECE3" w:rsidR="00774DB8" w:rsidRPr="00ED66FA" w:rsidRDefault="00774DB8" w:rsidP="001E560B">
            <w:pPr>
              <w:widowControl/>
              <w:tabs>
                <w:tab w:val="left" w:pos="2700"/>
              </w:tabs>
              <w:jc w:val="center"/>
              <w:rPr>
                <w:rFonts w:ascii="仿宋" w:eastAsia="仿宋" w:hAnsi="仿宋"/>
                <w:b/>
                <w:color w:val="000000"/>
                <w:kern w:val="0"/>
                <w:sz w:val="18"/>
                <w:szCs w:val="18"/>
              </w:rPr>
            </w:pPr>
            <w:r w:rsidRPr="00575E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测序数据结果个性化整合分析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5F3DCE25" w14:textId="6D2A4061" w:rsidR="00774DB8" w:rsidRPr="00ED66FA" w:rsidRDefault="00774DB8" w:rsidP="001E560B">
            <w:pPr>
              <w:tabs>
                <w:tab w:val="left" w:pos="900"/>
              </w:tabs>
              <w:spacing w:beforeLines="50" w:before="156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75E3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20次</w:t>
            </w:r>
          </w:p>
        </w:tc>
        <w:tc>
          <w:tcPr>
            <w:tcW w:w="558" w:type="pct"/>
            <w:vMerge/>
            <w:shd w:val="clear" w:color="auto" w:fill="auto"/>
            <w:noWrap/>
            <w:vAlign w:val="center"/>
          </w:tcPr>
          <w:p w14:paraId="611A3A9B" w14:textId="77777777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46472BFE" w14:textId="77777777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vMerge/>
            <w:shd w:val="clear" w:color="000000" w:fill="FFFFFF"/>
            <w:vAlign w:val="center"/>
          </w:tcPr>
          <w:p w14:paraId="336F8764" w14:textId="77777777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7" w:type="pct"/>
            <w:vMerge/>
            <w:shd w:val="clear" w:color="000000" w:fill="FFFFFF"/>
            <w:vAlign w:val="center"/>
          </w:tcPr>
          <w:p w14:paraId="58A9D22E" w14:textId="77777777" w:rsidR="00774DB8" w:rsidRPr="00ED66FA" w:rsidRDefault="00774DB8" w:rsidP="001E560B">
            <w:pPr>
              <w:widowControl/>
              <w:snapToGrid w:val="0"/>
              <w:jc w:val="center"/>
              <w:rPr>
                <w:rFonts w:ascii="仿宋" w:eastAsia="仿宋" w:hAnsi="仿宋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1EAD5FD5" w14:textId="140A92D7" w:rsidR="00EC57B6" w:rsidRPr="0034655B" w:rsidRDefault="00694D27" w:rsidP="00694D27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</w:t>
      </w:r>
      <w:r w:rsidRPr="00F82D82">
        <w:rPr>
          <w:rFonts w:ascii="黑体" w:eastAsia="黑体" w:hAnsi="黑体" w:hint="eastAsia"/>
          <w:sz w:val="28"/>
          <w:szCs w:val="28"/>
        </w:rPr>
        <w:t>：</w:t>
      </w:r>
      <w:r w:rsidR="00EC57B6" w:rsidRPr="0034655B">
        <w:rPr>
          <w:rFonts w:asciiTheme="minorEastAsia" w:eastAsiaTheme="minorEastAsia" w:hAnsiTheme="minorEastAsia" w:hint="eastAsia"/>
          <w:sz w:val="28"/>
          <w:szCs w:val="28"/>
        </w:rPr>
        <w:t>魏继航、石树强、张新京、焦永春、白玫</w:t>
      </w:r>
    </w:p>
    <w:p w14:paraId="7FF5F698" w14:textId="7C423C27" w:rsidR="00DB3032" w:rsidRPr="0034655B" w:rsidRDefault="00694D27" w:rsidP="00694D27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="00ED4078" w:rsidRPr="00ED4078"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 w:rsidR="00ED4078" w:rsidRPr="00ED4078"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 w:rsidR="00ED4078" w:rsidRPr="00ED4078">
        <w:rPr>
          <w:rFonts w:asciiTheme="minorEastAsia" w:eastAsiaTheme="minorEastAsia" w:hAnsiTheme="minorEastAsia" w:hint="eastAsia"/>
          <w:sz w:val="28"/>
          <w:szCs w:val="28"/>
        </w:rPr>
        <w:t>颁布的《招标代理</w:t>
      </w:r>
      <w:r w:rsidR="00ED4078" w:rsidRPr="0034655B">
        <w:rPr>
          <w:rFonts w:asciiTheme="minorEastAsia" w:eastAsiaTheme="minorEastAsia" w:hAnsiTheme="minorEastAsia" w:hint="eastAsia"/>
          <w:sz w:val="28"/>
          <w:szCs w:val="28"/>
        </w:rPr>
        <w:t>服务收费管理暂行办法》（计价格[2002]1980</w:t>
      </w:r>
      <w:r w:rsidR="00DB3032" w:rsidRPr="0034655B">
        <w:rPr>
          <w:rFonts w:asciiTheme="minorEastAsia" w:eastAsiaTheme="minorEastAsia" w:hAnsiTheme="minorEastAsia" w:hint="eastAsia"/>
          <w:sz w:val="28"/>
          <w:szCs w:val="28"/>
        </w:rPr>
        <w:t>号）</w:t>
      </w:r>
    </w:p>
    <w:p w14:paraId="1A0224E7" w14:textId="48A57A00" w:rsidR="00694D27" w:rsidRPr="00DC1F63" w:rsidRDefault="00ED4078" w:rsidP="00694D27">
      <w:pPr>
        <w:rPr>
          <w:rFonts w:asciiTheme="minorEastAsia" w:eastAsiaTheme="minorEastAsia" w:hAnsiTheme="minorEastAsia"/>
          <w:sz w:val="28"/>
          <w:szCs w:val="28"/>
        </w:rPr>
      </w:pPr>
      <w:r w:rsidRPr="0034655B">
        <w:rPr>
          <w:rFonts w:asciiTheme="minorEastAsia" w:eastAsiaTheme="minorEastAsia" w:hAnsiTheme="minorEastAsia" w:hint="eastAsia"/>
          <w:sz w:val="28"/>
          <w:szCs w:val="28"/>
        </w:rPr>
        <w:t>金额：</w:t>
      </w:r>
      <w:r w:rsidR="0034655B" w:rsidRPr="0034655B">
        <w:rPr>
          <w:rFonts w:asciiTheme="minorEastAsia" w:eastAsiaTheme="minorEastAsia" w:hAnsiTheme="minorEastAsia" w:hint="eastAsia"/>
          <w:sz w:val="28"/>
          <w:szCs w:val="28"/>
        </w:rPr>
        <w:t>1.86</w:t>
      </w:r>
      <w:r w:rsidRPr="0034655B">
        <w:rPr>
          <w:rFonts w:asciiTheme="minorEastAsia" w:eastAsiaTheme="minorEastAsia" w:hAnsiTheme="minorEastAsia" w:hint="eastAsia"/>
          <w:sz w:val="28"/>
          <w:szCs w:val="28"/>
        </w:rPr>
        <w:t>万元人民币</w:t>
      </w:r>
    </w:p>
    <w:p w14:paraId="5F4E6132" w14:textId="77777777" w:rsidR="00694D27" w:rsidRDefault="00694D27" w:rsidP="00694D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5CF3AC9B" w14:textId="77777777" w:rsidR="00694D27" w:rsidRDefault="00694D27" w:rsidP="00694D2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0B31904D" w14:textId="77777777" w:rsidR="00694D27" w:rsidRDefault="00694D27" w:rsidP="00694D27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07799339" w14:textId="77777777" w:rsidR="005761B4" w:rsidRDefault="005761B4" w:rsidP="005761B4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761B4">
        <w:rPr>
          <w:rFonts w:ascii="仿宋" w:eastAsia="仿宋" w:hAnsi="仿宋" w:cs="宋体"/>
          <w:kern w:val="0"/>
          <w:sz w:val="28"/>
          <w:szCs w:val="28"/>
        </w:rPr>
        <w:t>用途：自用</w:t>
      </w:r>
    </w:p>
    <w:p w14:paraId="5E119C7D" w14:textId="6897BA32" w:rsidR="003A7831" w:rsidRPr="00A53637" w:rsidRDefault="00B67BB1" w:rsidP="00955405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15559">
        <w:rPr>
          <w:rFonts w:ascii="仿宋" w:eastAsia="仿宋" w:hAnsi="仿宋" w:cs="宋体"/>
          <w:kern w:val="0"/>
          <w:sz w:val="28"/>
          <w:szCs w:val="28"/>
        </w:rPr>
        <w:t>合同执行期、服务要求：</w:t>
      </w:r>
      <w:r w:rsidR="008C0767" w:rsidRPr="008C0767">
        <w:rPr>
          <w:rFonts w:ascii="仿宋" w:eastAsia="仿宋" w:hAnsi="仿宋" w:cs="宋体" w:hint="eastAsia"/>
          <w:kern w:val="0"/>
          <w:sz w:val="28"/>
          <w:szCs w:val="28"/>
        </w:rPr>
        <w:t>合同签署后1年</w:t>
      </w:r>
    </w:p>
    <w:p w14:paraId="64AD5CBF" w14:textId="06C799E3" w:rsidR="00694D27" w:rsidRPr="00915559" w:rsidRDefault="005761B4" w:rsidP="005761B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15559">
        <w:rPr>
          <w:rFonts w:ascii="仿宋" w:eastAsia="仿宋" w:hAnsi="仿宋" w:cs="宋体"/>
          <w:kern w:val="0"/>
          <w:sz w:val="28"/>
          <w:szCs w:val="28"/>
        </w:rPr>
        <w:t>招标公告发布日期：</w:t>
      </w:r>
      <w:r w:rsidR="0047098E" w:rsidRPr="0047098E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992602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="0047098E" w:rsidRPr="0047098E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8325CA">
        <w:rPr>
          <w:rFonts w:ascii="仿宋" w:eastAsia="仿宋" w:hAnsi="仿宋" w:cs="宋体" w:hint="eastAsia"/>
          <w:kern w:val="0"/>
          <w:sz w:val="28"/>
          <w:szCs w:val="28"/>
        </w:rPr>
        <w:t>11</w:t>
      </w:r>
      <w:r w:rsidR="0047098E" w:rsidRPr="0047098E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260FC0">
        <w:rPr>
          <w:rFonts w:ascii="仿宋" w:eastAsia="仿宋" w:hAnsi="仿宋" w:cs="宋体" w:hint="eastAsia"/>
          <w:kern w:val="0"/>
          <w:sz w:val="28"/>
          <w:szCs w:val="28"/>
        </w:rPr>
        <w:t>21</w:t>
      </w:r>
      <w:r w:rsidR="0047098E" w:rsidRPr="0047098E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69CBF675" w14:textId="31B9ECB3" w:rsidR="005761B4" w:rsidRPr="00C90AA0" w:rsidRDefault="005761B4" w:rsidP="005761B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90AA0">
        <w:rPr>
          <w:rFonts w:ascii="仿宋" w:eastAsia="仿宋" w:hAnsi="仿宋" w:cs="宋体"/>
          <w:kern w:val="0"/>
          <w:sz w:val="28"/>
          <w:szCs w:val="28"/>
        </w:rPr>
        <w:t>定标日期：</w:t>
      </w:r>
      <w:r w:rsidR="0047098E" w:rsidRPr="00C90AA0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992602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="0047098E" w:rsidRPr="00C90AA0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8325CA">
        <w:rPr>
          <w:rFonts w:ascii="仿宋" w:eastAsia="仿宋" w:hAnsi="仿宋" w:cs="宋体" w:hint="eastAsia"/>
          <w:kern w:val="0"/>
          <w:sz w:val="28"/>
          <w:szCs w:val="28"/>
        </w:rPr>
        <w:t>12</w:t>
      </w:r>
      <w:r w:rsidR="0047098E" w:rsidRPr="00C90AA0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34655B">
        <w:rPr>
          <w:rFonts w:ascii="仿宋" w:eastAsia="仿宋" w:hAnsi="仿宋" w:cs="宋体" w:hint="eastAsia"/>
          <w:kern w:val="0"/>
          <w:sz w:val="28"/>
          <w:szCs w:val="28"/>
        </w:rPr>
        <w:t>13</w:t>
      </w:r>
      <w:r w:rsidR="0047098E" w:rsidRPr="00C90AA0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50BAD5FF" w14:textId="77777777" w:rsidR="00694D27" w:rsidRDefault="00694D27" w:rsidP="00694D27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2AB07C44" w14:textId="77777777" w:rsidR="00694D27" w:rsidRDefault="00694D27" w:rsidP="004D63F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3" w:name="_Toc35393810"/>
      <w:bookmarkStart w:id="4" w:name="_Toc35393641"/>
      <w:bookmarkStart w:id="5" w:name="_Toc28359100"/>
      <w:bookmarkStart w:id="6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14:paraId="4F9C145E" w14:textId="27E50D55" w:rsidR="00694D27" w:rsidRDefault="00694D27" w:rsidP="004D63F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260FC0" w:rsidRPr="00260FC0">
        <w:rPr>
          <w:rFonts w:ascii="仿宋" w:eastAsia="仿宋" w:hAnsi="仿宋" w:hint="eastAsia"/>
          <w:sz w:val="28"/>
          <w:szCs w:val="28"/>
          <w:u w:val="single"/>
        </w:rPr>
        <w:t>北京市老年病医疗研究中心</w:t>
      </w:r>
    </w:p>
    <w:p w14:paraId="31C647EB" w14:textId="07653D23" w:rsidR="00694D27" w:rsidRDefault="00694D27" w:rsidP="004D63F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260FC0" w:rsidRPr="00260FC0">
        <w:rPr>
          <w:rFonts w:ascii="仿宋" w:eastAsia="仿宋" w:hAnsi="仿宋" w:hint="eastAsia"/>
          <w:sz w:val="28"/>
          <w:szCs w:val="28"/>
          <w:u w:val="single"/>
        </w:rPr>
        <w:t>北京市宣武区长椿街45号</w:t>
      </w:r>
    </w:p>
    <w:p w14:paraId="1EC1E02F" w14:textId="347C311E" w:rsidR="00694D27" w:rsidRDefault="00694D27" w:rsidP="004D63F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260FC0" w:rsidRPr="00260FC0">
        <w:rPr>
          <w:rFonts w:ascii="仿宋" w:eastAsia="仿宋" w:hAnsi="仿宋" w:hint="eastAsia"/>
          <w:sz w:val="28"/>
          <w:szCs w:val="28"/>
          <w:u w:val="single"/>
        </w:rPr>
        <w:t>010－83198353</w:t>
      </w:r>
    </w:p>
    <w:p w14:paraId="0EC22E70" w14:textId="77777777" w:rsidR="00694D27" w:rsidRDefault="00694D27" w:rsidP="004D63F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7" w:name="_Toc28359101"/>
      <w:bookmarkStart w:id="8" w:name="_Toc28359024"/>
      <w:bookmarkStart w:id="9" w:name="_Toc35393642"/>
      <w:bookmarkStart w:id="10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14:paraId="4A7C3D7A" w14:textId="77777777" w:rsidR="00694D27" w:rsidRDefault="00694D27" w:rsidP="004D63F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1B4F5367" w14:textId="27A2BBDF" w:rsidR="00694D27" w:rsidRDefault="00694D27" w:rsidP="004D63F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北京市丰台区</w:t>
      </w:r>
      <w:r w:rsidR="00992602">
        <w:rPr>
          <w:rFonts w:ascii="仿宋" w:eastAsia="仿宋" w:hAnsi="仿宋" w:hint="eastAsia"/>
          <w:sz w:val="28"/>
          <w:szCs w:val="28"/>
          <w:u w:val="single"/>
        </w:rPr>
        <w:t>西营街1号院通用时代中心C座9层</w:t>
      </w:r>
    </w:p>
    <w:p w14:paraId="4D3F6757" w14:textId="49672359" w:rsidR="00694D27" w:rsidRDefault="00694D27" w:rsidP="004D63F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992602">
        <w:rPr>
          <w:rFonts w:ascii="仿宋" w:eastAsia="仿宋" w:hAnsi="仿宋" w:hint="eastAsia"/>
          <w:sz w:val="28"/>
          <w:szCs w:val="28"/>
          <w:u w:val="single"/>
        </w:rPr>
        <w:t>8116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8697</w:t>
      </w:r>
    </w:p>
    <w:p w14:paraId="146C550B" w14:textId="77777777" w:rsidR="00694D27" w:rsidRDefault="00694D27" w:rsidP="004D63F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1" w:name="_Toc28359102"/>
      <w:bookmarkStart w:id="12" w:name="_Toc28359025"/>
      <w:bookmarkStart w:id="13" w:name="_Toc35393643"/>
      <w:bookmarkStart w:id="14" w:name="_Toc35393812"/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14:paraId="1B0731B5" w14:textId="71F55C4D" w:rsidR="00694D27" w:rsidRDefault="00694D27" w:rsidP="004D63F5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马建</w:t>
      </w:r>
      <w:r w:rsidR="00992602">
        <w:rPr>
          <w:rFonts w:ascii="仿宋" w:eastAsia="仿宋" w:hAnsi="仿宋" w:hint="eastAsia"/>
          <w:sz w:val="28"/>
          <w:szCs w:val="28"/>
          <w:u w:val="single"/>
        </w:rPr>
        <w:t>、彭子尧、肖然、吴萍</w:t>
      </w:r>
    </w:p>
    <w:p w14:paraId="7E0AB4C2" w14:textId="63D2ADAC" w:rsidR="00694D27" w:rsidRDefault="00694D27" w:rsidP="004D63F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992602">
        <w:rPr>
          <w:rFonts w:ascii="仿宋" w:eastAsia="仿宋" w:hAnsi="仿宋" w:hint="eastAsia"/>
          <w:sz w:val="28"/>
          <w:szCs w:val="28"/>
          <w:u w:val="single"/>
        </w:rPr>
        <w:t>8116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8697</w:t>
      </w:r>
    </w:p>
    <w:p w14:paraId="7BC565AB" w14:textId="77777777" w:rsidR="00BC034D" w:rsidRDefault="00BC034D" w:rsidP="00BC034D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12823ED8" w14:textId="6A8423DB" w:rsidR="00866EA9" w:rsidRDefault="00BC034D" w:rsidP="00C90AA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27102"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p w14:paraId="7EA04E7C" w14:textId="3393FBFD" w:rsidR="00E77284" w:rsidRPr="00BC034D" w:rsidRDefault="00E77284" w:rsidP="00E77284">
      <w:pPr>
        <w:snapToGrid w:val="0"/>
        <w:spacing w:line="360" w:lineRule="auto"/>
        <w:ind w:firstLineChars="200" w:firstLine="560"/>
        <w:jc w:val="left"/>
      </w:pPr>
      <w:r>
        <w:rPr>
          <w:rFonts w:ascii="仿宋" w:eastAsia="仿宋" w:hAnsi="仿宋" w:cs="宋体" w:hint="eastAsia"/>
          <w:kern w:val="0"/>
          <w:sz w:val="28"/>
          <w:szCs w:val="28"/>
        </w:rPr>
        <w:t>2、中小企业声明函</w:t>
      </w:r>
    </w:p>
    <w:sectPr w:rsidR="00E77284" w:rsidRPr="00BC034D" w:rsidSect="001479D0">
      <w:pgSz w:w="11906" w:h="16838"/>
      <w:pgMar w:top="1440" w:right="1800" w:bottom="17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32346" w14:textId="77777777" w:rsidR="00B82E5B" w:rsidRDefault="00B82E5B" w:rsidP="00B3336A">
      <w:r>
        <w:separator/>
      </w:r>
    </w:p>
  </w:endnote>
  <w:endnote w:type="continuationSeparator" w:id="0">
    <w:p w14:paraId="46F2B600" w14:textId="77777777" w:rsidR="00B82E5B" w:rsidRDefault="00B82E5B" w:rsidP="00B3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14F8B" w14:textId="77777777" w:rsidR="00B82E5B" w:rsidRDefault="00B82E5B" w:rsidP="00B3336A">
      <w:r>
        <w:separator/>
      </w:r>
    </w:p>
  </w:footnote>
  <w:footnote w:type="continuationSeparator" w:id="0">
    <w:p w14:paraId="6E42E459" w14:textId="77777777" w:rsidR="00B82E5B" w:rsidRDefault="00B82E5B" w:rsidP="00B33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27"/>
    <w:rsid w:val="000020FA"/>
    <w:rsid w:val="00023CF9"/>
    <w:rsid w:val="00024456"/>
    <w:rsid w:val="000266C8"/>
    <w:rsid w:val="000313D6"/>
    <w:rsid w:val="00035A38"/>
    <w:rsid w:val="000368CC"/>
    <w:rsid w:val="00045C3E"/>
    <w:rsid w:val="00060204"/>
    <w:rsid w:val="00061540"/>
    <w:rsid w:val="000615FB"/>
    <w:rsid w:val="00062900"/>
    <w:rsid w:val="00066EC9"/>
    <w:rsid w:val="00071D90"/>
    <w:rsid w:val="000814C8"/>
    <w:rsid w:val="00096402"/>
    <w:rsid w:val="000A6813"/>
    <w:rsid w:val="000B2E4E"/>
    <w:rsid w:val="000D0ABD"/>
    <w:rsid w:val="000D4CC9"/>
    <w:rsid w:val="0011740A"/>
    <w:rsid w:val="001479D0"/>
    <w:rsid w:val="001530CE"/>
    <w:rsid w:val="001554ED"/>
    <w:rsid w:val="00166C68"/>
    <w:rsid w:val="00190B7D"/>
    <w:rsid w:val="001D696A"/>
    <w:rsid w:val="001E560B"/>
    <w:rsid w:val="00210391"/>
    <w:rsid w:val="00217CD7"/>
    <w:rsid w:val="002277D5"/>
    <w:rsid w:val="00227B90"/>
    <w:rsid w:val="00230268"/>
    <w:rsid w:val="00252C36"/>
    <w:rsid w:val="00255FC7"/>
    <w:rsid w:val="00257EDA"/>
    <w:rsid w:val="00260FC0"/>
    <w:rsid w:val="002716B9"/>
    <w:rsid w:val="002965D1"/>
    <w:rsid w:val="002A0982"/>
    <w:rsid w:val="002B2976"/>
    <w:rsid w:val="002B2CE0"/>
    <w:rsid w:val="002B6279"/>
    <w:rsid w:val="002D651A"/>
    <w:rsid w:val="002D7D2C"/>
    <w:rsid w:val="002F0F6B"/>
    <w:rsid w:val="002F5FA6"/>
    <w:rsid w:val="0031214D"/>
    <w:rsid w:val="00314EA6"/>
    <w:rsid w:val="003300CD"/>
    <w:rsid w:val="0034655B"/>
    <w:rsid w:val="00351CDC"/>
    <w:rsid w:val="00353646"/>
    <w:rsid w:val="0037155B"/>
    <w:rsid w:val="003735BD"/>
    <w:rsid w:val="00375E0B"/>
    <w:rsid w:val="00376B00"/>
    <w:rsid w:val="0039482D"/>
    <w:rsid w:val="003A0001"/>
    <w:rsid w:val="003A7831"/>
    <w:rsid w:val="003C4D59"/>
    <w:rsid w:val="003D242C"/>
    <w:rsid w:val="003D2C85"/>
    <w:rsid w:val="003E357F"/>
    <w:rsid w:val="00401AC7"/>
    <w:rsid w:val="00416AD5"/>
    <w:rsid w:val="00420BFB"/>
    <w:rsid w:val="00427C74"/>
    <w:rsid w:val="004359D3"/>
    <w:rsid w:val="00451A18"/>
    <w:rsid w:val="0045228E"/>
    <w:rsid w:val="00467F2E"/>
    <w:rsid w:val="0047098E"/>
    <w:rsid w:val="004742E8"/>
    <w:rsid w:val="00484A66"/>
    <w:rsid w:val="00485A0E"/>
    <w:rsid w:val="00490119"/>
    <w:rsid w:val="00494B15"/>
    <w:rsid w:val="004968AB"/>
    <w:rsid w:val="004A116A"/>
    <w:rsid w:val="004A1C47"/>
    <w:rsid w:val="004A2D32"/>
    <w:rsid w:val="004A503E"/>
    <w:rsid w:val="004A642A"/>
    <w:rsid w:val="004B3957"/>
    <w:rsid w:val="004C21F0"/>
    <w:rsid w:val="004D1A7F"/>
    <w:rsid w:val="004D63F5"/>
    <w:rsid w:val="004E5372"/>
    <w:rsid w:val="0050631B"/>
    <w:rsid w:val="005073CC"/>
    <w:rsid w:val="005176E3"/>
    <w:rsid w:val="00526725"/>
    <w:rsid w:val="00545402"/>
    <w:rsid w:val="00555592"/>
    <w:rsid w:val="00571AB3"/>
    <w:rsid w:val="005761B4"/>
    <w:rsid w:val="00584A6B"/>
    <w:rsid w:val="005C29A4"/>
    <w:rsid w:val="005C39EB"/>
    <w:rsid w:val="005E26ED"/>
    <w:rsid w:val="005E692A"/>
    <w:rsid w:val="005F2F1C"/>
    <w:rsid w:val="005F681E"/>
    <w:rsid w:val="00601D14"/>
    <w:rsid w:val="00604ABD"/>
    <w:rsid w:val="0060737F"/>
    <w:rsid w:val="00611A93"/>
    <w:rsid w:val="0061384D"/>
    <w:rsid w:val="00626737"/>
    <w:rsid w:val="00630C89"/>
    <w:rsid w:val="006528B9"/>
    <w:rsid w:val="00654B34"/>
    <w:rsid w:val="00665A26"/>
    <w:rsid w:val="006716C0"/>
    <w:rsid w:val="00673908"/>
    <w:rsid w:val="00683118"/>
    <w:rsid w:val="006845C9"/>
    <w:rsid w:val="00687549"/>
    <w:rsid w:val="00691285"/>
    <w:rsid w:val="00693BC0"/>
    <w:rsid w:val="00694D27"/>
    <w:rsid w:val="00697DC3"/>
    <w:rsid w:val="006A1BC4"/>
    <w:rsid w:val="006C32ED"/>
    <w:rsid w:val="006E48BA"/>
    <w:rsid w:val="006F30D5"/>
    <w:rsid w:val="006F67AE"/>
    <w:rsid w:val="00700359"/>
    <w:rsid w:val="00722811"/>
    <w:rsid w:val="007352C7"/>
    <w:rsid w:val="007407CF"/>
    <w:rsid w:val="00760E1A"/>
    <w:rsid w:val="00770A21"/>
    <w:rsid w:val="00771D1D"/>
    <w:rsid w:val="007735EC"/>
    <w:rsid w:val="00774040"/>
    <w:rsid w:val="00774DB8"/>
    <w:rsid w:val="00776441"/>
    <w:rsid w:val="00782DC7"/>
    <w:rsid w:val="007867C6"/>
    <w:rsid w:val="007C3572"/>
    <w:rsid w:val="007C6AE1"/>
    <w:rsid w:val="007D0E5C"/>
    <w:rsid w:val="007D2EBA"/>
    <w:rsid w:val="007D6A2A"/>
    <w:rsid w:val="007F353C"/>
    <w:rsid w:val="007F52A3"/>
    <w:rsid w:val="007F7F95"/>
    <w:rsid w:val="008019E0"/>
    <w:rsid w:val="00810486"/>
    <w:rsid w:val="008123AF"/>
    <w:rsid w:val="00814E40"/>
    <w:rsid w:val="00817F2B"/>
    <w:rsid w:val="00823A69"/>
    <w:rsid w:val="008325CA"/>
    <w:rsid w:val="00833596"/>
    <w:rsid w:val="008567F8"/>
    <w:rsid w:val="00860645"/>
    <w:rsid w:val="008624F3"/>
    <w:rsid w:val="00866EA9"/>
    <w:rsid w:val="0087461A"/>
    <w:rsid w:val="00874CD2"/>
    <w:rsid w:val="00876E6A"/>
    <w:rsid w:val="00881EA7"/>
    <w:rsid w:val="00883ED9"/>
    <w:rsid w:val="00891893"/>
    <w:rsid w:val="00892979"/>
    <w:rsid w:val="008A7F78"/>
    <w:rsid w:val="008B2E11"/>
    <w:rsid w:val="008B3B7D"/>
    <w:rsid w:val="008B6CCE"/>
    <w:rsid w:val="008C0767"/>
    <w:rsid w:val="008C0BE9"/>
    <w:rsid w:val="008C7B3D"/>
    <w:rsid w:val="008E003C"/>
    <w:rsid w:val="0090798B"/>
    <w:rsid w:val="00907F51"/>
    <w:rsid w:val="00911791"/>
    <w:rsid w:val="00915559"/>
    <w:rsid w:val="00924ABE"/>
    <w:rsid w:val="00926CFF"/>
    <w:rsid w:val="0093388C"/>
    <w:rsid w:val="00940B5F"/>
    <w:rsid w:val="00943D7B"/>
    <w:rsid w:val="00945372"/>
    <w:rsid w:val="00946C81"/>
    <w:rsid w:val="009501F5"/>
    <w:rsid w:val="0095383A"/>
    <w:rsid w:val="0095516A"/>
    <w:rsid w:val="00955405"/>
    <w:rsid w:val="0096088F"/>
    <w:rsid w:val="00960D5E"/>
    <w:rsid w:val="00960E57"/>
    <w:rsid w:val="0096202E"/>
    <w:rsid w:val="00963C04"/>
    <w:rsid w:val="00966121"/>
    <w:rsid w:val="00974338"/>
    <w:rsid w:val="00992210"/>
    <w:rsid w:val="00992602"/>
    <w:rsid w:val="009A1F0F"/>
    <w:rsid w:val="009A44C8"/>
    <w:rsid w:val="009A59A7"/>
    <w:rsid w:val="009B1649"/>
    <w:rsid w:val="009B738A"/>
    <w:rsid w:val="009C4B9B"/>
    <w:rsid w:val="009D1625"/>
    <w:rsid w:val="009E2B9E"/>
    <w:rsid w:val="009F0109"/>
    <w:rsid w:val="009F6464"/>
    <w:rsid w:val="009F7E95"/>
    <w:rsid w:val="00A04C1A"/>
    <w:rsid w:val="00A1227E"/>
    <w:rsid w:val="00A12E4C"/>
    <w:rsid w:val="00A149A1"/>
    <w:rsid w:val="00A14A9B"/>
    <w:rsid w:val="00A248D2"/>
    <w:rsid w:val="00A42733"/>
    <w:rsid w:val="00A43BAC"/>
    <w:rsid w:val="00A53637"/>
    <w:rsid w:val="00A6281A"/>
    <w:rsid w:val="00A83918"/>
    <w:rsid w:val="00A85F01"/>
    <w:rsid w:val="00A93D95"/>
    <w:rsid w:val="00A9579D"/>
    <w:rsid w:val="00AB445B"/>
    <w:rsid w:val="00AB591A"/>
    <w:rsid w:val="00AB6611"/>
    <w:rsid w:val="00AD0DDF"/>
    <w:rsid w:val="00AE0963"/>
    <w:rsid w:val="00AE451D"/>
    <w:rsid w:val="00AE715F"/>
    <w:rsid w:val="00AE7C72"/>
    <w:rsid w:val="00B15DCE"/>
    <w:rsid w:val="00B164BC"/>
    <w:rsid w:val="00B3336A"/>
    <w:rsid w:val="00B414E1"/>
    <w:rsid w:val="00B43DFE"/>
    <w:rsid w:val="00B620DE"/>
    <w:rsid w:val="00B6494E"/>
    <w:rsid w:val="00B67BB1"/>
    <w:rsid w:val="00B75154"/>
    <w:rsid w:val="00B82E5B"/>
    <w:rsid w:val="00B84C56"/>
    <w:rsid w:val="00B87161"/>
    <w:rsid w:val="00B934A7"/>
    <w:rsid w:val="00B93734"/>
    <w:rsid w:val="00BA2B0B"/>
    <w:rsid w:val="00BA5216"/>
    <w:rsid w:val="00BA5924"/>
    <w:rsid w:val="00BB20FF"/>
    <w:rsid w:val="00BC034D"/>
    <w:rsid w:val="00BC0CD1"/>
    <w:rsid w:val="00BC5EB7"/>
    <w:rsid w:val="00BE0578"/>
    <w:rsid w:val="00BF5740"/>
    <w:rsid w:val="00BF771E"/>
    <w:rsid w:val="00C0501B"/>
    <w:rsid w:val="00C12DFC"/>
    <w:rsid w:val="00C15D55"/>
    <w:rsid w:val="00C21C17"/>
    <w:rsid w:val="00C24641"/>
    <w:rsid w:val="00C3521C"/>
    <w:rsid w:val="00C3647E"/>
    <w:rsid w:val="00C41838"/>
    <w:rsid w:val="00C46373"/>
    <w:rsid w:val="00C52834"/>
    <w:rsid w:val="00C60DEE"/>
    <w:rsid w:val="00C61343"/>
    <w:rsid w:val="00C6734C"/>
    <w:rsid w:val="00C70146"/>
    <w:rsid w:val="00C7431F"/>
    <w:rsid w:val="00C75BA4"/>
    <w:rsid w:val="00C85C10"/>
    <w:rsid w:val="00C90AA0"/>
    <w:rsid w:val="00CA6487"/>
    <w:rsid w:val="00CB2774"/>
    <w:rsid w:val="00CB69BE"/>
    <w:rsid w:val="00CB6EA5"/>
    <w:rsid w:val="00CD46FB"/>
    <w:rsid w:val="00CD5EF4"/>
    <w:rsid w:val="00CE1DCE"/>
    <w:rsid w:val="00CF4F48"/>
    <w:rsid w:val="00D01CD8"/>
    <w:rsid w:val="00D01FAB"/>
    <w:rsid w:val="00D04264"/>
    <w:rsid w:val="00D06700"/>
    <w:rsid w:val="00D17DA6"/>
    <w:rsid w:val="00D236EC"/>
    <w:rsid w:val="00D23978"/>
    <w:rsid w:val="00D47E44"/>
    <w:rsid w:val="00D56E7C"/>
    <w:rsid w:val="00D810DC"/>
    <w:rsid w:val="00D84E99"/>
    <w:rsid w:val="00DA7BE5"/>
    <w:rsid w:val="00DA7D0C"/>
    <w:rsid w:val="00DB010B"/>
    <w:rsid w:val="00DB10C7"/>
    <w:rsid w:val="00DB17DB"/>
    <w:rsid w:val="00DB3032"/>
    <w:rsid w:val="00DB6362"/>
    <w:rsid w:val="00DC1F63"/>
    <w:rsid w:val="00DC2F7C"/>
    <w:rsid w:val="00DC6BC5"/>
    <w:rsid w:val="00DD3B4E"/>
    <w:rsid w:val="00DD3D8F"/>
    <w:rsid w:val="00DE07DD"/>
    <w:rsid w:val="00DE2B81"/>
    <w:rsid w:val="00DF0D08"/>
    <w:rsid w:val="00DF309B"/>
    <w:rsid w:val="00E03049"/>
    <w:rsid w:val="00E06C6E"/>
    <w:rsid w:val="00E128D6"/>
    <w:rsid w:val="00E20601"/>
    <w:rsid w:val="00E2089B"/>
    <w:rsid w:val="00E3271B"/>
    <w:rsid w:val="00E5700B"/>
    <w:rsid w:val="00E77284"/>
    <w:rsid w:val="00E81663"/>
    <w:rsid w:val="00E86DED"/>
    <w:rsid w:val="00E95B9B"/>
    <w:rsid w:val="00EA5A35"/>
    <w:rsid w:val="00EA5DAE"/>
    <w:rsid w:val="00EA618B"/>
    <w:rsid w:val="00EC57B6"/>
    <w:rsid w:val="00ED15F6"/>
    <w:rsid w:val="00ED4078"/>
    <w:rsid w:val="00ED66FA"/>
    <w:rsid w:val="00EF0ACC"/>
    <w:rsid w:val="00EF208E"/>
    <w:rsid w:val="00EF6B37"/>
    <w:rsid w:val="00F14A0F"/>
    <w:rsid w:val="00F15374"/>
    <w:rsid w:val="00F23533"/>
    <w:rsid w:val="00F2648C"/>
    <w:rsid w:val="00F312C3"/>
    <w:rsid w:val="00F51C6B"/>
    <w:rsid w:val="00F533CC"/>
    <w:rsid w:val="00F57AF3"/>
    <w:rsid w:val="00F611A2"/>
    <w:rsid w:val="00F67B71"/>
    <w:rsid w:val="00F762C6"/>
    <w:rsid w:val="00F82D82"/>
    <w:rsid w:val="00FA031A"/>
    <w:rsid w:val="00FB2B78"/>
    <w:rsid w:val="00FC6ED1"/>
    <w:rsid w:val="00FC79E5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D9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2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694D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94D27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694D2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694D27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694D27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694D27"/>
    <w:rPr>
      <w:rFonts w:ascii="宋体" w:hAnsi="Courier New"/>
    </w:rPr>
  </w:style>
  <w:style w:type="table" w:styleId="a4">
    <w:name w:val="Table Grid"/>
    <w:basedOn w:val="a1"/>
    <w:qFormat/>
    <w:rsid w:val="00694D2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B33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3336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33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3336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2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694D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94D27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694D2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694D27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694D27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694D27"/>
    <w:rPr>
      <w:rFonts w:ascii="宋体" w:hAnsi="Courier New"/>
    </w:rPr>
  </w:style>
  <w:style w:type="table" w:styleId="a4">
    <w:name w:val="Table Grid"/>
    <w:basedOn w:val="a1"/>
    <w:qFormat/>
    <w:rsid w:val="00694D2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B33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3336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33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333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B800E-F7DA-413F-9669-405859A7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1303</cp:revision>
  <cp:lastPrinted>2020-05-09T03:18:00Z</cp:lastPrinted>
  <dcterms:created xsi:type="dcterms:W3CDTF">2020-05-07T11:54:00Z</dcterms:created>
  <dcterms:modified xsi:type="dcterms:W3CDTF">2023-12-13T09:45:00Z</dcterms:modified>
</cp:coreProperties>
</file>