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C" w:rsidRDefault="00C20C5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北京市老年病医疗研究中心</w:t>
      </w:r>
      <w:proofErr w:type="gramStart"/>
      <w:r>
        <w:rPr>
          <w:rFonts w:ascii="华文中宋" w:eastAsia="华文中宋" w:hAnsi="华文中宋" w:hint="eastAsia"/>
        </w:rPr>
        <w:t>脑网络</w:t>
      </w:r>
      <w:proofErr w:type="gramEnd"/>
      <w:r>
        <w:rPr>
          <w:rFonts w:ascii="华文中宋" w:eastAsia="华文中宋" w:hAnsi="华文中宋" w:hint="eastAsia"/>
        </w:rPr>
        <w:t>疾病的分子诊断机制研究专用材料购置项目</w:t>
      </w:r>
      <w:r w:rsidR="004B1237">
        <w:rPr>
          <w:rFonts w:ascii="华文中宋" w:eastAsia="华文中宋" w:hAnsi="华文中宋" w:hint="eastAsia"/>
        </w:rPr>
        <w:t>中标结果</w:t>
      </w:r>
      <w:bookmarkStart w:id="2" w:name="_GoBack"/>
      <w:bookmarkEnd w:id="2"/>
      <w:r w:rsidR="004B1237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C20C5E">
        <w:rPr>
          <w:rFonts w:ascii="黑体" w:eastAsia="黑体" w:hAnsi="黑体" w:hint="eastAsia"/>
          <w:sz w:val="28"/>
          <w:szCs w:val="28"/>
        </w:rPr>
        <w:t>0701-234106140957</w:t>
      </w:r>
    </w:p>
    <w:p w:rsidR="0047481C" w:rsidRDefault="004B123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20C5E">
        <w:rPr>
          <w:rFonts w:ascii="黑体" w:eastAsia="黑体" w:hAnsi="黑体" w:hint="eastAsia"/>
          <w:sz w:val="28"/>
          <w:szCs w:val="28"/>
        </w:rPr>
        <w:t>北京市老年病医疗研究中心</w:t>
      </w:r>
      <w:proofErr w:type="gramStart"/>
      <w:r w:rsidR="00C20C5E">
        <w:rPr>
          <w:rFonts w:ascii="黑体" w:eastAsia="黑体" w:hAnsi="黑体" w:hint="eastAsia"/>
          <w:sz w:val="28"/>
          <w:szCs w:val="28"/>
        </w:rPr>
        <w:t>脑网络</w:t>
      </w:r>
      <w:proofErr w:type="gramEnd"/>
      <w:r w:rsidR="00C20C5E">
        <w:rPr>
          <w:rFonts w:ascii="黑体" w:eastAsia="黑体" w:hAnsi="黑体" w:hint="eastAsia"/>
          <w:sz w:val="28"/>
          <w:szCs w:val="28"/>
        </w:rPr>
        <w:t>疾病的分子诊断机制研究专用材料购置项目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="00C20C5E" w:rsidRPr="00C20C5E">
        <w:rPr>
          <w:rFonts w:ascii="仿宋" w:eastAsia="仿宋" w:hAnsi="仿宋" w:hint="eastAsia"/>
          <w:sz w:val="28"/>
          <w:szCs w:val="28"/>
        </w:rPr>
        <w:t>蛋白类试剂、核酸类试剂等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DB356F" w:rsidRPr="00DB356F">
        <w:rPr>
          <w:rFonts w:ascii="仿宋" w:eastAsia="仿宋" w:hAnsi="仿宋" w:hint="eastAsia"/>
          <w:sz w:val="28"/>
          <w:szCs w:val="28"/>
        </w:rPr>
        <w:t>北京神农鼎生物科技有限公司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DB356F" w:rsidRPr="00DB356F">
        <w:rPr>
          <w:rFonts w:ascii="仿宋" w:eastAsia="仿宋" w:hAnsi="仿宋" w:hint="eastAsia"/>
          <w:sz w:val="28"/>
          <w:szCs w:val="28"/>
        </w:rPr>
        <w:t>北京市顺义区空港工业区B区裕华路28号2幢1层A105室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DB356F" w:rsidRPr="00DB356F">
        <w:rPr>
          <w:rFonts w:ascii="宋体" w:hAnsi="宋体" w:cs="宋体" w:hint="eastAsia"/>
          <w:sz w:val="28"/>
          <w:szCs w:val="28"/>
        </w:rPr>
        <w:t>¥</w:t>
      </w:r>
      <w:r w:rsidR="00DB356F" w:rsidRPr="00DB356F">
        <w:rPr>
          <w:rFonts w:ascii="仿宋" w:eastAsia="仿宋" w:hAnsi="仿宋"/>
          <w:sz w:val="28"/>
          <w:szCs w:val="28"/>
        </w:rPr>
        <w:t>2,234,097.00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1703"/>
        <w:gridCol w:w="708"/>
        <w:gridCol w:w="1701"/>
        <w:gridCol w:w="1842"/>
        <w:gridCol w:w="1486"/>
      </w:tblGrid>
      <w:tr w:rsidR="0047481C" w:rsidTr="004E67C7">
        <w:trPr>
          <w:trHeight w:val="396"/>
        </w:trPr>
        <w:tc>
          <w:tcPr>
            <w:tcW w:w="241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>
              <w:rPr>
                <w:rFonts w:eastAsia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543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品目号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47481C" w:rsidRDefault="004E67C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标的</w:t>
            </w:r>
            <w:r w:rsidR="004B1237">
              <w:rPr>
                <w:rFonts w:eastAsiaTheme="minorEastAsia"/>
                <w:color w:val="000000"/>
                <w:kern w:val="0"/>
              </w:rPr>
              <w:t>名称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数量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品牌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规格和型号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7481C" w:rsidRDefault="004B123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单价</w:t>
            </w:r>
          </w:p>
          <w:p w:rsidR="0047481C" w:rsidRDefault="004B123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（人民币元）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蛋白类试剂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 w:hint="eastAsia"/>
              </w:rPr>
              <w:t>Snd</w:t>
            </w:r>
            <w:proofErr w:type="spellEnd"/>
            <w:r>
              <w:rPr>
                <w:rFonts w:ascii="仿宋" w:eastAsia="仿宋" w:hAnsi="仿宋" w:hint="eastAsia"/>
              </w:rPr>
              <w:t>-bio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50ug,RPB340Mi01等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核酸类试剂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676745">
              <w:rPr>
                <w:rFonts w:ascii="仿宋" w:eastAsia="仿宋" w:hAnsi="仿宋"/>
              </w:rPr>
              <w:t>Snd</w:t>
            </w:r>
            <w:proofErr w:type="spellEnd"/>
            <w:r w:rsidRPr="00676745">
              <w:rPr>
                <w:rFonts w:ascii="仿宋" w:eastAsia="仿宋" w:hAnsi="仿宋"/>
              </w:rPr>
              <w:t>-bio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5ku,B600478-0005等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检测类试剂盒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C46FF1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C46FF1">
              <w:rPr>
                <w:rFonts w:ascii="仿宋" w:eastAsia="仿宋" w:hAnsi="仿宋"/>
              </w:rPr>
              <w:t>Snd</w:t>
            </w:r>
            <w:proofErr w:type="spellEnd"/>
            <w:r w:rsidRPr="00C46FF1">
              <w:rPr>
                <w:rFonts w:ascii="仿宋" w:eastAsia="仿宋" w:hAnsi="仿宋"/>
              </w:rPr>
              <w:t>-bio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C46F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96T,SEC668Hu等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生化试剂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C46FF1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C46FF1">
              <w:rPr>
                <w:rFonts w:ascii="仿宋" w:eastAsia="仿宋" w:hAnsi="仿宋"/>
              </w:rPr>
              <w:t>Snd</w:t>
            </w:r>
            <w:proofErr w:type="spellEnd"/>
            <w:r w:rsidRPr="00C46FF1">
              <w:rPr>
                <w:rFonts w:ascii="仿宋" w:eastAsia="仿宋" w:hAnsi="仿宋"/>
              </w:rPr>
              <w:t>-bio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C46FF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</w:t>
            </w:r>
            <w:r w:rsidR="00D54C81">
              <w:rPr>
                <w:rFonts w:ascii="仿宋" w:eastAsia="仿宋" w:hAnsi="仿宋" w:hint="eastAsia"/>
              </w:rPr>
              <w:t>ml，BL603B等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细胞实验耗材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甄选等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50个/包，10包/箱，CV-002-200-EX等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1-6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动物神经网络成像耗材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甄选等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1g,I135666等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实验动物耗材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/>
              </w:rPr>
              <w:t>睿迪</w:t>
            </w:r>
            <w:proofErr w:type="gramEnd"/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2kg*3/箱，1060024等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  <w:tr w:rsidR="00C20C5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C20C5E" w:rsidRDefault="00C20C5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1-8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脑电采集耗材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C20C5E" w:rsidRPr="00116A76" w:rsidRDefault="00C20C5E" w:rsidP="00CD1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6A76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/>
              </w:rPr>
              <w:t>Bio</w:t>
            </w:r>
            <w:r>
              <w:rPr>
                <w:rFonts w:ascii="仿宋" w:eastAsia="仿宋" w:hAnsi="仿宋" w:hint="eastAsia"/>
              </w:rPr>
              <w:t>sharp</w:t>
            </w:r>
            <w:proofErr w:type="spellEnd"/>
          </w:p>
        </w:tc>
        <w:tc>
          <w:tcPr>
            <w:tcW w:w="1044" w:type="pct"/>
            <w:shd w:val="clear" w:color="auto" w:fill="auto"/>
            <w:vAlign w:val="center"/>
          </w:tcPr>
          <w:p w:rsidR="00C20C5E" w:rsidRDefault="00D54C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32导联，1个等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C20C5E" w:rsidRDefault="0067674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详见附件</w:t>
            </w:r>
          </w:p>
        </w:tc>
      </w:tr>
    </w:tbl>
    <w:p w:rsidR="0047481C" w:rsidRPr="00943F82" w:rsidRDefault="004B1237" w:rsidP="00D54C8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D54C81" w:rsidRPr="00943F82">
        <w:rPr>
          <w:rFonts w:asciiTheme="minorEastAsia" w:eastAsiaTheme="minorEastAsia" w:hAnsiTheme="minorEastAsia" w:hint="eastAsia"/>
          <w:sz w:val="28"/>
          <w:szCs w:val="28"/>
        </w:rPr>
        <w:t>斯海臣、张养军、任春慧、王丹、</w:t>
      </w:r>
      <w:r w:rsidRPr="00943F82">
        <w:rPr>
          <w:rFonts w:asciiTheme="minorEastAsia" w:eastAsiaTheme="minorEastAsia" w:hAnsiTheme="minorEastAsia" w:hint="eastAsia"/>
          <w:sz w:val="28"/>
          <w:szCs w:val="28"/>
        </w:rPr>
        <w:t>白玫</w:t>
      </w:r>
    </w:p>
    <w:p w:rsidR="0047481C" w:rsidRPr="00943F82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943F82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943F82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943F82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943F82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:rsidR="0047481C" w:rsidRPr="00943F82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943F82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943F82" w:rsidRPr="00943F8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AD5F90">
        <w:rPr>
          <w:rFonts w:asciiTheme="minorEastAsia" w:eastAsiaTheme="minorEastAsia" w:hAnsiTheme="minorEastAsia" w:hint="eastAsia"/>
          <w:sz w:val="28"/>
          <w:szCs w:val="28"/>
        </w:rPr>
        <w:t>857507</w:t>
      </w:r>
      <w:r w:rsidRPr="00943F82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47481C" w:rsidRPr="00943F82" w:rsidRDefault="004B1237">
      <w:pPr>
        <w:rPr>
          <w:rFonts w:ascii="黑体" w:eastAsia="黑体" w:hAnsi="黑体"/>
          <w:sz w:val="28"/>
          <w:szCs w:val="28"/>
        </w:rPr>
      </w:pPr>
      <w:r w:rsidRPr="00943F82">
        <w:rPr>
          <w:rFonts w:ascii="黑体" w:eastAsia="黑体" w:hAnsi="黑体" w:hint="eastAsia"/>
          <w:sz w:val="28"/>
          <w:szCs w:val="28"/>
        </w:rPr>
        <w:t>七、公告期限</w:t>
      </w:r>
    </w:p>
    <w:p w:rsidR="0047481C" w:rsidRPr="00943F82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943F82">
        <w:rPr>
          <w:rFonts w:ascii="仿宋" w:eastAsia="仿宋" w:hAnsi="仿宋" w:cs="宋体"/>
          <w:kern w:val="0"/>
          <w:sz w:val="28"/>
          <w:szCs w:val="28"/>
        </w:rPr>
        <w:t>1</w:t>
      </w: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7481C" w:rsidRPr="00943F82" w:rsidRDefault="004B1237">
      <w:pPr>
        <w:rPr>
          <w:rFonts w:ascii="黑体" w:eastAsia="黑体" w:hAnsi="黑体" w:cs="仿宋"/>
          <w:sz w:val="28"/>
          <w:szCs w:val="28"/>
        </w:rPr>
      </w:pPr>
      <w:r w:rsidRPr="00943F82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7481C" w:rsidRPr="00943F82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47481C" w:rsidRPr="00943F82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47481C" w:rsidRPr="000C3695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E94650" w:rsidRPr="00943F82">
        <w:rPr>
          <w:rFonts w:ascii="仿宋" w:eastAsia="仿宋" w:hAnsi="仿宋" w:cs="宋体" w:hint="eastAsia"/>
          <w:kern w:val="0"/>
          <w:sz w:val="28"/>
          <w:szCs w:val="28"/>
        </w:rPr>
        <w:t>试剂耗材质保期或有效期不少于1年，并承诺接到采购人通知后送到的试剂耗材必须在有效期内产品。</w:t>
      </w:r>
    </w:p>
    <w:p w:rsidR="0047481C" w:rsidRPr="000C3695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C3695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2023年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Pr="000C3695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C3695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C3695" w:rsidRPr="000C3695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43F82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Default="004B123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北京市老年病医疗研究中心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010－83198353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35393642"/>
      <w:bookmarkStart w:id="9" w:name="_Toc35393811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7"/>
      <w:bookmarkEnd w:id="8"/>
      <w:bookmarkEnd w:id="9"/>
      <w:bookmarkEnd w:id="10"/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812"/>
      <w:bookmarkStart w:id="14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47481C" w:rsidRDefault="004B1237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马建、彭子尧、肖然、吴萍、孙薇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47481C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C20C5E" w:rsidRDefault="00C20C5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sectPr w:rsidR="00C2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F6" w:rsidRDefault="004B79F6" w:rsidP="000C3695">
      <w:r>
        <w:separator/>
      </w:r>
    </w:p>
  </w:endnote>
  <w:endnote w:type="continuationSeparator" w:id="0">
    <w:p w:rsidR="004B79F6" w:rsidRDefault="004B79F6" w:rsidP="000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F6" w:rsidRDefault="004B79F6" w:rsidP="000C3695">
      <w:r>
        <w:separator/>
      </w:r>
    </w:p>
  </w:footnote>
  <w:footnote w:type="continuationSeparator" w:id="0">
    <w:p w:rsidR="004B79F6" w:rsidRDefault="004B79F6" w:rsidP="000C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694D27"/>
    <w:rsid w:val="000020FA"/>
    <w:rsid w:val="00023CF9"/>
    <w:rsid w:val="00024456"/>
    <w:rsid w:val="000313D6"/>
    <w:rsid w:val="00035A38"/>
    <w:rsid w:val="000368CC"/>
    <w:rsid w:val="00045C3E"/>
    <w:rsid w:val="00060204"/>
    <w:rsid w:val="00061540"/>
    <w:rsid w:val="000615FB"/>
    <w:rsid w:val="00062900"/>
    <w:rsid w:val="00066EC9"/>
    <w:rsid w:val="00071D90"/>
    <w:rsid w:val="000814C8"/>
    <w:rsid w:val="00091021"/>
    <w:rsid w:val="00096402"/>
    <w:rsid w:val="000A6813"/>
    <w:rsid w:val="000B2E4E"/>
    <w:rsid w:val="000C3695"/>
    <w:rsid w:val="000D0ABD"/>
    <w:rsid w:val="000D4CC9"/>
    <w:rsid w:val="0011740A"/>
    <w:rsid w:val="00143EF2"/>
    <w:rsid w:val="001554ED"/>
    <w:rsid w:val="00166C68"/>
    <w:rsid w:val="00190B7D"/>
    <w:rsid w:val="001D427B"/>
    <w:rsid w:val="001D696A"/>
    <w:rsid w:val="00210391"/>
    <w:rsid w:val="00217CD7"/>
    <w:rsid w:val="002277D5"/>
    <w:rsid w:val="00227B90"/>
    <w:rsid w:val="00230268"/>
    <w:rsid w:val="00252C36"/>
    <w:rsid w:val="00255FC7"/>
    <w:rsid w:val="00257EDA"/>
    <w:rsid w:val="002716B9"/>
    <w:rsid w:val="002965D1"/>
    <w:rsid w:val="002A0982"/>
    <w:rsid w:val="002A2CAF"/>
    <w:rsid w:val="002B2976"/>
    <w:rsid w:val="002B6279"/>
    <w:rsid w:val="002C217C"/>
    <w:rsid w:val="002D651A"/>
    <w:rsid w:val="002F0F6B"/>
    <w:rsid w:val="002F5FA6"/>
    <w:rsid w:val="0031214D"/>
    <w:rsid w:val="00314EA6"/>
    <w:rsid w:val="003300CD"/>
    <w:rsid w:val="00351CDC"/>
    <w:rsid w:val="0037155B"/>
    <w:rsid w:val="003735BD"/>
    <w:rsid w:val="00375E0B"/>
    <w:rsid w:val="0039482D"/>
    <w:rsid w:val="003A7831"/>
    <w:rsid w:val="003C4D59"/>
    <w:rsid w:val="003D242C"/>
    <w:rsid w:val="003D2C85"/>
    <w:rsid w:val="003D5934"/>
    <w:rsid w:val="003E1DD4"/>
    <w:rsid w:val="003E357F"/>
    <w:rsid w:val="00401AC7"/>
    <w:rsid w:val="00416AD5"/>
    <w:rsid w:val="00420BFB"/>
    <w:rsid w:val="004359D3"/>
    <w:rsid w:val="00451A18"/>
    <w:rsid w:val="00463C1A"/>
    <w:rsid w:val="00467F2E"/>
    <w:rsid w:val="004742E8"/>
    <w:rsid w:val="0047481C"/>
    <w:rsid w:val="00484A66"/>
    <w:rsid w:val="00485A0E"/>
    <w:rsid w:val="00490119"/>
    <w:rsid w:val="00492BB4"/>
    <w:rsid w:val="00494B15"/>
    <w:rsid w:val="004968AB"/>
    <w:rsid w:val="004A116A"/>
    <w:rsid w:val="004A1C47"/>
    <w:rsid w:val="004A2D32"/>
    <w:rsid w:val="004A503E"/>
    <w:rsid w:val="004A642A"/>
    <w:rsid w:val="004B1237"/>
    <w:rsid w:val="004B3957"/>
    <w:rsid w:val="004B4912"/>
    <w:rsid w:val="004B79F6"/>
    <w:rsid w:val="004C21F0"/>
    <w:rsid w:val="004D1A7F"/>
    <w:rsid w:val="004D63F5"/>
    <w:rsid w:val="004E67C7"/>
    <w:rsid w:val="0050631B"/>
    <w:rsid w:val="005073CC"/>
    <w:rsid w:val="005176E3"/>
    <w:rsid w:val="00526725"/>
    <w:rsid w:val="00546AE5"/>
    <w:rsid w:val="00555592"/>
    <w:rsid w:val="00571AB3"/>
    <w:rsid w:val="005761B4"/>
    <w:rsid w:val="00584A6B"/>
    <w:rsid w:val="005C29A4"/>
    <w:rsid w:val="005C39EB"/>
    <w:rsid w:val="005D4AFB"/>
    <w:rsid w:val="005E26ED"/>
    <w:rsid w:val="005F2F1C"/>
    <w:rsid w:val="005F4337"/>
    <w:rsid w:val="005F681E"/>
    <w:rsid w:val="00601D14"/>
    <w:rsid w:val="00604ABD"/>
    <w:rsid w:val="0060737F"/>
    <w:rsid w:val="0061384D"/>
    <w:rsid w:val="00630C89"/>
    <w:rsid w:val="006528B9"/>
    <w:rsid w:val="00654B34"/>
    <w:rsid w:val="00665A26"/>
    <w:rsid w:val="006716C0"/>
    <w:rsid w:val="00671ACF"/>
    <w:rsid w:val="00673908"/>
    <w:rsid w:val="00676745"/>
    <w:rsid w:val="00683118"/>
    <w:rsid w:val="006845C9"/>
    <w:rsid w:val="00687549"/>
    <w:rsid w:val="00691285"/>
    <w:rsid w:val="00693BC0"/>
    <w:rsid w:val="00694D27"/>
    <w:rsid w:val="00697DC3"/>
    <w:rsid w:val="006A1BC4"/>
    <w:rsid w:val="006C32ED"/>
    <w:rsid w:val="006E48BA"/>
    <w:rsid w:val="006F30D5"/>
    <w:rsid w:val="006F67AE"/>
    <w:rsid w:val="00700359"/>
    <w:rsid w:val="00716C57"/>
    <w:rsid w:val="00722811"/>
    <w:rsid w:val="007352C7"/>
    <w:rsid w:val="007407CF"/>
    <w:rsid w:val="00770A21"/>
    <w:rsid w:val="007735EC"/>
    <w:rsid w:val="00774040"/>
    <w:rsid w:val="00776441"/>
    <w:rsid w:val="00782DC7"/>
    <w:rsid w:val="007867C6"/>
    <w:rsid w:val="007C6AE1"/>
    <w:rsid w:val="007D0E5C"/>
    <w:rsid w:val="007D2EBA"/>
    <w:rsid w:val="007D7DDC"/>
    <w:rsid w:val="007F353C"/>
    <w:rsid w:val="007F52A3"/>
    <w:rsid w:val="007F7F95"/>
    <w:rsid w:val="00810486"/>
    <w:rsid w:val="008123AF"/>
    <w:rsid w:val="00814E40"/>
    <w:rsid w:val="00817F2B"/>
    <w:rsid w:val="00833596"/>
    <w:rsid w:val="008520D1"/>
    <w:rsid w:val="008567F8"/>
    <w:rsid w:val="00860645"/>
    <w:rsid w:val="008624F3"/>
    <w:rsid w:val="0086669E"/>
    <w:rsid w:val="00866EA9"/>
    <w:rsid w:val="008729DE"/>
    <w:rsid w:val="0087461A"/>
    <w:rsid w:val="00874CD2"/>
    <w:rsid w:val="00876E6A"/>
    <w:rsid w:val="00881EA7"/>
    <w:rsid w:val="00883ED9"/>
    <w:rsid w:val="00891893"/>
    <w:rsid w:val="00892979"/>
    <w:rsid w:val="008A4035"/>
    <w:rsid w:val="008A7F78"/>
    <w:rsid w:val="008B2E11"/>
    <w:rsid w:val="008B3B7D"/>
    <w:rsid w:val="008B6CCE"/>
    <w:rsid w:val="008C0BE9"/>
    <w:rsid w:val="008C7B3D"/>
    <w:rsid w:val="008E003C"/>
    <w:rsid w:val="00907F51"/>
    <w:rsid w:val="00911791"/>
    <w:rsid w:val="00915559"/>
    <w:rsid w:val="00924ABE"/>
    <w:rsid w:val="00926CFF"/>
    <w:rsid w:val="0093388C"/>
    <w:rsid w:val="00940B5F"/>
    <w:rsid w:val="00943D7B"/>
    <w:rsid w:val="00943F82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3C04"/>
    <w:rsid w:val="00974338"/>
    <w:rsid w:val="00992210"/>
    <w:rsid w:val="0099276F"/>
    <w:rsid w:val="009A1F0F"/>
    <w:rsid w:val="009A44C8"/>
    <w:rsid w:val="009A59A7"/>
    <w:rsid w:val="009B738A"/>
    <w:rsid w:val="009C4B9B"/>
    <w:rsid w:val="009D1625"/>
    <w:rsid w:val="009E2B9E"/>
    <w:rsid w:val="009F0109"/>
    <w:rsid w:val="009F6464"/>
    <w:rsid w:val="009F6AB1"/>
    <w:rsid w:val="009F7E95"/>
    <w:rsid w:val="00A04C1A"/>
    <w:rsid w:val="00A1227E"/>
    <w:rsid w:val="00A12E4C"/>
    <w:rsid w:val="00A149A1"/>
    <w:rsid w:val="00A14A9B"/>
    <w:rsid w:val="00A248D2"/>
    <w:rsid w:val="00A41193"/>
    <w:rsid w:val="00A43BAC"/>
    <w:rsid w:val="00A53637"/>
    <w:rsid w:val="00A6281A"/>
    <w:rsid w:val="00A83918"/>
    <w:rsid w:val="00A84E12"/>
    <w:rsid w:val="00A85F01"/>
    <w:rsid w:val="00A93D95"/>
    <w:rsid w:val="00AB445B"/>
    <w:rsid w:val="00AB591A"/>
    <w:rsid w:val="00AB6611"/>
    <w:rsid w:val="00AD0DDF"/>
    <w:rsid w:val="00AD5F90"/>
    <w:rsid w:val="00AE0963"/>
    <w:rsid w:val="00AE451D"/>
    <w:rsid w:val="00AE715F"/>
    <w:rsid w:val="00AE7C72"/>
    <w:rsid w:val="00AF1372"/>
    <w:rsid w:val="00B15DCE"/>
    <w:rsid w:val="00B164BC"/>
    <w:rsid w:val="00B3336A"/>
    <w:rsid w:val="00B402DE"/>
    <w:rsid w:val="00B438E7"/>
    <w:rsid w:val="00B43DFE"/>
    <w:rsid w:val="00B4493A"/>
    <w:rsid w:val="00B608B1"/>
    <w:rsid w:val="00B620DE"/>
    <w:rsid w:val="00B6494E"/>
    <w:rsid w:val="00B67BB1"/>
    <w:rsid w:val="00B75154"/>
    <w:rsid w:val="00B84C56"/>
    <w:rsid w:val="00B87161"/>
    <w:rsid w:val="00B93734"/>
    <w:rsid w:val="00B94FF4"/>
    <w:rsid w:val="00B971EC"/>
    <w:rsid w:val="00BA2B0B"/>
    <w:rsid w:val="00BA5216"/>
    <w:rsid w:val="00BA58EA"/>
    <w:rsid w:val="00BA5924"/>
    <w:rsid w:val="00BB20FF"/>
    <w:rsid w:val="00BB74EC"/>
    <w:rsid w:val="00BC034D"/>
    <w:rsid w:val="00BC0CD1"/>
    <w:rsid w:val="00BF5740"/>
    <w:rsid w:val="00BF771E"/>
    <w:rsid w:val="00C0501B"/>
    <w:rsid w:val="00C077AB"/>
    <w:rsid w:val="00C12DFC"/>
    <w:rsid w:val="00C144AF"/>
    <w:rsid w:val="00C20C5E"/>
    <w:rsid w:val="00C21C17"/>
    <w:rsid w:val="00C24641"/>
    <w:rsid w:val="00C3647E"/>
    <w:rsid w:val="00C41838"/>
    <w:rsid w:val="00C46373"/>
    <w:rsid w:val="00C46FF1"/>
    <w:rsid w:val="00C52834"/>
    <w:rsid w:val="00C60DEE"/>
    <w:rsid w:val="00C61343"/>
    <w:rsid w:val="00C6734C"/>
    <w:rsid w:val="00C70146"/>
    <w:rsid w:val="00C7431F"/>
    <w:rsid w:val="00C75BA4"/>
    <w:rsid w:val="00C85C10"/>
    <w:rsid w:val="00CA6487"/>
    <w:rsid w:val="00CB2774"/>
    <w:rsid w:val="00CB69BE"/>
    <w:rsid w:val="00CD46FB"/>
    <w:rsid w:val="00CD5EF4"/>
    <w:rsid w:val="00CF4F48"/>
    <w:rsid w:val="00D01FAB"/>
    <w:rsid w:val="00D04264"/>
    <w:rsid w:val="00D06700"/>
    <w:rsid w:val="00D17DA6"/>
    <w:rsid w:val="00D236EC"/>
    <w:rsid w:val="00D44C4A"/>
    <w:rsid w:val="00D47E44"/>
    <w:rsid w:val="00D54C81"/>
    <w:rsid w:val="00D56E7C"/>
    <w:rsid w:val="00D64FD4"/>
    <w:rsid w:val="00D810DC"/>
    <w:rsid w:val="00D84E99"/>
    <w:rsid w:val="00DA7BE5"/>
    <w:rsid w:val="00DA7D0C"/>
    <w:rsid w:val="00DB010B"/>
    <w:rsid w:val="00DB10C7"/>
    <w:rsid w:val="00DB17DB"/>
    <w:rsid w:val="00DB3032"/>
    <w:rsid w:val="00DB356F"/>
    <w:rsid w:val="00DB6362"/>
    <w:rsid w:val="00DC13DC"/>
    <w:rsid w:val="00DC2F7C"/>
    <w:rsid w:val="00DC6BC5"/>
    <w:rsid w:val="00DD3B4E"/>
    <w:rsid w:val="00DD3D8F"/>
    <w:rsid w:val="00DE07DD"/>
    <w:rsid w:val="00DE2B81"/>
    <w:rsid w:val="00DF0D08"/>
    <w:rsid w:val="00DF309B"/>
    <w:rsid w:val="00E06C6E"/>
    <w:rsid w:val="00E128D6"/>
    <w:rsid w:val="00E20601"/>
    <w:rsid w:val="00E2089B"/>
    <w:rsid w:val="00E5700B"/>
    <w:rsid w:val="00E81663"/>
    <w:rsid w:val="00E86DED"/>
    <w:rsid w:val="00E94650"/>
    <w:rsid w:val="00E95B9B"/>
    <w:rsid w:val="00EA5A35"/>
    <w:rsid w:val="00EC0DFC"/>
    <w:rsid w:val="00ED15F6"/>
    <w:rsid w:val="00ED4078"/>
    <w:rsid w:val="00ED537B"/>
    <w:rsid w:val="00EF0ACC"/>
    <w:rsid w:val="00EF208E"/>
    <w:rsid w:val="00EF6B37"/>
    <w:rsid w:val="00EF6EC4"/>
    <w:rsid w:val="00F14A0F"/>
    <w:rsid w:val="00F15374"/>
    <w:rsid w:val="00F23533"/>
    <w:rsid w:val="00F2648C"/>
    <w:rsid w:val="00F357C6"/>
    <w:rsid w:val="00F46CA0"/>
    <w:rsid w:val="00F51C6B"/>
    <w:rsid w:val="00F533CC"/>
    <w:rsid w:val="00F57AF3"/>
    <w:rsid w:val="00F611A2"/>
    <w:rsid w:val="00F762C6"/>
    <w:rsid w:val="00FA031A"/>
    <w:rsid w:val="00FB2B78"/>
    <w:rsid w:val="00FC6ED1"/>
    <w:rsid w:val="00FC79E5"/>
    <w:rsid w:val="00FE4A73"/>
    <w:rsid w:val="00FE7425"/>
    <w:rsid w:val="00FF303C"/>
    <w:rsid w:val="014E1483"/>
    <w:rsid w:val="448873A7"/>
    <w:rsid w:val="459B4BCD"/>
    <w:rsid w:val="523026A3"/>
    <w:rsid w:val="53C82E17"/>
    <w:rsid w:val="638127D9"/>
    <w:rsid w:val="677A11C8"/>
    <w:rsid w:val="714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DE2A-9534-4C62-9147-94488476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2020-05-09T03:18:00Z</cp:lastPrinted>
  <dcterms:created xsi:type="dcterms:W3CDTF">2020-05-07T11:54:00Z</dcterms:created>
  <dcterms:modified xsi:type="dcterms:W3CDTF">2023-12-13T08:49:00Z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D1FB75363D8B4627B86651771A45146E</vt:lpwstr>
  </property>
</Properties>
</file>