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360" w:lineRule="auto"/>
        <w:ind w:firstLine="482"/>
        <w:rPr>
          <w:rFonts w:hint="eastAsia" w:ascii="宋体" w:hAnsi="宋体" w:cs="宋体"/>
          <w:bCs/>
          <w:color w:val="000000"/>
          <w:sz w:val="21"/>
          <w:szCs w:val="21"/>
        </w:rPr>
      </w:pPr>
    </w:p>
    <w:p>
      <w:pPr>
        <w:pageBreakBefore w:val="0"/>
        <w:numPr>
          <w:numId w:val="0"/>
        </w:numPr>
        <w:kinsoku/>
        <w:wordWrap/>
        <w:overflowPunct/>
        <w:topLinePunct w:val="0"/>
        <w:autoSpaceDE/>
        <w:autoSpaceDN/>
        <w:bidi w:val="0"/>
        <w:adjustRightInd/>
        <w:spacing w:line="240" w:lineRule="auto"/>
        <w:ind w:leftChars="0"/>
        <w:jc w:val="both"/>
        <w:textAlignment w:val="auto"/>
        <w:rPr>
          <w:rFonts w:hint="eastAsia" w:ascii="宋体" w:hAnsi="宋体" w:eastAsia="宋体" w:cs="宋体"/>
          <w:b/>
          <w:kern w:val="2"/>
          <w:sz w:val="21"/>
          <w:szCs w:val="21"/>
        </w:rPr>
      </w:pPr>
      <w:r>
        <w:rPr>
          <w:rFonts w:hint="eastAsia" w:ascii="宋体" w:hAnsi="宋体" w:eastAsia="宋体" w:cs="宋体"/>
          <w:b/>
          <w:kern w:val="2"/>
          <w:sz w:val="21"/>
          <w:szCs w:val="21"/>
        </w:rPr>
        <w:t>技术参数要求（技术指标包括性能、规格、材质等，但不能指定品牌）或服务要求。如有实质性条款的，须以*标出。</w:t>
      </w:r>
    </w:p>
    <w:p>
      <w:pPr>
        <w:pStyle w:val="2"/>
        <w:rPr>
          <w:rFonts w:hint="eastAsia"/>
        </w:rPr>
      </w:pPr>
    </w:p>
    <w:p>
      <w:pPr>
        <w:numPr>
          <w:ilvl w:val="0"/>
          <w:numId w:val="0"/>
        </w:numPr>
        <w:adjustRightInd/>
        <w:spacing w:line="240" w:lineRule="auto"/>
        <w:jc w:val="both"/>
        <w:textAlignment w:val="auto"/>
        <w:rPr>
          <w:rFonts w:hint="eastAsia" w:ascii="宋体" w:hAnsi="宋体"/>
          <w:b/>
          <w:bCs/>
          <w:kern w:val="2"/>
          <w:sz w:val="21"/>
          <w:szCs w:val="21"/>
          <w:lang w:eastAsia="zh-CN"/>
        </w:rPr>
      </w:pPr>
      <w:r>
        <w:rPr>
          <w:rFonts w:hint="eastAsia" w:ascii="宋体" w:hAnsi="宋体" w:cs="宋体"/>
          <w:b/>
          <w:bCs/>
          <w:color w:val="000000"/>
          <w:sz w:val="21"/>
          <w:szCs w:val="21"/>
        </w:rPr>
        <w:t>*</w:t>
      </w:r>
      <w:r>
        <w:rPr>
          <w:rFonts w:hint="eastAsia" w:ascii="宋体" w:hAnsi="宋体"/>
          <w:b/>
          <w:bCs/>
          <w:kern w:val="2"/>
          <w:sz w:val="21"/>
          <w:szCs w:val="21"/>
          <w:lang w:val="en-US" w:eastAsia="zh-CN"/>
        </w:rPr>
        <w:t>报价</w:t>
      </w:r>
      <w:r>
        <w:rPr>
          <w:rFonts w:hint="eastAsia" w:ascii="宋体" w:hAnsi="宋体"/>
          <w:b/>
          <w:bCs/>
          <w:kern w:val="2"/>
          <w:sz w:val="21"/>
          <w:szCs w:val="21"/>
          <w:lang w:eastAsia="zh-CN"/>
        </w:rPr>
        <w:t>人应承诺：</w:t>
      </w:r>
      <w:r>
        <w:rPr>
          <w:rFonts w:hint="eastAsia" w:ascii="宋体" w:hAnsi="宋体"/>
          <w:b/>
          <w:bCs/>
          <w:kern w:val="2"/>
          <w:sz w:val="21"/>
          <w:szCs w:val="21"/>
          <w:lang w:val="en-US" w:eastAsia="zh-CN"/>
        </w:rPr>
        <w:t>报价人</w:t>
      </w:r>
      <w:r>
        <w:rPr>
          <w:rFonts w:hint="eastAsia" w:ascii="宋体" w:hAnsi="宋体"/>
          <w:b/>
          <w:bCs/>
          <w:kern w:val="2"/>
          <w:sz w:val="21"/>
          <w:szCs w:val="21"/>
          <w:lang w:eastAsia="zh-CN"/>
        </w:rPr>
        <w:t>响应产品须满足采购人需求的政务云部署与适配，并支持北京市统计局与国家统计局之间的五经普数据回流与数据处理服务。</w:t>
      </w:r>
    </w:p>
    <w:p>
      <w:pPr>
        <w:numPr>
          <w:ilvl w:val="0"/>
          <w:numId w:val="0"/>
        </w:numPr>
        <w:adjustRightInd/>
        <w:spacing w:line="240" w:lineRule="auto"/>
        <w:jc w:val="both"/>
        <w:textAlignment w:val="auto"/>
        <w:rPr>
          <w:rFonts w:hint="eastAsia" w:ascii="宋体" w:hAnsi="宋体"/>
          <w:b/>
          <w:bCs/>
          <w:kern w:val="2"/>
          <w:sz w:val="21"/>
          <w:szCs w:val="21"/>
        </w:rPr>
      </w:pPr>
      <w:r>
        <w:rPr>
          <w:rFonts w:hint="eastAsia" w:ascii="宋体" w:hAnsi="宋体" w:cs="宋体"/>
          <w:b/>
          <w:bCs/>
          <w:color w:val="000000"/>
          <w:sz w:val="21"/>
          <w:szCs w:val="21"/>
        </w:rPr>
        <w:t>*</w:t>
      </w:r>
      <w:r>
        <w:rPr>
          <w:rFonts w:hint="eastAsia" w:ascii="宋体" w:hAnsi="宋体"/>
          <w:b/>
          <w:bCs/>
          <w:kern w:val="2"/>
          <w:sz w:val="21"/>
          <w:szCs w:val="21"/>
          <w:lang w:eastAsia="zh-CN"/>
        </w:rPr>
        <w:t>报价人应承诺：报价人响应产品满足与北京市统计局五经普数据回流、五经普普查对象管理、五经普数据管理、五经普数据处理、五经普数据服务、五经普资料开发等系统的适配要求，针对以上应用系统适配操作系统、中间件、数据库产生的开发费（包括五经普相关应用开发厂商和所投产品厂商适配的开发费用），由报价人承担。</w:t>
      </w:r>
    </w:p>
    <w:p>
      <w:pPr>
        <w:pageBreakBefore w:val="0"/>
        <w:numPr>
          <w:ilvl w:val="0"/>
          <w:numId w:val="0"/>
        </w:numPr>
        <w:kinsoku/>
        <w:wordWrap/>
        <w:overflowPunct/>
        <w:topLinePunct w:val="0"/>
        <w:autoSpaceDE/>
        <w:autoSpaceDN/>
        <w:bidi w:val="0"/>
        <w:adjustRightInd/>
        <w:spacing w:line="240" w:lineRule="auto"/>
        <w:ind w:leftChars="0"/>
        <w:jc w:val="both"/>
        <w:textAlignment w:val="auto"/>
        <w:rPr>
          <w:rFonts w:hint="eastAsia" w:ascii="宋体" w:hAnsi="宋体" w:eastAsia="宋体" w:cs="宋体"/>
          <w:b/>
          <w:kern w:val="2"/>
          <w:sz w:val="21"/>
          <w:szCs w:val="21"/>
        </w:rPr>
      </w:pPr>
    </w:p>
    <w:p>
      <w:pPr>
        <w:pStyle w:val="5"/>
        <w:pageBreakBefore w:val="0"/>
        <w:numPr>
          <w:ilvl w:val="0"/>
          <w:numId w:val="0"/>
        </w:numPr>
        <w:kinsoku/>
        <w:wordWrap/>
        <w:overflowPunct/>
        <w:topLinePunct w:val="0"/>
        <w:autoSpaceDE/>
        <w:autoSpaceDN/>
        <w:bidi w:val="0"/>
        <w:spacing w:before="0" w:after="0" w:line="400" w:lineRule="exact"/>
        <w:ind w:left="238" w:leftChars="0"/>
        <w:rPr>
          <w:rFonts w:hint="eastAsia" w:ascii="宋体" w:hAnsi="宋体" w:eastAsia="宋体" w:cs="宋体"/>
          <w:bCs w:val="0"/>
          <w:sz w:val="21"/>
          <w:szCs w:val="21"/>
        </w:rPr>
      </w:pPr>
      <w:r>
        <w:rPr>
          <w:rFonts w:hint="eastAsia" w:ascii="宋体" w:hAnsi="宋体" w:eastAsia="宋体" w:cs="宋体"/>
          <w:bCs w:val="0"/>
          <w:sz w:val="21"/>
          <w:szCs w:val="21"/>
          <w:lang w:val="en-US" w:eastAsia="zh-CN"/>
        </w:rPr>
        <w:t>1、服务器操作系统技术参数</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983"/>
        <w:gridCol w:w="1152"/>
        <w:gridCol w:w="4161"/>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431" w:type="pct"/>
            <w:noWrap w:val="0"/>
            <w:vAlign w:val="center"/>
          </w:tcPr>
          <w:p>
            <w:pPr>
              <w:snapToGrid w:val="0"/>
              <w:spacing w:line="240" w:lineRule="auto"/>
              <w:jc w:val="center"/>
              <w:rPr>
                <w:rFonts w:hint="eastAsia" w:ascii="宋体" w:hAnsi="宋体" w:cs="宋体"/>
                <w:b/>
                <w:bCs/>
                <w:color w:val="000000"/>
                <w:sz w:val="21"/>
                <w:szCs w:val="21"/>
              </w:rPr>
            </w:pPr>
            <w:r>
              <w:rPr>
                <w:rFonts w:hint="eastAsia" w:ascii="宋体" w:hAnsi="宋体" w:cs="宋体"/>
                <w:b/>
                <w:bCs/>
                <w:color w:val="000000"/>
                <w:sz w:val="21"/>
                <w:szCs w:val="21"/>
              </w:rPr>
              <w:t>序号</w:t>
            </w:r>
          </w:p>
        </w:tc>
        <w:tc>
          <w:tcPr>
            <w:tcW w:w="577" w:type="pct"/>
            <w:noWrap w:val="0"/>
            <w:vAlign w:val="center"/>
          </w:tcPr>
          <w:p>
            <w:pPr>
              <w:snapToGrid w:val="0"/>
              <w:spacing w:line="240" w:lineRule="auto"/>
              <w:jc w:val="center"/>
              <w:rPr>
                <w:rFonts w:hint="eastAsia" w:ascii="宋体" w:hAnsi="宋体" w:cs="宋体"/>
                <w:b/>
                <w:bCs/>
                <w:color w:val="000000"/>
                <w:sz w:val="21"/>
                <w:szCs w:val="21"/>
              </w:rPr>
            </w:pPr>
            <w:r>
              <w:rPr>
                <w:rFonts w:hint="eastAsia" w:ascii="宋体" w:hAnsi="宋体" w:cs="宋体"/>
                <w:b/>
                <w:bCs/>
                <w:color w:val="000000"/>
                <w:sz w:val="21"/>
                <w:szCs w:val="21"/>
              </w:rPr>
              <w:t>重要性</w:t>
            </w:r>
          </w:p>
        </w:tc>
        <w:tc>
          <w:tcPr>
            <w:tcW w:w="676" w:type="pct"/>
            <w:noWrap w:val="0"/>
            <w:vAlign w:val="center"/>
          </w:tcPr>
          <w:p>
            <w:pPr>
              <w:snapToGrid w:val="0"/>
              <w:spacing w:line="240" w:lineRule="auto"/>
              <w:jc w:val="center"/>
              <w:rPr>
                <w:rFonts w:hint="eastAsia" w:ascii="宋体" w:hAnsi="宋体" w:cs="宋体"/>
                <w:b/>
                <w:bCs/>
                <w:color w:val="000000"/>
                <w:sz w:val="21"/>
                <w:szCs w:val="21"/>
              </w:rPr>
            </w:pPr>
            <w:r>
              <w:rPr>
                <w:rFonts w:hint="eastAsia" w:ascii="宋体" w:hAnsi="宋体" w:cs="宋体"/>
                <w:b/>
                <w:bCs/>
                <w:color w:val="000000"/>
                <w:sz w:val="21"/>
                <w:szCs w:val="21"/>
              </w:rPr>
              <w:t>指标项</w:t>
            </w:r>
          </w:p>
        </w:tc>
        <w:tc>
          <w:tcPr>
            <w:tcW w:w="2442" w:type="pct"/>
            <w:noWrap w:val="0"/>
            <w:vAlign w:val="center"/>
          </w:tcPr>
          <w:p>
            <w:pPr>
              <w:snapToGrid w:val="0"/>
              <w:spacing w:line="240" w:lineRule="auto"/>
              <w:jc w:val="center"/>
              <w:rPr>
                <w:rFonts w:hint="eastAsia" w:ascii="宋体" w:hAnsi="宋体" w:cs="宋体"/>
                <w:b/>
                <w:bCs/>
                <w:color w:val="000000"/>
                <w:sz w:val="21"/>
                <w:szCs w:val="21"/>
              </w:rPr>
            </w:pPr>
            <w:r>
              <w:rPr>
                <w:rFonts w:hint="eastAsia" w:ascii="宋体" w:hAnsi="宋体" w:cs="宋体"/>
                <w:b/>
                <w:bCs/>
                <w:color w:val="000000"/>
                <w:sz w:val="21"/>
                <w:szCs w:val="21"/>
              </w:rPr>
              <w:t>指标要求</w:t>
            </w:r>
          </w:p>
        </w:tc>
        <w:tc>
          <w:tcPr>
            <w:tcW w:w="872" w:type="pct"/>
            <w:noWrap w:val="0"/>
            <w:vAlign w:val="center"/>
          </w:tcPr>
          <w:p>
            <w:pPr>
              <w:snapToGrid w:val="0"/>
              <w:spacing w:line="240" w:lineRule="auto"/>
              <w:jc w:val="center"/>
              <w:rPr>
                <w:rFonts w:hint="eastAsia" w:ascii="宋体" w:hAnsi="宋体" w:cs="宋体"/>
                <w:b/>
                <w:bCs/>
                <w:color w:val="000000"/>
                <w:sz w:val="21"/>
                <w:szCs w:val="21"/>
              </w:rPr>
            </w:pPr>
            <w:r>
              <w:rPr>
                <w:rFonts w:hint="eastAsia" w:ascii="宋体" w:hAnsi="宋体" w:cs="宋体"/>
                <w:b/>
                <w:bCs/>
                <w:color w:val="000000"/>
                <w:sz w:val="21"/>
                <w:szCs w:val="21"/>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1"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1</w:t>
            </w:r>
          </w:p>
        </w:tc>
        <w:tc>
          <w:tcPr>
            <w:tcW w:w="577"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w:t>
            </w:r>
          </w:p>
        </w:tc>
        <w:tc>
          <w:tcPr>
            <w:tcW w:w="676"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CPU平台</w:t>
            </w:r>
          </w:p>
        </w:tc>
        <w:tc>
          <w:tcPr>
            <w:tcW w:w="2442" w:type="pct"/>
            <w:noWrap w:val="0"/>
            <w:vAlign w:val="center"/>
          </w:tcPr>
          <w:p>
            <w:pPr>
              <w:snapToGrid w:val="0"/>
              <w:spacing w:line="240" w:lineRule="auto"/>
              <w:rPr>
                <w:rFonts w:hint="eastAsia" w:ascii="宋体" w:hAnsi="宋体" w:cs="宋体"/>
                <w:color w:val="000000"/>
                <w:sz w:val="21"/>
                <w:szCs w:val="21"/>
              </w:rPr>
            </w:pPr>
            <w:r>
              <w:rPr>
                <w:rFonts w:hint="eastAsia" w:ascii="宋体" w:hAnsi="宋体" w:cs="宋体"/>
                <w:color w:val="000000"/>
                <w:szCs w:val="21"/>
              </w:rPr>
              <w:t>操作系统支持同源兼容ARM、LoongArch、MIPS、SW64架构的CPU</w:t>
            </w:r>
            <w:r>
              <w:rPr>
                <w:rFonts w:hint="eastAsia" w:ascii="宋体" w:hAnsi="宋体" w:cs="宋体"/>
                <w:color w:val="000000"/>
                <w:sz w:val="21"/>
                <w:szCs w:val="21"/>
              </w:rPr>
              <w:t>。</w:t>
            </w:r>
          </w:p>
        </w:tc>
        <w:tc>
          <w:tcPr>
            <w:tcW w:w="872"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1"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2</w:t>
            </w:r>
          </w:p>
        </w:tc>
        <w:tc>
          <w:tcPr>
            <w:tcW w:w="577"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w:t>
            </w:r>
          </w:p>
        </w:tc>
        <w:tc>
          <w:tcPr>
            <w:tcW w:w="676"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研发要求</w:t>
            </w:r>
          </w:p>
        </w:tc>
        <w:tc>
          <w:tcPr>
            <w:tcW w:w="2442" w:type="pct"/>
            <w:noWrap w:val="0"/>
            <w:vAlign w:val="center"/>
          </w:tcPr>
          <w:p>
            <w:pPr>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要求是自主研发的操作系统，系统须兼容各软硬件生态（包括应用中间件、数据库软件等），提供功能截图或官网链接（或技术白皮书）</w:t>
            </w:r>
          </w:p>
        </w:tc>
        <w:tc>
          <w:tcPr>
            <w:tcW w:w="872"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1"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3</w:t>
            </w:r>
          </w:p>
        </w:tc>
        <w:tc>
          <w:tcPr>
            <w:tcW w:w="577"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w:t>
            </w:r>
          </w:p>
        </w:tc>
        <w:tc>
          <w:tcPr>
            <w:tcW w:w="676"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中文支持</w:t>
            </w:r>
          </w:p>
        </w:tc>
        <w:tc>
          <w:tcPr>
            <w:tcW w:w="2442" w:type="pct"/>
            <w:noWrap w:val="0"/>
            <w:vAlign w:val="center"/>
          </w:tcPr>
          <w:p>
            <w:pPr>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提供中文输入法支持；</w:t>
            </w:r>
          </w:p>
          <w:p>
            <w:pPr>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支持最新标准字符集（如：GB18030-2005）。</w:t>
            </w:r>
          </w:p>
        </w:tc>
        <w:tc>
          <w:tcPr>
            <w:tcW w:w="872"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1" w:type="pct"/>
            <w:noWrap w:val="0"/>
            <w:vAlign w:val="center"/>
          </w:tcPr>
          <w:p>
            <w:pPr>
              <w:snapToGrid w:val="0"/>
              <w:spacing w:line="24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4</w:t>
            </w:r>
          </w:p>
        </w:tc>
        <w:tc>
          <w:tcPr>
            <w:tcW w:w="577"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w:t>
            </w:r>
          </w:p>
        </w:tc>
        <w:tc>
          <w:tcPr>
            <w:tcW w:w="676"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文件系统支持</w:t>
            </w:r>
          </w:p>
        </w:tc>
        <w:tc>
          <w:tcPr>
            <w:tcW w:w="2442" w:type="pct"/>
            <w:noWrap w:val="0"/>
            <w:vAlign w:val="center"/>
          </w:tcPr>
          <w:p>
            <w:pPr>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支持Ext3、Ext4、XFS等文件系统。</w:t>
            </w:r>
          </w:p>
        </w:tc>
        <w:tc>
          <w:tcPr>
            <w:tcW w:w="872"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1" w:type="pct"/>
            <w:noWrap w:val="0"/>
            <w:vAlign w:val="center"/>
          </w:tcPr>
          <w:p>
            <w:pPr>
              <w:snapToGrid w:val="0"/>
              <w:spacing w:line="24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5</w:t>
            </w:r>
          </w:p>
        </w:tc>
        <w:tc>
          <w:tcPr>
            <w:tcW w:w="577" w:type="pct"/>
            <w:noWrap w:val="0"/>
            <w:vAlign w:val="center"/>
          </w:tcPr>
          <w:p>
            <w:pPr>
              <w:snapToGrid w:val="0"/>
              <w:spacing w:line="240" w:lineRule="auto"/>
              <w:jc w:val="center"/>
              <w:rPr>
                <w:rFonts w:hint="eastAsia" w:ascii="宋体" w:hAnsi="宋体" w:cs="宋体"/>
                <w:color w:val="000000"/>
                <w:sz w:val="21"/>
                <w:szCs w:val="21"/>
              </w:rPr>
            </w:pPr>
          </w:p>
        </w:tc>
        <w:tc>
          <w:tcPr>
            <w:tcW w:w="676"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常用应用</w:t>
            </w:r>
          </w:p>
        </w:tc>
        <w:tc>
          <w:tcPr>
            <w:tcW w:w="2442" w:type="pct"/>
            <w:noWrap w:val="0"/>
            <w:vAlign w:val="center"/>
          </w:tcPr>
          <w:p>
            <w:pPr>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默认提供apache http、ftp、DNS、DHCP、NFS、Samba、LDAP等应用。</w:t>
            </w:r>
          </w:p>
        </w:tc>
        <w:tc>
          <w:tcPr>
            <w:tcW w:w="872"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1" w:type="pct"/>
            <w:noWrap w:val="0"/>
            <w:vAlign w:val="center"/>
          </w:tcPr>
          <w:p>
            <w:pPr>
              <w:snapToGrid w:val="0"/>
              <w:spacing w:line="24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6</w:t>
            </w:r>
          </w:p>
        </w:tc>
        <w:tc>
          <w:tcPr>
            <w:tcW w:w="577" w:type="pct"/>
            <w:noWrap w:val="0"/>
            <w:vAlign w:val="center"/>
          </w:tcPr>
          <w:p>
            <w:pPr>
              <w:snapToGrid w:val="0"/>
              <w:spacing w:line="240" w:lineRule="auto"/>
              <w:jc w:val="center"/>
              <w:rPr>
                <w:rFonts w:hint="eastAsia" w:ascii="宋体" w:hAnsi="宋体" w:cs="宋体"/>
                <w:color w:val="000000"/>
                <w:sz w:val="21"/>
                <w:szCs w:val="21"/>
              </w:rPr>
            </w:pPr>
          </w:p>
        </w:tc>
        <w:tc>
          <w:tcPr>
            <w:tcW w:w="676"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数据库兼容性</w:t>
            </w:r>
          </w:p>
        </w:tc>
        <w:tc>
          <w:tcPr>
            <w:tcW w:w="2442" w:type="pct"/>
            <w:noWrap w:val="0"/>
            <w:vAlign w:val="center"/>
          </w:tcPr>
          <w:p>
            <w:pPr>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产品应具备良好的生态环境适应能力，支持多种数据库系统，并提供兼容性证明材料。</w:t>
            </w:r>
          </w:p>
        </w:tc>
        <w:tc>
          <w:tcPr>
            <w:tcW w:w="872"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1" w:type="pct"/>
            <w:noWrap w:val="0"/>
            <w:vAlign w:val="center"/>
          </w:tcPr>
          <w:p>
            <w:pPr>
              <w:snapToGrid w:val="0"/>
              <w:spacing w:line="24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7</w:t>
            </w:r>
          </w:p>
        </w:tc>
        <w:tc>
          <w:tcPr>
            <w:tcW w:w="577" w:type="pct"/>
            <w:noWrap w:val="0"/>
            <w:vAlign w:val="center"/>
          </w:tcPr>
          <w:p>
            <w:pPr>
              <w:snapToGrid w:val="0"/>
              <w:spacing w:line="240" w:lineRule="auto"/>
              <w:jc w:val="center"/>
              <w:rPr>
                <w:rFonts w:hint="eastAsia" w:ascii="宋体" w:hAnsi="宋体" w:cs="宋体"/>
                <w:color w:val="000000"/>
                <w:sz w:val="21"/>
                <w:szCs w:val="21"/>
              </w:rPr>
            </w:pPr>
          </w:p>
        </w:tc>
        <w:tc>
          <w:tcPr>
            <w:tcW w:w="676"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中间件兼容性</w:t>
            </w:r>
          </w:p>
        </w:tc>
        <w:tc>
          <w:tcPr>
            <w:tcW w:w="2442" w:type="pct"/>
            <w:noWrap w:val="0"/>
            <w:vAlign w:val="center"/>
          </w:tcPr>
          <w:p>
            <w:pPr>
              <w:snapToGrid w:val="0"/>
              <w:spacing w:line="240" w:lineRule="auto"/>
              <w:rPr>
                <w:rFonts w:hint="eastAsia"/>
              </w:rPr>
            </w:pPr>
            <w:r>
              <w:rPr>
                <w:rFonts w:hint="eastAsia" w:ascii="宋体" w:hAnsi="宋体" w:cs="宋体"/>
                <w:color w:val="000000"/>
                <w:sz w:val="21"/>
                <w:szCs w:val="21"/>
              </w:rPr>
              <w:t>产品应具备良好的生态环境适应能力，支持多种中间件软件，并提供兼容性证明材料。</w:t>
            </w:r>
          </w:p>
        </w:tc>
        <w:tc>
          <w:tcPr>
            <w:tcW w:w="872"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1" w:type="pct"/>
            <w:noWrap w:val="0"/>
            <w:vAlign w:val="center"/>
          </w:tcPr>
          <w:p>
            <w:pPr>
              <w:snapToGrid w:val="0"/>
              <w:spacing w:line="24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8</w:t>
            </w:r>
          </w:p>
        </w:tc>
        <w:tc>
          <w:tcPr>
            <w:tcW w:w="577" w:type="pct"/>
            <w:noWrap w:val="0"/>
            <w:vAlign w:val="center"/>
          </w:tcPr>
          <w:p>
            <w:pPr>
              <w:snapToGrid w:val="0"/>
              <w:spacing w:line="240" w:lineRule="auto"/>
              <w:jc w:val="center"/>
              <w:rPr>
                <w:rFonts w:hint="eastAsia" w:ascii="宋体" w:hAnsi="宋体" w:cs="宋体"/>
                <w:color w:val="000000"/>
                <w:sz w:val="21"/>
                <w:szCs w:val="21"/>
              </w:rPr>
            </w:pPr>
          </w:p>
        </w:tc>
        <w:tc>
          <w:tcPr>
            <w:tcW w:w="676"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稳定性</w:t>
            </w:r>
          </w:p>
        </w:tc>
        <w:tc>
          <w:tcPr>
            <w:tcW w:w="2442" w:type="pct"/>
            <w:noWrap w:val="0"/>
            <w:vAlign w:val="center"/>
          </w:tcPr>
          <w:p>
            <w:pPr>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为了保证业务系统的稳定性、可靠性、效能与服务回应时间，操作系统产品须通过CGL 5.0规格认证，须提供CGL官方截图</w:t>
            </w:r>
          </w:p>
        </w:tc>
        <w:tc>
          <w:tcPr>
            <w:tcW w:w="872"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1" w:type="pct"/>
            <w:noWrap w:val="0"/>
            <w:vAlign w:val="center"/>
          </w:tcPr>
          <w:p>
            <w:pPr>
              <w:snapToGrid w:val="0"/>
              <w:spacing w:line="24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9</w:t>
            </w:r>
          </w:p>
        </w:tc>
        <w:tc>
          <w:tcPr>
            <w:tcW w:w="577" w:type="pct"/>
            <w:noWrap w:val="0"/>
            <w:vAlign w:val="center"/>
          </w:tcPr>
          <w:p>
            <w:pPr>
              <w:snapToGrid w:val="0"/>
              <w:spacing w:line="240" w:lineRule="auto"/>
              <w:jc w:val="center"/>
              <w:rPr>
                <w:rFonts w:hint="eastAsia" w:ascii="宋体" w:hAnsi="宋体" w:cs="宋体"/>
                <w:color w:val="000000"/>
                <w:sz w:val="21"/>
                <w:szCs w:val="21"/>
              </w:rPr>
            </w:pPr>
          </w:p>
        </w:tc>
        <w:tc>
          <w:tcPr>
            <w:tcW w:w="676"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高可用性</w:t>
            </w:r>
          </w:p>
        </w:tc>
        <w:tc>
          <w:tcPr>
            <w:tcW w:w="2442" w:type="pct"/>
            <w:noWrap w:val="0"/>
            <w:vAlign w:val="center"/>
          </w:tcPr>
          <w:p>
            <w:pPr>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支持软件负载均衡；</w:t>
            </w:r>
          </w:p>
          <w:p>
            <w:pPr>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支持多种网卡绑定，提高可用性；</w:t>
            </w:r>
          </w:p>
          <w:p>
            <w:pPr>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支持存储多路径并多路径驱动。</w:t>
            </w:r>
          </w:p>
        </w:tc>
        <w:tc>
          <w:tcPr>
            <w:tcW w:w="872"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431" w:type="pct"/>
            <w:vMerge w:val="restart"/>
            <w:noWrap w:val="0"/>
            <w:vAlign w:val="center"/>
          </w:tcPr>
          <w:p>
            <w:pPr>
              <w:snapToGrid w:val="0"/>
              <w:spacing w:line="24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w:t>
            </w:r>
          </w:p>
        </w:tc>
        <w:tc>
          <w:tcPr>
            <w:tcW w:w="577" w:type="pct"/>
            <w:vMerge w:val="restart"/>
            <w:noWrap w:val="0"/>
            <w:vAlign w:val="center"/>
          </w:tcPr>
          <w:p>
            <w:pPr>
              <w:snapToGrid w:val="0"/>
              <w:spacing w:line="240" w:lineRule="auto"/>
              <w:jc w:val="center"/>
              <w:rPr>
                <w:rFonts w:hint="eastAsia" w:ascii="宋体" w:hAnsi="宋体" w:cs="宋体"/>
                <w:color w:val="000000"/>
                <w:sz w:val="21"/>
                <w:szCs w:val="21"/>
              </w:rPr>
            </w:pPr>
          </w:p>
        </w:tc>
        <w:tc>
          <w:tcPr>
            <w:tcW w:w="676" w:type="pct"/>
            <w:vMerge w:val="restar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安全性</w:t>
            </w:r>
          </w:p>
        </w:tc>
        <w:tc>
          <w:tcPr>
            <w:tcW w:w="2442" w:type="pct"/>
            <w:noWrap w:val="0"/>
            <w:vAlign w:val="center"/>
          </w:tcPr>
          <w:p>
            <w:pPr>
              <w:snapToGrid w:val="0"/>
              <w:spacing w:line="240" w:lineRule="auto"/>
              <w:rPr>
                <w:rFonts w:hint="eastAsia" w:ascii="宋体" w:hAnsi="宋体" w:cs="宋体"/>
                <w:color w:val="000000"/>
                <w:sz w:val="21"/>
                <w:szCs w:val="21"/>
              </w:rPr>
            </w:pPr>
            <w:r>
              <w:rPr>
                <w:rFonts w:hint="eastAsia" w:ascii="宋体" w:hAnsi="宋体" w:cs="宋体"/>
                <w:color w:val="000000"/>
                <w:sz w:val="21"/>
                <w:szCs w:val="21"/>
                <w:lang w:val="zh-CN"/>
              </w:rPr>
              <w:t>通过等级保护</w:t>
            </w:r>
            <w:r>
              <w:rPr>
                <w:rFonts w:hint="eastAsia" w:ascii="宋体" w:hAnsi="宋体" w:cs="宋体"/>
                <w:color w:val="000000"/>
                <w:sz w:val="21"/>
                <w:szCs w:val="21"/>
              </w:rPr>
              <w:t xml:space="preserve">2.0技术标准，即GB/T 20272-2019《信息安全技术 操作系统安全技术要求》第四级测评，并提供国家认可的认证（检测）机构出具的认证证书（检测报告）复印件； </w:t>
            </w:r>
          </w:p>
        </w:tc>
        <w:tc>
          <w:tcPr>
            <w:tcW w:w="872" w:type="pct"/>
            <w:noWrap w:val="0"/>
            <w:vAlign w:val="center"/>
          </w:tcPr>
          <w:p>
            <w:pPr>
              <w:snapToGrid w:val="0"/>
              <w:spacing w:line="240" w:lineRule="auto"/>
              <w:jc w:val="center"/>
              <w:rPr>
                <w:rFonts w:hint="eastAsia" w:ascii="宋体" w:hAnsi="宋体" w:cs="宋体"/>
                <w:color w:val="000000"/>
                <w:sz w:val="21"/>
                <w:szCs w:val="21"/>
                <w:lang w:val="zh-CN"/>
              </w:rPr>
            </w:pPr>
            <w:r>
              <w:rPr>
                <w:rFonts w:hint="eastAsia" w:ascii="宋体" w:hAnsi="宋体" w:cs="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431" w:type="pct"/>
            <w:vMerge w:val="continue"/>
            <w:noWrap w:val="0"/>
            <w:vAlign w:val="center"/>
          </w:tcPr>
          <w:p>
            <w:pPr>
              <w:numPr>
                <w:ilvl w:val="0"/>
                <w:numId w:val="2"/>
              </w:numPr>
              <w:snapToGrid w:val="0"/>
              <w:spacing w:line="240" w:lineRule="auto"/>
              <w:jc w:val="center"/>
              <w:rPr>
                <w:rFonts w:hint="eastAsia" w:ascii="宋体" w:hAnsi="宋体" w:cs="宋体"/>
                <w:color w:val="000000"/>
                <w:sz w:val="21"/>
                <w:szCs w:val="21"/>
              </w:rPr>
            </w:pPr>
          </w:p>
        </w:tc>
        <w:tc>
          <w:tcPr>
            <w:tcW w:w="577" w:type="pct"/>
            <w:vMerge w:val="continue"/>
            <w:noWrap w:val="0"/>
            <w:vAlign w:val="center"/>
          </w:tcPr>
          <w:p>
            <w:pPr>
              <w:snapToGrid w:val="0"/>
              <w:spacing w:line="240" w:lineRule="auto"/>
              <w:jc w:val="center"/>
              <w:rPr>
                <w:rFonts w:hint="eastAsia" w:ascii="宋体" w:hAnsi="宋体" w:cs="宋体"/>
                <w:color w:val="000000"/>
                <w:sz w:val="21"/>
                <w:szCs w:val="21"/>
              </w:rPr>
            </w:pPr>
          </w:p>
        </w:tc>
        <w:tc>
          <w:tcPr>
            <w:tcW w:w="676" w:type="pct"/>
            <w:vMerge w:val="continue"/>
            <w:noWrap w:val="0"/>
            <w:vAlign w:val="center"/>
          </w:tcPr>
          <w:p>
            <w:pPr>
              <w:snapToGrid w:val="0"/>
              <w:spacing w:line="240" w:lineRule="auto"/>
              <w:jc w:val="center"/>
              <w:rPr>
                <w:rFonts w:hint="eastAsia" w:ascii="宋体" w:hAnsi="宋体" w:cs="宋体"/>
                <w:color w:val="000000"/>
                <w:sz w:val="21"/>
                <w:szCs w:val="21"/>
              </w:rPr>
            </w:pPr>
          </w:p>
        </w:tc>
        <w:tc>
          <w:tcPr>
            <w:tcW w:w="2442" w:type="pct"/>
            <w:noWrap w:val="0"/>
            <w:vAlign w:val="center"/>
          </w:tcPr>
          <w:p>
            <w:pPr>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内置国密算法，支持基于国密算法的加解密应用，支持国密SM2/3/4，提供功能截图或官网链接（或技术白皮书）。</w:t>
            </w:r>
          </w:p>
        </w:tc>
        <w:tc>
          <w:tcPr>
            <w:tcW w:w="872"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trPr>
        <w:tc>
          <w:tcPr>
            <w:tcW w:w="431" w:type="pct"/>
            <w:vMerge w:val="continue"/>
            <w:noWrap w:val="0"/>
            <w:vAlign w:val="center"/>
          </w:tcPr>
          <w:p>
            <w:pPr>
              <w:numPr>
                <w:ilvl w:val="0"/>
                <w:numId w:val="2"/>
              </w:numPr>
              <w:snapToGrid w:val="0"/>
              <w:spacing w:line="240" w:lineRule="auto"/>
              <w:jc w:val="center"/>
              <w:rPr>
                <w:rFonts w:hint="eastAsia" w:ascii="宋体" w:hAnsi="宋体" w:cs="宋体"/>
                <w:color w:val="000000"/>
                <w:sz w:val="21"/>
                <w:szCs w:val="21"/>
              </w:rPr>
            </w:pPr>
          </w:p>
        </w:tc>
        <w:tc>
          <w:tcPr>
            <w:tcW w:w="577" w:type="pct"/>
            <w:vMerge w:val="continue"/>
            <w:noWrap w:val="0"/>
            <w:vAlign w:val="center"/>
          </w:tcPr>
          <w:p>
            <w:pPr>
              <w:snapToGrid w:val="0"/>
              <w:spacing w:line="240" w:lineRule="auto"/>
              <w:jc w:val="center"/>
              <w:rPr>
                <w:rFonts w:hint="eastAsia" w:ascii="宋体" w:hAnsi="宋体" w:cs="宋体"/>
                <w:color w:val="000000"/>
                <w:sz w:val="21"/>
                <w:szCs w:val="21"/>
              </w:rPr>
            </w:pPr>
          </w:p>
        </w:tc>
        <w:tc>
          <w:tcPr>
            <w:tcW w:w="676" w:type="pct"/>
            <w:vMerge w:val="continue"/>
            <w:noWrap w:val="0"/>
            <w:vAlign w:val="center"/>
          </w:tcPr>
          <w:p>
            <w:pPr>
              <w:snapToGrid w:val="0"/>
              <w:spacing w:line="240" w:lineRule="auto"/>
              <w:jc w:val="center"/>
              <w:rPr>
                <w:rFonts w:hint="eastAsia" w:ascii="宋体" w:hAnsi="宋体" w:cs="宋体"/>
                <w:color w:val="000000"/>
                <w:sz w:val="21"/>
                <w:szCs w:val="21"/>
              </w:rPr>
            </w:pPr>
          </w:p>
        </w:tc>
        <w:tc>
          <w:tcPr>
            <w:tcW w:w="2442" w:type="pct"/>
            <w:noWrap w:val="0"/>
            <w:vAlign w:val="center"/>
          </w:tcPr>
          <w:p>
            <w:pPr>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符合国家网络与信息系统安全产品质量监督检验中心的安全测试要求，提供信息技术产品安全测试证书。</w:t>
            </w:r>
          </w:p>
        </w:tc>
        <w:tc>
          <w:tcPr>
            <w:tcW w:w="872"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trPr>
        <w:tc>
          <w:tcPr>
            <w:tcW w:w="431" w:type="pct"/>
            <w:vMerge w:val="continue"/>
            <w:noWrap w:val="0"/>
            <w:vAlign w:val="center"/>
          </w:tcPr>
          <w:p>
            <w:pPr>
              <w:numPr>
                <w:ilvl w:val="0"/>
                <w:numId w:val="2"/>
              </w:numPr>
              <w:snapToGrid w:val="0"/>
              <w:spacing w:line="240" w:lineRule="auto"/>
              <w:jc w:val="center"/>
              <w:rPr>
                <w:rFonts w:hint="eastAsia" w:ascii="宋体" w:hAnsi="宋体" w:cs="宋体"/>
                <w:color w:val="000000"/>
                <w:sz w:val="21"/>
                <w:szCs w:val="21"/>
              </w:rPr>
            </w:pPr>
          </w:p>
        </w:tc>
        <w:tc>
          <w:tcPr>
            <w:tcW w:w="577" w:type="pct"/>
            <w:vMerge w:val="continue"/>
            <w:noWrap w:val="0"/>
            <w:vAlign w:val="center"/>
          </w:tcPr>
          <w:p>
            <w:pPr>
              <w:snapToGrid w:val="0"/>
              <w:spacing w:line="240" w:lineRule="auto"/>
              <w:jc w:val="center"/>
              <w:rPr>
                <w:rFonts w:hint="eastAsia" w:ascii="宋体" w:hAnsi="宋体" w:cs="宋体"/>
                <w:color w:val="000000"/>
                <w:sz w:val="21"/>
                <w:szCs w:val="21"/>
              </w:rPr>
            </w:pPr>
          </w:p>
        </w:tc>
        <w:tc>
          <w:tcPr>
            <w:tcW w:w="676" w:type="pct"/>
            <w:vMerge w:val="continue"/>
            <w:noWrap w:val="0"/>
            <w:vAlign w:val="center"/>
          </w:tcPr>
          <w:p>
            <w:pPr>
              <w:snapToGrid w:val="0"/>
              <w:spacing w:line="240" w:lineRule="auto"/>
              <w:jc w:val="center"/>
              <w:rPr>
                <w:rFonts w:hint="eastAsia" w:ascii="宋体" w:hAnsi="宋体" w:cs="宋体"/>
                <w:color w:val="000000"/>
                <w:sz w:val="21"/>
                <w:szCs w:val="21"/>
              </w:rPr>
            </w:pPr>
          </w:p>
        </w:tc>
        <w:tc>
          <w:tcPr>
            <w:tcW w:w="2442" w:type="pct"/>
            <w:noWrap w:val="0"/>
            <w:vAlign w:val="center"/>
          </w:tcPr>
          <w:p>
            <w:pPr>
              <w:snapToGrid w:val="0"/>
              <w:spacing w:line="240" w:lineRule="auto"/>
              <w:rPr>
                <w:rFonts w:hint="eastAsia" w:ascii="宋体" w:hAnsi="宋体" w:cs="宋体"/>
                <w:color w:val="000000"/>
                <w:sz w:val="21"/>
                <w:szCs w:val="21"/>
                <w:lang w:val="zh-CN"/>
              </w:rPr>
            </w:pPr>
            <w:r>
              <w:rPr>
                <w:rFonts w:hint="eastAsia" w:ascii="宋体" w:hAnsi="宋体" w:cs="宋体"/>
                <w:color w:val="000000"/>
                <w:sz w:val="21"/>
                <w:szCs w:val="21"/>
              </w:rPr>
              <w:t>系统提供开启三权分立安全功能，包括安全管理员secadm、系统管理员、审计管理员auditadm，提供功能截图或官网链接（或技术白皮书）。</w:t>
            </w:r>
          </w:p>
        </w:tc>
        <w:tc>
          <w:tcPr>
            <w:tcW w:w="872" w:type="pct"/>
            <w:noWrap w:val="0"/>
            <w:vAlign w:val="center"/>
          </w:tcPr>
          <w:p>
            <w:pPr>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blHeader/>
        </w:trPr>
        <w:tc>
          <w:tcPr>
            <w:tcW w:w="431" w:type="pct"/>
            <w:noWrap w:val="0"/>
            <w:vAlign w:val="center"/>
          </w:tcPr>
          <w:p>
            <w:pPr>
              <w:snapToGrid w:val="0"/>
              <w:spacing w:line="24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11</w:t>
            </w:r>
          </w:p>
        </w:tc>
        <w:tc>
          <w:tcPr>
            <w:tcW w:w="577" w:type="pct"/>
            <w:noWrap w:val="0"/>
            <w:vAlign w:val="center"/>
          </w:tcPr>
          <w:p>
            <w:pPr>
              <w:snapToGrid w:val="0"/>
              <w:spacing w:line="240" w:lineRule="auto"/>
              <w:jc w:val="center"/>
              <w:rPr>
                <w:rFonts w:hint="eastAsia" w:ascii="宋体" w:hAnsi="宋体" w:cs="宋体"/>
                <w:color w:val="000000"/>
                <w:sz w:val="21"/>
                <w:szCs w:val="21"/>
              </w:rPr>
            </w:pPr>
          </w:p>
        </w:tc>
        <w:tc>
          <w:tcPr>
            <w:tcW w:w="1209" w:type="dxa"/>
            <w:noWrap w:val="0"/>
            <w:vAlign w:val="center"/>
          </w:tcPr>
          <w:p>
            <w:pPr>
              <w:widowControl/>
              <w:textAlignment w:val="center"/>
              <w:rPr>
                <w:rFonts w:hint="eastAsia" w:ascii="宋体" w:hAnsi="宋体" w:cs="宋体"/>
                <w:color w:val="000000"/>
                <w:sz w:val="21"/>
                <w:szCs w:val="21"/>
              </w:rPr>
            </w:pPr>
            <w:r>
              <w:rPr>
                <w:rFonts w:hint="eastAsia" w:ascii="宋体" w:hAnsi="宋体" w:cs="宋体"/>
                <w:color w:val="000000"/>
                <w:sz w:val="21"/>
                <w:szCs w:val="21"/>
                <w:lang w:bidi="ar"/>
              </w:rPr>
              <w:t>身份鉴别服务</w:t>
            </w:r>
          </w:p>
        </w:tc>
        <w:tc>
          <w:tcPr>
            <w:tcW w:w="4369" w:type="dxa"/>
            <w:noWrap w:val="0"/>
            <w:vAlign w:val="center"/>
          </w:tcPr>
          <w:p>
            <w:pPr>
              <w:widowControl/>
              <w:textAlignment w:val="center"/>
              <w:rPr>
                <w:rFonts w:hint="eastAsia"/>
              </w:rPr>
            </w:pPr>
            <w:r>
              <w:rPr>
                <w:rFonts w:hint="eastAsia" w:ascii="宋体" w:hAnsi="宋体" w:cs="宋体"/>
                <w:color w:val="000000"/>
                <w:sz w:val="21"/>
                <w:szCs w:val="21"/>
                <w:lang w:bidi="ar"/>
              </w:rPr>
              <w:t>用户标识使用账户名和账户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账户（root）远程登录设置</w:t>
            </w:r>
          </w:p>
        </w:tc>
        <w:tc>
          <w:tcPr>
            <w:tcW w:w="872" w:type="pct"/>
            <w:noWrap w:val="0"/>
            <w:vAlign w:val="center"/>
          </w:tcPr>
          <w:p>
            <w:pPr>
              <w:pStyle w:val="4"/>
              <w:numPr>
                <w:ilvl w:val="0"/>
                <w:numId w:val="0"/>
              </w:numPr>
              <w:tabs>
                <w:tab w:val="left" w:pos="0"/>
              </w:tabs>
              <w:snapToGrid w:val="0"/>
              <w:spacing w:before="0" w:after="0" w:line="240" w:lineRule="auto"/>
              <w:jc w:val="center"/>
              <w:rPr>
                <w:rFonts w:hint="eastAsia" w:ascii="宋体" w:hAnsi="宋体" w:cs="宋体"/>
                <w:b w:val="0"/>
                <w:bCs w:val="0"/>
                <w:color w:val="000000"/>
                <w:kern w:val="0"/>
                <w:sz w:val="21"/>
                <w:szCs w:val="21"/>
              </w:rPr>
            </w:pPr>
            <w:r>
              <w:rPr>
                <w:rFonts w:hint="eastAsia" w:ascii="宋体" w:hAnsi="宋体" w:cs="宋体"/>
                <w:b w:val="0"/>
                <w:bCs w:val="0"/>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blHeader/>
        </w:trPr>
        <w:tc>
          <w:tcPr>
            <w:tcW w:w="431" w:type="pct"/>
            <w:noWrap w:val="0"/>
            <w:vAlign w:val="center"/>
          </w:tcPr>
          <w:p>
            <w:pPr>
              <w:snapToGrid w:val="0"/>
              <w:spacing w:line="24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12</w:t>
            </w:r>
          </w:p>
        </w:tc>
        <w:tc>
          <w:tcPr>
            <w:tcW w:w="577" w:type="pct"/>
            <w:noWrap w:val="0"/>
            <w:vAlign w:val="center"/>
          </w:tcPr>
          <w:p>
            <w:pPr>
              <w:snapToGrid w:val="0"/>
              <w:spacing w:line="240" w:lineRule="auto"/>
              <w:jc w:val="center"/>
              <w:rPr>
                <w:rFonts w:hint="eastAsia" w:ascii="宋体" w:hAnsi="宋体" w:cs="宋体"/>
                <w:color w:val="000000"/>
                <w:sz w:val="21"/>
                <w:szCs w:val="21"/>
              </w:rPr>
            </w:pPr>
          </w:p>
        </w:tc>
        <w:tc>
          <w:tcPr>
            <w:tcW w:w="1209" w:type="dxa"/>
            <w:noWrap w:val="0"/>
            <w:vAlign w:val="center"/>
          </w:tcPr>
          <w:p>
            <w:pPr>
              <w:widowControl/>
              <w:textAlignment w:val="center"/>
              <w:rPr>
                <w:rFonts w:hint="eastAsia" w:ascii="宋体" w:hAnsi="宋体" w:cs="宋体"/>
                <w:color w:val="000000"/>
                <w:sz w:val="21"/>
                <w:szCs w:val="21"/>
              </w:rPr>
            </w:pPr>
            <w:r>
              <w:rPr>
                <w:rFonts w:hint="eastAsia" w:ascii="宋体" w:hAnsi="宋体" w:cs="宋体"/>
                <w:color w:val="000000"/>
                <w:sz w:val="21"/>
                <w:szCs w:val="21"/>
                <w:lang w:bidi="ar"/>
              </w:rPr>
              <w:t>自主访问控制</w:t>
            </w:r>
          </w:p>
        </w:tc>
        <w:tc>
          <w:tcPr>
            <w:tcW w:w="4369" w:type="dxa"/>
            <w:noWrap w:val="0"/>
            <w:vAlign w:val="center"/>
          </w:tcPr>
          <w:p>
            <w:pPr>
              <w:widowControl/>
              <w:textAlignment w:val="center"/>
              <w:rPr>
                <w:rFonts w:hint="eastAsia" w:ascii="宋体" w:hAnsi="宋体" w:cs="宋体"/>
                <w:color w:val="000000"/>
                <w:sz w:val="21"/>
                <w:szCs w:val="21"/>
              </w:rPr>
            </w:pPr>
            <w:r>
              <w:rPr>
                <w:rFonts w:hint="eastAsia" w:ascii="宋体" w:hAnsi="宋体" w:cs="宋体"/>
                <w:color w:val="000000"/>
                <w:sz w:val="21"/>
                <w:szCs w:val="21"/>
                <w:lang w:bidi="ar"/>
              </w:rPr>
              <w:t>允许客体拥有者以普通账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c>
          <w:tcPr>
            <w:tcW w:w="872" w:type="pct"/>
            <w:noWrap w:val="0"/>
            <w:vAlign w:val="center"/>
          </w:tcPr>
          <w:p>
            <w:pPr>
              <w:pStyle w:val="4"/>
              <w:numPr>
                <w:ilvl w:val="0"/>
                <w:numId w:val="0"/>
              </w:numPr>
              <w:tabs>
                <w:tab w:val="left" w:pos="0"/>
              </w:tabs>
              <w:snapToGrid w:val="0"/>
              <w:spacing w:before="0" w:after="0" w:line="240" w:lineRule="auto"/>
              <w:jc w:val="center"/>
              <w:rPr>
                <w:rFonts w:hint="eastAsia" w:ascii="宋体" w:hAnsi="宋体" w:cs="宋体"/>
                <w:b w:val="0"/>
                <w:bCs w:val="0"/>
                <w:color w:val="000000"/>
                <w:sz w:val="21"/>
                <w:szCs w:val="21"/>
              </w:rPr>
            </w:pPr>
            <w:r>
              <w:rPr>
                <w:rFonts w:hint="eastAsia" w:ascii="宋体" w:hAnsi="宋体" w:cs="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blHeader/>
        </w:trPr>
        <w:tc>
          <w:tcPr>
            <w:tcW w:w="431" w:type="pct"/>
            <w:noWrap w:val="0"/>
            <w:vAlign w:val="center"/>
          </w:tcPr>
          <w:p>
            <w:pPr>
              <w:snapToGrid w:val="0"/>
              <w:spacing w:line="24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w:t>
            </w:r>
          </w:p>
        </w:tc>
        <w:tc>
          <w:tcPr>
            <w:tcW w:w="577" w:type="pct"/>
            <w:noWrap w:val="0"/>
            <w:vAlign w:val="center"/>
          </w:tcPr>
          <w:p>
            <w:pPr>
              <w:snapToGrid w:val="0"/>
              <w:spacing w:line="240" w:lineRule="auto"/>
              <w:jc w:val="center"/>
              <w:rPr>
                <w:rFonts w:hint="eastAsia" w:ascii="宋体" w:hAnsi="宋体" w:cs="宋体"/>
                <w:color w:val="000000"/>
                <w:sz w:val="21"/>
                <w:szCs w:val="21"/>
              </w:rPr>
            </w:pPr>
          </w:p>
        </w:tc>
        <w:tc>
          <w:tcPr>
            <w:tcW w:w="1209" w:type="dxa"/>
            <w:noWrap w:val="0"/>
            <w:vAlign w:val="center"/>
          </w:tcPr>
          <w:p>
            <w:pPr>
              <w:widowControl/>
              <w:textAlignment w:val="center"/>
              <w:rPr>
                <w:rFonts w:hint="eastAsia" w:ascii="宋体" w:hAnsi="宋体" w:cs="宋体"/>
                <w:color w:val="000000"/>
                <w:sz w:val="21"/>
                <w:szCs w:val="21"/>
              </w:rPr>
            </w:pPr>
            <w:r>
              <w:rPr>
                <w:rFonts w:hint="eastAsia" w:ascii="宋体" w:hAnsi="宋体" w:cs="宋体"/>
                <w:color w:val="000000"/>
                <w:sz w:val="21"/>
                <w:szCs w:val="21"/>
                <w:lang w:bidi="ar"/>
              </w:rPr>
              <w:t>强制访问控制</w:t>
            </w:r>
          </w:p>
        </w:tc>
        <w:tc>
          <w:tcPr>
            <w:tcW w:w="4369" w:type="dxa"/>
            <w:noWrap w:val="0"/>
            <w:vAlign w:val="center"/>
          </w:tcPr>
          <w:p>
            <w:pPr>
              <w:widowControl/>
              <w:textAlignment w:val="center"/>
              <w:rPr>
                <w:rFonts w:hint="eastAsia" w:ascii="宋体" w:hAnsi="宋体" w:cs="宋体"/>
                <w:color w:val="000000"/>
                <w:sz w:val="21"/>
                <w:szCs w:val="21"/>
              </w:rPr>
            </w:pPr>
            <w:r>
              <w:rPr>
                <w:rFonts w:hint="eastAsia" w:ascii="宋体" w:hAnsi="宋体" w:cs="宋体"/>
                <w:color w:val="000000"/>
                <w:sz w:val="21"/>
                <w:szCs w:val="21"/>
                <w:lang w:bidi="ar"/>
              </w:rPr>
              <w:t>操作系统支持对应用程序的访问控制与资源限制，包括对文件、网络等客体的访问控制；支持应用安装控制、应用执行控制</w:t>
            </w:r>
          </w:p>
        </w:tc>
        <w:tc>
          <w:tcPr>
            <w:tcW w:w="872" w:type="pct"/>
            <w:noWrap w:val="0"/>
            <w:vAlign w:val="center"/>
          </w:tcPr>
          <w:p>
            <w:pPr>
              <w:pStyle w:val="4"/>
              <w:numPr>
                <w:ilvl w:val="0"/>
                <w:numId w:val="0"/>
              </w:numPr>
              <w:tabs>
                <w:tab w:val="left" w:pos="0"/>
              </w:tabs>
              <w:snapToGrid w:val="0"/>
              <w:spacing w:before="0" w:after="0" w:line="240" w:lineRule="auto"/>
              <w:jc w:val="center"/>
              <w:rPr>
                <w:rFonts w:hint="eastAsia" w:ascii="宋体" w:hAnsi="宋体" w:cs="宋体"/>
                <w:b w:val="0"/>
                <w:bCs w:val="0"/>
                <w:color w:val="000000"/>
                <w:sz w:val="21"/>
                <w:szCs w:val="21"/>
              </w:rPr>
            </w:pPr>
            <w:r>
              <w:rPr>
                <w:rFonts w:hint="eastAsia" w:ascii="宋体" w:hAnsi="宋体" w:cs="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blHeader/>
        </w:trPr>
        <w:tc>
          <w:tcPr>
            <w:tcW w:w="431" w:type="pct"/>
            <w:noWrap w:val="0"/>
            <w:vAlign w:val="center"/>
          </w:tcPr>
          <w:p>
            <w:pPr>
              <w:snapToGrid w:val="0"/>
              <w:spacing w:line="24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14</w:t>
            </w:r>
          </w:p>
        </w:tc>
        <w:tc>
          <w:tcPr>
            <w:tcW w:w="577" w:type="pct"/>
            <w:noWrap w:val="0"/>
            <w:vAlign w:val="center"/>
          </w:tcPr>
          <w:p>
            <w:pPr>
              <w:snapToGrid w:val="0"/>
              <w:spacing w:line="240" w:lineRule="auto"/>
              <w:jc w:val="center"/>
              <w:rPr>
                <w:rFonts w:hint="eastAsia" w:ascii="宋体" w:hAnsi="宋体" w:cs="宋体"/>
                <w:color w:val="000000"/>
                <w:sz w:val="21"/>
                <w:szCs w:val="21"/>
              </w:rPr>
            </w:pPr>
          </w:p>
        </w:tc>
        <w:tc>
          <w:tcPr>
            <w:tcW w:w="1209" w:type="dxa"/>
            <w:noWrap w:val="0"/>
            <w:vAlign w:val="center"/>
          </w:tcPr>
          <w:p>
            <w:pPr>
              <w:widowControl/>
              <w:textAlignment w:val="center"/>
              <w:rPr>
                <w:rFonts w:hint="eastAsia" w:ascii="宋体" w:hAnsi="宋体" w:cs="宋体"/>
                <w:color w:val="000000"/>
                <w:sz w:val="21"/>
                <w:szCs w:val="21"/>
              </w:rPr>
            </w:pPr>
            <w:r>
              <w:rPr>
                <w:rFonts w:hint="eastAsia" w:ascii="宋体" w:hAnsi="宋体" w:cs="宋体"/>
                <w:color w:val="000000"/>
                <w:sz w:val="21"/>
                <w:szCs w:val="21"/>
                <w:lang w:bidi="ar"/>
              </w:rPr>
              <w:t>安全审计</w:t>
            </w:r>
          </w:p>
        </w:tc>
        <w:tc>
          <w:tcPr>
            <w:tcW w:w="4369" w:type="dxa"/>
            <w:noWrap w:val="0"/>
            <w:vAlign w:val="center"/>
          </w:tcPr>
          <w:p>
            <w:pPr>
              <w:widowControl/>
              <w:textAlignment w:val="center"/>
              <w:rPr>
                <w:rFonts w:hint="eastAsia" w:ascii="宋体" w:hAnsi="宋体" w:cs="宋体"/>
                <w:color w:val="000000"/>
                <w:sz w:val="21"/>
                <w:szCs w:val="21"/>
              </w:rPr>
            </w:pPr>
            <w:r>
              <w:rPr>
                <w:rFonts w:hint="eastAsia" w:ascii="宋体" w:hAnsi="宋体" w:cs="宋体"/>
                <w:color w:val="000000"/>
                <w:sz w:val="21"/>
                <w:szCs w:val="21"/>
                <w:lang w:bidi="ar"/>
              </w:rPr>
              <w:t>操作系统支持对身份鉴别、自主访问控制、强制访问控制等安全功能的使用生成审计日志；审计记录包括：事件类型、事件发生的日期、触发事件的用户、事件成功或失败等字段；支持审计日志查询和导出功能</w:t>
            </w:r>
          </w:p>
        </w:tc>
        <w:tc>
          <w:tcPr>
            <w:tcW w:w="872" w:type="pct"/>
            <w:noWrap w:val="0"/>
            <w:vAlign w:val="center"/>
          </w:tcPr>
          <w:p>
            <w:pPr>
              <w:pStyle w:val="4"/>
              <w:numPr>
                <w:ilvl w:val="0"/>
                <w:numId w:val="0"/>
              </w:numPr>
              <w:tabs>
                <w:tab w:val="left" w:pos="0"/>
              </w:tabs>
              <w:snapToGrid w:val="0"/>
              <w:spacing w:before="0" w:after="0" w:line="240" w:lineRule="auto"/>
              <w:jc w:val="center"/>
              <w:rPr>
                <w:rFonts w:hint="eastAsia" w:ascii="宋体" w:hAnsi="宋体" w:cs="宋体"/>
                <w:b w:val="0"/>
                <w:bCs w:val="0"/>
                <w:color w:val="000000"/>
                <w:sz w:val="21"/>
                <w:szCs w:val="21"/>
              </w:rPr>
            </w:pPr>
            <w:r>
              <w:rPr>
                <w:rFonts w:hint="eastAsia" w:ascii="宋体" w:hAnsi="宋体" w:cs="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blHeader/>
        </w:trPr>
        <w:tc>
          <w:tcPr>
            <w:tcW w:w="431" w:type="pct"/>
            <w:noWrap w:val="0"/>
            <w:vAlign w:val="center"/>
          </w:tcPr>
          <w:p>
            <w:pPr>
              <w:snapToGrid w:val="0"/>
              <w:spacing w:line="24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15</w:t>
            </w:r>
          </w:p>
        </w:tc>
        <w:tc>
          <w:tcPr>
            <w:tcW w:w="577" w:type="pct"/>
            <w:noWrap w:val="0"/>
            <w:vAlign w:val="center"/>
          </w:tcPr>
          <w:p>
            <w:pPr>
              <w:snapToGrid w:val="0"/>
              <w:spacing w:line="240" w:lineRule="auto"/>
              <w:jc w:val="center"/>
              <w:rPr>
                <w:rFonts w:hint="eastAsia" w:ascii="宋体" w:hAnsi="宋体" w:cs="宋体"/>
                <w:color w:val="000000"/>
                <w:sz w:val="21"/>
                <w:szCs w:val="21"/>
              </w:rPr>
            </w:pPr>
          </w:p>
        </w:tc>
        <w:tc>
          <w:tcPr>
            <w:tcW w:w="1209" w:type="dxa"/>
            <w:noWrap w:val="0"/>
            <w:vAlign w:val="center"/>
          </w:tcPr>
          <w:p>
            <w:pPr>
              <w:widowControl/>
              <w:textAlignment w:val="center"/>
              <w:rPr>
                <w:rFonts w:hint="eastAsia" w:ascii="宋体" w:hAnsi="宋体" w:cs="宋体"/>
                <w:color w:val="000000"/>
                <w:sz w:val="21"/>
                <w:szCs w:val="21"/>
              </w:rPr>
            </w:pPr>
            <w:r>
              <w:rPr>
                <w:rFonts w:hint="eastAsia" w:ascii="宋体" w:hAnsi="宋体" w:cs="宋体"/>
                <w:color w:val="000000"/>
                <w:sz w:val="21"/>
                <w:szCs w:val="21"/>
                <w:lang w:bidi="ar"/>
              </w:rPr>
              <w:t>漏洞管理</w:t>
            </w:r>
          </w:p>
        </w:tc>
        <w:tc>
          <w:tcPr>
            <w:tcW w:w="4369" w:type="dxa"/>
            <w:noWrap w:val="0"/>
            <w:vAlign w:val="center"/>
          </w:tcPr>
          <w:p>
            <w:pPr>
              <w:widowControl/>
              <w:textAlignment w:val="center"/>
              <w:rPr>
                <w:rFonts w:hint="eastAsia" w:ascii="宋体" w:hAnsi="宋体" w:cs="宋体"/>
                <w:color w:val="000000"/>
                <w:sz w:val="21"/>
                <w:szCs w:val="21"/>
              </w:rPr>
            </w:pPr>
            <w:r>
              <w:rPr>
                <w:rFonts w:hint="eastAsia" w:ascii="宋体" w:hAnsi="宋体" w:cs="宋体"/>
                <w:color w:val="000000"/>
                <w:sz w:val="21"/>
                <w:szCs w:val="21"/>
                <w:lang w:bidi="ar"/>
              </w:rPr>
              <w:t>操作系统支持漏洞编号，每个漏洞独立编号，可直接使用CNVD或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c>
          <w:tcPr>
            <w:tcW w:w="872" w:type="pct"/>
            <w:noWrap w:val="0"/>
            <w:vAlign w:val="center"/>
          </w:tcPr>
          <w:p>
            <w:pPr>
              <w:pStyle w:val="4"/>
              <w:numPr>
                <w:ilvl w:val="0"/>
                <w:numId w:val="0"/>
              </w:numPr>
              <w:tabs>
                <w:tab w:val="left" w:pos="0"/>
              </w:tabs>
              <w:snapToGrid w:val="0"/>
              <w:spacing w:before="0" w:after="0" w:line="240" w:lineRule="auto"/>
              <w:jc w:val="center"/>
              <w:rPr>
                <w:rFonts w:hint="eastAsia" w:ascii="宋体" w:hAnsi="宋体" w:cs="宋体"/>
                <w:b w:val="0"/>
                <w:bCs w:val="0"/>
                <w:color w:val="000000"/>
                <w:kern w:val="0"/>
                <w:sz w:val="21"/>
                <w:szCs w:val="21"/>
              </w:rPr>
            </w:pPr>
            <w:r>
              <w:rPr>
                <w:rFonts w:hint="eastAsia" w:ascii="宋体" w:hAnsi="宋体" w:cs="宋体"/>
                <w:b w:val="0"/>
                <w:bCs w:val="0"/>
                <w:color w:val="000000"/>
                <w:sz w:val="21"/>
                <w:szCs w:val="21"/>
              </w:rPr>
              <w:t>是</w:t>
            </w:r>
          </w:p>
        </w:tc>
      </w:tr>
    </w:tbl>
    <w:p>
      <w:pPr>
        <w:pageBreakBefore w:val="0"/>
        <w:kinsoku/>
        <w:wordWrap/>
        <w:overflowPunct/>
        <w:topLinePunct w:val="0"/>
        <w:autoSpaceDE/>
        <w:autoSpaceDN/>
        <w:bidi w:val="0"/>
        <w:rPr>
          <w:rFonts w:hint="eastAsia"/>
          <w:sz w:val="21"/>
          <w:szCs w:val="21"/>
        </w:rPr>
      </w:pPr>
    </w:p>
    <w:p>
      <w:pPr>
        <w:pStyle w:val="5"/>
        <w:pageBreakBefore w:val="0"/>
        <w:numPr>
          <w:ilvl w:val="0"/>
          <w:numId w:val="0"/>
        </w:numPr>
        <w:kinsoku/>
        <w:wordWrap/>
        <w:overflowPunct/>
        <w:topLinePunct w:val="0"/>
        <w:autoSpaceDE/>
        <w:autoSpaceDN/>
        <w:bidi w:val="0"/>
        <w:spacing w:before="0" w:after="0" w:line="400" w:lineRule="exact"/>
        <w:ind w:left="238" w:leftChars="0"/>
        <w:rPr>
          <w:rFonts w:hint="eastAsia" w:ascii="宋体" w:hAnsi="宋体" w:eastAsia="宋体" w:cs="宋体"/>
          <w:bCs w:val="0"/>
          <w:sz w:val="21"/>
          <w:szCs w:val="21"/>
        </w:rPr>
      </w:pPr>
      <w:r>
        <w:rPr>
          <w:rFonts w:hint="eastAsia" w:ascii="宋体" w:hAnsi="宋体" w:eastAsia="宋体" w:cs="宋体"/>
          <w:bCs w:val="0"/>
          <w:sz w:val="21"/>
          <w:szCs w:val="21"/>
          <w:lang w:val="en-US" w:eastAsia="zh-CN"/>
        </w:rPr>
        <w:t>2、中间件软件技术要求</w:t>
      </w:r>
    </w:p>
    <w:tbl>
      <w:tblPr>
        <w:tblStyle w:val="8"/>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23"/>
        <w:gridCol w:w="1050"/>
        <w:gridCol w:w="1260"/>
        <w:gridCol w:w="4544"/>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tblHeader/>
          <w:jc w:val="center"/>
        </w:trPr>
        <w:tc>
          <w:tcPr>
            <w:tcW w:w="823" w:type="dxa"/>
            <w:noWrap w:val="0"/>
            <w:vAlign w:val="center"/>
          </w:tcPr>
          <w:p>
            <w:pPr>
              <w:widowControl/>
              <w:snapToGrid w:val="0"/>
              <w:jc w:val="center"/>
              <w:rPr>
                <w:rFonts w:hint="eastAsia" w:ascii="宋体" w:hAnsi="宋体" w:cs="宋体"/>
                <w:b/>
                <w:bCs/>
                <w:color w:val="000000"/>
                <w:sz w:val="21"/>
                <w:szCs w:val="21"/>
              </w:rPr>
            </w:pPr>
            <w:r>
              <w:rPr>
                <w:rFonts w:hint="eastAsia" w:ascii="宋体" w:hAnsi="宋体" w:cs="宋体"/>
                <w:b/>
                <w:bCs/>
                <w:color w:val="000000"/>
                <w:sz w:val="21"/>
                <w:szCs w:val="21"/>
              </w:rPr>
              <w:t>序号</w:t>
            </w:r>
          </w:p>
        </w:tc>
        <w:tc>
          <w:tcPr>
            <w:tcW w:w="1050" w:type="dxa"/>
            <w:noWrap w:val="0"/>
            <w:vAlign w:val="center"/>
          </w:tcPr>
          <w:p>
            <w:pPr>
              <w:widowControl/>
              <w:snapToGrid w:val="0"/>
              <w:jc w:val="center"/>
              <w:rPr>
                <w:rFonts w:hint="eastAsia" w:ascii="宋体" w:hAnsi="宋体" w:cs="宋体"/>
                <w:b/>
                <w:bCs/>
                <w:color w:val="000000"/>
                <w:sz w:val="21"/>
                <w:szCs w:val="21"/>
              </w:rPr>
            </w:pPr>
            <w:r>
              <w:rPr>
                <w:rFonts w:hint="eastAsia" w:ascii="宋体" w:hAnsi="宋体" w:cs="宋体"/>
                <w:b/>
                <w:bCs/>
                <w:color w:val="000000"/>
                <w:sz w:val="21"/>
                <w:szCs w:val="21"/>
              </w:rPr>
              <w:t>重要性</w:t>
            </w:r>
          </w:p>
        </w:tc>
        <w:tc>
          <w:tcPr>
            <w:tcW w:w="1260" w:type="dxa"/>
            <w:noWrap w:val="0"/>
            <w:vAlign w:val="center"/>
          </w:tcPr>
          <w:p>
            <w:pPr>
              <w:widowControl/>
              <w:snapToGrid w:val="0"/>
              <w:jc w:val="center"/>
              <w:rPr>
                <w:rFonts w:hint="eastAsia" w:ascii="宋体" w:hAnsi="宋体" w:cs="宋体"/>
                <w:b/>
                <w:bCs/>
                <w:color w:val="000000"/>
                <w:sz w:val="21"/>
                <w:szCs w:val="21"/>
              </w:rPr>
            </w:pPr>
            <w:r>
              <w:rPr>
                <w:rFonts w:hint="eastAsia" w:ascii="宋体" w:hAnsi="宋体" w:cs="宋体"/>
                <w:b/>
                <w:bCs/>
                <w:color w:val="000000"/>
                <w:sz w:val="21"/>
                <w:szCs w:val="21"/>
              </w:rPr>
              <w:t>指标项</w:t>
            </w:r>
          </w:p>
        </w:tc>
        <w:tc>
          <w:tcPr>
            <w:tcW w:w="4544" w:type="dxa"/>
            <w:noWrap w:val="0"/>
            <w:vAlign w:val="center"/>
          </w:tcPr>
          <w:p>
            <w:pPr>
              <w:widowControl/>
              <w:snapToGrid w:val="0"/>
              <w:jc w:val="center"/>
              <w:rPr>
                <w:rFonts w:hint="eastAsia" w:ascii="宋体" w:hAnsi="宋体" w:cs="宋体"/>
                <w:b/>
                <w:bCs/>
                <w:color w:val="000000"/>
                <w:sz w:val="21"/>
                <w:szCs w:val="21"/>
              </w:rPr>
            </w:pPr>
            <w:r>
              <w:rPr>
                <w:rFonts w:hint="eastAsia" w:ascii="宋体" w:hAnsi="宋体" w:cs="宋体"/>
                <w:b/>
                <w:bCs/>
                <w:color w:val="000000"/>
                <w:sz w:val="21"/>
                <w:szCs w:val="21"/>
              </w:rPr>
              <w:t>技术指标要求</w:t>
            </w:r>
          </w:p>
        </w:tc>
        <w:tc>
          <w:tcPr>
            <w:tcW w:w="1618" w:type="dxa"/>
            <w:noWrap w:val="0"/>
            <w:vAlign w:val="center"/>
          </w:tcPr>
          <w:p>
            <w:pPr>
              <w:widowControl/>
              <w:snapToGrid w:val="0"/>
              <w:jc w:val="center"/>
              <w:rPr>
                <w:rFonts w:hint="eastAsia" w:ascii="宋体" w:hAnsi="宋体" w:cs="宋体"/>
                <w:b/>
                <w:bCs/>
                <w:color w:val="000000"/>
                <w:sz w:val="21"/>
                <w:szCs w:val="21"/>
              </w:rPr>
            </w:pPr>
            <w:r>
              <w:rPr>
                <w:rFonts w:hint="eastAsia" w:ascii="宋体" w:hAnsi="宋体" w:cs="宋体"/>
                <w:b/>
                <w:bCs/>
                <w:color w:val="000000"/>
                <w:sz w:val="21"/>
                <w:szCs w:val="21"/>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noWrap w:val="0"/>
            <w:vAlign w:val="center"/>
          </w:tcPr>
          <w:p>
            <w:pPr>
              <w:widowControl/>
              <w:snapToGrid w:val="0"/>
              <w:jc w:val="center"/>
              <w:rPr>
                <w:rFonts w:hint="eastAsia" w:ascii="宋体" w:hAnsi="宋体" w:cs="宋体"/>
                <w:color w:val="000000"/>
                <w:sz w:val="21"/>
                <w:szCs w:val="21"/>
              </w:rPr>
            </w:pPr>
            <w:r>
              <w:rPr>
                <w:rFonts w:hint="eastAsia" w:ascii="宋体" w:hAnsi="宋体" w:cs="宋体"/>
                <w:color w:val="000000"/>
                <w:sz w:val="21"/>
                <w:szCs w:val="21"/>
              </w:rPr>
              <w:t>1</w:t>
            </w:r>
          </w:p>
        </w:tc>
        <w:tc>
          <w:tcPr>
            <w:tcW w:w="1050" w:type="dxa"/>
            <w:noWrap w:val="0"/>
            <w:vAlign w:val="center"/>
          </w:tcPr>
          <w:p>
            <w:pPr>
              <w:widowControl/>
              <w:snapToGrid w:val="0"/>
              <w:jc w:val="center"/>
              <w:rPr>
                <w:rFonts w:hint="eastAsia" w:ascii="宋体" w:hAnsi="宋体" w:cs="宋体"/>
                <w:color w:val="000000"/>
                <w:sz w:val="21"/>
                <w:szCs w:val="21"/>
              </w:rPr>
            </w:pPr>
            <w:r>
              <w:rPr>
                <w:rFonts w:hint="eastAsia" w:ascii="宋体" w:hAnsi="宋体" w:cs="宋体"/>
                <w:sz w:val="21"/>
                <w:szCs w:val="21"/>
              </w:rPr>
              <w:t>*</w:t>
            </w:r>
          </w:p>
        </w:tc>
        <w:tc>
          <w:tcPr>
            <w:tcW w:w="1260" w:type="dxa"/>
            <w:noWrap w:val="0"/>
            <w:vAlign w:val="center"/>
          </w:tcPr>
          <w:p>
            <w:pPr>
              <w:snapToGrid w:val="0"/>
              <w:rPr>
                <w:rFonts w:ascii="宋体" w:hAnsi="宋体" w:cs="宋体"/>
                <w:color w:val="000000"/>
                <w:sz w:val="21"/>
                <w:szCs w:val="21"/>
              </w:rPr>
            </w:pPr>
            <w:r>
              <w:rPr>
                <w:rFonts w:hint="eastAsia" w:ascii="宋体" w:hAnsi="宋体" w:cs="宋体"/>
                <w:color w:val="000000"/>
                <w:sz w:val="21"/>
                <w:szCs w:val="21"/>
              </w:rPr>
              <w:t>基础要求</w:t>
            </w:r>
          </w:p>
        </w:tc>
        <w:tc>
          <w:tcPr>
            <w:tcW w:w="4544" w:type="dxa"/>
            <w:noWrap w:val="0"/>
            <w:vAlign w:val="center"/>
          </w:tcPr>
          <w:p>
            <w:pPr>
              <w:widowControl/>
              <w:snapToGrid/>
              <w:spacing w:line="240" w:lineRule="auto"/>
              <w:rPr>
                <w:rFonts w:hint="eastAsia" w:ascii="宋体" w:hAnsi="宋体" w:cs="宋体"/>
                <w:color w:val="000000"/>
                <w:sz w:val="21"/>
                <w:szCs w:val="21"/>
              </w:rPr>
            </w:pPr>
            <w:r>
              <w:rPr>
                <w:rFonts w:hint="eastAsia" w:ascii="宋体" w:hAnsi="宋体" w:cs="宋体"/>
                <w:sz w:val="22"/>
                <w:szCs w:val="22"/>
              </w:rPr>
              <w:t>产品自主研发，具有自主知识产权</w:t>
            </w:r>
            <w:r>
              <w:rPr>
                <w:rFonts w:hint="eastAsia" w:ascii="宋体" w:hAnsi="宋体" w:cs="宋体"/>
                <w:color w:val="000000"/>
                <w:sz w:val="21"/>
                <w:szCs w:val="21"/>
              </w:rPr>
              <w:t>，提供相关证明材料。</w:t>
            </w:r>
          </w:p>
        </w:tc>
        <w:tc>
          <w:tcPr>
            <w:tcW w:w="1618" w:type="dxa"/>
            <w:noWrap w:val="0"/>
            <w:vAlign w:val="center"/>
          </w:tcPr>
          <w:p>
            <w:pPr>
              <w:widowControl/>
              <w:snapToGrid w:val="0"/>
              <w:jc w:val="center"/>
              <w:rPr>
                <w:rFonts w:hint="eastAsia" w:ascii="宋体" w:hAnsi="宋体" w:cs="宋体"/>
                <w:color w:val="000000"/>
                <w:sz w:val="21"/>
                <w:szCs w:val="21"/>
              </w:rPr>
            </w:pPr>
            <w:r>
              <w:rPr>
                <w:rFonts w:hint="eastAsia" w:ascii="宋体" w:hAnsi="宋体" w:cs="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sz w:val="21"/>
                <w:szCs w:val="21"/>
              </w:rPr>
            </w:pPr>
          </w:p>
        </w:tc>
        <w:tc>
          <w:tcPr>
            <w:tcW w:w="1260" w:type="dxa"/>
            <w:vMerge w:val="restart"/>
            <w:tcBorders>
              <w:top w:val="single" w:color="auto" w:sz="4" w:space="0"/>
              <w:left w:val="single" w:color="auto" w:sz="4" w:space="0"/>
              <w:right w:val="single" w:color="auto" w:sz="4" w:space="0"/>
            </w:tcBorders>
            <w:noWrap w:val="0"/>
            <w:vAlign w:val="center"/>
          </w:tcPr>
          <w:p>
            <w:pPr>
              <w:widowControl/>
              <w:snapToGrid w:val="0"/>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功能要求</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rPr>
                <w:rFonts w:hint="eastAsia" w:ascii="宋体" w:hAnsi="宋体" w:cs="宋体"/>
                <w:color w:val="000000"/>
                <w:sz w:val="21"/>
                <w:szCs w:val="21"/>
              </w:rPr>
            </w:pPr>
            <w:r>
              <w:rPr>
                <w:rFonts w:hint="eastAsia" w:ascii="宋体" w:hAnsi="宋体"/>
                <w:szCs w:val="21"/>
              </w:rPr>
              <w:t>具备Web容器、EJB容器、虚拟主机、应用服务器集群、身份验证、日志审计等功能。</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sz w:val="21"/>
                <w:szCs w:val="21"/>
              </w:rPr>
            </w:pPr>
          </w:p>
        </w:tc>
        <w:tc>
          <w:tcPr>
            <w:tcW w:w="1260" w:type="dxa"/>
            <w:vMerge w:val="continue"/>
            <w:tcBorders>
              <w:left w:val="single" w:color="auto" w:sz="4" w:space="0"/>
              <w:right w:val="single" w:color="auto" w:sz="4" w:space="0"/>
            </w:tcBorders>
            <w:noWrap w:val="0"/>
            <w:vAlign w:val="center"/>
          </w:tcPr>
          <w:p>
            <w:pPr>
              <w:widowControl/>
              <w:snapToGrid w:val="0"/>
              <w:rPr>
                <w:rFonts w:hint="eastAsia" w:ascii="宋体" w:hAnsi="宋体" w:cs="宋体"/>
                <w:color w:val="000000"/>
                <w:sz w:val="21"/>
                <w:szCs w:val="21"/>
              </w:rPr>
            </w:pP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rPr>
                <w:rFonts w:hint="eastAsia" w:ascii="宋体" w:hAnsi="宋体" w:cs="宋体"/>
                <w:color w:val="000000"/>
                <w:sz w:val="21"/>
                <w:szCs w:val="21"/>
              </w:rPr>
            </w:pPr>
            <w:r>
              <w:rPr>
                <w:rFonts w:hint="eastAsia" w:ascii="宋体" w:hAnsi="宋体"/>
                <w:szCs w:val="21"/>
              </w:rPr>
              <w:t>提供类库管理、集成环境管理、图形化监控、JVM配置、垃圾回收配置等工具，支持实例部署、数据库连接服务，可为业务系统提供运行环境。</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sz w:val="21"/>
                <w:szCs w:val="21"/>
              </w:rPr>
            </w:pPr>
          </w:p>
        </w:tc>
        <w:tc>
          <w:tcPr>
            <w:tcW w:w="1260" w:type="dxa"/>
            <w:vMerge w:val="continue"/>
            <w:tcBorders>
              <w:left w:val="single" w:color="auto" w:sz="4" w:space="0"/>
              <w:right w:val="single" w:color="auto" w:sz="4" w:space="0"/>
            </w:tcBorders>
            <w:noWrap w:val="0"/>
            <w:vAlign w:val="center"/>
          </w:tcPr>
          <w:p>
            <w:pPr>
              <w:widowControl/>
              <w:snapToGrid w:val="0"/>
              <w:rPr>
                <w:rFonts w:hint="eastAsia" w:ascii="宋体" w:hAnsi="宋体" w:cs="宋体"/>
                <w:color w:val="000000"/>
                <w:sz w:val="21"/>
                <w:szCs w:val="21"/>
              </w:rPr>
            </w:pP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rPr>
                <w:rFonts w:hint="eastAsia" w:ascii="宋体" w:hAnsi="宋体" w:cs="宋体"/>
                <w:color w:val="000000"/>
                <w:sz w:val="21"/>
                <w:szCs w:val="21"/>
              </w:rPr>
            </w:pPr>
            <w:r>
              <w:rPr>
                <w:rFonts w:hint="eastAsia" w:ascii="宋体" w:hAnsi="宋体" w:cs="宋体"/>
                <w:sz w:val="22"/>
                <w:szCs w:val="22"/>
              </w:rPr>
              <w:t>支持集群部署，提供集中管理工具。</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sz w:val="21"/>
                <w:szCs w:val="21"/>
              </w:rPr>
            </w:pPr>
          </w:p>
        </w:tc>
        <w:tc>
          <w:tcPr>
            <w:tcW w:w="1260" w:type="dxa"/>
            <w:vMerge w:val="continue"/>
            <w:tcBorders>
              <w:left w:val="single" w:color="auto" w:sz="4" w:space="0"/>
              <w:right w:val="single" w:color="auto" w:sz="4" w:space="0"/>
            </w:tcBorders>
            <w:noWrap w:val="0"/>
            <w:vAlign w:val="center"/>
          </w:tcPr>
          <w:p>
            <w:pPr>
              <w:widowControl/>
              <w:snapToGrid w:val="0"/>
              <w:rPr>
                <w:rFonts w:hint="eastAsia" w:ascii="宋体" w:hAnsi="宋体" w:cs="宋体"/>
                <w:color w:val="000000"/>
                <w:sz w:val="21"/>
                <w:szCs w:val="21"/>
              </w:rPr>
            </w:pP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rPr>
                <w:rFonts w:hint="eastAsia" w:ascii="宋体" w:hAnsi="宋体" w:cs="宋体"/>
                <w:color w:val="000000"/>
                <w:sz w:val="21"/>
                <w:szCs w:val="21"/>
              </w:rPr>
            </w:pPr>
            <w:r>
              <w:rPr>
                <w:rFonts w:hint="eastAsia" w:ascii="宋体" w:hAnsi="宋体" w:cs="宋体"/>
                <w:sz w:val="22"/>
                <w:szCs w:val="22"/>
              </w:rPr>
              <w:t>具备标准的B/S模式管理控制台，可对远程的应用服务器环境进行应用部署、管理维护和监控。</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sz w:val="21"/>
                <w:szCs w:val="21"/>
              </w:rPr>
            </w:pPr>
          </w:p>
        </w:tc>
        <w:tc>
          <w:tcPr>
            <w:tcW w:w="1260" w:type="dxa"/>
            <w:vMerge w:val="continue"/>
            <w:tcBorders>
              <w:left w:val="single" w:color="auto" w:sz="4" w:space="0"/>
              <w:right w:val="single" w:color="auto" w:sz="4" w:space="0"/>
            </w:tcBorders>
            <w:noWrap w:val="0"/>
            <w:vAlign w:val="center"/>
          </w:tcPr>
          <w:p>
            <w:pPr>
              <w:widowControl/>
              <w:snapToGrid w:val="0"/>
              <w:rPr>
                <w:rFonts w:hint="eastAsia" w:ascii="宋体" w:hAnsi="宋体" w:cs="宋体"/>
                <w:color w:val="000000"/>
                <w:sz w:val="21"/>
                <w:szCs w:val="21"/>
              </w:rPr>
            </w:pP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rPr>
                <w:rFonts w:hint="eastAsia" w:ascii="宋体" w:hAnsi="宋体" w:cs="宋体"/>
                <w:color w:val="000000"/>
                <w:sz w:val="21"/>
                <w:szCs w:val="21"/>
              </w:rPr>
            </w:pPr>
            <w:r>
              <w:rPr>
                <w:rFonts w:hint="eastAsia" w:ascii="宋体" w:hAnsi="宋体" w:cs="宋体"/>
                <w:sz w:val="22"/>
                <w:szCs w:val="22"/>
              </w:rPr>
              <w:t>产品应具备良好的生态环境适应能力，支持</w:t>
            </w:r>
            <w:r>
              <w:rPr>
                <w:rFonts w:hint="eastAsia" w:ascii="宋体" w:hAnsi="宋体" w:cs="宋体"/>
                <w:sz w:val="22"/>
                <w:szCs w:val="22"/>
                <w:lang w:eastAsia="zh-CN"/>
              </w:rPr>
              <w:t>各类型</w:t>
            </w:r>
            <w:r>
              <w:rPr>
                <w:rFonts w:hint="eastAsia" w:ascii="宋体" w:hAnsi="宋体" w:cs="宋体"/>
                <w:sz w:val="22"/>
                <w:szCs w:val="22"/>
              </w:rPr>
              <w:t>芯片、操作系统及数据库</w:t>
            </w:r>
            <w:r>
              <w:rPr>
                <w:rFonts w:ascii="宋体" w:hAnsi="宋体" w:cs="宋体"/>
                <w:sz w:val="22"/>
                <w:szCs w:val="22"/>
              </w:rPr>
              <w:t>。</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7</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sz w:val="21"/>
                <w:szCs w:val="21"/>
              </w:rPr>
            </w:pPr>
          </w:p>
        </w:tc>
        <w:tc>
          <w:tcPr>
            <w:tcW w:w="1260" w:type="dxa"/>
            <w:vMerge w:val="continue"/>
            <w:tcBorders>
              <w:left w:val="single" w:color="auto" w:sz="4" w:space="0"/>
              <w:bottom w:val="single" w:color="auto" w:sz="4" w:space="0"/>
              <w:right w:val="single" w:color="auto" w:sz="4" w:space="0"/>
            </w:tcBorders>
            <w:noWrap w:val="0"/>
            <w:vAlign w:val="center"/>
          </w:tcPr>
          <w:p>
            <w:pPr>
              <w:widowControl/>
              <w:snapToGrid w:val="0"/>
              <w:rPr>
                <w:rFonts w:hint="eastAsia" w:ascii="宋体" w:hAnsi="宋体" w:cs="宋体"/>
                <w:color w:val="000000"/>
                <w:sz w:val="21"/>
                <w:szCs w:val="21"/>
              </w:rPr>
            </w:pP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240" w:lineRule="auto"/>
              <w:rPr>
                <w:rFonts w:hint="eastAsia" w:ascii="宋体" w:hAnsi="宋体" w:cs="宋体"/>
                <w:color w:val="000000"/>
                <w:sz w:val="21"/>
                <w:szCs w:val="21"/>
              </w:rPr>
            </w:pPr>
            <w:r>
              <w:rPr>
                <w:rFonts w:hint="eastAsia" w:ascii="宋体" w:hAnsi="宋体" w:cs="宋体"/>
                <w:color w:val="000000"/>
                <w:kern w:val="0"/>
                <w:szCs w:val="21"/>
              </w:rPr>
              <w:t>支持与Eclipse、IDEA等开发工具协同工作，实现应用的开发、调试、部署等操作。</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color w:val="000000"/>
                <w:sz w:val="21"/>
                <w:szCs w:val="21"/>
              </w:rPr>
            </w:pPr>
          </w:p>
        </w:tc>
      </w:tr>
    </w:tbl>
    <w:p>
      <w:pPr>
        <w:pStyle w:val="5"/>
        <w:pageBreakBefore w:val="0"/>
        <w:numPr>
          <w:ilvl w:val="0"/>
          <w:numId w:val="3"/>
        </w:numPr>
        <w:kinsoku/>
        <w:wordWrap/>
        <w:overflowPunct/>
        <w:topLinePunct w:val="0"/>
        <w:autoSpaceDE/>
        <w:autoSpaceDN/>
        <w:bidi w:val="0"/>
        <w:spacing w:before="0" w:after="0" w:line="400" w:lineRule="exact"/>
        <w:ind w:left="238" w:leftChars="0"/>
        <w:rPr>
          <w:rFonts w:hint="eastAsia" w:ascii="宋体" w:hAnsi="宋体" w:eastAsia="宋体" w:cs="宋体"/>
          <w:bCs w:val="0"/>
          <w:sz w:val="21"/>
          <w:szCs w:val="21"/>
          <w:lang w:val="en-US" w:eastAsia="zh-CN"/>
        </w:rPr>
      </w:pPr>
      <w:r>
        <w:rPr>
          <w:rFonts w:hint="eastAsia" w:ascii="宋体" w:hAnsi="宋体" w:eastAsia="宋体" w:cs="宋体"/>
          <w:bCs w:val="0"/>
          <w:sz w:val="21"/>
          <w:szCs w:val="21"/>
          <w:lang w:val="en-US" w:eastAsia="zh-CN"/>
        </w:rPr>
        <w:t>集中式数据库软件技术要求</w:t>
      </w:r>
    </w:p>
    <w:tbl>
      <w:tblPr>
        <w:tblStyle w:val="8"/>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23"/>
        <w:gridCol w:w="1050"/>
        <w:gridCol w:w="1260"/>
        <w:gridCol w:w="4544"/>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tblHeader/>
          <w:jc w:val="center"/>
        </w:trPr>
        <w:tc>
          <w:tcPr>
            <w:tcW w:w="823" w:type="dxa"/>
            <w:noWrap w:val="0"/>
            <w:vAlign w:val="center"/>
          </w:tcPr>
          <w:p>
            <w:pPr>
              <w:widowControl/>
              <w:snapToGrid w:val="0"/>
              <w:jc w:val="center"/>
              <w:textAlignment w:val="center"/>
              <w:rPr>
                <w:rFonts w:hint="eastAsia" w:ascii="宋体" w:hAnsi="宋体" w:cs="宋体"/>
                <w:b/>
                <w:bCs/>
                <w:color w:val="000000"/>
                <w:sz w:val="21"/>
                <w:szCs w:val="21"/>
              </w:rPr>
            </w:pPr>
            <w:r>
              <w:rPr>
                <w:rFonts w:hint="eastAsia" w:ascii="宋体" w:hAnsi="宋体" w:cs="宋体"/>
                <w:b/>
                <w:bCs/>
                <w:color w:val="000000"/>
                <w:sz w:val="21"/>
                <w:szCs w:val="21"/>
                <w:lang w:bidi="ar"/>
              </w:rPr>
              <w:t>序号</w:t>
            </w:r>
          </w:p>
        </w:tc>
        <w:tc>
          <w:tcPr>
            <w:tcW w:w="1050" w:type="dxa"/>
            <w:noWrap w:val="0"/>
            <w:vAlign w:val="center"/>
          </w:tcPr>
          <w:p>
            <w:pPr>
              <w:widowControl/>
              <w:snapToGrid w:val="0"/>
              <w:jc w:val="center"/>
              <w:textAlignment w:val="center"/>
              <w:rPr>
                <w:rFonts w:hint="eastAsia" w:ascii="宋体" w:hAnsi="宋体" w:cs="宋体"/>
                <w:b/>
                <w:bCs/>
                <w:color w:val="000000"/>
                <w:sz w:val="21"/>
                <w:szCs w:val="21"/>
              </w:rPr>
            </w:pPr>
            <w:r>
              <w:rPr>
                <w:rFonts w:hint="eastAsia" w:ascii="宋体" w:hAnsi="宋体" w:cs="宋体"/>
                <w:b/>
                <w:bCs/>
                <w:color w:val="000000"/>
                <w:sz w:val="21"/>
                <w:szCs w:val="21"/>
                <w:lang w:bidi="ar"/>
              </w:rPr>
              <w:t>重要程度</w:t>
            </w:r>
          </w:p>
        </w:tc>
        <w:tc>
          <w:tcPr>
            <w:tcW w:w="1260" w:type="dxa"/>
            <w:noWrap w:val="0"/>
            <w:vAlign w:val="center"/>
          </w:tcPr>
          <w:p>
            <w:pPr>
              <w:widowControl/>
              <w:snapToGrid w:val="0"/>
              <w:jc w:val="center"/>
              <w:textAlignment w:val="center"/>
              <w:rPr>
                <w:rFonts w:hint="eastAsia" w:ascii="宋体" w:hAnsi="宋体" w:cs="宋体"/>
                <w:b/>
                <w:bCs/>
                <w:color w:val="000000"/>
                <w:sz w:val="21"/>
                <w:szCs w:val="21"/>
              </w:rPr>
            </w:pPr>
            <w:r>
              <w:rPr>
                <w:rFonts w:hint="eastAsia" w:ascii="宋体" w:hAnsi="宋体" w:cs="宋体"/>
                <w:b/>
                <w:bCs/>
                <w:color w:val="000000"/>
                <w:sz w:val="21"/>
                <w:szCs w:val="21"/>
                <w:lang w:bidi="ar"/>
              </w:rPr>
              <w:t>指标名称</w:t>
            </w:r>
          </w:p>
        </w:tc>
        <w:tc>
          <w:tcPr>
            <w:tcW w:w="4544" w:type="dxa"/>
            <w:noWrap w:val="0"/>
            <w:vAlign w:val="center"/>
          </w:tcPr>
          <w:p>
            <w:pPr>
              <w:widowControl/>
              <w:snapToGrid w:val="0"/>
              <w:jc w:val="center"/>
              <w:textAlignment w:val="center"/>
              <w:rPr>
                <w:rFonts w:hint="eastAsia" w:ascii="宋体" w:hAnsi="宋体" w:cs="宋体"/>
                <w:b/>
                <w:bCs/>
                <w:color w:val="000000"/>
                <w:sz w:val="21"/>
                <w:szCs w:val="21"/>
              </w:rPr>
            </w:pPr>
            <w:r>
              <w:rPr>
                <w:rFonts w:hint="eastAsia" w:ascii="宋体" w:hAnsi="宋体" w:cs="宋体"/>
                <w:b/>
                <w:bCs/>
                <w:color w:val="000000"/>
                <w:sz w:val="21"/>
                <w:szCs w:val="21"/>
                <w:lang w:bidi="ar"/>
              </w:rPr>
              <w:t>指标要求</w:t>
            </w:r>
          </w:p>
        </w:tc>
        <w:tc>
          <w:tcPr>
            <w:tcW w:w="1618" w:type="dxa"/>
            <w:noWrap w:val="0"/>
            <w:vAlign w:val="center"/>
          </w:tcPr>
          <w:p>
            <w:pPr>
              <w:widowControl/>
              <w:snapToGrid w:val="0"/>
              <w:jc w:val="center"/>
              <w:textAlignment w:val="center"/>
              <w:rPr>
                <w:rFonts w:hint="eastAsia" w:ascii="宋体" w:hAnsi="宋体" w:cs="宋体"/>
                <w:b/>
                <w:bCs/>
                <w:color w:val="000000"/>
                <w:sz w:val="21"/>
                <w:szCs w:val="21"/>
              </w:rPr>
            </w:pPr>
            <w:r>
              <w:rPr>
                <w:rFonts w:hint="eastAsia" w:ascii="宋体" w:hAnsi="宋体" w:cs="宋体"/>
                <w:b/>
                <w:bCs/>
                <w:color w:val="000000"/>
                <w:sz w:val="21"/>
                <w:szCs w:val="21"/>
                <w:lang w:bidi="ar"/>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noWrap w:val="0"/>
            <w:vAlign w:val="center"/>
          </w:tcPr>
          <w:p>
            <w:pPr>
              <w:widowControl/>
              <w:snapToGrid w:val="0"/>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w:t>
            </w:r>
          </w:p>
        </w:tc>
        <w:tc>
          <w:tcPr>
            <w:tcW w:w="1050" w:type="dxa"/>
            <w:noWrap w:val="0"/>
            <w:vAlign w:val="center"/>
          </w:tcPr>
          <w:p>
            <w:pPr>
              <w:widowControl/>
              <w:snapToGrid w:val="0"/>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w:t>
            </w:r>
          </w:p>
        </w:tc>
        <w:tc>
          <w:tcPr>
            <w:tcW w:w="1260" w:type="dxa"/>
            <w:noWrap w:val="0"/>
            <w:vAlign w:val="center"/>
          </w:tcPr>
          <w:p>
            <w:pPr>
              <w:widowControl/>
              <w:snapToGrid w:val="0"/>
              <w:textAlignment w:val="center"/>
              <w:rPr>
                <w:rFonts w:ascii="宋体" w:hAnsi="宋体" w:cs="宋体"/>
                <w:color w:val="000000"/>
                <w:sz w:val="21"/>
                <w:szCs w:val="21"/>
              </w:rPr>
            </w:pPr>
            <w:r>
              <w:rPr>
                <w:rFonts w:hint="eastAsia" w:ascii="宋体" w:hAnsi="宋体" w:cs="宋体"/>
                <w:color w:val="000000"/>
                <w:sz w:val="21"/>
                <w:szCs w:val="21"/>
                <w:lang w:bidi="ar"/>
              </w:rPr>
              <w:t>生态兼容</w:t>
            </w:r>
          </w:p>
        </w:tc>
        <w:tc>
          <w:tcPr>
            <w:tcW w:w="4544" w:type="dxa"/>
            <w:noWrap w:val="0"/>
            <w:vAlign w:val="center"/>
          </w:tcPr>
          <w:p>
            <w:pPr>
              <w:widowControl/>
              <w:snapToGrid w:val="0"/>
              <w:textAlignment w:val="center"/>
              <w:rPr>
                <w:rFonts w:hint="eastAsia" w:ascii="宋体" w:hAnsi="宋体" w:cs="宋体"/>
                <w:color w:val="000000"/>
                <w:sz w:val="21"/>
                <w:szCs w:val="21"/>
              </w:rPr>
            </w:pPr>
            <w:r>
              <w:rPr>
                <w:rFonts w:hint="eastAsia" w:ascii="宋体" w:hAnsi="宋体" w:cs="宋体"/>
                <w:color w:val="000000"/>
                <w:sz w:val="21"/>
                <w:szCs w:val="21"/>
              </w:rPr>
              <w:t>产品应具备良好的生态环境适应能力，支持多种操作系统；支持多种中间件软件，并提供兼容性证明材料。</w:t>
            </w:r>
          </w:p>
        </w:tc>
        <w:tc>
          <w:tcPr>
            <w:tcW w:w="1618" w:type="dxa"/>
            <w:noWrap w:val="0"/>
            <w:vAlign w:val="center"/>
          </w:tcPr>
          <w:p>
            <w:pPr>
              <w:widowControl/>
              <w:snapToGrid w:val="0"/>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bidi="ar"/>
              </w:rPr>
              <w:t>2</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sz w:val="21"/>
                <w:szCs w:val="21"/>
              </w:rPr>
            </w:pPr>
            <w:r>
              <w:rPr>
                <w:rFonts w:hint="eastAsia" w:ascii="宋体" w:hAnsi="宋体" w:cs="宋体"/>
                <w:color w:val="000000"/>
                <w:sz w:val="21"/>
                <w:szCs w:val="21"/>
                <w:lang w:bidi="ar"/>
              </w:rPr>
              <w:t>*</w:t>
            </w:r>
          </w:p>
        </w:tc>
        <w:tc>
          <w:tcPr>
            <w:tcW w:w="1260" w:type="dxa"/>
            <w:tcBorders>
              <w:top w:val="single" w:color="auto" w:sz="4" w:space="0"/>
              <w:left w:val="single" w:color="auto" w:sz="4" w:space="0"/>
              <w:right w:val="single" w:color="auto" w:sz="4" w:space="0"/>
            </w:tcBorders>
            <w:noWrap w:val="0"/>
            <w:vAlign w:val="center"/>
          </w:tcPr>
          <w:p>
            <w:pPr>
              <w:widowControl/>
              <w:snapToGrid w:val="0"/>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bidi="ar"/>
              </w:rPr>
              <w:t>数据库性能</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rPr>
            </w:pPr>
            <w:r>
              <w:rPr>
                <w:rFonts w:hint="eastAsia" w:ascii="宋体" w:hAnsi="宋体" w:cs="宋体"/>
                <w:color w:val="000000"/>
                <w:sz w:val="21"/>
                <w:szCs w:val="21"/>
                <w:lang w:bidi="ar"/>
              </w:rPr>
              <w:t>要求在2路处理器平台上TPCC测试中100仓数据量性能能达到150万tpmC以上，须提供</w:t>
            </w:r>
            <w:r>
              <w:rPr>
                <w:rFonts w:hint="eastAsia" w:ascii="宋体" w:hAnsi="宋体" w:cs="宋体"/>
                <w:color w:val="000000"/>
                <w:sz w:val="21"/>
                <w:szCs w:val="21"/>
              </w:rPr>
              <w:t>国家认可的认证（检测）机构出具的认证证书（检测报告）复印件</w:t>
            </w:r>
            <w:r>
              <w:rPr>
                <w:rFonts w:hint="eastAsia" w:ascii="宋体" w:hAnsi="宋体" w:cs="宋体"/>
                <w:color w:val="000000"/>
                <w:sz w:val="21"/>
                <w:szCs w:val="21"/>
                <w:lang w:bidi="ar"/>
              </w:rPr>
              <w:t>。</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bidi="ar"/>
              </w:rPr>
              <w:t>3</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sz w:val="21"/>
                <w:szCs w:val="21"/>
              </w:rPr>
            </w:pP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rPr>
            </w:pPr>
            <w:r>
              <w:rPr>
                <w:rFonts w:hint="eastAsia" w:ascii="宋体" w:hAnsi="宋体" w:cs="宋体"/>
                <w:color w:val="000000"/>
                <w:sz w:val="21"/>
                <w:szCs w:val="21"/>
                <w:lang w:bidi="ar"/>
              </w:rPr>
              <w:t>接口支持</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rPr>
            </w:pPr>
            <w:r>
              <w:rPr>
                <w:rFonts w:hint="eastAsia" w:ascii="宋体" w:hAnsi="宋体" w:cs="宋体"/>
                <w:color w:val="000000"/>
                <w:sz w:val="21"/>
                <w:szCs w:val="21"/>
                <w:lang w:bidi="ar"/>
              </w:rPr>
              <w:t>支持ANSI SQL-2003以上标准；支持JDBC/ODBC标准接口；支持PL/pgSQL等过程语言。</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bidi="ar"/>
              </w:rPr>
              <w:t>4</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both"/>
              <w:textAlignment w:val="center"/>
              <w:rPr>
                <w:rFonts w:hint="eastAsia" w:ascii="宋体" w:hAnsi="宋体" w:cs="宋体"/>
                <w:sz w:val="21"/>
                <w:szCs w:val="21"/>
              </w:rPr>
            </w:pP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rPr>
            </w:pPr>
            <w:r>
              <w:rPr>
                <w:rFonts w:hint="eastAsia" w:ascii="宋体" w:hAnsi="宋体" w:cs="宋体"/>
                <w:color w:val="000000"/>
                <w:sz w:val="21"/>
                <w:szCs w:val="21"/>
                <w:lang w:bidi="ar"/>
              </w:rPr>
              <w:t>备份恢复</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rPr>
            </w:pPr>
            <w:r>
              <w:rPr>
                <w:rFonts w:hint="eastAsia" w:ascii="宋体" w:hAnsi="宋体" w:cs="宋体"/>
                <w:color w:val="000000"/>
                <w:sz w:val="21"/>
                <w:szCs w:val="21"/>
                <w:lang w:bidi="ar"/>
              </w:rPr>
              <w:t>数据库支持备份恢复功能，支持逻辑备份、物理备份功能。逻辑备份支持按照多个级别的压缩比进行备份，支持按照指定字符集编码进行转储，支持按照指定条件转储指定部分的数据，支持加密、并行处理等功能。物理备份支持联机热备，支持全量备份、增量备份，并支持并行处理，支持按照多个级别的压缩比进行备份，支持进行备份集的合并，支持设置备份的留存策略，支持PITR指定时间点恢复。逻辑和物理备份均支持本地和远程备份。</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bidi="ar"/>
              </w:rPr>
              <w:t>5</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sz w:val="21"/>
                <w:szCs w:val="21"/>
              </w:rPr>
            </w:pP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rPr>
            </w:pPr>
            <w:r>
              <w:rPr>
                <w:rFonts w:hint="eastAsia" w:ascii="宋体" w:hAnsi="宋体" w:cs="宋体"/>
                <w:color w:val="000000"/>
                <w:sz w:val="21"/>
                <w:szCs w:val="21"/>
                <w:lang w:bidi="ar"/>
              </w:rPr>
              <w:t>高可用集群</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rPr>
            </w:pPr>
            <w:r>
              <w:rPr>
                <w:rFonts w:hint="eastAsia" w:ascii="宋体" w:hAnsi="宋体" w:cs="宋体"/>
                <w:color w:val="000000"/>
                <w:sz w:val="21"/>
                <w:szCs w:val="21"/>
                <w:lang w:bidi="ar"/>
              </w:rPr>
              <w:t>支持HA故障转移集群和主备同步技术，支持共享存储集群。</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支持读写分离以及故障转移功能，支持主从、一主多从、级联复制等架构，从库能设置延迟复制和优选提交复制。</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集群在确保RPO=0的前提下，可以实现RTO≤10s。</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bidi="ar"/>
              </w:rPr>
              <w:t>6</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sz w:val="21"/>
                <w:szCs w:val="21"/>
              </w:rPr>
            </w:pPr>
            <w:r>
              <w:rPr>
                <w:rFonts w:hint="eastAsia" w:ascii="宋体" w:hAnsi="宋体" w:cs="宋体"/>
                <w:color w:val="000000"/>
                <w:sz w:val="21"/>
                <w:szCs w:val="21"/>
                <w:lang w:bidi="ar"/>
              </w:rPr>
              <w:t>*</w:t>
            </w: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rPr>
            </w:pPr>
            <w:r>
              <w:rPr>
                <w:rFonts w:hint="eastAsia" w:ascii="宋体" w:hAnsi="宋体" w:cs="宋体"/>
                <w:color w:val="000000"/>
                <w:sz w:val="21"/>
                <w:szCs w:val="21"/>
                <w:lang w:bidi="ar"/>
              </w:rPr>
              <w:t>索引支持</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rPr>
            </w:pPr>
            <w:r>
              <w:rPr>
                <w:rFonts w:hint="eastAsia" w:ascii="宋体" w:hAnsi="宋体" w:cs="宋体"/>
                <w:color w:val="000000"/>
                <w:sz w:val="21"/>
                <w:szCs w:val="21"/>
                <w:lang w:bidi="ar"/>
              </w:rPr>
              <w:t>支持B-TREE索引、GIN倒排索引、Gist空间索引、UBtree等多种索引访问方式。支持中文的全文检索功能，能够支持like操作符的全文检索，中文全文检索功能不依赖中文词典(中文全文检索功能需提供操作截图）</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bidi="ar"/>
              </w:rPr>
              <w:t>7</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sz w:val="21"/>
                <w:szCs w:val="21"/>
              </w:rPr>
            </w:pPr>
            <w:r>
              <w:rPr>
                <w:rFonts w:hint="eastAsia" w:ascii="宋体" w:hAnsi="宋体" w:cs="宋体"/>
                <w:color w:val="000000"/>
                <w:sz w:val="21"/>
                <w:szCs w:val="21"/>
                <w:lang w:bidi="ar"/>
              </w:rPr>
              <w:t>*</w:t>
            </w: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rPr>
            </w:pPr>
            <w:r>
              <w:rPr>
                <w:rFonts w:hint="eastAsia" w:ascii="宋体" w:hAnsi="宋体" w:cs="宋体"/>
                <w:color w:val="000000"/>
                <w:sz w:val="21"/>
                <w:szCs w:val="21"/>
                <w:lang w:bidi="ar"/>
              </w:rPr>
              <w:t>数据库加密脱敏</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rPr>
            </w:pPr>
            <w:r>
              <w:rPr>
                <w:rFonts w:hint="eastAsia" w:ascii="宋体" w:hAnsi="宋体" w:eastAsia="宋体" w:cs="宋体"/>
                <w:i w:val="0"/>
                <w:iCs w:val="0"/>
                <w:caps w:val="0"/>
                <w:color w:val="000000"/>
                <w:spacing w:val="0"/>
                <w:sz w:val="21"/>
                <w:szCs w:val="21"/>
                <w:shd w:val="clear" w:color="auto" w:fill="auto"/>
                <w:lang w:bidi="ar"/>
              </w:rPr>
              <w:t>支持对敏感数据的动态脱敏功能，包括默认脱敏、随机脱敏、部分脱敏、邮件脱敏；支持日志加密；支持表空间、表级加密功能，支持SM4、RC4算法，支持单机和集群场景</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8</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w:t>
            </w: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数据库权限控制</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eastAsia="宋体" w:cs="宋体"/>
                <w:i w:val="0"/>
                <w:iCs w:val="0"/>
                <w:caps w:val="0"/>
                <w:color w:val="000000"/>
                <w:spacing w:val="0"/>
                <w:sz w:val="21"/>
                <w:szCs w:val="21"/>
                <w:shd w:val="clear" w:color="auto" w:fill="auto"/>
                <w:lang w:bidi="ar"/>
              </w:rPr>
            </w:pPr>
            <w:r>
              <w:rPr>
                <w:rFonts w:hint="eastAsia" w:ascii="宋体" w:hAnsi="宋体" w:cs="宋体"/>
                <w:color w:val="000000"/>
                <w:sz w:val="21"/>
                <w:szCs w:val="21"/>
                <w:lang w:bidi="ar"/>
              </w:rPr>
              <w:t>支持自主访问控制、基于安全标签的强制访问控制、用户角色三权分立、审计、加密、身份识别与验证等安全功能。可以提供《IT 产品信息安全认证评估保障级EAL4增强级》证书。</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9</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空间数据支持</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eastAsia="宋体" w:cs="宋体"/>
                <w:i w:val="0"/>
                <w:iCs w:val="0"/>
                <w:caps w:val="0"/>
                <w:color w:val="000000"/>
                <w:spacing w:val="0"/>
                <w:sz w:val="21"/>
                <w:szCs w:val="21"/>
                <w:shd w:val="clear" w:color="auto" w:fill="auto"/>
                <w:lang w:bidi="ar"/>
              </w:rPr>
            </w:pPr>
            <w:r>
              <w:rPr>
                <w:rFonts w:hint="eastAsia" w:ascii="宋体" w:hAnsi="宋体" w:cs="宋体"/>
                <w:color w:val="000000"/>
                <w:sz w:val="21"/>
                <w:szCs w:val="21"/>
                <w:lang w:bidi="ar"/>
              </w:rPr>
              <w:t>支持空间数据功能，支持丰富的原生几何数据类型，包括点、线、面、多点、多线、多面、几何集合等；支持EWKT、EWKB和Canonical格式的几何对象；支持2D/3D坐标系、坐标系转换·和球体长度计算；支持空间数据分析函数和聚合函数，包括Area、Length、Distance、Extent、ST_3DLineInterpolatePoint等；支持二元谓词如Union和Difference，空间操作符如Contains、Within、Overlaps、Touches等；</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Oracle兼容性</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eastAsia="宋体" w:cs="宋体"/>
                <w:i w:val="0"/>
                <w:iCs w:val="0"/>
                <w:caps w:val="0"/>
                <w:color w:val="000000"/>
                <w:spacing w:val="0"/>
                <w:sz w:val="21"/>
                <w:szCs w:val="21"/>
                <w:shd w:val="clear" w:color="auto" w:fill="auto"/>
                <w:lang w:bidi="ar"/>
              </w:rPr>
            </w:pPr>
            <w:r>
              <w:rPr>
                <w:rFonts w:hint="eastAsia" w:ascii="宋体" w:hAnsi="宋体" w:cs="宋体"/>
                <w:color w:val="000000"/>
                <w:sz w:val="21"/>
                <w:szCs w:val="21"/>
                <w:lang w:bidi="ar"/>
              </w:rPr>
              <w:t>高度兼容Oracle，支持number、date、blob/clob、varchar2、NVARCHAR2(N)、bfile等数据类型，支持基于(+)操作符的表关联，层次查询connect by支持level伪列、支持connect by isleaf,order siblings by和connect by root；</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支持Package、支持plsql中嵌套表、循环数组；支持闪回删除表和数据的flashback ... to before drop/truncate语法;支持同义词和永久定义的全局临时表等功能，支持ORACLE数据库的常用数据字典、系统函数，存储过程、触发器支持自治事务功能；支持常用系统工具包，包括dbms_application_info、dbms_crypto、dbms_obfuscation_toolkit、dbms_porfiler、dbms_pipe、dbms_alert、dbms_debug、utl_smtp、utl_http、utl_url、dbms_xmldom、dbms_xmlparser等；（提供所有兼容项的操作证明截图）</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11</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w:t>
            </w: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MySQL兼容性</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eastAsia="宋体" w:cs="宋体"/>
                <w:i w:val="0"/>
                <w:iCs w:val="0"/>
                <w:caps w:val="0"/>
                <w:color w:val="000000"/>
                <w:spacing w:val="0"/>
                <w:sz w:val="21"/>
                <w:szCs w:val="21"/>
                <w:shd w:val="clear" w:color="auto" w:fill="auto"/>
                <w:lang w:bidi="ar"/>
              </w:rPr>
            </w:pPr>
            <w:r>
              <w:rPr>
                <w:rFonts w:hint="eastAsia" w:ascii="宋体" w:hAnsi="宋体" w:cs="宋体"/>
                <w:color w:val="000000"/>
                <w:sz w:val="21"/>
                <w:szCs w:val="21"/>
                <w:lang w:bidi="ar"/>
              </w:rPr>
              <w:t>支持utf8mb4编码字符集，需兼容MySQL常用数据类型包括Tinyint、Bit、Datetime、LONGTEXT、LONGBLOB等，支持表字段AUTO_INCREMENT属性、支持REPLACE INTO、SELECT INTO OUTFILE、DISTINCT列可使用非ORDER BY列、SELECT字段列表可以使用非GROUP BY列等语法；支持CURDATE、DATE_ADD、DATE_FORMAT、 DATE_SUB、EXTRACT、MAKEDATE、MONTH、QUARTER 、JSON_ARRAY、JSON_CONTAINS函数；支持#符号进行注释，支持存储过程中使用declare handler语句；支持通过参数设置表名大小写、字段名小大写是否敏感。</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12</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自治事务</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eastAsia="宋体" w:cs="宋体"/>
                <w:i w:val="0"/>
                <w:iCs w:val="0"/>
                <w:caps w:val="0"/>
                <w:color w:val="000000"/>
                <w:spacing w:val="0"/>
                <w:sz w:val="21"/>
                <w:szCs w:val="21"/>
                <w:shd w:val="clear" w:color="auto" w:fill="auto"/>
                <w:lang w:bidi="ar"/>
              </w:rPr>
            </w:pPr>
            <w:r>
              <w:rPr>
                <w:rFonts w:hint="eastAsia" w:ascii="宋体" w:hAnsi="宋体" w:cs="宋体"/>
                <w:color w:val="000000"/>
                <w:sz w:val="21"/>
                <w:szCs w:val="21"/>
                <w:lang w:bidi="ar"/>
              </w:rPr>
              <w:t>过程性语言支持自治事务，包括存储过程、自定义函数、触发器以及匿名块。存储过程支持自治事务的嵌套调用。</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13</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运维监控</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eastAsia="宋体" w:cs="宋体"/>
                <w:i w:val="0"/>
                <w:iCs w:val="0"/>
                <w:caps w:val="0"/>
                <w:color w:val="000000"/>
                <w:spacing w:val="0"/>
                <w:sz w:val="21"/>
                <w:szCs w:val="21"/>
                <w:shd w:val="clear" w:color="auto" w:fill="auto"/>
                <w:lang w:bidi="ar"/>
              </w:rPr>
            </w:pPr>
            <w:r>
              <w:rPr>
                <w:rFonts w:hint="eastAsia" w:ascii="宋体" w:hAnsi="宋体" w:cs="宋体"/>
                <w:color w:val="000000"/>
                <w:sz w:val="21"/>
                <w:szCs w:val="21"/>
                <w:lang w:bidi="ar"/>
              </w:rPr>
              <w:t>支持系统性能监控动态视图，TOP SQL信息、内存管理信息、事务信息、线程信息、操作历史等信息；</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14</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优化器</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eastAsia="宋体" w:cs="宋体"/>
                <w:i w:val="0"/>
                <w:iCs w:val="0"/>
                <w:caps w:val="0"/>
                <w:color w:val="000000"/>
                <w:spacing w:val="0"/>
                <w:sz w:val="21"/>
                <w:szCs w:val="21"/>
                <w:shd w:val="clear" w:color="auto" w:fill="auto"/>
                <w:lang w:bidi="ar"/>
              </w:rPr>
            </w:pPr>
            <w:r>
              <w:rPr>
                <w:rFonts w:hint="eastAsia" w:ascii="宋体" w:hAnsi="宋体" w:cs="宋体"/>
                <w:color w:val="000000"/>
                <w:sz w:val="21"/>
                <w:szCs w:val="21"/>
                <w:lang w:bidi="ar"/>
              </w:rPr>
              <w:t>支持基于成本的全局优化功能，实现基于成本的查询机制，能够选择合适的查询计划；数据库内核支持并行查询技术，且能够完全自动化启动并行查询，无需人工启动或干预；</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15</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w:t>
            </w: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迁移工具</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eastAsia="宋体" w:cs="宋体"/>
                <w:i w:val="0"/>
                <w:iCs w:val="0"/>
                <w:caps w:val="0"/>
                <w:color w:val="000000"/>
                <w:spacing w:val="0"/>
                <w:sz w:val="21"/>
                <w:szCs w:val="21"/>
                <w:shd w:val="clear" w:color="auto" w:fill="auto"/>
                <w:lang w:bidi="ar"/>
              </w:rPr>
            </w:pPr>
            <w:r>
              <w:rPr>
                <w:rFonts w:hint="eastAsia" w:ascii="宋体" w:hAnsi="宋体" w:cs="宋体"/>
                <w:color w:val="000000"/>
                <w:sz w:val="21"/>
                <w:szCs w:val="21"/>
                <w:lang w:bidi="ar"/>
              </w:rPr>
              <w:t>提供专业的迁移工具，支持B/S部署模式，允许设置不同的用户、角色，可多人同时登录执行迁移相关工作。迁移工具需具备评估、自动转换、迁移、数据校验等核心能力，至少支持Oracle、MySQL、SQL SERVER、DB2、JDBC、Kafka 作为数据源；支持对数据库结构信息、存储过程以及应用SQL进行兼容性评估分析，生成的评估报告，可预估迁移人工改造工作量、可以提供SQL语句的改造建议、支持通过扫描MyBatis的mapper文件进行兼容性评估；支持数据库对象DDL自动转换、包括存储过程和自定义函数的自动改写、编码转换、特殊字符自动处理等；迁移完毕后，可针对表验包括数据行数和数据内容的一致性；迁移工具需提供全图形化操作界面，在评估或迁移任务有进度条和百分比显示、提供图形界面设置单批次数据迁移抽取的行的数量、并行度、自定义迁移规则、集中批量的迁移规则定义为迁移模板；迁移工具需支持全量迁移、增量迁移。同时支持目标数据库到到源数据库的反向增量迁移；支持在线手工改写。</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16</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w:t>
            </w: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分区表</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eastAsia="宋体" w:cs="宋体"/>
                <w:i w:val="0"/>
                <w:iCs w:val="0"/>
                <w:caps w:val="0"/>
                <w:color w:val="000000"/>
                <w:spacing w:val="0"/>
                <w:sz w:val="21"/>
                <w:szCs w:val="21"/>
                <w:shd w:val="clear" w:color="auto" w:fill="auto"/>
                <w:lang w:bidi="ar"/>
              </w:rPr>
            </w:pPr>
            <w:r>
              <w:rPr>
                <w:rFonts w:hint="eastAsia" w:ascii="宋体" w:hAnsi="宋体" w:cs="宋体"/>
                <w:color w:val="000000"/>
                <w:sz w:val="21"/>
                <w:szCs w:val="21"/>
                <w:lang w:bidi="ar"/>
              </w:rPr>
              <w:t>支持创建表分区，包括range、list、hash、interval间隔多种分区方式，支持两级分区方式</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17</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w:t>
            </w: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存储引擎</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eastAsia="宋体" w:cs="宋体"/>
                <w:i w:val="0"/>
                <w:iCs w:val="0"/>
                <w:caps w:val="0"/>
                <w:color w:val="000000"/>
                <w:spacing w:val="0"/>
                <w:sz w:val="21"/>
                <w:szCs w:val="21"/>
                <w:shd w:val="clear" w:color="auto" w:fill="auto"/>
                <w:lang w:bidi="ar"/>
              </w:rPr>
            </w:pPr>
            <w:r>
              <w:rPr>
                <w:rFonts w:hint="eastAsia" w:ascii="宋体" w:hAnsi="宋体" w:cs="宋体"/>
                <w:color w:val="000000"/>
                <w:sz w:val="21"/>
                <w:szCs w:val="21"/>
                <w:lang w:bidi="ar"/>
              </w:rPr>
              <w:t>基于数据库内核本身，不通过插件或第三方如软件即可实现在同一数据库实例中，同时支持行存表和列存表，可通过查看表详情或内置视图明确该表属于行存还是列存形态。在同一个事务中，可分别对行存表和列存表进行增删改查操作，并且支持将行存表与列存表进行多表关联查询操作。(该功能需提供操作截图）</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18</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多版本并发控制</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eastAsia="宋体" w:cs="宋体"/>
                <w:i w:val="0"/>
                <w:iCs w:val="0"/>
                <w:caps w:val="0"/>
                <w:color w:val="000000"/>
                <w:spacing w:val="0"/>
                <w:sz w:val="21"/>
                <w:szCs w:val="21"/>
                <w:shd w:val="clear" w:color="auto" w:fill="auto"/>
                <w:lang w:bidi="ar"/>
              </w:rPr>
            </w:pPr>
            <w:r>
              <w:rPr>
                <w:rFonts w:hint="eastAsia" w:ascii="宋体" w:hAnsi="宋体" w:cs="宋体"/>
                <w:color w:val="000000"/>
                <w:sz w:val="21"/>
                <w:szCs w:val="21"/>
                <w:lang w:bidi="ar"/>
              </w:rPr>
              <w:t>可支持不止一种的多版本并发控制（MVCC）机制，同一行的数据记录经过事务的修改，新老数据记录根据所选的机制不同，可存放在表的同一页面中，或者新数据存在表数据页中、老数据存放在专用的回滚空间中. 多种MVCC机制可以更好的适应不同的业务场景。</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19</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数据压缩</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eastAsia="宋体" w:cs="宋体"/>
                <w:i w:val="0"/>
                <w:iCs w:val="0"/>
                <w:caps w:val="0"/>
                <w:color w:val="000000"/>
                <w:spacing w:val="0"/>
                <w:sz w:val="21"/>
                <w:szCs w:val="21"/>
                <w:shd w:val="clear" w:color="auto" w:fill="auto"/>
                <w:lang w:bidi="ar"/>
              </w:rPr>
            </w:pPr>
            <w:r>
              <w:rPr>
                <w:rFonts w:hint="eastAsia" w:ascii="宋体" w:hAnsi="宋体" w:cs="宋体"/>
                <w:color w:val="000000"/>
                <w:sz w:val="21"/>
                <w:szCs w:val="21"/>
                <w:lang w:bidi="ar"/>
              </w:rPr>
              <w:t>支持表压缩功能，能够分别支持行存表压缩和列存表压缩。</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color w:val="000000"/>
                <w:sz w:val="21"/>
                <w:szCs w:val="21"/>
                <w:lang w:bidi="ar"/>
              </w:rPr>
            </w:pPr>
            <w:r>
              <w:rPr>
                <w:rFonts w:hint="eastAsia" w:ascii="宋体" w:hAnsi="宋体" w:cs="宋体"/>
                <w:color w:val="000000"/>
                <w:sz w:val="21"/>
                <w:szCs w:val="21"/>
                <w:lang w:val="en-US" w:eastAsia="zh-CN"/>
              </w:rPr>
              <w:t>20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w:t>
            </w: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数据库稳定性</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eastAsia="宋体" w:cs="宋体"/>
                <w:i w:val="0"/>
                <w:iCs w:val="0"/>
                <w:caps w:val="0"/>
                <w:color w:val="000000"/>
                <w:spacing w:val="0"/>
                <w:sz w:val="21"/>
                <w:szCs w:val="21"/>
                <w:shd w:val="clear" w:color="auto" w:fill="auto"/>
                <w:lang w:bidi="ar"/>
              </w:rPr>
            </w:pPr>
            <w:r>
              <w:rPr>
                <w:rFonts w:hint="eastAsia" w:ascii="宋体" w:hAnsi="宋体" w:cs="宋体"/>
                <w:color w:val="000000"/>
                <w:sz w:val="21"/>
                <w:szCs w:val="21"/>
                <w:lang w:bidi="ar"/>
              </w:rPr>
              <w:t>TPC-C测试在数据库集群环境下7*24小时内无故障，运行成功率99.99%。</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color w:val="000000"/>
                <w:sz w:val="21"/>
                <w:szCs w:val="21"/>
                <w:lang w:bidi="ar"/>
              </w:rPr>
            </w:pPr>
            <w:r>
              <w:rPr>
                <w:rFonts w:hint="eastAsia" w:ascii="宋体" w:hAnsi="宋体" w:cs="宋体"/>
                <w:color w:val="000000"/>
                <w:sz w:val="21"/>
                <w:szCs w:val="21"/>
                <w:lang w:val="en-US" w:eastAsia="zh-CN"/>
              </w:rPr>
              <w:t>21</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数据库性能</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eastAsia="宋体" w:cs="宋体"/>
                <w:i w:val="0"/>
                <w:iCs w:val="0"/>
                <w:caps w:val="0"/>
                <w:color w:val="000000"/>
                <w:spacing w:val="0"/>
                <w:sz w:val="21"/>
                <w:szCs w:val="21"/>
                <w:shd w:val="clear" w:color="auto" w:fill="auto"/>
                <w:lang w:bidi="ar"/>
              </w:rPr>
            </w:pPr>
            <w:r>
              <w:rPr>
                <w:rFonts w:hint="eastAsia" w:ascii="宋体" w:hAnsi="宋体" w:cs="宋体"/>
                <w:color w:val="000000"/>
                <w:sz w:val="21"/>
                <w:szCs w:val="21"/>
                <w:lang w:bidi="ar"/>
              </w:rPr>
              <w:t>SQLbypass对于简单sql，跳过经典的执行器执行框架，并且直接调用存储接口，大大加速简单查询的执行速度</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color w:val="000000"/>
                <w:sz w:val="21"/>
                <w:szCs w:val="21"/>
                <w:lang w:bidi="ar"/>
              </w:rPr>
            </w:pPr>
            <w:r>
              <w:rPr>
                <w:rFonts w:hint="eastAsia" w:ascii="宋体" w:hAnsi="宋体" w:cs="宋体"/>
                <w:color w:val="000000"/>
                <w:sz w:val="21"/>
                <w:szCs w:val="21"/>
                <w:lang w:val="en-US" w:eastAsia="zh-CN"/>
              </w:rPr>
              <w:t>22</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数据库</w:t>
            </w:r>
            <w:r>
              <w:rPr>
                <w:rFonts w:hint="eastAsia" w:ascii="宋体" w:hAnsi="宋体" w:cs="宋体"/>
                <w:color w:val="000000"/>
                <w:sz w:val="21"/>
                <w:szCs w:val="21"/>
                <w:lang w:eastAsia="zh-CN" w:bidi="ar"/>
              </w:rPr>
              <w:t>审计</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eastAsia="宋体" w:cs="宋体"/>
                <w:i w:val="0"/>
                <w:iCs w:val="0"/>
                <w:caps w:val="0"/>
                <w:color w:val="000000"/>
                <w:spacing w:val="0"/>
                <w:sz w:val="21"/>
                <w:szCs w:val="21"/>
                <w:shd w:val="clear" w:color="auto" w:fill="auto"/>
                <w:lang w:bidi="ar"/>
              </w:rPr>
            </w:pPr>
            <w:r>
              <w:rPr>
                <w:rFonts w:hint="eastAsia" w:ascii="宋体" w:hAnsi="宋体" w:cs="宋体"/>
                <w:color w:val="000000"/>
                <w:sz w:val="21"/>
                <w:szCs w:val="21"/>
                <w:lang w:bidi="ar"/>
              </w:rPr>
              <w:t>能够记录用户操作记录，当用户创建防篡改用户表时，能够通过数据库本身来记录用户表中每条数据的变更行为。 支持查询用户表与其对应的历史表以及全局区块表中关于该表的记录是否一致。</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color w:val="000000"/>
                <w:sz w:val="21"/>
                <w:szCs w:val="21"/>
                <w:lang w:bidi="ar"/>
              </w:rPr>
            </w:pPr>
            <w:r>
              <w:rPr>
                <w:rFonts w:hint="eastAsia" w:ascii="宋体" w:hAnsi="宋体" w:cs="宋体"/>
                <w:color w:val="000000"/>
                <w:sz w:val="21"/>
                <w:szCs w:val="21"/>
                <w:lang w:val="en-US" w:eastAsia="zh-CN"/>
              </w:rPr>
              <w:t>23</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w:t>
            </w:r>
          </w:p>
        </w:tc>
        <w:tc>
          <w:tcPr>
            <w:tcW w:w="1260" w:type="dxa"/>
            <w:tcBorders>
              <w:left w:val="single" w:color="auto" w:sz="4" w:space="0"/>
              <w:right w:val="single" w:color="auto" w:sz="4" w:space="0"/>
            </w:tcBorders>
            <w:noWrap w:val="0"/>
            <w:vAlign w:val="center"/>
          </w:tcPr>
          <w:p>
            <w:pPr>
              <w:widowControl/>
              <w:snapToGrid w:val="0"/>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坏块检查与修复</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宋体" w:hAnsi="宋体" w:eastAsia="宋体" w:cs="宋体"/>
                <w:i w:val="0"/>
                <w:iCs w:val="0"/>
                <w:caps w:val="0"/>
                <w:color w:val="000000"/>
                <w:spacing w:val="0"/>
                <w:sz w:val="21"/>
                <w:szCs w:val="21"/>
                <w:shd w:val="clear" w:color="auto" w:fill="auto"/>
                <w:lang w:bidi="ar"/>
              </w:rPr>
            </w:pPr>
            <w:r>
              <w:rPr>
                <w:rFonts w:hint="eastAsia" w:ascii="宋体" w:hAnsi="宋体" w:cs="宋体"/>
                <w:color w:val="000000"/>
                <w:sz w:val="21"/>
                <w:szCs w:val="21"/>
                <w:lang w:bidi="ar"/>
              </w:rPr>
              <w:t>数据库内核自带检测坏块函数，可以通过该内置函数发现丢失的文件，并可以修复。对于表文件损坏的页面，能够通过备库自动修复，不借助任何工具。</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w:t>
            </w:r>
          </w:p>
        </w:tc>
      </w:tr>
    </w:tbl>
    <w:p>
      <w:pPr>
        <w:numPr>
          <w:ilvl w:val="0"/>
          <w:numId w:val="0"/>
        </w:num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A50DC"/>
    <w:multiLevelType w:val="singleLevel"/>
    <w:tmpl w:val="D82A50DC"/>
    <w:lvl w:ilvl="0" w:tentative="0">
      <w:start w:val="3"/>
      <w:numFmt w:val="decimal"/>
      <w:suff w:val="nothing"/>
      <w:lvlText w:val="%1、"/>
      <w:lvlJc w:val="left"/>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8CA6243"/>
    <w:multiLevelType w:val="singleLevel"/>
    <w:tmpl w:val="38CA6243"/>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ZmVhZGE5ZjRiMDJkNWI0MTIyMWU2ZjI3YTA2Y2IifQ=="/>
  </w:docVars>
  <w:rsids>
    <w:rsidRoot w:val="00000000"/>
    <w:rsid w:val="01DD6548"/>
    <w:rsid w:val="0C692D9A"/>
    <w:rsid w:val="18B63A41"/>
    <w:rsid w:val="1C710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tLeast"/>
      <w:textAlignment w:val="baseline"/>
    </w:pPr>
    <w:rPr>
      <w:rFonts w:ascii="Times New Roman" w:hAnsi="Times New Roman" w:eastAsia="宋体" w:cs="Times New Roman"/>
      <w:sz w:val="24"/>
      <w:szCs w:val="22"/>
      <w:lang w:val="en-US" w:eastAsia="zh-CN" w:bidi="ar-SA"/>
    </w:rPr>
  </w:style>
  <w:style w:type="paragraph" w:styleId="4">
    <w:name w:val="heading 1"/>
    <w:basedOn w:val="1"/>
    <w:next w:val="1"/>
    <w:autoRedefine/>
    <w:qFormat/>
    <w:uiPriority w:val="0"/>
    <w:pPr>
      <w:keepNext/>
      <w:keepLines/>
      <w:numPr>
        <w:ilvl w:val="0"/>
        <w:numId w:val="1"/>
      </w:numPr>
      <w:spacing w:before="340" w:after="330" w:line="578" w:lineRule="atLeast"/>
      <w:ind w:left="0"/>
      <w:outlineLvl w:val="0"/>
    </w:pPr>
    <w:rPr>
      <w:b/>
      <w:bCs/>
      <w:kern w:val="44"/>
      <w:sz w:val="44"/>
      <w:szCs w:val="44"/>
    </w:rPr>
  </w:style>
  <w:style w:type="paragraph" w:styleId="5">
    <w:name w:val="heading 2"/>
    <w:basedOn w:val="1"/>
    <w:next w:val="1"/>
    <w:autoRedefine/>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480" w:lineRule="exact"/>
      <w:ind w:left="420" w:leftChars="200" w:firstLine="420" w:firstLineChars="200"/>
    </w:pPr>
    <w:rPr>
      <w:szCs w:val="20"/>
    </w:rPr>
  </w:style>
  <w:style w:type="paragraph" w:styleId="3">
    <w:name w:val="Body Text Indent"/>
    <w:basedOn w:val="1"/>
    <w:autoRedefine/>
    <w:qFormat/>
    <w:uiPriority w:val="99"/>
    <w:pPr>
      <w:ind w:firstLine="570"/>
    </w:pPr>
    <w:rPr>
      <w:sz w:val="28"/>
      <w:szCs w:val="28"/>
    </w:rPr>
  </w:style>
  <w:style w:type="paragraph" w:styleId="6">
    <w:name w:val="Body Text"/>
    <w:basedOn w:val="1"/>
    <w:next w:val="7"/>
    <w:autoRedefine/>
    <w:qFormat/>
    <w:uiPriority w:val="0"/>
    <w:pPr>
      <w:tabs>
        <w:tab w:val="left" w:pos="567"/>
      </w:tabs>
      <w:spacing w:before="120" w:line="22" w:lineRule="atLeast"/>
    </w:pPr>
    <w:rPr>
      <w:rFonts w:ascii="宋体" w:hAnsi="宋体"/>
      <w:sz w:val="24"/>
    </w:rPr>
  </w:style>
  <w:style w:type="paragraph" w:customStyle="1" w:styleId="7">
    <w:name w:val="目录 11"/>
    <w:next w:val="1"/>
    <w:autoRedefine/>
    <w:qFormat/>
    <w:uiPriority w:val="0"/>
    <w:pPr>
      <w:wordWrap w:val="0"/>
      <w:jc w:val="both"/>
    </w:pPr>
    <w:rPr>
      <w:rFonts w:ascii="Calibri" w:hAnsi="Calibri" w:eastAsia="宋体" w:cs="Calibri"/>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2023-12-06T06:34:00Z</dcterms:created>
  <dc:creator>user</dc:creator>
  <cp:lastModifiedBy>user</cp:lastModifiedBy>
  <dcterms:modified xsi:type="dcterms:W3CDTF">2023-12-15T08:53:22Z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B12C9B6E3E8448E2A61E7FF4A03791A4_12</vt:lpwstr>
  </property>
</Properties>
</file>