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72"/>
        </w:rPr>
      </w:pPr>
    </w:p>
    <w:p>
      <w:pPr>
        <w:jc w:val="center"/>
        <w:rPr>
          <w:rFonts w:hint="eastAsia" w:ascii="宋体" w:hAnsi="宋体"/>
          <w:b/>
          <w:bCs/>
          <w:sz w:val="72"/>
        </w:rPr>
      </w:pPr>
      <w:r>
        <w:rPr>
          <w:rFonts w:hint="eastAsia" w:ascii="宋体" w:hAnsi="宋体"/>
          <w:b/>
          <w:bCs/>
          <w:sz w:val="72"/>
        </w:rPr>
        <w:t>北京市昌平区政府采购</w:t>
      </w:r>
    </w:p>
    <w:p>
      <w:pPr>
        <w:jc w:val="center"/>
        <w:rPr>
          <w:rFonts w:hint="eastAsia" w:ascii="宋体" w:hAnsi="宋体"/>
          <w:b/>
          <w:bCs/>
          <w:kern w:val="0"/>
          <w:sz w:val="72"/>
        </w:rPr>
      </w:pPr>
      <w:r>
        <w:rPr>
          <w:rFonts w:hint="eastAsia" w:ascii="宋体" w:hAnsi="宋体"/>
          <w:b/>
          <w:bCs/>
          <w:kern w:val="0"/>
          <w:sz w:val="72"/>
        </w:rPr>
        <w:t>招 标 文 件</w:t>
      </w:r>
    </w:p>
    <w:p>
      <w:pPr>
        <w:jc w:val="center"/>
        <w:rPr>
          <w:b/>
          <w:bCs/>
          <w:sz w:val="60"/>
          <w:szCs w:val="60"/>
        </w:rPr>
      </w:pPr>
    </w:p>
    <w:p>
      <w:pPr>
        <w:jc w:val="center"/>
        <w:rPr>
          <w:b/>
          <w:bCs/>
          <w:sz w:val="60"/>
          <w:szCs w:val="60"/>
        </w:rPr>
      </w:pPr>
    </w:p>
    <w:p>
      <w:pPr>
        <w:spacing w:line="360" w:lineRule="auto"/>
        <w:jc w:val="center"/>
        <w:rPr>
          <w:sz w:val="60"/>
          <w:szCs w:val="60"/>
        </w:rPr>
      </w:pPr>
    </w:p>
    <w:p>
      <w:pPr>
        <w:pStyle w:val="4"/>
        <w:keepNext w:val="0"/>
        <w:keepLines w:val="0"/>
        <w:widowControl/>
        <w:suppressLineNumbers w:val="0"/>
        <w:shd w:val="clear" w:color="auto" w:fill="FFFFFF"/>
        <w:spacing w:before="0" w:beforeAutospacing="0" w:after="240" w:afterAutospacing="0"/>
        <w:ind w:left="1800" w:hanging="1807" w:hangingChars="500"/>
        <w:rPr>
          <w:bCs/>
          <w:sz w:val="36"/>
          <w:szCs w:val="36"/>
        </w:rPr>
      </w:pPr>
      <w:r>
        <w:rPr>
          <w:bCs/>
          <w:sz w:val="36"/>
          <w:szCs w:val="36"/>
        </w:rPr>
        <w:t>项目名称：</w:t>
      </w:r>
      <w:r>
        <w:rPr>
          <w:rFonts w:hint="default"/>
          <w:bCs/>
          <w:sz w:val="36"/>
          <w:szCs w:val="36"/>
        </w:rPr>
        <w:t>大运河白浮泉遗址运维保障项目--2024年物业管理服务</w:t>
      </w:r>
    </w:p>
    <w:p>
      <w:pPr>
        <w:tabs>
          <w:tab w:val="left" w:pos="3240"/>
          <w:tab w:val="left" w:pos="3420"/>
        </w:tabs>
        <w:spacing w:line="360" w:lineRule="auto"/>
        <w:jc w:val="left"/>
        <w:rPr>
          <w:rFonts w:hint="eastAsia" w:ascii="Times New Roman" w:hAnsi="Times New Roman" w:eastAsia="宋体" w:cs="Times New Roman"/>
          <w:b w:val="0"/>
          <w:bCs/>
          <w:kern w:val="2"/>
          <w:sz w:val="36"/>
          <w:szCs w:val="36"/>
          <w:lang w:val="en-US" w:eastAsia="zh-CN" w:bidi="ar-SA"/>
        </w:rPr>
      </w:pPr>
      <w:r>
        <w:rPr>
          <w:rFonts w:hint="eastAsia"/>
          <w:b/>
          <w:bCs w:val="0"/>
          <w:sz w:val="36"/>
          <w:szCs w:val="36"/>
          <w:lang w:val="en-US" w:eastAsia="zh-CN"/>
        </w:rPr>
        <w:t>项目编号：</w:t>
      </w:r>
      <w:r>
        <w:rPr>
          <w:rFonts w:hint="eastAsia"/>
          <w:b/>
          <w:bCs w:val="0"/>
          <w:sz w:val="36"/>
          <w:szCs w:val="36"/>
          <w:lang w:val="en-US" w:eastAsia="zh-CN"/>
        </w:rPr>
        <w:fldChar w:fldCharType="begin"/>
      </w:r>
      <w:r>
        <w:rPr>
          <w:rFonts w:hint="eastAsia"/>
          <w:b/>
          <w:bCs w:val="0"/>
          <w:sz w:val="36"/>
          <w:szCs w:val="36"/>
          <w:lang w:val="en-US" w:eastAsia="zh-CN"/>
        </w:rPr>
        <w:instrText xml:space="preserve"> HYPERLINK "http://219.232.204.193:8080/frontend/plan/project_detail.html?projectUuid=0c005224-0b2e-4592-a4b0-fbc94ce41976" </w:instrText>
      </w:r>
      <w:r>
        <w:rPr>
          <w:rFonts w:hint="eastAsia"/>
          <w:b/>
          <w:bCs w:val="0"/>
          <w:sz w:val="36"/>
          <w:szCs w:val="36"/>
          <w:lang w:val="en-US" w:eastAsia="zh-CN"/>
        </w:rPr>
        <w:fldChar w:fldCharType="separate"/>
      </w:r>
      <w:r>
        <w:rPr>
          <w:rFonts w:hint="eastAsia"/>
          <w:b/>
          <w:bCs w:val="0"/>
          <w:sz w:val="36"/>
          <w:szCs w:val="36"/>
          <w:lang w:val="en-US" w:eastAsia="zh-CN"/>
        </w:rPr>
        <w:t>11011424210200013242-XM001</w:t>
      </w:r>
      <w:r>
        <w:rPr>
          <w:rFonts w:hint="eastAsia"/>
          <w:b/>
          <w:bCs w:val="0"/>
          <w:sz w:val="36"/>
          <w:szCs w:val="36"/>
          <w:lang w:val="en-US" w:eastAsia="zh-CN"/>
        </w:rPr>
        <w:fldChar w:fldCharType="end"/>
      </w:r>
    </w:p>
    <w:p>
      <w:pPr>
        <w:pStyle w:val="2"/>
        <w:rPr>
          <w:rFonts w:hint="eastAsia"/>
          <w:bCs/>
          <w:color w:val="00B0F0"/>
          <w:sz w:val="36"/>
          <w:szCs w:val="36"/>
          <w:lang w:val="en-US" w:eastAsia="zh-CN"/>
        </w:rPr>
      </w:pPr>
    </w:p>
    <w:p>
      <w:pPr>
        <w:pStyle w:val="2"/>
        <w:rPr>
          <w:rFonts w:hint="eastAsia"/>
          <w:bCs/>
          <w:color w:val="00B0F0"/>
          <w:sz w:val="36"/>
          <w:szCs w:val="36"/>
          <w:lang w:val="en-US" w:eastAsia="zh-CN"/>
        </w:rPr>
      </w:pPr>
    </w:p>
    <w:p>
      <w:pPr>
        <w:pStyle w:val="2"/>
        <w:rPr>
          <w:rFonts w:hint="default"/>
          <w:bCs/>
          <w:color w:val="00B0F0"/>
          <w:sz w:val="36"/>
          <w:szCs w:val="36"/>
          <w:lang w:val="en-US" w:eastAsia="zh-CN"/>
        </w:rPr>
      </w:pPr>
    </w:p>
    <w:p>
      <w:pPr>
        <w:tabs>
          <w:tab w:val="left" w:pos="3240"/>
          <w:tab w:val="left" w:pos="3420"/>
        </w:tabs>
        <w:spacing w:line="360" w:lineRule="auto"/>
        <w:jc w:val="left"/>
        <w:rPr>
          <w:rFonts w:hint="eastAsia"/>
          <w:b/>
          <w:bCs w:val="0"/>
          <w:sz w:val="36"/>
          <w:szCs w:val="36"/>
          <w:lang w:val="en-US" w:eastAsia="zh-CN"/>
        </w:rPr>
      </w:pPr>
      <w:r>
        <w:rPr>
          <w:rFonts w:hint="eastAsia"/>
          <w:b/>
          <w:bCs w:val="0"/>
          <w:sz w:val="36"/>
          <w:szCs w:val="36"/>
          <w:lang w:val="en-US" w:eastAsia="zh-CN"/>
        </w:rPr>
        <w:t>采 购 人：</w:t>
      </w:r>
      <w:r>
        <w:rPr>
          <w:rFonts w:hint="eastAsia"/>
          <w:b w:val="0"/>
          <w:bCs/>
          <w:sz w:val="36"/>
          <w:szCs w:val="36"/>
          <w:lang w:val="en-US" w:eastAsia="zh-CN"/>
        </w:rPr>
        <w:t>北京市昌平区大运河白浮泉遗址管理服务中心</w:t>
      </w:r>
    </w:p>
    <w:p>
      <w:pPr>
        <w:tabs>
          <w:tab w:val="left" w:pos="3240"/>
          <w:tab w:val="left" w:pos="3420"/>
        </w:tabs>
        <w:spacing w:line="360" w:lineRule="auto"/>
        <w:jc w:val="left"/>
        <w:rPr>
          <w:bCs/>
          <w:sz w:val="36"/>
          <w:szCs w:val="36"/>
        </w:rPr>
      </w:pPr>
      <w:r>
        <w:rPr>
          <w:rFonts w:hint="eastAsia"/>
          <w:b/>
          <w:bCs w:val="0"/>
          <w:sz w:val="36"/>
          <w:szCs w:val="36"/>
          <w:lang w:eastAsia="zh-CN"/>
        </w:rPr>
        <w:t>集中采购机构</w:t>
      </w:r>
      <w:r>
        <w:rPr>
          <w:b/>
          <w:bCs w:val="0"/>
          <w:sz w:val="36"/>
          <w:szCs w:val="36"/>
        </w:rPr>
        <w:t>：</w:t>
      </w:r>
      <w:r>
        <w:rPr>
          <w:rFonts w:hint="eastAsia"/>
          <w:bCs/>
          <w:sz w:val="36"/>
          <w:szCs w:val="36"/>
        </w:rPr>
        <w:t>北京市昌平区</w:t>
      </w:r>
      <w:r>
        <w:rPr>
          <w:rFonts w:hint="eastAsia"/>
          <w:bCs/>
          <w:sz w:val="36"/>
          <w:szCs w:val="36"/>
          <w:lang w:eastAsia="zh-CN"/>
        </w:rPr>
        <w:t>政府采购中心</w:t>
      </w:r>
      <w:r>
        <w:rPr>
          <w:bCs/>
          <w:sz w:val="36"/>
          <w:szCs w:val="36"/>
        </w:rPr>
        <w:t xml:space="preserve"> </w:t>
      </w:r>
    </w:p>
    <w:p>
      <w:pPr>
        <w:widowControl/>
        <w:jc w:val="left"/>
        <w:rPr>
          <w:b/>
          <w:bCs/>
          <w:sz w:val="44"/>
        </w:rPr>
      </w:pPr>
      <w:r>
        <w:rPr>
          <w:b/>
          <w:bCs/>
          <w:sz w:val="44"/>
        </w:rPr>
        <w:br w:type="page"/>
      </w:r>
    </w:p>
    <w:p>
      <w:pPr>
        <w:spacing w:line="360" w:lineRule="auto"/>
        <w:jc w:val="center"/>
        <w:outlineLvl w:val="0"/>
        <w:rPr>
          <w:b/>
          <w:sz w:val="36"/>
          <w:szCs w:val="36"/>
        </w:rPr>
      </w:pPr>
      <w:bookmarkStart w:id="0" w:name="_Toc99301418"/>
      <w:r>
        <w:rPr>
          <w:b/>
          <w:sz w:val="36"/>
          <w:szCs w:val="36"/>
        </w:rPr>
        <w:t>目      录</w:t>
      </w:r>
      <w:bookmarkEnd w:id="0"/>
    </w:p>
    <w:p/>
    <w:p/>
    <w:p/>
    <w:p>
      <w:pPr>
        <w:pStyle w:val="14"/>
        <w:rPr>
          <w:rFonts w:ascii="Calibri" w:hAnsi="Calibri" w:eastAsia="宋体" w:cs="Times New Roman"/>
          <w:b w:val="0"/>
          <w:color w:val="C00000"/>
          <w:sz w:val="21"/>
          <w:szCs w:val="22"/>
          <w:highlight w:val="red"/>
        </w:rPr>
      </w:pPr>
      <w:r>
        <w:rPr>
          <w:rFonts w:ascii="Times New Roman" w:hAnsi="Times New Roman"/>
          <w:b w:val="0"/>
          <w:color w:val="C00000"/>
          <w:highlight w:val="red"/>
        </w:rPr>
        <w:fldChar w:fldCharType="begin"/>
      </w:r>
      <w:r>
        <w:rPr>
          <w:rFonts w:ascii="Times New Roman" w:hAnsi="Times New Roman"/>
          <w:b w:val="0"/>
          <w:color w:val="C00000"/>
          <w:highlight w:val="red"/>
        </w:rPr>
        <w:instrText xml:space="preserve"> TOC \o "1-1" \h \z \u </w:instrText>
      </w:r>
      <w:r>
        <w:rPr>
          <w:rFonts w:ascii="Times New Roman" w:hAnsi="Times New Roman"/>
          <w:b w:val="0"/>
          <w:color w:val="C00000"/>
          <w:highlight w:val="red"/>
        </w:rPr>
        <w:fldChar w:fldCharType="separate"/>
      </w:r>
    </w:p>
    <w:p>
      <w:pPr>
        <w:pStyle w:val="14"/>
        <w:spacing w:line="360" w:lineRule="auto"/>
        <w:rPr>
          <w:rFonts w:ascii="Times New Roman" w:hAnsi="Times New Roman" w:eastAsia="宋体"/>
          <w:b w:val="0"/>
          <w:color w:val="auto"/>
          <w:sz w:val="21"/>
          <w:szCs w:val="22"/>
          <w:highlight w:val="none"/>
        </w:rPr>
      </w:pPr>
      <w:r>
        <w:rPr>
          <w:color w:val="auto"/>
        </w:rPr>
        <w:fldChar w:fldCharType="begin"/>
      </w:r>
      <w:r>
        <w:rPr>
          <w:color w:val="auto"/>
        </w:rPr>
        <w:instrText xml:space="preserve"> HYPERLINK \l "_Toc99301419" </w:instrText>
      </w:r>
      <w:r>
        <w:rPr>
          <w:color w:val="auto"/>
        </w:rPr>
        <w:fldChar w:fldCharType="separate"/>
      </w:r>
      <w:r>
        <w:rPr>
          <w:rStyle w:val="21"/>
          <w:rFonts w:ascii="Times New Roman" w:hAnsi="Times New Roman"/>
          <w:color w:val="auto"/>
          <w:highlight w:val="none"/>
        </w:rPr>
        <w:t>第一章   投标邀请</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hint="eastAsia" w:ascii="Times New Roman" w:hAnsi="Times New Roman"/>
          <w:color w:val="auto"/>
          <w:highlight w:val="none"/>
          <w:lang w:val="en-US" w:eastAsia="zh-CN"/>
        </w:rPr>
        <w:fldChar w:fldCharType="end"/>
      </w:r>
    </w:p>
    <w:p>
      <w:pPr>
        <w:pStyle w:val="14"/>
        <w:spacing w:line="360" w:lineRule="auto"/>
        <w:rPr>
          <w:rFonts w:ascii="Times New Roman" w:hAnsi="Times New Roman" w:eastAsia="宋体"/>
          <w:b w:val="0"/>
          <w:color w:val="auto"/>
          <w:sz w:val="21"/>
          <w:szCs w:val="22"/>
          <w:highlight w:val="none"/>
        </w:rPr>
      </w:pPr>
      <w:r>
        <w:rPr>
          <w:color w:val="auto"/>
        </w:rPr>
        <w:fldChar w:fldCharType="begin"/>
      </w:r>
      <w:r>
        <w:rPr>
          <w:color w:val="auto"/>
        </w:rPr>
        <w:instrText xml:space="preserve"> HYPERLINK \l "_Toc99301420" </w:instrText>
      </w:r>
      <w:r>
        <w:rPr>
          <w:color w:val="auto"/>
        </w:rPr>
        <w:fldChar w:fldCharType="separate"/>
      </w:r>
      <w:r>
        <w:rPr>
          <w:rStyle w:val="21"/>
          <w:rFonts w:ascii="Times New Roman" w:hAnsi="Times New Roman"/>
          <w:color w:val="auto"/>
          <w:highlight w:val="none"/>
        </w:rPr>
        <w:t>第二章   投标人须知</w:t>
      </w:r>
      <w:r>
        <w:rPr>
          <w:rFonts w:ascii="Times New Roman" w:hAnsi="Times New Roman"/>
          <w:color w:val="auto"/>
          <w:highlight w:val="none"/>
        </w:rPr>
        <w:tab/>
      </w:r>
      <w:r>
        <w:rPr>
          <w:rFonts w:hint="eastAsia" w:ascii="Times New Roman" w:hAnsi="Times New Roman"/>
          <w:color w:val="auto"/>
          <w:highlight w:val="none"/>
          <w:lang w:val="en-US" w:eastAsia="zh-CN"/>
        </w:rPr>
        <w:t>8</w:t>
      </w:r>
      <w:r>
        <w:rPr>
          <w:rFonts w:hint="eastAsia" w:ascii="Times New Roman" w:hAnsi="Times New Roman"/>
          <w:color w:val="auto"/>
          <w:highlight w:val="none"/>
          <w:lang w:val="en-US" w:eastAsia="zh-CN"/>
        </w:rPr>
        <w:fldChar w:fldCharType="end"/>
      </w:r>
    </w:p>
    <w:p>
      <w:pPr>
        <w:pStyle w:val="14"/>
        <w:spacing w:line="360" w:lineRule="auto"/>
        <w:rPr>
          <w:rFonts w:hint="eastAsia" w:ascii="Times New Roman" w:hAnsi="Times New Roman" w:eastAsia="宋体"/>
          <w:b w:val="0"/>
          <w:color w:val="auto"/>
          <w:sz w:val="21"/>
          <w:szCs w:val="22"/>
          <w:highlight w:val="none"/>
          <w:lang w:val="en-US" w:eastAsia="zh-CN"/>
        </w:rPr>
      </w:pPr>
      <w:r>
        <w:rPr>
          <w:color w:val="auto"/>
        </w:rPr>
        <w:fldChar w:fldCharType="begin"/>
      </w:r>
      <w:r>
        <w:rPr>
          <w:color w:val="auto"/>
        </w:rPr>
        <w:instrText xml:space="preserve"> HYPERLINK \l "_Toc99301421" </w:instrText>
      </w:r>
      <w:r>
        <w:rPr>
          <w:color w:val="auto"/>
        </w:rPr>
        <w:fldChar w:fldCharType="separate"/>
      </w:r>
      <w:r>
        <w:rPr>
          <w:rStyle w:val="21"/>
          <w:rFonts w:ascii="Times New Roman" w:hAnsi="Times New Roman"/>
          <w:color w:val="auto"/>
          <w:highlight w:val="none"/>
        </w:rPr>
        <w:t>第三章   资格审查</w:t>
      </w:r>
      <w:r>
        <w:rPr>
          <w:rFonts w:ascii="Times New Roman" w:hAnsi="Times New Roman"/>
          <w:color w:val="auto"/>
          <w:highlight w:val="none"/>
        </w:rPr>
        <w:tab/>
      </w:r>
      <w:r>
        <w:rPr>
          <w:rFonts w:hint="eastAsia" w:ascii="Times New Roman" w:hAnsi="Times New Roman"/>
          <w:color w:val="auto"/>
          <w:highlight w:val="none"/>
          <w:lang w:val="en-US" w:eastAsia="zh-CN"/>
        </w:rPr>
        <w:t>2</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5</w:t>
      </w:r>
    </w:p>
    <w:p>
      <w:pPr>
        <w:pStyle w:val="14"/>
        <w:spacing w:line="360" w:lineRule="auto"/>
        <w:rPr>
          <w:rFonts w:hint="default" w:ascii="Times New Roman" w:hAnsi="Times New Roman" w:eastAsia="宋体"/>
          <w:b w:val="0"/>
          <w:color w:val="auto"/>
          <w:sz w:val="21"/>
          <w:szCs w:val="22"/>
          <w:highlight w:val="none"/>
          <w:lang w:val="en-US" w:eastAsia="zh-CN"/>
        </w:rPr>
      </w:pPr>
      <w:r>
        <w:rPr>
          <w:color w:val="auto"/>
        </w:rPr>
        <w:fldChar w:fldCharType="begin"/>
      </w:r>
      <w:r>
        <w:rPr>
          <w:color w:val="auto"/>
        </w:rPr>
        <w:instrText xml:space="preserve"> HYPERLINK \l "_Toc99301423" </w:instrText>
      </w:r>
      <w:r>
        <w:rPr>
          <w:color w:val="auto"/>
        </w:rPr>
        <w:fldChar w:fldCharType="separate"/>
      </w:r>
      <w:r>
        <w:rPr>
          <w:rStyle w:val="21"/>
          <w:rFonts w:ascii="Times New Roman" w:hAnsi="Times New Roman"/>
          <w:color w:val="auto"/>
          <w:highlight w:val="none"/>
        </w:rPr>
        <w:t>第四章   评标程序、评标方法和评标标准</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hint="eastAsia" w:ascii="Times New Roman" w:hAnsi="Times New Roman"/>
          <w:color w:val="auto"/>
          <w:highlight w:val="none"/>
          <w:lang w:val="en-US" w:eastAsia="zh-CN"/>
        </w:rPr>
        <w:fldChar w:fldCharType="end"/>
      </w:r>
      <w:r>
        <w:rPr>
          <w:rFonts w:hint="eastAsia" w:ascii="Times New Roman" w:hAnsi="Times New Roman"/>
          <w:color w:val="auto"/>
          <w:highlight w:val="none"/>
          <w:lang w:val="en-US" w:eastAsia="zh-CN"/>
        </w:rPr>
        <w:t>1</w:t>
      </w:r>
    </w:p>
    <w:p>
      <w:pPr>
        <w:pStyle w:val="14"/>
        <w:spacing w:line="360" w:lineRule="auto"/>
        <w:rPr>
          <w:rFonts w:hint="eastAsia" w:ascii="Times New Roman" w:hAnsi="Times New Roman" w:eastAsia="宋体"/>
          <w:b w:val="0"/>
          <w:color w:val="auto"/>
          <w:sz w:val="21"/>
          <w:szCs w:val="22"/>
          <w:highlight w:val="none"/>
          <w:lang w:val="en-US" w:eastAsia="zh-CN"/>
        </w:rPr>
      </w:pPr>
      <w:r>
        <w:rPr>
          <w:color w:val="auto"/>
        </w:rPr>
        <w:fldChar w:fldCharType="begin"/>
      </w:r>
      <w:r>
        <w:rPr>
          <w:color w:val="auto"/>
        </w:rPr>
        <w:instrText xml:space="preserve"> HYPERLINK \l "_Toc99301424" </w:instrText>
      </w:r>
      <w:r>
        <w:rPr>
          <w:color w:val="auto"/>
        </w:rPr>
        <w:fldChar w:fldCharType="separate"/>
      </w:r>
      <w:r>
        <w:rPr>
          <w:rStyle w:val="21"/>
          <w:rFonts w:ascii="Times New Roman" w:hAnsi="Times New Roman"/>
          <w:color w:val="auto"/>
          <w:highlight w:val="none"/>
        </w:rPr>
        <w:t>第五章   采购需求</w:t>
      </w:r>
      <w:r>
        <w:rPr>
          <w:rFonts w:ascii="Times New Roman" w:hAnsi="Times New Roman"/>
          <w:color w:val="auto"/>
          <w:highlight w:val="none"/>
        </w:rPr>
        <w:tab/>
      </w:r>
      <w:r>
        <w:rPr>
          <w:rFonts w:hint="eastAsia" w:ascii="Times New Roman" w:hAnsi="Times New Roman"/>
          <w:color w:val="auto"/>
          <w:highlight w:val="none"/>
          <w:lang w:val="en-US" w:eastAsia="zh-CN"/>
        </w:rPr>
        <w:t>4</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1</w:t>
      </w:r>
    </w:p>
    <w:p>
      <w:pPr>
        <w:pStyle w:val="14"/>
        <w:spacing w:line="360" w:lineRule="auto"/>
        <w:rPr>
          <w:rFonts w:hint="default" w:ascii="Times New Roman" w:hAnsi="Times New Roman" w:eastAsia="宋体"/>
          <w:b w:val="0"/>
          <w:color w:val="auto"/>
          <w:sz w:val="21"/>
          <w:szCs w:val="22"/>
          <w:highlight w:val="none"/>
          <w:lang w:val="en-US" w:eastAsia="zh-CN"/>
        </w:rPr>
      </w:pPr>
      <w:r>
        <w:rPr>
          <w:color w:val="auto"/>
        </w:rPr>
        <w:fldChar w:fldCharType="begin"/>
      </w:r>
      <w:r>
        <w:rPr>
          <w:color w:val="auto"/>
        </w:rPr>
        <w:instrText xml:space="preserve"> HYPERLINK \l "_Toc99301425" </w:instrText>
      </w:r>
      <w:r>
        <w:rPr>
          <w:color w:val="auto"/>
        </w:rPr>
        <w:fldChar w:fldCharType="separate"/>
      </w:r>
      <w:r>
        <w:rPr>
          <w:rStyle w:val="21"/>
          <w:rFonts w:ascii="Times New Roman" w:hAnsi="Times New Roman"/>
          <w:color w:val="auto"/>
          <w:highlight w:val="none"/>
        </w:rPr>
        <w:t>第六章   拟签订的合同文本</w:t>
      </w:r>
      <w:r>
        <w:rPr>
          <w:rFonts w:ascii="Times New Roman" w:hAnsi="Times New Roman"/>
          <w:color w:val="auto"/>
          <w:highlight w:val="none"/>
        </w:rPr>
        <w:tab/>
      </w:r>
      <w:r>
        <w:rPr>
          <w:rFonts w:hint="eastAsia" w:ascii="Times New Roman" w:hAnsi="Times New Roman"/>
          <w:color w:val="auto"/>
          <w:highlight w:val="none"/>
          <w:lang w:val="en-US" w:eastAsia="zh-CN"/>
        </w:rPr>
        <w:t>5</w:t>
      </w:r>
      <w:r>
        <w:rPr>
          <w:rFonts w:hint="eastAsia" w:ascii="Times New Roman" w:hAnsi="Times New Roman"/>
          <w:color w:val="auto"/>
          <w:highlight w:val="none"/>
          <w:lang w:val="en-US" w:eastAsia="zh-CN"/>
        </w:rPr>
        <w:fldChar w:fldCharType="end"/>
      </w:r>
      <w:r>
        <w:rPr>
          <w:rFonts w:hint="eastAsia" w:ascii="Times New Roman" w:hAnsi="Times New Roman"/>
          <w:color w:val="auto"/>
          <w:highlight w:val="none"/>
          <w:lang w:val="en-US" w:eastAsia="zh-CN"/>
        </w:rPr>
        <w:t>2</w:t>
      </w:r>
    </w:p>
    <w:p>
      <w:pPr>
        <w:pStyle w:val="14"/>
        <w:spacing w:line="360" w:lineRule="auto"/>
        <w:rPr>
          <w:rFonts w:hint="default" w:ascii="Times New Roman" w:hAnsi="Times New Roman" w:eastAsia="宋体"/>
          <w:b w:val="0"/>
          <w:color w:val="auto"/>
          <w:sz w:val="21"/>
          <w:szCs w:val="22"/>
          <w:highlight w:val="none"/>
          <w:lang w:val="en-US" w:eastAsia="zh-CN"/>
        </w:rPr>
      </w:pPr>
      <w:r>
        <w:rPr>
          <w:color w:val="auto"/>
        </w:rPr>
        <w:fldChar w:fldCharType="begin"/>
      </w:r>
      <w:r>
        <w:rPr>
          <w:color w:val="auto"/>
        </w:rPr>
        <w:instrText xml:space="preserve"> HYPERLINK \l "_Toc99301426" </w:instrText>
      </w:r>
      <w:r>
        <w:rPr>
          <w:color w:val="auto"/>
        </w:rPr>
        <w:fldChar w:fldCharType="separate"/>
      </w:r>
      <w:r>
        <w:rPr>
          <w:rStyle w:val="21"/>
          <w:rFonts w:ascii="Times New Roman" w:hAnsi="Times New Roman"/>
          <w:color w:val="auto"/>
          <w:highlight w:val="none"/>
        </w:rPr>
        <w:t>第七章   投标文件格式</w:t>
      </w:r>
      <w:r>
        <w:rPr>
          <w:rFonts w:ascii="Times New Roman" w:hAnsi="Times New Roman"/>
          <w:color w:val="auto"/>
          <w:highlight w:val="none"/>
        </w:rPr>
        <w:tab/>
      </w:r>
      <w:r>
        <w:rPr>
          <w:rFonts w:hint="eastAsia" w:ascii="Times New Roman" w:hAnsi="Times New Roman"/>
          <w:color w:val="auto"/>
          <w:highlight w:val="none"/>
          <w:lang w:val="en-US" w:eastAsia="zh-CN"/>
        </w:rPr>
        <w:t>5</w:t>
      </w:r>
      <w:r>
        <w:rPr>
          <w:rFonts w:hint="eastAsia" w:ascii="Times New Roman" w:hAnsi="Times New Roman"/>
          <w:color w:val="auto"/>
          <w:highlight w:val="none"/>
          <w:lang w:val="en-US" w:eastAsia="zh-CN"/>
        </w:rPr>
        <w:fldChar w:fldCharType="end"/>
      </w:r>
      <w:r>
        <w:rPr>
          <w:rFonts w:hint="eastAsia" w:ascii="Times New Roman" w:hAnsi="Times New Roman"/>
          <w:color w:val="auto"/>
          <w:highlight w:val="none"/>
          <w:lang w:val="en-US" w:eastAsia="zh-CN"/>
        </w:rPr>
        <w:t>7</w:t>
      </w:r>
    </w:p>
    <w:p>
      <w:pPr>
        <w:pStyle w:val="14"/>
        <w:spacing w:line="360" w:lineRule="auto"/>
        <w:rPr>
          <w:rFonts w:ascii="Times New Roman" w:hAnsi="Times New Roman"/>
          <w:b w:val="0"/>
          <w:color w:val="0000FF"/>
          <w:highlight w:val="red"/>
        </w:rPr>
      </w:pPr>
      <w:r>
        <w:rPr>
          <w:rFonts w:ascii="Times New Roman" w:hAnsi="Times New Roman"/>
          <w:b w:val="0"/>
          <w:color w:val="C00000"/>
          <w:highlight w:val="red"/>
        </w:rPr>
        <w:fldChar w:fldCharType="end"/>
      </w:r>
    </w:p>
    <w:p>
      <w:pPr>
        <w:numPr>
          <w:ilvl w:val="0"/>
          <w:numId w:val="1"/>
        </w:numPr>
        <w:spacing w:line="360" w:lineRule="auto"/>
        <w:ind w:left="2520" w:leftChars="0" w:firstLine="0" w:firstLineChars="0"/>
        <w:jc w:val="both"/>
        <w:outlineLvl w:val="0"/>
        <w:rPr>
          <w:b/>
          <w:sz w:val="36"/>
          <w:szCs w:val="36"/>
        </w:rPr>
      </w:pPr>
      <w:r>
        <w:rPr>
          <w:sz w:val="24"/>
          <w:highlight w:val="red"/>
        </w:rPr>
        <w:br w:type="page"/>
      </w:r>
      <w:bookmarkStart w:id="1" w:name="_Toc35393626"/>
      <w:bookmarkStart w:id="2" w:name="_Toc35393795"/>
      <w:r>
        <w:rPr>
          <w:b/>
          <w:sz w:val="36"/>
          <w:szCs w:val="36"/>
        </w:rPr>
        <w:t xml:space="preserve">  投标邀请</w:t>
      </w:r>
    </w:p>
    <w:p>
      <w:pPr>
        <w:pStyle w:val="23"/>
        <w:pageBreakBefore w:val="0"/>
        <w:kinsoku/>
        <w:wordWrap/>
        <w:overflowPunct/>
        <w:topLinePunct w:val="0"/>
        <w:bidi w:val="0"/>
        <w:spacing w:line="440" w:lineRule="exact"/>
        <w:ind w:firstLine="422" w:firstLineChars="200"/>
        <w:textAlignment w:val="auto"/>
        <w:rPr>
          <w:sz w:val="32"/>
          <w:szCs w:val="32"/>
        </w:rPr>
      </w:pPr>
      <w:r>
        <w:rPr>
          <w:rFonts w:hint="eastAsia" w:ascii="Times New Roman" w:hAnsi="Times New Roman" w:cs="Times New Roman"/>
          <w:b/>
          <w:bCs/>
          <w:color w:val="auto"/>
          <w:sz w:val="21"/>
          <w:szCs w:val="21"/>
          <w:lang w:eastAsia="zh-CN"/>
        </w:rPr>
        <w:t>说明：标记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的选项意为适用于本项目，标记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的选项意为不适用于本项目，</w:t>
      </w:r>
      <w:r>
        <w:rPr>
          <w:rFonts w:ascii="Times New Roman" w:hAnsi="Times New Roman" w:cs="Times New Roman"/>
          <w:b/>
          <w:bCs/>
          <w:color w:val="auto"/>
          <w:sz w:val="21"/>
          <w:szCs w:val="21"/>
        </w:rPr>
        <w:t>“</w:t>
      </w:r>
      <w:r>
        <w:rPr>
          <w:sz w:val="24"/>
        </w:rPr>
        <w:t>____</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上空白意为不适用于本项目</w:t>
      </w:r>
      <w:r>
        <w:rPr>
          <w:rFonts w:ascii="Times New Roman" w:hAnsi="Times New Roman" w:cs="Times New Roman"/>
          <w:b/>
          <w:bCs/>
          <w:color w:val="auto"/>
          <w:sz w:val="21"/>
          <w:szCs w:val="21"/>
        </w:rPr>
        <w:t>。</w:t>
      </w:r>
    </w:p>
    <w:p>
      <w:pPr>
        <w:pStyle w:val="5"/>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3" w:name="_Toc35393621"/>
      <w:bookmarkStart w:id="4" w:name="_Toc28359079"/>
      <w:bookmarkStart w:id="5" w:name="_Toc28359002"/>
      <w:bookmarkStart w:id="6" w:name="_Toc35393790"/>
      <w:bookmarkStart w:id="7" w:name="_Hlk24379207"/>
      <w:r>
        <w:rPr>
          <w:rFonts w:ascii="Times New Roman" w:hAnsi="Times New Roman" w:eastAsia="宋体"/>
          <w:sz w:val="24"/>
          <w:szCs w:val="24"/>
        </w:rPr>
        <w:t>一、项目基本情况</w:t>
      </w:r>
      <w:bookmarkEnd w:id="3"/>
      <w:bookmarkEnd w:id="4"/>
      <w:bookmarkEnd w:id="5"/>
      <w:bookmarkEnd w:id="6"/>
    </w:p>
    <w:bookmarkEnd w:id="7"/>
    <w:p>
      <w:pPr>
        <w:pageBreakBefore w:val="0"/>
        <w:tabs>
          <w:tab w:val="left" w:pos="3240"/>
          <w:tab w:val="left" w:pos="3420"/>
        </w:tabs>
        <w:kinsoku/>
        <w:wordWrap/>
        <w:overflowPunct/>
        <w:topLinePunct w:val="0"/>
        <w:bidi w:val="0"/>
        <w:spacing w:line="440" w:lineRule="exact"/>
        <w:ind w:firstLine="480" w:firstLineChars="200"/>
        <w:jc w:val="left"/>
        <w:textAlignment w:val="auto"/>
        <w:rPr>
          <w:rFonts w:hint="default"/>
          <w:sz w:val="24"/>
          <w:u w:val="single"/>
          <w:lang w:val="en-US" w:eastAsia="zh-CN"/>
        </w:rPr>
      </w:pPr>
      <w:r>
        <w:rPr>
          <w:sz w:val="24"/>
        </w:rPr>
        <w:t>1.项目编号：</w:t>
      </w:r>
      <w:r>
        <w:rPr>
          <w:sz w:val="24"/>
          <w:u w:val="single"/>
          <w:lang w:val="en-US" w:eastAsia="zh-CN"/>
        </w:rPr>
        <w:fldChar w:fldCharType="begin"/>
      </w:r>
      <w:r>
        <w:rPr>
          <w:sz w:val="24"/>
          <w:u w:val="single"/>
          <w:lang w:val="en-US" w:eastAsia="zh-CN"/>
        </w:rPr>
        <w:instrText xml:space="preserve"> HYPERLINK "http://219.232.204.193:8080/frontend/plan/project_detail.html?projectUuid=0c005224-0b2e-4592-a4b0-fbc94ce41976" </w:instrText>
      </w:r>
      <w:r>
        <w:rPr>
          <w:sz w:val="24"/>
          <w:u w:val="single"/>
          <w:lang w:val="en-US" w:eastAsia="zh-CN"/>
        </w:rPr>
        <w:fldChar w:fldCharType="separate"/>
      </w:r>
      <w:r>
        <w:rPr>
          <w:sz w:val="24"/>
          <w:u w:val="single"/>
        </w:rPr>
        <w:t>11011424210200013242-XM001</w:t>
      </w:r>
      <w:r>
        <w:rPr>
          <w:sz w:val="24"/>
          <w:u w:val="single"/>
          <w:lang w:val="en-US" w:eastAsia="zh-CN"/>
        </w:rPr>
        <w:fldChar w:fldCharType="end"/>
      </w:r>
    </w:p>
    <w:p>
      <w:pPr>
        <w:pageBreakBefore w:val="0"/>
        <w:kinsoku/>
        <w:wordWrap/>
        <w:overflowPunct/>
        <w:topLinePunct w:val="0"/>
        <w:bidi w:val="0"/>
        <w:spacing w:line="440" w:lineRule="exact"/>
        <w:ind w:left="1919" w:leftChars="228" w:hanging="1440" w:hangingChars="600"/>
        <w:textAlignment w:val="auto"/>
        <w:rPr>
          <w:rFonts w:hint="eastAsia"/>
          <w:sz w:val="24"/>
          <w:u w:val="none"/>
          <w:lang w:val="en-US" w:eastAsia="zh-CN"/>
        </w:rPr>
      </w:pPr>
      <w:r>
        <w:rPr>
          <w:sz w:val="24"/>
          <w:u w:val="none"/>
        </w:rPr>
        <w:t>2.项目名称：</w:t>
      </w:r>
      <w:r>
        <w:rPr>
          <w:rFonts w:hint="eastAsia"/>
          <w:sz w:val="24"/>
          <w:u w:val="single"/>
        </w:rPr>
        <w:t>大运河白浮泉遗址运维保障项目--2024年物业管理服务</w:t>
      </w:r>
    </w:p>
    <w:p>
      <w:pPr>
        <w:spacing w:line="440" w:lineRule="exact"/>
        <w:ind w:firstLine="480" w:firstLineChars="200"/>
        <w:jc w:val="both"/>
        <w:rPr>
          <w:rFonts w:hint="eastAsia" w:eastAsia="宋体"/>
          <w:color w:val="auto"/>
          <w:sz w:val="24"/>
          <w:highlight w:val="none"/>
          <w:lang w:val="en-US" w:eastAsia="zh-CN"/>
        </w:rPr>
      </w:pPr>
      <w:r>
        <w:rPr>
          <w:color w:val="auto"/>
          <w:sz w:val="24"/>
        </w:rPr>
        <w:t>3.项目预算金额：</w:t>
      </w:r>
      <w:r>
        <w:rPr>
          <w:rFonts w:hint="eastAsia"/>
          <w:color w:val="auto"/>
          <w:sz w:val="24"/>
          <w:u w:val="single"/>
        </w:rPr>
        <w:t>147.409742（</w:t>
      </w:r>
      <w:r>
        <w:rPr>
          <w:color w:val="auto"/>
          <w:sz w:val="24"/>
          <w:highlight w:val="none"/>
          <w:u w:val="single"/>
        </w:rPr>
        <w:t>万元</w:t>
      </w:r>
      <w:r>
        <w:rPr>
          <w:rFonts w:hint="eastAsia"/>
          <w:color w:val="auto"/>
          <w:sz w:val="24"/>
          <w:highlight w:val="none"/>
          <w:u w:val="single"/>
          <w:lang w:val="en-US" w:eastAsia="zh-CN"/>
        </w:rPr>
        <w:t>)</w:t>
      </w:r>
    </w:p>
    <w:p>
      <w:pPr>
        <w:pageBreakBefore w:val="0"/>
        <w:kinsoku/>
        <w:wordWrap/>
        <w:overflowPunct/>
        <w:topLinePunct w:val="0"/>
        <w:bidi w:val="0"/>
        <w:spacing w:line="440" w:lineRule="exact"/>
        <w:ind w:firstLine="480" w:firstLineChars="200"/>
        <w:textAlignment w:val="auto"/>
        <w:rPr>
          <w:sz w:val="24"/>
        </w:rPr>
      </w:pPr>
      <w:r>
        <w:rPr>
          <w:sz w:val="24"/>
        </w:rPr>
        <w:t>4.采购需求：</w:t>
      </w:r>
    </w:p>
    <w:tbl>
      <w:tblPr>
        <w:tblStyle w:val="17"/>
        <w:tblW w:w="4930" w:type="pct"/>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46"/>
        <w:gridCol w:w="1702"/>
        <w:gridCol w:w="997"/>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noWrap w:val="0"/>
            <w:vAlign w:val="center"/>
          </w:tcPr>
          <w:p>
            <w:pPr>
              <w:pageBreakBefore w:val="0"/>
              <w:kinsoku/>
              <w:wordWrap/>
              <w:overflowPunct/>
              <w:topLinePunct w:val="0"/>
              <w:bidi w:val="0"/>
              <w:spacing w:line="440" w:lineRule="exact"/>
              <w:jc w:val="center"/>
              <w:textAlignment w:val="auto"/>
              <w:rPr>
                <w:bCs/>
                <w:color w:val="auto"/>
                <w:szCs w:val="21"/>
              </w:rPr>
            </w:pPr>
            <w:r>
              <w:rPr>
                <w:bCs/>
                <w:color w:val="auto"/>
                <w:szCs w:val="21"/>
              </w:rPr>
              <w:t>包号</w:t>
            </w:r>
          </w:p>
        </w:tc>
        <w:tc>
          <w:tcPr>
            <w:tcW w:w="789" w:type="pct"/>
            <w:noWrap w:val="0"/>
            <w:vAlign w:val="center"/>
          </w:tcPr>
          <w:p>
            <w:pPr>
              <w:pageBreakBefore w:val="0"/>
              <w:kinsoku/>
              <w:wordWrap/>
              <w:overflowPunct/>
              <w:topLinePunct w:val="0"/>
              <w:bidi w:val="0"/>
              <w:spacing w:line="440" w:lineRule="exact"/>
              <w:jc w:val="center"/>
              <w:textAlignment w:val="auto"/>
              <w:rPr>
                <w:bCs/>
                <w:color w:val="auto"/>
                <w:szCs w:val="21"/>
              </w:rPr>
            </w:pPr>
            <w:r>
              <w:rPr>
                <w:bCs/>
                <w:color w:val="auto"/>
                <w:szCs w:val="21"/>
              </w:rPr>
              <w:t>标的名称</w:t>
            </w:r>
          </w:p>
        </w:tc>
        <w:tc>
          <w:tcPr>
            <w:tcW w:w="929" w:type="pct"/>
            <w:noWrap w:val="0"/>
            <w:vAlign w:val="center"/>
          </w:tcPr>
          <w:p>
            <w:pPr>
              <w:pageBreakBefore w:val="0"/>
              <w:kinsoku/>
              <w:wordWrap/>
              <w:overflowPunct/>
              <w:topLinePunct w:val="0"/>
              <w:bidi w:val="0"/>
              <w:spacing w:line="440" w:lineRule="exact"/>
              <w:jc w:val="center"/>
              <w:textAlignment w:val="auto"/>
              <w:rPr>
                <w:bCs/>
                <w:color w:val="auto"/>
                <w:spacing w:val="23"/>
                <w:szCs w:val="21"/>
              </w:rPr>
            </w:pPr>
            <w:r>
              <w:rPr>
                <w:bCs/>
                <w:color w:val="auto"/>
                <w:spacing w:val="23"/>
                <w:szCs w:val="21"/>
              </w:rPr>
              <w:t>预算金额</w:t>
            </w:r>
          </w:p>
          <w:p>
            <w:pPr>
              <w:pageBreakBefore w:val="0"/>
              <w:kinsoku/>
              <w:wordWrap/>
              <w:overflowPunct/>
              <w:topLinePunct w:val="0"/>
              <w:bidi w:val="0"/>
              <w:spacing w:line="440" w:lineRule="exact"/>
              <w:jc w:val="center"/>
              <w:textAlignment w:val="auto"/>
              <w:rPr>
                <w:bCs/>
                <w:color w:val="auto"/>
                <w:szCs w:val="21"/>
              </w:rPr>
            </w:pPr>
            <w:r>
              <w:rPr>
                <w:bCs/>
                <w:color w:val="auto"/>
                <w:spacing w:val="23"/>
                <w:szCs w:val="21"/>
              </w:rPr>
              <w:t>（万元）</w:t>
            </w:r>
          </w:p>
        </w:tc>
        <w:tc>
          <w:tcPr>
            <w:tcW w:w="544" w:type="pct"/>
            <w:noWrap w:val="0"/>
            <w:vAlign w:val="center"/>
          </w:tcPr>
          <w:p>
            <w:pPr>
              <w:pageBreakBefore w:val="0"/>
              <w:kinsoku/>
              <w:wordWrap/>
              <w:overflowPunct/>
              <w:topLinePunct w:val="0"/>
              <w:bidi w:val="0"/>
              <w:spacing w:line="440" w:lineRule="exact"/>
              <w:jc w:val="center"/>
              <w:textAlignment w:val="auto"/>
              <w:rPr>
                <w:bCs/>
                <w:color w:val="auto"/>
                <w:szCs w:val="21"/>
              </w:rPr>
            </w:pPr>
            <w:r>
              <w:rPr>
                <w:bCs/>
                <w:color w:val="auto"/>
                <w:szCs w:val="21"/>
              </w:rPr>
              <w:t>数量</w:t>
            </w:r>
          </w:p>
        </w:tc>
        <w:tc>
          <w:tcPr>
            <w:tcW w:w="2335" w:type="pct"/>
            <w:noWrap w:val="0"/>
            <w:vAlign w:val="center"/>
          </w:tcPr>
          <w:p>
            <w:pPr>
              <w:pageBreakBefore w:val="0"/>
              <w:kinsoku/>
              <w:wordWrap/>
              <w:overflowPunct/>
              <w:topLinePunct w:val="0"/>
              <w:bidi w:val="0"/>
              <w:spacing w:line="440" w:lineRule="exact"/>
              <w:jc w:val="center"/>
              <w:textAlignment w:val="auto"/>
              <w:rPr>
                <w:color w:val="auto"/>
                <w:szCs w:val="21"/>
              </w:rPr>
            </w:pPr>
            <w:r>
              <w:rPr>
                <w:color w:val="auto"/>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noWrap w:val="0"/>
            <w:vAlign w:val="center"/>
          </w:tcPr>
          <w:p>
            <w:pPr>
              <w:pageBreakBefore w:val="0"/>
              <w:kinsoku/>
              <w:wordWrap/>
              <w:overflowPunct/>
              <w:topLinePunct w:val="0"/>
              <w:bidi w:val="0"/>
              <w:spacing w:line="440" w:lineRule="exact"/>
              <w:jc w:val="center"/>
              <w:textAlignment w:val="auto"/>
              <w:rPr>
                <w:rFonts w:hint="default" w:eastAsia="宋体"/>
                <w:bCs/>
                <w:color w:val="auto"/>
                <w:szCs w:val="21"/>
                <w:lang w:val="en-US" w:eastAsia="zh-CN"/>
              </w:rPr>
            </w:pPr>
            <w:r>
              <w:rPr>
                <w:rFonts w:hint="eastAsia"/>
                <w:bCs/>
                <w:color w:val="auto"/>
                <w:szCs w:val="21"/>
                <w:lang w:val="en-US" w:eastAsia="zh-CN"/>
              </w:rPr>
              <w:t>1</w:t>
            </w:r>
          </w:p>
        </w:tc>
        <w:tc>
          <w:tcPr>
            <w:tcW w:w="789" w:type="pct"/>
            <w:noWrap w:val="0"/>
            <w:vAlign w:val="center"/>
          </w:tcPr>
          <w:p>
            <w:pPr>
              <w:pageBreakBefore w:val="0"/>
              <w:kinsoku/>
              <w:wordWrap/>
              <w:overflowPunct/>
              <w:topLinePunct w:val="0"/>
              <w:bidi w:val="0"/>
              <w:spacing w:line="440" w:lineRule="exact"/>
              <w:jc w:val="center"/>
              <w:textAlignment w:val="auto"/>
              <w:rPr>
                <w:rFonts w:hint="eastAsia" w:eastAsia="宋体"/>
                <w:bCs/>
                <w:color w:val="auto"/>
                <w:szCs w:val="21"/>
                <w:lang w:val="en-US" w:eastAsia="zh-CN"/>
              </w:rPr>
            </w:pPr>
            <w:r>
              <w:rPr>
                <w:rFonts w:hint="eastAsia"/>
                <w:bCs/>
                <w:color w:val="auto"/>
                <w:szCs w:val="21"/>
                <w:lang w:val="en-US" w:eastAsia="zh-CN"/>
              </w:rPr>
              <w:t>物业服务</w:t>
            </w:r>
          </w:p>
        </w:tc>
        <w:tc>
          <w:tcPr>
            <w:tcW w:w="929" w:type="pct"/>
            <w:noWrap w:val="0"/>
            <w:vAlign w:val="center"/>
          </w:tcPr>
          <w:p>
            <w:pPr>
              <w:pageBreakBefore w:val="0"/>
              <w:kinsoku/>
              <w:wordWrap/>
              <w:overflowPunct/>
              <w:topLinePunct w:val="0"/>
              <w:bidi w:val="0"/>
              <w:spacing w:line="440" w:lineRule="exact"/>
              <w:jc w:val="center"/>
              <w:textAlignment w:val="auto"/>
              <w:rPr>
                <w:rFonts w:hint="default" w:eastAsia="宋体"/>
                <w:bCs/>
                <w:color w:val="auto"/>
                <w:szCs w:val="21"/>
                <w:lang w:val="en-US" w:eastAsia="zh-CN"/>
              </w:rPr>
            </w:pPr>
            <w:r>
              <w:rPr>
                <w:rFonts w:hint="default" w:eastAsia="宋体"/>
                <w:bCs/>
                <w:color w:val="auto"/>
                <w:szCs w:val="21"/>
                <w:lang w:val="en-US" w:eastAsia="zh-CN"/>
              </w:rPr>
              <w:t>147.409742</w:t>
            </w:r>
          </w:p>
        </w:tc>
        <w:tc>
          <w:tcPr>
            <w:tcW w:w="544" w:type="pct"/>
            <w:noWrap w:val="0"/>
            <w:vAlign w:val="center"/>
          </w:tcPr>
          <w:p>
            <w:pPr>
              <w:pageBreakBefore w:val="0"/>
              <w:kinsoku/>
              <w:wordWrap/>
              <w:overflowPunct/>
              <w:topLinePunct w:val="0"/>
              <w:bidi w:val="0"/>
              <w:spacing w:line="440" w:lineRule="exact"/>
              <w:jc w:val="center"/>
              <w:textAlignment w:val="auto"/>
              <w:rPr>
                <w:rFonts w:hint="default" w:eastAsia="宋体"/>
                <w:bCs/>
                <w:color w:val="auto"/>
                <w:szCs w:val="21"/>
                <w:lang w:val="en-US" w:eastAsia="zh-CN"/>
              </w:rPr>
            </w:pPr>
            <w:r>
              <w:rPr>
                <w:rFonts w:hint="eastAsia"/>
                <w:bCs/>
                <w:color w:val="auto"/>
                <w:szCs w:val="21"/>
                <w:lang w:val="en-US" w:eastAsia="zh-CN"/>
              </w:rPr>
              <w:t>1项</w:t>
            </w:r>
          </w:p>
        </w:tc>
        <w:tc>
          <w:tcPr>
            <w:tcW w:w="2335" w:type="pct"/>
            <w:noWrap w:val="0"/>
            <w:vAlign w:val="center"/>
          </w:tcPr>
          <w:p>
            <w:pPr>
              <w:pageBreakBefore w:val="0"/>
              <w:kinsoku/>
              <w:wordWrap/>
              <w:overflowPunct/>
              <w:topLinePunct w:val="0"/>
              <w:bidi w:val="0"/>
              <w:spacing w:line="440" w:lineRule="exact"/>
              <w:ind w:firstLine="1260" w:firstLineChars="600"/>
              <w:jc w:val="both"/>
              <w:textAlignment w:val="auto"/>
              <w:rPr>
                <w:color w:val="auto"/>
                <w:kern w:val="0"/>
                <w:szCs w:val="21"/>
              </w:rPr>
            </w:pPr>
            <w:r>
              <w:rPr>
                <w:rFonts w:hint="eastAsia"/>
                <w:color w:val="auto"/>
                <w:kern w:val="0"/>
                <w:szCs w:val="21"/>
                <w:lang w:val="en-US" w:eastAsia="zh-CN"/>
              </w:rPr>
              <w:t xml:space="preserve">详见采购需求 </w:t>
            </w:r>
          </w:p>
        </w:tc>
      </w:tr>
    </w:tbl>
    <w:p>
      <w:pPr>
        <w:pageBreakBefore w:val="0"/>
        <w:kinsoku/>
        <w:wordWrap/>
        <w:overflowPunct/>
        <w:topLinePunct w:val="0"/>
        <w:bidi w:val="0"/>
        <w:spacing w:line="440" w:lineRule="exact"/>
        <w:ind w:firstLine="480" w:firstLineChars="200"/>
        <w:textAlignment w:val="auto"/>
        <w:rPr>
          <w:rFonts w:hint="eastAsia" w:ascii="Times New Roman" w:hAnsi="Times New Roman" w:eastAsia="宋体" w:cs="Times New Roman"/>
          <w:sz w:val="24"/>
          <w:highlight w:val="none"/>
          <w:u w:val="single"/>
        </w:rPr>
      </w:pPr>
      <w:r>
        <w:rPr>
          <w:sz w:val="24"/>
        </w:rPr>
        <w:t>5.合同履行期限：</w:t>
      </w:r>
      <w:r>
        <w:rPr>
          <w:rFonts w:hint="eastAsia" w:ascii="宋体" w:hAnsi="宋体" w:cs="宋体"/>
          <w:kern w:val="2"/>
          <w:sz w:val="24"/>
          <w:szCs w:val="24"/>
          <w:lang w:val="en-US" w:eastAsia="zh-CN"/>
        </w:rPr>
        <w:t>2024年5月</w:t>
      </w:r>
      <w:r>
        <w:rPr>
          <w:rFonts w:hint="eastAsia" w:ascii="宋体" w:hAnsi="宋体" w:cs="宋体"/>
          <w:kern w:val="2"/>
          <w:sz w:val="24"/>
          <w:szCs w:val="24"/>
          <w:lang w:eastAsia="zh-CN"/>
        </w:rPr>
        <w:t>起至</w:t>
      </w:r>
      <w:r>
        <w:rPr>
          <w:rFonts w:hint="eastAsia" w:ascii="宋体" w:hAnsi="宋体" w:cs="宋体"/>
          <w:kern w:val="2"/>
          <w:sz w:val="24"/>
          <w:szCs w:val="24"/>
          <w:highlight w:val="none"/>
          <w:lang w:val="en-US" w:eastAsia="zh-CN"/>
        </w:rPr>
        <w:t>2024年12月</w:t>
      </w:r>
    </w:p>
    <w:p>
      <w:pPr>
        <w:pageBreakBefore w:val="0"/>
        <w:kinsoku/>
        <w:wordWrap/>
        <w:overflowPunct/>
        <w:topLinePunct w:val="0"/>
        <w:bidi w:val="0"/>
        <w:spacing w:line="440" w:lineRule="exact"/>
        <w:ind w:firstLine="480" w:firstLineChars="200"/>
        <w:textAlignment w:val="auto"/>
        <w:rPr>
          <w:sz w:val="24"/>
        </w:rPr>
      </w:pPr>
      <w:r>
        <w:rPr>
          <w:sz w:val="24"/>
        </w:rPr>
        <w:t>6.本项目是否接受联合</w:t>
      </w:r>
      <w:r>
        <w:rPr>
          <w:color w:val="auto"/>
          <w:sz w:val="24"/>
        </w:rPr>
        <w:t>体投标：</w:t>
      </w:r>
      <w:r>
        <w:rPr>
          <w:rFonts w:ascii="Times New Roman" w:hAnsi="Times New Roman" w:eastAsia="宋体" w:cs="Times New Roman"/>
          <w:b/>
          <w:bCs/>
          <w:color w:val="auto"/>
          <w:sz w:val="21"/>
          <w:szCs w:val="21"/>
        </w:rPr>
        <w:t>□</w:t>
      </w:r>
      <w:r>
        <w:rPr>
          <w:color w:val="auto"/>
          <w:sz w:val="24"/>
        </w:rPr>
        <w:t xml:space="preserve">是 </w:t>
      </w:r>
      <w:r>
        <w:rPr>
          <w:sz w:val="24"/>
        </w:rPr>
        <w:t xml:space="preserve"> </w:t>
      </w:r>
      <w:r>
        <w:rPr>
          <w:rFonts w:ascii="Times New Roman" w:hAnsi="Times New Roman" w:eastAsia="宋体" w:cs="Times New Roman"/>
          <w:b/>
          <w:bCs/>
          <w:color w:val="auto"/>
          <w:sz w:val="21"/>
          <w:szCs w:val="21"/>
        </w:rPr>
        <w:t>■</w:t>
      </w:r>
      <w:r>
        <w:rPr>
          <w:sz w:val="24"/>
        </w:rPr>
        <w:t>否</w:t>
      </w:r>
    </w:p>
    <w:p>
      <w:pPr>
        <w:pStyle w:val="5"/>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8" w:name="_Toc28359003"/>
      <w:bookmarkStart w:id="9" w:name="_Toc35393791"/>
      <w:bookmarkStart w:id="10" w:name="_Toc35393622"/>
      <w:bookmarkStart w:id="11" w:name="_Toc28359080"/>
      <w:r>
        <w:rPr>
          <w:rFonts w:ascii="Times New Roman" w:hAnsi="Times New Roman" w:eastAsia="宋体"/>
          <w:sz w:val="24"/>
          <w:szCs w:val="24"/>
        </w:rPr>
        <w:t>二、申请人的资格要求（须同时满足）</w:t>
      </w:r>
      <w:bookmarkEnd w:id="8"/>
      <w:bookmarkEnd w:id="9"/>
      <w:bookmarkEnd w:id="10"/>
      <w:bookmarkEnd w:id="11"/>
    </w:p>
    <w:p>
      <w:pPr>
        <w:pageBreakBefore w:val="0"/>
        <w:kinsoku/>
        <w:wordWrap/>
        <w:overflowPunct/>
        <w:topLinePunct w:val="0"/>
        <w:bidi w:val="0"/>
        <w:spacing w:line="440" w:lineRule="exact"/>
        <w:ind w:firstLine="480" w:firstLineChars="200"/>
        <w:textAlignment w:val="auto"/>
        <w:rPr>
          <w:sz w:val="24"/>
        </w:rPr>
      </w:pPr>
      <w:r>
        <w:rPr>
          <w:sz w:val="24"/>
        </w:rPr>
        <w:t>1.满足《中华人民共和国政府采购法》第二十二条规定；</w:t>
      </w:r>
    </w:p>
    <w:p>
      <w:pPr>
        <w:pageBreakBefore w:val="0"/>
        <w:kinsoku/>
        <w:wordWrap/>
        <w:overflowPunct/>
        <w:topLinePunct w:val="0"/>
        <w:bidi w:val="0"/>
        <w:spacing w:line="440" w:lineRule="exact"/>
        <w:ind w:firstLine="480" w:firstLineChars="200"/>
        <w:textAlignment w:val="auto"/>
        <w:rPr>
          <w:sz w:val="24"/>
        </w:rPr>
      </w:pPr>
      <w:bookmarkStart w:id="12" w:name="_Toc28359081"/>
      <w:bookmarkStart w:id="13" w:name="_Toc28359004"/>
      <w:r>
        <w:rPr>
          <w:sz w:val="24"/>
        </w:rPr>
        <w:t>2.落实政府采购政策需满足的资格要求：</w:t>
      </w:r>
    </w:p>
    <w:p>
      <w:pPr>
        <w:pageBreakBefore w:val="0"/>
        <w:kinsoku/>
        <w:wordWrap/>
        <w:overflowPunct/>
        <w:topLinePunct w:val="0"/>
        <w:bidi w:val="0"/>
        <w:spacing w:line="440" w:lineRule="exact"/>
        <w:ind w:firstLine="480" w:firstLineChars="200"/>
        <w:textAlignment w:val="auto"/>
        <w:rPr>
          <w:sz w:val="24"/>
        </w:rPr>
      </w:pPr>
      <w:r>
        <w:rPr>
          <w:sz w:val="24"/>
        </w:rPr>
        <w:t>2.1 中小企业政策</w:t>
      </w:r>
    </w:p>
    <w:p>
      <w:pPr>
        <w:pageBreakBefore w:val="0"/>
        <w:kinsoku/>
        <w:wordWrap/>
        <w:overflowPunct/>
        <w:topLinePunct w:val="0"/>
        <w:bidi w:val="0"/>
        <w:spacing w:line="440" w:lineRule="exact"/>
        <w:ind w:firstLine="480" w:firstLineChars="200"/>
        <w:textAlignment w:val="auto"/>
        <w:rPr>
          <w:sz w:val="24"/>
        </w:rPr>
      </w:pPr>
      <w:r>
        <w:rPr>
          <w:sz w:val="24"/>
        </w:rPr>
        <w:t>□本项目不专门面向中小企业预留采购份额。</w:t>
      </w:r>
    </w:p>
    <w:p>
      <w:pPr>
        <w:pageBreakBefore w:val="0"/>
        <w:kinsoku/>
        <w:wordWrap/>
        <w:overflowPunct/>
        <w:topLinePunct w:val="0"/>
        <w:bidi w:val="0"/>
        <w:spacing w:line="440" w:lineRule="exact"/>
        <w:ind w:firstLine="422" w:firstLineChars="200"/>
        <w:textAlignment w:val="auto"/>
        <w:rPr>
          <w:sz w:val="24"/>
        </w:rPr>
      </w:pPr>
      <w:r>
        <w:rPr>
          <w:rFonts w:ascii="Times New Roman" w:hAnsi="Times New Roman" w:eastAsia="宋体" w:cs="Times New Roman"/>
          <w:b/>
          <w:bCs/>
          <w:color w:val="auto"/>
          <w:sz w:val="21"/>
          <w:szCs w:val="21"/>
        </w:rPr>
        <w:t>■</w:t>
      </w:r>
      <w:r>
        <w:rPr>
          <w:sz w:val="24"/>
        </w:rPr>
        <w:t>本项目专门面向</w:t>
      </w:r>
      <w:r>
        <w:rPr>
          <w:rFonts w:hint="eastAsia"/>
          <w:sz w:val="24"/>
          <w:lang w:val="en-US" w:eastAsia="zh-CN"/>
        </w:rPr>
        <w:t xml:space="preserve"> </w:t>
      </w:r>
      <w:r>
        <w:rPr>
          <w:sz w:val="24"/>
        </w:rPr>
        <w:t xml:space="preserve">□中小 </w:t>
      </w:r>
      <w:r>
        <w:rPr>
          <w:rFonts w:ascii="Times New Roman" w:hAnsi="Times New Roman" w:eastAsia="宋体" w:cs="Times New Roman"/>
          <w:b/>
          <w:bCs/>
          <w:color w:val="auto"/>
          <w:sz w:val="21"/>
          <w:szCs w:val="21"/>
        </w:rPr>
        <w:t>■</w:t>
      </w:r>
      <w:r>
        <w:rPr>
          <w:sz w:val="24"/>
        </w:rPr>
        <w:t>小微企业采购。即：提供的</w:t>
      </w:r>
      <w:r>
        <w:rPr>
          <w:rFonts w:hint="eastAsia"/>
          <w:sz w:val="24"/>
          <w:lang w:eastAsia="zh-CN"/>
        </w:rPr>
        <w:t>服务</w:t>
      </w:r>
      <w:r>
        <w:rPr>
          <w:sz w:val="24"/>
        </w:rPr>
        <w:t>全部由符合政策要求的小</w:t>
      </w:r>
      <w:r>
        <w:rPr>
          <w:rFonts w:hint="eastAsia"/>
          <w:sz w:val="24"/>
          <w:lang w:eastAsia="zh-CN"/>
        </w:rPr>
        <w:t>微</w:t>
      </w:r>
      <w:r>
        <w:rPr>
          <w:sz w:val="24"/>
        </w:rPr>
        <w:t>企业</w:t>
      </w:r>
      <w:r>
        <w:rPr>
          <w:rFonts w:hint="eastAsia"/>
          <w:sz w:val="24"/>
          <w:lang w:eastAsia="zh-CN"/>
        </w:rPr>
        <w:t>承接</w:t>
      </w:r>
      <w:r>
        <w:rPr>
          <w:sz w:val="24"/>
        </w:rPr>
        <w:t>。</w:t>
      </w:r>
    </w:p>
    <w:p>
      <w:pPr>
        <w:pageBreakBefore w:val="0"/>
        <w:kinsoku/>
        <w:wordWrap/>
        <w:overflowPunct/>
        <w:topLinePunct w:val="0"/>
        <w:bidi w:val="0"/>
        <w:spacing w:line="440" w:lineRule="exact"/>
        <w:ind w:firstLine="480" w:firstLineChars="200"/>
        <w:textAlignment w:val="auto"/>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r>
        <w:rPr>
          <w:rFonts w:hint="eastAsia"/>
          <w:sz w:val="24"/>
        </w:rPr>
        <w:t>。</w:t>
      </w:r>
    </w:p>
    <w:p>
      <w:pPr>
        <w:pageBreakBefore w:val="0"/>
        <w:kinsoku/>
        <w:wordWrap/>
        <w:overflowPunct/>
        <w:topLinePunct w:val="0"/>
        <w:bidi w:val="0"/>
        <w:spacing w:line="440" w:lineRule="exact"/>
        <w:ind w:left="479" w:leftChars="228" w:firstLine="0" w:firstLineChars="0"/>
        <w:textAlignment w:val="auto"/>
        <w:rPr>
          <w:rFonts w:hint="default" w:eastAsia="宋体"/>
          <w:sz w:val="24"/>
          <w:u w:val="single"/>
          <w:lang w:val="en-US" w:eastAsia="zh-CN"/>
        </w:rPr>
      </w:pPr>
      <w:r>
        <w:rPr>
          <w:sz w:val="24"/>
        </w:rPr>
        <w:t>2.2 其它落实政府采购政策的资格要求（如有）</w:t>
      </w:r>
      <w:r>
        <w:rPr>
          <w:sz w:val="24"/>
          <w:u w:val="single"/>
        </w:rPr>
        <w:t>：</w:t>
      </w:r>
      <w:r>
        <w:rPr>
          <w:rFonts w:hint="eastAsia"/>
          <w:sz w:val="24"/>
          <w:u w:val="single"/>
          <w:lang w:val="en-US" w:eastAsia="zh-CN"/>
        </w:rPr>
        <w:t xml:space="preserve">                     </w:t>
      </w:r>
    </w:p>
    <w:p>
      <w:pPr>
        <w:pageBreakBefore w:val="0"/>
        <w:kinsoku/>
        <w:wordWrap/>
        <w:overflowPunct/>
        <w:topLinePunct w:val="0"/>
        <w:bidi w:val="0"/>
        <w:spacing w:line="440" w:lineRule="exact"/>
        <w:ind w:left="479" w:leftChars="228" w:firstLine="0" w:firstLineChars="0"/>
        <w:textAlignment w:val="auto"/>
        <w:rPr>
          <w:i/>
          <w:iCs/>
          <w:sz w:val="24"/>
          <w:u w:val="single"/>
        </w:rPr>
      </w:pPr>
      <w:r>
        <w:rPr>
          <w:sz w:val="24"/>
        </w:rPr>
        <w:t>3.本项目的特定资格要求：</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color w:val="auto"/>
          <w:sz w:val="24"/>
        </w:rPr>
      </w:pPr>
      <w:r>
        <w:rPr>
          <w:sz w:val="24"/>
        </w:rPr>
        <w:t xml:space="preserve">3.1本项目是否接受分支机构参与投标：□是   </w:t>
      </w:r>
      <w:r>
        <w:rPr>
          <w:rFonts w:ascii="Times New Roman" w:hAnsi="Times New Roman" w:eastAsia="宋体" w:cs="Times New Roman"/>
          <w:b/>
          <w:bCs/>
          <w:color w:val="auto"/>
          <w:sz w:val="21"/>
          <w:szCs w:val="21"/>
        </w:rPr>
        <w:t>■</w:t>
      </w:r>
      <w:r>
        <w:rPr>
          <w:sz w:val="24"/>
        </w:rPr>
        <w:t>否；</w:t>
      </w:r>
      <w:r>
        <w:rPr>
          <w:rFonts w:hint="eastAsia"/>
          <w:i/>
          <w:color w:val="auto"/>
          <w:sz w:val="24"/>
        </w:rPr>
        <w:t>（仅当项目涉及银行、保险、石油石化、电力、电信等行业有特殊情况的，可以接受分支机构参与）</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sz w:val="24"/>
        </w:rPr>
      </w:pPr>
      <w:r>
        <w:rPr>
          <w:sz w:val="24"/>
        </w:rPr>
        <w:t>3.2本项目是否属于政府购买服务：</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rFonts w:ascii="Times New Roman" w:hAnsi="Times New Roman" w:eastAsia="宋体" w:cs="Times New Roman"/>
          <w:b/>
          <w:bCs/>
          <w:color w:val="auto"/>
          <w:sz w:val="21"/>
          <w:szCs w:val="21"/>
        </w:rPr>
        <w:t>■</w:t>
      </w:r>
      <w:r>
        <w:rPr>
          <w:sz w:val="24"/>
        </w:rPr>
        <w:t>否</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sz w:val="24"/>
        </w:rPr>
        <w:t>□是，公益一类事业单位、使用事业编制且由财政拨款保障的群团组织，不得作为承接主体；</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rFonts w:eastAsia="宋体"/>
          <w:sz w:val="24"/>
        </w:rPr>
      </w:pPr>
      <w:r>
        <w:rPr>
          <w:sz w:val="24"/>
        </w:rPr>
        <w:t>3.3其他特定资格要求</w:t>
      </w:r>
      <w:r>
        <w:rPr>
          <w:rFonts w:eastAsia="宋体"/>
          <w:sz w:val="24"/>
        </w:rPr>
        <w:t>：</w:t>
      </w:r>
    </w:p>
    <w:p>
      <w:pPr>
        <w:pageBreakBefore w:val="0"/>
        <w:numPr>
          <w:ilvl w:val="0"/>
          <w:numId w:val="2"/>
        </w:numPr>
        <w:tabs>
          <w:tab w:val="left" w:pos="900"/>
          <w:tab w:val="left" w:pos="1134"/>
          <w:tab w:val="left" w:pos="1589"/>
          <w:tab w:val="left" w:pos="5521"/>
        </w:tabs>
        <w:kinsoku/>
        <w:wordWrap/>
        <w:overflowPunct/>
        <w:topLinePunct w:val="0"/>
        <w:bidi w:val="0"/>
        <w:snapToGrid w:val="0"/>
        <w:spacing w:line="440" w:lineRule="exact"/>
        <w:ind w:left="150" w:leftChars="0" w:firstLine="480" w:firstLineChars="0"/>
        <w:textAlignment w:val="auto"/>
        <w:rPr>
          <w:rFonts w:hint="eastAsia" w:ascii="宋体" w:hAnsi="宋体" w:cs="宋体"/>
          <w:color w:val="auto"/>
          <w:sz w:val="24"/>
          <w:szCs w:val="24"/>
          <w:u w:val="none"/>
          <w:lang w:eastAsia="zh-CN"/>
        </w:rPr>
      </w:pPr>
      <w:r>
        <w:rPr>
          <w:rFonts w:ascii="宋体" w:hAnsi="宋体" w:eastAsia="宋体" w:cs="宋体"/>
          <w:color w:val="auto"/>
          <w:sz w:val="24"/>
          <w:szCs w:val="24"/>
          <w:u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 w:val="24"/>
          <w:szCs w:val="24"/>
          <w:u w:val="none"/>
          <w:lang w:eastAsia="zh-CN"/>
        </w:rPr>
        <w:t>。</w:t>
      </w:r>
    </w:p>
    <w:p>
      <w:pPr>
        <w:pageBreakBefore w:val="0"/>
        <w:numPr>
          <w:ilvl w:val="0"/>
          <w:numId w:val="2"/>
        </w:numPr>
        <w:tabs>
          <w:tab w:val="left" w:pos="900"/>
          <w:tab w:val="left" w:pos="1134"/>
          <w:tab w:val="left" w:pos="1589"/>
          <w:tab w:val="left" w:pos="5521"/>
        </w:tabs>
        <w:kinsoku/>
        <w:wordWrap/>
        <w:overflowPunct/>
        <w:topLinePunct w:val="0"/>
        <w:bidi w:val="0"/>
        <w:snapToGrid w:val="0"/>
        <w:spacing w:line="440" w:lineRule="exact"/>
        <w:ind w:left="150" w:leftChars="0" w:firstLine="480" w:firstLineChars="0"/>
        <w:textAlignment w:val="auto"/>
        <w:rPr>
          <w:color w:val="auto"/>
          <w:sz w:val="24"/>
          <w:u w:val="none"/>
        </w:rPr>
      </w:pPr>
      <w:r>
        <w:rPr>
          <w:rFonts w:ascii="宋体" w:hAnsi="宋体" w:eastAsia="宋体" w:cs="宋体"/>
          <w:color w:val="auto"/>
          <w:sz w:val="24"/>
          <w:szCs w:val="24"/>
          <w:u w:val="none"/>
        </w:rPr>
        <w:t>在“信用中国”网站(www.creditchina.gov.cn)信用报告中，中国政府采购网(www.ccgp.gov.cn)查询信用记录，未列入失信被执行人、重大税收违法失信主体名单、政府采购严重违法失信行为记录名单的供应商</w:t>
      </w:r>
      <w:r>
        <w:rPr>
          <w:color w:val="auto"/>
          <w:sz w:val="24"/>
          <w:u w:val="none"/>
        </w:rPr>
        <w:t>。</w:t>
      </w:r>
    </w:p>
    <w:p>
      <w:pPr>
        <w:pageBreakBefore w:val="0"/>
        <w:kinsoku/>
        <w:wordWrap/>
        <w:overflowPunct/>
        <w:topLinePunct w:val="0"/>
        <w:bidi w:val="0"/>
        <w:spacing w:line="440" w:lineRule="exact"/>
        <w:ind w:firstLine="480" w:firstLineChars="200"/>
        <w:textAlignment w:val="auto"/>
        <w:rPr>
          <w:i/>
          <w:iCs/>
          <w:sz w:val="24"/>
          <w:u w:val="single"/>
        </w:rPr>
      </w:pPr>
    </w:p>
    <w:bookmarkEnd w:id="12"/>
    <w:bookmarkEnd w:id="13"/>
    <w:p>
      <w:pPr>
        <w:pStyle w:val="5"/>
        <w:pageBreakBefore w:val="0"/>
        <w:widowControl/>
        <w:kinsoku/>
        <w:wordWrap/>
        <w:overflowPunct/>
        <w:topLinePunct w:val="0"/>
        <w:bidi w:val="0"/>
        <w:spacing w:before="0" w:line="440" w:lineRule="exact"/>
        <w:jc w:val="left"/>
        <w:textAlignment w:val="auto"/>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三、获取招标文件</w:t>
      </w:r>
      <w:bookmarkEnd w:id="14"/>
      <w:bookmarkEnd w:id="15"/>
    </w:p>
    <w:p>
      <w:pPr>
        <w:pageBreakBefore w:val="0"/>
        <w:kinsoku/>
        <w:wordWrap/>
        <w:overflowPunct/>
        <w:topLinePunct w:val="0"/>
        <w:bidi w:val="0"/>
        <w:adjustRightInd w:val="0"/>
        <w:snapToGrid w:val="0"/>
        <w:spacing w:line="440" w:lineRule="exact"/>
        <w:ind w:firstLine="480" w:firstLineChars="200"/>
        <w:textAlignment w:val="auto"/>
        <w:rPr>
          <w:color w:val="auto"/>
          <w:sz w:val="24"/>
          <w:highlight w:val="none"/>
          <w:lang w:bidi="ar"/>
        </w:rPr>
      </w:pPr>
      <w:r>
        <w:rPr>
          <w:color w:val="auto"/>
          <w:sz w:val="24"/>
          <w:highlight w:val="none"/>
          <w:lang w:bidi="ar"/>
        </w:rPr>
        <w:t>1.时间：</w:t>
      </w:r>
      <w:r>
        <w:rPr>
          <w:rFonts w:hint="eastAsia"/>
          <w:color w:val="auto"/>
          <w:sz w:val="24"/>
          <w:highlight w:val="none"/>
          <w:u w:val="single"/>
          <w:lang w:val="en-US" w:eastAsia="zh-CN" w:bidi="ar"/>
        </w:rPr>
        <w:t>2024</w:t>
      </w:r>
      <w:r>
        <w:rPr>
          <w:color w:val="auto"/>
          <w:sz w:val="24"/>
          <w:highlight w:val="none"/>
          <w:u w:val="single"/>
          <w:lang w:bidi="ar"/>
        </w:rPr>
        <w:t>年</w:t>
      </w:r>
      <w:r>
        <w:rPr>
          <w:rFonts w:hint="eastAsia"/>
          <w:color w:val="auto"/>
          <w:sz w:val="24"/>
          <w:highlight w:val="none"/>
          <w:u w:val="single"/>
          <w:lang w:val="en-US" w:eastAsia="zh-CN" w:bidi="ar"/>
        </w:rPr>
        <w:t>2</w:t>
      </w:r>
      <w:r>
        <w:rPr>
          <w:color w:val="auto"/>
          <w:sz w:val="24"/>
          <w:highlight w:val="none"/>
          <w:u w:val="single"/>
          <w:lang w:bidi="ar"/>
        </w:rPr>
        <w:t>月</w:t>
      </w:r>
      <w:r>
        <w:rPr>
          <w:rFonts w:hint="eastAsia"/>
          <w:color w:val="auto"/>
          <w:sz w:val="24"/>
          <w:highlight w:val="none"/>
          <w:u w:val="single"/>
          <w:lang w:val="en-US" w:eastAsia="zh-CN" w:bidi="ar"/>
        </w:rPr>
        <w:t>23</w:t>
      </w:r>
      <w:r>
        <w:rPr>
          <w:color w:val="auto"/>
          <w:sz w:val="24"/>
          <w:highlight w:val="none"/>
          <w:u w:val="single"/>
          <w:lang w:bidi="ar"/>
        </w:rPr>
        <w:t>日至</w:t>
      </w:r>
      <w:r>
        <w:rPr>
          <w:rFonts w:hint="eastAsia"/>
          <w:color w:val="auto"/>
          <w:sz w:val="24"/>
          <w:highlight w:val="none"/>
          <w:u w:val="single"/>
          <w:lang w:val="en-US" w:eastAsia="zh-CN" w:bidi="ar"/>
        </w:rPr>
        <w:t>2024</w:t>
      </w:r>
      <w:r>
        <w:rPr>
          <w:color w:val="auto"/>
          <w:sz w:val="24"/>
          <w:highlight w:val="none"/>
          <w:u w:val="single"/>
          <w:lang w:bidi="ar"/>
        </w:rPr>
        <w:t>年</w:t>
      </w:r>
      <w:r>
        <w:rPr>
          <w:rFonts w:hint="eastAsia"/>
          <w:color w:val="auto"/>
          <w:sz w:val="24"/>
          <w:highlight w:val="none"/>
          <w:u w:val="single"/>
          <w:lang w:val="en-US" w:eastAsia="zh-CN" w:bidi="ar"/>
        </w:rPr>
        <w:t>3</w:t>
      </w:r>
      <w:r>
        <w:rPr>
          <w:color w:val="auto"/>
          <w:sz w:val="24"/>
          <w:highlight w:val="none"/>
          <w:u w:val="single"/>
          <w:lang w:bidi="ar"/>
        </w:rPr>
        <w:t>月</w:t>
      </w:r>
      <w:r>
        <w:rPr>
          <w:rFonts w:hint="eastAsia"/>
          <w:color w:val="auto"/>
          <w:sz w:val="24"/>
          <w:highlight w:val="none"/>
          <w:u w:val="single"/>
          <w:lang w:val="en-US" w:eastAsia="zh-CN" w:bidi="ar"/>
        </w:rPr>
        <w:t>1</w:t>
      </w:r>
      <w:r>
        <w:rPr>
          <w:color w:val="auto"/>
          <w:sz w:val="24"/>
          <w:highlight w:val="none"/>
          <w:u w:val="single"/>
          <w:lang w:bidi="ar"/>
        </w:rPr>
        <w:t>日，每天上午</w:t>
      </w:r>
      <w:r>
        <w:rPr>
          <w:rFonts w:hint="eastAsia"/>
          <w:color w:val="auto"/>
          <w:sz w:val="24"/>
          <w:highlight w:val="none"/>
          <w:u w:val="single"/>
          <w:lang w:val="en-US" w:eastAsia="zh-CN" w:bidi="ar"/>
        </w:rPr>
        <w:t>9点</w:t>
      </w:r>
      <w:r>
        <w:rPr>
          <w:color w:val="auto"/>
          <w:sz w:val="24"/>
          <w:highlight w:val="none"/>
          <w:u w:val="single"/>
          <w:lang w:bidi="ar"/>
        </w:rPr>
        <w:t>至</w:t>
      </w:r>
      <w:r>
        <w:rPr>
          <w:rFonts w:hint="eastAsia"/>
          <w:color w:val="auto"/>
          <w:sz w:val="24"/>
          <w:highlight w:val="none"/>
          <w:u w:val="single"/>
          <w:lang w:val="en-US" w:eastAsia="zh-CN" w:bidi="ar"/>
        </w:rPr>
        <w:t>12点</w:t>
      </w:r>
      <w:r>
        <w:rPr>
          <w:color w:val="auto"/>
          <w:sz w:val="24"/>
          <w:highlight w:val="none"/>
          <w:u w:val="single"/>
          <w:lang w:bidi="ar"/>
        </w:rPr>
        <w:t>，下午</w:t>
      </w:r>
      <w:r>
        <w:rPr>
          <w:rFonts w:hint="eastAsia"/>
          <w:color w:val="auto"/>
          <w:sz w:val="24"/>
          <w:highlight w:val="none"/>
          <w:u w:val="single"/>
          <w:lang w:val="en-US" w:eastAsia="zh-CN" w:bidi="ar"/>
        </w:rPr>
        <w:t>12点</w:t>
      </w:r>
      <w:r>
        <w:rPr>
          <w:color w:val="auto"/>
          <w:sz w:val="24"/>
          <w:highlight w:val="none"/>
          <w:u w:val="single"/>
          <w:lang w:bidi="ar"/>
        </w:rPr>
        <w:t>至</w:t>
      </w:r>
      <w:r>
        <w:rPr>
          <w:rFonts w:hint="eastAsia"/>
          <w:color w:val="auto"/>
          <w:sz w:val="24"/>
          <w:highlight w:val="none"/>
          <w:u w:val="single"/>
          <w:lang w:val="en-US" w:eastAsia="zh-CN" w:bidi="ar"/>
        </w:rPr>
        <w:t>17点</w:t>
      </w:r>
      <w:r>
        <w:rPr>
          <w:color w:val="auto"/>
          <w:sz w:val="24"/>
          <w:highlight w:val="none"/>
          <w:lang w:bidi="ar"/>
        </w:rPr>
        <w:t>。</w:t>
      </w:r>
    </w:p>
    <w:p>
      <w:pPr>
        <w:pageBreakBefore w:val="0"/>
        <w:kinsoku/>
        <w:wordWrap/>
        <w:overflowPunct/>
        <w:topLinePunct w:val="0"/>
        <w:bidi w:val="0"/>
        <w:adjustRightInd w:val="0"/>
        <w:snapToGrid w:val="0"/>
        <w:spacing w:line="440" w:lineRule="exact"/>
        <w:ind w:firstLine="480" w:firstLineChars="200"/>
        <w:textAlignment w:val="auto"/>
        <w:rPr>
          <w:sz w:val="24"/>
        </w:rPr>
      </w:pPr>
      <w:r>
        <w:rPr>
          <w:sz w:val="24"/>
          <w:lang w:bidi="ar"/>
        </w:rPr>
        <w:t>2.地点：北京市政府采购电子交易平台</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lang w:bidi="ar"/>
        </w:rPr>
      </w:pPr>
      <w:r>
        <w:rPr>
          <w:sz w:val="24"/>
          <w:lang w:bidi="ar"/>
        </w:rPr>
        <w:t>3.方式：供应商持CA数字认证证书登录北京市政府采购电子交易平台（http://zbcg-bjzc.zhongcy.com/bjczj-portal-site/index.html#/home）获取电子版招标文件。</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rPr>
      </w:pPr>
      <w:r>
        <w:rPr>
          <w:sz w:val="24"/>
          <w:lang w:bidi="ar"/>
        </w:rPr>
        <w:t>4.售价：0元。</w:t>
      </w:r>
    </w:p>
    <w:p>
      <w:pPr>
        <w:pageBreakBefore w:val="0"/>
        <w:tabs>
          <w:tab w:val="left" w:pos="900"/>
          <w:tab w:val="left" w:pos="1980"/>
        </w:tabs>
        <w:kinsoku/>
        <w:wordWrap/>
        <w:overflowPunct/>
        <w:topLinePunct w:val="0"/>
        <w:bidi w:val="0"/>
        <w:snapToGrid w:val="0"/>
        <w:spacing w:line="440" w:lineRule="exact"/>
        <w:ind w:left="840"/>
        <w:textAlignment w:val="auto"/>
        <w:rPr>
          <w:sz w:val="24"/>
        </w:rPr>
      </w:pPr>
    </w:p>
    <w:p>
      <w:pPr>
        <w:pStyle w:val="5"/>
        <w:pageBreakBefore w:val="0"/>
        <w:widowControl/>
        <w:numPr>
          <w:ilvl w:val="0"/>
          <w:numId w:val="3"/>
        </w:numPr>
        <w:kinsoku/>
        <w:wordWrap/>
        <w:overflowPunct/>
        <w:topLinePunct w:val="0"/>
        <w:bidi w:val="0"/>
        <w:spacing w:before="0" w:line="440" w:lineRule="exact"/>
        <w:jc w:val="left"/>
        <w:textAlignment w:val="auto"/>
        <w:rPr>
          <w:rFonts w:ascii="Times New Roman" w:hAnsi="Times New Roman" w:eastAsia="宋体"/>
          <w:color w:val="auto"/>
          <w:sz w:val="24"/>
          <w:szCs w:val="24"/>
        </w:rPr>
      </w:pPr>
      <w:bookmarkStart w:id="16" w:name="_Toc28359082"/>
      <w:bookmarkStart w:id="17" w:name="_Toc28359005"/>
      <w:bookmarkStart w:id="18" w:name="_Toc35393624"/>
      <w:bookmarkStart w:id="19" w:name="_Toc35393793"/>
      <w:r>
        <w:rPr>
          <w:rFonts w:ascii="Times New Roman" w:hAnsi="Times New Roman" w:eastAsia="宋体"/>
          <w:color w:val="auto"/>
          <w:sz w:val="24"/>
          <w:szCs w:val="24"/>
        </w:rPr>
        <w:t>提交投标文件</w:t>
      </w:r>
      <w:bookmarkEnd w:id="16"/>
      <w:bookmarkEnd w:id="17"/>
      <w:r>
        <w:rPr>
          <w:rFonts w:ascii="Times New Roman" w:hAnsi="Times New Roman" w:eastAsia="宋体"/>
          <w:color w:val="auto"/>
          <w:sz w:val="24"/>
          <w:szCs w:val="24"/>
        </w:rPr>
        <w:t>截止时间</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开标时间和地点</w:t>
      </w:r>
      <w:bookmarkEnd w:id="18"/>
      <w:bookmarkEnd w:id="19"/>
    </w:p>
    <w:p>
      <w:pPr>
        <w:pageBreakBefore w:val="0"/>
        <w:kinsoku/>
        <w:wordWrap/>
        <w:overflowPunct/>
        <w:topLinePunct w:val="0"/>
        <w:bidi w:val="0"/>
        <w:adjustRightInd w:val="0"/>
        <w:snapToGrid w:val="0"/>
        <w:spacing w:line="440" w:lineRule="exact"/>
        <w:ind w:firstLine="480" w:firstLineChars="200"/>
        <w:textAlignment w:val="auto"/>
        <w:rPr>
          <w:rFonts w:hint="default"/>
          <w:color w:val="auto"/>
          <w:sz w:val="24"/>
          <w:highlight w:val="none"/>
          <w:lang w:val="en-US" w:eastAsia="zh-CN" w:bidi="ar"/>
        </w:rPr>
      </w:pPr>
      <w:r>
        <w:rPr>
          <w:rFonts w:hint="eastAsia"/>
          <w:color w:val="auto"/>
          <w:sz w:val="24"/>
          <w:highlight w:val="none"/>
          <w:lang w:val="en-US" w:eastAsia="zh-CN" w:bidi="ar"/>
        </w:rPr>
        <w:t>1.</w:t>
      </w:r>
      <w:r>
        <w:rPr>
          <w:rFonts w:ascii="Times New Roman" w:hAnsi="Times New Roman" w:eastAsia="宋体"/>
          <w:color w:val="auto"/>
          <w:sz w:val="24"/>
          <w:szCs w:val="24"/>
          <w:highlight w:val="none"/>
        </w:rPr>
        <w:t>投标截止时间</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开标时间</w:t>
      </w:r>
      <w:r>
        <w:rPr>
          <w:rFonts w:hint="eastAsia"/>
          <w:color w:val="auto"/>
          <w:sz w:val="24"/>
          <w:highlight w:val="none"/>
          <w:lang w:val="en-US" w:eastAsia="zh-CN" w:bidi="ar"/>
        </w:rPr>
        <w:t>：</w:t>
      </w:r>
      <w:r>
        <w:rPr>
          <w:rFonts w:hint="eastAsia"/>
          <w:color w:val="auto"/>
          <w:sz w:val="24"/>
          <w:highlight w:val="none"/>
          <w:u w:val="single"/>
          <w:lang w:val="en-US" w:eastAsia="zh-CN" w:bidi="ar"/>
        </w:rPr>
        <w:t>2024年3月18日9点30分</w:t>
      </w:r>
    </w:p>
    <w:p>
      <w:pPr>
        <w:pageBreakBefore w:val="0"/>
        <w:kinsoku/>
        <w:wordWrap/>
        <w:overflowPunct/>
        <w:topLinePunct w:val="0"/>
        <w:bidi w:val="0"/>
        <w:spacing w:line="440" w:lineRule="exact"/>
        <w:ind w:firstLine="480" w:firstLineChars="200"/>
        <w:textAlignment w:val="auto"/>
        <w:rPr>
          <w:rFonts w:hint="eastAsia"/>
          <w:color w:val="auto"/>
          <w:sz w:val="24"/>
          <w:highlight w:val="none"/>
          <w:u w:val="none"/>
          <w:lang w:val="en-US" w:eastAsia="zh-CN" w:bidi="ar"/>
        </w:rPr>
      </w:pPr>
      <w:r>
        <w:rPr>
          <w:rFonts w:hint="eastAsia"/>
          <w:color w:val="auto"/>
          <w:sz w:val="24"/>
          <w:highlight w:val="none"/>
          <w:lang w:val="en-US" w:eastAsia="zh-CN" w:bidi="ar"/>
        </w:rPr>
        <w:t>2.</w:t>
      </w:r>
      <w:r>
        <w:rPr>
          <w:color w:val="auto"/>
          <w:sz w:val="24"/>
          <w:highlight w:val="none"/>
          <w:lang w:bidi="ar"/>
        </w:rPr>
        <w:t>地点：</w:t>
      </w:r>
      <w:r>
        <w:rPr>
          <w:color w:val="auto"/>
          <w:sz w:val="24"/>
          <w:highlight w:val="none"/>
          <w:u w:val="single"/>
          <w:lang w:bidi="ar"/>
        </w:rPr>
        <w:t>北京市昌平区富康路32号昌平区公共资源交易中心开标室</w:t>
      </w:r>
      <w:r>
        <w:rPr>
          <w:rFonts w:hint="eastAsia"/>
          <w:color w:val="auto"/>
          <w:sz w:val="24"/>
          <w:highlight w:val="none"/>
          <w:u w:val="single"/>
          <w:lang w:val="en-US" w:eastAsia="zh-CN" w:bidi="ar"/>
        </w:rPr>
        <w:t>(</w:t>
      </w:r>
      <w:r>
        <w:rPr>
          <w:rFonts w:ascii="宋体" w:hAnsi="宋体" w:eastAsia="宋体" w:cs="宋体"/>
          <w:sz w:val="24"/>
          <w:szCs w:val="24"/>
        </w:rPr>
        <w:t xml:space="preserve">允许远程在线开标，请保持联系人电话畅通，并于解密功能开启后及时进行自行解密操作 </w:t>
      </w:r>
      <w:r>
        <w:rPr>
          <w:rFonts w:hint="eastAsia"/>
          <w:color w:val="auto"/>
          <w:sz w:val="24"/>
          <w:highlight w:val="none"/>
          <w:u w:val="none"/>
          <w:lang w:val="en-US" w:eastAsia="zh-CN" w:bidi="ar"/>
        </w:rPr>
        <w:t xml:space="preserve">) </w:t>
      </w:r>
    </w:p>
    <w:p>
      <w:pPr>
        <w:pageBreakBefore w:val="0"/>
        <w:kinsoku/>
        <w:wordWrap/>
        <w:overflowPunct/>
        <w:topLinePunct w:val="0"/>
        <w:bidi w:val="0"/>
        <w:spacing w:line="440" w:lineRule="exact"/>
        <w:ind w:firstLine="480" w:firstLineChars="200"/>
        <w:textAlignment w:val="auto"/>
        <w:rPr>
          <w:rFonts w:hint="default"/>
          <w:color w:val="auto"/>
          <w:sz w:val="24"/>
          <w:highlight w:val="none"/>
          <w:u w:val="single"/>
          <w:lang w:val="en-US" w:eastAsia="zh-CN" w:bidi="ar"/>
        </w:rPr>
      </w:pPr>
    </w:p>
    <w:p>
      <w:pPr>
        <w:pStyle w:val="5"/>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20" w:name="_Toc35393625"/>
      <w:bookmarkStart w:id="21" w:name="_Toc28359007"/>
      <w:bookmarkStart w:id="22" w:name="_Toc35393794"/>
      <w:bookmarkStart w:id="23" w:name="_Toc28359084"/>
      <w:r>
        <w:rPr>
          <w:rFonts w:ascii="Times New Roman" w:hAnsi="Times New Roman" w:eastAsia="宋体"/>
          <w:sz w:val="24"/>
          <w:szCs w:val="24"/>
        </w:rPr>
        <w:t>五、公告期限</w:t>
      </w:r>
      <w:bookmarkEnd w:id="20"/>
      <w:bookmarkEnd w:id="21"/>
      <w:bookmarkEnd w:id="22"/>
      <w:bookmarkEnd w:id="23"/>
    </w:p>
    <w:p>
      <w:pPr>
        <w:pageBreakBefore w:val="0"/>
        <w:kinsoku/>
        <w:wordWrap/>
        <w:overflowPunct/>
        <w:topLinePunct w:val="0"/>
        <w:bidi w:val="0"/>
        <w:spacing w:line="440" w:lineRule="exact"/>
        <w:ind w:firstLine="480" w:firstLineChars="200"/>
        <w:textAlignment w:val="auto"/>
        <w:rPr>
          <w:kern w:val="0"/>
          <w:sz w:val="24"/>
        </w:rPr>
      </w:pPr>
      <w:r>
        <w:rPr>
          <w:kern w:val="0"/>
          <w:sz w:val="24"/>
        </w:rPr>
        <w:t>自本公告发布之日起5个工作日。</w:t>
      </w:r>
    </w:p>
    <w:p>
      <w:pPr>
        <w:pStyle w:val="5"/>
        <w:pageBreakBefore w:val="0"/>
        <w:kinsoku/>
        <w:wordWrap/>
        <w:overflowPunct/>
        <w:topLinePunct w:val="0"/>
        <w:bidi w:val="0"/>
        <w:spacing w:before="0" w:line="440" w:lineRule="exact"/>
        <w:jc w:val="left"/>
        <w:textAlignment w:val="auto"/>
        <w:rPr>
          <w:rFonts w:ascii="Times New Roman" w:hAnsi="Times New Roman" w:eastAsia="宋体"/>
          <w:sz w:val="24"/>
          <w:szCs w:val="24"/>
        </w:rPr>
      </w:pPr>
    </w:p>
    <w:p>
      <w:pPr>
        <w:pStyle w:val="5"/>
        <w:pageBreakBefore w:val="0"/>
        <w:kinsoku/>
        <w:wordWrap/>
        <w:overflowPunct/>
        <w:topLinePunct w:val="0"/>
        <w:bidi w:val="0"/>
        <w:spacing w:before="0" w:line="440" w:lineRule="exact"/>
        <w:jc w:val="left"/>
        <w:textAlignment w:val="auto"/>
        <w:rPr>
          <w:rFonts w:ascii="Times New Roman" w:hAnsi="Times New Roman" w:eastAsia="宋体"/>
          <w:sz w:val="24"/>
          <w:szCs w:val="24"/>
        </w:rPr>
      </w:pPr>
      <w:r>
        <w:rPr>
          <w:rFonts w:ascii="Times New Roman" w:hAnsi="Times New Roman" w:eastAsia="宋体"/>
          <w:sz w:val="24"/>
          <w:szCs w:val="24"/>
        </w:rPr>
        <w:t>六、其他补充事宜</w:t>
      </w:r>
      <w:bookmarkEnd w:id="1"/>
      <w:bookmarkEnd w:id="2"/>
    </w:p>
    <w:p>
      <w:pPr>
        <w:pageBreakBefore w:val="0"/>
        <w:kinsoku/>
        <w:wordWrap/>
        <w:overflowPunct/>
        <w:topLinePunct w:val="0"/>
        <w:bidi w:val="0"/>
        <w:spacing w:line="440" w:lineRule="exact"/>
        <w:ind w:firstLine="480" w:firstLineChars="200"/>
        <w:textAlignment w:val="auto"/>
        <w:rPr>
          <w:rFonts w:hint="default"/>
          <w:color w:val="C00000"/>
          <w:sz w:val="24"/>
          <w:u w:val="single"/>
          <w:lang w:val="en-US" w:eastAsia="zh-CN"/>
        </w:rPr>
      </w:pPr>
      <w:r>
        <w:rPr>
          <w:sz w:val="24"/>
        </w:rPr>
        <w:t>1.本项目需要落实的政府采购政策：</w:t>
      </w:r>
      <w:r>
        <w:rPr>
          <w:rFonts w:hint="eastAsia"/>
          <w:color w:val="auto"/>
          <w:sz w:val="24"/>
          <w:u w:val="single"/>
          <w:lang w:val="en-US" w:eastAsia="zh-CN"/>
        </w:rPr>
        <w:t xml:space="preserve">           </w:t>
      </w:r>
      <w:r>
        <w:rPr>
          <w:rFonts w:hint="eastAsia"/>
          <w:color w:val="auto"/>
          <w:sz w:val="24"/>
          <w:u w:val="none"/>
          <w:lang w:val="en-US" w:eastAsia="zh-CN"/>
        </w:rPr>
        <w:t>。</w:t>
      </w:r>
    </w:p>
    <w:p>
      <w:pPr>
        <w:pageBreakBefore w:val="0"/>
        <w:kinsoku/>
        <w:wordWrap/>
        <w:overflowPunct/>
        <w:topLinePunct w:val="0"/>
        <w:bidi w:val="0"/>
        <w:spacing w:line="440" w:lineRule="exact"/>
        <w:ind w:firstLine="480" w:firstLineChars="200"/>
        <w:textAlignment w:val="auto"/>
        <w:rPr>
          <w:rFonts w:hint="eastAsia" w:ascii="Times New Roman" w:hAnsi="Times New Roman" w:eastAsia="宋体" w:cs="Times New Roman"/>
          <w:i/>
          <w:color w:val="auto"/>
          <w:kern w:val="2"/>
          <w:sz w:val="24"/>
          <w:szCs w:val="24"/>
          <w:lang w:val="en-US" w:eastAsia="zh-CN" w:bidi="ar-SA"/>
        </w:rPr>
      </w:pPr>
      <w:r>
        <w:rPr>
          <w:rFonts w:hint="eastAsia" w:ascii="Times New Roman" w:hAnsi="Times New Roman" w:eastAsia="宋体" w:cs="Times New Roman"/>
          <w:b w:val="0"/>
          <w:bCs/>
          <w:kern w:val="0"/>
          <w:sz w:val="24"/>
          <w:szCs w:val="24"/>
          <w:lang w:val="en-US" w:eastAsia="zh-CN" w:bidi="ar-SA"/>
        </w:rPr>
        <w:t>2.本项目的采购年限为____年、预算金额为____万元、当年安排数为____万元。</w:t>
      </w:r>
      <w:r>
        <w:rPr>
          <w:rFonts w:hint="eastAsia" w:ascii="Times New Roman" w:hAnsi="Times New Roman" w:eastAsia="宋体" w:cs="Times New Roman"/>
          <w:b/>
          <w:kern w:val="0"/>
          <w:sz w:val="24"/>
          <w:szCs w:val="24"/>
          <w:lang w:val="en-US" w:eastAsia="zh-CN" w:bidi="ar-SA"/>
        </w:rPr>
        <w:t xml:space="preserve"> </w:t>
      </w:r>
      <w:r>
        <w:rPr>
          <w:rFonts w:hint="eastAsia" w:ascii="Times New Roman" w:hAnsi="Times New Roman" w:eastAsia="宋体" w:cs="Times New Roman"/>
          <w:i/>
          <w:color w:val="auto"/>
          <w:kern w:val="2"/>
          <w:sz w:val="24"/>
          <w:szCs w:val="24"/>
          <w:lang w:val="en-US" w:eastAsia="zh-CN" w:bidi="ar-SA"/>
        </w:rPr>
        <w:t>（仅</w:t>
      </w:r>
    </w:p>
    <w:p>
      <w:pPr>
        <w:pStyle w:val="2"/>
        <w:pageBreakBefore w:val="0"/>
        <w:kinsoku/>
        <w:wordWrap/>
        <w:overflowPunct/>
        <w:topLinePunct w:val="0"/>
        <w:bidi w:val="0"/>
        <w:spacing w:line="440" w:lineRule="exact"/>
        <w:ind w:left="0" w:leftChars="0" w:firstLine="0" w:firstLineChars="0"/>
        <w:textAlignment w:val="auto"/>
      </w:pPr>
      <w:r>
        <w:rPr>
          <w:rFonts w:hint="eastAsia" w:ascii="Times New Roman" w:hAnsi="Times New Roman" w:eastAsia="宋体" w:cs="Times New Roman"/>
          <w:i/>
          <w:color w:val="auto"/>
          <w:kern w:val="2"/>
          <w:sz w:val="24"/>
          <w:szCs w:val="24"/>
          <w:lang w:val="en-US" w:eastAsia="zh-CN" w:bidi="ar-SA"/>
        </w:rPr>
        <w:t>适用于部门预算分年度安排但不宜按年度拆分的采购项目。</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color w:val="0000FF"/>
          <w:sz w:val="24"/>
          <w:lang w:eastAsia="zh-CN"/>
        </w:rPr>
      </w:pPr>
      <w:r>
        <w:rPr>
          <w:rFonts w:hint="eastAsia" w:ascii="宋体" w:hAnsi="宋体" w:cs="宋体"/>
          <w:b/>
          <w:bCs/>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本</w:t>
      </w:r>
      <w:r>
        <w:rPr>
          <w:rFonts w:hint="eastAsia" w:ascii="宋体" w:hAnsi="宋体" w:eastAsia="宋体" w:cs="宋体"/>
          <w:i w:val="0"/>
          <w:caps w:val="0"/>
          <w:color w:val="404040"/>
          <w:spacing w:val="0"/>
          <w:sz w:val="24"/>
          <w:szCs w:val="24"/>
          <w:shd w:val="clear" w:color="auto" w:fill="FFFFFF"/>
        </w:rPr>
        <w:t>项目信息公告发布于财政部门指定的政府采购信息发布媒体：中国政府采购网（</w:t>
      </w:r>
      <w:r>
        <w:rPr>
          <w:rFonts w:ascii="微软雅黑" w:hAnsi="微软雅黑" w:eastAsia="微软雅黑" w:cs="微软雅黑"/>
          <w:i w:val="0"/>
          <w:caps w:val="0"/>
          <w:color w:val="404040"/>
          <w:spacing w:val="0"/>
          <w:sz w:val="24"/>
          <w:szCs w:val="24"/>
          <w:shd w:val="clear" w:color="auto" w:fill="FFFFFF"/>
        </w:rPr>
        <w:t>www.ccgp.gov.cn</w:t>
      </w:r>
      <w:r>
        <w:rPr>
          <w:rFonts w:hint="eastAsia" w:ascii="宋体" w:hAnsi="宋体" w:eastAsia="宋体" w:cs="宋体"/>
          <w:i w:val="0"/>
          <w:caps w:val="0"/>
          <w:color w:val="404040"/>
          <w:spacing w:val="0"/>
          <w:sz w:val="24"/>
          <w:szCs w:val="24"/>
          <w:shd w:val="clear" w:color="auto" w:fill="FFFFFF"/>
        </w:rPr>
        <w:t>）和北京市政府采购网（</w:t>
      </w:r>
      <w:r>
        <w:rPr>
          <w:rFonts w:hint="eastAsia" w:ascii="微软雅黑" w:hAnsi="微软雅黑" w:eastAsia="微软雅黑" w:cs="微软雅黑"/>
          <w:i w:val="0"/>
          <w:caps w:val="0"/>
          <w:color w:val="404040"/>
          <w:spacing w:val="0"/>
          <w:sz w:val="24"/>
          <w:szCs w:val="24"/>
          <w:shd w:val="clear" w:color="auto" w:fill="FFFFFF"/>
        </w:rPr>
        <w:t>www.ccgp-beijing.gov.cn</w:t>
      </w:r>
      <w:r>
        <w:rPr>
          <w:rFonts w:hint="eastAsia" w:ascii="宋体" w:hAnsi="宋体" w:eastAsia="宋体" w:cs="宋体"/>
          <w:i w:val="0"/>
          <w:caps w:val="0"/>
          <w:color w:val="404040"/>
          <w:spacing w:val="0"/>
          <w:sz w:val="24"/>
          <w:szCs w:val="24"/>
          <w:shd w:val="clear" w:color="auto" w:fill="FFFFFF"/>
        </w:rPr>
        <w:t>）</w:t>
      </w:r>
      <w:r>
        <w:rPr>
          <w:rFonts w:hint="eastAsia"/>
          <w:color w:val="0000FF"/>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4.</w:t>
      </w:r>
      <w:r>
        <w:rPr>
          <w:rFonts w:hint="eastAsia" w:ascii="宋体" w:hAnsi="宋体" w:eastAsia="宋体" w:cs="Times New Roman"/>
          <w:kern w:val="2"/>
          <w:sz w:val="24"/>
          <w:szCs w:val="24"/>
          <w:lang w:val="en-US" w:eastAsia="zh-CN" w:bidi="ar-SA"/>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CA 数字证书服务热线 010-58511086</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电子营业执照服务热线 400-699-7000</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技术支持服务热线 010-86483801</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.1 办理 CA 数字证书或电子营业执照</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供应商登录北京市政府采购电子交易平台查阅 “用户指南”—“操作指南”—“市场主体 CA 办理操作流程指引”/“电子营业执照使用指南”，按照程序要求办理。</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.2 注册</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供应商登录北京市政府采购电子交易平台“用户指南”—“操作指南”—“市场主体注册入库操作流程指引”进行自助注册绑定。</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.3 驱动、客户端下载</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供应商登录北京市政府采购电子交易平台“用户指南”—“工具下载”—“招标采购系统文件驱动安装包”下载相关驱动。</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供应商登录北京市政府采购电子交易平台“用户指南”—“工具下载”—“投标文件编制工具”下载相关客户端。</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.4 获取电子招标文件</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供应商使用 CA 数字证书或电子营业执照登录北京市政府采购电子交易平台获取电子招标文件。</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供应商如计划参与多个采购包的投标，应在登录北京市政府采购电子交易平台后，</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在【我的项目】栏目依次选择对应采购包，进入项目工作台招标/采购文件环节分别按</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采购包下载招标文件电子版。未在规定期限内按上述操作获取文件的采购包，供应商无法提交相应包的电子投标文件。</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.5 编制电子投标文件</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供应商应使用电子投标客户端编制电子投标文件并进行线上投标，供应商电子投标</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文件需要加密并加盖电子签章，如无法按照要求在电子投标文件中加盖电子签章和加密，请及时通过技术支持服务热线联系技术人员。</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.6 提交电子投标文件</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供应商应于投标截止时间前在北京市政府采购电子交易平台提交电子投标文件，上</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传电子投标文件过程中请保持与互联网的连接畅通。</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.7 电子开标</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lang w:val="zh-TW" w:bidi="ar"/>
        </w:rPr>
      </w:pPr>
      <w:r>
        <w:rPr>
          <w:rFonts w:hint="eastAsia"/>
        </w:rPr>
        <w:t>供应商在开标地点使用 CA 数字证书或电子营业执照登录北京市政府采购电子交易平台进行电子开标。</w:t>
      </w:r>
    </w:p>
    <w:p>
      <w:pPr>
        <w:pageBreakBefore w:val="0"/>
        <w:numPr>
          <w:ilvl w:val="0"/>
          <w:numId w:val="0"/>
        </w:numPr>
        <w:kinsoku/>
        <w:wordWrap/>
        <w:overflowPunct/>
        <w:topLinePunct w:val="0"/>
        <w:bidi w:val="0"/>
        <w:spacing w:line="440" w:lineRule="exact"/>
        <w:ind w:firstLine="482" w:firstLineChars="200"/>
        <w:textAlignment w:val="auto"/>
        <w:rPr>
          <w:rFonts w:hint="eastAsia"/>
          <w:b/>
          <w:bCs/>
          <w:color w:val="auto"/>
          <w:sz w:val="24"/>
          <w:highlight w:val="none"/>
          <w:lang w:val="en-US" w:eastAsia="zh-CN" w:bidi="ar"/>
        </w:rPr>
      </w:pPr>
      <w:r>
        <w:rPr>
          <w:rFonts w:hint="eastAsia"/>
          <w:b/>
          <w:bCs/>
          <w:sz w:val="24"/>
          <w:lang w:val="en-US" w:eastAsia="zh-CN" w:bidi="ar"/>
        </w:rPr>
        <w:t>5.</w:t>
      </w:r>
      <w:r>
        <w:rPr>
          <w:rFonts w:hint="eastAsia"/>
          <w:b/>
          <w:bCs/>
          <w:color w:val="auto"/>
          <w:sz w:val="24"/>
          <w:lang w:val="en-US" w:eastAsia="zh-CN" w:bidi="ar"/>
        </w:rPr>
        <w:t>项目解密开始时间即开标时间，解密时间60分钟，在解密截止时间投标商未完成解密的</w:t>
      </w:r>
      <w:r>
        <w:rPr>
          <w:rFonts w:hint="eastAsia"/>
          <w:b/>
          <w:bCs/>
          <w:color w:val="auto"/>
          <w:sz w:val="24"/>
          <w:highlight w:val="none"/>
          <w:lang w:val="en-US" w:eastAsia="zh-CN" w:bidi="ar"/>
        </w:rPr>
        <w:t>，视为无效投标。因系统原因除外。</w:t>
      </w:r>
    </w:p>
    <w:p>
      <w:pPr>
        <w:pStyle w:val="6"/>
        <w:pageBreakBefore w:val="0"/>
        <w:kinsoku/>
        <w:wordWrap/>
        <w:overflowPunct/>
        <w:topLinePunct w:val="0"/>
        <w:bidi w:val="0"/>
        <w:spacing w:line="440" w:lineRule="exact"/>
        <w:ind w:firstLine="482" w:firstLineChars="200"/>
        <w:textAlignment w:val="auto"/>
        <w:rPr>
          <w:rFonts w:hint="eastAsia"/>
          <w:lang w:val="en-US" w:eastAsia="zh-CN"/>
        </w:rPr>
      </w:pPr>
      <w:r>
        <w:rPr>
          <w:rFonts w:hint="eastAsia" w:ascii="Calibri"/>
          <w:b/>
          <w:bCs/>
          <w:lang w:val="en-US" w:eastAsia="zh-CN" w:bidi="ar"/>
        </w:rPr>
        <w:t>6.</w:t>
      </w:r>
      <w:r>
        <w:rPr>
          <w:rFonts w:hint="eastAsia" w:ascii="Calibri"/>
          <w:b/>
          <w:bCs/>
          <w:lang w:bidi="ar"/>
        </w:rPr>
        <w:t>请务必认真研究北京市电子交易平台操作细则，确认已“关注并下载”（关注与下载必须都完成，否则影响投标）拟参与投标各包的招标文件，以免影响投标。</w:t>
      </w:r>
    </w:p>
    <w:p>
      <w:pPr>
        <w:pageBreakBefore w:val="0"/>
        <w:kinsoku/>
        <w:wordWrap/>
        <w:overflowPunct/>
        <w:topLinePunct w:val="0"/>
        <w:bidi w:val="0"/>
        <w:spacing w:line="440" w:lineRule="exact"/>
        <w:ind w:firstLine="480" w:firstLineChars="200"/>
        <w:textAlignment w:val="auto"/>
        <w:rPr>
          <w:sz w:val="24"/>
        </w:rPr>
      </w:pPr>
    </w:p>
    <w:p>
      <w:pPr>
        <w:pStyle w:val="5"/>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24" w:name="_Toc35393796"/>
      <w:bookmarkStart w:id="25" w:name="_Toc28359085"/>
      <w:bookmarkStart w:id="26" w:name="_Toc28359008"/>
      <w:bookmarkStart w:id="27" w:name="_Toc35393627"/>
      <w:bookmarkStart w:id="28" w:name="_Toc127151777"/>
      <w:bookmarkStart w:id="29" w:name="_Toc265228423"/>
      <w:bookmarkStart w:id="30" w:name="_Toc226965856"/>
      <w:bookmarkStart w:id="31" w:name="_Toc195842950"/>
      <w:bookmarkStart w:id="32" w:name="_Toc127161488"/>
      <w:bookmarkStart w:id="33" w:name="_Toc99301420"/>
      <w:bookmarkStart w:id="34" w:name="_Toc264969275"/>
      <w:bookmarkStart w:id="35" w:name="_Toc305158854"/>
      <w:bookmarkStart w:id="36" w:name="_Toc353825548"/>
      <w:bookmarkStart w:id="37" w:name="_Toc353873938"/>
      <w:bookmarkStart w:id="38" w:name="_Toc305158928"/>
      <w:bookmarkStart w:id="39" w:name="_Toc512937850"/>
      <w:bookmarkStart w:id="40" w:name="_Toc150774783"/>
      <w:r>
        <w:rPr>
          <w:rFonts w:ascii="Times New Roman" w:hAnsi="Times New Roman" w:eastAsia="宋体"/>
          <w:sz w:val="24"/>
          <w:szCs w:val="24"/>
        </w:rPr>
        <w:t>七、对本次招标提出询问，请按以下方式联系。</w:t>
      </w:r>
      <w:bookmarkEnd w:id="24"/>
      <w:bookmarkEnd w:id="25"/>
      <w:bookmarkEnd w:id="26"/>
      <w:bookmarkEnd w:id="27"/>
    </w:p>
    <w:p>
      <w:pPr>
        <w:pageBreakBefore w:val="0"/>
        <w:widowControl/>
        <w:kinsoku/>
        <w:wordWrap/>
        <w:overflowPunct/>
        <w:topLinePunct w:val="0"/>
        <w:bidi w:val="0"/>
        <w:spacing w:line="440" w:lineRule="exact"/>
        <w:jc w:val="left"/>
        <w:textAlignment w:val="auto"/>
        <w:rPr>
          <w:b/>
          <w:sz w:val="24"/>
        </w:rPr>
      </w:pPr>
      <w:r>
        <w:rPr>
          <w:sz w:val="24"/>
        </w:rPr>
        <w:t>　　　</w:t>
      </w:r>
      <w:r>
        <w:rPr>
          <w:b/>
          <w:sz w:val="24"/>
        </w:rPr>
        <w:t>1.采购人信息</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default"/>
          <w:color w:val="auto"/>
          <w:sz w:val="24"/>
          <w:u w:val="single"/>
          <w:lang w:val="en-US" w:eastAsia="zh-CN"/>
        </w:rPr>
      </w:pPr>
      <w:bookmarkStart w:id="41" w:name="_Toc28359086"/>
      <w:bookmarkStart w:id="42" w:name="_Toc28359009"/>
      <w:r>
        <w:rPr>
          <w:color w:val="auto"/>
          <w:sz w:val="24"/>
        </w:rPr>
        <w:t>名    称：</w:t>
      </w:r>
      <w:r>
        <w:rPr>
          <w:rFonts w:hint="eastAsia"/>
          <w:color w:val="auto"/>
          <w:sz w:val="24"/>
          <w:u w:val="single"/>
        </w:rPr>
        <w:t>北京市昌平区大运河白浮泉遗址管理服务中心</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eastAsia="宋体"/>
          <w:color w:val="auto"/>
          <w:sz w:val="24"/>
          <w:u w:val="single"/>
          <w:lang w:val="en-US" w:eastAsia="zh-CN"/>
        </w:rPr>
      </w:pPr>
      <w:r>
        <w:rPr>
          <w:color w:val="auto"/>
          <w:sz w:val="24"/>
        </w:rPr>
        <w:t>地    址：</w:t>
      </w:r>
      <w:r>
        <w:rPr>
          <w:rFonts w:hint="eastAsia"/>
          <w:color w:val="auto"/>
          <w:sz w:val="24"/>
          <w:u w:val="single"/>
          <w:lang w:val="en-US" w:eastAsia="zh-CN"/>
        </w:rPr>
        <w:t>北京市昌平区怀昌路153号</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default"/>
          <w:color w:val="auto"/>
          <w:sz w:val="24"/>
          <w:u w:val="single"/>
          <w:lang w:val="en-US"/>
        </w:rPr>
      </w:pPr>
      <w:r>
        <w:rPr>
          <w:color w:val="auto"/>
          <w:sz w:val="24"/>
        </w:rPr>
        <w:t>联系方式：</w:t>
      </w:r>
      <w:r>
        <w:rPr>
          <w:rFonts w:hint="eastAsia"/>
          <w:color w:val="auto"/>
          <w:sz w:val="24"/>
          <w:u w:val="single"/>
          <w:lang w:val="en-US" w:eastAsia="zh-CN"/>
        </w:rPr>
        <w:t xml:space="preserve">010-89705862 </w:t>
      </w:r>
    </w:p>
    <w:p>
      <w:pPr>
        <w:keepNext w:val="0"/>
        <w:keepLines w:val="0"/>
        <w:pageBreakBefore w:val="0"/>
        <w:widowControl w:val="0"/>
        <w:kinsoku/>
        <w:wordWrap/>
        <w:overflowPunct/>
        <w:topLinePunct w:val="0"/>
        <w:autoSpaceDE/>
        <w:autoSpaceDN/>
        <w:bidi w:val="0"/>
        <w:adjustRightInd/>
        <w:snapToGrid/>
        <w:spacing w:line="440" w:lineRule="exact"/>
        <w:ind w:left="1080" w:leftChars="371" w:hanging="301" w:hangingChars="125"/>
        <w:jc w:val="left"/>
        <w:textAlignment w:val="auto"/>
        <w:rPr>
          <w:b/>
          <w:color w:val="auto"/>
          <w:sz w:val="24"/>
        </w:rPr>
      </w:pPr>
      <w:r>
        <w:rPr>
          <w:b/>
          <w:color w:val="auto"/>
          <w:sz w:val="24"/>
        </w:rPr>
        <w:t>2.</w:t>
      </w:r>
      <w:r>
        <w:rPr>
          <w:rFonts w:hint="eastAsia"/>
          <w:b/>
          <w:color w:val="auto"/>
          <w:sz w:val="24"/>
          <w:lang w:eastAsia="zh-CN"/>
        </w:rPr>
        <w:t>集中采购机构</w:t>
      </w:r>
      <w:r>
        <w:rPr>
          <w:b/>
          <w:color w:val="auto"/>
          <w:sz w:val="24"/>
        </w:rPr>
        <w:t>信息</w:t>
      </w:r>
      <w:bookmarkEnd w:id="41"/>
      <w:bookmarkEnd w:id="42"/>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color w:val="auto"/>
          <w:sz w:val="24"/>
          <w:u w:val="single"/>
          <w:lang w:eastAsia="zh-CN"/>
        </w:rPr>
      </w:pPr>
      <w:bookmarkStart w:id="43" w:name="_Toc28359010"/>
      <w:bookmarkStart w:id="44" w:name="_Toc28359087"/>
      <w:r>
        <w:rPr>
          <w:color w:val="auto"/>
          <w:sz w:val="24"/>
        </w:rPr>
        <w:t>名    称：</w:t>
      </w:r>
      <w:r>
        <w:rPr>
          <w:rFonts w:hint="eastAsia"/>
          <w:color w:val="auto"/>
          <w:sz w:val="24"/>
          <w:u w:val="single"/>
          <w:lang w:eastAsia="zh-CN"/>
        </w:rPr>
        <w:t>北京市昌平区政府采购中心</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color w:val="auto"/>
          <w:sz w:val="24"/>
          <w:u w:val="single"/>
          <w:lang w:val="en-US" w:eastAsia="zh-CN"/>
        </w:rPr>
      </w:pPr>
      <w:r>
        <w:rPr>
          <w:color w:val="auto"/>
          <w:sz w:val="24"/>
        </w:rPr>
        <w:t>地    址：</w:t>
      </w:r>
      <w:r>
        <w:rPr>
          <w:rFonts w:hint="eastAsia"/>
          <w:color w:val="auto"/>
          <w:sz w:val="24"/>
          <w:u w:val="single"/>
          <w:lang w:eastAsia="zh-CN"/>
        </w:rPr>
        <w:t>北京市昌平区龙水路</w:t>
      </w:r>
      <w:r>
        <w:rPr>
          <w:rFonts w:hint="eastAsia"/>
          <w:color w:val="auto"/>
          <w:sz w:val="24"/>
          <w:u w:val="single"/>
          <w:lang w:val="en-US" w:eastAsia="zh-CN"/>
        </w:rPr>
        <w:t>22院4号楼608室</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color w:val="auto"/>
          <w:sz w:val="24"/>
          <w:u w:val="single"/>
        </w:rPr>
      </w:pPr>
      <w:r>
        <w:rPr>
          <w:color w:val="auto"/>
          <w:sz w:val="24"/>
        </w:rPr>
        <w:t>联系方式：</w:t>
      </w:r>
      <w:r>
        <w:rPr>
          <w:rFonts w:hint="eastAsia"/>
          <w:color w:val="auto"/>
          <w:sz w:val="24"/>
          <w:u w:val="single"/>
          <w:lang w:val="en-US" w:eastAsia="zh-CN"/>
        </w:rPr>
        <w:t>010-69716670</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b/>
          <w:color w:val="auto"/>
          <w:sz w:val="24"/>
          <w:u w:val="single"/>
        </w:rPr>
      </w:pPr>
      <w:r>
        <w:rPr>
          <w:b/>
          <w:color w:val="auto"/>
          <w:sz w:val="24"/>
        </w:rPr>
        <w:t>3.项目联系方式</w:t>
      </w:r>
      <w:bookmarkEnd w:id="43"/>
      <w:bookmarkEnd w:id="44"/>
    </w:p>
    <w:p>
      <w:pPr>
        <w:pStyle w:val="10"/>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Times New Roman" w:hAnsi="Times New Roman"/>
          <w:color w:val="auto"/>
          <w:sz w:val="24"/>
          <w:szCs w:val="24"/>
          <w:u w:val="none"/>
          <w:lang w:val="en-US"/>
        </w:rPr>
      </w:pPr>
      <w:r>
        <w:rPr>
          <w:rFonts w:hint="default" w:ascii="Times New Roman" w:hAnsi="Times New Roman"/>
          <w:color w:val="auto"/>
          <w:sz w:val="24"/>
          <w:szCs w:val="24"/>
        </w:rPr>
        <w:t>项目联系人：</w:t>
      </w:r>
      <w:r>
        <w:rPr>
          <w:rFonts w:hint="eastAsia" w:ascii="Times New Roman" w:hAnsi="Times New Roman"/>
          <w:color w:val="auto"/>
          <w:sz w:val="24"/>
          <w:szCs w:val="24"/>
          <w:u w:val="single"/>
          <w:lang w:eastAsia="zh-CN"/>
        </w:rPr>
        <w:t>王骕</w:t>
      </w:r>
      <w:r>
        <w:rPr>
          <w:rFonts w:hint="eastAsia" w:ascii="Times New Roman" w:hAnsi="Times New Roman"/>
          <w:color w:val="auto"/>
          <w:sz w:val="24"/>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Times New Roman" w:hAnsi="Times New Roman"/>
          <w:color w:val="auto"/>
          <w:sz w:val="24"/>
          <w:szCs w:val="24"/>
        </w:rPr>
      </w:pPr>
      <w:r>
        <w:rPr>
          <w:rFonts w:hint="default" w:ascii="Times New Roman" w:hAnsi="Times New Roman"/>
          <w:color w:val="auto"/>
          <w:sz w:val="24"/>
        </w:rPr>
        <w:t>电      话：</w:t>
      </w:r>
      <w:r>
        <w:rPr>
          <w:rFonts w:hint="eastAsia" w:ascii="Times New Roman" w:hAnsi="Times New Roman"/>
          <w:color w:val="auto"/>
          <w:sz w:val="24"/>
          <w:u w:val="single"/>
          <w:lang w:val="en-US" w:eastAsia="zh-CN"/>
        </w:rPr>
        <w:t>010-69716670</w:t>
      </w:r>
    </w:p>
    <w:p>
      <w:pPr>
        <w:pageBreakBefore w:val="0"/>
        <w:kinsoku/>
        <w:wordWrap/>
        <w:overflowPunct/>
        <w:topLinePunct w:val="0"/>
        <w:bidi w:val="0"/>
        <w:spacing w:line="440" w:lineRule="exact"/>
        <w:jc w:val="center"/>
        <w:textAlignment w:val="auto"/>
        <w:outlineLvl w:val="0"/>
        <w:rPr>
          <w:b/>
          <w:color w:val="auto"/>
          <w:sz w:val="36"/>
          <w:szCs w:val="36"/>
        </w:rPr>
      </w:pPr>
    </w:p>
    <w:p>
      <w:pPr>
        <w:pageBreakBefore w:val="0"/>
        <w:kinsoku/>
        <w:wordWrap/>
        <w:overflowPunct/>
        <w:topLinePunct w:val="0"/>
        <w:bidi w:val="0"/>
        <w:spacing w:line="440" w:lineRule="exact"/>
        <w:jc w:val="center"/>
        <w:textAlignment w:val="auto"/>
        <w:outlineLvl w:val="0"/>
        <w:rPr>
          <w:b/>
          <w:sz w:val="36"/>
          <w:szCs w:val="36"/>
        </w:rPr>
      </w:pPr>
    </w:p>
    <w:p>
      <w:pPr>
        <w:pageBreakBefore w:val="0"/>
        <w:kinsoku/>
        <w:wordWrap/>
        <w:overflowPunct/>
        <w:topLinePunct w:val="0"/>
        <w:bidi w:val="0"/>
        <w:spacing w:line="440" w:lineRule="exact"/>
        <w:jc w:val="center"/>
        <w:textAlignment w:val="auto"/>
        <w:outlineLvl w:val="0"/>
        <w:rPr>
          <w:b/>
          <w:sz w:val="36"/>
          <w:szCs w:val="36"/>
        </w:rPr>
      </w:pPr>
    </w:p>
    <w:p>
      <w:pPr>
        <w:pStyle w:val="2"/>
      </w:pPr>
    </w:p>
    <w:p>
      <w:pPr>
        <w:pStyle w:val="2"/>
      </w:pPr>
    </w:p>
    <w:p>
      <w:pPr>
        <w:pStyle w:val="2"/>
      </w:pPr>
    </w:p>
    <w:p>
      <w:pPr>
        <w:pageBreakBefore w:val="0"/>
        <w:kinsoku/>
        <w:wordWrap/>
        <w:overflowPunct/>
        <w:topLinePunct w:val="0"/>
        <w:bidi w:val="0"/>
        <w:spacing w:line="440" w:lineRule="exact"/>
        <w:jc w:val="center"/>
        <w:textAlignment w:val="auto"/>
        <w:outlineLvl w:val="0"/>
        <w:rPr>
          <w:b/>
          <w:sz w:val="36"/>
          <w:szCs w:val="36"/>
        </w:rPr>
      </w:pPr>
    </w:p>
    <w:p>
      <w:pPr>
        <w:pStyle w:val="2"/>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2"/>
          <w:szCs w:val="32"/>
        </w:rPr>
      </w:pPr>
      <w:r>
        <w:rPr>
          <w:b/>
          <w:sz w:val="36"/>
          <w:szCs w:val="36"/>
        </w:rPr>
        <w:t>第二章   投标人须知</w:t>
      </w:r>
      <w:bookmarkEnd w:id="28"/>
      <w:bookmarkEnd w:id="29"/>
      <w:bookmarkEnd w:id="30"/>
      <w:bookmarkEnd w:id="31"/>
      <w:bookmarkEnd w:id="32"/>
      <w:bookmarkEnd w:id="33"/>
      <w:bookmarkEnd w:id="34"/>
      <w:bookmarkEnd w:id="35"/>
      <w:bookmarkEnd w:id="36"/>
      <w:bookmarkEnd w:id="37"/>
      <w:bookmarkEnd w:id="38"/>
      <w:bookmarkEnd w:id="39"/>
      <w:bookmarkEnd w:id="40"/>
    </w:p>
    <w:p>
      <w:pPr>
        <w:pStyle w:val="5"/>
        <w:tabs>
          <w:tab w:val="center" w:pos="4592"/>
          <w:tab w:val="left" w:pos="7860"/>
        </w:tabs>
        <w:spacing w:before="0" w:line="360" w:lineRule="auto"/>
        <w:rPr>
          <w:rFonts w:ascii="Times New Roman" w:hAnsi="Times New Roman" w:eastAsia="宋体"/>
          <w:sz w:val="28"/>
        </w:rPr>
      </w:pPr>
      <w:bookmarkStart w:id="45" w:name="_Toc150480757"/>
      <w:bookmarkStart w:id="46" w:name="_Toc520356144"/>
      <w:bookmarkStart w:id="47" w:name="_Toc127151720"/>
      <w:bookmarkStart w:id="48" w:name="_Toc151193833"/>
      <w:bookmarkStart w:id="49" w:name="_Toc226965792"/>
      <w:bookmarkStart w:id="50" w:name="_Toc164229214"/>
      <w:bookmarkStart w:id="51" w:name="_Toc127151519"/>
      <w:bookmarkStart w:id="52" w:name="_Toc149720812"/>
      <w:bookmarkStart w:id="53" w:name="_Toc226965709"/>
      <w:bookmarkStart w:id="54" w:name="_Toc127161433"/>
      <w:bookmarkStart w:id="55" w:name="_Toc226309763"/>
      <w:bookmarkStart w:id="56" w:name="_Toc164608633"/>
      <w:bookmarkStart w:id="57" w:name="_Toc151193907"/>
      <w:bookmarkStart w:id="58" w:name="_Toc142311021"/>
      <w:bookmarkStart w:id="59" w:name="_Toc226337215"/>
      <w:bookmarkStart w:id="60" w:name="_Toc151193689"/>
      <w:bookmarkStart w:id="61" w:name="_Toc164608788"/>
      <w:bookmarkStart w:id="62" w:name="_Toc164351613"/>
      <w:bookmarkStart w:id="63" w:name="_Toc151193617"/>
      <w:bookmarkStart w:id="64" w:name="_Toc195842884"/>
      <w:bookmarkStart w:id="65" w:name="_Toc151190146"/>
      <w:bookmarkStart w:id="66" w:name="_Toc150774619"/>
      <w:bookmarkStart w:id="67" w:name="_Toc150509270"/>
      <w:bookmarkStart w:id="68" w:name="_Toc150774724"/>
      <w:bookmarkStart w:id="69" w:name="_Toc151193761"/>
      <w:bookmarkStart w:id="70" w:name="_Toc164229360"/>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1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b/>
                <w:bCs/>
                <w:sz w:val="24"/>
              </w:rPr>
            </w:pPr>
            <w:r>
              <w:rPr>
                <w:b/>
                <w:sz w:val="24"/>
              </w:rPr>
              <w:t>条款号</w:t>
            </w:r>
          </w:p>
        </w:tc>
        <w:tc>
          <w:tcPr>
            <w:tcW w:w="1701" w:type="dxa"/>
            <w:noWrap w:val="0"/>
            <w:vAlign w:val="center"/>
          </w:tcPr>
          <w:p>
            <w:pPr>
              <w:jc w:val="center"/>
              <w:rPr>
                <w:b/>
                <w:bCs/>
                <w:sz w:val="24"/>
              </w:rPr>
            </w:pPr>
            <w:r>
              <w:rPr>
                <w:b/>
                <w:bCs/>
                <w:sz w:val="24"/>
              </w:rPr>
              <w:t>条目</w:t>
            </w:r>
          </w:p>
        </w:tc>
        <w:tc>
          <w:tcPr>
            <w:tcW w:w="7540" w:type="dxa"/>
            <w:noWrap w:val="0"/>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pPr>
              <w:jc w:val="center"/>
              <w:rPr>
                <w:sz w:val="24"/>
              </w:rPr>
            </w:pPr>
            <w:r>
              <w:rPr>
                <w:sz w:val="24"/>
              </w:rPr>
              <w:t>项目属性</w:t>
            </w:r>
          </w:p>
        </w:tc>
        <w:tc>
          <w:tcPr>
            <w:tcW w:w="7540" w:type="dxa"/>
            <w:noWrap w:val="0"/>
            <w:vAlign w:val="center"/>
          </w:tcPr>
          <w:p>
            <w:pPr>
              <w:jc w:val="left"/>
              <w:rPr>
                <w:sz w:val="24"/>
              </w:rPr>
            </w:pPr>
            <w:r>
              <w:rPr>
                <w:sz w:val="24"/>
              </w:rPr>
              <w:t>项目属性：</w:t>
            </w:r>
          </w:p>
          <w:p>
            <w:pPr>
              <w:jc w:val="left"/>
              <w:rPr>
                <w:sz w:val="24"/>
              </w:rPr>
            </w:pPr>
            <w:r>
              <w:rPr>
                <w:b/>
                <w:color w:val="000000"/>
                <w:sz w:val="24"/>
              </w:rPr>
              <w:t>■</w:t>
            </w:r>
            <w:r>
              <w:rPr>
                <w:sz w:val="24"/>
              </w:rPr>
              <w:t>服务</w:t>
            </w:r>
          </w:p>
          <w:p>
            <w:pPr>
              <w:jc w:val="left"/>
              <w:rPr>
                <w:sz w:val="24"/>
                <w:u w:val="single"/>
              </w:rPr>
            </w:pPr>
            <w:r>
              <w:rPr>
                <w:rFonts w:ascii="Times New Roman" w:hAnsi="Times New Roman" w:eastAsia="宋体" w:cs="Times New Roman"/>
                <w:b/>
                <w:bCs/>
                <w:color w:val="auto"/>
                <w:sz w:val="21"/>
                <w:szCs w:val="21"/>
              </w:rPr>
              <w:t>□</w:t>
            </w: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pPr>
              <w:jc w:val="center"/>
              <w:rPr>
                <w:sz w:val="24"/>
              </w:rPr>
            </w:pPr>
            <w:r>
              <w:rPr>
                <w:sz w:val="24"/>
              </w:rPr>
              <w:t>科研仪器设备</w:t>
            </w:r>
          </w:p>
        </w:tc>
        <w:tc>
          <w:tcPr>
            <w:tcW w:w="7540" w:type="dxa"/>
            <w:noWrap w:val="0"/>
            <w:vAlign w:val="center"/>
          </w:tcPr>
          <w:p>
            <w:pPr>
              <w:jc w:val="left"/>
              <w:rPr>
                <w:sz w:val="24"/>
              </w:rPr>
            </w:pPr>
            <w:r>
              <w:rPr>
                <w:sz w:val="24"/>
              </w:rPr>
              <w:t>是否属于科研仪器设备采购项目：</w:t>
            </w:r>
          </w:p>
          <w:p>
            <w:pPr>
              <w:jc w:val="left"/>
              <w:rPr>
                <w:sz w:val="24"/>
              </w:rPr>
            </w:pPr>
            <w:r>
              <w:rPr>
                <w:rFonts w:ascii="Times New Roman" w:hAnsi="Times New Roman" w:eastAsia="宋体" w:cs="Times New Roman"/>
                <w:b/>
                <w:bCs/>
                <w:color w:val="auto"/>
                <w:sz w:val="21"/>
                <w:szCs w:val="21"/>
              </w:rPr>
              <w:t>□</w:t>
            </w:r>
            <w:r>
              <w:rPr>
                <w:sz w:val="24"/>
              </w:rPr>
              <w:t>是</w:t>
            </w:r>
          </w:p>
          <w:p>
            <w:pPr>
              <w:jc w:val="left"/>
              <w:rPr>
                <w:sz w:val="24"/>
              </w:rPr>
            </w:pPr>
            <w:r>
              <w:rPr>
                <w:b/>
                <w:color w:val="000000"/>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noWrap w:val="0"/>
            <w:vAlign w:val="center"/>
          </w:tcPr>
          <w:p>
            <w:pPr>
              <w:jc w:val="center"/>
              <w:rPr>
                <w:color w:val="auto"/>
                <w:sz w:val="24"/>
              </w:rPr>
            </w:pPr>
            <w:r>
              <w:rPr>
                <w:color w:val="auto"/>
                <w:sz w:val="24"/>
              </w:rPr>
              <w:t>核心产品</w:t>
            </w:r>
          </w:p>
        </w:tc>
        <w:tc>
          <w:tcPr>
            <w:tcW w:w="7540" w:type="dxa"/>
            <w:noWrap w:val="0"/>
            <w:vAlign w:val="center"/>
          </w:tcPr>
          <w:p>
            <w:pPr>
              <w:pStyle w:val="10"/>
              <w:adjustRightInd w:val="0"/>
              <w:snapToGrid w:val="0"/>
              <w:rPr>
                <w:rFonts w:hint="default" w:ascii="Times New Roman" w:hAnsi="Times New Roman"/>
                <w:color w:val="auto"/>
                <w:sz w:val="24"/>
                <w:szCs w:val="24"/>
              </w:rPr>
            </w:pP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color w:val="auto"/>
                <w:sz w:val="24"/>
                <w:szCs w:val="24"/>
              </w:rPr>
              <w:t>关于核心产品本项目__包不适用。</w:t>
            </w:r>
          </w:p>
          <w:p>
            <w:pPr>
              <w:pStyle w:val="10"/>
              <w:adjustRightInd w:val="0"/>
              <w:snapToGrid w:val="0"/>
              <w:rPr>
                <w:rFonts w:hint="default" w:ascii="Times New Roman" w:hAnsi="Times New Roman"/>
                <w:color w:val="auto"/>
                <w:sz w:val="24"/>
                <w:szCs w:val="24"/>
              </w:rPr>
            </w:pPr>
            <w:r>
              <w:rPr>
                <w:rFonts w:hint="default" w:ascii="Times New Roman" w:hAnsi="Times New Roman" w:eastAsia="宋体" w:cs="Times New Roman"/>
                <w:b/>
                <w:color w:val="000000"/>
                <w:kern w:val="2"/>
                <w:sz w:val="24"/>
                <w:szCs w:val="24"/>
                <w:lang w:val="en-US" w:eastAsia="zh-CN" w:bidi="ar-SA"/>
              </w:rPr>
              <w:t>■</w:t>
            </w:r>
            <w:r>
              <w:rPr>
                <w:rFonts w:hint="default" w:ascii="Times New Roman" w:hAnsi="Times New Roman"/>
                <w:color w:val="auto"/>
                <w:sz w:val="24"/>
                <w:szCs w:val="24"/>
              </w:rPr>
              <w:t>本项目包为单一产品采购项目。</w:t>
            </w:r>
          </w:p>
          <w:p>
            <w:pPr>
              <w:jc w:val="left"/>
              <w:rPr>
                <w:color w:val="auto"/>
                <w:sz w:val="24"/>
              </w:rPr>
            </w:pPr>
            <w:r>
              <w:rPr>
                <w:rFonts w:hint="default" w:ascii="Times New Roman" w:hAnsi="Times New Roman" w:eastAsia="宋体" w:cs="Times New Roman"/>
                <w:b/>
                <w:bCs/>
                <w:color w:val="auto"/>
                <w:kern w:val="2"/>
                <w:sz w:val="21"/>
                <w:szCs w:val="21"/>
                <w:lang w:val="en-US" w:eastAsia="zh-CN" w:bidi="ar-SA"/>
              </w:rPr>
              <w:t>□</w:t>
            </w:r>
            <w:r>
              <w:rPr>
                <w:color w:val="auto"/>
                <w:sz w:val="24"/>
              </w:rPr>
              <w:t>本项目包为非单一产品采购项目，核心产品</w:t>
            </w:r>
            <w:r>
              <w:rPr>
                <w:rFonts w:hint="eastAsia"/>
                <w:color w:val="auto"/>
                <w:sz w:val="24"/>
                <w:lang w:eastAsia="zh-CN"/>
              </w:rPr>
              <w:t>分别为：</w:t>
            </w:r>
            <w:r>
              <w:rPr>
                <w:rFonts w:hint="eastAsia"/>
                <w:color w:val="auto"/>
                <w:sz w:val="24"/>
                <w:u w:val="single"/>
                <w:lang w:val="en-US" w:eastAsia="zh-CN"/>
              </w:rPr>
              <w:t xml:space="preserve">      </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pPr>
              <w:jc w:val="center"/>
              <w:rPr>
                <w:sz w:val="24"/>
              </w:rPr>
            </w:pPr>
            <w:r>
              <w:rPr>
                <w:sz w:val="24"/>
              </w:rPr>
              <w:t>现场考察</w:t>
            </w:r>
          </w:p>
        </w:tc>
        <w:tc>
          <w:tcPr>
            <w:tcW w:w="7540" w:type="dxa"/>
            <w:noWrap w:val="0"/>
            <w:vAlign w:val="center"/>
          </w:tcPr>
          <w:p>
            <w:pPr>
              <w:jc w:val="left"/>
              <w:rPr>
                <w:sz w:val="24"/>
              </w:rPr>
            </w:pPr>
            <w:r>
              <w:rPr>
                <w:b/>
                <w:color w:val="000000"/>
                <w:sz w:val="24"/>
              </w:rPr>
              <w:t>■</w:t>
            </w:r>
            <w:r>
              <w:rPr>
                <w:sz w:val="24"/>
              </w:rPr>
              <w:t>不组织</w:t>
            </w:r>
          </w:p>
          <w:p>
            <w:pPr>
              <w:jc w:val="left"/>
              <w:rPr>
                <w:bCs/>
                <w:sz w:val="24"/>
              </w:rPr>
            </w:pPr>
            <w:r>
              <w:rPr>
                <w:rFonts w:ascii="Times New Roman" w:hAnsi="Times New Roman" w:eastAsia="宋体" w:cs="Times New Roman"/>
                <w:b/>
                <w:bCs/>
                <w:color w:val="auto"/>
                <w:sz w:val="21"/>
                <w:szCs w:val="21"/>
              </w:rPr>
              <w:t>□</w:t>
            </w:r>
            <w:r>
              <w:rPr>
                <w:sz w:val="24"/>
              </w:rPr>
              <w:t>组织，考察时间：__年_月_日_</w:t>
            </w:r>
            <w:r>
              <w:rPr>
                <w:bCs/>
                <w:sz w:val="24"/>
              </w:rPr>
              <w:t>点</w:t>
            </w:r>
            <w:r>
              <w:rPr>
                <w:sz w:val="24"/>
              </w:rPr>
              <w:t>_</w:t>
            </w:r>
            <w:r>
              <w:rPr>
                <w:bCs/>
                <w:sz w:val="24"/>
              </w:rPr>
              <w:t>分</w:t>
            </w:r>
          </w:p>
          <w:p>
            <w:pPr>
              <w:pStyle w:val="10"/>
              <w:adjustRightInd w:val="0"/>
              <w:snapToGrid w:val="0"/>
              <w:rPr>
                <w:rFonts w:hint="default" w:ascii="Times New Roman" w:hAnsi="Times New Roman"/>
                <w:sz w:val="24"/>
                <w:szCs w:val="24"/>
              </w:rPr>
            </w:pPr>
            <w:r>
              <w:rPr>
                <w:rFonts w:hint="default" w:ascii="Times New Roman" w:hAnsi="Times New Roman"/>
                <w:sz w:val="24"/>
              </w:rPr>
              <w:t>考察地点：____________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10"/>
              <w:adjustRightInd w:val="0"/>
              <w:snapToGrid w:val="0"/>
              <w:jc w:val="center"/>
              <w:rPr>
                <w:rFonts w:hint="default" w:ascii="Times New Roman" w:hAnsi="Times New Roman"/>
                <w:sz w:val="24"/>
                <w:szCs w:val="24"/>
              </w:rPr>
            </w:pPr>
          </w:p>
        </w:tc>
        <w:tc>
          <w:tcPr>
            <w:tcW w:w="1701" w:type="dxa"/>
            <w:noWrap w:val="0"/>
            <w:vAlign w:val="center"/>
          </w:tcPr>
          <w:p>
            <w:pPr>
              <w:jc w:val="center"/>
              <w:rPr>
                <w:color w:val="auto"/>
                <w:sz w:val="24"/>
              </w:rPr>
            </w:pPr>
            <w:r>
              <w:rPr>
                <w:color w:val="auto"/>
                <w:sz w:val="24"/>
              </w:rPr>
              <w:t>开标前答疑会</w:t>
            </w:r>
          </w:p>
        </w:tc>
        <w:tc>
          <w:tcPr>
            <w:tcW w:w="7540" w:type="dxa"/>
            <w:noWrap w:val="0"/>
            <w:vAlign w:val="center"/>
          </w:tcPr>
          <w:p>
            <w:pPr>
              <w:jc w:val="left"/>
              <w:rPr>
                <w:color w:val="auto"/>
                <w:sz w:val="24"/>
              </w:rPr>
            </w:pPr>
            <w:r>
              <w:rPr>
                <w:b/>
                <w:color w:val="auto"/>
                <w:sz w:val="24"/>
              </w:rPr>
              <w:t>■</w:t>
            </w:r>
            <w:r>
              <w:rPr>
                <w:color w:val="auto"/>
                <w:sz w:val="24"/>
              </w:rPr>
              <w:t>不召开</w:t>
            </w:r>
          </w:p>
          <w:p>
            <w:pPr>
              <w:jc w:val="left"/>
              <w:rPr>
                <w:color w:val="auto"/>
                <w:sz w:val="24"/>
              </w:rPr>
            </w:pPr>
            <w:r>
              <w:rPr>
                <w:rFonts w:ascii="Times New Roman" w:hAnsi="Times New Roman" w:eastAsia="宋体" w:cs="Times New Roman"/>
                <w:b/>
                <w:bCs/>
                <w:color w:val="auto"/>
                <w:sz w:val="21"/>
                <w:szCs w:val="21"/>
              </w:rPr>
              <w:t>□</w:t>
            </w:r>
            <w:r>
              <w:rPr>
                <w:color w:val="auto"/>
                <w:sz w:val="24"/>
              </w:rPr>
              <w:t>召开，召开时间：__年_月_日_</w:t>
            </w:r>
            <w:r>
              <w:rPr>
                <w:bCs/>
                <w:color w:val="auto"/>
                <w:sz w:val="24"/>
              </w:rPr>
              <w:t>点</w:t>
            </w:r>
            <w:r>
              <w:rPr>
                <w:color w:val="auto"/>
                <w:sz w:val="24"/>
              </w:rPr>
              <w:t>_</w:t>
            </w:r>
            <w:r>
              <w:rPr>
                <w:bCs/>
                <w:color w:val="auto"/>
                <w:sz w:val="24"/>
              </w:rPr>
              <w:t>分</w:t>
            </w:r>
          </w:p>
          <w:p>
            <w:pPr>
              <w:jc w:val="left"/>
              <w:rPr>
                <w:color w:val="auto"/>
                <w:sz w:val="24"/>
              </w:rPr>
            </w:pPr>
            <w:r>
              <w:rPr>
                <w:color w:val="auto"/>
                <w:sz w:val="24"/>
              </w:rPr>
              <w:t>召开地点：____________</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noWrap w:val="0"/>
            <w:vAlign w:val="center"/>
          </w:tcPr>
          <w:p>
            <w:pPr>
              <w:jc w:val="center"/>
              <w:rPr>
                <w:sz w:val="24"/>
              </w:rPr>
            </w:pPr>
            <w:r>
              <w:rPr>
                <w:sz w:val="24"/>
              </w:rPr>
              <w:t>样品</w:t>
            </w:r>
          </w:p>
        </w:tc>
        <w:tc>
          <w:tcPr>
            <w:tcW w:w="7540" w:type="dxa"/>
            <w:noWrap w:val="0"/>
            <w:vAlign w:val="center"/>
          </w:tcPr>
          <w:p>
            <w:pPr>
              <w:jc w:val="left"/>
              <w:rPr>
                <w:sz w:val="24"/>
              </w:rPr>
            </w:pPr>
            <w:r>
              <w:rPr>
                <w:sz w:val="24"/>
              </w:rPr>
              <w:t>投标样品递交：</w:t>
            </w:r>
          </w:p>
          <w:p>
            <w:pPr>
              <w:jc w:val="left"/>
              <w:rPr>
                <w:sz w:val="24"/>
              </w:rPr>
            </w:pPr>
            <w:r>
              <w:rPr>
                <w:b/>
                <w:color w:val="000000"/>
                <w:sz w:val="24"/>
              </w:rPr>
              <w:t>■</w:t>
            </w:r>
            <w:r>
              <w:rPr>
                <w:sz w:val="24"/>
              </w:rPr>
              <w:t>不需要</w:t>
            </w:r>
          </w:p>
          <w:p>
            <w:pPr>
              <w:jc w:val="left"/>
              <w:rPr>
                <w:sz w:val="24"/>
              </w:rPr>
            </w:pPr>
            <w:r>
              <w:rPr>
                <w:rFonts w:ascii="Times New Roman" w:hAnsi="Times New Roman" w:eastAsia="宋体" w:cs="Times New Roman"/>
                <w:b/>
                <w:bCs/>
                <w:color w:val="auto"/>
                <w:sz w:val="21"/>
                <w:szCs w:val="21"/>
              </w:rPr>
              <w:t>□</w:t>
            </w:r>
            <w:r>
              <w:rPr>
                <w:sz w:val="24"/>
              </w:rPr>
              <w:t>需要，具体要求如下：</w:t>
            </w:r>
          </w:p>
          <w:p>
            <w:pPr>
              <w:jc w:val="left"/>
              <w:rPr>
                <w:sz w:val="24"/>
                <w:u w:val="single"/>
              </w:rPr>
            </w:pPr>
            <w:r>
              <w:rPr>
                <w:sz w:val="24"/>
              </w:rPr>
              <w:t>（1）样品制作的标准和要求：_________；</w:t>
            </w:r>
          </w:p>
          <w:p>
            <w:pPr>
              <w:jc w:val="left"/>
              <w:rPr>
                <w:sz w:val="24"/>
              </w:rPr>
            </w:pPr>
            <w:r>
              <w:rPr>
                <w:sz w:val="24"/>
              </w:rPr>
              <w:t>（2）是否需要随样品提交相关检测报告：</w:t>
            </w:r>
          </w:p>
          <w:p>
            <w:pPr>
              <w:ind w:firstLine="600" w:firstLineChars="250"/>
              <w:jc w:val="left"/>
              <w:rPr>
                <w:sz w:val="24"/>
              </w:rPr>
            </w:pPr>
            <w:r>
              <w:rPr>
                <w:sz w:val="24"/>
              </w:rPr>
              <w:t>□不需要</w:t>
            </w:r>
          </w:p>
          <w:p>
            <w:pPr>
              <w:ind w:firstLine="600" w:firstLineChars="250"/>
              <w:jc w:val="left"/>
              <w:rPr>
                <w:sz w:val="24"/>
              </w:rPr>
            </w:pPr>
            <w:r>
              <w:rPr>
                <w:sz w:val="24"/>
              </w:rPr>
              <w:t>□需要</w:t>
            </w:r>
          </w:p>
          <w:p>
            <w:pPr>
              <w:jc w:val="left"/>
              <w:rPr>
                <w:sz w:val="24"/>
              </w:rPr>
            </w:pPr>
            <w:r>
              <w:rPr>
                <w:sz w:val="24"/>
              </w:rPr>
              <w:t>（3）样品递交要求：_________；</w:t>
            </w:r>
          </w:p>
          <w:p>
            <w:pPr>
              <w:jc w:val="left"/>
              <w:rPr>
                <w:sz w:val="24"/>
              </w:rPr>
            </w:pPr>
            <w:r>
              <w:rPr>
                <w:sz w:val="24"/>
              </w:rPr>
              <w:t>（4）未中标人样品退还：_________；</w:t>
            </w:r>
          </w:p>
          <w:p>
            <w:pPr>
              <w:jc w:val="left"/>
              <w:rPr>
                <w:sz w:val="24"/>
                <w:u w:val="single"/>
              </w:rPr>
            </w:pPr>
            <w:r>
              <w:rPr>
                <w:sz w:val="24"/>
              </w:rPr>
              <w:t>（5）中标人样品保管、封存及退还：_________；</w:t>
            </w:r>
          </w:p>
          <w:p>
            <w:pPr>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noWrap w:val="0"/>
            <w:vAlign w:val="center"/>
          </w:tcPr>
          <w:p>
            <w:pPr>
              <w:jc w:val="center"/>
              <w:rPr>
                <w:color w:val="auto"/>
                <w:sz w:val="24"/>
              </w:rPr>
            </w:pPr>
            <w:r>
              <w:rPr>
                <w:color w:val="auto"/>
                <w:sz w:val="24"/>
              </w:rPr>
              <w:t>标的所属行业</w:t>
            </w:r>
          </w:p>
        </w:tc>
        <w:tc>
          <w:tcPr>
            <w:tcW w:w="7540" w:type="dxa"/>
            <w:noWrap w:val="0"/>
            <w:vAlign w:val="center"/>
          </w:tcPr>
          <w:p>
            <w:pPr>
              <w:jc w:val="left"/>
              <w:rPr>
                <w:color w:val="auto"/>
                <w:sz w:val="24"/>
              </w:rPr>
            </w:pPr>
            <w:r>
              <w:rPr>
                <w:color w:val="auto"/>
                <w:sz w:val="24"/>
              </w:rPr>
              <w:t>本项目采购标的对应的中小企业划分标准所属行业：</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bCs/>
                      <w:color w:val="auto"/>
                      <w:sz w:val="24"/>
                    </w:rPr>
                  </w:pPr>
                  <w:r>
                    <w:rPr>
                      <w:bCs/>
                      <w:color w:val="auto"/>
                      <w:sz w:val="24"/>
                    </w:rPr>
                    <w:t>标的名称</w:t>
                  </w:r>
                </w:p>
              </w:tc>
              <w:tc>
                <w:tcPr>
                  <w:tcW w:w="250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color w:val="auto"/>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sz w:val="24"/>
                      <w:lang w:val="en-US" w:eastAsia="zh-CN"/>
                    </w:rPr>
                  </w:pPr>
                  <w:r>
                    <w:rPr>
                      <w:rFonts w:hint="eastAsia"/>
                      <w:bCs/>
                      <w:color w:val="auto"/>
                      <w:sz w:val="24"/>
                      <w:lang w:val="en-US" w:eastAsia="zh-CN"/>
                    </w:rPr>
                    <w:t>物业服务</w:t>
                  </w:r>
                </w:p>
              </w:tc>
              <w:tc>
                <w:tcPr>
                  <w:tcW w:w="250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ascii="Times New Roman" w:hAnsi="Times New Roman" w:eastAsia="宋体" w:cs="Times New Roman"/>
                      <w:bCs/>
                      <w:sz w:val="24"/>
                      <w:lang w:val="en-US" w:eastAsia="zh-CN"/>
                    </w:rPr>
                    <w:t>物业管理</w:t>
                  </w:r>
                </w:p>
              </w:tc>
            </w:tr>
          </w:tbl>
          <w:p>
            <w:pPr>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pPr>
              <w:rPr>
                <w:rFonts w:hint="default" w:ascii="Times New Roman" w:hAnsi="Times New Roman"/>
                <w:sz w:val="24"/>
                <w:szCs w:val="24"/>
              </w:rPr>
            </w:pPr>
            <w:r>
              <w:br w:type="page"/>
            </w:r>
            <w:r>
              <w:rPr>
                <w:rFonts w:ascii="Times New Roman" w:hAnsi="Times New Roman"/>
                <w:sz w:val="24"/>
                <w:szCs w:val="24"/>
              </w:rPr>
              <w:t>1</w:t>
            </w:r>
            <w:r>
              <w:rPr>
                <w:rFonts w:hint="default" w:ascii="Times New Roman" w:hAnsi="Times New Roman"/>
                <w:sz w:val="24"/>
                <w:szCs w:val="24"/>
              </w:rPr>
              <w:t>1.2</w:t>
            </w:r>
          </w:p>
        </w:tc>
        <w:tc>
          <w:tcPr>
            <w:tcW w:w="1701" w:type="dxa"/>
            <w:noWrap w:val="0"/>
            <w:vAlign w:val="center"/>
          </w:tcPr>
          <w:p>
            <w:pPr>
              <w:jc w:val="center"/>
              <w:rPr>
                <w:sz w:val="24"/>
              </w:rPr>
            </w:pPr>
            <w:r>
              <w:rPr>
                <w:rFonts w:hint="eastAsia"/>
                <w:sz w:val="24"/>
              </w:rPr>
              <w:t>投标报价</w:t>
            </w:r>
          </w:p>
        </w:tc>
        <w:tc>
          <w:tcPr>
            <w:tcW w:w="7540" w:type="dxa"/>
            <w:noWrap w:val="0"/>
            <w:vAlign w:val="center"/>
          </w:tcPr>
          <w:p>
            <w:pPr>
              <w:jc w:val="left"/>
              <w:rPr>
                <w:sz w:val="24"/>
              </w:rPr>
            </w:pPr>
            <w:r>
              <w:rPr>
                <w:rFonts w:hint="eastAsia"/>
                <w:sz w:val="24"/>
              </w:rPr>
              <w:t>投标报价的特殊规定：</w:t>
            </w:r>
          </w:p>
          <w:p>
            <w:pPr>
              <w:jc w:val="left"/>
              <w:rPr>
                <w:sz w:val="24"/>
              </w:rPr>
            </w:pPr>
            <w:r>
              <w:rPr>
                <w:b/>
                <w:color w:val="000000"/>
                <w:sz w:val="24"/>
              </w:rPr>
              <w:t>■</w:t>
            </w:r>
            <w:r>
              <w:rPr>
                <w:sz w:val="24"/>
              </w:rPr>
              <w:t>无</w:t>
            </w:r>
          </w:p>
          <w:p>
            <w:pPr>
              <w:jc w:val="left"/>
              <w:rPr>
                <w:sz w:val="24"/>
              </w:rPr>
            </w:pPr>
            <w:r>
              <w:rPr>
                <w:rFonts w:ascii="Times New Roman" w:hAnsi="Times New Roman" w:eastAsia="宋体" w:cs="Times New Roman"/>
                <w:b/>
                <w:bCs/>
                <w:color w:val="auto"/>
                <w:sz w:val="21"/>
                <w:szCs w:val="21"/>
              </w:rPr>
              <w:t>□</w:t>
            </w:r>
            <w:r>
              <w:rPr>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noWrap w:val="0"/>
            <w:vAlign w:val="center"/>
          </w:tcPr>
          <w:p>
            <w:pPr>
              <w:jc w:val="center"/>
              <w:rPr>
                <w:color w:val="auto"/>
                <w:sz w:val="24"/>
              </w:rPr>
            </w:pPr>
            <w:r>
              <w:rPr>
                <w:color w:val="auto"/>
                <w:sz w:val="24"/>
              </w:rPr>
              <w:t>投标保证金</w:t>
            </w:r>
          </w:p>
        </w:tc>
        <w:tc>
          <w:tcPr>
            <w:tcW w:w="7540" w:type="dxa"/>
            <w:noWrap w:val="0"/>
            <w:vAlign w:val="center"/>
          </w:tcPr>
          <w:p>
            <w:pPr>
              <w:pStyle w:val="10"/>
              <w:adjustRightInd w:val="0"/>
              <w:snapToGrid w:val="0"/>
              <w:rPr>
                <w:rFonts w:hint="default" w:ascii="Times New Roman" w:hAnsi="Times New Roman"/>
                <w:color w:val="auto"/>
                <w:sz w:val="24"/>
                <w:szCs w:val="24"/>
              </w:rPr>
            </w:pPr>
            <w:r>
              <w:rPr>
                <w:rFonts w:hint="default" w:ascii="Times New Roman" w:hAnsi="Times New Roman"/>
                <w:color w:val="auto"/>
                <w:sz w:val="24"/>
                <w:szCs w:val="24"/>
              </w:rPr>
              <w:t>投标保证金金额：</w:t>
            </w:r>
          </w:p>
          <w:p>
            <w:pPr>
              <w:pStyle w:val="10"/>
              <w:adjustRightInd w:val="0"/>
              <w:snapToGrid w:val="0"/>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整体项目</w:t>
            </w:r>
            <w:r>
              <w:rPr>
                <w:rFonts w:hint="default" w:ascii="Times New Roman" w:hAnsi="Times New Roman"/>
                <w:color w:val="auto"/>
                <w:sz w:val="24"/>
                <w:szCs w:val="24"/>
              </w:rPr>
              <w:t>：</w:t>
            </w:r>
            <w:r>
              <w:rPr>
                <w:rFonts w:hint="eastAsia" w:ascii="Times New Roman" w:hAnsi="Times New Roman"/>
                <w:b/>
                <w:bCs/>
                <w:color w:val="auto"/>
                <w:sz w:val="24"/>
                <w:szCs w:val="24"/>
                <w:lang w:eastAsia="zh-CN"/>
              </w:rPr>
              <w:t>本项目不收取投标保证金，请忽略所有与此有关的内容。</w:t>
            </w:r>
          </w:p>
          <w:p>
            <w:pPr>
              <w:jc w:val="left"/>
              <w:rPr>
                <w:color w:val="auto"/>
                <w:sz w:val="24"/>
              </w:rPr>
            </w:pPr>
            <w:r>
              <w:rPr>
                <w:color w:val="auto"/>
                <w:sz w:val="24"/>
              </w:rPr>
              <w:t>投标保证金收受人信息：</w:t>
            </w:r>
          </w:p>
          <w:p>
            <w:pPr>
              <w:jc w:val="left"/>
              <w:rPr>
                <w:rFonts w:hint="eastAsia"/>
                <w:color w:val="auto"/>
                <w:sz w:val="24"/>
                <w:lang w:val="en-US" w:eastAsia="zh-CN"/>
              </w:rPr>
            </w:pPr>
            <w:r>
              <w:rPr>
                <w:rFonts w:hint="eastAsia"/>
                <w:color w:val="auto"/>
                <w:sz w:val="24"/>
                <w:lang w:val="en-US" w:eastAsia="zh-CN"/>
              </w:rPr>
              <w:t>1.收款账户：北京市昌平区政府采购中心；</w:t>
            </w:r>
          </w:p>
          <w:p>
            <w:pPr>
              <w:jc w:val="left"/>
              <w:rPr>
                <w:rFonts w:hint="eastAsia"/>
                <w:color w:val="auto"/>
                <w:sz w:val="24"/>
                <w:lang w:val="en-US" w:eastAsia="zh-CN"/>
              </w:rPr>
            </w:pPr>
            <w:r>
              <w:rPr>
                <w:rFonts w:hint="eastAsia"/>
                <w:color w:val="auto"/>
                <w:sz w:val="24"/>
                <w:lang w:val="en-US" w:eastAsia="zh-CN"/>
              </w:rPr>
              <w:t>2.开户行：中国工商银行股份有限公司北京城关支行；</w:t>
            </w:r>
          </w:p>
          <w:p>
            <w:pPr>
              <w:jc w:val="left"/>
              <w:rPr>
                <w:color w:val="auto"/>
                <w:sz w:val="24"/>
              </w:rPr>
            </w:pPr>
            <w:r>
              <w:rPr>
                <w:rFonts w:hint="eastAsia"/>
                <w:color w:val="auto"/>
                <w:sz w:val="24"/>
                <w:lang w:val="en-US" w:eastAsia="zh-CN"/>
              </w:rPr>
              <w:t>3.账  号：0200011509200197302</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701" w:type="dxa"/>
            <w:vMerge w:val="continue"/>
            <w:noWrap w:val="0"/>
            <w:vAlign w:val="center"/>
          </w:tcPr>
          <w:p>
            <w:pPr>
              <w:jc w:val="center"/>
              <w:rPr>
                <w:sz w:val="24"/>
              </w:rPr>
            </w:pPr>
          </w:p>
        </w:tc>
        <w:tc>
          <w:tcPr>
            <w:tcW w:w="7540" w:type="dxa"/>
            <w:noWrap w:val="0"/>
            <w:vAlign w:val="center"/>
          </w:tcPr>
          <w:p>
            <w:pPr>
              <w:jc w:val="left"/>
              <w:rPr>
                <w:sz w:val="24"/>
              </w:rPr>
            </w:pPr>
            <w:r>
              <w:rPr>
                <w:sz w:val="24"/>
              </w:rPr>
              <w:t>投标保证金可以不予退还的其他情形：</w:t>
            </w:r>
          </w:p>
          <w:p>
            <w:pPr>
              <w:jc w:val="left"/>
              <w:rPr>
                <w:sz w:val="24"/>
              </w:rPr>
            </w:pPr>
            <w:r>
              <w:rPr>
                <w:b/>
                <w:color w:val="000000"/>
                <w:sz w:val="24"/>
              </w:rPr>
              <w:t>■</w:t>
            </w:r>
            <w:r>
              <w:rPr>
                <w:sz w:val="24"/>
              </w:rPr>
              <w:t>无</w:t>
            </w:r>
          </w:p>
          <w:p>
            <w:pPr>
              <w:pStyle w:val="10"/>
              <w:adjustRightInd w:val="0"/>
              <w:snapToGrid w:val="0"/>
              <w:rPr>
                <w:rFonts w:hint="default" w:ascii="Times New Roman" w:hAnsi="Times New Roman"/>
                <w:sz w:val="24"/>
                <w:szCs w:val="24"/>
              </w:rPr>
            </w:pP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sz w:val="24"/>
              </w:rPr>
              <w:t>有，具体情形：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noWrap w:val="0"/>
            <w:vAlign w:val="center"/>
          </w:tcPr>
          <w:p>
            <w:pPr>
              <w:jc w:val="center"/>
              <w:rPr>
                <w:sz w:val="24"/>
              </w:rPr>
            </w:pPr>
            <w:r>
              <w:rPr>
                <w:sz w:val="24"/>
              </w:rPr>
              <w:t>投标有效期</w:t>
            </w:r>
          </w:p>
        </w:tc>
        <w:tc>
          <w:tcPr>
            <w:tcW w:w="7540" w:type="dxa"/>
            <w:noWrap w:val="0"/>
            <w:vAlign w:val="center"/>
          </w:tcPr>
          <w:p>
            <w:pPr>
              <w:jc w:val="left"/>
              <w:rPr>
                <w:sz w:val="24"/>
              </w:rPr>
            </w:pPr>
            <w:r>
              <w:rPr>
                <w:sz w:val="24"/>
              </w:rPr>
              <w:t>自提交投标文件的截止之日起算</w:t>
            </w:r>
            <w:r>
              <w:rPr>
                <w:rFonts w:hint="eastAsia"/>
                <w:sz w:val="24"/>
                <w:u w:val="single"/>
                <w:lang w:val="en-US" w:eastAsia="zh-CN"/>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noWrap w:val="0"/>
            <w:vAlign w:val="center"/>
          </w:tcPr>
          <w:p>
            <w:pPr>
              <w:jc w:val="center"/>
              <w:rPr>
                <w:sz w:val="24"/>
              </w:rPr>
            </w:pPr>
            <w:r>
              <w:rPr>
                <w:sz w:val="24"/>
              </w:rPr>
              <w:t>确定中标人</w:t>
            </w:r>
          </w:p>
        </w:tc>
        <w:tc>
          <w:tcPr>
            <w:tcW w:w="7540" w:type="dxa"/>
            <w:noWrap w:val="0"/>
            <w:vAlign w:val="center"/>
          </w:tcPr>
          <w:p>
            <w:pPr>
              <w:pStyle w:val="10"/>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10"/>
              <w:adjustRightInd w:val="0"/>
              <w:snapToGrid w:val="0"/>
              <w:rPr>
                <w:rFonts w:hint="default" w:ascii="Times New Roman" w:hAnsi="Times New Roman"/>
                <w:sz w:val="24"/>
              </w:rPr>
            </w:pPr>
            <w:r>
              <w:rPr>
                <w:rFonts w:hint="default" w:ascii="Times New Roman" w:hAnsi="Times New Roman" w:eastAsia="宋体" w:cs="Times New Roman"/>
                <w:b/>
                <w:color w:val="000000"/>
                <w:kern w:val="2"/>
                <w:sz w:val="24"/>
                <w:szCs w:val="24"/>
                <w:lang w:val="en-US" w:eastAsia="zh-CN" w:bidi="ar-SA"/>
              </w:rPr>
              <w:t>■</w:t>
            </w:r>
            <w:r>
              <w:rPr>
                <w:rFonts w:hint="default" w:ascii="Times New Roman" w:hAnsi="Times New Roman"/>
                <w:sz w:val="24"/>
              </w:rPr>
              <w:t>否</w:t>
            </w:r>
          </w:p>
          <w:p>
            <w:pPr>
              <w:pStyle w:val="10"/>
              <w:adjustRightInd w:val="0"/>
              <w:snapToGrid w:val="0"/>
              <w:rPr>
                <w:rFonts w:hint="default" w:ascii="Times New Roman" w:hAnsi="Times New Roman"/>
                <w:sz w:val="24"/>
              </w:rPr>
            </w:pP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sz w:val="24"/>
              </w:rPr>
              <w:t>是</w:t>
            </w:r>
          </w:p>
          <w:p>
            <w:pPr>
              <w:pStyle w:val="10"/>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pPr>
              <w:pStyle w:val="10"/>
              <w:adjustRightInd w:val="0"/>
              <w:snapToGrid w:val="0"/>
              <w:rPr>
                <w:rFonts w:hint="default" w:ascii="Times New Roman" w:hAnsi="Times New Roman"/>
                <w:sz w:val="24"/>
              </w:rPr>
            </w:pP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sz w:val="24"/>
              </w:rPr>
              <w:t>得分且投标报价均相同的，以_____________得分高者为中标人</w:t>
            </w:r>
          </w:p>
          <w:p>
            <w:pPr>
              <w:jc w:val="left"/>
              <w:rPr>
                <w:sz w:val="24"/>
                <w:u w:val="single"/>
              </w:rPr>
            </w:pPr>
            <w:r>
              <w:rPr>
                <w:b/>
                <w:color w:val="000000"/>
                <w:sz w:val="24"/>
              </w:rPr>
              <w:t>■</w:t>
            </w: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noWrap w:val="0"/>
            <w:vAlign w:val="center"/>
          </w:tcPr>
          <w:p>
            <w:pPr>
              <w:jc w:val="center"/>
              <w:rPr>
                <w:sz w:val="24"/>
              </w:rPr>
            </w:pPr>
            <w:r>
              <w:rPr>
                <w:sz w:val="24"/>
              </w:rPr>
              <w:t>分包</w:t>
            </w:r>
          </w:p>
        </w:tc>
        <w:tc>
          <w:tcPr>
            <w:tcW w:w="7540" w:type="dxa"/>
            <w:noWrap w:val="0"/>
            <w:vAlign w:val="center"/>
          </w:tcPr>
          <w:p>
            <w:pPr>
              <w:jc w:val="left"/>
              <w:rPr>
                <w:sz w:val="24"/>
              </w:rPr>
            </w:pPr>
            <w:r>
              <w:rPr>
                <w:sz w:val="24"/>
              </w:rPr>
              <w:t xml:space="preserve">本项目的非主体、非关键性工作是否允许分包： </w:t>
            </w:r>
          </w:p>
          <w:p>
            <w:pPr>
              <w:jc w:val="left"/>
              <w:rPr>
                <w:sz w:val="24"/>
              </w:rPr>
            </w:pPr>
            <w:r>
              <w:rPr>
                <w:b/>
                <w:color w:val="000000"/>
                <w:sz w:val="24"/>
              </w:rPr>
              <w:t>■</w:t>
            </w:r>
            <w:r>
              <w:rPr>
                <w:sz w:val="24"/>
              </w:rPr>
              <w:t>不允许</w:t>
            </w:r>
          </w:p>
          <w:p>
            <w:pPr>
              <w:jc w:val="left"/>
              <w:rPr>
                <w:sz w:val="24"/>
              </w:rPr>
            </w:pPr>
            <w:r>
              <w:rPr>
                <w:rFonts w:ascii="Times New Roman" w:hAnsi="Times New Roman" w:eastAsia="宋体" w:cs="Times New Roman"/>
                <w:b/>
                <w:bCs/>
                <w:color w:val="auto"/>
                <w:sz w:val="21"/>
                <w:szCs w:val="21"/>
              </w:rPr>
              <w:t>□</w:t>
            </w: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noWrap w:val="0"/>
            <w:vAlign w:val="center"/>
          </w:tcPr>
          <w:p>
            <w:pPr>
              <w:jc w:val="center"/>
              <w:rPr>
                <w:sz w:val="24"/>
              </w:rPr>
            </w:pPr>
            <w:r>
              <w:rPr>
                <w:sz w:val="24"/>
              </w:rPr>
              <w:t>询问</w:t>
            </w:r>
          </w:p>
        </w:tc>
        <w:tc>
          <w:tcPr>
            <w:tcW w:w="7540" w:type="dxa"/>
            <w:noWrap w:val="0"/>
            <w:vAlign w:val="center"/>
          </w:tcPr>
          <w:p>
            <w:pPr>
              <w:jc w:val="left"/>
              <w:rPr>
                <w:rFonts w:hint="eastAsia" w:eastAsia="宋体"/>
                <w:sz w:val="24"/>
                <w:lang w:val="en-US" w:eastAsia="zh-CN"/>
              </w:rPr>
            </w:pPr>
            <w:r>
              <w:rPr>
                <w:sz w:val="24"/>
              </w:rPr>
              <w:t>询问送达形式：</w:t>
            </w:r>
            <w:r>
              <w:rPr>
                <w:rFonts w:hint="eastAsia"/>
                <w:sz w:val="24"/>
                <w:u w:val="single"/>
                <w:lang w:eastAsia="zh-CN"/>
              </w:rPr>
              <w:t>通过</w:t>
            </w:r>
            <w:r>
              <w:rPr>
                <w:rFonts w:hint="eastAsia"/>
                <w:color w:val="auto"/>
                <w:sz w:val="24"/>
                <w:u w:val="single"/>
                <w:lang w:eastAsia="zh-CN"/>
              </w:rPr>
              <w:t>电话</w:t>
            </w:r>
            <w:r>
              <w:rPr>
                <w:rFonts w:hint="eastAsia"/>
                <w:color w:val="auto"/>
                <w:sz w:val="24"/>
                <w:u w:val="single"/>
                <w:lang w:val="en-US" w:eastAsia="zh-CN"/>
              </w:rPr>
              <w:t>询问和答复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noWrap w:val="0"/>
            <w:vAlign w:val="center"/>
          </w:tcPr>
          <w:p>
            <w:pPr>
              <w:jc w:val="center"/>
              <w:rPr>
                <w:sz w:val="24"/>
              </w:rPr>
            </w:pPr>
            <w:r>
              <w:rPr>
                <w:sz w:val="24"/>
              </w:rPr>
              <w:t>联系方式</w:t>
            </w:r>
          </w:p>
        </w:tc>
        <w:tc>
          <w:tcPr>
            <w:tcW w:w="7540" w:type="dxa"/>
            <w:noWrap w:val="0"/>
            <w:vAlign w:val="center"/>
          </w:tcPr>
          <w:p>
            <w:pPr>
              <w:jc w:val="left"/>
              <w:rPr>
                <w:sz w:val="24"/>
              </w:rPr>
            </w:pPr>
            <w:r>
              <w:rPr>
                <w:sz w:val="24"/>
              </w:rPr>
              <w:t>接收询问和质疑的联系方式</w:t>
            </w:r>
          </w:p>
          <w:p>
            <w:pPr>
              <w:jc w:val="left"/>
              <w:rPr>
                <w:sz w:val="24"/>
              </w:rPr>
            </w:pPr>
            <w:r>
              <w:rPr>
                <w:sz w:val="24"/>
              </w:rPr>
              <w:t>联系部门：</w:t>
            </w:r>
            <w:r>
              <w:rPr>
                <w:rFonts w:hint="eastAsia"/>
                <w:sz w:val="24"/>
                <w:u w:val="single"/>
                <w:lang w:eastAsia="zh-CN"/>
              </w:rPr>
              <w:t>北京市昌平区政府采购中心</w:t>
            </w:r>
            <w:r>
              <w:rPr>
                <w:sz w:val="24"/>
              </w:rPr>
              <w:t>；</w:t>
            </w:r>
          </w:p>
          <w:p>
            <w:pPr>
              <w:jc w:val="left"/>
              <w:rPr>
                <w:sz w:val="24"/>
              </w:rPr>
            </w:pPr>
            <w:r>
              <w:rPr>
                <w:sz w:val="24"/>
              </w:rPr>
              <w:t>联系电话：</w:t>
            </w:r>
            <w:r>
              <w:rPr>
                <w:rFonts w:hint="eastAsia"/>
                <w:sz w:val="24"/>
                <w:u w:val="single"/>
                <w:lang w:val="en-US" w:eastAsia="zh-CN"/>
              </w:rPr>
              <w:t xml:space="preserve">010-69716670  </w:t>
            </w:r>
            <w:r>
              <w:rPr>
                <w:sz w:val="24"/>
              </w:rPr>
              <w:t>；</w:t>
            </w:r>
          </w:p>
          <w:p>
            <w:pPr>
              <w:jc w:val="left"/>
              <w:rPr>
                <w:sz w:val="24"/>
              </w:rPr>
            </w:pPr>
            <w:r>
              <w:rPr>
                <w:sz w:val="24"/>
              </w:rPr>
              <w:t>通讯地址：</w:t>
            </w:r>
            <w:r>
              <w:rPr>
                <w:rFonts w:hint="eastAsia"/>
                <w:sz w:val="24"/>
                <w:u w:val="single"/>
                <w:lang w:eastAsia="zh-CN"/>
              </w:rPr>
              <w:t>北京市昌平区龙水路</w:t>
            </w:r>
            <w:r>
              <w:rPr>
                <w:rFonts w:hint="eastAsia"/>
                <w:sz w:val="24"/>
                <w:u w:val="single"/>
                <w:lang w:val="en-US" w:eastAsia="zh-CN"/>
              </w:rPr>
              <w:t>22号院4号楼608室</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宋体"/>
                <w:sz w:val="24"/>
                <w:lang w:eastAsia="zh-CN"/>
              </w:rPr>
            </w:pPr>
            <w:r>
              <w:rPr>
                <w:rFonts w:hint="eastAsia"/>
                <w:sz w:val="24"/>
                <w:lang w:eastAsia="zh-CN"/>
              </w:rPr>
              <w:t>不收取代理费。</w:t>
            </w:r>
          </w:p>
        </w:tc>
      </w:tr>
    </w:tbl>
    <w:p/>
    <w:p>
      <w:pPr>
        <w:pageBreakBefore w:val="0"/>
        <w:widowControl w:val="0"/>
        <w:tabs>
          <w:tab w:val="left" w:pos="5580"/>
        </w:tabs>
        <w:kinsoku/>
        <w:wordWrap/>
        <w:overflowPunct/>
        <w:topLinePunct w:val="0"/>
        <w:bidi w:val="0"/>
        <w:adjustRightInd w:val="0"/>
        <w:spacing w:line="400" w:lineRule="exact"/>
        <w:jc w:val="distribute"/>
        <w:textAlignment w:val="auto"/>
        <w:rPr>
          <w:sz w:val="24"/>
        </w:rPr>
        <w:sectPr>
          <w:headerReference r:id="rId4" w:type="first"/>
          <w:footerReference r:id="rId6" w:type="first"/>
          <w:headerReference r:id="rId3" w:type="default"/>
          <w:footerReference r:id="rId5" w:type="default"/>
          <w:pgSz w:w="11907" w:h="16840"/>
          <w:pgMar w:top="1418" w:right="1134" w:bottom="1418" w:left="1701" w:header="851" w:footer="851" w:gutter="0"/>
          <w:pgNumType w:fmt="decimal" w:start="1"/>
          <w:cols w:space="720" w:num="1"/>
          <w:titlePg/>
          <w:docGrid w:linePitch="462" w:charSpace="0"/>
        </w:sectPr>
      </w:pPr>
    </w:p>
    <w:p>
      <w:pPr>
        <w:pageBreakBefore w:val="0"/>
        <w:widowControl w:val="0"/>
        <w:kinsoku/>
        <w:wordWrap/>
        <w:overflowPunct/>
        <w:topLinePunct w:val="0"/>
        <w:bidi w:val="0"/>
        <w:spacing w:before="240" w:beforeLines="100" w:after="240" w:afterLines="100" w:line="400" w:lineRule="exact"/>
        <w:jc w:val="center"/>
        <w:textAlignment w:val="auto"/>
        <w:rPr>
          <w:b/>
          <w:sz w:val="28"/>
          <w:szCs w:val="28"/>
        </w:rPr>
      </w:pPr>
      <w:bookmarkStart w:id="71" w:name="_Toc305158785"/>
      <w:bookmarkStart w:id="72" w:name="_Toc264969207"/>
      <w:bookmarkStart w:id="73" w:name="_Toc142311019"/>
      <w:bookmarkStart w:id="74" w:name="_Toc305158859"/>
      <w:bookmarkStart w:id="75" w:name="_Toc195842882"/>
      <w:bookmarkStart w:id="76" w:name="_Toc127151517"/>
      <w:bookmarkStart w:id="77" w:name="_Toc353825542"/>
      <w:bookmarkStart w:id="78" w:name="_Toc265228355"/>
      <w:bookmarkStart w:id="79" w:name="_Toc226337213"/>
      <w:bookmarkStart w:id="80" w:name="_Toc353873662"/>
      <w:bookmarkStart w:id="81" w:name="_Toc150774722"/>
      <w:bookmarkStart w:id="82" w:name="_Toc226965790"/>
      <w:bookmarkStart w:id="83" w:name="_Toc353873932"/>
      <w:bookmarkStart w:id="84" w:name="_Toc150480755"/>
      <w:r>
        <w:rPr>
          <w:b/>
          <w:sz w:val="28"/>
          <w:szCs w:val="28"/>
        </w:rPr>
        <w:t>投标人须知</w:t>
      </w:r>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5"/>
        <w:pageBreakBefore w:val="0"/>
        <w:widowControl w:val="0"/>
        <w:tabs>
          <w:tab w:val="center" w:pos="4592"/>
          <w:tab w:val="left" w:pos="7860"/>
        </w:tabs>
        <w:kinsoku/>
        <w:wordWrap/>
        <w:overflowPunct/>
        <w:topLinePunct w:val="0"/>
        <w:bidi w:val="0"/>
        <w:spacing w:before="0" w:line="400" w:lineRule="exact"/>
        <w:jc w:val="left"/>
        <w:textAlignment w:val="auto"/>
        <w:rPr>
          <w:rFonts w:ascii="Times New Roman" w:hAnsi="Times New Roman" w:eastAsia="宋体"/>
          <w:sz w:val="28"/>
        </w:rPr>
      </w:pPr>
      <w:bookmarkStart w:id="85" w:name="_Toc127151518"/>
      <w:bookmarkStart w:id="86" w:name="_Toc520356143"/>
      <w:r>
        <w:rPr>
          <w:rFonts w:ascii="Times New Roman" w:hAnsi="Times New Roman" w:eastAsia="宋体"/>
          <w:sz w:val="28"/>
        </w:rPr>
        <w:tab/>
      </w:r>
      <w:bookmarkStart w:id="87" w:name="_Toc151193616"/>
      <w:bookmarkStart w:id="88" w:name="_Toc226309762"/>
      <w:bookmarkStart w:id="89" w:name="_Toc226965708"/>
      <w:bookmarkStart w:id="90" w:name="_Toc151190145"/>
      <w:bookmarkStart w:id="91" w:name="_Toc150774618"/>
      <w:bookmarkStart w:id="92" w:name="_Toc150480756"/>
      <w:bookmarkStart w:id="93" w:name="_Toc150774723"/>
      <w:bookmarkStart w:id="94" w:name="_Toc151193760"/>
      <w:bookmarkStart w:id="95" w:name="_Toc151193906"/>
      <w:bookmarkStart w:id="96" w:name="_Toc305158860"/>
      <w:bookmarkStart w:id="97" w:name="_Toc264969208"/>
      <w:bookmarkStart w:id="98" w:name="_Toc151193832"/>
      <w:bookmarkStart w:id="99" w:name="_Toc226965791"/>
      <w:bookmarkStart w:id="100" w:name="_Toc226337214"/>
      <w:bookmarkStart w:id="101" w:name="_Toc142311020"/>
      <w:bookmarkStart w:id="102" w:name="_Toc265228356"/>
      <w:bookmarkStart w:id="103" w:name="_Toc305158786"/>
      <w:bookmarkStart w:id="104" w:name="_Toc151193688"/>
      <w:bookmarkStart w:id="105" w:name="_Toc150509269"/>
      <w:bookmarkStart w:id="106" w:name="_Toc195842883"/>
      <w:r>
        <w:rPr>
          <w:rFonts w:ascii="Times New Roman" w:hAnsi="Times New Roman" w:eastAsia="宋体"/>
          <w:sz w:val="28"/>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Times New Roman" w:hAnsi="Times New Roman" w:eastAsia="宋体"/>
          <w:sz w:val="28"/>
        </w:rPr>
        <w:tab/>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107" w:name="_Toc264969209"/>
      <w:bookmarkStart w:id="108" w:name="_Toc305158787"/>
      <w:bookmarkStart w:id="109" w:name="_Toc305158861"/>
      <w:bookmarkStart w:id="110" w:name="_Toc265228357"/>
      <w:r>
        <w:rPr>
          <w:rFonts w:hint="eastAsia"/>
          <w:sz w:val="24"/>
          <w:lang w:val="en-US" w:eastAsia="zh-CN"/>
        </w:rPr>
        <w:t xml:space="preserve">1   </w:t>
      </w:r>
      <w:r>
        <w:rPr>
          <w:sz w:val="24"/>
        </w:rPr>
        <w:t>采购人、采购代理机构、投标人</w:t>
      </w:r>
      <w:bookmarkEnd w:id="107"/>
      <w:bookmarkEnd w:id="108"/>
      <w:bookmarkEnd w:id="109"/>
      <w:bookmarkEnd w:id="110"/>
      <w:r>
        <w:rPr>
          <w:rFonts w:hint="eastAsia"/>
          <w:sz w:val="24"/>
        </w:rPr>
        <w:t>、联合体</w:t>
      </w:r>
    </w:p>
    <w:p>
      <w:pPr>
        <w:pageBreakBefore w:val="0"/>
        <w:widowControl w:val="0"/>
        <w:numPr>
          <w:ilvl w:val="0"/>
          <w:numId w:val="0"/>
        </w:numPr>
        <w:tabs>
          <w:tab w:val="left" w:pos="1080"/>
          <w:tab w:val="left" w:pos="2014"/>
          <w:tab w:val="left" w:pos="5521"/>
        </w:tabs>
        <w:kinsoku/>
        <w:wordWrap/>
        <w:overflowPunct/>
        <w:topLinePunct w:val="0"/>
        <w:bidi w:val="0"/>
        <w:snapToGrid w:val="0"/>
        <w:spacing w:line="400" w:lineRule="exact"/>
        <w:ind w:left="959" w:leftChars="228" w:hanging="480" w:hangingChars="200"/>
        <w:textAlignment w:val="auto"/>
        <w:rPr>
          <w:sz w:val="24"/>
        </w:rPr>
      </w:pPr>
      <w:r>
        <w:rPr>
          <w:rFonts w:hint="eastAsia"/>
          <w:sz w:val="24"/>
          <w:lang w:val="en-US" w:eastAsia="zh-CN"/>
        </w:rPr>
        <w:t xml:space="preserve">1.1 </w:t>
      </w:r>
      <w:r>
        <w:rPr>
          <w:sz w:val="24"/>
        </w:rPr>
        <w:t>采购人、采购代理机构：指依法进行政府采购的国家机关、事业单位、团体组织，及其委托的采购代理机构。本项目采购人、采购代理机构见第一章《投标邀请》。</w:t>
      </w:r>
    </w:p>
    <w:p>
      <w:pPr>
        <w:pageBreakBefore w:val="0"/>
        <w:widowControl w:val="0"/>
        <w:numPr>
          <w:ilvl w:val="0"/>
          <w:numId w:val="0"/>
        </w:numPr>
        <w:tabs>
          <w:tab w:val="left" w:pos="1080"/>
          <w:tab w:val="left" w:pos="2014"/>
          <w:tab w:val="left" w:pos="5521"/>
        </w:tabs>
        <w:kinsoku/>
        <w:wordWrap/>
        <w:overflowPunct/>
        <w:topLinePunct w:val="0"/>
        <w:bidi w:val="0"/>
        <w:snapToGrid w:val="0"/>
        <w:spacing w:line="400" w:lineRule="exact"/>
        <w:ind w:left="959" w:leftChars="228" w:hanging="480" w:hangingChars="200"/>
        <w:textAlignment w:val="auto"/>
        <w:rPr>
          <w:sz w:val="24"/>
        </w:rPr>
      </w:pPr>
      <w:r>
        <w:rPr>
          <w:rFonts w:hint="eastAsia"/>
          <w:sz w:val="24"/>
          <w:lang w:val="en-US" w:eastAsia="zh-CN"/>
        </w:rPr>
        <w:t xml:space="preserve">1.2 </w:t>
      </w: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pPr>
        <w:pageBreakBefore w:val="0"/>
        <w:widowControl w:val="0"/>
        <w:numPr>
          <w:ilvl w:val="0"/>
          <w:numId w:val="0"/>
        </w:numPr>
        <w:tabs>
          <w:tab w:val="left" w:pos="1080"/>
          <w:tab w:val="left" w:pos="2014"/>
          <w:tab w:val="left" w:pos="5521"/>
        </w:tabs>
        <w:kinsoku/>
        <w:wordWrap/>
        <w:overflowPunct/>
        <w:topLinePunct w:val="0"/>
        <w:bidi w:val="0"/>
        <w:snapToGrid w:val="0"/>
        <w:spacing w:line="400" w:lineRule="exact"/>
        <w:ind w:left="959" w:leftChars="228" w:hanging="480" w:hangingChars="200"/>
        <w:textAlignment w:val="auto"/>
        <w:rPr>
          <w:sz w:val="24"/>
        </w:rPr>
      </w:pPr>
      <w:r>
        <w:rPr>
          <w:rFonts w:hint="eastAsia"/>
          <w:sz w:val="24"/>
          <w:lang w:val="en-US" w:eastAsia="zh-CN"/>
        </w:rPr>
        <w:t xml:space="preserve">1.3 </w:t>
      </w:r>
      <w:r>
        <w:rPr>
          <w:rFonts w:hint="eastAsia"/>
          <w:sz w:val="24"/>
        </w:rPr>
        <w:t>联合体：指两个以上的自然人、法人或者其他组织组成一个联合体，以一个供应商的身份共同参加政府采购。</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111" w:name="_Toc151193834"/>
      <w:bookmarkStart w:id="112" w:name="_Toc226965710"/>
      <w:bookmarkStart w:id="113" w:name="_Toc164351614"/>
      <w:bookmarkStart w:id="114" w:name="_Toc127151520"/>
      <w:bookmarkStart w:id="115" w:name="_Toc305158788"/>
      <w:bookmarkStart w:id="116" w:name="_Toc150509271"/>
      <w:bookmarkStart w:id="117" w:name="_Toc226309764"/>
      <w:bookmarkStart w:id="118" w:name="_Toc305158862"/>
      <w:bookmarkStart w:id="119" w:name="_Toc164229215"/>
      <w:bookmarkStart w:id="120" w:name="_Toc127151721"/>
      <w:bookmarkStart w:id="121" w:name="_Toc164608789"/>
      <w:bookmarkStart w:id="122" w:name="_Toc164229361"/>
      <w:bookmarkStart w:id="123" w:name="_Toc142311022"/>
      <w:bookmarkStart w:id="124" w:name="_Toc150774725"/>
      <w:bookmarkStart w:id="125" w:name="_Toc127161434"/>
      <w:bookmarkStart w:id="126" w:name="_Toc151193690"/>
      <w:bookmarkStart w:id="127" w:name="_Toc151193908"/>
      <w:bookmarkStart w:id="128" w:name="_Toc226337216"/>
      <w:bookmarkStart w:id="129" w:name="_Toc150774620"/>
      <w:bookmarkStart w:id="130" w:name="_Toc151193618"/>
      <w:bookmarkStart w:id="131" w:name="_Toc151190147"/>
      <w:bookmarkStart w:id="132" w:name="_Toc164608634"/>
      <w:bookmarkStart w:id="133" w:name="_Toc150480758"/>
      <w:bookmarkStart w:id="134" w:name="_Toc264969210"/>
      <w:bookmarkStart w:id="135" w:name="_Toc149720813"/>
      <w:bookmarkStart w:id="136" w:name="_Toc265228358"/>
      <w:bookmarkStart w:id="137" w:name="_Toc195842885"/>
      <w:bookmarkStart w:id="138" w:name="_Toc151193762"/>
      <w:bookmarkStart w:id="139" w:name="_Toc226965793"/>
      <w:r>
        <w:rPr>
          <w:rFonts w:hint="eastAsia"/>
          <w:sz w:val="24"/>
          <w:lang w:val="en-US" w:eastAsia="zh-CN"/>
        </w:rPr>
        <w:t xml:space="preserve">2   </w:t>
      </w:r>
      <w:r>
        <w:rPr>
          <w:sz w:val="24"/>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sz w:val="24"/>
        </w:rPr>
        <w:t>、项目属性、科研仪器设备采购、核心产品</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959" w:leftChars="228" w:hanging="480" w:hangingChars="200"/>
        <w:textAlignment w:val="auto"/>
        <w:rPr>
          <w:sz w:val="24"/>
        </w:rPr>
      </w:pPr>
      <w:r>
        <w:rPr>
          <w:rFonts w:hint="eastAsia"/>
          <w:sz w:val="24"/>
          <w:lang w:val="en-US" w:eastAsia="zh-CN"/>
        </w:rPr>
        <w:t xml:space="preserve">2.1 </w:t>
      </w:r>
      <w:r>
        <w:rPr>
          <w:sz w:val="24"/>
        </w:rPr>
        <w:t>资金来源为财政性资金和/或本项目采购中无法与财政性资金分割的非财政性资金。</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firstLine="480" w:firstLineChars="200"/>
        <w:textAlignment w:val="auto"/>
        <w:rPr>
          <w:sz w:val="24"/>
        </w:rPr>
      </w:pPr>
      <w:r>
        <w:rPr>
          <w:rFonts w:hint="eastAsia"/>
          <w:sz w:val="24"/>
          <w:lang w:val="en-US" w:eastAsia="zh-CN"/>
        </w:rPr>
        <w:t xml:space="preserve">2.2 </w:t>
      </w:r>
      <w:r>
        <w:rPr>
          <w:sz w:val="24"/>
        </w:rPr>
        <w:t>项目属性见《投标人须知资料表》。</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firstLine="480" w:firstLineChars="200"/>
        <w:textAlignment w:val="auto"/>
        <w:rPr>
          <w:sz w:val="24"/>
        </w:rPr>
      </w:pPr>
      <w:r>
        <w:rPr>
          <w:rFonts w:hint="eastAsia"/>
          <w:sz w:val="24"/>
          <w:lang w:val="en-US" w:eastAsia="zh-CN"/>
        </w:rPr>
        <w:t xml:space="preserve">2.3 </w:t>
      </w:r>
      <w:r>
        <w:rPr>
          <w:sz w:val="24"/>
        </w:rPr>
        <w:t>是否属于科研仪器设备采购见《投标人须知资料表》。</w:t>
      </w:r>
    </w:p>
    <w:p>
      <w:pPr>
        <w:pageBreakBefore w:val="0"/>
        <w:widowControl w:val="0"/>
        <w:numPr>
          <w:ilvl w:val="0"/>
          <w:numId w:val="0"/>
        </w:numPr>
        <w:tabs>
          <w:tab w:val="left" w:pos="1080"/>
          <w:tab w:val="left" w:pos="2014"/>
          <w:tab w:val="left" w:pos="5521"/>
        </w:tabs>
        <w:kinsoku/>
        <w:wordWrap/>
        <w:overflowPunct/>
        <w:topLinePunct w:val="0"/>
        <w:bidi w:val="0"/>
        <w:snapToGrid w:val="0"/>
        <w:spacing w:line="400" w:lineRule="exact"/>
        <w:ind w:firstLine="480" w:firstLineChars="200"/>
        <w:textAlignment w:val="auto"/>
        <w:rPr>
          <w:sz w:val="24"/>
        </w:rPr>
      </w:pPr>
      <w:r>
        <w:rPr>
          <w:rFonts w:hint="eastAsia"/>
          <w:sz w:val="24"/>
          <w:lang w:val="en-US" w:eastAsia="zh-CN"/>
        </w:rPr>
        <w:t xml:space="preserve">2.4 </w:t>
      </w:r>
      <w:r>
        <w:rPr>
          <w:sz w:val="24"/>
        </w:rPr>
        <w:t>核心产品见《投标人须知资料表》。</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3   </w:t>
      </w:r>
      <w:r>
        <w:rPr>
          <w:sz w:val="24"/>
        </w:rPr>
        <w:t>现场考察、开标前答疑会</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959" w:leftChars="228" w:hanging="480" w:hangingChars="200"/>
        <w:textAlignment w:val="auto"/>
        <w:rPr>
          <w:sz w:val="28"/>
        </w:rPr>
      </w:pPr>
      <w:r>
        <w:rPr>
          <w:rFonts w:hint="eastAsia"/>
          <w:sz w:val="24"/>
          <w:lang w:val="en-US" w:eastAsia="zh-CN"/>
        </w:rPr>
        <w:t xml:space="preserve">3.1 </w:t>
      </w:r>
      <w:r>
        <w:rPr>
          <w:sz w:val="24"/>
        </w:rPr>
        <w:t>若《投标人须知资料表》中规定了组织现场考察、召开开标前答疑会，则投标人应按要求在规定的时间和地点参加。</w:t>
      </w:r>
      <w:bookmarkStart w:id="140" w:name="_Toc150509273"/>
      <w:bookmarkStart w:id="141" w:name="_Toc127151522"/>
      <w:bookmarkStart w:id="142" w:name="_Toc195842887"/>
      <w:bookmarkStart w:id="143" w:name="_Toc151193836"/>
      <w:bookmarkStart w:id="144" w:name="_Toc151193910"/>
      <w:bookmarkStart w:id="145" w:name="_Toc150774622"/>
      <w:bookmarkStart w:id="146" w:name="_Toc265228360"/>
      <w:bookmarkStart w:id="147" w:name="_Toc264969212"/>
      <w:bookmarkStart w:id="148" w:name="_Toc151193620"/>
      <w:bookmarkStart w:id="149" w:name="_Toc142311024"/>
      <w:bookmarkStart w:id="150" w:name="_Toc305158790"/>
      <w:bookmarkStart w:id="151" w:name="_Toc150480760"/>
      <w:bookmarkStart w:id="152" w:name="_Toc520356146"/>
      <w:bookmarkStart w:id="153" w:name="_Toc151193692"/>
      <w:bookmarkStart w:id="154" w:name="_Toc150774727"/>
      <w:bookmarkStart w:id="155" w:name="_Toc151190149"/>
      <w:bookmarkStart w:id="156" w:name="_Toc226337218"/>
      <w:bookmarkStart w:id="157" w:name="_Toc305158864"/>
      <w:bookmarkStart w:id="158" w:name="_Toc151193764"/>
      <w:bookmarkStart w:id="159" w:name="_Toc226309766"/>
      <w:bookmarkStart w:id="160" w:name="_Toc226965795"/>
      <w:bookmarkStart w:id="161" w:name="_Toc226965712"/>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2" w:leftChars="301" w:hanging="480" w:hangingChars="200"/>
        <w:textAlignment w:val="auto"/>
        <w:rPr>
          <w:sz w:val="24"/>
        </w:rPr>
      </w:pPr>
      <w:r>
        <w:rPr>
          <w:rFonts w:hint="eastAsia"/>
          <w:sz w:val="24"/>
          <w:lang w:val="en-US" w:eastAsia="zh-CN"/>
        </w:rPr>
        <w:t xml:space="preserve">3.2 </w:t>
      </w:r>
      <w:r>
        <w:rPr>
          <w:sz w:val="24"/>
        </w:rPr>
        <w:t>由于未参加现场考察或开标前答疑会而导致对项目实际情况不了解，影响投标文件编制、投标报价准确性、综合因素响应不全面等问题的，由投标人自行承担不利评审后果。</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4   </w:t>
      </w:r>
      <w:r>
        <w:rPr>
          <w:sz w:val="24"/>
        </w:rPr>
        <w:t>样品</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2" w:leftChars="301" w:hanging="480" w:hangingChars="200"/>
        <w:textAlignment w:val="auto"/>
        <w:rPr>
          <w:sz w:val="24"/>
        </w:rPr>
      </w:pPr>
      <w:r>
        <w:rPr>
          <w:rFonts w:hint="eastAsia"/>
          <w:sz w:val="24"/>
          <w:lang w:val="en-US" w:eastAsia="zh-CN"/>
        </w:rPr>
        <w:t>4.1</w:t>
      </w:r>
      <w:r>
        <w:rPr>
          <w:sz w:val="24"/>
        </w:rPr>
        <w:t>本项目是否要求投标人提供样品，以及样品制作的标准和要求、是否需要随样品提交相关检测报告、样品的递交与退还等要求见《投标人须知资料表》</w:t>
      </w:r>
      <w:r>
        <w:rPr>
          <w:rFonts w:hint="eastAsia"/>
          <w:sz w:val="24"/>
        </w:rPr>
        <w:t>。</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3" w:leftChars="0"/>
        <w:textAlignment w:val="auto"/>
        <w:rPr>
          <w:sz w:val="24"/>
        </w:rPr>
      </w:pPr>
      <w:r>
        <w:rPr>
          <w:rFonts w:hint="eastAsia"/>
          <w:sz w:val="24"/>
          <w:lang w:val="en-US" w:eastAsia="zh-CN"/>
        </w:rPr>
        <w:t xml:space="preserve">4.2 </w:t>
      </w:r>
      <w:r>
        <w:rPr>
          <w:sz w:val="24"/>
        </w:rPr>
        <w:t>样品的评审方法以及评审标准等内容见第四章《评标方法和评标标准》。</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5   </w:t>
      </w:r>
      <w:r>
        <w:rPr>
          <w:sz w:val="24"/>
        </w:rPr>
        <w:t>政府采购政策（包括但不限于下列具体政策要求）</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3" w:leftChars="0"/>
        <w:textAlignment w:val="auto"/>
        <w:rPr>
          <w:rFonts w:hint="eastAsia"/>
          <w:sz w:val="24"/>
        </w:rPr>
      </w:pPr>
      <w:r>
        <w:rPr>
          <w:rFonts w:hint="eastAsia"/>
          <w:sz w:val="24"/>
          <w:lang w:val="en-US" w:eastAsia="zh-CN"/>
        </w:rPr>
        <w:t xml:space="preserve">5.1 </w:t>
      </w:r>
      <w:r>
        <w:rPr>
          <w:rFonts w:hint="eastAsia"/>
          <w:sz w:val="24"/>
        </w:rPr>
        <w:t>采购本国货物、工程和服务</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firstLine="1200" w:firstLineChars="500"/>
        <w:textAlignment w:val="auto"/>
        <w:rPr>
          <w:rFonts w:hint="eastAsia"/>
          <w:sz w:val="24"/>
        </w:rPr>
      </w:pPr>
      <w:r>
        <w:rPr>
          <w:rFonts w:hint="eastAsia"/>
          <w:sz w:val="24"/>
        </w:rPr>
        <w:t>5.1.1 政府采购应当采购本国货物、工程和服务。但有《中华人民共和国政</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360" w:leftChars="0" w:firstLine="720" w:firstLineChars="300"/>
        <w:textAlignment w:val="auto"/>
        <w:rPr>
          <w:rFonts w:hint="eastAsia"/>
          <w:sz w:val="24"/>
        </w:rPr>
      </w:pPr>
      <w:r>
        <w:rPr>
          <w:rFonts w:hint="eastAsia"/>
          <w:sz w:val="24"/>
        </w:rPr>
        <w:t>府采购法》第十条规定情形的除外。</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360" w:leftChars="0" w:firstLine="720" w:firstLineChars="300"/>
        <w:textAlignment w:val="auto"/>
        <w:rPr>
          <w:rFonts w:hint="eastAsia"/>
          <w:sz w:val="24"/>
        </w:rPr>
      </w:pPr>
      <w:r>
        <w:rPr>
          <w:rFonts w:hint="eastAsia"/>
          <w:sz w:val="24"/>
        </w:rPr>
        <w:t>5.1.2 本项目如接受非本国货物、工程、服务参与投标，则具体要求见第四</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360" w:leftChars="0" w:firstLine="720" w:firstLineChars="300"/>
        <w:textAlignment w:val="auto"/>
        <w:rPr>
          <w:rFonts w:hint="eastAsia"/>
          <w:sz w:val="24"/>
        </w:rPr>
      </w:pPr>
      <w:r>
        <w:rPr>
          <w:rFonts w:hint="eastAsia"/>
          <w:sz w:val="24"/>
        </w:rPr>
        <w:t>章《采购需求》。</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360" w:leftChars="0" w:firstLine="720" w:firstLineChars="300"/>
        <w:textAlignment w:val="auto"/>
        <w:rPr>
          <w:rFonts w:hint="eastAsia"/>
          <w:sz w:val="24"/>
        </w:rPr>
      </w:pPr>
      <w:r>
        <w:rPr>
          <w:rFonts w:hint="eastAsia"/>
          <w:sz w:val="24"/>
        </w:rPr>
        <w:t>5.1.3 进口产品指通过中国海关报关验放进入中国境内且产自关境外的产</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360" w:leftChars="0" w:firstLine="720" w:firstLineChars="300"/>
        <w:textAlignment w:val="auto"/>
        <w:rPr>
          <w:rFonts w:hint="eastAsia"/>
          <w:sz w:val="24"/>
        </w:rPr>
      </w:pPr>
      <w:r>
        <w:rPr>
          <w:rFonts w:hint="eastAsia"/>
          <w:sz w:val="24"/>
        </w:rPr>
        <w:t>品，包括已经进入中国境内的进口产品。关于进口产品的相关规定依据《政</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360" w:leftChars="0" w:firstLine="720" w:firstLineChars="300"/>
        <w:textAlignment w:val="auto"/>
        <w:rPr>
          <w:rFonts w:hint="eastAsia"/>
          <w:sz w:val="24"/>
        </w:rPr>
      </w:pPr>
      <w:r>
        <w:rPr>
          <w:rFonts w:hint="eastAsia"/>
          <w:sz w:val="24"/>
        </w:rPr>
        <w:t>府采购进口产品管理办法》（财库〔2007〕119 号文）、《关于政府采购进</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360" w:leftChars="0" w:firstLine="720" w:firstLineChars="300"/>
        <w:textAlignment w:val="auto"/>
        <w:rPr>
          <w:rFonts w:hint="eastAsia"/>
          <w:sz w:val="24"/>
        </w:rPr>
      </w:pPr>
      <w:r>
        <w:rPr>
          <w:rFonts w:hint="eastAsia"/>
          <w:sz w:val="24"/>
        </w:rPr>
        <w:t>口产品管理有关问题的通知》（财办库〔2008〕248号文）。</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firstLine="480" w:firstLineChars="200"/>
        <w:textAlignment w:val="auto"/>
        <w:rPr>
          <w:sz w:val="24"/>
        </w:rPr>
      </w:pPr>
      <w:r>
        <w:rPr>
          <w:rFonts w:hint="eastAsia"/>
          <w:sz w:val="24"/>
          <w:lang w:val="en-US" w:eastAsia="zh-CN"/>
        </w:rPr>
        <w:t xml:space="preserve">5.2  </w:t>
      </w:r>
      <w:r>
        <w:rPr>
          <w:rFonts w:hint="eastAsia"/>
          <w:sz w:val="24"/>
        </w:rPr>
        <w:t>中小企业</w:t>
      </w:r>
      <w:r>
        <w:rPr>
          <w:sz w:val="24"/>
        </w:rPr>
        <w:t>、监狱企业及残疾人福利性单位</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5.2.1</w:t>
      </w:r>
      <w:r>
        <w:rPr>
          <w:sz w:val="24"/>
        </w:rPr>
        <w:t>中小企业定义：</w:t>
      </w:r>
    </w:p>
    <w:p>
      <w:pPr>
        <w:pStyle w:val="24"/>
        <w:pageBreakBefore w:val="0"/>
        <w:widowControl w:val="0"/>
        <w:numPr>
          <w:ilvl w:val="0"/>
          <w:numId w:val="4"/>
        </w:numPr>
        <w:tabs>
          <w:tab w:val="left" w:pos="1980"/>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Style w:val="24"/>
        <w:pageBreakBefore w:val="0"/>
        <w:widowControl w:val="0"/>
        <w:numPr>
          <w:ilvl w:val="0"/>
          <w:numId w:val="4"/>
        </w:numPr>
        <w:tabs>
          <w:tab w:val="left" w:pos="1980"/>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Style w:val="24"/>
        <w:pageBreakBefore w:val="0"/>
        <w:widowControl w:val="0"/>
        <w:numPr>
          <w:ilvl w:val="0"/>
          <w:numId w:val="4"/>
        </w:numPr>
        <w:tabs>
          <w:tab w:val="left" w:pos="1980"/>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Style w:val="24"/>
        <w:pageBreakBefore w:val="0"/>
        <w:widowControl w:val="0"/>
        <w:numPr>
          <w:ilvl w:val="0"/>
          <w:numId w:val="4"/>
        </w:numPr>
        <w:tabs>
          <w:tab w:val="left" w:pos="1980"/>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Style w:val="24"/>
        <w:pageBreakBefore w:val="0"/>
        <w:widowControl w:val="0"/>
        <w:numPr>
          <w:ilvl w:val="0"/>
          <w:numId w:val="4"/>
        </w:numPr>
        <w:tabs>
          <w:tab w:val="left" w:pos="1980"/>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Style w:val="24"/>
        <w:pageBreakBefore w:val="0"/>
        <w:widowControl w:val="0"/>
        <w:numPr>
          <w:ilvl w:val="1"/>
          <w:numId w:val="4"/>
        </w:numPr>
        <w:tabs>
          <w:tab w:val="left" w:pos="1980"/>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Style w:val="24"/>
        <w:pageBreakBefore w:val="0"/>
        <w:widowControl w:val="0"/>
        <w:numPr>
          <w:ilvl w:val="1"/>
          <w:numId w:val="4"/>
        </w:numPr>
        <w:tabs>
          <w:tab w:val="left" w:pos="1980"/>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Style w:val="24"/>
        <w:pageBreakBefore w:val="0"/>
        <w:widowControl w:val="0"/>
        <w:numPr>
          <w:ilvl w:val="2"/>
          <w:numId w:val="4"/>
        </w:numPr>
        <w:tabs>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color w:val="000000"/>
          <w:sz w:val="24"/>
        </w:rPr>
      </w:pPr>
      <w:r>
        <w:rPr>
          <w:rFonts w:hint="eastAsia"/>
          <w:color w:val="000000"/>
          <w:sz w:val="24"/>
          <w:lang w:val="en-US" w:eastAsia="zh-CN"/>
        </w:rPr>
        <w:t>5.2.1.1</w:t>
      </w:r>
      <w:r>
        <w:rPr>
          <w:color w:val="000000"/>
          <w:sz w:val="24"/>
        </w:rPr>
        <w:t>中小企业是指在中华人民共和国境内依法设立，依据国务院批准的</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color w:val="000000"/>
          <w:sz w:val="24"/>
        </w:rPr>
        <w:t>中小企业划分标准确定的中型企业、小型企业和微型企业，但与大企业的负责</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color w:val="000000"/>
          <w:sz w:val="24"/>
        </w:rPr>
        <w:t>人为同一人，或者与大企业存在直接控股、管理关系的除外。符合中小企业划</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color w:val="000000"/>
          <w:sz w:val="24"/>
        </w:rPr>
        <w:t>分标准的个体工商户，在政府采购活动中视同中小企业。关于中小企业的相关</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color w:val="000000"/>
          <w:sz w:val="24"/>
        </w:rPr>
        <w:t>规定依据《中华人民共和国中小企业促进法》、《政府采购促进中小企业发展</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color w:val="000000"/>
          <w:sz w:val="24"/>
        </w:rPr>
        <w:t>管理办法》（财库〔2020〕46号）、《关于印发中小企业划型标准规定的通知》</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color w:val="000000"/>
          <w:sz w:val="24"/>
        </w:rPr>
        <w:t>（工信部联企业〔2011〕300 号）、《国务院关于进一步促进中小企业发展的</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rFonts w:hint="eastAsia"/>
          <w:color w:val="auto"/>
          <w:sz w:val="24"/>
        </w:rPr>
      </w:pPr>
      <w:r>
        <w:rPr>
          <w:color w:val="000000"/>
          <w:sz w:val="24"/>
        </w:rPr>
        <w:t>若干意见》（国发〔2009〕36 号）</w:t>
      </w:r>
      <w:r>
        <w:rPr>
          <w:rFonts w:hint="eastAsia"/>
          <w:color w:val="auto"/>
          <w:sz w:val="24"/>
        </w:rPr>
        <w:t>、《关于进一步加大政府采购支持中小企</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rFonts w:hint="eastAsia"/>
          <w:color w:val="auto"/>
          <w:sz w:val="24"/>
        </w:rPr>
        <w:t>业力度的通知》（财库〔</w:t>
      </w:r>
      <w:r>
        <w:rPr>
          <w:color w:val="auto"/>
          <w:sz w:val="24"/>
        </w:rPr>
        <w:t>2022</w:t>
      </w:r>
      <w:r>
        <w:rPr>
          <w:rFonts w:hint="eastAsia"/>
          <w:color w:val="auto"/>
          <w:sz w:val="24"/>
        </w:rPr>
        <w:t>〕</w:t>
      </w:r>
      <w:r>
        <w:rPr>
          <w:color w:val="auto"/>
          <w:sz w:val="24"/>
        </w:rPr>
        <w:t xml:space="preserve">19 </w:t>
      </w:r>
      <w:r>
        <w:rPr>
          <w:rFonts w:hint="eastAsia"/>
          <w:color w:val="auto"/>
          <w:sz w:val="24"/>
        </w:rPr>
        <w:t>号）。</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sz w:val="24"/>
        </w:rPr>
      </w:pPr>
      <w:r>
        <w:rPr>
          <w:rFonts w:hint="eastAsia"/>
          <w:sz w:val="24"/>
          <w:lang w:val="en-US" w:eastAsia="zh-CN"/>
        </w:rPr>
        <w:t>5.2.1.2</w:t>
      </w:r>
      <w:r>
        <w:rPr>
          <w:sz w:val="24"/>
        </w:rPr>
        <w:t>供应商提供的货物、工程或者服务符合下列情形的，享受中小企业</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sz w:val="24"/>
        </w:rPr>
        <w:t>扶持政策：</w:t>
      </w:r>
    </w:p>
    <w:p>
      <w:pPr>
        <w:pageBreakBefore w:val="0"/>
        <w:widowControl w:val="0"/>
        <w:numPr>
          <w:ilvl w:val="0"/>
          <w:numId w:val="5"/>
        </w:numPr>
        <w:tabs>
          <w:tab w:val="left" w:pos="1980"/>
        </w:tabs>
        <w:kinsoku/>
        <w:wordWrap/>
        <w:overflowPunct/>
        <w:topLinePunct w:val="0"/>
        <w:bidi w:val="0"/>
        <w:snapToGrid w:val="0"/>
        <w:spacing w:line="400" w:lineRule="exact"/>
        <w:ind w:firstLine="1440" w:firstLineChars="600"/>
        <w:textAlignment w:val="auto"/>
        <w:rPr>
          <w:color w:val="000000"/>
          <w:sz w:val="24"/>
        </w:rPr>
      </w:pPr>
      <w:r>
        <w:rPr>
          <w:color w:val="000000"/>
          <w:sz w:val="24"/>
        </w:rPr>
        <w:t>在货物采购项目中，货物由中小企业制造，即货物由中小企业生产</w:t>
      </w:r>
    </w:p>
    <w:p>
      <w:pPr>
        <w:pageBreakBefore w:val="0"/>
        <w:widowControl w:val="0"/>
        <w:numPr>
          <w:ilvl w:val="0"/>
          <w:numId w:val="0"/>
        </w:numPr>
        <w:tabs>
          <w:tab w:val="left" w:pos="1980"/>
        </w:tabs>
        <w:kinsoku/>
        <w:wordWrap/>
        <w:overflowPunct/>
        <w:topLinePunct w:val="0"/>
        <w:bidi w:val="0"/>
        <w:snapToGrid w:val="0"/>
        <w:spacing w:line="400" w:lineRule="exact"/>
        <w:ind w:firstLine="960" w:firstLineChars="400"/>
        <w:textAlignment w:val="auto"/>
        <w:rPr>
          <w:color w:val="000000"/>
          <w:sz w:val="24"/>
        </w:rPr>
      </w:pPr>
      <w:r>
        <w:rPr>
          <w:color w:val="000000"/>
          <w:sz w:val="24"/>
        </w:rPr>
        <w:t>且使用该中小企业商号或者注册商标；</w:t>
      </w:r>
    </w:p>
    <w:p>
      <w:pPr>
        <w:pageBreakBefore w:val="0"/>
        <w:widowControl w:val="0"/>
        <w:numPr>
          <w:ilvl w:val="0"/>
          <w:numId w:val="5"/>
        </w:numPr>
        <w:tabs>
          <w:tab w:val="left" w:pos="1980"/>
        </w:tabs>
        <w:kinsoku/>
        <w:wordWrap/>
        <w:overflowPunct/>
        <w:topLinePunct w:val="0"/>
        <w:bidi w:val="0"/>
        <w:snapToGrid w:val="0"/>
        <w:spacing w:line="400" w:lineRule="exact"/>
        <w:ind w:left="0" w:leftChars="0" w:firstLine="1440" w:firstLineChars="600"/>
        <w:textAlignment w:val="auto"/>
        <w:rPr>
          <w:color w:val="000000"/>
          <w:sz w:val="24"/>
        </w:rPr>
      </w:pPr>
      <w:r>
        <w:rPr>
          <w:color w:val="000000"/>
          <w:sz w:val="24"/>
        </w:rPr>
        <w:t>在工程采购项目中，工程由中小企业承建，即工程施工单位为中小</w:t>
      </w:r>
    </w:p>
    <w:p>
      <w:pPr>
        <w:pageBreakBefore w:val="0"/>
        <w:widowControl w:val="0"/>
        <w:numPr>
          <w:ilvl w:val="0"/>
          <w:numId w:val="0"/>
        </w:numPr>
        <w:tabs>
          <w:tab w:val="left" w:pos="1980"/>
        </w:tabs>
        <w:kinsoku/>
        <w:wordWrap/>
        <w:overflowPunct/>
        <w:topLinePunct w:val="0"/>
        <w:bidi w:val="0"/>
        <w:snapToGrid w:val="0"/>
        <w:spacing w:line="400" w:lineRule="exact"/>
        <w:ind w:firstLine="960" w:firstLineChars="400"/>
        <w:textAlignment w:val="auto"/>
        <w:rPr>
          <w:color w:val="000000"/>
          <w:sz w:val="24"/>
        </w:rPr>
      </w:pPr>
      <w:r>
        <w:rPr>
          <w:color w:val="000000"/>
          <w:sz w:val="24"/>
        </w:rPr>
        <w:t>企业；</w:t>
      </w:r>
    </w:p>
    <w:p>
      <w:pPr>
        <w:pageBreakBefore w:val="0"/>
        <w:widowControl w:val="0"/>
        <w:numPr>
          <w:ilvl w:val="0"/>
          <w:numId w:val="5"/>
        </w:numPr>
        <w:tabs>
          <w:tab w:val="left" w:pos="1980"/>
        </w:tabs>
        <w:kinsoku/>
        <w:wordWrap/>
        <w:overflowPunct/>
        <w:topLinePunct w:val="0"/>
        <w:bidi w:val="0"/>
        <w:snapToGrid w:val="0"/>
        <w:spacing w:line="400" w:lineRule="exact"/>
        <w:ind w:left="0" w:leftChars="0" w:firstLine="1440" w:firstLineChars="600"/>
        <w:textAlignment w:val="auto"/>
        <w:rPr>
          <w:color w:val="000000"/>
          <w:sz w:val="24"/>
        </w:rPr>
      </w:pPr>
      <w:r>
        <w:rPr>
          <w:color w:val="000000"/>
          <w:sz w:val="24"/>
        </w:rPr>
        <w:t>在服务采购项目中，服务由中小企业承接，即提供服务的人员为中</w:t>
      </w:r>
    </w:p>
    <w:p>
      <w:pPr>
        <w:pageBreakBefore w:val="0"/>
        <w:widowControl w:val="0"/>
        <w:numPr>
          <w:ilvl w:val="0"/>
          <w:numId w:val="0"/>
        </w:numPr>
        <w:tabs>
          <w:tab w:val="left" w:pos="1980"/>
        </w:tabs>
        <w:kinsoku/>
        <w:wordWrap/>
        <w:overflowPunct/>
        <w:topLinePunct w:val="0"/>
        <w:bidi w:val="0"/>
        <w:snapToGrid w:val="0"/>
        <w:spacing w:line="400" w:lineRule="exact"/>
        <w:ind w:firstLine="960" w:firstLineChars="400"/>
        <w:textAlignment w:val="auto"/>
        <w:rPr>
          <w:color w:val="000000"/>
          <w:sz w:val="24"/>
        </w:rPr>
      </w:pPr>
      <w:r>
        <w:rPr>
          <w:color w:val="000000"/>
          <w:sz w:val="24"/>
        </w:rPr>
        <w:t>小企业依照《中华人民共和国劳动</w:t>
      </w:r>
      <w:r>
        <w:rPr>
          <w:rFonts w:hint="eastAsia"/>
          <w:color w:val="000000"/>
          <w:sz w:val="24"/>
        </w:rPr>
        <w:t>合同法</w:t>
      </w:r>
      <w:r>
        <w:rPr>
          <w:color w:val="000000"/>
          <w:sz w:val="24"/>
        </w:rPr>
        <w:t>》订立劳动合同的从业人员。</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sz w:val="24"/>
        </w:rPr>
      </w:pPr>
      <w:r>
        <w:rPr>
          <w:rFonts w:hint="eastAsia"/>
          <w:sz w:val="24"/>
          <w:lang w:val="en-US" w:eastAsia="zh-CN"/>
        </w:rPr>
        <w:t>5.2.1.3</w:t>
      </w:r>
      <w:r>
        <w:rPr>
          <w:sz w:val="24"/>
        </w:rPr>
        <w:t>在货物采购项目中，供应商提供的货物既有中小企业制造货物，也</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sz w:val="24"/>
        </w:rPr>
      </w:pPr>
      <w:r>
        <w:rPr>
          <w:sz w:val="24"/>
        </w:rPr>
        <w:t>有大型企业制造货物的，不享受中小企业扶持政策。</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color w:val="000000"/>
          <w:sz w:val="24"/>
        </w:rPr>
      </w:pPr>
      <w:r>
        <w:rPr>
          <w:rFonts w:hint="eastAsia"/>
          <w:color w:val="000000"/>
          <w:sz w:val="24"/>
          <w:lang w:val="en-US" w:eastAsia="zh-CN"/>
        </w:rPr>
        <w:t>5.2.1.4</w:t>
      </w:r>
      <w:r>
        <w:rPr>
          <w:color w:val="000000"/>
          <w:sz w:val="24"/>
        </w:rPr>
        <w:t>以联合体形式参加政府采购活动，联合体各方均为中小企业的，联</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sz w:val="24"/>
        </w:rPr>
      </w:pPr>
      <w:r>
        <w:rPr>
          <w:color w:val="000000"/>
          <w:sz w:val="24"/>
        </w:rPr>
        <w:t>合体视同中小企业。其中，联合体各方均为小微企业的，联合体视同小微企业。</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083" w:leftChars="0"/>
        <w:textAlignment w:val="auto"/>
        <w:rPr>
          <w:sz w:val="24"/>
        </w:rPr>
      </w:pPr>
      <w:r>
        <w:rPr>
          <w:rFonts w:hint="eastAsia"/>
          <w:sz w:val="24"/>
          <w:lang w:val="en-US" w:eastAsia="zh-CN"/>
        </w:rPr>
        <w:t>5.2.2</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080" w:leftChars="0"/>
        <w:textAlignment w:val="auto"/>
        <w:rPr>
          <w:sz w:val="24"/>
        </w:rPr>
      </w:pPr>
      <w:r>
        <w:rPr>
          <w:rFonts w:hint="eastAsia"/>
          <w:sz w:val="24"/>
          <w:lang w:val="en-US" w:eastAsia="zh-CN"/>
        </w:rPr>
        <w:t>5.2.3</w:t>
      </w:r>
      <w:r>
        <w:rPr>
          <w:sz w:val="24"/>
        </w:rPr>
        <w:t>残疾人福利单位定义：享受政府采购支持政策的残疾人福利性单位应当同时满足以下条件：</w:t>
      </w:r>
    </w:p>
    <w:p>
      <w:pPr>
        <w:pStyle w:val="24"/>
        <w:pageBreakBefore w:val="0"/>
        <w:widowControl w:val="0"/>
        <w:numPr>
          <w:ilvl w:val="2"/>
          <w:numId w:val="4"/>
        </w:numPr>
        <w:tabs>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Style w:val="24"/>
        <w:pageBreakBefore w:val="0"/>
        <w:widowControl w:val="0"/>
        <w:numPr>
          <w:ilvl w:val="2"/>
          <w:numId w:val="4"/>
        </w:numPr>
        <w:tabs>
          <w:tab w:val="left" w:pos="2035"/>
          <w:tab w:val="left" w:pos="2977"/>
        </w:tabs>
        <w:kinsoku/>
        <w:wordWrap/>
        <w:overflowPunct/>
        <w:topLinePunct w:val="0"/>
        <w:bidi w:val="0"/>
        <w:snapToGrid w:val="0"/>
        <w:spacing w:line="400" w:lineRule="exact"/>
        <w:ind w:firstLineChars="0"/>
        <w:textAlignment w:val="auto"/>
        <w:rPr>
          <w:rFonts w:ascii="Times New Roman" w:hAnsi="Times New Roman"/>
          <w:vanish/>
          <w:color w:val="000000"/>
          <w:sz w:val="24"/>
          <w:szCs w:val="24"/>
        </w:rPr>
      </w:pP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color w:val="000000"/>
          <w:sz w:val="24"/>
        </w:rPr>
      </w:pPr>
      <w:r>
        <w:rPr>
          <w:rFonts w:hint="eastAsia"/>
          <w:color w:val="000000"/>
          <w:sz w:val="24"/>
          <w:lang w:val="en-US" w:eastAsia="zh-CN"/>
        </w:rPr>
        <w:t>5.2.3.1</w:t>
      </w:r>
      <w:r>
        <w:rPr>
          <w:color w:val="000000"/>
          <w:sz w:val="24"/>
        </w:rPr>
        <w:t>安置的残疾人占本单位在职职工人数的比例不低于25%（含25%），</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color w:val="000000"/>
          <w:sz w:val="24"/>
        </w:rPr>
        <w:t>并且安置的残疾人人数不少于10 人（含10 人）；</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sz w:val="24"/>
        </w:rPr>
      </w:pPr>
      <w:r>
        <w:rPr>
          <w:rFonts w:hint="eastAsia"/>
          <w:sz w:val="24"/>
          <w:lang w:val="en-US" w:eastAsia="zh-CN"/>
        </w:rPr>
        <w:t>5.2.3.2</w:t>
      </w:r>
      <w:r>
        <w:rPr>
          <w:sz w:val="24"/>
        </w:rPr>
        <w:t>依法与安置的每位残疾人签订了一年以上（含一年）的劳动合同或</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sz w:val="24"/>
        </w:rPr>
        <w:t>服务协议；</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sz w:val="24"/>
        </w:rPr>
      </w:pPr>
      <w:r>
        <w:rPr>
          <w:rFonts w:hint="eastAsia"/>
          <w:sz w:val="24"/>
          <w:lang w:val="en-US" w:eastAsia="zh-CN"/>
        </w:rPr>
        <w:t>5.2.3.3</w:t>
      </w:r>
      <w:r>
        <w:rPr>
          <w:sz w:val="24"/>
        </w:rPr>
        <w:t>为安置的每位残疾人按月足额缴纳了基本养老保险、基本医疗保</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sz w:val="24"/>
        </w:rPr>
        <w:t>险、失业保险、工伤保险和生育保险等社会保险费；</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sz w:val="24"/>
        </w:rPr>
      </w:pPr>
      <w:r>
        <w:rPr>
          <w:rFonts w:hint="eastAsia"/>
          <w:sz w:val="24"/>
          <w:lang w:val="en-US" w:eastAsia="zh-CN"/>
        </w:rPr>
        <w:t>5.2.3.4</w:t>
      </w:r>
      <w:r>
        <w:rPr>
          <w:sz w:val="24"/>
        </w:rPr>
        <w:t>通过银行等金融机构向安置的每位残疾人，按月支付了不低于单位</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sz w:val="24"/>
        </w:rPr>
        <w:t>所在区县适用的经省级人民政府批准的月最低工资标准的工资；</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sz w:val="24"/>
        </w:rPr>
      </w:pPr>
      <w:r>
        <w:rPr>
          <w:rFonts w:hint="eastAsia"/>
          <w:sz w:val="24"/>
          <w:lang w:val="en-US" w:eastAsia="zh-CN"/>
        </w:rPr>
        <w:t>5.2.3.5</w:t>
      </w:r>
      <w:r>
        <w:rPr>
          <w:sz w:val="24"/>
        </w:rPr>
        <w:t>提供本单位制造的货物、承担的工程或者服务（以下简称产品），</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sz w:val="24"/>
        </w:rPr>
      </w:pPr>
      <w:r>
        <w:rPr>
          <w:sz w:val="24"/>
        </w:rPr>
        <w:t>或者提供其他残疾人福利性单位制造的货物（不包括使用非残疾人福利性单位</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sz w:val="24"/>
        </w:rPr>
        <w:t>注册商标的货物）；</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1440" w:firstLineChars="600"/>
        <w:textAlignment w:val="auto"/>
        <w:rPr>
          <w:sz w:val="24"/>
        </w:rPr>
      </w:pPr>
      <w:r>
        <w:rPr>
          <w:rFonts w:hint="eastAsia"/>
          <w:sz w:val="24"/>
          <w:lang w:val="en-US" w:eastAsia="zh-CN"/>
        </w:rPr>
        <w:t>5.2.3.6</w:t>
      </w:r>
      <w:r>
        <w:rPr>
          <w:sz w:val="24"/>
        </w:rPr>
        <w:t>前款所称残疾人是指法定劳动年龄内，持有《中华人民共和国残疾</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sz w:val="24"/>
        </w:rPr>
      </w:pPr>
      <w:r>
        <w:rPr>
          <w:sz w:val="24"/>
        </w:rPr>
        <w:t>人证》或者《中华人民共和国残疾军人证（1 至8 级）》的自然人，包括具有</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sz w:val="24"/>
        </w:rPr>
      </w:pPr>
      <w:r>
        <w:rPr>
          <w:sz w:val="24"/>
        </w:rPr>
        <w:t>劳动条件和劳动意愿的精神残疾人。在职职工人数是指与残疾人福利性单位建</w:t>
      </w:r>
    </w:p>
    <w:p>
      <w:pPr>
        <w:pageBreakBefore w:val="0"/>
        <w:widowControl w:val="0"/>
        <w:numPr>
          <w:ilvl w:val="0"/>
          <w:numId w:val="0"/>
        </w:numPr>
        <w:tabs>
          <w:tab w:val="left" w:pos="1980"/>
          <w:tab w:val="left" w:pos="2035"/>
          <w:tab w:val="left" w:pos="2885"/>
          <w:tab w:val="left" w:pos="2977"/>
        </w:tabs>
        <w:kinsoku/>
        <w:wordWrap/>
        <w:overflowPunct/>
        <w:topLinePunct w:val="0"/>
        <w:bidi w:val="0"/>
        <w:snapToGrid w:val="0"/>
        <w:spacing w:line="400" w:lineRule="exact"/>
        <w:ind w:firstLine="960" w:firstLineChars="400"/>
        <w:textAlignment w:val="auto"/>
        <w:rPr>
          <w:color w:val="000000"/>
          <w:sz w:val="24"/>
        </w:rPr>
      </w:pPr>
      <w:r>
        <w:rPr>
          <w:sz w:val="24"/>
        </w:rPr>
        <w:t>立劳动关系并依法签订劳动合同或服务协议的雇员人数。</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5.2.4</w:t>
      </w:r>
      <w:r>
        <w:rPr>
          <w:sz w:val="24"/>
        </w:rPr>
        <w:t>本项目是否专门面向中小企业预留采购份额见第一章《投标邀请》。</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5.2.5</w:t>
      </w:r>
      <w:r>
        <w:rPr>
          <w:sz w:val="24"/>
        </w:rPr>
        <w:t>采购标的对应的中小企业划分标准所属行业见《投标人须知资料表》。</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5.2.6</w:t>
      </w:r>
      <w:r>
        <w:rPr>
          <w:sz w:val="24"/>
        </w:rPr>
        <w:t>小微企业价格评审优惠的政策调整：见第四章《评标方法和评标标准》。</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360" w:leftChars="0" w:firstLine="240" w:firstLineChars="100"/>
        <w:textAlignment w:val="auto"/>
        <w:rPr>
          <w:sz w:val="24"/>
        </w:rPr>
      </w:pPr>
      <w:r>
        <w:rPr>
          <w:rFonts w:hint="eastAsia"/>
          <w:sz w:val="24"/>
          <w:lang w:val="en-US" w:eastAsia="zh-CN"/>
        </w:rPr>
        <w:t xml:space="preserve">5.3  </w:t>
      </w:r>
      <w:r>
        <w:rPr>
          <w:sz w:val="24"/>
        </w:rPr>
        <w:t>政府采购节能产品、环境标志产品</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083" w:leftChars="0"/>
        <w:textAlignment w:val="auto"/>
        <w:rPr>
          <w:sz w:val="24"/>
        </w:rPr>
      </w:pPr>
      <w:r>
        <w:rPr>
          <w:rFonts w:hint="eastAsia"/>
          <w:sz w:val="24"/>
          <w:lang w:val="en-US" w:eastAsia="zh-CN"/>
        </w:rPr>
        <w:t>5.3.1</w:t>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083" w:leftChars="0"/>
        <w:textAlignment w:val="auto"/>
        <w:rPr>
          <w:color w:val="auto"/>
          <w:sz w:val="24"/>
        </w:rPr>
      </w:pPr>
      <w:r>
        <w:rPr>
          <w:rFonts w:hint="eastAsia"/>
          <w:sz w:val="24"/>
          <w:lang w:val="en-US" w:eastAsia="zh-CN"/>
        </w:rPr>
        <w:t>5.3.2</w:t>
      </w:r>
      <w:r>
        <w:rPr>
          <w:sz w:val="24"/>
        </w:rPr>
        <w:t>采购人拟采购的产品属于品目清单范围的，采购人及其委托的采购代理机构依据国家确定的认证机构出具的、处于有效期之内的节能产品、环境标志产品认证证书，对获得</w:t>
      </w:r>
      <w:r>
        <w:rPr>
          <w:color w:val="auto"/>
          <w:sz w:val="24"/>
        </w:rPr>
        <w:t xml:space="preserve">证书的产品实施政府优先采购或强制采购。关于政府采购节能产品、环境标志产品的相关规定依据《关于调整优化节能产品、环境标志产品政府采购执行机制的通知》（财库〔2019〕9号）。 </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083" w:leftChars="0"/>
        <w:textAlignment w:val="auto"/>
        <w:rPr>
          <w:rFonts w:hint="eastAsia" w:eastAsia="宋体"/>
          <w:sz w:val="24"/>
          <w:lang w:eastAsia="zh-CN"/>
        </w:rPr>
      </w:pPr>
      <w:r>
        <w:rPr>
          <w:rFonts w:hint="eastAsia"/>
          <w:sz w:val="24"/>
          <w:lang w:val="en-US" w:eastAsia="zh-CN"/>
        </w:rPr>
        <w:t>5.3.3</w:t>
      </w: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rFonts w:hint="eastAsia"/>
          <w:b w:val="0"/>
          <w:bCs/>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083" w:leftChars="0"/>
        <w:textAlignment w:val="auto"/>
        <w:rPr>
          <w:sz w:val="24"/>
        </w:rPr>
      </w:pPr>
      <w:r>
        <w:rPr>
          <w:rFonts w:hint="eastAsia"/>
          <w:sz w:val="24"/>
          <w:lang w:val="en-US" w:eastAsia="zh-CN"/>
        </w:rPr>
        <w:t>5.3.4</w:t>
      </w:r>
      <w:r>
        <w:rPr>
          <w:sz w:val="24"/>
        </w:rPr>
        <w:t>非政府强制采购的节能产品或环境标志产品，依据品目清单和认证证书实施政府优先采购。优先采购的具体规定见第四章《评标方法和评标标准》（如涉及）。</w:t>
      </w:r>
    </w:p>
    <w:p>
      <w:pPr>
        <w:pageBreakBefore w:val="0"/>
        <w:widowControl w:val="0"/>
        <w:numPr>
          <w:ilvl w:val="0"/>
          <w:numId w:val="0"/>
        </w:numPr>
        <w:kinsoku/>
        <w:wordWrap/>
        <w:overflowPunct/>
        <w:topLinePunct w:val="0"/>
        <w:bidi w:val="0"/>
        <w:snapToGrid w:val="0"/>
        <w:spacing w:line="400" w:lineRule="exact"/>
        <w:ind w:firstLine="720" w:firstLineChars="300"/>
        <w:textAlignment w:val="auto"/>
        <w:rPr>
          <w:rFonts w:hint="eastAsia"/>
          <w:sz w:val="24"/>
          <w:lang w:val="en-US" w:eastAsia="zh-CN"/>
        </w:rPr>
      </w:pPr>
      <w:r>
        <w:rPr>
          <w:rFonts w:hint="eastAsia"/>
          <w:sz w:val="24"/>
          <w:lang w:val="en-US" w:eastAsia="zh-CN"/>
        </w:rPr>
        <w:t>5.4 正版软件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080" w:leftChars="0"/>
        <w:textAlignment w:val="auto"/>
        <w:rPr>
          <w:rFonts w:hint="eastAsia"/>
          <w:sz w:val="24"/>
          <w:lang w:val="en-US" w:eastAsia="zh-CN"/>
        </w:rPr>
      </w:pPr>
      <w:r>
        <w:rPr>
          <w:rFonts w:hint="eastAsia"/>
          <w:sz w:val="24"/>
          <w:lang w:val="en-US" w:eastAsia="zh-CN"/>
        </w:rPr>
        <w:t>5.4.1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b/>
          <w:bCs/>
          <w:sz w:val="24"/>
          <w:lang w:val="en-US" w:eastAsia="zh-CN"/>
        </w:rPr>
        <w:t>投标无效</w:t>
      </w:r>
      <w:r>
        <w:rPr>
          <w:rFonts w:hint="eastAsia"/>
          <w:sz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080" w:leftChars="0"/>
        <w:textAlignment w:val="auto"/>
        <w:rPr>
          <w:sz w:val="24"/>
        </w:rPr>
      </w:pPr>
      <w:r>
        <w:rPr>
          <w:rFonts w:hint="eastAsia"/>
          <w:sz w:val="24"/>
          <w:lang w:val="en-US" w:eastAsia="zh-CN"/>
        </w:rPr>
        <w:t>5.4.2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keepNext w:val="0"/>
        <w:keepLines w:val="0"/>
        <w:pageBreakBefore w:val="0"/>
        <w:widowControl w:val="0"/>
        <w:numPr>
          <w:ilvl w:val="0"/>
          <w:numId w:val="0"/>
        </w:numPr>
        <w:tabs>
          <w:tab w:val="left" w:pos="1080"/>
          <w:tab w:val="left" w:pos="2014"/>
        </w:tabs>
        <w:kinsoku/>
        <w:wordWrap/>
        <w:overflowPunct/>
        <w:topLinePunct w:val="0"/>
        <w:autoSpaceDE/>
        <w:autoSpaceDN/>
        <w:bidi w:val="0"/>
        <w:adjustRightInd/>
        <w:snapToGrid w:val="0"/>
        <w:spacing w:line="440" w:lineRule="exact"/>
        <w:ind w:left="360" w:leftChars="0" w:firstLine="240" w:firstLineChars="100"/>
        <w:textAlignment w:val="auto"/>
        <w:rPr>
          <w:sz w:val="24"/>
        </w:rPr>
      </w:pPr>
      <w:r>
        <w:rPr>
          <w:rFonts w:hint="eastAsia"/>
          <w:sz w:val="24"/>
          <w:lang w:val="en-US" w:eastAsia="zh-CN"/>
        </w:rPr>
        <w:t xml:space="preserve">5.5  </w:t>
      </w:r>
      <w:r>
        <w:rPr>
          <w:rFonts w:hint="eastAsia"/>
          <w:sz w:val="24"/>
          <w:lang w:eastAsia="zh-CN"/>
        </w:rPr>
        <w:t>网络</w:t>
      </w:r>
      <w:r>
        <w:rPr>
          <w:sz w:val="24"/>
        </w:rPr>
        <w:t>安全</w:t>
      </w:r>
      <w:r>
        <w:rPr>
          <w:rFonts w:hint="eastAsia"/>
          <w:sz w:val="24"/>
          <w:lang w:eastAsia="zh-CN"/>
        </w:rPr>
        <w:t>专用</w:t>
      </w:r>
      <w:r>
        <w:rPr>
          <w:sz w:val="24"/>
        </w:rPr>
        <w:t>产品</w:t>
      </w:r>
    </w:p>
    <w:p>
      <w:pPr>
        <w:keepNext w:val="0"/>
        <w:keepLines w:val="0"/>
        <w:pageBreakBefore w:val="0"/>
        <w:widowControl w:val="0"/>
        <w:numPr>
          <w:ilvl w:val="0"/>
          <w:numId w:val="0"/>
        </w:numPr>
        <w:tabs>
          <w:tab w:val="left" w:pos="2014"/>
        </w:tabs>
        <w:kinsoku/>
        <w:wordWrap/>
        <w:overflowPunct/>
        <w:topLinePunct w:val="0"/>
        <w:autoSpaceDE/>
        <w:autoSpaceDN/>
        <w:bidi w:val="0"/>
        <w:adjustRightInd/>
        <w:snapToGrid w:val="0"/>
        <w:spacing w:line="440" w:lineRule="exact"/>
        <w:ind w:left="1080" w:leftChars="0"/>
        <w:textAlignment w:val="auto"/>
        <w:rPr>
          <w:sz w:val="24"/>
        </w:rPr>
      </w:pPr>
      <w:r>
        <w:rPr>
          <w:rFonts w:hint="eastAsia"/>
          <w:sz w:val="24"/>
          <w:lang w:val="en-US" w:eastAsia="zh-CN"/>
        </w:rPr>
        <w:t>5.5.1</w:t>
      </w:r>
      <w:r>
        <w:rPr>
          <w:sz w:val="24"/>
        </w:rPr>
        <w:t>所投产品属于《关于调整信息安全产品强制性认证实施要求的公告》（2009 年第33 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。关于信息安全相关规定依据《关于信息安全产品实施政府采购的通知》（财库〔2010〕48 号）。</w:t>
      </w:r>
    </w:p>
    <w:p>
      <w:pPr>
        <w:keepNext w:val="0"/>
        <w:keepLines w:val="0"/>
        <w:pageBreakBefore w:val="0"/>
        <w:widowControl w:val="0"/>
        <w:numPr>
          <w:ilvl w:val="0"/>
          <w:numId w:val="0"/>
        </w:numPr>
        <w:tabs>
          <w:tab w:val="left" w:pos="1080"/>
          <w:tab w:val="left" w:pos="2014"/>
        </w:tabs>
        <w:kinsoku/>
        <w:wordWrap/>
        <w:overflowPunct/>
        <w:topLinePunct w:val="0"/>
        <w:autoSpaceDE/>
        <w:autoSpaceDN/>
        <w:bidi w:val="0"/>
        <w:adjustRightInd/>
        <w:snapToGrid w:val="0"/>
        <w:spacing w:line="440" w:lineRule="exact"/>
        <w:ind w:firstLine="480" w:firstLineChars="200"/>
        <w:textAlignment w:val="auto"/>
        <w:rPr>
          <w:sz w:val="24"/>
        </w:rPr>
      </w:pPr>
      <w:r>
        <w:rPr>
          <w:rFonts w:hint="eastAsia"/>
          <w:sz w:val="24"/>
          <w:lang w:val="en-US" w:eastAsia="zh-CN"/>
        </w:rPr>
        <w:t xml:space="preserve">5.6  </w:t>
      </w:r>
      <w:r>
        <w:rPr>
          <w:sz w:val="24"/>
        </w:rPr>
        <w:t>推广使用低挥发性有机化合物（VOCs）</w:t>
      </w:r>
    </w:p>
    <w:p>
      <w:pPr>
        <w:keepNext w:val="0"/>
        <w:keepLines w:val="0"/>
        <w:pageBreakBefore w:val="0"/>
        <w:widowControl w:val="0"/>
        <w:numPr>
          <w:ilvl w:val="0"/>
          <w:numId w:val="0"/>
        </w:numPr>
        <w:tabs>
          <w:tab w:val="left" w:pos="2014"/>
        </w:tabs>
        <w:kinsoku/>
        <w:wordWrap/>
        <w:overflowPunct/>
        <w:topLinePunct w:val="0"/>
        <w:autoSpaceDE/>
        <w:autoSpaceDN/>
        <w:bidi w:val="0"/>
        <w:adjustRightInd/>
        <w:snapToGrid w:val="0"/>
        <w:spacing w:line="440" w:lineRule="exact"/>
        <w:ind w:left="1080" w:leftChars="0"/>
        <w:textAlignment w:val="auto"/>
        <w:rPr>
          <w:rFonts w:hint="eastAsia" w:eastAsia="宋体"/>
          <w:b/>
          <w:kern w:val="0"/>
          <w:sz w:val="24"/>
          <w:lang w:val="en-US" w:eastAsia="zh-CN"/>
        </w:rPr>
      </w:pPr>
      <w:r>
        <w:rPr>
          <w:rFonts w:hint="eastAsia"/>
          <w:sz w:val="24"/>
          <w:lang w:val="en-US" w:eastAsia="zh-CN"/>
        </w:rPr>
        <w:t>5.6.1</w:t>
      </w: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rFonts w:hint="eastAsia"/>
          <w:b w:val="0"/>
          <w:bCs/>
          <w:kern w:val="0"/>
          <w:sz w:val="24"/>
          <w:lang w:eastAsia="zh-CN"/>
        </w:rPr>
        <w:t>。</w:t>
      </w:r>
    </w:p>
    <w:p>
      <w:pPr>
        <w:keepNext w:val="0"/>
        <w:keepLines w:val="0"/>
        <w:pageBreakBefore w:val="0"/>
        <w:widowControl w:val="0"/>
        <w:numPr>
          <w:ilvl w:val="0"/>
          <w:numId w:val="0"/>
        </w:numPr>
        <w:tabs>
          <w:tab w:val="left" w:pos="2014"/>
        </w:tabs>
        <w:kinsoku/>
        <w:wordWrap/>
        <w:overflowPunct/>
        <w:topLinePunct w:val="0"/>
        <w:autoSpaceDE/>
        <w:autoSpaceDN/>
        <w:bidi w:val="0"/>
        <w:adjustRightInd/>
        <w:snapToGrid w:val="0"/>
        <w:spacing w:line="440" w:lineRule="exact"/>
        <w:ind w:firstLine="480" w:firstLineChars="200"/>
        <w:textAlignment w:val="auto"/>
        <w:rPr>
          <w:rFonts w:hint="eastAsia"/>
          <w:sz w:val="24"/>
        </w:rPr>
      </w:pPr>
      <w:r>
        <w:rPr>
          <w:rFonts w:hint="eastAsia"/>
          <w:sz w:val="24"/>
        </w:rPr>
        <w:t xml:space="preserve">5.7 </w:t>
      </w:r>
      <w:r>
        <w:rPr>
          <w:rFonts w:hint="eastAsia"/>
          <w:sz w:val="24"/>
          <w:lang w:val="en-US" w:eastAsia="zh-CN"/>
        </w:rPr>
        <w:t xml:space="preserve"> </w:t>
      </w:r>
      <w:r>
        <w:rPr>
          <w:rFonts w:hint="eastAsia"/>
          <w:sz w:val="24"/>
        </w:rPr>
        <w:t>采购需求标准</w:t>
      </w:r>
    </w:p>
    <w:p>
      <w:pPr>
        <w:keepNext w:val="0"/>
        <w:keepLines w:val="0"/>
        <w:pageBreakBefore w:val="0"/>
        <w:widowControl w:val="0"/>
        <w:numPr>
          <w:ilvl w:val="0"/>
          <w:numId w:val="0"/>
        </w:numPr>
        <w:tabs>
          <w:tab w:val="left" w:pos="2014"/>
        </w:tabs>
        <w:kinsoku/>
        <w:wordWrap/>
        <w:overflowPunct/>
        <w:topLinePunct w:val="0"/>
        <w:autoSpaceDE/>
        <w:autoSpaceDN/>
        <w:bidi w:val="0"/>
        <w:adjustRightInd/>
        <w:snapToGrid w:val="0"/>
        <w:spacing w:line="440" w:lineRule="exact"/>
        <w:ind w:left="1080" w:leftChars="0"/>
        <w:textAlignment w:val="auto"/>
        <w:rPr>
          <w:rFonts w:hint="eastAsia"/>
          <w:sz w:val="24"/>
        </w:rPr>
      </w:pPr>
      <w:r>
        <w:rPr>
          <w:rFonts w:hint="eastAsia"/>
          <w:sz w:val="24"/>
        </w:rPr>
        <w:t>5.7.1 商品包装、快递包装政府采购需求标准（试行）</w:t>
      </w:r>
    </w:p>
    <w:p>
      <w:pPr>
        <w:keepNext w:val="0"/>
        <w:keepLines w:val="0"/>
        <w:pageBreakBefore w:val="0"/>
        <w:widowControl w:val="0"/>
        <w:numPr>
          <w:ilvl w:val="0"/>
          <w:numId w:val="0"/>
        </w:numPr>
        <w:tabs>
          <w:tab w:val="left" w:pos="2014"/>
        </w:tabs>
        <w:kinsoku/>
        <w:wordWrap/>
        <w:overflowPunct/>
        <w:topLinePunct w:val="0"/>
        <w:autoSpaceDE/>
        <w:autoSpaceDN/>
        <w:bidi w:val="0"/>
        <w:adjustRightInd/>
        <w:snapToGrid w:val="0"/>
        <w:spacing w:line="440" w:lineRule="exact"/>
        <w:ind w:left="1080" w:leftChars="0" w:firstLine="480" w:firstLineChars="200"/>
        <w:textAlignment w:val="auto"/>
        <w:rPr>
          <w:rFonts w:hint="eastAsia"/>
          <w:sz w:val="24"/>
        </w:rPr>
      </w:pPr>
      <w:r>
        <w:rPr>
          <w:rFonts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keepNext w:val="0"/>
        <w:keepLines w:val="0"/>
        <w:pageBreakBefore w:val="0"/>
        <w:widowControl w:val="0"/>
        <w:numPr>
          <w:ilvl w:val="0"/>
          <w:numId w:val="0"/>
        </w:numPr>
        <w:tabs>
          <w:tab w:val="left" w:pos="2014"/>
        </w:tabs>
        <w:kinsoku/>
        <w:wordWrap/>
        <w:overflowPunct/>
        <w:topLinePunct w:val="0"/>
        <w:autoSpaceDE/>
        <w:autoSpaceDN/>
        <w:bidi w:val="0"/>
        <w:adjustRightInd/>
        <w:snapToGrid w:val="0"/>
        <w:spacing w:line="440" w:lineRule="exact"/>
        <w:ind w:left="1080" w:leftChars="0"/>
        <w:textAlignment w:val="auto"/>
        <w:rPr>
          <w:rFonts w:hint="eastAsia"/>
          <w:sz w:val="24"/>
        </w:rPr>
      </w:pPr>
      <w:r>
        <w:rPr>
          <w:rFonts w:hint="eastAsia"/>
          <w:sz w:val="24"/>
        </w:rPr>
        <w:t>5.7.2 绿色数据中心政府采购需求标准（试行）</w:t>
      </w:r>
    </w:p>
    <w:p>
      <w:pPr>
        <w:keepNext w:val="0"/>
        <w:keepLines w:val="0"/>
        <w:pageBreakBefore w:val="0"/>
        <w:widowControl w:val="0"/>
        <w:numPr>
          <w:ilvl w:val="0"/>
          <w:numId w:val="0"/>
        </w:numPr>
        <w:tabs>
          <w:tab w:val="left" w:pos="2014"/>
        </w:tabs>
        <w:kinsoku/>
        <w:wordWrap/>
        <w:overflowPunct/>
        <w:topLinePunct w:val="0"/>
        <w:autoSpaceDE/>
        <w:autoSpaceDN/>
        <w:bidi w:val="0"/>
        <w:adjustRightInd/>
        <w:snapToGrid w:val="0"/>
        <w:spacing w:line="440" w:lineRule="exact"/>
        <w:ind w:left="1080" w:leftChars="0" w:firstLine="480" w:firstLineChars="200"/>
        <w:textAlignment w:val="auto"/>
        <w:rPr>
          <w:rFonts w:hint="eastAsia"/>
          <w:sz w:val="24"/>
        </w:rPr>
      </w:pPr>
      <w:r>
        <w:rPr>
          <w:rFonts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pPr>
        <w:pageBreakBefore w:val="0"/>
        <w:widowControl w:val="0"/>
        <w:numPr>
          <w:ilvl w:val="0"/>
          <w:numId w:val="0"/>
        </w:numPr>
        <w:tabs>
          <w:tab w:val="left" w:pos="2014"/>
        </w:tabs>
        <w:kinsoku/>
        <w:wordWrap/>
        <w:overflowPunct/>
        <w:topLinePunct w:val="0"/>
        <w:bidi w:val="0"/>
        <w:snapToGrid w:val="0"/>
        <w:spacing w:line="400" w:lineRule="exact"/>
        <w:textAlignment w:val="auto"/>
        <w:rPr>
          <w:rFonts w:hint="eastAsia"/>
          <w:sz w:val="24"/>
        </w:rPr>
      </w:pPr>
      <w:r>
        <w:rPr>
          <w:rFonts w:hint="eastAsia"/>
          <w:sz w:val="24"/>
        </w:rPr>
        <w:t>6</w:t>
      </w:r>
      <w:r>
        <w:rPr>
          <w:rFonts w:hint="eastAsia"/>
          <w:sz w:val="24"/>
          <w:lang w:val="en-US" w:eastAsia="zh-CN"/>
        </w:rPr>
        <w:t xml:space="preserve">   </w:t>
      </w:r>
      <w:r>
        <w:rPr>
          <w:rFonts w:hint="eastAsia"/>
          <w:sz w:val="24"/>
        </w:rPr>
        <w:t>投标费用</w:t>
      </w:r>
    </w:p>
    <w:p>
      <w:pPr>
        <w:pageBreakBefore w:val="0"/>
        <w:widowControl w:val="0"/>
        <w:numPr>
          <w:ilvl w:val="0"/>
          <w:numId w:val="0"/>
        </w:numPr>
        <w:tabs>
          <w:tab w:val="left" w:pos="2014"/>
        </w:tabs>
        <w:kinsoku/>
        <w:wordWrap/>
        <w:overflowPunct/>
        <w:topLinePunct w:val="0"/>
        <w:bidi w:val="0"/>
        <w:snapToGrid w:val="0"/>
        <w:spacing w:line="400" w:lineRule="exact"/>
        <w:ind w:firstLine="480" w:firstLineChars="200"/>
        <w:textAlignment w:val="auto"/>
        <w:rPr>
          <w:rFonts w:hint="eastAsia"/>
          <w:sz w:val="24"/>
          <w:lang w:eastAsia="zh-CN"/>
        </w:rPr>
      </w:pPr>
      <w:r>
        <w:rPr>
          <w:rFonts w:hint="eastAsia"/>
          <w:sz w:val="24"/>
        </w:rPr>
        <w:t>6.1 投标人应自行承担所有与准备和参加投标有关的费用，无论投标的结果如何</w:t>
      </w:r>
      <w:r>
        <w:rPr>
          <w:rFonts w:hint="eastAsia"/>
          <w:sz w:val="24"/>
          <w:lang w:eastAsia="zh-CN"/>
        </w:rPr>
        <w:t>，</w:t>
      </w:r>
    </w:p>
    <w:p>
      <w:pPr>
        <w:pageBreakBefore w:val="0"/>
        <w:widowControl w:val="0"/>
        <w:numPr>
          <w:ilvl w:val="0"/>
          <w:numId w:val="0"/>
        </w:numPr>
        <w:tabs>
          <w:tab w:val="left" w:pos="2014"/>
        </w:tabs>
        <w:kinsoku/>
        <w:wordWrap/>
        <w:overflowPunct/>
        <w:topLinePunct w:val="0"/>
        <w:bidi w:val="0"/>
        <w:snapToGrid w:val="0"/>
        <w:spacing w:line="400" w:lineRule="exact"/>
        <w:ind w:firstLine="960" w:firstLineChars="400"/>
        <w:textAlignment w:val="auto"/>
        <w:rPr>
          <w:sz w:val="24"/>
        </w:rPr>
      </w:pPr>
      <w:r>
        <w:rPr>
          <w:rFonts w:hint="eastAsia"/>
          <w:sz w:val="24"/>
        </w:rPr>
        <w:t>采购人或采购代理机构在任何情况下均无承担这些费用的义务和责任。</w:t>
      </w:r>
    </w:p>
    <w:p>
      <w:pPr>
        <w:pageBreakBefore w:val="0"/>
        <w:widowControl w:val="0"/>
        <w:tabs>
          <w:tab w:val="left" w:pos="1080"/>
        </w:tabs>
        <w:kinsoku/>
        <w:wordWrap/>
        <w:overflowPunct/>
        <w:topLinePunct w:val="0"/>
        <w:bidi w:val="0"/>
        <w:snapToGrid w:val="0"/>
        <w:spacing w:line="400" w:lineRule="exact"/>
        <w:ind w:left="1080"/>
        <w:textAlignment w:val="auto"/>
        <w:rPr>
          <w:sz w:val="28"/>
        </w:rPr>
      </w:pPr>
      <w:bookmarkStart w:id="162" w:name="_1.8_计量单位"/>
      <w:bookmarkEnd w:id="162"/>
    </w:p>
    <w:p>
      <w:pPr>
        <w:pStyle w:val="5"/>
        <w:pageBreakBefore w:val="0"/>
        <w:widowControl w:val="0"/>
        <w:kinsoku/>
        <w:wordWrap/>
        <w:overflowPunct/>
        <w:topLinePunct w:val="0"/>
        <w:bidi w:val="0"/>
        <w:spacing w:before="0" w:line="400" w:lineRule="exact"/>
        <w:textAlignment w:val="auto"/>
        <w:rPr>
          <w:rFonts w:ascii="Times New Roman" w:hAnsi="Times New Roman" w:eastAsia="宋体"/>
          <w:sz w:val="28"/>
        </w:rPr>
      </w:pPr>
      <w:r>
        <w:rPr>
          <w:rFonts w:ascii="Times New Roman" w:hAnsi="Times New Roman" w:eastAsia="宋体"/>
          <w:sz w:val="28"/>
        </w:rPr>
        <w:t>二   招标文件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163" w:name="_Toc226965713"/>
      <w:bookmarkStart w:id="164" w:name="_Toc226965796"/>
      <w:bookmarkStart w:id="165" w:name="_Toc195842888"/>
      <w:bookmarkStart w:id="166" w:name="_Toc305158791"/>
      <w:bookmarkStart w:id="167" w:name="_Toc265228361"/>
      <w:bookmarkStart w:id="168" w:name="_Toc150509274"/>
      <w:bookmarkStart w:id="169" w:name="_Toc151193693"/>
      <w:bookmarkStart w:id="170" w:name="_Toc226309767"/>
      <w:bookmarkStart w:id="171" w:name="_Toc150774728"/>
      <w:bookmarkStart w:id="172" w:name="_Toc151193911"/>
      <w:bookmarkStart w:id="173" w:name="_Toc164229364"/>
      <w:bookmarkStart w:id="174" w:name="_Toc151193765"/>
      <w:bookmarkStart w:id="175" w:name="_Toc164608792"/>
      <w:bookmarkStart w:id="176" w:name="_Toc164608637"/>
      <w:bookmarkStart w:id="177" w:name="_Toc164229218"/>
      <w:bookmarkStart w:id="178" w:name="_Toc151190150"/>
      <w:bookmarkStart w:id="179" w:name="_Toc226337219"/>
      <w:bookmarkStart w:id="180" w:name="_Toc305158865"/>
      <w:bookmarkStart w:id="181" w:name="_Toc264969213"/>
      <w:bookmarkStart w:id="182" w:name="_Toc150480761"/>
      <w:bookmarkStart w:id="183" w:name="_Toc127161437"/>
      <w:bookmarkStart w:id="184" w:name="_Toc127151523"/>
      <w:bookmarkStart w:id="185" w:name="_Toc151193621"/>
      <w:bookmarkStart w:id="186" w:name="_Toc150774623"/>
      <w:bookmarkStart w:id="187" w:name="_Toc127151724"/>
      <w:bookmarkStart w:id="188" w:name="_Toc142311025"/>
      <w:bookmarkStart w:id="189" w:name="_Toc151193837"/>
      <w:bookmarkStart w:id="190" w:name="_Toc520356147"/>
      <w:bookmarkStart w:id="191" w:name="_Toc164351617"/>
      <w:bookmarkStart w:id="192" w:name="_Toc149720816"/>
      <w:r>
        <w:rPr>
          <w:rFonts w:hint="eastAsia"/>
          <w:sz w:val="24"/>
          <w:lang w:val="en-US" w:eastAsia="zh-CN"/>
        </w:rPr>
        <w:t xml:space="preserve">7   </w:t>
      </w:r>
      <w:r>
        <w:rPr>
          <w:sz w:val="24"/>
        </w:rPr>
        <w:t>招标文件构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sz w:val="24"/>
        </w:rPr>
        <w:t>成</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firstLine="480" w:firstLineChars="200"/>
        <w:textAlignment w:val="auto"/>
        <w:rPr>
          <w:sz w:val="24"/>
        </w:rPr>
      </w:pPr>
      <w:r>
        <w:rPr>
          <w:rFonts w:hint="eastAsia"/>
          <w:sz w:val="24"/>
          <w:lang w:val="en-US" w:eastAsia="zh-CN"/>
        </w:rPr>
        <w:t xml:space="preserve">7.1 </w:t>
      </w:r>
      <w:r>
        <w:rPr>
          <w:sz w:val="24"/>
        </w:rPr>
        <w:t>招标文件包括以下部分：</w:t>
      </w:r>
    </w:p>
    <w:p>
      <w:pPr>
        <w:pageBreakBefore w:val="0"/>
        <w:widowControl w:val="0"/>
        <w:numPr>
          <w:ilvl w:val="0"/>
          <w:numId w:val="6"/>
        </w:numPr>
        <w:tabs>
          <w:tab w:val="left" w:pos="1980"/>
          <w:tab w:val="left" w:pos="2520"/>
        </w:tabs>
        <w:kinsoku/>
        <w:wordWrap/>
        <w:overflowPunct/>
        <w:topLinePunct w:val="0"/>
        <w:bidi w:val="0"/>
        <w:snapToGrid w:val="0"/>
        <w:spacing w:line="400" w:lineRule="exact"/>
        <w:ind w:left="1440" w:firstLine="5"/>
        <w:textAlignment w:val="auto"/>
        <w:rPr>
          <w:sz w:val="24"/>
        </w:rPr>
      </w:pPr>
      <w:r>
        <w:rPr>
          <w:sz w:val="24"/>
        </w:rPr>
        <w:t>投标邀请</w:t>
      </w:r>
    </w:p>
    <w:p>
      <w:pPr>
        <w:pageBreakBefore w:val="0"/>
        <w:widowControl w:val="0"/>
        <w:numPr>
          <w:ilvl w:val="0"/>
          <w:numId w:val="6"/>
        </w:numPr>
        <w:tabs>
          <w:tab w:val="left" w:pos="1980"/>
          <w:tab w:val="left" w:pos="2520"/>
        </w:tabs>
        <w:kinsoku/>
        <w:wordWrap/>
        <w:overflowPunct/>
        <w:topLinePunct w:val="0"/>
        <w:bidi w:val="0"/>
        <w:snapToGrid w:val="0"/>
        <w:spacing w:line="400" w:lineRule="exact"/>
        <w:ind w:left="1440" w:firstLine="5"/>
        <w:textAlignment w:val="auto"/>
        <w:rPr>
          <w:sz w:val="24"/>
        </w:rPr>
      </w:pPr>
      <w:r>
        <w:rPr>
          <w:sz w:val="24"/>
        </w:rPr>
        <w:t>投标人须知</w:t>
      </w:r>
    </w:p>
    <w:p>
      <w:pPr>
        <w:pageBreakBefore w:val="0"/>
        <w:widowControl w:val="0"/>
        <w:numPr>
          <w:ilvl w:val="0"/>
          <w:numId w:val="6"/>
        </w:numPr>
        <w:tabs>
          <w:tab w:val="left" w:pos="1980"/>
          <w:tab w:val="left" w:pos="2520"/>
        </w:tabs>
        <w:kinsoku/>
        <w:wordWrap/>
        <w:overflowPunct/>
        <w:topLinePunct w:val="0"/>
        <w:bidi w:val="0"/>
        <w:snapToGrid w:val="0"/>
        <w:spacing w:line="400" w:lineRule="exact"/>
        <w:ind w:left="1440" w:firstLine="5"/>
        <w:textAlignment w:val="auto"/>
        <w:rPr>
          <w:sz w:val="24"/>
        </w:rPr>
      </w:pPr>
      <w:r>
        <w:rPr>
          <w:sz w:val="24"/>
        </w:rPr>
        <w:t>资格审查</w:t>
      </w:r>
    </w:p>
    <w:p>
      <w:pPr>
        <w:pageBreakBefore w:val="0"/>
        <w:widowControl w:val="0"/>
        <w:numPr>
          <w:ilvl w:val="0"/>
          <w:numId w:val="6"/>
        </w:numPr>
        <w:tabs>
          <w:tab w:val="left" w:pos="1980"/>
          <w:tab w:val="left" w:pos="2520"/>
        </w:tabs>
        <w:kinsoku/>
        <w:wordWrap/>
        <w:overflowPunct/>
        <w:topLinePunct w:val="0"/>
        <w:bidi w:val="0"/>
        <w:snapToGrid w:val="0"/>
        <w:spacing w:line="400" w:lineRule="exact"/>
        <w:ind w:left="1440" w:firstLine="5"/>
        <w:textAlignment w:val="auto"/>
        <w:rPr>
          <w:sz w:val="24"/>
        </w:rPr>
      </w:pPr>
      <w:r>
        <w:rPr>
          <w:sz w:val="24"/>
        </w:rPr>
        <w:t>评标程序、评标方法和评标标准</w:t>
      </w:r>
    </w:p>
    <w:p>
      <w:pPr>
        <w:pageBreakBefore w:val="0"/>
        <w:widowControl w:val="0"/>
        <w:numPr>
          <w:ilvl w:val="0"/>
          <w:numId w:val="6"/>
        </w:numPr>
        <w:tabs>
          <w:tab w:val="left" w:pos="1980"/>
          <w:tab w:val="left" w:pos="2520"/>
        </w:tabs>
        <w:kinsoku/>
        <w:wordWrap/>
        <w:overflowPunct/>
        <w:topLinePunct w:val="0"/>
        <w:bidi w:val="0"/>
        <w:snapToGrid w:val="0"/>
        <w:spacing w:line="400" w:lineRule="exact"/>
        <w:ind w:left="1440" w:firstLine="5"/>
        <w:textAlignment w:val="auto"/>
        <w:rPr>
          <w:sz w:val="24"/>
        </w:rPr>
      </w:pPr>
      <w:r>
        <w:rPr>
          <w:sz w:val="24"/>
        </w:rPr>
        <w:t>采购需求</w:t>
      </w:r>
    </w:p>
    <w:p>
      <w:pPr>
        <w:pageBreakBefore w:val="0"/>
        <w:widowControl w:val="0"/>
        <w:numPr>
          <w:ilvl w:val="0"/>
          <w:numId w:val="6"/>
        </w:numPr>
        <w:tabs>
          <w:tab w:val="left" w:pos="1980"/>
          <w:tab w:val="left" w:pos="2520"/>
        </w:tabs>
        <w:kinsoku/>
        <w:wordWrap/>
        <w:overflowPunct/>
        <w:topLinePunct w:val="0"/>
        <w:bidi w:val="0"/>
        <w:snapToGrid w:val="0"/>
        <w:spacing w:line="400" w:lineRule="exact"/>
        <w:ind w:left="1440" w:firstLine="5"/>
        <w:textAlignment w:val="auto"/>
        <w:rPr>
          <w:sz w:val="24"/>
        </w:rPr>
      </w:pPr>
      <w:r>
        <w:rPr>
          <w:sz w:val="24"/>
        </w:rPr>
        <w:t>拟签订的合同文本</w:t>
      </w:r>
    </w:p>
    <w:p>
      <w:pPr>
        <w:pageBreakBefore w:val="0"/>
        <w:widowControl w:val="0"/>
        <w:numPr>
          <w:ilvl w:val="0"/>
          <w:numId w:val="6"/>
        </w:numPr>
        <w:tabs>
          <w:tab w:val="left" w:pos="1980"/>
          <w:tab w:val="left" w:pos="2520"/>
        </w:tabs>
        <w:kinsoku/>
        <w:wordWrap/>
        <w:overflowPunct/>
        <w:topLinePunct w:val="0"/>
        <w:bidi w:val="0"/>
        <w:snapToGrid w:val="0"/>
        <w:spacing w:line="400" w:lineRule="exact"/>
        <w:ind w:left="1440" w:firstLine="5"/>
        <w:textAlignment w:val="auto"/>
        <w:rPr>
          <w:sz w:val="24"/>
        </w:rPr>
      </w:pPr>
      <w:r>
        <w:rPr>
          <w:sz w:val="24"/>
        </w:rPr>
        <w:t>投标文件格式</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7.2  </w:t>
      </w:r>
      <w:r>
        <w:rPr>
          <w:sz w:val="24"/>
        </w:rPr>
        <w:t>投标人应认真阅读招标文件的全部内容。投标人应按照招标文件要求提交</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firstLine="1200" w:firstLineChars="500"/>
        <w:textAlignment w:val="auto"/>
        <w:rPr>
          <w:sz w:val="24"/>
        </w:rPr>
      </w:pPr>
      <w:r>
        <w:rPr>
          <w:sz w:val="24"/>
        </w:rPr>
        <w:t>投标文件并保证所提供的全部资料的真实性，并对招标文件做出实质性响</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firstLine="1200" w:firstLineChars="500"/>
        <w:textAlignment w:val="auto"/>
        <w:rPr>
          <w:sz w:val="24"/>
        </w:rPr>
      </w:pPr>
      <w:r>
        <w:rPr>
          <w:sz w:val="24"/>
        </w:rPr>
        <w:t>应，否则</w:t>
      </w:r>
      <w:r>
        <w:rPr>
          <w:b/>
          <w:sz w:val="24"/>
        </w:rPr>
        <w:t>投标无效</w:t>
      </w:r>
      <w:r>
        <w:rPr>
          <w:sz w:val="24"/>
        </w:rPr>
        <w:t>。</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8    </w:t>
      </w:r>
      <w:r>
        <w:rPr>
          <w:sz w:val="24"/>
        </w:rPr>
        <w:t>对招标文件的澄清或修改</w:t>
      </w:r>
    </w:p>
    <w:p>
      <w:pPr>
        <w:pageBreakBefore w:val="0"/>
        <w:widowControl w:val="0"/>
        <w:numPr>
          <w:ilvl w:val="0"/>
          <w:numId w:val="0"/>
        </w:numPr>
        <w:tabs>
          <w:tab w:val="left" w:pos="1080"/>
          <w:tab w:val="left" w:pos="1561"/>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8.1  </w:t>
      </w:r>
      <w:r>
        <w:rPr>
          <w:sz w:val="24"/>
        </w:rPr>
        <w:t>采购人或采购代理机构对已发出的招标文件进行必要澄清或者修改的，将在原公告发布媒体上发布更正公告，并以书面形式通知所有获取招标文件的潜在投标人。</w:t>
      </w:r>
    </w:p>
    <w:p>
      <w:pPr>
        <w:pageBreakBefore w:val="0"/>
        <w:widowControl w:val="0"/>
        <w:numPr>
          <w:ilvl w:val="0"/>
          <w:numId w:val="0"/>
        </w:numPr>
        <w:tabs>
          <w:tab w:val="left" w:pos="1080"/>
          <w:tab w:val="left" w:pos="1561"/>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8.2 </w:t>
      </w:r>
      <w:r>
        <w:rPr>
          <w:sz w:val="24"/>
        </w:rPr>
        <w:t>上述书面通知，按照获取招标文件的潜在投标人提供的联系方式发出，因提供的信息有误导致通知延迟或无法通知的，采购人或采购代理机构不承担责任。</w:t>
      </w:r>
    </w:p>
    <w:p>
      <w:pPr>
        <w:pageBreakBefore w:val="0"/>
        <w:widowControl w:val="0"/>
        <w:numPr>
          <w:ilvl w:val="0"/>
          <w:numId w:val="0"/>
        </w:numPr>
        <w:tabs>
          <w:tab w:val="left" w:pos="1080"/>
          <w:tab w:val="left" w:pos="1561"/>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8.3 </w:t>
      </w: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pStyle w:val="6"/>
      </w:pPr>
    </w:p>
    <w:p>
      <w:pPr>
        <w:pageBreakBefore w:val="0"/>
        <w:widowControl w:val="0"/>
        <w:tabs>
          <w:tab w:val="left" w:pos="1080"/>
          <w:tab w:val="left" w:pos="1561"/>
        </w:tabs>
        <w:kinsoku/>
        <w:wordWrap/>
        <w:overflowPunct/>
        <w:topLinePunct w:val="0"/>
        <w:bidi w:val="0"/>
        <w:snapToGrid w:val="0"/>
        <w:spacing w:line="400" w:lineRule="exact"/>
        <w:ind w:left="1080"/>
        <w:textAlignment w:val="auto"/>
        <w:rPr>
          <w:sz w:val="28"/>
        </w:rPr>
      </w:pPr>
      <w:bookmarkStart w:id="193" w:name="_Toc516367020"/>
      <w:bookmarkStart w:id="194" w:name="_Toc305158868"/>
      <w:bookmarkStart w:id="195" w:name="_Toc127151526"/>
      <w:bookmarkStart w:id="196" w:name="_Toc226965799"/>
      <w:bookmarkStart w:id="197" w:name="_Toc265228364"/>
      <w:bookmarkStart w:id="198" w:name="_Toc226965716"/>
      <w:bookmarkStart w:id="199" w:name="_Toc264969216"/>
      <w:bookmarkStart w:id="200" w:name="_Toc151190153"/>
      <w:bookmarkStart w:id="201" w:name="_Toc150480764"/>
      <w:bookmarkStart w:id="202" w:name="_Toc150774731"/>
      <w:bookmarkStart w:id="203" w:name="_Toc151193696"/>
      <w:bookmarkStart w:id="204" w:name="_Toc151193768"/>
      <w:bookmarkStart w:id="205" w:name="_Toc142311028"/>
      <w:bookmarkStart w:id="206" w:name="_Toc150509277"/>
      <w:bookmarkStart w:id="207" w:name="_Toc151193840"/>
      <w:bookmarkStart w:id="208" w:name="_Toc305158794"/>
      <w:bookmarkStart w:id="209" w:name="_Toc226309770"/>
      <w:bookmarkStart w:id="210" w:name="_Toc195842891"/>
      <w:bookmarkStart w:id="211" w:name="_Toc520356150"/>
      <w:bookmarkStart w:id="212" w:name="_Toc150774626"/>
      <w:bookmarkStart w:id="213" w:name="_Toc151193624"/>
      <w:bookmarkStart w:id="214" w:name="_Toc226337222"/>
      <w:bookmarkStart w:id="215" w:name="_Toc151193914"/>
    </w:p>
    <w:p>
      <w:pPr>
        <w:pStyle w:val="5"/>
        <w:pageBreakBefore w:val="0"/>
        <w:widowControl w:val="0"/>
        <w:kinsoku/>
        <w:wordWrap/>
        <w:overflowPunct/>
        <w:topLinePunct w:val="0"/>
        <w:bidi w:val="0"/>
        <w:spacing w:before="0" w:line="400" w:lineRule="exact"/>
        <w:textAlignment w:val="auto"/>
        <w:rPr>
          <w:rFonts w:ascii="Times New Roman" w:hAnsi="Times New Roman" w:eastAsia="宋体"/>
          <w:sz w:val="28"/>
        </w:rPr>
      </w:pPr>
      <w:r>
        <w:rPr>
          <w:rFonts w:ascii="Times New Roman" w:hAnsi="Times New Roman" w:eastAsia="宋体"/>
          <w:sz w:val="28"/>
        </w:rPr>
        <w:t>三   投标文件</w:t>
      </w:r>
      <w:bookmarkEnd w:id="193"/>
      <w:r>
        <w:rPr>
          <w:rFonts w:ascii="Times New Roman" w:hAnsi="Times New Roman" w:eastAsia="宋体"/>
          <w:sz w:val="28"/>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216" w:name="_Toc265228365"/>
      <w:bookmarkStart w:id="217" w:name="_Toc164229222"/>
      <w:bookmarkStart w:id="218" w:name="_Toc150509278"/>
      <w:bookmarkStart w:id="219" w:name="_Toc150774732"/>
      <w:bookmarkStart w:id="220" w:name="_Toc226337223"/>
      <w:bookmarkStart w:id="221" w:name="_Toc516367021"/>
      <w:bookmarkStart w:id="222" w:name="_Toc195842892"/>
      <w:bookmarkStart w:id="223" w:name="_Toc164608641"/>
      <w:bookmarkStart w:id="224" w:name="_Toc164351621"/>
      <w:bookmarkStart w:id="225" w:name="_Toc164608796"/>
      <w:bookmarkStart w:id="226" w:name="_Toc127151728"/>
      <w:bookmarkStart w:id="227" w:name="_Toc226965800"/>
      <w:bookmarkStart w:id="228" w:name="_Toc151193915"/>
      <w:bookmarkStart w:id="229" w:name="_Toc305158869"/>
      <w:bookmarkStart w:id="230" w:name="_Toc305158795"/>
      <w:bookmarkStart w:id="231" w:name="_Toc151193697"/>
      <w:bookmarkStart w:id="232" w:name="_Toc226965717"/>
      <w:bookmarkStart w:id="233" w:name="_Toc127161441"/>
      <w:bookmarkStart w:id="234" w:name="_Toc151190154"/>
      <w:bookmarkStart w:id="235" w:name="_Toc149720820"/>
      <w:bookmarkStart w:id="236" w:name="_Toc226309771"/>
      <w:bookmarkStart w:id="237" w:name="_Toc520356151"/>
      <w:bookmarkStart w:id="238" w:name="_Toc142311029"/>
      <w:bookmarkStart w:id="239" w:name="_Toc127151527"/>
      <w:bookmarkStart w:id="240" w:name="_Toc164229368"/>
      <w:bookmarkStart w:id="241" w:name="_Toc150774627"/>
      <w:bookmarkStart w:id="242" w:name="_Toc151193769"/>
      <w:bookmarkStart w:id="243" w:name="_Toc150480765"/>
      <w:bookmarkStart w:id="244" w:name="_Toc151193625"/>
      <w:bookmarkStart w:id="245" w:name="_Toc264969217"/>
      <w:bookmarkStart w:id="246" w:name="_Toc151193841"/>
      <w:r>
        <w:rPr>
          <w:rFonts w:hint="eastAsia"/>
          <w:sz w:val="24"/>
          <w:lang w:val="en-US" w:eastAsia="zh-CN"/>
        </w:rPr>
        <w:t xml:space="preserve">9    </w:t>
      </w:r>
      <w:r>
        <w:rPr>
          <w:sz w:val="24"/>
        </w:rPr>
        <w:t>投标范围、投标文件中计量单位的使用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sz w:val="24"/>
        </w:rPr>
        <w:t>及投标语言</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9.1 </w:t>
      </w: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9.2  </w:t>
      </w:r>
      <w:r>
        <w:rPr>
          <w:sz w:val="24"/>
        </w:rPr>
        <w:t>除招标文件有特殊要求外，本项目投标所使用的计量单位，应采用中华人民共和国法定计量单位。</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9.3  </w:t>
      </w: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247" w:name="_Toc516367022"/>
      <w:bookmarkStart w:id="248" w:name="_Ref467306195"/>
      <w:bookmarkStart w:id="249" w:name="_Ref467306676"/>
      <w:bookmarkStart w:id="250" w:name="_Toc520356152"/>
      <w:bookmarkStart w:id="251" w:name="_Toc127151528"/>
      <w:bookmarkStart w:id="252" w:name="_Toc142311030"/>
      <w:bookmarkStart w:id="253" w:name="_Toc164351622"/>
      <w:bookmarkStart w:id="254" w:name="_Toc151193916"/>
      <w:bookmarkStart w:id="255" w:name="_Toc150480766"/>
      <w:bookmarkStart w:id="256" w:name="_Toc164608642"/>
      <w:bookmarkStart w:id="257" w:name="_Toc151193626"/>
      <w:bookmarkStart w:id="258" w:name="_Toc226337224"/>
      <w:bookmarkStart w:id="259" w:name="_Toc164608797"/>
      <w:bookmarkStart w:id="260" w:name="_Toc151190155"/>
      <w:bookmarkStart w:id="261" w:name="_Toc226965718"/>
      <w:bookmarkStart w:id="262" w:name="_Toc164229369"/>
      <w:bookmarkStart w:id="263" w:name="_Toc226309772"/>
      <w:bookmarkStart w:id="264" w:name="_Toc164229223"/>
      <w:bookmarkStart w:id="265" w:name="_Toc264969218"/>
      <w:bookmarkStart w:id="266" w:name="_Toc305158870"/>
      <w:bookmarkStart w:id="267" w:name="_Toc151193842"/>
      <w:bookmarkStart w:id="268" w:name="_Toc150509279"/>
      <w:bookmarkStart w:id="269" w:name="_Toc195842893"/>
      <w:bookmarkStart w:id="270" w:name="_Toc151193770"/>
      <w:bookmarkStart w:id="271" w:name="_Toc150774628"/>
      <w:bookmarkStart w:id="272" w:name="_Toc265228366"/>
      <w:bookmarkStart w:id="273" w:name="_Toc150774733"/>
      <w:bookmarkStart w:id="274" w:name="_Toc127151729"/>
      <w:bookmarkStart w:id="275" w:name="_Toc151193698"/>
      <w:bookmarkStart w:id="276" w:name="_Toc226965801"/>
      <w:bookmarkStart w:id="277" w:name="_Toc127161442"/>
      <w:bookmarkStart w:id="278" w:name="_Toc149720821"/>
      <w:bookmarkStart w:id="279" w:name="_Toc305158796"/>
      <w:r>
        <w:rPr>
          <w:rFonts w:hint="eastAsia"/>
          <w:sz w:val="24"/>
          <w:lang w:val="en-US" w:eastAsia="zh-CN"/>
        </w:rPr>
        <w:t xml:space="preserve">10   </w:t>
      </w:r>
      <w:r>
        <w:rPr>
          <w:sz w:val="24"/>
        </w:rPr>
        <w:t>投标文件</w:t>
      </w:r>
      <w:bookmarkEnd w:id="247"/>
      <w:bookmarkEnd w:id="248"/>
      <w:bookmarkEnd w:id="249"/>
      <w:r>
        <w:rPr>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6" w:leftChars="298" w:hanging="480" w:hangingChars="200"/>
        <w:textAlignment w:val="auto"/>
        <w:rPr>
          <w:sz w:val="24"/>
        </w:rPr>
      </w:pPr>
      <w:bookmarkStart w:id="280" w:name="_Ref467052588"/>
      <w:r>
        <w:rPr>
          <w:rFonts w:hint="eastAsia"/>
          <w:sz w:val="24"/>
          <w:lang w:val="en-US" w:eastAsia="zh-CN"/>
        </w:rPr>
        <w:t xml:space="preserve">10.1 </w:t>
      </w:r>
      <w:r>
        <w:rPr>
          <w:sz w:val="24"/>
        </w:rPr>
        <w:t>投标人应当按照招标文件的要求编制投标文件。投标文件应由《资格证明文件》、《商务技术文件》两部分构成。投标文件的部分格式要求，见第七章《投标文件格式》。</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6" w:leftChars="298" w:hanging="480" w:hangingChars="200"/>
        <w:textAlignment w:val="auto"/>
        <w:rPr>
          <w:sz w:val="24"/>
        </w:rPr>
      </w:pPr>
      <w:r>
        <w:rPr>
          <w:rFonts w:hint="eastAsia"/>
          <w:kern w:val="0"/>
          <w:sz w:val="24"/>
          <w:lang w:val="en-US" w:eastAsia="zh-CN"/>
        </w:rPr>
        <w:t xml:space="preserve">10.2 </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27" w:leftChars="0"/>
        <w:textAlignment w:val="auto"/>
        <w:rPr>
          <w:sz w:val="24"/>
        </w:rPr>
      </w:pPr>
      <w:r>
        <w:rPr>
          <w:rFonts w:hint="eastAsia"/>
          <w:sz w:val="24"/>
          <w:lang w:val="en-US" w:eastAsia="zh-CN"/>
        </w:rPr>
        <w:t xml:space="preserve">10.3 </w:t>
      </w:r>
      <w:r>
        <w:rPr>
          <w:sz w:val="24"/>
        </w:rPr>
        <w:t>第四章《评标程序、评标方法和评标标准》中涉及的证明文件。</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6" w:leftChars="298" w:hanging="480" w:hangingChars="200"/>
        <w:textAlignment w:val="auto"/>
        <w:rPr>
          <w:sz w:val="24"/>
        </w:rPr>
      </w:pPr>
      <w:r>
        <w:rPr>
          <w:rFonts w:hint="eastAsia"/>
          <w:sz w:val="24"/>
          <w:lang w:val="en-US" w:eastAsia="zh-CN"/>
        </w:rPr>
        <w:t xml:space="preserve">10.4 </w:t>
      </w: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27" w:leftChars="0"/>
        <w:textAlignment w:val="auto"/>
        <w:rPr>
          <w:sz w:val="24"/>
        </w:rPr>
      </w:pPr>
      <w:r>
        <w:rPr>
          <w:rFonts w:hint="eastAsia"/>
          <w:sz w:val="24"/>
          <w:lang w:val="en-US" w:eastAsia="zh-CN"/>
        </w:rPr>
        <w:t xml:space="preserve">10.5 </w:t>
      </w:r>
      <w:r>
        <w:rPr>
          <w:sz w:val="24"/>
        </w:rPr>
        <w:t>投标人认为应附的其他材料。</w:t>
      </w:r>
      <w:bookmarkEnd w:id="280"/>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rFonts w:ascii="Times New Roman" w:hAnsi="Times New Roman" w:eastAsia="宋体" w:cs="Times New Roman"/>
          <w:sz w:val="24"/>
        </w:rPr>
      </w:pPr>
      <w:bookmarkStart w:id="281" w:name="_Toc195842895"/>
      <w:bookmarkStart w:id="282" w:name="_Toc151193844"/>
      <w:bookmarkStart w:id="283" w:name="_Toc150509281"/>
      <w:bookmarkStart w:id="284" w:name="_Toc151193772"/>
      <w:bookmarkStart w:id="285" w:name="_Toc127161444"/>
      <w:bookmarkStart w:id="286" w:name="_Toc150480768"/>
      <w:bookmarkStart w:id="287" w:name="_Toc151193918"/>
      <w:bookmarkStart w:id="288" w:name="_Toc151193628"/>
      <w:bookmarkStart w:id="289" w:name="_Toc164608644"/>
      <w:bookmarkStart w:id="290" w:name="_Toc151193700"/>
      <w:bookmarkStart w:id="291" w:name="_Toc164608799"/>
      <w:bookmarkStart w:id="292" w:name="_Toc164229371"/>
      <w:bookmarkStart w:id="293" w:name="_Toc142311032"/>
      <w:bookmarkStart w:id="294" w:name="_Toc127151530"/>
      <w:bookmarkStart w:id="295" w:name="_Toc164229225"/>
      <w:bookmarkStart w:id="296" w:name="_Toc150774630"/>
      <w:bookmarkStart w:id="297" w:name="_Toc164351624"/>
      <w:bookmarkStart w:id="298" w:name="_Toc151190157"/>
      <w:bookmarkStart w:id="299" w:name="_Toc150774735"/>
      <w:bookmarkStart w:id="300" w:name="_Toc149720823"/>
      <w:bookmarkStart w:id="301" w:name="_Toc520356155"/>
      <w:bookmarkStart w:id="302" w:name="_Toc127151731"/>
      <w:r>
        <w:rPr>
          <w:rFonts w:hint="eastAsia"/>
          <w:sz w:val="24"/>
          <w:lang w:val="en-US" w:eastAsia="zh-CN"/>
        </w:rPr>
        <w:t xml:space="preserve">11   </w:t>
      </w:r>
      <w:r>
        <w:rPr>
          <w:rFonts w:ascii="Times New Roman" w:hAnsi="Times New Roman" w:eastAsia="宋体" w:cs="Times New Roman"/>
          <w:sz w:val="24"/>
        </w:rPr>
        <w:t>投标报价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27" w:leftChars="0"/>
        <w:textAlignment w:val="auto"/>
        <w:rPr>
          <w:color w:val="auto"/>
          <w:sz w:val="24"/>
        </w:rPr>
      </w:pPr>
      <w:r>
        <w:rPr>
          <w:rFonts w:hint="eastAsia"/>
          <w:color w:val="auto"/>
          <w:sz w:val="24"/>
          <w:lang w:val="en-US" w:eastAsia="zh-CN"/>
        </w:rPr>
        <w:t xml:space="preserve">11.1 </w:t>
      </w:r>
      <w:r>
        <w:rPr>
          <w:color w:val="auto"/>
          <w:sz w:val="24"/>
        </w:rPr>
        <w:t>所有投标均以人民币报价。</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6" w:leftChars="298" w:hanging="480" w:hangingChars="200"/>
        <w:textAlignment w:val="auto"/>
        <w:rPr>
          <w:color w:val="auto"/>
          <w:sz w:val="24"/>
        </w:rPr>
      </w:pPr>
      <w:r>
        <w:rPr>
          <w:rFonts w:hint="eastAsia"/>
          <w:color w:val="auto"/>
          <w:sz w:val="24"/>
          <w:lang w:val="en-US" w:eastAsia="zh-CN"/>
        </w:rPr>
        <w:t xml:space="preserve">11.2 </w:t>
      </w:r>
      <w:r>
        <w:rPr>
          <w:color w:val="auto"/>
          <w:sz w:val="24"/>
        </w:rPr>
        <w:t>投标人的报价应包括为完成本项目所发生的一切费用</w:t>
      </w:r>
      <w:r>
        <w:rPr>
          <w:rFonts w:hint="eastAsia"/>
          <w:color w:val="auto"/>
          <w:sz w:val="24"/>
          <w:lang w:eastAsia="zh-CN"/>
        </w:rPr>
        <w:t>（招标文件明确不包含项目除外）</w:t>
      </w:r>
      <w:r>
        <w:rPr>
          <w:color w:val="auto"/>
          <w:sz w:val="24"/>
        </w:rPr>
        <w:t>，招标人将不再支付</w:t>
      </w:r>
      <w:r>
        <w:rPr>
          <w:rFonts w:hint="eastAsia"/>
          <w:color w:val="auto"/>
          <w:sz w:val="24"/>
          <w:lang w:eastAsia="zh-CN"/>
        </w:rPr>
        <w:t>投标</w:t>
      </w:r>
      <w:r>
        <w:rPr>
          <w:color w:val="auto"/>
          <w:sz w:val="24"/>
        </w:rPr>
        <w:t>报价以外的任何费用。</w:t>
      </w:r>
      <w:r>
        <w:rPr>
          <w:rFonts w:hint="eastAsia"/>
          <w:color w:val="auto"/>
          <w:sz w:val="24"/>
        </w:rPr>
        <w:t>投标人的报价应包括但不限于下列内容，《投标人须知资料表》中有特殊规定的，从其规定。</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5" w:leftChars="526" w:firstLine="0" w:firstLineChars="0"/>
        <w:textAlignment w:val="auto"/>
        <w:rPr>
          <w:rFonts w:hint="eastAsia" w:cs="Times New Roman"/>
          <w:color w:val="auto"/>
          <w:sz w:val="24"/>
          <w:lang w:eastAsia="zh-CN"/>
        </w:rPr>
      </w:pPr>
      <w:r>
        <w:rPr>
          <w:rFonts w:hint="eastAsia" w:ascii="Times New Roman" w:hAnsi="Times New Roman" w:eastAsia="宋体" w:cs="Times New Roman"/>
          <w:color w:val="auto"/>
          <w:sz w:val="24"/>
          <w:lang w:val="en-US" w:eastAsia="zh-CN"/>
        </w:rPr>
        <w:t>11.2.1</w:t>
      </w:r>
      <w:r>
        <w:rPr>
          <w:rFonts w:hint="eastAsia" w:ascii="Times New Roman" w:hAnsi="Times New Roman" w:eastAsia="宋体" w:cs="Times New Roman"/>
          <w:color w:val="auto"/>
          <w:sz w:val="24"/>
        </w:rPr>
        <w:t>所</w:t>
      </w:r>
      <w:r>
        <w:rPr>
          <w:rFonts w:hint="eastAsia" w:cs="Times New Roman"/>
          <w:color w:val="auto"/>
          <w:sz w:val="24"/>
          <w:lang w:eastAsia="zh-CN"/>
        </w:rPr>
        <w:t>投</w:t>
      </w:r>
      <w:r>
        <w:rPr>
          <w:rFonts w:hint="eastAsia" w:ascii="Times New Roman" w:hAnsi="Times New Roman" w:eastAsia="宋体" w:cs="Times New Roman"/>
          <w:color w:val="auto"/>
          <w:sz w:val="24"/>
        </w:rPr>
        <w:t xml:space="preserve">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5" w:leftChars="526" w:firstLine="0" w:firstLineChars="0"/>
        <w:textAlignment w:val="auto"/>
        <w:rPr>
          <w:rFonts w:hint="default" w:eastAsia="宋体"/>
          <w:lang w:val="en-US" w:eastAsia="zh-CN"/>
        </w:rPr>
      </w:pPr>
      <w:r>
        <w:rPr>
          <w:rFonts w:hint="eastAsia" w:ascii="Times New Roman" w:hAnsi="Times New Roman" w:eastAsia="宋体" w:cs="Times New Roman"/>
          <w:color w:val="auto"/>
          <w:sz w:val="24"/>
          <w:lang w:val="en-US" w:eastAsia="zh-CN"/>
        </w:rPr>
        <w:t>11.2.2 按照</w:t>
      </w:r>
      <w:r>
        <w:rPr>
          <w:rFonts w:hint="eastAsia" w:cs="Times New Roman"/>
          <w:color w:val="auto"/>
          <w:sz w:val="24"/>
          <w:lang w:val="en-US" w:eastAsia="zh-CN"/>
        </w:rPr>
        <w:t>招标</w:t>
      </w:r>
      <w:r>
        <w:rPr>
          <w:rFonts w:hint="eastAsia" w:ascii="Times New Roman" w:hAnsi="Times New Roman" w:eastAsia="宋体" w:cs="Times New Roman"/>
          <w:color w:val="auto"/>
          <w:sz w:val="24"/>
          <w:lang w:val="en-US" w:eastAsia="zh-CN"/>
        </w:rPr>
        <w:t>文件要求完成本项目的全部相关费用</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 xml:space="preserve">     </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11.3 </w:t>
      </w:r>
      <w:r>
        <w:rPr>
          <w:sz w:val="24"/>
        </w:rPr>
        <w:t>采购人不得向供应商索要或者接受其给予的赠品、回扣或者与采购无关的其</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    </w:t>
      </w:r>
      <w:r>
        <w:rPr>
          <w:sz w:val="24"/>
        </w:rPr>
        <w:t>他商品、服务。</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3" w:leftChars="0"/>
        <w:textAlignment w:val="auto"/>
        <w:rPr>
          <w:sz w:val="24"/>
        </w:rPr>
      </w:pPr>
      <w:r>
        <w:rPr>
          <w:rFonts w:hint="eastAsia"/>
          <w:sz w:val="24"/>
          <w:lang w:val="en-US" w:eastAsia="zh-CN"/>
        </w:rPr>
        <w:t xml:space="preserve">11.4 </w:t>
      </w:r>
      <w:r>
        <w:rPr>
          <w:sz w:val="24"/>
        </w:rPr>
        <w:t>投标人不能提供任何有选择性或可调整的报价，否则其</w:t>
      </w:r>
      <w:r>
        <w:rPr>
          <w:b/>
          <w:sz w:val="24"/>
        </w:rPr>
        <w:t>投标无效</w:t>
      </w:r>
      <w:r>
        <w:rPr>
          <w:sz w:val="24"/>
        </w:rPr>
        <w:t>。</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303" w:name="_Toc150480769"/>
      <w:bookmarkStart w:id="304" w:name="_Toc195842896"/>
      <w:bookmarkStart w:id="305" w:name="_Toc151190158"/>
      <w:bookmarkStart w:id="306" w:name="_Toc150774631"/>
      <w:bookmarkStart w:id="307" w:name="_Toc265228369"/>
      <w:bookmarkStart w:id="308" w:name="_Toc226309775"/>
      <w:bookmarkStart w:id="309" w:name="_Toc305158873"/>
      <w:bookmarkStart w:id="310" w:name="_Toc164229372"/>
      <w:bookmarkStart w:id="311" w:name="_Toc127151732"/>
      <w:bookmarkStart w:id="312" w:name="_Toc264969221"/>
      <w:bookmarkStart w:id="313" w:name="_Toc226965721"/>
      <w:bookmarkStart w:id="314" w:name="_Toc127151531"/>
      <w:bookmarkStart w:id="315" w:name="_Toc149720824"/>
      <w:bookmarkStart w:id="316" w:name="_Toc151193919"/>
      <w:bookmarkStart w:id="317" w:name="_Toc151193629"/>
      <w:bookmarkStart w:id="318" w:name="_Toc226337227"/>
      <w:bookmarkStart w:id="319" w:name="_Toc150509282"/>
      <w:bookmarkStart w:id="320" w:name="_Toc164608645"/>
      <w:bookmarkStart w:id="321" w:name="_Toc164608800"/>
      <w:bookmarkStart w:id="322" w:name="_Toc305158799"/>
      <w:bookmarkStart w:id="323" w:name="_Toc226965804"/>
      <w:bookmarkStart w:id="324" w:name="_Toc151193773"/>
      <w:bookmarkStart w:id="325" w:name="_Toc127161445"/>
      <w:bookmarkStart w:id="326" w:name="_Ref467306513"/>
      <w:bookmarkStart w:id="327" w:name="_Toc520356156"/>
      <w:bookmarkStart w:id="328" w:name="_Toc151193701"/>
      <w:bookmarkStart w:id="329" w:name="_Toc151193845"/>
      <w:bookmarkStart w:id="330" w:name="_Toc164229226"/>
      <w:bookmarkStart w:id="331" w:name="_Toc142311033"/>
      <w:bookmarkStart w:id="332" w:name="_Toc164351625"/>
      <w:bookmarkStart w:id="333" w:name="_Toc150774736"/>
      <w:r>
        <w:rPr>
          <w:rFonts w:hint="eastAsia"/>
          <w:sz w:val="24"/>
          <w:lang w:val="en-US" w:eastAsia="zh-CN"/>
        </w:rPr>
        <w:t xml:space="preserve">12   </w:t>
      </w:r>
      <w:r>
        <w:rPr>
          <w:sz w:val="24"/>
        </w:rPr>
        <w:t>投标保证金</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b/>
          <w:bCs/>
          <w:sz w:val="24"/>
          <w:lang w:eastAsia="zh-CN"/>
        </w:rPr>
        <w:t>（本项目不收取投标保证金，请忽略所有与投标保证金相关内容）</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bookmarkStart w:id="334" w:name="_Ref467306302"/>
      <w:r>
        <w:rPr>
          <w:rFonts w:hint="eastAsia"/>
          <w:sz w:val="24"/>
          <w:lang w:val="en-US" w:eastAsia="zh-CN"/>
        </w:rPr>
        <w:t xml:space="preserve">12.1 </w:t>
      </w:r>
      <w:r>
        <w:rPr>
          <w:sz w:val="24"/>
        </w:rPr>
        <w:t>投标人应按《投标人须知资料表》中规定的金额及要求交纳投标保证金</w:t>
      </w:r>
      <w:bookmarkEnd w:id="334"/>
      <w:r>
        <w:rPr>
          <w:sz w:val="24"/>
        </w:rPr>
        <w:t>，并作为其投标的一部分。</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12.2 </w:t>
      </w:r>
      <w:r>
        <w:rPr>
          <w:sz w:val="24"/>
        </w:rPr>
        <w:t>交纳投标保证金可采用的形式：政府采购法律法规接受的支票、汇票、本票、网上银行支付或者金融机构、担保机构出具的保函等非现金形式。</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12.3 </w:t>
      </w: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12.4 </w:t>
      </w:r>
      <w:r>
        <w:rPr>
          <w:sz w:val="24"/>
        </w:rPr>
        <w:t>投标保证金（保函）有效期同投标有效期。</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12.5 </w:t>
      </w:r>
      <w:r>
        <w:rPr>
          <w:sz w:val="24"/>
        </w:rPr>
        <w:t>联合体投标的，可以由联合体中的一方或者共同提交投标保证金，以一方名义提交投标保证金的，对联合体各方均具有约束力。</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12.6 </w:t>
      </w:r>
      <w:r>
        <w:rPr>
          <w:sz w:val="24"/>
        </w:rPr>
        <w:t>采购人、采购代理机构将及时退还投标人的投标保证金，</w:t>
      </w:r>
      <w:r>
        <w:rPr>
          <w:rFonts w:eastAsia="宋体"/>
          <w:sz w:val="24"/>
        </w:rPr>
        <w:t>采用银行保函、担保机构担保函等形式递交的</w:t>
      </w:r>
      <w:r>
        <w:rPr>
          <w:rFonts w:hint="eastAsia" w:eastAsia="宋体"/>
          <w:sz w:val="24"/>
        </w:rPr>
        <w:t>投标</w:t>
      </w:r>
      <w:r>
        <w:rPr>
          <w:rFonts w:eastAsia="宋体"/>
          <w:sz w:val="24"/>
        </w:rPr>
        <w:t>保证金，经供应商同意后采购人、采购代理机构可以不再退还，</w:t>
      </w:r>
      <w:r>
        <w:rPr>
          <w:sz w:val="24"/>
        </w:rPr>
        <w:t>但因投标人自身原因导致无法及时退还的除外：</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12.6.1</w:t>
      </w:r>
      <w:r>
        <w:rPr>
          <w:sz w:val="24"/>
        </w:rPr>
        <w:t>投标人在投标截止时间前撤回已提交的投标文件的，自收到投标人书面撤回通知之日起5个工作日内退还已收取的投标保证金；</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12.6.2</w:t>
      </w:r>
      <w:r>
        <w:rPr>
          <w:sz w:val="24"/>
        </w:rPr>
        <w:t>中标人的投标保证金，自采购合同签订之日起5个工作日内退还中标人；</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12.6.3</w:t>
      </w:r>
      <w:r>
        <w:rPr>
          <w:sz w:val="24"/>
        </w:rPr>
        <w:t>未中标投标人的投标保证金，自中标通知书发出之日起5个工作日内退还未中标人；</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12.6.4</w:t>
      </w:r>
      <w:r>
        <w:rPr>
          <w:sz w:val="24"/>
        </w:rPr>
        <w:t>终止招标项目已经收取投标保证金的，自终止采购活动后5个工作日内退还已收取的投标保证金及其在银行产生的孳息。</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12.7 </w:t>
      </w:r>
      <w:r>
        <w:rPr>
          <w:sz w:val="24"/>
        </w:rPr>
        <w:t>有下列情形之一的，采购人或采购代理机构可以不予退还投标保证金：</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12.7.1</w:t>
      </w:r>
      <w:r>
        <w:rPr>
          <w:sz w:val="24"/>
        </w:rPr>
        <w:t>投标有效期内投标人撤销投标文件的；</w:t>
      </w:r>
    </w:p>
    <w:p>
      <w:pPr>
        <w:pageBreakBefore w:val="0"/>
        <w:widowControl w:val="0"/>
        <w:numPr>
          <w:ilvl w:val="0"/>
          <w:numId w:val="0"/>
        </w:numPr>
        <w:tabs>
          <w:tab w:val="left" w:pos="900"/>
          <w:tab w:val="left" w:pos="1080"/>
          <w:tab w:val="left" w:pos="2014"/>
        </w:tabs>
        <w:kinsoku/>
        <w:wordWrap/>
        <w:overflowPunct/>
        <w:topLinePunct w:val="0"/>
        <w:bidi w:val="0"/>
        <w:snapToGrid w:val="0"/>
        <w:spacing w:line="400" w:lineRule="exact"/>
        <w:ind w:left="1080" w:leftChars="0"/>
        <w:textAlignment w:val="auto"/>
        <w:rPr>
          <w:sz w:val="24"/>
        </w:rPr>
      </w:pPr>
      <w:r>
        <w:rPr>
          <w:rFonts w:hint="eastAsia"/>
          <w:sz w:val="24"/>
          <w:lang w:val="en-US" w:eastAsia="zh-CN"/>
        </w:rPr>
        <w:t>12.7.2</w:t>
      </w:r>
      <w:r>
        <w:rPr>
          <w:sz w:val="24"/>
        </w:rPr>
        <w:t>《投标人须知资料表》中规定的其他情形。</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335" w:name="_Toc164608801"/>
      <w:bookmarkStart w:id="336" w:name="_Toc151193774"/>
      <w:bookmarkStart w:id="337" w:name="_Toc151193702"/>
      <w:bookmarkStart w:id="338" w:name="_Toc164351626"/>
      <w:bookmarkStart w:id="339" w:name="_Toc164229227"/>
      <w:bookmarkStart w:id="340" w:name="_Toc151193630"/>
      <w:bookmarkStart w:id="341" w:name="_Toc164608646"/>
      <w:bookmarkStart w:id="342" w:name="_Toc150509283"/>
      <w:bookmarkStart w:id="343" w:name="_Toc127151733"/>
      <w:bookmarkStart w:id="344" w:name="_Toc226965805"/>
      <w:bookmarkStart w:id="345" w:name="_Toc305158800"/>
      <w:bookmarkStart w:id="346" w:name="_Toc142311034"/>
      <w:bookmarkStart w:id="347" w:name="_Toc149720825"/>
      <w:bookmarkStart w:id="348" w:name="_Toc226337228"/>
      <w:bookmarkStart w:id="349" w:name="_Toc127161446"/>
      <w:bookmarkStart w:id="350" w:name="_Toc164229373"/>
      <w:bookmarkStart w:id="351" w:name="_Toc265228370"/>
      <w:bookmarkStart w:id="352" w:name="_Toc520356157"/>
      <w:bookmarkStart w:id="353" w:name="_Toc127151532"/>
      <w:bookmarkStart w:id="354" w:name="_Toc150480770"/>
      <w:bookmarkStart w:id="355" w:name="_Toc151190159"/>
      <w:bookmarkStart w:id="356" w:name="_Toc226309776"/>
      <w:bookmarkStart w:id="357" w:name="_Toc226965722"/>
      <w:bookmarkStart w:id="358" w:name="_Toc151193920"/>
      <w:bookmarkStart w:id="359" w:name="_Toc305158874"/>
      <w:bookmarkStart w:id="360" w:name="_Toc264969222"/>
      <w:bookmarkStart w:id="361" w:name="_Toc195842897"/>
      <w:bookmarkStart w:id="362" w:name="_Toc150774632"/>
      <w:bookmarkStart w:id="363" w:name="_Toc150774737"/>
      <w:bookmarkStart w:id="364" w:name="_Toc151193846"/>
      <w:r>
        <w:rPr>
          <w:rFonts w:hint="eastAsia"/>
          <w:sz w:val="24"/>
          <w:lang w:val="en-US" w:eastAsia="zh-CN"/>
        </w:rPr>
        <w:t xml:space="preserve">13   </w:t>
      </w:r>
      <w:r>
        <w:rPr>
          <w:sz w:val="24"/>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98" w:leftChars="342" w:hanging="480" w:hangingChars="200"/>
        <w:textAlignment w:val="auto"/>
        <w:rPr>
          <w:sz w:val="24"/>
        </w:rPr>
      </w:pPr>
      <w:r>
        <w:rPr>
          <w:rFonts w:hint="eastAsia"/>
          <w:sz w:val="24"/>
          <w:lang w:val="en-US" w:eastAsia="zh-CN"/>
        </w:rPr>
        <w:t>13.1</w:t>
      </w: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365" w:name="_Toc151193921"/>
      <w:bookmarkStart w:id="366" w:name="_Toc264969223"/>
      <w:bookmarkStart w:id="367" w:name="_Toc164351627"/>
      <w:bookmarkStart w:id="368" w:name="_Toc265228371"/>
      <w:bookmarkStart w:id="369" w:name="_Toc151193847"/>
      <w:bookmarkStart w:id="370" w:name="_Toc151190160"/>
      <w:bookmarkStart w:id="371" w:name="_Toc149720826"/>
      <w:bookmarkStart w:id="372" w:name="_Toc164229374"/>
      <w:bookmarkStart w:id="373" w:name="_Toc226337229"/>
      <w:bookmarkStart w:id="374" w:name="_Toc520356158"/>
      <w:bookmarkStart w:id="375" w:name="_Toc127151734"/>
      <w:bookmarkStart w:id="376" w:name="_Toc142311035"/>
      <w:bookmarkStart w:id="377" w:name="_Toc305158801"/>
      <w:bookmarkStart w:id="378" w:name="_Toc151193631"/>
      <w:bookmarkStart w:id="379" w:name="_Toc150480771"/>
      <w:bookmarkStart w:id="380" w:name="_Toc226965806"/>
      <w:bookmarkStart w:id="381" w:name="_Toc164608802"/>
      <w:bookmarkStart w:id="382" w:name="_Toc164229228"/>
      <w:bookmarkStart w:id="383" w:name="_Toc226965723"/>
      <w:bookmarkStart w:id="384" w:name="_Toc127151533"/>
      <w:bookmarkStart w:id="385" w:name="_Toc150509284"/>
      <w:bookmarkStart w:id="386" w:name="_Toc226309777"/>
      <w:bookmarkStart w:id="387" w:name="_Toc151193775"/>
      <w:bookmarkStart w:id="388" w:name="_Toc150774633"/>
      <w:bookmarkStart w:id="389" w:name="_Toc305158875"/>
      <w:bookmarkStart w:id="390" w:name="_Toc127161447"/>
      <w:bookmarkStart w:id="391" w:name="_Toc164608647"/>
      <w:bookmarkStart w:id="392" w:name="_Toc151193703"/>
      <w:bookmarkStart w:id="393" w:name="_Toc195842898"/>
      <w:bookmarkStart w:id="394" w:name="_Toc150774738"/>
      <w:r>
        <w:rPr>
          <w:rFonts w:hint="eastAsia"/>
          <w:sz w:val="24"/>
          <w:lang w:val="en-US" w:eastAsia="zh-CN"/>
        </w:rPr>
        <w:t xml:space="preserve">14    </w:t>
      </w:r>
      <w:r>
        <w:rPr>
          <w:sz w:val="24"/>
        </w:rPr>
        <w:t>投标文件的签署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sz w:val="24"/>
        </w:rPr>
        <w:t>、盖章</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98" w:leftChars="342" w:hanging="480" w:hangingChars="200"/>
        <w:textAlignment w:val="auto"/>
        <w:rPr>
          <w:sz w:val="24"/>
        </w:rPr>
      </w:pPr>
      <w:bookmarkStart w:id="395" w:name="_Toc151193704"/>
      <w:bookmarkStart w:id="396" w:name="_Toc195842899"/>
      <w:bookmarkStart w:id="397" w:name="_Toc226337230"/>
      <w:bookmarkStart w:id="398" w:name="_Toc151193922"/>
      <w:bookmarkStart w:id="399" w:name="_Toc265228372"/>
      <w:bookmarkStart w:id="400" w:name="_Toc150480772"/>
      <w:bookmarkStart w:id="401" w:name="_Toc150774739"/>
      <w:bookmarkStart w:id="402" w:name="_Toc226965724"/>
      <w:bookmarkStart w:id="403" w:name="_Toc151193632"/>
      <w:bookmarkStart w:id="404" w:name="_Toc150774634"/>
      <w:bookmarkStart w:id="405" w:name="_Toc305158802"/>
      <w:bookmarkStart w:id="406" w:name="_Toc520356159"/>
      <w:bookmarkStart w:id="407" w:name="_Toc150509285"/>
      <w:bookmarkStart w:id="408" w:name="_Toc264969224"/>
      <w:bookmarkStart w:id="409" w:name="_Toc226965807"/>
      <w:bookmarkStart w:id="410" w:name="_Toc142311036"/>
      <w:bookmarkStart w:id="411" w:name="_Toc151193848"/>
      <w:bookmarkStart w:id="412" w:name="_Toc127151534"/>
      <w:bookmarkStart w:id="413" w:name="_Toc151190161"/>
      <w:bookmarkStart w:id="414" w:name="_Toc226309778"/>
      <w:bookmarkStart w:id="415" w:name="_Toc151193776"/>
      <w:bookmarkStart w:id="416" w:name="_Toc305158876"/>
      <w:r>
        <w:rPr>
          <w:rFonts w:hint="eastAsia"/>
          <w:sz w:val="24"/>
          <w:lang w:val="en-US" w:eastAsia="zh-CN"/>
        </w:rPr>
        <w:t>14.1</w:t>
      </w:r>
      <w:r>
        <w:rPr>
          <w:sz w:val="24"/>
        </w:rPr>
        <w:t>招标文件要求签字的内容（如授权委托书等），</w:t>
      </w:r>
      <w:r>
        <w:rPr>
          <w:rFonts w:hint="eastAsia" w:eastAsia="宋体"/>
          <w:sz w:val="24"/>
        </w:rPr>
        <w:t>可以使用电子签章或使用原件的电子件（电子件指扫描件、照片等形式电子文件）；要求</w:t>
      </w:r>
      <w:r>
        <w:rPr>
          <w:sz w:val="24"/>
        </w:rPr>
        <w:t>第三方出具的盖章件原件（如联合协议、分包意向协议等），投标文件中应使用原件的电子件。</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firstLine="720" w:firstLineChars="300"/>
        <w:textAlignment w:val="auto"/>
        <w:rPr>
          <w:sz w:val="24"/>
        </w:rPr>
      </w:pPr>
      <w:r>
        <w:rPr>
          <w:rFonts w:hint="eastAsia"/>
          <w:sz w:val="24"/>
          <w:lang w:val="en-US" w:eastAsia="zh-CN"/>
        </w:rPr>
        <w:t>14.2</w:t>
      </w:r>
      <w:r>
        <w:rPr>
          <w:sz w:val="24"/>
        </w:rPr>
        <w:t>招标文件要求盖章的内容，</w:t>
      </w:r>
      <w:r>
        <w:rPr>
          <w:rFonts w:hint="eastAsia"/>
          <w:sz w:val="24"/>
        </w:rPr>
        <w:t>一般</w:t>
      </w:r>
      <w:r>
        <w:rPr>
          <w:sz w:val="24"/>
        </w:rPr>
        <w:t>通过投标文件编制工具加盖电子签章。</w:t>
      </w:r>
    </w:p>
    <w:p>
      <w:pPr>
        <w:pageBreakBefore w:val="0"/>
        <w:widowControl w:val="0"/>
        <w:tabs>
          <w:tab w:val="left" w:pos="900"/>
          <w:tab w:val="left" w:pos="1080"/>
        </w:tabs>
        <w:kinsoku/>
        <w:wordWrap/>
        <w:overflowPunct/>
        <w:topLinePunct w:val="0"/>
        <w:bidi w:val="0"/>
        <w:snapToGrid w:val="0"/>
        <w:spacing w:line="400" w:lineRule="exact"/>
        <w:ind w:left="357"/>
        <w:textAlignment w:val="auto"/>
      </w:pPr>
    </w:p>
    <w:p>
      <w:pPr>
        <w:pStyle w:val="5"/>
        <w:pageBreakBefore w:val="0"/>
        <w:widowControl w:val="0"/>
        <w:kinsoku/>
        <w:wordWrap/>
        <w:overflowPunct/>
        <w:topLinePunct w:val="0"/>
        <w:bidi w:val="0"/>
        <w:spacing w:before="0" w:line="400" w:lineRule="exact"/>
        <w:textAlignment w:val="auto"/>
        <w:rPr>
          <w:rFonts w:ascii="Times New Roman" w:hAnsi="Times New Roman" w:eastAsia="宋体"/>
          <w:sz w:val="28"/>
        </w:rPr>
      </w:pPr>
      <w:r>
        <w:rPr>
          <w:rFonts w:ascii="Times New Roman" w:hAnsi="Times New Roman" w:eastAsia="宋体"/>
          <w:sz w:val="28"/>
        </w:rPr>
        <w:t>四   投标文件的提交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417" w:name="_Toc164608804"/>
      <w:bookmarkStart w:id="418" w:name="_Toc151193849"/>
      <w:bookmarkStart w:id="419" w:name="_Toc150480773"/>
      <w:bookmarkStart w:id="420" w:name="_Toc265228373"/>
      <w:bookmarkStart w:id="421" w:name="_Toc142311037"/>
      <w:bookmarkStart w:id="422" w:name="_Toc226337231"/>
      <w:bookmarkStart w:id="423" w:name="_Toc151193705"/>
      <w:bookmarkStart w:id="424" w:name="_Toc305158877"/>
      <w:bookmarkStart w:id="425" w:name="_Toc164608649"/>
      <w:bookmarkStart w:id="426" w:name="_Toc127151535"/>
      <w:bookmarkStart w:id="427" w:name="_Toc150774635"/>
      <w:bookmarkStart w:id="428" w:name="_Toc151193633"/>
      <w:bookmarkStart w:id="429" w:name="_Toc150509286"/>
      <w:bookmarkStart w:id="430" w:name="_Toc151190162"/>
      <w:bookmarkStart w:id="431" w:name="_Toc151193777"/>
      <w:bookmarkStart w:id="432" w:name="_Toc164229376"/>
      <w:bookmarkStart w:id="433" w:name="_Toc226965808"/>
      <w:bookmarkStart w:id="434" w:name="_Toc195842900"/>
      <w:bookmarkStart w:id="435" w:name="_Toc305158803"/>
      <w:bookmarkStart w:id="436" w:name="_Toc127161449"/>
      <w:bookmarkStart w:id="437" w:name="_Toc127151736"/>
      <w:bookmarkStart w:id="438" w:name="_Toc226309779"/>
      <w:bookmarkStart w:id="439" w:name="_Toc151193923"/>
      <w:bookmarkStart w:id="440" w:name="_Toc150774740"/>
      <w:bookmarkStart w:id="441" w:name="_Toc226965725"/>
      <w:bookmarkStart w:id="442" w:name="_Toc149720828"/>
      <w:bookmarkStart w:id="443" w:name="_Toc164229230"/>
      <w:bookmarkStart w:id="444" w:name="_Toc520356160"/>
      <w:bookmarkStart w:id="445" w:name="_Toc164351629"/>
      <w:bookmarkStart w:id="446" w:name="_Toc264969225"/>
      <w:r>
        <w:rPr>
          <w:rFonts w:hint="eastAsia"/>
          <w:sz w:val="24"/>
          <w:lang w:val="en-US" w:eastAsia="zh-CN"/>
        </w:rPr>
        <w:t xml:space="preserve">15   </w:t>
      </w:r>
      <w:r>
        <w:rPr>
          <w:sz w:val="24"/>
        </w:rPr>
        <w:t>投标文件的</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sz w:val="24"/>
        </w:rPr>
        <w:t>提交</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15.1 </w:t>
      </w:r>
      <w:r>
        <w:rPr>
          <w:sz w:val="24"/>
        </w:rPr>
        <w:t>本项目使用电子交易平台。投标人根据招标文件及电子交易平台供应商操作手册要求编制、生成并提交电子投标文件。</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15.2 </w:t>
      </w:r>
      <w:r>
        <w:rPr>
          <w:sz w:val="24"/>
        </w:rPr>
        <w:t>采购人及采购代理机构拒绝接受通过电子交易平台以外任何形式提交的投标文件，投标保证金除外。</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447" w:name="_Toc195842901"/>
      <w:bookmarkStart w:id="448" w:name="_Toc305158804"/>
      <w:bookmarkStart w:id="449" w:name="_Toc150480774"/>
      <w:bookmarkStart w:id="450" w:name="_Toc164229377"/>
      <w:bookmarkStart w:id="451" w:name="_Toc164229231"/>
      <w:bookmarkStart w:id="452" w:name="_Toc142311038"/>
      <w:bookmarkStart w:id="453" w:name="_Toc265228374"/>
      <w:bookmarkStart w:id="454" w:name="_Toc226337232"/>
      <w:bookmarkStart w:id="455" w:name="_Toc164608650"/>
      <w:bookmarkStart w:id="456" w:name="_Toc127161450"/>
      <w:bookmarkStart w:id="457" w:name="_Toc226965809"/>
      <w:bookmarkStart w:id="458" w:name="_Toc264969226"/>
      <w:bookmarkStart w:id="459" w:name="_Toc151193706"/>
      <w:bookmarkStart w:id="460" w:name="_Toc226965726"/>
      <w:bookmarkStart w:id="461" w:name="_Toc520356161"/>
      <w:bookmarkStart w:id="462" w:name="_Toc127151536"/>
      <w:bookmarkStart w:id="463" w:name="_Toc127151737"/>
      <w:bookmarkStart w:id="464" w:name="_Toc149720829"/>
      <w:bookmarkStart w:id="465" w:name="_Toc164608805"/>
      <w:bookmarkStart w:id="466" w:name="_Toc151193634"/>
      <w:bookmarkStart w:id="467" w:name="_Toc151193850"/>
      <w:bookmarkStart w:id="468" w:name="_Toc151193778"/>
      <w:bookmarkStart w:id="469" w:name="_Toc150509287"/>
      <w:bookmarkStart w:id="470" w:name="_Toc164351630"/>
      <w:bookmarkStart w:id="471" w:name="_Toc226309780"/>
      <w:bookmarkStart w:id="472" w:name="_Toc150774636"/>
      <w:bookmarkStart w:id="473" w:name="_Toc151190163"/>
      <w:bookmarkStart w:id="474" w:name="_Toc151193924"/>
      <w:bookmarkStart w:id="475" w:name="_Toc305158878"/>
      <w:bookmarkStart w:id="476" w:name="_Toc150774741"/>
      <w:r>
        <w:rPr>
          <w:rFonts w:hint="eastAsia"/>
          <w:sz w:val="24"/>
          <w:lang w:val="en-US" w:eastAsia="zh-CN"/>
        </w:rPr>
        <w:t xml:space="preserve">16   </w:t>
      </w:r>
      <w:r>
        <w:rPr>
          <w:sz w:val="24"/>
        </w:rPr>
        <w:t>投标截止</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sz w:val="24"/>
        </w:rPr>
        <w:t>时间</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16.1 </w:t>
      </w:r>
      <w:r>
        <w:rPr>
          <w:sz w:val="24"/>
        </w:rPr>
        <w:t>投标人应在招标文件要求提交投标文件截止时间前，将电子投标文件提交至电子交易平台。</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477" w:name="_Toc226337233"/>
      <w:bookmarkStart w:id="478" w:name="_Toc265228375"/>
      <w:bookmarkStart w:id="479" w:name="_Toc520356162"/>
      <w:bookmarkStart w:id="480" w:name="_Toc164229378"/>
      <w:bookmarkStart w:id="481" w:name="_Toc127151537"/>
      <w:bookmarkStart w:id="482" w:name="_Toc150509288"/>
      <w:bookmarkStart w:id="483" w:name="_Toc151193635"/>
      <w:bookmarkStart w:id="484" w:name="_Toc305158805"/>
      <w:bookmarkStart w:id="485" w:name="_Toc149720830"/>
      <w:bookmarkStart w:id="486" w:name="_Toc127151738"/>
      <w:bookmarkStart w:id="487" w:name="_Toc151193779"/>
      <w:bookmarkStart w:id="488" w:name="_Toc226965810"/>
      <w:bookmarkStart w:id="489" w:name="_Toc150774742"/>
      <w:bookmarkStart w:id="490" w:name="_Toc151193707"/>
      <w:bookmarkStart w:id="491" w:name="_Toc164229232"/>
      <w:bookmarkStart w:id="492" w:name="_Toc164608651"/>
      <w:bookmarkStart w:id="493" w:name="_Toc226965727"/>
      <w:bookmarkStart w:id="494" w:name="_Toc127161451"/>
      <w:bookmarkStart w:id="495" w:name="_Toc150480775"/>
      <w:bookmarkStart w:id="496" w:name="_Toc150774637"/>
      <w:bookmarkStart w:id="497" w:name="_Toc226309781"/>
      <w:bookmarkStart w:id="498" w:name="_Toc142311039"/>
      <w:bookmarkStart w:id="499" w:name="_Toc164351631"/>
      <w:bookmarkStart w:id="500" w:name="_Toc305158879"/>
      <w:bookmarkStart w:id="501" w:name="_Toc151193925"/>
      <w:bookmarkStart w:id="502" w:name="_Toc195842902"/>
      <w:bookmarkStart w:id="503" w:name="_Toc151190164"/>
      <w:bookmarkStart w:id="504" w:name="_Toc264969227"/>
      <w:bookmarkStart w:id="505" w:name="_Toc151193851"/>
      <w:bookmarkStart w:id="506" w:name="_Toc164608806"/>
      <w:r>
        <w:rPr>
          <w:rFonts w:hint="eastAsia"/>
          <w:sz w:val="24"/>
          <w:lang w:val="en-US" w:eastAsia="zh-CN"/>
        </w:rPr>
        <w:t xml:space="preserve">17   </w:t>
      </w:r>
      <w:r>
        <w:rPr>
          <w:sz w:val="24"/>
        </w:rPr>
        <w:t>投标文件的修改与撤回</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17.1 </w:t>
      </w: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17.2 </w:t>
      </w:r>
      <w:r>
        <w:rPr>
          <w:sz w:val="24"/>
        </w:rPr>
        <w:t>投标人对投标文件的补充、修改的内容应当按照招标文件要求签署、盖章，作为投标文件的组成部分。</w:t>
      </w:r>
    </w:p>
    <w:p>
      <w:pPr>
        <w:pageBreakBefore w:val="0"/>
        <w:widowControl w:val="0"/>
        <w:kinsoku/>
        <w:wordWrap/>
        <w:overflowPunct/>
        <w:topLinePunct w:val="0"/>
        <w:bidi w:val="0"/>
        <w:spacing w:line="400" w:lineRule="exact"/>
        <w:textAlignment w:val="auto"/>
        <w:rPr>
          <w:sz w:val="24"/>
        </w:rPr>
      </w:pPr>
    </w:p>
    <w:p>
      <w:pPr>
        <w:pStyle w:val="5"/>
        <w:pageBreakBefore w:val="0"/>
        <w:widowControl w:val="0"/>
        <w:kinsoku/>
        <w:wordWrap/>
        <w:overflowPunct/>
        <w:topLinePunct w:val="0"/>
        <w:bidi w:val="0"/>
        <w:spacing w:before="0" w:line="400" w:lineRule="exact"/>
        <w:textAlignment w:val="auto"/>
        <w:rPr>
          <w:rFonts w:ascii="Times New Roman" w:hAnsi="Times New Roman" w:eastAsia="宋体"/>
          <w:sz w:val="28"/>
        </w:rPr>
      </w:pPr>
      <w:bookmarkStart w:id="507" w:name="_Toc150774638"/>
      <w:bookmarkStart w:id="508" w:name="_Toc195842903"/>
      <w:bookmarkStart w:id="509" w:name="_Toc226337234"/>
      <w:bookmarkStart w:id="510" w:name="_Toc151193926"/>
      <w:bookmarkStart w:id="511" w:name="_Toc151193780"/>
      <w:bookmarkStart w:id="512" w:name="_Toc151193636"/>
      <w:bookmarkStart w:id="513" w:name="_Toc226965811"/>
      <w:bookmarkStart w:id="514" w:name="_Toc142311040"/>
      <w:bookmarkStart w:id="515" w:name="_Toc520356163"/>
      <w:bookmarkStart w:id="516" w:name="_Toc265228376"/>
      <w:bookmarkStart w:id="517" w:name="_Toc151190165"/>
      <w:bookmarkStart w:id="518" w:name="_Toc305158880"/>
      <w:bookmarkStart w:id="519" w:name="_Toc150480776"/>
      <w:bookmarkStart w:id="520" w:name="_Toc151193708"/>
      <w:bookmarkStart w:id="521" w:name="_Toc305158806"/>
      <w:bookmarkStart w:id="522" w:name="_Toc127151538"/>
      <w:bookmarkStart w:id="523" w:name="_Toc226309782"/>
      <w:bookmarkStart w:id="524" w:name="_Toc151193852"/>
      <w:bookmarkStart w:id="525" w:name="_Toc150774743"/>
      <w:bookmarkStart w:id="526" w:name="_Toc264969228"/>
      <w:bookmarkStart w:id="527" w:name="_Toc150509289"/>
      <w:bookmarkStart w:id="528" w:name="_Toc226965728"/>
      <w:r>
        <w:rPr>
          <w:rFonts w:ascii="Times New Roman" w:hAnsi="Times New Roman" w:eastAsia="宋体"/>
          <w:sz w:val="28"/>
        </w:rPr>
        <w:t>五   开标、资格审查及评标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529" w:name="_Toc226965812"/>
      <w:bookmarkStart w:id="530" w:name="_Toc305158881"/>
      <w:bookmarkStart w:id="531" w:name="_Toc150480777"/>
      <w:bookmarkStart w:id="532" w:name="_Toc151193709"/>
      <w:bookmarkStart w:id="533" w:name="_Toc151193637"/>
      <w:bookmarkStart w:id="534" w:name="_Toc520356164"/>
      <w:bookmarkStart w:id="535" w:name="_Toc164351633"/>
      <w:bookmarkStart w:id="536" w:name="_Toc164229380"/>
      <w:bookmarkStart w:id="537" w:name="_Toc151193853"/>
      <w:bookmarkStart w:id="538" w:name="_Toc151190166"/>
      <w:bookmarkStart w:id="539" w:name="_Toc226965729"/>
      <w:bookmarkStart w:id="540" w:name="_Toc127151539"/>
      <w:bookmarkStart w:id="541" w:name="_Toc305158807"/>
      <w:bookmarkStart w:id="542" w:name="_Toc150774639"/>
      <w:bookmarkStart w:id="543" w:name="_Toc195842904"/>
      <w:bookmarkStart w:id="544" w:name="_Toc164608653"/>
      <w:bookmarkStart w:id="545" w:name="_Toc164608808"/>
      <w:bookmarkStart w:id="546" w:name="_Toc149720832"/>
      <w:bookmarkStart w:id="547" w:name="_Toc226309783"/>
      <w:bookmarkStart w:id="548" w:name="_Toc127161453"/>
      <w:bookmarkStart w:id="549" w:name="_Toc150509290"/>
      <w:bookmarkStart w:id="550" w:name="_Toc151193781"/>
      <w:bookmarkStart w:id="551" w:name="_Toc151193927"/>
      <w:bookmarkStart w:id="552" w:name="_Toc226337235"/>
      <w:bookmarkStart w:id="553" w:name="_Toc265228377"/>
      <w:bookmarkStart w:id="554" w:name="_Toc142311041"/>
      <w:bookmarkStart w:id="555" w:name="_Toc127151740"/>
      <w:bookmarkStart w:id="556" w:name="_Toc264969229"/>
      <w:bookmarkStart w:id="557" w:name="_Toc164229234"/>
      <w:bookmarkStart w:id="558" w:name="_Toc150774744"/>
      <w:r>
        <w:rPr>
          <w:rFonts w:hint="eastAsia"/>
          <w:sz w:val="24"/>
          <w:lang w:val="en-US" w:eastAsia="zh-CN"/>
        </w:rPr>
        <w:t xml:space="preserve">18   </w:t>
      </w:r>
      <w:r>
        <w:rPr>
          <w:sz w:val="24"/>
        </w:rPr>
        <w:t>开标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18.1 </w:t>
      </w:r>
      <w:r>
        <w:rPr>
          <w:sz w:val="24"/>
        </w:rPr>
        <w:t>采购人或采购代理机构将按招标文件的规定，在投标截止时间的同一时间和招标文件预先确定的地点组织开标。</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color w:val="C00000"/>
          <w:sz w:val="24"/>
        </w:rPr>
      </w:pPr>
      <w:r>
        <w:rPr>
          <w:rFonts w:hint="eastAsia"/>
          <w:color w:val="auto"/>
          <w:sz w:val="24"/>
          <w:lang w:val="en-US" w:eastAsia="zh-CN"/>
        </w:rPr>
        <w:t xml:space="preserve">18.2 </w:t>
      </w:r>
      <w:r>
        <w:rPr>
          <w:color w:val="auto"/>
          <w:sz w:val="24"/>
        </w:rPr>
        <w:t>本项目开标使用</w:t>
      </w:r>
      <w:r>
        <w:rPr>
          <w:rFonts w:hint="eastAsia"/>
          <w:color w:val="auto"/>
          <w:sz w:val="24"/>
          <w:lang w:eastAsia="zh-CN"/>
        </w:rPr>
        <w:t>北京市政府采购</w:t>
      </w:r>
      <w:r>
        <w:rPr>
          <w:color w:val="auto"/>
          <w:sz w:val="24"/>
        </w:rPr>
        <w:t>电子交易平台。投标人应在规定的时间内对投标文件进行解密，因非系统原因导致的解密失败，视为</w:t>
      </w:r>
      <w:r>
        <w:rPr>
          <w:b/>
          <w:color w:val="auto"/>
          <w:sz w:val="24"/>
        </w:rPr>
        <w:t>投标无效</w:t>
      </w:r>
      <w:r>
        <w:rPr>
          <w:color w:val="auto"/>
          <w:sz w:val="24"/>
        </w:rPr>
        <w:t>。</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18.3</w:t>
      </w:r>
      <w:r>
        <w:rPr>
          <w:sz w:val="24"/>
        </w:rPr>
        <w:t>开标过程将使用电子交易平台宣布投标人名称、投标价格和招标文件规定的需要宣布的其他内容并进行记录，并由参加开标的各投标人代表确认</w:t>
      </w:r>
      <w:bookmarkStart w:id="559" w:name="_Toc520356165"/>
      <w:r>
        <w:rPr>
          <w:sz w:val="24"/>
        </w:rPr>
        <w:t>。</w:t>
      </w:r>
      <w:r>
        <w:rPr>
          <w:rFonts w:hint="eastAsia"/>
          <w:sz w:val="24"/>
        </w:rPr>
        <w:t>投标人未在规定时间内提出疑义或确认一览表的，视同认可开标结果。</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18.4</w:t>
      </w: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18.5</w:t>
      </w:r>
      <w:r>
        <w:rPr>
          <w:sz w:val="24"/>
        </w:rPr>
        <w:t>投标人不足3家的，不予开标。</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19   </w:t>
      </w:r>
      <w:r>
        <w:rPr>
          <w:sz w:val="24"/>
        </w:rPr>
        <w:t>资格审查</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19.1 </w:t>
      </w:r>
      <w:r>
        <w:rPr>
          <w:sz w:val="24"/>
        </w:rPr>
        <w:t>见第三章《资格审查》。</w:t>
      </w:r>
    </w:p>
    <w:bookmarkEnd w:id="559"/>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560" w:name="_Toc164351634"/>
      <w:bookmarkStart w:id="561" w:name="_Toc150774640"/>
      <w:bookmarkStart w:id="562" w:name="_Toc195842905"/>
      <w:bookmarkStart w:id="563" w:name="_Toc265228378"/>
      <w:bookmarkStart w:id="564" w:name="_Toc127151741"/>
      <w:bookmarkStart w:id="565" w:name="_Toc151193782"/>
      <w:bookmarkStart w:id="566" w:name="_Toc150774745"/>
      <w:bookmarkStart w:id="567" w:name="_Toc151193854"/>
      <w:bookmarkStart w:id="568" w:name="_Toc226965813"/>
      <w:bookmarkStart w:id="569" w:name="_Toc226309784"/>
      <w:bookmarkStart w:id="570" w:name="_Toc164229381"/>
      <w:bookmarkStart w:id="571" w:name="_Toc150509291"/>
      <w:bookmarkStart w:id="572" w:name="_Toc305158882"/>
      <w:bookmarkStart w:id="573" w:name="_Toc149720833"/>
      <w:bookmarkStart w:id="574" w:name="_Toc164229235"/>
      <w:bookmarkStart w:id="575" w:name="_Toc264969230"/>
      <w:bookmarkStart w:id="576" w:name="_Toc305158808"/>
      <w:bookmarkStart w:id="577" w:name="_Toc127151540"/>
      <w:bookmarkStart w:id="578" w:name="_Toc150480778"/>
      <w:bookmarkStart w:id="579" w:name="_Toc151193710"/>
      <w:bookmarkStart w:id="580" w:name="_Toc164608809"/>
      <w:bookmarkStart w:id="581" w:name="_Toc142311042"/>
      <w:bookmarkStart w:id="582" w:name="_Toc226337236"/>
      <w:bookmarkStart w:id="583" w:name="_Toc151193638"/>
      <w:bookmarkStart w:id="584" w:name="_Toc127161454"/>
      <w:bookmarkStart w:id="585" w:name="_Toc164608654"/>
      <w:bookmarkStart w:id="586" w:name="_Toc151190167"/>
      <w:bookmarkStart w:id="587" w:name="_Toc226965730"/>
      <w:bookmarkStart w:id="588" w:name="_Toc151193928"/>
      <w:r>
        <w:rPr>
          <w:rFonts w:hint="eastAsia"/>
          <w:sz w:val="24"/>
          <w:lang w:val="en-US" w:eastAsia="zh-CN"/>
        </w:rPr>
        <w:t xml:space="preserve">20   </w:t>
      </w:r>
      <w:r>
        <w:rPr>
          <w:sz w:val="24"/>
        </w:rPr>
        <w:t>评标委员会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20.1 </w:t>
      </w:r>
      <w:r>
        <w:rPr>
          <w:sz w:val="24"/>
        </w:rPr>
        <w:t>评标委员会根据政府采购有关规定和本次招标采购项目的特点进行组建，并负责具体评标事务，独立履行职责。</w:t>
      </w:r>
      <w:bookmarkStart w:id="589" w:name="_Toc520356166"/>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20.2 </w:t>
      </w: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89"/>
      <w:bookmarkStart w:id="590" w:name="_Toc520356169"/>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21   </w:t>
      </w:r>
      <w:r>
        <w:rPr>
          <w:sz w:val="24"/>
        </w:rPr>
        <w:t>评标程序、评标方法和评标标准</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21.1 </w:t>
      </w:r>
      <w:r>
        <w:rPr>
          <w:sz w:val="24"/>
        </w:rPr>
        <w:t>见第四章《评标程序、评标方法和评标标准》。</w:t>
      </w:r>
    </w:p>
    <w:p>
      <w:pPr>
        <w:pageBreakBefore w:val="0"/>
        <w:widowControl w:val="0"/>
        <w:tabs>
          <w:tab w:val="left" w:pos="360"/>
          <w:tab w:val="left" w:pos="1080"/>
        </w:tabs>
        <w:kinsoku/>
        <w:wordWrap/>
        <w:overflowPunct/>
        <w:topLinePunct w:val="0"/>
        <w:bidi w:val="0"/>
        <w:snapToGrid w:val="0"/>
        <w:spacing w:line="400" w:lineRule="exact"/>
        <w:ind w:left="1080"/>
        <w:textAlignment w:val="auto"/>
        <w:rPr>
          <w:sz w:val="24"/>
        </w:rPr>
      </w:pPr>
    </w:p>
    <w:p>
      <w:pPr>
        <w:pStyle w:val="5"/>
        <w:pageBreakBefore w:val="0"/>
        <w:widowControl w:val="0"/>
        <w:kinsoku/>
        <w:wordWrap/>
        <w:overflowPunct/>
        <w:topLinePunct w:val="0"/>
        <w:bidi w:val="0"/>
        <w:spacing w:before="0" w:line="400" w:lineRule="exact"/>
        <w:textAlignment w:val="auto"/>
        <w:rPr>
          <w:rFonts w:ascii="Times New Roman" w:hAnsi="Times New Roman" w:eastAsia="宋体"/>
          <w:sz w:val="28"/>
        </w:rPr>
      </w:pPr>
      <w:bookmarkStart w:id="591" w:name="_Toc150480783"/>
      <w:bookmarkStart w:id="592" w:name="_Toc151193643"/>
      <w:bookmarkStart w:id="593" w:name="_Toc127151545"/>
      <w:bookmarkStart w:id="594" w:name="_Toc226965735"/>
      <w:bookmarkStart w:id="595" w:name="_Toc150509296"/>
      <w:bookmarkStart w:id="596" w:name="_Toc264969235"/>
      <w:bookmarkStart w:id="597" w:name="_Toc151193859"/>
      <w:bookmarkStart w:id="598" w:name="_Toc151193787"/>
      <w:bookmarkStart w:id="599" w:name="_Toc305158887"/>
      <w:bookmarkStart w:id="600" w:name="_Toc151193715"/>
      <w:bookmarkStart w:id="601" w:name="_Toc195842910"/>
      <w:bookmarkStart w:id="602" w:name="_Toc265228383"/>
      <w:bookmarkStart w:id="603" w:name="_Toc150774645"/>
      <w:bookmarkStart w:id="604" w:name="_Toc151193933"/>
      <w:bookmarkStart w:id="605" w:name="_Toc226965818"/>
      <w:bookmarkStart w:id="606" w:name="_Toc151190172"/>
      <w:bookmarkStart w:id="607" w:name="_Toc226337241"/>
      <w:bookmarkStart w:id="608" w:name="_Toc142311047"/>
      <w:bookmarkStart w:id="609" w:name="_Toc305158813"/>
      <w:bookmarkStart w:id="610" w:name="_Toc150774750"/>
      <w:bookmarkStart w:id="611" w:name="_Toc226309789"/>
      <w:r>
        <w:rPr>
          <w:rFonts w:ascii="Times New Roman" w:hAnsi="Times New Roman" w:eastAsia="宋体"/>
          <w:sz w:val="28"/>
        </w:rPr>
        <w:t xml:space="preserve">六   </w:t>
      </w:r>
      <w:bookmarkEnd w:id="590"/>
      <w:r>
        <w:rPr>
          <w:rFonts w:ascii="Times New Roman" w:hAnsi="Times New Roman" w:eastAsia="宋体"/>
          <w:sz w:val="28"/>
        </w:rPr>
        <w:t>确定中标</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Start w:id="612" w:name="_Toc150774647"/>
      <w:bookmarkStart w:id="613" w:name="_Toc265228385"/>
      <w:bookmarkStart w:id="614" w:name="_Toc151190174"/>
      <w:bookmarkStart w:id="615" w:name="_Toc226965820"/>
      <w:bookmarkStart w:id="616" w:name="_Toc164608661"/>
      <w:bookmarkStart w:id="617" w:name="_Toc127151547"/>
      <w:bookmarkStart w:id="618" w:name="_Toc305158815"/>
      <w:bookmarkStart w:id="619" w:name="_Toc150509298"/>
      <w:bookmarkStart w:id="620" w:name="_Toc226309791"/>
      <w:bookmarkStart w:id="621" w:name="_Toc195842912"/>
      <w:bookmarkStart w:id="622" w:name="_Toc151193861"/>
      <w:bookmarkStart w:id="623" w:name="_Toc151193717"/>
      <w:bookmarkStart w:id="624" w:name="_Toc151193645"/>
      <w:bookmarkStart w:id="625" w:name="_Toc150774752"/>
      <w:bookmarkStart w:id="626" w:name="_Toc164229242"/>
      <w:bookmarkStart w:id="627" w:name="_Toc149720840"/>
      <w:bookmarkStart w:id="628" w:name="_Toc164229388"/>
      <w:bookmarkStart w:id="629" w:name="_Toc151193789"/>
      <w:bookmarkStart w:id="630" w:name="_Toc164351641"/>
      <w:bookmarkStart w:id="631" w:name="_Toc151193935"/>
      <w:bookmarkStart w:id="632" w:name="_Toc127151748"/>
      <w:bookmarkStart w:id="633" w:name="_Toc305158889"/>
      <w:bookmarkStart w:id="634" w:name="_Toc127161461"/>
      <w:bookmarkStart w:id="635" w:name="_Toc264969237"/>
      <w:bookmarkStart w:id="636" w:name="_Toc150480785"/>
      <w:bookmarkStart w:id="637" w:name="_Toc226965737"/>
      <w:bookmarkStart w:id="638" w:name="_Toc226337243"/>
      <w:bookmarkStart w:id="639" w:name="_Toc164608816"/>
      <w:bookmarkStart w:id="640" w:name="_Toc142311049"/>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22   </w:t>
      </w:r>
      <w:r>
        <w:rPr>
          <w:sz w:val="24"/>
        </w:rPr>
        <w:t>确定中标人</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rFonts w:hint="eastAsia"/>
          <w:sz w:val="24"/>
        </w:rPr>
      </w:pPr>
      <w:r>
        <w:rPr>
          <w:rFonts w:hint="eastAsia"/>
          <w:sz w:val="24"/>
          <w:lang w:val="en-US" w:eastAsia="zh-CN"/>
        </w:rPr>
        <w:t xml:space="preserve">22.1 </w:t>
      </w:r>
      <w:r>
        <w:rPr>
          <w:rFonts w:hint="eastAsia"/>
          <w:sz w:val="24"/>
        </w:rPr>
        <w:t>采购人将在评标报告确定的中标候选人名单中按顺序确定中标人，中标候选</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9" w:leftChars="528" w:firstLine="0" w:firstLineChars="0"/>
        <w:textAlignment w:val="auto"/>
        <w:rPr>
          <w:rFonts w:hint="eastAsia"/>
          <w:sz w:val="24"/>
        </w:rPr>
      </w:pPr>
      <w:r>
        <w:rPr>
          <w:rFonts w:hint="eastAsia"/>
          <w:sz w:val="24"/>
        </w:rPr>
        <w:t>人并列的，由采购人或者采购人委托评标委员会按照招标文件规定的方式确</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9" w:leftChars="528" w:firstLine="0" w:firstLineChars="0"/>
        <w:textAlignment w:val="auto"/>
        <w:rPr>
          <w:rFonts w:hint="eastAsia"/>
          <w:sz w:val="24"/>
        </w:rPr>
      </w:pPr>
      <w:r>
        <w:rPr>
          <w:rFonts w:hint="eastAsia"/>
          <w:sz w:val="24"/>
        </w:rPr>
        <w:t>定中标人；招标文件未规定的，采取随机抽取的方式确定。采购人是否委托</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9" w:leftChars="528" w:firstLine="0" w:firstLineChars="0"/>
        <w:textAlignment w:val="auto"/>
        <w:rPr>
          <w:rFonts w:hint="eastAsia"/>
          <w:sz w:val="24"/>
        </w:rPr>
      </w:pPr>
      <w:r>
        <w:rPr>
          <w:rFonts w:hint="eastAsia"/>
          <w:sz w:val="24"/>
        </w:rPr>
        <w:t>评标委员会直接确定中标人，见《投标人须知资料表》。中标候选人并列的，</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9" w:leftChars="528" w:firstLine="0" w:firstLineChars="0"/>
        <w:textAlignment w:val="auto"/>
        <w:rPr>
          <w:sz w:val="24"/>
        </w:rPr>
      </w:pPr>
      <w:r>
        <w:rPr>
          <w:rFonts w:hint="eastAsia"/>
          <w:sz w:val="24"/>
        </w:rPr>
        <w:t>按照《投标人须知资料表》要求确定中标人。</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641" w:name="_Toc305158891"/>
      <w:bookmarkStart w:id="642" w:name="_Toc305158817"/>
      <w:bookmarkStart w:id="643" w:name="_Toc151193719"/>
      <w:bookmarkStart w:id="644" w:name="_Toc164608663"/>
      <w:bookmarkStart w:id="645" w:name="_Toc195842914"/>
      <w:bookmarkStart w:id="646" w:name="_Toc127161463"/>
      <w:bookmarkStart w:id="647" w:name="_Toc150509300"/>
      <w:bookmarkStart w:id="648" w:name="_Toc264969239"/>
      <w:bookmarkStart w:id="649" w:name="_Toc150774649"/>
      <w:bookmarkStart w:id="650" w:name="_Toc151193863"/>
      <w:bookmarkStart w:id="651" w:name="_Toc150774754"/>
      <w:bookmarkStart w:id="652" w:name="_Toc226965822"/>
      <w:bookmarkStart w:id="653" w:name="_Toc127151549"/>
      <w:bookmarkStart w:id="654" w:name="_Toc226309793"/>
      <w:bookmarkStart w:id="655" w:name="_Toc151190176"/>
      <w:bookmarkStart w:id="656" w:name="_Toc142311051"/>
      <w:bookmarkStart w:id="657" w:name="_Toc151193647"/>
      <w:bookmarkStart w:id="658" w:name="_Toc151193937"/>
      <w:bookmarkStart w:id="659" w:name="_Toc164351643"/>
      <w:bookmarkStart w:id="660" w:name="_Toc226965739"/>
      <w:bookmarkStart w:id="661" w:name="_Toc151193791"/>
      <w:bookmarkStart w:id="662" w:name="_Toc127151750"/>
      <w:bookmarkStart w:id="663" w:name="_Toc164229390"/>
      <w:bookmarkStart w:id="664" w:name="_Toc265228387"/>
      <w:bookmarkStart w:id="665" w:name="_Toc226337245"/>
      <w:bookmarkStart w:id="666" w:name="_Toc164608818"/>
      <w:bookmarkStart w:id="667" w:name="_Toc164229244"/>
      <w:bookmarkStart w:id="668" w:name="_Toc149720842"/>
      <w:bookmarkStart w:id="669" w:name="_Toc150480787"/>
      <w:bookmarkStart w:id="670" w:name="_Ref467306425"/>
      <w:bookmarkStart w:id="671" w:name="_Ref467307090"/>
      <w:bookmarkStart w:id="672" w:name="_Toc520356176"/>
      <w:r>
        <w:rPr>
          <w:rFonts w:hint="eastAsia"/>
          <w:sz w:val="24"/>
          <w:lang w:val="en-US" w:eastAsia="zh-CN"/>
        </w:rPr>
        <w:t xml:space="preserve">23   </w:t>
      </w:r>
      <w:r>
        <w:rPr>
          <w:sz w:val="24"/>
        </w:rPr>
        <w:t>中标公告与中标通知书</w:t>
      </w:r>
      <w:bookmarkEnd w:id="641"/>
      <w:bookmarkEnd w:id="642"/>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23.1 </w:t>
      </w:r>
      <w:r>
        <w:rPr>
          <w:sz w:val="24"/>
        </w:rPr>
        <w:t>采购人或采购代理机构自中标人确定之日起2个工作日内，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中标公告期限为1个工作日。</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23.2 </w:t>
      </w:r>
      <w:r>
        <w:rPr>
          <w:sz w:val="24"/>
        </w:rPr>
        <w:t>中标通知书对采购人和中标供应商均具有法律效力。中标通知书发出后，采购人改变中标结果的，或者中标供应商放弃中标项目的，应当依法承担法律责任。</w:t>
      </w: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24   </w:t>
      </w:r>
      <w:r>
        <w:rPr>
          <w:sz w:val="24"/>
        </w:rPr>
        <w:t>废标</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24.1 </w:t>
      </w:r>
      <w:r>
        <w:rPr>
          <w:sz w:val="24"/>
        </w:rPr>
        <w:t>在招标采购中，出现下列情形之一的，应予废标：</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24.1.1</w:t>
      </w:r>
      <w:r>
        <w:rPr>
          <w:sz w:val="24"/>
        </w:rPr>
        <w:t>符合专业条件的供应商或者对招标文件作实质响应的供应商不足三家的；</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24.1.2</w:t>
      </w:r>
      <w:r>
        <w:rPr>
          <w:sz w:val="24"/>
        </w:rPr>
        <w:t>出现影响采购公正的违法、违规行为的；</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24.1.3</w:t>
      </w:r>
      <w:r>
        <w:rPr>
          <w:sz w:val="24"/>
        </w:rPr>
        <w:t>投标人的报价均超过了采购预算，采购人不能支付的；</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24.1.4</w:t>
      </w:r>
      <w:r>
        <w:rPr>
          <w:sz w:val="24"/>
        </w:rPr>
        <w:t>因重大变故，采购任务取消的。</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24.2 </w:t>
      </w:r>
      <w:r>
        <w:rPr>
          <w:sz w:val="24"/>
        </w:rPr>
        <w:t>废标后，采购人将废标理由通知所有投标人。</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bookmarkStart w:id="673" w:name="_Toc127151550"/>
      <w:bookmarkStart w:id="674" w:name="_Toc151193648"/>
      <w:bookmarkStart w:id="675" w:name="_Toc195842915"/>
      <w:bookmarkStart w:id="676" w:name="_Ref467306377"/>
      <w:bookmarkStart w:id="677" w:name="_Toc151193864"/>
      <w:bookmarkStart w:id="678" w:name="_Toc226965823"/>
      <w:bookmarkStart w:id="679" w:name="_Toc164351644"/>
      <w:bookmarkStart w:id="680" w:name="_Toc164608664"/>
      <w:bookmarkStart w:id="681" w:name="_Toc265228388"/>
      <w:bookmarkStart w:id="682" w:name="_Toc151193938"/>
      <w:bookmarkStart w:id="683" w:name="_Toc164229391"/>
      <w:bookmarkStart w:id="684" w:name="_Toc150509301"/>
      <w:bookmarkStart w:id="685" w:name="_Toc150480788"/>
      <w:bookmarkStart w:id="686" w:name="_Toc164608819"/>
      <w:bookmarkStart w:id="687" w:name="_Ref467307204"/>
      <w:bookmarkStart w:id="688" w:name="_Toc264969240"/>
      <w:bookmarkStart w:id="689" w:name="_Toc164229245"/>
      <w:bookmarkStart w:id="690" w:name="_Toc151193792"/>
      <w:bookmarkStart w:id="691" w:name="_Toc127151751"/>
      <w:bookmarkStart w:id="692" w:name="_Toc151193720"/>
      <w:bookmarkStart w:id="693" w:name="_Toc226309794"/>
      <w:bookmarkStart w:id="694" w:name="_Toc142311052"/>
      <w:bookmarkStart w:id="695" w:name="_Toc305158892"/>
      <w:bookmarkStart w:id="696" w:name="_Toc127161464"/>
      <w:bookmarkStart w:id="697" w:name="_Toc226965740"/>
      <w:bookmarkStart w:id="698" w:name="_Toc150774650"/>
      <w:bookmarkStart w:id="699" w:name="_Toc151190177"/>
      <w:bookmarkStart w:id="700" w:name="_Toc305158818"/>
      <w:bookmarkStart w:id="701" w:name="_Ref467306978"/>
      <w:bookmarkStart w:id="702" w:name="_Toc520356175"/>
      <w:bookmarkStart w:id="703" w:name="_Toc149720843"/>
      <w:bookmarkStart w:id="704" w:name="_Toc226337246"/>
      <w:bookmarkStart w:id="705" w:name="_Ref467307062"/>
      <w:bookmarkStart w:id="706" w:name="_Toc150774755"/>
      <w:r>
        <w:rPr>
          <w:rFonts w:hint="eastAsia"/>
          <w:sz w:val="24"/>
          <w:lang w:val="en-US" w:eastAsia="zh-CN"/>
        </w:rPr>
        <w:t xml:space="preserve">25   </w:t>
      </w:r>
      <w:r>
        <w:rPr>
          <w:sz w:val="24"/>
        </w:rPr>
        <w:t>签订合同</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25.1</w:t>
      </w:r>
      <w:r>
        <w:rPr>
          <w:sz w:val="24"/>
        </w:rPr>
        <w:t>中标人、采购人应当自中标通知书发出之日起30日内，按照招标文件和中标人投标文件的规定签订书面合同。所签订的合同不得对招标文件确定的事项和中标人投标文件作实质性修改。</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25.2 </w:t>
      </w: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25.3 </w:t>
      </w:r>
      <w:r>
        <w:rPr>
          <w:sz w:val="24"/>
        </w:rPr>
        <w:t>联合体中标的，联合体各方应当共同与采购人签订合同，就中标项目向采购人承担连带责任。</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 xml:space="preserve">25.4 </w:t>
      </w:r>
      <w:r>
        <w:rPr>
          <w:sz w:val="24"/>
        </w:rPr>
        <w:t>政府采购合同不能转包。</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10" w:leftChars="300" w:hanging="480" w:hangingChars="200"/>
        <w:textAlignment w:val="auto"/>
        <w:rPr>
          <w:sz w:val="24"/>
        </w:rPr>
      </w:pPr>
      <w:r>
        <w:rPr>
          <w:rFonts w:hint="eastAsia"/>
          <w:sz w:val="24"/>
          <w:lang w:val="en-US" w:eastAsia="zh-CN"/>
        </w:rPr>
        <w:t xml:space="preserve">25.5 </w:t>
      </w: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0"/>
    <w:bookmarkEnd w:id="671"/>
    <w:bookmarkEnd w:id="672"/>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26   </w:t>
      </w:r>
      <w:r>
        <w:rPr>
          <w:sz w:val="24"/>
        </w:rPr>
        <w:t>询问与质疑</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26.1</w:t>
      </w:r>
      <w:r>
        <w:rPr>
          <w:sz w:val="24"/>
        </w:rPr>
        <w:t>询问</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26.1.1</w:t>
      </w:r>
      <w:r>
        <w:rPr>
          <w:sz w:val="24"/>
        </w:rPr>
        <w:t>投标人对政府采购活动事项有疑问的，可依法提出询问，并按《投标人须知资料表》载明的形式送达采购人或采购代理机构。</w:t>
      </w:r>
    </w:p>
    <w:p>
      <w:pPr>
        <w:pageBreakBefore w:val="0"/>
        <w:widowControl w:val="0"/>
        <w:numPr>
          <w:ilvl w:val="0"/>
          <w:numId w:val="0"/>
        </w:numPr>
        <w:kinsoku/>
        <w:wordWrap/>
        <w:overflowPunct/>
        <w:topLinePunct w:val="0"/>
        <w:bidi w:val="0"/>
        <w:snapToGrid w:val="0"/>
        <w:spacing w:line="400" w:lineRule="exact"/>
        <w:ind w:left="1080" w:leftChars="0"/>
        <w:textAlignment w:val="auto"/>
        <w:rPr>
          <w:sz w:val="24"/>
        </w:rPr>
      </w:pPr>
      <w:r>
        <w:rPr>
          <w:rFonts w:hint="eastAsia"/>
          <w:sz w:val="24"/>
          <w:lang w:val="en-US" w:eastAsia="zh-CN"/>
        </w:rPr>
        <w:t>26.1.2</w:t>
      </w:r>
      <w:r>
        <w:rPr>
          <w:sz w:val="24"/>
        </w:rPr>
        <w:t>采购人或采购代理机构对供应商依法提出的询问，在3个工作日内作出答复，但答复的内容不得涉及商业秘密。</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26.2</w:t>
      </w:r>
      <w:r>
        <w:rPr>
          <w:sz w:val="24"/>
        </w:rPr>
        <w:t>质疑</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firstLine="480" w:firstLineChars="200"/>
        <w:textAlignment w:val="auto"/>
        <w:rPr>
          <w:rFonts w:hint="eastAsia"/>
          <w:sz w:val="24"/>
          <w:lang w:val="en-US" w:eastAsia="zh-CN"/>
        </w:rPr>
      </w:pPr>
      <w:r>
        <w:rPr>
          <w:rFonts w:hint="eastAsia"/>
          <w:sz w:val="24"/>
          <w:lang w:val="en-US" w:eastAsia="zh-CN"/>
        </w:rPr>
        <w:t>26.2.1 投标人认为采购文件、采购过程、中标结果使自己的权益受到损害的，</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9" w:leftChars="528" w:firstLine="0" w:firstLineChars="0"/>
        <w:textAlignment w:val="auto"/>
        <w:rPr>
          <w:rFonts w:hint="eastAsia"/>
          <w:sz w:val="24"/>
          <w:lang w:val="en-US" w:eastAsia="zh-CN"/>
        </w:rPr>
      </w:pPr>
      <w:r>
        <w:rPr>
          <w:rFonts w:hint="eastAsia"/>
          <w:sz w:val="24"/>
          <w:lang w:val="en-US" w:eastAsia="zh-CN"/>
        </w:rPr>
        <w:t>可以在知道或者应知其权益受到损害之日起 7 个工作日内，以书面形式向采购人、采购代理机构提出质疑。采购人、采购代理机构在收到质疑函后 7 个工作日内作出答复。</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9" w:leftChars="528" w:firstLine="0" w:firstLineChars="0"/>
        <w:textAlignment w:val="auto"/>
        <w:rPr>
          <w:rFonts w:hint="eastAsia"/>
          <w:sz w:val="24"/>
          <w:lang w:val="en-US" w:eastAsia="zh-CN"/>
        </w:rPr>
      </w:pPr>
      <w:r>
        <w:rPr>
          <w:rFonts w:hint="eastAsia"/>
          <w:sz w:val="24"/>
          <w:lang w:val="en-US" w:eastAsia="zh-CN"/>
        </w:rPr>
        <w:t>26.2.2 质疑函须使用财政部制定的范本文件(详见26.2.6）。投标人为自然人的，质疑函应当由本人签字；投标人为法人或者其他组织的，质疑函应当由法定代表人、主要负责人，或者其授权代表签字或者盖章，并加盖公章。</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firstLine="480" w:firstLineChars="200"/>
        <w:textAlignment w:val="auto"/>
        <w:rPr>
          <w:rFonts w:hint="eastAsia"/>
          <w:sz w:val="24"/>
          <w:lang w:val="en-US" w:eastAsia="zh-CN"/>
        </w:rPr>
      </w:pPr>
      <w:r>
        <w:rPr>
          <w:rFonts w:hint="eastAsia"/>
          <w:sz w:val="24"/>
          <w:lang w:val="en-US" w:eastAsia="zh-CN"/>
        </w:rPr>
        <w:t>26.2.3 投标人委托代理人进行质疑的，应当随质疑函同时提交投标人签署的</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9" w:leftChars="528" w:firstLine="0" w:firstLineChars="0"/>
        <w:textAlignment w:val="auto"/>
        <w:rPr>
          <w:rFonts w:hint="eastAsia"/>
          <w:sz w:val="24"/>
          <w:lang w:val="en-US" w:eastAsia="zh-CN"/>
        </w:rPr>
      </w:pPr>
      <w:r>
        <w:rPr>
          <w:rFonts w:hint="eastAsia"/>
          <w:sz w:val="24"/>
          <w:lang w:val="en-US" w:eastAsia="zh-CN"/>
        </w:rPr>
        <w:t>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1109" w:leftChars="528" w:firstLine="0" w:firstLineChars="0"/>
        <w:textAlignment w:val="auto"/>
        <w:rPr>
          <w:rFonts w:hint="eastAsia"/>
          <w:sz w:val="24"/>
        </w:rPr>
      </w:pPr>
      <w:r>
        <w:rPr>
          <w:rFonts w:hint="eastAsia"/>
          <w:sz w:val="24"/>
          <w:lang w:val="en-US" w:eastAsia="zh-CN"/>
        </w:rPr>
        <w:t>26.2.4 投标人应在法定质疑期内一次性提出针对同一采购程序环节的质疑，法定质疑期内针对同一采购程序环节再次提出的质疑，采购人、采购代理机构有权不予答复。</w:t>
      </w:r>
      <w:r>
        <w:rPr>
          <w:sz w:val="24"/>
        </w:rPr>
        <w:t>接收询问和质疑的联系部门、联系电话和通讯地址见《投标人须知资料表》</w:t>
      </w:r>
      <w:r>
        <w:rPr>
          <w:rFonts w:hint="eastAsia"/>
          <w:sz w:val="24"/>
        </w:rPr>
        <w:t>。</w:t>
      </w:r>
    </w:p>
    <w:p>
      <w:pPr>
        <w:keepNext w:val="0"/>
        <w:keepLines w:val="0"/>
        <w:pageBreakBefore w:val="0"/>
        <w:widowControl w:val="0"/>
        <w:numPr>
          <w:ilvl w:val="0"/>
          <w:numId w:val="0"/>
        </w:numPr>
        <w:tabs>
          <w:tab w:val="left" w:pos="1080"/>
          <w:tab w:val="left" w:pos="2014"/>
        </w:tabs>
        <w:kinsoku/>
        <w:wordWrap/>
        <w:overflowPunct/>
        <w:topLinePunct w:val="0"/>
        <w:autoSpaceDE/>
        <w:autoSpaceDN/>
        <w:bidi w:val="0"/>
        <w:adjustRightInd/>
        <w:snapToGrid w:val="0"/>
        <w:spacing w:line="400" w:lineRule="exact"/>
        <w:ind w:left="1109" w:leftChars="528" w:firstLine="0" w:firstLineChars="0"/>
        <w:textAlignment w:val="auto"/>
        <w:rPr>
          <w:rFonts w:hint="eastAsia"/>
          <w:sz w:val="24"/>
          <w:lang w:val="en-US" w:eastAsia="zh-CN"/>
        </w:rPr>
      </w:pPr>
      <w:r>
        <w:rPr>
          <w:rFonts w:hint="eastAsia"/>
          <w:sz w:val="24"/>
          <w:lang w:val="en-US" w:eastAsia="zh-CN"/>
        </w:rPr>
        <w:t>26.2.5质疑供应商若对项目的某一分包进行质疑，质疑函中应列明具体分包号。质疑函的质疑请求应与质疑事项相关。</w:t>
      </w:r>
    </w:p>
    <w:p>
      <w:pPr>
        <w:pStyle w:val="2"/>
        <w:ind w:firstLine="960" w:firstLineChars="400"/>
        <w:rPr>
          <w:rFonts w:hint="eastAsia"/>
          <w:sz w:val="24"/>
          <w:lang w:val="en-US" w:eastAsia="zh-CN"/>
        </w:rPr>
      </w:pPr>
      <w:r>
        <w:rPr>
          <w:rFonts w:hint="eastAsia"/>
          <w:sz w:val="24"/>
          <w:lang w:val="en-US" w:eastAsia="zh-CN"/>
        </w:rPr>
        <w:t xml:space="preserve">26.2.6质疑函范本  </w:t>
      </w:r>
    </w:p>
    <w:p>
      <w:pPr>
        <w:keepNext w:val="0"/>
        <w:keepLines w:val="0"/>
        <w:pageBreakBefore w:val="0"/>
        <w:widowControl w:val="0"/>
        <w:kinsoku/>
        <w:wordWrap/>
        <w:overflowPunct/>
        <w:topLinePunct w:val="0"/>
        <w:autoSpaceDE/>
        <w:autoSpaceDN/>
        <w:bidi w:val="0"/>
        <w:adjustRightInd w:val="0"/>
        <w:snapToGrid w:val="0"/>
        <w:spacing w:beforeLines="100" w:line="400" w:lineRule="exact"/>
        <w:ind w:firstLine="960" w:firstLineChars="400"/>
        <w:textAlignment w:val="auto"/>
        <w:rPr>
          <w:rFonts w:ascii="黑体" w:hAnsi="黑体" w:eastAsia="黑体" w:cs="仿宋"/>
          <w:bCs/>
          <w:sz w:val="24"/>
          <w:szCs w:val="24"/>
        </w:rPr>
      </w:pPr>
      <w:r>
        <w:rPr>
          <w:rFonts w:hint="eastAsia" w:ascii="黑体" w:hAnsi="黑体" w:eastAsia="黑体" w:cs="仿宋"/>
          <w:bCs/>
          <w:sz w:val="24"/>
          <w:szCs w:val="24"/>
        </w:rPr>
        <w:t>一、质疑供应商基本信息</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黑体" w:hAnsi="黑体" w:eastAsia="黑体" w:cs="仿宋"/>
          <w:bCs/>
          <w:sz w:val="24"/>
          <w:szCs w:val="24"/>
        </w:rPr>
      </w:pPr>
      <w:r>
        <w:rPr>
          <w:rFonts w:hint="eastAsia" w:ascii="黑体" w:hAnsi="黑体" w:eastAsia="黑体" w:cs="仿宋"/>
          <w:bCs/>
          <w:sz w:val="24"/>
          <w:szCs w:val="24"/>
        </w:rPr>
        <w:t>二、质疑项目基本情况</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黑体" w:hAnsi="黑体" w:eastAsia="黑体" w:cs="仿宋"/>
          <w:bCs/>
          <w:sz w:val="24"/>
          <w:szCs w:val="24"/>
        </w:rPr>
      </w:pPr>
      <w:r>
        <w:rPr>
          <w:rFonts w:hint="eastAsia" w:ascii="黑体" w:hAnsi="黑体" w:eastAsia="黑体" w:cs="仿宋"/>
          <w:bCs/>
          <w:sz w:val="24"/>
          <w:szCs w:val="24"/>
        </w:rPr>
        <w:t>三、质疑事项具体内容</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u w:val="dotted"/>
        </w:rPr>
      </w:pPr>
      <w:r>
        <w:rPr>
          <w:rFonts w:hint="eastAsia" w:ascii="仿宋" w:hAnsi="仿宋" w:eastAsia="仿宋" w:cs="仿宋"/>
          <w:sz w:val="24"/>
          <w:szCs w:val="24"/>
        </w:rPr>
        <w:t>质疑事项2</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rPr>
      </w:pP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ind w:firstLine="720" w:firstLineChars="300"/>
        <w:rPr>
          <w:rFonts w:ascii="仿宋_GB2312" w:eastAsia="仿宋_GB2312"/>
          <w:sz w:val="24"/>
          <w:szCs w:val="24"/>
        </w:rPr>
      </w:pPr>
      <w:r>
        <w:rPr>
          <w:rFonts w:hint="eastAsia" w:ascii="仿宋_GB2312" w:eastAsia="仿宋_GB2312"/>
          <w:sz w:val="24"/>
          <w:szCs w:val="24"/>
        </w:rPr>
        <w:t xml:space="preserve">签字(签章)：                   公章：                      </w:t>
      </w:r>
    </w:p>
    <w:p>
      <w:pPr>
        <w:ind w:firstLine="720" w:firstLineChars="300"/>
        <w:rPr>
          <w:rFonts w:hint="eastAsia"/>
          <w:sz w:val="24"/>
          <w:lang w:val="en-US" w:eastAsia="zh-CN"/>
        </w:rPr>
      </w:pPr>
      <w:r>
        <w:rPr>
          <w:rFonts w:hint="eastAsia" w:ascii="仿宋_GB2312" w:eastAsia="仿宋_GB2312"/>
          <w:sz w:val="24"/>
          <w:szCs w:val="24"/>
        </w:rPr>
        <w:t xml:space="preserve">日期：  </w:t>
      </w:r>
    </w:p>
    <w:p>
      <w:pPr>
        <w:pStyle w:val="2"/>
        <w:ind w:firstLine="1200" w:firstLineChars="500"/>
        <w:rPr>
          <w:rFonts w:hint="eastAsia"/>
          <w:sz w:val="24"/>
          <w:lang w:val="en-US" w:eastAsia="zh-CN"/>
        </w:rPr>
      </w:pPr>
    </w:p>
    <w:p>
      <w:pPr>
        <w:pageBreakBefore w:val="0"/>
        <w:widowControl w:val="0"/>
        <w:numPr>
          <w:ilvl w:val="0"/>
          <w:numId w:val="0"/>
        </w:numPr>
        <w:tabs>
          <w:tab w:val="left" w:pos="360"/>
        </w:tabs>
        <w:kinsoku/>
        <w:wordWrap/>
        <w:overflowPunct/>
        <w:topLinePunct w:val="0"/>
        <w:bidi w:val="0"/>
        <w:snapToGrid w:val="0"/>
        <w:spacing w:line="400" w:lineRule="exact"/>
        <w:ind w:leftChars="0"/>
        <w:textAlignment w:val="auto"/>
        <w:outlineLvl w:val="1"/>
        <w:rPr>
          <w:sz w:val="24"/>
        </w:rPr>
      </w:pPr>
      <w:r>
        <w:rPr>
          <w:rFonts w:hint="eastAsia"/>
          <w:sz w:val="24"/>
          <w:lang w:val="en-US" w:eastAsia="zh-CN"/>
        </w:rPr>
        <w:t xml:space="preserve">27   </w:t>
      </w:r>
      <w:r>
        <w:rPr>
          <w:sz w:val="24"/>
        </w:rPr>
        <w:t>代理费</w:t>
      </w:r>
    </w:p>
    <w:p>
      <w:pPr>
        <w:pageBreakBefore w:val="0"/>
        <w:widowControl w:val="0"/>
        <w:numPr>
          <w:ilvl w:val="0"/>
          <w:numId w:val="0"/>
        </w:numPr>
        <w:tabs>
          <w:tab w:val="left" w:pos="1080"/>
          <w:tab w:val="left" w:pos="2014"/>
        </w:tabs>
        <w:kinsoku/>
        <w:wordWrap/>
        <w:overflowPunct/>
        <w:topLinePunct w:val="0"/>
        <w:bidi w:val="0"/>
        <w:snapToGrid w:val="0"/>
        <w:spacing w:line="400" w:lineRule="exact"/>
        <w:ind w:left="630" w:leftChars="0"/>
        <w:textAlignment w:val="auto"/>
        <w:rPr>
          <w:sz w:val="24"/>
        </w:rPr>
      </w:pPr>
      <w:r>
        <w:rPr>
          <w:rFonts w:hint="eastAsia"/>
          <w:sz w:val="24"/>
          <w:lang w:val="en-US" w:eastAsia="zh-CN"/>
        </w:rPr>
        <w:t>27.1</w:t>
      </w:r>
      <w:r>
        <w:rPr>
          <w:rFonts w:hint="eastAsia"/>
          <w:sz w:val="24"/>
          <w:lang w:eastAsia="zh-CN"/>
        </w:rPr>
        <w:t>集中采购机构不收取项目代理费</w:t>
      </w:r>
      <w:r>
        <w:rPr>
          <w:sz w:val="24"/>
        </w:rPr>
        <w:t>。</w:t>
      </w:r>
    </w:p>
    <w:p>
      <w:pPr>
        <w:tabs>
          <w:tab w:val="left" w:pos="900"/>
          <w:tab w:val="left" w:pos="1080"/>
          <w:tab w:val="left" w:pos="1589"/>
        </w:tabs>
        <w:snapToGrid w:val="0"/>
        <w:spacing w:line="360" w:lineRule="auto"/>
        <w:rPr>
          <w:sz w:val="24"/>
        </w:rPr>
      </w:pP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707" w:name="_Toc150774759"/>
      <w:bookmarkStart w:id="708" w:name="_Toc353873664"/>
      <w:bookmarkStart w:id="709" w:name="_Toc226965827"/>
      <w:bookmarkStart w:id="710" w:name="_Toc142311056"/>
      <w:bookmarkStart w:id="711" w:name="_Toc353825544"/>
      <w:bookmarkStart w:id="712" w:name="_Toc265228392"/>
      <w:bookmarkStart w:id="713" w:name="_Toc226337250"/>
      <w:bookmarkStart w:id="714" w:name="_Toc353873934"/>
      <w:bookmarkStart w:id="715" w:name="_Toc264969244"/>
      <w:bookmarkStart w:id="716" w:name="_Toc305158896"/>
      <w:bookmarkStart w:id="717" w:name="_Toc305158822"/>
      <w:bookmarkStart w:id="718" w:name="_Toc127151554"/>
      <w:bookmarkStart w:id="719" w:name="_Toc150480792"/>
      <w:r>
        <w:rPr>
          <w:sz w:val="24"/>
        </w:rPr>
        <w:br w:type="page"/>
      </w:r>
      <w:bookmarkStart w:id="720" w:name="_Toc99301421"/>
      <w:r>
        <w:rPr>
          <w:b/>
          <w:sz w:val="36"/>
          <w:szCs w:val="36"/>
        </w:rPr>
        <w:t xml:space="preserve">第三章   </w:t>
      </w:r>
      <w:bookmarkEnd w:id="707"/>
      <w:bookmarkEnd w:id="708"/>
      <w:bookmarkEnd w:id="709"/>
      <w:bookmarkEnd w:id="710"/>
      <w:bookmarkEnd w:id="711"/>
      <w:bookmarkEnd w:id="712"/>
      <w:bookmarkEnd w:id="713"/>
      <w:bookmarkEnd w:id="714"/>
      <w:bookmarkEnd w:id="715"/>
      <w:bookmarkEnd w:id="716"/>
      <w:bookmarkEnd w:id="717"/>
      <w:bookmarkEnd w:id="718"/>
      <w:bookmarkEnd w:id="719"/>
      <w:r>
        <w:rPr>
          <w:b/>
          <w:sz w:val="36"/>
          <w:szCs w:val="36"/>
        </w:rPr>
        <w:t>资格审查</w:t>
      </w:r>
      <w:bookmarkEnd w:id="720"/>
      <w:bookmarkStart w:id="721" w:name="_Toc487900382"/>
    </w:p>
    <w:p>
      <w:pPr>
        <w:tabs>
          <w:tab w:val="left" w:pos="360"/>
          <w:tab w:val="left" w:pos="900"/>
        </w:tabs>
        <w:snapToGrid w:val="0"/>
        <w:spacing w:line="360" w:lineRule="auto"/>
        <w:jc w:val="center"/>
        <w:outlineLvl w:val="1"/>
        <w:rPr>
          <w:b/>
          <w:sz w:val="24"/>
        </w:rPr>
      </w:pPr>
      <w:bookmarkStart w:id="722" w:name="_Toc99301422"/>
      <w:r>
        <w:rPr>
          <w:b/>
          <w:sz w:val="24"/>
        </w:rPr>
        <w:t>一、资格审查程序</w:t>
      </w:r>
      <w:bookmarkEnd w:id="722"/>
    </w:p>
    <w:p>
      <w:pPr>
        <w:numPr>
          <w:ilvl w:val="0"/>
          <w:numId w:val="7"/>
        </w:numPr>
        <w:tabs>
          <w:tab w:val="left" w:pos="426"/>
          <w:tab w:val="left" w:pos="851"/>
          <w:tab w:val="clear" w:pos="900"/>
        </w:tabs>
        <w:snapToGrid w:val="0"/>
        <w:spacing w:line="360" w:lineRule="auto"/>
        <w:ind w:left="426" w:hanging="426"/>
        <w:outlineLvl w:val="1"/>
        <w:rPr>
          <w:sz w:val="24"/>
        </w:rPr>
      </w:pPr>
      <w:r>
        <w:rPr>
          <w:sz w:val="24"/>
        </w:rPr>
        <w:t>开标结束后，</w:t>
      </w:r>
      <w:r>
        <w:rPr>
          <w:sz w:val="24"/>
          <w:highlight w:val="none"/>
        </w:rPr>
        <w:t>采购人或采购代理机构</w:t>
      </w:r>
      <w:r>
        <w:rPr>
          <w:sz w:val="24"/>
        </w:rPr>
        <w:t>将根据《资格审查要求》中的规定，对投标人进行资格审查，并形成资格审查结果。</w:t>
      </w:r>
    </w:p>
    <w:p>
      <w:pPr>
        <w:numPr>
          <w:ilvl w:val="0"/>
          <w:numId w:val="7"/>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7"/>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7"/>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p>
    <w:p>
      <w:pPr>
        <w:tabs>
          <w:tab w:val="left" w:pos="360"/>
          <w:tab w:val="left" w:pos="900"/>
        </w:tabs>
        <w:snapToGrid w:val="0"/>
        <w:spacing w:line="360" w:lineRule="auto"/>
        <w:jc w:val="center"/>
        <w:outlineLvl w:val="1"/>
        <w:rPr>
          <w:b/>
          <w:sz w:val="24"/>
        </w:rPr>
      </w:pPr>
      <w:r>
        <w:rPr>
          <w:b/>
          <w:sz w:val="24"/>
        </w:rPr>
        <w:t>二、资格审查要求</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1982"/>
        <w:gridCol w:w="4823"/>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noWrap w:val="0"/>
            <w:vAlign w:val="center"/>
          </w:tcPr>
          <w:p>
            <w:pPr>
              <w:tabs>
                <w:tab w:val="left" w:pos="1080"/>
              </w:tabs>
              <w:snapToGrid w:val="0"/>
              <w:jc w:val="center"/>
              <w:rPr>
                <w:b/>
                <w:sz w:val="24"/>
              </w:rPr>
            </w:pPr>
            <w:bookmarkStart w:id="723" w:name="_Hlt487972895"/>
            <w:bookmarkEnd w:id="723"/>
            <w:r>
              <w:rPr>
                <w:b/>
                <w:sz w:val="24"/>
              </w:rPr>
              <w:t>序号</w:t>
            </w:r>
          </w:p>
        </w:tc>
        <w:tc>
          <w:tcPr>
            <w:tcW w:w="1066" w:type="pct"/>
            <w:noWrap w:val="0"/>
            <w:vAlign w:val="center"/>
          </w:tcPr>
          <w:p>
            <w:pPr>
              <w:tabs>
                <w:tab w:val="left" w:pos="1080"/>
              </w:tabs>
              <w:snapToGrid w:val="0"/>
              <w:jc w:val="center"/>
              <w:rPr>
                <w:b/>
                <w:sz w:val="24"/>
              </w:rPr>
            </w:pPr>
            <w:r>
              <w:rPr>
                <w:b/>
                <w:sz w:val="24"/>
              </w:rPr>
              <w:t>审查因素</w:t>
            </w:r>
          </w:p>
        </w:tc>
        <w:tc>
          <w:tcPr>
            <w:tcW w:w="2595" w:type="pct"/>
            <w:noWrap w:val="0"/>
            <w:vAlign w:val="center"/>
          </w:tcPr>
          <w:p>
            <w:pPr>
              <w:tabs>
                <w:tab w:val="left" w:pos="1080"/>
              </w:tabs>
              <w:snapToGrid w:val="0"/>
              <w:jc w:val="center"/>
              <w:rPr>
                <w:b/>
                <w:sz w:val="24"/>
              </w:rPr>
            </w:pPr>
            <w:r>
              <w:rPr>
                <w:b/>
                <w:sz w:val="24"/>
              </w:rPr>
              <w:t>审查内容</w:t>
            </w:r>
          </w:p>
        </w:tc>
        <w:tc>
          <w:tcPr>
            <w:tcW w:w="882" w:type="pct"/>
            <w:noWrap w:val="0"/>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1</w:t>
            </w:r>
          </w:p>
        </w:tc>
        <w:tc>
          <w:tcPr>
            <w:tcW w:w="1066" w:type="pct"/>
            <w:noWrap w:val="0"/>
            <w:vAlign w:val="center"/>
          </w:tcPr>
          <w:p>
            <w:pPr>
              <w:tabs>
                <w:tab w:val="left" w:pos="1080"/>
              </w:tabs>
              <w:snapToGrid w:val="0"/>
              <w:rPr>
                <w:sz w:val="24"/>
              </w:rPr>
            </w:pPr>
            <w:r>
              <w:rPr>
                <w:sz w:val="24"/>
              </w:rPr>
              <w:t>满足《中华人民共和国政府采购法》第二十二条规定及法律法规的其他规定</w:t>
            </w:r>
          </w:p>
        </w:tc>
        <w:tc>
          <w:tcPr>
            <w:tcW w:w="2595" w:type="pct"/>
            <w:noWrap w:val="0"/>
            <w:vAlign w:val="center"/>
          </w:tcPr>
          <w:p>
            <w:pPr>
              <w:tabs>
                <w:tab w:val="left" w:pos="1080"/>
              </w:tabs>
              <w:snapToGrid w:val="0"/>
              <w:rPr>
                <w:sz w:val="24"/>
              </w:rPr>
            </w:pPr>
            <w:r>
              <w:rPr>
                <w:sz w:val="24"/>
              </w:rPr>
              <w:t>具体规定见第一章《投标邀请》</w:t>
            </w:r>
          </w:p>
        </w:tc>
        <w:tc>
          <w:tcPr>
            <w:tcW w:w="882" w:type="pct"/>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1-1</w:t>
            </w:r>
          </w:p>
        </w:tc>
        <w:tc>
          <w:tcPr>
            <w:tcW w:w="1066" w:type="pct"/>
            <w:noWrap w:val="0"/>
            <w:vAlign w:val="center"/>
          </w:tcPr>
          <w:p>
            <w:pPr>
              <w:tabs>
                <w:tab w:val="left" w:pos="1080"/>
              </w:tabs>
              <w:snapToGrid w:val="0"/>
              <w:rPr>
                <w:sz w:val="24"/>
              </w:rPr>
            </w:pPr>
            <w:r>
              <w:rPr>
                <w:sz w:val="24"/>
              </w:rPr>
              <w:t>营业执照等证明文件</w:t>
            </w:r>
          </w:p>
        </w:tc>
        <w:tc>
          <w:tcPr>
            <w:tcW w:w="2595" w:type="pct"/>
            <w:noWrap w:val="0"/>
            <w:vAlign w:val="center"/>
          </w:tcPr>
          <w:p>
            <w:pPr>
              <w:tabs>
                <w:tab w:val="left" w:pos="1080"/>
              </w:tabs>
              <w:snapToGrid w:val="0"/>
              <w:rPr>
                <w:rFonts w:hint="eastAsia"/>
                <w:sz w:val="24"/>
              </w:rPr>
            </w:pPr>
            <w:r>
              <w:rPr>
                <w:rFonts w:hint="eastAsia"/>
                <w:sz w:val="24"/>
              </w:rPr>
              <w:t>投标人为企业（包括合伙企业）的，应提供</w:t>
            </w:r>
          </w:p>
          <w:p>
            <w:pPr>
              <w:tabs>
                <w:tab w:val="left" w:pos="1080"/>
              </w:tabs>
              <w:snapToGrid w:val="0"/>
              <w:rPr>
                <w:rFonts w:hint="eastAsia"/>
                <w:sz w:val="24"/>
              </w:rPr>
            </w:pPr>
            <w:r>
              <w:rPr>
                <w:rFonts w:hint="eastAsia"/>
                <w:sz w:val="24"/>
              </w:rPr>
              <w:t>有效的“营业执照”；</w:t>
            </w:r>
          </w:p>
          <w:p>
            <w:pPr>
              <w:tabs>
                <w:tab w:val="left" w:pos="1080"/>
              </w:tabs>
              <w:snapToGrid w:val="0"/>
              <w:rPr>
                <w:rFonts w:hint="eastAsia"/>
                <w:sz w:val="24"/>
              </w:rPr>
            </w:pPr>
            <w:r>
              <w:rPr>
                <w:rFonts w:hint="eastAsia"/>
                <w:sz w:val="24"/>
              </w:rPr>
              <w:t>投标人为事业单位的，应提供有效的“事业单位法人证书”；</w:t>
            </w:r>
          </w:p>
          <w:p>
            <w:pPr>
              <w:tabs>
                <w:tab w:val="left" w:pos="1080"/>
              </w:tabs>
              <w:snapToGrid w:val="0"/>
              <w:rPr>
                <w:rFonts w:hint="eastAsia"/>
                <w:sz w:val="24"/>
              </w:rPr>
            </w:pPr>
            <w:r>
              <w:rPr>
                <w:rFonts w:hint="eastAsia"/>
                <w:sz w:val="24"/>
              </w:rPr>
              <w:t>投标人是非企业机构的，应提供有效的“执业许可证”、“登记证书”等证明文件；</w:t>
            </w:r>
          </w:p>
          <w:p>
            <w:pPr>
              <w:tabs>
                <w:tab w:val="left" w:pos="1080"/>
              </w:tabs>
              <w:snapToGrid w:val="0"/>
              <w:rPr>
                <w:rFonts w:hint="eastAsia"/>
                <w:sz w:val="24"/>
              </w:rPr>
            </w:pPr>
            <w:r>
              <w:rPr>
                <w:rFonts w:hint="eastAsia"/>
                <w:sz w:val="24"/>
              </w:rPr>
              <w:t>投标人是个体工商户的，应提供有效的“个体工商户营业执照”；</w:t>
            </w:r>
          </w:p>
          <w:p>
            <w:pPr>
              <w:tabs>
                <w:tab w:val="left" w:pos="1080"/>
              </w:tabs>
              <w:snapToGrid w:val="0"/>
              <w:rPr>
                <w:rFonts w:hint="eastAsia"/>
                <w:sz w:val="24"/>
              </w:rPr>
            </w:pPr>
            <w:r>
              <w:rPr>
                <w:rFonts w:hint="eastAsia"/>
                <w:sz w:val="24"/>
              </w:rPr>
              <w:t>投标人是自然人的，应提供有效的自然人身</w:t>
            </w:r>
          </w:p>
          <w:p>
            <w:pPr>
              <w:tabs>
                <w:tab w:val="left" w:pos="1080"/>
              </w:tabs>
              <w:snapToGrid w:val="0"/>
              <w:rPr>
                <w:rFonts w:hint="eastAsia"/>
                <w:sz w:val="24"/>
              </w:rPr>
            </w:pPr>
            <w:r>
              <w:rPr>
                <w:rFonts w:hint="eastAsia"/>
                <w:sz w:val="24"/>
              </w:rPr>
              <w:t>份证明。</w:t>
            </w:r>
          </w:p>
          <w:p>
            <w:pPr>
              <w:tabs>
                <w:tab w:val="left" w:pos="1080"/>
              </w:tabs>
              <w:snapToGrid w:val="0"/>
              <w:rPr>
                <w:rFonts w:hint="eastAsia"/>
                <w:sz w:val="24"/>
              </w:rPr>
            </w:pPr>
            <w:r>
              <w:rPr>
                <w:rFonts w:hint="eastAsia"/>
                <w:sz w:val="24"/>
              </w:rPr>
              <w:t>分支机构参加投标的，应提供该分支机构或</w:t>
            </w:r>
          </w:p>
          <w:p>
            <w:pPr>
              <w:tabs>
                <w:tab w:val="left" w:pos="1080"/>
              </w:tabs>
              <w:snapToGrid w:val="0"/>
              <w:rPr>
                <w:rFonts w:hint="eastAsia"/>
                <w:sz w:val="24"/>
              </w:rPr>
            </w:pPr>
            <w:r>
              <w:rPr>
                <w:rFonts w:hint="eastAsia"/>
                <w:sz w:val="24"/>
              </w:rPr>
              <w:t>其所属法人/其他组织的相应证明文件；同时</w:t>
            </w:r>
          </w:p>
          <w:p>
            <w:pPr>
              <w:tabs>
                <w:tab w:val="left" w:pos="1080"/>
              </w:tabs>
              <w:snapToGrid w:val="0"/>
              <w:rPr>
                <w:rFonts w:hint="eastAsia"/>
                <w:sz w:val="24"/>
              </w:rPr>
            </w:pPr>
            <w:r>
              <w:rPr>
                <w:rFonts w:hint="eastAsia"/>
                <w:sz w:val="24"/>
              </w:rPr>
              <w:t>还应提供其所属法人/其他组织出具的授权</w:t>
            </w:r>
          </w:p>
          <w:p>
            <w:pPr>
              <w:tabs>
                <w:tab w:val="left" w:pos="1080"/>
              </w:tabs>
              <w:snapToGrid w:val="0"/>
              <w:rPr>
                <w:rFonts w:hint="eastAsia"/>
                <w:sz w:val="24"/>
              </w:rPr>
            </w:pPr>
            <w:r>
              <w:rPr>
                <w:rFonts w:hint="eastAsia"/>
                <w:sz w:val="24"/>
              </w:rPr>
              <w:t>其参与本项目的授权书（格式自拟，须加盖</w:t>
            </w:r>
          </w:p>
          <w:p>
            <w:pPr>
              <w:tabs>
                <w:tab w:val="left" w:pos="1080"/>
              </w:tabs>
              <w:snapToGrid w:val="0"/>
              <w:rPr>
                <w:rFonts w:hint="eastAsia"/>
                <w:sz w:val="24"/>
              </w:rPr>
            </w:pPr>
            <w:r>
              <w:rPr>
                <w:rFonts w:hint="eastAsia"/>
                <w:sz w:val="24"/>
              </w:rPr>
              <w:t>其所属法人/其他组织的公章）；对于银行、</w:t>
            </w:r>
          </w:p>
          <w:p>
            <w:pPr>
              <w:tabs>
                <w:tab w:val="left" w:pos="1080"/>
              </w:tabs>
              <w:snapToGrid w:val="0"/>
              <w:rPr>
                <w:rFonts w:hint="eastAsia"/>
                <w:sz w:val="24"/>
              </w:rPr>
            </w:pPr>
            <w:r>
              <w:rPr>
                <w:rFonts w:hint="eastAsia"/>
                <w:sz w:val="24"/>
              </w:rPr>
              <w:t>保险、石油石化、电力、电信等行业的分支</w:t>
            </w:r>
          </w:p>
          <w:p>
            <w:pPr>
              <w:tabs>
                <w:tab w:val="left" w:pos="1080"/>
              </w:tabs>
              <w:snapToGrid w:val="0"/>
              <w:rPr>
                <w:rFonts w:hint="eastAsia"/>
                <w:sz w:val="24"/>
              </w:rPr>
            </w:pPr>
            <w:r>
              <w:rPr>
                <w:rFonts w:hint="eastAsia"/>
                <w:sz w:val="24"/>
              </w:rPr>
              <w:t>机构，可以提供上述授权，也可以提供其所</w:t>
            </w:r>
          </w:p>
          <w:p>
            <w:pPr>
              <w:tabs>
                <w:tab w:val="left" w:pos="1080"/>
              </w:tabs>
              <w:snapToGrid w:val="0"/>
              <w:rPr>
                <w:rFonts w:hint="eastAsia"/>
                <w:sz w:val="24"/>
              </w:rPr>
            </w:pPr>
            <w:r>
              <w:rPr>
                <w:rFonts w:hint="eastAsia"/>
                <w:sz w:val="24"/>
              </w:rPr>
              <w:t>属法人/其他组织的有关文件或制度等能够</w:t>
            </w:r>
          </w:p>
          <w:p>
            <w:pPr>
              <w:tabs>
                <w:tab w:val="left" w:pos="1080"/>
              </w:tabs>
              <w:snapToGrid w:val="0"/>
              <w:rPr>
                <w:color w:val="000000"/>
                <w:sz w:val="24"/>
              </w:rPr>
            </w:pPr>
            <w:r>
              <w:rPr>
                <w:rFonts w:hint="eastAsia"/>
                <w:sz w:val="24"/>
              </w:rPr>
              <w:t>证明授权其独立开展业务的证明材料。</w:t>
            </w:r>
          </w:p>
        </w:tc>
        <w:tc>
          <w:tcPr>
            <w:tcW w:w="882" w:type="pct"/>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1-2</w:t>
            </w:r>
          </w:p>
        </w:tc>
        <w:tc>
          <w:tcPr>
            <w:tcW w:w="1066" w:type="pct"/>
            <w:noWrap w:val="0"/>
            <w:vAlign w:val="center"/>
          </w:tcPr>
          <w:p>
            <w:pPr>
              <w:tabs>
                <w:tab w:val="left" w:pos="1080"/>
              </w:tabs>
              <w:snapToGrid w:val="0"/>
              <w:rPr>
                <w:sz w:val="24"/>
              </w:rPr>
            </w:pPr>
            <w:r>
              <w:rPr>
                <w:sz w:val="24"/>
              </w:rPr>
              <w:t>投标人资格声明书</w:t>
            </w:r>
          </w:p>
        </w:tc>
        <w:tc>
          <w:tcPr>
            <w:tcW w:w="2595" w:type="pct"/>
            <w:noWrap w:val="0"/>
            <w:vAlign w:val="center"/>
          </w:tcPr>
          <w:p>
            <w:pPr>
              <w:tabs>
                <w:tab w:val="left" w:pos="1080"/>
              </w:tabs>
              <w:snapToGrid w:val="0"/>
              <w:rPr>
                <w:sz w:val="24"/>
              </w:rPr>
            </w:pPr>
            <w:r>
              <w:rPr>
                <w:sz w:val="24"/>
              </w:rPr>
              <w:t>提供了符合招标文件要求的《投标人资格声明书》。</w:t>
            </w:r>
          </w:p>
        </w:tc>
        <w:tc>
          <w:tcPr>
            <w:tcW w:w="882" w:type="pct"/>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rFonts w:hint="eastAsia"/>
                <w:sz w:val="24"/>
              </w:rPr>
              <w:t>1-</w:t>
            </w:r>
            <w:r>
              <w:rPr>
                <w:sz w:val="24"/>
              </w:rPr>
              <w:t>3</w:t>
            </w:r>
          </w:p>
        </w:tc>
        <w:tc>
          <w:tcPr>
            <w:tcW w:w="1066" w:type="pct"/>
            <w:noWrap w:val="0"/>
            <w:vAlign w:val="center"/>
          </w:tcPr>
          <w:p>
            <w:pPr>
              <w:tabs>
                <w:tab w:val="left" w:pos="1080"/>
              </w:tabs>
              <w:snapToGrid w:val="0"/>
              <w:rPr>
                <w:sz w:val="24"/>
              </w:rPr>
            </w:pPr>
            <w:r>
              <w:rPr>
                <w:sz w:val="24"/>
              </w:rPr>
              <w:t>投标人信用记录</w:t>
            </w:r>
          </w:p>
        </w:tc>
        <w:tc>
          <w:tcPr>
            <w:tcW w:w="2595" w:type="pct"/>
            <w:noWrap w:val="0"/>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noWrap w:val="0"/>
            <w:vAlign w:val="center"/>
          </w:tcPr>
          <w:p>
            <w:pPr>
              <w:tabs>
                <w:tab w:val="left" w:pos="1080"/>
              </w:tabs>
              <w:snapToGrid w:val="0"/>
              <w:rPr>
                <w:sz w:val="24"/>
              </w:rPr>
            </w:pPr>
            <w:r>
              <w:rPr>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rFonts w:hint="eastAsia" w:eastAsia="宋体"/>
                <w:sz w:val="24"/>
                <w:lang w:val="en-US" w:eastAsia="zh-CN"/>
              </w:rPr>
            </w:pPr>
            <w:r>
              <w:rPr>
                <w:rFonts w:hint="eastAsia"/>
                <w:sz w:val="24"/>
              </w:rPr>
              <w:t>1-</w:t>
            </w:r>
            <w:r>
              <w:rPr>
                <w:rFonts w:hint="eastAsia"/>
                <w:sz w:val="24"/>
                <w:lang w:val="en-US" w:eastAsia="zh-CN"/>
              </w:rPr>
              <w:t>4</w:t>
            </w:r>
          </w:p>
        </w:tc>
        <w:tc>
          <w:tcPr>
            <w:tcW w:w="1066" w:type="pct"/>
            <w:noWrap w:val="0"/>
            <w:vAlign w:val="center"/>
          </w:tcPr>
          <w:p>
            <w:pPr>
              <w:tabs>
                <w:tab w:val="left" w:pos="1080"/>
              </w:tabs>
              <w:snapToGrid w:val="0"/>
              <w:rPr>
                <w:rFonts w:hint="eastAsia"/>
                <w:sz w:val="24"/>
              </w:rPr>
            </w:pPr>
            <w:r>
              <w:rPr>
                <w:rFonts w:hint="eastAsia"/>
                <w:sz w:val="24"/>
              </w:rPr>
              <w:t>法律、行政法规</w:t>
            </w:r>
          </w:p>
          <w:p>
            <w:pPr>
              <w:tabs>
                <w:tab w:val="left" w:pos="1080"/>
              </w:tabs>
              <w:snapToGrid w:val="0"/>
              <w:rPr>
                <w:sz w:val="24"/>
              </w:rPr>
            </w:pPr>
            <w:r>
              <w:rPr>
                <w:rFonts w:hint="eastAsia"/>
                <w:sz w:val="24"/>
              </w:rPr>
              <w:t>规定的其他条件</w:t>
            </w:r>
          </w:p>
        </w:tc>
        <w:tc>
          <w:tcPr>
            <w:tcW w:w="2595" w:type="pct"/>
            <w:noWrap w:val="0"/>
            <w:vAlign w:val="center"/>
          </w:tcPr>
          <w:p>
            <w:pPr>
              <w:tabs>
                <w:tab w:val="left" w:pos="1080"/>
              </w:tabs>
              <w:snapToGrid w:val="0"/>
              <w:rPr>
                <w:sz w:val="24"/>
              </w:rPr>
            </w:pPr>
            <w:r>
              <w:rPr>
                <w:rFonts w:hint="eastAsia"/>
                <w:sz w:val="24"/>
              </w:rPr>
              <w:t>法律、行政法规规定的其他条件</w:t>
            </w:r>
          </w:p>
        </w:tc>
        <w:tc>
          <w:tcPr>
            <w:tcW w:w="882" w:type="pct"/>
            <w:noWrap w:val="0"/>
            <w:vAlign w:val="center"/>
          </w:tcPr>
          <w:p>
            <w:pPr>
              <w:tabs>
                <w:tab w:val="left" w:pos="1080"/>
              </w:tabs>
              <w:snapToGrid w:val="0"/>
              <w:jc w:val="center"/>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2</w:t>
            </w:r>
          </w:p>
        </w:tc>
        <w:tc>
          <w:tcPr>
            <w:tcW w:w="1066" w:type="pct"/>
            <w:noWrap w:val="0"/>
            <w:vAlign w:val="center"/>
          </w:tcPr>
          <w:p>
            <w:pPr>
              <w:tabs>
                <w:tab w:val="left" w:pos="1080"/>
              </w:tabs>
              <w:snapToGrid w:val="0"/>
              <w:rPr>
                <w:sz w:val="24"/>
              </w:rPr>
            </w:pPr>
            <w:r>
              <w:rPr>
                <w:sz w:val="24"/>
              </w:rPr>
              <w:t>落实政府采购政策需满足的资格要求</w:t>
            </w:r>
          </w:p>
        </w:tc>
        <w:tc>
          <w:tcPr>
            <w:tcW w:w="2595" w:type="pct"/>
            <w:noWrap w:val="0"/>
            <w:vAlign w:val="center"/>
          </w:tcPr>
          <w:p>
            <w:pPr>
              <w:tabs>
                <w:tab w:val="left" w:pos="1080"/>
              </w:tabs>
              <w:snapToGrid w:val="0"/>
              <w:rPr>
                <w:sz w:val="24"/>
              </w:rPr>
            </w:pPr>
            <w:r>
              <w:rPr>
                <w:sz w:val="24"/>
              </w:rPr>
              <w:t>具体要求见第一章《投标邀请》</w:t>
            </w:r>
          </w:p>
        </w:tc>
        <w:tc>
          <w:tcPr>
            <w:tcW w:w="882" w:type="pct"/>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rFonts w:hint="eastAsia"/>
                <w:sz w:val="24"/>
              </w:rPr>
              <w:t>2-1</w:t>
            </w:r>
          </w:p>
        </w:tc>
        <w:tc>
          <w:tcPr>
            <w:tcW w:w="1066" w:type="pct"/>
            <w:noWrap w:val="0"/>
            <w:vAlign w:val="center"/>
          </w:tcPr>
          <w:p>
            <w:pPr>
              <w:tabs>
                <w:tab w:val="left" w:pos="1080"/>
              </w:tabs>
              <w:snapToGrid w:val="0"/>
              <w:rPr>
                <w:sz w:val="24"/>
              </w:rPr>
            </w:pPr>
            <w:r>
              <w:rPr>
                <w:rFonts w:hint="eastAsia"/>
                <w:sz w:val="24"/>
              </w:rPr>
              <w:t xml:space="preserve">中小企业政策 </w:t>
            </w:r>
          </w:p>
        </w:tc>
        <w:tc>
          <w:tcPr>
            <w:tcW w:w="2595" w:type="pct"/>
            <w:noWrap w:val="0"/>
            <w:vAlign w:val="center"/>
          </w:tcPr>
          <w:p>
            <w:pPr>
              <w:tabs>
                <w:tab w:val="left" w:pos="1080"/>
              </w:tabs>
              <w:snapToGrid w:val="0"/>
              <w:rPr>
                <w:rFonts w:hint="eastAsia"/>
                <w:sz w:val="24"/>
              </w:rPr>
            </w:pPr>
            <w:r>
              <w:rPr>
                <w:rFonts w:hint="eastAsia"/>
                <w:sz w:val="24"/>
              </w:rPr>
              <w:t>具体要求见第一章《投标邀请》</w:t>
            </w:r>
          </w:p>
        </w:tc>
        <w:tc>
          <w:tcPr>
            <w:tcW w:w="882" w:type="pct"/>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rFonts w:hint="default" w:eastAsia="宋体"/>
                <w:sz w:val="24"/>
                <w:lang w:val="en-US" w:eastAsia="zh-CN"/>
              </w:rPr>
            </w:pPr>
            <w:r>
              <w:rPr>
                <w:sz w:val="24"/>
              </w:rPr>
              <w:t>2-1</w:t>
            </w:r>
            <w:r>
              <w:rPr>
                <w:rFonts w:hint="eastAsia"/>
                <w:sz w:val="24"/>
                <w:lang w:val="en-US" w:eastAsia="zh-CN"/>
              </w:rPr>
              <w:t>-1</w:t>
            </w:r>
          </w:p>
        </w:tc>
        <w:tc>
          <w:tcPr>
            <w:tcW w:w="1066" w:type="pct"/>
            <w:noWrap w:val="0"/>
            <w:vAlign w:val="center"/>
          </w:tcPr>
          <w:p>
            <w:pPr>
              <w:tabs>
                <w:tab w:val="left" w:pos="1080"/>
              </w:tabs>
              <w:snapToGrid w:val="0"/>
              <w:rPr>
                <w:rFonts w:hint="eastAsia"/>
                <w:sz w:val="24"/>
              </w:rPr>
            </w:pPr>
            <w:r>
              <w:rPr>
                <w:rFonts w:hint="eastAsia"/>
                <w:sz w:val="24"/>
              </w:rPr>
              <w:t>中小企业证明文</w:t>
            </w:r>
          </w:p>
          <w:p>
            <w:pPr>
              <w:tabs>
                <w:tab w:val="left" w:pos="1080"/>
              </w:tabs>
              <w:snapToGrid w:val="0"/>
              <w:rPr>
                <w:sz w:val="24"/>
              </w:rPr>
            </w:pPr>
            <w:r>
              <w:rPr>
                <w:rFonts w:hint="eastAsia"/>
                <w:sz w:val="24"/>
              </w:rPr>
              <w:t>件</w:t>
            </w:r>
          </w:p>
        </w:tc>
        <w:tc>
          <w:tcPr>
            <w:tcW w:w="2595" w:type="pct"/>
            <w:noWrap w:val="0"/>
            <w:vAlign w:val="center"/>
          </w:tcPr>
          <w:p>
            <w:pPr>
              <w:tabs>
                <w:tab w:val="left" w:pos="1080"/>
              </w:tabs>
              <w:snapToGrid w:val="0"/>
              <w:rPr>
                <w:rFonts w:hint="eastAsia"/>
                <w:sz w:val="24"/>
              </w:rPr>
            </w:pPr>
            <w:r>
              <w:rPr>
                <w:rFonts w:hint="eastAsia"/>
                <w:sz w:val="24"/>
              </w:rPr>
              <w:t>当本项目（包）涉及预留份额专门面向中小</w:t>
            </w:r>
          </w:p>
          <w:p>
            <w:pPr>
              <w:tabs>
                <w:tab w:val="left" w:pos="1080"/>
              </w:tabs>
              <w:snapToGrid w:val="0"/>
              <w:rPr>
                <w:rFonts w:hint="eastAsia"/>
                <w:sz w:val="24"/>
              </w:rPr>
            </w:pPr>
            <w:r>
              <w:rPr>
                <w:rFonts w:hint="eastAsia"/>
                <w:sz w:val="24"/>
              </w:rPr>
              <w:t>企业采购，此时建议在《资格证明文件》中</w:t>
            </w:r>
          </w:p>
          <w:p>
            <w:pPr>
              <w:tabs>
                <w:tab w:val="left" w:pos="1080"/>
              </w:tabs>
              <w:snapToGrid w:val="0"/>
              <w:rPr>
                <w:rFonts w:hint="eastAsia"/>
                <w:sz w:val="24"/>
              </w:rPr>
            </w:pPr>
            <w:r>
              <w:rPr>
                <w:rFonts w:hint="eastAsia"/>
                <w:sz w:val="24"/>
              </w:rPr>
              <w:t>提供。</w:t>
            </w:r>
          </w:p>
          <w:p>
            <w:pPr>
              <w:tabs>
                <w:tab w:val="left" w:pos="1080"/>
              </w:tabs>
              <w:snapToGrid w:val="0"/>
              <w:rPr>
                <w:rFonts w:hint="eastAsia"/>
                <w:sz w:val="24"/>
              </w:rPr>
            </w:pPr>
            <w:r>
              <w:rPr>
                <w:rFonts w:hint="eastAsia"/>
                <w:sz w:val="24"/>
              </w:rPr>
              <w:t>1、投标人单独投标的，应提供《中小企业声</w:t>
            </w:r>
          </w:p>
          <w:p>
            <w:pPr>
              <w:tabs>
                <w:tab w:val="left" w:pos="1080"/>
              </w:tabs>
              <w:snapToGrid w:val="0"/>
              <w:rPr>
                <w:rFonts w:hint="eastAsia"/>
                <w:sz w:val="24"/>
              </w:rPr>
            </w:pPr>
            <w:r>
              <w:rPr>
                <w:rFonts w:hint="eastAsia"/>
                <w:sz w:val="24"/>
              </w:rPr>
              <w:t>明函》或《残疾人福利性单位声明函》或由</w:t>
            </w:r>
          </w:p>
          <w:p>
            <w:pPr>
              <w:tabs>
                <w:tab w:val="left" w:pos="1080"/>
              </w:tabs>
              <w:snapToGrid w:val="0"/>
              <w:rPr>
                <w:rFonts w:hint="eastAsia"/>
                <w:sz w:val="24"/>
              </w:rPr>
            </w:pPr>
            <w:r>
              <w:rPr>
                <w:rFonts w:hint="eastAsia"/>
                <w:sz w:val="24"/>
              </w:rPr>
              <w:t>省级以上监狱管理局、戒毒管理局（含新疆</w:t>
            </w:r>
          </w:p>
          <w:p>
            <w:pPr>
              <w:tabs>
                <w:tab w:val="left" w:pos="1080"/>
              </w:tabs>
              <w:snapToGrid w:val="0"/>
              <w:rPr>
                <w:rFonts w:hint="eastAsia"/>
                <w:sz w:val="24"/>
              </w:rPr>
            </w:pPr>
            <w:r>
              <w:rPr>
                <w:rFonts w:hint="eastAsia"/>
                <w:sz w:val="24"/>
              </w:rPr>
              <w:t>生产建设兵团）出具的属于监狱企业的证明</w:t>
            </w:r>
          </w:p>
          <w:p>
            <w:pPr>
              <w:tabs>
                <w:tab w:val="left" w:pos="1080"/>
              </w:tabs>
              <w:snapToGrid w:val="0"/>
              <w:rPr>
                <w:rFonts w:hint="eastAsia"/>
                <w:sz w:val="24"/>
              </w:rPr>
            </w:pPr>
            <w:r>
              <w:rPr>
                <w:rFonts w:hint="eastAsia"/>
                <w:sz w:val="24"/>
              </w:rPr>
              <w:t>文件。</w:t>
            </w:r>
          </w:p>
          <w:p>
            <w:pPr>
              <w:tabs>
                <w:tab w:val="left" w:pos="1080"/>
              </w:tabs>
              <w:snapToGrid w:val="0"/>
              <w:rPr>
                <w:rFonts w:hint="eastAsia"/>
                <w:sz w:val="24"/>
              </w:rPr>
            </w:pPr>
            <w:r>
              <w:rPr>
                <w:rFonts w:hint="eastAsia"/>
                <w:sz w:val="24"/>
              </w:rPr>
              <w:t>2、如招标文件要求以联合体形式参加或者要</w:t>
            </w:r>
          </w:p>
          <w:p>
            <w:pPr>
              <w:tabs>
                <w:tab w:val="left" w:pos="1080"/>
              </w:tabs>
              <w:snapToGrid w:val="0"/>
              <w:rPr>
                <w:rFonts w:hint="eastAsia"/>
                <w:sz w:val="24"/>
              </w:rPr>
            </w:pPr>
            <w:r>
              <w:rPr>
                <w:rFonts w:hint="eastAsia"/>
                <w:sz w:val="24"/>
              </w:rPr>
              <w:t>求合同分包的，且投标人为联合体或拟进行</w:t>
            </w:r>
          </w:p>
          <w:p>
            <w:pPr>
              <w:tabs>
                <w:tab w:val="left" w:pos="1080"/>
              </w:tabs>
              <w:snapToGrid w:val="0"/>
              <w:rPr>
                <w:rFonts w:hint="eastAsia"/>
                <w:sz w:val="24"/>
              </w:rPr>
            </w:pPr>
            <w:r>
              <w:rPr>
                <w:rFonts w:hint="eastAsia"/>
                <w:sz w:val="24"/>
              </w:rPr>
              <w:t>合同分包的，则联合体中的中小企业、签订</w:t>
            </w:r>
          </w:p>
          <w:p>
            <w:pPr>
              <w:tabs>
                <w:tab w:val="left" w:pos="1080"/>
              </w:tabs>
              <w:snapToGrid w:val="0"/>
              <w:rPr>
                <w:rFonts w:hint="eastAsia"/>
                <w:sz w:val="24"/>
              </w:rPr>
            </w:pPr>
            <w:r>
              <w:rPr>
                <w:rFonts w:hint="eastAsia"/>
                <w:sz w:val="24"/>
              </w:rPr>
              <w:t>分包意向协议的中小企业具体情况须在《中</w:t>
            </w:r>
          </w:p>
          <w:p>
            <w:pPr>
              <w:tabs>
                <w:tab w:val="left" w:pos="1080"/>
              </w:tabs>
              <w:snapToGrid w:val="0"/>
              <w:rPr>
                <w:rFonts w:hint="eastAsia"/>
                <w:sz w:val="24"/>
              </w:rPr>
            </w:pPr>
            <w:r>
              <w:rPr>
                <w:rFonts w:hint="eastAsia"/>
                <w:sz w:val="24"/>
              </w:rPr>
              <w:t>小企业声明函》或《残疾人福利性单位声明</w:t>
            </w:r>
          </w:p>
          <w:p>
            <w:pPr>
              <w:tabs>
                <w:tab w:val="left" w:pos="1080"/>
              </w:tabs>
              <w:snapToGrid w:val="0"/>
              <w:rPr>
                <w:rFonts w:hint="eastAsia"/>
                <w:sz w:val="24"/>
              </w:rPr>
            </w:pPr>
            <w:r>
              <w:rPr>
                <w:rFonts w:hint="eastAsia"/>
                <w:sz w:val="24"/>
              </w:rPr>
              <w:t>函》或由省级以上监狱管理局、戒毒管理局</w:t>
            </w:r>
          </w:p>
          <w:p>
            <w:pPr>
              <w:tabs>
                <w:tab w:val="left" w:pos="1080"/>
              </w:tabs>
              <w:snapToGrid w:val="0"/>
              <w:rPr>
                <w:rFonts w:hint="eastAsia"/>
                <w:sz w:val="24"/>
              </w:rPr>
            </w:pPr>
            <w:r>
              <w:rPr>
                <w:rFonts w:hint="eastAsia"/>
                <w:sz w:val="24"/>
              </w:rPr>
              <w:t>（含新疆生产建设兵团）出具的属于监狱企</w:t>
            </w:r>
          </w:p>
          <w:p>
            <w:pPr>
              <w:tabs>
                <w:tab w:val="left" w:pos="1080"/>
              </w:tabs>
              <w:snapToGrid w:val="0"/>
              <w:rPr>
                <w:rFonts w:hint="eastAsia"/>
                <w:sz w:val="24"/>
              </w:rPr>
            </w:pPr>
            <w:r>
              <w:rPr>
                <w:rFonts w:hint="eastAsia"/>
                <w:sz w:val="24"/>
              </w:rPr>
              <w:t>业的证明文件中如实填报，且满足招标文件</w:t>
            </w:r>
          </w:p>
          <w:p>
            <w:pPr>
              <w:tabs>
                <w:tab w:val="left" w:pos="1080"/>
              </w:tabs>
              <w:snapToGrid w:val="0"/>
              <w:rPr>
                <w:sz w:val="24"/>
              </w:rPr>
            </w:pPr>
            <w:r>
              <w:rPr>
                <w:rFonts w:hint="eastAsia"/>
                <w:sz w:val="24"/>
              </w:rPr>
              <w:t>关于预留份额的要求。</w:t>
            </w:r>
          </w:p>
        </w:tc>
        <w:tc>
          <w:tcPr>
            <w:tcW w:w="882" w:type="pct"/>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2-</w:t>
            </w:r>
            <w:r>
              <w:rPr>
                <w:rFonts w:hint="eastAsia"/>
                <w:sz w:val="24"/>
                <w:lang w:val="en-US" w:eastAsia="zh-CN"/>
              </w:rPr>
              <w:t>1-</w:t>
            </w:r>
            <w:r>
              <w:rPr>
                <w:sz w:val="24"/>
              </w:rPr>
              <w:t>2</w:t>
            </w:r>
          </w:p>
        </w:tc>
        <w:tc>
          <w:tcPr>
            <w:tcW w:w="1066" w:type="pct"/>
            <w:noWrap w:val="0"/>
            <w:vAlign w:val="center"/>
          </w:tcPr>
          <w:p>
            <w:pPr>
              <w:tabs>
                <w:tab w:val="left" w:pos="1080"/>
              </w:tabs>
              <w:snapToGrid w:val="0"/>
              <w:rPr>
                <w:sz w:val="24"/>
              </w:rPr>
            </w:pPr>
            <w:r>
              <w:rPr>
                <w:sz w:val="24"/>
              </w:rPr>
              <w:t>拟分包情况说明及分包意向协议</w:t>
            </w:r>
          </w:p>
        </w:tc>
        <w:tc>
          <w:tcPr>
            <w:tcW w:w="2595" w:type="pct"/>
            <w:noWrap w:val="0"/>
            <w:vAlign w:val="center"/>
          </w:tcPr>
          <w:p>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noWrap w:val="0"/>
            <w:vAlign w:val="center"/>
          </w:tcPr>
          <w:p>
            <w:pPr>
              <w:tabs>
                <w:tab w:val="left" w:pos="1080"/>
              </w:tabs>
              <w:snapToGrid w:val="0"/>
              <w:rPr>
                <w:rFonts w:hint="eastAsia"/>
                <w:sz w:val="24"/>
              </w:rPr>
            </w:pPr>
            <w:r>
              <w:rPr>
                <w:rFonts w:hint="eastAsia"/>
                <w:sz w:val="24"/>
              </w:rPr>
              <w:t>格式见《投标</w:t>
            </w:r>
          </w:p>
          <w:p>
            <w:pPr>
              <w:tabs>
                <w:tab w:val="left" w:pos="1080"/>
              </w:tabs>
              <w:snapToGrid w:val="0"/>
              <w:rPr>
                <w:rFonts w:hint="eastAsia" w:eastAsia="宋体"/>
                <w:sz w:val="24"/>
                <w:lang w:eastAsia="zh-CN"/>
              </w:rPr>
            </w:pPr>
            <w:r>
              <w:rPr>
                <w:rFonts w:hint="eastAsia"/>
                <w:sz w:val="24"/>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rFonts w:hint="eastAsia" w:eastAsia="宋体"/>
                <w:sz w:val="24"/>
                <w:lang w:eastAsia="zh-CN"/>
              </w:rPr>
            </w:pPr>
            <w:r>
              <w:rPr>
                <w:sz w:val="24"/>
              </w:rPr>
              <w:t>2-</w:t>
            </w:r>
            <w:r>
              <w:rPr>
                <w:rFonts w:hint="eastAsia"/>
                <w:sz w:val="24"/>
                <w:lang w:val="en-US" w:eastAsia="zh-CN"/>
              </w:rPr>
              <w:t>2</w:t>
            </w:r>
          </w:p>
        </w:tc>
        <w:tc>
          <w:tcPr>
            <w:tcW w:w="1066" w:type="pct"/>
            <w:noWrap w:val="0"/>
            <w:vAlign w:val="center"/>
          </w:tcPr>
          <w:p>
            <w:pPr>
              <w:tabs>
                <w:tab w:val="left" w:pos="1080"/>
              </w:tabs>
              <w:snapToGrid w:val="0"/>
              <w:rPr>
                <w:sz w:val="24"/>
              </w:rPr>
            </w:pPr>
            <w:r>
              <w:rPr>
                <w:sz w:val="24"/>
              </w:rPr>
              <w:t>其它落实政府采购政策的资格要求</w:t>
            </w:r>
          </w:p>
        </w:tc>
        <w:tc>
          <w:tcPr>
            <w:tcW w:w="2595" w:type="pct"/>
            <w:noWrap w:val="0"/>
            <w:vAlign w:val="center"/>
          </w:tcPr>
          <w:p>
            <w:pPr>
              <w:tabs>
                <w:tab w:val="left" w:pos="1080"/>
              </w:tabs>
              <w:snapToGrid w:val="0"/>
              <w:rPr>
                <w:sz w:val="24"/>
              </w:rPr>
            </w:pPr>
            <w:r>
              <w:rPr>
                <w:sz w:val="24"/>
              </w:rPr>
              <w:t>如有，见第一章《投标邀请》</w:t>
            </w:r>
          </w:p>
        </w:tc>
        <w:tc>
          <w:tcPr>
            <w:tcW w:w="882" w:type="pct"/>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3</w:t>
            </w:r>
          </w:p>
        </w:tc>
        <w:tc>
          <w:tcPr>
            <w:tcW w:w="1066" w:type="pct"/>
            <w:noWrap w:val="0"/>
            <w:vAlign w:val="center"/>
          </w:tcPr>
          <w:p>
            <w:pPr>
              <w:tabs>
                <w:tab w:val="left" w:pos="1080"/>
              </w:tabs>
              <w:snapToGrid w:val="0"/>
              <w:rPr>
                <w:sz w:val="24"/>
              </w:rPr>
            </w:pPr>
            <w:r>
              <w:rPr>
                <w:sz w:val="24"/>
              </w:rPr>
              <w:t>本项目的特定资格要求</w:t>
            </w:r>
          </w:p>
        </w:tc>
        <w:tc>
          <w:tcPr>
            <w:tcW w:w="2595" w:type="pct"/>
            <w:noWrap w:val="0"/>
            <w:vAlign w:val="center"/>
          </w:tcPr>
          <w:p>
            <w:pPr>
              <w:tabs>
                <w:tab w:val="left" w:pos="1080"/>
              </w:tabs>
              <w:snapToGrid w:val="0"/>
              <w:rPr>
                <w:sz w:val="24"/>
              </w:rPr>
            </w:pPr>
            <w:r>
              <w:rPr>
                <w:sz w:val="24"/>
              </w:rPr>
              <w:t>如有，见第一章《投标邀请》</w:t>
            </w:r>
          </w:p>
        </w:tc>
        <w:tc>
          <w:tcPr>
            <w:tcW w:w="882" w:type="pct"/>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4" w:type="pct"/>
            <w:noWrap w:val="0"/>
            <w:vAlign w:val="center"/>
          </w:tcPr>
          <w:p>
            <w:pPr>
              <w:tabs>
                <w:tab w:val="left" w:pos="1080"/>
              </w:tabs>
              <w:snapToGrid w:val="0"/>
              <w:jc w:val="center"/>
              <w:rPr>
                <w:sz w:val="24"/>
              </w:rPr>
            </w:pPr>
            <w:r>
              <w:rPr>
                <w:sz w:val="24"/>
              </w:rPr>
              <w:t>3-1</w:t>
            </w:r>
          </w:p>
        </w:tc>
        <w:tc>
          <w:tcPr>
            <w:tcW w:w="1066" w:type="pct"/>
            <w:noWrap w:val="0"/>
            <w:vAlign w:val="center"/>
          </w:tcPr>
          <w:p>
            <w:pPr>
              <w:tabs>
                <w:tab w:val="left" w:pos="1080"/>
              </w:tabs>
              <w:snapToGrid w:val="0"/>
              <w:rPr>
                <w:sz w:val="24"/>
              </w:rPr>
            </w:pPr>
            <w:r>
              <w:rPr>
                <w:sz w:val="24"/>
              </w:rPr>
              <w:t>是否接受联合体投标</w:t>
            </w:r>
          </w:p>
        </w:tc>
        <w:tc>
          <w:tcPr>
            <w:tcW w:w="2595" w:type="pct"/>
            <w:noWrap w:val="0"/>
            <w:vAlign w:val="center"/>
          </w:tcPr>
          <w:p>
            <w:pPr>
              <w:tabs>
                <w:tab w:val="left" w:pos="1080"/>
              </w:tabs>
              <w:snapToGrid w:val="0"/>
              <w:rPr>
                <w:rFonts w:hint="eastAsia"/>
                <w:sz w:val="24"/>
              </w:rPr>
            </w:pPr>
            <w:r>
              <w:rPr>
                <w:rFonts w:hint="eastAsia"/>
                <w:sz w:val="24"/>
              </w:rPr>
              <w:t>1、如本项目接受联合体投标，且投标人为联</w:t>
            </w:r>
          </w:p>
          <w:p>
            <w:pPr>
              <w:tabs>
                <w:tab w:val="left" w:pos="1080"/>
              </w:tabs>
              <w:snapToGrid w:val="0"/>
              <w:rPr>
                <w:rFonts w:hint="eastAsia"/>
                <w:sz w:val="24"/>
              </w:rPr>
            </w:pPr>
            <w:r>
              <w:rPr>
                <w:rFonts w:hint="eastAsia"/>
                <w:sz w:val="24"/>
              </w:rPr>
              <w:t>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pPr>
              <w:tabs>
                <w:tab w:val="left" w:pos="1080"/>
              </w:tabs>
              <w:snapToGrid w:val="0"/>
              <w:rPr>
                <w:rFonts w:hint="eastAsia"/>
                <w:sz w:val="24"/>
              </w:rPr>
            </w:pPr>
            <w:r>
              <w:rPr>
                <w:rFonts w:hint="eastAsia"/>
                <w:sz w:val="24"/>
              </w:rPr>
              <w:t>2、联合体各成员单位均须提供本表中序号</w:t>
            </w:r>
          </w:p>
          <w:p>
            <w:pPr>
              <w:tabs>
                <w:tab w:val="left" w:pos="1080"/>
              </w:tabs>
              <w:snapToGrid w:val="0"/>
              <w:rPr>
                <w:rFonts w:hint="eastAsia"/>
                <w:sz w:val="24"/>
              </w:rPr>
            </w:pPr>
            <w:r>
              <w:rPr>
                <w:rFonts w:hint="eastAsia"/>
                <w:sz w:val="24"/>
              </w:rPr>
              <w:t>1-1、1-2 的证明文件。联合体各成员单位均</w:t>
            </w:r>
          </w:p>
          <w:p>
            <w:pPr>
              <w:tabs>
                <w:tab w:val="left" w:pos="1080"/>
              </w:tabs>
              <w:snapToGrid w:val="0"/>
              <w:rPr>
                <w:rFonts w:hint="eastAsia"/>
                <w:sz w:val="24"/>
              </w:rPr>
            </w:pPr>
            <w:r>
              <w:rPr>
                <w:rFonts w:hint="eastAsia"/>
                <w:sz w:val="24"/>
              </w:rPr>
              <w:t>应满足本表 3-2 及 3-3 项规定。</w:t>
            </w:r>
          </w:p>
          <w:p>
            <w:pPr>
              <w:tabs>
                <w:tab w:val="left" w:pos="1080"/>
              </w:tabs>
              <w:snapToGrid w:val="0"/>
              <w:rPr>
                <w:rFonts w:hint="eastAsia"/>
                <w:sz w:val="24"/>
              </w:rPr>
            </w:pPr>
            <w:r>
              <w:rPr>
                <w:rFonts w:hint="eastAsia"/>
                <w:sz w:val="24"/>
              </w:rPr>
              <w:t>3、本表序号 3-4 项规定的其他特定资格要</w:t>
            </w:r>
          </w:p>
          <w:p>
            <w:pPr>
              <w:tabs>
                <w:tab w:val="left" w:pos="1080"/>
              </w:tabs>
              <w:snapToGrid w:val="0"/>
              <w:rPr>
                <w:rFonts w:hint="eastAsia"/>
                <w:sz w:val="24"/>
              </w:rPr>
            </w:pPr>
            <w:r>
              <w:rPr>
                <w:rFonts w:hint="eastAsia"/>
                <w:sz w:val="24"/>
              </w:rPr>
              <w:t>求中的每一小项要求，联合体各方中至少应</w:t>
            </w:r>
          </w:p>
          <w:p>
            <w:pPr>
              <w:tabs>
                <w:tab w:val="left" w:pos="1080"/>
              </w:tabs>
              <w:snapToGrid w:val="0"/>
              <w:rPr>
                <w:rFonts w:hint="eastAsia"/>
                <w:sz w:val="24"/>
              </w:rPr>
            </w:pPr>
            <w:r>
              <w:rPr>
                <w:rFonts w:hint="eastAsia"/>
                <w:sz w:val="24"/>
              </w:rPr>
              <w:t>当有一方符合本表中其他资格要求并提供证</w:t>
            </w:r>
          </w:p>
          <w:p>
            <w:pPr>
              <w:tabs>
                <w:tab w:val="left" w:pos="1080"/>
              </w:tabs>
              <w:snapToGrid w:val="0"/>
              <w:rPr>
                <w:rFonts w:hint="eastAsia"/>
                <w:sz w:val="24"/>
              </w:rPr>
            </w:pPr>
            <w:r>
              <w:rPr>
                <w:rFonts w:hint="eastAsia"/>
                <w:sz w:val="24"/>
              </w:rPr>
              <w:t>明文件。</w:t>
            </w:r>
          </w:p>
          <w:p>
            <w:pPr>
              <w:tabs>
                <w:tab w:val="left" w:pos="1080"/>
              </w:tabs>
              <w:snapToGrid w:val="0"/>
              <w:rPr>
                <w:rFonts w:hint="eastAsia"/>
                <w:sz w:val="24"/>
              </w:rPr>
            </w:pPr>
            <w:r>
              <w:rPr>
                <w:rFonts w:hint="eastAsia"/>
                <w:sz w:val="24"/>
              </w:rPr>
              <w:t>4、联合体中有同类资质的供应商按照联合体</w:t>
            </w:r>
          </w:p>
          <w:p>
            <w:pPr>
              <w:tabs>
                <w:tab w:val="left" w:pos="1080"/>
              </w:tabs>
              <w:snapToGrid w:val="0"/>
              <w:rPr>
                <w:rFonts w:hint="eastAsia"/>
                <w:sz w:val="24"/>
              </w:rPr>
            </w:pPr>
            <w:r>
              <w:rPr>
                <w:rFonts w:hint="eastAsia"/>
                <w:sz w:val="24"/>
              </w:rPr>
              <w:t>分工承担相同工作的，应当按照资质等级较</w:t>
            </w:r>
          </w:p>
          <w:p>
            <w:pPr>
              <w:tabs>
                <w:tab w:val="left" w:pos="1080"/>
              </w:tabs>
              <w:snapToGrid w:val="0"/>
              <w:rPr>
                <w:rFonts w:hint="eastAsia"/>
                <w:sz w:val="24"/>
              </w:rPr>
            </w:pPr>
            <w:r>
              <w:rPr>
                <w:rFonts w:hint="eastAsia"/>
                <w:sz w:val="24"/>
              </w:rPr>
              <w:t>低的供应商确定资质等级。</w:t>
            </w:r>
          </w:p>
          <w:p>
            <w:pPr>
              <w:tabs>
                <w:tab w:val="left" w:pos="1080"/>
              </w:tabs>
              <w:snapToGrid w:val="0"/>
              <w:rPr>
                <w:rFonts w:hint="eastAsia"/>
                <w:sz w:val="24"/>
              </w:rPr>
            </w:pPr>
            <w:r>
              <w:rPr>
                <w:rFonts w:hint="eastAsia"/>
                <w:sz w:val="24"/>
              </w:rPr>
              <w:t>5、以联合体形式参加政府采购活动的，联合</w:t>
            </w:r>
          </w:p>
          <w:p>
            <w:pPr>
              <w:tabs>
                <w:tab w:val="left" w:pos="1080"/>
              </w:tabs>
              <w:snapToGrid w:val="0"/>
              <w:rPr>
                <w:rFonts w:hint="eastAsia"/>
                <w:sz w:val="24"/>
              </w:rPr>
            </w:pPr>
            <w:r>
              <w:rPr>
                <w:rFonts w:hint="eastAsia"/>
                <w:sz w:val="24"/>
              </w:rPr>
              <w:t>体各方不得再单独参加或者与其他供应商另</w:t>
            </w:r>
          </w:p>
          <w:p>
            <w:pPr>
              <w:tabs>
                <w:tab w:val="left" w:pos="1080"/>
              </w:tabs>
              <w:snapToGrid w:val="0"/>
              <w:rPr>
                <w:rFonts w:hint="eastAsia"/>
                <w:sz w:val="24"/>
              </w:rPr>
            </w:pPr>
            <w:r>
              <w:rPr>
                <w:rFonts w:hint="eastAsia"/>
                <w:sz w:val="24"/>
              </w:rPr>
              <w:t>外组成联合体参加同一合同项下的政府采购</w:t>
            </w:r>
          </w:p>
          <w:p>
            <w:pPr>
              <w:tabs>
                <w:tab w:val="left" w:pos="1080"/>
              </w:tabs>
              <w:snapToGrid w:val="0"/>
              <w:rPr>
                <w:rFonts w:hint="eastAsia"/>
                <w:sz w:val="24"/>
              </w:rPr>
            </w:pPr>
            <w:r>
              <w:rPr>
                <w:rFonts w:hint="eastAsia"/>
                <w:sz w:val="24"/>
              </w:rPr>
              <w:t>活动。</w:t>
            </w:r>
          </w:p>
          <w:p>
            <w:pPr>
              <w:tabs>
                <w:tab w:val="left" w:pos="1080"/>
              </w:tabs>
              <w:snapToGrid w:val="0"/>
              <w:rPr>
                <w:rFonts w:hint="eastAsia"/>
                <w:sz w:val="24"/>
              </w:rPr>
            </w:pPr>
            <w:r>
              <w:rPr>
                <w:rFonts w:hint="eastAsia"/>
                <w:sz w:val="24"/>
              </w:rPr>
              <w:t>6、若联合体中任一成员单位中途退出，则该</w:t>
            </w:r>
          </w:p>
          <w:p>
            <w:pPr>
              <w:tabs>
                <w:tab w:val="left" w:pos="1080"/>
              </w:tabs>
              <w:snapToGrid w:val="0"/>
              <w:rPr>
                <w:rFonts w:hint="eastAsia"/>
                <w:sz w:val="24"/>
              </w:rPr>
            </w:pPr>
            <w:r>
              <w:rPr>
                <w:rFonts w:hint="eastAsia"/>
                <w:sz w:val="24"/>
              </w:rPr>
              <w:t>联合体的</w:t>
            </w:r>
            <w:r>
              <w:rPr>
                <w:rFonts w:hint="eastAsia"/>
                <w:b/>
                <w:bCs/>
                <w:sz w:val="24"/>
              </w:rPr>
              <w:t>投标无效。</w:t>
            </w:r>
          </w:p>
          <w:p>
            <w:pPr>
              <w:tabs>
                <w:tab w:val="left" w:pos="1080"/>
              </w:tabs>
              <w:snapToGrid w:val="0"/>
              <w:rPr>
                <w:rFonts w:hint="eastAsia"/>
                <w:sz w:val="24"/>
              </w:rPr>
            </w:pPr>
            <w:r>
              <w:rPr>
                <w:rFonts w:hint="eastAsia"/>
                <w:sz w:val="24"/>
              </w:rPr>
              <w:t>7、本项目不接受联合体投标时，投标人不得</w:t>
            </w:r>
          </w:p>
          <w:p>
            <w:pPr>
              <w:tabs>
                <w:tab w:val="left" w:pos="1080"/>
              </w:tabs>
              <w:snapToGrid w:val="0"/>
              <w:rPr>
                <w:sz w:val="24"/>
              </w:rPr>
            </w:pPr>
            <w:r>
              <w:rPr>
                <w:rFonts w:hint="eastAsia"/>
                <w:sz w:val="24"/>
              </w:rPr>
              <w:t>为联合体。</w:t>
            </w:r>
          </w:p>
        </w:tc>
        <w:tc>
          <w:tcPr>
            <w:tcW w:w="882" w:type="pct"/>
            <w:noWrap w:val="0"/>
            <w:vAlign w:val="center"/>
          </w:tcPr>
          <w:p>
            <w:pPr>
              <w:tabs>
                <w:tab w:val="left" w:pos="1080"/>
              </w:tabs>
              <w:snapToGrid w:val="0"/>
              <w:rPr>
                <w:rFonts w:hint="eastAsia"/>
                <w:sz w:val="24"/>
              </w:rPr>
            </w:pPr>
            <w:r>
              <w:rPr>
                <w:rFonts w:hint="eastAsia"/>
                <w:sz w:val="24"/>
              </w:rPr>
              <w:t>提供《联合协</w:t>
            </w:r>
          </w:p>
          <w:p>
            <w:pPr>
              <w:tabs>
                <w:tab w:val="left" w:pos="1080"/>
              </w:tabs>
              <w:snapToGrid w:val="0"/>
              <w:rPr>
                <w:rFonts w:hint="eastAsia"/>
                <w:sz w:val="24"/>
              </w:rPr>
            </w:pPr>
            <w:r>
              <w:rPr>
                <w:rFonts w:hint="eastAsia"/>
                <w:sz w:val="24"/>
              </w:rPr>
              <w:t>议》原件的电</w:t>
            </w:r>
          </w:p>
          <w:p>
            <w:pPr>
              <w:tabs>
                <w:tab w:val="left" w:pos="1080"/>
              </w:tabs>
              <w:snapToGrid w:val="0"/>
              <w:rPr>
                <w:rFonts w:hint="eastAsia"/>
                <w:sz w:val="24"/>
              </w:rPr>
            </w:pPr>
            <w:r>
              <w:rPr>
                <w:rFonts w:hint="eastAsia"/>
                <w:sz w:val="24"/>
              </w:rPr>
              <w:t>子件</w:t>
            </w:r>
          </w:p>
          <w:p>
            <w:pPr>
              <w:tabs>
                <w:tab w:val="left" w:pos="1080"/>
              </w:tabs>
              <w:snapToGrid w:val="0"/>
              <w:rPr>
                <w:rFonts w:hint="eastAsia"/>
                <w:sz w:val="24"/>
              </w:rPr>
            </w:pPr>
            <w:r>
              <w:rPr>
                <w:rFonts w:hint="eastAsia"/>
                <w:sz w:val="24"/>
              </w:rPr>
              <w:t>格式见《投标</w:t>
            </w:r>
          </w:p>
          <w:p>
            <w:pPr>
              <w:tabs>
                <w:tab w:val="left" w:pos="1080"/>
              </w:tabs>
              <w:snapToGrid w:val="0"/>
              <w:rPr>
                <w:sz w:val="24"/>
              </w:rPr>
            </w:pPr>
            <w:r>
              <w:rPr>
                <w:rFonts w:hint="eastAsia"/>
                <w:sz w:val="24"/>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3-2</w:t>
            </w:r>
          </w:p>
        </w:tc>
        <w:tc>
          <w:tcPr>
            <w:tcW w:w="1066" w:type="pct"/>
            <w:noWrap w:val="0"/>
            <w:vAlign w:val="center"/>
          </w:tcPr>
          <w:p>
            <w:pPr>
              <w:tabs>
                <w:tab w:val="left" w:pos="1080"/>
              </w:tabs>
              <w:snapToGrid w:val="0"/>
              <w:rPr>
                <w:rFonts w:hint="eastAsia"/>
                <w:sz w:val="24"/>
              </w:rPr>
            </w:pPr>
            <w:r>
              <w:rPr>
                <w:rFonts w:hint="eastAsia"/>
                <w:sz w:val="24"/>
              </w:rPr>
              <w:t>政府购买服务承</w:t>
            </w:r>
          </w:p>
          <w:p>
            <w:pPr>
              <w:tabs>
                <w:tab w:val="left" w:pos="1080"/>
              </w:tabs>
              <w:snapToGrid w:val="0"/>
              <w:rPr>
                <w:sz w:val="24"/>
              </w:rPr>
            </w:pPr>
            <w:r>
              <w:rPr>
                <w:rFonts w:hint="eastAsia"/>
                <w:sz w:val="24"/>
              </w:rPr>
              <w:t>接主体的要求</w:t>
            </w:r>
          </w:p>
        </w:tc>
        <w:tc>
          <w:tcPr>
            <w:tcW w:w="2595" w:type="pct"/>
            <w:noWrap w:val="0"/>
            <w:vAlign w:val="center"/>
          </w:tcPr>
          <w:p>
            <w:pPr>
              <w:tabs>
                <w:tab w:val="left" w:pos="1080"/>
              </w:tabs>
              <w:snapToGrid w:val="0"/>
              <w:rPr>
                <w:rFonts w:hint="eastAsia"/>
                <w:color w:val="000000"/>
                <w:sz w:val="24"/>
              </w:rPr>
            </w:pPr>
            <w:r>
              <w:rPr>
                <w:rFonts w:hint="eastAsia"/>
                <w:color w:val="000000"/>
                <w:sz w:val="24"/>
              </w:rPr>
              <w:t>如本项目属于政府购买服务，投标人不属于</w:t>
            </w:r>
          </w:p>
          <w:p>
            <w:pPr>
              <w:tabs>
                <w:tab w:val="left" w:pos="1080"/>
              </w:tabs>
              <w:snapToGrid w:val="0"/>
              <w:rPr>
                <w:rFonts w:hint="eastAsia"/>
                <w:color w:val="000000"/>
                <w:sz w:val="24"/>
              </w:rPr>
            </w:pPr>
            <w:r>
              <w:rPr>
                <w:rFonts w:hint="eastAsia"/>
                <w:color w:val="000000"/>
                <w:sz w:val="24"/>
              </w:rPr>
              <w:t>公益一类事业单位、使用事业编制且由财政</w:t>
            </w:r>
          </w:p>
          <w:p>
            <w:pPr>
              <w:tabs>
                <w:tab w:val="left" w:pos="1080"/>
              </w:tabs>
              <w:snapToGrid w:val="0"/>
              <w:rPr>
                <w:color w:val="000000"/>
                <w:sz w:val="24"/>
              </w:rPr>
            </w:pPr>
            <w:r>
              <w:rPr>
                <w:rFonts w:hint="eastAsia"/>
                <w:color w:val="000000"/>
                <w:sz w:val="24"/>
              </w:rPr>
              <w:t>拨款保障的群团组织。</w:t>
            </w:r>
          </w:p>
        </w:tc>
        <w:tc>
          <w:tcPr>
            <w:tcW w:w="882" w:type="pct"/>
            <w:noWrap w:val="0"/>
            <w:vAlign w:val="center"/>
          </w:tcPr>
          <w:p>
            <w:pPr>
              <w:tabs>
                <w:tab w:val="left" w:pos="1080"/>
              </w:tabs>
              <w:snapToGrid w:val="0"/>
              <w:rPr>
                <w:rFonts w:hint="eastAsia"/>
                <w:sz w:val="24"/>
              </w:rPr>
            </w:pPr>
            <w:r>
              <w:rPr>
                <w:rFonts w:hint="eastAsia"/>
                <w:sz w:val="24"/>
              </w:rPr>
              <w:t>格式见《投标</w:t>
            </w:r>
          </w:p>
          <w:p>
            <w:pPr>
              <w:tabs>
                <w:tab w:val="left" w:pos="1080"/>
              </w:tabs>
              <w:snapToGrid w:val="0"/>
              <w:rPr>
                <w:sz w:val="24"/>
              </w:rPr>
            </w:pPr>
            <w:r>
              <w:rPr>
                <w:rFonts w:hint="eastAsia"/>
                <w:sz w:val="24"/>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noWrap w:val="0"/>
            <w:vAlign w:val="center"/>
          </w:tcPr>
          <w:p>
            <w:pPr>
              <w:tabs>
                <w:tab w:val="left" w:pos="1080"/>
              </w:tabs>
              <w:snapToGrid w:val="0"/>
              <w:jc w:val="center"/>
              <w:rPr>
                <w:rFonts w:hint="eastAsia" w:eastAsia="宋体"/>
                <w:sz w:val="24"/>
                <w:lang w:eastAsia="zh-CN"/>
              </w:rPr>
            </w:pPr>
            <w:r>
              <w:rPr>
                <w:sz w:val="24"/>
              </w:rPr>
              <w:t>3-</w:t>
            </w:r>
            <w:r>
              <w:rPr>
                <w:rFonts w:hint="eastAsia"/>
                <w:sz w:val="24"/>
                <w:lang w:val="en-US" w:eastAsia="zh-CN"/>
              </w:rPr>
              <w:t>3</w:t>
            </w:r>
          </w:p>
        </w:tc>
        <w:tc>
          <w:tcPr>
            <w:tcW w:w="1066" w:type="pct"/>
            <w:noWrap w:val="0"/>
            <w:vAlign w:val="center"/>
          </w:tcPr>
          <w:p>
            <w:pPr>
              <w:tabs>
                <w:tab w:val="left" w:pos="1080"/>
              </w:tabs>
              <w:snapToGrid w:val="0"/>
              <w:rPr>
                <w:sz w:val="24"/>
              </w:rPr>
            </w:pPr>
            <w:r>
              <w:rPr>
                <w:sz w:val="24"/>
              </w:rPr>
              <w:t>其他特定资格要求</w:t>
            </w:r>
          </w:p>
        </w:tc>
        <w:tc>
          <w:tcPr>
            <w:tcW w:w="2595" w:type="pct"/>
            <w:noWrap w:val="0"/>
            <w:vAlign w:val="center"/>
          </w:tcPr>
          <w:p>
            <w:pPr>
              <w:tabs>
                <w:tab w:val="left" w:pos="1080"/>
              </w:tabs>
              <w:snapToGrid w:val="0"/>
              <w:rPr>
                <w:sz w:val="24"/>
              </w:rPr>
            </w:pPr>
            <w:r>
              <w:rPr>
                <w:color w:val="000000"/>
                <w:sz w:val="24"/>
              </w:rPr>
              <w:t>如有，见</w:t>
            </w:r>
            <w:r>
              <w:rPr>
                <w:sz w:val="24"/>
              </w:rPr>
              <w:t>第一章《投标邀请》</w:t>
            </w:r>
          </w:p>
        </w:tc>
        <w:tc>
          <w:tcPr>
            <w:tcW w:w="882" w:type="pct"/>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noWrap w:val="0"/>
            <w:vAlign w:val="center"/>
          </w:tcPr>
          <w:p>
            <w:pPr>
              <w:tabs>
                <w:tab w:val="left" w:pos="1080"/>
              </w:tabs>
              <w:snapToGrid w:val="0"/>
              <w:jc w:val="center"/>
              <w:rPr>
                <w:rFonts w:hint="eastAsia" w:eastAsia="宋体"/>
                <w:sz w:val="24"/>
                <w:lang w:val="en-US" w:eastAsia="zh-CN"/>
              </w:rPr>
            </w:pPr>
            <w:r>
              <w:rPr>
                <w:rFonts w:hint="eastAsia"/>
                <w:sz w:val="24"/>
                <w:lang w:val="en-US" w:eastAsia="zh-CN"/>
              </w:rPr>
              <w:t>4</w:t>
            </w:r>
          </w:p>
        </w:tc>
        <w:tc>
          <w:tcPr>
            <w:tcW w:w="1066" w:type="pct"/>
            <w:noWrap w:val="0"/>
            <w:vAlign w:val="center"/>
          </w:tcPr>
          <w:p>
            <w:pPr>
              <w:tabs>
                <w:tab w:val="left" w:pos="1080"/>
              </w:tabs>
              <w:snapToGrid w:val="0"/>
              <w:rPr>
                <w:rFonts w:hint="eastAsia" w:eastAsia="宋体"/>
                <w:sz w:val="24"/>
                <w:lang w:val="en-US" w:eastAsia="zh-CN"/>
              </w:rPr>
            </w:pPr>
            <w:r>
              <w:rPr>
                <w:rFonts w:hint="eastAsia"/>
                <w:sz w:val="24"/>
                <w:lang w:val="en-US" w:eastAsia="zh-CN"/>
              </w:rPr>
              <w:t>投标保证金</w:t>
            </w:r>
          </w:p>
        </w:tc>
        <w:tc>
          <w:tcPr>
            <w:tcW w:w="2595" w:type="pct"/>
            <w:noWrap w:val="0"/>
            <w:vAlign w:val="center"/>
          </w:tcPr>
          <w:p>
            <w:pPr>
              <w:tabs>
                <w:tab w:val="left" w:pos="1080"/>
              </w:tabs>
              <w:snapToGrid w:val="0"/>
              <w:rPr>
                <w:rFonts w:hint="eastAsia" w:eastAsia="宋体"/>
                <w:color w:val="000000"/>
                <w:sz w:val="24"/>
                <w:lang w:eastAsia="zh-CN"/>
              </w:rPr>
            </w:pPr>
            <w:r>
              <w:rPr>
                <w:rFonts w:hint="eastAsia"/>
                <w:color w:val="000000"/>
                <w:sz w:val="24"/>
                <w:lang w:eastAsia="zh-CN"/>
              </w:rPr>
              <w:t>本项目不收取投标保证金</w:t>
            </w:r>
          </w:p>
        </w:tc>
        <w:tc>
          <w:tcPr>
            <w:tcW w:w="882" w:type="pct"/>
            <w:noWrap w:val="0"/>
            <w:vAlign w:val="center"/>
          </w:tcPr>
          <w:p>
            <w:pPr>
              <w:tabs>
                <w:tab w:val="left" w:pos="1080"/>
              </w:tabs>
              <w:snapToGrid w:val="0"/>
              <w:rPr>
                <w:sz w:val="24"/>
              </w:rPr>
            </w:pPr>
          </w:p>
        </w:tc>
      </w:t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21"/>
    </w:tbl>
    <w:p>
      <w:pPr>
        <w:widowControl/>
        <w:jc w:val="left"/>
        <w:rPr>
          <w:sz w:val="24"/>
        </w:rPr>
      </w:pPr>
      <w:bookmarkStart w:id="724" w:name="_Toc353873940"/>
      <w:bookmarkStart w:id="725" w:name="_Toc127151779"/>
      <w:bookmarkStart w:id="726" w:name="_Toc127161490"/>
      <w:bookmarkStart w:id="727" w:name="_Toc226965858"/>
      <w:bookmarkStart w:id="728" w:name="_Toc353825550"/>
      <w:r>
        <w:rPr>
          <w:sz w:val="24"/>
        </w:rPr>
        <w:br w:type="page"/>
      </w:r>
    </w:p>
    <w:p>
      <w:pPr>
        <w:spacing w:line="360" w:lineRule="auto"/>
        <w:jc w:val="center"/>
        <w:outlineLvl w:val="0"/>
        <w:rPr>
          <w:b/>
          <w:sz w:val="36"/>
          <w:szCs w:val="36"/>
        </w:rPr>
      </w:pPr>
      <w:bookmarkStart w:id="729" w:name="_Toc99301423"/>
      <w:r>
        <w:rPr>
          <w:b/>
          <w:sz w:val="36"/>
          <w:szCs w:val="36"/>
        </w:rPr>
        <w:t xml:space="preserve">第四章   </w:t>
      </w:r>
      <w:bookmarkEnd w:id="724"/>
      <w:bookmarkEnd w:id="725"/>
      <w:bookmarkEnd w:id="726"/>
      <w:bookmarkEnd w:id="727"/>
      <w:bookmarkEnd w:id="728"/>
      <w:bookmarkStart w:id="730" w:name="_Hlt164229061"/>
      <w:bookmarkEnd w:id="730"/>
      <w:r>
        <w:rPr>
          <w:b/>
          <w:sz w:val="36"/>
          <w:szCs w:val="36"/>
        </w:rPr>
        <w:t>评标程序、评标方法和评标标准</w:t>
      </w:r>
      <w:bookmarkEnd w:id="729"/>
    </w:p>
    <w:p>
      <w:pPr>
        <w:tabs>
          <w:tab w:val="left" w:pos="360"/>
          <w:tab w:val="left" w:pos="900"/>
        </w:tabs>
        <w:snapToGrid w:val="0"/>
        <w:spacing w:line="360" w:lineRule="auto"/>
        <w:jc w:val="center"/>
        <w:outlineLvl w:val="1"/>
        <w:rPr>
          <w:b/>
        </w:rPr>
      </w:pPr>
      <w:r>
        <w:rPr>
          <w:b/>
          <w:sz w:val="24"/>
        </w:rPr>
        <w:t>一、评标方法</w:t>
      </w:r>
    </w:p>
    <w:p>
      <w:pPr>
        <w:numPr>
          <w:ilvl w:val="0"/>
          <w:numId w:val="8"/>
        </w:numPr>
        <w:tabs>
          <w:tab w:val="left" w:pos="360"/>
        </w:tabs>
        <w:snapToGrid w:val="0"/>
        <w:spacing w:line="360" w:lineRule="auto"/>
        <w:outlineLvl w:val="1"/>
        <w:rPr>
          <w:sz w:val="24"/>
        </w:rPr>
      </w:pPr>
      <w:bookmarkStart w:id="731" w:name="_Toc151190168"/>
      <w:bookmarkStart w:id="732" w:name="_Toc226965814"/>
      <w:bookmarkStart w:id="733" w:name="_Toc127151742"/>
      <w:bookmarkStart w:id="734" w:name="_Toc127161455"/>
      <w:bookmarkStart w:id="735" w:name="_Toc127151541"/>
      <w:bookmarkStart w:id="736" w:name="_Toc164608655"/>
      <w:bookmarkStart w:id="737" w:name="_Toc195842906"/>
      <w:bookmarkStart w:id="738" w:name="_Toc150509292"/>
      <w:bookmarkStart w:id="739" w:name="_Toc164229382"/>
      <w:bookmarkStart w:id="740" w:name="_Toc150774641"/>
      <w:bookmarkStart w:id="741" w:name="_Toc142311043"/>
      <w:bookmarkStart w:id="742" w:name="_Toc151193639"/>
      <w:bookmarkStart w:id="743" w:name="_Toc305158883"/>
      <w:bookmarkStart w:id="744" w:name="_Toc226337237"/>
      <w:bookmarkStart w:id="745" w:name="_Toc151193929"/>
      <w:bookmarkStart w:id="746" w:name="_Toc150774746"/>
      <w:bookmarkStart w:id="747" w:name="_Toc305158809"/>
      <w:bookmarkStart w:id="748" w:name="_Toc151193855"/>
      <w:bookmarkStart w:id="749" w:name="_Toc151193711"/>
      <w:bookmarkStart w:id="750" w:name="_Toc149720834"/>
      <w:bookmarkStart w:id="751" w:name="_Toc264969231"/>
      <w:bookmarkStart w:id="752" w:name="_Toc164608810"/>
      <w:bookmarkStart w:id="753" w:name="_Toc164229236"/>
      <w:bookmarkStart w:id="754" w:name="_Toc226309785"/>
      <w:bookmarkStart w:id="755" w:name="_Toc226965731"/>
      <w:bookmarkStart w:id="756" w:name="_Toc150480779"/>
      <w:bookmarkStart w:id="757" w:name="_Toc265228379"/>
      <w:bookmarkStart w:id="758" w:name="_Toc151193783"/>
      <w:bookmarkStart w:id="759" w:name="_Toc164351635"/>
      <w:bookmarkStart w:id="760" w:name="_Toc353825551"/>
      <w:bookmarkStart w:id="761" w:name="_Toc353873941"/>
      <w:bookmarkStart w:id="762" w:name="_Toc353825545"/>
      <w:bookmarkStart w:id="763" w:name="_Toc226337251"/>
      <w:bookmarkStart w:id="764" w:name="_Toc353873665"/>
      <w:bookmarkStart w:id="765" w:name="_Toc305158897"/>
      <w:bookmarkStart w:id="766" w:name="_Toc264969245"/>
      <w:bookmarkStart w:id="767" w:name="_Toc195842920"/>
      <w:bookmarkStart w:id="768" w:name="_Toc150774760"/>
      <w:bookmarkStart w:id="769" w:name="_Toc305158823"/>
      <w:bookmarkStart w:id="770" w:name="_Toc265228393"/>
      <w:bookmarkStart w:id="771" w:name="_Toc226965828"/>
      <w:bookmarkStart w:id="772" w:name="_Toc127151555"/>
      <w:bookmarkStart w:id="773" w:name="_Toc142311057"/>
      <w:bookmarkStart w:id="774" w:name="_Toc353873935"/>
      <w:bookmarkStart w:id="775" w:name="_Toc150480793"/>
      <w:r>
        <w:rPr>
          <w:sz w:val="24"/>
        </w:rPr>
        <w:t>投标文件的符合性审查</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numPr>
          <w:ilvl w:val="1"/>
          <w:numId w:val="8"/>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76" w:name="_Toc520356167"/>
    </w:p>
    <w:p>
      <w:pPr>
        <w:numPr>
          <w:ilvl w:val="1"/>
          <w:numId w:val="8"/>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76"/>
      <w:r>
        <w:rPr>
          <w:rFonts w:hint="eastAsia"/>
          <w:sz w:val="24"/>
        </w:rPr>
        <w:t>要求的，</w:t>
      </w:r>
      <w:r>
        <w:rPr>
          <w:rFonts w:hint="eastAsia"/>
          <w:b/>
          <w:sz w:val="24"/>
        </w:rPr>
        <w:t>投标无效</w:t>
      </w:r>
      <w:r>
        <w:rPr>
          <w:rFonts w:hint="eastAsia"/>
          <w:sz w:val="24"/>
        </w:rPr>
        <w:t>。</w:t>
      </w:r>
    </w:p>
    <w:p>
      <w:pPr>
        <w:tabs>
          <w:tab w:val="left" w:pos="900"/>
          <w:tab w:val="left" w:pos="1080"/>
          <w:tab w:val="left" w:pos="1589"/>
        </w:tabs>
        <w:snapToGrid w:val="0"/>
        <w:spacing w:line="360" w:lineRule="auto"/>
        <w:ind w:left="0" w:leftChars="-170" w:hanging="357" w:hangingChars="148"/>
        <w:jc w:val="center"/>
        <w:rPr>
          <w:b/>
          <w:color w:val="000000"/>
          <w:sz w:val="24"/>
        </w:rPr>
      </w:pPr>
      <w:r>
        <w:rPr>
          <w:b/>
          <w:sz w:val="24"/>
        </w:rPr>
        <w:t>符合性审查</w:t>
      </w:r>
      <w:r>
        <w:rPr>
          <w:rFonts w:hint="eastAsia"/>
          <w:b/>
          <w:sz w:val="24"/>
        </w:rPr>
        <w:t>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noWrap w:val="0"/>
            <w:vAlign w:val="center"/>
          </w:tcPr>
          <w:p>
            <w:pPr>
              <w:widowControl/>
              <w:jc w:val="center"/>
              <w:rPr>
                <w:b/>
                <w:color w:val="000000"/>
                <w:kern w:val="0"/>
                <w:sz w:val="24"/>
              </w:rPr>
            </w:pPr>
            <w:r>
              <w:rPr>
                <w:b/>
                <w:color w:val="000000"/>
                <w:kern w:val="0"/>
                <w:sz w:val="24"/>
              </w:rPr>
              <w:t>序号</w:t>
            </w:r>
          </w:p>
        </w:tc>
        <w:tc>
          <w:tcPr>
            <w:tcW w:w="975" w:type="pct"/>
            <w:noWrap w:val="0"/>
            <w:vAlign w:val="center"/>
          </w:tcPr>
          <w:p>
            <w:pPr>
              <w:widowControl/>
              <w:jc w:val="center"/>
              <w:rPr>
                <w:b/>
                <w:color w:val="000000"/>
                <w:kern w:val="0"/>
                <w:sz w:val="24"/>
              </w:rPr>
            </w:pPr>
            <w:r>
              <w:rPr>
                <w:b/>
                <w:color w:val="000000"/>
                <w:kern w:val="0"/>
                <w:sz w:val="24"/>
              </w:rPr>
              <w:t>审查因素</w:t>
            </w:r>
          </w:p>
        </w:tc>
        <w:tc>
          <w:tcPr>
            <w:tcW w:w="3620" w:type="pct"/>
            <w:noWrap w:val="0"/>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color w:val="000000"/>
                <w:kern w:val="0"/>
                <w:sz w:val="24"/>
              </w:rPr>
            </w:pPr>
            <w:r>
              <w:rPr>
                <w:color w:val="000000"/>
                <w:kern w:val="0"/>
                <w:sz w:val="24"/>
              </w:rPr>
              <w:t>1</w:t>
            </w:r>
          </w:p>
        </w:tc>
        <w:tc>
          <w:tcPr>
            <w:tcW w:w="975" w:type="pct"/>
            <w:noWrap w:val="0"/>
            <w:vAlign w:val="center"/>
          </w:tcPr>
          <w:p>
            <w:pPr>
              <w:widowControl/>
              <w:jc w:val="left"/>
              <w:rPr>
                <w:color w:val="000000"/>
                <w:kern w:val="0"/>
                <w:sz w:val="24"/>
              </w:rPr>
            </w:pPr>
            <w:r>
              <w:rPr>
                <w:color w:val="000000"/>
                <w:kern w:val="0"/>
                <w:sz w:val="24"/>
              </w:rPr>
              <w:t>授权委托书</w:t>
            </w:r>
          </w:p>
        </w:tc>
        <w:tc>
          <w:tcPr>
            <w:tcW w:w="3620" w:type="pct"/>
            <w:noWrap w:val="0"/>
            <w:vAlign w:val="center"/>
          </w:tcPr>
          <w:p>
            <w:pPr>
              <w:widowControl/>
              <w:jc w:val="left"/>
              <w:rPr>
                <w:color w:val="000000"/>
                <w:kern w:val="0"/>
                <w:sz w:val="24"/>
              </w:rPr>
            </w:pPr>
            <w:r>
              <w:rPr>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color w:val="000000"/>
                <w:kern w:val="0"/>
                <w:sz w:val="24"/>
              </w:rPr>
            </w:pPr>
            <w:r>
              <w:rPr>
                <w:color w:val="000000"/>
                <w:kern w:val="0"/>
                <w:sz w:val="24"/>
              </w:rPr>
              <w:t>2</w:t>
            </w:r>
          </w:p>
        </w:tc>
        <w:tc>
          <w:tcPr>
            <w:tcW w:w="975" w:type="pct"/>
            <w:noWrap w:val="0"/>
            <w:vAlign w:val="center"/>
          </w:tcPr>
          <w:p>
            <w:pPr>
              <w:widowControl/>
              <w:jc w:val="left"/>
              <w:rPr>
                <w:color w:val="000000"/>
                <w:kern w:val="0"/>
                <w:sz w:val="24"/>
              </w:rPr>
            </w:pPr>
            <w:r>
              <w:rPr>
                <w:color w:val="000000"/>
                <w:kern w:val="0"/>
                <w:sz w:val="24"/>
              </w:rPr>
              <w:t>投标完整性</w:t>
            </w:r>
          </w:p>
        </w:tc>
        <w:tc>
          <w:tcPr>
            <w:tcW w:w="3620" w:type="pct"/>
            <w:noWrap w:val="0"/>
            <w:vAlign w:val="center"/>
          </w:tcPr>
          <w:p>
            <w:pPr>
              <w:widowControl/>
              <w:jc w:val="left"/>
              <w:rPr>
                <w:color w:val="000000"/>
                <w:kern w:val="0"/>
                <w:sz w:val="24"/>
              </w:rPr>
            </w:pPr>
            <w:r>
              <w:rPr>
                <w:rFonts w:hint="eastAsia"/>
                <w:sz w:val="24"/>
              </w:rPr>
              <w:t>未</w:t>
            </w:r>
            <w:r>
              <w:rPr>
                <w:sz w:val="24"/>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color w:val="000000"/>
                <w:kern w:val="0"/>
                <w:sz w:val="24"/>
              </w:rPr>
            </w:pPr>
            <w:r>
              <w:rPr>
                <w:color w:val="000000"/>
                <w:kern w:val="0"/>
                <w:sz w:val="24"/>
              </w:rPr>
              <w:t>3</w:t>
            </w:r>
          </w:p>
        </w:tc>
        <w:tc>
          <w:tcPr>
            <w:tcW w:w="975" w:type="pct"/>
            <w:noWrap w:val="0"/>
            <w:vAlign w:val="center"/>
          </w:tcPr>
          <w:p>
            <w:pPr>
              <w:widowControl/>
              <w:jc w:val="left"/>
              <w:rPr>
                <w:color w:val="000000"/>
                <w:kern w:val="0"/>
                <w:sz w:val="24"/>
              </w:rPr>
            </w:pPr>
            <w:r>
              <w:rPr>
                <w:color w:val="000000"/>
                <w:kern w:val="0"/>
                <w:sz w:val="24"/>
              </w:rPr>
              <w:t>投标报价</w:t>
            </w:r>
          </w:p>
        </w:tc>
        <w:tc>
          <w:tcPr>
            <w:tcW w:w="3620" w:type="pct"/>
            <w:noWrap w:val="0"/>
            <w:vAlign w:val="center"/>
          </w:tcPr>
          <w:p>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color w:val="000000"/>
                <w:kern w:val="0"/>
                <w:sz w:val="24"/>
              </w:rPr>
            </w:pPr>
            <w:r>
              <w:rPr>
                <w:color w:val="000000"/>
                <w:kern w:val="0"/>
                <w:sz w:val="24"/>
              </w:rPr>
              <w:t>4</w:t>
            </w:r>
          </w:p>
        </w:tc>
        <w:tc>
          <w:tcPr>
            <w:tcW w:w="975" w:type="pct"/>
            <w:noWrap w:val="0"/>
            <w:vAlign w:val="center"/>
          </w:tcPr>
          <w:p>
            <w:pPr>
              <w:widowControl/>
              <w:jc w:val="left"/>
              <w:rPr>
                <w:color w:val="000000"/>
                <w:kern w:val="0"/>
                <w:sz w:val="24"/>
              </w:rPr>
            </w:pPr>
            <w:r>
              <w:rPr>
                <w:color w:val="000000"/>
                <w:kern w:val="0"/>
                <w:sz w:val="24"/>
              </w:rPr>
              <w:t>报价唯一性</w:t>
            </w:r>
          </w:p>
        </w:tc>
        <w:tc>
          <w:tcPr>
            <w:tcW w:w="3620" w:type="pct"/>
            <w:noWrap w:val="0"/>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color w:val="000000"/>
                <w:kern w:val="0"/>
                <w:sz w:val="24"/>
              </w:rPr>
            </w:pPr>
            <w:r>
              <w:rPr>
                <w:color w:val="000000"/>
                <w:kern w:val="0"/>
                <w:sz w:val="24"/>
              </w:rPr>
              <w:t>5</w:t>
            </w:r>
          </w:p>
        </w:tc>
        <w:tc>
          <w:tcPr>
            <w:tcW w:w="975" w:type="pct"/>
            <w:noWrap w:val="0"/>
            <w:vAlign w:val="center"/>
          </w:tcPr>
          <w:p>
            <w:pPr>
              <w:widowControl/>
              <w:jc w:val="left"/>
              <w:rPr>
                <w:color w:val="000000"/>
                <w:kern w:val="0"/>
                <w:sz w:val="24"/>
              </w:rPr>
            </w:pPr>
            <w:r>
              <w:rPr>
                <w:color w:val="000000"/>
                <w:kern w:val="0"/>
                <w:sz w:val="24"/>
              </w:rPr>
              <w:t>投标有效期</w:t>
            </w:r>
          </w:p>
        </w:tc>
        <w:tc>
          <w:tcPr>
            <w:tcW w:w="3620" w:type="pct"/>
            <w:noWrap w:val="0"/>
            <w:vAlign w:val="center"/>
          </w:tcPr>
          <w:p>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val="en-US" w:eastAsia="zh-CN"/>
              </w:rPr>
            </w:pPr>
            <w:r>
              <w:rPr>
                <w:rFonts w:hint="eastAsia"/>
                <w:color w:val="000000"/>
                <w:kern w:val="0"/>
                <w:sz w:val="24"/>
                <w:lang w:val="en-US" w:eastAsia="zh-CN"/>
              </w:rPr>
              <w:t>6</w:t>
            </w:r>
          </w:p>
        </w:tc>
        <w:tc>
          <w:tcPr>
            <w:tcW w:w="975" w:type="pct"/>
            <w:noWrap w:val="0"/>
            <w:vAlign w:val="center"/>
          </w:tcPr>
          <w:p>
            <w:pPr>
              <w:widowControl/>
              <w:jc w:val="left"/>
              <w:rPr>
                <w:color w:val="000000"/>
                <w:kern w:val="0"/>
                <w:sz w:val="24"/>
              </w:rPr>
            </w:pPr>
            <w:r>
              <w:rPr>
                <w:rFonts w:hint="eastAsia"/>
                <w:color w:val="000000"/>
                <w:kern w:val="0"/>
                <w:sz w:val="24"/>
              </w:rPr>
              <w:t>实质性格式</w:t>
            </w:r>
          </w:p>
        </w:tc>
        <w:tc>
          <w:tcPr>
            <w:tcW w:w="3620" w:type="pct"/>
            <w:noWrap w:val="0"/>
            <w:vAlign w:val="center"/>
          </w:tcPr>
          <w:p>
            <w:pPr>
              <w:widowControl/>
              <w:jc w:val="left"/>
              <w:rPr>
                <w:color w:val="000000"/>
                <w:kern w:val="0"/>
                <w:sz w:val="24"/>
              </w:rPr>
            </w:pPr>
            <w:r>
              <w:rPr>
                <w:rFonts w:hint="eastAsia"/>
                <w:kern w:val="0"/>
                <w:sz w:val="24"/>
              </w:rPr>
              <w:t>标记为“实质性格式”的文件均按招标文件要求提供且签署、盖章的；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7</w:t>
            </w:r>
          </w:p>
        </w:tc>
        <w:tc>
          <w:tcPr>
            <w:tcW w:w="975" w:type="pct"/>
            <w:noWrap w:val="0"/>
            <w:vAlign w:val="center"/>
          </w:tcPr>
          <w:p>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号条款响应（如有）</w:t>
            </w:r>
          </w:p>
        </w:tc>
        <w:tc>
          <w:tcPr>
            <w:tcW w:w="3620" w:type="pct"/>
            <w:noWrap w:val="0"/>
            <w:vAlign w:val="center"/>
          </w:tcPr>
          <w:p>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auto"/>
                <w:kern w:val="0"/>
                <w:sz w:val="24"/>
              </w:rPr>
              <w:t>★</w:t>
            </w:r>
            <w:r>
              <w:rPr>
                <w:color w:val="auto"/>
                <w:kern w:val="0"/>
                <w:sz w:val="24"/>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8</w:t>
            </w:r>
          </w:p>
        </w:tc>
        <w:tc>
          <w:tcPr>
            <w:tcW w:w="975" w:type="pct"/>
            <w:noWrap w:val="0"/>
            <w:vAlign w:val="center"/>
          </w:tcPr>
          <w:p>
            <w:pPr>
              <w:widowControl/>
              <w:jc w:val="left"/>
              <w:rPr>
                <w:rFonts w:hint="eastAsia"/>
                <w:color w:val="000000"/>
                <w:kern w:val="0"/>
                <w:sz w:val="24"/>
              </w:rPr>
            </w:pPr>
            <w:r>
              <w:rPr>
                <w:rFonts w:hint="eastAsia"/>
                <w:color w:val="000000"/>
                <w:kern w:val="0"/>
                <w:sz w:val="24"/>
              </w:rPr>
              <w:t>拟分包情况说</w:t>
            </w:r>
          </w:p>
          <w:p>
            <w:pPr>
              <w:widowControl/>
              <w:jc w:val="left"/>
              <w:rPr>
                <w:color w:val="000000"/>
                <w:kern w:val="0"/>
                <w:sz w:val="24"/>
              </w:rPr>
            </w:pPr>
            <w:r>
              <w:rPr>
                <w:rFonts w:hint="eastAsia"/>
                <w:color w:val="000000"/>
                <w:kern w:val="0"/>
                <w:sz w:val="24"/>
              </w:rPr>
              <w:t>明（如有）</w:t>
            </w:r>
          </w:p>
        </w:tc>
        <w:tc>
          <w:tcPr>
            <w:tcW w:w="3620" w:type="pct"/>
            <w:noWrap w:val="0"/>
            <w:vAlign w:val="center"/>
          </w:tcPr>
          <w:p>
            <w:pPr>
              <w:widowControl/>
              <w:jc w:val="left"/>
              <w:rPr>
                <w:color w:val="000000"/>
                <w:kern w:val="0"/>
                <w:sz w:val="24"/>
              </w:rPr>
            </w:pPr>
            <w:r>
              <w:rPr>
                <w:rFonts w:hint="eastAsia"/>
                <w:sz w:val="24"/>
              </w:rPr>
              <w:t>如本项目（包）非因“落实政府采购政策”亦允许分包，且供应商拟进行分包时，必须提供；否则无须提供；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9</w:t>
            </w:r>
          </w:p>
        </w:tc>
        <w:tc>
          <w:tcPr>
            <w:tcW w:w="975" w:type="pct"/>
            <w:noWrap w:val="0"/>
            <w:vAlign w:val="center"/>
          </w:tcPr>
          <w:p>
            <w:pPr>
              <w:widowControl/>
              <w:jc w:val="left"/>
              <w:rPr>
                <w:rFonts w:hint="eastAsia"/>
                <w:color w:val="000000"/>
                <w:kern w:val="0"/>
                <w:sz w:val="24"/>
              </w:rPr>
            </w:pPr>
            <w:r>
              <w:rPr>
                <w:rFonts w:hint="eastAsia"/>
                <w:color w:val="000000"/>
                <w:kern w:val="0"/>
                <w:sz w:val="24"/>
              </w:rPr>
              <w:t>分包其他要求</w:t>
            </w:r>
          </w:p>
          <w:p>
            <w:pPr>
              <w:widowControl/>
              <w:jc w:val="left"/>
              <w:rPr>
                <w:color w:val="000000"/>
                <w:kern w:val="0"/>
                <w:sz w:val="24"/>
              </w:rPr>
            </w:pPr>
            <w:r>
              <w:rPr>
                <w:rFonts w:hint="eastAsia"/>
                <w:color w:val="000000"/>
                <w:kern w:val="0"/>
                <w:sz w:val="24"/>
              </w:rPr>
              <w:t>（如有）</w:t>
            </w:r>
          </w:p>
        </w:tc>
        <w:tc>
          <w:tcPr>
            <w:tcW w:w="3620" w:type="pct"/>
            <w:noWrap w:val="0"/>
            <w:vAlign w:val="center"/>
          </w:tcPr>
          <w:p>
            <w:pPr>
              <w:widowControl/>
              <w:jc w:val="left"/>
              <w:rPr>
                <w:rFonts w:hint="eastAsia"/>
                <w:color w:val="000000"/>
                <w:kern w:val="0"/>
                <w:sz w:val="24"/>
              </w:rPr>
            </w:pPr>
            <w:r>
              <w:rPr>
                <w:rFonts w:hint="eastAsia"/>
                <w:color w:val="000000"/>
                <w:kern w:val="0"/>
                <w:sz w:val="24"/>
              </w:rPr>
              <w:t>分包履行的内容、金额或者比例未超出《投标人须知资料表》</w:t>
            </w:r>
          </w:p>
          <w:p>
            <w:pPr>
              <w:widowControl/>
              <w:jc w:val="left"/>
              <w:rPr>
                <w:rFonts w:hint="eastAsia"/>
                <w:color w:val="000000"/>
                <w:kern w:val="0"/>
                <w:sz w:val="24"/>
              </w:rPr>
            </w:pPr>
            <w:r>
              <w:rPr>
                <w:rFonts w:hint="eastAsia"/>
                <w:color w:val="000000"/>
                <w:kern w:val="0"/>
                <w:sz w:val="24"/>
              </w:rPr>
              <w:t>中的规定；</w:t>
            </w:r>
          </w:p>
          <w:p>
            <w:pPr>
              <w:widowControl/>
              <w:jc w:val="left"/>
              <w:rPr>
                <w:rFonts w:hint="eastAsia"/>
                <w:color w:val="000000"/>
                <w:kern w:val="0"/>
                <w:sz w:val="24"/>
              </w:rPr>
            </w:pPr>
            <w:r>
              <w:rPr>
                <w:rFonts w:hint="eastAsia"/>
                <w:color w:val="000000"/>
                <w:kern w:val="0"/>
                <w:sz w:val="24"/>
              </w:rPr>
              <w:t>分包承担主体具备《投标人须知资料表》载明的资质条件且提</w:t>
            </w:r>
          </w:p>
          <w:p>
            <w:pPr>
              <w:widowControl/>
              <w:jc w:val="left"/>
              <w:rPr>
                <w:color w:val="000000"/>
                <w:kern w:val="0"/>
                <w:sz w:val="24"/>
              </w:rPr>
            </w:pPr>
            <w:r>
              <w:rPr>
                <w:rFonts w:hint="eastAsia"/>
                <w:color w:val="000000"/>
                <w:kern w:val="0"/>
                <w:sz w:val="24"/>
              </w:rPr>
              <w:t>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color w:val="000000"/>
                <w:kern w:val="0"/>
                <w:sz w:val="24"/>
              </w:rPr>
              <w:t>1</w:t>
            </w:r>
            <w:r>
              <w:rPr>
                <w:rFonts w:hint="eastAsia"/>
                <w:color w:val="000000"/>
                <w:kern w:val="0"/>
                <w:sz w:val="24"/>
                <w:lang w:val="en-US" w:eastAsia="zh-CN"/>
              </w:rPr>
              <w:t>0</w:t>
            </w:r>
          </w:p>
        </w:tc>
        <w:tc>
          <w:tcPr>
            <w:tcW w:w="975" w:type="pct"/>
            <w:noWrap w:val="0"/>
            <w:vAlign w:val="center"/>
          </w:tcPr>
          <w:p>
            <w:pPr>
              <w:widowControl/>
              <w:jc w:val="left"/>
              <w:rPr>
                <w:color w:val="000000"/>
                <w:kern w:val="0"/>
                <w:sz w:val="24"/>
              </w:rPr>
            </w:pPr>
            <w:r>
              <w:rPr>
                <w:color w:val="000000"/>
                <w:kern w:val="0"/>
                <w:sz w:val="24"/>
              </w:rPr>
              <w:t>报价的修正（如有）</w:t>
            </w:r>
          </w:p>
        </w:tc>
        <w:tc>
          <w:tcPr>
            <w:tcW w:w="3620" w:type="pct"/>
            <w:noWrap w:val="0"/>
            <w:vAlign w:val="center"/>
          </w:tcPr>
          <w:p>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color w:val="000000"/>
                <w:kern w:val="0"/>
                <w:sz w:val="24"/>
              </w:rPr>
              <w:t>1</w:t>
            </w:r>
            <w:r>
              <w:rPr>
                <w:rFonts w:hint="eastAsia"/>
                <w:color w:val="000000"/>
                <w:kern w:val="0"/>
                <w:sz w:val="24"/>
                <w:lang w:val="en-US" w:eastAsia="zh-CN"/>
              </w:rPr>
              <w:t>1</w:t>
            </w:r>
          </w:p>
        </w:tc>
        <w:tc>
          <w:tcPr>
            <w:tcW w:w="975" w:type="pct"/>
            <w:noWrap w:val="0"/>
            <w:vAlign w:val="center"/>
          </w:tcPr>
          <w:p>
            <w:pPr>
              <w:widowControl/>
              <w:jc w:val="left"/>
              <w:rPr>
                <w:color w:val="000000"/>
                <w:kern w:val="0"/>
                <w:sz w:val="24"/>
              </w:rPr>
            </w:pPr>
            <w:r>
              <w:rPr>
                <w:color w:val="000000"/>
                <w:kern w:val="0"/>
                <w:sz w:val="24"/>
              </w:rPr>
              <w:t>报价合理性</w:t>
            </w:r>
          </w:p>
        </w:tc>
        <w:tc>
          <w:tcPr>
            <w:tcW w:w="3620" w:type="pct"/>
            <w:noWrap w:val="0"/>
            <w:vAlign w:val="center"/>
          </w:tcPr>
          <w:p>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color w:val="000000"/>
                <w:kern w:val="0"/>
                <w:sz w:val="24"/>
              </w:rPr>
              <w:t>1</w:t>
            </w:r>
            <w:r>
              <w:rPr>
                <w:rFonts w:hint="eastAsia"/>
                <w:color w:val="000000"/>
                <w:kern w:val="0"/>
                <w:sz w:val="24"/>
                <w:lang w:val="en-US" w:eastAsia="zh-CN"/>
              </w:rPr>
              <w:t>2</w:t>
            </w:r>
          </w:p>
        </w:tc>
        <w:tc>
          <w:tcPr>
            <w:tcW w:w="975" w:type="pct"/>
            <w:noWrap w:val="0"/>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3620" w:type="pct"/>
            <w:noWrap w:val="0"/>
            <w:vAlign w:val="center"/>
          </w:tcPr>
          <w:p>
            <w:pPr>
              <w:widowControl/>
              <w:jc w:val="left"/>
              <w:rPr>
                <w:color w:val="000000"/>
                <w:kern w:val="0"/>
                <w:sz w:val="24"/>
              </w:rPr>
            </w:pPr>
            <w:r>
              <w:rPr>
                <w:rFonts w:hint="eastAsia" w:ascii="宋体" w:hAnsi="宋体"/>
                <w:sz w:val="24"/>
              </w:rPr>
              <w:t>招标文件</w:t>
            </w:r>
            <w:r>
              <w:rPr>
                <w:rFonts w:ascii="宋体" w:hAnsi="宋体"/>
                <w:sz w:val="24"/>
              </w:rPr>
              <w:t>不接受进口产品投标</w:t>
            </w:r>
            <w:r>
              <w:rPr>
                <w:rFonts w:hint="eastAsia" w:ascii="宋体" w:hAnsi="宋体"/>
                <w:sz w:val="24"/>
              </w:rPr>
              <w:t>的内容时</w:t>
            </w:r>
            <w:r>
              <w:rPr>
                <w:rFonts w:ascii="宋体" w:hAnsi="宋体"/>
                <w:sz w:val="24"/>
              </w:rPr>
              <w:t>，</w:t>
            </w:r>
            <w:r>
              <w:rPr>
                <w:rFonts w:hint="eastAsia" w:ascii="宋体" w:hAnsi="宋体"/>
                <w:sz w:val="24"/>
              </w:rPr>
              <w:t>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color w:val="000000"/>
                <w:kern w:val="0"/>
                <w:sz w:val="24"/>
              </w:rPr>
              <w:t>1</w:t>
            </w:r>
            <w:r>
              <w:rPr>
                <w:rFonts w:hint="eastAsia"/>
                <w:color w:val="000000"/>
                <w:kern w:val="0"/>
                <w:sz w:val="24"/>
                <w:lang w:val="en-US" w:eastAsia="zh-CN"/>
              </w:rPr>
              <w:t>3</w:t>
            </w:r>
          </w:p>
        </w:tc>
        <w:tc>
          <w:tcPr>
            <w:tcW w:w="975" w:type="pct"/>
            <w:noWrap w:val="0"/>
            <w:vAlign w:val="center"/>
          </w:tcPr>
          <w:p>
            <w:pPr>
              <w:widowControl/>
              <w:jc w:val="left"/>
              <w:rPr>
                <w:rFonts w:hint="eastAsia"/>
                <w:color w:val="000000"/>
                <w:kern w:val="0"/>
                <w:sz w:val="24"/>
              </w:rPr>
            </w:pPr>
            <w:r>
              <w:rPr>
                <w:rFonts w:hint="eastAsia"/>
                <w:color w:val="000000"/>
                <w:kern w:val="0"/>
                <w:sz w:val="24"/>
              </w:rPr>
              <w:t>国家有关部门</w:t>
            </w:r>
          </w:p>
          <w:p>
            <w:pPr>
              <w:widowControl/>
              <w:jc w:val="left"/>
              <w:rPr>
                <w:rFonts w:hint="eastAsia"/>
                <w:color w:val="000000"/>
                <w:kern w:val="0"/>
                <w:sz w:val="24"/>
              </w:rPr>
            </w:pPr>
            <w:r>
              <w:rPr>
                <w:rFonts w:hint="eastAsia"/>
                <w:color w:val="000000"/>
                <w:kern w:val="0"/>
                <w:sz w:val="24"/>
              </w:rPr>
              <w:t>对投标人的投</w:t>
            </w:r>
          </w:p>
          <w:p>
            <w:pPr>
              <w:widowControl/>
              <w:jc w:val="left"/>
              <w:rPr>
                <w:rFonts w:hint="eastAsia"/>
                <w:color w:val="000000"/>
                <w:kern w:val="0"/>
                <w:sz w:val="24"/>
              </w:rPr>
            </w:pPr>
            <w:r>
              <w:rPr>
                <w:rFonts w:hint="eastAsia"/>
                <w:color w:val="000000"/>
                <w:kern w:val="0"/>
                <w:sz w:val="24"/>
              </w:rPr>
              <w:t>标产品有强制</w:t>
            </w:r>
          </w:p>
          <w:p>
            <w:pPr>
              <w:widowControl/>
              <w:jc w:val="left"/>
              <w:rPr>
                <w:rFonts w:hint="eastAsia"/>
                <w:color w:val="000000"/>
                <w:kern w:val="0"/>
                <w:sz w:val="24"/>
              </w:rPr>
            </w:pPr>
            <w:r>
              <w:rPr>
                <w:rFonts w:hint="eastAsia"/>
                <w:color w:val="000000"/>
                <w:kern w:val="0"/>
                <w:sz w:val="24"/>
              </w:rPr>
              <w:t>性规定或要求</w:t>
            </w:r>
          </w:p>
          <w:p>
            <w:pPr>
              <w:widowControl/>
              <w:jc w:val="left"/>
              <w:rPr>
                <w:color w:val="000000"/>
                <w:kern w:val="0"/>
                <w:sz w:val="24"/>
              </w:rPr>
            </w:pPr>
            <w:r>
              <w:rPr>
                <w:rFonts w:hint="eastAsia"/>
                <w:color w:val="000000"/>
                <w:kern w:val="0"/>
                <w:sz w:val="24"/>
              </w:rPr>
              <w:t>的</w:t>
            </w:r>
          </w:p>
        </w:tc>
        <w:tc>
          <w:tcPr>
            <w:tcW w:w="3620" w:type="pct"/>
            <w:noWrap w:val="0"/>
            <w:vAlign w:val="center"/>
          </w:tcPr>
          <w:p>
            <w:pPr>
              <w:widowControl/>
              <w:jc w:val="left"/>
              <w:rPr>
                <w:rFonts w:hint="eastAsia"/>
                <w:color w:val="000000"/>
                <w:kern w:val="0"/>
                <w:sz w:val="24"/>
              </w:rPr>
            </w:pPr>
            <w:r>
              <w:rPr>
                <w:rFonts w:hint="eastAsia"/>
                <w:color w:val="000000"/>
                <w:kern w:val="0"/>
                <w:sz w:val="24"/>
              </w:rPr>
              <w:t>国家有关部门对投标人的投标产品有强制性规定或要求的（如</w:t>
            </w:r>
          </w:p>
          <w:p>
            <w:pPr>
              <w:widowControl/>
              <w:jc w:val="left"/>
              <w:rPr>
                <w:rFonts w:hint="eastAsia"/>
                <w:color w:val="000000"/>
                <w:kern w:val="0"/>
                <w:sz w:val="24"/>
              </w:rPr>
            </w:pPr>
            <w:r>
              <w:rPr>
                <w:rFonts w:hint="eastAsia"/>
                <w:color w:val="000000"/>
                <w:kern w:val="0"/>
                <w:sz w:val="24"/>
              </w:rPr>
              <w:t>相应技术、安全、节能和环保等），投标人的投标产品应符合</w:t>
            </w:r>
          </w:p>
          <w:p>
            <w:pPr>
              <w:widowControl/>
              <w:jc w:val="left"/>
              <w:rPr>
                <w:rFonts w:hint="eastAsia"/>
                <w:color w:val="000000"/>
                <w:kern w:val="0"/>
                <w:sz w:val="24"/>
              </w:rPr>
            </w:pPr>
            <w:r>
              <w:rPr>
                <w:rFonts w:hint="eastAsia"/>
                <w:color w:val="000000"/>
                <w:kern w:val="0"/>
                <w:sz w:val="24"/>
              </w:rPr>
              <w:t>相应规定或要求，并提供证明文件电子件：</w:t>
            </w:r>
          </w:p>
          <w:p>
            <w:pPr>
              <w:widowControl/>
              <w:jc w:val="left"/>
              <w:rPr>
                <w:rFonts w:hint="eastAsia"/>
                <w:color w:val="000000"/>
                <w:kern w:val="0"/>
                <w:sz w:val="24"/>
              </w:rPr>
            </w:pPr>
            <w:r>
              <w:rPr>
                <w:rFonts w:hint="eastAsia"/>
                <w:color w:val="000000"/>
                <w:kern w:val="0"/>
                <w:sz w:val="24"/>
              </w:rPr>
              <w:t>1）采购的产品若属于《节能产品政府采购品目清单》范围中</w:t>
            </w:r>
          </w:p>
          <w:p>
            <w:pPr>
              <w:widowControl/>
              <w:jc w:val="left"/>
              <w:rPr>
                <w:rFonts w:hint="eastAsia"/>
                <w:color w:val="000000"/>
                <w:kern w:val="0"/>
                <w:sz w:val="24"/>
              </w:rPr>
            </w:pPr>
            <w:r>
              <w:rPr>
                <w:rFonts w:hint="eastAsia"/>
                <w:color w:val="000000"/>
                <w:kern w:val="0"/>
                <w:sz w:val="24"/>
              </w:rPr>
              <w:t>政府强制采购产品，则投标人所报产品必须获得国家确定的认</w:t>
            </w:r>
          </w:p>
          <w:p>
            <w:pPr>
              <w:widowControl/>
              <w:jc w:val="left"/>
              <w:rPr>
                <w:rFonts w:hint="eastAsia"/>
                <w:color w:val="000000"/>
                <w:kern w:val="0"/>
                <w:sz w:val="24"/>
              </w:rPr>
            </w:pPr>
            <w:r>
              <w:rPr>
                <w:rFonts w:hint="eastAsia"/>
                <w:color w:val="000000"/>
                <w:kern w:val="0"/>
                <w:sz w:val="24"/>
              </w:rPr>
              <w:t>证机构出具的、处于有效期之内的节能产品认证证书；</w:t>
            </w:r>
          </w:p>
          <w:p>
            <w:pPr>
              <w:widowControl/>
              <w:jc w:val="left"/>
              <w:rPr>
                <w:rFonts w:hint="eastAsia"/>
                <w:color w:val="000000"/>
                <w:kern w:val="0"/>
                <w:sz w:val="24"/>
              </w:rPr>
            </w:pPr>
            <w:r>
              <w:rPr>
                <w:rFonts w:hint="eastAsia"/>
                <w:color w:val="000000"/>
                <w:kern w:val="0"/>
                <w:sz w:val="24"/>
              </w:rPr>
              <w:t>2）所投产品属于列入《网络关键设备和网络安全专用产品目</w:t>
            </w:r>
          </w:p>
          <w:p>
            <w:pPr>
              <w:widowControl/>
              <w:jc w:val="left"/>
              <w:rPr>
                <w:rFonts w:hint="eastAsia"/>
                <w:color w:val="000000"/>
                <w:kern w:val="0"/>
                <w:sz w:val="24"/>
              </w:rPr>
            </w:pPr>
            <w:r>
              <w:rPr>
                <w:rFonts w:hint="eastAsia"/>
                <w:color w:val="000000"/>
                <w:kern w:val="0"/>
                <w:sz w:val="24"/>
              </w:rPr>
              <w:t>录》的网络安全专用产品时，应当按照《信息安全技术网络安</w:t>
            </w:r>
          </w:p>
          <w:p>
            <w:pPr>
              <w:widowControl/>
              <w:jc w:val="left"/>
              <w:rPr>
                <w:rFonts w:hint="eastAsia"/>
                <w:color w:val="000000"/>
                <w:kern w:val="0"/>
                <w:sz w:val="24"/>
              </w:rPr>
            </w:pPr>
            <w:r>
              <w:rPr>
                <w:rFonts w:hint="eastAsia"/>
                <w:color w:val="000000"/>
                <w:kern w:val="0"/>
                <w:sz w:val="24"/>
              </w:rPr>
              <w:t>全专用产品安全技术要求》等相关国家标准的强制性要求，由</w:t>
            </w:r>
          </w:p>
          <w:p>
            <w:pPr>
              <w:widowControl/>
              <w:jc w:val="left"/>
              <w:rPr>
                <w:rFonts w:hint="eastAsia"/>
                <w:color w:val="000000"/>
                <w:kern w:val="0"/>
                <w:sz w:val="24"/>
              </w:rPr>
            </w:pPr>
            <w:r>
              <w:rPr>
                <w:rFonts w:hint="eastAsia"/>
                <w:color w:val="000000"/>
                <w:kern w:val="0"/>
                <w:sz w:val="24"/>
              </w:rPr>
              <w:t>具备资格的机构安全认证合格或者安全检测符合要求； （如该产品已经获得公安部颁发的计算机信息系统安全专用产品销售许可证，且在有效期内，亦视为符合要求）</w:t>
            </w:r>
          </w:p>
          <w:p>
            <w:pPr>
              <w:widowControl/>
              <w:jc w:val="left"/>
              <w:rPr>
                <w:rFonts w:hint="eastAsia"/>
                <w:color w:val="000000"/>
                <w:kern w:val="0"/>
                <w:sz w:val="24"/>
              </w:rPr>
            </w:pPr>
            <w:r>
              <w:rPr>
                <w:rFonts w:hint="eastAsia"/>
                <w:color w:val="000000"/>
                <w:kern w:val="0"/>
                <w:sz w:val="24"/>
              </w:rPr>
              <w:t>3）国家有特殊信息安全要求的项目，采购产品涉及无线局域</w:t>
            </w:r>
          </w:p>
          <w:p>
            <w:pPr>
              <w:widowControl/>
              <w:jc w:val="left"/>
              <w:rPr>
                <w:rFonts w:hint="eastAsia"/>
                <w:color w:val="000000"/>
                <w:kern w:val="0"/>
                <w:sz w:val="24"/>
              </w:rPr>
            </w:pPr>
            <w:r>
              <w:rPr>
                <w:rFonts w:hint="eastAsia"/>
                <w:color w:val="000000"/>
                <w:kern w:val="0"/>
                <w:sz w:val="24"/>
              </w:rPr>
              <w:t>网产品和含有无线局域网功能的计算机、通信设备、打印机、</w:t>
            </w:r>
          </w:p>
          <w:p>
            <w:pPr>
              <w:widowControl/>
              <w:jc w:val="left"/>
              <w:rPr>
                <w:rFonts w:hint="eastAsia"/>
                <w:color w:val="000000"/>
                <w:kern w:val="0"/>
                <w:sz w:val="24"/>
              </w:rPr>
            </w:pPr>
            <w:r>
              <w:rPr>
                <w:rFonts w:hint="eastAsia"/>
                <w:color w:val="000000"/>
                <w:kern w:val="0"/>
                <w:sz w:val="24"/>
              </w:rPr>
              <w:t>复印机、投影仪等产品的，投标产品须为符合国家无线局域网</w:t>
            </w:r>
          </w:p>
          <w:p>
            <w:pPr>
              <w:widowControl/>
              <w:jc w:val="left"/>
              <w:rPr>
                <w:rFonts w:hint="eastAsia"/>
                <w:color w:val="000000"/>
                <w:kern w:val="0"/>
                <w:sz w:val="24"/>
              </w:rPr>
            </w:pPr>
            <w:r>
              <w:rPr>
                <w:rFonts w:hint="eastAsia"/>
                <w:color w:val="000000"/>
                <w:kern w:val="0"/>
                <w:sz w:val="24"/>
              </w:rPr>
              <w:t>安全标准（GB 15629.11/1102）并通过国家产品认证的产品；</w:t>
            </w:r>
          </w:p>
          <w:p>
            <w:pPr>
              <w:widowControl/>
              <w:jc w:val="left"/>
              <w:rPr>
                <w:rFonts w:hint="eastAsia"/>
                <w:color w:val="000000"/>
                <w:kern w:val="0"/>
                <w:sz w:val="24"/>
              </w:rPr>
            </w:pPr>
            <w:r>
              <w:rPr>
                <w:rFonts w:hint="eastAsia"/>
                <w:color w:val="000000"/>
                <w:kern w:val="0"/>
                <w:sz w:val="24"/>
              </w:rPr>
              <w:t>4）项目中涉及涂料、胶黏剂、油墨、清洗剂等挥发性有机物</w:t>
            </w:r>
          </w:p>
          <w:p>
            <w:pPr>
              <w:widowControl/>
              <w:jc w:val="left"/>
              <w:rPr>
                <w:rFonts w:hint="eastAsia"/>
                <w:color w:val="000000"/>
                <w:kern w:val="0"/>
                <w:sz w:val="24"/>
              </w:rPr>
            </w:pPr>
            <w:r>
              <w:rPr>
                <w:rFonts w:hint="eastAsia"/>
                <w:color w:val="000000"/>
                <w:kern w:val="0"/>
                <w:sz w:val="24"/>
              </w:rPr>
              <w:t>产品，且属于强制性标准的，供应商应执行符合本市和国家的</w:t>
            </w:r>
          </w:p>
          <w:p>
            <w:pPr>
              <w:widowControl/>
              <w:jc w:val="left"/>
              <w:rPr>
                <w:color w:val="000000"/>
                <w:kern w:val="0"/>
                <w:sz w:val="24"/>
              </w:rPr>
            </w:pPr>
            <w:r>
              <w:rPr>
                <w:rFonts w:hint="eastAsia"/>
                <w:color w:val="000000"/>
                <w:kern w:val="0"/>
                <w:sz w:val="24"/>
              </w:rPr>
              <w:t>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color w:val="000000"/>
                <w:kern w:val="0"/>
                <w:sz w:val="24"/>
              </w:rPr>
              <w:t>1</w:t>
            </w:r>
            <w:r>
              <w:rPr>
                <w:rFonts w:hint="eastAsia"/>
                <w:color w:val="000000"/>
                <w:kern w:val="0"/>
                <w:sz w:val="24"/>
                <w:lang w:val="en-US" w:eastAsia="zh-CN"/>
              </w:rPr>
              <w:t>4</w:t>
            </w:r>
          </w:p>
        </w:tc>
        <w:tc>
          <w:tcPr>
            <w:tcW w:w="975" w:type="pct"/>
            <w:noWrap w:val="0"/>
            <w:vAlign w:val="center"/>
          </w:tcPr>
          <w:p>
            <w:pPr>
              <w:widowControl/>
              <w:jc w:val="left"/>
              <w:rPr>
                <w:color w:val="000000"/>
                <w:kern w:val="0"/>
                <w:sz w:val="24"/>
              </w:rPr>
            </w:pPr>
            <w:r>
              <w:rPr>
                <w:color w:val="000000"/>
                <w:kern w:val="0"/>
                <w:sz w:val="24"/>
              </w:rPr>
              <w:t>公平竞争</w:t>
            </w:r>
          </w:p>
        </w:tc>
        <w:tc>
          <w:tcPr>
            <w:tcW w:w="3620" w:type="pct"/>
            <w:noWrap w:val="0"/>
            <w:vAlign w:val="center"/>
          </w:tcPr>
          <w:p>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color w:val="000000"/>
                <w:kern w:val="0"/>
                <w:sz w:val="24"/>
              </w:rPr>
              <w:t>1</w:t>
            </w:r>
            <w:r>
              <w:rPr>
                <w:rFonts w:hint="eastAsia"/>
                <w:color w:val="000000"/>
                <w:kern w:val="0"/>
                <w:sz w:val="24"/>
                <w:lang w:val="en-US" w:eastAsia="zh-CN"/>
              </w:rPr>
              <w:t>5</w:t>
            </w:r>
          </w:p>
        </w:tc>
        <w:tc>
          <w:tcPr>
            <w:tcW w:w="975" w:type="pct"/>
            <w:noWrap w:val="0"/>
            <w:vAlign w:val="center"/>
          </w:tcPr>
          <w:p>
            <w:pPr>
              <w:widowControl/>
              <w:jc w:val="left"/>
              <w:rPr>
                <w:color w:val="000000"/>
                <w:kern w:val="0"/>
                <w:sz w:val="24"/>
              </w:rPr>
            </w:pPr>
            <w:r>
              <w:rPr>
                <w:color w:val="000000"/>
                <w:kern w:val="0"/>
                <w:sz w:val="24"/>
              </w:rPr>
              <w:t>串通投标</w:t>
            </w:r>
          </w:p>
        </w:tc>
        <w:tc>
          <w:tcPr>
            <w:tcW w:w="3620" w:type="pct"/>
            <w:noWrap w:val="0"/>
            <w:vAlign w:val="center"/>
          </w:tcPr>
          <w:p>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color w:val="000000"/>
                <w:kern w:val="0"/>
                <w:sz w:val="24"/>
              </w:rPr>
              <w:t>1</w:t>
            </w:r>
            <w:r>
              <w:rPr>
                <w:rFonts w:hint="eastAsia"/>
                <w:color w:val="000000"/>
                <w:kern w:val="0"/>
                <w:sz w:val="24"/>
                <w:lang w:val="en-US" w:eastAsia="zh-CN"/>
              </w:rPr>
              <w:t>6</w:t>
            </w:r>
          </w:p>
        </w:tc>
        <w:tc>
          <w:tcPr>
            <w:tcW w:w="975" w:type="pct"/>
            <w:noWrap w:val="0"/>
            <w:vAlign w:val="center"/>
          </w:tcPr>
          <w:p>
            <w:pPr>
              <w:widowControl/>
              <w:jc w:val="left"/>
              <w:rPr>
                <w:color w:val="000000"/>
                <w:kern w:val="0"/>
                <w:sz w:val="24"/>
              </w:rPr>
            </w:pPr>
            <w:r>
              <w:rPr>
                <w:color w:val="000000"/>
                <w:kern w:val="0"/>
                <w:sz w:val="24"/>
              </w:rPr>
              <w:t>附加条件</w:t>
            </w:r>
          </w:p>
        </w:tc>
        <w:tc>
          <w:tcPr>
            <w:tcW w:w="3620" w:type="pct"/>
            <w:noWrap w:val="0"/>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pPr>
              <w:widowControl/>
              <w:jc w:val="center"/>
              <w:rPr>
                <w:rFonts w:hint="eastAsia" w:eastAsia="宋体"/>
                <w:color w:val="000000"/>
                <w:kern w:val="0"/>
                <w:sz w:val="24"/>
                <w:lang w:eastAsia="zh-CN"/>
              </w:rPr>
            </w:pPr>
            <w:r>
              <w:rPr>
                <w:rFonts w:hint="eastAsia"/>
                <w:color w:val="000000"/>
                <w:kern w:val="0"/>
                <w:sz w:val="24"/>
              </w:rPr>
              <w:t>1</w:t>
            </w:r>
            <w:r>
              <w:rPr>
                <w:rFonts w:hint="eastAsia"/>
                <w:color w:val="000000"/>
                <w:kern w:val="0"/>
                <w:sz w:val="24"/>
                <w:lang w:val="en-US" w:eastAsia="zh-CN"/>
              </w:rPr>
              <w:t>7</w:t>
            </w:r>
          </w:p>
        </w:tc>
        <w:tc>
          <w:tcPr>
            <w:tcW w:w="975" w:type="pct"/>
            <w:noWrap w:val="0"/>
            <w:vAlign w:val="center"/>
          </w:tcPr>
          <w:p>
            <w:pPr>
              <w:widowControl/>
              <w:jc w:val="left"/>
              <w:rPr>
                <w:color w:val="000000"/>
                <w:kern w:val="0"/>
                <w:sz w:val="24"/>
              </w:rPr>
            </w:pPr>
            <w:r>
              <w:rPr>
                <w:color w:val="000000"/>
                <w:kern w:val="0"/>
                <w:sz w:val="24"/>
              </w:rPr>
              <w:t>其他无效情形</w:t>
            </w:r>
          </w:p>
        </w:tc>
        <w:tc>
          <w:tcPr>
            <w:tcW w:w="3620" w:type="pct"/>
            <w:noWrap w:val="0"/>
            <w:vAlign w:val="center"/>
          </w:tcPr>
          <w:p>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pPr>
        <w:numPr>
          <w:ilvl w:val="0"/>
          <w:numId w:val="9"/>
        </w:numPr>
        <w:tabs>
          <w:tab w:val="left" w:pos="1080"/>
          <w:tab w:val="left" w:pos="1589"/>
        </w:tabs>
        <w:snapToGrid w:val="0"/>
        <w:spacing w:line="360" w:lineRule="auto"/>
        <w:rPr>
          <w:sz w:val="24"/>
        </w:rPr>
        <w:sectPr>
          <w:headerReference r:id="rId8" w:type="first"/>
          <w:footerReference r:id="rId10" w:type="first"/>
          <w:headerReference r:id="rId7" w:type="even"/>
          <w:footerReference r:id="rId9" w:type="even"/>
          <w:pgSz w:w="11907" w:h="16840"/>
          <w:pgMar w:top="1418" w:right="1134" w:bottom="1418" w:left="1701" w:header="851" w:footer="851" w:gutter="0"/>
          <w:pgNumType w:fmt="decimal"/>
          <w:cols w:space="720" w:num="1"/>
          <w:docGrid w:linePitch="462" w:charSpace="0"/>
        </w:sectPr>
      </w:pPr>
    </w:p>
    <w:p>
      <w:pPr>
        <w:numPr>
          <w:ilvl w:val="0"/>
          <w:numId w:val="0"/>
        </w:numPr>
        <w:tabs>
          <w:tab w:val="left" w:pos="360"/>
        </w:tabs>
        <w:snapToGrid w:val="0"/>
        <w:spacing w:line="360" w:lineRule="auto"/>
        <w:ind w:leftChars="0"/>
        <w:outlineLvl w:val="1"/>
        <w:rPr>
          <w:sz w:val="24"/>
          <w:highlight w:val="yellow"/>
        </w:rPr>
      </w:pPr>
      <w:r>
        <w:rPr>
          <w:rFonts w:hint="eastAsia"/>
          <w:sz w:val="24"/>
          <w:lang w:val="en-US" w:eastAsia="zh-CN"/>
        </w:rPr>
        <w:t xml:space="preserve">2 </w:t>
      </w:r>
      <w:r>
        <w:rPr>
          <w:rFonts w:hint="eastAsia"/>
          <w:sz w:val="24"/>
          <w:highlight w:val="none"/>
          <w:lang w:val="en-US" w:eastAsia="zh-CN"/>
        </w:rPr>
        <w:t xml:space="preserve">   </w:t>
      </w:r>
      <w:r>
        <w:rPr>
          <w:sz w:val="24"/>
          <w:highlight w:val="none"/>
        </w:rPr>
        <w:t>投标文件有关事项的澄清或者说明</w:t>
      </w:r>
    </w:p>
    <w:p>
      <w:pPr>
        <w:numPr>
          <w:ilvl w:val="0"/>
          <w:numId w:val="0"/>
        </w:numPr>
        <w:tabs>
          <w:tab w:val="left" w:pos="1080"/>
        </w:tabs>
        <w:snapToGrid w:val="0"/>
        <w:spacing w:line="360" w:lineRule="auto"/>
        <w:ind w:left="1076" w:leftChars="284" w:hanging="480" w:hangingChars="200"/>
        <w:rPr>
          <w:rFonts w:hint="eastAsia"/>
          <w:sz w:val="24"/>
        </w:rPr>
      </w:pPr>
      <w:r>
        <w:rPr>
          <w:rFonts w:hint="eastAsia"/>
          <w:sz w:val="24"/>
          <w:lang w:val="en-US" w:eastAsia="zh-CN"/>
        </w:rPr>
        <w:t xml:space="preserve">2.1 </w:t>
      </w: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pPr>
        <w:numPr>
          <w:ilvl w:val="0"/>
          <w:numId w:val="0"/>
        </w:numPr>
        <w:tabs>
          <w:tab w:val="left" w:pos="1080"/>
        </w:tabs>
        <w:snapToGrid w:val="0"/>
        <w:spacing w:line="360" w:lineRule="auto"/>
        <w:ind w:left="1076" w:leftChars="284" w:hanging="480" w:hangingChars="200"/>
        <w:rPr>
          <w:sz w:val="24"/>
        </w:rPr>
      </w:pPr>
      <w:r>
        <w:rPr>
          <w:rFonts w:hint="eastAsia"/>
          <w:sz w:val="24"/>
          <w:lang w:val="en-US" w:eastAsia="zh-CN"/>
        </w:rPr>
        <w:t xml:space="preserve">2.2 </w:t>
      </w: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0"/>
          <w:numId w:val="0"/>
        </w:numPr>
        <w:tabs>
          <w:tab w:val="left" w:pos="1080"/>
        </w:tabs>
        <w:snapToGrid w:val="0"/>
        <w:spacing w:line="360" w:lineRule="auto"/>
        <w:ind w:left="1076" w:leftChars="284" w:hanging="480" w:hangingChars="200"/>
        <w:rPr>
          <w:rFonts w:hint="eastAsia"/>
          <w:sz w:val="24"/>
        </w:rPr>
      </w:pPr>
      <w:r>
        <w:rPr>
          <w:rFonts w:hint="eastAsia"/>
          <w:sz w:val="24"/>
          <w:lang w:val="en-US" w:eastAsia="zh-CN"/>
        </w:rPr>
        <w:t xml:space="preserve">2.3 </w:t>
      </w: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hint="eastAsia"/>
          <w:b/>
          <w:bCs/>
          <w:sz w:val="24"/>
        </w:rPr>
        <w:t>其投标无效。</w:t>
      </w:r>
    </w:p>
    <w:p>
      <w:pPr>
        <w:numPr>
          <w:ilvl w:val="0"/>
          <w:numId w:val="0"/>
        </w:numPr>
        <w:tabs>
          <w:tab w:val="left" w:pos="1080"/>
        </w:tabs>
        <w:snapToGrid w:val="0"/>
        <w:spacing w:line="360" w:lineRule="auto"/>
        <w:ind w:left="596" w:leftChars="284" w:firstLine="0" w:firstLineChars="0"/>
        <w:rPr>
          <w:sz w:val="24"/>
        </w:rPr>
      </w:pPr>
      <w:r>
        <w:rPr>
          <w:rFonts w:hint="eastAsia"/>
          <w:sz w:val="24"/>
          <w:lang w:val="en-US" w:eastAsia="zh-CN"/>
        </w:rPr>
        <w:t xml:space="preserve">2.4 </w:t>
      </w:r>
      <w:r>
        <w:rPr>
          <w:sz w:val="24"/>
        </w:rPr>
        <w:t>投标文件报价出现前后不一致的，按照下列规定修正：</w:t>
      </w:r>
    </w:p>
    <w:p>
      <w:pPr>
        <w:numPr>
          <w:ilvl w:val="0"/>
          <w:numId w:val="0"/>
        </w:numPr>
        <w:tabs>
          <w:tab w:val="left" w:pos="1080"/>
          <w:tab w:val="left" w:pos="1589"/>
          <w:tab w:val="left" w:pos="2035"/>
          <w:tab w:val="left" w:pos="2114"/>
        </w:tabs>
        <w:snapToGrid w:val="0"/>
        <w:spacing w:line="360" w:lineRule="auto"/>
        <w:ind w:left="1135" w:leftChars="0"/>
        <w:rPr>
          <w:sz w:val="24"/>
        </w:rPr>
      </w:pPr>
      <w:r>
        <w:rPr>
          <w:rFonts w:hint="eastAsia"/>
          <w:sz w:val="24"/>
          <w:lang w:val="en-US" w:eastAsia="zh-CN"/>
        </w:rPr>
        <w:t>2.4.1</w:t>
      </w: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无，按下述2.4.2-2.4.7项规定修正。</w:t>
      </w:r>
    </w:p>
    <w:p>
      <w:pPr>
        <w:numPr>
          <w:ilvl w:val="0"/>
          <w:numId w:val="0"/>
        </w:numPr>
        <w:tabs>
          <w:tab w:val="left" w:pos="2035"/>
          <w:tab w:val="left" w:pos="2114"/>
          <w:tab w:val="left" w:pos="2977"/>
        </w:tabs>
        <w:snapToGrid w:val="0"/>
        <w:spacing w:line="360" w:lineRule="auto"/>
        <w:ind w:left="1135" w:leftChars="0"/>
        <w:rPr>
          <w:color w:val="000000"/>
          <w:sz w:val="24"/>
        </w:rPr>
      </w:pPr>
      <w:r>
        <w:rPr>
          <w:rFonts w:hint="eastAsia"/>
          <w:color w:val="000000"/>
          <w:sz w:val="24"/>
          <w:lang w:val="en-US" w:eastAsia="zh-CN"/>
        </w:rPr>
        <w:t>2.4.2</w:t>
      </w:r>
      <w:r>
        <w:rPr>
          <w:color w:val="000000"/>
          <w:sz w:val="24"/>
        </w:rPr>
        <w:t>单独递交的开标一览表（报价表）与投标文件中开标一览表（报价表）内容不一致的，以单独递交的开标一览表（报价表）为准；</w:t>
      </w:r>
    </w:p>
    <w:p>
      <w:pPr>
        <w:numPr>
          <w:ilvl w:val="0"/>
          <w:numId w:val="0"/>
        </w:numPr>
        <w:tabs>
          <w:tab w:val="left" w:pos="2035"/>
          <w:tab w:val="left" w:pos="2114"/>
          <w:tab w:val="left" w:pos="2977"/>
        </w:tabs>
        <w:snapToGrid w:val="0"/>
        <w:spacing w:line="360" w:lineRule="auto"/>
        <w:ind w:left="1135" w:leftChars="0"/>
        <w:rPr>
          <w:color w:val="000000"/>
          <w:sz w:val="24"/>
        </w:rPr>
      </w:pPr>
      <w:r>
        <w:rPr>
          <w:rFonts w:hint="eastAsia"/>
          <w:color w:val="000000"/>
          <w:sz w:val="24"/>
          <w:lang w:val="en-US" w:eastAsia="zh-CN"/>
        </w:rPr>
        <w:t>2.4.3</w:t>
      </w:r>
      <w:r>
        <w:rPr>
          <w:color w:val="000000"/>
          <w:sz w:val="24"/>
        </w:rPr>
        <w:t>投标文件中开标一览表（报价表）内容与投标文件中相应内容不一致的，以开标一览表（报价表）为准；</w:t>
      </w:r>
    </w:p>
    <w:p>
      <w:pPr>
        <w:numPr>
          <w:ilvl w:val="0"/>
          <w:numId w:val="0"/>
        </w:numPr>
        <w:tabs>
          <w:tab w:val="left" w:pos="2035"/>
          <w:tab w:val="left" w:pos="2114"/>
          <w:tab w:val="left" w:pos="2977"/>
        </w:tabs>
        <w:snapToGrid w:val="0"/>
        <w:spacing w:line="360" w:lineRule="auto"/>
        <w:ind w:left="1135" w:leftChars="0"/>
        <w:rPr>
          <w:color w:val="000000"/>
          <w:sz w:val="24"/>
        </w:rPr>
      </w:pPr>
      <w:r>
        <w:rPr>
          <w:rFonts w:hint="eastAsia"/>
          <w:color w:val="000000"/>
          <w:sz w:val="24"/>
          <w:lang w:val="en-US" w:eastAsia="zh-CN"/>
        </w:rPr>
        <w:t>2.4.4</w:t>
      </w:r>
      <w:r>
        <w:rPr>
          <w:color w:val="000000"/>
          <w:sz w:val="24"/>
        </w:rPr>
        <w:t>大写金额和小写金额不一致的，以大写金额为准；</w:t>
      </w:r>
    </w:p>
    <w:p>
      <w:pPr>
        <w:numPr>
          <w:ilvl w:val="0"/>
          <w:numId w:val="0"/>
        </w:numPr>
        <w:tabs>
          <w:tab w:val="left" w:pos="2035"/>
          <w:tab w:val="left" w:pos="2114"/>
          <w:tab w:val="left" w:pos="2977"/>
        </w:tabs>
        <w:snapToGrid w:val="0"/>
        <w:spacing w:line="360" w:lineRule="auto"/>
        <w:ind w:left="1135" w:leftChars="0"/>
        <w:rPr>
          <w:color w:val="000000"/>
          <w:sz w:val="24"/>
        </w:rPr>
      </w:pPr>
      <w:r>
        <w:rPr>
          <w:rFonts w:hint="eastAsia"/>
          <w:color w:val="000000"/>
          <w:sz w:val="24"/>
          <w:lang w:val="en-US" w:eastAsia="zh-CN"/>
        </w:rPr>
        <w:t>2.4.5</w:t>
      </w:r>
      <w:r>
        <w:rPr>
          <w:color w:val="000000"/>
          <w:sz w:val="24"/>
        </w:rPr>
        <w:t>单价金额小数点或者百分比有明显错位的，以开标一览表的总价为准，并修改单价；</w:t>
      </w:r>
    </w:p>
    <w:p>
      <w:pPr>
        <w:numPr>
          <w:ilvl w:val="0"/>
          <w:numId w:val="0"/>
        </w:numPr>
        <w:tabs>
          <w:tab w:val="left" w:pos="2035"/>
          <w:tab w:val="left" w:pos="2114"/>
          <w:tab w:val="left" w:pos="2977"/>
        </w:tabs>
        <w:snapToGrid w:val="0"/>
        <w:spacing w:line="360" w:lineRule="auto"/>
        <w:ind w:left="1135" w:leftChars="0"/>
        <w:rPr>
          <w:color w:val="000000"/>
          <w:sz w:val="24"/>
        </w:rPr>
      </w:pPr>
      <w:r>
        <w:rPr>
          <w:rFonts w:hint="eastAsia"/>
          <w:color w:val="000000"/>
          <w:sz w:val="24"/>
          <w:lang w:val="en-US" w:eastAsia="zh-CN"/>
        </w:rPr>
        <w:t>2.4.6</w:t>
      </w:r>
      <w:r>
        <w:rPr>
          <w:color w:val="000000"/>
          <w:sz w:val="24"/>
        </w:rPr>
        <w:t>总价金额与按单价汇总金额不一致的，以单价金额计算结果为准。</w:t>
      </w:r>
    </w:p>
    <w:p>
      <w:pPr>
        <w:numPr>
          <w:ilvl w:val="0"/>
          <w:numId w:val="0"/>
        </w:numPr>
        <w:tabs>
          <w:tab w:val="left" w:pos="1080"/>
          <w:tab w:val="left" w:pos="1589"/>
          <w:tab w:val="left" w:pos="2035"/>
          <w:tab w:val="left" w:pos="2114"/>
        </w:tabs>
        <w:snapToGrid w:val="0"/>
        <w:spacing w:line="360" w:lineRule="auto"/>
        <w:ind w:left="1135" w:leftChars="0"/>
        <w:rPr>
          <w:sz w:val="24"/>
          <w:highlight w:val="none"/>
        </w:rPr>
      </w:pPr>
      <w:r>
        <w:rPr>
          <w:rFonts w:hint="eastAsia"/>
          <w:sz w:val="24"/>
          <w:highlight w:val="none"/>
          <w:lang w:val="en-US" w:eastAsia="zh-CN"/>
        </w:rPr>
        <w:t>2.4.7</w:t>
      </w:r>
      <w:r>
        <w:rPr>
          <w:sz w:val="24"/>
          <w:highlight w:val="none"/>
        </w:rPr>
        <w:t>同时出现两种以上不一致的，按照前款规定的顺序修正。修正后的报价经投标人书面确认后产生约束力，投标人不确认的，其</w:t>
      </w:r>
      <w:r>
        <w:rPr>
          <w:b/>
          <w:sz w:val="24"/>
          <w:highlight w:val="none"/>
        </w:rPr>
        <w:t>投标无效</w:t>
      </w:r>
      <w:r>
        <w:rPr>
          <w:sz w:val="24"/>
          <w:highlight w:val="none"/>
        </w:rPr>
        <w:t>。</w:t>
      </w:r>
    </w:p>
    <w:p>
      <w:pPr>
        <w:numPr>
          <w:ilvl w:val="0"/>
          <w:numId w:val="0"/>
        </w:numPr>
        <w:tabs>
          <w:tab w:val="left" w:pos="360"/>
        </w:tabs>
        <w:snapToGrid w:val="0"/>
        <w:spacing w:line="360" w:lineRule="auto"/>
        <w:ind w:left="959" w:leftChars="228" w:hanging="480" w:hangingChars="200"/>
        <w:outlineLvl w:val="1"/>
        <w:rPr>
          <w:rFonts w:hint="eastAsia"/>
          <w:sz w:val="24"/>
        </w:rPr>
      </w:pPr>
      <w:r>
        <w:rPr>
          <w:rFonts w:hint="eastAsia"/>
          <w:sz w:val="24"/>
        </w:rPr>
        <w:t xml:space="preserve">2.5 </w:t>
      </w:r>
      <w:r>
        <w:rPr>
          <w:rFonts w:hint="eastAsia"/>
          <w:sz w:val="24"/>
          <w:lang w:val="en-US" w:eastAsia="zh-CN"/>
        </w:rPr>
        <w:t xml:space="preserve"> </w:t>
      </w:r>
      <w:r>
        <w:rPr>
          <w:rFonts w:hint="eastAsia"/>
          <w:sz w:val="24"/>
        </w:rPr>
        <w:t>落实政府采购政策的价格调整：只有符合第二章《投标人须知》5.2 条规定情形的，可以享受中小企业扶持政策，用扣除后的价格参加评审；否则，评标时价格不予扣除。</w:t>
      </w:r>
    </w:p>
    <w:p>
      <w:pPr>
        <w:numPr>
          <w:ilvl w:val="0"/>
          <w:numId w:val="0"/>
        </w:numPr>
        <w:tabs>
          <w:tab w:val="left" w:pos="360"/>
        </w:tabs>
        <w:snapToGrid w:val="0"/>
        <w:spacing w:line="360" w:lineRule="auto"/>
        <w:ind w:left="958" w:leftChars="456" w:firstLine="0" w:firstLineChars="0"/>
        <w:outlineLvl w:val="1"/>
        <w:rPr>
          <w:rFonts w:hint="eastAsia"/>
          <w:sz w:val="24"/>
        </w:rPr>
      </w:pPr>
      <w:r>
        <w:rPr>
          <w:rFonts w:hint="eastAsia"/>
          <w:sz w:val="24"/>
        </w:rPr>
        <w:t>2.5.1 对于未预留份额专门面向中小企业采购的采购项目，以及预留份额项目中的非预留部分采购包，对小微企业报价给予</w:t>
      </w:r>
      <w:r>
        <w:rPr>
          <w:rFonts w:hint="eastAsia"/>
          <w:sz w:val="24"/>
          <w:lang w:val="en-US" w:eastAsia="zh-CN"/>
        </w:rPr>
        <w:t xml:space="preserve"> </w:t>
      </w:r>
      <w:r>
        <w:rPr>
          <w:rFonts w:hint="eastAsia"/>
          <w:sz w:val="24"/>
          <w:u w:val="single"/>
          <w:lang w:val="en-US" w:eastAsia="zh-CN"/>
        </w:rPr>
        <w:t xml:space="preserve">12  </w:t>
      </w:r>
      <w:r>
        <w:rPr>
          <w:rFonts w:hint="eastAsia"/>
          <w:sz w:val="24"/>
        </w:rPr>
        <w:t>%的扣除，用扣除后的价格参加评审。</w:t>
      </w:r>
    </w:p>
    <w:p>
      <w:pPr>
        <w:numPr>
          <w:ilvl w:val="0"/>
          <w:numId w:val="0"/>
        </w:numPr>
        <w:tabs>
          <w:tab w:val="left" w:pos="360"/>
        </w:tabs>
        <w:snapToGrid w:val="0"/>
        <w:spacing w:line="360" w:lineRule="auto"/>
        <w:ind w:left="958" w:leftChars="456" w:firstLine="0" w:firstLineChars="0"/>
        <w:outlineLvl w:val="1"/>
        <w:rPr>
          <w:rFonts w:hint="eastAsia"/>
          <w:sz w:val="24"/>
        </w:rPr>
      </w:pPr>
      <w:r>
        <w:rPr>
          <w:rFonts w:hint="eastAsia"/>
          <w:sz w:val="24"/>
        </w:rPr>
        <w:t>2.5.2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lang w:val="en-US" w:eastAsia="zh-CN"/>
        </w:rPr>
        <w:t xml:space="preserve">5  </w:t>
      </w:r>
      <w:r>
        <w:rPr>
          <w:rFonts w:hint="eastAsia"/>
          <w:sz w:val="24"/>
        </w:rPr>
        <w:t>%的扣除，用扣除后的价格参加评审。</w:t>
      </w:r>
    </w:p>
    <w:p>
      <w:pPr>
        <w:numPr>
          <w:ilvl w:val="0"/>
          <w:numId w:val="0"/>
        </w:numPr>
        <w:tabs>
          <w:tab w:val="left" w:pos="360"/>
        </w:tabs>
        <w:snapToGrid w:val="0"/>
        <w:spacing w:line="360" w:lineRule="auto"/>
        <w:ind w:left="958" w:leftChars="456" w:firstLine="0" w:firstLineChars="0"/>
        <w:outlineLvl w:val="1"/>
        <w:rPr>
          <w:rFonts w:hint="eastAsia"/>
          <w:sz w:val="24"/>
        </w:rPr>
      </w:pPr>
      <w:r>
        <w:rPr>
          <w:rFonts w:hint="eastAsia"/>
          <w:sz w:val="24"/>
        </w:rPr>
        <w:t>2.5.3 组成联合体或者接受分包的小微企业与联合体内其他企业、分包企业之间存在直接控股、管理关系的，不享受价格扣除优惠政策。</w:t>
      </w:r>
    </w:p>
    <w:p>
      <w:pPr>
        <w:numPr>
          <w:ilvl w:val="0"/>
          <w:numId w:val="0"/>
        </w:numPr>
        <w:tabs>
          <w:tab w:val="left" w:pos="360"/>
        </w:tabs>
        <w:snapToGrid w:val="0"/>
        <w:spacing w:line="360" w:lineRule="auto"/>
        <w:ind w:leftChars="0" w:firstLine="960" w:firstLineChars="400"/>
        <w:outlineLvl w:val="1"/>
        <w:rPr>
          <w:rFonts w:hint="eastAsia"/>
          <w:sz w:val="24"/>
        </w:rPr>
      </w:pPr>
      <w:r>
        <w:rPr>
          <w:rFonts w:hint="eastAsia"/>
          <w:sz w:val="24"/>
        </w:rPr>
        <w:t>2.5.4 价格扣除比例对小型企业和微型企业同等对待，不作区分。</w:t>
      </w:r>
    </w:p>
    <w:p>
      <w:pPr>
        <w:numPr>
          <w:ilvl w:val="0"/>
          <w:numId w:val="0"/>
        </w:numPr>
        <w:tabs>
          <w:tab w:val="left" w:pos="360"/>
        </w:tabs>
        <w:snapToGrid w:val="0"/>
        <w:spacing w:line="360" w:lineRule="auto"/>
        <w:ind w:left="958" w:leftChars="456" w:firstLine="0" w:firstLineChars="0"/>
        <w:outlineLvl w:val="1"/>
        <w:rPr>
          <w:rFonts w:hint="eastAsia"/>
          <w:sz w:val="24"/>
        </w:rPr>
      </w:pPr>
      <w:r>
        <w:rPr>
          <w:rFonts w:hint="eastAsia"/>
          <w:sz w:val="24"/>
        </w:rPr>
        <w:t>2.5.5 中小企业参加政府采购活动，应当按照招标文件给定的格式出具《中小企业声明函》，否则不得享受相关中小企业扶持政策。</w:t>
      </w:r>
    </w:p>
    <w:p>
      <w:pPr>
        <w:numPr>
          <w:ilvl w:val="0"/>
          <w:numId w:val="0"/>
        </w:numPr>
        <w:tabs>
          <w:tab w:val="left" w:pos="360"/>
        </w:tabs>
        <w:snapToGrid w:val="0"/>
        <w:spacing w:line="360" w:lineRule="auto"/>
        <w:ind w:left="958" w:leftChars="456" w:firstLine="0" w:firstLineChars="0"/>
        <w:outlineLvl w:val="1"/>
        <w:rPr>
          <w:rFonts w:hint="eastAsia"/>
          <w:sz w:val="24"/>
        </w:rPr>
      </w:pPr>
      <w:r>
        <w:rPr>
          <w:rFonts w:hint="eastAsia"/>
          <w:sz w:val="24"/>
        </w:rPr>
        <w:t>2.5.6 监狱企业提供了由省级以上监狱管理局、戒毒管理局（含新疆生产建设兵团）出具的属于监狱企业的证明文件的，视同小微企业。</w:t>
      </w:r>
    </w:p>
    <w:p>
      <w:pPr>
        <w:numPr>
          <w:ilvl w:val="0"/>
          <w:numId w:val="0"/>
        </w:numPr>
        <w:tabs>
          <w:tab w:val="left" w:pos="360"/>
        </w:tabs>
        <w:snapToGrid w:val="0"/>
        <w:spacing w:line="360" w:lineRule="auto"/>
        <w:ind w:left="958" w:leftChars="456" w:firstLine="0" w:firstLineChars="0"/>
        <w:outlineLvl w:val="1"/>
        <w:rPr>
          <w:rFonts w:hint="eastAsia"/>
          <w:sz w:val="24"/>
        </w:rPr>
      </w:pPr>
      <w:r>
        <w:rPr>
          <w:rFonts w:hint="eastAsia"/>
          <w:sz w:val="24"/>
        </w:rPr>
        <w:t>2.5.7 残疾人福利性单位按招标文件要求提供了《残疾人福利性单位声明函》的，视同小微企业。</w:t>
      </w:r>
    </w:p>
    <w:p>
      <w:pPr>
        <w:numPr>
          <w:ilvl w:val="0"/>
          <w:numId w:val="0"/>
        </w:numPr>
        <w:tabs>
          <w:tab w:val="left" w:pos="360"/>
        </w:tabs>
        <w:snapToGrid w:val="0"/>
        <w:spacing w:line="360" w:lineRule="auto"/>
        <w:ind w:left="958" w:leftChars="456" w:firstLine="0" w:firstLineChars="0"/>
        <w:outlineLvl w:val="1"/>
        <w:rPr>
          <w:rFonts w:hint="eastAsia"/>
          <w:sz w:val="24"/>
        </w:rPr>
      </w:pPr>
      <w:r>
        <w:rPr>
          <w:rFonts w:hint="eastAsia"/>
          <w:sz w:val="24"/>
        </w:rPr>
        <w:t>2.5.8 若投标人同时属于小型或微型企业、监狱企业、残疾人福利性单位中的两种及以上，将不重复享受小微企业价格扣减的优惠政策。</w:t>
      </w:r>
    </w:p>
    <w:p>
      <w:pPr>
        <w:numPr>
          <w:ilvl w:val="0"/>
          <w:numId w:val="0"/>
        </w:numPr>
        <w:tabs>
          <w:tab w:val="left" w:pos="360"/>
        </w:tabs>
        <w:snapToGrid w:val="0"/>
        <w:spacing w:line="360" w:lineRule="auto"/>
        <w:outlineLvl w:val="1"/>
        <w:rPr>
          <w:sz w:val="24"/>
        </w:rPr>
      </w:pPr>
      <w:r>
        <w:rPr>
          <w:rFonts w:hint="eastAsia"/>
          <w:sz w:val="24"/>
          <w:lang w:val="en-US" w:eastAsia="zh-CN"/>
        </w:rPr>
        <w:t xml:space="preserve">3   </w:t>
      </w:r>
      <w:r>
        <w:rPr>
          <w:sz w:val="24"/>
        </w:rPr>
        <w:t>投标文件的比较和评价</w:t>
      </w:r>
      <w:bookmarkEnd w:id="760"/>
      <w:bookmarkEnd w:id="761"/>
    </w:p>
    <w:p>
      <w:pPr>
        <w:numPr>
          <w:ilvl w:val="0"/>
          <w:numId w:val="0"/>
        </w:numPr>
        <w:tabs>
          <w:tab w:val="left" w:pos="1080"/>
        </w:tabs>
        <w:snapToGrid w:val="0"/>
        <w:spacing w:line="360" w:lineRule="auto"/>
        <w:ind w:firstLine="480" w:firstLineChars="200"/>
        <w:rPr>
          <w:sz w:val="24"/>
        </w:rPr>
      </w:pPr>
      <w:r>
        <w:rPr>
          <w:rFonts w:hint="eastAsia"/>
          <w:sz w:val="24"/>
          <w:lang w:val="en-US" w:eastAsia="zh-CN"/>
        </w:rPr>
        <w:t xml:space="preserve">3.1 </w:t>
      </w:r>
      <w:r>
        <w:rPr>
          <w:sz w:val="24"/>
        </w:rPr>
        <w:t>评标委员会将按照招标文件中规定的评标方法和标准，对符合性审查合格的投</w:t>
      </w:r>
    </w:p>
    <w:p>
      <w:pPr>
        <w:numPr>
          <w:ilvl w:val="0"/>
          <w:numId w:val="0"/>
        </w:numPr>
        <w:tabs>
          <w:tab w:val="left" w:pos="1080"/>
        </w:tabs>
        <w:snapToGrid w:val="0"/>
        <w:spacing w:line="360" w:lineRule="auto"/>
        <w:ind w:firstLine="960" w:firstLineChars="400"/>
        <w:rPr>
          <w:sz w:val="24"/>
        </w:rPr>
      </w:pPr>
      <w:r>
        <w:rPr>
          <w:sz w:val="24"/>
        </w:rPr>
        <w:t>标文件进行商务和技术评估，综合比较与评价；未通过符合性审查的投标文件</w:t>
      </w:r>
    </w:p>
    <w:p>
      <w:pPr>
        <w:numPr>
          <w:ilvl w:val="0"/>
          <w:numId w:val="0"/>
        </w:numPr>
        <w:tabs>
          <w:tab w:val="left" w:pos="1080"/>
        </w:tabs>
        <w:snapToGrid w:val="0"/>
        <w:spacing w:line="360" w:lineRule="auto"/>
        <w:ind w:firstLine="960" w:firstLineChars="400"/>
        <w:rPr>
          <w:sz w:val="24"/>
        </w:rPr>
      </w:pPr>
      <w:r>
        <w:rPr>
          <w:sz w:val="24"/>
        </w:rPr>
        <w:t>不得进入比较与评价。</w:t>
      </w:r>
    </w:p>
    <w:p>
      <w:pPr>
        <w:numPr>
          <w:ilvl w:val="0"/>
          <w:numId w:val="0"/>
        </w:numPr>
        <w:tabs>
          <w:tab w:val="left" w:pos="1080"/>
        </w:tabs>
        <w:snapToGrid w:val="0"/>
        <w:spacing w:line="360" w:lineRule="auto"/>
        <w:ind w:firstLine="480" w:firstLineChars="200"/>
        <w:rPr>
          <w:sz w:val="24"/>
        </w:rPr>
      </w:pPr>
      <w:r>
        <w:rPr>
          <w:rFonts w:hint="eastAsia"/>
          <w:sz w:val="24"/>
          <w:lang w:val="en-US" w:eastAsia="zh-CN"/>
        </w:rPr>
        <w:t>3.2</w:t>
      </w:r>
      <w:r>
        <w:rPr>
          <w:sz w:val="24"/>
        </w:rPr>
        <w:t>评标方法和评标标准</w:t>
      </w:r>
    </w:p>
    <w:p>
      <w:pPr>
        <w:numPr>
          <w:ilvl w:val="0"/>
          <w:numId w:val="0"/>
        </w:numPr>
        <w:tabs>
          <w:tab w:val="left" w:pos="1080"/>
          <w:tab w:val="left" w:pos="1589"/>
          <w:tab w:val="left" w:pos="2035"/>
        </w:tabs>
        <w:snapToGrid w:val="0"/>
        <w:spacing w:line="360" w:lineRule="auto"/>
        <w:ind w:firstLine="960" w:firstLineChars="400"/>
        <w:rPr>
          <w:sz w:val="24"/>
        </w:rPr>
      </w:pPr>
      <w:r>
        <w:rPr>
          <w:rFonts w:hint="eastAsia"/>
          <w:sz w:val="24"/>
          <w:lang w:val="en-US" w:eastAsia="zh-CN"/>
        </w:rPr>
        <w:t>3.2.1</w:t>
      </w:r>
      <w:r>
        <w:rPr>
          <w:sz w:val="24"/>
        </w:rPr>
        <w:t>本项目采用的评标方法为：</w:t>
      </w:r>
    </w:p>
    <w:p>
      <w:pPr>
        <w:tabs>
          <w:tab w:val="left" w:pos="900"/>
          <w:tab w:val="left" w:pos="1589"/>
          <w:tab w:val="left" w:pos="1701"/>
        </w:tabs>
        <w:snapToGrid w:val="0"/>
        <w:spacing w:line="360" w:lineRule="auto"/>
        <w:ind w:left="958" w:leftChars="456" w:firstLine="482" w:firstLineChars="200"/>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pPr>
        <w:tabs>
          <w:tab w:val="left" w:pos="900"/>
          <w:tab w:val="left" w:pos="1589"/>
          <w:tab w:val="left" w:pos="1701"/>
        </w:tabs>
        <w:snapToGrid w:val="0"/>
        <w:spacing w:line="360" w:lineRule="auto"/>
        <w:ind w:left="958" w:leftChars="456" w:firstLine="480" w:firstLineChars="200"/>
        <w:rPr>
          <w:sz w:val="24"/>
        </w:rPr>
      </w:pPr>
      <w:r>
        <w:rPr>
          <w:sz w:val="24"/>
        </w:rPr>
        <w:t>□最低评标价法，指投标文件满足招标文件全部实质性要求，且投标报价最低的投标人为中标候选人的评标方法。</w:t>
      </w:r>
    </w:p>
    <w:p>
      <w:pPr>
        <w:numPr>
          <w:ilvl w:val="0"/>
          <w:numId w:val="0"/>
        </w:numPr>
        <w:tabs>
          <w:tab w:val="left" w:pos="1080"/>
          <w:tab w:val="left" w:pos="1589"/>
          <w:tab w:val="left" w:pos="2035"/>
        </w:tabs>
        <w:snapToGrid w:val="0"/>
        <w:spacing w:line="360" w:lineRule="auto"/>
        <w:ind w:left="958" w:leftChars="456" w:firstLine="0" w:firstLineChars="0"/>
        <w:rPr>
          <w:sz w:val="24"/>
        </w:rPr>
      </w:pPr>
      <w:r>
        <w:rPr>
          <w:rFonts w:hint="eastAsia"/>
          <w:sz w:val="24"/>
          <w:lang w:val="en-US" w:eastAsia="zh-CN"/>
        </w:rPr>
        <w:t xml:space="preserve">3.2.2 </w:t>
      </w: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firstLine="1440" w:firstLineChars="600"/>
        <w:rPr>
          <w:sz w:val="24"/>
        </w:rPr>
      </w:pPr>
      <w:r>
        <w:rPr>
          <w:sz w:val="24"/>
        </w:rPr>
        <w:t>□随机抽取</w:t>
      </w:r>
    </w:p>
    <w:p>
      <w:pPr>
        <w:tabs>
          <w:tab w:val="left" w:pos="1080"/>
          <w:tab w:val="left" w:pos="1589"/>
          <w:tab w:val="left" w:pos="2035"/>
        </w:tabs>
        <w:snapToGrid w:val="0"/>
        <w:spacing w:line="360" w:lineRule="auto"/>
        <w:ind w:firstLine="1440" w:firstLineChars="600"/>
        <w:rPr>
          <w:sz w:val="24"/>
          <w:u w:val="single"/>
        </w:rPr>
      </w:pPr>
      <w:r>
        <w:rPr>
          <w:sz w:val="24"/>
        </w:rPr>
        <w:t>□其他方式，具体要求：_____</w:t>
      </w:r>
    </w:p>
    <w:p>
      <w:pPr>
        <w:numPr>
          <w:ilvl w:val="0"/>
          <w:numId w:val="0"/>
        </w:numPr>
        <w:tabs>
          <w:tab w:val="left" w:pos="1080"/>
          <w:tab w:val="left" w:pos="1589"/>
          <w:tab w:val="left" w:pos="2035"/>
        </w:tabs>
        <w:snapToGrid w:val="0"/>
        <w:spacing w:line="360" w:lineRule="auto"/>
        <w:ind w:left="1135" w:leftChars="0"/>
        <w:rPr>
          <w:sz w:val="24"/>
        </w:rPr>
      </w:pPr>
      <w:r>
        <w:rPr>
          <w:rFonts w:hint="eastAsia"/>
          <w:sz w:val="24"/>
          <w:lang w:val="en-US" w:eastAsia="zh-CN"/>
        </w:rPr>
        <w:t xml:space="preserve">3.2.3 </w:t>
      </w:r>
      <w:r>
        <w:rPr>
          <w:sz w:val="24"/>
        </w:rPr>
        <w:t>非政府强制采购的节能产品或环境标志产品，依据品目清单和认证证书实施政府优先采购。优先采购的具体规定（如涉及）_</w:t>
      </w:r>
      <w:r>
        <w:rPr>
          <w:rFonts w:hint="eastAsia"/>
          <w:sz w:val="24"/>
          <w:u w:val="single"/>
          <w:lang w:eastAsia="zh-CN"/>
        </w:rPr>
        <w:t>按规定得分</w:t>
      </w:r>
      <w:r>
        <w:rPr>
          <w:sz w:val="24"/>
        </w:rPr>
        <w:t>。</w:t>
      </w:r>
    </w:p>
    <w:p>
      <w:pPr>
        <w:numPr>
          <w:ilvl w:val="0"/>
          <w:numId w:val="0"/>
        </w:numPr>
        <w:tabs>
          <w:tab w:val="left" w:pos="1080"/>
          <w:tab w:val="left" w:pos="1589"/>
          <w:tab w:val="left" w:pos="2035"/>
        </w:tabs>
        <w:snapToGrid w:val="0"/>
        <w:spacing w:line="360" w:lineRule="auto"/>
        <w:ind w:left="1135" w:leftChars="0"/>
        <w:rPr>
          <w:sz w:val="24"/>
        </w:rPr>
      </w:pPr>
      <w:r>
        <w:rPr>
          <w:rFonts w:hint="eastAsia"/>
          <w:sz w:val="24"/>
          <w:lang w:val="en-US" w:eastAsia="zh-CN"/>
        </w:rPr>
        <w:t xml:space="preserve">3.2.4 </w:t>
      </w:r>
      <w:r>
        <w:rPr>
          <w:sz w:val="24"/>
        </w:rPr>
        <w:t>关于无线局域网认证产品政府采购清单中的产品，优先采购的具体规定（如涉及）_____。</w:t>
      </w:r>
    </w:p>
    <w:p>
      <w:pPr>
        <w:numPr>
          <w:ilvl w:val="0"/>
          <w:numId w:val="0"/>
        </w:numPr>
        <w:tabs>
          <w:tab w:val="left" w:pos="360"/>
        </w:tabs>
        <w:snapToGrid w:val="0"/>
        <w:spacing w:line="360" w:lineRule="auto"/>
        <w:ind w:leftChars="0"/>
        <w:outlineLvl w:val="1"/>
        <w:rPr>
          <w:color w:val="auto"/>
          <w:sz w:val="24"/>
        </w:rPr>
      </w:pPr>
      <w:r>
        <w:rPr>
          <w:rFonts w:hint="eastAsia"/>
          <w:color w:val="auto"/>
          <w:sz w:val="24"/>
          <w:lang w:val="en-US" w:eastAsia="zh-CN"/>
        </w:rPr>
        <w:t xml:space="preserve">4   </w:t>
      </w:r>
      <w:r>
        <w:rPr>
          <w:color w:val="auto"/>
          <w:sz w:val="24"/>
        </w:rPr>
        <w:t>确定</w:t>
      </w:r>
      <w:bookmarkStart w:id="777" w:name="_Toc151193716"/>
      <w:bookmarkStart w:id="778" w:name="_Toc226965736"/>
      <w:bookmarkStart w:id="779" w:name="_Toc127151546"/>
      <w:bookmarkStart w:id="780" w:name="_Toc151193644"/>
      <w:bookmarkStart w:id="781" w:name="_Toc150480784"/>
      <w:bookmarkStart w:id="782" w:name="_Toc150509297"/>
      <w:bookmarkStart w:id="783" w:name="_Toc520356170"/>
      <w:bookmarkStart w:id="784" w:name="_Toc151190173"/>
      <w:bookmarkStart w:id="785" w:name="_Toc305158814"/>
      <w:bookmarkStart w:id="786" w:name="_Ref467307010"/>
      <w:bookmarkStart w:id="787" w:name="_Toc150774751"/>
      <w:bookmarkStart w:id="788" w:name="_Toc150774646"/>
      <w:bookmarkStart w:id="789" w:name="_Toc226309790"/>
      <w:bookmarkStart w:id="790" w:name="_Toc264969236"/>
      <w:bookmarkStart w:id="791" w:name="_Toc164229387"/>
      <w:bookmarkStart w:id="792" w:name="_Toc127161460"/>
      <w:bookmarkStart w:id="793" w:name="_Toc265228384"/>
      <w:bookmarkStart w:id="794" w:name="_Toc151193788"/>
      <w:bookmarkStart w:id="795" w:name="_Toc164229241"/>
      <w:bookmarkStart w:id="796" w:name="_Toc164351640"/>
      <w:bookmarkStart w:id="797" w:name="_Toc149720839"/>
      <w:bookmarkStart w:id="798" w:name="_Toc305158888"/>
      <w:bookmarkStart w:id="799" w:name="_Toc151193860"/>
      <w:bookmarkStart w:id="800" w:name="_Toc151193934"/>
      <w:bookmarkStart w:id="801" w:name="_Toc226337242"/>
      <w:bookmarkStart w:id="802" w:name="_Toc195842911"/>
      <w:bookmarkStart w:id="803" w:name="_Toc164608815"/>
      <w:bookmarkStart w:id="804" w:name="_Toc164608660"/>
      <w:bookmarkStart w:id="805" w:name="_Toc127151747"/>
      <w:bookmarkStart w:id="806" w:name="_Toc142311048"/>
      <w:bookmarkStart w:id="807" w:name="_Toc226965819"/>
      <w:r>
        <w:rPr>
          <w:color w:val="auto"/>
          <w:sz w:val="24"/>
        </w:rPr>
        <w:t>中标候选人名单</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numPr>
          <w:ilvl w:val="0"/>
          <w:numId w:val="0"/>
        </w:numPr>
        <w:tabs>
          <w:tab w:val="left" w:pos="1080"/>
        </w:tabs>
        <w:snapToGrid w:val="0"/>
        <w:spacing w:line="360" w:lineRule="auto"/>
        <w:ind w:left="961" w:leftChars="228" w:hanging="482" w:hangingChars="200"/>
        <w:rPr>
          <w:b/>
          <w:bCs/>
          <w:color w:val="auto"/>
          <w:sz w:val="24"/>
        </w:rPr>
      </w:pPr>
      <w:r>
        <w:rPr>
          <w:rFonts w:hint="eastAsia"/>
          <w:b/>
          <w:bCs/>
          <w:color w:val="auto"/>
          <w:sz w:val="24"/>
          <w:lang w:val="en-US" w:eastAsia="zh-CN"/>
        </w:rPr>
        <w:t xml:space="preserve">4.1  </w:t>
      </w:r>
      <w:r>
        <w:rPr>
          <w:b/>
          <w:bCs/>
          <w:color w:val="auto"/>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10"/>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rPr>
      </w:pPr>
      <w:r>
        <w:rPr>
          <w:rFonts w:hint="default" w:ascii="Times New Roman" w:hAnsi="Times New Roman"/>
          <w:color w:val="auto"/>
          <w:sz w:val="24"/>
          <w:szCs w:val="24"/>
        </w:rPr>
        <w:t>□随机抽取</w:t>
      </w:r>
    </w:p>
    <w:p>
      <w:pPr>
        <w:pStyle w:val="10"/>
        <w:tabs>
          <w:tab w:val="left" w:pos="900"/>
          <w:tab w:val="left" w:pos="2127"/>
        </w:tabs>
        <w:adjustRightInd w:val="0"/>
        <w:snapToGrid w:val="0"/>
        <w:spacing w:line="360" w:lineRule="auto"/>
        <w:ind w:left="993" w:firstLine="137" w:firstLineChars="57"/>
        <w:rPr>
          <w:rFonts w:hint="eastAsia" w:ascii="Times New Roman" w:hAnsi="Times New Roman" w:eastAsia="宋体"/>
          <w:color w:val="auto"/>
          <w:sz w:val="24"/>
          <w:szCs w:val="24"/>
          <w:u w:val="none"/>
          <w:lang w:eastAsia="zh-CN"/>
        </w:rPr>
      </w:pPr>
      <w:r>
        <w:rPr>
          <w:b/>
          <w:color w:val="auto"/>
          <w:sz w:val="24"/>
        </w:rPr>
        <w:t>■</w:t>
      </w:r>
      <w:r>
        <w:rPr>
          <w:rFonts w:hint="default" w:ascii="Times New Roman" w:hAnsi="Times New Roman"/>
          <w:color w:val="auto"/>
          <w:sz w:val="24"/>
          <w:szCs w:val="24"/>
        </w:rPr>
        <w:t>其他方式，具体要求：</w:t>
      </w:r>
      <w:r>
        <w:rPr>
          <w:rFonts w:hint="eastAsia" w:ascii="Times New Roman" w:hAnsi="Times New Roman"/>
          <w:color w:val="auto"/>
          <w:sz w:val="24"/>
          <w:szCs w:val="24"/>
          <w:u w:val="none"/>
          <w:lang w:eastAsia="zh-CN"/>
        </w:rPr>
        <w:t>针对单一产品</w:t>
      </w:r>
      <w:r>
        <w:rPr>
          <w:color w:val="auto"/>
          <w:sz w:val="24"/>
          <w:u w:val="none"/>
        </w:rPr>
        <w:t>或核心产品品牌相同</w:t>
      </w:r>
      <w:r>
        <w:rPr>
          <w:rFonts w:hint="eastAsia" w:ascii="Times New Roman" w:hAnsi="Times New Roman"/>
          <w:color w:val="auto"/>
          <w:sz w:val="24"/>
          <w:szCs w:val="24"/>
          <w:u w:val="none"/>
          <w:lang w:eastAsia="zh-CN"/>
        </w:rPr>
        <w:t>项目，</w:t>
      </w:r>
      <w:r>
        <w:rPr>
          <w:color w:val="auto"/>
          <w:sz w:val="24"/>
          <w:u w:val="none"/>
        </w:rPr>
        <w:t>评审得分相同的，</w:t>
      </w:r>
      <w:r>
        <w:rPr>
          <w:rFonts w:hint="eastAsia"/>
          <w:color w:val="auto"/>
          <w:sz w:val="24"/>
          <w:u w:val="none"/>
          <w:lang w:eastAsia="zh-CN"/>
        </w:rPr>
        <w:t>推荐投标报价最低的</w:t>
      </w:r>
      <w:r>
        <w:rPr>
          <w:color w:val="auto"/>
          <w:sz w:val="24"/>
          <w:u w:val="none"/>
        </w:rPr>
        <w:t>获得中标人资格</w:t>
      </w:r>
      <w:r>
        <w:rPr>
          <w:rFonts w:hint="eastAsia"/>
          <w:color w:val="auto"/>
          <w:sz w:val="24"/>
          <w:u w:val="none"/>
          <w:lang w:eastAsia="zh-CN"/>
        </w:rPr>
        <w:t>；评审得分和报价均相同的，</w:t>
      </w:r>
      <w:r>
        <w:rPr>
          <w:rFonts w:hint="eastAsia" w:ascii="Times New Roman" w:hAnsi="Times New Roman"/>
          <w:color w:val="auto"/>
          <w:sz w:val="24"/>
          <w:szCs w:val="24"/>
          <w:u w:val="none"/>
          <w:lang w:eastAsia="zh-CN"/>
        </w:rPr>
        <w:t>随机</w:t>
      </w:r>
      <w:r>
        <w:rPr>
          <w:rFonts w:hint="default" w:ascii="Times New Roman" w:hAnsi="Times New Roman"/>
          <w:color w:val="auto"/>
          <w:sz w:val="24"/>
          <w:szCs w:val="24"/>
          <w:u w:val="none"/>
        </w:rPr>
        <w:t>抽取</w:t>
      </w:r>
      <w:r>
        <w:rPr>
          <w:rFonts w:hint="eastAsia" w:ascii="Times New Roman" w:hAnsi="Times New Roman"/>
          <w:color w:val="auto"/>
          <w:sz w:val="24"/>
          <w:szCs w:val="24"/>
          <w:u w:val="none"/>
          <w:lang w:eastAsia="zh-CN"/>
        </w:rPr>
        <w:t>。</w:t>
      </w:r>
    </w:p>
    <w:p>
      <w:pPr>
        <w:numPr>
          <w:ilvl w:val="0"/>
          <w:numId w:val="0"/>
        </w:numPr>
        <w:tabs>
          <w:tab w:val="left" w:pos="1080"/>
        </w:tabs>
        <w:snapToGrid w:val="0"/>
        <w:spacing w:line="360" w:lineRule="auto"/>
        <w:ind w:left="837" w:leftChars="170" w:hanging="480" w:hangingChars="200"/>
        <w:rPr>
          <w:color w:val="auto"/>
          <w:sz w:val="24"/>
        </w:rPr>
      </w:pPr>
      <w:r>
        <w:rPr>
          <w:rFonts w:hint="eastAsia"/>
          <w:color w:val="auto"/>
          <w:sz w:val="24"/>
          <w:lang w:val="en-US" w:eastAsia="zh-CN"/>
        </w:rPr>
        <w:t xml:space="preserve">4.2  </w:t>
      </w:r>
      <w:r>
        <w:rPr>
          <w:color w:val="auto"/>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0"/>
          <w:numId w:val="0"/>
        </w:numPr>
        <w:tabs>
          <w:tab w:val="left" w:pos="1080"/>
        </w:tabs>
        <w:snapToGrid w:val="0"/>
        <w:spacing w:line="360" w:lineRule="auto"/>
        <w:ind w:left="837" w:leftChars="170" w:hanging="480" w:hangingChars="200"/>
        <w:rPr>
          <w:sz w:val="24"/>
        </w:rPr>
      </w:pPr>
      <w:r>
        <w:rPr>
          <w:rFonts w:hint="eastAsia"/>
          <w:color w:val="auto"/>
          <w:sz w:val="24"/>
          <w:lang w:val="en-US" w:eastAsia="zh-CN"/>
        </w:rPr>
        <w:t xml:space="preserve">4.3 </w:t>
      </w:r>
      <w:r>
        <w:rPr>
          <w:color w:val="auto"/>
          <w:sz w:val="24"/>
        </w:rPr>
        <w:t>采用最低评标价法时，评标结果按本章2.4、2.5调整后的</w:t>
      </w:r>
      <w:r>
        <w:rPr>
          <w:sz w:val="24"/>
        </w:rPr>
        <w:t>投标报价由低到高顺序排列。投标报价相同的并列。投标文件满足招标文件全部实质性要求且投标报价最低的投标人为排名第一的中标候选人。</w:t>
      </w:r>
    </w:p>
    <w:p>
      <w:pPr>
        <w:numPr>
          <w:ilvl w:val="0"/>
          <w:numId w:val="0"/>
        </w:numPr>
        <w:tabs>
          <w:tab w:val="left" w:pos="1080"/>
        </w:tabs>
        <w:snapToGrid w:val="0"/>
        <w:spacing w:line="360" w:lineRule="auto"/>
        <w:ind w:left="837" w:leftChars="170" w:hanging="480" w:hangingChars="200"/>
        <w:rPr>
          <w:sz w:val="24"/>
        </w:rPr>
      </w:pPr>
      <w:r>
        <w:rPr>
          <w:rFonts w:hint="eastAsia"/>
          <w:sz w:val="24"/>
          <w:lang w:val="en-US" w:eastAsia="zh-CN"/>
        </w:rPr>
        <w:t xml:space="preserve">4.4 </w:t>
      </w:r>
      <w:r>
        <w:rPr>
          <w:sz w:val="24"/>
        </w:rPr>
        <w:t>评标委员会要对评分汇总情况进行复核，特别是对排名第一的、报价最低的、投标文件被认定为无效的情形进行重点复核。</w:t>
      </w:r>
    </w:p>
    <w:p>
      <w:pPr>
        <w:numPr>
          <w:ilvl w:val="0"/>
          <w:numId w:val="0"/>
        </w:numPr>
        <w:tabs>
          <w:tab w:val="left" w:pos="1080"/>
        </w:tabs>
        <w:snapToGrid w:val="0"/>
        <w:spacing w:line="360" w:lineRule="auto"/>
        <w:ind w:left="837" w:leftChars="170" w:hanging="480" w:hangingChars="200"/>
        <w:rPr>
          <w:color w:val="auto"/>
          <w:sz w:val="24"/>
        </w:rPr>
      </w:pPr>
      <w:r>
        <w:rPr>
          <w:rFonts w:hint="eastAsia"/>
          <w:color w:val="auto"/>
          <w:sz w:val="24"/>
          <w:lang w:val="en-US" w:eastAsia="zh-CN"/>
        </w:rPr>
        <w:t xml:space="preserve">4.5 </w:t>
      </w:r>
      <w:r>
        <w:rPr>
          <w:color w:val="auto"/>
          <w:sz w:val="24"/>
        </w:rPr>
        <w:t>评标委员会将根据各投标人的评标排序，依次推荐本项目（</w:t>
      </w:r>
      <w:r>
        <w:rPr>
          <w:rFonts w:hint="eastAsia"/>
          <w:color w:val="auto"/>
          <w:sz w:val="24"/>
        </w:rPr>
        <w:t>各</w:t>
      </w:r>
      <w:r>
        <w:rPr>
          <w:color w:val="auto"/>
          <w:sz w:val="24"/>
        </w:rPr>
        <w:t>采购包）的中标候选人，起草并签署评标报告。本项目（</w:t>
      </w:r>
      <w:r>
        <w:rPr>
          <w:rFonts w:hint="eastAsia"/>
          <w:color w:val="auto"/>
          <w:sz w:val="24"/>
        </w:rPr>
        <w:t>各</w:t>
      </w:r>
      <w:r>
        <w:rPr>
          <w:color w:val="auto"/>
          <w:sz w:val="24"/>
        </w:rPr>
        <w:t>采购包）评标委员会共（各）推荐</w:t>
      </w:r>
      <w:r>
        <w:rPr>
          <w:rFonts w:hint="eastAsia"/>
          <w:color w:val="auto"/>
          <w:sz w:val="24"/>
          <w:u w:val="single"/>
          <w:lang w:val="en-US" w:eastAsia="zh-CN"/>
        </w:rPr>
        <w:t>3</w:t>
      </w:r>
      <w:r>
        <w:rPr>
          <w:color w:val="auto"/>
          <w:sz w:val="24"/>
        </w:rPr>
        <w:t>名中标候选人。</w:t>
      </w:r>
    </w:p>
    <w:p>
      <w:pPr>
        <w:numPr>
          <w:ilvl w:val="0"/>
          <w:numId w:val="0"/>
        </w:numPr>
        <w:tabs>
          <w:tab w:val="left" w:pos="360"/>
        </w:tabs>
        <w:snapToGrid w:val="0"/>
        <w:spacing w:line="360" w:lineRule="auto"/>
        <w:ind w:leftChars="0"/>
        <w:outlineLvl w:val="1"/>
        <w:rPr>
          <w:sz w:val="24"/>
        </w:rPr>
      </w:pPr>
      <w:r>
        <w:rPr>
          <w:rFonts w:hint="eastAsia"/>
          <w:sz w:val="24"/>
          <w:lang w:val="en-US" w:eastAsia="zh-CN"/>
        </w:rPr>
        <w:t xml:space="preserve">5   </w:t>
      </w:r>
      <w:r>
        <w:rPr>
          <w:sz w:val="24"/>
        </w:rPr>
        <w:t>报告违法行为</w:t>
      </w:r>
    </w:p>
    <w:p>
      <w:pPr>
        <w:numPr>
          <w:ilvl w:val="0"/>
          <w:numId w:val="0"/>
        </w:numPr>
        <w:tabs>
          <w:tab w:val="left" w:pos="1080"/>
        </w:tabs>
        <w:snapToGrid w:val="0"/>
        <w:spacing w:line="360" w:lineRule="auto"/>
        <w:ind w:left="837" w:leftChars="170" w:hanging="480" w:hangingChars="200"/>
        <w:rPr>
          <w:sz w:val="24"/>
        </w:rPr>
      </w:pPr>
      <w:r>
        <w:rPr>
          <w:rFonts w:hint="eastAsia"/>
          <w:sz w:val="24"/>
          <w:lang w:val="en-US" w:eastAsia="zh-CN"/>
        </w:rPr>
        <w:t xml:space="preserve">5.1 </w:t>
      </w:r>
      <w:r>
        <w:rPr>
          <w:sz w:val="24"/>
        </w:rPr>
        <w:t>评标委员会在评标过程中发现投标人有行贿、提供虚假材料或者串通等违法行为时，有向采购人、采购代理机构或者有关部门报告的职责。</w:t>
      </w:r>
    </w:p>
    <w:p>
      <w:pPr>
        <w:widowControl/>
        <w:jc w:val="left"/>
        <w:rPr>
          <w:b/>
          <w:sz w:val="24"/>
        </w:rPr>
      </w:pPr>
      <w:r>
        <w:rPr>
          <w:b/>
          <w:sz w:val="24"/>
        </w:rPr>
        <w:br w:type="page"/>
      </w:r>
    </w:p>
    <w:p>
      <w:pPr>
        <w:tabs>
          <w:tab w:val="left" w:pos="360"/>
          <w:tab w:val="left" w:pos="900"/>
        </w:tabs>
        <w:snapToGrid w:val="0"/>
        <w:spacing w:line="360" w:lineRule="auto"/>
        <w:jc w:val="center"/>
        <w:outlineLvl w:val="1"/>
        <w:rPr>
          <w:color w:val="auto"/>
          <w:highlight w:val="none"/>
        </w:rPr>
      </w:pPr>
      <w:r>
        <w:rPr>
          <w:b/>
          <w:color w:val="auto"/>
          <w:sz w:val="24"/>
          <w:highlight w:val="none"/>
        </w:rPr>
        <w:t>二、评标标准</w:t>
      </w:r>
    </w:p>
    <w:tbl>
      <w:tblPr>
        <w:tblStyle w:val="17"/>
        <w:tblpPr w:leftFromText="180" w:rightFromText="180" w:vertAnchor="text" w:horzAnchor="page" w:tblpX="1133" w:tblpY="603"/>
        <w:tblOverlap w:val="never"/>
        <w:tblW w:w="104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1224"/>
        <w:gridCol w:w="2029"/>
        <w:gridCol w:w="63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tblHeader/>
        </w:trPr>
        <w:tc>
          <w:tcPr>
            <w:tcW w:w="803"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224"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评审内容</w:t>
            </w:r>
          </w:p>
        </w:tc>
        <w:tc>
          <w:tcPr>
            <w:tcW w:w="2029"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评分标准</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评审细则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tblHeader/>
        </w:trPr>
        <w:tc>
          <w:tcPr>
            <w:tcW w:w="803"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224"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价格</w:t>
            </w:r>
          </w:p>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val="en-US" w:eastAsia="zh-CN"/>
              </w:rPr>
              <w:t>10</w:t>
            </w:r>
            <w:r>
              <w:rPr>
                <w:rFonts w:hint="eastAsia" w:asciiTheme="minorEastAsia" w:hAnsiTheme="minorEastAsia" w:eastAsiaTheme="minorEastAsia" w:cstheme="minorEastAsia"/>
                <w:kern w:val="2"/>
                <w:sz w:val="24"/>
                <w:szCs w:val="24"/>
              </w:rPr>
              <w:t>分）</w:t>
            </w:r>
          </w:p>
        </w:tc>
        <w:tc>
          <w:tcPr>
            <w:tcW w:w="2029"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价格</w:t>
            </w:r>
          </w:p>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val="en-US" w:eastAsia="zh-CN"/>
              </w:rPr>
              <w:t>10</w:t>
            </w:r>
            <w:r>
              <w:rPr>
                <w:rFonts w:hint="eastAsia" w:asciiTheme="minorEastAsia" w:hAnsiTheme="minorEastAsia" w:eastAsiaTheme="minorEastAsia" w:cstheme="minorEastAsia"/>
                <w:kern w:val="2"/>
                <w:sz w:val="24"/>
                <w:szCs w:val="24"/>
              </w:rPr>
              <w:t>分）</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满足磋商文件要求的最后报价最低的供应商的价格为磋商基准价，其价格分为满分。其他供应商的价格分统一按照下列公式计算：</w:t>
            </w:r>
          </w:p>
          <w:p>
            <w:pPr>
              <w:adjustRightInd/>
              <w:spacing w:line="400" w:lineRule="exact"/>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磋商报价得分=（磋商基准价/最后报价）×分值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0" w:hRule="atLeast"/>
          <w:tblHeader/>
        </w:trPr>
        <w:tc>
          <w:tcPr>
            <w:tcW w:w="803" w:type="dxa"/>
            <w:vMerge w:val="restart"/>
            <w:tcBorders>
              <w:top w:val="single" w:color="auto" w:sz="6" w:space="0"/>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2</w:t>
            </w:r>
          </w:p>
        </w:tc>
        <w:tc>
          <w:tcPr>
            <w:tcW w:w="1224" w:type="dxa"/>
            <w:vMerge w:val="restart"/>
            <w:tcBorders>
              <w:top w:val="single" w:color="auto" w:sz="6" w:space="0"/>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rPr>
              <w:t>商务部分（</w:t>
            </w:r>
            <w:r>
              <w:rPr>
                <w:rFonts w:hint="eastAsia" w:asciiTheme="minorEastAsia" w:hAnsiTheme="minorEastAsia" w:eastAsiaTheme="minorEastAsia" w:cstheme="minorEastAsia"/>
                <w:kern w:val="2"/>
                <w:sz w:val="24"/>
                <w:szCs w:val="24"/>
                <w:lang w:val="en-US" w:eastAsia="zh-CN"/>
              </w:rPr>
              <w:t>12</w:t>
            </w:r>
            <w:r>
              <w:rPr>
                <w:rFonts w:hint="eastAsia" w:asciiTheme="minorEastAsia" w:hAnsiTheme="minorEastAsia" w:eastAsiaTheme="minorEastAsia" w:cstheme="minorEastAsia"/>
                <w:kern w:val="2"/>
                <w:sz w:val="24"/>
                <w:szCs w:val="24"/>
              </w:rPr>
              <w:t>分）</w:t>
            </w:r>
          </w:p>
        </w:tc>
        <w:tc>
          <w:tcPr>
            <w:tcW w:w="2029"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管理体系认证</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3分</w:t>
            </w:r>
            <w:r>
              <w:rPr>
                <w:rFonts w:hint="eastAsia" w:asciiTheme="minorEastAsia" w:hAnsiTheme="minorEastAsia" w:eastAsiaTheme="minorEastAsia" w:cstheme="minorEastAsia"/>
                <w:kern w:val="2"/>
                <w:sz w:val="24"/>
                <w:szCs w:val="24"/>
                <w:lang w:eastAsia="zh-CN"/>
              </w:rPr>
              <w:t>）</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1.质量管理体系（ISO9001或GB/T19001）；</w:t>
            </w:r>
          </w:p>
          <w:p>
            <w:pPr>
              <w:adjustRightInd/>
              <w:spacing w:line="400" w:lineRule="exact"/>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2.环境管理体系（ISO14001或GB/T24001）；</w:t>
            </w:r>
          </w:p>
          <w:p>
            <w:pPr>
              <w:adjustRightInd/>
              <w:spacing w:line="400" w:lineRule="exact"/>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3.职业健康安全管理体系（OHSAS18001或ISO45001）认证证书。</w:t>
            </w:r>
          </w:p>
          <w:p>
            <w:pPr>
              <w:adjustRightInd/>
              <w:spacing w:line="400" w:lineRule="exact"/>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每有一项在合格期内的，得1分，最高3分。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4" w:hRule="atLeast"/>
          <w:tblHeader/>
        </w:trPr>
        <w:tc>
          <w:tcPr>
            <w:tcW w:w="803" w:type="dxa"/>
            <w:vMerge w:val="continue"/>
            <w:tcBorders>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1224" w:type="dxa"/>
            <w:vMerge w:val="continue"/>
            <w:tcBorders>
              <w:left w:val="single" w:color="auto" w:sz="6" w:space="0"/>
              <w:bottom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2029"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rPr>
              <w:t>同类业绩（</w:t>
            </w:r>
            <w:r>
              <w:rPr>
                <w:rFonts w:hint="eastAsia" w:asciiTheme="minorEastAsia" w:hAnsiTheme="minorEastAsia" w:eastAsiaTheme="minorEastAsia" w:cstheme="minorEastAsia"/>
                <w:kern w:val="2"/>
                <w:sz w:val="24"/>
                <w:szCs w:val="24"/>
                <w:lang w:val="en-US" w:eastAsia="zh-CN"/>
              </w:rPr>
              <w:t>9</w:t>
            </w:r>
            <w:r>
              <w:rPr>
                <w:rFonts w:hint="eastAsia" w:asciiTheme="minorEastAsia" w:hAnsiTheme="minorEastAsia" w:eastAsiaTheme="minorEastAsia" w:cstheme="minorEastAsia"/>
                <w:kern w:val="2"/>
                <w:sz w:val="24"/>
                <w:szCs w:val="24"/>
              </w:rPr>
              <w:t>分）</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adjustRightInd/>
              <w:spacing w:line="40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具有相关行业</w:t>
            </w:r>
            <w:r>
              <w:rPr>
                <w:rFonts w:hint="eastAsia" w:asciiTheme="minorEastAsia" w:hAnsiTheme="minorEastAsia" w:eastAsiaTheme="minorEastAsia" w:cstheme="minorEastAsia"/>
                <w:kern w:val="2"/>
                <w:sz w:val="24"/>
                <w:szCs w:val="24"/>
              </w:rPr>
              <w:t>的项目业绩，每提供一个得</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分，满分</w:t>
            </w:r>
            <w:r>
              <w:rPr>
                <w:rFonts w:hint="eastAsia" w:asciiTheme="minorEastAsia" w:hAnsiTheme="minorEastAsia" w:eastAsiaTheme="minorEastAsia" w:cstheme="minorEastAsia"/>
                <w:kern w:val="2"/>
                <w:sz w:val="24"/>
                <w:szCs w:val="24"/>
                <w:lang w:val="en-US" w:eastAsia="zh-CN"/>
              </w:rPr>
              <w:t>9</w:t>
            </w:r>
            <w:r>
              <w:rPr>
                <w:rFonts w:hint="eastAsia" w:asciiTheme="minorEastAsia" w:hAnsiTheme="minorEastAsia" w:eastAsiaTheme="minorEastAsia" w:cstheme="minorEastAsia"/>
                <w:kern w:val="2"/>
                <w:sz w:val="24"/>
                <w:szCs w:val="24"/>
              </w:rPr>
              <w:t>分，不提供的，不得分。</w:t>
            </w:r>
            <w:r>
              <w:rPr>
                <w:rFonts w:hint="eastAsia" w:asciiTheme="minorEastAsia" w:hAnsiTheme="minorEastAsia" w:eastAsiaTheme="minorEastAsia" w:cstheme="minorEastAsia"/>
                <w:b w:val="0"/>
                <w:bCs w:val="0"/>
                <w:color w:val="auto"/>
                <w:kern w:val="2"/>
                <w:sz w:val="24"/>
                <w:szCs w:val="24"/>
                <w:highlight w:val="none"/>
              </w:rPr>
              <w:t>（提供合同复印件</w:t>
            </w:r>
            <w:r>
              <w:rPr>
                <w:rFonts w:hint="eastAsia" w:asciiTheme="minorEastAsia" w:hAnsiTheme="minorEastAsia" w:eastAsiaTheme="minorEastAsia" w:cstheme="minorEastAsia"/>
                <w:b w:val="0"/>
                <w:bCs w:val="0"/>
                <w:color w:val="auto"/>
                <w:kern w:val="2"/>
                <w:sz w:val="24"/>
                <w:szCs w:val="24"/>
                <w:highlight w:val="none"/>
                <w:lang w:val="en-US" w:eastAsia="zh-CN"/>
              </w:rPr>
              <w:t>或相关书面证明材料</w:t>
            </w:r>
            <w:r>
              <w:rPr>
                <w:rFonts w:hint="eastAsia" w:asciiTheme="minorEastAsia" w:hAnsiTheme="minorEastAsia" w:eastAsiaTheme="minorEastAsia" w:cstheme="minorEastAsia"/>
                <w:b w:val="0"/>
                <w:bCs w:val="0"/>
                <w:color w:val="auto"/>
                <w:kern w:val="2"/>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5" w:hRule="atLeast"/>
          <w:tblHeader/>
        </w:trPr>
        <w:tc>
          <w:tcPr>
            <w:tcW w:w="803" w:type="dxa"/>
            <w:vMerge w:val="restart"/>
            <w:tcBorders>
              <w:top w:val="single" w:color="auto" w:sz="6" w:space="0"/>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3</w:t>
            </w:r>
          </w:p>
        </w:tc>
        <w:tc>
          <w:tcPr>
            <w:tcW w:w="1224" w:type="dxa"/>
            <w:vMerge w:val="restart"/>
            <w:tcBorders>
              <w:top w:val="single" w:color="auto" w:sz="6" w:space="0"/>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技术部分（</w:t>
            </w:r>
            <w:r>
              <w:rPr>
                <w:rFonts w:hint="eastAsia" w:asciiTheme="minorEastAsia" w:hAnsiTheme="minorEastAsia" w:eastAsiaTheme="minorEastAsia" w:cstheme="minorEastAsia"/>
                <w:kern w:val="2"/>
                <w:sz w:val="24"/>
                <w:szCs w:val="24"/>
                <w:lang w:val="en-US" w:eastAsia="zh-CN"/>
              </w:rPr>
              <w:t>78</w:t>
            </w:r>
            <w:r>
              <w:rPr>
                <w:rFonts w:hint="eastAsia" w:asciiTheme="minorEastAsia" w:hAnsiTheme="minorEastAsia" w:eastAsiaTheme="minorEastAsia" w:cstheme="minorEastAsia"/>
                <w:kern w:val="2"/>
                <w:sz w:val="24"/>
                <w:szCs w:val="24"/>
              </w:rPr>
              <w:t>分）</w:t>
            </w:r>
          </w:p>
        </w:tc>
        <w:tc>
          <w:tcPr>
            <w:tcW w:w="2029" w:type="dxa"/>
            <w:tcBorders>
              <w:top w:val="single" w:color="auto" w:sz="6" w:space="0"/>
              <w:left w:val="single" w:color="auto" w:sz="6" w:space="0"/>
              <w:right w:val="single" w:color="auto" w:sz="6" w:space="0"/>
            </w:tcBorders>
            <w:noWrap w:val="0"/>
            <w:vAlign w:val="center"/>
          </w:tcPr>
          <w:p>
            <w:pPr>
              <w:spacing w:line="276"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项目服务特点、难点分析及相应措施（</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分）</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val="en-US" w:eastAsia="zh-CN"/>
              </w:rPr>
              <w:t>1.</w:t>
            </w:r>
            <w:r>
              <w:rPr>
                <w:rFonts w:hint="eastAsia" w:asciiTheme="minorEastAsia" w:hAnsiTheme="minorEastAsia" w:eastAsiaTheme="minorEastAsia" w:cstheme="minorEastAsia"/>
                <w:kern w:val="2"/>
                <w:sz w:val="24"/>
                <w:szCs w:val="24"/>
                <w:highlight w:val="none"/>
              </w:rPr>
              <w:t>对</w:t>
            </w:r>
            <w:r>
              <w:rPr>
                <w:rFonts w:hint="eastAsia" w:asciiTheme="minorEastAsia" w:hAnsiTheme="minorEastAsia" w:eastAsiaTheme="minorEastAsia" w:cstheme="minorEastAsia"/>
                <w:kern w:val="2"/>
                <w:sz w:val="24"/>
                <w:szCs w:val="24"/>
                <w:highlight w:val="none"/>
                <w:lang w:eastAsia="zh-CN"/>
              </w:rPr>
              <w:t>公园景区物业</w:t>
            </w:r>
            <w:r>
              <w:rPr>
                <w:rFonts w:hint="eastAsia" w:asciiTheme="minorEastAsia" w:hAnsiTheme="minorEastAsia" w:eastAsiaTheme="minorEastAsia" w:cstheme="minorEastAsia"/>
                <w:kern w:val="2"/>
                <w:sz w:val="24"/>
                <w:szCs w:val="24"/>
                <w:highlight w:val="none"/>
              </w:rPr>
              <w:t>服务特点和难点分析准确</w:t>
            </w:r>
            <w:r>
              <w:rPr>
                <w:rFonts w:hint="eastAsia" w:asciiTheme="minorEastAsia" w:hAnsiTheme="minorEastAsia" w:eastAsiaTheme="minorEastAsia" w:cstheme="minorEastAsia"/>
                <w:kern w:val="2"/>
                <w:sz w:val="24"/>
                <w:szCs w:val="24"/>
                <w:highlight w:val="none"/>
                <w:lang w:eastAsia="zh-CN"/>
              </w:rPr>
              <w:t>，相应措施很全面，整体方案很</w:t>
            </w:r>
            <w:r>
              <w:rPr>
                <w:rFonts w:hint="eastAsia" w:asciiTheme="minorEastAsia" w:hAnsiTheme="minorEastAsia" w:eastAsiaTheme="minorEastAsia" w:cstheme="minorEastAsia"/>
                <w:kern w:val="2"/>
                <w:sz w:val="24"/>
                <w:szCs w:val="24"/>
                <w:highlight w:val="none"/>
              </w:rPr>
              <w:t>详细；</w:t>
            </w:r>
            <w:r>
              <w:rPr>
                <w:rFonts w:hint="eastAsia" w:asciiTheme="minorEastAsia" w:hAnsiTheme="minorEastAsia" w:eastAsiaTheme="minorEastAsia" w:cstheme="minorEastAsia"/>
                <w:kern w:val="2"/>
                <w:sz w:val="24"/>
                <w:szCs w:val="24"/>
                <w:highlight w:val="none"/>
                <w:lang w:eastAsia="zh-CN"/>
              </w:rPr>
              <w:t>承诺按甲方需求提供临时性服务保障，针对公园景区的突发性服务列举齐全；</w:t>
            </w:r>
            <w:r>
              <w:rPr>
                <w:rFonts w:hint="eastAsia" w:asciiTheme="minorEastAsia" w:hAnsiTheme="minorEastAsia" w:eastAsiaTheme="minorEastAsia" w:cstheme="minorEastAsia"/>
                <w:kern w:val="2"/>
                <w:sz w:val="24"/>
                <w:szCs w:val="24"/>
                <w:highlight w:val="none"/>
              </w:rPr>
              <w:t>措施科学合理，可行性、实用性、针对性</w:t>
            </w:r>
            <w:r>
              <w:rPr>
                <w:rFonts w:hint="eastAsia" w:asciiTheme="minorEastAsia" w:hAnsiTheme="minorEastAsia" w:eastAsiaTheme="minorEastAsia" w:cstheme="minorEastAsia"/>
                <w:kern w:val="2"/>
                <w:sz w:val="24"/>
                <w:szCs w:val="24"/>
                <w:highlight w:val="none"/>
                <w:lang w:eastAsia="zh-CN"/>
              </w:rPr>
              <w:t>很</w:t>
            </w:r>
            <w:r>
              <w:rPr>
                <w:rFonts w:hint="eastAsia" w:asciiTheme="minorEastAsia" w:hAnsiTheme="minorEastAsia" w:eastAsiaTheme="minorEastAsia" w:cstheme="minorEastAsia"/>
                <w:kern w:val="2"/>
                <w:sz w:val="24"/>
                <w:szCs w:val="24"/>
                <w:highlight w:val="none"/>
              </w:rPr>
              <w:t>强</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kern w:val="2"/>
                <w:sz w:val="24"/>
                <w:szCs w:val="24"/>
                <w:highlight w:val="none"/>
              </w:rPr>
              <w:t>得</w:t>
            </w:r>
            <w:r>
              <w:rPr>
                <w:rFonts w:hint="eastAsia" w:asciiTheme="minorEastAsia" w:hAnsiTheme="minorEastAsia" w:eastAsiaTheme="minorEastAsia" w:cstheme="minorEastAsia"/>
                <w:kern w:val="2"/>
                <w:sz w:val="24"/>
                <w:szCs w:val="24"/>
                <w:highlight w:val="none"/>
                <w:lang w:val="en-US" w:eastAsia="zh-CN"/>
              </w:rPr>
              <w:t>18</w:t>
            </w:r>
            <w:r>
              <w:rPr>
                <w:rFonts w:hint="eastAsia" w:asciiTheme="minorEastAsia" w:hAnsiTheme="minorEastAsia" w:eastAsiaTheme="minorEastAsia" w:cstheme="minorEastAsia"/>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val="en-US" w:eastAsia="zh-CN"/>
              </w:rPr>
              <w:t>2.</w:t>
            </w:r>
            <w:r>
              <w:rPr>
                <w:rFonts w:hint="eastAsia" w:asciiTheme="minorEastAsia" w:hAnsiTheme="minorEastAsia" w:eastAsiaTheme="minorEastAsia" w:cstheme="minorEastAsia"/>
                <w:kern w:val="2"/>
                <w:sz w:val="24"/>
                <w:szCs w:val="24"/>
                <w:highlight w:val="none"/>
              </w:rPr>
              <w:t>对</w:t>
            </w:r>
            <w:r>
              <w:rPr>
                <w:rFonts w:hint="eastAsia" w:asciiTheme="minorEastAsia" w:hAnsiTheme="minorEastAsia" w:eastAsiaTheme="minorEastAsia" w:cstheme="minorEastAsia"/>
                <w:kern w:val="2"/>
                <w:sz w:val="24"/>
                <w:szCs w:val="24"/>
                <w:highlight w:val="none"/>
                <w:lang w:eastAsia="zh-CN"/>
              </w:rPr>
              <w:t>公园景区物业</w:t>
            </w:r>
            <w:r>
              <w:rPr>
                <w:rFonts w:hint="eastAsia" w:asciiTheme="minorEastAsia" w:hAnsiTheme="minorEastAsia" w:eastAsiaTheme="minorEastAsia" w:cstheme="minorEastAsia"/>
                <w:kern w:val="2"/>
                <w:sz w:val="24"/>
                <w:szCs w:val="24"/>
                <w:highlight w:val="none"/>
              </w:rPr>
              <w:t>服务特点和难点分析</w:t>
            </w:r>
            <w:r>
              <w:rPr>
                <w:rFonts w:hint="eastAsia" w:asciiTheme="minorEastAsia" w:hAnsiTheme="minorEastAsia" w:eastAsiaTheme="minorEastAsia" w:cstheme="minorEastAsia"/>
                <w:kern w:val="2"/>
                <w:sz w:val="24"/>
                <w:szCs w:val="24"/>
                <w:highlight w:val="none"/>
                <w:lang w:eastAsia="zh-CN"/>
              </w:rPr>
              <w:t>较</w:t>
            </w:r>
            <w:r>
              <w:rPr>
                <w:rFonts w:hint="eastAsia" w:asciiTheme="minorEastAsia" w:hAnsiTheme="minorEastAsia" w:eastAsiaTheme="minorEastAsia" w:cstheme="minorEastAsia"/>
                <w:kern w:val="2"/>
                <w:sz w:val="24"/>
                <w:szCs w:val="24"/>
                <w:highlight w:val="none"/>
              </w:rPr>
              <w:t>准确</w:t>
            </w:r>
            <w:r>
              <w:rPr>
                <w:rFonts w:hint="eastAsia" w:asciiTheme="minorEastAsia" w:hAnsiTheme="minorEastAsia" w:eastAsiaTheme="minorEastAsia" w:cstheme="minorEastAsia"/>
                <w:kern w:val="2"/>
                <w:sz w:val="24"/>
                <w:szCs w:val="24"/>
                <w:highlight w:val="none"/>
                <w:lang w:eastAsia="zh-CN"/>
              </w:rPr>
              <w:t>，相应措施比较全面，整体方案较</w:t>
            </w:r>
            <w:r>
              <w:rPr>
                <w:rFonts w:hint="eastAsia" w:asciiTheme="minorEastAsia" w:hAnsiTheme="minorEastAsia" w:eastAsiaTheme="minorEastAsia" w:cstheme="minorEastAsia"/>
                <w:kern w:val="2"/>
                <w:sz w:val="24"/>
                <w:szCs w:val="24"/>
                <w:highlight w:val="none"/>
              </w:rPr>
              <w:t>详细；</w:t>
            </w:r>
            <w:r>
              <w:rPr>
                <w:rFonts w:hint="eastAsia" w:asciiTheme="minorEastAsia" w:hAnsiTheme="minorEastAsia" w:eastAsiaTheme="minorEastAsia" w:cstheme="minorEastAsia"/>
                <w:kern w:val="2"/>
                <w:sz w:val="24"/>
                <w:szCs w:val="24"/>
                <w:highlight w:val="none"/>
                <w:lang w:eastAsia="zh-CN"/>
              </w:rPr>
              <w:t>承诺按甲方需求提供临时性服务保障，针对公园景区的突发性服务有列举；</w:t>
            </w:r>
            <w:r>
              <w:rPr>
                <w:rFonts w:hint="eastAsia" w:asciiTheme="minorEastAsia" w:hAnsiTheme="minorEastAsia" w:eastAsiaTheme="minorEastAsia" w:cstheme="minorEastAsia"/>
                <w:kern w:val="2"/>
                <w:sz w:val="24"/>
                <w:szCs w:val="24"/>
                <w:highlight w:val="none"/>
              </w:rPr>
              <w:t>措施</w:t>
            </w:r>
            <w:r>
              <w:rPr>
                <w:rFonts w:hint="eastAsia" w:asciiTheme="minorEastAsia" w:hAnsiTheme="minorEastAsia" w:eastAsiaTheme="minorEastAsia" w:cstheme="minorEastAsia"/>
                <w:kern w:val="2"/>
                <w:sz w:val="24"/>
                <w:szCs w:val="24"/>
                <w:highlight w:val="none"/>
                <w:lang w:eastAsia="zh-CN"/>
              </w:rPr>
              <w:t>比较</w:t>
            </w:r>
            <w:r>
              <w:rPr>
                <w:rFonts w:hint="eastAsia" w:asciiTheme="minorEastAsia" w:hAnsiTheme="minorEastAsia" w:eastAsiaTheme="minorEastAsia" w:cstheme="minorEastAsia"/>
                <w:kern w:val="2"/>
                <w:sz w:val="24"/>
                <w:szCs w:val="24"/>
                <w:highlight w:val="none"/>
              </w:rPr>
              <w:t>科学合理，可行性、实用性、针对性</w:t>
            </w:r>
            <w:r>
              <w:rPr>
                <w:rFonts w:hint="eastAsia" w:asciiTheme="minorEastAsia" w:hAnsiTheme="minorEastAsia" w:eastAsiaTheme="minorEastAsia" w:cstheme="minorEastAsia"/>
                <w:kern w:val="2"/>
                <w:sz w:val="24"/>
                <w:szCs w:val="24"/>
                <w:highlight w:val="none"/>
                <w:lang w:eastAsia="zh-CN"/>
              </w:rPr>
              <w:t>较</w:t>
            </w:r>
            <w:r>
              <w:rPr>
                <w:rFonts w:hint="eastAsia" w:asciiTheme="minorEastAsia" w:hAnsiTheme="minorEastAsia" w:eastAsiaTheme="minorEastAsia" w:cstheme="minorEastAsia"/>
                <w:kern w:val="2"/>
                <w:sz w:val="24"/>
                <w:szCs w:val="24"/>
                <w:highlight w:val="none"/>
              </w:rPr>
              <w:t>强</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kern w:val="2"/>
                <w:sz w:val="24"/>
                <w:szCs w:val="24"/>
                <w:highlight w:val="none"/>
              </w:rPr>
              <w:t>得</w:t>
            </w:r>
            <w:r>
              <w:rPr>
                <w:rFonts w:hint="eastAsia" w:asciiTheme="minorEastAsia" w:hAnsiTheme="minorEastAsia" w:eastAsiaTheme="minorEastAsia" w:cstheme="minorEastAsia"/>
                <w:kern w:val="2"/>
                <w:sz w:val="24"/>
                <w:szCs w:val="24"/>
                <w:highlight w:val="none"/>
                <w:lang w:val="en-US" w:eastAsia="zh-CN"/>
              </w:rPr>
              <w:t>12</w:t>
            </w:r>
            <w:r>
              <w:rPr>
                <w:rFonts w:hint="eastAsia" w:asciiTheme="minorEastAsia" w:hAnsiTheme="minorEastAsia" w:eastAsiaTheme="minorEastAsia" w:cstheme="minorEastAsia"/>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val="en-US" w:eastAsia="zh-CN"/>
              </w:rPr>
              <w:t>3.</w:t>
            </w:r>
            <w:r>
              <w:rPr>
                <w:rFonts w:hint="eastAsia" w:asciiTheme="minorEastAsia" w:hAnsiTheme="minorEastAsia" w:eastAsiaTheme="minorEastAsia" w:cstheme="minorEastAsia"/>
                <w:kern w:val="2"/>
                <w:sz w:val="24"/>
                <w:szCs w:val="24"/>
                <w:highlight w:val="none"/>
              </w:rPr>
              <w:t>对</w:t>
            </w:r>
            <w:r>
              <w:rPr>
                <w:rFonts w:hint="eastAsia" w:asciiTheme="minorEastAsia" w:hAnsiTheme="minorEastAsia" w:eastAsiaTheme="minorEastAsia" w:cstheme="minorEastAsia"/>
                <w:kern w:val="2"/>
                <w:sz w:val="24"/>
                <w:szCs w:val="24"/>
                <w:highlight w:val="none"/>
                <w:lang w:eastAsia="zh-CN"/>
              </w:rPr>
              <w:t>公园景区物业</w:t>
            </w:r>
            <w:r>
              <w:rPr>
                <w:rFonts w:hint="eastAsia" w:asciiTheme="minorEastAsia" w:hAnsiTheme="minorEastAsia" w:eastAsiaTheme="minorEastAsia" w:cstheme="minorEastAsia"/>
                <w:kern w:val="2"/>
                <w:sz w:val="24"/>
                <w:szCs w:val="24"/>
                <w:highlight w:val="none"/>
              </w:rPr>
              <w:t>服务特点和难点分析</w:t>
            </w:r>
            <w:r>
              <w:rPr>
                <w:rFonts w:hint="eastAsia" w:asciiTheme="minorEastAsia" w:hAnsiTheme="minorEastAsia" w:eastAsiaTheme="minorEastAsia" w:cstheme="minorEastAsia"/>
                <w:kern w:val="2"/>
                <w:sz w:val="24"/>
                <w:szCs w:val="24"/>
                <w:highlight w:val="none"/>
                <w:lang w:eastAsia="zh-CN"/>
              </w:rPr>
              <w:t>不够</w:t>
            </w:r>
            <w:r>
              <w:rPr>
                <w:rFonts w:hint="eastAsia" w:asciiTheme="minorEastAsia" w:hAnsiTheme="minorEastAsia" w:eastAsiaTheme="minorEastAsia" w:cstheme="minorEastAsia"/>
                <w:kern w:val="2"/>
                <w:sz w:val="24"/>
                <w:szCs w:val="24"/>
                <w:highlight w:val="none"/>
              </w:rPr>
              <w:t>准确</w:t>
            </w:r>
            <w:r>
              <w:rPr>
                <w:rFonts w:hint="eastAsia" w:asciiTheme="minorEastAsia" w:hAnsiTheme="minorEastAsia" w:eastAsiaTheme="minorEastAsia" w:cstheme="minorEastAsia"/>
                <w:kern w:val="2"/>
                <w:sz w:val="24"/>
                <w:szCs w:val="24"/>
                <w:highlight w:val="none"/>
                <w:lang w:eastAsia="zh-CN"/>
              </w:rPr>
              <w:t>，相应措施不够全面，整体方案不够</w:t>
            </w:r>
            <w:r>
              <w:rPr>
                <w:rFonts w:hint="eastAsia" w:asciiTheme="minorEastAsia" w:hAnsiTheme="minorEastAsia" w:eastAsiaTheme="minorEastAsia" w:cstheme="minorEastAsia"/>
                <w:kern w:val="2"/>
                <w:sz w:val="24"/>
                <w:szCs w:val="24"/>
                <w:highlight w:val="none"/>
              </w:rPr>
              <w:t>详细</w:t>
            </w:r>
            <w:r>
              <w:rPr>
                <w:rFonts w:hint="eastAsia" w:asciiTheme="minorEastAsia" w:hAnsiTheme="minorEastAsia" w:eastAsiaTheme="minorEastAsia" w:cstheme="minorEastAsia"/>
                <w:kern w:val="2"/>
                <w:sz w:val="24"/>
                <w:szCs w:val="24"/>
                <w:highlight w:val="none"/>
                <w:lang w:eastAsia="zh-CN"/>
              </w:rPr>
              <w:t>，但缺项相对不多</w:t>
            </w:r>
            <w:r>
              <w:rPr>
                <w:rFonts w:hint="eastAsia" w:asciiTheme="minorEastAsia" w:hAnsiTheme="minorEastAsia" w:eastAsiaTheme="minorEastAsia" w:cstheme="minorEastAsia"/>
                <w:kern w:val="2"/>
                <w:sz w:val="24"/>
                <w:szCs w:val="24"/>
                <w:highlight w:val="none"/>
              </w:rPr>
              <w:t>；</w:t>
            </w:r>
            <w:r>
              <w:rPr>
                <w:rFonts w:hint="eastAsia" w:asciiTheme="minorEastAsia" w:hAnsiTheme="minorEastAsia" w:eastAsiaTheme="minorEastAsia" w:cstheme="minorEastAsia"/>
                <w:kern w:val="2"/>
                <w:sz w:val="24"/>
                <w:szCs w:val="24"/>
                <w:highlight w:val="none"/>
                <w:lang w:eastAsia="zh-CN"/>
              </w:rPr>
              <w:t>承诺按甲方需求提供临时性服务保障，针对公园景区的突发性服务有列举；</w:t>
            </w:r>
            <w:r>
              <w:rPr>
                <w:rFonts w:hint="eastAsia" w:asciiTheme="minorEastAsia" w:hAnsiTheme="minorEastAsia" w:eastAsiaTheme="minorEastAsia" w:cstheme="minorEastAsia"/>
                <w:kern w:val="2"/>
                <w:sz w:val="24"/>
                <w:szCs w:val="24"/>
                <w:highlight w:val="none"/>
              </w:rPr>
              <w:t>措施</w:t>
            </w:r>
            <w:r>
              <w:rPr>
                <w:rFonts w:hint="eastAsia" w:asciiTheme="minorEastAsia" w:hAnsiTheme="minorEastAsia" w:eastAsiaTheme="minorEastAsia" w:cstheme="minorEastAsia"/>
                <w:kern w:val="2"/>
                <w:sz w:val="24"/>
                <w:szCs w:val="24"/>
                <w:highlight w:val="none"/>
                <w:lang w:eastAsia="zh-CN"/>
              </w:rPr>
              <w:t>不够</w:t>
            </w:r>
            <w:r>
              <w:rPr>
                <w:rFonts w:hint="eastAsia" w:asciiTheme="minorEastAsia" w:hAnsiTheme="minorEastAsia" w:eastAsiaTheme="minorEastAsia" w:cstheme="minorEastAsia"/>
                <w:kern w:val="2"/>
                <w:sz w:val="24"/>
                <w:szCs w:val="24"/>
                <w:highlight w:val="none"/>
              </w:rPr>
              <w:t>科学合理，可行性、实用性、针对性</w:t>
            </w:r>
            <w:r>
              <w:rPr>
                <w:rFonts w:hint="eastAsia" w:asciiTheme="minorEastAsia" w:hAnsiTheme="minorEastAsia" w:eastAsiaTheme="minorEastAsia" w:cstheme="minorEastAsia"/>
                <w:kern w:val="2"/>
                <w:sz w:val="24"/>
                <w:szCs w:val="24"/>
                <w:highlight w:val="none"/>
                <w:lang w:eastAsia="zh-CN"/>
              </w:rPr>
              <w:t>有偏差，但偏差不大，</w:t>
            </w:r>
            <w:r>
              <w:rPr>
                <w:rFonts w:hint="eastAsia" w:asciiTheme="minorEastAsia" w:hAnsiTheme="minorEastAsia" w:eastAsiaTheme="minorEastAsia" w:cstheme="minorEastAsia"/>
                <w:kern w:val="2"/>
                <w:sz w:val="24"/>
                <w:szCs w:val="24"/>
                <w:highlight w:val="none"/>
              </w:rPr>
              <w:t>得</w:t>
            </w:r>
            <w:r>
              <w:rPr>
                <w:rFonts w:hint="eastAsia" w:asciiTheme="minorEastAsia" w:hAnsiTheme="minorEastAsia" w:eastAsiaTheme="minorEastAsia" w:cstheme="minorEastAsia"/>
                <w:kern w:val="2"/>
                <w:sz w:val="24"/>
                <w:szCs w:val="24"/>
                <w:highlight w:val="none"/>
                <w:lang w:val="en-US" w:eastAsia="zh-CN"/>
              </w:rPr>
              <w:t>6</w:t>
            </w:r>
            <w:bookmarkStart w:id="902" w:name="_GoBack"/>
            <w:bookmarkEnd w:id="902"/>
            <w:r>
              <w:rPr>
                <w:rFonts w:hint="eastAsia" w:asciiTheme="minorEastAsia" w:hAnsiTheme="minorEastAsia" w:eastAsiaTheme="minorEastAsia" w:cstheme="minorEastAsia"/>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lang w:eastAsia="zh-CN"/>
              </w:rPr>
              <w:t>未针对性地进行项目</w:t>
            </w:r>
            <w:r>
              <w:rPr>
                <w:rFonts w:hint="eastAsia" w:asciiTheme="minorEastAsia" w:hAnsiTheme="minorEastAsia" w:eastAsiaTheme="minorEastAsia" w:cstheme="minorEastAsia"/>
                <w:kern w:val="2"/>
                <w:sz w:val="24"/>
                <w:szCs w:val="24"/>
                <w:highlight w:val="none"/>
              </w:rPr>
              <w:t>特点、难点分析</w:t>
            </w:r>
            <w:r>
              <w:rPr>
                <w:rFonts w:hint="eastAsia" w:asciiTheme="minorEastAsia" w:hAnsiTheme="minorEastAsia" w:eastAsiaTheme="minorEastAsia" w:cstheme="minorEastAsia"/>
                <w:kern w:val="2"/>
                <w:sz w:val="24"/>
                <w:szCs w:val="24"/>
                <w:highlight w:val="none"/>
                <w:lang w:eastAsia="zh-CN"/>
              </w:rPr>
              <w:t>并提供</w:t>
            </w:r>
            <w:r>
              <w:rPr>
                <w:rFonts w:hint="eastAsia" w:asciiTheme="minorEastAsia" w:hAnsiTheme="minorEastAsia" w:eastAsiaTheme="minorEastAsia" w:cstheme="minorEastAsia"/>
                <w:kern w:val="2"/>
                <w:sz w:val="24"/>
                <w:szCs w:val="24"/>
                <w:highlight w:val="none"/>
              </w:rPr>
              <w:t>相应措施</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kern w:val="2"/>
                <w:sz w:val="24"/>
                <w:szCs w:val="24"/>
                <w:highlight w:val="none"/>
              </w:rPr>
              <w:t>得</w:t>
            </w:r>
            <w:r>
              <w:rPr>
                <w:rFonts w:hint="eastAsia" w:asciiTheme="minorEastAsia" w:hAnsiTheme="minorEastAsia" w:eastAsiaTheme="minorEastAsia" w:cstheme="minorEastAsia"/>
                <w:kern w:val="2"/>
                <w:sz w:val="24"/>
                <w:szCs w:val="24"/>
                <w:highlight w:val="none"/>
                <w:lang w:val="en-US" w:eastAsia="zh-CN"/>
              </w:rPr>
              <w:t>0</w:t>
            </w:r>
            <w:r>
              <w:rPr>
                <w:rFonts w:hint="eastAsia" w:asciiTheme="minorEastAsia" w:hAnsiTheme="minorEastAsia" w:eastAsiaTheme="minorEastAsia" w:cstheme="minorEastAsia"/>
                <w:kern w:val="2"/>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5" w:hRule="atLeast"/>
          <w:tblHeader/>
        </w:trPr>
        <w:tc>
          <w:tcPr>
            <w:tcW w:w="803"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lang w:val="en-US" w:eastAsia="zh-CN"/>
              </w:rPr>
            </w:pPr>
          </w:p>
        </w:tc>
        <w:tc>
          <w:tcPr>
            <w:tcW w:w="1224"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2029" w:type="dxa"/>
            <w:tcBorders>
              <w:top w:val="single" w:color="auto" w:sz="6" w:space="0"/>
              <w:left w:val="single" w:color="auto" w:sz="6" w:space="0"/>
              <w:right w:val="single" w:color="auto" w:sz="6" w:space="0"/>
            </w:tcBorders>
            <w:noWrap w:val="0"/>
            <w:vAlign w:val="center"/>
          </w:tcPr>
          <w:p>
            <w:pPr>
              <w:adjustRightInd/>
              <w:spacing w:line="400" w:lineRule="exact"/>
              <w:jc w:val="both"/>
              <w:textAlignment w:val="auto"/>
              <w:rPr>
                <w:rFonts w:hint="eastAsia" w:asciiTheme="minorEastAsia" w:hAnsiTheme="minorEastAsia" w:eastAsiaTheme="minorEastAsia" w:cstheme="minorEastAsia"/>
                <w:sz w:val="24"/>
                <w:szCs w:val="24"/>
                <w:highlight w:val="yellow"/>
                <w:lang w:val="en-US" w:eastAsia="zh-CN" w:bidi="ar-SA"/>
              </w:rPr>
            </w:pPr>
            <w:r>
              <w:rPr>
                <w:rFonts w:hint="eastAsia" w:asciiTheme="minorEastAsia" w:hAnsiTheme="minorEastAsia" w:eastAsiaTheme="minorEastAsia" w:cstheme="minorEastAsia"/>
                <w:sz w:val="24"/>
                <w:szCs w:val="24"/>
                <w:highlight w:val="none"/>
                <w:lang w:eastAsia="zh-CN"/>
              </w:rPr>
              <w:t>物业</w:t>
            </w:r>
            <w:r>
              <w:rPr>
                <w:rFonts w:hint="eastAsia" w:asciiTheme="minorEastAsia" w:hAnsiTheme="minorEastAsia" w:eastAsiaTheme="minorEastAsia" w:cstheme="minorEastAsia"/>
                <w:sz w:val="24"/>
                <w:szCs w:val="24"/>
                <w:highlight w:val="none"/>
              </w:rPr>
              <w:t>服务方案</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lang w:eastAsia="zh-CN"/>
              </w:rPr>
              <w:t>分）</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包括但不限于以下内容：项目整体服务策划</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采购需求中所涉及的组织机构及人员选派</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各项服务要求内容方案</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节能</w:t>
            </w:r>
            <w:r>
              <w:rPr>
                <w:rFonts w:hint="eastAsia" w:asciiTheme="minorEastAsia" w:hAnsiTheme="minorEastAsia" w:eastAsiaTheme="minorEastAsia" w:cstheme="minorEastAsia"/>
                <w:sz w:val="24"/>
                <w:szCs w:val="24"/>
                <w:highlight w:val="none"/>
                <w:lang w:eastAsia="zh-CN"/>
              </w:rPr>
              <w:t>措施等</w:t>
            </w:r>
            <w:r>
              <w:rPr>
                <w:rFonts w:hint="eastAsia" w:asciiTheme="minorEastAsia" w:hAnsiTheme="minorEastAsia" w:eastAsiaTheme="minorEastAsia" w:cstheme="minorEastAsia"/>
                <w:sz w:val="24"/>
                <w:szCs w:val="24"/>
                <w:highlight w:val="none"/>
              </w:rPr>
              <w:t>。</w:t>
            </w:r>
          </w:p>
          <w:p>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各方案内容</w:t>
            </w:r>
            <w:r>
              <w:rPr>
                <w:rFonts w:hint="eastAsia" w:asciiTheme="minorEastAsia" w:hAnsiTheme="minorEastAsia" w:eastAsiaTheme="minorEastAsia" w:cstheme="minorEastAsia"/>
                <w:sz w:val="24"/>
                <w:szCs w:val="24"/>
                <w:highlight w:val="none"/>
                <w:lang w:eastAsia="zh-CN"/>
              </w:rPr>
              <w:t>考虑全面、措施</w:t>
            </w:r>
            <w:r>
              <w:rPr>
                <w:rFonts w:hint="eastAsia" w:asciiTheme="minorEastAsia" w:hAnsiTheme="minorEastAsia" w:eastAsiaTheme="minorEastAsia" w:cstheme="minorEastAsia"/>
                <w:sz w:val="24"/>
                <w:szCs w:val="24"/>
                <w:highlight w:val="none"/>
              </w:rPr>
              <w:t>科学合理、</w:t>
            </w:r>
            <w:r>
              <w:rPr>
                <w:rFonts w:hint="eastAsia" w:asciiTheme="minorEastAsia" w:hAnsiTheme="minorEastAsia" w:eastAsiaTheme="minorEastAsia" w:cstheme="minorEastAsia"/>
                <w:sz w:val="24"/>
                <w:szCs w:val="24"/>
                <w:highlight w:val="none"/>
                <w:lang w:eastAsia="zh-CN"/>
              </w:rPr>
              <w:t>人员配备齐全、节能措施有效，</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分；</w:t>
            </w:r>
          </w:p>
          <w:p>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各方案内容</w:t>
            </w:r>
            <w:r>
              <w:rPr>
                <w:rFonts w:hint="eastAsia" w:asciiTheme="minorEastAsia" w:hAnsiTheme="minorEastAsia" w:eastAsiaTheme="minorEastAsia" w:cstheme="minorEastAsia"/>
                <w:sz w:val="24"/>
                <w:szCs w:val="24"/>
                <w:highlight w:val="none"/>
                <w:lang w:eastAsia="zh-CN"/>
              </w:rPr>
              <w:t>考虑较全面、措施</w:t>
            </w:r>
            <w:r>
              <w:rPr>
                <w:rFonts w:hint="eastAsia" w:asciiTheme="minorEastAsia" w:hAnsiTheme="minorEastAsia" w:eastAsiaTheme="minorEastAsia" w:cstheme="minorEastAsia"/>
                <w:sz w:val="24"/>
                <w:szCs w:val="24"/>
                <w:highlight w:val="none"/>
              </w:rPr>
              <w:t>科学合理、</w:t>
            </w:r>
            <w:r>
              <w:rPr>
                <w:rFonts w:hint="eastAsia" w:asciiTheme="minorEastAsia" w:hAnsiTheme="minorEastAsia" w:eastAsiaTheme="minorEastAsia" w:cstheme="minorEastAsia"/>
                <w:sz w:val="24"/>
                <w:szCs w:val="24"/>
                <w:highlight w:val="none"/>
                <w:lang w:eastAsia="zh-CN"/>
              </w:rPr>
              <w:t>人员配备齐全、节能措施有效，</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w:t>
            </w:r>
          </w:p>
          <w:p>
            <w:pPr>
              <w:pStyle w:val="6"/>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2.各方案内容考虑较全面、措施较科学合理、人员配备较齐全、节能措施比较有效，得10分</w:t>
            </w:r>
          </w:p>
          <w:p>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各方案内容</w:t>
            </w:r>
            <w:r>
              <w:rPr>
                <w:rFonts w:hint="eastAsia" w:asciiTheme="minorEastAsia" w:hAnsiTheme="minorEastAsia" w:eastAsiaTheme="minorEastAsia" w:cstheme="minorEastAsia"/>
                <w:sz w:val="24"/>
                <w:szCs w:val="24"/>
                <w:highlight w:val="none"/>
                <w:lang w:eastAsia="zh-CN"/>
              </w:rPr>
              <w:t>考虑不够全面、措施不够</w:t>
            </w:r>
            <w:r>
              <w:rPr>
                <w:rFonts w:hint="eastAsia" w:asciiTheme="minorEastAsia" w:hAnsiTheme="minorEastAsia" w:eastAsiaTheme="minorEastAsia" w:cstheme="minorEastAsia"/>
                <w:sz w:val="24"/>
                <w:szCs w:val="24"/>
                <w:highlight w:val="none"/>
              </w:rPr>
              <w:t>科学合理、</w:t>
            </w:r>
            <w:r>
              <w:rPr>
                <w:rFonts w:hint="eastAsia" w:asciiTheme="minorEastAsia" w:hAnsiTheme="minorEastAsia" w:eastAsiaTheme="minorEastAsia" w:cstheme="minorEastAsia"/>
                <w:sz w:val="24"/>
                <w:szCs w:val="24"/>
                <w:highlight w:val="none"/>
                <w:lang w:eastAsia="zh-CN"/>
              </w:rPr>
              <w:t>人员配备不够齐全、节能措施不够有效，得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p>
            <w:pPr>
              <w:numPr>
                <w:ilvl w:val="0"/>
                <w:numId w:val="0"/>
              </w:numPr>
              <w:ind w:left="0" w:leftChars="0" w:firstLine="0" w:firstLineChars="0"/>
              <w:rPr>
                <w:rFonts w:hint="eastAsia" w:asciiTheme="minorEastAsia" w:hAnsiTheme="minorEastAsia" w:eastAsiaTheme="minorEastAsia" w:cstheme="minorEastAsia"/>
                <w:sz w:val="24"/>
                <w:szCs w:val="24"/>
                <w:highlight w:val="yellow"/>
                <w:lang w:val="en-US" w:eastAsia="zh-CN" w:bidi="ar-SA"/>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未提供对应的保洁</w:t>
            </w:r>
            <w:r>
              <w:rPr>
                <w:rFonts w:hint="eastAsia" w:asciiTheme="minorEastAsia" w:hAnsiTheme="minorEastAsia" w:eastAsiaTheme="minorEastAsia" w:cstheme="minorEastAsia"/>
                <w:sz w:val="24"/>
                <w:szCs w:val="24"/>
                <w:highlight w:val="none"/>
              </w:rPr>
              <w:t>服务方案</w:t>
            </w:r>
            <w:r>
              <w:rPr>
                <w:rFonts w:hint="eastAsia" w:asciiTheme="minorEastAsia" w:hAnsiTheme="minorEastAsia" w:eastAsiaTheme="minorEastAsia" w:cstheme="minorEastAsia"/>
                <w:sz w:val="24"/>
                <w:szCs w:val="24"/>
                <w:highlight w:val="none"/>
                <w:lang w:eastAsia="zh-CN"/>
              </w:rPr>
              <w:t>，得</w:t>
            </w:r>
            <w:r>
              <w:rPr>
                <w:rFonts w:hint="eastAsia" w:asciiTheme="minorEastAsia" w:hAnsiTheme="minorEastAsia" w:eastAsiaTheme="minorEastAsia" w:cstheme="minorEastAsia"/>
                <w:sz w:val="24"/>
                <w:szCs w:val="24"/>
                <w:highlight w:val="none"/>
                <w:lang w:val="en-US" w:eastAsia="zh-CN"/>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803"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1224"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2029" w:type="dxa"/>
            <w:tcBorders>
              <w:top w:val="single" w:color="auto" w:sz="6" w:space="0"/>
              <w:left w:val="single" w:color="auto" w:sz="6" w:space="0"/>
              <w:right w:val="single" w:color="auto" w:sz="6" w:space="0"/>
            </w:tcBorders>
            <w:noWrap w:val="0"/>
            <w:vAlign w:val="center"/>
          </w:tcPr>
          <w:p>
            <w:pPr>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sz w:val="24"/>
                <w:szCs w:val="24"/>
                <w:lang w:eastAsia="zh-CN"/>
              </w:rPr>
              <w:t>各项</w:t>
            </w:r>
            <w:r>
              <w:rPr>
                <w:rFonts w:hint="eastAsia" w:asciiTheme="minorEastAsia" w:hAnsiTheme="minorEastAsia" w:eastAsiaTheme="minorEastAsia" w:cstheme="minorEastAsia"/>
                <w:b w:val="0"/>
                <w:bCs w:val="0"/>
                <w:sz w:val="24"/>
                <w:szCs w:val="24"/>
              </w:rPr>
              <w:t>管理制度（1</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 xml:space="preserve"> 分）</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adjustRightInd/>
              <w:spacing w:line="400" w:lineRule="exac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包括</w:t>
            </w:r>
            <w:r>
              <w:rPr>
                <w:rFonts w:hint="eastAsia" w:asciiTheme="minorEastAsia" w:hAnsiTheme="minorEastAsia" w:eastAsiaTheme="minorEastAsia" w:cstheme="minorEastAsia"/>
                <w:b w:val="0"/>
                <w:bCs w:val="0"/>
                <w:sz w:val="24"/>
                <w:szCs w:val="24"/>
                <w:lang w:val="en-US" w:eastAsia="zh-CN"/>
              </w:rPr>
              <w:t>园区</w:t>
            </w:r>
            <w:r>
              <w:rPr>
                <w:rFonts w:hint="eastAsia" w:asciiTheme="minorEastAsia" w:hAnsiTheme="minorEastAsia" w:eastAsiaTheme="minorEastAsia" w:cstheme="minorEastAsia"/>
                <w:b w:val="0"/>
                <w:bCs w:val="0"/>
                <w:sz w:val="24"/>
                <w:szCs w:val="24"/>
                <w:lang w:eastAsia="zh-CN"/>
              </w:rPr>
              <w:t>安全管理制度，</w:t>
            </w:r>
            <w:r>
              <w:rPr>
                <w:rFonts w:hint="eastAsia" w:asciiTheme="minorEastAsia" w:hAnsiTheme="minorEastAsia" w:eastAsiaTheme="minorEastAsia" w:cstheme="minorEastAsia"/>
                <w:b w:val="0"/>
                <w:bCs w:val="0"/>
                <w:sz w:val="24"/>
                <w:szCs w:val="24"/>
                <w:lang w:val="en-US" w:eastAsia="zh-CN"/>
              </w:rPr>
              <w:t>园区</w:t>
            </w:r>
            <w:r>
              <w:rPr>
                <w:rFonts w:hint="eastAsia" w:asciiTheme="minorEastAsia" w:hAnsiTheme="minorEastAsia" w:eastAsiaTheme="minorEastAsia" w:cstheme="minorEastAsia"/>
                <w:b w:val="0"/>
                <w:bCs w:val="0"/>
                <w:sz w:val="24"/>
                <w:szCs w:val="24"/>
                <w:lang w:eastAsia="zh-CN"/>
              </w:rPr>
              <w:t>消防应急预案、</w:t>
            </w:r>
            <w:r>
              <w:rPr>
                <w:rFonts w:hint="eastAsia" w:asciiTheme="minorEastAsia" w:hAnsiTheme="minorEastAsia" w:eastAsiaTheme="minorEastAsia" w:cstheme="minorEastAsia"/>
                <w:b w:val="0"/>
                <w:bCs w:val="0"/>
                <w:sz w:val="24"/>
                <w:szCs w:val="24"/>
                <w:lang w:val="en-US" w:eastAsia="zh-CN"/>
              </w:rPr>
              <w:t>园区</w:t>
            </w:r>
            <w:r>
              <w:rPr>
                <w:rFonts w:hint="eastAsia" w:asciiTheme="minorEastAsia" w:hAnsiTheme="minorEastAsia" w:eastAsiaTheme="minorEastAsia" w:cstheme="minorEastAsia"/>
                <w:b w:val="0"/>
                <w:bCs w:val="0"/>
                <w:sz w:val="24"/>
                <w:szCs w:val="24"/>
                <w:lang w:eastAsia="zh-CN"/>
              </w:rPr>
              <w:t>突发事件处理预案、事件报告制度，</w:t>
            </w:r>
            <w:r>
              <w:rPr>
                <w:rFonts w:hint="eastAsia" w:asciiTheme="minorEastAsia" w:hAnsiTheme="minorEastAsia" w:eastAsiaTheme="minorEastAsia" w:cstheme="minorEastAsia"/>
                <w:b w:val="0"/>
                <w:bCs w:val="0"/>
                <w:sz w:val="24"/>
                <w:szCs w:val="24"/>
                <w:lang w:val="en-US" w:eastAsia="zh-CN"/>
              </w:rPr>
              <w:t>园区秩序维护</w:t>
            </w:r>
            <w:r>
              <w:rPr>
                <w:rFonts w:hint="eastAsia" w:asciiTheme="minorEastAsia" w:hAnsiTheme="minorEastAsia" w:eastAsiaTheme="minorEastAsia" w:cstheme="minorEastAsia"/>
                <w:b w:val="0"/>
                <w:bCs w:val="0"/>
                <w:sz w:val="24"/>
                <w:szCs w:val="24"/>
                <w:lang w:eastAsia="zh-CN"/>
              </w:rPr>
              <w:t>管理制度等：</w:t>
            </w:r>
          </w:p>
          <w:p>
            <w:pPr>
              <w:numPr>
                <w:ilvl w:val="0"/>
                <w:numId w:val="0"/>
              </w:numPr>
              <w:adjustRightInd/>
              <w:spacing w:line="4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各项管理制度健全、切实可行得</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分；</w:t>
            </w:r>
          </w:p>
          <w:p>
            <w:pPr>
              <w:numPr>
                <w:ilvl w:val="0"/>
                <w:numId w:val="0"/>
              </w:numPr>
              <w:adjustRightInd/>
              <w:spacing w:line="400" w:lineRule="exact"/>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制度</w:t>
            </w:r>
            <w:r>
              <w:rPr>
                <w:rFonts w:hint="eastAsia" w:asciiTheme="minorEastAsia" w:hAnsiTheme="minorEastAsia" w:eastAsiaTheme="minorEastAsia" w:cstheme="minorEastAsia"/>
                <w:b w:val="0"/>
                <w:bCs w:val="0"/>
                <w:sz w:val="24"/>
                <w:szCs w:val="24"/>
              </w:rPr>
              <w:t xml:space="preserve">基本健全、基本可行得 </w:t>
            </w: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分；</w:t>
            </w:r>
          </w:p>
          <w:p>
            <w:pPr>
              <w:numPr>
                <w:ilvl w:val="0"/>
                <w:numId w:val="0"/>
              </w:numPr>
              <w:adjustRightInd/>
              <w:spacing w:line="400" w:lineRule="exact"/>
              <w:textAlignment w:val="auto"/>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制度不</w:t>
            </w:r>
            <w:r>
              <w:rPr>
                <w:rFonts w:hint="eastAsia" w:asciiTheme="minorEastAsia" w:hAnsiTheme="minorEastAsia" w:eastAsiaTheme="minorEastAsia" w:cstheme="minorEastAsia"/>
                <w:b w:val="0"/>
                <w:bCs w:val="0"/>
                <w:sz w:val="24"/>
                <w:szCs w:val="24"/>
                <w:lang w:eastAsia="zh-CN"/>
              </w:rPr>
              <w:t>太</w:t>
            </w:r>
            <w:r>
              <w:rPr>
                <w:rFonts w:hint="eastAsia" w:asciiTheme="minorEastAsia" w:hAnsiTheme="minorEastAsia" w:eastAsiaTheme="minorEastAsia" w:cstheme="minorEastAsia"/>
                <w:b w:val="0"/>
                <w:bCs w:val="0"/>
                <w:sz w:val="24"/>
                <w:szCs w:val="24"/>
              </w:rPr>
              <w:t xml:space="preserve">健全、可行性差得 </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eastAsia="zh-CN"/>
              </w:rPr>
              <w:t>；</w:t>
            </w:r>
          </w:p>
          <w:p>
            <w:pPr>
              <w:numPr>
                <w:ilvl w:val="0"/>
                <w:numId w:val="0"/>
              </w:numPr>
              <w:adjustRightInd/>
              <w:spacing w:line="400" w:lineRule="exact"/>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制度无可行性或未提供得</w:t>
            </w:r>
            <w:r>
              <w:rPr>
                <w:rFonts w:hint="eastAsia" w:asciiTheme="minorEastAsia" w:hAnsiTheme="minorEastAsia" w:eastAsiaTheme="minorEastAsia" w:cstheme="minorEastAsia"/>
                <w:b w:val="0"/>
                <w:bCs w:val="0"/>
                <w:sz w:val="24"/>
                <w:szCs w:val="24"/>
                <w:lang w:val="en-US" w:eastAsia="zh-CN"/>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0" w:hRule="atLeast"/>
          <w:tblHeader/>
        </w:trPr>
        <w:tc>
          <w:tcPr>
            <w:tcW w:w="803"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1224"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2029" w:type="dxa"/>
            <w:tcBorders>
              <w:top w:val="single" w:color="auto" w:sz="6" w:space="0"/>
              <w:left w:val="single" w:color="auto" w:sz="6" w:space="0"/>
              <w:right w:val="single" w:color="auto" w:sz="6" w:space="0"/>
            </w:tcBorders>
            <w:noWrap w:val="0"/>
            <w:vAlign w:val="center"/>
          </w:tcPr>
          <w:p>
            <w:pPr>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人员日常考核管理和招收及稳定性</w:t>
            </w:r>
            <w:r>
              <w:rPr>
                <w:rFonts w:hint="eastAsia" w:asciiTheme="minorEastAsia" w:hAnsiTheme="minorEastAsia" w:eastAsiaTheme="minorEastAsia" w:cstheme="minorEastAsia"/>
                <w:sz w:val="24"/>
                <w:szCs w:val="24"/>
                <w:lang w:eastAsia="zh-CN"/>
              </w:rPr>
              <w:t>措施（</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adjustRightInd/>
              <w:spacing w:line="4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人员日常考核和管理方案合理、可行，人员招收、招聘来源情况及人员稳定性保障措施全面、适用，人员聘用劳动合同模本权利义务规定明确、公平，得</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分；</w:t>
            </w:r>
          </w:p>
          <w:p>
            <w:pPr>
              <w:numPr>
                <w:ilvl w:val="0"/>
                <w:numId w:val="0"/>
              </w:numPr>
              <w:adjustRightInd/>
              <w:spacing w:line="4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人员日常考核和管理方案较合理、可行，人员招收、招聘来源情况及人员稳定性保障措施较全面、适用，人员聘用劳动合同模本权利义务规定较明确、公平，得</w:t>
            </w: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分；</w:t>
            </w:r>
          </w:p>
          <w:p>
            <w:pPr>
              <w:numPr>
                <w:ilvl w:val="0"/>
                <w:numId w:val="0"/>
              </w:numPr>
              <w:adjustRightInd/>
              <w:spacing w:line="4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人员日常考核和管理方案合理性可行性较差，人员招收、招聘来源情况及人员稳定性保障措施不够全面、适用，人员聘用劳动合同模本权利义务规定较不够明确公平，得</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分；</w:t>
            </w:r>
          </w:p>
          <w:p>
            <w:pPr>
              <w:numPr>
                <w:ilvl w:val="0"/>
                <w:numId w:val="0"/>
              </w:numPr>
              <w:adjustRightInd/>
              <w:spacing w:line="400" w:lineRule="exac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未提供对应的方案和措施，得0分。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4" w:hRule="atLeast"/>
          <w:tblHeader/>
        </w:trPr>
        <w:tc>
          <w:tcPr>
            <w:tcW w:w="803"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1224"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2029" w:type="dxa"/>
            <w:tcBorders>
              <w:top w:val="single" w:color="auto" w:sz="6" w:space="0"/>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sz w:val="24"/>
                <w:szCs w:val="24"/>
                <w:highlight w:val="none"/>
              </w:rPr>
              <w:t>应急预案（1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c>
          <w:tcPr>
            <w:tcW w:w="6345"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对公园景区可能的突发事件列举全面，对</w:t>
            </w:r>
            <w:r>
              <w:rPr>
                <w:rFonts w:hint="eastAsia" w:asciiTheme="minorEastAsia" w:hAnsiTheme="minorEastAsia" w:eastAsiaTheme="minorEastAsia" w:cstheme="minorEastAsia"/>
                <w:sz w:val="24"/>
                <w:szCs w:val="24"/>
                <w:highlight w:val="none"/>
              </w:rPr>
              <w:t>应急</w:t>
            </w:r>
            <w:r>
              <w:rPr>
                <w:rFonts w:hint="eastAsia" w:asciiTheme="minorEastAsia" w:hAnsiTheme="minorEastAsia" w:eastAsiaTheme="minorEastAsia" w:cstheme="minorEastAsia"/>
                <w:sz w:val="24"/>
                <w:szCs w:val="24"/>
                <w:highlight w:val="none"/>
                <w:lang w:eastAsia="zh-CN"/>
              </w:rPr>
              <w:t>处理</w:t>
            </w:r>
            <w:r>
              <w:rPr>
                <w:rFonts w:hint="eastAsia" w:asciiTheme="minorEastAsia" w:hAnsiTheme="minorEastAsia" w:eastAsiaTheme="minorEastAsia" w:cstheme="minorEastAsia"/>
                <w:sz w:val="24"/>
                <w:szCs w:val="24"/>
                <w:highlight w:val="none"/>
              </w:rPr>
              <w:t>措施安排细致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合理</w:t>
            </w:r>
            <w:r>
              <w:rPr>
                <w:rFonts w:hint="eastAsia" w:asciiTheme="minorEastAsia" w:hAnsiTheme="minorEastAsia" w:eastAsiaTheme="minorEastAsia" w:cstheme="minorEastAsia"/>
                <w:sz w:val="24"/>
                <w:szCs w:val="24"/>
                <w:highlight w:val="none"/>
                <w:lang w:eastAsia="zh-CN"/>
              </w:rPr>
              <w:t>、可行</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人员、</w:t>
            </w:r>
            <w:r>
              <w:rPr>
                <w:rFonts w:hint="eastAsia" w:asciiTheme="minorEastAsia" w:hAnsiTheme="minorEastAsia" w:eastAsiaTheme="minorEastAsia" w:cstheme="minorEastAsia"/>
                <w:sz w:val="24"/>
                <w:szCs w:val="24"/>
                <w:highlight w:val="none"/>
              </w:rPr>
              <w:t>工具和器具配备齐全，得</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对公园景区可能的突发事件列举较全面，对应急处理措施安排较细致、合理、可行，人员、工具和器具配备较齐全，得</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eastAsia="zh-CN"/>
              </w:rPr>
              <w:t>分；</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对公园景区可能的突发事件列举不够全面，对应急处理措施安排不够细致、合理、可行，人员、工具和器具配备不够齐全，得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分；</w:t>
            </w:r>
          </w:p>
          <w:p>
            <w:pP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未提供针对公园景区项目的应急预案，得</w:t>
            </w:r>
            <w:r>
              <w:rPr>
                <w:rFonts w:hint="eastAsia" w:asciiTheme="minorEastAsia" w:hAnsiTheme="minorEastAsia" w:eastAsiaTheme="minorEastAsia" w:cstheme="minorEastAsia"/>
                <w:sz w:val="24"/>
                <w:szCs w:val="24"/>
                <w:highlight w:val="none"/>
                <w:lang w:val="en-US" w:eastAsia="zh-CN"/>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tblHeader/>
        </w:trPr>
        <w:tc>
          <w:tcPr>
            <w:tcW w:w="803"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1224" w:type="dxa"/>
            <w:vMerge w:val="continue"/>
            <w:tcBorders>
              <w:left w:val="single" w:color="auto" w:sz="6" w:space="0"/>
              <w:right w:val="single" w:color="auto" w:sz="6" w:space="0"/>
            </w:tcBorders>
            <w:noWrap w:val="0"/>
            <w:vAlign w:val="center"/>
          </w:tcPr>
          <w:p>
            <w:pPr>
              <w:adjustRightInd/>
              <w:spacing w:line="400" w:lineRule="exact"/>
              <w:jc w:val="center"/>
              <w:textAlignment w:val="auto"/>
              <w:rPr>
                <w:rFonts w:hint="eastAsia" w:asciiTheme="minorEastAsia" w:hAnsiTheme="minorEastAsia" w:eastAsiaTheme="minorEastAsia" w:cstheme="minorEastAsia"/>
                <w:kern w:val="2"/>
                <w:sz w:val="24"/>
                <w:szCs w:val="24"/>
              </w:rPr>
            </w:pPr>
          </w:p>
        </w:tc>
        <w:tc>
          <w:tcPr>
            <w:tcW w:w="2029" w:type="dxa"/>
            <w:tcBorders>
              <w:top w:val="single" w:color="auto" w:sz="4" w:space="0"/>
              <w:left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管理服务</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承诺及违</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约承诺</w:t>
            </w:r>
          </w:p>
          <w:p>
            <w:pPr>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345" w:type="dxa"/>
            <w:tcBorders>
              <w:top w:val="single" w:color="auto" w:sz="4" w:space="0"/>
              <w:left w:val="single" w:color="auto" w:sz="6" w:space="0"/>
              <w:bottom w:val="single" w:color="auto" w:sz="6" w:space="0"/>
              <w:right w:val="single" w:color="auto" w:sz="6" w:space="0"/>
            </w:tcBorders>
            <w:noWrap w:val="0"/>
            <w:vAlign w:val="center"/>
          </w:tcPr>
          <w:p>
            <w:pPr>
              <w:numPr>
                <w:ilvl w:val="0"/>
                <w:numId w:val="0"/>
              </w:numP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eastAsia="zh-CN"/>
              </w:rPr>
              <w:t>针对本项目服务内容和要求提出综合服务目标和各项管理服务承诺指标，并制订达标保障措施和不达标改善措施，并对承诺的服务内容进行相应违约处罚承诺。</w:t>
            </w:r>
          </w:p>
          <w:p>
            <w:pPr>
              <w:numPr>
                <w:ilvl w:val="0"/>
                <w:numId w:val="0"/>
              </w:numP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lang w:eastAsia="zh-CN"/>
              </w:rPr>
              <w:t>各项指标齐全、质量要求满足采购人要求及国家或同行业基本标准、定量化程度较高、较明晰准确，得</w:t>
            </w:r>
            <w:r>
              <w:rPr>
                <w:rFonts w:hint="eastAsia" w:asciiTheme="minorEastAsia" w:hAnsiTheme="minorEastAsia" w:eastAsiaTheme="minorEastAsia" w:cstheme="minorEastAsia"/>
                <w:kern w:val="2"/>
                <w:sz w:val="24"/>
                <w:szCs w:val="24"/>
                <w:lang w:val="en-US" w:eastAsia="zh-CN"/>
              </w:rPr>
              <w:t>5分；</w:t>
            </w:r>
          </w:p>
          <w:p>
            <w:pPr>
              <w:numPr>
                <w:ilvl w:val="0"/>
                <w:numId w:val="0"/>
              </w:numP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各项指标较齐全、质量要求基本满足采购人要求及国家或同行业基本标准、定量化程度较高、较明晰准确，得</w:t>
            </w:r>
            <w:r>
              <w:rPr>
                <w:rFonts w:hint="eastAsia" w:asciiTheme="minorEastAsia" w:hAnsiTheme="minorEastAsia" w:eastAsiaTheme="minorEastAsia" w:cstheme="minorEastAsia"/>
                <w:kern w:val="2"/>
                <w:sz w:val="24"/>
                <w:szCs w:val="24"/>
                <w:lang w:val="en-US" w:eastAsia="zh-CN"/>
              </w:rPr>
              <w:t>3分；</w:t>
            </w:r>
          </w:p>
          <w:p>
            <w:pPr>
              <w:numPr>
                <w:ilvl w:val="0"/>
                <w:numId w:val="0"/>
              </w:numP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3.未提供对应的</w:t>
            </w:r>
            <w:r>
              <w:rPr>
                <w:rFonts w:hint="eastAsia" w:asciiTheme="minorEastAsia" w:hAnsiTheme="minorEastAsia" w:eastAsiaTheme="minorEastAsia" w:cstheme="minorEastAsia"/>
                <w:kern w:val="2"/>
                <w:sz w:val="24"/>
                <w:szCs w:val="24"/>
                <w:lang w:eastAsia="zh-CN"/>
              </w:rPr>
              <w:t>管理服务承诺及违约承诺，得</w:t>
            </w:r>
            <w:r>
              <w:rPr>
                <w:rFonts w:hint="eastAsia" w:asciiTheme="minorEastAsia" w:hAnsiTheme="minorEastAsia" w:eastAsiaTheme="minorEastAsia" w:cstheme="minorEastAsia"/>
                <w:kern w:val="2"/>
                <w:sz w:val="24"/>
                <w:szCs w:val="24"/>
                <w:lang w:val="en-US" w:eastAsia="zh-CN"/>
              </w:rPr>
              <w:t>0</w:t>
            </w:r>
            <w:r>
              <w:rPr>
                <w:rFonts w:hint="eastAsia" w:asciiTheme="minorEastAsia" w:hAnsiTheme="minorEastAsia" w:eastAsiaTheme="minorEastAsia" w:cstheme="minorEastAsia"/>
                <w:kern w:val="2"/>
                <w:sz w:val="24"/>
                <w:szCs w:val="24"/>
                <w:lang w:eastAsia="zh-CN"/>
              </w:rPr>
              <w:t>分。</w:t>
            </w:r>
          </w:p>
        </w:tc>
      </w:tr>
    </w:tbl>
    <w:p>
      <w:pPr>
        <w:tabs>
          <w:tab w:val="left" w:pos="360"/>
          <w:tab w:val="left" w:pos="900"/>
        </w:tabs>
        <w:snapToGrid w:val="0"/>
        <w:spacing w:line="360" w:lineRule="auto"/>
        <w:jc w:val="center"/>
        <w:outlineLvl w:val="1"/>
        <w:rPr>
          <w:color w:val="auto"/>
          <w:highlight w:val="none"/>
        </w:rPr>
      </w:pPr>
    </w:p>
    <w:p>
      <w:pPr>
        <w:widowControl/>
        <w:spacing w:line="400" w:lineRule="exact"/>
        <w:ind w:firstLine="6686" w:firstLineChars="3700"/>
        <w:jc w:val="left"/>
        <w:rPr>
          <w:rFonts w:cs="宋体"/>
          <w:b/>
          <w:color w:val="auto"/>
          <w:kern w:val="0"/>
          <w:sz w:val="18"/>
          <w:szCs w:val="18"/>
          <w:highlight w:val="none"/>
          <w:lang w:bidi="ar-SA"/>
        </w:rPr>
      </w:pPr>
      <w:r>
        <w:rPr>
          <w:rFonts w:hint="eastAsia" w:cs="宋体"/>
          <w:b/>
          <w:color w:val="auto"/>
          <w:kern w:val="0"/>
          <w:sz w:val="18"/>
          <w:szCs w:val="18"/>
          <w:highlight w:val="none"/>
          <w:lang w:bidi="ar-SA"/>
        </w:rPr>
        <w:t>综合评分法</w:t>
      </w:r>
      <w:r>
        <w:rPr>
          <w:rFonts w:cs="宋体"/>
          <w:b/>
          <w:color w:val="auto"/>
          <w:kern w:val="0"/>
          <w:sz w:val="18"/>
          <w:szCs w:val="18"/>
          <w:highlight w:val="none"/>
          <w:lang w:bidi="ar-SA"/>
        </w:rPr>
        <w:t xml:space="preserve"> : </w:t>
      </w:r>
      <w:r>
        <w:rPr>
          <w:rFonts w:hint="eastAsia" w:cs="宋体"/>
          <w:b/>
          <w:color w:val="auto"/>
          <w:kern w:val="0"/>
          <w:sz w:val="18"/>
          <w:szCs w:val="18"/>
          <w:highlight w:val="none"/>
          <w:lang w:bidi="ar-SA"/>
        </w:rPr>
        <w:t>满分</w:t>
      </w:r>
      <w:r>
        <w:rPr>
          <w:rFonts w:cs="宋体"/>
          <w:b/>
          <w:color w:val="auto"/>
          <w:kern w:val="0"/>
          <w:sz w:val="18"/>
          <w:szCs w:val="18"/>
          <w:highlight w:val="none"/>
          <w:lang w:bidi="ar-SA"/>
        </w:rPr>
        <w:t>100</w:t>
      </w:r>
      <w:r>
        <w:rPr>
          <w:rFonts w:hint="eastAsia" w:cs="宋体"/>
          <w:b/>
          <w:color w:val="auto"/>
          <w:kern w:val="0"/>
          <w:sz w:val="18"/>
          <w:szCs w:val="18"/>
          <w:highlight w:val="none"/>
          <w:lang w:bidi="ar-SA"/>
        </w:rPr>
        <w:t>分</w:t>
      </w:r>
    </w:p>
    <w:p>
      <w:pPr>
        <w:rPr>
          <w:rFonts w:hint="eastAsia"/>
        </w:rPr>
      </w:pPr>
    </w:p>
    <w:p>
      <w:pPr>
        <w:jc w:val="right"/>
      </w:pPr>
    </w:p>
    <w:p>
      <w:pPr>
        <w:spacing w:line="360" w:lineRule="auto"/>
        <w:ind w:firstLine="3360" w:firstLineChars="1600"/>
        <w:outlineLvl w:val="2"/>
        <w:rPr>
          <w:rFonts w:ascii="Segoe UI" w:hAnsi="Segoe UI" w:eastAsia="Segoe UI" w:cs="Segoe UI"/>
          <w:i w:val="0"/>
          <w:caps w:val="0"/>
          <w:color w:val="C00000"/>
          <w:spacing w:val="0"/>
          <w:sz w:val="21"/>
          <w:szCs w:val="21"/>
          <w:shd w:val="clear" w:color="auto" w:fill="C2DEF7"/>
        </w:rPr>
      </w:pPr>
    </w:p>
    <w:p>
      <w:pPr>
        <w:spacing w:line="360" w:lineRule="auto"/>
        <w:ind w:firstLine="4800" w:firstLineChars="1600"/>
        <w:outlineLvl w:val="2"/>
        <w:rPr>
          <w:rFonts w:hint="default" w:ascii="Segoe UI" w:hAnsi="Segoe UI" w:eastAsia="Segoe UI" w:cs="Segoe UI"/>
          <w:i w:val="0"/>
          <w:caps w:val="0"/>
          <w:spacing w:val="0"/>
          <w:sz w:val="30"/>
          <w:szCs w:val="30"/>
          <w:shd w:val="clear" w:color="auto" w:fill="C2DEF7"/>
          <w:lang w:val="en-US" w:eastAsia="zh-CN"/>
        </w:rPr>
      </w:pPr>
    </w:p>
    <w:p>
      <w:pPr>
        <w:spacing w:line="360" w:lineRule="auto"/>
        <w:ind w:firstLine="2891" w:firstLineChars="800"/>
        <w:jc w:val="both"/>
        <w:outlineLvl w:val="0"/>
        <w:rPr>
          <w:b/>
          <w:sz w:val="36"/>
          <w:szCs w:val="36"/>
          <w:highlight w:val="none"/>
        </w:rPr>
      </w:pPr>
      <w:bookmarkStart w:id="808" w:name="_Toc99301424"/>
    </w:p>
    <w:p>
      <w:pPr>
        <w:spacing w:line="360" w:lineRule="auto"/>
        <w:ind w:firstLine="2891" w:firstLineChars="800"/>
        <w:jc w:val="both"/>
        <w:outlineLvl w:val="0"/>
        <w:rPr>
          <w:b/>
          <w:sz w:val="36"/>
          <w:szCs w:val="36"/>
          <w:highlight w:val="none"/>
        </w:rPr>
      </w:pPr>
    </w:p>
    <w:p>
      <w:pPr>
        <w:spacing w:line="360" w:lineRule="auto"/>
        <w:ind w:firstLine="2891" w:firstLineChars="800"/>
        <w:jc w:val="both"/>
        <w:outlineLvl w:val="0"/>
        <w:rPr>
          <w:b/>
          <w:sz w:val="36"/>
          <w:szCs w:val="36"/>
          <w:highlight w:val="none"/>
        </w:rPr>
      </w:pPr>
    </w:p>
    <w:p>
      <w:pPr>
        <w:spacing w:line="360" w:lineRule="auto"/>
        <w:ind w:firstLine="2891" w:firstLineChars="800"/>
        <w:jc w:val="both"/>
        <w:outlineLvl w:val="0"/>
        <w:rPr>
          <w:b/>
          <w:sz w:val="36"/>
          <w:szCs w:val="36"/>
          <w:highlight w:val="none"/>
        </w:rPr>
      </w:pPr>
    </w:p>
    <w:p>
      <w:pPr>
        <w:spacing w:line="360" w:lineRule="auto"/>
        <w:ind w:firstLine="2891" w:firstLineChars="800"/>
        <w:jc w:val="both"/>
        <w:outlineLvl w:val="0"/>
        <w:rPr>
          <w:b/>
          <w:sz w:val="36"/>
          <w:szCs w:val="36"/>
          <w:highlight w:val="none"/>
        </w:rPr>
      </w:pPr>
    </w:p>
    <w:p>
      <w:pPr>
        <w:spacing w:line="360" w:lineRule="auto"/>
        <w:ind w:firstLine="2891" w:firstLineChars="800"/>
        <w:jc w:val="both"/>
        <w:outlineLvl w:val="0"/>
        <w:rPr>
          <w:b/>
          <w:sz w:val="36"/>
          <w:szCs w:val="36"/>
          <w:highlight w:val="none"/>
        </w:rPr>
      </w:pPr>
      <w:r>
        <w:rPr>
          <w:b/>
          <w:sz w:val="36"/>
          <w:szCs w:val="36"/>
          <w:highlight w:val="none"/>
        </w:rPr>
        <w:t>第五章   采购需求</w:t>
      </w:r>
      <w:bookmarkEnd w:id="808"/>
    </w:p>
    <w:p>
      <w:pPr>
        <w:spacing w:line="360" w:lineRule="auto"/>
        <w:contextualSpacing/>
        <w:rPr>
          <w:sz w:val="24"/>
        </w:rPr>
      </w:pPr>
    </w:p>
    <w:p>
      <w:pPr>
        <w:numPr>
          <w:ilvl w:val="0"/>
          <w:numId w:val="10"/>
        </w:numPr>
        <w:spacing w:line="360" w:lineRule="auto"/>
        <w:ind w:firstLine="3147" w:firstLineChars="1045"/>
        <w:rPr>
          <w:rFonts w:hint="eastAsia" w:ascii="宋体" w:hAnsi="宋体"/>
          <w:b/>
          <w:bCs/>
          <w:sz w:val="30"/>
          <w:szCs w:val="30"/>
        </w:rPr>
      </w:pPr>
      <w:r>
        <w:rPr>
          <w:rFonts w:hint="eastAsia" w:ascii="宋体" w:hAnsi="宋体"/>
          <w:b/>
          <w:bCs/>
          <w:sz w:val="30"/>
          <w:szCs w:val="30"/>
        </w:rPr>
        <w:t>采购需求</w:t>
      </w:r>
    </w:p>
    <w:p>
      <w:pPr>
        <w:spacing w:line="240" w:lineRule="auto"/>
        <w:rPr>
          <w:rFonts w:hint="eastAsia" w:asciiTheme="minorEastAsia" w:hAnsiTheme="minorEastAsia" w:eastAsiaTheme="minorEastAsia" w:cstheme="minorEastAsia"/>
          <w:b/>
          <w:bCs/>
          <w:color w:val="auto"/>
          <w:sz w:val="24"/>
          <w:szCs w:val="24"/>
        </w:rPr>
      </w:pPr>
      <w:r>
        <w:rPr>
          <w:rFonts w:hint="eastAsia" w:hAnsi="宋体"/>
          <w:b/>
          <w:bCs/>
          <w:sz w:val="30"/>
          <w:szCs w:val="30"/>
          <w:lang w:eastAsia="zh-CN"/>
        </w:rPr>
        <w:t>一、</w:t>
      </w:r>
      <w:r>
        <w:rPr>
          <w:rFonts w:hint="eastAsia" w:asciiTheme="minorEastAsia" w:hAnsiTheme="minorEastAsia" w:eastAsiaTheme="minorEastAsia" w:cstheme="minorEastAsia"/>
          <w:b/>
          <w:bCs/>
          <w:color w:val="auto"/>
          <w:sz w:val="24"/>
          <w:szCs w:val="24"/>
        </w:rPr>
        <w:t>物业项目基本情况和服务项目</w:t>
      </w:r>
    </w:p>
    <w:p>
      <w:pPr>
        <w:pStyle w:val="15"/>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rPr>
          <w:rFonts w:hint="default"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1.采购要求</w:t>
      </w:r>
    </w:p>
    <w:p>
      <w:pPr>
        <w:pStyle w:val="15"/>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负责大运河源头遗址公园（一期）范围内的保洁、安全保卫、消防安全管理等</w:t>
      </w:r>
      <w:r>
        <w:rPr>
          <w:rFonts w:hint="eastAsia" w:ascii="宋体" w:hAnsi="宋体" w:eastAsia="宋体" w:cs="宋体"/>
          <w:b w:val="0"/>
          <w:bCs w:val="0"/>
          <w:sz w:val="24"/>
          <w:szCs w:val="24"/>
          <w:highlight w:val="none"/>
          <w:lang w:val="en-US" w:eastAsia="zh-CN"/>
        </w:rPr>
        <w:t>物业管理服务</w:t>
      </w:r>
      <w:r>
        <w:rPr>
          <w:rFonts w:hint="eastAsia" w:ascii="宋体" w:hAnsi="宋体" w:eastAsia="宋体" w:cs="宋体"/>
          <w:b w:val="0"/>
          <w:bCs/>
          <w:kern w:val="2"/>
          <w:sz w:val="24"/>
          <w:szCs w:val="24"/>
          <w:highlight w:val="none"/>
          <w:lang w:val="en-US" w:eastAsia="zh-CN" w:bidi="ar-SA"/>
        </w:rPr>
        <w:t>工作。具体内容如下：</w:t>
      </w:r>
    </w:p>
    <w:p>
      <w:pPr>
        <w:pStyle w:val="2"/>
        <w:keepNext w:val="0"/>
        <w:keepLines w:val="0"/>
        <w:pageBreakBefore w:val="0"/>
        <w:widowControl w:val="0"/>
        <w:numPr>
          <w:ilvl w:val="0"/>
          <w:numId w:val="11"/>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负责大运河源头遗址公园（一期）环境保洁服务，包括垃圾收集清运、水体保洁等工作。</w:t>
      </w:r>
    </w:p>
    <w:p>
      <w:pPr>
        <w:pStyle w:val="2"/>
        <w:keepNext w:val="0"/>
        <w:keepLines w:val="0"/>
        <w:pageBreakBefore w:val="0"/>
        <w:widowControl w:val="0"/>
        <w:numPr>
          <w:ilvl w:val="0"/>
          <w:numId w:val="11"/>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负责大运河源头遗址公园（一期）秩序维护及消防安全管理工作，包括消防中控室24小时值守等工作。</w:t>
      </w:r>
    </w:p>
    <w:p>
      <w:pPr>
        <w:pStyle w:val="2"/>
        <w:keepNext w:val="0"/>
        <w:keepLines w:val="0"/>
        <w:pageBreakBefore w:val="0"/>
        <w:widowControl w:val="0"/>
        <w:numPr>
          <w:ilvl w:val="0"/>
          <w:numId w:val="11"/>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负责大运河源头遗址公园（一期）范围内基础设备设施的运行维护（小维修），包括高压配电室值班值守。</w:t>
      </w:r>
    </w:p>
    <w:p>
      <w:pPr>
        <w:pStyle w:val="2"/>
        <w:keepNext w:val="0"/>
        <w:keepLines w:val="0"/>
        <w:pageBreakBefore w:val="0"/>
        <w:widowControl w:val="0"/>
        <w:numPr>
          <w:ilvl w:val="0"/>
          <w:numId w:val="11"/>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负责大运河源头遗址公园（一期）范围内的文物古迹的看护、保护、24小时巡视工作。</w:t>
      </w:r>
    </w:p>
    <w:p>
      <w:pPr>
        <w:pStyle w:val="2"/>
        <w:keepNext w:val="0"/>
        <w:keepLines w:val="0"/>
        <w:pageBreakBefore w:val="0"/>
        <w:widowControl w:val="0"/>
        <w:numPr>
          <w:ilvl w:val="0"/>
          <w:numId w:val="11"/>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具体物业人员采购需求如下：</w:t>
      </w:r>
    </w:p>
    <w:tbl>
      <w:tblPr>
        <w:tblStyle w:val="17"/>
        <w:tblW w:w="7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2413"/>
        <w:gridCol w:w="1471"/>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岗位名称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人数</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现场管理</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bidi="ar"/>
              </w:rPr>
              <w:t>物业服务总负责人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园务综合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园务综合监管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设施维修</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工程维修负责人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电工</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低压电工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综合维修工</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高压配电值班员</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保洁员</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保安员</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w:t>
            </w:r>
            <w:r>
              <w:rPr>
                <w:rFonts w:hint="eastAsia" w:ascii="宋体" w:hAnsi="宋体" w:cs="宋体"/>
                <w:i w:val="0"/>
                <w:iCs w:val="0"/>
                <w:color w:val="000000"/>
                <w:kern w:val="0"/>
                <w:sz w:val="22"/>
                <w:szCs w:val="22"/>
                <w:highlight w:val="none"/>
                <w:u w:val="none"/>
                <w:lang w:val="en-US" w:eastAsia="zh-CN" w:bidi="ar"/>
              </w:rPr>
              <w:t>管理</w:t>
            </w:r>
            <w:r>
              <w:rPr>
                <w:rFonts w:hint="eastAsia" w:ascii="宋体" w:hAnsi="宋体" w:eastAsia="宋体" w:cs="宋体"/>
                <w:i w:val="0"/>
                <w:iCs w:val="0"/>
                <w:color w:val="000000"/>
                <w:kern w:val="0"/>
                <w:sz w:val="22"/>
                <w:szCs w:val="22"/>
                <w:highlight w:val="none"/>
                <w:u w:val="none"/>
                <w:lang w:val="en-US" w:eastAsia="zh-CN" w:bidi="ar"/>
              </w:rPr>
              <w:t>员</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消防中控室值班员</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合计</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36</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bl>
    <w:p>
      <w:pPr>
        <w:keepNext w:val="0"/>
        <w:keepLines w:val="0"/>
        <w:pageBreakBefore w:val="0"/>
        <w:widowControl w:val="0"/>
        <w:tabs>
          <w:tab w:val="left" w:pos="180"/>
        </w:tabs>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cs="宋体"/>
          <w:b/>
          <w:sz w:val="24"/>
          <w:szCs w:val="24"/>
          <w:highlight w:val="yellow"/>
          <w:lang w:val="en-US" w:eastAsia="zh-CN"/>
        </w:rPr>
      </w:pPr>
    </w:p>
    <w:p>
      <w:pPr>
        <w:keepNext w:val="0"/>
        <w:keepLines w:val="0"/>
        <w:pageBreakBefore w:val="0"/>
        <w:widowControl w:val="0"/>
        <w:tabs>
          <w:tab w:val="left" w:pos="180"/>
        </w:tabs>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2.物业服务</w:t>
      </w:r>
      <w:r>
        <w:rPr>
          <w:rFonts w:hint="eastAsia" w:ascii="宋体" w:hAnsi="宋体" w:eastAsia="宋体" w:cs="宋体"/>
          <w:b/>
          <w:sz w:val="24"/>
          <w:szCs w:val="24"/>
          <w:highlight w:val="none"/>
        </w:rPr>
        <w:t>人员要求：</w:t>
      </w:r>
    </w:p>
    <w:p>
      <w:pPr>
        <w:keepNext w:val="0"/>
        <w:keepLines w:val="0"/>
        <w:pageBreakBefore w:val="0"/>
        <w:kinsoku/>
        <w:wordWrap/>
        <w:overflowPunct/>
        <w:topLinePunct w:val="0"/>
        <w:autoSpaceDE/>
        <w:autoSpaceDN/>
        <w:bidi w:val="0"/>
        <w:snapToGrid w:val="0"/>
        <w:spacing w:line="360" w:lineRule="auto"/>
        <w:ind w:firstLine="470" w:firstLineChars="196"/>
        <w:outlineLvl w:val="1"/>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投标方根据招标方的工作内容及要求制定具体的人员编制方案。 </w:t>
      </w:r>
    </w:p>
    <w:p>
      <w:pPr>
        <w:keepNext w:val="0"/>
        <w:keepLines w:val="0"/>
        <w:pageBreakBefore w:val="0"/>
        <w:kinsoku/>
        <w:wordWrap/>
        <w:overflowPunct/>
        <w:topLinePunct w:val="0"/>
        <w:autoSpaceDE/>
        <w:autoSpaceDN/>
        <w:bidi w:val="0"/>
        <w:snapToGrid w:val="0"/>
        <w:spacing w:line="360" w:lineRule="auto"/>
        <w:ind w:firstLine="470" w:firstLineChars="196"/>
        <w:outlineLvl w:val="1"/>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b w:val="0"/>
          <w:bCs w:val="0"/>
          <w:color w:val="auto"/>
          <w:sz w:val="24"/>
          <w:szCs w:val="24"/>
          <w:highlight w:val="none"/>
          <w:lang w:val="en-US" w:eastAsia="zh-CN"/>
        </w:rPr>
        <w:t>管理人员要求：</w:t>
      </w:r>
      <w:r>
        <w:rPr>
          <w:rFonts w:hint="eastAsia" w:ascii="宋体" w:hAnsi="宋体" w:cs="宋体"/>
          <w:b w:val="0"/>
          <w:bCs w:val="0"/>
          <w:color w:val="auto"/>
          <w:sz w:val="24"/>
          <w:szCs w:val="24"/>
          <w:highlight w:val="none"/>
          <w:lang w:val="en-US" w:eastAsia="zh-CN"/>
        </w:rPr>
        <w:t>现场管理</w:t>
      </w:r>
      <w:r>
        <w:rPr>
          <w:rFonts w:hint="eastAsia" w:ascii="宋体" w:hAnsi="宋体" w:eastAsia="宋体" w:cs="宋体"/>
          <w:b w:val="0"/>
          <w:bCs w:val="0"/>
          <w:color w:val="auto"/>
          <w:sz w:val="24"/>
          <w:szCs w:val="24"/>
          <w:highlight w:val="none"/>
          <w:lang w:val="en-US" w:eastAsia="zh-CN"/>
        </w:rPr>
        <w:t>1人，具备大学专科及以上学历，有5年以上类似工作经历；</w:t>
      </w:r>
      <w:r>
        <w:rPr>
          <w:rFonts w:hint="eastAsia" w:ascii="宋体" w:hAnsi="宋体" w:cs="宋体"/>
          <w:b w:val="0"/>
          <w:bCs w:val="0"/>
          <w:color w:val="auto"/>
          <w:sz w:val="24"/>
          <w:szCs w:val="24"/>
          <w:highlight w:val="none"/>
          <w:lang w:val="en-US" w:eastAsia="zh-CN"/>
        </w:rPr>
        <w:t>设施维修1人，</w:t>
      </w:r>
      <w:r>
        <w:rPr>
          <w:rFonts w:hint="eastAsia" w:ascii="宋体" w:hAnsi="宋体" w:eastAsia="宋体" w:cs="宋体"/>
          <w:b w:val="0"/>
          <w:bCs w:val="0"/>
          <w:color w:val="auto"/>
          <w:sz w:val="24"/>
          <w:szCs w:val="24"/>
          <w:highlight w:val="none"/>
          <w:lang w:val="en-US" w:eastAsia="zh-CN"/>
        </w:rPr>
        <w:t>有5年及以上类似工作经验，园务综合1人，有2年及以上类似工作经验。管理人员年龄24-55岁之间，</w:t>
      </w:r>
      <w:r>
        <w:rPr>
          <w:rFonts w:hint="eastAsia" w:ascii="宋体" w:hAnsi="宋体" w:eastAsia="宋体" w:cs="宋体"/>
          <w:sz w:val="24"/>
          <w:szCs w:val="24"/>
          <w:highlight w:val="none"/>
        </w:rPr>
        <w:t>员工要求</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55</w:t>
      </w:r>
      <w:r>
        <w:rPr>
          <w:rFonts w:hint="eastAsia" w:ascii="宋体" w:hAnsi="宋体" w:eastAsia="宋体" w:cs="宋体"/>
          <w:sz w:val="24"/>
          <w:szCs w:val="24"/>
          <w:highlight w:val="none"/>
        </w:rPr>
        <w:t>周岁以下，身体健康，无传染性疾病。</w:t>
      </w:r>
    </w:p>
    <w:p>
      <w:pPr>
        <w:keepNext w:val="0"/>
        <w:keepLines w:val="0"/>
        <w:pageBreakBefore w:val="0"/>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国家规定持证上岗的岗位，员工必须持有国家主管部门颁发的与岗位一致的国家规定的上岗资格证书。</w:t>
      </w:r>
    </w:p>
    <w:p>
      <w:pPr>
        <w:keepNext w:val="0"/>
        <w:keepLines w:val="0"/>
        <w:pageBreakBefore w:val="0"/>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员工服装统一，并承诺遵守</w:t>
      </w:r>
      <w:r>
        <w:rPr>
          <w:rFonts w:hint="eastAsia" w:ascii="宋体" w:hAnsi="宋体" w:eastAsia="宋体" w:cs="宋体"/>
          <w:sz w:val="24"/>
          <w:szCs w:val="24"/>
          <w:lang w:val="en-US" w:eastAsia="zh-CN"/>
        </w:rPr>
        <w:t>项目管理</w:t>
      </w:r>
      <w:r>
        <w:rPr>
          <w:rFonts w:hint="eastAsia" w:ascii="宋体" w:hAnsi="宋体" w:eastAsia="宋体" w:cs="宋体"/>
          <w:sz w:val="24"/>
          <w:szCs w:val="24"/>
        </w:rPr>
        <w:t>的各项规章制度。</w:t>
      </w:r>
    </w:p>
    <w:p>
      <w:pPr>
        <w:pStyle w:val="24"/>
        <w:keepNext w:val="0"/>
        <w:keepLines w:val="0"/>
        <w:pageBreakBefore w:val="0"/>
        <w:numPr>
          <w:ilvl w:val="0"/>
          <w:numId w:val="0"/>
        </w:numPr>
        <w:kinsoku/>
        <w:wordWrap/>
        <w:overflowPunct/>
        <w:topLinePunct w:val="0"/>
        <w:autoSpaceDE/>
        <w:autoSpaceDN/>
        <w:bidi w:val="0"/>
        <w:spacing w:line="360" w:lineRule="auto"/>
        <w:ind w:leftChars="200"/>
        <w:contextualSpacing/>
        <w:rPr>
          <w:rFonts w:hint="default" w:ascii="宋体" w:hAnsi="宋体" w:cs="宋体"/>
          <w:b/>
          <w:sz w:val="24"/>
          <w:szCs w:val="24"/>
          <w:lang w:val="en-US" w:eastAsia="zh-CN"/>
        </w:rPr>
      </w:pPr>
      <w:r>
        <w:rPr>
          <w:rFonts w:hint="eastAsia" w:ascii="宋体" w:hAnsi="宋体" w:cs="宋体"/>
          <w:b/>
          <w:sz w:val="24"/>
          <w:szCs w:val="24"/>
          <w:lang w:val="en-US" w:eastAsia="zh-CN"/>
        </w:rPr>
        <w:t>3.服务内容</w:t>
      </w:r>
    </w:p>
    <w:tbl>
      <w:tblPr>
        <w:tblStyle w:val="17"/>
        <w:tblpPr w:leftFromText="180" w:rightFromText="180" w:vertAnchor="text" w:horzAnchor="page" w:tblpX="1277" w:tblpY="452"/>
        <w:tblOverlap w:val="never"/>
        <w:tblW w:w="9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4210"/>
        <w:gridCol w:w="1050"/>
        <w:gridCol w:w="722"/>
        <w:gridCol w:w="2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货物或服务名称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室内环境保洁服务（含展陈物品</w:t>
            </w:r>
            <w:r>
              <w:rPr>
                <w:rFonts w:hint="eastAsia" w:ascii="宋体" w:hAnsi="宋体" w:cs="宋体"/>
                <w:i w:val="0"/>
                <w:iCs w:val="0"/>
                <w:color w:val="000000"/>
                <w:kern w:val="0"/>
                <w:sz w:val="21"/>
                <w:szCs w:val="21"/>
                <w:highlight w:val="none"/>
                <w:u w:val="none"/>
                <w:lang w:val="en-US" w:eastAsia="zh-CN" w:bidi="ar"/>
              </w:rPr>
              <w:t>、文物</w:t>
            </w:r>
            <w:r>
              <w:rPr>
                <w:rFonts w:hint="eastAsia" w:ascii="宋体" w:hAnsi="宋体" w:eastAsia="宋体" w:cs="宋体"/>
                <w:i w:val="0"/>
                <w:iCs w:val="0"/>
                <w:color w:val="000000"/>
                <w:kern w:val="0"/>
                <w:sz w:val="21"/>
                <w:szCs w:val="21"/>
                <w:highlight w:val="none"/>
                <w:u w:val="none"/>
                <w:lang w:val="en-US" w:eastAsia="zh-CN" w:bidi="ar"/>
              </w:rPr>
              <w:t>表面清洁）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r>
              <w:rPr>
                <w:rFonts w:hint="eastAsia" w:ascii="宋体" w:hAnsi="宋体" w:cs="宋体"/>
                <w:i w:val="0"/>
                <w:iCs w:val="0"/>
                <w:color w:val="000000"/>
                <w:kern w:val="0"/>
                <w:sz w:val="21"/>
                <w:szCs w:val="21"/>
                <w:highlight w:val="none"/>
                <w:u w:val="none"/>
                <w:lang w:val="en-US" w:eastAsia="zh-CN" w:bidi="ar"/>
              </w:rPr>
              <w:t>25</w:t>
            </w:r>
            <w:r>
              <w:rPr>
                <w:rFonts w:hint="eastAsia" w:ascii="宋体" w:hAnsi="宋体" w:eastAsia="宋体" w:cs="宋体"/>
                <w:i w:val="0"/>
                <w:iCs w:val="0"/>
                <w:color w:val="000000"/>
                <w:kern w:val="0"/>
                <w:sz w:val="21"/>
                <w:szCs w:val="21"/>
                <w:highlight w:val="none"/>
                <w:u w:val="none"/>
                <w:lang w:val="en-US" w:eastAsia="zh-CN" w:bidi="ar"/>
              </w:rPr>
              <w:t>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龙泉禅寺、都龙王庙、管理处办公楼、公共卫生间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室外环境保洁服务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不含绿化带落叶、树枝清理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水体保洁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0.144万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杂物清理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秩序维护服务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消防安全管理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水（供水、排水）、电、暖等</w:t>
            </w:r>
            <w:r>
              <w:rPr>
                <w:rFonts w:hint="eastAsia" w:ascii="宋体" w:hAnsi="宋体" w:eastAsia="宋体" w:cs="宋体"/>
                <w:i w:val="0"/>
                <w:iCs w:val="0"/>
                <w:color w:val="000000"/>
                <w:kern w:val="0"/>
                <w:sz w:val="21"/>
                <w:szCs w:val="21"/>
                <w:highlight w:val="none"/>
                <w:u w:val="none"/>
                <w:lang w:val="en-US" w:eastAsia="zh-CN" w:bidi="ar"/>
              </w:rPr>
              <w:t>设备设施</w:t>
            </w:r>
            <w:r>
              <w:rPr>
                <w:rFonts w:hint="eastAsia" w:ascii="宋体" w:hAnsi="宋体" w:cs="宋体"/>
                <w:i w:val="0"/>
                <w:iCs w:val="0"/>
                <w:color w:val="000000"/>
                <w:kern w:val="0"/>
                <w:sz w:val="21"/>
                <w:szCs w:val="21"/>
                <w:highlight w:val="none"/>
                <w:u w:val="none"/>
                <w:lang w:val="en-US" w:eastAsia="zh-CN" w:bidi="ar"/>
              </w:rPr>
              <w:t>日常运行</w:t>
            </w:r>
            <w:r>
              <w:rPr>
                <w:rFonts w:hint="eastAsia" w:ascii="宋体" w:hAnsi="宋体" w:eastAsia="宋体" w:cs="宋体"/>
                <w:i w:val="0"/>
                <w:iCs w:val="0"/>
                <w:color w:val="000000"/>
                <w:kern w:val="0"/>
                <w:sz w:val="21"/>
                <w:szCs w:val="21"/>
                <w:highlight w:val="none"/>
                <w:u w:val="none"/>
                <w:lang w:val="en-US" w:eastAsia="zh-CN" w:bidi="ar"/>
              </w:rPr>
              <w:t>服务</w:t>
            </w:r>
            <w:r>
              <w:rPr>
                <w:rFonts w:hint="eastAsia" w:ascii="宋体" w:hAnsi="宋体" w:cs="宋体"/>
                <w:i w:val="0"/>
                <w:iCs w:val="0"/>
                <w:color w:val="000000"/>
                <w:kern w:val="0"/>
                <w:sz w:val="21"/>
                <w:szCs w:val="21"/>
                <w:highlight w:val="none"/>
                <w:u w:val="none"/>
                <w:lang w:val="en-US" w:eastAsia="zh-CN" w:bidi="ar"/>
              </w:rPr>
              <w:t>；土木、管网</w:t>
            </w:r>
            <w:r>
              <w:rPr>
                <w:rFonts w:hint="eastAsia" w:ascii="宋体" w:hAnsi="宋体" w:eastAsia="宋体" w:cs="宋体"/>
                <w:i w:val="0"/>
                <w:iCs w:val="0"/>
                <w:color w:val="000000"/>
                <w:kern w:val="0"/>
                <w:sz w:val="21"/>
                <w:szCs w:val="21"/>
                <w:highlight w:val="none"/>
                <w:u w:val="none"/>
                <w:lang w:val="en-US" w:eastAsia="zh-CN" w:bidi="ar"/>
              </w:rPr>
              <w:t>日常小维修工作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设备质保期内维修服务除外；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专项维保</w:t>
            </w:r>
            <w:r>
              <w:rPr>
                <w:rFonts w:hint="eastAsia" w:ascii="宋体" w:hAnsi="宋体" w:cs="宋体"/>
                <w:i w:val="0"/>
                <w:iCs w:val="0"/>
                <w:color w:val="000000"/>
                <w:kern w:val="0"/>
                <w:sz w:val="21"/>
                <w:szCs w:val="21"/>
                <w:highlight w:val="none"/>
                <w:u w:val="none"/>
                <w:lang w:val="en-US" w:eastAsia="zh-CN" w:bidi="ar"/>
              </w:rPr>
              <w:t>、设备检测</w:t>
            </w:r>
            <w:r>
              <w:rPr>
                <w:rFonts w:hint="eastAsia" w:ascii="宋体" w:hAnsi="宋体" w:eastAsia="宋体" w:cs="宋体"/>
                <w:i w:val="0"/>
                <w:iCs w:val="0"/>
                <w:color w:val="000000"/>
                <w:kern w:val="0"/>
                <w:sz w:val="21"/>
                <w:szCs w:val="21"/>
                <w:highlight w:val="none"/>
                <w:u w:val="none"/>
                <w:lang w:val="en-US" w:eastAsia="zh-CN" w:bidi="ar"/>
              </w:rPr>
              <w:t>除外；</w:t>
            </w:r>
          </w:p>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文物、展陈设备的维修除外；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高压配电室（ 400KVA）24小时值守服务；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中控室24小时值守服务；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室</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安排的临时性工作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i w:val="0"/>
                <w:iCs w:val="0"/>
                <w:color w:val="000000"/>
                <w:sz w:val="21"/>
                <w:szCs w:val="21"/>
                <w:u w:val="none"/>
              </w:rPr>
            </w:pPr>
          </w:p>
        </w:tc>
      </w:tr>
    </w:tbl>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contextualSpacing/>
        <w:textAlignment w:val="auto"/>
        <w:rPr>
          <w:rFonts w:hint="eastAsia" w:ascii="宋体" w:hAnsi="宋体" w:cs="宋体"/>
          <w:b/>
          <w:sz w:val="24"/>
          <w:szCs w:val="24"/>
          <w:lang w:val="en-US" w:eastAsia="zh-CN"/>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lang w:val="en-US" w:eastAsia="zh-CN"/>
        </w:rPr>
        <w:t>、</w:t>
      </w:r>
      <w:r>
        <w:rPr>
          <w:rFonts w:hint="eastAsia" w:ascii="宋体" w:hAnsi="宋体" w:cs="宋体"/>
          <w:b/>
          <w:sz w:val="24"/>
          <w:szCs w:val="24"/>
          <w:lang w:val="en-US" w:eastAsia="zh-CN"/>
        </w:rPr>
        <w:t>物业服务项目</w:t>
      </w:r>
      <w:r>
        <w:rPr>
          <w:rFonts w:hint="eastAsia" w:ascii="宋体" w:hAnsi="宋体" w:eastAsia="宋体" w:cs="宋体"/>
          <w:b/>
          <w:sz w:val="24"/>
          <w:szCs w:val="24"/>
        </w:rPr>
        <w:t>技术要求</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contextualSpacing/>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w:t>
      </w:r>
      <w:bookmarkStart w:id="809" w:name="_Toc475717106"/>
      <w:r>
        <w:rPr>
          <w:rFonts w:hint="eastAsia" w:ascii="宋体" w:hAnsi="宋体" w:eastAsia="宋体" w:cs="宋体"/>
          <w:b/>
          <w:sz w:val="24"/>
          <w:szCs w:val="24"/>
          <w:lang w:val="en-US" w:eastAsia="zh-CN"/>
        </w:rPr>
        <w:t>项目目标</w:t>
      </w:r>
      <w:bookmarkEnd w:id="809"/>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制定有效的管理措施、完善细化保护管理体系，对遗址公园进行基础设施的维护；对文物古迹的保护看护及巡查巡视；充分保障遗址安全，为游客提供安全、整洁、舒适的游园环境。</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contextualSpacing/>
        <w:textAlignment w:val="auto"/>
        <w:rPr>
          <w:rFonts w:hint="eastAsia" w:ascii="宋体" w:hAnsi="宋体" w:eastAsia="宋体" w:cs="宋体"/>
          <w:b/>
          <w:sz w:val="24"/>
          <w:szCs w:val="24"/>
          <w:lang w:val="en-US" w:eastAsia="zh-CN"/>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textAlignment w:val="auto"/>
        <w:rPr>
          <w:rFonts w:hint="eastAsia" w:ascii="宋体" w:hAnsi="宋体"/>
          <w:b/>
          <w:szCs w:val="21"/>
        </w:rPr>
      </w:pPr>
      <w:r>
        <w:rPr>
          <w:rFonts w:hint="eastAsia" w:ascii="宋体" w:hAnsi="宋体" w:eastAsia="宋体" w:cs="宋体"/>
          <w:b/>
          <w:sz w:val="24"/>
          <w:szCs w:val="24"/>
          <w:lang w:val="en-US" w:eastAsia="zh-CN"/>
        </w:rPr>
        <w:t>2.作业内容及标准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szCs w:val="21"/>
        </w:rPr>
      </w:pP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lang w:eastAsia="zh-CN"/>
        </w:rPr>
        <w:t>）</w:t>
      </w:r>
      <w:r>
        <w:rPr>
          <w:rFonts w:hint="eastAsia" w:ascii="宋体" w:hAnsi="宋体"/>
          <w:b/>
          <w:szCs w:val="21"/>
        </w:rPr>
        <w:t>保洁</w:t>
      </w:r>
    </w:p>
    <w:tbl>
      <w:tblPr>
        <w:tblStyle w:val="17"/>
        <w:tblpPr w:leftFromText="182" w:rightFromText="182" w:vertAnchor="text" w:horzAnchor="page" w:tblpXSpec="center" w:tblpY="364"/>
        <w:tblOverlap w:val="never"/>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85"/>
        <w:gridCol w:w="3503"/>
        <w:gridCol w:w="1386"/>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分类</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作业内容</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频次</w:t>
            </w:r>
          </w:p>
        </w:tc>
        <w:tc>
          <w:tcPr>
            <w:tcW w:w="32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63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360" w:lineRule="auto"/>
              <w:jc w:val="center"/>
              <w:rPr>
                <w:rFonts w:ascii="宋体" w:hAnsi="宋体"/>
                <w:b/>
                <w:sz w:val="21"/>
                <w:szCs w:val="21"/>
              </w:rPr>
            </w:pPr>
            <w:r>
              <w:rPr>
                <w:rFonts w:hint="eastAsia" w:ascii="宋体" w:hAnsi="宋体"/>
                <w:b/>
                <w:sz w:val="21"/>
                <w:szCs w:val="21"/>
              </w:rPr>
              <w:t>室   内   保    洁</w:t>
            </w:r>
          </w:p>
        </w:tc>
        <w:tc>
          <w:tcPr>
            <w:tcW w:w="885"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360" w:lineRule="auto"/>
              <w:ind w:left="113" w:right="113"/>
              <w:jc w:val="center"/>
              <w:rPr>
                <w:rFonts w:ascii="宋体" w:hAnsi="宋体"/>
                <w:b/>
                <w:sz w:val="21"/>
                <w:szCs w:val="21"/>
              </w:rPr>
            </w:pPr>
            <w:r>
              <w:rPr>
                <w:rFonts w:hint="eastAsia" w:ascii="宋体" w:hAnsi="宋体"/>
                <w:b/>
                <w:sz w:val="21"/>
                <w:szCs w:val="21"/>
              </w:rPr>
              <w:t>日 常 保 洁</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地面、</w:t>
            </w:r>
            <w:r>
              <w:rPr>
                <w:rFonts w:hint="eastAsia" w:ascii="宋体" w:hAnsi="宋体"/>
                <w:sz w:val="21"/>
                <w:szCs w:val="21"/>
                <w:lang w:val="en-US" w:eastAsia="zh-CN"/>
              </w:rPr>
              <w:t>桌椅</w:t>
            </w:r>
            <w:r>
              <w:rPr>
                <w:rFonts w:hint="eastAsia" w:ascii="宋体" w:hAnsi="宋体"/>
                <w:sz w:val="21"/>
                <w:szCs w:val="21"/>
              </w:rPr>
              <w:t>、可触及部位的墙壁、门、窗、指示牌、金属件、电力插座、护栏扶手、植物盆、垃圾箱等</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巡视清洁</w:t>
            </w:r>
          </w:p>
        </w:tc>
        <w:tc>
          <w:tcPr>
            <w:tcW w:w="32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1、楼道、楼梯、大厅干净整洁、玻璃明亮；地面无污垢、痰迹、纸屑、烟头；桌椅无灰尘；窗台无灰尘，窗帘挂放整齐；天花板、天棚目视无灰尘、无蜘蛛网，玻璃门窗无明显污迹；卫生间无异味，便器无污垢，地面无纸屑、烟头、镜面无污点；洗手台面无油渍；纸篓随时清理；无积水；设施无积尘、污迹</w:t>
            </w:r>
          </w:p>
          <w:p>
            <w:pPr>
              <w:snapToGrid w:val="0"/>
              <w:spacing w:line="360" w:lineRule="auto"/>
              <w:rPr>
                <w:rFonts w:ascii="宋体" w:hAnsi="宋体"/>
                <w:sz w:val="21"/>
                <w:szCs w:val="21"/>
              </w:rPr>
            </w:pPr>
            <w:r>
              <w:rPr>
                <w:rFonts w:hint="eastAsia" w:ascii="宋体" w:hAnsi="宋体"/>
                <w:sz w:val="21"/>
                <w:szCs w:val="21"/>
              </w:rPr>
              <w:t>2、保洁工具与保洁用品要统一放在指定地点，保证楼道、教室、大厅、卫生间整洁；</w:t>
            </w:r>
          </w:p>
          <w:p>
            <w:pPr>
              <w:snapToGrid w:val="0"/>
              <w:spacing w:line="360" w:lineRule="auto"/>
              <w:rPr>
                <w:rFonts w:ascii="宋体" w:hAnsi="宋体"/>
                <w:sz w:val="21"/>
                <w:szCs w:val="21"/>
              </w:rPr>
            </w:pPr>
            <w:r>
              <w:rPr>
                <w:rFonts w:hint="eastAsia" w:ascii="宋体" w:hAnsi="宋体"/>
                <w:sz w:val="21"/>
                <w:szCs w:val="21"/>
              </w:rPr>
              <w:t>3、捡拾物品及时上交</w:t>
            </w:r>
            <w:r>
              <w:rPr>
                <w:rFonts w:hint="eastAsia" w:ascii="宋体" w:hAnsi="宋体"/>
                <w:sz w:val="21"/>
                <w:szCs w:val="21"/>
                <w:lang w:eastAsia="zh-CN"/>
              </w:rPr>
              <w:t>，</w:t>
            </w:r>
            <w:r>
              <w:rPr>
                <w:rFonts w:hint="eastAsia" w:ascii="宋体" w:hAnsi="宋体"/>
                <w:sz w:val="21"/>
                <w:szCs w:val="21"/>
              </w:rPr>
              <w:t>做失物招领，不许私自处理。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88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360" w:lineRule="auto"/>
              <w:ind w:left="113" w:right="113"/>
              <w:jc w:val="center"/>
              <w:rPr>
                <w:rFonts w:ascii="宋体" w:hAnsi="宋体"/>
                <w:b/>
                <w:sz w:val="21"/>
                <w:szCs w:val="21"/>
              </w:rPr>
            </w:pPr>
            <w:r>
              <w:rPr>
                <w:rFonts w:hint="eastAsia" w:ascii="宋体" w:hAnsi="宋体"/>
                <w:b/>
                <w:sz w:val="21"/>
                <w:szCs w:val="21"/>
              </w:rPr>
              <w:t>定    期    保    洁</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照明灯具、（外表）</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1次∕月</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消防设备、外露设施（外表）</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1次∕月</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墙壁2M以下</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2次∕月</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挑空区域墙壁清洁</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1次∕季</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电扇、空调设备（外表）</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1次∕月</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卫生间全面清扫</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2次∕月</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3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360" w:lineRule="auto"/>
              <w:jc w:val="center"/>
              <w:rPr>
                <w:rFonts w:ascii="宋体" w:hAnsi="宋体"/>
                <w:sz w:val="21"/>
                <w:szCs w:val="21"/>
              </w:rPr>
            </w:pPr>
            <w:r>
              <w:rPr>
                <w:rFonts w:hint="eastAsia" w:ascii="宋体" w:hAnsi="宋体"/>
                <w:b/>
                <w:sz w:val="21"/>
                <w:szCs w:val="21"/>
              </w:rPr>
              <w:t>室   外   保    洁</w:t>
            </w: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日</w:t>
            </w:r>
          </w:p>
          <w:p>
            <w:pPr>
              <w:snapToGrid w:val="0"/>
              <w:spacing w:line="360" w:lineRule="auto"/>
              <w:jc w:val="center"/>
              <w:rPr>
                <w:rFonts w:ascii="宋体" w:hAnsi="宋体"/>
                <w:b/>
                <w:sz w:val="21"/>
                <w:szCs w:val="21"/>
              </w:rPr>
            </w:pPr>
            <w:r>
              <w:rPr>
                <w:rFonts w:hint="eastAsia" w:ascii="宋体" w:hAnsi="宋体"/>
                <w:b/>
                <w:sz w:val="21"/>
                <w:szCs w:val="21"/>
              </w:rPr>
              <w:t>常</w:t>
            </w:r>
          </w:p>
          <w:p>
            <w:pPr>
              <w:snapToGrid w:val="0"/>
              <w:spacing w:line="360" w:lineRule="auto"/>
              <w:jc w:val="center"/>
              <w:rPr>
                <w:rFonts w:ascii="宋体" w:hAnsi="宋体"/>
                <w:b/>
                <w:sz w:val="21"/>
                <w:szCs w:val="21"/>
              </w:rPr>
            </w:pPr>
            <w:r>
              <w:rPr>
                <w:rFonts w:hint="eastAsia" w:ascii="宋体" w:hAnsi="宋体"/>
                <w:b/>
                <w:sz w:val="21"/>
                <w:szCs w:val="21"/>
              </w:rPr>
              <w:t>保</w:t>
            </w:r>
          </w:p>
          <w:p>
            <w:pPr>
              <w:snapToGrid w:val="0"/>
              <w:spacing w:line="360" w:lineRule="auto"/>
              <w:jc w:val="center"/>
              <w:rPr>
                <w:rFonts w:ascii="宋体" w:hAnsi="宋体"/>
                <w:b/>
                <w:sz w:val="21"/>
                <w:szCs w:val="21"/>
              </w:rPr>
            </w:pPr>
            <w:r>
              <w:rPr>
                <w:rFonts w:hint="eastAsia" w:ascii="宋体" w:hAnsi="宋体"/>
                <w:b/>
                <w:sz w:val="21"/>
                <w:szCs w:val="21"/>
              </w:rPr>
              <w:t>洁</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地面清扫</w:t>
            </w:r>
          </w:p>
        </w:tc>
        <w:tc>
          <w:tcPr>
            <w:tcW w:w="138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巡视清洁</w:t>
            </w:r>
          </w:p>
        </w:tc>
        <w:tc>
          <w:tcPr>
            <w:tcW w:w="32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1、完成</w:t>
            </w:r>
            <w:r>
              <w:rPr>
                <w:rFonts w:hint="eastAsia" w:ascii="宋体" w:hAnsi="宋体"/>
                <w:sz w:val="21"/>
                <w:szCs w:val="21"/>
                <w:lang w:eastAsia="zh-CN"/>
              </w:rPr>
              <w:t>园区</w:t>
            </w:r>
            <w:r>
              <w:rPr>
                <w:rFonts w:hint="eastAsia" w:ascii="宋体" w:hAnsi="宋体"/>
                <w:sz w:val="21"/>
                <w:szCs w:val="21"/>
              </w:rPr>
              <w:t>环境卫生工作；保持道路全天整洁干净、无杂物；设施无积尘、污迹、排水沟内无</w:t>
            </w:r>
            <w:r>
              <w:rPr>
                <w:rFonts w:hint="eastAsia" w:ascii="宋体" w:hAnsi="宋体"/>
                <w:sz w:val="21"/>
                <w:szCs w:val="21"/>
                <w:lang w:val="en-US" w:eastAsia="zh-CN"/>
              </w:rPr>
              <w:t>明显</w:t>
            </w:r>
            <w:r>
              <w:rPr>
                <w:rFonts w:hint="eastAsia" w:ascii="宋体" w:hAnsi="宋体"/>
                <w:sz w:val="21"/>
                <w:szCs w:val="21"/>
              </w:rPr>
              <w:t>杂物</w:t>
            </w:r>
          </w:p>
          <w:p>
            <w:pPr>
              <w:snapToGrid w:val="0"/>
              <w:spacing w:line="360" w:lineRule="auto"/>
              <w:rPr>
                <w:rFonts w:ascii="宋体" w:hAnsi="宋体"/>
                <w:sz w:val="21"/>
                <w:szCs w:val="21"/>
              </w:rPr>
            </w:pPr>
            <w:r>
              <w:rPr>
                <w:rFonts w:hint="eastAsia" w:ascii="宋体" w:hAnsi="宋体"/>
                <w:sz w:val="21"/>
                <w:szCs w:val="21"/>
              </w:rPr>
              <w:t>2、垃圾日产日清；垃圾必须排放在指定地点，不得乱倒滥卸；</w:t>
            </w:r>
            <w:r>
              <w:rPr>
                <w:rFonts w:hint="eastAsia" w:ascii="宋体" w:hAnsi="宋体"/>
                <w:sz w:val="21"/>
                <w:szCs w:val="21"/>
              </w:rPr>
              <w:br w:type="textWrapping"/>
            </w:r>
            <w:r>
              <w:rPr>
                <w:rFonts w:hint="eastAsia" w:ascii="宋体" w:hAnsi="宋体"/>
                <w:sz w:val="21"/>
                <w:szCs w:val="21"/>
              </w:rPr>
              <w:t>3、雨雪天气时，保证路面不</w:t>
            </w:r>
            <w:r>
              <w:rPr>
                <w:rFonts w:hint="eastAsia" w:ascii="宋体" w:hAnsi="宋体"/>
                <w:sz w:val="21"/>
                <w:szCs w:val="21"/>
                <w:lang w:val="en-US" w:eastAsia="zh-CN"/>
              </w:rPr>
              <w:t>大量</w:t>
            </w:r>
            <w:r>
              <w:rPr>
                <w:rFonts w:hint="eastAsia" w:ascii="宋体" w:hAnsi="宋体"/>
                <w:sz w:val="21"/>
                <w:szCs w:val="21"/>
              </w:rPr>
              <w:t>积水、少结冰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外挂扶梯</w:t>
            </w:r>
          </w:p>
        </w:tc>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垃圾清运</w:t>
            </w:r>
          </w:p>
        </w:tc>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定</w:t>
            </w:r>
          </w:p>
          <w:p>
            <w:pPr>
              <w:snapToGrid w:val="0"/>
              <w:spacing w:line="360" w:lineRule="auto"/>
              <w:jc w:val="center"/>
              <w:rPr>
                <w:rFonts w:ascii="宋体" w:hAnsi="宋体"/>
                <w:b/>
                <w:sz w:val="21"/>
                <w:szCs w:val="21"/>
              </w:rPr>
            </w:pPr>
            <w:r>
              <w:rPr>
                <w:rFonts w:hint="eastAsia" w:ascii="宋体" w:hAnsi="宋体"/>
                <w:b/>
                <w:sz w:val="21"/>
                <w:szCs w:val="21"/>
              </w:rPr>
              <w:t>期</w:t>
            </w:r>
          </w:p>
          <w:p>
            <w:pPr>
              <w:snapToGrid w:val="0"/>
              <w:spacing w:line="360" w:lineRule="auto"/>
              <w:jc w:val="center"/>
              <w:rPr>
                <w:rFonts w:ascii="宋体" w:hAnsi="宋体"/>
                <w:b/>
                <w:sz w:val="21"/>
                <w:szCs w:val="21"/>
              </w:rPr>
            </w:pPr>
            <w:r>
              <w:rPr>
                <w:rFonts w:hint="eastAsia" w:ascii="宋体" w:hAnsi="宋体"/>
                <w:b/>
                <w:sz w:val="21"/>
                <w:szCs w:val="21"/>
              </w:rPr>
              <w:t>保</w:t>
            </w:r>
          </w:p>
          <w:p>
            <w:pPr>
              <w:snapToGrid w:val="0"/>
              <w:spacing w:line="360" w:lineRule="auto"/>
              <w:jc w:val="center"/>
              <w:rPr>
                <w:rFonts w:ascii="宋体" w:hAnsi="宋体"/>
                <w:b/>
                <w:sz w:val="21"/>
                <w:szCs w:val="21"/>
              </w:rPr>
            </w:pPr>
            <w:r>
              <w:rPr>
                <w:rFonts w:hint="eastAsia" w:ascii="宋体" w:hAnsi="宋体"/>
                <w:b/>
                <w:sz w:val="21"/>
                <w:szCs w:val="21"/>
              </w:rPr>
              <w:t>洁</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可触及部位的灯具</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1次∕日</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各类标志牌、垃圾箱（桶）清洁</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1次∕日</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b/>
                <w:sz w:val="21"/>
                <w:szCs w:val="21"/>
              </w:rPr>
            </w:pP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排水沟清洁</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次∕周</w:t>
            </w:r>
          </w:p>
        </w:tc>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sz w:val="21"/>
                <w:szCs w:val="21"/>
              </w:rPr>
            </w:pPr>
          </w:p>
        </w:tc>
      </w:tr>
    </w:tbl>
    <w:p>
      <w:pPr>
        <w:pStyle w:val="6"/>
        <w:rPr>
          <w:rFonts w:ascii="宋体" w:hAnsi="宋体"/>
          <w:b/>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b/>
          <w:szCs w:val="21"/>
          <w:lang w:eastAsia="zh-CN"/>
        </w:rPr>
      </w:pP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2</w:t>
      </w: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消防安全</w:t>
      </w:r>
      <w:r>
        <w:rPr>
          <w:rFonts w:hint="eastAsia" w:ascii="宋体" w:hAnsi="宋体" w:eastAsia="宋体" w:cs="Times New Roman"/>
          <w:b/>
          <w:szCs w:val="21"/>
          <w:lang w:eastAsia="zh-CN"/>
        </w:rPr>
        <w:t>管理</w:t>
      </w:r>
    </w:p>
    <w:tbl>
      <w:tblPr>
        <w:tblStyle w:val="17"/>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2" w:type="dxa"/>
            <w:noWrap w:val="0"/>
            <w:vAlign w:val="center"/>
          </w:tcPr>
          <w:p>
            <w:pPr>
              <w:spacing w:line="300" w:lineRule="auto"/>
              <w:ind w:left="420" w:hanging="420"/>
              <w:jc w:val="center"/>
              <w:rPr>
                <w:rFonts w:ascii="宋体" w:hAnsi="宋体" w:cs="宋体"/>
                <w:sz w:val="21"/>
                <w:szCs w:val="21"/>
              </w:rPr>
            </w:pPr>
            <w:r>
              <w:rPr>
                <w:rFonts w:hint="eastAsia" w:ascii="宋体" w:hAnsi="宋体" w:cs="宋体"/>
                <w:sz w:val="21"/>
                <w:szCs w:val="21"/>
              </w:rPr>
              <w:t>作业内容</w:t>
            </w:r>
          </w:p>
        </w:tc>
        <w:tc>
          <w:tcPr>
            <w:tcW w:w="6851" w:type="dxa"/>
            <w:noWrap w:val="0"/>
            <w:vAlign w:val="center"/>
          </w:tcPr>
          <w:p>
            <w:pPr>
              <w:spacing w:line="300" w:lineRule="auto"/>
              <w:ind w:left="420" w:hanging="420"/>
              <w:jc w:val="center"/>
              <w:rPr>
                <w:rFonts w:ascii="宋体" w:hAnsi="宋体" w:cs="宋体"/>
                <w:sz w:val="21"/>
                <w:szCs w:val="21"/>
              </w:rPr>
            </w:pPr>
            <w:r>
              <w:rPr>
                <w:rFonts w:hint="eastAsia" w:ascii="宋体" w:hAnsi="宋体" w:cs="宋体"/>
                <w:sz w:val="21"/>
                <w:szCs w:val="21"/>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2882" w:type="dxa"/>
            <w:noWrap w:val="0"/>
            <w:vAlign w:val="center"/>
          </w:tcPr>
          <w:p>
            <w:pPr>
              <w:spacing w:line="480" w:lineRule="exact"/>
              <w:jc w:val="center"/>
              <w:rPr>
                <w:rFonts w:ascii="宋体" w:hAnsi="宋体" w:cs="宋体"/>
                <w:sz w:val="21"/>
                <w:szCs w:val="21"/>
              </w:rPr>
            </w:pPr>
            <w:r>
              <w:rPr>
                <w:rFonts w:hint="eastAsia" w:ascii="宋体" w:hAnsi="宋体" w:cs="宋体"/>
                <w:bCs/>
                <w:sz w:val="21"/>
                <w:szCs w:val="21"/>
                <w:lang w:val="en-US" w:eastAsia="zh-CN"/>
              </w:rPr>
              <w:t>园区消防</w:t>
            </w:r>
            <w:r>
              <w:rPr>
                <w:rFonts w:hint="eastAsia" w:ascii="宋体" w:hAnsi="宋体" w:cs="宋体"/>
                <w:bCs/>
                <w:sz w:val="21"/>
                <w:szCs w:val="21"/>
              </w:rPr>
              <w:t>安全管理</w:t>
            </w:r>
          </w:p>
        </w:tc>
        <w:tc>
          <w:tcPr>
            <w:tcW w:w="6851" w:type="dxa"/>
            <w:noWrap w:val="0"/>
            <w:vAlign w:val="center"/>
          </w:tcPr>
          <w:p>
            <w:pPr>
              <w:spacing w:line="480" w:lineRule="exact"/>
              <w:rPr>
                <w:rFonts w:ascii="宋体" w:hAnsi="宋体" w:cs="宋体"/>
                <w:sz w:val="21"/>
                <w:szCs w:val="21"/>
                <w:highlight w:val="none"/>
              </w:rPr>
            </w:pPr>
            <w:r>
              <w:rPr>
                <w:rFonts w:hint="eastAsia" w:ascii="宋体" w:hAnsi="宋体" w:cs="宋体"/>
                <w:sz w:val="21"/>
                <w:szCs w:val="21"/>
              </w:rPr>
              <w:t>1、</w:t>
            </w:r>
            <w:r>
              <w:rPr>
                <w:rFonts w:hint="eastAsia" w:ascii="宋体" w:hAnsi="宋体" w:cs="宋体"/>
                <w:sz w:val="21"/>
                <w:szCs w:val="21"/>
                <w:highlight w:val="none"/>
              </w:rPr>
              <w:t>有“</w:t>
            </w:r>
            <w:r>
              <w:rPr>
                <w:rFonts w:hint="eastAsia" w:ascii="宋体" w:hAnsi="宋体" w:cs="宋体"/>
                <w:sz w:val="21"/>
                <w:szCs w:val="21"/>
                <w:highlight w:val="none"/>
                <w:lang w:val="en-US" w:eastAsia="zh-CN"/>
              </w:rPr>
              <w:t>园区</w:t>
            </w:r>
            <w:r>
              <w:rPr>
                <w:rFonts w:hint="eastAsia" w:ascii="宋体" w:hAnsi="宋体" w:cs="宋体"/>
                <w:sz w:val="21"/>
                <w:szCs w:val="21"/>
                <w:highlight w:val="none"/>
              </w:rPr>
              <w:t>安全管理制度”，</w:t>
            </w:r>
            <w:r>
              <w:rPr>
                <w:rFonts w:hint="eastAsia" w:ascii="宋体" w:hAnsi="宋体" w:cs="宋体"/>
                <w:sz w:val="21"/>
                <w:szCs w:val="21"/>
                <w:highlight w:val="none"/>
                <w:lang w:val="en-US" w:eastAsia="zh-CN"/>
              </w:rPr>
              <w:t>并按照执行</w:t>
            </w:r>
            <w:r>
              <w:rPr>
                <w:rFonts w:hint="eastAsia" w:ascii="宋体" w:hAnsi="宋体" w:cs="宋体"/>
                <w:sz w:val="21"/>
                <w:szCs w:val="21"/>
                <w:highlight w:val="none"/>
              </w:rPr>
              <w:t>。</w:t>
            </w:r>
          </w:p>
          <w:p>
            <w:pPr>
              <w:spacing w:line="480" w:lineRule="exact"/>
              <w:rPr>
                <w:rFonts w:ascii="宋体" w:hAnsi="宋体" w:cs="宋体"/>
                <w:sz w:val="21"/>
                <w:szCs w:val="21"/>
                <w:highlight w:val="none"/>
              </w:rPr>
            </w:pPr>
            <w:r>
              <w:rPr>
                <w:rFonts w:hint="eastAsia" w:ascii="宋体" w:hAnsi="宋体" w:cs="宋体"/>
                <w:sz w:val="21"/>
                <w:szCs w:val="21"/>
                <w:highlight w:val="none"/>
              </w:rPr>
              <w:t>2、实行</w:t>
            </w:r>
            <w:r>
              <w:rPr>
                <w:rFonts w:hint="eastAsia" w:ascii="宋体" w:hAnsi="宋体" w:cs="宋体"/>
                <w:sz w:val="21"/>
                <w:szCs w:val="21"/>
                <w:highlight w:val="none"/>
                <w:lang w:val="en-US" w:eastAsia="zh-CN"/>
              </w:rPr>
              <w:t>24小时监控值守工作</w:t>
            </w:r>
            <w:r>
              <w:rPr>
                <w:rFonts w:hint="eastAsia" w:ascii="宋体" w:hAnsi="宋体" w:cs="宋体"/>
                <w:sz w:val="21"/>
                <w:szCs w:val="21"/>
                <w:highlight w:val="none"/>
              </w:rPr>
              <w:t>。</w:t>
            </w:r>
          </w:p>
          <w:p>
            <w:pPr>
              <w:spacing w:line="480" w:lineRule="exact"/>
              <w:rPr>
                <w:rFonts w:ascii="宋体" w:hAnsi="宋体" w:cs="宋体"/>
                <w:sz w:val="21"/>
                <w:szCs w:val="21"/>
                <w:highlight w:val="none"/>
              </w:rPr>
            </w:pPr>
            <w:r>
              <w:rPr>
                <w:rFonts w:hint="eastAsia" w:ascii="宋体" w:hAnsi="宋体" w:cs="宋体"/>
                <w:sz w:val="21"/>
                <w:szCs w:val="21"/>
                <w:highlight w:val="none"/>
              </w:rPr>
              <w:t>3、有“</w:t>
            </w:r>
            <w:r>
              <w:rPr>
                <w:rFonts w:hint="eastAsia" w:ascii="宋体" w:hAnsi="宋体" w:cs="宋体"/>
                <w:sz w:val="21"/>
                <w:szCs w:val="21"/>
                <w:highlight w:val="none"/>
                <w:lang w:val="en-US" w:eastAsia="zh-CN"/>
              </w:rPr>
              <w:t>园区</w:t>
            </w:r>
            <w:r>
              <w:rPr>
                <w:rFonts w:hint="eastAsia" w:ascii="宋体" w:hAnsi="宋体" w:cs="宋体"/>
                <w:sz w:val="21"/>
                <w:szCs w:val="21"/>
                <w:highlight w:val="none"/>
              </w:rPr>
              <w:t>消防应急预案”、“</w:t>
            </w:r>
            <w:r>
              <w:rPr>
                <w:rFonts w:hint="eastAsia" w:ascii="宋体" w:hAnsi="宋体" w:cs="宋体"/>
                <w:sz w:val="21"/>
                <w:szCs w:val="21"/>
                <w:highlight w:val="none"/>
                <w:lang w:val="en-US" w:eastAsia="zh-CN"/>
              </w:rPr>
              <w:t>园区</w:t>
            </w:r>
            <w:r>
              <w:rPr>
                <w:rFonts w:hint="eastAsia" w:ascii="宋体" w:hAnsi="宋体" w:cs="宋体"/>
                <w:sz w:val="21"/>
                <w:szCs w:val="21"/>
                <w:highlight w:val="none"/>
              </w:rPr>
              <w:t>突发事件处理预案”、“事件报告制度”，要求全体员工详知并严格遵照执行。</w:t>
            </w:r>
          </w:p>
          <w:p>
            <w:pPr>
              <w:rPr>
                <w:rFonts w:ascii="宋体" w:hAnsi="宋体" w:cs="宋体"/>
                <w:sz w:val="21"/>
                <w:szCs w:val="21"/>
                <w:highlight w:val="none"/>
              </w:rPr>
            </w:pPr>
            <w:r>
              <w:rPr>
                <w:rFonts w:hint="eastAsia" w:ascii="宋体" w:hAnsi="宋体" w:cs="宋体"/>
                <w:sz w:val="21"/>
                <w:szCs w:val="21"/>
                <w:highlight w:val="none"/>
              </w:rPr>
              <w:t>4、每周至少检查一次安全用电及其它消防隐患，发现问题及时处置上报。</w:t>
            </w:r>
          </w:p>
          <w:p>
            <w:pPr>
              <w:spacing w:line="480" w:lineRule="exact"/>
              <w:rPr>
                <w:rFonts w:ascii="宋体" w:hAnsi="宋体" w:cs="宋体"/>
                <w:sz w:val="21"/>
                <w:szCs w:val="21"/>
              </w:rPr>
            </w:pPr>
            <w:r>
              <w:rPr>
                <w:rFonts w:hint="eastAsia" w:ascii="宋体" w:hAnsi="宋体" w:cs="宋体"/>
                <w:sz w:val="21"/>
                <w:szCs w:val="21"/>
                <w:highlight w:val="none"/>
              </w:rPr>
              <w:t>5、员工熟知</w:t>
            </w:r>
            <w:r>
              <w:rPr>
                <w:rFonts w:hint="eastAsia" w:ascii="宋体" w:hAnsi="宋体" w:cs="宋体"/>
                <w:sz w:val="21"/>
                <w:szCs w:val="21"/>
                <w:highlight w:val="none"/>
                <w:lang w:val="en-US" w:eastAsia="zh-CN"/>
              </w:rPr>
              <w:t>园区</w:t>
            </w:r>
            <w:r>
              <w:rPr>
                <w:rFonts w:hint="eastAsia" w:ascii="宋体" w:hAnsi="宋体" w:cs="宋体"/>
                <w:sz w:val="21"/>
                <w:szCs w:val="21"/>
                <w:highlight w:val="none"/>
              </w:rPr>
              <w:t>内消防设置配置情况，掌握消防器材使用方法；每月检查</w:t>
            </w:r>
            <w:r>
              <w:rPr>
                <w:rFonts w:hint="eastAsia" w:ascii="宋体" w:hAnsi="宋体" w:cs="宋体"/>
                <w:color w:val="000000"/>
                <w:sz w:val="21"/>
                <w:szCs w:val="21"/>
                <w:highlight w:val="none"/>
              </w:rPr>
              <w:t>消防设施是否失缺、灭火器是否失压</w:t>
            </w:r>
            <w:r>
              <w:rPr>
                <w:rFonts w:hint="eastAsia" w:ascii="宋体" w:hAnsi="宋体" w:cs="宋体"/>
                <w:sz w:val="21"/>
                <w:szCs w:val="21"/>
                <w:highlight w:val="none"/>
              </w:rPr>
              <w:t>，发现问题及时上</w:t>
            </w:r>
            <w:r>
              <w:rPr>
                <w:rFonts w:hint="eastAsia" w:ascii="宋体" w:hAnsi="宋体" w:cs="宋体"/>
                <w:sz w:val="21"/>
                <w:szCs w:val="21"/>
              </w:rPr>
              <w:t>报；保持消防通道的即时畅通。</w:t>
            </w:r>
          </w:p>
          <w:p>
            <w:pPr>
              <w:spacing w:line="480" w:lineRule="exact"/>
              <w:rPr>
                <w:rFonts w:ascii="宋体" w:hAnsi="宋体" w:cs="宋体"/>
                <w:color w:val="000000"/>
                <w:sz w:val="21"/>
                <w:szCs w:val="21"/>
              </w:rPr>
            </w:pPr>
            <w:r>
              <w:rPr>
                <w:rFonts w:hint="eastAsia" w:ascii="宋体" w:hAnsi="宋体" w:cs="宋体"/>
                <w:sz w:val="21"/>
                <w:szCs w:val="21"/>
              </w:rPr>
              <w:t>6、对发现</w:t>
            </w:r>
            <w:r>
              <w:rPr>
                <w:rFonts w:hint="eastAsia" w:ascii="宋体" w:hAnsi="宋体" w:cs="宋体"/>
                <w:color w:val="000000"/>
                <w:sz w:val="21"/>
                <w:szCs w:val="21"/>
              </w:rPr>
              <w:t>安全隐患，第一时间上报，同时做好现场处置保护，并协助做好调查处置工作。</w:t>
            </w:r>
          </w:p>
          <w:p>
            <w:pPr>
              <w:spacing w:line="480" w:lineRule="exact"/>
              <w:rPr>
                <w:rFonts w:ascii="宋体" w:hAnsi="宋体" w:cs="宋体"/>
                <w:color w:val="000000"/>
                <w:sz w:val="21"/>
                <w:szCs w:val="21"/>
              </w:rPr>
            </w:pPr>
            <w:r>
              <w:rPr>
                <w:rFonts w:hint="eastAsia" w:ascii="宋体" w:hAnsi="宋体" w:cs="宋体"/>
                <w:sz w:val="21"/>
                <w:szCs w:val="21"/>
              </w:rPr>
              <w:t>7、</w:t>
            </w:r>
            <w:r>
              <w:rPr>
                <w:rFonts w:hint="eastAsia" w:ascii="宋体" w:hAnsi="宋体" w:cs="宋体"/>
                <w:color w:val="000000"/>
                <w:sz w:val="21"/>
                <w:szCs w:val="21"/>
              </w:rPr>
              <w:t>宣传有关法律、消防知识，提高</w:t>
            </w:r>
            <w:r>
              <w:rPr>
                <w:rFonts w:hint="eastAsia" w:ascii="宋体" w:hAnsi="宋体" w:cs="宋体"/>
                <w:color w:val="000000"/>
                <w:sz w:val="21"/>
                <w:szCs w:val="21"/>
                <w:lang w:val="en-US" w:eastAsia="zh-CN"/>
              </w:rPr>
              <w:t>游客</w:t>
            </w:r>
            <w:r>
              <w:rPr>
                <w:rFonts w:hint="eastAsia" w:ascii="宋体" w:hAnsi="宋体" w:cs="宋体"/>
                <w:color w:val="000000"/>
                <w:sz w:val="21"/>
                <w:szCs w:val="21"/>
              </w:rPr>
              <w:t>安全防范意识，共建和谐</w:t>
            </w:r>
            <w:r>
              <w:rPr>
                <w:rFonts w:hint="eastAsia" w:ascii="宋体" w:hAnsi="宋体" w:cs="宋体"/>
                <w:color w:val="000000"/>
                <w:sz w:val="21"/>
                <w:szCs w:val="21"/>
                <w:lang w:eastAsia="zh-CN"/>
              </w:rPr>
              <w:t>园区</w:t>
            </w:r>
            <w:r>
              <w:rPr>
                <w:rFonts w:hint="eastAsia" w:ascii="宋体" w:hAnsi="宋体" w:cs="宋体"/>
                <w:color w:val="000000"/>
                <w:sz w:val="21"/>
                <w:szCs w:val="21"/>
              </w:rPr>
              <w:t>。</w:t>
            </w:r>
          </w:p>
          <w:p>
            <w:pPr>
              <w:spacing w:line="480" w:lineRule="exact"/>
              <w:rPr>
                <w:rFonts w:ascii="宋体" w:hAnsi="宋体" w:cs="宋体"/>
                <w:color w:val="000000"/>
                <w:sz w:val="21"/>
                <w:szCs w:val="21"/>
              </w:rPr>
            </w:pPr>
            <w:r>
              <w:rPr>
                <w:rFonts w:hint="eastAsia" w:ascii="宋体" w:hAnsi="宋体" w:cs="宋体"/>
                <w:color w:val="000000"/>
                <w:sz w:val="21"/>
                <w:szCs w:val="21"/>
              </w:rPr>
              <w:t>8、教育员工遵守校方的规章制度，服从保卫</w:t>
            </w:r>
          </w:p>
          <w:p>
            <w:pPr>
              <w:spacing w:line="480" w:lineRule="exact"/>
              <w:rPr>
                <w:rFonts w:ascii="宋体" w:hAnsi="宋体" w:cs="宋体"/>
                <w:sz w:val="21"/>
                <w:szCs w:val="21"/>
              </w:rPr>
            </w:pPr>
            <w:r>
              <w:rPr>
                <w:rFonts w:hint="eastAsia" w:ascii="宋体" w:hAnsi="宋体" w:cs="宋体"/>
                <w:color w:val="000000"/>
                <w:sz w:val="21"/>
                <w:szCs w:val="21"/>
              </w:rPr>
              <w:t>部门的安全检查和指导。</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b/>
          <w:szCs w:val="21"/>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宋体" w:hAnsi="宋体" w:eastAsia="宋体" w:cs="Times New Roman"/>
          <w:b/>
          <w:szCs w:val="21"/>
          <w:lang w:val="en-US" w:eastAsia="zh-CN"/>
        </w:rPr>
      </w:pP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3</w:t>
      </w: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秩序维护</w:t>
      </w:r>
    </w:p>
    <w:tbl>
      <w:tblPr>
        <w:tblStyle w:val="17"/>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noWrap w:val="0"/>
            <w:vAlign w:val="center"/>
          </w:tcPr>
          <w:p>
            <w:pPr>
              <w:spacing w:line="300" w:lineRule="auto"/>
              <w:ind w:left="420" w:hanging="420"/>
              <w:jc w:val="center"/>
              <w:rPr>
                <w:rFonts w:ascii="宋体" w:hAnsi="宋体" w:cs="宋体"/>
                <w:sz w:val="21"/>
                <w:szCs w:val="21"/>
              </w:rPr>
            </w:pPr>
            <w:r>
              <w:rPr>
                <w:rFonts w:hint="eastAsia" w:ascii="宋体" w:hAnsi="宋体" w:cs="宋体"/>
                <w:sz w:val="21"/>
                <w:szCs w:val="21"/>
              </w:rPr>
              <w:t>作业内容</w:t>
            </w:r>
          </w:p>
        </w:tc>
        <w:tc>
          <w:tcPr>
            <w:tcW w:w="6817" w:type="dxa"/>
            <w:noWrap w:val="0"/>
            <w:vAlign w:val="center"/>
          </w:tcPr>
          <w:p>
            <w:pPr>
              <w:spacing w:line="300" w:lineRule="auto"/>
              <w:ind w:left="420" w:hanging="420"/>
              <w:jc w:val="center"/>
              <w:rPr>
                <w:rFonts w:ascii="宋体" w:hAnsi="宋体" w:cs="宋体"/>
                <w:sz w:val="21"/>
                <w:szCs w:val="21"/>
              </w:rPr>
            </w:pPr>
            <w:r>
              <w:rPr>
                <w:rFonts w:hint="eastAsia" w:ascii="宋体" w:hAnsi="宋体" w:cs="宋体"/>
                <w:sz w:val="21"/>
                <w:szCs w:val="21"/>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2810" w:type="dxa"/>
            <w:noWrap w:val="0"/>
            <w:vAlign w:val="center"/>
          </w:tcPr>
          <w:p>
            <w:pPr>
              <w:spacing w:line="480" w:lineRule="exact"/>
              <w:jc w:val="center"/>
              <w:rPr>
                <w:rFonts w:hint="default" w:ascii="宋体" w:hAnsi="宋体" w:cs="宋体"/>
                <w:bCs/>
                <w:sz w:val="21"/>
                <w:szCs w:val="21"/>
                <w:lang w:val="en-US"/>
              </w:rPr>
            </w:pPr>
            <w:r>
              <w:rPr>
                <w:rFonts w:hint="eastAsia" w:ascii="宋体" w:hAnsi="宋体" w:cs="宋体"/>
                <w:bCs/>
                <w:sz w:val="21"/>
                <w:szCs w:val="21"/>
                <w:lang w:val="en-US" w:eastAsia="zh-CN"/>
              </w:rPr>
              <w:t>园区秩序维护</w:t>
            </w:r>
          </w:p>
          <w:p>
            <w:pPr>
              <w:spacing w:line="480" w:lineRule="exact"/>
              <w:rPr>
                <w:rFonts w:ascii="宋体" w:hAnsi="宋体" w:cs="宋体"/>
                <w:bCs/>
                <w:sz w:val="21"/>
                <w:szCs w:val="21"/>
              </w:rPr>
            </w:pPr>
          </w:p>
          <w:p>
            <w:pPr>
              <w:tabs>
                <w:tab w:val="left" w:pos="181"/>
              </w:tabs>
              <w:spacing w:line="480" w:lineRule="exact"/>
              <w:ind w:firstLine="207" w:firstLineChars="98"/>
              <w:rPr>
                <w:rFonts w:ascii="宋体" w:hAnsi="宋体" w:cs="宋体"/>
                <w:b/>
                <w:sz w:val="21"/>
                <w:szCs w:val="21"/>
              </w:rPr>
            </w:pPr>
          </w:p>
          <w:p>
            <w:pPr>
              <w:spacing w:line="300" w:lineRule="auto"/>
              <w:ind w:left="420" w:hanging="420"/>
              <w:jc w:val="center"/>
              <w:rPr>
                <w:rFonts w:ascii="宋体" w:hAnsi="宋体" w:cs="宋体"/>
                <w:sz w:val="21"/>
                <w:szCs w:val="21"/>
              </w:rPr>
            </w:pPr>
          </w:p>
        </w:tc>
        <w:tc>
          <w:tcPr>
            <w:tcW w:w="6817" w:type="dxa"/>
            <w:noWrap w:val="0"/>
            <w:vAlign w:val="center"/>
          </w:tcPr>
          <w:p>
            <w:pPr>
              <w:spacing w:line="480" w:lineRule="exact"/>
              <w:rPr>
                <w:rFonts w:ascii="宋体" w:hAnsi="宋体" w:cs="宋体"/>
                <w:sz w:val="21"/>
                <w:szCs w:val="21"/>
                <w:highlight w:val="none"/>
              </w:rPr>
            </w:pPr>
            <w:r>
              <w:rPr>
                <w:rFonts w:hint="eastAsia" w:ascii="宋体" w:hAnsi="宋体" w:cs="宋体"/>
                <w:sz w:val="21"/>
                <w:szCs w:val="21"/>
              </w:rPr>
              <w:t>1、</w:t>
            </w:r>
            <w:r>
              <w:rPr>
                <w:rFonts w:hint="eastAsia" w:ascii="宋体" w:hAnsi="宋体" w:cs="宋体"/>
                <w:sz w:val="21"/>
                <w:szCs w:val="21"/>
                <w:highlight w:val="none"/>
              </w:rPr>
              <w:t>有“</w:t>
            </w:r>
            <w:r>
              <w:rPr>
                <w:rFonts w:hint="eastAsia" w:ascii="宋体" w:hAnsi="宋体" w:cs="宋体"/>
                <w:sz w:val="21"/>
                <w:szCs w:val="21"/>
                <w:highlight w:val="none"/>
                <w:lang w:val="en-US" w:eastAsia="zh-CN"/>
              </w:rPr>
              <w:t>园区秩序维护</w:t>
            </w:r>
            <w:r>
              <w:rPr>
                <w:rFonts w:hint="eastAsia" w:ascii="宋体" w:hAnsi="宋体" w:cs="宋体"/>
                <w:sz w:val="21"/>
                <w:szCs w:val="21"/>
                <w:highlight w:val="none"/>
              </w:rPr>
              <w:t>管理制度”，</w:t>
            </w:r>
            <w:r>
              <w:rPr>
                <w:rFonts w:hint="eastAsia" w:ascii="宋体" w:hAnsi="宋体" w:cs="宋体"/>
                <w:sz w:val="21"/>
                <w:szCs w:val="21"/>
                <w:highlight w:val="none"/>
                <w:lang w:val="en-US" w:eastAsia="zh-CN"/>
              </w:rPr>
              <w:t>并按照执行</w:t>
            </w:r>
            <w:r>
              <w:rPr>
                <w:rFonts w:hint="eastAsia" w:ascii="宋体" w:hAnsi="宋体" w:cs="宋体"/>
                <w:sz w:val="21"/>
                <w:szCs w:val="21"/>
                <w:highlight w:val="none"/>
              </w:rPr>
              <w:t>。</w:t>
            </w:r>
          </w:p>
          <w:p>
            <w:pPr>
              <w:spacing w:line="4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2、实行24</w:t>
            </w:r>
            <w:r>
              <w:rPr>
                <w:rFonts w:hint="eastAsia" w:ascii="宋体" w:hAnsi="宋体" w:cs="宋体"/>
                <w:sz w:val="21"/>
                <w:szCs w:val="21"/>
                <w:highlight w:val="none"/>
                <w:lang w:val="en-US" w:eastAsia="zh-CN"/>
              </w:rPr>
              <w:t>小时秩序维护工作。</w:t>
            </w:r>
            <w:r>
              <w:rPr>
                <w:rFonts w:hint="eastAsia" w:ascii="宋体" w:hAnsi="宋体" w:eastAsia="宋体" w:cs="宋体"/>
                <w:sz w:val="21"/>
                <w:szCs w:val="21"/>
                <w:highlight w:val="none"/>
                <w:lang w:val="en-US" w:eastAsia="zh-CN"/>
              </w:rPr>
              <w:t xml:space="preserve">采用站岗值勤与巡逻值勤相结合的方式，协助公安机关维护公共秩序，防止和制止任何危及或影响物业、游客安全的行为。 </w:t>
            </w:r>
          </w:p>
          <w:p>
            <w:pPr>
              <w:spacing w:line="48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3、根据游园须知所规定的开园、静园时间疏导游客。</w:t>
            </w:r>
          </w:p>
          <w:p>
            <w:pPr>
              <w:spacing w:line="48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4、按规定劝导、纠正游客不文明行为。</w:t>
            </w:r>
          </w:p>
          <w:p>
            <w:pPr>
              <w:spacing w:line="48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巡查车辆停放情况，维护道路畅通，做好安全防范工作。</w:t>
            </w:r>
          </w:p>
          <w:p>
            <w:pPr>
              <w:spacing w:line="480" w:lineRule="exact"/>
              <w:rPr>
                <w:rFonts w:ascii="宋体" w:hAnsi="宋体" w:cs="宋体"/>
                <w:sz w:val="21"/>
                <w:szCs w:val="21"/>
                <w:highlight w:val="none"/>
              </w:rPr>
            </w:pPr>
            <w:r>
              <w:rPr>
                <w:rFonts w:hint="eastAsia" w:ascii="宋体" w:hAnsi="宋体" w:eastAsia="宋体" w:cs="宋体"/>
                <w:sz w:val="21"/>
                <w:szCs w:val="21"/>
                <w:highlight w:val="none"/>
                <w:lang w:val="en-US" w:eastAsia="zh-CN"/>
              </w:rPr>
              <w:t>6、有“园区消防应急</w:t>
            </w:r>
            <w:r>
              <w:rPr>
                <w:rFonts w:hint="eastAsia" w:ascii="宋体" w:hAnsi="宋体" w:cs="宋体"/>
                <w:sz w:val="21"/>
                <w:szCs w:val="21"/>
                <w:highlight w:val="none"/>
              </w:rPr>
              <w:t>预案”、“</w:t>
            </w:r>
            <w:r>
              <w:rPr>
                <w:rFonts w:hint="eastAsia" w:ascii="宋体" w:hAnsi="宋体" w:cs="宋体"/>
                <w:sz w:val="21"/>
                <w:szCs w:val="21"/>
                <w:highlight w:val="none"/>
                <w:lang w:val="en-US" w:eastAsia="zh-CN"/>
              </w:rPr>
              <w:t>园区</w:t>
            </w:r>
            <w:r>
              <w:rPr>
                <w:rFonts w:hint="eastAsia" w:ascii="宋体" w:hAnsi="宋体" w:cs="宋体"/>
                <w:sz w:val="21"/>
                <w:szCs w:val="21"/>
                <w:highlight w:val="none"/>
              </w:rPr>
              <w:t>突发事件处理预案”、“事件报告制度”，要求全体员工详知并严格遵照执行。</w:t>
            </w:r>
          </w:p>
          <w:p>
            <w:pPr>
              <w:spacing w:line="480" w:lineRule="exact"/>
              <w:rPr>
                <w:rFonts w:ascii="宋体" w:hAnsi="宋体" w:cs="宋体"/>
                <w:color w:val="000000"/>
                <w:sz w:val="21"/>
                <w:szCs w:val="21"/>
              </w:rPr>
            </w:pPr>
            <w:r>
              <w:rPr>
                <w:rFonts w:hint="eastAsia" w:ascii="宋体" w:hAnsi="宋体" w:cs="宋体"/>
                <w:sz w:val="21"/>
                <w:szCs w:val="21"/>
                <w:highlight w:val="none"/>
                <w:lang w:val="en-US" w:eastAsia="zh-CN"/>
              </w:rPr>
              <w:t>7、</w:t>
            </w:r>
            <w:r>
              <w:rPr>
                <w:rFonts w:hint="eastAsia" w:ascii="宋体" w:hAnsi="宋体" w:cs="宋体"/>
                <w:sz w:val="21"/>
                <w:szCs w:val="21"/>
              </w:rPr>
              <w:t>对发现</w:t>
            </w:r>
            <w:r>
              <w:rPr>
                <w:rFonts w:hint="eastAsia" w:ascii="宋体" w:hAnsi="宋体" w:cs="宋体"/>
                <w:color w:val="000000"/>
                <w:sz w:val="21"/>
                <w:szCs w:val="21"/>
              </w:rPr>
              <w:t>安全隐患，第一时间上报，同时做好现场处置保护，并协助做好调查处置工作。</w:t>
            </w:r>
          </w:p>
          <w:p>
            <w:pPr>
              <w:spacing w:line="480" w:lineRule="exact"/>
              <w:rPr>
                <w:rFonts w:ascii="宋体" w:hAnsi="宋体" w:cs="宋体"/>
                <w:color w:val="000000"/>
                <w:sz w:val="21"/>
                <w:szCs w:val="21"/>
              </w:rPr>
            </w:pP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color w:val="000000"/>
                <w:sz w:val="21"/>
                <w:szCs w:val="21"/>
              </w:rPr>
              <w:t>宣传有关法律、消防知识，提高</w:t>
            </w:r>
            <w:r>
              <w:rPr>
                <w:rFonts w:hint="eastAsia" w:ascii="宋体" w:hAnsi="宋体" w:cs="宋体"/>
                <w:color w:val="000000"/>
                <w:sz w:val="21"/>
                <w:szCs w:val="21"/>
                <w:lang w:val="en-US" w:eastAsia="zh-CN"/>
              </w:rPr>
              <w:t>游客</w:t>
            </w:r>
            <w:r>
              <w:rPr>
                <w:rFonts w:hint="eastAsia" w:ascii="宋体" w:hAnsi="宋体" w:cs="宋体"/>
                <w:color w:val="000000"/>
                <w:sz w:val="21"/>
                <w:szCs w:val="21"/>
              </w:rPr>
              <w:t>安全防范意识，共建和谐</w:t>
            </w:r>
            <w:r>
              <w:rPr>
                <w:rFonts w:hint="eastAsia" w:ascii="宋体" w:hAnsi="宋体" w:cs="宋体"/>
                <w:color w:val="000000"/>
                <w:sz w:val="21"/>
                <w:szCs w:val="21"/>
                <w:lang w:eastAsia="zh-CN"/>
              </w:rPr>
              <w:t>园区</w:t>
            </w:r>
            <w:r>
              <w:rPr>
                <w:rFonts w:hint="eastAsia" w:ascii="宋体" w:hAnsi="宋体" w:cs="宋体"/>
                <w:color w:val="000000"/>
                <w:sz w:val="21"/>
                <w:szCs w:val="21"/>
              </w:rPr>
              <w:t>。</w:t>
            </w:r>
          </w:p>
          <w:p>
            <w:pPr>
              <w:spacing w:line="480" w:lineRule="exact"/>
              <w:rPr>
                <w:rFonts w:ascii="宋体" w:hAnsi="宋体" w:cs="宋体"/>
                <w:sz w:val="21"/>
                <w:szCs w:val="21"/>
              </w:rPr>
            </w:pPr>
            <w:r>
              <w:rPr>
                <w:rFonts w:hint="eastAsia" w:ascii="宋体" w:hAnsi="宋体" w:cs="宋体"/>
                <w:color w:val="000000"/>
                <w:sz w:val="21"/>
                <w:szCs w:val="21"/>
                <w:lang w:val="en-US" w:eastAsia="zh-CN"/>
              </w:rPr>
              <w:t>9</w:t>
            </w:r>
            <w:r>
              <w:rPr>
                <w:rFonts w:hint="eastAsia" w:ascii="宋体" w:hAnsi="宋体" w:cs="宋体"/>
                <w:color w:val="000000"/>
                <w:sz w:val="21"/>
                <w:szCs w:val="21"/>
              </w:rPr>
              <w:t>、教育员工遵守校方的规章制度，服从保卫部门的安全检查和指导。</w:t>
            </w:r>
          </w:p>
        </w:tc>
      </w:tr>
    </w:tbl>
    <w:p>
      <w:pPr>
        <w:pStyle w:val="6"/>
        <w:rPr>
          <w:rFonts w:ascii="宋体" w:hAnsi="宋体"/>
          <w:b/>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Times New Roman"/>
          <w:b/>
          <w:szCs w:val="21"/>
          <w:lang w:eastAsia="zh-CN"/>
        </w:rPr>
      </w:pP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4</w:t>
      </w:r>
      <w:r>
        <w:rPr>
          <w:rFonts w:hint="eastAsia" w:ascii="宋体" w:hAnsi="宋体" w:eastAsia="宋体" w:cs="Times New Roman"/>
          <w:b/>
          <w:szCs w:val="21"/>
          <w:lang w:eastAsia="zh-CN"/>
        </w:rPr>
        <w:t>）供电运行</w:t>
      </w:r>
    </w:p>
    <w:tbl>
      <w:tblPr>
        <w:tblStyle w:val="1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21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作业内容</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21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变电所运行维护</w:t>
            </w:r>
          </w:p>
        </w:tc>
        <w:tc>
          <w:tcPr>
            <w:tcW w:w="739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1"/>
                <w:szCs w:val="21"/>
              </w:rPr>
            </w:pPr>
            <w:r>
              <w:rPr>
                <w:rFonts w:hint="eastAsia" w:ascii="宋体" w:hAnsi="宋体"/>
                <w:sz w:val="21"/>
                <w:szCs w:val="21"/>
              </w:rPr>
              <w:t>1、保障供电安全运行；</w:t>
            </w:r>
          </w:p>
          <w:p>
            <w:pPr>
              <w:snapToGrid w:val="0"/>
              <w:spacing w:line="360" w:lineRule="auto"/>
              <w:rPr>
                <w:rFonts w:ascii="宋体" w:hAnsi="宋体"/>
                <w:sz w:val="21"/>
                <w:szCs w:val="21"/>
              </w:rPr>
            </w:pPr>
            <w:r>
              <w:rPr>
                <w:rFonts w:hint="eastAsia" w:ascii="宋体" w:hAnsi="宋体"/>
                <w:sz w:val="21"/>
                <w:szCs w:val="21"/>
              </w:rPr>
              <w:t>2、配电室实行24小时运行值班，认真做好</w:t>
            </w:r>
            <w:r>
              <w:rPr>
                <w:rFonts w:hint="eastAsia" w:ascii="宋体" w:hAnsi="宋体"/>
                <w:sz w:val="21"/>
                <w:szCs w:val="21"/>
                <w:lang w:val="en-US" w:eastAsia="zh-CN"/>
              </w:rPr>
              <w:t>值班记录</w:t>
            </w:r>
            <w:r>
              <w:rPr>
                <w:rFonts w:hint="eastAsia" w:ascii="宋体" w:hAnsi="宋体"/>
                <w:sz w:val="21"/>
                <w:szCs w:val="21"/>
              </w:rPr>
              <w:t>，处理设备停电故障，无任何责任停电事故；</w:t>
            </w:r>
          </w:p>
          <w:p>
            <w:pPr>
              <w:snapToGrid w:val="0"/>
              <w:spacing w:line="360" w:lineRule="auto"/>
              <w:rPr>
                <w:rFonts w:ascii="宋体" w:hAnsi="宋体"/>
                <w:sz w:val="21"/>
                <w:szCs w:val="21"/>
              </w:rPr>
            </w:pPr>
            <w:r>
              <w:rPr>
                <w:rFonts w:hint="eastAsia" w:ascii="宋体" w:hAnsi="宋体"/>
                <w:sz w:val="21"/>
                <w:szCs w:val="21"/>
              </w:rPr>
              <w:t>3、定时巡检设备，及时消除隐患，定期对变电设备进行维护保养，保证设备及环境干净整洁，绝缘良好，接触可靠。设备时刻处于完好状态，保障安全供电；</w:t>
            </w:r>
          </w:p>
          <w:p>
            <w:pPr>
              <w:snapToGrid w:val="0"/>
              <w:spacing w:line="360" w:lineRule="auto"/>
              <w:rPr>
                <w:rFonts w:ascii="宋体" w:hAnsi="宋体"/>
                <w:sz w:val="21"/>
                <w:szCs w:val="21"/>
              </w:rPr>
            </w:pPr>
            <w:r>
              <w:rPr>
                <w:rFonts w:hint="eastAsia" w:ascii="宋体" w:hAnsi="宋体"/>
                <w:sz w:val="21"/>
                <w:szCs w:val="21"/>
              </w:rPr>
              <w:t>4、保证避雷设备完好、接地符合国家相关标准、安全有效，按规定进行试验。</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b/>
          <w:szCs w:val="21"/>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b/>
          <w:szCs w:val="21"/>
          <w:lang w:eastAsia="zh-CN"/>
        </w:rPr>
      </w:pP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5</w:t>
      </w:r>
      <w:r>
        <w:rPr>
          <w:rFonts w:hint="eastAsia" w:ascii="宋体" w:hAnsi="宋体" w:eastAsia="宋体" w:cs="Times New Roman"/>
          <w:b/>
          <w:szCs w:val="21"/>
          <w:lang w:eastAsia="zh-CN"/>
        </w:rPr>
        <w:t>）供暖运行</w:t>
      </w:r>
    </w:p>
    <w:tbl>
      <w:tblPr>
        <w:tblStyle w:val="17"/>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7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21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作业内容</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21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rPr>
              <w:t>供暖运行维护</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rPr>
              <w:t>1、供暖期</w:t>
            </w:r>
            <w:r>
              <w:rPr>
                <w:rFonts w:hint="eastAsia" w:ascii="宋体" w:hAnsi="宋体"/>
                <w:sz w:val="21"/>
                <w:szCs w:val="21"/>
                <w:lang w:val="en-US" w:eastAsia="zh-CN"/>
              </w:rPr>
              <w:t>间定期</w:t>
            </w:r>
            <w:r>
              <w:rPr>
                <w:rFonts w:hint="eastAsia" w:ascii="宋体" w:hAnsi="宋体"/>
                <w:sz w:val="21"/>
                <w:szCs w:val="21"/>
              </w:rPr>
              <w:t>对供暖系统巡视，做好巡视记录</w:t>
            </w:r>
            <w:r>
              <w:rPr>
                <w:rFonts w:hint="eastAsia" w:ascii="宋体" w:hAnsi="宋体"/>
                <w:sz w:val="21"/>
                <w:szCs w:val="21"/>
                <w:lang w:eastAsia="zh-CN"/>
              </w:rPr>
              <w:t>，</w:t>
            </w:r>
            <w:r>
              <w:rPr>
                <w:rFonts w:hint="eastAsia" w:ascii="宋体" w:hAnsi="宋体"/>
                <w:sz w:val="21"/>
                <w:szCs w:val="21"/>
              </w:rPr>
              <w:t>保障系统正常供暖；</w:t>
            </w:r>
          </w:p>
          <w:p>
            <w:pPr>
              <w:snapToGrid w:val="0"/>
              <w:spacing w:line="360" w:lineRule="auto"/>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、在室外温度不低于零下9℃时，保证室温不低于18度；</w:t>
            </w:r>
          </w:p>
          <w:p>
            <w:pPr>
              <w:snapToGrid w:val="0"/>
              <w:spacing w:line="360" w:lineRule="auto"/>
              <w:rPr>
                <w:rFonts w:hint="eastAsia" w:ascii="宋体" w:hAnsi="宋体" w:eastAsia="宋体"/>
                <w:sz w:val="21"/>
                <w:szCs w:val="21"/>
                <w:lang w:eastAsia="zh-CN"/>
              </w:rPr>
            </w:pPr>
            <w:r>
              <w:rPr>
                <w:rFonts w:hint="eastAsia" w:ascii="宋体" w:hAnsi="宋体"/>
                <w:sz w:val="21"/>
                <w:szCs w:val="21"/>
                <w:lang w:val="en-US" w:eastAsia="zh-CN"/>
              </w:rPr>
              <w:t>3</w:t>
            </w:r>
            <w:r>
              <w:rPr>
                <w:rFonts w:hint="eastAsia" w:ascii="宋体" w:hAnsi="宋体"/>
                <w:sz w:val="21"/>
                <w:szCs w:val="21"/>
              </w:rPr>
              <w:t>、及时修复系统中的跑冒滴漏，接到报修后，</w:t>
            </w:r>
            <w:r>
              <w:rPr>
                <w:rFonts w:hint="eastAsia" w:ascii="宋体" w:hAnsi="宋体"/>
                <w:sz w:val="21"/>
                <w:szCs w:val="21"/>
                <w:lang w:val="en-US" w:eastAsia="zh-CN"/>
              </w:rPr>
              <w:t>30</w:t>
            </w:r>
            <w:r>
              <w:rPr>
                <w:rFonts w:hint="eastAsia" w:ascii="宋体" w:hAnsi="宋体"/>
                <w:sz w:val="21"/>
                <w:szCs w:val="21"/>
              </w:rPr>
              <w:t>分钟内到达现场</w:t>
            </w:r>
            <w:r>
              <w:rPr>
                <w:rFonts w:hint="eastAsia" w:ascii="宋体" w:hAnsi="宋体"/>
                <w:sz w:val="21"/>
                <w:szCs w:val="21"/>
                <w:lang w:val="en-US" w:eastAsia="zh-CN"/>
              </w:rPr>
              <w:t>进行处理</w:t>
            </w:r>
            <w:r>
              <w:rPr>
                <w:rFonts w:hint="eastAsia" w:ascii="宋体" w:hAnsi="宋体"/>
                <w:sz w:val="21"/>
                <w:szCs w:val="21"/>
                <w:lang w:eastAsia="zh-CN"/>
              </w:rPr>
              <w:t>。</w:t>
            </w:r>
          </w:p>
        </w:tc>
      </w:tr>
    </w:tbl>
    <w:p>
      <w:pPr>
        <w:pStyle w:val="3"/>
        <w:rPr>
          <w:rFonts w:ascii="宋体" w:hAnsi="宋体"/>
          <w:szCs w:val="21"/>
        </w:rPr>
      </w:pPr>
    </w:p>
    <w:p>
      <w:pPr>
        <w:snapToGrid w:val="0"/>
        <w:spacing w:line="360" w:lineRule="auto"/>
        <w:rPr>
          <w:rFonts w:ascii="宋体" w:hAnsi="宋体"/>
          <w:b/>
          <w:szCs w:val="21"/>
        </w:rPr>
      </w:pPr>
      <w:r>
        <w:rPr>
          <w:rFonts w:hint="eastAsia" w:ascii="宋体" w:hAnsi="宋体"/>
          <w:b/>
          <w:szCs w:val="21"/>
        </w:rPr>
        <w:t>（</w:t>
      </w:r>
      <w:r>
        <w:rPr>
          <w:rFonts w:hint="eastAsia" w:ascii="宋体" w:hAnsi="宋体"/>
          <w:b/>
          <w:szCs w:val="21"/>
          <w:lang w:val="en-US" w:eastAsia="zh-CN"/>
        </w:rPr>
        <w:t>6</w:t>
      </w:r>
      <w:r>
        <w:rPr>
          <w:rFonts w:hint="eastAsia" w:ascii="宋体" w:hAnsi="宋体"/>
          <w:b/>
          <w:szCs w:val="21"/>
        </w:rPr>
        <w:t>）基础设施维修：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21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作业内容</w:t>
            </w:r>
          </w:p>
        </w:tc>
        <w:tc>
          <w:tcPr>
            <w:tcW w:w="7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1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sz w:val="21"/>
                <w:szCs w:val="21"/>
                <w:lang w:eastAsia="zh-CN"/>
              </w:rPr>
            </w:pPr>
            <w:r>
              <w:rPr>
                <w:rFonts w:hint="eastAsia" w:ascii="宋体" w:hAnsi="宋体"/>
                <w:sz w:val="21"/>
                <w:szCs w:val="21"/>
              </w:rPr>
              <w:t>基础设施设备维修</w:t>
            </w:r>
            <w:r>
              <w:rPr>
                <w:rFonts w:hint="eastAsia" w:ascii="宋体" w:hAnsi="宋体"/>
                <w:sz w:val="21"/>
                <w:szCs w:val="21"/>
                <w:lang w:eastAsia="zh-CN"/>
              </w:rPr>
              <w:t>（</w:t>
            </w:r>
            <w:r>
              <w:rPr>
                <w:rFonts w:hint="eastAsia" w:ascii="宋体" w:hAnsi="宋体"/>
                <w:sz w:val="21"/>
                <w:szCs w:val="21"/>
                <w:lang w:val="en-US" w:eastAsia="zh-CN"/>
              </w:rPr>
              <w:t>小修</w:t>
            </w:r>
            <w:r>
              <w:rPr>
                <w:rFonts w:hint="eastAsia" w:ascii="宋体" w:hAnsi="宋体"/>
                <w:sz w:val="21"/>
                <w:szCs w:val="21"/>
                <w:lang w:eastAsia="zh-CN"/>
              </w:rPr>
              <w:t>）</w:t>
            </w:r>
          </w:p>
        </w:tc>
        <w:tc>
          <w:tcPr>
            <w:tcW w:w="71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1"/>
                <w:szCs w:val="21"/>
              </w:rPr>
            </w:pPr>
            <w:r>
              <w:rPr>
                <w:rFonts w:hint="eastAsia" w:ascii="宋体" w:hAnsi="宋体"/>
                <w:sz w:val="21"/>
                <w:szCs w:val="21"/>
              </w:rPr>
              <w:t>一、房屋土建及设备维修标准：</w:t>
            </w:r>
          </w:p>
          <w:p>
            <w:pPr>
              <w:snapToGrid w:val="0"/>
              <w:spacing w:line="360" w:lineRule="auto"/>
              <w:rPr>
                <w:rFonts w:ascii="宋体" w:hAnsi="宋体"/>
                <w:sz w:val="21"/>
                <w:szCs w:val="21"/>
              </w:rPr>
            </w:pPr>
            <w:r>
              <w:rPr>
                <w:rFonts w:hint="eastAsia" w:ascii="宋体" w:hAnsi="宋体"/>
                <w:sz w:val="21"/>
                <w:szCs w:val="21"/>
              </w:rPr>
              <w:t>(一)、室内地面、散水：内容：普通水泥楼面和地面起砂空鼓、影响使用，楼面或地面的块料面层松动的、散水严重破损影响其功能的，质量标准：普通水泥楼面地面及散维修后应平整、光滑、接槎平顺；</w:t>
            </w:r>
          </w:p>
          <w:p>
            <w:pPr>
              <w:snapToGrid w:val="0"/>
              <w:spacing w:line="360" w:lineRule="auto"/>
              <w:rPr>
                <w:rFonts w:ascii="宋体" w:hAnsi="宋体"/>
                <w:sz w:val="21"/>
                <w:szCs w:val="21"/>
              </w:rPr>
            </w:pPr>
            <w:r>
              <w:rPr>
                <w:rFonts w:hint="eastAsia" w:ascii="宋体" w:hAnsi="宋体"/>
                <w:sz w:val="21"/>
                <w:szCs w:val="21"/>
              </w:rPr>
              <w:t>(二)、室内墙面及顶棚：内容：内墙及踢脚线抹灰空鼓、剥落的应修补；顶棚抹灰空鼓、剥落的应修补；质量标准：修缮后的内墙面及顶棚应恢复原有使用功能。</w:t>
            </w:r>
          </w:p>
          <w:p>
            <w:pPr>
              <w:snapToGrid w:val="0"/>
              <w:spacing w:line="360" w:lineRule="auto"/>
              <w:rPr>
                <w:rFonts w:ascii="宋体" w:hAnsi="宋体"/>
                <w:sz w:val="21"/>
                <w:szCs w:val="21"/>
              </w:rPr>
            </w:pPr>
            <w:r>
              <w:rPr>
                <w:rFonts w:hint="eastAsia" w:ascii="宋体" w:hAnsi="宋体"/>
                <w:sz w:val="21"/>
                <w:szCs w:val="21"/>
              </w:rPr>
              <w:t>(三)、检修门窗：内容：钢木门窗框松动、门窗扇开关不灵活、脱榫、 糟朽、开焊、小五金缺损的应进行修补；质量标准：修后的钢木门窗应开关灵活不松动，框与墙体结合牢固，五金齐全，玻璃装钉牢固。</w:t>
            </w:r>
          </w:p>
          <w:p>
            <w:pPr>
              <w:snapToGrid w:val="0"/>
              <w:spacing w:line="360" w:lineRule="auto"/>
              <w:rPr>
                <w:rFonts w:ascii="宋体" w:hAnsi="宋体"/>
                <w:sz w:val="21"/>
                <w:szCs w:val="21"/>
              </w:rPr>
            </w:pPr>
            <w:r>
              <w:rPr>
                <w:rFonts w:hint="eastAsia" w:ascii="宋体" w:hAnsi="宋体"/>
                <w:sz w:val="21"/>
                <w:szCs w:val="21"/>
              </w:rPr>
              <w:t>(四)、清扫屋面、雨落管等：内容：每年应将屋面、雨水口及采光井积存的杂物清扫干净；雨落管局部残缺、破损应更换；质量标准：屋面应清扫干净，雨落管修缮后应补齐五金配件。</w:t>
            </w:r>
          </w:p>
          <w:p>
            <w:pPr>
              <w:snapToGrid w:val="0"/>
              <w:spacing w:line="360" w:lineRule="auto"/>
              <w:rPr>
                <w:rFonts w:ascii="宋体" w:hAnsi="宋体"/>
                <w:sz w:val="21"/>
                <w:szCs w:val="21"/>
              </w:rPr>
            </w:pPr>
            <w:r>
              <w:rPr>
                <w:rFonts w:hint="eastAsia" w:ascii="宋体" w:hAnsi="宋体"/>
                <w:sz w:val="21"/>
                <w:szCs w:val="21"/>
              </w:rPr>
              <w:t>(五)、屋面补漏：内容：屋面局部滴漏以至影响使用的属于屋面局部补漏范围； </w:t>
            </w:r>
          </w:p>
          <w:p>
            <w:pPr>
              <w:snapToGrid w:val="0"/>
              <w:spacing w:line="360" w:lineRule="auto"/>
              <w:rPr>
                <w:rFonts w:hint="eastAsia" w:ascii="宋体" w:hAnsi="宋体" w:eastAsia="宋体"/>
                <w:sz w:val="21"/>
                <w:szCs w:val="21"/>
                <w:lang w:eastAsia="zh-CN"/>
              </w:rPr>
            </w:pPr>
            <w:r>
              <w:rPr>
                <w:rFonts w:hint="eastAsia" w:ascii="宋体" w:hAnsi="宋体"/>
                <w:sz w:val="21"/>
                <w:szCs w:val="21"/>
              </w:rPr>
              <w:t>(六)、外檐装修：内容：外檐抹灰及块料面层局部严重空鼓有脱落危险的，应排除险情</w:t>
            </w:r>
            <w:r>
              <w:rPr>
                <w:rFonts w:hint="eastAsia" w:ascii="宋体" w:hAnsi="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rPr>
            </w:pPr>
            <w:r>
              <w:rPr>
                <w:rFonts w:hint="eastAsia" w:ascii="宋体" w:hAnsi="宋体"/>
                <w:sz w:val="21"/>
                <w:szCs w:val="21"/>
              </w:rPr>
              <w:t>(七)、雨罩等结构构件：内容：雨罩等结构构件保护层开裂的，应封堵裂缝，防止钢筋锈蚀：保护层剥落的，应补抹；质量标准：经维修后的结构构件应不再有裂缝及露筋现象。</w:t>
            </w:r>
            <w:r>
              <w:rPr>
                <w:rFonts w:hint="eastAsia" w:ascii="宋体" w:hAnsi="宋体"/>
                <w:sz w:val="21"/>
                <w:szCs w:val="21"/>
              </w:rPr>
              <w:br w:type="textWrapping"/>
            </w:r>
            <w:r>
              <w:rPr>
                <w:rFonts w:hint="eastAsia" w:ascii="宋体" w:hAnsi="宋体"/>
                <w:sz w:val="21"/>
                <w:szCs w:val="21"/>
              </w:rPr>
              <w:t>二、上下水系统维修标准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sz w:val="21"/>
                <w:szCs w:val="21"/>
                <w:lang w:eastAsia="zh-CN"/>
              </w:rPr>
            </w:pPr>
            <w:r>
              <w:rPr>
                <w:rFonts w:hint="eastAsia" w:ascii="宋体" w:hAnsi="宋体"/>
                <w:sz w:val="21"/>
                <w:szCs w:val="21"/>
              </w:rPr>
              <w:t>(一)、室内给水系统小修、局部换管：内容：1级阀门以内管道锈蚀脱皮的，应清除干净后，做防锈处理，管道锈蚀严重的，应予以更换；给水系统漏水的，应进行修理，严重的，予以更换，零件残缺的应予以补齐</w:t>
            </w:r>
            <w:r>
              <w:rPr>
                <w:rFonts w:hint="eastAsia" w:ascii="宋体" w:hAnsi="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rPr>
            </w:pPr>
            <w:r>
              <w:rPr>
                <w:rFonts w:hint="eastAsia" w:ascii="宋体" w:hAnsi="宋体"/>
                <w:sz w:val="21"/>
                <w:szCs w:val="21"/>
              </w:rPr>
              <w:t>(二)、卫生设备：内容：卫生设备及配件残缺的应配齐，破损的应维修；质量标准：修缮后应做到给排水畅通，各部位零件齐全、有效，</w:t>
            </w:r>
            <w:r>
              <w:rPr>
                <w:rFonts w:hint="eastAsia" w:ascii="宋体" w:hAnsi="宋体"/>
                <w:sz w:val="21"/>
                <w:szCs w:val="21"/>
                <w:lang w:val="en-US" w:eastAsia="zh-CN"/>
              </w:rPr>
              <w:t>及时处理</w:t>
            </w:r>
            <w:r>
              <w:rPr>
                <w:rFonts w:hint="eastAsia" w:ascii="宋体" w:hAnsi="宋体"/>
                <w:sz w:val="21"/>
                <w:szCs w:val="21"/>
              </w:rPr>
              <w:t>跑、冒、漏、滴现象。</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rPr>
            </w:pPr>
            <w:r>
              <w:rPr>
                <w:rFonts w:hint="eastAsia" w:ascii="宋体" w:hAnsi="宋体"/>
                <w:sz w:val="21"/>
                <w:szCs w:val="21"/>
              </w:rPr>
              <w:t xml:space="preserve"> (三)、排水管道、检查井等：内容：排污管道堵塞，排污不畅通的应疏通；检查井满溢或积存较多污物影响使用的应疏通或清掏，配件残缺应补齐。排污管道经疏通后，应达到排污管道畅通，不滴水；检查井满溢的清掏应清除全部污物，检查井局部损坏的应修好，达到井体、池体、井圈、井盖、池盖完好。确保汛期排水排污系统通畅。</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rPr>
            </w:pPr>
            <w:r>
              <w:rPr>
                <w:rFonts w:hint="eastAsia" w:ascii="宋体" w:hAnsi="宋体"/>
                <w:sz w:val="21"/>
                <w:szCs w:val="21"/>
              </w:rPr>
              <w:t>三、供电设施设备维修标准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highlight w:val="none"/>
              </w:rPr>
            </w:pPr>
            <w:r>
              <w:rPr>
                <w:rFonts w:hint="eastAsia" w:ascii="宋体" w:hAnsi="宋体"/>
                <w:sz w:val="21"/>
                <w:szCs w:val="21"/>
              </w:rPr>
              <w:t>(一)、配电设施：内容：(1)、配电柜(2)、配电箱(3)、配电盘、（4）发电机、（5）变压器；质量标准：元器件齐全，显示正常动作可靠，接地良好，符合国家有关规定及标准；时限要求：出现故障</w:t>
            </w:r>
            <w:r>
              <w:rPr>
                <w:rFonts w:hint="eastAsia" w:ascii="宋体" w:hAnsi="宋体"/>
                <w:sz w:val="21"/>
                <w:szCs w:val="21"/>
                <w:lang w:val="en-US" w:eastAsia="zh-CN"/>
              </w:rPr>
              <w:t>30</w:t>
            </w:r>
            <w:r>
              <w:rPr>
                <w:rFonts w:hint="eastAsia" w:ascii="宋体" w:hAnsi="宋体"/>
                <w:sz w:val="21"/>
                <w:szCs w:val="21"/>
              </w:rPr>
              <w:t>分钟内到达现场处理。(二)、室内设备：内容：(1)闸具、(2)电源插座、(3)开关、(4)灯具（头）、(5)公共电器设备；质量标准：正常使用，符合国家有关规定及标准；时限要求：报修后</w:t>
            </w:r>
            <w:r>
              <w:rPr>
                <w:rFonts w:hint="eastAsia" w:ascii="宋体" w:hAnsi="宋体"/>
                <w:sz w:val="21"/>
                <w:szCs w:val="21"/>
                <w:lang w:val="en-US" w:eastAsia="zh-CN"/>
              </w:rPr>
              <w:t>30</w:t>
            </w:r>
            <w:r>
              <w:rPr>
                <w:rFonts w:hint="eastAsia" w:ascii="宋体" w:hAnsi="宋体"/>
                <w:sz w:val="21"/>
                <w:szCs w:val="21"/>
              </w:rPr>
              <w:t>分钟内到达现场处理。 </w:t>
            </w:r>
            <w:r>
              <w:rPr>
                <w:rFonts w:hint="eastAsia" w:ascii="宋体" w:hAnsi="宋体"/>
                <w:sz w:val="21"/>
                <w:szCs w:val="21"/>
              </w:rPr>
              <w:br w:type="textWrapping"/>
            </w:r>
            <w:r>
              <w:rPr>
                <w:rFonts w:hint="eastAsia" w:ascii="宋体" w:hAnsi="宋体"/>
                <w:sz w:val="21"/>
                <w:szCs w:val="21"/>
              </w:rPr>
              <w:t>(三)、配电线路：内容：(1)、导线(2)、支持物；质量标准：绝缘良好完整可靠，符合国家有关规定及标准；时限要求：出现故障30分钟内到达现场处理。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highlight w:val="none"/>
              </w:rPr>
            </w:pPr>
            <w:r>
              <w:rPr>
                <w:rFonts w:hint="eastAsia" w:ascii="宋体" w:hAnsi="宋体"/>
                <w:sz w:val="21"/>
                <w:szCs w:val="21"/>
                <w:highlight w:val="none"/>
                <w:lang w:val="en-US" w:eastAsia="zh-CN"/>
              </w:rPr>
              <w:t>四</w:t>
            </w:r>
            <w:r>
              <w:rPr>
                <w:rFonts w:hint="eastAsia" w:ascii="宋体" w:hAnsi="宋体"/>
                <w:sz w:val="21"/>
                <w:szCs w:val="21"/>
                <w:highlight w:val="none"/>
              </w:rPr>
              <w:t>、</w:t>
            </w:r>
            <w:r>
              <w:rPr>
                <w:rFonts w:hint="eastAsia" w:ascii="宋体" w:hAnsi="宋体"/>
                <w:sz w:val="21"/>
                <w:szCs w:val="21"/>
                <w:highlight w:val="none"/>
                <w:lang w:val="en-US" w:eastAsia="zh-CN"/>
              </w:rPr>
              <w:t>办公及展陈</w:t>
            </w:r>
            <w:r>
              <w:rPr>
                <w:rFonts w:hint="eastAsia" w:ascii="宋体" w:hAnsi="宋体"/>
                <w:sz w:val="21"/>
                <w:szCs w:val="21"/>
                <w:highlight w:val="none"/>
              </w:rPr>
              <w:t>家具及公共设备</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highlight w:val="none"/>
              </w:rPr>
            </w:pPr>
            <w:r>
              <w:rPr>
                <w:rFonts w:hint="default" w:ascii="宋体" w:hAnsi="宋体"/>
                <w:sz w:val="21"/>
                <w:szCs w:val="21"/>
                <w:highlight w:val="none"/>
                <w:lang w:val="en-US"/>
              </w:rPr>
              <mc:AlternateContent>
                <mc:Choice Requires="wps">
                  <w:drawing>
                    <wp:anchor distT="0" distB="0" distL="114300" distR="114300" simplePos="0" relativeHeight="251660288" behindDoc="0" locked="0" layoutInCell="1" allowOverlap="1">
                      <wp:simplePos x="0" y="0"/>
                      <wp:positionH relativeFrom="column">
                        <wp:posOffset>-1463675</wp:posOffset>
                      </wp:positionH>
                      <wp:positionV relativeFrom="paragraph">
                        <wp:posOffset>108585</wp:posOffset>
                      </wp:positionV>
                      <wp:extent cx="1260475" cy="9144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60475" cy="914400"/>
                              </a:xfrm>
                              <a:prstGeom prst="rect">
                                <a:avLst/>
                              </a:prstGeom>
                              <a:noFill/>
                              <a:ln>
                                <a:noFill/>
                              </a:ln>
                              <a:effectLst/>
                            </wps:spPr>
                            <wps:txbx>
                              <w:txbxContent>
                                <w:p>
                                  <w:r>
                                    <w:rPr>
                                      <w:rFonts w:hint="eastAsia"/>
                                      <w:color w:val="000000"/>
                                      <w:sz w:val="18"/>
                                      <w:szCs w:val="18"/>
                                    </w:rPr>
                                    <w:t>基础设施</w:t>
                                  </w:r>
                                  <w:r>
                                    <w:rPr>
                                      <w:rFonts w:hint="eastAsia" w:ascii="宋体" w:hAnsi="宋体"/>
                                      <w:sz w:val="18"/>
                                      <w:szCs w:val="18"/>
                                    </w:rPr>
                                    <w:t>设备</w:t>
                                  </w:r>
                                  <w:r>
                                    <w:rPr>
                                      <w:rFonts w:hint="eastAsia"/>
                                      <w:color w:val="000000"/>
                                      <w:sz w:val="18"/>
                                      <w:szCs w:val="18"/>
                                    </w:rPr>
                                    <w:t>维修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5.25pt;margin-top:8.55pt;height:72pt;width:99.25pt;z-index:251660288;mso-width-relative:page;mso-height-relative:page;" filled="f" stroked="f" coordsize="21600,21600" o:gfxdata="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Ns+61wAAAAsBAAAPAAAAAAAAAAEAIAAAACIAAABkcnMvZG93bnJl&#10;di54bWxQSwECFAAUAAAACACHTuJA2HoYyP4BAADVAwAADgAAAAAAAAABACAAAAAmAQAAZHJzL2Uy&#10;b0RvYy54bWxQSwUGAAAAAAYABgBZAQAAlgUAAAAA&#10;">
                      <v:fill on="f" focussize="0,0"/>
                      <v:stroke on="f"/>
                      <v:imagedata o:title=""/>
                      <o:lock v:ext="edit" aspectratio="f"/>
                      <v:textbox>
                        <w:txbxContent>
                          <w:p>
                            <w:r>
                              <w:rPr>
                                <w:rFonts w:hint="eastAsia"/>
                                <w:color w:val="000000"/>
                                <w:sz w:val="18"/>
                                <w:szCs w:val="18"/>
                              </w:rPr>
                              <w:t>基础设施</w:t>
                            </w:r>
                            <w:r>
                              <w:rPr>
                                <w:rFonts w:hint="eastAsia" w:ascii="宋体" w:hAnsi="宋体"/>
                                <w:sz w:val="18"/>
                                <w:szCs w:val="18"/>
                              </w:rPr>
                              <w:t>设备</w:t>
                            </w:r>
                            <w:r>
                              <w:rPr>
                                <w:rFonts w:hint="eastAsia"/>
                                <w:color w:val="000000"/>
                                <w:sz w:val="18"/>
                                <w:szCs w:val="18"/>
                              </w:rPr>
                              <w:t>维修</w:t>
                            </w:r>
                          </w:p>
                        </w:txbxContent>
                      </v:textbox>
                    </v:shape>
                  </w:pict>
                </mc:Fallback>
              </mc:AlternateContent>
            </w:r>
            <w:r>
              <w:rPr>
                <w:rFonts w:hint="eastAsia" w:ascii="宋体" w:hAnsi="宋体"/>
                <w:sz w:val="21"/>
                <w:szCs w:val="21"/>
                <w:highlight w:val="none"/>
                <w:lang w:val="en-US" w:eastAsia="zh-CN"/>
              </w:rPr>
              <w:t>每月</w:t>
            </w:r>
            <w:r>
              <w:rPr>
                <w:rFonts w:hint="eastAsia" w:ascii="宋体" w:hAnsi="宋体"/>
                <w:sz w:val="21"/>
                <w:szCs w:val="21"/>
                <w:highlight w:val="none"/>
              </w:rPr>
              <w:t>对</w:t>
            </w:r>
            <w:r>
              <w:rPr>
                <w:rFonts w:hint="eastAsia" w:ascii="宋体" w:hAnsi="宋体"/>
                <w:sz w:val="21"/>
                <w:szCs w:val="21"/>
                <w:highlight w:val="none"/>
                <w:lang w:val="en-US" w:eastAsia="zh-CN"/>
              </w:rPr>
              <w:t>展陈及办公</w:t>
            </w:r>
            <w:r>
              <w:rPr>
                <w:rFonts w:hint="eastAsia" w:ascii="宋体" w:hAnsi="宋体"/>
                <w:sz w:val="21"/>
                <w:szCs w:val="21"/>
                <w:highlight w:val="none"/>
              </w:rPr>
              <w:t>家具进行</w:t>
            </w:r>
            <w:r>
              <w:rPr>
                <w:rFonts w:hint="eastAsia" w:ascii="宋体" w:hAnsi="宋体"/>
                <w:sz w:val="21"/>
                <w:szCs w:val="21"/>
                <w:highlight w:val="none"/>
                <w:lang w:val="en-US" w:eastAsia="zh-CN"/>
              </w:rPr>
              <w:t>一</w:t>
            </w:r>
            <w:r>
              <w:rPr>
                <w:rFonts w:hint="eastAsia" w:ascii="宋体" w:hAnsi="宋体"/>
                <w:sz w:val="21"/>
                <w:szCs w:val="21"/>
                <w:highlight w:val="none"/>
              </w:rPr>
              <w:t>次巡查，并建立维修档案。保证设施、设备的正常使用，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rPr>
            </w:pPr>
            <w:r>
              <w:rPr>
                <w:rFonts w:hint="eastAsia" w:ascii="宋体" w:hAnsi="宋体"/>
                <w:sz w:val="21"/>
                <w:szCs w:val="21"/>
              </w:rPr>
              <w:t>六、时限要求：</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rPr>
            </w:pPr>
            <w:r>
              <w:rPr>
                <w:rFonts w:hint="eastAsia" w:ascii="宋体" w:hAnsi="宋体"/>
                <w:sz w:val="21"/>
                <w:szCs w:val="21"/>
              </w:rPr>
              <w:t>除急迫性小修之外，自接到报修之时起</w:t>
            </w:r>
            <w:r>
              <w:rPr>
                <w:rFonts w:hint="eastAsia" w:ascii="宋体" w:hAnsi="宋体"/>
                <w:sz w:val="21"/>
                <w:szCs w:val="21"/>
                <w:lang w:val="en-US" w:eastAsia="zh-CN"/>
              </w:rPr>
              <w:t>4</w:t>
            </w:r>
            <w:r>
              <w:rPr>
                <w:rFonts w:hint="eastAsia" w:ascii="宋体" w:hAnsi="宋体"/>
                <w:sz w:val="21"/>
                <w:szCs w:val="21"/>
              </w:rPr>
              <w:t>小时到达现场的零修项目，维护性小修：自接到报修之日起，三日之内处理或与预约修复日期。</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1"/>
                <w:szCs w:val="21"/>
              </w:rPr>
            </w:pPr>
            <w:r>
              <w:rPr>
                <w:rFonts w:hint="eastAsia" w:ascii="宋体" w:hAnsi="宋体"/>
                <w:sz w:val="21"/>
                <w:szCs w:val="21"/>
              </w:rPr>
              <w:t>七、作业时间：</w:t>
            </w:r>
          </w:p>
          <w:p>
            <w:pPr>
              <w:snapToGrid w:val="0"/>
              <w:spacing w:line="360" w:lineRule="auto"/>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小时配备维修人员。</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szCs w:val="21"/>
        </w:rPr>
      </w:pPr>
      <w:r>
        <w:rPr>
          <w:rFonts w:hint="eastAsia" w:ascii="宋体" w:hAnsi="宋体"/>
          <w:b/>
          <w:szCs w:val="21"/>
        </w:rPr>
        <w:t>（</w:t>
      </w:r>
      <w:r>
        <w:rPr>
          <w:rFonts w:hint="eastAsia" w:ascii="宋体" w:hAnsi="宋体"/>
          <w:b/>
          <w:szCs w:val="21"/>
          <w:lang w:val="en-US" w:eastAsia="zh-CN"/>
        </w:rPr>
        <w:t>7</w:t>
      </w:r>
      <w:r>
        <w:rPr>
          <w:rFonts w:hint="eastAsia" w:ascii="宋体" w:hAnsi="宋体"/>
          <w:b/>
          <w:szCs w:val="21"/>
        </w:rPr>
        <w:t>）</w:t>
      </w:r>
      <w:r>
        <w:rPr>
          <w:rFonts w:hint="eastAsia" w:ascii="宋体" w:hAnsi="宋体"/>
          <w:b/>
          <w:szCs w:val="21"/>
          <w:lang w:val="en-US" w:eastAsia="zh-CN"/>
        </w:rPr>
        <w:t>展陈</w:t>
      </w:r>
      <w:r>
        <w:rPr>
          <w:rFonts w:hint="eastAsia" w:ascii="宋体" w:hAnsi="宋体"/>
          <w:b/>
          <w:szCs w:val="21"/>
        </w:rPr>
        <w:t>设施管理运行：</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21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作业内容</w:t>
            </w:r>
          </w:p>
        </w:tc>
        <w:tc>
          <w:tcPr>
            <w:tcW w:w="7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1"/>
                <w:szCs w:val="21"/>
              </w:rPr>
            </w:pPr>
            <w:r>
              <w:rPr>
                <w:rFonts w:hint="eastAsia" w:ascii="宋体" w:hAnsi="宋体"/>
                <w:b/>
                <w:sz w:val="21"/>
                <w:szCs w:val="21"/>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1"/>
                <w:szCs w:val="21"/>
              </w:rPr>
            </w:pPr>
            <w:r>
              <w:rPr>
                <w:rFonts w:hint="eastAsia" w:ascii="宋体" w:hAnsi="宋体"/>
                <w:sz w:val="21"/>
                <w:szCs w:val="21"/>
                <w:lang w:val="en-US" w:eastAsia="zh-CN"/>
              </w:rPr>
              <w:t>展厅多媒体</w:t>
            </w:r>
            <w:r>
              <w:rPr>
                <w:rFonts w:hint="eastAsia" w:ascii="宋体" w:hAnsi="宋体"/>
                <w:sz w:val="21"/>
                <w:szCs w:val="21"/>
              </w:rPr>
              <w:t>管理运行</w:t>
            </w:r>
          </w:p>
        </w:tc>
        <w:tc>
          <w:tcPr>
            <w:tcW w:w="7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保证设备的完整、齐备</w:t>
            </w:r>
            <w:r>
              <w:rPr>
                <w:rFonts w:hint="eastAsia" w:ascii="宋体" w:hAnsi="宋体"/>
                <w:sz w:val="21"/>
                <w:szCs w:val="21"/>
                <w:lang w:eastAsia="zh-CN"/>
              </w:rPr>
              <w:t>；</w:t>
            </w:r>
            <w:r>
              <w:rPr>
                <w:rFonts w:hint="eastAsia" w:ascii="宋体" w:hAnsi="宋体"/>
                <w:sz w:val="21"/>
                <w:szCs w:val="21"/>
              </w:rPr>
              <w:t>保持清洁、放置整齐。</w:t>
            </w:r>
          </w:p>
          <w:p>
            <w:pPr>
              <w:snapToGrid w:val="0"/>
              <w:spacing w:line="360" w:lineRule="auto"/>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为</w:t>
            </w:r>
            <w:r>
              <w:rPr>
                <w:rFonts w:hint="eastAsia" w:ascii="宋体" w:hAnsi="宋体"/>
                <w:sz w:val="21"/>
                <w:szCs w:val="21"/>
                <w:lang w:val="en-US" w:eastAsia="zh-CN"/>
              </w:rPr>
              <w:t>参观</w:t>
            </w:r>
            <w:r>
              <w:rPr>
                <w:rFonts w:hint="eastAsia" w:ascii="宋体" w:hAnsi="宋体"/>
                <w:sz w:val="21"/>
                <w:szCs w:val="21"/>
              </w:rPr>
              <w:t>活动提供使用保障。</w:t>
            </w:r>
          </w:p>
          <w:p>
            <w:pPr>
              <w:snapToGrid w:val="0"/>
              <w:spacing w:line="360" w:lineRule="auto"/>
              <w:rPr>
                <w:rFonts w:hint="eastAsia" w:ascii="宋体" w:hAnsi="宋体"/>
                <w:sz w:val="21"/>
                <w:szCs w:val="21"/>
                <w:highlight w:val="none"/>
              </w:rPr>
            </w:pPr>
            <w:r>
              <w:rPr>
                <w:rFonts w:hint="eastAsia" w:ascii="宋体" w:hAnsi="宋体"/>
                <w:sz w:val="21"/>
                <w:szCs w:val="21"/>
                <w:highlight w:val="none"/>
                <w:lang w:val="en-US" w:eastAsia="zh-CN"/>
              </w:rPr>
              <w:t>3、配合展陈供应商</w:t>
            </w:r>
            <w:r>
              <w:rPr>
                <w:rFonts w:hint="eastAsia" w:ascii="宋体" w:hAnsi="宋体"/>
                <w:sz w:val="21"/>
                <w:szCs w:val="21"/>
                <w:highlight w:val="none"/>
              </w:rPr>
              <w:t>对各系统设备要做好日常维护和检修，维护</w:t>
            </w:r>
            <w:r>
              <w:rPr>
                <w:rFonts w:hint="eastAsia" w:ascii="宋体" w:hAnsi="宋体"/>
                <w:sz w:val="21"/>
                <w:szCs w:val="21"/>
                <w:highlight w:val="none"/>
                <w:lang w:eastAsia="zh-CN"/>
              </w:rPr>
              <w:t>，</w:t>
            </w:r>
            <w:r>
              <w:rPr>
                <w:rFonts w:hint="eastAsia" w:ascii="宋体" w:hAnsi="宋体"/>
                <w:sz w:val="21"/>
                <w:szCs w:val="21"/>
                <w:highlight w:val="none"/>
              </w:rPr>
              <w:t>保证设备的</w:t>
            </w:r>
            <w:r>
              <w:rPr>
                <w:rFonts w:hint="eastAsia" w:ascii="宋体" w:hAnsi="宋体"/>
                <w:sz w:val="21"/>
                <w:szCs w:val="21"/>
                <w:highlight w:val="none"/>
                <w:lang w:val="en-US" w:eastAsia="zh-CN"/>
              </w:rPr>
              <w:t>状态</w:t>
            </w:r>
            <w:r>
              <w:rPr>
                <w:rFonts w:hint="eastAsia" w:ascii="宋体" w:hAnsi="宋体"/>
                <w:sz w:val="21"/>
                <w:szCs w:val="21"/>
                <w:highlight w:val="none"/>
              </w:rPr>
              <w:t>良好。</w:t>
            </w:r>
          </w:p>
          <w:p>
            <w:pPr>
              <w:snapToGrid w:val="0"/>
              <w:spacing w:line="360" w:lineRule="auto"/>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做好设备使用、维修、保养记录。</w:t>
            </w:r>
          </w:p>
          <w:p>
            <w:pPr>
              <w:snapToGrid w:val="0"/>
              <w:spacing w:line="360" w:lineRule="auto"/>
              <w:rPr>
                <w:rFonts w:ascii="宋体" w:hAnsi="宋体"/>
                <w:sz w:val="21"/>
                <w:szCs w:val="21"/>
              </w:rPr>
            </w:pPr>
            <w:r>
              <w:rPr>
                <w:rFonts w:hint="eastAsia" w:ascii="宋体" w:hAnsi="宋体"/>
                <w:sz w:val="21"/>
                <w:szCs w:val="21"/>
                <w:lang w:val="en-US" w:eastAsia="zh-CN"/>
              </w:rPr>
              <w:t>5、及时联系展陈设备供应商</w:t>
            </w:r>
            <w:r>
              <w:rPr>
                <w:rFonts w:hint="eastAsia" w:ascii="宋体" w:hAnsi="宋体"/>
                <w:sz w:val="21"/>
                <w:szCs w:val="21"/>
              </w:rPr>
              <w:t>解决使用中的临时故障，保证活动的顺利进行。</w:t>
            </w:r>
          </w:p>
        </w:tc>
      </w:tr>
    </w:tbl>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contextualSpacing/>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3.服务内容及要求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室外保洁：</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1）保洁面积：</w:t>
      </w:r>
      <w:r>
        <w:rPr>
          <w:rFonts w:hint="eastAsia" w:ascii="宋体" w:hAnsi="宋体" w:eastAsia="宋体" w:cs="宋体"/>
          <w:sz w:val="24"/>
          <w:szCs w:val="24"/>
          <w:lang w:val="en-US" w:eastAsia="zh-CN"/>
        </w:rPr>
        <w:t>项目范围内，</w:t>
      </w:r>
      <w:r>
        <w:rPr>
          <w:rFonts w:hint="eastAsia" w:ascii="宋体" w:hAnsi="宋体" w:eastAsia="宋体" w:cs="宋体"/>
          <w:sz w:val="24"/>
          <w:szCs w:val="24"/>
        </w:rPr>
        <w:t>建筑物占地以外的</w:t>
      </w:r>
      <w:r>
        <w:rPr>
          <w:rFonts w:hint="eastAsia" w:ascii="宋体" w:hAnsi="宋体" w:eastAsia="宋体" w:cs="宋体"/>
          <w:sz w:val="24"/>
          <w:szCs w:val="24"/>
          <w:lang w:val="en-US" w:eastAsia="zh-CN"/>
        </w:rPr>
        <w:t>除绿化带、绿植树木以外的</w:t>
      </w:r>
      <w:r>
        <w:rPr>
          <w:rFonts w:hint="eastAsia" w:ascii="宋体" w:hAnsi="宋体" w:eastAsia="宋体" w:cs="宋体"/>
          <w:sz w:val="24"/>
          <w:szCs w:val="24"/>
        </w:rPr>
        <w:t>所有区域。</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2）服务范围：</w:t>
      </w:r>
      <w:r>
        <w:rPr>
          <w:rFonts w:hint="eastAsia" w:ascii="宋体" w:hAnsi="宋体" w:eastAsia="宋体" w:cs="宋体"/>
          <w:b w:val="0"/>
          <w:bCs/>
          <w:sz w:val="24"/>
          <w:szCs w:val="24"/>
        </w:rPr>
        <w:t>各种指示（路）牌、各种建筑物外立面（</w:t>
      </w:r>
      <w:r>
        <w:rPr>
          <w:rFonts w:hint="eastAsia" w:ascii="宋体" w:hAnsi="宋体" w:cs="宋体"/>
          <w:b w:val="0"/>
          <w:bCs/>
          <w:sz w:val="24"/>
          <w:szCs w:val="24"/>
          <w:lang w:val="en-US" w:eastAsia="zh-CN"/>
        </w:rPr>
        <w:t>2</w:t>
      </w:r>
      <w:r>
        <w:rPr>
          <w:rFonts w:hint="eastAsia" w:ascii="宋体" w:hAnsi="宋体" w:eastAsia="宋体" w:cs="宋体"/>
          <w:b w:val="0"/>
          <w:bCs/>
          <w:sz w:val="24"/>
          <w:szCs w:val="24"/>
        </w:rPr>
        <w:t>米以下）、各种上人屋顶、各种休闲座椅、道路、景观、垃圾箱、建筑物外挂扶梯等露天区域公共设施。</w:t>
      </w:r>
    </w:p>
    <w:p>
      <w:pPr>
        <w:keepNext w:val="0"/>
        <w:keepLines w:val="0"/>
        <w:pageBreakBefore w:val="0"/>
        <w:numPr>
          <w:ilvl w:val="0"/>
          <w:numId w:val="12"/>
        </w:numPr>
        <w:tabs>
          <w:tab w:val="left" w:pos="1260"/>
        </w:tabs>
        <w:kinsoku/>
        <w:wordWrap/>
        <w:overflowPunct/>
        <w:topLinePunct w:val="0"/>
        <w:autoSpaceDE/>
        <w:autoSpaceDN/>
        <w:bidi w:val="0"/>
        <w:adjustRightInd/>
        <w:snapToGrid w:val="0"/>
        <w:spacing w:line="360" w:lineRule="auto"/>
        <w:ind w:left="1260" w:hanging="360"/>
        <w:jc w:val="both"/>
        <w:textAlignment w:val="auto"/>
        <w:rPr>
          <w:rFonts w:hint="eastAsia" w:ascii="宋体" w:hAnsi="宋体" w:eastAsia="宋体" w:cs="宋体"/>
          <w:sz w:val="24"/>
          <w:szCs w:val="24"/>
        </w:rPr>
      </w:pPr>
      <w:r>
        <w:rPr>
          <w:rFonts w:hint="eastAsia" w:ascii="宋体" w:hAnsi="宋体" w:eastAsia="宋体" w:cs="宋体"/>
          <w:sz w:val="24"/>
          <w:szCs w:val="24"/>
        </w:rPr>
        <w:t>配合进行冬季扫雪铲冰以及夏季防汛工作。协助配合特殊天气水管爆裂、火警、设备故障等突发事件。</w:t>
      </w:r>
    </w:p>
    <w:p>
      <w:pPr>
        <w:keepNext w:val="0"/>
        <w:keepLines w:val="0"/>
        <w:pageBreakBefore w:val="0"/>
        <w:numPr>
          <w:ilvl w:val="0"/>
          <w:numId w:val="12"/>
        </w:numPr>
        <w:kinsoku/>
        <w:wordWrap/>
        <w:overflowPunct/>
        <w:topLinePunct w:val="0"/>
        <w:autoSpaceDE/>
        <w:autoSpaceDN/>
        <w:bidi w:val="0"/>
        <w:adjustRightInd/>
        <w:snapToGrid w:val="0"/>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各种排水、雨水管道下水箅子的废弃物清理。</w:t>
      </w:r>
    </w:p>
    <w:p>
      <w:pPr>
        <w:keepNext w:val="0"/>
        <w:keepLines w:val="0"/>
        <w:pageBreakBefore w:val="0"/>
        <w:numPr>
          <w:ilvl w:val="0"/>
          <w:numId w:val="12"/>
        </w:numPr>
        <w:kinsoku/>
        <w:wordWrap/>
        <w:overflowPunct/>
        <w:topLinePunct w:val="0"/>
        <w:autoSpaceDE/>
        <w:autoSpaceDN/>
        <w:bidi w:val="0"/>
        <w:adjustRightInd/>
        <w:snapToGrid w:val="0"/>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垃圾清运、垃圾转运等。</w:t>
      </w:r>
    </w:p>
    <w:p>
      <w:pPr>
        <w:keepNext w:val="0"/>
        <w:keepLines w:val="0"/>
        <w:pageBreakBefore w:val="0"/>
        <w:numPr>
          <w:ilvl w:val="0"/>
          <w:numId w:val="12"/>
        </w:numPr>
        <w:kinsoku/>
        <w:wordWrap/>
        <w:overflowPunct/>
        <w:topLinePunct w:val="0"/>
        <w:autoSpaceDE/>
        <w:autoSpaceDN/>
        <w:bidi w:val="0"/>
        <w:adjustRightInd/>
        <w:snapToGrid w:val="0"/>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参观、会议等大型活动的临时性的工作保障。</w:t>
      </w:r>
    </w:p>
    <w:p>
      <w:pPr>
        <w:keepNext w:val="0"/>
        <w:keepLines w:val="0"/>
        <w:pageBreakBefore w:val="0"/>
        <w:numPr>
          <w:ilvl w:val="0"/>
          <w:numId w:val="12"/>
        </w:numPr>
        <w:kinsoku/>
        <w:wordWrap/>
        <w:overflowPunct/>
        <w:topLinePunct w:val="0"/>
        <w:autoSpaceDE/>
        <w:autoSpaceDN/>
        <w:bidi w:val="0"/>
        <w:adjustRightInd/>
        <w:snapToGrid w:val="0"/>
        <w:spacing w:line="360" w:lineRule="auto"/>
        <w:ind w:firstLine="480"/>
        <w:jc w:val="both"/>
        <w:textAlignment w:val="auto"/>
        <w:rPr>
          <w:rFonts w:hint="eastAsia"/>
        </w:rPr>
      </w:pPr>
      <w:r>
        <w:rPr>
          <w:rFonts w:hint="eastAsia" w:ascii="宋体" w:hAnsi="宋体" w:eastAsia="宋体" w:cs="宋体"/>
          <w:sz w:val="24"/>
          <w:szCs w:val="24"/>
        </w:rPr>
        <w:t>卫生清洁用品及使用需符合国家有关规定和标准。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rPr>
        <w:t>室内保洁：</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sz w:val="24"/>
          <w:szCs w:val="24"/>
        </w:rPr>
        <w:t>1）保洁面积：</w:t>
      </w:r>
      <w:r>
        <w:rPr>
          <w:rFonts w:hint="eastAsia" w:ascii="宋体" w:hAnsi="宋体" w:eastAsia="宋体" w:cs="宋体"/>
          <w:b w:val="0"/>
          <w:bCs/>
          <w:sz w:val="24"/>
          <w:szCs w:val="24"/>
          <w:lang w:val="en-US" w:eastAsia="zh-CN"/>
        </w:rPr>
        <w:t>11.6万</w:t>
      </w:r>
      <w:r>
        <w:rPr>
          <w:rFonts w:hint="eastAsia" w:ascii="宋体" w:hAnsi="宋体" w:eastAsia="宋体" w:cs="宋体"/>
          <w:b w:val="0"/>
          <w:bCs/>
          <w:sz w:val="24"/>
          <w:szCs w:val="24"/>
        </w:rPr>
        <w:t>平方米</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sz w:val="24"/>
          <w:szCs w:val="24"/>
        </w:rPr>
        <w:t>2）服务范围：</w:t>
      </w:r>
      <w:r>
        <w:rPr>
          <w:rFonts w:hint="eastAsia" w:ascii="宋体" w:hAnsi="宋体" w:eastAsia="宋体" w:cs="宋体"/>
          <w:b w:val="0"/>
          <w:bCs/>
          <w:sz w:val="24"/>
          <w:szCs w:val="24"/>
        </w:rPr>
        <w:t>建筑内部的所有</w:t>
      </w:r>
      <w:r>
        <w:rPr>
          <w:rFonts w:hint="eastAsia" w:ascii="宋体" w:hAnsi="宋体" w:eastAsia="宋体" w:cs="宋体"/>
          <w:b w:val="0"/>
          <w:bCs/>
          <w:sz w:val="24"/>
          <w:szCs w:val="24"/>
          <w:lang w:val="en-US" w:eastAsia="zh-CN"/>
        </w:rPr>
        <w:t>办公</w:t>
      </w:r>
      <w:r>
        <w:rPr>
          <w:rFonts w:hint="eastAsia" w:ascii="宋体" w:hAnsi="宋体" w:eastAsia="宋体" w:cs="宋体"/>
          <w:b w:val="0"/>
          <w:bCs/>
          <w:sz w:val="24"/>
          <w:szCs w:val="24"/>
        </w:rPr>
        <w:t>用房、</w:t>
      </w:r>
      <w:r>
        <w:rPr>
          <w:rFonts w:hint="eastAsia" w:ascii="宋体" w:hAnsi="宋体" w:eastAsia="宋体" w:cs="宋体"/>
          <w:b w:val="0"/>
          <w:bCs/>
          <w:sz w:val="24"/>
          <w:szCs w:val="24"/>
          <w:lang w:val="en-US" w:eastAsia="zh-CN"/>
        </w:rPr>
        <w:t>展厅</w:t>
      </w:r>
      <w:r>
        <w:rPr>
          <w:rFonts w:hint="eastAsia" w:ascii="宋体" w:hAnsi="宋体" w:eastAsia="宋体" w:cs="宋体"/>
          <w:b w:val="0"/>
          <w:bCs/>
          <w:sz w:val="24"/>
          <w:szCs w:val="24"/>
        </w:rPr>
        <w:t>、卫生间和公共楼道等区域和公共设施（不含</w:t>
      </w:r>
      <w:r>
        <w:rPr>
          <w:rFonts w:hint="eastAsia" w:ascii="宋体" w:hAnsi="宋体" w:eastAsia="宋体" w:cs="宋体"/>
          <w:b w:val="0"/>
          <w:bCs/>
          <w:sz w:val="24"/>
          <w:szCs w:val="24"/>
          <w:lang w:val="en-US" w:eastAsia="zh-CN"/>
        </w:rPr>
        <w:t>管理处专用库房</w:t>
      </w:r>
      <w:r>
        <w:rPr>
          <w:rFonts w:hint="eastAsia" w:ascii="宋体" w:hAnsi="宋体" w:eastAsia="宋体" w:cs="宋体"/>
          <w:b w:val="0"/>
          <w:bCs/>
          <w:sz w:val="24"/>
          <w:szCs w:val="24"/>
        </w:rPr>
        <w:t>区域）。</w:t>
      </w:r>
    </w:p>
    <w:p>
      <w:pPr>
        <w:keepNext w:val="0"/>
        <w:keepLines w:val="0"/>
        <w:pageBreakBefore w:val="0"/>
        <w:numPr>
          <w:ilvl w:val="0"/>
          <w:numId w:val="13"/>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建筑</w:t>
      </w:r>
      <w:r>
        <w:rPr>
          <w:rFonts w:hint="eastAsia" w:ascii="宋体" w:hAnsi="宋体" w:eastAsia="宋体" w:cs="宋体"/>
          <w:sz w:val="24"/>
          <w:szCs w:val="24"/>
          <w:lang w:val="en-US" w:eastAsia="zh-CN"/>
        </w:rPr>
        <w:t>4</w:t>
      </w:r>
      <w:r>
        <w:rPr>
          <w:rFonts w:hint="eastAsia" w:ascii="宋体" w:hAnsi="宋体" w:eastAsia="宋体" w:cs="宋体"/>
          <w:sz w:val="24"/>
          <w:szCs w:val="24"/>
        </w:rPr>
        <w:t>栋：</w:t>
      </w:r>
      <w:r>
        <w:rPr>
          <w:rFonts w:hint="eastAsia" w:ascii="宋体" w:hAnsi="宋体" w:eastAsia="宋体" w:cs="宋体"/>
          <w:sz w:val="24"/>
          <w:szCs w:val="24"/>
          <w:lang w:val="en-US" w:eastAsia="zh-CN"/>
        </w:rPr>
        <w:t>都龙王庙、龙泉禅寺、管理处办公楼、山上公共卫生间</w:t>
      </w:r>
      <w:r>
        <w:rPr>
          <w:rFonts w:hint="eastAsia" w:ascii="宋体" w:hAnsi="宋体" w:eastAsia="宋体" w:cs="宋体"/>
          <w:sz w:val="24"/>
          <w:szCs w:val="24"/>
        </w:rPr>
        <w:t>。</w:t>
      </w:r>
    </w:p>
    <w:p>
      <w:pPr>
        <w:keepNext w:val="0"/>
        <w:keepLines w:val="0"/>
        <w:pageBreakBefore w:val="0"/>
        <w:numPr>
          <w:ilvl w:val="0"/>
          <w:numId w:val="13"/>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工作面：主要包括地面、墙壁、门窗、窗台、天花板、灯具、消防设施、</w:t>
      </w:r>
      <w:r>
        <w:rPr>
          <w:rFonts w:hint="eastAsia" w:ascii="宋体" w:hAnsi="宋体" w:eastAsia="宋体" w:cs="宋体"/>
          <w:sz w:val="24"/>
          <w:szCs w:val="24"/>
          <w:lang w:val="en-US" w:eastAsia="zh-CN"/>
        </w:rPr>
        <w:t>室内绿植</w:t>
      </w:r>
      <w:r>
        <w:rPr>
          <w:rFonts w:hint="eastAsia" w:ascii="宋体" w:hAnsi="宋体" w:eastAsia="宋体" w:cs="宋体"/>
          <w:sz w:val="24"/>
          <w:szCs w:val="24"/>
        </w:rPr>
        <w:t>、花盆、指示牌、垃圾篓、垃圾箱、桌、椅、公用台面、卫生洁具、室内设备设施等。</w:t>
      </w:r>
    </w:p>
    <w:p>
      <w:pPr>
        <w:keepNext w:val="0"/>
        <w:keepLines w:val="0"/>
        <w:pageBreakBefore w:val="0"/>
        <w:numPr>
          <w:ilvl w:val="0"/>
          <w:numId w:val="13"/>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参观、会议等大型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活动的临时性的工作保障。</w:t>
      </w:r>
    </w:p>
    <w:p>
      <w:pPr>
        <w:keepNext w:val="0"/>
        <w:keepLines w:val="0"/>
        <w:pageBreakBefore w:val="0"/>
        <w:numPr>
          <w:ilvl w:val="0"/>
          <w:numId w:val="13"/>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卫生清洁用品及使用需符合国家有关规定和标准。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（3）秩序维护：</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安保秩序维护</w:t>
      </w:r>
      <w:r>
        <w:rPr>
          <w:rFonts w:hint="eastAsia" w:ascii="宋体" w:hAnsi="宋体" w:eastAsia="宋体" w:cs="宋体"/>
          <w:b/>
          <w:sz w:val="24"/>
          <w:szCs w:val="24"/>
        </w:rPr>
        <w:t>：</w:t>
      </w:r>
      <w:r>
        <w:rPr>
          <w:rFonts w:hint="eastAsia" w:ascii="宋体" w:hAnsi="宋体" w:eastAsia="宋体" w:cs="宋体"/>
          <w:sz w:val="24"/>
          <w:szCs w:val="24"/>
          <w:lang w:val="en-US" w:eastAsia="zh-CN"/>
        </w:rPr>
        <w:t>24小时安保服务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sz w:val="24"/>
          <w:szCs w:val="24"/>
        </w:rPr>
      </w:pPr>
      <w:r>
        <w:rPr>
          <w:rFonts w:hint="eastAsia" w:ascii="宋体" w:hAnsi="宋体" w:eastAsia="宋体" w:cs="宋体"/>
          <w:b/>
          <w:sz w:val="24"/>
          <w:szCs w:val="24"/>
        </w:rPr>
        <w:t>2）服务范围：</w:t>
      </w:r>
      <w:r>
        <w:rPr>
          <w:rFonts w:hint="eastAsia" w:ascii="宋体" w:hAnsi="宋体" w:eastAsia="宋体" w:cs="宋体"/>
          <w:sz w:val="24"/>
          <w:szCs w:val="24"/>
          <w:lang w:val="en-US" w:eastAsia="zh-CN"/>
        </w:rPr>
        <w:t>园区范围内的24小时</w:t>
      </w:r>
      <w:r>
        <w:rPr>
          <w:rFonts w:hint="eastAsia" w:ascii="宋体" w:hAnsi="宋体" w:cs="宋体"/>
          <w:sz w:val="24"/>
          <w:szCs w:val="24"/>
          <w:lang w:val="en-US" w:eastAsia="zh-CN"/>
        </w:rPr>
        <w:t>安保门岗值守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定时或非定时巡逻</w:t>
      </w:r>
      <w:r>
        <w:rPr>
          <w:rFonts w:hint="eastAsia" w:ascii="宋体" w:hAnsi="宋体" w:eastAsia="宋体" w:cs="宋体"/>
          <w:sz w:val="24"/>
          <w:szCs w:val="24"/>
        </w:rPr>
        <w:t>及突发事件应对等工作。</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（4）消防管理</w:t>
      </w:r>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消防管理</w:t>
      </w:r>
      <w:r>
        <w:rPr>
          <w:rFonts w:hint="eastAsia" w:ascii="宋体" w:hAnsi="宋体" w:eastAsia="宋体" w:cs="宋体"/>
          <w:b/>
          <w:sz w:val="24"/>
          <w:szCs w:val="24"/>
        </w:rPr>
        <w:t>：</w:t>
      </w:r>
      <w:r>
        <w:rPr>
          <w:rFonts w:hint="eastAsia" w:ascii="宋体" w:hAnsi="宋体" w:eastAsia="宋体" w:cs="宋体"/>
          <w:sz w:val="24"/>
          <w:szCs w:val="24"/>
          <w:lang w:val="en-US" w:eastAsia="zh-CN"/>
        </w:rPr>
        <w:t>24小时消防管理工作</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val="0"/>
        <w:spacing w:line="360" w:lineRule="auto"/>
        <w:outlineLvl w:val="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sz w:val="24"/>
          <w:szCs w:val="24"/>
        </w:rPr>
        <w:t>2）服务范围：</w:t>
      </w:r>
      <w:r>
        <w:rPr>
          <w:rFonts w:hint="eastAsia" w:ascii="宋体" w:hAnsi="宋体" w:eastAsia="宋体" w:cs="宋体"/>
          <w:sz w:val="24"/>
          <w:szCs w:val="24"/>
          <w:lang w:val="en-US" w:eastAsia="zh-CN"/>
        </w:rPr>
        <w:t>园区范围内的消防安全管理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监控室24小时</w:t>
      </w:r>
      <w:r>
        <w:rPr>
          <w:rFonts w:hint="eastAsia" w:ascii="宋体" w:hAnsi="宋体" w:cs="宋体"/>
          <w:sz w:val="24"/>
          <w:szCs w:val="24"/>
          <w:lang w:val="en-US" w:eastAsia="zh-CN"/>
        </w:rPr>
        <w:t>值守</w:t>
      </w:r>
      <w:r>
        <w:rPr>
          <w:rFonts w:hint="eastAsia" w:ascii="宋体" w:hAnsi="宋体" w:eastAsia="宋体" w:cs="宋体"/>
          <w:sz w:val="24"/>
          <w:szCs w:val="24"/>
          <w:lang w:val="en-US" w:eastAsia="zh-CN"/>
        </w:rPr>
        <w:t>，定期巡检消防设施，配合安保开展园区秩序维护工作</w:t>
      </w:r>
      <w:r>
        <w:rPr>
          <w:rFonts w:hint="eastAsia" w:ascii="宋体" w:hAnsi="宋体" w:eastAsia="宋体" w:cs="宋体"/>
          <w:sz w:val="24"/>
          <w:szCs w:val="24"/>
        </w:rPr>
        <w:t>及突发事件应对等工作。</w:t>
      </w:r>
    </w:p>
    <w:p>
      <w:pPr>
        <w:keepNext w:val="0"/>
        <w:keepLines w:val="0"/>
        <w:pageBreakBefore w:val="0"/>
        <w:numPr>
          <w:ilvl w:val="0"/>
          <w:numId w:val="14"/>
        </w:numPr>
        <w:kinsoku/>
        <w:wordWrap/>
        <w:overflowPunct/>
        <w:topLinePunct w:val="0"/>
        <w:autoSpaceDE/>
        <w:autoSpaceDN/>
        <w:bidi w:val="0"/>
        <w:snapToGrid w:val="0"/>
        <w:spacing w:line="360" w:lineRule="auto"/>
        <w:ind w:left="593" w:leftChars="0" w:firstLine="0" w:firstLineChars="0"/>
        <w:outlineLvl w:val="1"/>
        <w:rPr>
          <w:rFonts w:hint="eastAsia" w:ascii="宋体" w:hAnsi="宋体" w:eastAsia="宋体" w:cs="宋体"/>
          <w:b/>
          <w:sz w:val="24"/>
          <w:szCs w:val="24"/>
        </w:rPr>
      </w:pPr>
      <w:r>
        <w:rPr>
          <w:rFonts w:hint="eastAsia" w:ascii="宋体" w:hAnsi="宋体" w:eastAsia="宋体" w:cs="宋体"/>
          <w:b/>
          <w:sz w:val="24"/>
          <w:szCs w:val="24"/>
        </w:rPr>
        <w:t>供电运行：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1）基本设施：</w:t>
      </w:r>
      <w:r>
        <w:rPr>
          <w:rFonts w:hint="eastAsia" w:ascii="宋体" w:hAnsi="宋体" w:eastAsia="宋体" w:cs="宋体"/>
          <w:sz w:val="24"/>
          <w:szCs w:val="24"/>
          <w:lang w:val="en-US" w:eastAsia="zh-CN"/>
        </w:rPr>
        <w:t>高压</w:t>
      </w:r>
      <w:r>
        <w:rPr>
          <w:rFonts w:hint="eastAsia" w:ascii="宋体" w:hAnsi="宋体" w:eastAsia="宋体" w:cs="宋体"/>
          <w:sz w:val="24"/>
          <w:szCs w:val="24"/>
        </w:rPr>
        <w:t>配电室</w:t>
      </w:r>
      <w:r>
        <w:rPr>
          <w:rFonts w:hint="eastAsia" w:ascii="宋体" w:hAnsi="宋体" w:eastAsia="宋体" w:cs="宋体"/>
          <w:sz w:val="24"/>
          <w:szCs w:val="24"/>
          <w:u w:val="single"/>
        </w:rPr>
        <w:t>1</w:t>
      </w:r>
      <w:r>
        <w:rPr>
          <w:rFonts w:hint="eastAsia" w:ascii="宋体" w:hAnsi="宋体" w:eastAsia="宋体" w:cs="宋体"/>
          <w:sz w:val="24"/>
          <w:szCs w:val="24"/>
        </w:rPr>
        <w:t>所</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4"/>
          <w:szCs w:val="24"/>
          <w:u w:val="none"/>
          <w:lang w:val="en-US" w:eastAsia="zh-CN" w:bidi="ar"/>
        </w:rPr>
        <w:t>400KVA</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val="0"/>
        <w:spacing w:line="360" w:lineRule="auto"/>
        <w:ind w:left="1293" w:leftChars="168" w:hanging="940" w:hangingChars="392"/>
        <w:outlineLvl w:val="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2）服务范围：</w:t>
      </w:r>
      <w:r>
        <w:rPr>
          <w:rFonts w:hint="eastAsia" w:ascii="宋体" w:hAnsi="宋体" w:eastAsia="宋体" w:cs="宋体"/>
          <w:sz w:val="24"/>
          <w:szCs w:val="24"/>
        </w:rPr>
        <w:t>配电设备设施的管理、运行、</w:t>
      </w:r>
      <w:r>
        <w:rPr>
          <w:rFonts w:hint="eastAsia" w:ascii="宋体" w:hAnsi="宋体" w:eastAsia="宋体" w:cs="宋体"/>
          <w:sz w:val="24"/>
          <w:szCs w:val="24"/>
          <w:lang w:val="en-US" w:eastAsia="zh-CN"/>
        </w:rPr>
        <w:t>24小时</w:t>
      </w:r>
      <w:r>
        <w:rPr>
          <w:rFonts w:hint="eastAsia" w:ascii="宋体" w:hAnsi="宋体" w:cs="宋体"/>
          <w:sz w:val="24"/>
          <w:szCs w:val="24"/>
          <w:lang w:val="en-US" w:eastAsia="zh-CN"/>
        </w:rPr>
        <w:t>值守</w:t>
      </w:r>
      <w:r>
        <w:rPr>
          <w:rFonts w:hint="eastAsia" w:ascii="宋体" w:hAnsi="宋体" w:eastAsia="宋体" w:cs="宋体"/>
          <w:sz w:val="24"/>
          <w:szCs w:val="24"/>
        </w:rPr>
        <w:t>及突发事件应对等工作。</w:t>
      </w:r>
    </w:p>
    <w:p>
      <w:pPr>
        <w:keepNext w:val="0"/>
        <w:keepLines w:val="0"/>
        <w:pageBreakBefore w:val="0"/>
        <w:kinsoku/>
        <w:wordWrap/>
        <w:overflowPunct/>
        <w:topLinePunct w:val="0"/>
        <w:autoSpaceDE/>
        <w:autoSpaceDN/>
        <w:bidi w:val="0"/>
        <w:snapToGrid w:val="0"/>
        <w:spacing w:line="360" w:lineRule="auto"/>
        <w:ind w:left="1293" w:leftChars="168" w:hanging="940" w:hangingChars="392"/>
        <w:outlineLvl w:val="1"/>
        <w:rPr>
          <w:rFonts w:hint="eastAsia" w:ascii="宋体" w:hAnsi="宋体" w:eastAsia="宋体" w:cs="宋体"/>
          <w:b/>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消防</w:t>
      </w:r>
      <w:r>
        <w:rPr>
          <w:rFonts w:hint="eastAsia" w:ascii="宋体" w:hAnsi="宋体" w:eastAsia="宋体" w:cs="宋体"/>
          <w:b/>
          <w:sz w:val="24"/>
          <w:szCs w:val="24"/>
          <w:highlight w:val="none"/>
          <w:lang w:val="en-US" w:eastAsia="zh-CN"/>
        </w:rPr>
        <w:t>中控室运行：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outlineLvl w:val="1"/>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1）基本设施：</w:t>
      </w:r>
      <w:r>
        <w:rPr>
          <w:rFonts w:hint="eastAsia" w:ascii="宋体" w:hAnsi="宋体" w:cs="宋体"/>
          <w:b w:val="0"/>
          <w:bCs/>
          <w:sz w:val="24"/>
          <w:szCs w:val="24"/>
          <w:highlight w:val="none"/>
          <w:lang w:val="en-US" w:eastAsia="zh-CN"/>
        </w:rPr>
        <w:t>火灾报警控制器、消防联动控制器、电气火灾监控设备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outlineLvl w:val="1"/>
        <w:rPr>
          <w:rFonts w:hint="eastAsia"/>
          <w:highlight w:val="none"/>
          <w:lang w:eastAsia="zh-CN"/>
        </w:rPr>
      </w:pPr>
      <w:r>
        <w:rPr>
          <w:rFonts w:hint="eastAsia" w:ascii="宋体" w:hAnsi="宋体" w:eastAsia="宋体" w:cs="宋体"/>
          <w:b/>
          <w:sz w:val="24"/>
          <w:szCs w:val="24"/>
          <w:highlight w:val="none"/>
        </w:rPr>
        <w:t>2）服务范围：</w:t>
      </w:r>
      <w:r>
        <w:rPr>
          <w:rFonts w:hint="eastAsia" w:ascii="宋体" w:hAnsi="宋体" w:cs="宋体"/>
          <w:b w:val="0"/>
          <w:bCs/>
          <w:sz w:val="24"/>
          <w:szCs w:val="24"/>
          <w:highlight w:val="none"/>
          <w:lang w:val="en-US" w:eastAsia="zh-CN"/>
        </w:rPr>
        <w:t>消防</w:t>
      </w:r>
      <w:r>
        <w:rPr>
          <w:rFonts w:hint="eastAsia" w:ascii="宋体" w:hAnsi="宋体" w:eastAsia="宋体" w:cs="宋体"/>
          <w:sz w:val="24"/>
          <w:szCs w:val="24"/>
          <w:highlight w:val="none"/>
          <w:lang w:eastAsia="zh-CN"/>
        </w:rPr>
        <w:t>中控</w:t>
      </w:r>
      <w:r>
        <w:rPr>
          <w:rFonts w:hint="eastAsia" w:ascii="宋体" w:hAnsi="宋体" w:eastAsia="宋体" w:cs="宋体"/>
          <w:sz w:val="24"/>
          <w:szCs w:val="24"/>
          <w:highlight w:val="none"/>
        </w:rPr>
        <w:t>设备设施的管理、运行</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24小时</w:t>
      </w:r>
      <w:r>
        <w:rPr>
          <w:rFonts w:hint="eastAsia" w:ascii="宋体" w:hAnsi="宋体" w:cs="宋体"/>
          <w:sz w:val="24"/>
          <w:szCs w:val="24"/>
          <w:highlight w:val="none"/>
          <w:lang w:val="en-US" w:eastAsia="zh-CN"/>
        </w:rPr>
        <w:t>值守</w:t>
      </w:r>
      <w:r>
        <w:rPr>
          <w:rFonts w:hint="eastAsia" w:ascii="宋体" w:hAnsi="宋体" w:eastAsia="宋体" w:cs="宋体"/>
          <w:sz w:val="24"/>
          <w:szCs w:val="24"/>
          <w:highlight w:val="none"/>
        </w:rPr>
        <w:t>及</w:t>
      </w:r>
      <w:r>
        <w:rPr>
          <w:rFonts w:hint="eastAsia" w:ascii="宋体" w:hAnsi="宋体" w:cs="宋体"/>
          <w:sz w:val="24"/>
          <w:szCs w:val="24"/>
          <w:highlight w:val="none"/>
          <w:lang w:val="en-US" w:eastAsia="zh-CN"/>
        </w:rPr>
        <w:t>配合处理</w:t>
      </w:r>
      <w:r>
        <w:rPr>
          <w:rFonts w:hint="eastAsia" w:ascii="宋体" w:hAnsi="宋体" w:eastAsia="宋体" w:cs="宋体"/>
          <w:sz w:val="24"/>
          <w:szCs w:val="24"/>
          <w:highlight w:val="none"/>
        </w:rPr>
        <w:t>突发事件</w:t>
      </w:r>
      <w:r>
        <w:rPr>
          <w:rFonts w:hint="eastAsia" w:ascii="宋体" w:hAnsi="宋体" w:cs="宋体"/>
          <w:sz w:val="24"/>
          <w:szCs w:val="24"/>
          <w:highlight w:val="none"/>
          <w:lang w:val="en-US" w:eastAsia="zh-CN"/>
        </w:rPr>
        <w:t>应急</w:t>
      </w:r>
      <w:r>
        <w:rPr>
          <w:rFonts w:hint="eastAsia" w:ascii="宋体" w:hAnsi="宋体" w:eastAsia="宋体" w:cs="宋体"/>
          <w:sz w:val="24"/>
          <w:szCs w:val="24"/>
          <w:highlight w:val="none"/>
        </w:rPr>
        <w:t>工作。</w:t>
      </w:r>
    </w:p>
    <w:p>
      <w:pPr>
        <w:keepNext w:val="0"/>
        <w:keepLines w:val="0"/>
        <w:pageBreakBefore w:val="0"/>
        <w:kinsoku/>
        <w:wordWrap/>
        <w:overflowPunct/>
        <w:topLinePunct w:val="0"/>
        <w:autoSpaceDE/>
        <w:autoSpaceDN/>
        <w:bidi w:val="0"/>
        <w:snapToGrid w:val="0"/>
        <w:spacing w:line="360" w:lineRule="auto"/>
        <w:ind w:left="1297" w:leftChars="168" w:hanging="944" w:hangingChars="392"/>
        <w:outlineLvl w:val="1"/>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供暖运行：</w:t>
      </w:r>
    </w:p>
    <w:p>
      <w:pPr>
        <w:keepNext w:val="0"/>
        <w:keepLines w:val="0"/>
        <w:pageBreakBefore w:val="0"/>
        <w:kinsoku/>
        <w:wordWrap/>
        <w:overflowPunct/>
        <w:topLinePunct w:val="0"/>
        <w:autoSpaceDE/>
        <w:autoSpaceDN/>
        <w:bidi w:val="0"/>
        <w:snapToGrid w:val="0"/>
        <w:spacing w:line="360" w:lineRule="auto"/>
        <w:ind w:left="1297" w:leftChars="168" w:hanging="944" w:hangingChars="392"/>
        <w:outlineLvl w:val="1"/>
        <w:rPr>
          <w:rFonts w:hint="eastAsia" w:ascii="宋体" w:hAnsi="宋体" w:eastAsia="宋体" w:cs="宋体"/>
          <w:sz w:val="24"/>
          <w:szCs w:val="24"/>
        </w:rPr>
      </w:pPr>
      <w:r>
        <w:rPr>
          <w:rFonts w:hint="eastAsia" w:ascii="宋体" w:hAnsi="宋体" w:eastAsia="宋体" w:cs="宋体"/>
          <w:b/>
          <w:sz w:val="24"/>
          <w:szCs w:val="24"/>
        </w:rPr>
        <w:t xml:space="preserve"> 1）供暖</w:t>
      </w:r>
      <w:r>
        <w:rPr>
          <w:rFonts w:hint="eastAsia" w:ascii="宋体" w:hAnsi="宋体" w:eastAsia="宋体" w:cs="宋体"/>
          <w:b/>
          <w:sz w:val="24"/>
          <w:szCs w:val="24"/>
          <w:lang w:val="en-US" w:eastAsia="zh-CN"/>
        </w:rPr>
        <w:t>区域</w:t>
      </w:r>
      <w:r>
        <w:rPr>
          <w:rFonts w:hint="eastAsia" w:ascii="宋体" w:hAnsi="宋体" w:eastAsia="宋体" w:cs="宋体"/>
          <w:b/>
          <w:sz w:val="24"/>
          <w:szCs w:val="24"/>
        </w:rPr>
        <w:t>：</w:t>
      </w:r>
      <w:r>
        <w:rPr>
          <w:rFonts w:hint="eastAsia" w:ascii="宋体" w:hAnsi="宋体" w:eastAsia="宋体" w:cs="宋体"/>
          <w:sz w:val="24"/>
          <w:szCs w:val="24"/>
          <w:lang w:val="en-US" w:eastAsia="zh-CN"/>
        </w:rPr>
        <w:t>龙泉禅寺、管理处办公楼</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val="0"/>
        <w:spacing w:line="360" w:lineRule="auto"/>
        <w:ind w:left="1297" w:leftChars="168" w:hanging="944" w:hangingChars="392"/>
        <w:outlineLvl w:val="1"/>
        <w:rPr>
          <w:rFonts w:hint="eastAsia" w:ascii="宋体" w:hAnsi="宋体" w:eastAsia="宋体" w:cs="宋体"/>
          <w:sz w:val="24"/>
          <w:szCs w:val="24"/>
        </w:rPr>
      </w:pPr>
      <w:r>
        <w:rPr>
          <w:rFonts w:hint="eastAsia" w:ascii="宋体" w:hAnsi="宋体" w:eastAsia="宋体" w:cs="宋体"/>
          <w:b/>
          <w:sz w:val="24"/>
          <w:szCs w:val="24"/>
        </w:rPr>
        <w:t xml:space="preserve"> 2）基本设施：</w:t>
      </w:r>
      <w:r>
        <w:rPr>
          <w:rFonts w:hint="eastAsia" w:ascii="宋体" w:hAnsi="宋体" w:eastAsia="宋体" w:cs="宋体"/>
          <w:sz w:val="24"/>
          <w:szCs w:val="24"/>
          <w:lang w:val="en-US" w:eastAsia="zh-CN"/>
        </w:rPr>
        <w:t>空气源热泵</w:t>
      </w:r>
      <w:r>
        <w:rPr>
          <w:rFonts w:hint="eastAsia" w:ascii="宋体" w:hAnsi="宋体" w:eastAsia="宋体" w:cs="宋体"/>
          <w:sz w:val="24"/>
          <w:szCs w:val="24"/>
        </w:rPr>
        <w:t>；</w:t>
      </w:r>
      <w:r>
        <w:rPr>
          <w:rFonts w:hint="eastAsia" w:ascii="宋体" w:hAnsi="宋体" w:eastAsia="宋体" w:cs="宋体"/>
          <w:sz w:val="24"/>
          <w:szCs w:val="24"/>
          <w:lang w:val="en-US" w:eastAsia="zh-CN"/>
        </w:rPr>
        <w:t>龙泉禅寺、管理处办公楼敷设</w:t>
      </w:r>
      <w:r>
        <w:rPr>
          <w:rFonts w:hint="eastAsia" w:ascii="宋体" w:hAnsi="宋体" w:eastAsia="宋体" w:cs="宋体"/>
          <w:sz w:val="24"/>
          <w:szCs w:val="24"/>
        </w:rPr>
        <w:t>管线系统。</w:t>
      </w:r>
    </w:p>
    <w:p>
      <w:pPr>
        <w:keepNext w:val="0"/>
        <w:keepLines w:val="0"/>
        <w:pageBreakBefore w:val="0"/>
        <w:kinsoku/>
        <w:wordWrap/>
        <w:overflowPunct/>
        <w:topLinePunct w:val="0"/>
        <w:autoSpaceDE/>
        <w:autoSpaceDN/>
        <w:bidi w:val="0"/>
        <w:snapToGrid w:val="0"/>
        <w:spacing w:line="360" w:lineRule="auto"/>
        <w:ind w:firstLine="482" w:firstLineChars="200"/>
        <w:outlineLvl w:val="1"/>
        <w:rPr>
          <w:rFonts w:hint="eastAsia" w:ascii="宋体" w:hAnsi="宋体" w:eastAsia="宋体" w:cs="宋体"/>
          <w:sz w:val="24"/>
          <w:szCs w:val="24"/>
        </w:rPr>
      </w:pPr>
      <w:r>
        <w:rPr>
          <w:rFonts w:hint="eastAsia" w:ascii="宋体" w:hAnsi="宋体" w:eastAsia="宋体" w:cs="宋体"/>
          <w:b/>
          <w:sz w:val="24"/>
          <w:szCs w:val="24"/>
        </w:rPr>
        <w:t>3）服务范围：</w:t>
      </w:r>
      <w:r>
        <w:rPr>
          <w:rFonts w:hint="eastAsia" w:ascii="宋体" w:hAnsi="宋体" w:eastAsia="宋体" w:cs="宋体"/>
          <w:sz w:val="24"/>
          <w:szCs w:val="24"/>
        </w:rPr>
        <w:t>供暖系统设备设施（包含外管线和供暖终端）的管理、运行、</w:t>
      </w:r>
      <w:r>
        <w:rPr>
          <w:rFonts w:hint="eastAsia" w:ascii="宋体" w:hAnsi="宋体" w:eastAsia="宋体" w:cs="宋体"/>
          <w:sz w:val="24"/>
          <w:szCs w:val="24"/>
          <w:lang w:val="en-US" w:eastAsia="zh-CN"/>
        </w:rPr>
        <w:t>小</w:t>
      </w:r>
      <w:r>
        <w:rPr>
          <w:rFonts w:hint="eastAsia" w:ascii="宋体" w:hAnsi="宋体" w:eastAsia="宋体" w:cs="宋体"/>
          <w:sz w:val="24"/>
          <w:szCs w:val="24"/>
        </w:rPr>
        <w:t>维修及突发事件应对等工作。</w:t>
      </w:r>
    </w:p>
    <w:p>
      <w:pPr>
        <w:keepNext w:val="0"/>
        <w:keepLines w:val="0"/>
        <w:pageBreakBefore w:val="0"/>
        <w:kinsoku/>
        <w:wordWrap/>
        <w:overflowPunct/>
        <w:topLinePunct w:val="0"/>
        <w:autoSpaceDE/>
        <w:autoSpaceDN/>
        <w:bidi w:val="0"/>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基础设施设备</w:t>
      </w:r>
      <w:r>
        <w:rPr>
          <w:rFonts w:hint="eastAsia" w:ascii="宋体" w:hAnsi="宋体" w:eastAsia="宋体" w:cs="宋体"/>
          <w:b/>
          <w:sz w:val="24"/>
          <w:szCs w:val="24"/>
          <w:lang w:val="en-US" w:eastAsia="zh-CN"/>
        </w:rPr>
        <w:t>小</w:t>
      </w:r>
      <w:r>
        <w:rPr>
          <w:rFonts w:hint="eastAsia" w:ascii="宋体" w:hAnsi="宋体" w:eastAsia="宋体" w:cs="宋体"/>
          <w:b/>
          <w:sz w:val="24"/>
          <w:szCs w:val="24"/>
        </w:rPr>
        <w:t>维修：</w:t>
      </w:r>
    </w:p>
    <w:p>
      <w:pPr>
        <w:keepNext w:val="0"/>
        <w:keepLines w:val="0"/>
        <w:pageBreakBefore w:val="0"/>
        <w:kinsoku/>
        <w:wordWrap/>
        <w:overflowPunct/>
        <w:topLinePunct w:val="0"/>
        <w:autoSpaceDE/>
        <w:autoSpaceDN/>
        <w:bidi w:val="0"/>
        <w:snapToGrid w:val="0"/>
        <w:spacing w:line="360" w:lineRule="auto"/>
        <w:ind w:firstLine="482" w:firstLineChars="200"/>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建筑</w:t>
      </w:r>
      <w:r>
        <w:rPr>
          <w:rFonts w:hint="eastAsia" w:ascii="宋体" w:hAnsi="宋体" w:eastAsia="宋体" w:cs="宋体"/>
          <w:b/>
          <w:sz w:val="24"/>
          <w:szCs w:val="24"/>
          <w:highlight w:val="none"/>
        </w:rPr>
        <w:t>面积：</w:t>
      </w:r>
      <w:r>
        <w:rPr>
          <w:rFonts w:hint="eastAsia" w:ascii="宋体" w:hAnsi="宋体" w:cs="宋体"/>
          <w:sz w:val="24"/>
          <w:szCs w:val="24"/>
          <w:highlight w:val="none"/>
          <w:lang w:val="en-US" w:eastAsia="zh-CN"/>
        </w:rPr>
        <w:t>约0.25</w:t>
      </w:r>
      <w:r>
        <w:rPr>
          <w:rFonts w:hint="eastAsia" w:ascii="宋体" w:hAnsi="宋体" w:eastAsia="宋体" w:cs="宋体"/>
          <w:sz w:val="24"/>
          <w:szCs w:val="24"/>
          <w:highlight w:val="none"/>
          <w:lang w:val="en-US" w:eastAsia="zh-CN"/>
        </w:rPr>
        <w:t>万</w:t>
      </w:r>
      <w:r>
        <w:rPr>
          <w:rFonts w:hint="eastAsia" w:ascii="宋体" w:hAnsi="宋体" w:eastAsia="宋体" w:cs="宋体"/>
          <w:sz w:val="24"/>
          <w:szCs w:val="24"/>
          <w:highlight w:val="none"/>
        </w:rPr>
        <w:t>平方米。</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sz w:val="24"/>
          <w:szCs w:val="24"/>
        </w:rPr>
      </w:pPr>
      <w:r>
        <w:rPr>
          <w:rFonts w:hint="eastAsia" w:ascii="宋体" w:hAnsi="宋体" w:eastAsia="宋体" w:cs="宋体"/>
          <w:b/>
          <w:sz w:val="24"/>
          <w:szCs w:val="24"/>
        </w:rPr>
        <w:t>2）基本设施：</w:t>
      </w:r>
      <w:r>
        <w:rPr>
          <w:rFonts w:hint="eastAsia" w:ascii="宋体" w:hAnsi="宋体" w:eastAsia="宋体" w:cs="宋体"/>
          <w:sz w:val="24"/>
          <w:szCs w:val="24"/>
        </w:rPr>
        <w:t>建筑物及基础设施完整、基本状况良好。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sz w:val="24"/>
          <w:szCs w:val="24"/>
        </w:rPr>
        <w:t>3）服务范围：</w:t>
      </w:r>
      <w:r>
        <w:rPr>
          <w:rFonts w:hint="eastAsia" w:ascii="宋体" w:hAnsi="宋体" w:eastAsia="宋体" w:cs="宋体"/>
          <w:sz w:val="24"/>
          <w:szCs w:val="24"/>
          <w:lang w:val="en-US" w:eastAsia="zh-CN"/>
        </w:rPr>
        <w:t>园区</w:t>
      </w:r>
      <w:r>
        <w:rPr>
          <w:rFonts w:hint="eastAsia" w:ascii="宋体" w:hAnsi="宋体" w:eastAsia="宋体" w:cs="宋体"/>
          <w:sz w:val="24"/>
          <w:szCs w:val="24"/>
        </w:rPr>
        <w:t>所有室内、外的基础设施设备（水、电、建筑本体设施设备）</w:t>
      </w:r>
      <w:r>
        <w:rPr>
          <w:rFonts w:hint="eastAsia" w:ascii="宋体" w:hAnsi="宋体" w:eastAsia="宋体" w:cs="宋体"/>
          <w:sz w:val="24"/>
          <w:szCs w:val="24"/>
          <w:lang w:val="en-US" w:eastAsia="zh-CN"/>
        </w:rPr>
        <w:t>中央</w:t>
      </w:r>
      <w:r>
        <w:rPr>
          <w:rFonts w:hint="eastAsia" w:ascii="宋体" w:hAnsi="宋体" w:eastAsia="宋体" w:cs="宋体"/>
          <w:sz w:val="24"/>
          <w:szCs w:val="24"/>
        </w:rPr>
        <w:t>空调系统、二次供水系统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监控系统、消防报警系统</w:t>
      </w:r>
      <w:r>
        <w:rPr>
          <w:rFonts w:hint="eastAsia" w:ascii="宋体" w:hAnsi="宋体" w:eastAsia="宋体" w:cs="宋体"/>
          <w:sz w:val="24"/>
          <w:szCs w:val="24"/>
        </w:rPr>
        <w:t>的日常管理、运行、保障、</w:t>
      </w:r>
      <w:r>
        <w:rPr>
          <w:rFonts w:hint="eastAsia" w:ascii="宋体" w:hAnsi="宋体" w:eastAsia="宋体" w:cs="宋体"/>
          <w:sz w:val="24"/>
          <w:szCs w:val="24"/>
          <w:lang w:val="en-US" w:eastAsia="zh-CN"/>
        </w:rPr>
        <w:t>保养、</w:t>
      </w:r>
      <w:r>
        <w:rPr>
          <w:rFonts w:hint="eastAsia" w:ascii="宋体" w:hAnsi="宋体" w:eastAsia="宋体" w:cs="宋体"/>
          <w:sz w:val="24"/>
          <w:szCs w:val="24"/>
          <w:highlight w:val="none"/>
        </w:rPr>
        <w:t>小型维修等工作，</w:t>
      </w:r>
      <w:r>
        <w:rPr>
          <w:rFonts w:hint="eastAsia" w:ascii="宋体" w:hAnsi="宋体" w:eastAsia="宋体" w:cs="宋体"/>
          <w:sz w:val="24"/>
          <w:szCs w:val="24"/>
          <w:highlight w:val="none"/>
          <w:shd w:val="clear"/>
        </w:rPr>
        <w:t>维修中发生的器件</w:t>
      </w:r>
      <w:r>
        <w:rPr>
          <w:rFonts w:hint="eastAsia" w:ascii="宋体" w:hAnsi="宋体" w:cs="宋体"/>
          <w:sz w:val="24"/>
          <w:szCs w:val="24"/>
          <w:highlight w:val="none"/>
          <w:lang w:val="en-US" w:eastAsia="zh-CN"/>
        </w:rPr>
        <w:t>材料</w:t>
      </w:r>
      <w:r>
        <w:rPr>
          <w:rFonts w:hint="eastAsia" w:ascii="宋体" w:hAnsi="宋体" w:eastAsia="宋体" w:cs="宋体"/>
          <w:sz w:val="24"/>
          <w:szCs w:val="24"/>
          <w:highlight w:val="none"/>
        </w:rPr>
        <w:t>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人工费等衍生费用</w:t>
      </w:r>
      <w:r>
        <w:rPr>
          <w:rFonts w:hint="eastAsia" w:ascii="宋体" w:hAnsi="宋体" w:eastAsia="宋体" w:cs="宋体"/>
          <w:sz w:val="24"/>
          <w:szCs w:val="24"/>
          <w:highlight w:val="none"/>
        </w:rPr>
        <w:t>由招标方负</w:t>
      </w:r>
      <w:r>
        <w:rPr>
          <w:rFonts w:hint="eastAsia" w:ascii="宋体" w:hAnsi="宋体" w:eastAsia="宋体" w:cs="宋体"/>
          <w:color w:val="auto"/>
          <w:sz w:val="24"/>
          <w:szCs w:val="24"/>
          <w:highlight w:val="none"/>
        </w:rPr>
        <w:t>责。</w:t>
      </w:r>
      <w:r>
        <w:rPr>
          <w:rFonts w:hint="eastAsia" w:ascii="宋体" w:hAnsi="宋体" w:eastAsia="宋体" w:cs="宋体"/>
          <w:color w:val="auto"/>
          <w:sz w:val="24"/>
          <w:szCs w:val="24"/>
          <w:highlight w:val="none"/>
          <w:lang w:val="en-US" w:eastAsia="zh-CN"/>
        </w:rPr>
        <w:t xml:space="preserve">上述所有设备设施于工程质保期内的保养和维修由招标方负责。  </w:t>
      </w:r>
    </w:p>
    <w:p>
      <w:pPr>
        <w:keepNext w:val="0"/>
        <w:keepLines w:val="0"/>
        <w:pageBreakBefore w:val="0"/>
        <w:numPr>
          <w:ilvl w:val="0"/>
          <w:numId w:val="12"/>
        </w:numPr>
        <w:tabs>
          <w:tab w:val="left" w:pos="1260"/>
        </w:tabs>
        <w:kinsoku/>
        <w:wordWrap/>
        <w:overflowPunct/>
        <w:topLinePunct w:val="0"/>
        <w:autoSpaceDE/>
        <w:autoSpaceDN/>
        <w:bidi w:val="0"/>
        <w:adjustRightInd/>
        <w:snapToGrid w:val="0"/>
        <w:spacing w:line="360" w:lineRule="auto"/>
        <w:ind w:left="1260" w:hanging="360"/>
        <w:jc w:val="both"/>
        <w:textAlignment w:val="auto"/>
        <w:rPr>
          <w:rFonts w:hint="eastAsia" w:ascii="宋体" w:hAnsi="宋体" w:eastAsia="宋体" w:cs="宋体"/>
          <w:sz w:val="24"/>
          <w:szCs w:val="24"/>
        </w:rPr>
      </w:pPr>
      <w:r>
        <w:rPr>
          <w:rFonts w:hint="eastAsia" w:ascii="宋体" w:hAnsi="宋体" w:eastAsia="宋体" w:cs="宋体"/>
          <w:sz w:val="24"/>
          <w:szCs w:val="24"/>
        </w:rPr>
        <w:t>特殊天气、水、电、气、暖、火警等设备设施等突发事件的临时抢修。</w:t>
      </w:r>
    </w:p>
    <w:p>
      <w:pPr>
        <w:keepNext w:val="0"/>
        <w:keepLines w:val="0"/>
        <w:pageBreakBefore w:val="0"/>
        <w:numPr>
          <w:ilvl w:val="0"/>
          <w:numId w:val="15"/>
        </w:numPr>
        <w:kinsoku/>
        <w:wordWrap/>
        <w:overflowPunct/>
        <w:topLinePunct w:val="0"/>
        <w:autoSpaceDE/>
        <w:autoSpaceDN/>
        <w:bidi w:val="0"/>
        <w:adjustRightInd/>
        <w:snapToGrid w:val="0"/>
        <w:spacing w:line="360" w:lineRule="auto"/>
        <w:jc w:val="both"/>
        <w:textAlignment w:val="auto"/>
        <w:outlineLvl w:val="1"/>
        <w:rPr>
          <w:rFonts w:hint="eastAsia"/>
        </w:rPr>
      </w:pPr>
      <w:r>
        <w:rPr>
          <w:rFonts w:hint="eastAsia" w:ascii="宋体" w:hAnsi="宋体" w:eastAsia="宋体" w:cs="宋体"/>
          <w:sz w:val="24"/>
          <w:szCs w:val="24"/>
        </w:rPr>
        <w:t>参观、会议等大型活动的临时性的工作保障。</w:t>
      </w:r>
    </w:p>
    <w:p>
      <w:pPr>
        <w:keepNext w:val="0"/>
        <w:keepLines w:val="0"/>
        <w:pageBreakBefore w:val="0"/>
        <w:kinsoku/>
        <w:wordWrap/>
        <w:overflowPunct/>
        <w:topLinePunct w:val="0"/>
        <w:autoSpaceDE/>
        <w:autoSpaceDN/>
        <w:bidi w:val="0"/>
        <w:snapToGrid w:val="0"/>
        <w:spacing w:line="360" w:lineRule="auto"/>
        <w:ind w:firstLine="482" w:firstLineChars="200"/>
        <w:outlineLvl w:val="1"/>
        <w:rPr>
          <w:rFonts w:hint="eastAsia" w:ascii="宋体" w:hAnsi="宋体" w:eastAsia="宋体" w:cs="宋体"/>
          <w:sz w:val="24"/>
          <w:szCs w:val="24"/>
        </w:rPr>
      </w:pPr>
      <w:r>
        <w:rPr>
          <w:rFonts w:hint="eastAsia" w:ascii="宋体" w:hAnsi="宋体" w:eastAsia="宋体" w:cs="宋体"/>
          <w:b/>
          <w:sz w:val="24"/>
          <w:szCs w:val="24"/>
          <w:lang w:val="en-US" w:eastAsia="zh-CN"/>
        </w:rPr>
        <w:t>（9）展厅多媒体展陈</w:t>
      </w:r>
      <w:r>
        <w:rPr>
          <w:rFonts w:hint="eastAsia" w:ascii="宋体" w:hAnsi="宋体" w:eastAsia="宋体" w:cs="宋体"/>
          <w:b/>
          <w:sz w:val="24"/>
          <w:szCs w:val="24"/>
        </w:rPr>
        <w:t>设施管理运行：</w:t>
      </w:r>
    </w:p>
    <w:p>
      <w:pPr>
        <w:keepNext w:val="0"/>
        <w:keepLines w:val="0"/>
        <w:pageBreakBefore w:val="0"/>
        <w:kinsoku/>
        <w:wordWrap/>
        <w:overflowPunct/>
        <w:topLinePunct w:val="0"/>
        <w:autoSpaceDE/>
        <w:autoSpaceDN/>
        <w:bidi w:val="0"/>
        <w:snapToGrid w:val="0"/>
        <w:spacing w:line="360" w:lineRule="auto"/>
        <w:ind w:firstLine="482" w:firstLineChars="200"/>
        <w:outlineLvl w:val="1"/>
        <w:rPr>
          <w:rFonts w:hint="eastAsia" w:ascii="宋体" w:hAnsi="宋体" w:eastAsia="宋体" w:cs="宋体"/>
          <w:sz w:val="24"/>
          <w:szCs w:val="24"/>
        </w:rPr>
      </w:pPr>
      <w:r>
        <w:rPr>
          <w:rFonts w:hint="eastAsia" w:ascii="宋体" w:hAnsi="宋体" w:eastAsia="宋体" w:cs="宋体"/>
          <w:b/>
          <w:sz w:val="24"/>
          <w:szCs w:val="24"/>
        </w:rPr>
        <w:t>1）基本设施：</w:t>
      </w:r>
      <w:r>
        <w:rPr>
          <w:rFonts w:hint="eastAsia" w:ascii="宋体" w:hAnsi="宋体" w:eastAsia="宋体" w:cs="宋体"/>
          <w:sz w:val="24"/>
          <w:szCs w:val="24"/>
          <w:lang w:val="en-US" w:eastAsia="zh-CN"/>
        </w:rPr>
        <w:t>龙泉禅寺内展厅4</w:t>
      </w:r>
      <w:r>
        <w:rPr>
          <w:rFonts w:hint="eastAsia" w:ascii="宋体" w:hAnsi="宋体" w:eastAsia="宋体" w:cs="宋体"/>
          <w:sz w:val="24"/>
          <w:szCs w:val="24"/>
        </w:rPr>
        <w:t>个。</w:t>
      </w:r>
    </w:p>
    <w:p>
      <w:pPr>
        <w:keepNext w:val="0"/>
        <w:keepLines w:val="0"/>
        <w:pageBreakBefore w:val="0"/>
        <w:numPr>
          <w:ilvl w:val="0"/>
          <w:numId w:val="16"/>
        </w:numPr>
        <w:tabs>
          <w:tab w:val="left" w:pos="1080"/>
        </w:tabs>
        <w:kinsoku/>
        <w:wordWrap/>
        <w:overflowPunct/>
        <w:topLinePunct w:val="0"/>
        <w:autoSpaceDE/>
        <w:autoSpaceDN/>
        <w:bidi w:val="0"/>
        <w:adjustRightInd/>
        <w:snapToGrid w:val="0"/>
        <w:spacing w:line="360" w:lineRule="auto"/>
        <w:ind w:left="1080" w:hanging="225"/>
        <w:jc w:val="both"/>
        <w:textAlignment w:val="auto"/>
        <w:outlineLvl w:val="1"/>
        <w:rPr>
          <w:rFonts w:hint="eastAsia" w:ascii="宋体" w:hAnsi="宋体" w:eastAsia="宋体" w:cs="宋体"/>
          <w:sz w:val="24"/>
          <w:szCs w:val="24"/>
        </w:rPr>
      </w:pPr>
      <w:r>
        <w:rPr>
          <w:rFonts w:hint="eastAsia" w:ascii="宋体" w:hAnsi="宋体" w:eastAsia="宋体" w:cs="宋体"/>
          <w:sz w:val="24"/>
          <w:szCs w:val="24"/>
        </w:rPr>
        <w:t>每个</w:t>
      </w:r>
      <w:r>
        <w:rPr>
          <w:rFonts w:hint="eastAsia" w:ascii="宋体" w:hAnsi="宋体" w:eastAsia="宋体" w:cs="宋体"/>
          <w:sz w:val="24"/>
          <w:szCs w:val="24"/>
          <w:lang w:val="en-US" w:eastAsia="zh-CN"/>
        </w:rPr>
        <w:t>展厅内多媒体展陈设施的管理</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val="0"/>
        <w:spacing w:line="360" w:lineRule="auto"/>
        <w:ind w:firstLine="482" w:firstLineChars="200"/>
        <w:outlineLvl w:val="1"/>
        <w:rPr>
          <w:rFonts w:hint="eastAsia" w:ascii="宋体" w:hAnsi="宋体" w:eastAsia="宋体" w:cs="宋体"/>
          <w:sz w:val="24"/>
          <w:szCs w:val="24"/>
        </w:rPr>
      </w:pPr>
      <w:r>
        <w:rPr>
          <w:rFonts w:hint="eastAsia" w:ascii="宋体" w:hAnsi="宋体" w:eastAsia="宋体" w:cs="宋体"/>
          <w:b/>
          <w:sz w:val="24"/>
          <w:szCs w:val="24"/>
        </w:rPr>
        <w:t>2）服务范围：</w:t>
      </w:r>
      <w:r>
        <w:rPr>
          <w:rFonts w:hint="eastAsia" w:ascii="宋体" w:hAnsi="宋体" w:eastAsia="宋体" w:cs="宋体"/>
          <w:sz w:val="24"/>
          <w:szCs w:val="24"/>
        </w:rPr>
        <w:t>日常管理，</w:t>
      </w:r>
      <w:r>
        <w:rPr>
          <w:rFonts w:hint="eastAsia" w:ascii="宋体" w:hAnsi="宋体" w:eastAsia="宋体" w:cs="宋体"/>
          <w:sz w:val="24"/>
          <w:szCs w:val="24"/>
          <w:lang w:val="en-US" w:eastAsia="zh-CN"/>
        </w:rPr>
        <w:t>参观</w:t>
      </w:r>
      <w:r>
        <w:rPr>
          <w:rFonts w:hint="eastAsia" w:ascii="宋体" w:hAnsi="宋体" w:eastAsia="宋体" w:cs="宋体"/>
          <w:sz w:val="24"/>
          <w:szCs w:val="24"/>
        </w:rPr>
        <w:t>、各种活动的服务保障工作。</w:t>
      </w:r>
    </w:p>
    <w:p>
      <w:pPr>
        <w:keepNext w:val="0"/>
        <w:keepLines w:val="0"/>
        <w:pageBreakBefore w:val="0"/>
        <w:numPr>
          <w:ilvl w:val="0"/>
          <w:numId w:val="17"/>
        </w:numPr>
        <w:tabs>
          <w:tab w:val="left" w:pos="1080"/>
        </w:tabs>
        <w:kinsoku/>
        <w:wordWrap/>
        <w:overflowPunct/>
        <w:topLinePunct w:val="0"/>
        <w:autoSpaceDE/>
        <w:autoSpaceDN/>
        <w:bidi w:val="0"/>
        <w:adjustRightInd/>
        <w:snapToGrid w:val="0"/>
        <w:spacing w:line="360" w:lineRule="auto"/>
        <w:jc w:val="both"/>
        <w:textAlignment w:val="auto"/>
        <w:outlineLvl w:val="1"/>
        <w:rPr>
          <w:rFonts w:hint="eastAsia" w:ascii="宋体" w:hAnsi="宋体" w:eastAsia="宋体" w:cs="宋体"/>
          <w:sz w:val="24"/>
          <w:szCs w:val="24"/>
        </w:rPr>
      </w:pPr>
      <w:r>
        <w:rPr>
          <w:rFonts w:hint="eastAsia" w:ascii="宋体" w:hAnsi="宋体" w:eastAsia="宋体" w:cs="宋体"/>
          <w:sz w:val="24"/>
          <w:szCs w:val="24"/>
        </w:rPr>
        <w:t>设备设施的</w:t>
      </w:r>
      <w:r>
        <w:rPr>
          <w:rFonts w:hint="eastAsia" w:ascii="宋体" w:hAnsi="宋体" w:eastAsia="宋体" w:cs="宋体"/>
          <w:sz w:val="24"/>
          <w:szCs w:val="24"/>
          <w:lang w:val="en-US" w:eastAsia="zh-CN"/>
        </w:rPr>
        <w:t>外表面</w:t>
      </w:r>
      <w:r>
        <w:rPr>
          <w:rFonts w:hint="eastAsia" w:ascii="宋体" w:hAnsi="宋体" w:eastAsia="宋体" w:cs="宋体"/>
          <w:sz w:val="24"/>
          <w:szCs w:val="24"/>
        </w:rPr>
        <w:t>清洁工作。</w:t>
      </w:r>
    </w:p>
    <w:p>
      <w:pPr>
        <w:keepNext w:val="0"/>
        <w:keepLines w:val="0"/>
        <w:pageBreakBefore w:val="0"/>
        <w:numPr>
          <w:ilvl w:val="0"/>
          <w:numId w:val="17"/>
        </w:numPr>
        <w:tabs>
          <w:tab w:val="left" w:pos="1080"/>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参观、会议等大型活动的临时性的工作保障。</w:t>
      </w:r>
    </w:p>
    <w:p>
      <w:pPr>
        <w:keepNext w:val="0"/>
        <w:keepLines w:val="0"/>
        <w:pageBreakBefore w:val="0"/>
        <w:kinsoku/>
        <w:wordWrap/>
        <w:overflowPunct/>
        <w:topLinePunct w:val="0"/>
        <w:autoSpaceDE/>
        <w:autoSpaceDN/>
        <w:bidi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验收服务要求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物业服务内容、实施方案、服务标准</w:t>
      </w:r>
      <w:r>
        <w:rPr>
          <w:rFonts w:hint="eastAsia" w:ascii="宋体" w:hAnsi="宋体" w:eastAsia="宋体" w:cs="宋体"/>
          <w:sz w:val="24"/>
          <w:szCs w:val="24"/>
          <w:highlight w:val="none"/>
          <w:lang w:val="en-US" w:eastAsia="zh-CN"/>
        </w:rPr>
        <w:t>达按招标文件中的采购需求第“</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val="en-US" w:eastAsia="zh-CN"/>
        </w:rPr>
        <w:t>、技术要求”的“2、作业内容及标准”，“3、服务内容及要求”执行。</w:t>
      </w:r>
    </w:p>
    <w:p>
      <w:pPr>
        <w:spacing w:line="360" w:lineRule="auto"/>
        <w:jc w:val="center"/>
        <w:rPr>
          <w:rFonts w:hint="eastAsia" w:ascii="宋体" w:hAnsi="宋体"/>
          <w:b/>
          <w:sz w:val="30"/>
          <w:szCs w:val="30"/>
        </w:rPr>
      </w:pPr>
    </w:p>
    <w:p>
      <w:pPr>
        <w:spacing w:line="360" w:lineRule="auto"/>
        <w:jc w:val="center"/>
        <w:rPr>
          <w:rFonts w:hint="eastAsia" w:ascii="宋体" w:hAnsi="宋体"/>
          <w:b/>
          <w:sz w:val="30"/>
          <w:szCs w:val="30"/>
        </w:rPr>
      </w:pPr>
    </w:p>
    <w:p>
      <w:pPr>
        <w:spacing w:line="360" w:lineRule="auto"/>
        <w:jc w:val="center"/>
        <w:rPr>
          <w:rFonts w:ascii="Calibri" w:hAnsi="Calibri"/>
          <w:b/>
          <w:sz w:val="30"/>
          <w:szCs w:val="30"/>
        </w:rPr>
      </w:pPr>
      <w:r>
        <w:rPr>
          <w:rFonts w:hint="eastAsia" w:ascii="宋体" w:hAnsi="宋体"/>
          <w:b/>
          <w:sz w:val="30"/>
          <w:szCs w:val="30"/>
        </w:rPr>
        <w:t xml:space="preserve">第二部分 </w:t>
      </w:r>
      <w:r>
        <w:rPr>
          <w:rFonts w:hint="eastAsia" w:ascii="Calibri" w:hAnsi="Calibri"/>
          <w:b/>
          <w:sz w:val="30"/>
          <w:szCs w:val="30"/>
        </w:rPr>
        <w:t>其他要求</w:t>
      </w:r>
    </w:p>
    <w:p>
      <w:pPr>
        <w:spacing w:line="240" w:lineRule="auto"/>
        <w:ind w:firstLine="482" w:firstLineChars="200"/>
        <w:rPr>
          <w:rFonts w:hint="eastAsia" w:asciiTheme="minorEastAsia" w:hAnsiTheme="minorEastAsia" w:eastAsiaTheme="minorEastAsia" w:cstheme="minorEastAsia"/>
          <w:b/>
          <w:bCs w:val="0"/>
          <w:color w:val="auto"/>
          <w:sz w:val="24"/>
          <w:szCs w:val="24"/>
        </w:rPr>
      </w:pPr>
    </w:p>
    <w:p>
      <w:pPr>
        <w:spacing w:line="240" w:lineRule="auto"/>
        <w:ind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1、服务期限、服务范围、服务要求。</w:t>
      </w:r>
    </w:p>
    <w:p>
      <w:pPr>
        <w:spacing w:line="24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（1）服务期限：</w:t>
      </w:r>
      <w:r>
        <w:rPr>
          <w:rFonts w:hint="eastAsia" w:ascii="宋体" w:hAnsi="宋体" w:cs="宋体"/>
          <w:kern w:val="2"/>
          <w:sz w:val="24"/>
          <w:szCs w:val="24"/>
          <w:lang w:val="en-US" w:eastAsia="zh-CN"/>
        </w:rPr>
        <w:t>2024年5月</w:t>
      </w:r>
      <w:r>
        <w:rPr>
          <w:rFonts w:hint="eastAsia" w:ascii="宋体" w:hAnsi="宋体" w:cs="宋体"/>
          <w:kern w:val="2"/>
          <w:sz w:val="24"/>
          <w:szCs w:val="24"/>
          <w:lang w:eastAsia="zh-CN"/>
        </w:rPr>
        <w:t>起至</w:t>
      </w:r>
      <w:r>
        <w:rPr>
          <w:rFonts w:hint="eastAsia" w:ascii="宋体" w:hAnsi="宋体" w:cs="宋体"/>
          <w:kern w:val="2"/>
          <w:sz w:val="24"/>
          <w:szCs w:val="24"/>
          <w:highlight w:val="none"/>
          <w:lang w:val="en-US" w:eastAsia="zh-CN"/>
        </w:rPr>
        <w:t>2024年12月</w:t>
      </w:r>
    </w:p>
    <w:p>
      <w:pPr>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（2）服务范围：按照本</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文件规定执行。</w:t>
      </w:r>
    </w:p>
    <w:p>
      <w:pPr>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（3）服务要求：</w:t>
      </w:r>
      <w:r>
        <w:rPr>
          <w:rFonts w:hint="eastAsia" w:asciiTheme="minorEastAsia" w:hAnsiTheme="minorEastAsia" w:eastAsiaTheme="minorEastAsia" w:cstheme="minorEastAsia"/>
          <w:color w:val="auto"/>
          <w:sz w:val="24"/>
          <w:szCs w:val="24"/>
          <w:lang w:eastAsia="zh-CN"/>
        </w:rPr>
        <w:t>按照甲方具体要求提供物业综合服务。</w:t>
      </w:r>
    </w:p>
    <w:p>
      <w:pPr>
        <w:pStyle w:val="22"/>
      </w:pPr>
    </w:p>
    <w:p>
      <w:pPr>
        <w:pStyle w:val="22"/>
        <w:spacing w:line="360" w:lineRule="auto"/>
        <w:rPr>
          <w:rFonts w:asciiTheme="minorEastAsia" w:hAnsiTheme="minorEastAsia" w:eastAsiaTheme="minorEastAsia" w:cstheme="minorEastAsia"/>
          <w:b/>
          <w:bCs/>
          <w:color w:val="C00000"/>
          <w:szCs w:val="21"/>
          <w:highlight w:val="none"/>
        </w:rPr>
      </w:pPr>
      <w:r>
        <w:rPr>
          <w:rFonts w:hint="eastAsia" w:ascii="宋体" w:hAnsi="宋体" w:cs="宋体"/>
          <w:b/>
          <w:bCs/>
          <w:szCs w:val="21"/>
          <w:highlight w:val="none"/>
        </w:rPr>
        <w:t xml:space="preserve">  </w:t>
      </w:r>
      <w:r>
        <w:rPr>
          <w:rFonts w:hint="eastAsia" w:ascii="宋体" w:hAnsi="宋体" w:cs="宋体"/>
          <w:b/>
          <w:bCs/>
          <w:color w:val="000000"/>
          <w:szCs w:val="21"/>
          <w:highlight w:val="none"/>
        </w:rPr>
        <w:t xml:space="preserve"> </w:t>
      </w:r>
      <w:r>
        <w:rPr>
          <w:rFonts w:hint="eastAsia" w:asciiTheme="minorEastAsia" w:hAnsiTheme="minorEastAsia" w:eastAsiaTheme="minorEastAsia" w:cstheme="minorEastAsia"/>
          <w:b/>
          <w:bCs w:val="0"/>
          <w:color w:val="auto"/>
          <w:kern w:val="2"/>
          <w:sz w:val="24"/>
          <w:szCs w:val="24"/>
          <w:lang w:val="en-US" w:eastAsia="zh-CN" w:bidi="ar-SA"/>
        </w:rPr>
        <w:t xml:space="preserve"> 2、付款方式： </w:t>
      </w:r>
    </w:p>
    <w:p>
      <w:pPr>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1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甲方在乙方按照甲方要求履行合同且无任何违约行为的基础上，</w:t>
      </w:r>
      <w:r>
        <w:rPr>
          <w:rFonts w:hint="eastAsia" w:asciiTheme="minorEastAsia" w:hAnsiTheme="minorEastAsia" w:eastAsiaTheme="minorEastAsia" w:cstheme="minorEastAsia"/>
          <w:color w:val="auto"/>
          <w:sz w:val="24"/>
          <w:szCs w:val="24"/>
          <w:lang w:eastAsia="zh-CN"/>
        </w:rPr>
        <w:t>拟</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sz w:val="24"/>
          <w:szCs w:val="24"/>
          <w:lang w:eastAsia="zh-CN"/>
        </w:rPr>
        <w:t>季</w:t>
      </w:r>
      <w:r>
        <w:rPr>
          <w:rFonts w:hint="eastAsia" w:asciiTheme="minorEastAsia" w:hAnsiTheme="minorEastAsia" w:eastAsiaTheme="minorEastAsia" w:cstheme="minorEastAsia"/>
          <w:color w:val="auto"/>
          <w:sz w:val="24"/>
          <w:szCs w:val="24"/>
        </w:rPr>
        <w:t>支付给乙方服务费用金额</w:t>
      </w:r>
      <w:r>
        <w:rPr>
          <w:rFonts w:hint="eastAsia" w:asciiTheme="minorEastAsia" w:hAnsiTheme="minorEastAsia" w:eastAsiaTheme="minorEastAsia" w:cstheme="minorEastAsia"/>
          <w:color w:val="auto"/>
          <w:sz w:val="24"/>
          <w:szCs w:val="24"/>
          <w:lang w:eastAsia="zh-CN"/>
        </w:rPr>
        <w:t>，最终在签订合同时与成交人协商确定</w:t>
      </w:r>
      <w:r>
        <w:rPr>
          <w:rFonts w:hint="eastAsia" w:asciiTheme="minorEastAsia" w:hAnsiTheme="minorEastAsia" w:eastAsiaTheme="minorEastAsia" w:cstheme="minorEastAsia"/>
          <w:color w:val="auto"/>
          <w:sz w:val="24"/>
          <w:szCs w:val="24"/>
        </w:rPr>
        <w:t>；</w:t>
      </w:r>
    </w:p>
    <w:p>
      <w:pPr>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2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甲方应当自收到发票和其他有关票据之日起15日内将资金支付到合同约定的乙方账户，不得以机构变动、人员更替、政策调整等为由延迟付款，不得将采购文件和合同中未规定的义务作为向乙方付款的条件。但非甲方原因引起的延迟付款，甲方不承担违约责任。</w:t>
      </w:r>
    </w:p>
    <w:p>
      <w:pPr>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360" w:lineRule="auto"/>
        <w:jc w:val="center"/>
        <w:outlineLvl w:val="0"/>
        <w:rPr>
          <w:b/>
          <w:sz w:val="36"/>
          <w:szCs w:val="36"/>
        </w:rPr>
      </w:pPr>
      <w:bookmarkStart w:id="810" w:name="_Toc99301425"/>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ind w:firstLine="2168" w:firstLineChars="600"/>
        <w:jc w:val="both"/>
        <w:outlineLvl w:val="0"/>
        <w:rPr>
          <w:b/>
          <w:sz w:val="36"/>
          <w:szCs w:val="36"/>
        </w:rPr>
      </w:pPr>
      <w:r>
        <w:rPr>
          <w:b/>
          <w:sz w:val="36"/>
          <w:szCs w:val="36"/>
        </w:rPr>
        <w:t>第六章   拟签订的合同文本</w:t>
      </w:r>
      <w:bookmarkEnd w:id="810"/>
    </w:p>
    <w:p>
      <w:pPr>
        <w:tabs>
          <w:tab w:val="left" w:pos="900"/>
          <w:tab w:val="left" w:pos="1080"/>
        </w:tabs>
        <w:snapToGrid w:val="0"/>
        <w:spacing w:line="360" w:lineRule="auto"/>
        <w:rPr>
          <w:kern w:val="0"/>
          <w:sz w:val="18"/>
          <w:szCs w:val="18"/>
        </w:rPr>
      </w:pPr>
    </w:p>
    <w:p>
      <w:pPr>
        <w:tabs>
          <w:tab w:val="left" w:pos="900"/>
          <w:tab w:val="left" w:pos="1080"/>
        </w:tabs>
        <w:snapToGrid w:val="0"/>
        <w:spacing w:line="360" w:lineRule="auto"/>
        <w:rPr>
          <w:kern w:val="0"/>
          <w:sz w:val="18"/>
          <w:szCs w:val="18"/>
        </w:rPr>
      </w:pPr>
    </w:p>
    <w:p>
      <w:pPr>
        <w:ind w:firstLine="3855" w:firstLineChars="1600"/>
        <w:jc w:val="both"/>
        <w:rPr>
          <w:rFonts w:hint="eastAsia" w:ascii="宋体" w:hAnsi="宋体"/>
          <w:b/>
          <w:sz w:val="24"/>
          <w:szCs w:val="24"/>
        </w:rPr>
      </w:pPr>
      <w:r>
        <w:rPr>
          <w:rFonts w:hint="eastAsia" w:ascii="宋体" w:hAnsi="宋体"/>
          <w:b/>
          <w:sz w:val="24"/>
          <w:szCs w:val="24"/>
        </w:rPr>
        <w:t>政府采购合同书</w:t>
      </w:r>
    </w:p>
    <w:p>
      <w:pPr>
        <w:jc w:val="center"/>
        <w:rPr>
          <w:rFonts w:hint="eastAsia" w:ascii="宋体" w:hAnsi="宋体"/>
          <w:b/>
          <w:sz w:val="24"/>
          <w:szCs w:val="24"/>
          <w:lang w:val="en-US" w:eastAsia="zh-CN"/>
        </w:rPr>
      </w:pPr>
    </w:p>
    <w:p>
      <w:pPr>
        <w:jc w:val="center"/>
        <w:rPr>
          <w:rFonts w:hint="default" w:ascii="宋体" w:hAnsi="宋体"/>
          <w:b/>
          <w:sz w:val="24"/>
          <w:szCs w:val="24"/>
          <w:lang w:val="en-US" w:eastAsia="zh-CN"/>
        </w:rPr>
      </w:pPr>
      <w:r>
        <w:rPr>
          <w:rFonts w:hint="eastAsia" w:ascii="宋体" w:hAnsi="宋体"/>
          <w:b/>
          <w:sz w:val="24"/>
          <w:szCs w:val="24"/>
          <w:lang w:val="en-US" w:eastAsia="zh-CN"/>
        </w:rPr>
        <w:t>(本合同为中小企业预留合同)</w:t>
      </w:r>
    </w:p>
    <w:p>
      <w:pPr>
        <w:jc w:val="center"/>
        <w:rPr>
          <w:rFonts w:ascii="宋体" w:hAnsi="宋体"/>
          <w:sz w:val="24"/>
          <w:szCs w:val="24"/>
        </w:rPr>
      </w:pPr>
    </w:p>
    <w:p>
      <w:pPr>
        <w:jc w:val="center"/>
        <w:rPr>
          <w:rFonts w:ascii="宋体" w:hAnsi="宋体"/>
          <w:b/>
          <w:sz w:val="24"/>
          <w:szCs w:val="24"/>
        </w:rPr>
      </w:pPr>
      <w:r>
        <w:rPr>
          <w:rFonts w:hint="eastAsia" w:ascii="宋体" w:hAnsi="宋体"/>
          <w:b/>
          <w:sz w:val="24"/>
          <w:szCs w:val="24"/>
        </w:rPr>
        <w:t xml:space="preserve">                            </w:t>
      </w:r>
    </w:p>
    <w:p>
      <w:pPr>
        <w:rPr>
          <w:rFonts w:hint="eastAsia" w:ascii="宋体" w:hAnsi="宋体"/>
          <w:b/>
          <w:sz w:val="24"/>
          <w:szCs w:val="24"/>
        </w:rPr>
      </w:pPr>
    </w:p>
    <w:p>
      <w:pPr>
        <w:rPr>
          <w:rFonts w:hint="eastAsia" w:ascii="宋体" w:hAnsi="宋体"/>
          <w:b/>
          <w:sz w:val="24"/>
          <w:szCs w:val="24"/>
          <w:lang w:val="en-US" w:eastAsia="zh-CN"/>
        </w:rPr>
      </w:pPr>
      <w:r>
        <w:rPr>
          <w:rFonts w:hint="eastAsia" w:ascii="宋体" w:hAnsi="宋体"/>
          <w:b/>
          <w:sz w:val="24"/>
          <w:szCs w:val="24"/>
        </w:rPr>
        <w:t>项目名称：大运河白浮泉遗址运维保障项目--2024年物业管理服务</w:t>
      </w:r>
    </w:p>
    <w:p>
      <w:pPr>
        <w:rPr>
          <w:rFonts w:hint="eastAsia" w:ascii="宋体" w:hAnsi="宋体"/>
          <w:b/>
          <w:sz w:val="24"/>
          <w:szCs w:val="24"/>
          <w:lang w:val="en-US" w:eastAsia="zh-CN"/>
        </w:rPr>
      </w:pPr>
      <w:r>
        <w:rPr>
          <w:rFonts w:hint="eastAsia" w:ascii="宋体" w:hAnsi="宋体"/>
          <w:b/>
          <w:sz w:val="24"/>
          <w:szCs w:val="24"/>
        </w:rPr>
        <w:t>项目编号：</w:t>
      </w:r>
      <w:r>
        <w:rPr>
          <w:rFonts w:hint="eastAsia" w:ascii="宋体" w:hAnsi="宋体"/>
          <w:b/>
          <w:sz w:val="24"/>
          <w:szCs w:val="24"/>
          <w:lang w:val="en-US" w:eastAsia="zh-CN"/>
        </w:rPr>
        <w:fldChar w:fldCharType="begin"/>
      </w:r>
      <w:r>
        <w:rPr>
          <w:rFonts w:hint="eastAsia" w:ascii="宋体" w:hAnsi="宋体"/>
          <w:b/>
          <w:sz w:val="24"/>
          <w:szCs w:val="24"/>
          <w:lang w:val="en-US" w:eastAsia="zh-CN"/>
        </w:rPr>
        <w:instrText xml:space="preserve"> HYPERLINK "http://219.232.204.193:8080/frontend/plan/project_detail.html?projectUuid=0c005224-0b2e-4592-a4b0-fbc94ce41976" </w:instrText>
      </w:r>
      <w:r>
        <w:rPr>
          <w:rFonts w:hint="eastAsia" w:ascii="宋体" w:hAnsi="宋体"/>
          <w:b/>
          <w:sz w:val="24"/>
          <w:szCs w:val="24"/>
          <w:lang w:val="en-US" w:eastAsia="zh-CN"/>
        </w:rPr>
        <w:fldChar w:fldCharType="separate"/>
      </w:r>
      <w:r>
        <w:rPr>
          <w:rFonts w:hint="eastAsia" w:ascii="宋体" w:hAnsi="宋体"/>
          <w:b/>
          <w:sz w:val="24"/>
          <w:szCs w:val="24"/>
          <w:lang w:val="en-US" w:eastAsia="zh-CN"/>
        </w:rPr>
        <w:t>11011424210200013242-XM001</w:t>
      </w:r>
      <w:r>
        <w:rPr>
          <w:rFonts w:hint="eastAsia" w:ascii="宋体" w:hAnsi="宋体"/>
          <w:b/>
          <w:sz w:val="24"/>
          <w:szCs w:val="24"/>
          <w:lang w:val="en-US" w:eastAsia="zh-CN"/>
        </w:rPr>
        <w:fldChar w:fldCharType="end"/>
      </w:r>
    </w:p>
    <w:p>
      <w:pPr>
        <w:rPr>
          <w:rFonts w:ascii="宋体" w:hAnsi="宋体"/>
          <w:b/>
          <w:sz w:val="24"/>
          <w:szCs w:val="24"/>
        </w:rPr>
      </w:pPr>
      <w:r>
        <w:rPr>
          <w:rFonts w:hint="eastAsia" w:ascii="宋体" w:hAnsi="宋体"/>
          <w:b/>
          <w:sz w:val="24"/>
          <w:szCs w:val="24"/>
        </w:rPr>
        <w:t>合同编号：</w:t>
      </w:r>
    </w:p>
    <w:p>
      <w:pPr>
        <w:rPr>
          <w:rFonts w:ascii="宋体" w:hAnsi="宋体"/>
          <w:b/>
          <w:sz w:val="24"/>
          <w:szCs w:val="24"/>
        </w:rPr>
      </w:pPr>
    </w:p>
    <w:p>
      <w:pPr>
        <w:pStyle w:val="2"/>
        <w:rPr>
          <w:rFonts w:ascii="宋体" w:hAnsi="宋体"/>
          <w:b/>
          <w:sz w:val="24"/>
          <w:szCs w:val="24"/>
        </w:rPr>
      </w:pPr>
    </w:p>
    <w:p>
      <w:pPr>
        <w:pStyle w:val="2"/>
        <w:rPr>
          <w:rFonts w:ascii="宋体" w:hAnsi="宋体"/>
          <w:b/>
          <w:sz w:val="24"/>
          <w:szCs w:val="24"/>
        </w:rPr>
      </w:pPr>
    </w:p>
    <w:p>
      <w:pPr>
        <w:pStyle w:val="2"/>
        <w:rPr>
          <w:rFonts w:ascii="宋体" w:hAnsi="宋体"/>
          <w:b/>
          <w:sz w:val="24"/>
          <w:szCs w:val="24"/>
        </w:rPr>
      </w:pPr>
    </w:p>
    <w:p>
      <w:pPr>
        <w:rPr>
          <w:rFonts w:hint="eastAsia" w:ascii="宋体" w:hAnsi="宋体"/>
          <w:b/>
          <w:sz w:val="24"/>
          <w:szCs w:val="24"/>
        </w:rPr>
      </w:pPr>
      <w:r>
        <w:rPr>
          <w:rFonts w:hint="eastAsia" w:ascii="宋体" w:hAnsi="宋体"/>
          <w:b/>
          <w:sz w:val="24"/>
          <w:szCs w:val="24"/>
        </w:rPr>
        <w:t>甲方：</w:t>
      </w:r>
    </w:p>
    <w:p>
      <w:pPr>
        <w:rPr>
          <w:rFonts w:ascii="宋体" w:hAnsi="宋体"/>
          <w:b/>
          <w:sz w:val="24"/>
          <w:szCs w:val="24"/>
        </w:rPr>
      </w:pPr>
      <w:r>
        <w:rPr>
          <w:rFonts w:hint="eastAsia" w:ascii="宋体" w:hAnsi="宋体"/>
          <w:b/>
          <w:sz w:val="24"/>
          <w:szCs w:val="24"/>
        </w:rPr>
        <w:t>乙方：</w:t>
      </w:r>
    </w:p>
    <w:p>
      <w:pPr>
        <w:rPr>
          <w:rFonts w:hint="eastAsia" w:ascii="宋体" w:hAnsi="宋体"/>
          <w:b/>
          <w:sz w:val="24"/>
          <w:szCs w:val="24"/>
        </w:rPr>
      </w:pPr>
    </w:p>
    <w:p>
      <w:pPr>
        <w:rPr>
          <w:rFonts w:hint="eastAsia" w:ascii="宋体" w:hAnsi="宋体"/>
          <w:b/>
          <w:sz w:val="24"/>
          <w:szCs w:val="24"/>
        </w:rPr>
      </w:pPr>
    </w:p>
    <w:p>
      <w:pPr>
        <w:rPr>
          <w:rFonts w:ascii="宋体" w:hAnsi="宋体"/>
          <w:b/>
          <w:sz w:val="24"/>
          <w:szCs w:val="24"/>
        </w:rPr>
      </w:pPr>
    </w:p>
    <w:p>
      <w:pPr>
        <w:rPr>
          <w:rFonts w:hint="eastAsia" w:ascii="宋体" w:hAnsi="宋体"/>
          <w:b/>
          <w:sz w:val="24"/>
          <w:szCs w:val="24"/>
        </w:rPr>
      </w:pPr>
    </w:p>
    <w:p>
      <w:pPr>
        <w:tabs>
          <w:tab w:val="left" w:pos="6840"/>
        </w:tabs>
        <w:jc w:val="center"/>
        <w:rPr>
          <w:rFonts w:hint="eastAsia" w:ascii="宋体" w:hAnsi="宋体" w:eastAsia="宋体" w:cs="宋体"/>
          <w:b/>
          <w:sz w:val="24"/>
          <w:szCs w:val="24"/>
        </w:rPr>
      </w:pPr>
      <w:r>
        <w:rPr>
          <w:rFonts w:ascii="宋体" w:hAnsi="宋体"/>
          <w:b/>
          <w:szCs w:val="21"/>
        </w:rPr>
        <w:br w:type="page"/>
      </w:r>
      <w:r>
        <w:rPr>
          <w:rFonts w:hint="eastAsia" w:ascii="宋体" w:hAnsi="宋体" w:eastAsia="宋体" w:cs="宋体"/>
          <w:b/>
          <w:sz w:val="24"/>
          <w:szCs w:val="24"/>
        </w:rPr>
        <w:t>***项目合同书</w:t>
      </w:r>
    </w:p>
    <w:p>
      <w:pPr>
        <w:tabs>
          <w:tab w:val="left" w:pos="6840"/>
        </w:tabs>
        <w:rPr>
          <w:rFonts w:hint="eastAsia" w:ascii="宋体" w:hAnsi="宋体" w:eastAsia="宋体" w:cs="宋体"/>
          <w:b/>
          <w:sz w:val="24"/>
          <w:szCs w:val="24"/>
        </w:rPr>
      </w:pPr>
    </w:p>
    <w:p>
      <w:pPr>
        <w:rPr>
          <w:rFonts w:hint="eastAsia" w:ascii="宋体" w:hAnsi="宋体" w:cs="宋体"/>
          <w:b/>
          <w:szCs w:val="21"/>
        </w:rPr>
      </w:pPr>
      <w:r>
        <w:rPr>
          <w:rFonts w:hint="eastAsia" w:ascii="宋体" w:hAnsi="宋体" w:cs="宋体"/>
          <w:b/>
          <w:szCs w:val="21"/>
        </w:rPr>
        <w:t>甲方：</w:t>
      </w:r>
      <w:r>
        <w:rPr>
          <w:rFonts w:hint="eastAsia" w:ascii="宋体" w:hAnsi="宋体" w:cs="宋体"/>
          <w:b/>
          <w:szCs w:val="21"/>
          <w:lang w:val="en-US" w:eastAsia="zh-CN"/>
        </w:rPr>
        <w:t>北京市昌平区大运河白浮泉遗址管理服务中心</w:t>
      </w:r>
    </w:p>
    <w:p>
      <w:pPr>
        <w:rPr>
          <w:rFonts w:hint="eastAsia" w:ascii="宋体" w:hAnsi="宋体" w:cs="宋体"/>
          <w:b/>
          <w:szCs w:val="21"/>
        </w:rPr>
      </w:pPr>
      <w:r>
        <w:rPr>
          <w:rFonts w:hint="eastAsia" w:ascii="宋体" w:hAnsi="宋体" w:cs="宋体"/>
          <w:b/>
          <w:szCs w:val="21"/>
        </w:rPr>
        <w:t>乙方：</w:t>
      </w:r>
    </w:p>
    <w:p>
      <w:pPr>
        <w:keepNext w:val="0"/>
        <w:keepLines w:val="0"/>
        <w:pageBreakBefore w:val="0"/>
        <w:widowControl w:val="0"/>
        <w:kinsoku/>
        <w:wordWrap/>
        <w:overflowPunct/>
        <w:topLinePunct w:val="0"/>
        <w:bidi w:val="0"/>
        <w:adjustRightInd/>
        <w:snapToGrid/>
        <w:spacing w:line="360" w:lineRule="auto"/>
        <w:ind w:firstLine="411" w:firstLineChars="195"/>
        <w:textAlignment w:val="auto"/>
        <w:rPr>
          <w:rFonts w:ascii="宋体" w:cs="宋体"/>
          <w:b/>
          <w:szCs w:val="21"/>
        </w:rPr>
      </w:pPr>
      <w:r>
        <w:rPr>
          <w:rFonts w:hint="eastAsia" w:ascii="宋体" w:hAnsi="宋体" w:cs="宋体"/>
          <w:b/>
          <w:szCs w:val="21"/>
        </w:rPr>
        <w:t>第一条</w:t>
      </w:r>
      <w:r>
        <w:rPr>
          <w:rFonts w:ascii="宋体" w:hAnsi="宋体" w:cs="宋体"/>
          <w:b/>
          <w:szCs w:val="21"/>
        </w:rPr>
        <w:t xml:space="preserve">  </w:t>
      </w:r>
      <w:r>
        <w:rPr>
          <w:rFonts w:hint="eastAsia" w:ascii="宋体" w:hAnsi="宋体" w:cs="宋体"/>
          <w:b/>
          <w:szCs w:val="21"/>
        </w:rPr>
        <w:t>合同事宜</w:t>
      </w:r>
    </w:p>
    <w:p>
      <w:pPr>
        <w:keepNext w:val="0"/>
        <w:keepLines w:val="0"/>
        <w:pageBreakBefore w:val="0"/>
        <w:widowControl w:val="0"/>
        <w:tabs>
          <w:tab w:val="left" w:pos="6840"/>
        </w:tabs>
        <w:kinsoku/>
        <w:wordWrap/>
        <w:overflowPunct/>
        <w:topLinePunct w:val="0"/>
        <w:bidi w:val="0"/>
        <w:adjustRightInd/>
        <w:snapToGrid/>
        <w:spacing w:line="360" w:lineRule="auto"/>
        <w:ind w:firstLine="420" w:firstLineChars="200"/>
        <w:textAlignment w:val="auto"/>
        <w:rPr>
          <w:rFonts w:ascii="宋体" w:cs="宋体"/>
          <w:szCs w:val="21"/>
        </w:rPr>
      </w:pPr>
      <w:r>
        <w:rPr>
          <w:rFonts w:ascii="宋体" w:hAnsi="宋体" w:cs="宋体"/>
          <w:szCs w:val="21"/>
        </w:rPr>
        <w:t>***</w:t>
      </w:r>
      <w:r>
        <w:rPr>
          <w:rFonts w:hint="eastAsia" w:ascii="宋体" w:hAnsi="宋体" w:cs="宋体"/>
          <w:szCs w:val="21"/>
        </w:rPr>
        <w:t>项目，由北京市昌平区政府采购中心通过公开招标的方式进行采购。经</w:t>
      </w:r>
      <w:r>
        <w:rPr>
          <w:rFonts w:ascii="宋体" w:hAnsi="宋体" w:cs="宋体"/>
          <w:szCs w:val="21"/>
        </w:rPr>
        <w:t>***</w:t>
      </w:r>
      <w:r>
        <w:rPr>
          <w:rFonts w:hint="eastAsia" w:ascii="宋体" w:hAnsi="宋体" w:cs="宋体"/>
          <w:szCs w:val="21"/>
        </w:rPr>
        <w:t>确认，</w:t>
      </w:r>
      <w:r>
        <w:rPr>
          <w:rFonts w:ascii="宋体" w:hAnsi="宋体" w:cs="宋体"/>
          <w:szCs w:val="21"/>
        </w:rPr>
        <w:t>***</w:t>
      </w:r>
      <w:r>
        <w:rPr>
          <w:rFonts w:hint="eastAsia" w:ascii="宋体" w:hAnsi="宋体" w:cs="宋体"/>
          <w:szCs w:val="21"/>
        </w:rPr>
        <w:t>为</w:t>
      </w:r>
      <w:r>
        <w:rPr>
          <w:rFonts w:ascii="宋体" w:hAnsi="宋体" w:cs="宋体"/>
          <w:szCs w:val="21"/>
        </w:rPr>
        <w:t>***</w:t>
      </w:r>
      <w:r>
        <w:rPr>
          <w:rFonts w:hint="eastAsia" w:ascii="宋体" w:hAnsi="宋体" w:cs="宋体"/>
          <w:szCs w:val="21"/>
        </w:rPr>
        <w:t>包中标供应商。甲、乙双方依据《中华人民共和国政府采购法》、《中华人民共和国民法典》等法律规定，在平等自愿的基础上，签订本合同。</w:t>
      </w:r>
    </w:p>
    <w:p>
      <w:pPr>
        <w:keepNext w:val="0"/>
        <w:keepLines w:val="0"/>
        <w:pageBreakBefore w:val="0"/>
        <w:widowControl w:val="0"/>
        <w:kinsoku/>
        <w:wordWrap/>
        <w:overflowPunct/>
        <w:topLinePunct w:val="0"/>
        <w:bidi w:val="0"/>
        <w:adjustRightInd/>
        <w:snapToGrid/>
        <w:spacing w:line="360" w:lineRule="auto"/>
        <w:ind w:firstLine="413" w:firstLineChars="196"/>
        <w:textAlignment w:val="auto"/>
        <w:rPr>
          <w:rFonts w:ascii="宋体" w:cs="宋体"/>
          <w:b/>
          <w:szCs w:val="21"/>
        </w:rPr>
      </w:pPr>
      <w:r>
        <w:rPr>
          <w:rFonts w:hint="eastAsia" w:ascii="宋体" w:hAnsi="宋体" w:cs="宋体"/>
          <w:b/>
          <w:bCs/>
          <w:szCs w:val="21"/>
        </w:rPr>
        <w:t>第二条</w:t>
      </w:r>
      <w:r>
        <w:rPr>
          <w:rFonts w:ascii="宋体" w:hAnsi="宋体" w:cs="宋体"/>
          <w:b/>
          <w:bCs/>
          <w:szCs w:val="21"/>
        </w:rPr>
        <w:t xml:space="preserve">  </w:t>
      </w:r>
      <w:r>
        <w:rPr>
          <w:rFonts w:hint="eastAsia" w:ascii="宋体" w:hAnsi="宋体" w:cs="宋体"/>
          <w:b/>
          <w:bCs/>
          <w:szCs w:val="21"/>
        </w:rPr>
        <w:t>合同文件</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cs="宋体"/>
          <w:szCs w:val="21"/>
        </w:rPr>
      </w:pPr>
      <w:r>
        <w:rPr>
          <w:rFonts w:hint="eastAsia" w:ascii="宋体" w:hAnsi="宋体" w:cs="宋体"/>
          <w:szCs w:val="21"/>
        </w:rPr>
        <w:t>本合同书、中标通知书、招标文件（含补充文件）、投标文件（含澄清和补充文件）作为本合同的有效组成部分，是一个整体，彼此相互解释，相互补充。组成本合同的该若干文件按优先支配地位排序，依次为：本合同书、中标通知书、招标文件（含补充文件）、投标文件（含澄清和补充文件）。</w:t>
      </w:r>
    </w:p>
    <w:p>
      <w:pPr>
        <w:spacing w:line="240" w:lineRule="auto"/>
        <w:ind w:firstLine="422" w:firstLineChars="200"/>
        <w:rPr>
          <w:rFonts w:hint="eastAsia" w:asciiTheme="minorEastAsia" w:hAnsiTheme="minorEastAsia" w:eastAsiaTheme="minorEastAsia" w:cstheme="minorEastAsia"/>
          <w:sz w:val="21"/>
          <w:szCs w:val="21"/>
          <w:lang w:val="en-US" w:eastAsia="zh-CN"/>
        </w:rPr>
      </w:pPr>
      <w:r>
        <w:rPr>
          <w:rFonts w:hint="eastAsia" w:ascii="宋体" w:hAnsi="宋体" w:cs="宋体"/>
          <w:b/>
          <w:bCs/>
          <w:szCs w:val="21"/>
        </w:rPr>
        <w:t>第三条</w:t>
      </w:r>
      <w:r>
        <w:rPr>
          <w:rFonts w:ascii="宋体" w:hAnsi="宋体" w:cs="宋体"/>
          <w:b/>
          <w:bCs/>
          <w:szCs w:val="21"/>
        </w:rPr>
        <w:t xml:space="preserve"> </w:t>
      </w:r>
      <w:r>
        <w:rPr>
          <w:rFonts w:hint="eastAsia" w:asciiTheme="minorEastAsia" w:hAnsiTheme="minorEastAsia" w:eastAsiaTheme="minorEastAsia" w:cstheme="minorEastAsia"/>
          <w:b/>
          <w:color w:val="auto"/>
          <w:sz w:val="21"/>
          <w:szCs w:val="21"/>
        </w:rPr>
        <w:t>合同期限</w:t>
      </w:r>
      <w:r>
        <w:rPr>
          <w:rFonts w:hint="eastAsia" w:asciiTheme="minorEastAsia" w:hAnsiTheme="minorEastAsia" w:eastAsiaTheme="minorEastAsia" w:cstheme="minorEastAsia"/>
          <w:b/>
          <w:color w:val="auto"/>
          <w:sz w:val="21"/>
          <w:szCs w:val="21"/>
          <w:lang w:eastAsia="zh-CN"/>
        </w:rPr>
        <w:t>：</w:t>
      </w:r>
      <w:r>
        <w:rPr>
          <w:rFonts w:hint="eastAsia" w:ascii="宋体" w:hAnsi="宋体" w:cs="宋体"/>
          <w:kern w:val="2"/>
          <w:sz w:val="24"/>
          <w:szCs w:val="24"/>
          <w:lang w:val="en-US" w:eastAsia="zh-CN"/>
        </w:rPr>
        <w:t>2024年5月</w:t>
      </w:r>
      <w:r>
        <w:rPr>
          <w:rFonts w:hint="eastAsia" w:ascii="宋体" w:hAnsi="宋体" w:cs="宋体"/>
          <w:kern w:val="2"/>
          <w:sz w:val="24"/>
          <w:szCs w:val="24"/>
          <w:lang w:eastAsia="zh-CN"/>
        </w:rPr>
        <w:t>起至</w:t>
      </w:r>
      <w:r>
        <w:rPr>
          <w:rFonts w:hint="eastAsia" w:ascii="宋体" w:hAnsi="宋体" w:cs="宋体"/>
          <w:kern w:val="2"/>
          <w:sz w:val="24"/>
          <w:szCs w:val="24"/>
          <w:highlight w:val="none"/>
          <w:lang w:val="en-US" w:eastAsia="zh-CN"/>
        </w:rPr>
        <w:t>2024年12月</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tabs>
          <w:tab w:val="left" w:pos="6161"/>
        </w:tabs>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rPr>
      </w:pPr>
      <w:r>
        <w:rPr>
          <w:rFonts w:hint="eastAsia" w:ascii="宋体" w:hAnsi="宋体" w:cs="宋体"/>
          <w:b/>
          <w:bCs/>
          <w:szCs w:val="21"/>
        </w:rPr>
        <w:t>第四条</w:t>
      </w:r>
      <w:r>
        <w:rPr>
          <w:rFonts w:ascii="宋体" w:hAnsi="宋体" w:cs="宋体"/>
          <w:b/>
          <w:szCs w:val="21"/>
        </w:rPr>
        <w:t xml:space="preserve">  </w:t>
      </w:r>
      <w:r>
        <w:rPr>
          <w:rFonts w:hint="eastAsia" w:asciiTheme="minorEastAsia" w:hAnsiTheme="minorEastAsia" w:eastAsiaTheme="minorEastAsia" w:cstheme="minorEastAsia"/>
          <w:b/>
          <w:color w:val="auto"/>
          <w:sz w:val="21"/>
          <w:szCs w:val="21"/>
        </w:rPr>
        <w:t>合同金额及付款方式</w:t>
      </w:r>
      <w:r>
        <w:rPr>
          <w:rFonts w:hint="eastAsia" w:asciiTheme="minorEastAsia" w:hAnsiTheme="minorEastAsia" w:eastAsiaTheme="minorEastAsia" w:cstheme="minorEastAsia"/>
          <w:b/>
          <w:color w:val="auto"/>
          <w:sz w:val="21"/>
          <w:szCs w:val="21"/>
        </w:rPr>
        <w:tab/>
      </w:r>
    </w:p>
    <w:p>
      <w:pPr>
        <w:keepNext w:val="0"/>
        <w:keepLines w:val="0"/>
        <w:pageBreakBefore w:val="0"/>
        <w:widowControl w:val="0"/>
        <w:tabs>
          <w:tab w:val="left" w:pos="6161"/>
        </w:tabs>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合同金额：</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小写</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shd w:val="clear" w:color="auto" w:fill="FFFFFF"/>
        </w:rPr>
        <w:t>/</w:t>
      </w:r>
      <w:r>
        <w:rPr>
          <w:rFonts w:hint="eastAsia" w:asciiTheme="minorEastAsia" w:hAnsiTheme="minorEastAsia" w:eastAsiaTheme="minorEastAsia" w:cstheme="minorEastAsia"/>
          <w:color w:val="auto"/>
          <w:sz w:val="21"/>
          <w:szCs w:val="21"/>
          <w:shd w:val="clear" w:color="auto" w:fill="FFFFFF"/>
          <w:lang w:eastAsia="zh-CN"/>
        </w:rPr>
        <w:t>（</w:t>
      </w:r>
      <w:r>
        <w:rPr>
          <w:rFonts w:hint="eastAsia" w:asciiTheme="minorEastAsia" w:hAnsiTheme="minorEastAsia" w:eastAsiaTheme="minorEastAsia" w:cstheme="minorEastAsia"/>
          <w:color w:val="auto"/>
          <w:sz w:val="21"/>
          <w:szCs w:val="21"/>
          <w:shd w:val="clear" w:color="auto" w:fill="FFFFFF"/>
        </w:rPr>
        <w:t>大写</w:t>
      </w:r>
      <w:r>
        <w:rPr>
          <w:rFonts w:hint="eastAsia" w:asciiTheme="minorEastAsia" w:hAnsiTheme="minorEastAsia" w:eastAsiaTheme="minorEastAsia" w:cstheme="minorEastAsia"/>
          <w:color w:val="auto"/>
          <w:sz w:val="21"/>
          <w:szCs w:val="21"/>
          <w:shd w:val="clear" w:color="auto" w:fill="FFFFFF"/>
          <w:lang w:eastAsia="zh-CN"/>
        </w:rPr>
        <w:t>）</w:t>
      </w:r>
      <w:r>
        <w:rPr>
          <w:rFonts w:hint="eastAsia" w:asciiTheme="minorEastAsia" w:hAnsiTheme="minorEastAsia" w:eastAsiaTheme="minorEastAsia" w:cstheme="minorEastAsia"/>
          <w:color w:val="auto"/>
          <w:sz w:val="21"/>
          <w:szCs w:val="21"/>
          <w:shd w:val="clear" w:color="auto" w:fill="FFFFFF"/>
          <w:lang w:val="en-US" w:eastAsia="zh-CN"/>
        </w:rPr>
        <w:t xml:space="preserve"> </w:t>
      </w:r>
      <w:r>
        <w:rPr>
          <w:rFonts w:hint="eastAsia" w:asciiTheme="minorEastAsia" w:hAnsiTheme="minorEastAsia" w:eastAsiaTheme="minorEastAsia" w:cstheme="minorEastAsia"/>
          <w:color w:val="auto"/>
          <w:sz w:val="21"/>
          <w:szCs w:val="21"/>
          <w:u w:val="single"/>
          <w:shd w:val="clear" w:color="auto" w:fill="FFFFFF"/>
          <w:lang w:val="en-US" w:eastAsia="zh-CN"/>
        </w:rPr>
        <w:t xml:space="preserve">          </w:t>
      </w:r>
      <w:r>
        <w:rPr>
          <w:rFonts w:hint="eastAsia" w:asciiTheme="minorEastAsia" w:hAnsiTheme="minorEastAsia" w:eastAsiaTheme="minorEastAsia" w:cstheme="minorEastAsia"/>
          <w:bCs/>
          <w:color w:val="auto"/>
          <w:sz w:val="21"/>
          <w:szCs w:val="21"/>
          <w:u w:val="single"/>
          <w:shd w:val="clear" w:color="auto" w:fill="FFFFFF"/>
        </w:rPr>
        <w:t>/</w:t>
      </w:r>
      <w:r>
        <w:rPr>
          <w:rFonts w:hint="eastAsia" w:asciiTheme="minorEastAsia" w:hAnsiTheme="minorEastAsia" w:eastAsiaTheme="minorEastAsia" w:cstheme="minorEastAsia"/>
          <w:color w:val="auto"/>
          <w:sz w:val="21"/>
          <w:szCs w:val="21"/>
          <w:shd w:val="clear" w:color="auto" w:fill="FFFFFF"/>
        </w:rPr>
        <w:t>。</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付款方式：</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 1 \* GB2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⑴</w:t>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在乙方按照甲方要求履行合同且无任何违约行为的基础上，甲乙双方依法协商确定 □按月、□按两月、□按季（在选项前√）支付给乙方服务费用金额；</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 2 \* GB2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⑵</w:t>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甲方应当自收到发票和其他有关票据之日起15日内将资金支付到合同约定的乙方账户，不得以机构变动、人员更替、政策调整等为由延迟付款，不得将采购文件和合同中未规定的义务作为向乙方付款的条件。但非甲方原因引起的延迟付款，甲方不承担违约责任。</w:t>
      </w:r>
    </w:p>
    <w:p>
      <w:pPr>
        <w:pStyle w:val="22"/>
        <w:rPr>
          <w:rFonts w:hint="eastAsia"/>
        </w:rPr>
      </w:pP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宋体" w:cs="宋体"/>
          <w:b/>
          <w:szCs w:val="21"/>
        </w:rPr>
      </w:pPr>
      <w:r>
        <w:rPr>
          <w:rFonts w:hint="eastAsia" w:ascii="宋体" w:hAnsi="宋体" w:cs="宋体"/>
          <w:b/>
          <w:szCs w:val="21"/>
        </w:rPr>
        <w:t>第五条</w:t>
      </w:r>
      <w:r>
        <w:rPr>
          <w:rFonts w:ascii="宋体" w:hAnsi="宋体" w:cs="宋体"/>
          <w:b/>
          <w:szCs w:val="21"/>
        </w:rPr>
        <w:t xml:space="preserve">  </w:t>
      </w:r>
      <w:r>
        <w:rPr>
          <w:rFonts w:hint="eastAsia" w:asciiTheme="minorEastAsia" w:hAnsiTheme="minorEastAsia" w:eastAsiaTheme="minorEastAsia" w:cstheme="minorEastAsia"/>
          <w:b/>
          <w:sz w:val="21"/>
          <w:szCs w:val="21"/>
          <w:lang w:eastAsia="zh-CN"/>
        </w:rPr>
        <w:t>物业服务</w:t>
      </w:r>
      <w:r>
        <w:rPr>
          <w:rFonts w:hint="eastAsia" w:asciiTheme="minorEastAsia" w:hAnsiTheme="minorEastAsia" w:eastAsiaTheme="minorEastAsia" w:cstheme="minorEastAsia"/>
          <w:b/>
          <w:sz w:val="21"/>
          <w:szCs w:val="21"/>
        </w:rPr>
        <w:t>面积及服务范围</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lang w:eastAsia="zh-CN"/>
        </w:rPr>
        <w:t>物业服务</w:t>
      </w:r>
      <w:r>
        <w:rPr>
          <w:rFonts w:hint="eastAsia" w:asciiTheme="minorEastAsia" w:hAnsiTheme="minorEastAsia" w:eastAsiaTheme="minorEastAsia" w:cstheme="minorEastAsia"/>
          <w:b/>
          <w:sz w:val="21"/>
          <w:szCs w:val="21"/>
        </w:rPr>
        <w:t>管理的主要内容</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lang w:eastAsia="zh-CN"/>
        </w:rPr>
        <w:t>物业服务</w:t>
      </w:r>
      <w:r>
        <w:rPr>
          <w:rFonts w:hint="eastAsia" w:asciiTheme="minorEastAsia" w:hAnsiTheme="minorEastAsia" w:eastAsiaTheme="minorEastAsia" w:cstheme="minorEastAsia"/>
          <w:b/>
          <w:sz w:val="21"/>
          <w:szCs w:val="21"/>
        </w:rPr>
        <w:t>质量要求</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第八条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需要说明的</w:t>
      </w:r>
      <w:r>
        <w:rPr>
          <w:rFonts w:hint="eastAsia" w:asciiTheme="minorEastAsia" w:hAnsiTheme="minorEastAsia" w:eastAsiaTheme="minorEastAsia" w:cstheme="minorEastAsia"/>
          <w:b/>
          <w:sz w:val="21"/>
          <w:szCs w:val="21"/>
          <w:lang w:eastAsia="zh-CN"/>
        </w:rPr>
        <w:t>其他</w:t>
      </w:r>
      <w:r>
        <w:rPr>
          <w:rFonts w:hint="eastAsia" w:asciiTheme="minorEastAsia" w:hAnsiTheme="minorEastAsia" w:eastAsiaTheme="minorEastAsia" w:cstheme="minorEastAsia"/>
          <w:b/>
          <w:sz w:val="21"/>
          <w:szCs w:val="21"/>
        </w:rPr>
        <w:t>问题</w:t>
      </w:r>
    </w:p>
    <w:p>
      <w:pPr>
        <w:pStyle w:val="6"/>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Ansi="宋体" w:cs="宋体"/>
          <w:b/>
          <w:sz w:val="21"/>
          <w:szCs w:val="21"/>
        </w:rPr>
      </w:pPr>
      <w:r>
        <w:rPr>
          <w:rFonts w:hint="eastAsia" w:hAnsi="宋体" w:cs="宋体"/>
          <w:b/>
          <w:bCs/>
          <w:sz w:val="21"/>
          <w:szCs w:val="21"/>
        </w:rPr>
        <w:t>第九条</w:t>
      </w:r>
      <w:r>
        <w:rPr>
          <w:rFonts w:hAnsi="宋体" w:cs="宋体"/>
          <w:b/>
          <w:bCs/>
          <w:sz w:val="21"/>
          <w:szCs w:val="21"/>
        </w:rPr>
        <w:t xml:space="preserve"> </w:t>
      </w:r>
      <w:r>
        <w:rPr>
          <w:rFonts w:hint="eastAsia" w:hAnsi="宋体" w:cs="宋体"/>
          <w:b/>
          <w:bCs/>
          <w:sz w:val="21"/>
          <w:szCs w:val="21"/>
        </w:rPr>
        <w:t>涉密事宜</w:t>
      </w:r>
    </w:p>
    <w:p>
      <w:pPr>
        <w:pStyle w:val="6"/>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Ansi="宋体" w:cs="宋体"/>
          <w:sz w:val="21"/>
          <w:szCs w:val="21"/>
        </w:rPr>
      </w:pPr>
      <w:r>
        <w:rPr>
          <w:rFonts w:hAnsi="宋体" w:cs="宋体"/>
          <w:sz w:val="21"/>
          <w:szCs w:val="21"/>
        </w:rPr>
        <w:t>1</w:t>
      </w:r>
      <w:r>
        <w:rPr>
          <w:rFonts w:hint="eastAsia" w:hAnsi="宋体" w:cs="宋体"/>
          <w:sz w:val="21"/>
          <w:szCs w:val="21"/>
        </w:rPr>
        <w:t>、乙方应严格遵守《中华人民共和国保守国家秘密法》及有关保密法律法规的规定，履行保密义务。</w:t>
      </w:r>
    </w:p>
    <w:p>
      <w:pPr>
        <w:pStyle w:val="6"/>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Ansi="宋体" w:cs="宋体"/>
          <w:sz w:val="21"/>
          <w:szCs w:val="21"/>
        </w:rPr>
      </w:pPr>
      <w:r>
        <w:rPr>
          <w:rFonts w:hAnsi="宋体" w:cs="宋体"/>
          <w:sz w:val="21"/>
          <w:szCs w:val="21"/>
        </w:rPr>
        <w:t>2</w:t>
      </w:r>
      <w:r>
        <w:rPr>
          <w:rFonts w:hint="eastAsia" w:hAnsi="宋体" w:cs="宋体"/>
          <w:sz w:val="21"/>
          <w:szCs w:val="21"/>
        </w:rPr>
        <w:t>、乙方应加强保密管理，对工作参与人员进行保密教育，签订保密承诺书，禁止工作参与人员泄露所知悉的甲方服务保障相关信息。</w:t>
      </w:r>
    </w:p>
    <w:p>
      <w:pPr>
        <w:pStyle w:val="6"/>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Ansi="宋体" w:cs="宋体"/>
          <w:sz w:val="21"/>
          <w:szCs w:val="21"/>
        </w:rPr>
      </w:pPr>
      <w:r>
        <w:rPr>
          <w:rFonts w:hAnsi="宋体" w:cs="宋体"/>
          <w:sz w:val="21"/>
          <w:szCs w:val="21"/>
        </w:rPr>
        <w:t>3</w:t>
      </w:r>
      <w:r>
        <w:rPr>
          <w:rFonts w:hint="eastAsia" w:hAnsi="宋体" w:cs="宋体"/>
          <w:sz w:val="21"/>
          <w:szCs w:val="21"/>
        </w:rPr>
        <w:t>、不得将涉及甲方工作场所、工作内容的文字、照片、录音、视频等上传至互联网以及微信、</w:t>
      </w:r>
      <w:r>
        <w:rPr>
          <w:rFonts w:hAnsi="宋体" w:cs="宋体"/>
          <w:sz w:val="21"/>
          <w:szCs w:val="21"/>
        </w:rPr>
        <w:t>QQ</w:t>
      </w:r>
      <w:r>
        <w:rPr>
          <w:rFonts w:hint="eastAsia" w:hAnsi="宋体" w:cs="宋体"/>
          <w:sz w:val="21"/>
          <w:szCs w:val="21"/>
        </w:rPr>
        <w:t>等社交载体上。</w:t>
      </w:r>
    </w:p>
    <w:p>
      <w:pPr>
        <w:pStyle w:val="6"/>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Ansi="宋体" w:cs="宋体"/>
          <w:sz w:val="21"/>
          <w:szCs w:val="21"/>
        </w:rPr>
      </w:pPr>
      <w:r>
        <w:rPr>
          <w:rFonts w:hAnsi="宋体" w:cs="宋体"/>
          <w:sz w:val="21"/>
          <w:szCs w:val="21"/>
        </w:rPr>
        <w:t>4</w:t>
      </w:r>
      <w:r>
        <w:rPr>
          <w:rFonts w:hint="eastAsia" w:hAnsi="宋体" w:cs="宋体"/>
          <w:sz w:val="21"/>
          <w:szCs w:val="21"/>
        </w:rPr>
        <w:t>、甲方有权改变乙方涉及合同的接触范围，有权指导、监督、检查、纠正乙方的保密工作，乙方应配合甲方相关工作。</w:t>
      </w:r>
    </w:p>
    <w:p>
      <w:pPr>
        <w:pStyle w:val="6"/>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Ansi="宋体" w:cs="宋体"/>
          <w:color w:val="auto"/>
          <w:sz w:val="21"/>
          <w:szCs w:val="21"/>
        </w:rPr>
      </w:pPr>
      <w:r>
        <w:rPr>
          <w:rFonts w:hAnsi="宋体" w:cs="宋体"/>
          <w:color w:val="auto"/>
          <w:sz w:val="21"/>
          <w:szCs w:val="21"/>
        </w:rPr>
        <w:t>5</w:t>
      </w:r>
      <w:r>
        <w:rPr>
          <w:rFonts w:hint="eastAsia" w:hAnsi="宋体" w:cs="宋体"/>
          <w:color w:val="auto"/>
          <w:sz w:val="21"/>
          <w:szCs w:val="21"/>
        </w:rPr>
        <w:t>、如发生失泄密事件，乙方应当迅速查明被泄露秘密的内容和原因、造成或者可能造成危害的范围和严重程度、事件的主要情节和有关责任者，采取补救措施，并及时报告甲方。</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napToGrid w:val="0"/>
          <w:color w:val="auto"/>
          <w:spacing w:val="10"/>
          <w:sz w:val="21"/>
          <w:szCs w:val="21"/>
          <w:lang w:val="en-US" w:eastAsia="zh-CN"/>
        </w:rPr>
      </w:pPr>
      <w:r>
        <w:rPr>
          <w:rFonts w:hint="eastAsia" w:asciiTheme="minorEastAsia" w:hAnsiTheme="minorEastAsia" w:eastAsiaTheme="minorEastAsia" w:cstheme="minorEastAsia"/>
          <w:b/>
          <w:bCs/>
          <w:snapToGrid w:val="0"/>
          <w:color w:val="auto"/>
          <w:spacing w:val="10"/>
          <w:sz w:val="21"/>
          <w:szCs w:val="21"/>
          <w:lang w:eastAsia="zh-CN"/>
        </w:rPr>
        <w:t>第十条  安全保险</w:t>
      </w:r>
      <w:r>
        <w:rPr>
          <w:rFonts w:hint="eastAsia" w:asciiTheme="minorEastAsia" w:hAnsiTheme="minorEastAsia" w:eastAsiaTheme="minorEastAsia" w:cstheme="minorEastAsia"/>
          <w:b/>
          <w:bCs/>
          <w:snapToGrid w:val="0"/>
          <w:color w:val="auto"/>
          <w:spacing w:val="10"/>
          <w:sz w:val="21"/>
          <w:szCs w:val="21"/>
        </w:rPr>
        <w:t>责任</w:t>
      </w:r>
      <w:r>
        <w:rPr>
          <w:rFonts w:hint="eastAsia" w:asciiTheme="minorEastAsia" w:hAnsiTheme="minorEastAsia" w:eastAsiaTheme="minorEastAsia" w:cstheme="minorEastAsia"/>
          <w:b/>
          <w:bCs/>
          <w:snapToGrid w:val="0"/>
          <w:color w:val="auto"/>
          <w:spacing w:val="10"/>
          <w:sz w:val="21"/>
          <w:szCs w:val="21"/>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乙方应依法对工作人员的人身安全做好相应保障，加强安全意识培养和安全措施培训，在提供服务期间所有人员的安全保险责任全部由乙方承担。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bCs/>
          <w:snapToGrid w:val="0"/>
          <w:color w:val="auto"/>
          <w:spacing w:val="10"/>
          <w:kern w:val="2"/>
          <w:sz w:val="21"/>
          <w:szCs w:val="21"/>
          <w:lang w:val="en-US" w:eastAsia="zh-CN" w:bidi="ar-SA"/>
        </w:rPr>
      </w:pPr>
      <w:r>
        <w:rPr>
          <w:rFonts w:hint="eastAsia" w:asciiTheme="minorEastAsia" w:hAnsiTheme="minorEastAsia" w:eastAsiaTheme="minorEastAsia" w:cstheme="minorEastAsia"/>
          <w:b/>
          <w:bCs/>
          <w:snapToGrid w:val="0"/>
          <w:color w:val="auto"/>
          <w:spacing w:val="10"/>
          <w:kern w:val="2"/>
          <w:sz w:val="21"/>
          <w:szCs w:val="21"/>
          <w:lang w:val="en-US" w:eastAsia="zh-CN" w:bidi="ar-SA"/>
        </w:rPr>
        <w:t>第十一条  违约责任</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1、除不可抗力因素影响外，任意一方不履行合同义务或者履行合同义务不符合约定的，应当承担继续履行、采取补救措施或者赔偿损失等违约责任。</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应按照合同约定的支付方式和支付时间向乙方支付服务费用。甲方逾期支付的，除继续履行外，还应当按中国人民银行同期贷款基准利率上浮20％后的利率支付违约金，但非因甲方原因导致无法及时支付的除外。</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3、乙方应适当履行合同义务，对设备设施依行业标准维修维护，因故意或重大过失造成损坏的，甲方有权根据标的性质及损失大小，选择要求对方承担修理、更换等违约责任。</w:t>
      </w:r>
    </w:p>
    <w:p>
      <w:pPr>
        <w:keepNext w:val="0"/>
        <w:keepLines w:val="0"/>
        <w:pageBreakBefore w:val="0"/>
        <w:widowControl w:val="0"/>
        <w:kinsoku/>
        <w:wordWrap/>
        <w:overflowPunct/>
        <w:topLinePunct w:val="0"/>
        <w:bidi w:val="0"/>
        <w:adjustRightInd/>
        <w:snapToGrid/>
        <w:spacing w:line="360" w:lineRule="auto"/>
        <w:ind w:firstLine="315" w:firstLineChars="1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 xml:space="preserve"> 4、任意一方不履行合同义务或者履行合同义务不符合约定，给对方造成损失的，损失赔偿额应相当于因违约所造成的损失，包括合同履行后可以获得的利益，但不得超过违反合同一方订立合同</w:t>
      </w:r>
      <w:r>
        <w:rPr>
          <w:rFonts w:hint="eastAsia" w:asciiTheme="minorEastAsia" w:hAnsiTheme="minorEastAsia" w:eastAsiaTheme="minorEastAsia" w:cstheme="minorEastAsia"/>
          <w:color w:val="auto"/>
          <w:sz w:val="21"/>
          <w:szCs w:val="21"/>
        </w:rPr>
        <w:t>时预见到或者应当预见到的因违反合同可能造成的损失。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bCs/>
          <w:snapToGrid w:val="0"/>
          <w:color w:val="auto"/>
          <w:spacing w:val="10"/>
          <w:kern w:val="2"/>
          <w:sz w:val="21"/>
          <w:szCs w:val="21"/>
          <w:highlight w:val="none"/>
          <w:lang w:val="en-US" w:eastAsia="zh-CN" w:bidi="ar-SA"/>
        </w:rPr>
      </w:pPr>
      <w:r>
        <w:rPr>
          <w:rFonts w:hint="eastAsia" w:asciiTheme="minorEastAsia" w:hAnsiTheme="minorEastAsia" w:eastAsiaTheme="minorEastAsia" w:cstheme="minorEastAsia"/>
          <w:b/>
          <w:bCs/>
          <w:snapToGrid w:val="0"/>
          <w:color w:val="auto"/>
          <w:spacing w:val="10"/>
          <w:kern w:val="2"/>
          <w:sz w:val="21"/>
          <w:szCs w:val="21"/>
          <w:highlight w:val="none"/>
          <w:lang w:val="en-US" w:eastAsia="zh-CN" w:bidi="ar-SA"/>
        </w:rPr>
        <w:t>第十二条 履约保证金</w:t>
      </w:r>
    </w:p>
    <w:p>
      <w:pPr>
        <w:keepNext w:val="0"/>
        <w:keepLines w:val="0"/>
        <w:pageBreakBefore w:val="0"/>
        <w:widowControl w:val="0"/>
        <w:kinsoku/>
        <w:wordWrap/>
        <w:overflowPunct/>
        <w:topLinePunct w:val="0"/>
        <w:bidi w:val="0"/>
        <w:adjustRightInd/>
        <w:snapToGrid/>
        <w:spacing w:line="360" w:lineRule="auto"/>
        <w:ind w:firstLine="315" w:firstLineChars="15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甲方不收取履约保证金。</w:t>
      </w:r>
    </w:p>
    <w:p>
      <w:pPr>
        <w:keepNext w:val="0"/>
        <w:keepLines w:val="0"/>
        <w:pageBreakBefore w:val="0"/>
        <w:widowControl w:val="0"/>
        <w:kinsoku/>
        <w:wordWrap/>
        <w:overflowPunct/>
        <w:topLinePunct w:val="0"/>
        <w:bidi w:val="0"/>
        <w:adjustRightInd/>
        <w:snapToGrid/>
        <w:spacing w:line="360" w:lineRule="auto"/>
        <w:ind w:firstLine="462" w:firstLineChars="200"/>
        <w:textAlignment w:val="auto"/>
        <w:rPr>
          <w:rFonts w:ascii="宋体" w:cs="宋体"/>
          <w:b/>
          <w:color w:val="auto"/>
          <w:szCs w:val="21"/>
        </w:rPr>
      </w:pPr>
      <w:r>
        <w:rPr>
          <w:rFonts w:hint="eastAsia" w:ascii="宋体" w:hAnsi="宋体" w:cs="宋体"/>
          <w:b/>
          <w:bCs/>
          <w:snapToGrid w:val="0"/>
          <w:color w:val="auto"/>
          <w:spacing w:val="10"/>
          <w:szCs w:val="21"/>
        </w:rPr>
        <w:t>第十三条</w:t>
      </w:r>
      <w:r>
        <w:rPr>
          <w:rFonts w:ascii="宋体" w:hAnsi="宋体" w:cs="宋体"/>
          <w:b/>
          <w:bCs/>
          <w:snapToGrid w:val="0"/>
          <w:color w:val="auto"/>
          <w:spacing w:val="10"/>
          <w:szCs w:val="21"/>
        </w:rPr>
        <w:t xml:space="preserve"> </w:t>
      </w:r>
      <w:r>
        <w:rPr>
          <w:rFonts w:ascii="宋体" w:hAnsi="宋体" w:cs="宋体"/>
          <w:b/>
          <w:color w:val="auto"/>
          <w:szCs w:val="21"/>
        </w:rPr>
        <w:t xml:space="preserve"> </w:t>
      </w:r>
      <w:r>
        <w:rPr>
          <w:rFonts w:hint="eastAsia" w:ascii="宋体" w:hAnsi="宋体" w:cs="宋体"/>
          <w:b/>
          <w:color w:val="auto"/>
          <w:szCs w:val="21"/>
        </w:rPr>
        <w:t>不可抗力</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、如双方中任何一方遭遇法律规定的不可抗力，致使合同履行受阻时，履行合同的期限应予以延长，延长的期限相当于不可抗力所影响的时间。</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、受事故影响的一方在不可抗力事故发生之日起</w:t>
      </w:r>
      <w:r>
        <w:rPr>
          <w:rFonts w:ascii="宋体" w:hAnsi="宋体" w:cs="宋体"/>
          <w:szCs w:val="21"/>
        </w:rPr>
        <w:t>2</w:t>
      </w:r>
      <w:r>
        <w:rPr>
          <w:rFonts w:hint="eastAsia" w:ascii="宋体" w:hAnsi="宋体" w:cs="宋体"/>
          <w:szCs w:val="21"/>
        </w:rPr>
        <w:t>日内，应尽快以书面形式通知另一方和北京市昌平区政府采购中心。</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cs="宋体"/>
          <w:szCs w:val="21"/>
        </w:rPr>
      </w:pPr>
      <w:r>
        <w:rPr>
          <w:rFonts w:ascii="宋体" w:hAnsi="宋体" w:cs="宋体"/>
          <w:szCs w:val="21"/>
        </w:rPr>
        <w:t>3</w:t>
      </w:r>
      <w:r>
        <w:rPr>
          <w:rFonts w:hint="eastAsia" w:ascii="宋体" w:hAnsi="宋体" w:cs="宋体"/>
          <w:szCs w:val="21"/>
        </w:rPr>
        <w:t>、不可抗力使合同的某些内容有变更必要的，双方应通过协商及时达成进一步履行合同的协议；因不可抗力致使合同不能履行的，合同终止。</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宋体" w:cs="宋体"/>
          <w:b/>
          <w:szCs w:val="21"/>
        </w:rPr>
      </w:pPr>
      <w:r>
        <w:rPr>
          <w:rFonts w:hint="eastAsia" w:ascii="宋体" w:hAnsi="宋体" w:cs="宋体"/>
          <w:b/>
          <w:szCs w:val="21"/>
        </w:rPr>
        <w:t>第十</w:t>
      </w:r>
      <w:r>
        <w:rPr>
          <w:rFonts w:hint="eastAsia" w:ascii="宋体" w:hAnsi="宋体" w:cs="宋体"/>
          <w:b/>
          <w:szCs w:val="21"/>
          <w:lang w:eastAsia="zh-CN"/>
        </w:rPr>
        <w:t>四</w:t>
      </w:r>
      <w:r>
        <w:rPr>
          <w:rFonts w:hint="eastAsia" w:ascii="宋体" w:hAnsi="宋体" w:cs="宋体"/>
          <w:b/>
          <w:szCs w:val="21"/>
        </w:rPr>
        <w:t>条</w:t>
      </w:r>
      <w:r>
        <w:rPr>
          <w:rFonts w:ascii="宋体" w:hAnsi="宋体" w:cs="宋体"/>
          <w:b/>
          <w:szCs w:val="21"/>
        </w:rPr>
        <w:t xml:space="preserve">  </w:t>
      </w:r>
      <w:r>
        <w:rPr>
          <w:rFonts w:hint="eastAsia" w:ascii="宋体" w:hAnsi="宋体" w:cs="宋体"/>
          <w:b/>
          <w:szCs w:val="21"/>
        </w:rPr>
        <w:t>争议解决方式</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、在执行本合同中所发生的或与本合同有关的一切争端，甲、乙双方应首先通过友好协商或委托第三方调解解决；也可直接向甲方所在地人民法院提起诉讼。</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、在诉讼期间，除争议部分外，本协议其他部分应继续执行。</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宋体" w:cs="宋体"/>
          <w:b/>
          <w:szCs w:val="21"/>
        </w:rPr>
      </w:pPr>
      <w:r>
        <w:rPr>
          <w:rFonts w:hint="eastAsia" w:ascii="宋体" w:hAnsi="宋体" w:cs="宋体"/>
          <w:b/>
          <w:szCs w:val="21"/>
        </w:rPr>
        <w:t>第十</w:t>
      </w:r>
      <w:r>
        <w:rPr>
          <w:rFonts w:hint="eastAsia" w:ascii="宋体" w:hAnsi="宋体" w:cs="宋体"/>
          <w:b/>
          <w:szCs w:val="21"/>
          <w:lang w:eastAsia="zh-CN"/>
        </w:rPr>
        <w:t>五</w:t>
      </w:r>
      <w:r>
        <w:rPr>
          <w:rFonts w:hint="eastAsia" w:ascii="宋体" w:hAnsi="宋体" w:cs="宋体"/>
          <w:b/>
          <w:szCs w:val="21"/>
        </w:rPr>
        <w:t>条</w:t>
      </w:r>
      <w:r>
        <w:rPr>
          <w:rFonts w:ascii="宋体" w:hAnsi="宋体" w:cs="宋体"/>
          <w:b/>
          <w:szCs w:val="21"/>
        </w:rPr>
        <w:t xml:space="preserve">  </w:t>
      </w:r>
      <w:r>
        <w:rPr>
          <w:rFonts w:hint="eastAsia" w:ascii="宋体" w:hAnsi="宋体" w:cs="宋体"/>
          <w:b/>
          <w:szCs w:val="21"/>
        </w:rPr>
        <w:t>合同生效及其他</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本合同自甲、乙双方法定代表人（或授权代表）签字、盖章后成立。合同执行期内双方均不得随意变更或解除。未尽事宜，可经双方协商做出补充规定，补充规定签字盖章后与本合同具有同等法律效力。其他未尽事宜，双方按《中华人民共和国合同法》的有关规定执行。</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、未经双方同意，任何一方不得以任何形式公开本合同及附件内容，以确保双方的商业机密。</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3、履行合同期间，</w:t>
      </w:r>
      <w:r>
        <w:rPr>
          <w:rFonts w:hint="eastAsia" w:ascii="宋体" w:hAnsi="宋体" w:eastAsia="宋体" w:cs="宋体"/>
          <w:szCs w:val="21"/>
        </w:rPr>
        <w:t>乙方</w:t>
      </w:r>
      <w:r>
        <w:rPr>
          <w:rFonts w:hint="eastAsia" w:ascii="宋体" w:hAnsi="宋体" w:eastAsia="宋体" w:cs="宋体"/>
          <w:szCs w:val="21"/>
          <w:lang w:eastAsia="zh-CN"/>
        </w:rPr>
        <w:t>应</w:t>
      </w:r>
      <w:r>
        <w:rPr>
          <w:rFonts w:hint="eastAsia" w:ascii="宋体" w:hAnsi="宋体" w:eastAsia="宋体" w:cs="宋体"/>
          <w:szCs w:val="21"/>
        </w:rPr>
        <w:t>完全遵守《中华人民共和国妇女权益保障法》中关于“劳动和社会保障权益”的有关要求。</w:t>
      </w:r>
    </w:p>
    <w:p>
      <w:pPr>
        <w:tabs>
          <w:tab w:val="left" w:pos="1080"/>
        </w:tabs>
        <w:spacing w:line="500" w:lineRule="exact"/>
        <w:ind w:firstLine="420" w:firstLineChars="200"/>
        <w:rPr>
          <w:rFonts w:hint="eastAsia" w:asciiTheme="minorEastAsia" w:hAnsiTheme="minorEastAsia" w:eastAsiaTheme="minorEastAsia" w:cstheme="minorEastAsia"/>
          <w:color w:val="auto"/>
          <w:sz w:val="21"/>
          <w:szCs w:val="21"/>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Theme="minorEastAsia" w:hAnsiTheme="minorEastAsia" w:eastAsiaTheme="minorEastAsia" w:cstheme="minorEastAsia"/>
          <w:color w:val="auto"/>
          <w:sz w:val="21"/>
          <w:szCs w:val="21"/>
        </w:rPr>
        <w:t>本合同正本</w:t>
      </w:r>
      <w:r>
        <w:rPr>
          <w:rFonts w:hint="eastAsia" w:asciiTheme="minorEastAsia" w:hAnsiTheme="minorEastAsia" w:eastAsiaTheme="minorEastAsia" w:cstheme="minorEastAsia"/>
          <w:color w:val="auto"/>
          <w:sz w:val="21"/>
          <w:szCs w:val="21"/>
          <w:lang w:eastAsia="zh-CN"/>
        </w:rPr>
        <w:t>两</w:t>
      </w:r>
      <w:r>
        <w:rPr>
          <w:rFonts w:hint="eastAsia" w:asciiTheme="minorEastAsia" w:hAnsiTheme="minorEastAsia" w:eastAsiaTheme="minorEastAsia" w:cstheme="minorEastAsia"/>
          <w:color w:val="auto"/>
          <w:sz w:val="21"/>
          <w:szCs w:val="21"/>
        </w:rPr>
        <w:t>份，甲方、乙方各执一份，</w:t>
      </w:r>
      <w:r>
        <w:rPr>
          <w:rFonts w:hint="eastAsia" w:asciiTheme="minorEastAsia" w:hAnsiTheme="minorEastAsia" w:eastAsiaTheme="minorEastAsia" w:cstheme="minorEastAsia"/>
          <w:color w:val="auto"/>
          <w:sz w:val="21"/>
          <w:szCs w:val="21"/>
          <w:lang w:eastAsia="zh-CN"/>
        </w:rPr>
        <w:t>北京市昌平区政府采购中心执电子版一份，</w:t>
      </w:r>
      <w:r>
        <w:rPr>
          <w:rFonts w:hint="eastAsia" w:asciiTheme="minorEastAsia" w:hAnsiTheme="minorEastAsia" w:eastAsiaTheme="minorEastAsia" w:cstheme="minorEastAsia"/>
          <w:color w:val="auto"/>
          <w:sz w:val="21"/>
          <w:szCs w:val="21"/>
        </w:rPr>
        <w:t>具有同等法律效力。</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szCs w:val="21"/>
        </w:rPr>
      </w:pPr>
    </w:p>
    <w:p>
      <w:pPr>
        <w:keepNext w:val="0"/>
        <w:keepLines w:val="0"/>
        <w:pageBreakBefore w:val="0"/>
        <w:widowControl w:val="0"/>
        <w:tabs>
          <w:tab w:val="left" w:pos="1080"/>
        </w:tabs>
        <w:kinsoku/>
        <w:wordWrap/>
        <w:overflowPunct/>
        <w:topLinePunct w:val="0"/>
        <w:bidi w:val="0"/>
        <w:adjustRightInd/>
        <w:snapToGrid/>
        <w:spacing w:line="360" w:lineRule="auto"/>
        <w:textAlignment w:val="auto"/>
        <w:rPr>
          <w:rFonts w:hint="eastAsia" w:ascii="宋体" w:hAnsi="宋体" w:eastAsia="宋体" w:cs="宋体"/>
          <w:b/>
          <w:sz w:val="24"/>
          <w:szCs w:val="24"/>
        </w:rPr>
      </w:pP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sz w:val="24"/>
          <w:szCs w:val="24"/>
        </w:rPr>
      </w:pP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sz w:val="24"/>
          <w:szCs w:val="24"/>
        </w:rPr>
      </w:pP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sz w:val="24"/>
          <w:szCs w:val="24"/>
        </w:rPr>
      </w:pP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sz w:val="24"/>
          <w:szCs w:val="24"/>
        </w:rPr>
      </w:pP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sz w:val="24"/>
          <w:szCs w:val="24"/>
        </w:rPr>
      </w:pP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sz w:val="24"/>
          <w:szCs w:val="24"/>
        </w:rPr>
      </w:pPr>
    </w:p>
    <w:p>
      <w:pPr>
        <w:tabs>
          <w:tab w:val="left" w:pos="1080"/>
        </w:tabs>
        <w:spacing w:line="440" w:lineRule="exact"/>
        <w:rPr>
          <w:rFonts w:hint="eastAsia" w:ascii="宋体" w:hAnsi="宋体"/>
          <w:b/>
          <w:bCs w:val="0"/>
          <w:sz w:val="24"/>
          <w:szCs w:val="24"/>
        </w:rPr>
      </w:pPr>
    </w:p>
    <w:p>
      <w:pPr>
        <w:tabs>
          <w:tab w:val="left" w:pos="1080"/>
        </w:tabs>
        <w:spacing w:line="440" w:lineRule="exact"/>
        <w:rPr>
          <w:rFonts w:hint="eastAsia" w:ascii="宋体" w:hAnsi="宋体"/>
          <w:b/>
          <w:bCs w:val="0"/>
          <w:sz w:val="24"/>
          <w:szCs w:val="24"/>
        </w:rPr>
      </w:pPr>
      <w:r>
        <w:rPr>
          <w:rFonts w:hint="eastAsia" w:ascii="宋体" w:hAnsi="宋体"/>
          <w:b/>
          <w:bCs w:val="0"/>
          <w:sz w:val="24"/>
          <w:szCs w:val="24"/>
        </w:rPr>
        <w:t>甲方（盖章）：北京市昌平区大运河白浮泉遗址管理服务中心</w:t>
      </w:r>
    </w:p>
    <w:p>
      <w:pPr>
        <w:spacing w:line="500" w:lineRule="exact"/>
        <w:rPr>
          <w:rFonts w:hint="eastAsia" w:ascii="宋体" w:hAnsi="宋体"/>
          <w:b/>
          <w:bCs w:val="0"/>
          <w:sz w:val="24"/>
          <w:szCs w:val="24"/>
        </w:rPr>
      </w:pPr>
      <w:r>
        <w:rPr>
          <w:rFonts w:hint="eastAsia" w:ascii="宋体" w:hAnsi="宋体"/>
          <w:b/>
          <w:bCs w:val="0"/>
          <w:sz w:val="24"/>
          <w:szCs w:val="24"/>
        </w:rPr>
        <w:t>法定代表人（或授权代表）签字：</w:t>
      </w:r>
    </w:p>
    <w:p>
      <w:pPr>
        <w:spacing w:line="500" w:lineRule="exact"/>
        <w:ind w:left="1411" w:hanging="1417" w:hangingChars="588"/>
        <w:rPr>
          <w:rFonts w:hint="eastAsia" w:ascii="宋体" w:hAnsi="宋体"/>
          <w:b/>
          <w:bCs w:val="0"/>
          <w:sz w:val="24"/>
          <w:szCs w:val="24"/>
        </w:rPr>
      </w:pPr>
      <w:r>
        <w:rPr>
          <w:rFonts w:hint="eastAsia" w:ascii="宋体" w:hAnsi="宋体"/>
          <w:b/>
          <w:bCs w:val="0"/>
          <w:sz w:val="24"/>
          <w:szCs w:val="24"/>
        </w:rPr>
        <w:t>联系电话：</w:t>
      </w:r>
      <w:r>
        <w:rPr>
          <w:rFonts w:hint="eastAsia" w:ascii="宋体" w:hAnsi="宋体"/>
          <w:b/>
          <w:bCs w:val="0"/>
          <w:sz w:val="24"/>
          <w:szCs w:val="24"/>
          <w:lang w:eastAsia="zh-CN"/>
        </w:rPr>
        <w:t xml:space="preserve"> (010)89705862</w:t>
      </w:r>
      <w:r>
        <w:rPr>
          <w:rFonts w:hint="eastAsia" w:ascii="宋体" w:hAnsi="宋体"/>
          <w:b/>
          <w:bCs w:val="0"/>
          <w:sz w:val="24"/>
          <w:szCs w:val="24"/>
          <w:lang w:val="en-US" w:eastAsia="zh-CN"/>
        </w:rPr>
        <w:t xml:space="preserve">  </w:t>
      </w:r>
    </w:p>
    <w:p>
      <w:pPr>
        <w:spacing w:line="500" w:lineRule="exact"/>
        <w:ind w:left="1411" w:hanging="1417" w:hangingChars="588"/>
        <w:rPr>
          <w:rFonts w:hint="default" w:ascii="宋体" w:hAnsi="宋体" w:eastAsia="宋体"/>
          <w:b/>
          <w:bCs w:val="0"/>
          <w:sz w:val="24"/>
          <w:szCs w:val="24"/>
          <w:lang w:val="en-US" w:eastAsia="zh-CN"/>
        </w:rPr>
      </w:pPr>
      <w:r>
        <w:rPr>
          <w:rFonts w:hint="eastAsia" w:ascii="宋体" w:hAnsi="宋体"/>
          <w:b/>
          <w:bCs w:val="0"/>
          <w:sz w:val="24"/>
          <w:szCs w:val="24"/>
        </w:rPr>
        <w:t>邮编：1022</w:t>
      </w:r>
      <w:r>
        <w:rPr>
          <w:rFonts w:hint="eastAsia" w:ascii="宋体" w:hAnsi="宋体"/>
          <w:b/>
          <w:bCs w:val="0"/>
          <w:sz w:val="24"/>
          <w:szCs w:val="24"/>
          <w:lang w:val="en-US" w:eastAsia="zh-CN"/>
        </w:rPr>
        <w:t>00</w:t>
      </w:r>
    </w:p>
    <w:p>
      <w:pPr>
        <w:spacing w:line="500" w:lineRule="exact"/>
        <w:rPr>
          <w:rFonts w:hint="eastAsia" w:ascii="宋体" w:hAnsi="宋体"/>
          <w:b/>
          <w:bCs w:val="0"/>
          <w:sz w:val="24"/>
          <w:szCs w:val="24"/>
          <w:lang w:eastAsia="zh-CN"/>
        </w:rPr>
      </w:pPr>
      <w:r>
        <w:rPr>
          <w:rFonts w:hint="eastAsia" w:ascii="宋体" w:hAnsi="宋体"/>
          <w:b/>
          <w:bCs w:val="0"/>
          <w:sz w:val="24"/>
          <w:szCs w:val="24"/>
        </w:rPr>
        <w:t>地址：</w:t>
      </w:r>
      <w:r>
        <w:rPr>
          <w:rFonts w:hint="eastAsia" w:ascii="宋体" w:hAnsi="宋体"/>
          <w:b/>
          <w:bCs w:val="0"/>
          <w:sz w:val="24"/>
          <w:szCs w:val="24"/>
          <w:lang w:val="en-US" w:eastAsia="zh-CN"/>
        </w:rPr>
        <w:t>北京市昌平区怀昌路153号</w:t>
      </w:r>
    </w:p>
    <w:p>
      <w:pPr>
        <w:spacing w:line="500" w:lineRule="exact"/>
        <w:rPr>
          <w:rFonts w:hint="eastAsia" w:ascii="宋体" w:hAnsi="宋体"/>
          <w:b/>
          <w:bCs w:val="0"/>
          <w:sz w:val="24"/>
          <w:szCs w:val="24"/>
        </w:rPr>
      </w:pPr>
      <w:r>
        <w:rPr>
          <w:rFonts w:hint="eastAsia" w:ascii="宋体" w:hAnsi="宋体"/>
          <w:b/>
          <w:bCs w:val="0"/>
          <w:sz w:val="24"/>
          <w:szCs w:val="24"/>
        </w:rPr>
        <w:t>日期：     年     月     日</w:t>
      </w:r>
    </w:p>
    <w:p>
      <w:pPr>
        <w:spacing w:line="500" w:lineRule="exact"/>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spacing w:line="500" w:lineRule="exact"/>
        <w:rPr>
          <w:rFonts w:ascii="宋体" w:hAnsi="宋体"/>
          <w:b/>
          <w:sz w:val="24"/>
          <w:szCs w:val="24"/>
        </w:rPr>
      </w:pPr>
      <w:r>
        <w:rPr>
          <w:rFonts w:hint="eastAsia" w:ascii="宋体" w:hAnsi="宋体"/>
          <w:b/>
          <w:sz w:val="24"/>
          <w:szCs w:val="24"/>
        </w:rPr>
        <w:t>乙方（盖章）：</w:t>
      </w:r>
    </w:p>
    <w:p>
      <w:pPr>
        <w:spacing w:line="500" w:lineRule="exact"/>
        <w:rPr>
          <w:rFonts w:ascii="宋体" w:hAnsi="宋体"/>
          <w:b/>
          <w:sz w:val="24"/>
          <w:szCs w:val="24"/>
        </w:rPr>
      </w:pPr>
      <w:r>
        <w:rPr>
          <w:rFonts w:hint="eastAsia" w:ascii="宋体" w:hAnsi="宋体"/>
          <w:b/>
          <w:sz w:val="24"/>
          <w:szCs w:val="24"/>
        </w:rPr>
        <w:t>法定代表人（或授权代表）签字：</w:t>
      </w:r>
    </w:p>
    <w:p>
      <w:pPr>
        <w:spacing w:line="500" w:lineRule="exact"/>
        <w:rPr>
          <w:rFonts w:ascii="宋体" w:hAnsi="宋体"/>
          <w:b/>
          <w:sz w:val="24"/>
          <w:szCs w:val="24"/>
        </w:rPr>
      </w:pPr>
      <w:r>
        <w:rPr>
          <w:rFonts w:hint="eastAsia" w:ascii="宋体" w:hAnsi="宋体"/>
          <w:b/>
          <w:sz w:val="24"/>
          <w:szCs w:val="24"/>
        </w:rPr>
        <w:t xml:space="preserve">联系电话： </w:t>
      </w:r>
    </w:p>
    <w:p>
      <w:pPr>
        <w:spacing w:line="500" w:lineRule="exact"/>
        <w:rPr>
          <w:rFonts w:ascii="宋体" w:hAnsi="宋体"/>
          <w:b/>
          <w:sz w:val="24"/>
          <w:szCs w:val="24"/>
        </w:rPr>
      </w:pPr>
      <w:r>
        <w:rPr>
          <w:rFonts w:hint="eastAsia" w:ascii="宋体" w:hAnsi="宋体"/>
          <w:b/>
          <w:sz w:val="24"/>
          <w:szCs w:val="24"/>
        </w:rPr>
        <w:t>开户行全称：</w:t>
      </w:r>
      <w:r>
        <w:rPr>
          <w:rFonts w:ascii="宋体" w:hAnsi="宋体" w:cs="宋体"/>
          <w:b/>
          <w:kern w:val="0"/>
          <w:sz w:val="24"/>
          <w:szCs w:val="24"/>
        </w:rPr>
        <w:t xml:space="preserve"> </w:t>
      </w:r>
    </w:p>
    <w:p>
      <w:pPr>
        <w:spacing w:line="500" w:lineRule="exact"/>
        <w:rPr>
          <w:rFonts w:hint="eastAsia" w:ascii="宋体" w:hAnsi="宋体"/>
          <w:b/>
          <w:sz w:val="24"/>
          <w:szCs w:val="24"/>
        </w:rPr>
      </w:pPr>
      <w:r>
        <w:rPr>
          <w:rFonts w:hint="eastAsia" w:ascii="宋体" w:hAnsi="宋体"/>
          <w:b/>
          <w:sz w:val="24"/>
          <w:szCs w:val="24"/>
        </w:rPr>
        <w:t>银行帐号：</w:t>
      </w:r>
    </w:p>
    <w:p>
      <w:pPr>
        <w:spacing w:line="500" w:lineRule="exact"/>
        <w:rPr>
          <w:rFonts w:ascii="宋体" w:hAnsi="宋体"/>
          <w:b/>
          <w:sz w:val="24"/>
          <w:szCs w:val="24"/>
        </w:rPr>
      </w:pPr>
      <w:r>
        <w:rPr>
          <w:rFonts w:hint="eastAsia" w:ascii="宋体" w:hAnsi="宋体"/>
          <w:b/>
          <w:sz w:val="24"/>
          <w:szCs w:val="24"/>
        </w:rPr>
        <w:t>邮编：</w:t>
      </w:r>
    </w:p>
    <w:p>
      <w:pPr>
        <w:spacing w:line="500" w:lineRule="exact"/>
        <w:rPr>
          <w:rFonts w:ascii="宋体" w:hAnsi="宋体"/>
          <w:b/>
          <w:sz w:val="24"/>
          <w:szCs w:val="24"/>
        </w:rPr>
      </w:pPr>
      <w:r>
        <w:rPr>
          <w:rFonts w:hint="eastAsia" w:ascii="宋体" w:hAnsi="宋体"/>
          <w:b/>
          <w:sz w:val="24"/>
          <w:szCs w:val="24"/>
        </w:rPr>
        <w:t>地址：</w:t>
      </w:r>
    </w:p>
    <w:p>
      <w:pPr>
        <w:spacing w:line="500" w:lineRule="exact"/>
        <w:rPr>
          <w:rFonts w:ascii="宋体" w:hAnsi="宋体"/>
          <w:b/>
          <w:sz w:val="24"/>
          <w:szCs w:val="24"/>
        </w:rPr>
      </w:pPr>
      <w:r>
        <w:rPr>
          <w:rFonts w:hint="eastAsia" w:ascii="宋体" w:hAnsi="宋体"/>
          <w:b/>
          <w:sz w:val="24"/>
          <w:szCs w:val="24"/>
        </w:rPr>
        <w:t>日期：     年     月     日</w:t>
      </w:r>
    </w:p>
    <w:p>
      <w:pPr>
        <w:spacing w:line="360" w:lineRule="auto"/>
        <w:jc w:val="center"/>
        <w:outlineLvl w:val="0"/>
        <w:rPr>
          <w:b/>
          <w:sz w:val="36"/>
          <w:szCs w:val="36"/>
        </w:rPr>
      </w:pPr>
      <w:r>
        <w:rPr>
          <w:b/>
          <w:sz w:val="36"/>
          <w:szCs w:val="36"/>
        </w:rPr>
        <w:br w:type="page"/>
      </w:r>
      <w:bookmarkStart w:id="811" w:name="_Toc99301426"/>
      <w:r>
        <w:rPr>
          <w:b/>
          <w:sz w:val="36"/>
          <w:szCs w:val="36"/>
        </w:rPr>
        <w:t>第七章   投标文件格式</w:t>
      </w:r>
      <w:bookmarkEnd w:id="811"/>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pStyle w:val="2"/>
        <w:rPr>
          <w:rFonts w:hint="eastAsia"/>
          <w:b/>
          <w:bCs w:val="0"/>
          <w:sz w:val="24"/>
        </w:rPr>
      </w:pPr>
      <w:r>
        <w:rPr>
          <w:rFonts w:hint="eastAsia"/>
          <w:b/>
          <w:bCs w:val="0"/>
          <w:sz w:val="24"/>
        </w:rPr>
        <w:t>投标人编制文件须知</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sz w:val="24"/>
        </w:rPr>
      </w:pPr>
      <w:r>
        <w:rPr>
          <w:rFonts w:hint="eastAsia"/>
          <w:b w:val="0"/>
          <w:bCs/>
          <w:sz w:val="24"/>
        </w:rPr>
        <w:t>1、投标人按照本部分的顺序编制投标文件（资格证明文件）、投标文件（商务技术文件），编制中涉及格式资料的，应按照本部分提供的内容和格式（所有表格的格式可扩展）填写提交。</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sz w:val="24"/>
        </w:rPr>
      </w:pPr>
      <w:r>
        <w:rPr>
          <w:rFonts w:hint="eastAsia"/>
          <w:b w:val="0"/>
          <w:bCs/>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 投标无效。未标记“实质性格式”的文件和招标文件未提供格式的内容，可由投标人自行编写。</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b w:val="0"/>
          <w:bCs/>
        </w:rPr>
      </w:pPr>
      <w:r>
        <w:rPr>
          <w:rFonts w:hint="eastAsia"/>
          <w:b w:val="0"/>
          <w:bCs/>
          <w:sz w:val="24"/>
        </w:rPr>
        <w:t>3、全部声明和问题的回答及所附材料必须是真实的、准确的和完整的。</w:t>
      </w:r>
    </w:p>
    <w:p>
      <w:pPr>
        <w:widowControl/>
        <w:jc w:val="left"/>
        <w:rPr>
          <w:sz w:val="24"/>
        </w:rPr>
      </w:pPr>
      <w:r>
        <w:rPr>
          <w:sz w:val="24"/>
        </w:rPr>
        <w:br w:type="page"/>
      </w:r>
    </w:p>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jc w:val="center"/>
        <w:rPr>
          <w:b/>
          <w:spacing w:val="60"/>
          <w:sz w:val="84"/>
          <w:szCs w:val="84"/>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361" w:firstLineChars="1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pPr>
        <w:spacing w:line="360" w:lineRule="auto"/>
        <w:outlineLvl w:val="2"/>
        <w:rPr>
          <w:color w:val="000000"/>
          <w:sz w:val="24"/>
          <w:szCs w:val="20"/>
        </w:rPr>
      </w:pPr>
      <w:r>
        <w:rPr>
          <w:color w:val="000000"/>
          <w:sz w:val="24"/>
          <w:szCs w:val="20"/>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7"/>
        <w:rPr>
          <w:rFonts w:ascii="Times New Roman"/>
          <w:b w:val="0"/>
          <w:bCs/>
          <w:color w:val="000000"/>
          <w:u w:val="none"/>
        </w:rPr>
      </w:pPr>
      <w:r>
        <w:rPr>
          <w:rFonts w:ascii="Times New Roman"/>
          <w:b w:val="0"/>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rFonts w:hint="default" w:eastAsia="宋体"/>
          <w:sz w:val="24"/>
          <w:lang w:val="en-US" w:eastAsia="zh-CN"/>
        </w:rPr>
      </w:pPr>
      <w:r>
        <w:rPr>
          <w:sz w:val="24"/>
        </w:rPr>
        <w:t>致：</w:t>
      </w:r>
      <w:r>
        <w:rPr>
          <w:rFonts w:hint="eastAsia"/>
          <w:sz w:val="24"/>
          <w:u w:val="single"/>
          <w:lang w:val="en-US" w:eastAsia="zh-CN"/>
        </w:rPr>
        <w:t>北京市昌平区政府采购中心</w:t>
      </w:r>
    </w:p>
    <w:p>
      <w:pPr>
        <w:spacing w:line="360" w:lineRule="auto"/>
        <w:ind w:firstLine="480" w:firstLineChars="200"/>
        <w:rPr>
          <w:sz w:val="24"/>
        </w:rPr>
      </w:pPr>
      <w:r>
        <w:rPr>
          <w:sz w:val="24"/>
        </w:rPr>
        <w:t>在参与本次项目投标中，我单位承诺：</w:t>
      </w:r>
    </w:p>
    <w:p>
      <w:pPr>
        <w:numPr>
          <w:ilvl w:val="0"/>
          <w:numId w:val="18"/>
        </w:numPr>
        <w:spacing w:line="360" w:lineRule="auto"/>
        <w:ind w:left="1134"/>
        <w:rPr>
          <w:sz w:val="24"/>
          <w:szCs w:val="22"/>
        </w:rPr>
      </w:pPr>
      <w:r>
        <w:rPr>
          <w:sz w:val="24"/>
          <w:szCs w:val="22"/>
        </w:rPr>
        <w:t>具有良好的商业信誉和健全的财务会计制度；</w:t>
      </w:r>
    </w:p>
    <w:p>
      <w:pPr>
        <w:numPr>
          <w:ilvl w:val="0"/>
          <w:numId w:val="18"/>
        </w:numPr>
        <w:spacing w:line="360" w:lineRule="auto"/>
        <w:ind w:left="1134"/>
        <w:rPr>
          <w:sz w:val="24"/>
          <w:szCs w:val="22"/>
        </w:rPr>
      </w:pPr>
      <w:r>
        <w:rPr>
          <w:sz w:val="24"/>
          <w:szCs w:val="22"/>
        </w:rPr>
        <w:t>具有履行合同所必需的设备和专业技术能力；</w:t>
      </w:r>
    </w:p>
    <w:p>
      <w:pPr>
        <w:numPr>
          <w:ilvl w:val="0"/>
          <w:numId w:val="18"/>
        </w:numPr>
        <w:spacing w:line="360" w:lineRule="auto"/>
        <w:ind w:left="1134"/>
        <w:rPr>
          <w:sz w:val="24"/>
          <w:szCs w:val="22"/>
        </w:rPr>
      </w:pPr>
      <w:r>
        <w:rPr>
          <w:sz w:val="24"/>
          <w:szCs w:val="22"/>
        </w:rPr>
        <w:t>有依法缴纳税收和社会保障资金的良好记录；</w:t>
      </w:r>
    </w:p>
    <w:p>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序号</w:t>
            </w:r>
          </w:p>
        </w:tc>
        <w:tc>
          <w:tcPr>
            <w:tcW w:w="4574" w:type="dxa"/>
            <w:noWrap w:val="0"/>
            <w:vAlign w:val="center"/>
          </w:tcPr>
          <w:p>
            <w:pPr>
              <w:jc w:val="center"/>
              <w:rPr>
                <w:sz w:val="24"/>
              </w:rPr>
            </w:pPr>
            <w:r>
              <w:rPr>
                <w:sz w:val="24"/>
              </w:rPr>
              <w:t>单位名称</w:t>
            </w:r>
          </w:p>
        </w:tc>
        <w:tc>
          <w:tcPr>
            <w:tcW w:w="2976" w:type="dxa"/>
            <w:noWrap w:val="0"/>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1</w:t>
            </w:r>
          </w:p>
        </w:tc>
        <w:tc>
          <w:tcPr>
            <w:tcW w:w="4574" w:type="dxa"/>
            <w:noWrap w:val="0"/>
            <w:vAlign w:val="center"/>
          </w:tcPr>
          <w:p>
            <w:pPr>
              <w:jc w:val="center"/>
              <w:rPr>
                <w:sz w:val="24"/>
              </w:rPr>
            </w:pPr>
          </w:p>
        </w:tc>
        <w:tc>
          <w:tcPr>
            <w:tcW w:w="2976"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2</w:t>
            </w:r>
          </w:p>
        </w:tc>
        <w:tc>
          <w:tcPr>
            <w:tcW w:w="4574" w:type="dxa"/>
            <w:noWrap w:val="0"/>
            <w:vAlign w:val="center"/>
          </w:tcPr>
          <w:p>
            <w:pPr>
              <w:jc w:val="center"/>
              <w:rPr>
                <w:sz w:val="24"/>
              </w:rPr>
            </w:pPr>
          </w:p>
        </w:tc>
        <w:tc>
          <w:tcPr>
            <w:tcW w:w="2976"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w:t>
            </w:r>
          </w:p>
        </w:tc>
        <w:tc>
          <w:tcPr>
            <w:tcW w:w="4574" w:type="dxa"/>
            <w:noWrap w:val="0"/>
            <w:vAlign w:val="center"/>
          </w:tcPr>
          <w:p>
            <w:pPr>
              <w:jc w:val="center"/>
              <w:rPr>
                <w:sz w:val="24"/>
              </w:rPr>
            </w:pPr>
          </w:p>
        </w:tc>
        <w:tc>
          <w:tcPr>
            <w:tcW w:w="2976" w:type="dxa"/>
            <w:noWrap w:val="0"/>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lang w:eastAsia="zh-CN"/>
        </w:rPr>
        <w:t>供应商</w:t>
      </w:r>
      <w:r>
        <w:rPr>
          <w:rFonts w:hint="eastAsia"/>
          <w:sz w:val="24"/>
        </w:rPr>
        <w:t>承诺不实的，依据《政府采购法》第七十七条“提供虚假材料谋取中标、成交的”有关规定予以处理</w:t>
      </w:r>
      <w:r>
        <w:rPr>
          <w:sz w:val="24"/>
        </w:rPr>
        <w:t>。</w:t>
      </w:r>
    </w:p>
    <w:p>
      <w:pPr>
        <w:tabs>
          <w:tab w:val="left" w:pos="5580"/>
        </w:tabs>
        <w:spacing w:line="360" w:lineRule="auto"/>
        <w:rPr>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color w:val="000000"/>
          <w:sz w:val="24"/>
          <w:szCs w:val="20"/>
        </w:rPr>
      </w:pPr>
      <w:r>
        <w:rPr>
          <w:color w:val="000000"/>
          <w:sz w:val="24"/>
          <w:szCs w:val="20"/>
        </w:rPr>
        <w:t>2 落实政府采购政策需满足的资格要求（如有）</w:t>
      </w:r>
    </w:p>
    <w:p>
      <w:pPr>
        <w:spacing w:line="360" w:lineRule="auto"/>
        <w:outlineLvl w:val="2"/>
        <w:rPr>
          <w:rFonts w:hint="eastAsia"/>
          <w:sz w:val="24"/>
        </w:rPr>
      </w:pPr>
      <w:r>
        <w:rPr>
          <w:color w:val="000000"/>
          <w:sz w:val="24"/>
          <w:szCs w:val="20"/>
        </w:rPr>
        <w:t>2-1</w:t>
      </w:r>
      <w:r>
        <w:rPr>
          <w:rFonts w:hint="eastAsia"/>
          <w:color w:val="000000"/>
          <w:sz w:val="24"/>
          <w:szCs w:val="20"/>
        </w:rPr>
        <w:t>中小企业证明文件</w:t>
      </w:r>
    </w:p>
    <w:p>
      <w:pPr>
        <w:tabs>
          <w:tab w:val="left" w:pos="5580"/>
        </w:tabs>
        <w:spacing w:line="360" w:lineRule="auto"/>
        <w:rPr>
          <w:rFonts w:hint="eastAsia"/>
          <w:sz w:val="24"/>
        </w:rPr>
      </w:pPr>
      <w:r>
        <w:rPr>
          <w:rFonts w:hint="eastAsia"/>
          <w:sz w:val="24"/>
        </w:rPr>
        <w:t>说明：</w:t>
      </w:r>
    </w:p>
    <w:p>
      <w:pPr>
        <w:tabs>
          <w:tab w:val="left" w:pos="5580"/>
        </w:tabs>
        <w:spacing w:line="360" w:lineRule="auto"/>
        <w:rPr>
          <w:rFonts w:hint="eastAsia"/>
          <w:sz w:val="24"/>
        </w:rPr>
      </w:pPr>
      <w:r>
        <w:rPr>
          <w:rFonts w:hint="eastAsia"/>
          <w:sz w:val="24"/>
        </w:rPr>
        <w:t>（1）如本项目（包）不专门面向中小企业预留采购份额，资格证明文件部分无需提供</w:t>
      </w:r>
    </w:p>
    <w:p>
      <w:pPr>
        <w:tabs>
          <w:tab w:val="left" w:pos="5580"/>
        </w:tabs>
        <w:spacing w:line="360" w:lineRule="auto"/>
        <w:rPr>
          <w:rFonts w:hint="eastAsia"/>
          <w:sz w:val="24"/>
        </w:rPr>
      </w:pPr>
      <w:r>
        <w:rPr>
          <w:rFonts w:hint="eastAsia"/>
          <w:sz w:val="24"/>
        </w:rPr>
        <w:t>《中小企业声明函》或《残疾人福利性单位声明函》或由省级以上监狱管理局、戒毒管</w:t>
      </w:r>
    </w:p>
    <w:p>
      <w:pPr>
        <w:tabs>
          <w:tab w:val="left" w:pos="5580"/>
        </w:tabs>
        <w:spacing w:line="360" w:lineRule="auto"/>
        <w:rPr>
          <w:rFonts w:hint="eastAsia"/>
          <w:sz w:val="24"/>
        </w:rPr>
      </w:pPr>
      <w:r>
        <w:rPr>
          <w:rFonts w:hint="eastAsia"/>
          <w:sz w:val="24"/>
        </w:rPr>
        <w:t>理局（含新疆生产建设兵团）出具的属于监狱企业的证明文件；</w:t>
      </w:r>
      <w:r>
        <w:rPr>
          <w:rFonts w:hint="eastAsia"/>
          <w:sz w:val="24"/>
          <w:lang w:eastAsia="zh-CN"/>
        </w:rPr>
        <w:t>供应商</w:t>
      </w:r>
      <w:r>
        <w:rPr>
          <w:rFonts w:hint="eastAsia"/>
          <w:sz w:val="24"/>
        </w:rPr>
        <w:t>如具有上述证明</w:t>
      </w:r>
    </w:p>
    <w:p>
      <w:pPr>
        <w:tabs>
          <w:tab w:val="left" w:pos="5580"/>
        </w:tabs>
        <w:spacing w:line="360" w:lineRule="auto"/>
        <w:rPr>
          <w:rFonts w:hint="eastAsia"/>
          <w:sz w:val="24"/>
        </w:rPr>
      </w:pPr>
      <w:r>
        <w:rPr>
          <w:rFonts w:hint="eastAsia"/>
          <w:sz w:val="24"/>
        </w:rPr>
        <w:t>文件，建议在商务技术文件中提供。</w:t>
      </w:r>
    </w:p>
    <w:p>
      <w:pPr>
        <w:tabs>
          <w:tab w:val="left" w:pos="5580"/>
        </w:tabs>
        <w:spacing w:line="360" w:lineRule="auto"/>
        <w:rPr>
          <w:rFonts w:hint="eastAsia"/>
          <w:b/>
          <w:bCs/>
          <w:sz w:val="24"/>
        </w:rPr>
      </w:pPr>
      <w:r>
        <w:rPr>
          <w:rFonts w:hint="eastAsia"/>
          <w:b/>
          <w:bCs/>
          <w:sz w:val="24"/>
        </w:rPr>
        <w:t>（2）如本项目（包）专门面向中小企业采购，投标文件中须提供《中小企业声明函》</w:t>
      </w:r>
    </w:p>
    <w:p>
      <w:pPr>
        <w:tabs>
          <w:tab w:val="left" w:pos="5580"/>
        </w:tabs>
        <w:spacing w:line="360" w:lineRule="auto"/>
        <w:rPr>
          <w:rFonts w:hint="eastAsia"/>
          <w:b/>
          <w:bCs/>
          <w:sz w:val="24"/>
        </w:rPr>
      </w:pPr>
      <w:r>
        <w:rPr>
          <w:rFonts w:hint="eastAsia"/>
          <w:b/>
          <w:bCs/>
          <w:sz w:val="24"/>
        </w:rPr>
        <w:t>或《残疾人福利性单位声明函》或由省级以上监狱管理局、戒毒管理局（含新疆生产建</w:t>
      </w:r>
    </w:p>
    <w:p>
      <w:pPr>
        <w:tabs>
          <w:tab w:val="left" w:pos="5580"/>
        </w:tabs>
        <w:spacing w:line="360" w:lineRule="auto"/>
        <w:rPr>
          <w:rFonts w:hint="eastAsia"/>
          <w:b/>
          <w:bCs/>
          <w:sz w:val="24"/>
        </w:rPr>
      </w:pPr>
      <w:r>
        <w:rPr>
          <w:rFonts w:hint="eastAsia"/>
          <w:b/>
          <w:bCs/>
          <w:sz w:val="24"/>
        </w:rPr>
        <w:t>设兵团）出具的属于监狱企业的证明文件，且建议在资格证明文件部分提供。</w:t>
      </w:r>
    </w:p>
    <w:p>
      <w:pPr>
        <w:tabs>
          <w:tab w:val="left" w:pos="5580"/>
        </w:tabs>
        <w:spacing w:line="360" w:lineRule="auto"/>
        <w:rPr>
          <w:rFonts w:hint="eastAsia"/>
          <w:sz w:val="24"/>
        </w:rPr>
      </w:pPr>
      <w:r>
        <w:rPr>
          <w:rFonts w:hint="eastAsia"/>
          <w:sz w:val="24"/>
        </w:rPr>
        <w:t>（3）如本项目（包）预留部分采购项目预算专门面向中小企业采购，且要求获得采购</w:t>
      </w:r>
    </w:p>
    <w:p>
      <w:pPr>
        <w:tabs>
          <w:tab w:val="left" w:pos="5580"/>
        </w:tabs>
        <w:spacing w:line="360" w:lineRule="auto"/>
        <w:rPr>
          <w:rFonts w:hint="eastAsia"/>
          <w:sz w:val="24"/>
        </w:rPr>
      </w:pPr>
      <w:r>
        <w:rPr>
          <w:rFonts w:hint="eastAsia"/>
          <w:sz w:val="24"/>
        </w:rPr>
        <w:t>合同的供应商将采购项目中的一定比例分包给一家或者多家中小企业的，投标文件中除</w:t>
      </w:r>
    </w:p>
    <w:p>
      <w:pPr>
        <w:tabs>
          <w:tab w:val="left" w:pos="5580"/>
        </w:tabs>
        <w:spacing w:line="360" w:lineRule="auto"/>
        <w:rPr>
          <w:rFonts w:hint="eastAsia"/>
          <w:sz w:val="24"/>
        </w:rPr>
      </w:pPr>
      <w:r>
        <w:rPr>
          <w:rFonts w:hint="eastAsia"/>
          <w:sz w:val="24"/>
        </w:rPr>
        <w:t>须提供《中小企业声明函》或《残疾人福利性单位声明函》或由省级以上监狱管理局、</w:t>
      </w:r>
    </w:p>
    <w:p>
      <w:pPr>
        <w:tabs>
          <w:tab w:val="left" w:pos="5580"/>
        </w:tabs>
        <w:spacing w:line="360" w:lineRule="auto"/>
        <w:rPr>
          <w:rFonts w:hint="eastAsia"/>
          <w:sz w:val="24"/>
        </w:rPr>
      </w:pPr>
      <w:r>
        <w:rPr>
          <w:rFonts w:hint="eastAsia"/>
          <w:sz w:val="24"/>
        </w:rPr>
        <w:t>戒毒管理局（含新疆生产建设兵团）出具的属于监狱企业的证明文件，还须同时提供《拟</w:t>
      </w:r>
    </w:p>
    <w:p>
      <w:pPr>
        <w:tabs>
          <w:tab w:val="left" w:pos="5580"/>
        </w:tabs>
        <w:spacing w:line="360" w:lineRule="auto"/>
        <w:rPr>
          <w:rFonts w:hint="eastAsia"/>
          <w:sz w:val="24"/>
        </w:rPr>
      </w:pPr>
      <w:r>
        <w:rPr>
          <w:rFonts w:hint="eastAsia"/>
          <w:sz w:val="24"/>
        </w:rPr>
        <w:t>分包情况说明》及《分包意向协议》，且建议在资格证明文件部分提供。</w:t>
      </w:r>
    </w:p>
    <w:p>
      <w:pPr>
        <w:tabs>
          <w:tab w:val="left" w:pos="5580"/>
        </w:tabs>
        <w:spacing w:line="360" w:lineRule="auto"/>
        <w:rPr>
          <w:rFonts w:hint="eastAsia"/>
          <w:sz w:val="24"/>
        </w:rPr>
      </w:pPr>
      <w:r>
        <w:rPr>
          <w:rFonts w:hint="eastAsia"/>
          <w:sz w:val="24"/>
        </w:rPr>
        <w:t>（4）如本项目（包）预留部分采购项目预算专门面向中小企业采购，且要求</w:t>
      </w:r>
      <w:r>
        <w:rPr>
          <w:rFonts w:hint="eastAsia"/>
          <w:sz w:val="24"/>
          <w:lang w:eastAsia="zh-CN"/>
        </w:rPr>
        <w:t>供应商</w:t>
      </w:r>
      <w:r>
        <w:rPr>
          <w:rFonts w:hint="eastAsia"/>
          <w:sz w:val="24"/>
        </w:rPr>
        <w:t>以联合体形式参加采购活动 ，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pPr>
        <w:tabs>
          <w:tab w:val="left" w:pos="5580"/>
        </w:tabs>
        <w:spacing w:line="360" w:lineRule="auto"/>
        <w:rPr>
          <w:rFonts w:hint="eastAsia"/>
          <w:sz w:val="24"/>
        </w:rPr>
      </w:pPr>
      <w:r>
        <w:rPr>
          <w:rFonts w:hint="eastAsia"/>
          <w:sz w:val="24"/>
        </w:rPr>
        <w:t>（5）中小企业声明函填写注意事项</w:t>
      </w:r>
    </w:p>
    <w:p>
      <w:pPr>
        <w:tabs>
          <w:tab w:val="left" w:pos="5580"/>
        </w:tabs>
        <w:spacing w:line="360" w:lineRule="auto"/>
        <w:ind w:firstLine="480" w:firstLineChars="200"/>
        <w:rPr>
          <w:rFonts w:hint="eastAsia"/>
          <w:sz w:val="24"/>
        </w:rPr>
      </w:pPr>
      <w:r>
        <w:rPr>
          <w:rFonts w:hint="eastAsia"/>
          <w:sz w:val="24"/>
        </w:rPr>
        <w:t>1）《中小企业声明函》由参加政府采购活动的投标人出具。联合体投标的，《中小企业声明函》可由牵头人出具。</w:t>
      </w:r>
    </w:p>
    <w:p>
      <w:pPr>
        <w:tabs>
          <w:tab w:val="left" w:pos="5580"/>
        </w:tabs>
        <w:spacing w:line="360" w:lineRule="auto"/>
        <w:ind w:firstLine="480" w:firstLineChars="200"/>
        <w:rPr>
          <w:rFonts w:hint="eastAsia"/>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ind w:firstLine="480" w:firstLineChars="200"/>
        <w:rPr>
          <w:rFonts w:hint="eastAsia"/>
          <w:sz w:val="24"/>
        </w:rPr>
      </w:pPr>
      <w:r>
        <w:rPr>
          <w:rFonts w:hint="eastAsia"/>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rFonts w:hint="eastAsia"/>
          <w:sz w:val="24"/>
        </w:rPr>
      </w:pPr>
      <w:r>
        <w:rPr>
          <w:rFonts w:hint="eastAsia"/>
          <w:sz w:val="24"/>
        </w:rPr>
        <w:t>（6）温馨提示：为方便广大中小企业识别企业规模类型，工业和信息化部组织开发了</w:t>
      </w:r>
    </w:p>
    <w:p>
      <w:pPr>
        <w:tabs>
          <w:tab w:val="left" w:pos="5580"/>
        </w:tabs>
        <w:spacing w:line="360" w:lineRule="auto"/>
        <w:rPr>
          <w:rFonts w:hint="eastAsia"/>
          <w:sz w:val="24"/>
        </w:rPr>
      </w:pPr>
      <w:r>
        <w:rPr>
          <w:rFonts w:hint="eastAsia"/>
          <w:sz w:val="24"/>
        </w:rPr>
        <w:t>中小企业规模类型自测小程序，在国务院客户端和工业和信息化部网站上均有链接，投</w:t>
      </w:r>
    </w:p>
    <w:p>
      <w:pPr>
        <w:tabs>
          <w:tab w:val="left" w:pos="5580"/>
        </w:tabs>
        <w:spacing w:line="360" w:lineRule="auto"/>
        <w:rPr>
          <w:rFonts w:hint="eastAsia"/>
          <w:sz w:val="24"/>
        </w:rPr>
      </w:pPr>
      <w:r>
        <w:rPr>
          <w:rFonts w:hint="eastAsia"/>
          <w:sz w:val="24"/>
        </w:rPr>
        <w:t>标人填写所属的行业和指标数据可自动生成企业规模类型测试结果。本项目中小企业划</w:t>
      </w:r>
    </w:p>
    <w:p>
      <w:pPr>
        <w:tabs>
          <w:tab w:val="left" w:pos="5580"/>
        </w:tabs>
        <w:spacing w:line="360" w:lineRule="auto"/>
        <w:rPr>
          <w:rFonts w:hint="eastAsia"/>
          <w:sz w:val="24"/>
        </w:rPr>
      </w:pPr>
      <w:r>
        <w:rPr>
          <w:rFonts w:hint="eastAsia"/>
          <w:sz w:val="24"/>
        </w:rPr>
        <w:t>分标准所属行业详见第二章《投标人须知资料表》，如在该程序中未找到本项目文件规</w:t>
      </w:r>
    </w:p>
    <w:p>
      <w:pPr>
        <w:tabs>
          <w:tab w:val="left" w:pos="5580"/>
        </w:tabs>
        <w:spacing w:line="360" w:lineRule="auto"/>
        <w:rPr>
          <w:rFonts w:hint="eastAsia"/>
          <w:sz w:val="24"/>
        </w:rPr>
      </w:pPr>
      <w:r>
        <w:rPr>
          <w:rFonts w:hint="eastAsia"/>
          <w:sz w:val="24"/>
        </w:rPr>
        <w:t>定的中小企业划分标准所属行业，则按照《关于印发中小企业划型标准规定的通知（工</w:t>
      </w:r>
    </w:p>
    <w:p>
      <w:pPr>
        <w:tabs>
          <w:tab w:val="left" w:pos="5580"/>
        </w:tabs>
        <w:spacing w:line="360" w:lineRule="auto"/>
        <w:rPr>
          <w:sz w:val="24"/>
        </w:rPr>
      </w:pPr>
      <w:r>
        <w:rPr>
          <w:rFonts w:hint="eastAsia"/>
          <w:sz w:val="24"/>
        </w:rPr>
        <w:t>信部联企业﹝2011﹞300 号）》及本项目文件规定的中小企业划分标准所属行业执行。</w:t>
      </w:r>
    </w:p>
    <w:p>
      <w:pPr>
        <w:widowControl/>
        <w:jc w:val="left"/>
        <w:rPr>
          <w:sz w:val="24"/>
        </w:rPr>
      </w:pPr>
      <w:r>
        <w:rPr>
          <w:sz w:val="24"/>
        </w:rPr>
        <w:br w:type="page"/>
      </w:r>
    </w:p>
    <w:p>
      <w:pPr>
        <w:spacing w:line="360" w:lineRule="auto"/>
        <w:outlineLvl w:val="2"/>
        <w:rPr>
          <w:rFonts w:hint="eastAsia"/>
          <w:color w:val="000000"/>
          <w:sz w:val="24"/>
          <w:szCs w:val="20"/>
        </w:rPr>
      </w:pPr>
      <w:r>
        <w:rPr>
          <w:rFonts w:hint="eastAsia"/>
          <w:color w:val="000000"/>
          <w:sz w:val="24"/>
          <w:szCs w:val="20"/>
          <w:lang w:val="en-US" w:eastAsia="zh-CN"/>
        </w:rPr>
        <w:t>2-1-1</w:t>
      </w:r>
      <w:r>
        <w:rPr>
          <w:rFonts w:hint="eastAsia"/>
          <w:color w:val="000000"/>
          <w:sz w:val="24"/>
          <w:szCs w:val="20"/>
        </w:rPr>
        <w:t>中小企业声明函及残疾人福利性单位声明函格式</w:t>
      </w:r>
    </w:p>
    <w:p>
      <w:pPr>
        <w:spacing w:before="240" w:beforeLines="100" w:after="240" w:afterLines="100" w:line="360" w:lineRule="auto"/>
        <w:jc w:val="center"/>
        <w:rPr>
          <w:b/>
          <w:color w:val="auto"/>
          <w:sz w:val="36"/>
          <w:szCs w:val="36"/>
        </w:rPr>
      </w:pPr>
      <w:r>
        <w:rPr>
          <w:rFonts w:hint="eastAsia"/>
          <w:b/>
          <w:bCs/>
          <w:color w:val="auto"/>
          <w:sz w:val="36"/>
          <w:szCs w:val="36"/>
        </w:rPr>
        <w:t>中小企业声明函（</w:t>
      </w:r>
      <w:r>
        <w:rPr>
          <w:rFonts w:hint="eastAsia"/>
          <w:b/>
          <w:bCs/>
          <w:color w:val="auto"/>
          <w:sz w:val="36"/>
          <w:szCs w:val="36"/>
          <w:lang w:eastAsia="zh-CN"/>
        </w:rPr>
        <w:t>服务</w:t>
      </w:r>
      <w:r>
        <w:rPr>
          <w:rFonts w:hint="eastAsia"/>
          <w:b/>
          <w:bCs/>
          <w:color w:val="auto"/>
          <w:sz w:val="36"/>
          <w:szCs w:val="36"/>
        </w:rPr>
        <w:t>）格式</w:t>
      </w:r>
    </w:p>
    <w:p>
      <w:pPr>
        <w:spacing w:line="360" w:lineRule="auto"/>
        <w:ind w:firstLine="504"/>
        <w:rPr>
          <w:color w:val="auto"/>
          <w:spacing w:val="6"/>
          <w:sz w:val="24"/>
        </w:rPr>
      </w:pPr>
      <w:r>
        <w:rPr>
          <w:color w:val="auto"/>
          <w:spacing w:val="6"/>
          <w:sz w:val="24"/>
        </w:rPr>
        <w:t>本公司（联合体）郑重声明，根据《政府采购促进中小企业发展管理办法》（财库﹝2020﹞46 号）的规定，本公司（联合体）参加（单位名称）的（项目名称）采购活动，提供的</w:t>
      </w:r>
      <w:r>
        <w:rPr>
          <w:rFonts w:hint="eastAsia"/>
          <w:color w:val="auto"/>
          <w:spacing w:val="6"/>
          <w:sz w:val="24"/>
          <w:lang w:eastAsia="zh-CN"/>
        </w:rPr>
        <w:t>服务</w:t>
      </w:r>
      <w:r>
        <w:rPr>
          <w:color w:val="auto"/>
          <w:spacing w:val="6"/>
          <w:sz w:val="24"/>
        </w:rPr>
        <w:t>全部由符合政策要求的中小企业</w:t>
      </w:r>
      <w:r>
        <w:rPr>
          <w:rFonts w:hint="eastAsia"/>
          <w:color w:val="auto"/>
          <w:spacing w:val="6"/>
          <w:sz w:val="24"/>
          <w:lang w:eastAsia="zh-CN"/>
        </w:rPr>
        <w:t>承接</w:t>
      </w:r>
      <w:r>
        <w:rPr>
          <w:color w:val="auto"/>
          <w:spacing w:val="6"/>
          <w:sz w:val="24"/>
        </w:rPr>
        <w:t>。相关企业（含联合体中的中小企业、签订分包意向协议的中小企业）的具体情况如下：</w:t>
      </w:r>
    </w:p>
    <w:p>
      <w:pPr>
        <w:spacing w:line="360" w:lineRule="auto"/>
        <w:ind w:firstLine="504"/>
        <w:rPr>
          <w:color w:val="auto"/>
          <w:spacing w:val="6"/>
          <w:sz w:val="24"/>
        </w:rPr>
      </w:pPr>
      <w:r>
        <w:rPr>
          <w:color w:val="auto"/>
          <w:spacing w:val="6"/>
          <w:sz w:val="24"/>
        </w:rPr>
        <w:t>1.</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w:t>
      </w:r>
      <w:r>
        <w:rPr>
          <w:rFonts w:hint="eastAsia"/>
          <w:color w:val="auto"/>
          <w:spacing w:val="6"/>
          <w:sz w:val="24"/>
          <w:lang w:eastAsia="zh-CN"/>
        </w:rPr>
        <w:t>承接企业</w:t>
      </w:r>
      <w:r>
        <w:rPr>
          <w:color w:val="auto"/>
          <w:spacing w:val="6"/>
          <w:sz w:val="24"/>
        </w:rPr>
        <w:t>为</w:t>
      </w:r>
      <w:r>
        <w:rPr>
          <w:color w:val="auto"/>
          <w:spacing w:val="6"/>
          <w:sz w:val="24"/>
          <w:u w:val="single"/>
        </w:rPr>
        <w:t>（企业名称）</w:t>
      </w:r>
      <w:r>
        <w:rPr>
          <w:color w:val="auto"/>
          <w:spacing w:val="6"/>
          <w:sz w:val="24"/>
        </w:rPr>
        <w:t>，从业人员______人，营业收入为______万元，资产总额为______万元</w:t>
      </w:r>
      <w:r>
        <w:rPr>
          <w:color w:val="auto"/>
          <w:spacing w:val="6"/>
          <w:sz w:val="24"/>
          <w:vertAlign w:val="superscript"/>
        </w:rPr>
        <w:t>1</w:t>
      </w:r>
      <w:r>
        <w:rPr>
          <w:color w:val="auto"/>
          <w:spacing w:val="6"/>
          <w:sz w:val="24"/>
        </w:rPr>
        <w:t>，属于</w:t>
      </w:r>
      <w:r>
        <w:rPr>
          <w:rFonts w:hint="eastAsia"/>
          <w:color w:val="auto"/>
          <w:spacing w:val="6"/>
          <w:sz w:val="24"/>
          <w:u w:val="single"/>
          <w:lang w:val="en-US" w:eastAsia="zh-CN"/>
        </w:rPr>
        <w:t xml:space="preserve">              </w:t>
      </w:r>
      <w:r>
        <w:rPr>
          <w:color w:val="auto"/>
          <w:spacing w:val="6"/>
          <w:sz w:val="24"/>
        </w:rPr>
        <w:t>（中型企业、小型企业、微型企业）；</w:t>
      </w:r>
    </w:p>
    <w:p>
      <w:pPr>
        <w:spacing w:line="360" w:lineRule="auto"/>
        <w:ind w:firstLine="504"/>
        <w:rPr>
          <w:color w:val="auto"/>
          <w:spacing w:val="6"/>
          <w:sz w:val="24"/>
        </w:rPr>
      </w:pPr>
      <w:r>
        <w:rPr>
          <w:color w:val="auto"/>
          <w:spacing w:val="6"/>
          <w:sz w:val="24"/>
        </w:rPr>
        <w:t>2.</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w:t>
      </w:r>
      <w:r>
        <w:rPr>
          <w:rFonts w:hint="eastAsia"/>
          <w:color w:val="auto"/>
          <w:spacing w:val="6"/>
          <w:sz w:val="24"/>
          <w:lang w:eastAsia="zh-CN"/>
        </w:rPr>
        <w:t>承接企业</w:t>
      </w:r>
      <w:r>
        <w:rPr>
          <w:color w:val="auto"/>
          <w:spacing w:val="6"/>
          <w:sz w:val="24"/>
        </w:rPr>
        <w:t>为</w:t>
      </w:r>
      <w:r>
        <w:rPr>
          <w:color w:val="auto"/>
          <w:spacing w:val="6"/>
          <w:sz w:val="24"/>
          <w:u w:val="single"/>
        </w:rPr>
        <w:t>（企业名称）</w:t>
      </w:r>
      <w:r>
        <w:rPr>
          <w:color w:val="auto"/>
          <w:spacing w:val="6"/>
          <w:sz w:val="24"/>
        </w:rPr>
        <w:t>，从业人员______人，营业收入为______万元，资产总额为______万元，属于</w:t>
      </w:r>
      <w:r>
        <w:rPr>
          <w:rFonts w:hint="eastAsia"/>
          <w:color w:val="auto"/>
          <w:spacing w:val="6"/>
          <w:sz w:val="24"/>
          <w:lang w:val="en-US" w:eastAsia="zh-CN"/>
        </w:rPr>
        <w:t xml:space="preserve"> </w:t>
      </w:r>
      <w:r>
        <w:rPr>
          <w:rFonts w:hint="eastAsia"/>
          <w:color w:val="auto"/>
          <w:spacing w:val="6"/>
          <w:sz w:val="24"/>
          <w:u w:val="single"/>
          <w:lang w:val="en-US" w:eastAsia="zh-CN"/>
        </w:rPr>
        <w:t xml:space="preserve">              </w:t>
      </w:r>
      <w:r>
        <w:rPr>
          <w:color w:val="auto"/>
          <w:spacing w:val="6"/>
          <w:sz w:val="24"/>
          <w:u w:val="none"/>
        </w:rPr>
        <w:t>（中型企业、小型企业、微型企业）</w:t>
      </w:r>
      <w:r>
        <w:rPr>
          <w:color w:val="auto"/>
          <w:spacing w:val="6"/>
          <w:sz w:val="24"/>
        </w:rPr>
        <w:t>；</w:t>
      </w:r>
    </w:p>
    <w:p>
      <w:pPr>
        <w:spacing w:line="360" w:lineRule="auto"/>
        <w:ind w:firstLine="504"/>
        <w:rPr>
          <w:color w:val="auto"/>
          <w:spacing w:val="6"/>
          <w:sz w:val="24"/>
        </w:rPr>
      </w:pPr>
      <w:r>
        <w:rPr>
          <w:color w:val="auto"/>
          <w:spacing w:val="6"/>
          <w:sz w:val="24"/>
        </w:rPr>
        <w:t>……</w:t>
      </w:r>
    </w:p>
    <w:p>
      <w:pPr>
        <w:spacing w:line="360" w:lineRule="auto"/>
        <w:ind w:firstLine="504"/>
        <w:rPr>
          <w:color w:val="auto"/>
          <w:spacing w:val="6"/>
          <w:sz w:val="24"/>
        </w:rPr>
      </w:pPr>
      <w:r>
        <w:rPr>
          <w:color w:val="auto"/>
          <w:spacing w:val="6"/>
          <w:sz w:val="24"/>
        </w:rPr>
        <w:t>以上企业，不属于大企业的分支机构，不存在控股股东为大企业的情形，也不存在与大企业的负责人为同一人的情形。</w:t>
      </w:r>
    </w:p>
    <w:p>
      <w:pPr>
        <w:spacing w:line="360" w:lineRule="auto"/>
        <w:ind w:firstLine="504"/>
        <w:rPr>
          <w:color w:val="auto"/>
          <w:spacing w:val="6"/>
          <w:sz w:val="24"/>
        </w:rPr>
      </w:pPr>
      <w:r>
        <w:rPr>
          <w:color w:val="auto"/>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1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line="360" w:lineRule="auto"/>
        <w:ind w:right="360" w:firstLine="480"/>
        <w:jc w:val="right"/>
        <w:rPr>
          <w:color w:val="000000"/>
          <w:sz w:val="24"/>
        </w:rPr>
      </w:pPr>
      <w:r>
        <w:rPr>
          <w:color w:val="000000"/>
          <w:sz w:val="24"/>
        </w:rPr>
        <w:br w:type="page"/>
      </w:r>
    </w:p>
    <w:p>
      <w:pPr>
        <w:spacing w:line="360" w:lineRule="auto"/>
        <w:ind w:right="360" w:firstLine="480"/>
        <w:jc w:val="right"/>
        <w:rPr>
          <w:color w:val="000000"/>
          <w:sz w:val="24"/>
        </w:rPr>
      </w:pPr>
    </w:p>
    <w:p>
      <w:pPr>
        <w:spacing w:line="360" w:lineRule="auto"/>
        <w:jc w:val="center"/>
        <w:outlineLvl w:val="2"/>
        <w:rPr>
          <w:b/>
          <w:color w:val="000000"/>
          <w:sz w:val="36"/>
          <w:szCs w:val="36"/>
        </w:rPr>
      </w:pPr>
      <w:r>
        <w:rPr>
          <w:rFonts w:hint="eastAsia"/>
          <w:b/>
          <w:bCs/>
          <w:color w:val="000000"/>
          <w:sz w:val="36"/>
          <w:szCs w:val="36"/>
        </w:rPr>
        <w:t>残疾人福利性单位声明函格式</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rPr>
      </w:pPr>
      <w:r>
        <w:rPr>
          <w:b/>
          <w:color w:val="auto"/>
          <w:spacing w:val="6"/>
          <w:sz w:val="24"/>
        </w:rPr>
        <w:t>本单位对上述声明的真实性负责。如有虚假，将依法承担相应责任。</w:t>
      </w:r>
    </w:p>
    <w:p>
      <w:pPr>
        <w:spacing w:line="588" w:lineRule="exact"/>
        <w:ind w:firstLine="504" w:firstLineChars="200"/>
        <w:rPr>
          <w:color w:val="auto"/>
          <w:spacing w:val="6"/>
          <w:sz w:val="24"/>
        </w:rPr>
      </w:pPr>
    </w:p>
    <w:p>
      <w:pPr>
        <w:spacing w:line="588" w:lineRule="exact"/>
        <w:ind w:firstLine="504" w:firstLineChars="200"/>
        <w:rPr>
          <w:color w:val="auto"/>
          <w:spacing w:val="6"/>
          <w:sz w:val="24"/>
        </w:rPr>
      </w:pPr>
    </w:p>
    <w:p>
      <w:pPr>
        <w:tabs>
          <w:tab w:val="left" w:pos="4860"/>
        </w:tabs>
        <w:spacing w:line="588" w:lineRule="exact"/>
        <w:ind w:right="1560" w:firstLine="504" w:firstLineChars="200"/>
        <w:jc w:val="center"/>
        <w:rPr>
          <w:color w:val="auto"/>
          <w:spacing w:val="6"/>
          <w:sz w:val="24"/>
        </w:rPr>
      </w:pPr>
      <w:r>
        <w:rPr>
          <w:color w:val="auto"/>
          <w:spacing w:val="6"/>
          <w:sz w:val="24"/>
        </w:rPr>
        <w:t xml:space="preserve">               单位名称（盖章）：</w:t>
      </w:r>
    </w:p>
    <w:p>
      <w:pPr>
        <w:tabs>
          <w:tab w:val="left" w:pos="4860"/>
        </w:tabs>
        <w:spacing w:line="588" w:lineRule="exact"/>
        <w:ind w:right="1560" w:firstLine="504" w:firstLineChars="200"/>
        <w:jc w:val="center"/>
        <w:rPr>
          <w:color w:val="auto"/>
          <w:spacing w:val="6"/>
          <w:sz w:val="24"/>
        </w:rPr>
      </w:pPr>
      <w:r>
        <w:rPr>
          <w:color w:val="auto"/>
          <w:spacing w:val="6"/>
          <w:sz w:val="24"/>
        </w:rPr>
        <w:t xml:space="preserve">       日  期：</w:t>
      </w:r>
    </w:p>
    <w:p>
      <w:pPr>
        <w:widowControl/>
        <w:jc w:val="left"/>
        <w:rPr>
          <w:rFonts w:ascii="宋体" w:hAnsi="宋体" w:eastAsia="宋体" w:cs="宋体"/>
          <w:sz w:val="24"/>
          <w:szCs w:val="24"/>
        </w:rPr>
      </w:pPr>
    </w:p>
    <w:p>
      <w:pPr>
        <w:widowControl/>
        <w:jc w:val="left"/>
        <w:rPr>
          <w:rFonts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r>
        <w:rPr>
          <w:rFonts w:hint="eastAsia"/>
          <w:b/>
          <w:bCs/>
          <w:color w:val="000000"/>
          <w:sz w:val="36"/>
          <w:szCs w:val="36"/>
        </w:rPr>
        <w:t xml:space="preserve">监狱企业证明文件 </w:t>
      </w: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color w:val="0000FF"/>
          <w:sz w:val="24"/>
          <w:szCs w:val="20"/>
        </w:rPr>
      </w:pPr>
      <w:r>
        <w:rPr>
          <w:rFonts w:hint="eastAsia"/>
          <w:b/>
          <w:bCs/>
          <w:color w:val="000000"/>
          <w:sz w:val="36"/>
          <w:szCs w:val="36"/>
        </w:rPr>
        <w:br w:type="textWrapping"/>
      </w:r>
      <w:r>
        <w:rPr>
          <w:rFonts w:ascii="宋体" w:hAnsi="宋体" w:eastAsia="宋体" w:cs="宋体"/>
          <w:sz w:val="24"/>
          <w:szCs w:val="24"/>
        </w:rPr>
        <w:t>　</w:t>
      </w:r>
      <w:r>
        <w:rPr>
          <w:rFonts w:hint="eastAsia" w:ascii="宋体" w:hAnsi="宋体" w:cs="宋体"/>
          <w:sz w:val="24"/>
          <w:szCs w:val="24"/>
          <w:lang w:val="en-US" w:eastAsia="zh-CN"/>
        </w:rPr>
        <w:t xml:space="preserve"> </w:t>
      </w:r>
      <w:r>
        <w:rPr>
          <w:rFonts w:ascii="宋体" w:hAnsi="宋体" w:eastAsia="宋体" w:cs="宋体"/>
          <w:sz w:val="24"/>
          <w:szCs w:val="24"/>
        </w:rPr>
        <w:t xml:space="preserve">说明： </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 xml:space="preserve">监狱企业参加政府采购活动时，应当提供由省级以上监狱管理局、戒毒管理局(含新疆生产建设兵团)出具的属于监狱企业的证明文件。 </w:t>
      </w:r>
      <w:r>
        <w:rPr>
          <w:color w:val="0000FF"/>
          <w:sz w:val="24"/>
          <w:szCs w:val="20"/>
        </w:rPr>
        <w:br w:type="page"/>
      </w:r>
    </w:p>
    <w:p>
      <w:pPr>
        <w:pStyle w:val="2"/>
      </w:pPr>
    </w:p>
    <w:p>
      <w:pPr>
        <w:spacing w:line="360" w:lineRule="auto"/>
        <w:outlineLvl w:val="2"/>
        <w:rPr>
          <w:color w:val="000000"/>
          <w:sz w:val="24"/>
          <w:szCs w:val="20"/>
        </w:rPr>
      </w:pPr>
      <w:r>
        <w:rPr>
          <w:color w:val="000000"/>
          <w:sz w:val="24"/>
          <w:szCs w:val="20"/>
        </w:rPr>
        <w:t>2-</w:t>
      </w:r>
      <w:r>
        <w:rPr>
          <w:rFonts w:hint="eastAsia"/>
          <w:color w:val="000000"/>
          <w:sz w:val="24"/>
          <w:szCs w:val="20"/>
          <w:lang w:val="en-US" w:eastAsia="zh-CN"/>
        </w:rPr>
        <w:t>2</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spacing w:line="360" w:lineRule="auto"/>
        <w:outlineLvl w:val="2"/>
        <w:rPr>
          <w:sz w:val="24"/>
        </w:rPr>
      </w:pPr>
      <w:r>
        <w:rPr>
          <w:color w:val="000000"/>
          <w:sz w:val="24"/>
          <w:szCs w:val="20"/>
        </w:rPr>
        <w:t xml:space="preserve">3 </w:t>
      </w:r>
      <w:r>
        <w:rPr>
          <w:sz w:val="24"/>
        </w:rPr>
        <w:t>本项目的特定资格要求</w:t>
      </w:r>
      <w:r>
        <w:rPr>
          <w:color w:val="000000"/>
          <w:sz w:val="24"/>
          <w:szCs w:val="20"/>
        </w:rPr>
        <w:t>（如有）</w:t>
      </w:r>
    </w:p>
    <w:p>
      <w:pPr>
        <w:spacing w:line="360" w:lineRule="auto"/>
        <w:outlineLvl w:val="2"/>
        <w:rPr>
          <w:sz w:val="24"/>
          <w:szCs w:val="20"/>
        </w:rPr>
      </w:pPr>
      <w:r>
        <w:rPr>
          <w:color w:val="000000"/>
          <w:sz w:val="24"/>
          <w:szCs w:val="20"/>
        </w:rPr>
        <w:t>3-</w:t>
      </w:r>
      <w:r>
        <w:rPr>
          <w:rFonts w:hint="eastAsia"/>
          <w:color w:val="000000"/>
          <w:sz w:val="24"/>
          <w:szCs w:val="20"/>
          <w:lang w:val="en-US" w:eastAsia="zh-CN"/>
        </w:rPr>
        <w:t>1</w:t>
      </w:r>
      <w:r>
        <w:rPr>
          <w:color w:val="000000"/>
          <w:sz w:val="24"/>
          <w:szCs w:val="20"/>
        </w:rPr>
        <w:t>其他</w:t>
      </w:r>
      <w:r>
        <w:rPr>
          <w:sz w:val="24"/>
          <w:szCs w:val="20"/>
        </w:rPr>
        <w:t>特定资格要求</w:t>
      </w:r>
    </w:p>
    <w:p>
      <w:pPr>
        <w:widowControl/>
        <w:jc w:val="left"/>
        <w:rPr>
          <w:sz w:val="24"/>
          <w:szCs w:val="20"/>
        </w:rPr>
      </w:pPr>
      <w:r>
        <w:rPr>
          <w:sz w:val="24"/>
          <w:szCs w:val="20"/>
        </w:rPr>
        <w:br w:type="page"/>
      </w:r>
    </w:p>
    <w:p>
      <w:pPr>
        <w:widowControl/>
        <w:jc w:val="left"/>
        <w:rPr>
          <w:b/>
          <w:spacing w:val="20"/>
          <w:sz w:val="24"/>
        </w:rPr>
      </w:pPr>
      <w:r>
        <w:rPr>
          <w:b/>
          <w:spacing w:val="20"/>
          <w:sz w:val="24"/>
        </w:rPr>
        <w:t>二、商务技术文件格式</w:t>
      </w:r>
    </w:p>
    <w:p>
      <w:pPr>
        <w:jc w:val="center"/>
        <w:rPr>
          <w:szCs w:val="21"/>
        </w:rPr>
      </w:pPr>
    </w:p>
    <w:p>
      <w:pPr>
        <w:jc w:val="center"/>
        <w:rPr>
          <w:b/>
          <w:spacing w:val="60"/>
          <w:sz w:val="84"/>
          <w:szCs w:val="84"/>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723" w:firstLineChars="2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spacing w:line="360" w:lineRule="auto"/>
        <w:outlineLvl w:val="2"/>
        <w:rPr>
          <w:color w:val="000000"/>
          <w:sz w:val="24"/>
          <w:szCs w:val="20"/>
        </w:rPr>
      </w:pPr>
      <w:bookmarkStart w:id="812" w:name="_Hlt520274393"/>
      <w:bookmarkEnd w:id="812"/>
      <w:bookmarkStart w:id="813" w:name="_Hlt520355504"/>
      <w:bookmarkEnd w:id="813"/>
      <w:bookmarkStart w:id="814" w:name="_Hlt520274407"/>
      <w:bookmarkEnd w:id="814"/>
      <w:bookmarkStart w:id="815" w:name="_Hlt520350918"/>
      <w:bookmarkEnd w:id="815"/>
      <w:bookmarkStart w:id="816" w:name="_Hlt520271212"/>
      <w:bookmarkEnd w:id="816"/>
      <w:bookmarkStart w:id="817" w:name="_Hlt520343000"/>
      <w:bookmarkEnd w:id="817"/>
      <w:bookmarkStart w:id="818" w:name="_Hlt520343392"/>
      <w:bookmarkEnd w:id="818"/>
      <w:bookmarkStart w:id="819" w:name="_Hlt520273711"/>
      <w:bookmarkEnd w:id="819"/>
      <w:bookmarkStart w:id="820" w:name="_Hlt520274065"/>
      <w:bookmarkEnd w:id="820"/>
      <w:bookmarkStart w:id="821" w:name="_Hlt520274121"/>
      <w:bookmarkEnd w:id="821"/>
      <w:bookmarkStart w:id="822" w:name="_Toc480942349"/>
      <w:bookmarkStart w:id="823" w:name="_Ref467988698"/>
      <w:bookmarkStart w:id="824" w:name="_Toc226965746"/>
      <w:bookmarkStart w:id="825" w:name="_Toc150774761"/>
      <w:bookmarkStart w:id="826" w:name="_Toc226337252"/>
      <w:bookmarkStart w:id="827" w:name="_Toc520356217"/>
      <w:bookmarkStart w:id="828" w:name="_Toc150480794"/>
      <w:bookmarkStart w:id="829" w:name="_Toc195842921"/>
      <w:bookmarkStart w:id="830" w:name="_Toc226965829"/>
      <w:bookmarkStart w:id="831" w:name="_Toc142311058"/>
      <w:bookmarkStart w:id="832" w:name="_Toc226309800"/>
      <w:bookmarkStart w:id="833" w:name="_Toc127151556"/>
      <w:r>
        <w:rPr>
          <w:color w:val="000000"/>
          <w:sz w:val="24"/>
        </w:rPr>
        <w:t>1</w:t>
      </w:r>
      <w:r>
        <w:rPr>
          <w:color w:val="000000"/>
          <w:sz w:val="24"/>
          <w:szCs w:val="20"/>
        </w:rPr>
        <w:t xml:space="preserve">  </w:t>
      </w:r>
      <w:r>
        <w:rPr>
          <w:color w:val="000000"/>
          <w:sz w:val="24"/>
        </w:rPr>
        <w:t>投标</w:t>
      </w:r>
      <w:bookmarkEnd w:id="822"/>
      <w:bookmarkEnd w:id="823"/>
      <w:r>
        <w:rPr>
          <w:color w:val="000000"/>
          <w:sz w:val="24"/>
        </w:rPr>
        <w:t>书</w:t>
      </w:r>
      <w:bookmarkEnd w:id="824"/>
      <w:bookmarkEnd w:id="825"/>
      <w:bookmarkEnd w:id="826"/>
      <w:bookmarkEnd w:id="827"/>
      <w:bookmarkEnd w:id="828"/>
      <w:bookmarkEnd w:id="829"/>
      <w:bookmarkEnd w:id="830"/>
      <w:bookmarkEnd w:id="831"/>
      <w:bookmarkEnd w:id="832"/>
      <w:bookmarkEnd w:id="833"/>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rFonts w:hint="eastAsia"/>
          <w:color w:val="000000"/>
          <w:sz w:val="24"/>
          <w:u w:val="single"/>
          <w:lang w:val="en-US" w:eastAsia="zh-CN"/>
        </w:rPr>
        <w:t>北京市昌平区政府采购中心</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auto"/>
          <w:sz w:val="24"/>
        </w:rPr>
      </w:pPr>
      <w:r>
        <w:rPr>
          <w:color w:val="000000"/>
          <w:sz w:val="24"/>
          <w:szCs w:val="20"/>
        </w:rPr>
        <w:t>（4）如我方中标，我方将在法律规定的期限内与</w:t>
      </w:r>
      <w:r>
        <w:rPr>
          <w:rFonts w:hint="eastAsia"/>
          <w:color w:val="auto"/>
          <w:sz w:val="24"/>
          <w:szCs w:val="20"/>
          <w:lang w:val="en-US" w:eastAsia="zh-CN"/>
        </w:rPr>
        <w:t>甲</w:t>
      </w:r>
      <w:r>
        <w:rPr>
          <w:color w:val="auto"/>
          <w:sz w:val="24"/>
          <w:szCs w:val="20"/>
        </w:rPr>
        <w:t>方</w:t>
      </w:r>
      <w:r>
        <w:rPr>
          <w:color w:val="000000"/>
          <w:sz w:val="24"/>
          <w:szCs w:val="20"/>
        </w:rPr>
        <w:t>签订合同，按照招标文件要求提</w:t>
      </w:r>
      <w:r>
        <w:rPr>
          <w:color w:val="auto"/>
          <w:sz w:val="24"/>
          <w:szCs w:val="20"/>
        </w:rPr>
        <w:t>交履约保证金，并在合同约定的期限内完成合同规定的全部义务。</w:t>
      </w:r>
    </w:p>
    <w:p>
      <w:pPr>
        <w:spacing w:line="360" w:lineRule="auto"/>
        <w:ind w:left="420"/>
        <w:rPr>
          <w:color w:val="auto"/>
          <w:sz w:val="24"/>
        </w:rPr>
      </w:pPr>
      <w:r>
        <w:rPr>
          <w:color w:val="auto"/>
          <w:sz w:val="24"/>
        </w:rPr>
        <w:t>2. 其他补充条款（如有）：</w:t>
      </w:r>
      <w:r>
        <w:rPr>
          <w:color w:val="auto"/>
          <w:sz w:val="24"/>
          <w:szCs w:val="20"/>
        </w:rPr>
        <w:t>__________</w:t>
      </w:r>
      <w:r>
        <w:rPr>
          <w:color w:val="auto"/>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r>
        <w:rPr>
          <w:rFonts w:hint="eastAsia"/>
          <w:color w:val="000000"/>
          <w:sz w:val="24"/>
          <w:szCs w:val="20"/>
          <w:lang w:val="en-US" w:eastAsia="zh-CN"/>
        </w:rPr>
        <w:t>开户银行</w:t>
      </w:r>
      <w:r>
        <w:rPr>
          <w:color w:val="000000"/>
          <w:sz w:val="24"/>
          <w:szCs w:val="20"/>
        </w:rPr>
        <w:t>____________________</w:t>
      </w:r>
      <w:r>
        <w:rPr>
          <w:rFonts w:hint="eastAsia"/>
          <w:color w:val="000000"/>
          <w:sz w:val="24"/>
          <w:szCs w:val="20"/>
          <w:lang w:val="en-US" w:eastAsia="zh-CN"/>
        </w:rPr>
        <w:t xml:space="preserve">      账号</w:t>
      </w:r>
      <w:r>
        <w:rPr>
          <w:color w:val="000000"/>
          <w:sz w:val="24"/>
          <w:szCs w:val="20"/>
        </w:rPr>
        <w:t>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834" w:name="_Hlt520356243"/>
      <w:bookmarkEnd w:id="834"/>
      <w:bookmarkStart w:id="835" w:name="_Hlt520355938"/>
      <w:bookmarkEnd w:id="835"/>
      <w:bookmarkStart w:id="836" w:name="_Toc480942350"/>
      <w:bookmarkStart w:id="837" w:name="_Toc226965747"/>
      <w:bookmarkStart w:id="838" w:name="_Toc150774762"/>
      <w:bookmarkStart w:id="839" w:name="_Toc127151557"/>
      <w:bookmarkStart w:id="840" w:name="_Toc265228395"/>
      <w:bookmarkStart w:id="841" w:name="_Toc195842922"/>
      <w:bookmarkStart w:id="842" w:name="_Toc520356218"/>
      <w:bookmarkStart w:id="843" w:name="_Toc150480795"/>
      <w:bookmarkStart w:id="844" w:name="_Toc226337253"/>
      <w:bookmarkStart w:id="845" w:name="_Toc305158899"/>
      <w:bookmarkStart w:id="846" w:name="_Ref467988705"/>
      <w:bookmarkStart w:id="847" w:name="_Toc264969247"/>
      <w:bookmarkStart w:id="848" w:name="_Toc226965830"/>
      <w:bookmarkStart w:id="849" w:name="_Toc142311059"/>
      <w:bookmarkStart w:id="850" w:name="_Toc305158825"/>
      <w:bookmarkStart w:id="851" w:name="_Toc226309801"/>
      <w:r>
        <w:rPr>
          <w:color w:val="000000"/>
          <w:sz w:val="24"/>
        </w:rPr>
        <w:br w:type="page"/>
      </w:r>
    </w:p>
    <w:p>
      <w:pPr>
        <w:spacing w:line="360" w:lineRule="auto"/>
        <w:outlineLvl w:val="2"/>
        <w:rPr>
          <w:color w:val="000000"/>
          <w:sz w:val="24"/>
        </w:rPr>
      </w:pPr>
      <w:r>
        <w:rPr>
          <w:color w:val="000000"/>
          <w:sz w:val="24"/>
        </w:rPr>
        <w:t>2  授权委托书（实质性格式）</w:t>
      </w:r>
    </w:p>
    <w:p>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pPr>
        <w:spacing w:line="360" w:lineRule="auto"/>
        <w:ind w:firstLine="420"/>
        <w:rPr>
          <w:rFonts w:ascii="宋体" w:hAnsi="宋体"/>
          <w:color w:val="000000"/>
          <w:sz w:val="24"/>
          <w:szCs w:val="20"/>
        </w:rPr>
      </w:pPr>
    </w:p>
    <w:p>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lang w:eastAsia="zh-CN"/>
        </w:rPr>
        <w:t>投标</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lang w:eastAsia="zh-CN"/>
        </w:rPr>
        <w:t>或</w:t>
      </w:r>
      <w:r>
        <w:rPr>
          <w:rFonts w:hint="eastAsia" w:ascii="宋体" w:hAnsi="宋体"/>
          <w:color w:val="000000"/>
          <w:sz w:val="24"/>
          <w:szCs w:val="20"/>
        </w:rPr>
        <w:t>签章）</w:t>
      </w:r>
      <w:r>
        <w:rPr>
          <w:rFonts w:ascii="宋体" w:hAnsi="宋体"/>
          <w:color w:val="000000"/>
          <w:sz w:val="24"/>
          <w:szCs w:val="20"/>
        </w:rPr>
        <w:t>：</w:t>
      </w:r>
      <w:r>
        <w:rPr>
          <w:rFonts w:ascii="宋体" w:hAnsi="宋体"/>
          <w:color w:val="000000"/>
          <w:sz w:val="24"/>
          <w:lang w:val="zh-CN"/>
        </w:rPr>
        <w:t>________________</w:t>
      </w: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lang w:eastAsia="zh-CN"/>
        </w:rPr>
        <w:t>或</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tabs>
          <w:tab w:val="left" w:pos="5580"/>
        </w:tabs>
        <w:spacing w:line="360" w:lineRule="auto"/>
        <w:ind w:firstLine="480" w:firstLineChars="200"/>
        <w:rPr>
          <w:rFonts w:ascii="宋体" w:hAnsi="宋体"/>
          <w:color w:val="000000"/>
          <w:sz w:val="24"/>
          <w:szCs w:val="20"/>
        </w:rPr>
      </w:pPr>
    </w:p>
    <w:p>
      <w:pPr>
        <w:tabs>
          <w:tab w:val="left" w:pos="5580"/>
        </w:tabs>
        <w:spacing w:line="360" w:lineRule="auto"/>
        <w:jc w:val="left"/>
        <w:rPr>
          <w:rFonts w:hint="eastAsia" w:ascii="宋体" w:hAnsi="宋体"/>
          <w:color w:val="000000"/>
          <w:sz w:val="24"/>
          <w:szCs w:val="20"/>
          <w:lang w:eastAsia="zh-CN"/>
        </w:rPr>
      </w:pPr>
      <w:r>
        <w:rPr>
          <w:rFonts w:ascii="宋体" w:hAnsi="宋体"/>
          <w:color w:val="000000"/>
          <w:sz w:val="24"/>
          <w:szCs w:val="20"/>
        </w:rPr>
        <w:t>法定代表人</w:t>
      </w:r>
      <w:r>
        <w:rPr>
          <w:rFonts w:hint="eastAsia" w:ascii="宋体" w:hAnsi="宋体"/>
          <w:color w:val="000000"/>
          <w:sz w:val="24"/>
          <w:szCs w:val="20"/>
          <w:lang w:eastAsia="zh-CN"/>
        </w:rPr>
        <w:t>和委托代理人</w:t>
      </w:r>
      <w:r>
        <w:rPr>
          <w:rFonts w:ascii="宋体" w:hAnsi="宋体"/>
          <w:color w:val="000000"/>
          <w:sz w:val="24"/>
          <w:szCs w:val="20"/>
        </w:rPr>
        <w:t>有效期内的身份证</w:t>
      </w:r>
      <w:r>
        <w:rPr>
          <w:rFonts w:hint="eastAsia" w:ascii="宋体" w:hAnsi="宋体"/>
          <w:color w:val="000000"/>
          <w:sz w:val="24"/>
          <w:szCs w:val="20"/>
          <w:lang w:eastAsia="zh-CN"/>
        </w:rPr>
        <w:t>明文件电子件：</w:t>
      </w:r>
    </w:p>
    <w:tbl>
      <w:tblPr>
        <w:tblStyle w:val="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hint="eastAsia" w:ascii="宋体" w:hAnsi="宋体"/>
          <w:color w:val="000000"/>
          <w:sz w:val="24"/>
          <w:szCs w:val="20"/>
        </w:rPr>
      </w:pPr>
      <w:r>
        <w:rPr>
          <w:rFonts w:hint="eastAsia" w:ascii="宋体" w:hAnsi="宋体"/>
          <w:color w:val="000000"/>
          <w:sz w:val="24"/>
          <w:szCs w:val="20"/>
        </w:rPr>
        <w:t>说明：</w:t>
      </w:r>
    </w:p>
    <w:p>
      <w:pPr>
        <w:tabs>
          <w:tab w:val="left" w:pos="5580"/>
        </w:tabs>
        <w:spacing w:line="360" w:lineRule="auto"/>
        <w:jc w:val="left"/>
        <w:rPr>
          <w:rFonts w:hint="eastAsia" w:ascii="宋体" w:hAnsi="宋体"/>
          <w:color w:val="000000"/>
          <w:sz w:val="24"/>
          <w:szCs w:val="20"/>
        </w:rPr>
      </w:pPr>
      <w:r>
        <w:rPr>
          <w:rFonts w:hint="eastAsia" w:ascii="宋体" w:hAnsi="宋体"/>
          <w:color w:val="000000"/>
          <w:sz w:val="24"/>
          <w:szCs w:val="20"/>
        </w:rPr>
        <w:t>1.若供应商为事业单位或其他组织或分支机构，则法定代表人（单位负责人）处的签署</w:t>
      </w:r>
    </w:p>
    <w:p>
      <w:pPr>
        <w:tabs>
          <w:tab w:val="left" w:pos="5580"/>
        </w:tabs>
        <w:spacing w:line="360" w:lineRule="auto"/>
        <w:jc w:val="left"/>
        <w:rPr>
          <w:rFonts w:hint="eastAsia" w:ascii="宋体" w:hAnsi="宋体"/>
          <w:color w:val="000000"/>
          <w:sz w:val="24"/>
          <w:szCs w:val="20"/>
        </w:rPr>
      </w:pPr>
      <w:r>
        <w:rPr>
          <w:rFonts w:hint="eastAsia" w:ascii="宋体" w:hAnsi="宋体"/>
          <w:color w:val="000000"/>
          <w:sz w:val="24"/>
          <w:szCs w:val="20"/>
        </w:rPr>
        <w:t>人可为单位负责人。</w:t>
      </w:r>
    </w:p>
    <w:p>
      <w:pPr>
        <w:tabs>
          <w:tab w:val="left" w:pos="5580"/>
        </w:tabs>
        <w:spacing w:line="360" w:lineRule="auto"/>
        <w:jc w:val="left"/>
        <w:rPr>
          <w:rFonts w:hint="eastAsia" w:ascii="宋体" w:hAnsi="宋体"/>
          <w:color w:val="000000"/>
          <w:sz w:val="24"/>
          <w:szCs w:val="20"/>
        </w:rPr>
      </w:pPr>
      <w:r>
        <w:rPr>
          <w:rFonts w:hint="eastAsia" w:ascii="宋体" w:hAnsi="宋体"/>
          <w:color w:val="000000"/>
          <w:sz w:val="24"/>
          <w:szCs w:val="20"/>
        </w:rPr>
        <w:t>2.若投标文件中签字之处均为法定代表人（单位负责人）本人签署，则可不提供本《授</w:t>
      </w:r>
    </w:p>
    <w:p>
      <w:pPr>
        <w:tabs>
          <w:tab w:val="left" w:pos="5580"/>
        </w:tabs>
        <w:spacing w:line="360" w:lineRule="auto"/>
        <w:jc w:val="left"/>
        <w:rPr>
          <w:rFonts w:hint="eastAsia" w:ascii="宋体" w:hAnsi="宋体"/>
          <w:color w:val="000000"/>
          <w:sz w:val="24"/>
          <w:szCs w:val="20"/>
        </w:rPr>
      </w:pPr>
      <w:r>
        <w:rPr>
          <w:rFonts w:hint="eastAsia" w:ascii="宋体" w:hAnsi="宋体"/>
          <w:color w:val="000000"/>
          <w:sz w:val="24"/>
          <w:szCs w:val="20"/>
        </w:rPr>
        <w:t>权委托书》，但须提供《法定代表人（单位负责人）身份证明》；否则，不需要提供《法</w:t>
      </w:r>
    </w:p>
    <w:p>
      <w:pPr>
        <w:tabs>
          <w:tab w:val="left" w:pos="5580"/>
        </w:tabs>
        <w:spacing w:line="360" w:lineRule="auto"/>
        <w:jc w:val="left"/>
        <w:rPr>
          <w:rFonts w:hint="eastAsia" w:ascii="宋体" w:hAnsi="宋体"/>
          <w:color w:val="000000"/>
          <w:sz w:val="24"/>
          <w:szCs w:val="20"/>
        </w:rPr>
      </w:pPr>
      <w:r>
        <w:rPr>
          <w:rFonts w:hint="eastAsia" w:ascii="宋体" w:hAnsi="宋体"/>
          <w:color w:val="000000"/>
          <w:sz w:val="24"/>
          <w:szCs w:val="20"/>
        </w:rPr>
        <w:t>定代表人（单位负责人）身份证明》。</w:t>
      </w:r>
    </w:p>
    <w:p>
      <w:pPr>
        <w:tabs>
          <w:tab w:val="left" w:pos="5580"/>
        </w:tabs>
        <w:spacing w:line="360" w:lineRule="auto"/>
        <w:jc w:val="left"/>
        <w:rPr>
          <w:rFonts w:hint="eastAsia" w:ascii="宋体" w:hAnsi="宋体"/>
          <w:color w:val="000000"/>
          <w:sz w:val="24"/>
          <w:szCs w:val="20"/>
        </w:rPr>
      </w:pPr>
      <w:r>
        <w:rPr>
          <w:rFonts w:hint="eastAsia" w:ascii="宋体" w:hAnsi="宋体"/>
          <w:color w:val="000000"/>
          <w:sz w:val="24"/>
          <w:szCs w:val="20"/>
        </w:rPr>
        <w:t>3.供应商为自然人的情形，可不提供本《授权委托书》。</w:t>
      </w:r>
    </w:p>
    <w:p>
      <w:pPr>
        <w:tabs>
          <w:tab w:val="left" w:pos="5580"/>
        </w:tabs>
        <w:spacing w:line="360" w:lineRule="auto"/>
        <w:jc w:val="left"/>
        <w:rPr>
          <w:rFonts w:hint="eastAsia" w:ascii="宋体" w:hAnsi="宋体"/>
          <w:color w:val="000000"/>
          <w:sz w:val="24"/>
          <w:szCs w:val="20"/>
        </w:rPr>
      </w:pPr>
      <w:r>
        <w:rPr>
          <w:rFonts w:hint="eastAsia" w:ascii="宋体" w:hAnsi="宋体"/>
          <w:color w:val="000000"/>
          <w:sz w:val="24"/>
          <w:szCs w:val="20"/>
        </w:rPr>
        <w:t>4.供应商应随本《授权委托书》同时提供法定代表人（单位负责人）及委托代理人的有</w:t>
      </w:r>
    </w:p>
    <w:p>
      <w:pPr>
        <w:tabs>
          <w:tab w:val="left" w:pos="5580"/>
        </w:tabs>
        <w:spacing w:line="360" w:lineRule="auto"/>
        <w:jc w:val="left"/>
        <w:rPr>
          <w:rFonts w:ascii="宋体" w:hAnsi="宋体"/>
          <w:color w:val="000000"/>
          <w:sz w:val="30"/>
          <w:szCs w:val="30"/>
        </w:rPr>
      </w:pPr>
      <w:r>
        <w:rPr>
          <w:rFonts w:hint="eastAsia" w:ascii="宋体" w:hAnsi="宋体"/>
          <w:color w:val="000000"/>
          <w:sz w:val="24"/>
          <w:szCs w:val="20"/>
        </w:rPr>
        <w:t>效的身份证、护照等身份证明文件电子件。提供身份证的，应同时提供身份证双面电子件。</w:t>
      </w:r>
      <w:r>
        <w:rPr>
          <w:rFonts w:ascii="宋体" w:hAnsi="宋体"/>
          <w:color w:val="000000"/>
          <w:sz w:val="30"/>
          <w:szCs w:val="30"/>
        </w:rPr>
        <w:br w:type="page"/>
      </w:r>
    </w:p>
    <w:p>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hint="default" w:ascii="宋体" w:hAnsi="宋体" w:eastAsia="宋体"/>
          <w:color w:val="000000"/>
          <w:sz w:val="24"/>
          <w:lang w:val="en-US" w:eastAsia="zh-CN"/>
        </w:rPr>
      </w:pPr>
      <w:r>
        <w:rPr>
          <w:rFonts w:ascii="宋体" w:hAnsi="宋体"/>
          <w:color w:val="000000"/>
          <w:sz w:val="24"/>
        </w:rPr>
        <w:t>致：</w:t>
      </w:r>
      <w:r>
        <w:rPr>
          <w:rFonts w:hint="eastAsia" w:ascii="宋体" w:hAnsi="宋体"/>
          <w:color w:val="000000"/>
          <w:sz w:val="24"/>
          <w:lang w:val="en-US" w:eastAsia="zh-CN"/>
        </w:rPr>
        <w:t>北京市昌平区政府采购中心</w:t>
      </w:r>
    </w:p>
    <w:p>
      <w:pPr>
        <w:pStyle w:val="3"/>
        <w:tabs>
          <w:tab w:val="left" w:pos="2412"/>
          <w:tab w:val="left" w:pos="3883"/>
          <w:tab w:val="left" w:pos="5352"/>
          <w:tab w:val="left" w:pos="6821"/>
        </w:tabs>
        <w:kinsoku w:val="0"/>
        <w:overflowPunct w:val="0"/>
        <w:spacing w:line="335" w:lineRule="exact"/>
        <w:ind w:firstLine="480" w:firstLineChars="200"/>
      </w:pPr>
      <w:r>
        <w:rPr>
          <w:rFonts w:hint="eastAsia"/>
        </w:rPr>
        <w:t>兹证明，</w:t>
      </w:r>
    </w:p>
    <w:p>
      <w:pPr>
        <w:pStyle w:val="3"/>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pPr>
        <w:pStyle w:val="3"/>
        <w:tabs>
          <w:tab w:val="left" w:pos="2412"/>
          <w:tab w:val="left" w:pos="3883"/>
          <w:tab w:val="left" w:pos="5352"/>
          <w:tab w:val="left" w:pos="6821"/>
        </w:tabs>
        <w:kinsoku w:val="0"/>
        <w:overflowPunct w:val="0"/>
        <w:spacing w:line="335" w:lineRule="exact"/>
      </w:pPr>
    </w:p>
    <w:p>
      <w:pPr>
        <w:pStyle w:val="3"/>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pPr>
        <w:pStyle w:val="3"/>
        <w:tabs>
          <w:tab w:val="left" w:pos="2412"/>
          <w:tab w:val="left" w:pos="3883"/>
          <w:tab w:val="left" w:pos="5352"/>
          <w:tab w:val="left" w:pos="6821"/>
        </w:tabs>
        <w:kinsoku w:val="0"/>
        <w:overflowPunct w:val="0"/>
        <w:spacing w:line="335" w:lineRule="exact"/>
      </w:pPr>
    </w:p>
    <w:p>
      <w:pPr>
        <w:pStyle w:val="3"/>
        <w:tabs>
          <w:tab w:val="left" w:pos="2412"/>
          <w:tab w:val="left" w:pos="3883"/>
          <w:tab w:val="left" w:pos="5352"/>
          <w:tab w:val="left" w:pos="6821"/>
        </w:tabs>
        <w:kinsoku w:val="0"/>
        <w:overflowPunct w:val="0"/>
        <w:spacing w:line="335" w:lineRule="exact"/>
      </w:pPr>
    </w:p>
    <w:p>
      <w:pPr>
        <w:pStyle w:val="3"/>
        <w:tabs>
          <w:tab w:val="left" w:pos="2412"/>
          <w:tab w:val="left" w:pos="3883"/>
          <w:tab w:val="left" w:pos="5352"/>
          <w:tab w:val="left" w:pos="6821"/>
        </w:tabs>
        <w:kinsoku w:val="0"/>
        <w:overflowPunct w:val="0"/>
        <w:spacing w:line="335" w:lineRule="exact"/>
      </w:pPr>
    </w:p>
    <w:p>
      <w:pPr>
        <w:pStyle w:val="3"/>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w:t>
      </w:r>
      <w:r>
        <w:rPr>
          <w:rFonts w:hint="eastAsia"/>
          <w:spacing w:val="-3"/>
          <w:lang w:eastAsia="zh-CN"/>
        </w:rPr>
        <w:t>或护照等身份证明文件的电子</w:t>
      </w:r>
      <w:r>
        <w:rPr>
          <w:spacing w:val="-3"/>
        </w:rPr>
        <w:t>件</w:t>
      </w:r>
      <w:r>
        <w:rPr>
          <w:rFonts w:hint="eastAsia"/>
          <w:spacing w:val="-3"/>
        </w:rPr>
        <w:t>。</w:t>
      </w:r>
    </w:p>
    <w:tbl>
      <w:tblPr>
        <w:tblStyle w:val="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pStyle w:val="3"/>
        <w:kinsoku w:val="0"/>
        <w:overflowPunct w:val="0"/>
        <w:spacing w:line="583" w:lineRule="auto"/>
        <w:ind w:right="4305"/>
        <w:rPr>
          <w:spacing w:val="-3"/>
        </w:rPr>
      </w:pPr>
    </w:p>
    <w:p>
      <w:pPr>
        <w:pStyle w:val="3"/>
        <w:kinsoku w:val="0"/>
        <w:overflowPunct w:val="0"/>
        <w:spacing w:line="583" w:lineRule="auto"/>
        <w:ind w:right="4305"/>
        <w:rPr>
          <w:spacing w:val="-3"/>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pStyle w:val="3"/>
        <w:kinsoku w:val="0"/>
        <w:overflowPunct w:val="0"/>
        <w:spacing w:line="583" w:lineRule="auto"/>
        <w:ind w:right="95"/>
        <w:rPr>
          <w:spacing w:val="-3"/>
        </w:rPr>
      </w:pPr>
      <w:r>
        <w:rPr>
          <w:rFonts w:hint="eastAsia"/>
          <w:spacing w:val="-3"/>
        </w:rPr>
        <w:t>法定代表人（</w:t>
      </w:r>
      <w:r>
        <w:t>单位负责人</w:t>
      </w:r>
      <w:r>
        <w:rPr>
          <w:rFonts w:hint="eastAsia"/>
          <w:spacing w:val="-3"/>
        </w:rPr>
        <w:t>）（签字</w:t>
      </w:r>
      <w:r>
        <w:rPr>
          <w:rFonts w:hint="eastAsia"/>
          <w:spacing w:val="-3"/>
          <w:lang w:eastAsia="zh-CN"/>
        </w:rPr>
        <w:t>或</w:t>
      </w:r>
      <w:r>
        <w:rPr>
          <w:rFonts w:hint="eastAsia"/>
          <w:spacing w:val="-3"/>
        </w:rPr>
        <w:t>签章）：_</w:t>
      </w:r>
      <w:r>
        <w:rPr>
          <w:spacing w:val="-3"/>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widowControl/>
        <w:jc w:val="left"/>
        <w:rPr>
          <w:rFonts w:ascii="宋体" w:hAnsi="宋体"/>
          <w:i/>
          <w:color w:val="000000"/>
          <w:sz w:val="24"/>
          <w:szCs w:val="20"/>
          <w:u w:val="single"/>
        </w:rPr>
      </w:pP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3  开标一览表</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color w:val="000000"/>
          <w:sz w:val="24"/>
          <w:szCs w:val="20"/>
        </w:rPr>
        <w:t>（实质性格式）</w:t>
      </w:r>
    </w:p>
    <w:p>
      <w:pPr>
        <w:spacing w:line="360" w:lineRule="exact"/>
        <w:jc w:val="center"/>
        <w:rPr>
          <w:b/>
          <w:color w:val="000000"/>
          <w:sz w:val="36"/>
          <w:szCs w:val="36"/>
        </w:rPr>
      </w:pPr>
      <w:bookmarkStart w:id="852" w:name="_Toc226965831"/>
      <w:bookmarkStart w:id="853" w:name="_Toc164608827"/>
      <w:bookmarkStart w:id="854" w:name="_Toc164608672"/>
      <w:bookmarkStart w:id="855" w:name="_Toc265228396"/>
      <w:bookmarkStart w:id="856" w:name="_Toc305158826"/>
      <w:bookmarkStart w:id="857" w:name="_Toc195842923"/>
      <w:bookmarkStart w:id="858" w:name="_Toc305158900"/>
      <w:bookmarkStart w:id="859" w:name="_Toc226337254"/>
      <w:bookmarkStart w:id="860" w:name="_Toc226309802"/>
      <w:bookmarkStart w:id="861" w:name="_Toc226965748"/>
      <w:bookmarkStart w:id="862" w:name="_Toc264969248"/>
      <w:r>
        <w:rPr>
          <w:rFonts w:hint="eastAsia"/>
          <w:b/>
          <w:color w:val="000000"/>
          <w:sz w:val="36"/>
          <w:szCs w:val="36"/>
        </w:rPr>
        <w:t>开标一览表</w:t>
      </w:r>
      <w:bookmarkEnd w:id="852"/>
      <w:bookmarkEnd w:id="853"/>
      <w:bookmarkEnd w:id="854"/>
      <w:bookmarkEnd w:id="855"/>
      <w:bookmarkEnd w:id="856"/>
      <w:bookmarkEnd w:id="857"/>
      <w:bookmarkEnd w:id="858"/>
      <w:bookmarkEnd w:id="859"/>
      <w:bookmarkEnd w:id="860"/>
      <w:bookmarkEnd w:id="861"/>
      <w:bookmarkEnd w:id="862"/>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项目编号/包号：_____________________     项目名称：____________</w:t>
      </w:r>
    </w:p>
    <w:tbl>
      <w:tblPr>
        <w:tblStyle w:val="17"/>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3"/>
        <w:gridCol w:w="992"/>
        <w:gridCol w:w="4455"/>
        <w:gridCol w:w="145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03" w:type="pct"/>
            <w:vMerge w:val="restart"/>
            <w:noWrap w:val="0"/>
            <w:vAlign w:val="center"/>
          </w:tcPr>
          <w:p>
            <w:pPr>
              <w:tabs>
                <w:tab w:val="left" w:pos="5580"/>
              </w:tabs>
              <w:jc w:val="center"/>
              <w:rPr>
                <w:b/>
                <w:sz w:val="24"/>
              </w:rPr>
            </w:pPr>
            <w:r>
              <w:rPr>
                <w:b/>
                <w:sz w:val="24"/>
              </w:rPr>
              <w:t>序号</w:t>
            </w:r>
          </w:p>
        </w:tc>
        <w:tc>
          <w:tcPr>
            <w:tcW w:w="545" w:type="pct"/>
            <w:vMerge w:val="restart"/>
            <w:noWrap w:val="0"/>
            <w:vAlign w:val="center"/>
          </w:tcPr>
          <w:p>
            <w:pPr>
              <w:tabs>
                <w:tab w:val="left" w:pos="5580"/>
              </w:tabs>
              <w:ind w:left="480" w:hanging="482" w:hangingChars="200"/>
              <w:jc w:val="center"/>
              <w:rPr>
                <w:rFonts w:hint="default"/>
                <w:b/>
                <w:sz w:val="24"/>
                <w:lang w:val="en-US" w:eastAsia="zh-CN"/>
              </w:rPr>
            </w:pPr>
            <w:r>
              <w:rPr>
                <w:rFonts w:hint="eastAsia"/>
                <w:b/>
                <w:sz w:val="24"/>
                <w:lang w:val="en-US" w:eastAsia="zh-CN"/>
              </w:rPr>
              <w:t>包号</w:t>
            </w:r>
          </w:p>
        </w:tc>
        <w:tc>
          <w:tcPr>
            <w:tcW w:w="2448" w:type="pct"/>
            <w:vMerge w:val="restart"/>
            <w:noWrap w:val="0"/>
            <w:vAlign w:val="center"/>
          </w:tcPr>
          <w:p>
            <w:pPr>
              <w:tabs>
                <w:tab w:val="left" w:pos="5580"/>
              </w:tabs>
              <w:jc w:val="center"/>
              <w:rPr>
                <w:b/>
                <w:sz w:val="24"/>
              </w:rPr>
            </w:pPr>
            <w:r>
              <w:rPr>
                <w:b/>
                <w:sz w:val="24"/>
              </w:rPr>
              <w:t>投标人名称</w:t>
            </w:r>
          </w:p>
        </w:tc>
        <w:tc>
          <w:tcPr>
            <w:tcW w:w="1603" w:type="pct"/>
            <w:gridSpan w:val="2"/>
            <w:noWrap w:val="0"/>
            <w:vAlign w:val="center"/>
          </w:tcPr>
          <w:p>
            <w:pPr>
              <w:tabs>
                <w:tab w:val="left" w:pos="5580"/>
              </w:tabs>
              <w:jc w:val="center"/>
              <w:rPr>
                <w:b/>
                <w:sz w:val="24"/>
              </w:rPr>
            </w:pPr>
            <w:r>
              <w:rPr>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03" w:type="pct"/>
            <w:vMerge w:val="continue"/>
            <w:noWrap w:val="0"/>
            <w:vAlign w:val="center"/>
          </w:tcPr>
          <w:p>
            <w:pPr>
              <w:tabs>
                <w:tab w:val="left" w:pos="5580"/>
              </w:tabs>
              <w:jc w:val="center"/>
              <w:rPr>
                <w:sz w:val="24"/>
              </w:rPr>
            </w:pPr>
          </w:p>
        </w:tc>
        <w:tc>
          <w:tcPr>
            <w:tcW w:w="545" w:type="pct"/>
            <w:vMerge w:val="continue"/>
            <w:noWrap w:val="0"/>
            <w:vAlign w:val="top"/>
          </w:tcPr>
          <w:p>
            <w:pPr>
              <w:tabs>
                <w:tab w:val="left" w:pos="5580"/>
              </w:tabs>
              <w:jc w:val="center"/>
              <w:rPr>
                <w:b/>
                <w:sz w:val="24"/>
              </w:rPr>
            </w:pPr>
          </w:p>
        </w:tc>
        <w:tc>
          <w:tcPr>
            <w:tcW w:w="2448" w:type="pct"/>
            <w:vMerge w:val="continue"/>
            <w:noWrap w:val="0"/>
            <w:vAlign w:val="center"/>
          </w:tcPr>
          <w:p>
            <w:pPr>
              <w:tabs>
                <w:tab w:val="left" w:pos="5580"/>
              </w:tabs>
              <w:jc w:val="center"/>
              <w:rPr>
                <w:sz w:val="24"/>
              </w:rPr>
            </w:pPr>
          </w:p>
        </w:tc>
        <w:tc>
          <w:tcPr>
            <w:tcW w:w="802" w:type="pct"/>
            <w:noWrap w:val="0"/>
            <w:vAlign w:val="center"/>
          </w:tcPr>
          <w:p>
            <w:pPr>
              <w:tabs>
                <w:tab w:val="left" w:pos="5580"/>
              </w:tabs>
              <w:jc w:val="center"/>
              <w:rPr>
                <w:b/>
                <w:sz w:val="24"/>
              </w:rPr>
            </w:pPr>
            <w:r>
              <w:rPr>
                <w:b/>
                <w:sz w:val="24"/>
              </w:rPr>
              <w:t>大写</w:t>
            </w:r>
          </w:p>
        </w:tc>
        <w:tc>
          <w:tcPr>
            <w:tcW w:w="801" w:type="pct"/>
            <w:noWrap w:val="0"/>
            <w:vAlign w:val="center"/>
          </w:tcPr>
          <w:p>
            <w:pPr>
              <w:tabs>
                <w:tab w:val="left" w:pos="5580"/>
              </w:tabs>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03" w:type="pct"/>
            <w:noWrap w:val="0"/>
            <w:vAlign w:val="center"/>
          </w:tcPr>
          <w:p>
            <w:pPr>
              <w:tabs>
                <w:tab w:val="left" w:pos="5580"/>
              </w:tabs>
              <w:jc w:val="center"/>
              <w:rPr>
                <w:sz w:val="24"/>
              </w:rPr>
            </w:pPr>
          </w:p>
        </w:tc>
        <w:tc>
          <w:tcPr>
            <w:tcW w:w="545" w:type="pct"/>
            <w:noWrap w:val="0"/>
            <w:vAlign w:val="center"/>
          </w:tcPr>
          <w:p>
            <w:pPr>
              <w:tabs>
                <w:tab w:val="left" w:pos="5580"/>
              </w:tabs>
              <w:jc w:val="center"/>
              <w:rPr>
                <w:b/>
                <w:sz w:val="24"/>
              </w:rPr>
            </w:pPr>
          </w:p>
        </w:tc>
        <w:tc>
          <w:tcPr>
            <w:tcW w:w="2448" w:type="pct"/>
            <w:noWrap w:val="0"/>
            <w:vAlign w:val="center"/>
          </w:tcPr>
          <w:p>
            <w:pPr>
              <w:tabs>
                <w:tab w:val="left" w:pos="5580"/>
              </w:tabs>
              <w:jc w:val="center"/>
              <w:rPr>
                <w:sz w:val="24"/>
              </w:rPr>
            </w:pPr>
          </w:p>
        </w:tc>
        <w:tc>
          <w:tcPr>
            <w:tcW w:w="802" w:type="pct"/>
            <w:noWrap w:val="0"/>
            <w:vAlign w:val="center"/>
          </w:tcPr>
          <w:p>
            <w:pPr>
              <w:tabs>
                <w:tab w:val="left" w:pos="5580"/>
              </w:tabs>
              <w:jc w:val="center"/>
              <w:rPr>
                <w:sz w:val="24"/>
              </w:rPr>
            </w:pPr>
          </w:p>
        </w:tc>
        <w:tc>
          <w:tcPr>
            <w:tcW w:w="801" w:type="pct"/>
            <w:noWrap w:val="0"/>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w:t>
      </w:r>
      <w:r>
        <w:rPr>
          <w:rFonts w:hint="eastAsia"/>
          <w:color w:val="000000"/>
          <w:sz w:val="24"/>
          <w:szCs w:val="20"/>
          <w:lang w:val="en-US" w:eastAsia="zh-CN"/>
        </w:rPr>
        <w:t>各包《</w:t>
      </w:r>
      <w:r>
        <w:rPr>
          <w:color w:val="000000"/>
          <w:sz w:val="24"/>
          <w:szCs w:val="20"/>
        </w:rPr>
        <w:t>投标分项报价表》中的总价相一致。</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color w:val="000000"/>
          <w:sz w:val="24"/>
          <w:szCs w:val="20"/>
        </w:rPr>
      </w:pPr>
      <w:bookmarkStart w:id="863" w:name="_Toc127151558"/>
      <w:bookmarkStart w:id="864" w:name="_Toc264969249"/>
      <w:bookmarkStart w:id="865" w:name="_Toc150774763"/>
      <w:bookmarkStart w:id="866" w:name="_Toc195842924"/>
      <w:bookmarkStart w:id="867" w:name="_Toc265228397"/>
      <w:bookmarkStart w:id="868" w:name="_Toc226965749"/>
      <w:bookmarkStart w:id="869" w:name="_Toc142311060"/>
      <w:bookmarkStart w:id="870" w:name="_Toc305158901"/>
      <w:bookmarkStart w:id="871" w:name="_Toc305158827"/>
      <w:bookmarkStart w:id="872" w:name="_Toc150480796"/>
      <w:bookmarkStart w:id="873" w:name="_Toc226965832"/>
      <w:bookmarkStart w:id="874" w:name="_Toc226337255"/>
      <w:bookmarkStart w:id="875" w:name="_Toc226309803"/>
      <w:r>
        <w:rPr>
          <w:color w:val="000000"/>
          <w:sz w:val="24"/>
          <w:szCs w:val="20"/>
        </w:rPr>
        <w:br w:type="page"/>
      </w:r>
    </w:p>
    <w:p>
      <w:pPr>
        <w:spacing w:line="360" w:lineRule="auto"/>
        <w:outlineLvl w:val="2"/>
        <w:rPr>
          <w:color w:val="000000"/>
          <w:sz w:val="24"/>
          <w:szCs w:val="20"/>
        </w:rPr>
      </w:pPr>
      <w:r>
        <w:rPr>
          <w:color w:val="000000"/>
          <w:sz w:val="24"/>
          <w:szCs w:val="20"/>
        </w:rPr>
        <w:t>4  投标分项报价表</w:t>
      </w:r>
      <w:bookmarkEnd w:id="863"/>
      <w:bookmarkEnd w:id="864"/>
      <w:bookmarkEnd w:id="865"/>
      <w:bookmarkEnd w:id="866"/>
      <w:bookmarkEnd w:id="867"/>
      <w:bookmarkEnd w:id="868"/>
      <w:bookmarkEnd w:id="869"/>
      <w:bookmarkEnd w:id="870"/>
      <w:bookmarkEnd w:id="871"/>
      <w:bookmarkEnd w:id="872"/>
      <w:bookmarkEnd w:id="873"/>
      <w:bookmarkEnd w:id="874"/>
      <w:bookmarkEnd w:id="875"/>
      <w:r>
        <w:rPr>
          <w:color w:val="000000"/>
          <w:sz w:val="24"/>
          <w:szCs w:val="20"/>
        </w:rPr>
        <w:t>（实质性格式）</w:t>
      </w:r>
    </w:p>
    <w:p>
      <w:pPr>
        <w:spacing w:line="360" w:lineRule="exact"/>
        <w:jc w:val="center"/>
        <w:rPr>
          <w:color w:val="auto"/>
          <w:sz w:val="36"/>
          <w:szCs w:val="36"/>
        </w:rPr>
      </w:pPr>
    </w:p>
    <w:p>
      <w:pPr>
        <w:spacing w:line="360" w:lineRule="exact"/>
        <w:jc w:val="center"/>
        <w:rPr>
          <w:rFonts w:hint="eastAsia"/>
          <w:b/>
          <w:color w:val="auto"/>
          <w:sz w:val="36"/>
          <w:szCs w:val="36"/>
        </w:rPr>
      </w:pPr>
      <w:r>
        <w:rPr>
          <w:rFonts w:hint="eastAsia"/>
          <w:b/>
          <w:color w:val="auto"/>
          <w:sz w:val="36"/>
          <w:szCs w:val="36"/>
        </w:rPr>
        <w:t>投标分项报价表</w:t>
      </w:r>
    </w:p>
    <w:p>
      <w:pPr>
        <w:pStyle w:val="2"/>
        <w:rPr>
          <w:color w:val="auto"/>
        </w:rPr>
      </w:pPr>
    </w:p>
    <w:p>
      <w:pPr>
        <w:tabs>
          <w:tab w:val="left" w:pos="1800"/>
          <w:tab w:val="left" w:pos="5580"/>
        </w:tabs>
        <w:rPr>
          <w:color w:val="auto"/>
          <w:sz w:val="24"/>
        </w:rPr>
      </w:pPr>
      <w:r>
        <w:rPr>
          <w:color w:val="auto"/>
          <w:sz w:val="24"/>
        </w:rPr>
        <w:t>项目编号/包号：________ 项目名称：__________</w:t>
      </w:r>
      <w:r>
        <w:rPr>
          <w:rFonts w:hint="eastAsia"/>
          <w:color w:val="auto"/>
          <w:sz w:val="24"/>
          <w:lang w:val="en-US" w:eastAsia="zh-CN"/>
        </w:rPr>
        <w:t xml:space="preserve">         </w:t>
      </w:r>
      <w:r>
        <w:rPr>
          <w:color w:val="auto"/>
          <w:sz w:val="24"/>
        </w:rPr>
        <w:t>报价单位：人民币元</w:t>
      </w:r>
    </w:p>
    <w:tbl>
      <w:tblPr>
        <w:tblStyle w:val="17"/>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063"/>
        <w:gridCol w:w="1541"/>
        <w:gridCol w:w="1050"/>
        <w:gridCol w:w="1132"/>
        <w:gridCol w:w="1118"/>
        <w:gridCol w:w="10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18" w:type="dxa"/>
            <w:noWrap w:val="0"/>
            <w:vAlign w:val="center"/>
          </w:tcPr>
          <w:p>
            <w:pPr>
              <w:adjustRightInd w:val="0"/>
              <w:snapToGrid w:val="0"/>
              <w:jc w:val="left"/>
              <w:rPr>
                <w:b/>
                <w:color w:val="auto"/>
                <w:sz w:val="21"/>
                <w:szCs w:val="21"/>
              </w:rPr>
            </w:pPr>
            <w:r>
              <w:rPr>
                <w:b/>
                <w:color w:val="auto"/>
                <w:sz w:val="21"/>
                <w:szCs w:val="21"/>
              </w:rPr>
              <w:t>序号</w:t>
            </w:r>
          </w:p>
        </w:tc>
        <w:tc>
          <w:tcPr>
            <w:tcW w:w="1063" w:type="dxa"/>
            <w:noWrap w:val="0"/>
            <w:vAlign w:val="center"/>
          </w:tcPr>
          <w:p>
            <w:pPr>
              <w:adjustRightInd w:val="0"/>
              <w:snapToGrid w:val="0"/>
              <w:jc w:val="left"/>
              <w:rPr>
                <w:b/>
                <w:color w:val="auto"/>
                <w:sz w:val="21"/>
                <w:szCs w:val="21"/>
              </w:rPr>
            </w:pPr>
            <w:r>
              <w:rPr>
                <w:b/>
                <w:color w:val="auto"/>
                <w:sz w:val="21"/>
                <w:szCs w:val="21"/>
              </w:rPr>
              <w:t>分项名称</w:t>
            </w:r>
          </w:p>
        </w:tc>
        <w:tc>
          <w:tcPr>
            <w:tcW w:w="1541" w:type="dxa"/>
            <w:noWrap w:val="0"/>
            <w:vAlign w:val="center"/>
          </w:tcPr>
          <w:p>
            <w:pPr>
              <w:adjustRightInd w:val="0"/>
              <w:snapToGrid w:val="0"/>
              <w:jc w:val="left"/>
              <w:rPr>
                <w:rFonts w:hint="eastAsia" w:eastAsia="宋体"/>
                <w:b/>
                <w:color w:val="auto"/>
                <w:sz w:val="21"/>
                <w:szCs w:val="21"/>
                <w:lang w:val="en-US" w:eastAsia="zh-CN"/>
              </w:rPr>
            </w:pPr>
            <w:r>
              <w:rPr>
                <w:b/>
                <w:color w:val="auto"/>
                <w:sz w:val="21"/>
                <w:szCs w:val="21"/>
              </w:rPr>
              <w:t>单价（元）</w:t>
            </w:r>
          </w:p>
        </w:tc>
        <w:tc>
          <w:tcPr>
            <w:tcW w:w="1050" w:type="dxa"/>
            <w:noWrap w:val="0"/>
            <w:vAlign w:val="center"/>
          </w:tcPr>
          <w:p>
            <w:pPr>
              <w:adjustRightInd w:val="0"/>
              <w:snapToGrid w:val="0"/>
              <w:jc w:val="left"/>
              <w:rPr>
                <w:b/>
                <w:color w:val="auto"/>
                <w:sz w:val="21"/>
                <w:szCs w:val="21"/>
              </w:rPr>
            </w:pPr>
            <w:r>
              <w:rPr>
                <w:b/>
                <w:color w:val="auto"/>
                <w:sz w:val="21"/>
                <w:szCs w:val="21"/>
              </w:rPr>
              <w:t>数量</w:t>
            </w:r>
          </w:p>
        </w:tc>
        <w:tc>
          <w:tcPr>
            <w:tcW w:w="1132" w:type="dxa"/>
            <w:noWrap w:val="0"/>
            <w:vAlign w:val="center"/>
          </w:tcPr>
          <w:p>
            <w:pPr>
              <w:adjustRightInd w:val="0"/>
              <w:snapToGrid w:val="0"/>
              <w:jc w:val="left"/>
              <w:rPr>
                <w:b/>
                <w:color w:val="auto"/>
                <w:sz w:val="21"/>
                <w:szCs w:val="21"/>
              </w:rPr>
            </w:pPr>
            <w:r>
              <w:rPr>
                <w:b/>
                <w:color w:val="auto"/>
                <w:sz w:val="21"/>
                <w:szCs w:val="21"/>
              </w:rPr>
              <w:t>合价（元）</w:t>
            </w:r>
          </w:p>
        </w:tc>
        <w:tc>
          <w:tcPr>
            <w:tcW w:w="1118" w:type="dxa"/>
            <w:noWrap w:val="0"/>
            <w:vAlign w:val="center"/>
          </w:tcPr>
          <w:p>
            <w:pPr>
              <w:adjustRightInd w:val="0"/>
              <w:snapToGrid w:val="0"/>
              <w:jc w:val="left"/>
              <w:rPr>
                <w:rFonts w:hint="eastAsia"/>
                <w:b/>
                <w:color w:val="auto"/>
                <w:sz w:val="21"/>
                <w:szCs w:val="21"/>
                <w:lang w:val="en-US" w:eastAsia="zh-CN"/>
              </w:rPr>
            </w:pPr>
            <w:r>
              <w:rPr>
                <w:rFonts w:hint="eastAsia"/>
                <w:b/>
                <w:color w:val="auto"/>
                <w:sz w:val="21"/>
                <w:szCs w:val="21"/>
                <w:lang w:val="en-US" w:eastAsia="zh-CN"/>
              </w:rPr>
              <w:t>服务商规模</w:t>
            </w:r>
          </w:p>
        </w:tc>
        <w:tc>
          <w:tcPr>
            <w:tcW w:w="1091" w:type="dxa"/>
            <w:noWrap w:val="0"/>
            <w:vAlign w:val="center"/>
          </w:tcPr>
          <w:p>
            <w:pPr>
              <w:adjustRightInd w:val="0"/>
              <w:snapToGrid w:val="0"/>
              <w:jc w:val="left"/>
              <w:rPr>
                <w:rFonts w:hint="eastAsia"/>
                <w:b/>
                <w:color w:val="auto"/>
                <w:sz w:val="21"/>
                <w:szCs w:val="21"/>
                <w:lang w:eastAsia="zh-CN"/>
              </w:rPr>
            </w:pPr>
            <w:r>
              <w:rPr>
                <w:rFonts w:hint="eastAsia"/>
                <w:b/>
                <w:color w:val="auto"/>
                <w:sz w:val="21"/>
                <w:szCs w:val="21"/>
                <w:lang w:eastAsia="zh-CN"/>
              </w:rPr>
              <w:t>服务商统一社会信用代码</w:t>
            </w:r>
          </w:p>
        </w:tc>
        <w:tc>
          <w:tcPr>
            <w:tcW w:w="1091" w:type="dxa"/>
            <w:noWrap w:val="0"/>
            <w:vAlign w:val="center"/>
          </w:tcPr>
          <w:p>
            <w:pPr>
              <w:adjustRightInd w:val="0"/>
              <w:snapToGrid w:val="0"/>
              <w:jc w:val="left"/>
              <w:rPr>
                <w:rFonts w:hint="eastAsia"/>
                <w:b/>
                <w:color w:val="auto"/>
                <w:sz w:val="21"/>
                <w:szCs w:val="21"/>
                <w:lang w:eastAsia="zh-CN"/>
              </w:rPr>
            </w:pPr>
            <w:r>
              <w:rPr>
                <w:rFonts w:hint="eastAsia"/>
                <w:b/>
                <w:color w:val="auto"/>
                <w:sz w:val="21"/>
                <w:szCs w:val="21"/>
                <w:lang w:eastAsia="zh-CN"/>
              </w:rPr>
              <w:t>备注</w:t>
            </w:r>
            <w:r>
              <w:rPr>
                <w:rFonts w:hint="eastAsia"/>
                <w:b/>
                <w:color w:val="auto"/>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18" w:type="dxa"/>
            <w:noWrap w:val="0"/>
            <w:vAlign w:val="center"/>
          </w:tcPr>
          <w:p>
            <w:pPr>
              <w:adjustRightInd w:val="0"/>
              <w:snapToGrid w:val="0"/>
              <w:jc w:val="center"/>
              <w:rPr>
                <w:rFonts w:ascii="Times New Roman" w:hAnsi="Times New Roman" w:eastAsia="宋体" w:cs="Times New Roman"/>
                <w:color w:val="auto"/>
                <w:kern w:val="2"/>
                <w:sz w:val="24"/>
                <w:szCs w:val="24"/>
                <w:lang w:val="en-US" w:eastAsia="zh-CN" w:bidi="ar-SA"/>
              </w:rPr>
            </w:pPr>
            <w:r>
              <w:rPr>
                <w:color w:val="auto"/>
                <w:sz w:val="24"/>
              </w:rPr>
              <w:t>1</w:t>
            </w:r>
          </w:p>
        </w:tc>
        <w:tc>
          <w:tcPr>
            <w:tcW w:w="1063" w:type="dxa"/>
            <w:noWrap w:val="0"/>
            <w:vAlign w:val="center"/>
          </w:tcPr>
          <w:p>
            <w:pPr>
              <w:adjustRightInd w:val="0"/>
              <w:snapToGrid w:val="0"/>
              <w:jc w:val="left"/>
              <w:rPr>
                <w:color w:val="auto"/>
                <w:sz w:val="24"/>
              </w:rPr>
            </w:pPr>
          </w:p>
        </w:tc>
        <w:tc>
          <w:tcPr>
            <w:tcW w:w="1541" w:type="dxa"/>
            <w:noWrap w:val="0"/>
            <w:vAlign w:val="top"/>
          </w:tcPr>
          <w:p>
            <w:pPr>
              <w:adjustRightInd w:val="0"/>
              <w:snapToGrid w:val="0"/>
              <w:jc w:val="left"/>
              <w:rPr>
                <w:color w:val="auto"/>
                <w:sz w:val="24"/>
              </w:rPr>
            </w:pPr>
          </w:p>
        </w:tc>
        <w:tc>
          <w:tcPr>
            <w:tcW w:w="1050" w:type="dxa"/>
            <w:noWrap w:val="0"/>
            <w:vAlign w:val="center"/>
          </w:tcPr>
          <w:p>
            <w:pPr>
              <w:adjustRightInd w:val="0"/>
              <w:snapToGrid w:val="0"/>
              <w:jc w:val="left"/>
              <w:rPr>
                <w:color w:val="auto"/>
                <w:sz w:val="24"/>
              </w:rPr>
            </w:pPr>
          </w:p>
        </w:tc>
        <w:tc>
          <w:tcPr>
            <w:tcW w:w="1132" w:type="dxa"/>
            <w:noWrap w:val="0"/>
            <w:vAlign w:val="center"/>
          </w:tcPr>
          <w:p>
            <w:pPr>
              <w:adjustRightInd w:val="0"/>
              <w:snapToGrid w:val="0"/>
              <w:jc w:val="left"/>
              <w:rPr>
                <w:color w:val="auto"/>
                <w:sz w:val="24"/>
              </w:rPr>
            </w:pPr>
          </w:p>
        </w:tc>
        <w:tc>
          <w:tcPr>
            <w:tcW w:w="1118"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18" w:type="dxa"/>
            <w:noWrap w:val="0"/>
            <w:vAlign w:val="center"/>
          </w:tcPr>
          <w:p>
            <w:pPr>
              <w:adjustRightInd w:val="0"/>
              <w:snapToGrid w:val="0"/>
              <w:jc w:val="center"/>
              <w:rPr>
                <w:rFonts w:ascii="Times New Roman" w:hAnsi="Times New Roman" w:eastAsia="宋体" w:cs="Times New Roman"/>
                <w:color w:val="auto"/>
                <w:kern w:val="2"/>
                <w:sz w:val="24"/>
                <w:szCs w:val="24"/>
                <w:lang w:val="en-US" w:eastAsia="zh-CN" w:bidi="ar-SA"/>
              </w:rPr>
            </w:pPr>
            <w:r>
              <w:rPr>
                <w:color w:val="auto"/>
                <w:sz w:val="24"/>
              </w:rPr>
              <w:t>2</w:t>
            </w:r>
          </w:p>
        </w:tc>
        <w:tc>
          <w:tcPr>
            <w:tcW w:w="1063" w:type="dxa"/>
            <w:noWrap w:val="0"/>
            <w:vAlign w:val="center"/>
          </w:tcPr>
          <w:p>
            <w:pPr>
              <w:adjustRightInd w:val="0"/>
              <w:snapToGrid w:val="0"/>
              <w:jc w:val="left"/>
              <w:rPr>
                <w:color w:val="auto"/>
                <w:sz w:val="24"/>
              </w:rPr>
            </w:pPr>
          </w:p>
        </w:tc>
        <w:tc>
          <w:tcPr>
            <w:tcW w:w="1541" w:type="dxa"/>
            <w:noWrap w:val="0"/>
            <w:vAlign w:val="top"/>
          </w:tcPr>
          <w:p>
            <w:pPr>
              <w:adjustRightInd w:val="0"/>
              <w:snapToGrid w:val="0"/>
              <w:jc w:val="left"/>
              <w:rPr>
                <w:color w:val="auto"/>
                <w:sz w:val="24"/>
              </w:rPr>
            </w:pPr>
          </w:p>
        </w:tc>
        <w:tc>
          <w:tcPr>
            <w:tcW w:w="1050" w:type="dxa"/>
            <w:noWrap w:val="0"/>
            <w:vAlign w:val="center"/>
          </w:tcPr>
          <w:p>
            <w:pPr>
              <w:adjustRightInd w:val="0"/>
              <w:snapToGrid w:val="0"/>
              <w:jc w:val="left"/>
              <w:rPr>
                <w:color w:val="auto"/>
                <w:sz w:val="24"/>
              </w:rPr>
            </w:pPr>
          </w:p>
        </w:tc>
        <w:tc>
          <w:tcPr>
            <w:tcW w:w="1132" w:type="dxa"/>
            <w:noWrap w:val="0"/>
            <w:vAlign w:val="center"/>
          </w:tcPr>
          <w:p>
            <w:pPr>
              <w:adjustRightInd w:val="0"/>
              <w:snapToGrid w:val="0"/>
              <w:jc w:val="left"/>
              <w:rPr>
                <w:color w:val="auto"/>
                <w:sz w:val="24"/>
              </w:rPr>
            </w:pPr>
          </w:p>
        </w:tc>
        <w:tc>
          <w:tcPr>
            <w:tcW w:w="1118"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18" w:type="dxa"/>
            <w:noWrap w:val="0"/>
            <w:vAlign w:val="center"/>
          </w:tcPr>
          <w:p>
            <w:pPr>
              <w:adjustRightInd w:val="0"/>
              <w:snapToGrid w:val="0"/>
              <w:jc w:val="center"/>
              <w:rPr>
                <w:rFonts w:ascii="Times New Roman" w:hAnsi="Times New Roman" w:eastAsia="宋体" w:cs="Times New Roman"/>
                <w:color w:val="auto"/>
                <w:kern w:val="2"/>
                <w:sz w:val="24"/>
                <w:szCs w:val="24"/>
                <w:lang w:val="en-US" w:eastAsia="zh-CN" w:bidi="ar-SA"/>
              </w:rPr>
            </w:pPr>
            <w:r>
              <w:rPr>
                <w:color w:val="auto"/>
                <w:sz w:val="24"/>
              </w:rPr>
              <w:t>3</w:t>
            </w:r>
          </w:p>
        </w:tc>
        <w:tc>
          <w:tcPr>
            <w:tcW w:w="1063" w:type="dxa"/>
            <w:noWrap w:val="0"/>
            <w:vAlign w:val="center"/>
          </w:tcPr>
          <w:p>
            <w:pPr>
              <w:adjustRightInd w:val="0"/>
              <w:snapToGrid w:val="0"/>
              <w:jc w:val="left"/>
              <w:rPr>
                <w:color w:val="auto"/>
                <w:sz w:val="24"/>
              </w:rPr>
            </w:pPr>
          </w:p>
        </w:tc>
        <w:tc>
          <w:tcPr>
            <w:tcW w:w="1541" w:type="dxa"/>
            <w:noWrap w:val="0"/>
            <w:vAlign w:val="top"/>
          </w:tcPr>
          <w:p>
            <w:pPr>
              <w:adjustRightInd w:val="0"/>
              <w:snapToGrid w:val="0"/>
              <w:jc w:val="left"/>
              <w:rPr>
                <w:color w:val="auto"/>
                <w:sz w:val="24"/>
              </w:rPr>
            </w:pPr>
          </w:p>
        </w:tc>
        <w:tc>
          <w:tcPr>
            <w:tcW w:w="1050" w:type="dxa"/>
            <w:noWrap w:val="0"/>
            <w:vAlign w:val="center"/>
          </w:tcPr>
          <w:p>
            <w:pPr>
              <w:adjustRightInd w:val="0"/>
              <w:snapToGrid w:val="0"/>
              <w:jc w:val="left"/>
              <w:rPr>
                <w:color w:val="auto"/>
                <w:sz w:val="24"/>
              </w:rPr>
            </w:pPr>
          </w:p>
        </w:tc>
        <w:tc>
          <w:tcPr>
            <w:tcW w:w="1132" w:type="dxa"/>
            <w:noWrap w:val="0"/>
            <w:vAlign w:val="center"/>
          </w:tcPr>
          <w:p>
            <w:pPr>
              <w:adjustRightInd w:val="0"/>
              <w:snapToGrid w:val="0"/>
              <w:jc w:val="left"/>
              <w:rPr>
                <w:color w:val="auto"/>
                <w:sz w:val="24"/>
              </w:rPr>
            </w:pPr>
          </w:p>
        </w:tc>
        <w:tc>
          <w:tcPr>
            <w:tcW w:w="1118"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18" w:type="dxa"/>
            <w:noWrap w:val="0"/>
            <w:vAlign w:val="center"/>
          </w:tcPr>
          <w:p>
            <w:pPr>
              <w:adjustRightInd w:val="0"/>
              <w:snapToGrid w:val="0"/>
              <w:jc w:val="center"/>
              <w:rPr>
                <w:rFonts w:ascii="Times New Roman" w:hAnsi="Times New Roman" w:eastAsia="宋体" w:cs="Times New Roman"/>
                <w:color w:val="auto"/>
                <w:kern w:val="2"/>
                <w:sz w:val="24"/>
                <w:szCs w:val="24"/>
                <w:lang w:val="en-US" w:eastAsia="zh-CN" w:bidi="ar-SA"/>
              </w:rPr>
            </w:pPr>
          </w:p>
        </w:tc>
        <w:tc>
          <w:tcPr>
            <w:tcW w:w="1063" w:type="dxa"/>
            <w:noWrap w:val="0"/>
            <w:vAlign w:val="center"/>
          </w:tcPr>
          <w:p>
            <w:pPr>
              <w:adjustRightInd w:val="0"/>
              <w:snapToGrid w:val="0"/>
              <w:jc w:val="left"/>
              <w:rPr>
                <w:color w:val="auto"/>
                <w:sz w:val="24"/>
              </w:rPr>
            </w:pPr>
          </w:p>
        </w:tc>
        <w:tc>
          <w:tcPr>
            <w:tcW w:w="1541" w:type="dxa"/>
            <w:noWrap w:val="0"/>
            <w:vAlign w:val="top"/>
          </w:tcPr>
          <w:p>
            <w:pPr>
              <w:adjustRightInd w:val="0"/>
              <w:snapToGrid w:val="0"/>
              <w:jc w:val="left"/>
              <w:rPr>
                <w:color w:val="auto"/>
                <w:sz w:val="24"/>
              </w:rPr>
            </w:pPr>
          </w:p>
        </w:tc>
        <w:tc>
          <w:tcPr>
            <w:tcW w:w="1050" w:type="dxa"/>
            <w:noWrap w:val="0"/>
            <w:vAlign w:val="center"/>
          </w:tcPr>
          <w:p>
            <w:pPr>
              <w:adjustRightInd w:val="0"/>
              <w:snapToGrid w:val="0"/>
              <w:jc w:val="left"/>
              <w:rPr>
                <w:color w:val="auto"/>
                <w:sz w:val="24"/>
              </w:rPr>
            </w:pPr>
          </w:p>
        </w:tc>
        <w:tc>
          <w:tcPr>
            <w:tcW w:w="1132" w:type="dxa"/>
            <w:noWrap w:val="0"/>
            <w:vAlign w:val="center"/>
          </w:tcPr>
          <w:p>
            <w:pPr>
              <w:adjustRightInd w:val="0"/>
              <w:snapToGrid w:val="0"/>
              <w:jc w:val="left"/>
              <w:rPr>
                <w:color w:val="auto"/>
                <w:sz w:val="24"/>
              </w:rPr>
            </w:pPr>
          </w:p>
        </w:tc>
        <w:tc>
          <w:tcPr>
            <w:tcW w:w="1118"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572" w:type="dxa"/>
            <w:gridSpan w:val="4"/>
            <w:noWrap w:val="0"/>
            <w:vAlign w:val="center"/>
          </w:tcPr>
          <w:p>
            <w:pPr>
              <w:tabs>
                <w:tab w:val="left" w:pos="3715"/>
              </w:tabs>
              <w:adjustRightInd w:val="0"/>
              <w:snapToGrid w:val="0"/>
              <w:jc w:val="left"/>
              <w:rPr>
                <w:rFonts w:hint="eastAsia" w:eastAsia="宋体"/>
                <w:color w:val="auto"/>
                <w:sz w:val="24"/>
                <w:lang w:eastAsia="zh-CN"/>
              </w:rPr>
            </w:pPr>
            <w:r>
              <w:rPr>
                <w:rFonts w:hint="eastAsia"/>
                <w:b/>
                <w:color w:val="auto"/>
                <w:sz w:val="21"/>
                <w:szCs w:val="21"/>
                <w:lang w:eastAsia="zh-CN"/>
              </w:rPr>
              <w:t>总价（元）</w:t>
            </w:r>
          </w:p>
        </w:tc>
        <w:tc>
          <w:tcPr>
            <w:tcW w:w="1132" w:type="dxa"/>
            <w:noWrap w:val="0"/>
            <w:vAlign w:val="center"/>
          </w:tcPr>
          <w:p>
            <w:pPr>
              <w:adjustRightInd w:val="0"/>
              <w:snapToGrid w:val="0"/>
              <w:jc w:val="left"/>
              <w:rPr>
                <w:color w:val="auto"/>
                <w:sz w:val="24"/>
              </w:rPr>
            </w:pPr>
          </w:p>
        </w:tc>
        <w:tc>
          <w:tcPr>
            <w:tcW w:w="1118"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c>
          <w:tcPr>
            <w:tcW w:w="1091" w:type="dxa"/>
            <w:noWrap w:val="0"/>
            <w:vAlign w:val="center"/>
          </w:tcPr>
          <w:p>
            <w:pPr>
              <w:adjustRightInd w:val="0"/>
              <w:snapToGrid w:val="0"/>
              <w:jc w:val="left"/>
              <w:rPr>
                <w:color w:val="auto"/>
                <w:sz w:val="24"/>
              </w:rPr>
            </w:pPr>
          </w:p>
        </w:tc>
      </w:tr>
    </w:tbl>
    <w:p>
      <w:pPr>
        <w:autoSpaceDE w:val="0"/>
        <w:autoSpaceDN w:val="0"/>
        <w:adjustRightInd w:val="0"/>
        <w:snapToGrid w:val="0"/>
        <w:spacing w:before="25" w:after="25" w:line="360" w:lineRule="auto"/>
        <w:rPr>
          <w:rFonts w:hint="eastAsia"/>
          <w:color w:val="000000"/>
          <w:sz w:val="24"/>
          <w:szCs w:val="20"/>
          <w:lang w:eastAsia="zh-CN"/>
        </w:rPr>
      </w:pPr>
      <w:bookmarkStart w:id="876" w:name="_Toc264969252"/>
      <w:bookmarkStart w:id="877" w:name="_Toc226309806"/>
      <w:bookmarkStart w:id="878" w:name="_Toc226337258"/>
      <w:bookmarkStart w:id="879" w:name="_Toc127151562"/>
      <w:bookmarkStart w:id="880" w:name="_Toc305158904"/>
      <w:bookmarkStart w:id="881" w:name="_Toc305158830"/>
      <w:bookmarkStart w:id="882" w:name="_Toc150480798"/>
      <w:bookmarkStart w:id="883" w:name="_Toc195842927"/>
      <w:bookmarkStart w:id="884" w:name="_Toc142311062"/>
      <w:bookmarkStart w:id="885" w:name="_Toc226965835"/>
      <w:bookmarkStart w:id="886" w:name="_Toc265228400"/>
      <w:bookmarkStart w:id="887" w:name="_Toc150774765"/>
      <w:bookmarkStart w:id="888" w:name="_Toc226965752"/>
      <w:bookmarkStart w:id="889" w:name="_Toc226965834"/>
      <w:bookmarkStart w:id="890" w:name="_Toc226309805"/>
      <w:bookmarkStart w:id="891" w:name="_Toc150480797"/>
      <w:bookmarkStart w:id="892" w:name="_Toc226337257"/>
      <w:bookmarkStart w:id="893" w:name="_Toc127151561"/>
      <w:bookmarkStart w:id="894" w:name="_Toc264969251"/>
      <w:bookmarkStart w:id="895" w:name="_Toc195842926"/>
      <w:bookmarkStart w:id="896" w:name="_Toc305158829"/>
      <w:bookmarkStart w:id="897" w:name="_Toc226965751"/>
      <w:bookmarkStart w:id="898" w:name="_Toc142311061"/>
      <w:bookmarkStart w:id="899" w:name="_Toc150774764"/>
      <w:bookmarkStart w:id="900" w:name="_Toc305158903"/>
      <w:bookmarkStart w:id="901" w:name="_Toc265228399"/>
      <w:r>
        <w:rPr>
          <w:rFonts w:hint="eastAsia"/>
          <w:color w:val="auto"/>
          <w:sz w:val="24"/>
          <w:szCs w:val="20"/>
          <w:lang w:eastAsia="zh-CN"/>
        </w:rPr>
        <w:t>注：</w:t>
      </w:r>
      <w:r>
        <w:rPr>
          <w:rFonts w:hint="eastAsia"/>
          <w:color w:val="000000"/>
          <w:sz w:val="24"/>
          <w:szCs w:val="20"/>
          <w:lang w:eastAsia="zh-CN"/>
        </w:rPr>
        <w:t>1.本表应按包分别填写。</w:t>
      </w:r>
    </w:p>
    <w:p>
      <w:pPr>
        <w:autoSpaceDE w:val="0"/>
        <w:autoSpaceDN w:val="0"/>
        <w:adjustRightInd w:val="0"/>
        <w:snapToGrid w:val="0"/>
        <w:spacing w:before="25" w:after="25" w:line="360" w:lineRule="auto"/>
        <w:ind w:firstLine="420" w:firstLineChars="0"/>
        <w:rPr>
          <w:rFonts w:hint="eastAsia"/>
          <w:color w:val="000000"/>
          <w:sz w:val="24"/>
          <w:szCs w:val="20"/>
          <w:lang w:eastAsia="zh-CN"/>
        </w:rPr>
      </w:pPr>
      <w:r>
        <w:rPr>
          <w:rFonts w:hint="eastAsia"/>
          <w:color w:val="000000"/>
          <w:sz w:val="24"/>
          <w:szCs w:val="20"/>
          <w:lang w:eastAsia="zh-CN"/>
        </w:rPr>
        <w:t>2.如果不提供分项报价将视为没有实质性响应招标文件。</w:t>
      </w:r>
    </w:p>
    <w:p>
      <w:pPr>
        <w:autoSpaceDE w:val="0"/>
        <w:autoSpaceDN w:val="0"/>
        <w:adjustRightInd w:val="0"/>
        <w:snapToGrid w:val="0"/>
        <w:spacing w:before="25" w:after="25" w:line="360" w:lineRule="auto"/>
        <w:ind w:firstLine="420" w:firstLineChars="0"/>
        <w:rPr>
          <w:rFonts w:hint="eastAsia"/>
          <w:color w:val="000000"/>
          <w:sz w:val="24"/>
          <w:szCs w:val="20"/>
          <w:lang w:eastAsia="zh-CN"/>
        </w:rPr>
      </w:pPr>
      <w:r>
        <w:rPr>
          <w:rFonts w:hint="eastAsia"/>
          <w:color w:val="000000"/>
          <w:sz w:val="24"/>
          <w:szCs w:val="20"/>
          <w:lang w:eastAsia="zh-CN"/>
        </w:rPr>
        <w:t>3.上述各项的详细规格（如有），可另页描述。</w:t>
      </w:r>
    </w:p>
    <w:p>
      <w:pPr>
        <w:autoSpaceDE w:val="0"/>
        <w:autoSpaceDN w:val="0"/>
        <w:adjustRightInd w:val="0"/>
        <w:snapToGrid w:val="0"/>
        <w:spacing w:before="25" w:after="25" w:line="360" w:lineRule="auto"/>
        <w:ind w:firstLine="420" w:firstLineChars="0"/>
        <w:rPr>
          <w:rFonts w:hint="eastAsia"/>
          <w:color w:val="000000"/>
          <w:sz w:val="24"/>
          <w:szCs w:val="20"/>
          <w:lang w:eastAsia="zh-CN"/>
        </w:rPr>
      </w:pPr>
      <w:r>
        <w:rPr>
          <w:rFonts w:hint="eastAsia"/>
          <w:color w:val="000000"/>
          <w:sz w:val="24"/>
          <w:szCs w:val="20"/>
          <w:lang w:eastAsia="zh-CN"/>
        </w:rPr>
        <w:t>4.服务商规模列应填写“中型”、“小型”、“微型”或“其他”，且不应与《中小企业声明函》或《拟分包情况说明》中内容矛盾。</w:t>
      </w:r>
    </w:p>
    <w:p>
      <w:pPr>
        <w:pStyle w:val="2"/>
        <w:rPr>
          <w:rFonts w:hint="eastAsia"/>
          <w:lang w:eastAsia="zh-CN"/>
        </w:rPr>
      </w:pPr>
    </w:p>
    <w:p>
      <w:pPr>
        <w:autoSpaceDE w:val="0"/>
        <w:autoSpaceDN w:val="0"/>
        <w:adjustRightInd w:val="0"/>
        <w:snapToGrid w:val="0"/>
        <w:spacing w:before="25" w:after="25" w:line="360" w:lineRule="auto"/>
        <w:rPr>
          <w:rFonts w:hint="eastAsia"/>
          <w:color w:val="000000"/>
          <w:sz w:val="24"/>
          <w:szCs w:val="20"/>
          <w:lang w:eastAsia="zh-CN"/>
        </w:rPr>
      </w:pPr>
      <w:r>
        <w:rPr>
          <w:rFonts w:hint="eastAsia"/>
          <w:color w:val="000000"/>
          <w:sz w:val="24"/>
          <w:szCs w:val="20"/>
          <w:lang w:eastAsia="zh-CN"/>
        </w:rPr>
        <w:t>投标人名称（加盖公章）：____________</w:t>
      </w:r>
    </w:p>
    <w:p>
      <w:pPr>
        <w:autoSpaceDE w:val="0"/>
        <w:autoSpaceDN w:val="0"/>
        <w:adjustRightInd w:val="0"/>
        <w:snapToGrid w:val="0"/>
        <w:spacing w:before="25" w:after="25" w:line="360" w:lineRule="auto"/>
        <w:rPr>
          <w:rFonts w:hint="eastAsia"/>
          <w:color w:val="000000"/>
          <w:sz w:val="24"/>
          <w:szCs w:val="20"/>
          <w:lang w:eastAsia="zh-CN"/>
        </w:rPr>
      </w:pPr>
      <w:r>
        <w:rPr>
          <w:rFonts w:hint="eastAsia"/>
          <w:color w:val="000000"/>
          <w:sz w:val="24"/>
          <w:szCs w:val="20"/>
          <w:lang w:eastAsia="zh-CN"/>
        </w:rPr>
        <w:t>日期：_____年______月______日</w:t>
      </w:r>
    </w:p>
    <w:bookmarkEnd w:id="876"/>
    <w:bookmarkEnd w:id="877"/>
    <w:bookmarkEnd w:id="878"/>
    <w:bookmarkEnd w:id="879"/>
    <w:bookmarkEnd w:id="880"/>
    <w:bookmarkEnd w:id="881"/>
    <w:bookmarkEnd w:id="882"/>
    <w:bookmarkEnd w:id="883"/>
    <w:bookmarkEnd w:id="884"/>
    <w:bookmarkEnd w:id="885"/>
    <w:bookmarkEnd w:id="886"/>
    <w:bookmarkEnd w:id="887"/>
    <w:bookmarkEnd w:id="888"/>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rFonts w:hint="eastAsia"/>
          <w:b/>
          <w:color w:val="000000"/>
          <w:sz w:val="36"/>
          <w:szCs w:val="36"/>
        </w:rPr>
      </w:pPr>
    </w:p>
    <w:p>
      <w:pPr>
        <w:tabs>
          <w:tab w:val="left" w:pos="2775"/>
          <w:tab w:val="center" w:pos="4153"/>
        </w:tabs>
        <w:autoSpaceDE w:val="0"/>
        <w:autoSpaceDN w:val="0"/>
        <w:adjustRightInd w:val="0"/>
        <w:spacing w:line="360" w:lineRule="auto"/>
        <w:jc w:val="center"/>
        <w:rPr>
          <w:rFonts w:hint="eastAsia"/>
          <w:b/>
          <w:color w:val="000000"/>
          <w:sz w:val="36"/>
          <w:szCs w:val="36"/>
        </w:rPr>
      </w:pPr>
    </w:p>
    <w:p>
      <w:pPr>
        <w:tabs>
          <w:tab w:val="left" w:pos="2775"/>
          <w:tab w:val="center" w:pos="4153"/>
        </w:tabs>
        <w:autoSpaceDE w:val="0"/>
        <w:autoSpaceDN w:val="0"/>
        <w:adjustRightInd w:val="0"/>
        <w:spacing w:line="360" w:lineRule="auto"/>
        <w:jc w:val="center"/>
        <w:rPr>
          <w:rFonts w:hint="eastAsia"/>
          <w:b/>
          <w:color w:val="000000"/>
          <w:sz w:val="36"/>
          <w:szCs w:val="36"/>
        </w:rPr>
      </w:pPr>
    </w:p>
    <w:p>
      <w:pPr>
        <w:tabs>
          <w:tab w:val="left" w:pos="2775"/>
          <w:tab w:val="center" w:pos="4153"/>
        </w:tabs>
        <w:autoSpaceDE w:val="0"/>
        <w:autoSpaceDN w:val="0"/>
        <w:adjustRightInd w:val="0"/>
        <w:spacing w:line="360" w:lineRule="auto"/>
        <w:jc w:val="center"/>
        <w:rPr>
          <w:rFonts w:hint="eastAsia"/>
          <w:b/>
          <w:color w:val="000000"/>
          <w:sz w:val="36"/>
          <w:szCs w:val="36"/>
        </w:rPr>
      </w:pPr>
    </w:p>
    <w:p>
      <w:pPr>
        <w:tabs>
          <w:tab w:val="left" w:pos="2775"/>
          <w:tab w:val="center" w:pos="4153"/>
        </w:tabs>
        <w:autoSpaceDE w:val="0"/>
        <w:autoSpaceDN w:val="0"/>
        <w:adjustRightInd w:val="0"/>
        <w:spacing w:line="360" w:lineRule="auto"/>
        <w:jc w:val="center"/>
        <w:rPr>
          <w:rFonts w:hint="eastAsia"/>
          <w:b/>
          <w:color w:val="000000"/>
          <w:sz w:val="36"/>
          <w:szCs w:val="36"/>
        </w:rPr>
      </w:pPr>
    </w:p>
    <w:p>
      <w:pPr>
        <w:autoSpaceDE w:val="0"/>
        <w:autoSpaceDN w:val="0"/>
        <w:adjustRightInd w:val="0"/>
        <w:snapToGrid w:val="0"/>
        <w:spacing w:before="25" w:after="25" w:line="360" w:lineRule="auto"/>
        <w:rPr>
          <w:color w:val="000000"/>
          <w:sz w:val="24"/>
          <w:szCs w:val="20"/>
        </w:rPr>
      </w:pPr>
      <w:r>
        <w:rPr>
          <w:color w:val="000000"/>
          <w:sz w:val="24"/>
          <w:szCs w:val="20"/>
        </w:rPr>
        <w:t>5  合同条款偏离表（实质性格式）</w:t>
      </w:r>
    </w:p>
    <w:p>
      <w:pPr>
        <w:tabs>
          <w:tab w:val="left" w:pos="2775"/>
          <w:tab w:val="center" w:pos="4153"/>
        </w:tabs>
        <w:autoSpaceDE w:val="0"/>
        <w:autoSpaceDN w:val="0"/>
        <w:adjustRightInd w:val="0"/>
        <w:spacing w:line="360" w:lineRule="auto"/>
        <w:jc w:val="center"/>
        <w:rPr>
          <w:rFonts w:hint="eastAsia"/>
          <w:b/>
          <w:color w:val="000000"/>
          <w:sz w:val="36"/>
          <w:szCs w:val="36"/>
        </w:rPr>
      </w:pPr>
    </w:p>
    <w:p>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r>
              <w:rPr>
                <w:color w:val="000000"/>
                <w:sz w:val="24"/>
              </w:rPr>
              <w:t>序号</w:t>
            </w:r>
          </w:p>
        </w:tc>
        <w:tc>
          <w:tcPr>
            <w:tcW w:w="1301" w:type="dxa"/>
            <w:noWrap w:val="0"/>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2007" w:type="dxa"/>
            <w:noWrap w:val="0"/>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2008" w:type="dxa"/>
            <w:noWrap w:val="0"/>
            <w:vAlign w:val="center"/>
          </w:tcPr>
          <w:p>
            <w:pPr>
              <w:adjustRightInd w:val="0"/>
              <w:snapToGrid w:val="0"/>
              <w:jc w:val="center"/>
              <w:rPr>
                <w:color w:val="000000"/>
                <w:sz w:val="24"/>
              </w:rPr>
            </w:pPr>
            <w:r>
              <w:rPr>
                <w:color w:val="000000"/>
                <w:sz w:val="24"/>
              </w:rPr>
              <w:t>投标文件内容</w:t>
            </w:r>
          </w:p>
        </w:tc>
        <w:tc>
          <w:tcPr>
            <w:tcW w:w="2458" w:type="dxa"/>
            <w:noWrap w:val="0"/>
            <w:vAlign w:val="center"/>
          </w:tcPr>
          <w:p>
            <w:pPr>
              <w:adjustRightInd w:val="0"/>
              <w:snapToGrid w:val="0"/>
              <w:jc w:val="center"/>
              <w:rPr>
                <w:color w:val="000000"/>
                <w:sz w:val="24"/>
              </w:rPr>
            </w:pPr>
            <w:r>
              <w:rPr>
                <w:color w:val="000000"/>
                <w:sz w:val="24"/>
              </w:rPr>
              <w:t>偏离情况</w:t>
            </w:r>
          </w:p>
        </w:tc>
        <w:tc>
          <w:tcPr>
            <w:tcW w:w="788" w:type="dxa"/>
            <w:noWrap w:val="0"/>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34" w:type="dxa"/>
            <w:noWrap w:val="0"/>
            <w:vAlign w:val="center"/>
          </w:tcPr>
          <w:p>
            <w:pPr>
              <w:adjustRightInd w:val="0"/>
              <w:snapToGrid w:val="0"/>
              <w:jc w:val="center"/>
              <w:rPr>
                <w:color w:val="000000"/>
                <w:sz w:val="24"/>
              </w:rPr>
            </w:pPr>
          </w:p>
        </w:tc>
        <w:tc>
          <w:tcPr>
            <w:tcW w:w="1301" w:type="dxa"/>
            <w:noWrap w:val="0"/>
            <w:vAlign w:val="center"/>
          </w:tcPr>
          <w:p>
            <w:pPr>
              <w:adjustRightInd w:val="0"/>
              <w:snapToGrid w:val="0"/>
              <w:jc w:val="center"/>
              <w:rPr>
                <w:color w:val="000000"/>
                <w:sz w:val="24"/>
              </w:rPr>
            </w:pPr>
          </w:p>
        </w:tc>
        <w:tc>
          <w:tcPr>
            <w:tcW w:w="2007" w:type="dxa"/>
            <w:noWrap w:val="0"/>
            <w:vAlign w:val="center"/>
          </w:tcPr>
          <w:p>
            <w:pPr>
              <w:adjustRightInd w:val="0"/>
              <w:snapToGrid w:val="0"/>
              <w:jc w:val="center"/>
              <w:rPr>
                <w:color w:val="000000"/>
                <w:sz w:val="24"/>
              </w:rPr>
            </w:pPr>
          </w:p>
        </w:tc>
        <w:tc>
          <w:tcPr>
            <w:tcW w:w="2008" w:type="dxa"/>
            <w:noWrap w:val="0"/>
            <w:vAlign w:val="center"/>
          </w:tcPr>
          <w:p>
            <w:pPr>
              <w:adjustRightInd w:val="0"/>
              <w:snapToGrid w:val="0"/>
              <w:jc w:val="center"/>
              <w:rPr>
                <w:color w:val="000000"/>
                <w:sz w:val="24"/>
              </w:rPr>
            </w:pPr>
          </w:p>
        </w:tc>
        <w:tc>
          <w:tcPr>
            <w:tcW w:w="2458" w:type="dxa"/>
            <w:noWrap w:val="0"/>
            <w:vAlign w:val="center"/>
          </w:tcPr>
          <w:p>
            <w:pPr>
              <w:adjustRightInd w:val="0"/>
              <w:snapToGrid w:val="0"/>
              <w:jc w:val="center"/>
              <w:rPr>
                <w:color w:val="000000"/>
                <w:sz w:val="24"/>
              </w:rPr>
            </w:pPr>
          </w:p>
        </w:tc>
        <w:tc>
          <w:tcPr>
            <w:tcW w:w="78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p>
        </w:tc>
        <w:tc>
          <w:tcPr>
            <w:tcW w:w="1301" w:type="dxa"/>
            <w:noWrap w:val="0"/>
            <w:vAlign w:val="center"/>
          </w:tcPr>
          <w:p>
            <w:pPr>
              <w:adjustRightInd w:val="0"/>
              <w:snapToGrid w:val="0"/>
              <w:jc w:val="center"/>
              <w:rPr>
                <w:color w:val="000000"/>
                <w:sz w:val="24"/>
              </w:rPr>
            </w:pPr>
          </w:p>
        </w:tc>
        <w:tc>
          <w:tcPr>
            <w:tcW w:w="2007" w:type="dxa"/>
            <w:noWrap w:val="0"/>
            <w:vAlign w:val="center"/>
          </w:tcPr>
          <w:p>
            <w:pPr>
              <w:adjustRightInd w:val="0"/>
              <w:snapToGrid w:val="0"/>
              <w:jc w:val="center"/>
              <w:rPr>
                <w:color w:val="000000"/>
                <w:sz w:val="24"/>
              </w:rPr>
            </w:pPr>
          </w:p>
        </w:tc>
        <w:tc>
          <w:tcPr>
            <w:tcW w:w="2008" w:type="dxa"/>
            <w:noWrap w:val="0"/>
            <w:vAlign w:val="center"/>
          </w:tcPr>
          <w:p>
            <w:pPr>
              <w:adjustRightInd w:val="0"/>
              <w:snapToGrid w:val="0"/>
              <w:jc w:val="center"/>
              <w:rPr>
                <w:color w:val="000000"/>
                <w:sz w:val="24"/>
              </w:rPr>
            </w:pPr>
          </w:p>
        </w:tc>
        <w:tc>
          <w:tcPr>
            <w:tcW w:w="2458" w:type="dxa"/>
            <w:noWrap w:val="0"/>
            <w:vAlign w:val="center"/>
          </w:tcPr>
          <w:p>
            <w:pPr>
              <w:adjustRightInd w:val="0"/>
              <w:snapToGrid w:val="0"/>
              <w:jc w:val="center"/>
              <w:rPr>
                <w:color w:val="000000"/>
                <w:sz w:val="24"/>
              </w:rPr>
            </w:pPr>
          </w:p>
        </w:tc>
        <w:tc>
          <w:tcPr>
            <w:tcW w:w="78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p>
        </w:tc>
        <w:tc>
          <w:tcPr>
            <w:tcW w:w="1301" w:type="dxa"/>
            <w:noWrap w:val="0"/>
            <w:vAlign w:val="center"/>
          </w:tcPr>
          <w:p>
            <w:pPr>
              <w:adjustRightInd w:val="0"/>
              <w:snapToGrid w:val="0"/>
              <w:jc w:val="center"/>
              <w:rPr>
                <w:color w:val="000000"/>
                <w:sz w:val="24"/>
              </w:rPr>
            </w:pPr>
          </w:p>
        </w:tc>
        <w:tc>
          <w:tcPr>
            <w:tcW w:w="2007" w:type="dxa"/>
            <w:noWrap w:val="0"/>
            <w:vAlign w:val="center"/>
          </w:tcPr>
          <w:p>
            <w:pPr>
              <w:adjustRightInd w:val="0"/>
              <w:snapToGrid w:val="0"/>
              <w:jc w:val="center"/>
              <w:rPr>
                <w:color w:val="000000"/>
                <w:sz w:val="24"/>
              </w:rPr>
            </w:pPr>
          </w:p>
        </w:tc>
        <w:tc>
          <w:tcPr>
            <w:tcW w:w="2008" w:type="dxa"/>
            <w:noWrap w:val="0"/>
            <w:vAlign w:val="center"/>
          </w:tcPr>
          <w:p>
            <w:pPr>
              <w:adjustRightInd w:val="0"/>
              <w:snapToGrid w:val="0"/>
              <w:jc w:val="center"/>
              <w:rPr>
                <w:color w:val="000000"/>
                <w:sz w:val="24"/>
              </w:rPr>
            </w:pPr>
          </w:p>
        </w:tc>
        <w:tc>
          <w:tcPr>
            <w:tcW w:w="2458" w:type="dxa"/>
            <w:noWrap w:val="0"/>
            <w:vAlign w:val="center"/>
          </w:tcPr>
          <w:p>
            <w:pPr>
              <w:adjustRightInd w:val="0"/>
              <w:snapToGrid w:val="0"/>
              <w:jc w:val="center"/>
              <w:rPr>
                <w:color w:val="000000"/>
                <w:sz w:val="24"/>
              </w:rPr>
            </w:pPr>
          </w:p>
        </w:tc>
        <w:tc>
          <w:tcPr>
            <w:tcW w:w="78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p>
        </w:tc>
        <w:tc>
          <w:tcPr>
            <w:tcW w:w="1301" w:type="dxa"/>
            <w:noWrap w:val="0"/>
            <w:vAlign w:val="center"/>
          </w:tcPr>
          <w:p>
            <w:pPr>
              <w:adjustRightInd w:val="0"/>
              <w:snapToGrid w:val="0"/>
              <w:jc w:val="center"/>
              <w:rPr>
                <w:color w:val="000000"/>
                <w:sz w:val="24"/>
              </w:rPr>
            </w:pPr>
          </w:p>
        </w:tc>
        <w:tc>
          <w:tcPr>
            <w:tcW w:w="2007" w:type="dxa"/>
            <w:noWrap w:val="0"/>
            <w:vAlign w:val="center"/>
          </w:tcPr>
          <w:p>
            <w:pPr>
              <w:adjustRightInd w:val="0"/>
              <w:snapToGrid w:val="0"/>
              <w:jc w:val="center"/>
              <w:rPr>
                <w:color w:val="000000"/>
                <w:sz w:val="24"/>
              </w:rPr>
            </w:pPr>
          </w:p>
        </w:tc>
        <w:tc>
          <w:tcPr>
            <w:tcW w:w="2008" w:type="dxa"/>
            <w:noWrap w:val="0"/>
            <w:vAlign w:val="center"/>
          </w:tcPr>
          <w:p>
            <w:pPr>
              <w:adjustRightInd w:val="0"/>
              <w:snapToGrid w:val="0"/>
              <w:jc w:val="center"/>
              <w:rPr>
                <w:color w:val="000000"/>
                <w:sz w:val="24"/>
              </w:rPr>
            </w:pPr>
          </w:p>
        </w:tc>
        <w:tc>
          <w:tcPr>
            <w:tcW w:w="2458" w:type="dxa"/>
            <w:noWrap w:val="0"/>
            <w:vAlign w:val="center"/>
          </w:tcPr>
          <w:p>
            <w:pPr>
              <w:adjustRightInd w:val="0"/>
              <w:snapToGrid w:val="0"/>
              <w:jc w:val="center"/>
              <w:rPr>
                <w:color w:val="000000"/>
                <w:sz w:val="24"/>
              </w:rPr>
            </w:pPr>
          </w:p>
        </w:tc>
        <w:tc>
          <w:tcPr>
            <w:tcW w:w="788" w:type="dxa"/>
            <w:noWrap w:val="0"/>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pPr>
        <w:tabs>
          <w:tab w:val="left" w:pos="1800"/>
          <w:tab w:val="left" w:pos="5580"/>
        </w:tabs>
        <w:jc w:val="left"/>
        <w:rPr>
          <w:color w:val="000000"/>
          <w:sz w:val="24"/>
          <w:lang w:val="zh-CN"/>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r>
        <w:rPr>
          <w:color w:val="000000"/>
          <w:sz w:val="24"/>
          <w:lang w:val="zh-CN"/>
        </w:rPr>
        <w:t xml:space="preserve">              </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889"/>
      <w:bookmarkEnd w:id="890"/>
      <w:bookmarkEnd w:id="891"/>
      <w:bookmarkEnd w:id="892"/>
      <w:bookmarkEnd w:id="893"/>
      <w:bookmarkEnd w:id="894"/>
      <w:bookmarkEnd w:id="895"/>
      <w:bookmarkEnd w:id="896"/>
      <w:bookmarkEnd w:id="897"/>
      <w:bookmarkEnd w:id="898"/>
      <w:bookmarkEnd w:id="899"/>
      <w:bookmarkEnd w:id="900"/>
      <w:bookmarkEnd w:id="901"/>
      <w:r>
        <w:rPr>
          <w:color w:val="000000"/>
          <w:sz w:val="24"/>
          <w:szCs w:val="20"/>
        </w:rPr>
        <w:t>采购需求偏离表（实质性格式）</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1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color w:val="000000"/>
                <w:sz w:val="24"/>
              </w:rPr>
            </w:pPr>
            <w:r>
              <w:rPr>
                <w:color w:val="000000"/>
                <w:sz w:val="24"/>
              </w:rPr>
              <w:t>序号</w:t>
            </w:r>
          </w:p>
        </w:tc>
        <w:tc>
          <w:tcPr>
            <w:tcW w:w="1482" w:type="dxa"/>
            <w:noWrap w:val="0"/>
            <w:vAlign w:val="center"/>
          </w:tcPr>
          <w:p>
            <w:pPr>
              <w:adjustRightInd w:val="0"/>
              <w:snapToGrid w:val="0"/>
              <w:jc w:val="center"/>
              <w:rPr>
                <w:color w:val="000000"/>
                <w:sz w:val="24"/>
              </w:rPr>
            </w:pPr>
            <w:r>
              <w:rPr>
                <w:color w:val="000000"/>
                <w:sz w:val="24"/>
              </w:rPr>
              <w:t>招标文件条目号(页码)</w:t>
            </w:r>
          </w:p>
        </w:tc>
        <w:tc>
          <w:tcPr>
            <w:tcW w:w="2384" w:type="dxa"/>
            <w:noWrap w:val="0"/>
            <w:vAlign w:val="center"/>
          </w:tcPr>
          <w:p>
            <w:pPr>
              <w:adjustRightInd w:val="0"/>
              <w:snapToGrid w:val="0"/>
              <w:jc w:val="center"/>
              <w:rPr>
                <w:color w:val="000000"/>
                <w:sz w:val="24"/>
              </w:rPr>
            </w:pPr>
            <w:r>
              <w:rPr>
                <w:color w:val="000000"/>
                <w:sz w:val="24"/>
              </w:rPr>
              <w:t>招标文件要求</w:t>
            </w:r>
          </w:p>
        </w:tc>
        <w:tc>
          <w:tcPr>
            <w:tcW w:w="2126" w:type="dxa"/>
            <w:noWrap w:val="0"/>
            <w:vAlign w:val="center"/>
          </w:tcPr>
          <w:p>
            <w:pPr>
              <w:adjustRightInd w:val="0"/>
              <w:snapToGrid w:val="0"/>
              <w:jc w:val="center"/>
              <w:rPr>
                <w:color w:val="000000"/>
                <w:sz w:val="24"/>
              </w:rPr>
            </w:pPr>
            <w:r>
              <w:rPr>
                <w:color w:val="000000"/>
                <w:sz w:val="24"/>
              </w:rPr>
              <w:t>投标响应内容</w:t>
            </w:r>
          </w:p>
        </w:tc>
        <w:tc>
          <w:tcPr>
            <w:tcW w:w="1875" w:type="dxa"/>
            <w:noWrap w:val="0"/>
            <w:vAlign w:val="center"/>
          </w:tcPr>
          <w:p>
            <w:pPr>
              <w:adjustRightInd w:val="0"/>
              <w:snapToGrid w:val="0"/>
              <w:jc w:val="center"/>
              <w:rPr>
                <w:color w:val="000000"/>
                <w:sz w:val="24"/>
              </w:rPr>
            </w:pPr>
            <w:r>
              <w:rPr>
                <w:color w:val="000000"/>
                <w:sz w:val="24"/>
              </w:rPr>
              <w:t>偏离情况</w:t>
            </w:r>
          </w:p>
        </w:tc>
        <w:tc>
          <w:tcPr>
            <w:tcW w:w="1009" w:type="dxa"/>
            <w:noWrap w:val="0"/>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w:t>
      </w:r>
      <w:r>
        <w:rPr>
          <w:rFonts w:hint="eastAsia"/>
          <w:sz w:val="24"/>
          <w:lang w:eastAsia="zh-CN"/>
        </w:rPr>
        <w:t>、</w:t>
      </w:r>
      <w:r>
        <w:rPr>
          <w:rFonts w:hint="eastAsia"/>
          <w:sz w:val="24"/>
        </w:rPr>
        <w:t>“负偏离”</w:t>
      </w:r>
      <w:r>
        <w:rPr>
          <w:rFonts w:hint="eastAsia"/>
          <w:sz w:val="24"/>
          <w:lang w:eastAsia="zh-CN"/>
        </w:rPr>
        <w:t>或“无偏离”</w:t>
      </w:r>
      <w:r>
        <w:rPr>
          <w:rFonts w:hint="eastAsia"/>
          <w:sz w:val="24"/>
        </w:rPr>
        <w:t>。</w:t>
      </w: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rFonts w:hint="eastAsia"/>
          <w:color w:val="000000"/>
          <w:sz w:val="24"/>
          <w:szCs w:val="20"/>
        </w:rPr>
      </w:pPr>
      <w:r>
        <w:rPr>
          <w:color w:val="000000"/>
          <w:sz w:val="24"/>
          <w:szCs w:val="20"/>
        </w:rPr>
        <w:br w:type="page"/>
      </w:r>
      <w:r>
        <w:rPr>
          <w:rFonts w:hint="eastAsia"/>
          <w:color w:val="000000"/>
          <w:sz w:val="24"/>
          <w:szCs w:val="20"/>
        </w:rPr>
        <w:t>7 中小企业证明文件</w:t>
      </w:r>
    </w:p>
    <w:p>
      <w:pPr>
        <w:widowControl/>
        <w:jc w:val="left"/>
        <w:rPr>
          <w:rFonts w:hint="eastAsia"/>
          <w:color w:val="000000"/>
          <w:sz w:val="24"/>
          <w:szCs w:val="20"/>
        </w:rPr>
      </w:pPr>
      <w:r>
        <w:rPr>
          <w:rFonts w:hint="eastAsia"/>
          <w:color w:val="000000"/>
          <w:sz w:val="24"/>
          <w:szCs w:val="20"/>
        </w:rPr>
        <w:t>说明：</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1）中小企业参加政府采购活动，应当出具《中小企业声明函》或《残疾人福利性单位</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声明函》或由省级以上监狱管理局、戒毒管理局（含新疆生产建设兵团）出具的属于监</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狱企业的证明文件，以证明中小企业身份。《中小企业声明函》由参加政府采购活动的</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投标人出具。联合体投标的，《中小企业声明函》可由牵头人出具。</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2）对于联合体中由中小企业承担的部分，或者分包给中小企业的部分，必须全部由中</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小企业制造、承建或者承接。供应商应当在声明函“标的名称”部分标明联合体中中小企</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业承担的具体内容或者中小企业的具体分包内容。</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3）对于多标的采购项目，投标人应充分、准确地了解所提供货物的制造企业、提供服</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务的承接企业信息。对相关情况了解不清楚的，不建议填报本声明函。</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4）温馨提示：为方便广大中小企业识别企业规模类型，工业和信息化部组织开发了中</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小企业规模类型自测小程序，在国务院客户端和工业和信息化部网站上均有链接，投标</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人填写所属的行业和指标数据可自动生成企业规模类型测试结果。本项目中小企业划分</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标准所属行业详见第二章《投标人须知资料表》，如在该程序中未找到本项目文件规定</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rFonts w:hint="eastAsia"/>
          <w:sz w:val="24"/>
        </w:rPr>
      </w:pPr>
      <w:r>
        <w:rPr>
          <w:rFonts w:hint="eastAsia"/>
          <w:sz w:val="24"/>
        </w:rPr>
        <w:t>的中小企业划分标准所属行业，则按照《关于印发中小企业划型标准规定的通知（工信</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00" w:lineRule="exact"/>
        <w:jc w:val="left"/>
        <w:textAlignment w:val="auto"/>
        <w:rPr>
          <w:sz w:val="24"/>
        </w:rPr>
      </w:pPr>
      <w:r>
        <w:rPr>
          <w:rFonts w:hint="eastAsia"/>
          <w:sz w:val="24"/>
        </w:rPr>
        <w:t>部联企业﹝2011﹞300 号）》及本项目文件规定的中小企业划分标准所属行业执行。</w:t>
      </w:r>
    </w:p>
    <w:p>
      <w:pPr>
        <w:spacing w:before="240" w:beforeLines="100" w:after="240" w:afterLines="100" w:line="360" w:lineRule="auto"/>
        <w:jc w:val="center"/>
        <w:rPr>
          <w:b/>
          <w:bCs/>
          <w:color w:val="000000"/>
          <w:sz w:val="36"/>
          <w:szCs w:val="36"/>
        </w:rPr>
      </w:pPr>
    </w:p>
    <w:p>
      <w:pPr>
        <w:spacing w:before="240" w:beforeLines="100" w:after="240" w:afterLines="100" w:line="360" w:lineRule="auto"/>
        <w:jc w:val="center"/>
        <w:rPr>
          <w:b/>
          <w:bCs/>
          <w:color w:val="000000"/>
          <w:sz w:val="36"/>
          <w:szCs w:val="36"/>
        </w:rPr>
      </w:pPr>
    </w:p>
    <w:p>
      <w:pPr>
        <w:spacing w:before="240" w:beforeLines="100" w:after="240" w:afterLines="100" w:line="360" w:lineRule="auto"/>
        <w:jc w:val="center"/>
        <w:rPr>
          <w:b/>
          <w:bCs/>
          <w:color w:val="000000"/>
          <w:sz w:val="36"/>
          <w:szCs w:val="36"/>
        </w:rPr>
      </w:pPr>
    </w:p>
    <w:p>
      <w:pPr>
        <w:spacing w:before="240" w:beforeLines="100" w:after="240" w:afterLines="100" w:line="360" w:lineRule="auto"/>
        <w:jc w:val="center"/>
        <w:rPr>
          <w:b/>
          <w:color w:val="auto"/>
          <w:sz w:val="36"/>
          <w:szCs w:val="36"/>
        </w:rPr>
      </w:pPr>
      <w:r>
        <w:rPr>
          <w:rFonts w:hint="eastAsia"/>
          <w:b/>
          <w:bCs/>
          <w:color w:val="auto"/>
          <w:sz w:val="36"/>
          <w:szCs w:val="36"/>
        </w:rPr>
        <w:t>中小企业声明函（</w:t>
      </w:r>
      <w:r>
        <w:rPr>
          <w:rFonts w:hint="eastAsia"/>
          <w:b/>
          <w:bCs/>
          <w:color w:val="auto"/>
          <w:sz w:val="36"/>
          <w:szCs w:val="36"/>
          <w:lang w:eastAsia="zh-CN"/>
        </w:rPr>
        <w:t>服务</w:t>
      </w:r>
      <w:r>
        <w:rPr>
          <w:rFonts w:hint="eastAsia"/>
          <w:b/>
          <w:bCs/>
          <w:color w:val="auto"/>
          <w:sz w:val="36"/>
          <w:szCs w:val="36"/>
        </w:rPr>
        <w:t>）格式</w:t>
      </w:r>
    </w:p>
    <w:p>
      <w:pPr>
        <w:spacing w:line="360" w:lineRule="auto"/>
        <w:ind w:firstLine="504"/>
        <w:rPr>
          <w:color w:val="auto"/>
          <w:spacing w:val="6"/>
          <w:sz w:val="24"/>
        </w:rPr>
      </w:pPr>
      <w:r>
        <w:rPr>
          <w:color w:val="auto"/>
          <w:spacing w:val="6"/>
          <w:sz w:val="24"/>
        </w:rPr>
        <w:t>本公司（联合体）郑重声明，根据《政府采购促进中小企业发展管理办法》（财库﹝2020﹞46 号）的规定，本公司（联合体）参加（单位名称）的（项目名称）采购活动，提供的</w:t>
      </w:r>
      <w:r>
        <w:rPr>
          <w:rFonts w:hint="eastAsia"/>
          <w:color w:val="auto"/>
          <w:spacing w:val="6"/>
          <w:sz w:val="24"/>
          <w:lang w:eastAsia="zh-CN"/>
        </w:rPr>
        <w:t>服务</w:t>
      </w:r>
      <w:r>
        <w:rPr>
          <w:color w:val="auto"/>
          <w:spacing w:val="6"/>
          <w:sz w:val="24"/>
        </w:rPr>
        <w:t>全部由符合政策要求的中小企业</w:t>
      </w:r>
      <w:r>
        <w:rPr>
          <w:rFonts w:hint="eastAsia"/>
          <w:color w:val="auto"/>
          <w:spacing w:val="6"/>
          <w:sz w:val="24"/>
          <w:lang w:eastAsia="zh-CN"/>
        </w:rPr>
        <w:t>承接</w:t>
      </w:r>
      <w:r>
        <w:rPr>
          <w:color w:val="auto"/>
          <w:spacing w:val="6"/>
          <w:sz w:val="24"/>
        </w:rPr>
        <w:t>。相关企业（含联合体中的中小企业、签订分包意向协议的中小企业）的具体情况如下：</w:t>
      </w:r>
    </w:p>
    <w:p>
      <w:pPr>
        <w:spacing w:line="360" w:lineRule="auto"/>
        <w:ind w:firstLine="504"/>
        <w:rPr>
          <w:color w:val="auto"/>
          <w:spacing w:val="6"/>
          <w:sz w:val="24"/>
        </w:rPr>
      </w:pPr>
      <w:r>
        <w:rPr>
          <w:color w:val="auto"/>
          <w:spacing w:val="6"/>
          <w:sz w:val="24"/>
        </w:rPr>
        <w:t>1.</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w:t>
      </w:r>
      <w:r>
        <w:rPr>
          <w:rFonts w:hint="eastAsia"/>
          <w:color w:val="auto"/>
          <w:spacing w:val="6"/>
          <w:sz w:val="24"/>
          <w:lang w:eastAsia="zh-CN"/>
        </w:rPr>
        <w:t>承接企业</w:t>
      </w:r>
      <w:r>
        <w:rPr>
          <w:color w:val="auto"/>
          <w:spacing w:val="6"/>
          <w:sz w:val="24"/>
        </w:rPr>
        <w:t>为</w:t>
      </w:r>
      <w:r>
        <w:rPr>
          <w:color w:val="auto"/>
          <w:spacing w:val="6"/>
          <w:sz w:val="24"/>
          <w:u w:val="single"/>
        </w:rPr>
        <w:t>（企业名称）</w:t>
      </w:r>
      <w:r>
        <w:rPr>
          <w:color w:val="auto"/>
          <w:spacing w:val="6"/>
          <w:sz w:val="24"/>
        </w:rPr>
        <w:t>，从业人员______人，营业收入为______万元，资产总额为______万元</w:t>
      </w:r>
      <w:r>
        <w:rPr>
          <w:color w:val="auto"/>
          <w:spacing w:val="6"/>
          <w:sz w:val="24"/>
          <w:vertAlign w:val="superscript"/>
        </w:rPr>
        <w:t>1</w:t>
      </w:r>
      <w:r>
        <w:rPr>
          <w:color w:val="auto"/>
          <w:spacing w:val="6"/>
          <w:sz w:val="24"/>
        </w:rPr>
        <w:t>，属于</w:t>
      </w:r>
      <w:r>
        <w:rPr>
          <w:rFonts w:hint="eastAsia"/>
          <w:color w:val="auto"/>
          <w:spacing w:val="6"/>
          <w:sz w:val="24"/>
          <w:u w:val="single"/>
          <w:lang w:val="en-US" w:eastAsia="zh-CN"/>
        </w:rPr>
        <w:t xml:space="preserve">              </w:t>
      </w:r>
      <w:r>
        <w:rPr>
          <w:color w:val="auto"/>
          <w:spacing w:val="6"/>
          <w:sz w:val="24"/>
        </w:rPr>
        <w:t>（中型企业、小型企业、微型企业）；</w:t>
      </w:r>
    </w:p>
    <w:p>
      <w:pPr>
        <w:spacing w:line="360" w:lineRule="auto"/>
        <w:ind w:firstLine="504"/>
        <w:rPr>
          <w:color w:val="auto"/>
          <w:spacing w:val="6"/>
          <w:sz w:val="24"/>
        </w:rPr>
      </w:pPr>
      <w:r>
        <w:rPr>
          <w:color w:val="auto"/>
          <w:spacing w:val="6"/>
          <w:sz w:val="24"/>
        </w:rPr>
        <w:t>2.</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w:t>
      </w:r>
      <w:r>
        <w:rPr>
          <w:rFonts w:hint="eastAsia"/>
          <w:color w:val="auto"/>
          <w:spacing w:val="6"/>
          <w:sz w:val="24"/>
          <w:lang w:eastAsia="zh-CN"/>
        </w:rPr>
        <w:t>承接企业</w:t>
      </w:r>
      <w:r>
        <w:rPr>
          <w:color w:val="auto"/>
          <w:spacing w:val="6"/>
          <w:sz w:val="24"/>
        </w:rPr>
        <w:t>为</w:t>
      </w:r>
      <w:r>
        <w:rPr>
          <w:color w:val="auto"/>
          <w:spacing w:val="6"/>
          <w:sz w:val="24"/>
          <w:u w:val="single"/>
        </w:rPr>
        <w:t>（企业名称）</w:t>
      </w:r>
      <w:r>
        <w:rPr>
          <w:color w:val="auto"/>
          <w:spacing w:val="6"/>
          <w:sz w:val="24"/>
        </w:rPr>
        <w:t>，从业人员______人，营业收入为______万元，资产总额为______万元，属于</w:t>
      </w:r>
      <w:r>
        <w:rPr>
          <w:rFonts w:hint="eastAsia"/>
          <w:color w:val="auto"/>
          <w:spacing w:val="6"/>
          <w:sz w:val="24"/>
          <w:lang w:val="en-US" w:eastAsia="zh-CN"/>
        </w:rPr>
        <w:t xml:space="preserve"> </w:t>
      </w:r>
      <w:r>
        <w:rPr>
          <w:rFonts w:hint="eastAsia"/>
          <w:color w:val="auto"/>
          <w:spacing w:val="6"/>
          <w:sz w:val="24"/>
          <w:u w:val="single"/>
          <w:lang w:val="en-US" w:eastAsia="zh-CN"/>
        </w:rPr>
        <w:t xml:space="preserve">              </w:t>
      </w:r>
      <w:r>
        <w:rPr>
          <w:color w:val="auto"/>
          <w:spacing w:val="6"/>
          <w:sz w:val="24"/>
          <w:u w:val="none"/>
        </w:rPr>
        <w:t>（中型企业、小型企业、微型企业）</w:t>
      </w:r>
      <w:r>
        <w:rPr>
          <w:color w:val="auto"/>
          <w:spacing w:val="6"/>
          <w:sz w:val="24"/>
        </w:rPr>
        <w:t>；</w:t>
      </w:r>
    </w:p>
    <w:p>
      <w:pPr>
        <w:spacing w:line="360" w:lineRule="auto"/>
        <w:ind w:firstLine="504"/>
        <w:rPr>
          <w:color w:val="auto"/>
          <w:spacing w:val="6"/>
          <w:sz w:val="24"/>
        </w:rPr>
      </w:pPr>
      <w:r>
        <w:rPr>
          <w:color w:val="auto"/>
          <w:spacing w:val="6"/>
          <w:sz w:val="24"/>
        </w:rPr>
        <w:t>……</w:t>
      </w:r>
    </w:p>
    <w:p>
      <w:pPr>
        <w:spacing w:line="360" w:lineRule="auto"/>
        <w:ind w:firstLine="504"/>
        <w:rPr>
          <w:color w:val="auto"/>
          <w:spacing w:val="6"/>
          <w:sz w:val="24"/>
        </w:rPr>
      </w:pPr>
      <w:r>
        <w:rPr>
          <w:color w:val="auto"/>
          <w:spacing w:val="6"/>
          <w:sz w:val="24"/>
        </w:rPr>
        <w:t>以上企业，不属于大企业的分支机构，不存在控股股东为大企业的情形，也不存在与大企业的负责人为同一人的情形。</w:t>
      </w:r>
    </w:p>
    <w:p>
      <w:pPr>
        <w:spacing w:line="360" w:lineRule="auto"/>
        <w:ind w:firstLine="504"/>
        <w:rPr>
          <w:color w:val="auto"/>
          <w:spacing w:val="6"/>
          <w:sz w:val="24"/>
        </w:rPr>
      </w:pPr>
      <w:r>
        <w:rPr>
          <w:color w:val="auto"/>
          <w:spacing w:val="6"/>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1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line="360" w:lineRule="auto"/>
        <w:outlineLvl w:val="2"/>
        <w:rPr>
          <w:color w:val="000000"/>
          <w:sz w:val="24"/>
          <w:szCs w:val="20"/>
        </w:rPr>
      </w:pPr>
      <w:r>
        <w:rPr>
          <w:color w:val="000000"/>
          <w:sz w:val="24"/>
        </w:rPr>
        <w:br w:type="page"/>
      </w: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color w:val="auto"/>
          <w:spacing w:val="6"/>
          <w:sz w:val="24"/>
        </w:rPr>
      </w:pPr>
      <w:r>
        <w:rPr>
          <w:b/>
          <w:sz w:val="24"/>
        </w:rPr>
        <w:t>□</w:t>
      </w:r>
      <w:r>
        <w:rPr>
          <w:b/>
          <w:spacing w:val="6"/>
          <w:sz w:val="24"/>
        </w:rPr>
        <w:t>属于符合条件的残疾人福利性单位，</w:t>
      </w:r>
      <w:r>
        <w:rPr>
          <w:spacing w:val="6"/>
          <w:sz w:val="24"/>
        </w:rPr>
        <w:t>且本单位参加______单位的______项目</w:t>
      </w:r>
      <w:r>
        <w:rPr>
          <w:color w:val="auto"/>
          <w:spacing w:val="6"/>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rPr>
      </w:pPr>
      <w:r>
        <w:rPr>
          <w:b/>
          <w:color w:val="auto"/>
          <w:spacing w:val="6"/>
          <w:sz w:val="24"/>
        </w:rPr>
        <w:t>本单位对上述声明的真实性负责。如有虚假，将依法承担相应责任。</w:t>
      </w:r>
    </w:p>
    <w:p>
      <w:pPr>
        <w:spacing w:line="588" w:lineRule="exact"/>
        <w:ind w:firstLine="504" w:firstLineChars="200"/>
        <w:rPr>
          <w:color w:val="0000FF"/>
          <w:spacing w:val="6"/>
          <w:sz w:val="24"/>
        </w:rPr>
      </w:pPr>
    </w:p>
    <w:p>
      <w:pPr>
        <w:spacing w:line="588" w:lineRule="exact"/>
        <w:ind w:firstLine="504" w:firstLineChars="200"/>
        <w:rPr>
          <w:color w:val="0000FF"/>
          <w:spacing w:val="6"/>
          <w:sz w:val="24"/>
        </w:rPr>
      </w:pPr>
    </w:p>
    <w:p>
      <w:pPr>
        <w:tabs>
          <w:tab w:val="left" w:pos="4860"/>
        </w:tabs>
        <w:spacing w:line="588" w:lineRule="exact"/>
        <w:ind w:right="1560" w:firstLine="504" w:firstLineChars="200"/>
        <w:jc w:val="center"/>
        <w:rPr>
          <w:color w:val="auto"/>
          <w:spacing w:val="6"/>
          <w:sz w:val="24"/>
        </w:rPr>
      </w:pPr>
      <w:r>
        <w:rPr>
          <w:color w:val="0000FF"/>
          <w:spacing w:val="6"/>
          <w:sz w:val="24"/>
        </w:rPr>
        <w:t xml:space="preserve">         </w:t>
      </w:r>
      <w:r>
        <w:rPr>
          <w:color w:val="auto"/>
          <w:spacing w:val="6"/>
          <w:sz w:val="24"/>
        </w:rPr>
        <w:t xml:space="preserve">      单位名称（盖章）：</w:t>
      </w:r>
    </w:p>
    <w:p>
      <w:pPr>
        <w:tabs>
          <w:tab w:val="left" w:pos="4860"/>
        </w:tabs>
        <w:spacing w:line="588" w:lineRule="exact"/>
        <w:ind w:right="1560" w:firstLine="504" w:firstLineChars="200"/>
        <w:jc w:val="center"/>
        <w:rPr>
          <w:color w:val="auto"/>
          <w:spacing w:val="6"/>
          <w:sz w:val="24"/>
        </w:rPr>
      </w:pPr>
      <w:r>
        <w:rPr>
          <w:color w:val="auto"/>
          <w:spacing w:val="6"/>
          <w:sz w:val="24"/>
        </w:rPr>
        <w:t xml:space="preserve">       日  期：</w:t>
      </w:r>
    </w:p>
    <w:p>
      <w:pPr>
        <w:adjustRightInd w:val="0"/>
        <w:snapToGrid w:val="0"/>
        <w:spacing w:line="360" w:lineRule="auto"/>
        <w:jc w:val="left"/>
        <w:rPr>
          <w:color w:val="0000FF"/>
          <w:sz w:val="24"/>
        </w:rPr>
      </w:pPr>
    </w:p>
    <w:p>
      <w:pPr>
        <w:adjustRightInd w:val="0"/>
        <w:snapToGrid w:val="0"/>
        <w:spacing w:line="360" w:lineRule="auto"/>
        <w:ind w:firstLine="480" w:firstLineChars="200"/>
        <w:jc w:val="right"/>
        <w:rPr>
          <w:color w:val="0000FF"/>
          <w:sz w:val="24"/>
        </w:rPr>
      </w:pPr>
      <w:r>
        <w:rPr>
          <w:rFonts w:hint="eastAsia"/>
          <w:color w:val="0000FF"/>
          <w:sz w:val="24"/>
          <w:lang w:val="en-US" w:eastAsia="zh-CN"/>
        </w:rPr>
        <w:t xml:space="preserve">                                     </w:t>
      </w:r>
    </w:p>
    <w:p>
      <w:pPr>
        <w:spacing w:line="360" w:lineRule="auto"/>
        <w:rPr>
          <w:b/>
          <w:color w:val="0000FF"/>
          <w:sz w:val="24"/>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2530" w:firstLineChars="700"/>
        <w:jc w:val="left"/>
        <w:textAlignment w:val="auto"/>
        <w:rPr>
          <w:rFonts w:hint="eastAsia"/>
          <w:b/>
          <w:bCs/>
          <w:color w:val="000000"/>
          <w:sz w:val="36"/>
          <w:szCs w:val="36"/>
        </w:rPr>
      </w:pPr>
      <w:r>
        <w:rPr>
          <w:rFonts w:hint="eastAsia"/>
          <w:b/>
          <w:bCs/>
          <w:color w:val="000000"/>
          <w:sz w:val="36"/>
          <w:szCs w:val="36"/>
        </w:rPr>
        <w:t xml:space="preserve">监狱企业证明文件 </w:t>
      </w:r>
    </w:p>
    <w:p>
      <w:pPr>
        <w:spacing w:line="360" w:lineRule="auto"/>
        <w:outlineLvl w:val="2"/>
        <w:rPr>
          <w:color w:val="0000FF"/>
          <w:sz w:val="24"/>
          <w:szCs w:val="20"/>
        </w:rPr>
      </w:pPr>
      <w:r>
        <w:rPr>
          <w:rFonts w:hint="eastAsia"/>
          <w:b/>
          <w:bCs/>
          <w:color w:val="000000"/>
          <w:sz w:val="36"/>
          <w:szCs w:val="36"/>
        </w:rPr>
        <w:br w:type="textWrapping"/>
      </w:r>
      <w:r>
        <w:rPr>
          <w:rFonts w:ascii="宋体" w:hAnsi="宋体" w:eastAsia="宋体" w:cs="宋体"/>
          <w:sz w:val="24"/>
          <w:szCs w:val="24"/>
        </w:rPr>
        <w:t>　</w:t>
      </w:r>
      <w:r>
        <w:rPr>
          <w:rFonts w:hint="eastAsia" w:ascii="宋体" w:hAnsi="宋体" w:cs="宋体"/>
          <w:sz w:val="24"/>
          <w:szCs w:val="24"/>
          <w:lang w:val="en-US" w:eastAsia="zh-CN"/>
        </w:rPr>
        <w:t xml:space="preserve"> </w:t>
      </w:r>
      <w:r>
        <w:rPr>
          <w:rFonts w:ascii="宋体" w:hAnsi="宋体" w:eastAsia="宋体" w:cs="宋体"/>
          <w:sz w:val="24"/>
          <w:szCs w:val="24"/>
        </w:rPr>
        <w:t xml:space="preserve">说明： </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 xml:space="preserve">监狱企业参加政府采购活动时，应当提供由省级以上监狱管理局、戒毒管理局(含新疆生产建设兵团)出具的属于监狱企业的证明文件。 </w:t>
      </w:r>
      <w:r>
        <w:rPr>
          <w:color w:val="0000FF"/>
          <w:sz w:val="24"/>
          <w:szCs w:val="20"/>
        </w:rPr>
        <w:br w:type="page"/>
      </w:r>
    </w:p>
    <w:p>
      <w:pPr>
        <w:spacing w:line="360" w:lineRule="auto"/>
        <w:outlineLvl w:val="2"/>
        <w:rPr>
          <w:color w:val="000000"/>
          <w:sz w:val="24"/>
          <w:szCs w:val="20"/>
        </w:rPr>
      </w:pPr>
      <w:r>
        <w:rPr>
          <w:rFonts w:hint="eastAsia"/>
          <w:color w:val="000000"/>
          <w:sz w:val="24"/>
          <w:szCs w:val="20"/>
          <w:lang w:val="en-US" w:eastAsia="zh-CN"/>
        </w:rPr>
        <w:t>8</w:t>
      </w:r>
      <w:r>
        <w:rPr>
          <w:color w:val="000000"/>
          <w:sz w:val="24"/>
          <w:szCs w:val="20"/>
        </w:rPr>
        <w:t xml:space="preserve">  </w:t>
      </w:r>
      <w:r>
        <w:rPr>
          <w:rFonts w:hint="eastAsia"/>
          <w:color w:val="000000"/>
          <w:sz w:val="24"/>
          <w:szCs w:val="20"/>
          <w:lang w:eastAsia="zh-CN"/>
        </w:rPr>
        <w:t>强制</w:t>
      </w:r>
      <w:r>
        <w:rPr>
          <w:rFonts w:hint="eastAsia"/>
          <w:color w:val="000000"/>
          <w:sz w:val="24"/>
          <w:szCs w:val="20"/>
        </w:rPr>
        <w:t>采购节能产品情况（如有）</w:t>
      </w:r>
    </w:p>
    <w:p>
      <w:pPr>
        <w:spacing w:before="240" w:beforeLines="100" w:after="240" w:afterLines="100" w:line="360" w:lineRule="auto"/>
        <w:jc w:val="center"/>
        <w:rPr>
          <w:b/>
          <w:bCs/>
          <w:color w:val="000000"/>
          <w:sz w:val="36"/>
          <w:szCs w:val="36"/>
        </w:rPr>
      </w:pPr>
      <w:r>
        <w:rPr>
          <w:rFonts w:hint="eastAsia"/>
          <w:b/>
          <w:bCs/>
          <w:color w:val="000000"/>
          <w:sz w:val="36"/>
          <w:szCs w:val="36"/>
          <w:lang w:eastAsia="zh-CN"/>
        </w:rPr>
        <w:t>强制</w:t>
      </w:r>
      <w:r>
        <w:rPr>
          <w:rFonts w:hint="eastAsia"/>
          <w:b/>
          <w:bCs/>
          <w:color w:val="000000"/>
          <w:sz w:val="36"/>
          <w:szCs w:val="36"/>
        </w:rPr>
        <w:t>采购节能产品情况表</w:t>
      </w:r>
    </w:p>
    <w:p>
      <w:pPr>
        <w:pStyle w:val="2"/>
        <w:ind w:firstLine="361"/>
        <w:rPr>
          <w:b/>
          <w:bCs/>
          <w:color w:val="000000"/>
          <w:sz w:val="36"/>
          <w:szCs w:val="36"/>
        </w:rPr>
      </w:pPr>
    </w:p>
    <w:p>
      <w:pPr>
        <w:tabs>
          <w:tab w:val="left" w:pos="1800"/>
          <w:tab w:val="left" w:pos="5580"/>
        </w:tabs>
        <w:ind w:firstLine="360" w:firstLineChars="150"/>
        <w:jc w:val="left"/>
        <w:rPr>
          <w:color w:val="000000"/>
          <w:sz w:val="24"/>
        </w:rPr>
      </w:pPr>
      <w:r>
        <w:rPr>
          <w:rFonts w:hint="eastAsia"/>
          <w:color w:val="000000"/>
          <w:sz w:val="24"/>
          <w:szCs w:val="20"/>
        </w:rPr>
        <w:t>项目编号</w:t>
      </w:r>
      <w:r>
        <w:rPr>
          <w:rFonts w:hint="eastAsia"/>
          <w:color w:val="000000"/>
          <w:sz w:val="24"/>
        </w:rPr>
        <w:t>：</w:t>
      </w:r>
      <w:r>
        <w:rPr>
          <w:color w:val="000000"/>
          <w:sz w:val="24"/>
        </w:rPr>
        <w:t xml:space="preserve">_____________________     </w:t>
      </w:r>
      <w:r>
        <w:rPr>
          <w:rFonts w:hint="eastAsia"/>
          <w:color w:val="000000"/>
          <w:sz w:val="24"/>
        </w:rPr>
        <w:t>项目名称：</w:t>
      </w:r>
      <w:r>
        <w:rPr>
          <w:color w:val="000000"/>
          <w:sz w:val="24"/>
        </w:rPr>
        <w:t>____________</w:t>
      </w:r>
    </w:p>
    <w:p>
      <w:pPr>
        <w:tabs>
          <w:tab w:val="left" w:pos="1800"/>
          <w:tab w:val="left" w:pos="5580"/>
        </w:tabs>
        <w:ind w:firstLine="360" w:firstLineChars="150"/>
        <w:jc w:val="left"/>
        <w:rPr>
          <w:color w:val="000000"/>
          <w:sz w:val="24"/>
          <w:szCs w:val="20"/>
          <w:u w:val="single"/>
        </w:rPr>
      </w:pPr>
      <w:r>
        <w:rPr>
          <w:rFonts w:hint="eastAsia"/>
          <w:color w:val="000000"/>
          <w:sz w:val="24"/>
        </w:rPr>
        <w:t>包号：</w:t>
      </w:r>
      <w:r>
        <w:rPr>
          <w:color w:val="000000"/>
          <w:sz w:val="24"/>
        </w:rPr>
        <w:t xml:space="preserve">_____________________  </w:t>
      </w:r>
    </w:p>
    <w:tbl>
      <w:tblPr>
        <w:tblStyle w:val="17"/>
        <w:tblpPr w:leftFromText="180" w:rightFromText="180" w:vertAnchor="text" w:horzAnchor="page" w:tblpX="2101" w:tblpY="441"/>
        <w:tblOverlap w:val="never"/>
        <w:tblW w:w="4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90"/>
        <w:gridCol w:w="2220"/>
        <w:gridCol w:w="1199"/>
        <w:gridCol w:w="160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序号</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货物名称</w:t>
            </w:r>
          </w:p>
        </w:tc>
        <w:tc>
          <w:tcPr>
            <w:tcW w:w="1307"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制造商</w:t>
            </w:r>
            <w:r>
              <w:t xml:space="preserve">/ </w:t>
            </w:r>
          </w:p>
          <w:p>
            <w:pPr>
              <w:jc w:val="center"/>
              <w:rPr>
                <w:rFonts w:ascii="宋体" w:cs="宋体"/>
                <w:b/>
                <w:szCs w:val="21"/>
              </w:rPr>
            </w:pPr>
            <w:r>
              <w:rPr>
                <w:rFonts w:hint="eastAsia"/>
              </w:rPr>
              <w:t>生产厂家</w:t>
            </w:r>
          </w:p>
        </w:tc>
        <w:tc>
          <w:tcPr>
            <w:tcW w:w="706"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品牌、规</w:t>
            </w:r>
          </w:p>
          <w:p>
            <w:pPr>
              <w:jc w:val="center"/>
              <w:rPr>
                <w:rFonts w:ascii="宋体" w:cs="宋体"/>
                <w:b/>
                <w:szCs w:val="21"/>
              </w:rPr>
            </w:pPr>
            <w:r>
              <w:rPr>
                <w:rFonts w:hint="eastAsia"/>
              </w:rPr>
              <w:t>格、</w:t>
            </w:r>
            <w:r>
              <w:t xml:space="preserve"> </w:t>
            </w:r>
            <w:r>
              <w:rPr>
                <w:rFonts w:hint="eastAsia"/>
              </w:rPr>
              <w:t>型号</w:t>
            </w:r>
          </w:p>
        </w:tc>
        <w:tc>
          <w:tcPr>
            <w:tcW w:w="945"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认证机</w:t>
            </w:r>
          </w:p>
          <w:p>
            <w:pPr>
              <w:jc w:val="center"/>
              <w:rPr>
                <w:rFonts w:ascii="宋体" w:cs="宋体"/>
                <w:b/>
                <w:szCs w:val="21"/>
              </w:rPr>
            </w:pPr>
            <w:r>
              <w:rPr>
                <w:rFonts w:hint="eastAsia"/>
              </w:rPr>
              <w:t>构名称</w:t>
            </w:r>
          </w:p>
        </w:tc>
        <w:tc>
          <w:tcPr>
            <w:tcW w:w="992"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节能产品认证</w:t>
            </w:r>
          </w:p>
          <w:p>
            <w:pPr>
              <w:jc w:val="center"/>
              <w:rPr>
                <w:rFonts w:ascii="宋体" w:cs="宋体"/>
                <w:b/>
                <w:szCs w:val="21"/>
              </w:rPr>
            </w:pPr>
            <w:r>
              <w:rPr>
                <w:rFonts w:hint="eastAsia"/>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bl>
    <w:p>
      <w:pPr>
        <w:pStyle w:val="2"/>
        <w:ind w:firstLine="361"/>
        <w:rPr>
          <w:b/>
          <w:bCs/>
          <w:color w:val="000000"/>
          <w:sz w:val="36"/>
          <w:szCs w:val="36"/>
        </w:rPr>
      </w:pPr>
    </w:p>
    <w:p>
      <w:pPr>
        <w:pStyle w:val="2"/>
        <w:ind w:firstLine="240"/>
        <w:rPr>
          <w:rFonts w:ascii="Calibri" w:hAnsi="Calibri"/>
          <w:color w:val="000000"/>
          <w:szCs w:val="20"/>
        </w:rPr>
      </w:pPr>
    </w:p>
    <w:p>
      <w:pPr>
        <w:autoSpaceDE w:val="0"/>
        <w:autoSpaceDN w:val="0"/>
        <w:adjustRightInd w:val="0"/>
        <w:snapToGrid w:val="0"/>
        <w:spacing w:before="25" w:after="25" w:line="360" w:lineRule="auto"/>
        <w:ind w:firstLine="3120" w:firstLineChars="1300"/>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pPr>
        <w:autoSpaceDE w:val="0"/>
        <w:autoSpaceDN w:val="0"/>
        <w:adjustRightInd w:val="0"/>
        <w:snapToGrid w:val="0"/>
        <w:spacing w:before="25" w:after="25" w:line="360" w:lineRule="auto"/>
        <w:ind w:firstLine="3120" w:firstLineChars="1300"/>
        <w:rPr>
          <w:color w:val="000000"/>
          <w:sz w:val="24"/>
          <w:lang w:val="zh-CN"/>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pPr>
        <w:pStyle w:val="2"/>
        <w:ind w:firstLine="240"/>
        <w:rPr>
          <w:rFonts w:ascii="Calibri" w:hAnsi="Calibri"/>
          <w:color w:val="000000"/>
          <w:szCs w:val="20"/>
        </w:rPr>
      </w:pPr>
    </w:p>
    <w:p>
      <w:pPr>
        <w:pStyle w:val="2"/>
        <w:ind w:firstLine="240"/>
        <w:rPr>
          <w:rFonts w:ascii="Calibri" w:hAnsi="Calibri"/>
          <w:color w:val="000000"/>
          <w:szCs w:val="20"/>
        </w:rPr>
      </w:pPr>
    </w:p>
    <w:p>
      <w:pPr>
        <w:pStyle w:val="2"/>
        <w:ind w:firstLine="240"/>
        <w:rPr>
          <w:rFonts w:ascii="Calibri" w:hAnsi="Calibri"/>
          <w:color w:val="000000"/>
          <w:szCs w:val="20"/>
        </w:rPr>
      </w:pPr>
    </w:p>
    <w:p>
      <w:pPr>
        <w:pStyle w:val="2"/>
        <w:ind w:firstLine="240"/>
        <w:rPr>
          <w:rFonts w:ascii="Calibri" w:hAnsi="Calibri"/>
          <w:color w:val="000000"/>
          <w:szCs w:val="20"/>
        </w:rPr>
      </w:pPr>
    </w:p>
    <w:p>
      <w:pPr>
        <w:pStyle w:val="2"/>
        <w:ind w:firstLine="240"/>
        <w:rPr>
          <w:rFonts w:ascii="Calibri" w:hAnsi="Calibri"/>
          <w:color w:val="000000"/>
          <w:szCs w:val="20"/>
        </w:rPr>
      </w:pPr>
      <w:r>
        <w:rPr>
          <w:rFonts w:hint="eastAsia" w:ascii="Calibri" w:hAnsi="Calibri"/>
          <w:color w:val="000000"/>
          <w:szCs w:val="20"/>
        </w:rPr>
        <w:t>说明：</w:t>
      </w:r>
    </w:p>
    <w:p>
      <w:pPr>
        <w:pStyle w:val="2"/>
        <w:ind w:left="239" w:leftChars="114" w:firstLine="480" w:firstLineChars="200"/>
        <w:rPr>
          <w:rFonts w:ascii="Calibri" w:hAnsi="Calibri"/>
          <w:color w:val="000000"/>
          <w:szCs w:val="20"/>
        </w:rPr>
      </w:pPr>
      <w:r>
        <w:rPr>
          <w:rFonts w:hint="eastAsia" w:ascii="Calibri" w:hAnsi="Calibri"/>
          <w:color w:val="000000"/>
          <w:szCs w:val="20"/>
        </w:rPr>
        <w:t>将所投</w:t>
      </w:r>
      <w:r>
        <w:rPr>
          <w:rFonts w:hint="eastAsia" w:ascii="Calibri" w:hAnsi="Calibri"/>
          <w:color w:val="000000"/>
          <w:szCs w:val="20"/>
          <w:lang w:eastAsia="zh-CN"/>
        </w:rPr>
        <w:t>强制</w:t>
      </w:r>
      <w:r>
        <w:rPr>
          <w:rFonts w:hint="eastAsia" w:ascii="Calibri" w:hAnsi="Calibri"/>
          <w:color w:val="000000"/>
          <w:szCs w:val="20"/>
        </w:rPr>
        <w:t>采购节能产品认证证书完整的复印件附后；所有复印件加盖投标人单位公章。</w:t>
      </w:r>
    </w:p>
    <w:p>
      <w:pPr>
        <w:pStyle w:val="2"/>
        <w:ind w:left="239" w:leftChars="114" w:firstLine="480" w:firstLineChars="200"/>
        <w:rPr>
          <w:rFonts w:ascii="Calibri" w:hAnsi="Calibri"/>
          <w:color w:val="000000"/>
          <w:szCs w:val="20"/>
        </w:rPr>
      </w:pPr>
    </w:p>
    <w:p>
      <w:pPr>
        <w:spacing w:line="360" w:lineRule="auto"/>
        <w:outlineLvl w:val="2"/>
        <w:rPr>
          <w:color w:val="0000FF"/>
          <w:sz w:val="24"/>
          <w:szCs w:val="20"/>
        </w:rPr>
      </w:pPr>
    </w:p>
    <w:p>
      <w:pPr>
        <w:spacing w:line="360" w:lineRule="auto"/>
        <w:outlineLvl w:val="2"/>
        <w:rPr>
          <w:color w:val="0000FF"/>
          <w:sz w:val="24"/>
          <w:szCs w:val="20"/>
        </w:rPr>
      </w:pPr>
    </w:p>
    <w:p>
      <w:pPr>
        <w:spacing w:line="360" w:lineRule="auto"/>
        <w:outlineLvl w:val="2"/>
        <w:rPr>
          <w:color w:val="0000FF"/>
          <w:sz w:val="24"/>
          <w:szCs w:val="20"/>
        </w:rPr>
      </w:pPr>
    </w:p>
    <w:p>
      <w:pPr>
        <w:spacing w:line="360" w:lineRule="auto"/>
        <w:outlineLvl w:val="2"/>
        <w:rPr>
          <w:color w:val="000000"/>
          <w:sz w:val="24"/>
          <w:szCs w:val="20"/>
        </w:rPr>
      </w:pPr>
      <w:r>
        <w:rPr>
          <w:rFonts w:hint="eastAsia"/>
          <w:color w:val="000000"/>
          <w:sz w:val="24"/>
          <w:szCs w:val="20"/>
          <w:lang w:val="en-US" w:eastAsia="zh-CN"/>
        </w:rPr>
        <w:t>9</w:t>
      </w:r>
      <w:r>
        <w:rPr>
          <w:color w:val="000000"/>
          <w:sz w:val="24"/>
          <w:szCs w:val="20"/>
        </w:rPr>
        <w:t xml:space="preserve">  </w:t>
      </w:r>
      <w:r>
        <w:rPr>
          <w:rFonts w:hint="eastAsia"/>
          <w:color w:val="000000"/>
          <w:sz w:val="24"/>
          <w:szCs w:val="20"/>
        </w:rPr>
        <w:t>优先采购节能产品情况（如有）</w:t>
      </w:r>
    </w:p>
    <w:p>
      <w:pPr>
        <w:spacing w:before="240" w:beforeLines="100" w:after="240" w:afterLines="100" w:line="360" w:lineRule="auto"/>
        <w:jc w:val="center"/>
        <w:rPr>
          <w:b/>
          <w:bCs/>
          <w:color w:val="000000"/>
          <w:sz w:val="36"/>
          <w:szCs w:val="36"/>
        </w:rPr>
      </w:pPr>
      <w:r>
        <w:rPr>
          <w:rFonts w:hint="eastAsia"/>
          <w:b/>
          <w:bCs/>
          <w:color w:val="000000"/>
          <w:sz w:val="36"/>
          <w:szCs w:val="36"/>
        </w:rPr>
        <w:t>优先采购节能产品情况表</w:t>
      </w:r>
    </w:p>
    <w:p>
      <w:pPr>
        <w:pStyle w:val="2"/>
        <w:ind w:firstLine="361"/>
        <w:rPr>
          <w:b/>
          <w:bCs/>
          <w:color w:val="000000"/>
          <w:sz w:val="36"/>
          <w:szCs w:val="36"/>
        </w:rPr>
      </w:pPr>
    </w:p>
    <w:p>
      <w:pPr>
        <w:tabs>
          <w:tab w:val="left" w:pos="1800"/>
          <w:tab w:val="left" w:pos="5580"/>
        </w:tabs>
        <w:ind w:firstLine="360" w:firstLineChars="150"/>
        <w:jc w:val="left"/>
        <w:rPr>
          <w:color w:val="000000"/>
          <w:sz w:val="24"/>
        </w:rPr>
      </w:pPr>
      <w:r>
        <w:rPr>
          <w:rFonts w:hint="eastAsia"/>
          <w:color w:val="000000"/>
          <w:sz w:val="24"/>
          <w:szCs w:val="20"/>
        </w:rPr>
        <w:t>项目编号</w:t>
      </w:r>
      <w:r>
        <w:rPr>
          <w:rFonts w:hint="eastAsia"/>
          <w:color w:val="000000"/>
          <w:sz w:val="24"/>
        </w:rPr>
        <w:t>：</w:t>
      </w:r>
      <w:r>
        <w:rPr>
          <w:color w:val="000000"/>
          <w:sz w:val="24"/>
        </w:rPr>
        <w:t xml:space="preserve">_____________________     </w:t>
      </w:r>
      <w:r>
        <w:rPr>
          <w:rFonts w:hint="eastAsia"/>
          <w:color w:val="000000"/>
          <w:sz w:val="24"/>
        </w:rPr>
        <w:t>项目名称：</w:t>
      </w:r>
      <w:r>
        <w:rPr>
          <w:color w:val="000000"/>
          <w:sz w:val="24"/>
        </w:rPr>
        <w:t>____________</w:t>
      </w:r>
    </w:p>
    <w:p>
      <w:pPr>
        <w:tabs>
          <w:tab w:val="left" w:pos="1800"/>
          <w:tab w:val="left" w:pos="5580"/>
        </w:tabs>
        <w:ind w:firstLine="360" w:firstLineChars="150"/>
        <w:jc w:val="left"/>
        <w:rPr>
          <w:color w:val="000000"/>
          <w:sz w:val="24"/>
          <w:szCs w:val="20"/>
          <w:u w:val="single"/>
        </w:rPr>
      </w:pPr>
      <w:r>
        <w:rPr>
          <w:rFonts w:hint="eastAsia"/>
          <w:color w:val="000000"/>
          <w:sz w:val="24"/>
        </w:rPr>
        <w:t>包号：</w:t>
      </w:r>
      <w:r>
        <w:rPr>
          <w:color w:val="000000"/>
          <w:sz w:val="24"/>
        </w:rPr>
        <w:t xml:space="preserve">_____________________  </w:t>
      </w:r>
    </w:p>
    <w:tbl>
      <w:tblPr>
        <w:tblStyle w:val="17"/>
        <w:tblpPr w:leftFromText="180" w:rightFromText="180" w:vertAnchor="text" w:horzAnchor="page" w:tblpX="2101" w:tblpY="441"/>
        <w:tblOverlap w:val="never"/>
        <w:tblW w:w="4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90"/>
        <w:gridCol w:w="2220"/>
        <w:gridCol w:w="1199"/>
        <w:gridCol w:w="160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序号</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货物名称</w:t>
            </w:r>
          </w:p>
        </w:tc>
        <w:tc>
          <w:tcPr>
            <w:tcW w:w="1307"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制造商</w:t>
            </w:r>
            <w:r>
              <w:t xml:space="preserve">/ </w:t>
            </w:r>
          </w:p>
          <w:p>
            <w:pPr>
              <w:jc w:val="center"/>
              <w:rPr>
                <w:rFonts w:ascii="宋体" w:cs="宋体"/>
                <w:b/>
                <w:szCs w:val="21"/>
              </w:rPr>
            </w:pPr>
            <w:r>
              <w:rPr>
                <w:rFonts w:hint="eastAsia"/>
              </w:rPr>
              <w:t>生产厂家</w:t>
            </w:r>
          </w:p>
        </w:tc>
        <w:tc>
          <w:tcPr>
            <w:tcW w:w="706"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品牌、规</w:t>
            </w:r>
          </w:p>
          <w:p>
            <w:pPr>
              <w:jc w:val="center"/>
              <w:rPr>
                <w:rFonts w:ascii="宋体" w:cs="宋体"/>
                <w:b/>
                <w:szCs w:val="21"/>
              </w:rPr>
            </w:pPr>
            <w:r>
              <w:rPr>
                <w:rFonts w:hint="eastAsia"/>
              </w:rPr>
              <w:t>格、</w:t>
            </w:r>
            <w:r>
              <w:t xml:space="preserve"> </w:t>
            </w:r>
            <w:r>
              <w:rPr>
                <w:rFonts w:hint="eastAsia"/>
              </w:rPr>
              <w:t>型号</w:t>
            </w:r>
          </w:p>
        </w:tc>
        <w:tc>
          <w:tcPr>
            <w:tcW w:w="945"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认证机</w:t>
            </w:r>
          </w:p>
          <w:p>
            <w:pPr>
              <w:jc w:val="center"/>
              <w:rPr>
                <w:rFonts w:ascii="宋体" w:cs="宋体"/>
                <w:b/>
                <w:szCs w:val="21"/>
              </w:rPr>
            </w:pPr>
            <w:r>
              <w:rPr>
                <w:rFonts w:hint="eastAsia"/>
              </w:rPr>
              <w:t>构名称</w:t>
            </w:r>
          </w:p>
        </w:tc>
        <w:tc>
          <w:tcPr>
            <w:tcW w:w="992"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节能产品认证</w:t>
            </w:r>
          </w:p>
          <w:p>
            <w:pPr>
              <w:jc w:val="center"/>
              <w:rPr>
                <w:rFonts w:ascii="宋体" w:cs="宋体"/>
                <w:b/>
                <w:szCs w:val="21"/>
              </w:rPr>
            </w:pPr>
            <w:r>
              <w:rPr>
                <w:rFonts w:hint="eastAsia"/>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bl>
    <w:p>
      <w:pPr>
        <w:pStyle w:val="2"/>
        <w:ind w:firstLine="361"/>
        <w:rPr>
          <w:b/>
          <w:bCs/>
          <w:color w:val="000000"/>
          <w:sz w:val="36"/>
          <w:szCs w:val="36"/>
        </w:rPr>
      </w:pPr>
    </w:p>
    <w:p>
      <w:pPr>
        <w:pStyle w:val="2"/>
        <w:ind w:firstLine="240"/>
        <w:rPr>
          <w:rFonts w:ascii="Calibri" w:hAnsi="Calibri"/>
          <w:color w:val="000000"/>
          <w:szCs w:val="20"/>
        </w:rPr>
      </w:pPr>
    </w:p>
    <w:p>
      <w:pPr>
        <w:autoSpaceDE w:val="0"/>
        <w:autoSpaceDN w:val="0"/>
        <w:adjustRightInd w:val="0"/>
        <w:snapToGrid w:val="0"/>
        <w:spacing w:before="25" w:after="25" w:line="360" w:lineRule="auto"/>
        <w:ind w:firstLine="3120" w:firstLineChars="1300"/>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pPr>
        <w:autoSpaceDE w:val="0"/>
        <w:autoSpaceDN w:val="0"/>
        <w:adjustRightInd w:val="0"/>
        <w:snapToGrid w:val="0"/>
        <w:spacing w:before="25" w:after="25" w:line="360" w:lineRule="auto"/>
        <w:ind w:firstLine="2880" w:firstLineChars="1200"/>
        <w:rPr>
          <w:color w:val="000000"/>
          <w:sz w:val="24"/>
          <w:lang w:val="zh-CN"/>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pPr>
        <w:pStyle w:val="2"/>
        <w:ind w:firstLine="240"/>
        <w:rPr>
          <w:rFonts w:ascii="Calibri" w:hAnsi="Calibri"/>
          <w:color w:val="000000"/>
          <w:szCs w:val="20"/>
        </w:rPr>
      </w:pPr>
    </w:p>
    <w:p>
      <w:pPr>
        <w:pStyle w:val="2"/>
        <w:ind w:firstLine="240"/>
        <w:rPr>
          <w:rFonts w:ascii="Calibri" w:hAnsi="Calibri"/>
          <w:color w:val="000000"/>
          <w:szCs w:val="20"/>
        </w:rPr>
      </w:pPr>
    </w:p>
    <w:p>
      <w:pPr>
        <w:pStyle w:val="2"/>
        <w:ind w:firstLine="240"/>
        <w:rPr>
          <w:rFonts w:ascii="Calibri" w:hAnsi="Calibri"/>
          <w:color w:val="000000"/>
          <w:szCs w:val="20"/>
        </w:rPr>
      </w:pPr>
    </w:p>
    <w:p>
      <w:pPr>
        <w:pStyle w:val="2"/>
        <w:ind w:firstLine="240"/>
        <w:rPr>
          <w:rFonts w:ascii="Calibri" w:hAnsi="Calibri"/>
          <w:color w:val="000000"/>
          <w:szCs w:val="20"/>
        </w:rPr>
      </w:pPr>
    </w:p>
    <w:p>
      <w:pPr>
        <w:pStyle w:val="2"/>
        <w:ind w:firstLine="240"/>
        <w:rPr>
          <w:rFonts w:ascii="Calibri" w:hAnsi="Calibri"/>
          <w:color w:val="000000"/>
          <w:szCs w:val="20"/>
        </w:rPr>
      </w:pPr>
      <w:r>
        <w:rPr>
          <w:rFonts w:hint="eastAsia" w:ascii="Calibri" w:hAnsi="Calibri"/>
          <w:color w:val="000000"/>
          <w:szCs w:val="20"/>
        </w:rPr>
        <w:t>说明：</w:t>
      </w:r>
    </w:p>
    <w:p>
      <w:pPr>
        <w:pStyle w:val="2"/>
        <w:ind w:left="239" w:leftChars="114" w:firstLine="480" w:firstLineChars="200"/>
        <w:rPr>
          <w:rFonts w:ascii="Calibri" w:hAnsi="Calibri"/>
          <w:color w:val="000000"/>
          <w:szCs w:val="20"/>
        </w:rPr>
      </w:pPr>
      <w:r>
        <w:rPr>
          <w:rFonts w:hint="eastAsia" w:ascii="Calibri" w:hAnsi="Calibri"/>
          <w:color w:val="000000"/>
          <w:szCs w:val="20"/>
        </w:rPr>
        <w:t>将所投优先采购节能产品认证证书完整的复印件附后；所有复印件加盖投标人单位公章。</w:t>
      </w:r>
    </w:p>
    <w:p>
      <w:pPr>
        <w:pStyle w:val="2"/>
        <w:ind w:left="239" w:leftChars="114" w:firstLine="480" w:firstLineChars="200"/>
        <w:rPr>
          <w:rFonts w:ascii="Calibri" w:hAnsi="Calibri"/>
          <w:color w:val="000000"/>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r>
        <w:rPr>
          <w:rFonts w:hint="eastAsia"/>
          <w:color w:val="000000"/>
          <w:sz w:val="24"/>
          <w:szCs w:val="20"/>
          <w:lang w:val="en-US" w:eastAsia="zh-CN"/>
        </w:rPr>
        <w:t>10</w:t>
      </w:r>
      <w:r>
        <w:rPr>
          <w:color w:val="000000"/>
          <w:sz w:val="24"/>
          <w:szCs w:val="20"/>
        </w:rPr>
        <w:t xml:space="preserve">  </w:t>
      </w:r>
      <w:r>
        <w:rPr>
          <w:rFonts w:hint="eastAsia"/>
          <w:color w:val="000000"/>
          <w:sz w:val="24"/>
          <w:szCs w:val="20"/>
        </w:rPr>
        <w:t>优先采购环境标志产品情况（如有）</w:t>
      </w:r>
    </w:p>
    <w:p>
      <w:pPr>
        <w:spacing w:before="240" w:beforeLines="100" w:after="240" w:afterLines="100" w:line="360" w:lineRule="auto"/>
        <w:jc w:val="center"/>
        <w:rPr>
          <w:b/>
          <w:bCs/>
          <w:color w:val="000000"/>
          <w:sz w:val="36"/>
          <w:szCs w:val="36"/>
        </w:rPr>
      </w:pPr>
      <w:r>
        <w:rPr>
          <w:rFonts w:hint="eastAsia"/>
          <w:b/>
          <w:bCs/>
          <w:color w:val="000000"/>
          <w:sz w:val="36"/>
          <w:szCs w:val="36"/>
        </w:rPr>
        <w:t>优先采购环境标志产品情况表</w:t>
      </w:r>
    </w:p>
    <w:p>
      <w:pPr>
        <w:pStyle w:val="2"/>
        <w:ind w:firstLine="361"/>
        <w:rPr>
          <w:b/>
          <w:bCs/>
          <w:color w:val="000000"/>
          <w:sz w:val="36"/>
          <w:szCs w:val="36"/>
        </w:rPr>
      </w:pPr>
    </w:p>
    <w:p>
      <w:pPr>
        <w:tabs>
          <w:tab w:val="left" w:pos="1800"/>
          <w:tab w:val="left" w:pos="5580"/>
        </w:tabs>
        <w:ind w:firstLine="360" w:firstLineChars="150"/>
        <w:jc w:val="left"/>
        <w:rPr>
          <w:color w:val="000000"/>
          <w:sz w:val="24"/>
        </w:rPr>
      </w:pPr>
      <w:r>
        <w:rPr>
          <w:rFonts w:hint="eastAsia"/>
          <w:color w:val="000000"/>
          <w:sz w:val="24"/>
          <w:szCs w:val="20"/>
        </w:rPr>
        <w:t>项目编号</w:t>
      </w:r>
      <w:r>
        <w:rPr>
          <w:rFonts w:hint="eastAsia"/>
          <w:color w:val="000000"/>
          <w:sz w:val="24"/>
        </w:rPr>
        <w:t>：</w:t>
      </w:r>
      <w:r>
        <w:rPr>
          <w:color w:val="000000"/>
          <w:sz w:val="24"/>
        </w:rPr>
        <w:t xml:space="preserve">_____________________     </w:t>
      </w:r>
      <w:r>
        <w:rPr>
          <w:rFonts w:hint="eastAsia"/>
          <w:color w:val="000000"/>
          <w:sz w:val="24"/>
        </w:rPr>
        <w:t>项目名称：</w:t>
      </w:r>
      <w:r>
        <w:rPr>
          <w:color w:val="000000"/>
          <w:sz w:val="24"/>
        </w:rPr>
        <w:t>____________</w:t>
      </w:r>
    </w:p>
    <w:p>
      <w:pPr>
        <w:tabs>
          <w:tab w:val="left" w:pos="1800"/>
          <w:tab w:val="left" w:pos="5580"/>
        </w:tabs>
        <w:ind w:firstLine="360" w:firstLineChars="150"/>
        <w:jc w:val="left"/>
        <w:rPr>
          <w:color w:val="000000"/>
          <w:sz w:val="24"/>
          <w:szCs w:val="20"/>
          <w:u w:val="single"/>
        </w:rPr>
      </w:pPr>
      <w:r>
        <w:rPr>
          <w:rFonts w:hint="eastAsia"/>
          <w:color w:val="000000"/>
          <w:sz w:val="24"/>
        </w:rPr>
        <w:t>包号：</w:t>
      </w:r>
      <w:r>
        <w:rPr>
          <w:color w:val="000000"/>
          <w:sz w:val="24"/>
        </w:rPr>
        <w:t xml:space="preserve">_____________________  </w:t>
      </w:r>
    </w:p>
    <w:tbl>
      <w:tblPr>
        <w:tblStyle w:val="17"/>
        <w:tblpPr w:leftFromText="180" w:rightFromText="180" w:vertAnchor="text" w:horzAnchor="page" w:tblpX="2101" w:tblpY="441"/>
        <w:tblOverlap w:val="never"/>
        <w:tblW w:w="4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90"/>
        <w:gridCol w:w="2220"/>
        <w:gridCol w:w="1199"/>
        <w:gridCol w:w="160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序号</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货物名称</w:t>
            </w:r>
          </w:p>
        </w:tc>
        <w:tc>
          <w:tcPr>
            <w:tcW w:w="1307"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制造商</w:t>
            </w:r>
            <w:r>
              <w:t xml:space="preserve">/ </w:t>
            </w:r>
          </w:p>
          <w:p>
            <w:pPr>
              <w:jc w:val="center"/>
              <w:rPr>
                <w:rFonts w:ascii="宋体" w:cs="宋体"/>
                <w:b/>
                <w:szCs w:val="21"/>
              </w:rPr>
            </w:pPr>
            <w:r>
              <w:rPr>
                <w:rFonts w:hint="eastAsia"/>
              </w:rPr>
              <w:t>生产厂家</w:t>
            </w:r>
          </w:p>
        </w:tc>
        <w:tc>
          <w:tcPr>
            <w:tcW w:w="706"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品牌、规</w:t>
            </w:r>
          </w:p>
          <w:p>
            <w:pPr>
              <w:jc w:val="center"/>
              <w:rPr>
                <w:rFonts w:ascii="宋体" w:cs="宋体"/>
                <w:b/>
                <w:szCs w:val="21"/>
              </w:rPr>
            </w:pPr>
            <w:r>
              <w:rPr>
                <w:rFonts w:hint="eastAsia"/>
              </w:rPr>
              <w:t>格、型号</w:t>
            </w:r>
          </w:p>
        </w:tc>
        <w:tc>
          <w:tcPr>
            <w:tcW w:w="945"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认证机</w:t>
            </w:r>
          </w:p>
          <w:p>
            <w:pPr>
              <w:jc w:val="center"/>
              <w:rPr>
                <w:rFonts w:ascii="宋体" w:cs="宋体"/>
                <w:b/>
                <w:szCs w:val="21"/>
              </w:rPr>
            </w:pPr>
            <w:r>
              <w:rPr>
                <w:rFonts w:hint="eastAsia"/>
              </w:rPr>
              <w:t>构名称</w:t>
            </w:r>
          </w:p>
        </w:tc>
        <w:tc>
          <w:tcPr>
            <w:tcW w:w="992"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环境标志产品</w:t>
            </w:r>
          </w:p>
          <w:p>
            <w:pPr>
              <w:jc w:val="center"/>
              <w:rPr>
                <w:rFonts w:ascii="宋体" w:cs="宋体"/>
                <w:b/>
                <w:szCs w:val="21"/>
              </w:rPr>
            </w:pPr>
            <w:r>
              <w:rPr>
                <w:rFonts w:hint="eastAsia"/>
              </w:rPr>
              <w:t>认证证书号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11"/>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bl>
    <w:p>
      <w:pPr>
        <w:pStyle w:val="2"/>
        <w:ind w:firstLine="361"/>
        <w:rPr>
          <w:b/>
          <w:bCs/>
          <w:color w:val="000000"/>
          <w:sz w:val="36"/>
          <w:szCs w:val="36"/>
        </w:rPr>
      </w:pPr>
    </w:p>
    <w:p>
      <w:pPr>
        <w:pStyle w:val="2"/>
        <w:ind w:firstLine="240"/>
        <w:rPr>
          <w:rFonts w:ascii="Calibri" w:hAnsi="Calibri"/>
          <w:color w:val="000000"/>
          <w:szCs w:val="20"/>
        </w:rPr>
      </w:pPr>
    </w:p>
    <w:p>
      <w:pPr>
        <w:autoSpaceDE w:val="0"/>
        <w:autoSpaceDN w:val="0"/>
        <w:adjustRightInd w:val="0"/>
        <w:snapToGrid w:val="0"/>
        <w:spacing w:before="25" w:after="25" w:line="360" w:lineRule="auto"/>
        <w:ind w:firstLine="2880" w:firstLineChars="1200"/>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pPr>
        <w:autoSpaceDE w:val="0"/>
        <w:autoSpaceDN w:val="0"/>
        <w:adjustRightInd w:val="0"/>
        <w:snapToGrid w:val="0"/>
        <w:spacing w:before="25" w:after="25" w:line="360" w:lineRule="auto"/>
        <w:ind w:firstLine="2880" w:firstLineChars="1200"/>
        <w:rPr>
          <w:rFonts w:ascii="Calibri" w:hAnsi="Calibri"/>
          <w:color w:val="000000"/>
          <w:szCs w:val="20"/>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pPr>
        <w:pStyle w:val="2"/>
        <w:ind w:firstLine="240"/>
        <w:rPr>
          <w:rFonts w:ascii="Calibri" w:hAnsi="Calibri"/>
          <w:color w:val="000000"/>
          <w:szCs w:val="20"/>
        </w:rPr>
      </w:pPr>
    </w:p>
    <w:p>
      <w:pPr>
        <w:pStyle w:val="2"/>
        <w:ind w:firstLine="240"/>
        <w:rPr>
          <w:rFonts w:ascii="Calibri" w:hAnsi="Calibri"/>
          <w:color w:val="000000"/>
          <w:szCs w:val="20"/>
        </w:rPr>
      </w:pPr>
    </w:p>
    <w:p>
      <w:pPr>
        <w:pStyle w:val="2"/>
        <w:ind w:firstLine="240"/>
        <w:rPr>
          <w:rFonts w:ascii="Calibri" w:hAnsi="Calibri"/>
          <w:color w:val="000000"/>
          <w:szCs w:val="20"/>
        </w:rPr>
      </w:pPr>
      <w:r>
        <w:rPr>
          <w:rFonts w:hint="eastAsia" w:ascii="Calibri" w:hAnsi="Calibri"/>
          <w:color w:val="000000"/>
          <w:szCs w:val="20"/>
        </w:rPr>
        <w:t>说明：</w:t>
      </w:r>
    </w:p>
    <w:p>
      <w:pPr>
        <w:pStyle w:val="2"/>
        <w:ind w:left="239" w:leftChars="114" w:firstLine="480" w:firstLineChars="200"/>
        <w:rPr>
          <w:rFonts w:ascii="Calibri" w:hAnsi="Calibri"/>
          <w:color w:val="000000"/>
          <w:szCs w:val="20"/>
        </w:rPr>
      </w:pPr>
      <w:r>
        <w:rPr>
          <w:rFonts w:hint="eastAsia" w:ascii="Calibri" w:hAnsi="Calibri"/>
          <w:color w:val="000000"/>
          <w:szCs w:val="20"/>
        </w:rPr>
        <w:t>将所投优先采购环境标志产品认证证书完整的复印件附后；所有复印件加盖投标人单位公章。</w:t>
      </w:r>
    </w:p>
    <w:p>
      <w:pPr>
        <w:pStyle w:val="2"/>
        <w:ind w:left="239" w:leftChars="114" w:firstLine="480" w:firstLineChars="200"/>
        <w:rPr>
          <w:rFonts w:ascii="Calibri" w:hAnsi="Calibri"/>
          <w:color w:val="000000"/>
          <w:szCs w:val="20"/>
        </w:rPr>
      </w:pPr>
    </w:p>
    <w:p>
      <w:pPr>
        <w:pStyle w:val="2"/>
        <w:ind w:left="239" w:leftChars="114" w:firstLine="480" w:firstLineChars="200"/>
        <w:rPr>
          <w:rFonts w:ascii="Calibri" w:hAnsi="Calibri"/>
          <w:color w:val="000000"/>
          <w:szCs w:val="20"/>
        </w:rPr>
      </w:pPr>
    </w:p>
    <w:p>
      <w:pPr>
        <w:pStyle w:val="2"/>
        <w:ind w:firstLine="361"/>
        <w:rPr>
          <w:b/>
          <w:bCs/>
          <w:color w:val="C00000"/>
          <w:sz w:val="36"/>
          <w:szCs w:val="36"/>
        </w:rPr>
      </w:pPr>
    </w:p>
    <w:p>
      <w:pPr>
        <w:pStyle w:val="2"/>
        <w:ind w:firstLine="240"/>
        <w:rPr>
          <w:color w:val="000000"/>
          <w:szCs w:val="20"/>
        </w:rPr>
      </w:pPr>
    </w:p>
    <w:p>
      <w:pPr>
        <w:widowControl/>
        <w:jc w:val="left"/>
        <w:rPr>
          <w:rFonts w:hint="eastAsia"/>
        </w:rPr>
      </w:pPr>
      <w:r>
        <w:rPr>
          <w:color w:val="000000"/>
          <w:sz w:val="24"/>
          <w:szCs w:val="20"/>
        </w:rPr>
        <w:t>1</w:t>
      </w:r>
      <w:r>
        <w:rPr>
          <w:rFonts w:hint="eastAsia"/>
          <w:color w:val="000000"/>
          <w:sz w:val="24"/>
          <w:szCs w:val="20"/>
          <w:lang w:val="en-US" w:eastAsia="zh-CN"/>
        </w:rPr>
        <w:t xml:space="preserve">1  </w:t>
      </w:r>
      <w:r>
        <w:rPr>
          <w:rFonts w:hint="eastAsia"/>
          <w:color w:val="000000"/>
          <w:sz w:val="24"/>
          <w:szCs w:val="20"/>
        </w:rPr>
        <w:t>招标文件要求提供或投标人认为应附的其他材料</w:t>
      </w:r>
    </w:p>
    <w:p/>
    <w:sectPr>
      <w:headerReference r:id="rId12" w:type="first"/>
      <w:footerReference r:id="rId14" w:type="first"/>
      <w:headerReference r:id="rId11" w:type="even"/>
      <w:footerReference r:id="rId13"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16</w:t>
                          </w:r>
                          <w:r>
                            <w:rPr>
                              <w:rFonts w:ascii="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12"/>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16</w:t>
                    </w:r>
                    <w:r>
                      <w:rPr>
                        <w:rFonts w:asci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2"/>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fldChar w:fldCharType="end"/>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fldChar w:fldCharType="end"/>
    </w:r>
  </w:p>
  <w:p>
    <w:pPr>
      <w:pStyle w:val="12"/>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eastAsia="宋体"/>
        <w:color w:val="auto"/>
        <w:lang w:eastAsia="zh-CN"/>
      </w:rPr>
    </w:pPr>
    <w:r>
      <w:rPr>
        <w:rFonts w:hint="eastAsia"/>
        <w:color w:val="auto"/>
      </w:rPr>
      <w:t>北京市</w:t>
    </w:r>
    <w:r>
      <w:rPr>
        <w:rFonts w:hint="eastAsia"/>
        <w:color w:val="auto"/>
        <w:lang w:eastAsia="zh-CN"/>
      </w:rPr>
      <w:t>昌平区</w:t>
    </w:r>
    <w:r>
      <w:rPr>
        <w:rFonts w:hint="eastAsia"/>
        <w:color w:val="auto"/>
      </w:rPr>
      <w:t>政府</w:t>
    </w:r>
    <w:r>
      <w:rPr>
        <w:color w:val="auto"/>
      </w:rPr>
      <w:t>采购</w:t>
    </w:r>
    <w:r>
      <w:rPr>
        <w:rFonts w:hint="eastAsia"/>
        <w:color w:val="auto"/>
        <w:lang w:eastAsia="zh-CN"/>
      </w:rPr>
      <w:t>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eastAsia="宋体"/>
        <w:color w:val="auto"/>
        <w:lang w:eastAsia="zh-CN"/>
      </w:rPr>
    </w:pPr>
    <w:r>
      <w:rPr>
        <w:rFonts w:hint="eastAsia"/>
        <w:color w:val="auto"/>
      </w:rPr>
      <w:t>北京市</w:t>
    </w:r>
    <w:r>
      <w:rPr>
        <w:rFonts w:hint="eastAsia"/>
        <w:color w:val="auto"/>
        <w:lang w:eastAsia="zh-CN"/>
      </w:rPr>
      <w:t>昌平区</w:t>
    </w:r>
    <w:r>
      <w:rPr>
        <w:rFonts w:hint="eastAsia"/>
        <w:color w:val="auto"/>
      </w:rPr>
      <w:t>政府</w:t>
    </w:r>
    <w:r>
      <w:rPr>
        <w:color w:val="auto"/>
      </w:rPr>
      <w:t>采购</w:t>
    </w:r>
    <w:r>
      <w:rPr>
        <w:rFonts w:hint="eastAsia"/>
        <w:color w:val="auto"/>
        <w:lang w:eastAsia="zh-CN"/>
      </w:rPr>
      <w:t>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9A8795"/>
    <w:multiLevelType w:val="singleLevel"/>
    <w:tmpl w:val="FB9A8795"/>
    <w:lvl w:ilvl="0" w:tentative="0">
      <w:start w:val="1"/>
      <w:numFmt w:val="decimal"/>
      <w:suff w:val="nothing"/>
      <w:lvlText w:val="（%1）"/>
      <w:lvlJc w:val="left"/>
      <w:rPr>
        <w:rFonts w:hint="default"/>
        <w:b w:val="0"/>
        <w:bCs w:val="0"/>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7"/>
    <w:multiLevelType w:val="multilevel"/>
    <w:tmpl w:val="00000007"/>
    <w:lvl w:ilvl="0" w:tentative="0">
      <w:start w:val="1"/>
      <w:numFmt w:val="bullet"/>
      <w:lvlText w:val=""/>
      <w:lvlJc w:val="left"/>
      <w:pPr>
        <w:tabs>
          <w:tab w:val="left" w:pos="1275"/>
        </w:tabs>
        <w:ind w:left="1275" w:hanging="420"/>
      </w:pPr>
      <w:rPr>
        <w:rFonts w:hint="default" w:ascii="Wingdings" w:hAnsi="Wingdings"/>
      </w:rPr>
    </w:lvl>
    <w:lvl w:ilvl="1" w:tentative="0">
      <w:start w:val="1"/>
      <w:numFmt w:val="bullet"/>
      <w:lvlText w:val=""/>
      <w:lvlJc w:val="left"/>
      <w:pPr>
        <w:tabs>
          <w:tab w:val="left" w:pos="1695"/>
        </w:tabs>
        <w:ind w:left="1695" w:hanging="420"/>
      </w:pPr>
      <w:rPr>
        <w:rFonts w:hint="default" w:ascii="Wingdings" w:hAnsi="Wingdings"/>
      </w:rPr>
    </w:lvl>
    <w:lvl w:ilvl="2" w:tentative="0">
      <w:start w:val="1"/>
      <w:numFmt w:val="bullet"/>
      <w:lvlText w:val=""/>
      <w:lvlJc w:val="left"/>
      <w:pPr>
        <w:tabs>
          <w:tab w:val="left" w:pos="2115"/>
        </w:tabs>
        <w:ind w:left="2115" w:hanging="420"/>
      </w:pPr>
      <w:rPr>
        <w:rFonts w:hint="default" w:ascii="Wingdings" w:hAnsi="Wingdings"/>
      </w:rPr>
    </w:lvl>
    <w:lvl w:ilvl="3" w:tentative="0">
      <w:start w:val="1"/>
      <w:numFmt w:val="bullet"/>
      <w:lvlText w:val=""/>
      <w:lvlJc w:val="left"/>
      <w:pPr>
        <w:tabs>
          <w:tab w:val="left" w:pos="2535"/>
        </w:tabs>
        <w:ind w:left="2535" w:hanging="420"/>
      </w:pPr>
      <w:rPr>
        <w:rFonts w:hint="default" w:ascii="Wingdings" w:hAnsi="Wingdings"/>
      </w:rPr>
    </w:lvl>
    <w:lvl w:ilvl="4" w:tentative="0">
      <w:start w:val="1"/>
      <w:numFmt w:val="bullet"/>
      <w:lvlText w:val=""/>
      <w:lvlJc w:val="left"/>
      <w:pPr>
        <w:tabs>
          <w:tab w:val="left" w:pos="2955"/>
        </w:tabs>
        <w:ind w:left="2955" w:hanging="420"/>
      </w:pPr>
      <w:rPr>
        <w:rFonts w:hint="default" w:ascii="Wingdings" w:hAnsi="Wingdings"/>
      </w:rPr>
    </w:lvl>
    <w:lvl w:ilvl="5" w:tentative="0">
      <w:start w:val="1"/>
      <w:numFmt w:val="bullet"/>
      <w:lvlText w:val=""/>
      <w:lvlJc w:val="left"/>
      <w:pPr>
        <w:tabs>
          <w:tab w:val="left" w:pos="3375"/>
        </w:tabs>
        <w:ind w:left="3375" w:hanging="420"/>
      </w:pPr>
      <w:rPr>
        <w:rFonts w:hint="default" w:ascii="Wingdings" w:hAnsi="Wingdings"/>
      </w:rPr>
    </w:lvl>
    <w:lvl w:ilvl="6" w:tentative="0">
      <w:start w:val="1"/>
      <w:numFmt w:val="bullet"/>
      <w:lvlText w:val=""/>
      <w:lvlJc w:val="left"/>
      <w:pPr>
        <w:tabs>
          <w:tab w:val="left" w:pos="3795"/>
        </w:tabs>
        <w:ind w:left="3795" w:hanging="420"/>
      </w:pPr>
      <w:rPr>
        <w:rFonts w:hint="default" w:ascii="Wingdings" w:hAnsi="Wingdings"/>
      </w:rPr>
    </w:lvl>
    <w:lvl w:ilvl="7" w:tentative="0">
      <w:start w:val="1"/>
      <w:numFmt w:val="bullet"/>
      <w:lvlText w:val=""/>
      <w:lvlJc w:val="left"/>
      <w:pPr>
        <w:tabs>
          <w:tab w:val="left" w:pos="4215"/>
        </w:tabs>
        <w:ind w:left="4215" w:hanging="420"/>
      </w:pPr>
      <w:rPr>
        <w:rFonts w:hint="default" w:ascii="Wingdings" w:hAnsi="Wingdings"/>
      </w:rPr>
    </w:lvl>
    <w:lvl w:ilvl="8" w:tentative="0">
      <w:start w:val="1"/>
      <w:numFmt w:val="bullet"/>
      <w:lvlText w:val=""/>
      <w:lvlJc w:val="left"/>
      <w:pPr>
        <w:tabs>
          <w:tab w:val="left" w:pos="4635"/>
        </w:tabs>
        <w:ind w:left="4635" w:hanging="420"/>
      </w:pPr>
      <w:rPr>
        <w:rFonts w:hint="default" w:ascii="Wingdings" w:hAnsi="Wingdings"/>
      </w:rPr>
    </w:lvl>
  </w:abstractNum>
  <w:abstractNum w:abstractNumId="3">
    <w:nsid w:val="0000000E"/>
    <w:multiLevelType w:val="multilevel"/>
    <w:tmpl w:val="0000000E"/>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4">
    <w:nsid w:val="0000000F"/>
    <w:multiLevelType w:val="multilevel"/>
    <w:tmpl w:val="0000000F"/>
    <w:lvl w:ilvl="0" w:tentative="0">
      <w:start w:val="1"/>
      <w:numFmt w:val="bullet"/>
      <w:lvlText w:val=""/>
      <w:lvlJc w:val="left"/>
      <w:pPr>
        <w:tabs>
          <w:tab w:val="left" w:pos="1258"/>
        </w:tabs>
        <w:ind w:left="1258" w:hanging="420"/>
      </w:pPr>
      <w:rPr>
        <w:rFonts w:hint="default" w:ascii="Wingdings" w:hAnsi="Wingdings"/>
      </w:rPr>
    </w:lvl>
    <w:lvl w:ilvl="1" w:tentative="0">
      <w:start w:val="1"/>
      <w:numFmt w:val="bullet"/>
      <w:lvlText w:val=""/>
      <w:lvlJc w:val="left"/>
      <w:pPr>
        <w:tabs>
          <w:tab w:val="left" w:pos="1678"/>
        </w:tabs>
        <w:ind w:left="1678" w:hanging="420"/>
      </w:pPr>
      <w:rPr>
        <w:rFonts w:hint="default" w:ascii="Wingdings" w:hAnsi="Wingdings"/>
      </w:rPr>
    </w:lvl>
    <w:lvl w:ilvl="2" w:tentative="0">
      <w:start w:val="1"/>
      <w:numFmt w:val="bullet"/>
      <w:lvlText w:val=""/>
      <w:lvlJc w:val="left"/>
      <w:pPr>
        <w:tabs>
          <w:tab w:val="left" w:pos="2098"/>
        </w:tabs>
        <w:ind w:left="2098" w:hanging="420"/>
      </w:pPr>
      <w:rPr>
        <w:rFonts w:hint="default" w:ascii="Wingdings" w:hAnsi="Wingdings"/>
      </w:rPr>
    </w:lvl>
    <w:lvl w:ilvl="3" w:tentative="0">
      <w:start w:val="1"/>
      <w:numFmt w:val="bullet"/>
      <w:lvlText w:val=""/>
      <w:lvlJc w:val="left"/>
      <w:pPr>
        <w:tabs>
          <w:tab w:val="left" w:pos="2518"/>
        </w:tabs>
        <w:ind w:left="2518" w:hanging="420"/>
      </w:pPr>
      <w:rPr>
        <w:rFonts w:hint="default" w:ascii="Wingdings" w:hAnsi="Wingdings"/>
      </w:rPr>
    </w:lvl>
    <w:lvl w:ilvl="4" w:tentative="0">
      <w:start w:val="1"/>
      <w:numFmt w:val="bullet"/>
      <w:lvlText w:val=""/>
      <w:lvlJc w:val="left"/>
      <w:pPr>
        <w:tabs>
          <w:tab w:val="left" w:pos="2938"/>
        </w:tabs>
        <w:ind w:left="2938" w:hanging="420"/>
      </w:pPr>
      <w:rPr>
        <w:rFonts w:hint="default" w:ascii="Wingdings" w:hAnsi="Wingdings"/>
      </w:rPr>
    </w:lvl>
    <w:lvl w:ilvl="5" w:tentative="0">
      <w:start w:val="1"/>
      <w:numFmt w:val="bullet"/>
      <w:lvlText w:val=""/>
      <w:lvlJc w:val="left"/>
      <w:pPr>
        <w:tabs>
          <w:tab w:val="left" w:pos="3358"/>
        </w:tabs>
        <w:ind w:left="3358" w:hanging="420"/>
      </w:pPr>
      <w:rPr>
        <w:rFonts w:hint="default" w:ascii="Wingdings" w:hAnsi="Wingdings"/>
      </w:rPr>
    </w:lvl>
    <w:lvl w:ilvl="6" w:tentative="0">
      <w:start w:val="1"/>
      <w:numFmt w:val="bullet"/>
      <w:lvlText w:val=""/>
      <w:lvlJc w:val="left"/>
      <w:pPr>
        <w:tabs>
          <w:tab w:val="left" w:pos="3778"/>
        </w:tabs>
        <w:ind w:left="3778" w:hanging="420"/>
      </w:pPr>
      <w:rPr>
        <w:rFonts w:hint="default" w:ascii="Wingdings" w:hAnsi="Wingdings"/>
      </w:rPr>
    </w:lvl>
    <w:lvl w:ilvl="7" w:tentative="0">
      <w:start w:val="1"/>
      <w:numFmt w:val="bullet"/>
      <w:lvlText w:val=""/>
      <w:lvlJc w:val="left"/>
      <w:pPr>
        <w:tabs>
          <w:tab w:val="left" w:pos="4198"/>
        </w:tabs>
        <w:ind w:left="4198" w:hanging="420"/>
      </w:pPr>
      <w:rPr>
        <w:rFonts w:hint="default" w:ascii="Wingdings" w:hAnsi="Wingdings"/>
      </w:rPr>
    </w:lvl>
    <w:lvl w:ilvl="8" w:tentative="0">
      <w:start w:val="1"/>
      <w:numFmt w:val="bullet"/>
      <w:lvlText w:val=""/>
      <w:lvlJc w:val="left"/>
      <w:pPr>
        <w:tabs>
          <w:tab w:val="left" w:pos="4618"/>
        </w:tabs>
        <w:ind w:left="4618" w:hanging="420"/>
      </w:pPr>
      <w:rPr>
        <w:rFonts w:hint="default" w:ascii="Wingdings" w:hAnsi="Wingdings"/>
      </w:rPr>
    </w:lvl>
  </w:abstractNum>
  <w:abstractNum w:abstractNumId="5">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1E669A6D"/>
    <w:multiLevelType w:val="singleLevel"/>
    <w:tmpl w:val="1E669A6D"/>
    <w:lvl w:ilvl="0" w:tentative="0">
      <w:start w:val="1"/>
      <w:numFmt w:val="chineseCounting"/>
      <w:suff w:val="space"/>
      <w:lvlText w:val="第%1部分"/>
      <w:lvlJc w:val="left"/>
      <w:rPr>
        <w:rFonts w:hint="eastAsia"/>
      </w:rPr>
    </w:lvl>
  </w:abstractNum>
  <w:abstractNum w:abstractNumId="9">
    <w:nsid w:val="1E81D41E"/>
    <w:multiLevelType w:val="singleLevel"/>
    <w:tmpl w:val="1E81D41E"/>
    <w:lvl w:ilvl="0" w:tentative="0">
      <w:start w:val="4"/>
      <w:numFmt w:val="chineseCounting"/>
      <w:suff w:val="nothing"/>
      <w:lvlText w:val="%1、"/>
      <w:lvlJc w:val="left"/>
      <w:rPr>
        <w:rFonts w:hint="eastAsia"/>
      </w:rPr>
    </w:lvl>
  </w:abstractNum>
  <w:abstractNum w:abstractNumId="10">
    <w:nsid w:val="1EB69012"/>
    <w:multiLevelType w:val="singleLevel"/>
    <w:tmpl w:val="1EB69012"/>
    <w:lvl w:ilvl="0" w:tentative="0">
      <w:start w:val="1"/>
      <w:numFmt w:val="chineseCounting"/>
      <w:suff w:val="space"/>
      <w:lvlText w:val="第%1章"/>
      <w:lvlJc w:val="left"/>
      <w:pPr>
        <w:ind w:left="2520" w:firstLine="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349A61D"/>
    <w:multiLevelType w:val="singleLevel"/>
    <w:tmpl w:val="3349A61D"/>
    <w:lvl w:ilvl="0" w:tentative="0">
      <w:start w:val="1"/>
      <w:numFmt w:val="decimal"/>
      <w:suff w:val="nothing"/>
      <w:lvlText w:val="（%1）"/>
      <w:lvlJc w:val="left"/>
    </w:lvl>
  </w:abstractNum>
  <w:abstractNum w:abstractNumId="13">
    <w:nsid w:val="364109CD"/>
    <w:multiLevelType w:val="multilevel"/>
    <w:tmpl w:val="364109CD"/>
    <w:lvl w:ilvl="0" w:tentative="0">
      <w:start w:val="1"/>
      <w:numFmt w:val="bullet"/>
      <w:lvlText w:val=""/>
      <w:lvlJc w:val="left"/>
      <w:pPr>
        <w:tabs>
          <w:tab w:val="left" w:pos="1321"/>
        </w:tabs>
        <w:ind w:left="1321"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E914C6E"/>
    <w:multiLevelType w:val="singleLevel"/>
    <w:tmpl w:val="4E914C6E"/>
    <w:lvl w:ilvl="0" w:tentative="0">
      <w:start w:val="5"/>
      <w:numFmt w:val="decimal"/>
      <w:suff w:val="nothing"/>
      <w:lvlText w:val="（%1）"/>
      <w:lvlJc w:val="left"/>
      <w:pPr>
        <w:ind w:left="593" w:leftChars="0" w:firstLine="0" w:firstLineChars="0"/>
      </w:pPr>
    </w:lvl>
  </w:abstractNum>
  <w:abstractNum w:abstractNumId="16">
    <w:nsid w:val="4FF8CE25"/>
    <w:multiLevelType w:val="singleLevel"/>
    <w:tmpl w:val="4FF8CE25"/>
    <w:lvl w:ilvl="0" w:tentative="0">
      <w:start w:val="1"/>
      <w:numFmt w:val="decimal"/>
      <w:suff w:val="nothing"/>
      <w:lvlText w:val="（%1）"/>
      <w:lvlJc w:val="left"/>
      <w:pPr>
        <w:ind w:left="150"/>
      </w:p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0"/>
  </w:num>
  <w:num w:numId="2">
    <w:abstractNumId w:val="16"/>
  </w:num>
  <w:num w:numId="3">
    <w:abstractNumId w:val="9"/>
  </w:num>
  <w:num w:numId="4">
    <w:abstractNumId w:val="7"/>
  </w:num>
  <w:num w:numId="5">
    <w:abstractNumId w:val="12"/>
  </w:num>
  <w:num w:numId="6">
    <w:abstractNumId w:val="1"/>
  </w:num>
  <w:num w:numId="7">
    <w:abstractNumId w:val="14"/>
  </w:num>
  <w:num w:numId="8">
    <w:abstractNumId w:val="6"/>
  </w:num>
  <w:num w:numId="9">
    <w:abstractNumId w:val="17"/>
  </w:num>
  <w:num w:numId="10">
    <w:abstractNumId w:val="8"/>
  </w:num>
  <w:num w:numId="11">
    <w:abstractNumId w:val="0"/>
  </w:num>
  <w:num w:numId="12">
    <w:abstractNumId w:val="5"/>
  </w:num>
  <w:num w:numId="13">
    <w:abstractNumId w:val="4"/>
  </w:num>
  <w:num w:numId="14">
    <w:abstractNumId w:val="15"/>
  </w:num>
  <w:num w:numId="15">
    <w:abstractNumId w:val="1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zNjhkNTIwZDZkZDJjMTcwMDdjZTQxNmViYjVjYzIifQ=="/>
  </w:docVars>
  <w:rsids>
    <w:rsidRoot w:val="00172A27"/>
    <w:rsid w:val="00672DB6"/>
    <w:rsid w:val="02811267"/>
    <w:rsid w:val="03991D90"/>
    <w:rsid w:val="03DB1BEE"/>
    <w:rsid w:val="04882B19"/>
    <w:rsid w:val="05002D07"/>
    <w:rsid w:val="05271AEC"/>
    <w:rsid w:val="05C85BEC"/>
    <w:rsid w:val="06A7190D"/>
    <w:rsid w:val="06F9358E"/>
    <w:rsid w:val="06FD1CC5"/>
    <w:rsid w:val="0B9F1ED2"/>
    <w:rsid w:val="0C013365"/>
    <w:rsid w:val="0C372F8F"/>
    <w:rsid w:val="0D831A66"/>
    <w:rsid w:val="0D9B1925"/>
    <w:rsid w:val="0F0A25F4"/>
    <w:rsid w:val="10B9362C"/>
    <w:rsid w:val="152D2E30"/>
    <w:rsid w:val="15F75D82"/>
    <w:rsid w:val="166854C6"/>
    <w:rsid w:val="166C6B95"/>
    <w:rsid w:val="17792900"/>
    <w:rsid w:val="181C60C2"/>
    <w:rsid w:val="18444D25"/>
    <w:rsid w:val="185861F3"/>
    <w:rsid w:val="18E50699"/>
    <w:rsid w:val="197F1FF6"/>
    <w:rsid w:val="19DC5E7F"/>
    <w:rsid w:val="1BBC5521"/>
    <w:rsid w:val="1E6C34CF"/>
    <w:rsid w:val="1F11217F"/>
    <w:rsid w:val="1FEA0F01"/>
    <w:rsid w:val="209223DF"/>
    <w:rsid w:val="21D16162"/>
    <w:rsid w:val="22B221B0"/>
    <w:rsid w:val="25E23C8E"/>
    <w:rsid w:val="27610EDE"/>
    <w:rsid w:val="28E40E95"/>
    <w:rsid w:val="2A2D4E51"/>
    <w:rsid w:val="2B1A01BB"/>
    <w:rsid w:val="2B77607F"/>
    <w:rsid w:val="35825618"/>
    <w:rsid w:val="370239BE"/>
    <w:rsid w:val="37A0788C"/>
    <w:rsid w:val="37E40ACC"/>
    <w:rsid w:val="38E979E8"/>
    <w:rsid w:val="394D312E"/>
    <w:rsid w:val="3AEE759E"/>
    <w:rsid w:val="3B951C95"/>
    <w:rsid w:val="3C545E98"/>
    <w:rsid w:val="3D907320"/>
    <w:rsid w:val="3E046108"/>
    <w:rsid w:val="3F3D49DF"/>
    <w:rsid w:val="3FB035AC"/>
    <w:rsid w:val="40FC3C9F"/>
    <w:rsid w:val="41BB4060"/>
    <w:rsid w:val="425502F9"/>
    <w:rsid w:val="43622EBB"/>
    <w:rsid w:val="44290B83"/>
    <w:rsid w:val="4468162B"/>
    <w:rsid w:val="44B775C8"/>
    <w:rsid w:val="463866E7"/>
    <w:rsid w:val="46AD21E9"/>
    <w:rsid w:val="47CE14DD"/>
    <w:rsid w:val="48095BCB"/>
    <w:rsid w:val="4B255CB1"/>
    <w:rsid w:val="4F537250"/>
    <w:rsid w:val="4FB66F57"/>
    <w:rsid w:val="500E2408"/>
    <w:rsid w:val="50966381"/>
    <w:rsid w:val="52C345F0"/>
    <w:rsid w:val="538042E5"/>
    <w:rsid w:val="55454F00"/>
    <w:rsid w:val="58047176"/>
    <w:rsid w:val="5B5A2F49"/>
    <w:rsid w:val="5B8C28FE"/>
    <w:rsid w:val="5F6C3121"/>
    <w:rsid w:val="60023FF8"/>
    <w:rsid w:val="602510A2"/>
    <w:rsid w:val="60780CDF"/>
    <w:rsid w:val="609E4B0F"/>
    <w:rsid w:val="620C4C34"/>
    <w:rsid w:val="62272FDA"/>
    <w:rsid w:val="639D1457"/>
    <w:rsid w:val="63BF34D9"/>
    <w:rsid w:val="640A1078"/>
    <w:rsid w:val="64521C35"/>
    <w:rsid w:val="64672EA5"/>
    <w:rsid w:val="654340BE"/>
    <w:rsid w:val="657B588A"/>
    <w:rsid w:val="66B25EF6"/>
    <w:rsid w:val="67784EFA"/>
    <w:rsid w:val="6799704A"/>
    <w:rsid w:val="6801624E"/>
    <w:rsid w:val="68A34E96"/>
    <w:rsid w:val="68B06C8B"/>
    <w:rsid w:val="6A977B61"/>
    <w:rsid w:val="6B4F26EF"/>
    <w:rsid w:val="6B9E01ED"/>
    <w:rsid w:val="6C1B05F0"/>
    <w:rsid w:val="6E0A1112"/>
    <w:rsid w:val="6ED74BAA"/>
    <w:rsid w:val="6FB22D12"/>
    <w:rsid w:val="6FFD64A2"/>
    <w:rsid w:val="715A2B8F"/>
    <w:rsid w:val="722B6021"/>
    <w:rsid w:val="78385A6F"/>
    <w:rsid w:val="78524B02"/>
    <w:rsid w:val="79C800F1"/>
    <w:rsid w:val="7AAE0E91"/>
    <w:rsid w:val="7C023CBF"/>
    <w:rsid w:val="7CED3AC8"/>
    <w:rsid w:val="7DD12751"/>
    <w:rsid w:val="7EDB4D14"/>
    <w:rsid w:val="7F5B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8">
    <w:name w:val="Body Text Indent"/>
    <w:basedOn w:val="1"/>
    <w:next w:val="9"/>
    <w:qFormat/>
    <w:uiPriority w:val="0"/>
    <w:pPr>
      <w:spacing w:after="120"/>
      <w:ind w:left="200" w:leftChars="200"/>
    </w:pPr>
    <w:rPr>
      <w:kern w:val="0"/>
      <w:sz w:val="20"/>
      <w:szCs w:val="20"/>
    </w:r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hint="eastAsia" w:ascii="宋体" w:hAnsi="Courier New"/>
      <w:szCs w:val="20"/>
    </w:rPr>
  </w:style>
  <w:style w:type="paragraph" w:styleId="11">
    <w:name w:val="Body Text Indent 2"/>
    <w:basedOn w:val="1"/>
    <w:qFormat/>
    <w:uiPriority w:val="0"/>
    <w:pPr>
      <w:ind w:firstLine="480" w:firstLineChars="200"/>
    </w:pPr>
    <w:rPr>
      <w:rFonts w:ascii="仿宋_GB2312" w:eastAsia="仿宋_GB2312"/>
    </w:rPr>
  </w:style>
  <w:style w:type="paragraph" w:styleId="1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5">
    <w:name w:val="Title"/>
    <w:basedOn w:val="1"/>
    <w:next w:val="1"/>
    <w:qFormat/>
    <w:uiPriority w:val="0"/>
    <w:pPr>
      <w:spacing w:before="240" w:after="60"/>
      <w:jc w:val="left"/>
      <w:outlineLvl w:val="0"/>
    </w:pPr>
    <w:rPr>
      <w:rFonts w:ascii="Cambria" w:hAnsi="Cambria" w:eastAsia="黑体" w:cs="Times New Roman"/>
      <w:b/>
      <w:bCs/>
      <w:sz w:val="32"/>
      <w:szCs w:val="32"/>
    </w:rPr>
  </w:style>
  <w:style w:type="paragraph" w:styleId="16">
    <w:name w:val="Body Text First Indent 2"/>
    <w:basedOn w:val="8"/>
    <w:qFormat/>
    <w:uiPriority w:val="0"/>
    <w:pPr>
      <w:ind w:firstLine="200" w:firstLineChars="200"/>
    </w:pPr>
  </w:style>
  <w:style w:type="table" w:styleId="18">
    <w:name w:val="Table Grid"/>
    <w:basedOn w:val="17"/>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PlainText"/>
    <w:basedOn w:val="1"/>
    <w:qFormat/>
    <w:uiPriority w:val="0"/>
    <w:pPr>
      <w:textAlignment w:val="baseline"/>
    </w:pPr>
    <w:rPr>
      <w:rFonts w:hAnsi="Courier New"/>
    </w:rPr>
  </w:style>
  <w:style w:type="paragraph" w:customStyle="1" w:styleId="23">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样式 首行缩进:  2 字符"/>
    <w:basedOn w:val="1"/>
    <w:qFormat/>
    <w:uiPriority w:val="0"/>
    <w:pPr>
      <w:spacing w:line="480" w:lineRule="exact"/>
      <w:ind w:firstLine="200" w:firstLineChars="200"/>
      <w:jc w:val="left"/>
    </w:pPr>
    <w:rPr>
      <w:color w:val="7030A0"/>
      <w:kern w:val="0"/>
      <w:sz w:val="24"/>
      <w:szCs w:val="20"/>
    </w:rPr>
  </w:style>
  <w:style w:type="paragraph" w:customStyle="1" w:styleId="26">
    <w:name w:val="Table Paragraph"/>
    <w:basedOn w:val="1"/>
    <w:qFormat/>
    <w:uiPriority w:val="0"/>
    <w:pPr>
      <w:autoSpaceDE w:val="0"/>
      <w:autoSpaceDN w:val="0"/>
      <w:jc w:val="left"/>
    </w:pPr>
    <w:rPr>
      <w:rFonts w:asci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2023-08-24T01:38:00Z</dcterms:created>
  <dc:creator>Administrator</dc:creator>
  <cp:lastModifiedBy>Lenovo</cp:lastModifiedBy>
  <cp:lastPrinted>2023-09-11T06:53:00Z</cp:lastPrinted>
  <dcterms:modified xsi:type="dcterms:W3CDTF">2024-02-21T07:27:08Z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71BCD18DA6C249DC94F8CC981C336095_12</vt:lpwstr>
  </property>
</Properties>
</file>