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0500"/>
        </w:tabs>
        <w:spacing w:line="360" w:lineRule="auto"/>
        <w:rPr>
          <w:b/>
          <w:sz w:val="72"/>
          <w:szCs w:val="72"/>
        </w:rPr>
      </w:pPr>
      <w:r>
        <w:rPr>
          <w:b/>
          <w:sz w:val="72"/>
          <w:szCs w:val="72"/>
        </w:rPr>
        <w:drawing>
          <wp:inline distT="0" distB="0" distL="0" distR="0">
            <wp:extent cx="2668905" cy="574040"/>
            <wp:effectExtent l="0" t="0" r="17145" b="16510"/>
            <wp:docPr id="1" name="图片 1" descr="C:\Users\Administrator\Desktop\中工国际源文件logodc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中工国际源文件logodcdr.png"/>
                    <pic:cNvPicPr>
                      <a:picLocks noChangeAspect="1" noChangeArrowheads="1"/>
                    </pic:cNvPicPr>
                  </pic:nvPicPr>
                  <pic:blipFill>
                    <a:blip r:embed="rId28" cstate="print"/>
                    <a:srcRect/>
                    <a:stretch>
                      <a:fillRect/>
                    </a:stretch>
                  </pic:blipFill>
                  <pic:spPr>
                    <a:xfrm>
                      <a:off x="0" y="0"/>
                      <a:ext cx="2668905" cy="574040"/>
                    </a:xfrm>
                    <a:prstGeom prst="rect">
                      <a:avLst/>
                    </a:prstGeom>
                    <a:noFill/>
                    <a:ln w="9525" cmpd="sng">
                      <a:noFill/>
                      <a:miter lim="800000"/>
                      <a:headEnd/>
                      <a:tailEnd/>
                    </a:ln>
                  </pic:spPr>
                </pic:pic>
              </a:graphicData>
            </a:graphic>
          </wp:inline>
        </w:drawing>
      </w:r>
    </w:p>
    <w:p>
      <w:pPr>
        <w:spacing w:line="360" w:lineRule="auto"/>
        <w:rPr>
          <w:rFonts w:ascii="宋体" w:hAnsi="宋体" w:cs="宋体"/>
          <w:b/>
          <w:bCs/>
          <w:sz w:val="44"/>
          <w:szCs w:val="44"/>
        </w:rPr>
      </w:pPr>
    </w:p>
    <w:p>
      <w:pPr>
        <w:jc w:val="center"/>
        <w:rPr>
          <w:rFonts w:ascii="宋体" w:hAnsi="宋体"/>
          <w:b/>
          <w:bCs/>
          <w:sz w:val="44"/>
          <w:szCs w:val="44"/>
        </w:rPr>
      </w:pPr>
    </w:p>
    <w:p>
      <w:pPr>
        <w:spacing w:line="360" w:lineRule="auto"/>
        <w:jc w:val="center"/>
        <w:rPr>
          <w:rFonts w:ascii="宋体" w:hAnsi="宋体" w:cs="宋体"/>
          <w:b/>
          <w:bCs/>
          <w:sz w:val="52"/>
          <w:szCs w:val="52"/>
        </w:rPr>
      </w:pPr>
      <w:r>
        <w:rPr>
          <w:rFonts w:hint="eastAsia" w:ascii="宋体" w:hAnsi="宋体" w:cs="宋体"/>
          <w:b/>
          <w:bCs/>
          <w:sz w:val="44"/>
          <w:szCs w:val="44"/>
        </w:rPr>
        <w:t>畜禽健康养殖关键技术基础平台建设</w:t>
      </w:r>
    </w:p>
    <w:p>
      <w:pPr>
        <w:spacing w:line="360" w:lineRule="auto"/>
        <w:jc w:val="center"/>
        <w:rPr>
          <w:rFonts w:ascii="宋体" w:hAnsi="宋体" w:cs="宋体"/>
          <w:b/>
          <w:bCs/>
          <w:sz w:val="52"/>
          <w:szCs w:val="52"/>
        </w:rPr>
      </w:pPr>
    </w:p>
    <w:p>
      <w:pPr>
        <w:spacing w:line="360" w:lineRule="auto"/>
        <w:jc w:val="center"/>
        <w:rPr>
          <w:rFonts w:ascii="宋体" w:hAnsi="宋体" w:cs="宋体"/>
          <w:b/>
          <w:bCs/>
          <w:sz w:val="52"/>
          <w:szCs w:val="52"/>
        </w:rPr>
      </w:pPr>
    </w:p>
    <w:p>
      <w:pPr>
        <w:spacing w:line="360" w:lineRule="auto"/>
        <w:jc w:val="center"/>
        <w:rPr>
          <w:rFonts w:ascii="宋体" w:hAnsi="宋体" w:cs="宋体"/>
          <w:b/>
          <w:bCs/>
          <w:sz w:val="52"/>
          <w:szCs w:val="52"/>
        </w:rPr>
      </w:pPr>
      <w:r>
        <w:rPr>
          <w:rFonts w:hint="eastAsia" w:ascii="宋体" w:hAnsi="宋体" w:cs="宋体"/>
          <w:b/>
          <w:bCs/>
          <w:sz w:val="52"/>
          <w:szCs w:val="52"/>
        </w:rPr>
        <w:t>招标文件</w:t>
      </w:r>
    </w:p>
    <w:p>
      <w:pPr>
        <w:spacing w:line="360" w:lineRule="auto"/>
        <w:jc w:val="center"/>
        <w:rPr>
          <w:rFonts w:ascii="宋体" w:hAnsi="宋体" w:cs="宋体"/>
          <w:b/>
          <w:bCs/>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643" w:firstLineChars="200"/>
        <w:rPr>
          <w:rFonts w:ascii="宋体" w:hAnsi="宋体" w:cs="宋体"/>
          <w:b/>
          <w:bCs/>
          <w:sz w:val="32"/>
          <w:szCs w:val="32"/>
        </w:rPr>
      </w:pPr>
      <w:r>
        <w:rPr>
          <w:rFonts w:hint="eastAsia" w:ascii="宋体" w:hAnsi="宋体" w:cs="宋体"/>
          <w:b/>
          <w:bCs/>
          <w:sz w:val="32"/>
          <w:szCs w:val="32"/>
        </w:rPr>
        <w:t>招   标   人：北京市农林科学院</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招标代理机构：中工国际招标有限公司</w:t>
      </w:r>
    </w:p>
    <w:p>
      <w:pPr>
        <w:widowControl/>
        <w:spacing w:line="360" w:lineRule="auto"/>
        <w:ind w:firstLine="643" w:firstLineChars="200"/>
        <w:rPr>
          <w:rFonts w:ascii="宋体" w:hAnsi="宋体" w:cs="宋体"/>
          <w:b/>
          <w:bCs/>
          <w:sz w:val="32"/>
          <w:szCs w:val="32"/>
        </w:rPr>
      </w:pPr>
      <w:r>
        <w:rPr>
          <w:rFonts w:hint="eastAsia" w:ascii="宋体" w:hAnsi="宋体" w:cs="宋体"/>
          <w:b/>
          <w:bCs/>
          <w:sz w:val="32"/>
          <w:szCs w:val="32"/>
        </w:rPr>
        <w:t>日   期：2024年</w:t>
      </w:r>
      <w:r>
        <w:rPr>
          <w:rFonts w:hint="eastAsia" w:ascii="宋体" w:hAnsi="宋体" w:cs="宋体"/>
          <w:b/>
          <w:bCs/>
          <w:sz w:val="32"/>
          <w:szCs w:val="32"/>
          <w:lang w:val="en-US" w:eastAsia="zh-CN"/>
        </w:rPr>
        <w:t>4</w:t>
      </w:r>
      <w:r>
        <w:rPr>
          <w:rFonts w:hint="eastAsia" w:ascii="宋体" w:hAnsi="宋体" w:cs="宋体"/>
          <w:b/>
          <w:bCs/>
          <w:sz w:val="32"/>
          <w:szCs w:val="32"/>
        </w:rPr>
        <w:t>月</w:t>
      </w:r>
    </w:p>
    <w:p>
      <w:pPr>
        <w:spacing w:line="500" w:lineRule="exact"/>
        <w:rPr>
          <w:i/>
        </w:rPr>
      </w:pPr>
    </w:p>
    <w:p>
      <w:pPr>
        <w:spacing w:line="360" w:lineRule="auto"/>
        <w:jc w:val="center"/>
        <w:rPr>
          <w:b/>
          <w:sz w:val="44"/>
          <w:szCs w:val="44"/>
        </w:rPr>
      </w:pPr>
    </w:p>
    <w:p>
      <w:pPr>
        <w:spacing w:line="360" w:lineRule="auto"/>
        <w:ind w:firstLine="7228" w:firstLineChars="1000"/>
        <w:rPr>
          <w:b/>
          <w:sz w:val="72"/>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NumType w:start="1"/>
          <w:cols w:space="720" w:num="1"/>
          <w:titlePg/>
          <w:docGrid w:linePitch="462" w:charSpace="0"/>
        </w:sectPr>
      </w:pPr>
    </w:p>
    <w:p>
      <w:pPr>
        <w:spacing w:line="360" w:lineRule="auto"/>
        <w:jc w:val="center"/>
        <w:outlineLvl w:val="0"/>
        <w:rPr>
          <w:b/>
          <w:sz w:val="36"/>
          <w:szCs w:val="36"/>
        </w:rPr>
      </w:pPr>
      <w:bookmarkStart w:id="0" w:name="_Toc99301418"/>
      <w:r>
        <w:rPr>
          <w:b/>
          <w:sz w:val="36"/>
          <w:szCs w:val="36"/>
        </w:rPr>
        <w:t>目      录</w:t>
      </w:r>
      <w:bookmarkEnd w:id="0"/>
    </w:p>
    <w:p/>
    <w:p/>
    <w:p/>
    <w:p>
      <w:pPr>
        <w:pStyle w:val="31"/>
        <w:rPr>
          <w:rFonts w:asciiTheme="minorHAnsi" w:hAnsiTheme="minorHAnsi" w:eastAsiaTheme="minorEastAsia" w:cstheme="minorBidi"/>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31"/>
        <w:spacing w:line="360" w:lineRule="auto"/>
        <w:rPr>
          <w:rFonts w:ascii="Times New Roman" w:hAnsi="Times New Roman" w:eastAsiaTheme="minorEastAsia"/>
          <w:b w:val="0"/>
          <w:sz w:val="21"/>
          <w:szCs w:val="22"/>
        </w:rPr>
      </w:pPr>
      <w:r>
        <w:fldChar w:fldCharType="begin"/>
      </w:r>
      <w:r>
        <w:instrText xml:space="preserve"> HYPERLINK \l "_Toc99301419" </w:instrText>
      </w:r>
      <w:r>
        <w:fldChar w:fldCharType="separate"/>
      </w:r>
      <w:r>
        <w:rPr>
          <w:rStyle w:val="51"/>
          <w:rFonts w:ascii="Times New Roman" w:hAnsi="Times New Roman"/>
        </w:rPr>
        <w:t>第一章   投标邀请</w:t>
      </w:r>
      <w:r>
        <w:rPr>
          <w:rFonts w:ascii="Times New Roman" w:hAnsi="Times New Roman"/>
        </w:rPr>
        <w:tab/>
      </w:r>
      <w:r>
        <w:rPr>
          <w:rFonts w:hint="eastAsia" w:ascii="Times New Roman" w:hAnsi="Times New Roman"/>
        </w:rPr>
        <w:t>1</w:t>
      </w:r>
      <w:r>
        <w:rPr>
          <w:rFonts w:hint="eastAsia"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51"/>
          <w:rFonts w:ascii="Times New Roman" w:hAnsi="Times New Roman"/>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51"/>
          <w:rFonts w:ascii="Times New Roman" w:hAnsi="Times New Roman"/>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_Toc99301421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31"/>
        <w:spacing w:line="360" w:lineRule="auto"/>
        <w:rPr>
          <w:rFonts w:hint="eastAsia" w:ascii="Times New Roman" w:hAnsi="Times New Roman" w:eastAsia="宋体"/>
          <w:b w:val="0"/>
          <w:sz w:val="21"/>
          <w:szCs w:val="22"/>
          <w:lang w:eastAsia="zh-CN"/>
        </w:rPr>
      </w:pPr>
      <w:r>
        <w:fldChar w:fldCharType="begin"/>
      </w:r>
      <w:r>
        <w:instrText xml:space="preserve"> HYPERLINK \l "_Toc99301423" </w:instrText>
      </w:r>
      <w:r>
        <w:fldChar w:fldCharType="separate"/>
      </w:r>
      <w:r>
        <w:rPr>
          <w:rStyle w:val="51"/>
          <w:rFonts w:ascii="Times New Roman" w:hAnsi="Times New Roman"/>
        </w:rPr>
        <w:t>第四章   评标程序、评标方法和评标标准</w:t>
      </w:r>
      <w:r>
        <w:rPr>
          <w:rFonts w:ascii="Times New Roman" w:hAnsi="Times New Roman"/>
        </w:rPr>
        <w:tab/>
      </w:r>
      <w:r>
        <w:rPr>
          <w:rFonts w:hint="eastAsia" w:ascii="Times New Roman" w:hAnsi="Times New Roman"/>
        </w:rPr>
        <w:t>2</w:t>
      </w:r>
      <w:r>
        <w:rPr>
          <w:rFonts w:hint="eastAsia" w:ascii="Times New Roman" w:hAnsi="Times New Roman"/>
        </w:rPr>
        <w:fldChar w:fldCharType="end"/>
      </w:r>
      <w:r>
        <w:rPr>
          <w:rFonts w:hint="eastAsia" w:ascii="Times New Roman" w:hAnsi="Times New Roman"/>
          <w:lang w:val="en-US" w:eastAsia="zh-CN"/>
        </w:rPr>
        <w:t>3</w:t>
      </w:r>
    </w:p>
    <w:p>
      <w:pPr>
        <w:pStyle w:val="31"/>
        <w:spacing w:line="360" w:lineRule="auto"/>
        <w:rPr>
          <w:rFonts w:hint="eastAsia" w:ascii="Times New Roman" w:hAnsi="Times New Roman" w:eastAsia="宋体"/>
          <w:b w:val="0"/>
          <w:sz w:val="21"/>
          <w:szCs w:val="22"/>
          <w:lang w:eastAsia="zh-CN"/>
        </w:rPr>
      </w:pPr>
      <w:r>
        <w:fldChar w:fldCharType="begin"/>
      </w:r>
      <w:r>
        <w:instrText xml:space="preserve"> HYPERLINK \l "_Toc99301424" </w:instrText>
      </w:r>
      <w:r>
        <w:fldChar w:fldCharType="separate"/>
      </w:r>
      <w:r>
        <w:rPr>
          <w:rStyle w:val="51"/>
          <w:rFonts w:ascii="Times New Roman" w:hAnsi="Times New Roman"/>
        </w:rPr>
        <w:t>第五章   采购需求</w:t>
      </w:r>
      <w:r>
        <w:rPr>
          <w:rFonts w:ascii="Times New Roman" w:hAnsi="Times New Roman"/>
        </w:rPr>
        <w:tab/>
      </w:r>
      <w:r>
        <w:rPr>
          <w:rFonts w:hint="eastAsia" w:ascii="Times New Roman" w:hAnsi="Times New Roman"/>
        </w:rPr>
        <w:t>3</w:t>
      </w:r>
      <w:r>
        <w:rPr>
          <w:rFonts w:hint="eastAsia" w:ascii="Times New Roman" w:hAnsi="Times New Roman"/>
        </w:rPr>
        <w:fldChar w:fldCharType="end"/>
      </w:r>
      <w:r>
        <w:rPr>
          <w:rFonts w:hint="eastAsia" w:ascii="Times New Roman" w:hAnsi="Times New Roman"/>
          <w:lang w:val="en-US" w:eastAsia="zh-CN"/>
        </w:rPr>
        <w:t>2</w:t>
      </w:r>
    </w:p>
    <w:p>
      <w:pPr>
        <w:pStyle w:val="31"/>
        <w:spacing w:line="360" w:lineRule="auto"/>
        <w:rPr>
          <w:rFonts w:hint="eastAsia" w:ascii="Times New Roman" w:hAnsi="Times New Roman"/>
          <w:lang w:val="en-US" w:eastAsia="zh-CN"/>
        </w:rPr>
      </w:pPr>
      <w:r>
        <w:fldChar w:fldCharType="begin"/>
      </w:r>
      <w:r>
        <w:instrText xml:space="preserve"> HYPERLINK \l "_Toc99301425" </w:instrText>
      </w:r>
      <w:r>
        <w:fldChar w:fldCharType="separate"/>
      </w:r>
      <w:r>
        <w:rPr>
          <w:rStyle w:val="51"/>
          <w:rFonts w:ascii="Times New Roman" w:hAnsi="Times New Roman"/>
        </w:rPr>
        <w:t>第六章   拟签订的合同文本</w:t>
      </w:r>
      <w:r>
        <w:rPr>
          <w:rFonts w:ascii="Times New Roman" w:hAnsi="Times New Roman"/>
        </w:rPr>
        <w:tab/>
      </w:r>
      <w:r>
        <w:rPr>
          <w:rFonts w:hint="eastAsia" w:ascii="Times New Roman" w:hAnsi="Times New Roman"/>
          <w:lang w:val="en-US" w:eastAsia="zh-CN"/>
        </w:rPr>
        <w:t>4</w:t>
      </w:r>
      <w:r>
        <w:rPr>
          <w:rFonts w:hint="eastAsia" w:ascii="Times New Roman" w:hAnsi="Times New Roman"/>
        </w:rPr>
        <w:fldChar w:fldCharType="end"/>
      </w:r>
      <w:r>
        <w:rPr>
          <w:rFonts w:hint="eastAsia" w:ascii="Times New Roman" w:hAnsi="Times New Roman"/>
          <w:lang w:val="en-US" w:eastAsia="zh-CN"/>
        </w:rPr>
        <w:t>8</w:t>
      </w:r>
    </w:p>
    <w:p>
      <w:pPr>
        <w:pStyle w:val="31"/>
        <w:spacing w:line="360" w:lineRule="auto"/>
        <w:rPr>
          <w:rFonts w:ascii="Times New Roman" w:hAnsi="Times New Roman"/>
          <w:b w:val="0"/>
        </w:rPr>
      </w:pPr>
      <w:r>
        <w:fldChar w:fldCharType="begin"/>
      </w:r>
      <w:r>
        <w:instrText xml:space="preserve"> HYPERLINK \l "_Toc99301426" </w:instrText>
      </w:r>
      <w:r>
        <w:fldChar w:fldCharType="separate"/>
      </w:r>
      <w:r>
        <w:rPr>
          <w:rStyle w:val="51"/>
          <w:rFonts w:ascii="Times New Roman" w:hAnsi="Times New Roman"/>
        </w:rPr>
        <w:t>第七章   投标文件格式</w:t>
      </w:r>
      <w:r>
        <w:rPr>
          <w:rFonts w:ascii="Times New Roman" w:hAnsi="Times New Roman"/>
        </w:rPr>
        <w:tab/>
      </w:r>
      <w:r>
        <w:rPr>
          <w:rFonts w:hint="eastAsia" w:ascii="Times New Roman" w:hAnsi="Times New Roman"/>
        </w:rPr>
        <w:t>6</w:t>
      </w:r>
      <w:r>
        <w:rPr>
          <w:rFonts w:hint="eastAsia" w:ascii="Times New Roman" w:hAnsi="Times New Roman"/>
          <w:lang w:val="en-US" w:eastAsia="zh-CN"/>
        </w:rPr>
        <w:t>0</w:t>
      </w:r>
      <w:r>
        <w:rPr>
          <w:rFonts w:hint="eastAsia" w:ascii="Times New Roman" w:hAnsi="Times New Roman"/>
        </w:rPr>
        <w:fldChar w:fldCharType="end"/>
      </w:r>
      <w:r>
        <w:rPr>
          <w:rFonts w:ascii="Times New Roman" w:hAnsi="Times New Roman"/>
          <w:b w:val="0"/>
        </w:rPr>
        <w:fldChar w:fldCharType="end"/>
      </w:r>
    </w:p>
    <w:p>
      <w:pPr>
        <w:spacing w:line="360" w:lineRule="auto"/>
        <w:jc w:val="center"/>
        <w:outlineLvl w:val="0"/>
        <w:rPr>
          <w:b/>
          <w:sz w:val="36"/>
          <w:szCs w:val="36"/>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bookmarkStart w:id="1" w:name="_Toc99301419"/>
    </w:p>
    <w:p>
      <w:pPr>
        <w:spacing w:line="360" w:lineRule="auto"/>
        <w:jc w:val="center"/>
        <w:outlineLvl w:val="0"/>
        <w:rPr>
          <w:b/>
          <w:sz w:val="36"/>
          <w:szCs w:val="36"/>
        </w:rPr>
      </w:pPr>
      <w:r>
        <w:rPr>
          <w:b/>
          <w:sz w:val="36"/>
          <w:szCs w:val="36"/>
        </w:rPr>
        <w:t>第一章   投标邀请</w:t>
      </w:r>
      <w:bookmarkEnd w:id="1"/>
    </w:p>
    <w:p>
      <w:pPr>
        <w:spacing w:line="360" w:lineRule="auto"/>
        <w:ind w:firstLine="640" w:firstLineChars="200"/>
        <w:rPr>
          <w:sz w:val="32"/>
          <w:szCs w:val="32"/>
        </w:rPr>
      </w:pPr>
    </w:p>
    <w:p>
      <w:pPr>
        <w:pStyle w:val="4"/>
        <w:spacing w:before="0" w:line="360" w:lineRule="auto"/>
        <w:jc w:val="left"/>
        <w:rPr>
          <w:rFonts w:ascii="Times New Roman" w:hAnsi="Times New Roman" w:eastAsia="宋体"/>
          <w:sz w:val="24"/>
          <w:szCs w:val="24"/>
        </w:rPr>
      </w:pPr>
      <w:bookmarkStart w:id="2" w:name="_Toc35393621"/>
      <w:bookmarkStart w:id="3" w:name="_Toc28359002"/>
      <w:bookmarkStart w:id="4" w:name="_Toc28359079"/>
      <w:bookmarkStart w:id="5" w:name="_Toc35393790"/>
      <w:bookmarkStart w:id="6" w:name="_Hlk24379207"/>
      <w:r>
        <w:rPr>
          <w:rFonts w:ascii="Times New Roman" w:hAnsi="Times New Roman" w:eastAsia="宋体"/>
          <w:sz w:val="24"/>
          <w:szCs w:val="24"/>
        </w:rPr>
        <w:t>一、项目基本情况</w:t>
      </w:r>
      <w:bookmarkEnd w:id="2"/>
      <w:bookmarkEnd w:id="3"/>
      <w:bookmarkEnd w:id="4"/>
      <w:bookmarkEnd w:id="5"/>
    </w:p>
    <w:bookmarkEnd w:id="6"/>
    <w:p>
      <w:pPr>
        <w:spacing w:line="360" w:lineRule="auto"/>
        <w:ind w:firstLine="480" w:firstLineChars="200"/>
        <w:rPr>
          <w:sz w:val="24"/>
          <w:u w:val="single"/>
        </w:rPr>
      </w:pPr>
      <w:r>
        <w:rPr>
          <w:sz w:val="24"/>
        </w:rPr>
        <w:t>1.</w:t>
      </w:r>
      <w:r>
        <w:rPr>
          <w:rFonts w:hint="eastAsia"/>
          <w:sz w:val="24"/>
        </w:rPr>
        <w:t>招标代理机构</w:t>
      </w:r>
      <w:r>
        <w:rPr>
          <w:sz w:val="24"/>
        </w:rPr>
        <w:t>项目编号：</w:t>
      </w:r>
      <w:r>
        <w:rPr>
          <w:rFonts w:hint="eastAsia"/>
          <w:sz w:val="24"/>
          <w:u w:val="single"/>
        </w:rPr>
        <w:t>ZGGJ-BJ08-24031106</w:t>
      </w:r>
    </w:p>
    <w:p>
      <w:pPr>
        <w:spacing w:line="360" w:lineRule="auto"/>
        <w:ind w:left="1919" w:leftChars="228" w:hanging="1440" w:hangingChars="600"/>
        <w:rPr>
          <w:sz w:val="24"/>
          <w:u w:val="single"/>
        </w:rPr>
      </w:pPr>
      <w:r>
        <w:rPr>
          <w:sz w:val="24"/>
        </w:rPr>
        <w:t>2.项目名称：</w:t>
      </w:r>
      <w:r>
        <w:rPr>
          <w:rFonts w:hint="eastAsia"/>
          <w:sz w:val="24"/>
          <w:u w:val="single"/>
        </w:rPr>
        <w:t xml:space="preserve">畜禽健康养殖关键技术基础平台建设 </w:t>
      </w:r>
    </w:p>
    <w:p>
      <w:pPr>
        <w:spacing w:line="360" w:lineRule="auto"/>
        <w:ind w:firstLine="480" w:firstLineChars="200"/>
        <w:rPr>
          <w:sz w:val="24"/>
        </w:rPr>
      </w:pPr>
      <w:r>
        <w:rPr>
          <w:sz w:val="24"/>
        </w:rPr>
        <w:t>3.项目预算金额：</w:t>
      </w:r>
      <w:r>
        <w:rPr>
          <w:rFonts w:hint="eastAsia"/>
          <w:sz w:val="24"/>
          <w:u w:val="single"/>
        </w:rPr>
        <w:t>194.62</w:t>
      </w:r>
      <w:r>
        <w:rPr>
          <w:sz w:val="24"/>
        </w:rPr>
        <w:t>万元</w:t>
      </w:r>
    </w:p>
    <w:p>
      <w:pPr>
        <w:spacing w:line="360" w:lineRule="auto"/>
        <w:ind w:firstLine="480" w:firstLineChars="200"/>
        <w:rPr>
          <w:sz w:val="24"/>
        </w:rPr>
      </w:pPr>
      <w:r>
        <w:rPr>
          <w:sz w:val="24"/>
        </w:rPr>
        <w:t>4.采购需求：</w:t>
      </w:r>
    </w:p>
    <w:tbl>
      <w:tblPr>
        <w:tblStyle w:val="43"/>
        <w:tblpPr w:leftFromText="180" w:rightFromText="180" w:vertAnchor="text" w:horzAnchor="page" w:tblpX="1763" w:tblpY="105"/>
        <w:tblOverlap w:val="never"/>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90"/>
        <w:gridCol w:w="1646"/>
        <w:gridCol w:w="1213"/>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81" w:type="pct"/>
            <w:vAlign w:val="center"/>
          </w:tcPr>
          <w:p>
            <w:pPr>
              <w:jc w:val="center"/>
              <w:rPr>
                <w:bCs/>
                <w:sz w:val="24"/>
              </w:rPr>
            </w:pPr>
            <w:r>
              <w:rPr>
                <w:rFonts w:hint="eastAsia"/>
                <w:bCs/>
                <w:sz w:val="24"/>
              </w:rPr>
              <w:t>包号</w:t>
            </w:r>
          </w:p>
        </w:tc>
        <w:tc>
          <w:tcPr>
            <w:tcW w:w="1175" w:type="pct"/>
            <w:vAlign w:val="center"/>
          </w:tcPr>
          <w:p>
            <w:pPr>
              <w:jc w:val="center"/>
              <w:rPr>
                <w:bCs/>
                <w:sz w:val="24"/>
              </w:rPr>
            </w:pPr>
            <w:r>
              <w:rPr>
                <w:rFonts w:hint="eastAsia"/>
                <w:bCs/>
                <w:sz w:val="24"/>
              </w:rPr>
              <w:t>项目名称</w:t>
            </w:r>
          </w:p>
        </w:tc>
        <w:tc>
          <w:tcPr>
            <w:tcW w:w="883" w:type="pct"/>
            <w:vAlign w:val="center"/>
          </w:tcPr>
          <w:p>
            <w:pPr>
              <w:jc w:val="center"/>
              <w:rPr>
                <w:bCs/>
                <w:sz w:val="24"/>
              </w:rPr>
            </w:pPr>
            <w:r>
              <w:rPr>
                <w:rFonts w:hint="eastAsia"/>
                <w:bCs/>
                <w:sz w:val="24"/>
              </w:rPr>
              <w:t>预算金额</w:t>
            </w:r>
          </w:p>
          <w:p>
            <w:pPr>
              <w:jc w:val="center"/>
              <w:rPr>
                <w:bCs/>
                <w:sz w:val="24"/>
              </w:rPr>
            </w:pPr>
            <w:r>
              <w:rPr>
                <w:rFonts w:hint="eastAsia"/>
                <w:bCs/>
                <w:sz w:val="24"/>
              </w:rPr>
              <w:t>（万元）</w:t>
            </w:r>
          </w:p>
        </w:tc>
        <w:tc>
          <w:tcPr>
            <w:tcW w:w="651" w:type="pct"/>
            <w:vAlign w:val="center"/>
          </w:tcPr>
          <w:p>
            <w:pPr>
              <w:jc w:val="center"/>
              <w:rPr>
                <w:bCs/>
                <w:sz w:val="24"/>
              </w:rPr>
            </w:pPr>
            <w:r>
              <w:rPr>
                <w:rFonts w:hint="eastAsia"/>
                <w:bCs/>
                <w:sz w:val="24"/>
              </w:rPr>
              <w:t>数量</w:t>
            </w:r>
          </w:p>
        </w:tc>
        <w:tc>
          <w:tcPr>
            <w:tcW w:w="1909" w:type="pct"/>
            <w:vAlign w:val="center"/>
          </w:tcPr>
          <w:p>
            <w:pPr>
              <w:jc w:val="center"/>
              <w:rPr>
                <w:bCs/>
                <w:sz w:val="24"/>
              </w:rPr>
            </w:pPr>
            <w:r>
              <w:rPr>
                <w:rFonts w:hint="eastAsia"/>
                <w:bCs/>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trPr>
        <w:tc>
          <w:tcPr>
            <w:tcW w:w="381" w:type="pct"/>
            <w:vAlign w:val="center"/>
          </w:tcPr>
          <w:p>
            <w:pPr>
              <w:jc w:val="center"/>
              <w:rPr>
                <w:bCs/>
                <w:sz w:val="24"/>
              </w:rPr>
            </w:pPr>
            <w:r>
              <w:rPr>
                <w:rFonts w:hint="eastAsia"/>
                <w:bCs/>
                <w:sz w:val="24"/>
              </w:rPr>
              <w:t>01</w:t>
            </w:r>
          </w:p>
          <w:p>
            <w:pPr>
              <w:jc w:val="center"/>
              <w:rPr>
                <w:bCs/>
                <w:sz w:val="24"/>
              </w:rPr>
            </w:pPr>
          </w:p>
        </w:tc>
        <w:tc>
          <w:tcPr>
            <w:tcW w:w="1175" w:type="pct"/>
            <w:vAlign w:val="center"/>
          </w:tcPr>
          <w:p>
            <w:pPr>
              <w:jc w:val="center"/>
              <w:rPr>
                <w:bCs/>
                <w:sz w:val="24"/>
              </w:rPr>
            </w:pPr>
            <w:r>
              <w:rPr>
                <w:rFonts w:hint="eastAsia"/>
                <w:bCs/>
                <w:sz w:val="24"/>
              </w:rPr>
              <w:t xml:space="preserve">畜禽健康养殖关键技术基础平台建设  </w:t>
            </w:r>
          </w:p>
        </w:tc>
        <w:tc>
          <w:tcPr>
            <w:tcW w:w="883" w:type="pct"/>
            <w:vAlign w:val="center"/>
          </w:tcPr>
          <w:p>
            <w:pPr>
              <w:jc w:val="center"/>
              <w:rPr>
                <w:bCs/>
                <w:sz w:val="24"/>
              </w:rPr>
            </w:pPr>
            <w:r>
              <w:rPr>
                <w:rFonts w:hint="eastAsia"/>
                <w:bCs/>
                <w:sz w:val="24"/>
              </w:rPr>
              <w:t>194.62</w:t>
            </w:r>
          </w:p>
        </w:tc>
        <w:tc>
          <w:tcPr>
            <w:tcW w:w="651" w:type="pct"/>
            <w:vAlign w:val="center"/>
          </w:tcPr>
          <w:p>
            <w:pPr>
              <w:jc w:val="center"/>
              <w:rPr>
                <w:bCs/>
                <w:sz w:val="24"/>
              </w:rPr>
            </w:pPr>
            <w:r>
              <w:rPr>
                <w:rFonts w:hint="eastAsia"/>
                <w:bCs/>
                <w:sz w:val="24"/>
              </w:rPr>
              <w:t>1批</w:t>
            </w:r>
          </w:p>
        </w:tc>
        <w:tc>
          <w:tcPr>
            <w:tcW w:w="1909" w:type="pct"/>
            <w:vAlign w:val="center"/>
          </w:tcPr>
          <w:p>
            <w:pPr>
              <w:jc w:val="center"/>
              <w:rPr>
                <w:bCs/>
                <w:sz w:val="24"/>
              </w:rPr>
            </w:pPr>
            <w:r>
              <w:rPr>
                <w:rFonts w:hint="eastAsia" w:ascii="宋体" w:hAnsi="宋体" w:cs="宋体"/>
                <w:color w:val="000000"/>
                <w:kern w:val="0"/>
                <w:sz w:val="24"/>
                <w:lang w:val="en-US" w:eastAsia="zh-CN" w:bidi="ar"/>
              </w:rPr>
              <w:t>本项目所需组织解离仪、生物安全柜、荧光定量PCR仪等设备采购，具体内容详见采购需求，符合国家、地方及行业标准。</w:t>
            </w:r>
          </w:p>
        </w:tc>
      </w:tr>
    </w:tbl>
    <w:p>
      <w:pPr>
        <w:spacing w:before="240" w:beforeLines="100" w:line="360" w:lineRule="auto"/>
        <w:ind w:firstLine="480" w:firstLineChars="200"/>
        <w:rPr>
          <w:sz w:val="24"/>
        </w:rPr>
      </w:pPr>
      <w:r>
        <w:rPr>
          <w:sz w:val="24"/>
        </w:rPr>
        <w:t>5.合同履行</w:t>
      </w:r>
      <w:r>
        <w:rPr>
          <w:sz w:val="24"/>
          <w:highlight w:val="none"/>
        </w:rPr>
        <w:t>期限：</w:t>
      </w:r>
      <w:r>
        <w:rPr>
          <w:rFonts w:hint="eastAsia"/>
          <w:sz w:val="24"/>
          <w:highlight w:val="none"/>
        </w:rPr>
        <w:t>合同签订后180天内完成货物安装、调试等全部工作。</w:t>
      </w:r>
    </w:p>
    <w:p>
      <w:pPr>
        <w:spacing w:line="360" w:lineRule="auto"/>
        <w:ind w:firstLine="480" w:firstLineChars="200"/>
        <w:rPr>
          <w:sz w:val="24"/>
        </w:rPr>
      </w:pPr>
      <w:r>
        <w:rPr>
          <w:sz w:val="24"/>
        </w:rPr>
        <w:t xml:space="preserve">6.本项目是否接受联合体投标：□是  </w:t>
      </w:r>
      <w:r>
        <w:rPr>
          <w:rFonts w:hint="eastAsia"/>
          <w:sz w:val="24"/>
        </w:rPr>
        <w:t>☑</w:t>
      </w:r>
      <w:r>
        <w:rPr>
          <w:sz w:val="24"/>
        </w:rPr>
        <w:t>否。</w:t>
      </w:r>
    </w:p>
    <w:p>
      <w:pPr>
        <w:pStyle w:val="4"/>
        <w:spacing w:before="0" w:line="360" w:lineRule="auto"/>
        <w:jc w:val="left"/>
        <w:rPr>
          <w:rFonts w:ascii="Times New Roman" w:hAnsi="Times New Roman" w:eastAsia="宋体"/>
          <w:sz w:val="24"/>
          <w:szCs w:val="24"/>
        </w:rPr>
      </w:pPr>
      <w:bookmarkStart w:id="7" w:name="_Toc28359080"/>
      <w:bookmarkStart w:id="8" w:name="_Toc35393622"/>
      <w:bookmarkStart w:id="9" w:name="_Toc28359003"/>
      <w:bookmarkStart w:id="10" w:name="_Toc35393791"/>
      <w:r>
        <w:rPr>
          <w:rFonts w:ascii="Times New Roman" w:hAnsi="Times New Roman" w:eastAsia="宋体"/>
          <w:sz w:val="24"/>
          <w:szCs w:val="24"/>
        </w:rPr>
        <w:t>二、申请人的资格要求（须同时满足）</w:t>
      </w:r>
      <w:bookmarkEnd w:id="7"/>
      <w:bookmarkEnd w:id="8"/>
      <w:bookmarkEnd w:id="9"/>
      <w:bookmarkEnd w:id="10"/>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1" w:name="_Toc28359081"/>
      <w:bookmarkStart w:id="12"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r>
        <w:rPr>
          <w:rFonts w:hint="eastAsia"/>
          <w:sz w:val="24"/>
        </w:rPr>
        <w:t>☑</w:t>
      </w:r>
      <w:r>
        <w:rPr>
          <w:sz w:val="24"/>
        </w:rPr>
        <w:t>本项目不专门面向中小企业预留采购份额。</w:t>
      </w:r>
    </w:p>
    <w:p>
      <w:pPr>
        <w:spacing w:line="360" w:lineRule="auto"/>
        <w:ind w:firstLine="480" w:firstLineChars="200"/>
        <w:rPr>
          <w:sz w:val="24"/>
        </w:rPr>
      </w:pPr>
      <w:r>
        <w:rPr>
          <w:rFonts w:hint="eastAsia"/>
          <w:sz w:val="24"/>
        </w:rPr>
        <w:t>□</w:t>
      </w:r>
      <w:r>
        <w:rPr>
          <w:sz w:val="24"/>
        </w:rPr>
        <w:t>本项目专门面向</w:t>
      </w:r>
      <w:r>
        <w:rPr>
          <w:rFonts w:hint="eastAsia"/>
          <w:sz w:val="24"/>
        </w:rPr>
        <w:t>中小</w:t>
      </w:r>
      <w:r>
        <w:rPr>
          <w:sz w:val="24"/>
        </w:rPr>
        <w:t>企业采购。即：提供的</w:t>
      </w:r>
      <w:r>
        <w:rPr>
          <w:rFonts w:hint="eastAsia"/>
          <w:sz w:val="24"/>
        </w:rPr>
        <w:t>货物</w:t>
      </w:r>
      <w:r>
        <w:rPr>
          <w:sz w:val="24"/>
        </w:rPr>
        <w:t>全部由符合政策要求的</w:t>
      </w:r>
      <w:r>
        <w:rPr>
          <w:rFonts w:hint="eastAsia"/>
          <w:sz w:val="24"/>
        </w:rPr>
        <w:t>中小</w:t>
      </w:r>
      <w:r>
        <w:rPr>
          <w:sz w:val="24"/>
        </w:rPr>
        <w:t>企业</w:t>
      </w:r>
      <w:r>
        <w:rPr>
          <w:rFonts w:hint="eastAsia"/>
          <w:sz w:val="24"/>
        </w:rPr>
        <w:t>制造</w:t>
      </w:r>
      <w:r>
        <w:rPr>
          <w:sz w:val="24"/>
        </w:rPr>
        <w:t>。</w:t>
      </w:r>
    </w:p>
    <w:p>
      <w:pPr>
        <w:spacing w:line="360" w:lineRule="auto"/>
        <w:ind w:firstLine="480" w:firstLineChars="200"/>
        <w:rPr>
          <w:sz w:val="24"/>
        </w:rPr>
      </w:pPr>
      <w:r>
        <w:rPr>
          <w:rFonts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本项目预留部分采购项目预算专门面向中小企业采购。对于预留份额，提供的货物由符合政策要求的中小企业制造、服务由符合政策要求的中小企业承接。预留份额通过以下措施进行：_</w:t>
      </w:r>
      <w:r>
        <w:rPr>
          <w:rFonts w:hint="eastAsia"/>
          <w:sz w:val="24"/>
        </w:rPr>
        <w:t>/</w:t>
      </w:r>
      <w:r>
        <w:rPr>
          <w:sz w:val="24"/>
        </w:rPr>
        <w:t>_</w:t>
      </w:r>
      <w:r>
        <w:rPr>
          <w:rFonts w:hint="eastAsia"/>
          <w:sz w:val="24"/>
        </w:rPr>
        <w:t>。</w:t>
      </w:r>
    </w:p>
    <w:p>
      <w:pPr>
        <w:spacing w:line="360" w:lineRule="auto"/>
        <w:ind w:firstLine="720" w:firstLineChars="300"/>
        <w:rPr>
          <w:sz w:val="24"/>
        </w:rPr>
      </w:pPr>
      <w:r>
        <w:rPr>
          <w:sz w:val="24"/>
        </w:rPr>
        <w:t>2.2 其它落实政府采购政策的资格要求：</w:t>
      </w:r>
      <w:r>
        <w:rPr>
          <w:rFonts w:hint="eastAsia"/>
          <w:sz w:val="24"/>
          <w:u w:val="single"/>
        </w:rPr>
        <w:t>无</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是，公益一类事业单位、使用事业编制且由财政拨款保障的群团组织，不得作为承接主体；</w:t>
      </w:r>
    </w:p>
    <w:p>
      <w:pPr>
        <w:snapToGrid w:val="0"/>
        <w:spacing w:line="360" w:lineRule="auto"/>
        <w:ind w:firstLine="559" w:firstLineChars="233"/>
        <w:textAlignment w:val="baseline"/>
        <w:rPr>
          <w:rStyle w:val="256"/>
          <w:rFonts w:ascii="宋体" w:hAnsi="宋体"/>
          <w:sz w:val="24"/>
        </w:rPr>
      </w:pPr>
      <w:r>
        <w:rPr>
          <w:rFonts w:hint="eastAsia"/>
          <w:sz w:val="24"/>
        </w:rPr>
        <w:t>　　</w:t>
      </w:r>
      <w:r>
        <w:rPr>
          <w:sz w:val="24"/>
        </w:rPr>
        <w:t xml:space="preserve">3.2 </w:t>
      </w:r>
      <w:r>
        <w:rPr>
          <w:rFonts w:hint="eastAsia"/>
          <w:sz w:val="24"/>
        </w:rPr>
        <w:t>其他特定资格要求：</w:t>
      </w:r>
      <w:r>
        <w:rPr>
          <w:rStyle w:val="256"/>
          <w:rFonts w:hint="eastAsia" w:ascii="宋体" w:hAnsi="宋体"/>
          <w:sz w:val="24"/>
        </w:rPr>
        <w:t>1</w:t>
      </w:r>
      <w:r>
        <w:rPr>
          <w:rStyle w:val="256"/>
          <w:rFonts w:ascii="宋体" w:hAnsi="宋体"/>
          <w:sz w:val="24"/>
        </w:rPr>
        <w:t>）本项目</w:t>
      </w:r>
      <w:r>
        <w:rPr>
          <w:rStyle w:val="256"/>
          <w:rFonts w:hint="eastAsia" w:ascii="宋体" w:hAnsi="宋体"/>
          <w:sz w:val="24"/>
        </w:rPr>
        <w:t>投标</w:t>
      </w:r>
      <w:r>
        <w:rPr>
          <w:rStyle w:val="256"/>
          <w:rFonts w:ascii="宋体" w:hAnsi="宋体"/>
          <w:sz w:val="24"/>
        </w:rPr>
        <w:t>截止期前被“信用中国”网站（www.creditchina.gov.cn）中列入失信被执行人和重大税收违法失信主体、被中国政府采购网（www.ccgp.gov.cn）列入政府采购严重违法失信行为记录名单中被财政部门禁止参加政府采购活动的</w:t>
      </w:r>
      <w:r>
        <w:rPr>
          <w:rStyle w:val="256"/>
          <w:rFonts w:hint="eastAsia" w:ascii="宋体" w:hAnsi="宋体"/>
          <w:sz w:val="24"/>
        </w:rPr>
        <w:t>参选单位</w:t>
      </w:r>
      <w:r>
        <w:rPr>
          <w:rStyle w:val="256"/>
          <w:rFonts w:ascii="宋体" w:hAnsi="宋体"/>
          <w:sz w:val="24"/>
        </w:rPr>
        <w:t>，无资格参加本项目的采购活动；</w:t>
      </w:r>
    </w:p>
    <w:p>
      <w:pPr>
        <w:snapToGrid w:val="0"/>
        <w:spacing w:line="360" w:lineRule="auto"/>
        <w:ind w:firstLine="559" w:firstLineChars="233"/>
        <w:textAlignment w:val="baseline"/>
        <w:rPr>
          <w:rStyle w:val="256"/>
          <w:rFonts w:ascii="宋体" w:hAnsi="宋体"/>
          <w:sz w:val="24"/>
        </w:rPr>
      </w:pPr>
      <w:r>
        <w:rPr>
          <w:rStyle w:val="256"/>
          <w:rFonts w:hint="eastAsia" w:ascii="宋体" w:hAnsi="宋体"/>
          <w:sz w:val="24"/>
        </w:rPr>
        <w:t>2</w:t>
      </w:r>
      <w:r>
        <w:rPr>
          <w:rStyle w:val="256"/>
          <w:rFonts w:ascii="宋体" w:hAnsi="宋体"/>
          <w:sz w:val="24"/>
        </w:rPr>
        <w:t>）单位负责人为同一人或者存在直接控股、管理关系的不同投标人，不得同时参加本项目的投标；</w:t>
      </w:r>
    </w:p>
    <w:p>
      <w:pPr>
        <w:snapToGrid w:val="0"/>
        <w:spacing w:line="360" w:lineRule="auto"/>
        <w:ind w:firstLine="559" w:firstLineChars="233"/>
        <w:textAlignment w:val="baseline"/>
        <w:rPr>
          <w:rFonts w:ascii="宋体" w:hAnsi="宋体" w:cs="宋体"/>
          <w:sz w:val="24"/>
        </w:rPr>
      </w:pPr>
      <w:r>
        <w:rPr>
          <w:rStyle w:val="256"/>
          <w:rFonts w:hint="eastAsia" w:ascii="宋体" w:hAnsi="宋体"/>
          <w:sz w:val="24"/>
        </w:rPr>
        <w:t>3）本项目部分产品接受进口产品投标；接受进口产品投标的产品须按本招标文件要求提供产品制造厂家或官方区域总代理商出具的针对本项目的厂家授权书原件。</w:t>
      </w:r>
    </w:p>
    <w:bookmarkEnd w:id="11"/>
    <w:bookmarkEnd w:id="12"/>
    <w:p>
      <w:pPr>
        <w:pStyle w:val="4"/>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三、获取招标文件</w:t>
      </w:r>
      <w:bookmarkEnd w:id="13"/>
      <w:bookmarkEnd w:id="14"/>
    </w:p>
    <w:p>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bidi="ar"/>
        </w:rPr>
        <w:t>2024年</w:t>
      </w:r>
      <w:r>
        <w:rPr>
          <w:rFonts w:hint="eastAsia"/>
          <w:sz w:val="24"/>
          <w:highlight w:val="none"/>
          <w:lang w:val="en-US" w:eastAsia="zh-CN" w:bidi="ar"/>
        </w:rPr>
        <w:t>4</w:t>
      </w:r>
      <w:r>
        <w:rPr>
          <w:rFonts w:hint="eastAsia"/>
          <w:sz w:val="24"/>
          <w:highlight w:val="none"/>
          <w:lang w:bidi="ar"/>
        </w:rPr>
        <w:t>月</w:t>
      </w:r>
      <w:r>
        <w:rPr>
          <w:rFonts w:hint="eastAsia"/>
          <w:sz w:val="24"/>
          <w:highlight w:val="none"/>
          <w:lang w:val="en-US" w:eastAsia="zh-CN" w:bidi="ar"/>
        </w:rPr>
        <w:t>2</w:t>
      </w:r>
      <w:r>
        <w:rPr>
          <w:rFonts w:hint="eastAsia"/>
          <w:sz w:val="24"/>
          <w:highlight w:val="none"/>
          <w:lang w:bidi="ar"/>
        </w:rPr>
        <w:t>日至2024年04月</w:t>
      </w:r>
      <w:r>
        <w:rPr>
          <w:rFonts w:hint="eastAsia"/>
          <w:sz w:val="24"/>
          <w:highlight w:val="none"/>
          <w:lang w:val="en-US" w:eastAsia="zh-CN" w:bidi="ar"/>
        </w:rPr>
        <w:t>10</w:t>
      </w:r>
      <w:r>
        <w:rPr>
          <w:rFonts w:hint="eastAsia"/>
          <w:sz w:val="24"/>
          <w:highlight w:val="none"/>
          <w:lang w:bidi="ar"/>
        </w:rPr>
        <w:t>日，上午09:00至 12:00，下午13:00 至16:00（北京时间，法定节假日除外）</w:t>
      </w:r>
    </w:p>
    <w:p>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pPr>
        <w:widowControl/>
        <w:adjustRightInd w:val="0"/>
        <w:snapToGrid w:val="0"/>
        <w:spacing w:line="360" w:lineRule="auto"/>
        <w:ind w:firstLine="480" w:firstLineChars="200"/>
        <w:jc w:val="left"/>
        <w:rPr>
          <w:sz w:val="24"/>
          <w:highlight w:val="none"/>
          <w:lang w:bidi="ar"/>
        </w:rPr>
      </w:pPr>
      <w:r>
        <w:rPr>
          <w:sz w:val="24"/>
          <w:highlight w:val="none"/>
          <w:lang w:bidi="ar"/>
        </w:rPr>
        <w:t>3.方式：</w:t>
      </w:r>
      <w:r>
        <w:rPr>
          <w:rFonts w:hint="eastAsia"/>
          <w:sz w:val="24"/>
          <w:highlight w:val="none"/>
          <w:lang w:bidi="ar"/>
        </w:rPr>
        <w:t xml:space="preserve">供应商使用 </w:t>
      </w:r>
      <w:r>
        <w:rPr>
          <w:sz w:val="24"/>
          <w:highlight w:val="none"/>
          <w:lang w:bidi="ar"/>
        </w:rPr>
        <w:t xml:space="preserve">CA </w:t>
      </w:r>
      <w:r>
        <w:rPr>
          <w:rFonts w:hint="eastAsia"/>
          <w:sz w:val="24"/>
          <w:highlight w:val="none"/>
          <w:lang w:bidi="ar"/>
        </w:rPr>
        <w:t xml:space="preserve">数字证书或电子营业执照登录北京市政府采购电子交易平 </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台（</w:t>
      </w:r>
      <w:r>
        <w:rPr>
          <w:sz w:val="24"/>
          <w:highlight w:val="none"/>
          <w:lang w:bidi="ar"/>
        </w:rPr>
        <w:t>http://zbcg-bjzc.zhongcy.com/bjczj-portal-site/index.html#/home</w:t>
      </w:r>
      <w:r>
        <w:rPr>
          <w:rFonts w:hint="eastAsia"/>
          <w:sz w:val="24"/>
          <w:highlight w:val="none"/>
          <w:lang w:bidi="ar"/>
        </w:rPr>
        <w:t>）</w:t>
      </w:r>
      <w:r>
        <w:rPr>
          <w:sz w:val="24"/>
          <w:highlight w:val="none"/>
          <w:lang w:bidi="ar"/>
        </w:rPr>
        <w:t>获取电子版招标文件。</w:t>
      </w:r>
    </w:p>
    <w:p>
      <w:pPr>
        <w:widowControl/>
        <w:adjustRightInd w:val="0"/>
        <w:snapToGrid w:val="0"/>
        <w:spacing w:line="360" w:lineRule="auto"/>
        <w:ind w:firstLine="480" w:firstLineChars="200"/>
        <w:jc w:val="left"/>
        <w:rPr>
          <w:sz w:val="24"/>
          <w:highlight w:val="none"/>
        </w:rPr>
      </w:pPr>
      <w:r>
        <w:rPr>
          <w:sz w:val="24"/>
          <w:highlight w:val="none"/>
          <w:lang w:bidi="ar"/>
        </w:rPr>
        <w:t>4.售价：0元。</w:t>
      </w:r>
    </w:p>
    <w:p>
      <w:pPr>
        <w:pStyle w:val="4"/>
        <w:widowControl/>
        <w:spacing w:before="0" w:line="360" w:lineRule="auto"/>
        <w:jc w:val="left"/>
        <w:rPr>
          <w:rFonts w:ascii="Times New Roman" w:hAnsi="Times New Roman" w:eastAsia="宋体"/>
          <w:sz w:val="24"/>
          <w:szCs w:val="24"/>
          <w:highlight w:val="none"/>
        </w:rPr>
      </w:pPr>
      <w:bookmarkStart w:id="15" w:name="_Toc28359005"/>
      <w:bookmarkStart w:id="16" w:name="_Toc28359082"/>
      <w:bookmarkStart w:id="17" w:name="_Toc35393793"/>
      <w:bookmarkStart w:id="18" w:name="_Toc35393624"/>
      <w:r>
        <w:rPr>
          <w:rFonts w:ascii="Times New Roman" w:hAnsi="Times New Roman" w:eastAsia="宋体"/>
          <w:sz w:val="24"/>
          <w:szCs w:val="24"/>
          <w:highlight w:val="none"/>
        </w:rPr>
        <w:t>四、提交投标文件</w:t>
      </w:r>
      <w:bookmarkEnd w:id="15"/>
      <w:bookmarkEnd w:id="16"/>
      <w:r>
        <w:rPr>
          <w:rFonts w:ascii="Times New Roman" w:hAnsi="Times New Roman" w:eastAsia="宋体"/>
          <w:sz w:val="24"/>
          <w:szCs w:val="24"/>
          <w:highlight w:val="none"/>
        </w:rPr>
        <w:t>截止时间、开标时间和地点</w:t>
      </w:r>
      <w:bookmarkEnd w:id="17"/>
      <w:bookmarkEnd w:id="18"/>
    </w:p>
    <w:p>
      <w:pPr>
        <w:spacing w:line="360" w:lineRule="auto"/>
        <w:ind w:firstLine="480" w:firstLineChars="200"/>
        <w:rPr>
          <w:bCs/>
          <w:sz w:val="24"/>
          <w:u w:val="single"/>
        </w:rPr>
      </w:pPr>
      <w:r>
        <w:rPr>
          <w:sz w:val="24"/>
          <w:highlight w:val="none"/>
          <w:lang w:bidi="ar"/>
        </w:rPr>
        <w:t>投标截止时间、开标时间：</w:t>
      </w:r>
      <w:r>
        <w:rPr>
          <w:rFonts w:hint="eastAsia"/>
          <w:sz w:val="24"/>
          <w:highlight w:val="none"/>
          <w:u w:val="single"/>
          <w:lang w:bidi="ar"/>
        </w:rPr>
        <w:t>2024年04月</w:t>
      </w:r>
      <w:r>
        <w:rPr>
          <w:rFonts w:hint="eastAsia"/>
          <w:sz w:val="24"/>
          <w:highlight w:val="none"/>
          <w:u w:val="single"/>
          <w:lang w:val="en-US" w:eastAsia="zh-CN" w:bidi="ar"/>
        </w:rPr>
        <w:t>26</w:t>
      </w:r>
      <w:r>
        <w:rPr>
          <w:sz w:val="24"/>
          <w:highlight w:val="none"/>
          <w:lang w:bidi="ar"/>
        </w:rPr>
        <w:t>日</w:t>
      </w:r>
      <w:r>
        <w:rPr>
          <w:rFonts w:hint="eastAsia"/>
          <w:sz w:val="24"/>
          <w:highlight w:val="none"/>
          <w:u w:val="single"/>
          <w:lang w:bidi="ar"/>
        </w:rPr>
        <w:t>13点30分</w:t>
      </w:r>
      <w:r>
        <w:rPr>
          <w:bCs/>
          <w:sz w:val="24"/>
          <w:highlight w:val="none"/>
          <w:lang w:bidi="ar"/>
        </w:rPr>
        <w:t>（北京</w:t>
      </w:r>
      <w:r>
        <w:rPr>
          <w:bCs/>
          <w:sz w:val="24"/>
          <w:lang w:bidi="ar"/>
        </w:rPr>
        <w:t>时间）</w:t>
      </w:r>
      <w:r>
        <w:rPr>
          <w:iCs/>
          <w:sz w:val="24"/>
          <w:lang w:bidi="ar"/>
        </w:rPr>
        <w:t>。</w:t>
      </w:r>
    </w:p>
    <w:p>
      <w:pPr>
        <w:spacing w:line="360" w:lineRule="auto"/>
        <w:ind w:firstLine="480" w:firstLineChars="200"/>
        <w:rPr>
          <w:sz w:val="24"/>
          <w:lang w:val="zh-TW" w:bidi="ar"/>
        </w:rPr>
      </w:pPr>
      <w:r>
        <w:rPr>
          <w:sz w:val="24"/>
          <w:lang w:bidi="ar"/>
        </w:rPr>
        <w:t>地点：</w:t>
      </w:r>
      <w:r>
        <w:rPr>
          <w:rFonts w:hint="eastAsia"/>
          <w:sz w:val="24"/>
          <w:lang w:bidi="ar"/>
        </w:rPr>
        <w:t>北京市朝阳区慧忠东路5号远大中心C座2层</w:t>
      </w:r>
      <w:r>
        <w:rPr>
          <w:rFonts w:hint="eastAsia"/>
          <w:sz w:val="24"/>
          <w:lang w:val="en-US" w:eastAsia="zh-CN" w:bidi="ar"/>
        </w:rPr>
        <w:t>会议室</w:t>
      </w:r>
    </w:p>
    <w:p>
      <w:pPr>
        <w:spacing w:line="360" w:lineRule="auto"/>
        <w:ind w:firstLine="480" w:firstLineChars="200"/>
        <w:rPr>
          <w:bCs/>
          <w:sz w:val="24"/>
          <w:u w:val="single"/>
        </w:rPr>
      </w:pPr>
    </w:p>
    <w:p>
      <w:pPr>
        <w:pStyle w:val="4"/>
        <w:spacing w:before="0" w:line="360" w:lineRule="auto"/>
        <w:jc w:val="left"/>
        <w:rPr>
          <w:rFonts w:ascii="Times New Roman" w:hAnsi="Times New Roman" w:eastAsia="宋体"/>
          <w:sz w:val="24"/>
          <w:szCs w:val="24"/>
        </w:rPr>
      </w:pPr>
      <w:bookmarkStart w:id="19" w:name="_Toc28359007"/>
      <w:bookmarkStart w:id="20" w:name="_Toc35393794"/>
      <w:bookmarkStart w:id="21" w:name="_Toc35393625"/>
      <w:bookmarkStart w:id="22" w:name="_Toc28359084"/>
      <w:r>
        <w:rPr>
          <w:rFonts w:ascii="Times New Roman" w:hAnsi="Times New Roman" w:eastAsia="宋体"/>
          <w:sz w:val="24"/>
          <w:szCs w:val="24"/>
        </w:rPr>
        <w:t>五、公告期限</w:t>
      </w:r>
      <w:bookmarkEnd w:id="19"/>
      <w:bookmarkEnd w:id="20"/>
      <w:bookmarkEnd w:id="21"/>
      <w:bookmarkEnd w:id="22"/>
    </w:p>
    <w:p>
      <w:pPr>
        <w:spacing w:line="360" w:lineRule="auto"/>
        <w:ind w:firstLine="480" w:firstLineChars="200"/>
        <w:rPr>
          <w:kern w:val="0"/>
          <w:sz w:val="24"/>
        </w:rPr>
      </w:pPr>
      <w:r>
        <w:rPr>
          <w:kern w:val="0"/>
          <w:sz w:val="24"/>
        </w:rPr>
        <w:t>自本公告发布之日起5个工作日。</w:t>
      </w:r>
    </w:p>
    <w:p>
      <w:pPr>
        <w:pStyle w:val="4"/>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六、其他补充事宜</w:t>
      </w:r>
      <w:bookmarkEnd w:id="23"/>
      <w:bookmarkEnd w:id="24"/>
    </w:p>
    <w:p>
      <w:pPr>
        <w:spacing w:line="360" w:lineRule="auto"/>
        <w:ind w:firstLine="480" w:firstLineChars="200"/>
        <w:rPr>
          <w:sz w:val="24"/>
        </w:rPr>
      </w:pPr>
      <w:r>
        <w:rPr>
          <w:sz w:val="24"/>
        </w:rPr>
        <w:t>1.本项目需要落实的政府采购政策：</w:t>
      </w:r>
      <w:r>
        <w:rPr>
          <w:rFonts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政府采购促进中小企业发展管理办法》、《财政部、司法部关于政府采购支持监狱企业发展有关问题的通知》（财库[2014]68号）。</w:t>
      </w:r>
    </w:p>
    <w:p>
      <w:pPr>
        <w:spacing w:line="360" w:lineRule="auto"/>
        <w:ind w:firstLine="480" w:firstLineChars="200"/>
        <w:rPr>
          <w:sz w:val="24"/>
        </w:rPr>
      </w:pPr>
      <w:r>
        <w:rPr>
          <w:rFonts w:hint="eastAsia"/>
          <w:sz w:val="24"/>
        </w:rPr>
        <w:t>2</w:t>
      </w:r>
      <w:r>
        <w:rPr>
          <w:sz w:val="24"/>
        </w:rPr>
        <w:t>.</w:t>
      </w:r>
      <w:r>
        <w:rPr>
          <w:rFonts w:hint="eastAsia"/>
          <w:sz w:val="24"/>
        </w:rPr>
        <w:t xml:space="preserve">本项目采用全流程线上线下相结合的采购方式，请供应商认真学习北京市政府采购电子交易平台发布的相关操作手册（供应商可在交易平台下载相关手册），办理 </w:t>
      </w:r>
      <w:r>
        <w:rPr>
          <w:sz w:val="24"/>
        </w:rPr>
        <w:t xml:space="preserve">CA </w:t>
      </w:r>
      <w:r>
        <w:rPr>
          <w:rFonts w:hint="eastAsia"/>
          <w:sz w:val="24"/>
        </w:rPr>
        <w:t xml:space="preserve">数字证书或电子营业执照、进行北京市政府采购电子交易平台注册绑定，并认真核实 </w:t>
      </w:r>
      <w:r>
        <w:rPr>
          <w:sz w:val="24"/>
        </w:rPr>
        <w:t xml:space="preserve">CA </w:t>
      </w:r>
      <w:r>
        <w:rPr>
          <w:rFonts w:hint="eastAsia"/>
          <w:sz w:val="24"/>
        </w:rPr>
        <w:t xml:space="preserve">数字证书或电子营业执照情况确认是否符合本项目电子化采购流程要求。 </w:t>
      </w:r>
    </w:p>
    <w:p>
      <w:pPr>
        <w:spacing w:line="360" w:lineRule="auto"/>
        <w:ind w:firstLine="480" w:firstLineChars="200"/>
        <w:rPr>
          <w:sz w:val="24"/>
        </w:rPr>
      </w:pPr>
      <w:r>
        <w:rPr>
          <w:sz w:val="24"/>
        </w:rPr>
        <w:t xml:space="preserve">CA </w:t>
      </w:r>
      <w:r>
        <w:rPr>
          <w:rFonts w:hint="eastAsia"/>
          <w:sz w:val="24"/>
        </w:rPr>
        <w:t xml:space="preserve">数字证书服务热线 </w:t>
      </w:r>
      <w:r>
        <w:rPr>
          <w:sz w:val="24"/>
        </w:rPr>
        <w:t xml:space="preserve">010-58511086 </w:t>
      </w:r>
    </w:p>
    <w:p>
      <w:pPr>
        <w:spacing w:line="360" w:lineRule="auto"/>
        <w:ind w:firstLine="480" w:firstLineChars="200"/>
        <w:rPr>
          <w:sz w:val="24"/>
        </w:rPr>
      </w:pPr>
      <w:r>
        <w:rPr>
          <w:rFonts w:hint="eastAsia"/>
          <w:sz w:val="24"/>
        </w:rPr>
        <w:t xml:space="preserve">电子营业执照服务热线 </w:t>
      </w:r>
      <w:r>
        <w:rPr>
          <w:sz w:val="24"/>
        </w:rPr>
        <w:t>400-699-7000</w:t>
      </w:r>
      <w:r>
        <w:rPr>
          <w:rFonts w:hint="eastAsia"/>
          <w:sz w:val="24"/>
        </w:rPr>
        <w:t xml:space="preserve"> </w:t>
      </w:r>
    </w:p>
    <w:p>
      <w:pPr>
        <w:spacing w:line="360" w:lineRule="auto"/>
        <w:ind w:firstLine="480" w:firstLineChars="200"/>
        <w:rPr>
          <w:sz w:val="24"/>
        </w:rPr>
      </w:pPr>
      <w:r>
        <w:rPr>
          <w:rFonts w:hint="eastAsia"/>
          <w:sz w:val="24"/>
        </w:rPr>
        <w:t xml:space="preserve">技术支持服务热线 </w:t>
      </w:r>
    </w:p>
    <w:p>
      <w:pPr>
        <w:spacing w:line="360" w:lineRule="auto"/>
        <w:ind w:firstLine="480" w:firstLineChars="200"/>
        <w:rPr>
          <w:sz w:val="24"/>
        </w:rPr>
      </w:pPr>
      <w:r>
        <w:rPr>
          <w:sz w:val="24"/>
        </w:rPr>
        <w:t xml:space="preserve">010-86483801 </w:t>
      </w:r>
    </w:p>
    <w:p>
      <w:pPr>
        <w:spacing w:line="360" w:lineRule="auto"/>
        <w:ind w:firstLine="480" w:firstLineChars="200"/>
        <w:rPr>
          <w:sz w:val="24"/>
        </w:rPr>
      </w:pPr>
      <w:r>
        <w:rPr>
          <w:rFonts w:hint="eastAsia"/>
          <w:sz w:val="24"/>
        </w:rPr>
        <w:t>2.</w:t>
      </w:r>
      <w:r>
        <w:rPr>
          <w:sz w:val="24"/>
        </w:rPr>
        <w:t xml:space="preserve">1 </w:t>
      </w:r>
      <w:r>
        <w:rPr>
          <w:rFonts w:hint="eastAsia"/>
          <w:sz w:val="24"/>
        </w:rPr>
        <w:t xml:space="preserve">办理 </w:t>
      </w:r>
      <w:r>
        <w:rPr>
          <w:sz w:val="24"/>
        </w:rPr>
        <w:t xml:space="preserve">CA </w:t>
      </w:r>
      <w:r>
        <w:rPr>
          <w:rFonts w:hint="eastAsia"/>
          <w:sz w:val="24"/>
        </w:rPr>
        <w:t xml:space="preserve">数字证书或电子营业执照 </w:t>
      </w:r>
    </w:p>
    <w:p>
      <w:pPr>
        <w:spacing w:line="360" w:lineRule="auto"/>
        <w:ind w:firstLine="480" w:firstLineChars="200"/>
        <w:rPr>
          <w:sz w:val="24"/>
        </w:rPr>
      </w:pPr>
      <w:r>
        <w:rPr>
          <w:rFonts w:hint="eastAsia"/>
          <w:sz w:val="24"/>
        </w:rPr>
        <w:t>供应商登录北京市政府采购电子交易平台查阅“</w:t>
      </w:r>
      <w:r>
        <w:rPr>
          <w:sz w:val="24"/>
        </w:rPr>
        <w:t xml:space="preserve"> </w:t>
      </w:r>
      <w:r>
        <w:rPr>
          <w:rFonts w:hint="eastAsia"/>
          <w:sz w:val="24"/>
        </w:rPr>
        <w:t>用户指南”</w:t>
      </w:r>
      <w:r>
        <w:rPr>
          <w:sz w:val="24"/>
        </w:rPr>
        <w:t>—</w:t>
      </w:r>
      <w:r>
        <w:rPr>
          <w:rFonts w:hint="eastAsia"/>
          <w:sz w:val="24"/>
        </w:rPr>
        <w:t>“操作指南”</w:t>
      </w:r>
      <w:r>
        <w:rPr>
          <w:sz w:val="24"/>
        </w:rPr>
        <w:t>—</w:t>
      </w:r>
      <w:r>
        <w:rPr>
          <w:rFonts w:hint="eastAsia"/>
          <w:sz w:val="24"/>
        </w:rPr>
        <w:t>“市场主体</w:t>
      </w:r>
      <w:r>
        <w:rPr>
          <w:sz w:val="24"/>
        </w:rPr>
        <w:t>CA</w:t>
      </w:r>
      <w:r>
        <w:rPr>
          <w:rFonts w:hint="eastAsia"/>
          <w:sz w:val="24"/>
        </w:rPr>
        <w:t>办理操作流程指引”</w:t>
      </w:r>
      <w:r>
        <w:rPr>
          <w:sz w:val="24"/>
        </w:rPr>
        <w:t>/</w:t>
      </w:r>
      <w:r>
        <w:rPr>
          <w:rFonts w:hint="eastAsia"/>
          <w:sz w:val="24"/>
        </w:rPr>
        <w:t>“电子营业执照使用指南”</w:t>
      </w:r>
      <w:r>
        <w:rPr>
          <w:sz w:val="24"/>
        </w:rPr>
        <w:t xml:space="preserve"> </w:t>
      </w:r>
      <w:r>
        <w:rPr>
          <w:rFonts w:hint="eastAsia"/>
          <w:sz w:val="24"/>
        </w:rPr>
        <w:t xml:space="preserve">，按照程序要求办理。 </w:t>
      </w:r>
    </w:p>
    <w:p>
      <w:pPr>
        <w:spacing w:line="360" w:lineRule="auto"/>
        <w:ind w:firstLine="480" w:firstLineChars="200"/>
        <w:rPr>
          <w:sz w:val="24"/>
        </w:rPr>
      </w:pPr>
      <w:r>
        <w:rPr>
          <w:rFonts w:hint="eastAsia"/>
          <w:sz w:val="24"/>
        </w:rPr>
        <w:t>2.</w:t>
      </w:r>
      <w:r>
        <w:rPr>
          <w:sz w:val="24"/>
        </w:rPr>
        <w:t xml:space="preserve">2 </w:t>
      </w:r>
      <w:r>
        <w:rPr>
          <w:rFonts w:hint="eastAsia"/>
          <w:sz w:val="24"/>
        </w:rPr>
        <w:t xml:space="preserve">注册 </w:t>
      </w:r>
    </w:p>
    <w:p>
      <w:pPr>
        <w:spacing w:line="360" w:lineRule="auto"/>
        <w:ind w:firstLine="480" w:firstLineChars="200"/>
        <w:rPr>
          <w:sz w:val="24"/>
        </w:rPr>
      </w:pPr>
      <w:r>
        <w:rPr>
          <w:rFonts w:hint="eastAsia"/>
          <w:sz w:val="24"/>
        </w:rPr>
        <w:t>供应商登录北京市政府采购电子交易平台“用户指南”</w:t>
      </w:r>
      <w:r>
        <w:rPr>
          <w:sz w:val="24"/>
        </w:rPr>
        <w:t>—</w:t>
      </w:r>
      <w:r>
        <w:rPr>
          <w:rFonts w:hint="eastAsia"/>
          <w:sz w:val="24"/>
        </w:rPr>
        <w:t>“操作指南”</w:t>
      </w:r>
      <w:r>
        <w:rPr>
          <w:sz w:val="24"/>
        </w:rPr>
        <w:t>—</w:t>
      </w:r>
      <w:r>
        <w:rPr>
          <w:rFonts w:hint="eastAsia"/>
          <w:sz w:val="24"/>
        </w:rPr>
        <w:t xml:space="preserve">“市场主体注册入库操作流程指引”进行自助注册绑定。 </w:t>
      </w:r>
    </w:p>
    <w:p>
      <w:pPr>
        <w:spacing w:line="360" w:lineRule="auto"/>
        <w:ind w:firstLine="480" w:firstLineChars="200"/>
        <w:rPr>
          <w:sz w:val="24"/>
        </w:rPr>
      </w:pPr>
      <w:r>
        <w:rPr>
          <w:rFonts w:hint="eastAsia"/>
          <w:sz w:val="24"/>
        </w:rPr>
        <w:t>2</w:t>
      </w:r>
      <w:r>
        <w:rPr>
          <w:sz w:val="24"/>
        </w:rPr>
        <w:t xml:space="preserve">.3 </w:t>
      </w:r>
      <w:r>
        <w:rPr>
          <w:rFonts w:hint="eastAsia"/>
          <w:sz w:val="24"/>
        </w:rPr>
        <w:t xml:space="preserve">驱动、客户端下载 </w:t>
      </w:r>
    </w:p>
    <w:p>
      <w:pPr>
        <w:spacing w:line="360" w:lineRule="auto"/>
        <w:ind w:firstLine="480" w:firstLineChars="200"/>
        <w:rPr>
          <w:sz w:val="24"/>
        </w:rPr>
      </w:pPr>
      <w:r>
        <w:rPr>
          <w:rFonts w:hint="eastAsia"/>
          <w:sz w:val="24"/>
        </w:rPr>
        <w:t>供应商登录北京市政府采购电子交易平台“用户指南”</w:t>
      </w:r>
      <w:r>
        <w:rPr>
          <w:sz w:val="24"/>
        </w:rPr>
        <w:t>—</w:t>
      </w:r>
      <w:r>
        <w:rPr>
          <w:rFonts w:hint="eastAsia"/>
          <w:sz w:val="24"/>
        </w:rPr>
        <w:t>“工具下载”</w:t>
      </w:r>
      <w:r>
        <w:rPr>
          <w:sz w:val="24"/>
        </w:rPr>
        <w:t>—</w:t>
      </w:r>
      <w:r>
        <w:rPr>
          <w:rFonts w:hint="eastAsia"/>
          <w:sz w:val="24"/>
        </w:rPr>
        <w:t xml:space="preserve">“招标采购系统文件驱动安装包”下载相关驱动。 </w:t>
      </w:r>
    </w:p>
    <w:p>
      <w:pPr>
        <w:spacing w:line="360" w:lineRule="auto"/>
        <w:ind w:firstLine="480" w:firstLineChars="200"/>
        <w:rPr>
          <w:sz w:val="24"/>
        </w:rPr>
      </w:pPr>
      <w:r>
        <w:rPr>
          <w:rFonts w:hint="eastAsia"/>
          <w:sz w:val="24"/>
        </w:rPr>
        <w:t>供应商登录北京市政府采购电子交易平台“用户指南”</w:t>
      </w:r>
      <w:r>
        <w:rPr>
          <w:sz w:val="24"/>
        </w:rPr>
        <w:t>—</w:t>
      </w:r>
      <w:r>
        <w:rPr>
          <w:rFonts w:hint="eastAsia"/>
          <w:sz w:val="24"/>
        </w:rPr>
        <w:t>“工具下载”</w:t>
      </w:r>
      <w:r>
        <w:rPr>
          <w:sz w:val="24"/>
        </w:rPr>
        <w:t>—</w:t>
      </w:r>
      <w:r>
        <w:rPr>
          <w:rFonts w:hint="eastAsia"/>
          <w:sz w:val="24"/>
        </w:rPr>
        <w:t xml:space="preserve">“投标文件编制工具”下载相关客户端。 </w:t>
      </w:r>
    </w:p>
    <w:p>
      <w:pPr>
        <w:spacing w:line="360" w:lineRule="auto"/>
        <w:ind w:firstLine="480" w:firstLineChars="200"/>
        <w:rPr>
          <w:sz w:val="24"/>
        </w:rPr>
      </w:pPr>
      <w:r>
        <w:rPr>
          <w:rFonts w:hint="eastAsia"/>
          <w:sz w:val="24"/>
        </w:rPr>
        <w:t>2</w:t>
      </w:r>
      <w:r>
        <w:rPr>
          <w:sz w:val="24"/>
        </w:rPr>
        <w:t>.</w:t>
      </w:r>
      <w:r>
        <w:rPr>
          <w:rFonts w:hint="eastAsia"/>
          <w:sz w:val="24"/>
        </w:rPr>
        <w:t>4</w:t>
      </w:r>
      <w:r>
        <w:rPr>
          <w:sz w:val="24"/>
        </w:rPr>
        <w:t xml:space="preserve"> </w:t>
      </w:r>
      <w:r>
        <w:rPr>
          <w:rFonts w:hint="eastAsia"/>
          <w:sz w:val="24"/>
        </w:rPr>
        <w:t xml:space="preserve">获取电子招标文件 </w:t>
      </w:r>
    </w:p>
    <w:p>
      <w:pPr>
        <w:spacing w:line="360" w:lineRule="auto"/>
        <w:ind w:firstLine="480" w:firstLineChars="200"/>
        <w:rPr>
          <w:sz w:val="24"/>
        </w:rPr>
      </w:pPr>
      <w:r>
        <w:rPr>
          <w:rFonts w:hint="eastAsia"/>
          <w:sz w:val="24"/>
        </w:rPr>
        <w:t xml:space="preserve">供应商使用 </w:t>
      </w:r>
      <w:r>
        <w:rPr>
          <w:sz w:val="24"/>
        </w:rPr>
        <w:t xml:space="preserve">CA </w:t>
      </w:r>
      <w:r>
        <w:rPr>
          <w:rFonts w:hint="eastAsia"/>
          <w:sz w:val="24"/>
        </w:rPr>
        <w:t xml:space="preserve">数字证书或电子营业执照登录北京市政府采购电子交易平台获取电子招标文件。 </w:t>
      </w:r>
    </w:p>
    <w:p>
      <w:pPr>
        <w:pStyle w:val="4"/>
        <w:spacing w:before="0" w:line="360" w:lineRule="auto"/>
        <w:jc w:val="left"/>
        <w:rPr>
          <w:rFonts w:ascii="Times New Roman" w:hAnsi="Times New Roman" w:eastAsia="宋体"/>
          <w:sz w:val="24"/>
          <w:szCs w:val="24"/>
        </w:rPr>
      </w:pPr>
      <w:bookmarkStart w:id="25" w:name="_Toc28359085"/>
      <w:bookmarkStart w:id="26" w:name="_Toc35393627"/>
      <w:bookmarkStart w:id="27" w:name="_Toc28359008"/>
      <w:bookmarkStart w:id="28" w:name="_Toc35393796"/>
      <w:r>
        <w:rPr>
          <w:rFonts w:ascii="Times New Roman" w:hAnsi="Times New Roman" w:eastAsia="宋体"/>
          <w:sz w:val="24"/>
          <w:szCs w:val="24"/>
        </w:rPr>
        <w:t>七、对本次招标提出询问，请按以下方式联系。</w:t>
      </w:r>
      <w:bookmarkEnd w:id="25"/>
      <w:bookmarkEnd w:id="26"/>
      <w:bookmarkEnd w:id="27"/>
      <w:bookmarkEnd w:id="28"/>
    </w:p>
    <w:p>
      <w:pPr>
        <w:widowControl/>
        <w:spacing w:line="360" w:lineRule="auto"/>
        <w:jc w:val="left"/>
        <w:rPr>
          <w:b/>
          <w:sz w:val="24"/>
        </w:rPr>
      </w:pPr>
      <w:r>
        <w:rPr>
          <w:sz w:val="24"/>
        </w:rPr>
        <w:t>　　</w:t>
      </w:r>
      <w:r>
        <w:rPr>
          <w:b/>
          <w:sz w:val="24"/>
        </w:rPr>
        <w:t>1.采购人信息</w:t>
      </w:r>
    </w:p>
    <w:p>
      <w:pPr>
        <w:spacing w:line="360" w:lineRule="auto"/>
        <w:ind w:firstLine="480" w:firstLineChars="200"/>
        <w:jc w:val="left"/>
        <w:rPr>
          <w:sz w:val="24"/>
        </w:rPr>
      </w:pPr>
      <w:bookmarkStart w:id="29" w:name="_Toc28359086"/>
      <w:bookmarkStart w:id="30" w:name="_Toc28359009"/>
      <w:r>
        <w:rPr>
          <w:sz w:val="24"/>
        </w:rPr>
        <w:t>名    称：</w:t>
      </w:r>
      <w:r>
        <w:rPr>
          <w:rFonts w:hint="eastAsia"/>
          <w:sz w:val="24"/>
          <w:u w:val="single"/>
        </w:rPr>
        <w:t>北京市农林科学院</w:t>
      </w:r>
    </w:p>
    <w:p>
      <w:pPr>
        <w:spacing w:line="360" w:lineRule="auto"/>
        <w:ind w:firstLine="480" w:firstLineChars="200"/>
        <w:jc w:val="left"/>
        <w:rPr>
          <w:sz w:val="24"/>
        </w:rPr>
      </w:pPr>
      <w:r>
        <w:rPr>
          <w:sz w:val="24"/>
        </w:rPr>
        <w:t>地    址：</w:t>
      </w:r>
      <w:r>
        <w:rPr>
          <w:rFonts w:hint="eastAsia"/>
          <w:sz w:val="24"/>
          <w:u w:val="single"/>
        </w:rPr>
        <w:t>北京市海淀区曙光花园中路农科大厦A座</w:t>
      </w:r>
    </w:p>
    <w:p>
      <w:pPr>
        <w:spacing w:line="360" w:lineRule="auto"/>
        <w:ind w:firstLine="480" w:firstLineChars="200"/>
        <w:jc w:val="left"/>
        <w:rPr>
          <w:sz w:val="24"/>
          <w:u w:val="single"/>
        </w:rPr>
      </w:pPr>
      <w:r>
        <w:rPr>
          <w:sz w:val="24"/>
        </w:rPr>
        <w:t>联系方式：</w:t>
      </w:r>
      <w:r>
        <w:rPr>
          <w:rFonts w:hint="eastAsia"/>
          <w:sz w:val="24"/>
          <w:u w:val="single"/>
        </w:rPr>
        <w:t>郝雅天  010-51503481</w:t>
      </w:r>
    </w:p>
    <w:p>
      <w:pPr>
        <w:spacing w:line="360" w:lineRule="auto"/>
        <w:ind w:firstLine="482" w:firstLineChars="200"/>
        <w:jc w:val="left"/>
        <w:rPr>
          <w:b/>
          <w:sz w:val="24"/>
        </w:rPr>
      </w:pPr>
      <w:r>
        <w:rPr>
          <w:b/>
          <w:sz w:val="24"/>
        </w:rPr>
        <w:t>2.采购代理机构信息</w:t>
      </w:r>
      <w:bookmarkEnd w:id="29"/>
      <w:bookmarkEnd w:id="30"/>
    </w:p>
    <w:p>
      <w:pPr>
        <w:spacing w:line="360" w:lineRule="auto"/>
        <w:ind w:firstLine="480" w:firstLineChars="200"/>
        <w:jc w:val="left"/>
        <w:rPr>
          <w:sz w:val="24"/>
        </w:rPr>
      </w:pPr>
      <w:bookmarkStart w:id="31" w:name="_Toc28359087"/>
      <w:bookmarkStart w:id="32" w:name="_Toc28359010"/>
      <w:r>
        <w:rPr>
          <w:sz w:val="24"/>
        </w:rPr>
        <w:t>名    称：</w:t>
      </w:r>
      <w:r>
        <w:rPr>
          <w:rFonts w:hint="eastAsia"/>
          <w:sz w:val="24"/>
          <w:u w:val="single"/>
        </w:rPr>
        <w:t>中工国际招标有限公司</w:t>
      </w:r>
    </w:p>
    <w:p>
      <w:pPr>
        <w:spacing w:line="360" w:lineRule="auto"/>
        <w:ind w:firstLine="480" w:firstLineChars="200"/>
        <w:jc w:val="left"/>
        <w:rPr>
          <w:sz w:val="24"/>
        </w:rPr>
      </w:pPr>
      <w:r>
        <w:rPr>
          <w:sz w:val="24"/>
        </w:rPr>
        <w:t>地    址：</w:t>
      </w:r>
      <w:r>
        <w:rPr>
          <w:rFonts w:hint="eastAsia"/>
          <w:sz w:val="24"/>
          <w:u w:val="single"/>
        </w:rPr>
        <w:t>北京市朝阳区慧忠东路5号远大中心C座2层</w:t>
      </w:r>
    </w:p>
    <w:p>
      <w:pPr>
        <w:spacing w:line="360" w:lineRule="auto"/>
        <w:ind w:firstLine="480" w:firstLineChars="200"/>
        <w:jc w:val="left"/>
        <w:rPr>
          <w:sz w:val="24"/>
        </w:rPr>
      </w:pPr>
      <w:r>
        <w:rPr>
          <w:sz w:val="24"/>
        </w:rPr>
        <w:t>联系方式：</w:t>
      </w:r>
      <w:r>
        <w:rPr>
          <w:rFonts w:hint="eastAsia"/>
          <w:sz w:val="24"/>
          <w:u w:val="single"/>
        </w:rPr>
        <w:t>010-82952950-823</w:t>
      </w:r>
    </w:p>
    <w:p>
      <w:pPr>
        <w:spacing w:line="360" w:lineRule="auto"/>
        <w:ind w:firstLine="482" w:firstLineChars="200"/>
        <w:rPr>
          <w:b/>
          <w:sz w:val="24"/>
          <w:u w:val="single"/>
        </w:rPr>
      </w:pPr>
      <w:r>
        <w:rPr>
          <w:b/>
          <w:sz w:val="24"/>
        </w:rPr>
        <w:t>3.项目联系方式</w:t>
      </w:r>
      <w:bookmarkEnd w:id="31"/>
      <w:bookmarkEnd w:id="32"/>
    </w:p>
    <w:p>
      <w:pPr>
        <w:spacing w:line="360" w:lineRule="auto"/>
        <w:ind w:firstLine="480" w:firstLineChars="200"/>
        <w:jc w:val="left"/>
        <w:rPr>
          <w:sz w:val="24"/>
        </w:rPr>
      </w:pPr>
      <w:r>
        <w:rPr>
          <w:sz w:val="24"/>
        </w:rPr>
        <w:t>项目联系人：</w:t>
      </w:r>
      <w:r>
        <w:rPr>
          <w:sz w:val="24"/>
          <w:u w:val="single"/>
        </w:rPr>
        <w:t>张存、李涛</w:t>
      </w:r>
    </w:p>
    <w:p>
      <w:pPr>
        <w:spacing w:line="360" w:lineRule="auto"/>
        <w:ind w:firstLine="480" w:firstLineChars="200"/>
        <w:jc w:val="left"/>
        <w:rPr>
          <w:sz w:val="24"/>
        </w:rPr>
      </w:pPr>
      <w:r>
        <w:rPr>
          <w:sz w:val="24"/>
        </w:rPr>
        <w:t>电      话：</w:t>
      </w:r>
      <w:r>
        <w:rPr>
          <w:sz w:val="24"/>
          <w:u w:val="single"/>
        </w:rPr>
        <w:t>010-82952950-823</w:t>
      </w:r>
    </w:p>
    <w:p>
      <w:pPr>
        <w:pStyle w:val="23"/>
        <w:spacing w:line="360" w:lineRule="auto"/>
        <w:ind w:firstLine="720" w:firstLineChars="300"/>
        <w:rPr>
          <w:rFonts w:hint="default"/>
          <w:sz w:val="24"/>
          <w:u w:val="single"/>
        </w:rPr>
        <w:sectPr>
          <w:footerReference r:id="rId11" w:type="first"/>
          <w:footerReference r:id="rId10" w:type="default"/>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2"/>
          <w:szCs w:val="32"/>
        </w:rPr>
      </w:pPr>
      <w:bookmarkStart w:id="33" w:name="_Toc305158928"/>
      <w:bookmarkStart w:id="34" w:name="_Toc127161488"/>
      <w:bookmarkStart w:id="35" w:name="_Toc353873938"/>
      <w:bookmarkStart w:id="36" w:name="_Toc99301420"/>
      <w:bookmarkStart w:id="37" w:name="_Toc512937850"/>
      <w:bookmarkStart w:id="38" w:name="_Toc195842950"/>
      <w:bookmarkStart w:id="39" w:name="_Toc305158854"/>
      <w:bookmarkStart w:id="40" w:name="_Toc353825548"/>
      <w:bookmarkStart w:id="41" w:name="_Toc265228423"/>
      <w:bookmarkStart w:id="42" w:name="_Toc150774783"/>
      <w:bookmarkStart w:id="43" w:name="_Toc127151777"/>
      <w:bookmarkStart w:id="44" w:name="_Toc264969275"/>
      <w:bookmarkStart w:id="45" w:name="_Toc226965856"/>
      <w:r>
        <w:rPr>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4"/>
        <w:tabs>
          <w:tab w:val="center" w:pos="4592"/>
          <w:tab w:val="left" w:pos="7860"/>
        </w:tabs>
        <w:spacing w:before="0" w:line="360" w:lineRule="auto"/>
        <w:rPr>
          <w:rFonts w:ascii="Times New Roman" w:hAnsi="Times New Roman" w:eastAsia="宋体"/>
          <w:sz w:val="28"/>
        </w:rPr>
      </w:pPr>
      <w:bookmarkStart w:id="46" w:name="_Toc150774619"/>
      <w:bookmarkStart w:id="47" w:name="_Toc164229214"/>
      <w:bookmarkStart w:id="48" w:name="_Toc164608633"/>
      <w:bookmarkStart w:id="49" w:name="_Toc151193761"/>
      <w:bookmarkStart w:id="50" w:name="_Toc127151519"/>
      <w:bookmarkStart w:id="51" w:name="_Toc226337215"/>
      <w:bookmarkStart w:id="52" w:name="_Toc127151720"/>
      <w:bookmarkStart w:id="53" w:name="_Toc149720812"/>
      <w:bookmarkStart w:id="54" w:name="_Toc164351613"/>
      <w:bookmarkStart w:id="55" w:name="_Toc520356144"/>
      <w:bookmarkStart w:id="56" w:name="_Toc226309763"/>
      <w:bookmarkStart w:id="57" w:name="_Toc151193689"/>
      <w:bookmarkStart w:id="58" w:name="_Toc195842884"/>
      <w:bookmarkStart w:id="59" w:name="_Toc226965709"/>
      <w:bookmarkStart w:id="60" w:name="_Toc151193833"/>
      <w:bookmarkStart w:id="61" w:name="_Toc127161433"/>
      <w:bookmarkStart w:id="62" w:name="_Toc150509270"/>
      <w:bookmarkStart w:id="63" w:name="_Toc151193617"/>
      <w:bookmarkStart w:id="64" w:name="_Toc151190146"/>
      <w:bookmarkStart w:id="65" w:name="_Toc150480757"/>
      <w:bookmarkStart w:id="66" w:name="_Toc151193907"/>
      <w:bookmarkStart w:id="67" w:name="_Toc150774724"/>
      <w:bookmarkStart w:id="68" w:name="_Toc164229360"/>
      <w:bookmarkStart w:id="69" w:name="_Toc226965792"/>
      <w:bookmarkStart w:id="70" w:name="_Toc164608788"/>
      <w:bookmarkStart w:id="71" w:name="_Toc142311021"/>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本表是对投标人须知的具体补充和修改，如有矛盾，均以本资料表为准。标记</w:t>
      </w:r>
      <w:r>
        <w:rPr>
          <w:color w:val="000000"/>
          <w:sz w:val="24"/>
        </w:rPr>
        <w:t>“</w:t>
      </w:r>
      <w:r>
        <w:rPr>
          <w:rFonts w:hint="eastAsia"/>
          <w:sz w:val="24"/>
        </w:rPr>
        <w:t>☑</w:t>
      </w:r>
      <w:r>
        <w:rPr>
          <w:color w:val="000000"/>
          <w:sz w:val="24"/>
        </w:rPr>
        <w:t>”</w:t>
      </w:r>
      <w:r>
        <w:rPr>
          <w:sz w:val="24"/>
        </w:rPr>
        <w:t>的选项意为适用于本项目，标记“□”的选项意为不适用于本项目。</w:t>
      </w:r>
    </w:p>
    <w:tbl>
      <w:tblPr>
        <w:tblStyle w:val="43"/>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039"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039" w:type="dxa"/>
            <w:vAlign w:val="center"/>
          </w:tcPr>
          <w:p>
            <w:pPr>
              <w:jc w:val="left"/>
              <w:rPr>
                <w:sz w:val="24"/>
              </w:rPr>
            </w:pPr>
            <w:r>
              <w:rPr>
                <w:sz w:val="24"/>
              </w:rPr>
              <w:t>项目属性：</w:t>
            </w:r>
          </w:p>
          <w:p>
            <w:pPr>
              <w:jc w:val="left"/>
              <w:rPr>
                <w:sz w:val="24"/>
              </w:rPr>
            </w:pPr>
            <w:r>
              <w:rPr>
                <w:rFonts w:hint="eastAsia"/>
                <w:sz w:val="24"/>
              </w:rPr>
              <w:t>□</w:t>
            </w:r>
            <w:r>
              <w:rPr>
                <w:sz w:val="24"/>
              </w:rPr>
              <w:t>服务</w:t>
            </w:r>
          </w:p>
          <w:p>
            <w:pPr>
              <w:jc w:val="left"/>
              <w:rPr>
                <w:sz w:val="24"/>
                <w:u w:val="single"/>
              </w:rPr>
            </w:pPr>
            <w:r>
              <w:rPr>
                <w:rFonts w:hint="eastAsia"/>
                <w:sz w:val="24"/>
              </w:rPr>
              <w:t>☑</w:t>
            </w: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039" w:type="dxa"/>
            <w:vAlign w:val="center"/>
          </w:tcPr>
          <w:p>
            <w:pPr>
              <w:jc w:val="left"/>
              <w:rPr>
                <w:sz w:val="24"/>
              </w:rPr>
            </w:pPr>
            <w:r>
              <w:rPr>
                <w:sz w:val="24"/>
              </w:rPr>
              <w:t>是否属于科研仪器设备采购项目：</w:t>
            </w:r>
          </w:p>
          <w:p>
            <w:pPr>
              <w:jc w:val="left"/>
              <w:rPr>
                <w:sz w:val="24"/>
              </w:rPr>
            </w:pPr>
            <w:r>
              <w:rPr>
                <w:rFonts w:hint="eastAsia"/>
                <w:sz w:val="24"/>
              </w:rPr>
              <w:t>☑</w:t>
            </w:r>
            <w:r>
              <w:rPr>
                <w:sz w:val="24"/>
              </w:rPr>
              <w:t>是</w:t>
            </w:r>
          </w:p>
          <w:p>
            <w:pPr>
              <w:jc w:val="left"/>
              <w:rPr>
                <w:sz w:val="24"/>
              </w:rPr>
            </w:pPr>
            <w:r>
              <w:rPr>
                <w:rFonts w:hint="eastAsia"/>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pPr>
              <w:jc w:val="center"/>
              <w:rPr>
                <w:sz w:val="24"/>
              </w:rPr>
            </w:pPr>
            <w:r>
              <w:rPr>
                <w:sz w:val="24"/>
              </w:rPr>
              <w:t>核心产品</w:t>
            </w:r>
          </w:p>
        </w:tc>
        <w:tc>
          <w:tcPr>
            <w:tcW w:w="7039" w:type="dxa"/>
            <w:vAlign w:val="center"/>
          </w:tcPr>
          <w:p>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关于核心产品本项目不适用。</w:t>
            </w:r>
          </w:p>
          <w:p>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本项目为单一产品采购项目。</w:t>
            </w:r>
          </w:p>
          <w:p>
            <w:pPr>
              <w:jc w:val="left"/>
              <w:rPr>
                <w:sz w:val="24"/>
              </w:rPr>
            </w:pPr>
            <w:r>
              <w:rPr>
                <w:rFonts w:hint="eastAsia"/>
                <w:sz w:val="24"/>
              </w:rPr>
              <w:t>☑</w:t>
            </w:r>
            <w:r>
              <w:rPr>
                <w:sz w:val="24"/>
                <w:highlight w:val="none"/>
              </w:rPr>
              <w:t>本项目为非单一产品采购项目，核心产品为：</w:t>
            </w:r>
            <w:r>
              <w:rPr>
                <w:rFonts w:hint="eastAsia" w:ascii="宋体" w:hAnsi="宋体" w:eastAsia="宋体" w:cs="宋体"/>
                <w:b w:val="0"/>
                <w:bCs w:val="0"/>
                <w:sz w:val="24"/>
                <w:szCs w:val="24"/>
                <w:u w:val="single"/>
              </w:rPr>
              <w:t>核酸提取仪</w:t>
            </w:r>
            <w:r>
              <w:rPr>
                <w:rFonts w:hint="eastAsia" w:ascii="宋体" w:hAnsi="宋体" w:eastAsia="宋体" w:cs="宋体"/>
                <w:b w:val="0"/>
                <w:bCs w:val="0"/>
                <w:sz w:val="24"/>
                <w:szCs w:val="24"/>
                <w:highlight w:val="none"/>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039" w:type="dxa"/>
            <w:vAlign w:val="center"/>
          </w:tcPr>
          <w:p>
            <w:pPr>
              <w:jc w:val="left"/>
              <w:rPr>
                <w:sz w:val="24"/>
              </w:rPr>
            </w:pPr>
            <w:r>
              <w:rPr>
                <w:rFonts w:hint="eastAsia"/>
                <w:sz w:val="24"/>
              </w:rPr>
              <w:t>☑</w:t>
            </w:r>
            <w:r>
              <w:rPr>
                <w:sz w:val="24"/>
              </w:rPr>
              <w:t>不组织</w:t>
            </w:r>
          </w:p>
          <w:p>
            <w:pPr>
              <w:jc w:val="left"/>
              <w:rPr>
                <w:bCs/>
                <w:sz w:val="24"/>
              </w:rPr>
            </w:pPr>
            <w:r>
              <w:rPr>
                <w:sz w:val="24"/>
              </w:rPr>
              <w:t>□组织，考察时间：__年_月_日_</w:t>
            </w:r>
            <w:r>
              <w:rPr>
                <w:bCs/>
                <w:sz w:val="24"/>
              </w:rPr>
              <w:t>点</w:t>
            </w:r>
            <w:r>
              <w:rPr>
                <w:sz w:val="24"/>
              </w:rPr>
              <w:t>_</w:t>
            </w:r>
            <w:r>
              <w:rPr>
                <w:bCs/>
                <w:sz w:val="24"/>
              </w:rPr>
              <w:t>分</w:t>
            </w:r>
          </w:p>
          <w:p>
            <w:pPr>
              <w:pStyle w:val="23"/>
              <w:adjustRightInd w:val="0"/>
              <w:snapToGrid w:val="0"/>
              <w:rPr>
                <w:rFonts w:hint="default" w:ascii="Times New Roman" w:hAnsi="Times New Roman"/>
                <w:sz w:val="24"/>
                <w:szCs w:val="24"/>
              </w:rPr>
            </w:pPr>
            <w:r>
              <w:rPr>
                <w:rFonts w:hint="default" w:ascii="Times New Roman" w:hAnsi="Times New Roman"/>
                <w:sz w:val="24"/>
              </w:rPr>
              <w:t>考察地点：____________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开标前答疑会</w:t>
            </w:r>
          </w:p>
        </w:tc>
        <w:tc>
          <w:tcPr>
            <w:tcW w:w="7039" w:type="dxa"/>
            <w:vAlign w:val="center"/>
          </w:tcPr>
          <w:p>
            <w:pPr>
              <w:jc w:val="left"/>
              <w:rPr>
                <w:sz w:val="24"/>
              </w:rPr>
            </w:pPr>
            <w:r>
              <w:rPr>
                <w:rFonts w:hint="eastAsia"/>
                <w:sz w:val="24"/>
              </w:rPr>
              <w:t>☑</w:t>
            </w:r>
            <w:r>
              <w:rPr>
                <w:sz w:val="24"/>
              </w:rPr>
              <w:t>不召开</w:t>
            </w:r>
          </w:p>
          <w:p>
            <w:pPr>
              <w:jc w:val="left"/>
              <w:rPr>
                <w:sz w:val="24"/>
              </w:rPr>
            </w:pPr>
            <w:r>
              <w:rPr>
                <w:sz w:val="24"/>
              </w:rPr>
              <w:t>□召开，召开时间：__年_月_日_</w:t>
            </w:r>
            <w:r>
              <w:rPr>
                <w:bCs/>
                <w:sz w:val="24"/>
              </w:rPr>
              <w:t>点</w:t>
            </w:r>
            <w:r>
              <w:rPr>
                <w:sz w:val="24"/>
              </w:rPr>
              <w:t>_</w:t>
            </w:r>
            <w:r>
              <w:rPr>
                <w:bCs/>
                <w:sz w:val="24"/>
              </w:rPr>
              <w:t>分</w:t>
            </w:r>
          </w:p>
          <w:p>
            <w:pPr>
              <w:jc w:val="left"/>
              <w:rPr>
                <w:sz w:val="24"/>
              </w:rPr>
            </w:pPr>
            <w:r>
              <w:rPr>
                <w:sz w:val="24"/>
              </w:rPr>
              <w:t>召开地点：____________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pPr>
              <w:jc w:val="center"/>
              <w:rPr>
                <w:sz w:val="24"/>
              </w:rPr>
            </w:pPr>
            <w:r>
              <w:rPr>
                <w:sz w:val="24"/>
              </w:rPr>
              <w:t>样品</w:t>
            </w:r>
          </w:p>
        </w:tc>
        <w:tc>
          <w:tcPr>
            <w:tcW w:w="7039" w:type="dxa"/>
            <w:vAlign w:val="center"/>
          </w:tcPr>
          <w:p>
            <w:pPr>
              <w:jc w:val="left"/>
              <w:rPr>
                <w:sz w:val="24"/>
              </w:rPr>
            </w:pPr>
            <w:r>
              <w:rPr>
                <w:sz w:val="24"/>
              </w:rPr>
              <w:t>投标样品递交：不需要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pPr>
              <w:jc w:val="center"/>
              <w:rPr>
                <w:sz w:val="24"/>
              </w:rPr>
            </w:pPr>
            <w:r>
              <w:rPr>
                <w:sz w:val="24"/>
              </w:rPr>
              <w:t>标的所属行业</w:t>
            </w:r>
          </w:p>
        </w:tc>
        <w:tc>
          <w:tcPr>
            <w:tcW w:w="7039" w:type="dxa"/>
            <w:vAlign w:val="center"/>
          </w:tcPr>
          <w:p>
            <w:pPr>
              <w:jc w:val="left"/>
              <w:rPr>
                <w:sz w:val="24"/>
              </w:rPr>
            </w:pPr>
            <w:r>
              <w:rPr>
                <w:sz w:val="24"/>
              </w:rPr>
              <w:t>本项目采购标的对应的中小企业划分标准所属行业：</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3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标的名称</w:t>
                  </w:r>
                </w:p>
              </w:tc>
              <w:tc>
                <w:tcPr>
                  <w:tcW w:w="2364"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3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cs="宋体"/>
                      <w:color w:val="000000"/>
                      <w:kern w:val="0"/>
                      <w:sz w:val="24"/>
                      <w:lang w:bidi="ar"/>
                    </w:rPr>
                    <w:t>组织解离仪、生物安全柜、荧光定量PCR仪、轮转式切片机（配套）、包埋机（配套）、扩展型摊烤片系统（配套）、纯水/超纯水一体化系统配件、液氮立式速冻机（配套）、液氮低温储罐（配套）、全自动移液吸头排列机器人、96孔移液器、立式压力蒸汽灭菌器、立式二氧化碳振荡培养箱、核酸提取仪、组织研磨低温均质仪、智能型IVC</w:t>
                  </w:r>
                </w:p>
              </w:tc>
              <w:tc>
                <w:tcPr>
                  <w:tcW w:w="2364" w:type="pct"/>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rFonts w:hint="eastAsia"/>
                      <w:kern w:val="0"/>
                      <w:sz w:val="24"/>
                    </w:rPr>
                    <w:t>工业</w:t>
                  </w:r>
                </w:p>
              </w:tc>
            </w:tr>
          </w:tbl>
          <w:p>
            <w:pPr>
              <w:jc w:val="left"/>
              <w:rPr>
                <w:sz w:val="24"/>
              </w:rPr>
            </w:pPr>
          </w:p>
        </w:tc>
      </w:tr>
    </w:tbl>
    <w:p>
      <w:r>
        <w:br w:type="page"/>
      </w:r>
    </w:p>
    <w:tbl>
      <w:tblPr>
        <w:tblStyle w:val="4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1.2</w:t>
            </w:r>
          </w:p>
        </w:tc>
        <w:tc>
          <w:tcPr>
            <w:tcW w:w="1701" w:type="dxa"/>
            <w:vAlign w:val="center"/>
          </w:tcPr>
          <w:p>
            <w:pPr>
              <w:jc w:val="center"/>
              <w:rPr>
                <w:sz w:val="24"/>
              </w:rPr>
            </w:pPr>
            <w:r>
              <w:rPr>
                <w:rFonts w:hint="eastAsia"/>
                <w:sz w:val="24"/>
              </w:rPr>
              <w:t>投标报价</w:t>
            </w:r>
          </w:p>
        </w:tc>
        <w:tc>
          <w:tcPr>
            <w:tcW w:w="6889" w:type="dxa"/>
            <w:vAlign w:val="center"/>
          </w:tcPr>
          <w:p>
            <w:pPr>
              <w:jc w:val="left"/>
              <w:rPr>
                <w:sz w:val="24"/>
              </w:rPr>
            </w:pPr>
            <w:r>
              <w:rPr>
                <w:rFonts w:hint="eastAsia"/>
                <w:sz w:val="24"/>
              </w:rPr>
              <w:t>投标报价的特殊规定：</w:t>
            </w:r>
          </w:p>
          <w:p>
            <w:pPr>
              <w:jc w:val="left"/>
              <w:rPr>
                <w:sz w:val="24"/>
              </w:rPr>
            </w:pPr>
            <w:r>
              <w:rPr>
                <w:rFonts w:hint="eastAsia"/>
                <w:sz w:val="24"/>
              </w:rPr>
              <w:t>☑</w:t>
            </w:r>
            <w:r>
              <w:rPr>
                <w:sz w:val="24"/>
              </w:rPr>
              <w:t>无</w:t>
            </w:r>
          </w:p>
          <w:p>
            <w:pPr>
              <w:jc w:val="left"/>
              <w:rPr>
                <w:sz w:val="24"/>
              </w:rPr>
            </w:pPr>
            <w:r>
              <w:rPr>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pPr>
              <w:jc w:val="center"/>
              <w:rPr>
                <w:sz w:val="24"/>
              </w:rPr>
            </w:pPr>
            <w:r>
              <w:rPr>
                <w:sz w:val="24"/>
              </w:rPr>
              <w:t>投标保证金</w:t>
            </w:r>
          </w:p>
        </w:tc>
        <w:tc>
          <w:tcPr>
            <w:tcW w:w="6889" w:type="dxa"/>
            <w:vAlign w:val="center"/>
          </w:tcPr>
          <w:p>
            <w:pPr>
              <w:pStyle w:val="23"/>
              <w:adjustRightInd w:val="0"/>
              <w:snapToGrid w:val="0"/>
              <w:rPr>
                <w:rFonts w:hint="default" w:ascii="Times New Roman" w:hAnsi="Times New Roman"/>
                <w:b/>
                <w:bCs/>
                <w:sz w:val="24"/>
                <w:u w:val="single"/>
              </w:rPr>
            </w:pPr>
            <w:r>
              <w:rPr>
                <w:rFonts w:hint="default" w:ascii="Times New Roman" w:hAnsi="Times New Roman"/>
                <w:b/>
                <w:bCs/>
                <w:sz w:val="24"/>
                <w:szCs w:val="24"/>
              </w:rPr>
              <w:t>投标保证金金额：</w:t>
            </w:r>
            <w:r>
              <w:rPr>
                <w:rFonts w:ascii="Times New Roman" w:hAnsi="Times New Roman"/>
                <w:b/>
                <w:bCs/>
                <w:sz w:val="24"/>
                <w:u w:val="single"/>
              </w:rPr>
              <w:t>20000元。</w:t>
            </w:r>
          </w:p>
          <w:p>
            <w:pPr>
              <w:pStyle w:val="23"/>
              <w:adjustRightInd w:val="0"/>
              <w:snapToGrid w:val="0"/>
              <w:rPr>
                <w:rFonts w:hint="default" w:ascii="Times New Roman" w:hAnsi="Times New Roman"/>
                <w:b/>
                <w:bCs/>
                <w:sz w:val="24"/>
                <w:szCs w:val="24"/>
              </w:rPr>
            </w:pPr>
            <w:r>
              <w:rPr>
                <w:rFonts w:hint="default" w:ascii="Times New Roman" w:hAnsi="Times New Roman"/>
                <w:b/>
                <w:bCs/>
                <w:sz w:val="24"/>
                <w:szCs w:val="24"/>
              </w:rPr>
              <w:t>本项目鼓励参与的供应商优先以银行、保险公司出具保函的形式替代其它方式的投标保证金，进一步降低企业参与成本。</w:t>
            </w:r>
          </w:p>
          <w:p>
            <w:pPr>
              <w:jc w:val="left"/>
              <w:rPr>
                <w:sz w:val="24"/>
              </w:rPr>
            </w:pPr>
            <w:r>
              <w:rPr>
                <w:sz w:val="24"/>
              </w:rPr>
              <w:t>投标保证金收受人信息：</w:t>
            </w:r>
          </w:p>
          <w:p>
            <w:pPr>
              <w:jc w:val="left"/>
              <w:rPr>
                <w:sz w:val="24"/>
              </w:rPr>
            </w:pPr>
            <w:r>
              <w:rPr>
                <w:rFonts w:hint="eastAsia"/>
                <w:sz w:val="24"/>
              </w:rPr>
              <w:t>递交方式：支票、电汇或有效的银行保函等非现金方式向代理机构缴纳。</w:t>
            </w:r>
          </w:p>
          <w:p>
            <w:pPr>
              <w:jc w:val="left"/>
              <w:rPr>
                <w:sz w:val="24"/>
              </w:rPr>
            </w:pPr>
            <w:r>
              <w:rPr>
                <w:rFonts w:hint="eastAsia"/>
                <w:sz w:val="24"/>
              </w:rPr>
              <w:t>（1）递交要求：</w:t>
            </w:r>
          </w:p>
          <w:p>
            <w:pPr>
              <w:jc w:val="left"/>
              <w:rPr>
                <w:sz w:val="24"/>
              </w:rPr>
            </w:pPr>
            <w:r>
              <w:rPr>
                <w:rFonts w:hint="eastAsia"/>
                <w:sz w:val="24"/>
              </w:rPr>
              <w:t xml:space="preserve">■采用银行汇票、电汇、转账支票等非现金形式，在投标截止时间以前到达下列指定账户：    </w:t>
            </w:r>
          </w:p>
          <w:p>
            <w:pPr>
              <w:jc w:val="left"/>
              <w:rPr>
                <w:sz w:val="24"/>
              </w:rPr>
            </w:pPr>
            <w:r>
              <w:rPr>
                <w:rFonts w:hint="eastAsia"/>
                <w:sz w:val="24"/>
              </w:rPr>
              <w:t>户名：中工国际招标有限公司</w:t>
            </w:r>
          </w:p>
          <w:p>
            <w:pPr>
              <w:jc w:val="left"/>
              <w:rPr>
                <w:sz w:val="24"/>
              </w:rPr>
            </w:pPr>
            <w:r>
              <w:rPr>
                <w:rFonts w:hint="eastAsia"/>
                <w:sz w:val="24"/>
              </w:rPr>
              <w:t>账号：1101041060000011296</w:t>
            </w:r>
          </w:p>
          <w:p>
            <w:pPr>
              <w:jc w:val="left"/>
              <w:rPr>
                <w:sz w:val="24"/>
              </w:rPr>
            </w:pPr>
            <w:r>
              <w:rPr>
                <w:rFonts w:hint="eastAsia"/>
                <w:sz w:val="24"/>
              </w:rPr>
              <w:t>开户行：杭州银行股份有限公司北京分行</w:t>
            </w:r>
          </w:p>
          <w:p>
            <w:pPr>
              <w:jc w:val="left"/>
              <w:rPr>
                <w:sz w:val="24"/>
              </w:rPr>
            </w:pPr>
            <w:r>
              <w:rPr>
                <w:rFonts w:hint="eastAsia"/>
                <w:sz w:val="24"/>
              </w:rPr>
              <w:t>行号：313100090018</w:t>
            </w:r>
          </w:p>
          <w:p>
            <w:pPr>
              <w:jc w:val="left"/>
              <w:rPr>
                <w:sz w:val="24"/>
              </w:rPr>
            </w:pPr>
            <w:r>
              <w:rPr>
                <w:rFonts w:hint="eastAsia"/>
                <w:sz w:val="24"/>
              </w:rPr>
              <w:t>■保函担保方式：</w:t>
            </w:r>
          </w:p>
          <w:p>
            <w:pPr>
              <w:jc w:val="left"/>
              <w:rPr>
                <w:sz w:val="24"/>
              </w:rPr>
            </w:pPr>
            <w:r>
              <w:rPr>
                <w:rFonts w:hint="eastAsia"/>
                <w:sz w:val="24"/>
              </w:rPr>
              <w:t xml:space="preserve">（1）招标采购单位可接受的银行保函为中国银行、中国工商银行、中国建设银行、中国农业银行、民生银行等支行以上机构开具的银行保函。 </w:t>
            </w:r>
          </w:p>
          <w:p>
            <w:pPr>
              <w:jc w:val="left"/>
              <w:rPr>
                <w:sz w:val="24"/>
              </w:rPr>
            </w:pPr>
            <w:r>
              <w:rPr>
                <w:rFonts w:hint="eastAsia"/>
                <w:sz w:val="24"/>
              </w:rPr>
              <w:t>（2）招标采购单位可接受的投标担保函为中国投资担保有限公司、首创投资担保有限责任公司、中关村担保有限公司相关机构开具的投标担保函。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12.7.2</w:t>
            </w:r>
          </w:p>
        </w:tc>
        <w:tc>
          <w:tcPr>
            <w:tcW w:w="1701" w:type="dxa"/>
            <w:vMerge w:val="continue"/>
            <w:vAlign w:val="center"/>
          </w:tcPr>
          <w:p>
            <w:pPr>
              <w:jc w:val="center"/>
              <w:rPr>
                <w:sz w:val="24"/>
              </w:rPr>
            </w:pPr>
          </w:p>
        </w:tc>
        <w:tc>
          <w:tcPr>
            <w:tcW w:w="6889" w:type="dxa"/>
            <w:vAlign w:val="center"/>
          </w:tcPr>
          <w:p>
            <w:pPr>
              <w:jc w:val="left"/>
              <w:rPr>
                <w:sz w:val="24"/>
              </w:rPr>
            </w:pPr>
            <w:r>
              <w:rPr>
                <w:sz w:val="24"/>
              </w:rPr>
              <w:t>投标保证金可以不予退还的其他情形：</w:t>
            </w:r>
          </w:p>
          <w:p>
            <w:pPr>
              <w:jc w:val="left"/>
              <w:rPr>
                <w:sz w:val="24"/>
              </w:rPr>
            </w:pPr>
            <w:r>
              <w:rPr>
                <w:sz w:val="24"/>
              </w:rPr>
              <w:t>□无</w:t>
            </w:r>
          </w:p>
          <w:p>
            <w:pPr>
              <w:pStyle w:val="23"/>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有，具体情形：</w:t>
            </w:r>
          </w:p>
          <w:p>
            <w:pPr>
              <w:pStyle w:val="23"/>
              <w:adjustRightInd w:val="0"/>
              <w:snapToGrid w:val="0"/>
              <w:rPr>
                <w:rFonts w:hint="default" w:ascii="Times New Roman" w:hAnsi="Times New Roman"/>
                <w:sz w:val="24"/>
              </w:rPr>
            </w:pPr>
            <w:r>
              <w:rPr>
                <w:rFonts w:hint="default" w:ascii="Times New Roman" w:hAnsi="Times New Roman"/>
                <w:sz w:val="24"/>
              </w:rPr>
              <w:t>（1）在开标之日后到投标有效期满前，供应商擅自撤销投标的；</w:t>
            </w:r>
          </w:p>
          <w:p>
            <w:pPr>
              <w:pStyle w:val="23"/>
              <w:adjustRightInd w:val="0"/>
              <w:snapToGrid w:val="0"/>
              <w:rPr>
                <w:rFonts w:hint="default" w:ascii="Times New Roman" w:hAnsi="Times New Roman"/>
                <w:sz w:val="24"/>
              </w:rPr>
            </w:pPr>
            <w:r>
              <w:rPr>
                <w:rFonts w:hint="default" w:ascii="Times New Roman" w:hAnsi="Times New Roman"/>
                <w:sz w:val="24"/>
              </w:rPr>
              <w:t>（2）中标供应商不按规定与采购人签订合同的；</w:t>
            </w:r>
          </w:p>
          <w:p>
            <w:pPr>
              <w:pStyle w:val="23"/>
              <w:adjustRightInd w:val="0"/>
              <w:snapToGrid w:val="0"/>
              <w:rPr>
                <w:rFonts w:hint="default" w:ascii="Times New Roman" w:hAnsi="Times New Roman"/>
                <w:sz w:val="24"/>
              </w:rPr>
            </w:pPr>
            <w:r>
              <w:rPr>
                <w:rFonts w:hint="default" w:ascii="Times New Roman" w:hAnsi="Times New Roman"/>
                <w:sz w:val="24"/>
              </w:rPr>
              <w:t>（3）中标供应商不按规定提交履约保证金的；</w:t>
            </w:r>
          </w:p>
          <w:p>
            <w:pPr>
              <w:pStyle w:val="23"/>
              <w:adjustRightInd w:val="0"/>
              <w:snapToGrid w:val="0"/>
              <w:rPr>
                <w:rFonts w:hint="default" w:ascii="Times New Roman" w:hAnsi="Times New Roman"/>
                <w:sz w:val="24"/>
              </w:rPr>
            </w:pPr>
            <w:r>
              <w:rPr>
                <w:rFonts w:hint="default" w:ascii="Times New Roman" w:hAnsi="Times New Roman"/>
                <w:sz w:val="24"/>
              </w:rPr>
              <w:t>（4）中标供应商擅自放弃中标的；</w:t>
            </w:r>
          </w:p>
          <w:p>
            <w:pPr>
              <w:pStyle w:val="23"/>
              <w:adjustRightInd w:val="0"/>
              <w:snapToGrid w:val="0"/>
              <w:rPr>
                <w:rFonts w:hint="default" w:ascii="Times New Roman" w:hAnsi="Times New Roman"/>
                <w:sz w:val="24"/>
                <w:szCs w:val="24"/>
              </w:rPr>
            </w:pPr>
            <w:r>
              <w:rPr>
                <w:rFonts w:hint="default" w:ascii="Times New Roman" w:hAnsi="Times New Roman"/>
                <w:sz w:val="24"/>
              </w:rPr>
              <w:t>（5）中标供应商未按招标文件规定按时足额缴纳中标服务费的。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pPr>
              <w:jc w:val="center"/>
              <w:rPr>
                <w:sz w:val="24"/>
              </w:rPr>
            </w:pPr>
            <w:r>
              <w:rPr>
                <w:sz w:val="24"/>
              </w:rPr>
              <w:t>投标有效期</w:t>
            </w:r>
          </w:p>
        </w:tc>
        <w:tc>
          <w:tcPr>
            <w:tcW w:w="6889" w:type="dxa"/>
            <w:vAlign w:val="center"/>
          </w:tcPr>
          <w:p>
            <w:pPr>
              <w:jc w:val="left"/>
              <w:rPr>
                <w:sz w:val="24"/>
              </w:rPr>
            </w:pPr>
            <w:r>
              <w:rPr>
                <w:sz w:val="24"/>
              </w:rPr>
              <w:t>自提交投标文件的截止之日起算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pPr>
              <w:jc w:val="center"/>
              <w:rPr>
                <w:sz w:val="24"/>
              </w:rPr>
            </w:pPr>
            <w:r>
              <w:rPr>
                <w:sz w:val="24"/>
              </w:rPr>
              <w:t>确定中标人</w:t>
            </w:r>
          </w:p>
        </w:tc>
        <w:tc>
          <w:tcPr>
            <w:tcW w:w="6889" w:type="dxa"/>
            <w:vAlign w:val="center"/>
          </w:tcPr>
          <w:p>
            <w:pPr>
              <w:pStyle w:val="23"/>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pPr>
              <w:pStyle w:val="23"/>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否</w:t>
            </w:r>
          </w:p>
          <w:p>
            <w:pPr>
              <w:pStyle w:val="23"/>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是</w:t>
            </w:r>
          </w:p>
          <w:p>
            <w:pPr>
              <w:pStyle w:val="23"/>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pPr>
              <w:pStyle w:val="23"/>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得分且投标报价均相同的，以</w:t>
            </w:r>
            <w:r>
              <w:rPr>
                <w:rFonts w:hint="default" w:ascii="Times New Roman" w:hAnsi="Times New Roman"/>
                <w:sz w:val="24"/>
                <w:u w:val="single"/>
              </w:rPr>
              <w:t>技术</w:t>
            </w:r>
            <w:r>
              <w:rPr>
                <w:rFonts w:ascii="Times New Roman" w:hAnsi="Times New Roman"/>
                <w:sz w:val="24"/>
                <w:u w:val="single"/>
              </w:rPr>
              <w:t>服务方案</w:t>
            </w:r>
            <w:r>
              <w:rPr>
                <w:rFonts w:hint="default" w:ascii="Times New Roman" w:hAnsi="Times New Roman"/>
                <w:sz w:val="24"/>
              </w:rPr>
              <w:t>得分高者为中标人</w:t>
            </w:r>
          </w:p>
          <w:p>
            <w:pPr>
              <w:jc w:val="left"/>
              <w:rPr>
                <w:sz w:val="24"/>
                <w:u w:val="single"/>
              </w:rPr>
            </w:pPr>
            <w:r>
              <w:rPr>
                <w:rFonts w:hint="eastAsia"/>
                <w:sz w:val="24"/>
              </w:rPr>
              <w:t>□</w:t>
            </w: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pPr>
              <w:jc w:val="center"/>
              <w:rPr>
                <w:sz w:val="24"/>
              </w:rPr>
            </w:pPr>
            <w:r>
              <w:rPr>
                <w:sz w:val="24"/>
              </w:rPr>
              <w:t>分包</w:t>
            </w:r>
          </w:p>
        </w:tc>
        <w:tc>
          <w:tcPr>
            <w:tcW w:w="6889" w:type="dxa"/>
            <w:vAlign w:val="center"/>
          </w:tcPr>
          <w:p>
            <w:pPr>
              <w:jc w:val="left"/>
              <w:rPr>
                <w:sz w:val="24"/>
              </w:rPr>
            </w:pPr>
            <w:r>
              <w:rPr>
                <w:sz w:val="24"/>
              </w:rPr>
              <w:t xml:space="preserve">本项目的非主体、非关键性工作是否允许分包： </w:t>
            </w:r>
          </w:p>
          <w:p>
            <w:pPr>
              <w:jc w:val="left"/>
              <w:rPr>
                <w:sz w:val="24"/>
              </w:rPr>
            </w:pPr>
            <w:r>
              <w:rPr>
                <w:rFonts w:hint="eastAsia"/>
                <w:sz w:val="24"/>
              </w:rPr>
              <w:t>☑</w:t>
            </w:r>
            <w:r>
              <w:rPr>
                <w:sz w:val="24"/>
              </w:rPr>
              <w:t>不允许</w:t>
            </w:r>
          </w:p>
          <w:p>
            <w:pPr>
              <w:jc w:val="left"/>
              <w:rPr>
                <w:sz w:val="24"/>
              </w:rPr>
            </w:pPr>
            <w:r>
              <w:rPr>
                <w:sz w:val="24"/>
              </w:rPr>
              <w:t>□允许，具体要求：</w:t>
            </w:r>
          </w:p>
          <w:p>
            <w:pPr>
              <w:jc w:val="left"/>
              <w:rPr>
                <w:sz w:val="24"/>
              </w:rPr>
            </w:pPr>
            <w:r>
              <w:rPr>
                <w:sz w:val="24"/>
              </w:rPr>
              <w:t>（1）可以分包履行的具体内容：_____；</w:t>
            </w:r>
          </w:p>
          <w:p>
            <w:pPr>
              <w:jc w:val="left"/>
              <w:rPr>
                <w:sz w:val="24"/>
              </w:rPr>
            </w:pPr>
            <w:r>
              <w:rPr>
                <w:sz w:val="24"/>
              </w:rPr>
              <w:t>（2）允许分包的金额或者比例：_____；</w:t>
            </w:r>
          </w:p>
          <w:p>
            <w:pPr>
              <w:jc w:val="left"/>
              <w:rPr>
                <w:sz w:val="24"/>
                <w:u w:val="single"/>
              </w:rPr>
            </w:pPr>
            <w:r>
              <w:rPr>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pPr>
              <w:jc w:val="center"/>
              <w:rPr>
                <w:sz w:val="24"/>
              </w:rPr>
            </w:pPr>
            <w:r>
              <w:rPr>
                <w:sz w:val="24"/>
              </w:rPr>
              <w:t>询问</w:t>
            </w:r>
          </w:p>
        </w:tc>
        <w:tc>
          <w:tcPr>
            <w:tcW w:w="6889" w:type="dxa"/>
            <w:vAlign w:val="center"/>
          </w:tcPr>
          <w:p>
            <w:pPr>
              <w:jc w:val="left"/>
              <w:rPr>
                <w:sz w:val="24"/>
              </w:rPr>
            </w:pPr>
            <w:r>
              <w:rPr>
                <w:sz w:val="24"/>
              </w:rPr>
              <w:t>询问送达形式：</w:t>
            </w:r>
            <w:r>
              <w:rPr>
                <w:rFonts w:hint="eastAsia"/>
                <w:sz w:val="24"/>
                <w:u w:val="singl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pPr>
              <w:jc w:val="center"/>
              <w:rPr>
                <w:sz w:val="24"/>
              </w:rPr>
            </w:pPr>
            <w:r>
              <w:rPr>
                <w:sz w:val="24"/>
              </w:rPr>
              <w:t>联系方式</w:t>
            </w:r>
          </w:p>
        </w:tc>
        <w:tc>
          <w:tcPr>
            <w:tcW w:w="6889" w:type="dxa"/>
            <w:vAlign w:val="center"/>
          </w:tcPr>
          <w:p>
            <w:pPr>
              <w:jc w:val="left"/>
              <w:rPr>
                <w:sz w:val="24"/>
              </w:rPr>
            </w:pPr>
            <w:r>
              <w:rPr>
                <w:sz w:val="24"/>
              </w:rPr>
              <w:t>接收询问和质疑的联系方式</w:t>
            </w:r>
          </w:p>
          <w:p>
            <w:pPr>
              <w:jc w:val="left"/>
              <w:rPr>
                <w:sz w:val="24"/>
              </w:rPr>
            </w:pPr>
            <w:r>
              <w:rPr>
                <w:sz w:val="24"/>
              </w:rPr>
              <w:t>联系部门：</w:t>
            </w:r>
            <w:r>
              <w:rPr>
                <w:rFonts w:hint="eastAsia"/>
                <w:sz w:val="24"/>
                <w:u w:val="single"/>
              </w:rPr>
              <w:t>中工国际招标有限公司</w:t>
            </w:r>
            <w:r>
              <w:rPr>
                <w:sz w:val="24"/>
              </w:rPr>
              <w:t>；</w:t>
            </w:r>
          </w:p>
          <w:p>
            <w:pPr>
              <w:jc w:val="left"/>
              <w:rPr>
                <w:sz w:val="24"/>
              </w:rPr>
            </w:pPr>
            <w:r>
              <w:rPr>
                <w:sz w:val="24"/>
              </w:rPr>
              <w:t>联系电话：</w:t>
            </w:r>
            <w:r>
              <w:rPr>
                <w:rFonts w:hint="eastAsia"/>
                <w:sz w:val="24"/>
                <w:u w:val="single"/>
              </w:rPr>
              <w:t>010-82952950-823</w:t>
            </w:r>
            <w:r>
              <w:rPr>
                <w:sz w:val="24"/>
              </w:rPr>
              <w:t>；</w:t>
            </w:r>
          </w:p>
          <w:p>
            <w:pPr>
              <w:jc w:val="left"/>
              <w:rPr>
                <w:sz w:val="24"/>
              </w:rPr>
            </w:pPr>
            <w:r>
              <w:rPr>
                <w:sz w:val="24"/>
              </w:rPr>
              <w:t>通讯地址：</w:t>
            </w:r>
            <w:r>
              <w:rPr>
                <w:rFonts w:hint="eastAsia"/>
                <w:sz w:val="24"/>
                <w:u w:val="single"/>
              </w:rPr>
              <w:t>北京市朝阳区慧忠东路5号远大中心C座2层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代理费</w:t>
            </w:r>
          </w:p>
        </w:tc>
        <w:tc>
          <w:tcPr>
            <w:tcW w:w="688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sz w:val="24"/>
              </w:rPr>
              <w:t>收费对象：</w:t>
            </w:r>
          </w:p>
          <w:p>
            <w:pPr>
              <w:jc w:val="left"/>
              <w:rPr>
                <w:sz w:val="24"/>
              </w:rPr>
            </w:pPr>
            <w:r>
              <w:rPr>
                <w:sz w:val="24"/>
              </w:rPr>
              <w:t>□采购人</w:t>
            </w:r>
          </w:p>
          <w:p>
            <w:pPr>
              <w:jc w:val="left"/>
              <w:rPr>
                <w:sz w:val="24"/>
              </w:rPr>
            </w:pPr>
            <w:r>
              <w:rPr>
                <w:rFonts w:hint="eastAsia"/>
                <w:sz w:val="24"/>
              </w:rPr>
              <w:t>☑</w:t>
            </w:r>
            <w:r>
              <w:rPr>
                <w:sz w:val="24"/>
              </w:rPr>
              <w:t>中标人</w:t>
            </w:r>
          </w:p>
          <w:p>
            <w:pPr>
              <w:jc w:val="left"/>
              <w:rPr>
                <w:sz w:val="24"/>
              </w:rPr>
            </w:pPr>
            <w:r>
              <w:rPr>
                <w:sz w:val="24"/>
              </w:rPr>
              <w:t>收费标准：参照《招标代理服务收费管理暂行办法》（计价格﹝2002﹞ 1980 号）规定的招标代理服务收费标准，以中标总价为基数按差额定率累进法计算；</w:t>
            </w:r>
          </w:p>
          <w:p>
            <w:pPr>
              <w:jc w:val="left"/>
              <w:rPr>
                <w:sz w:val="24"/>
              </w:rPr>
            </w:pPr>
            <w:r>
              <w:rPr>
                <w:sz w:val="24"/>
              </w:rPr>
              <w:t>缴纳时间：中标人领取中标通知书时以电汇方式一次性支付全款。</w:t>
            </w:r>
          </w:p>
          <w:p>
            <w:pPr>
              <w:jc w:val="left"/>
              <w:rPr>
                <w:sz w:val="24"/>
              </w:rPr>
            </w:pPr>
            <w:r>
              <w:rPr>
                <w:rFonts w:hint="eastAsia"/>
                <w:sz w:val="24"/>
              </w:rPr>
              <w:t>缴纳账户信息：</w:t>
            </w:r>
          </w:p>
          <w:p>
            <w:pPr>
              <w:jc w:val="left"/>
              <w:rPr>
                <w:sz w:val="24"/>
              </w:rPr>
            </w:pPr>
            <w:r>
              <w:rPr>
                <w:rFonts w:hint="eastAsia"/>
                <w:sz w:val="24"/>
              </w:rPr>
              <w:t>账户名称：中工国际招标有限公司</w:t>
            </w:r>
          </w:p>
          <w:p>
            <w:pPr>
              <w:jc w:val="left"/>
              <w:rPr>
                <w:sz w:val="24"/>
              </w:rPr>
            </w:pPr>
            <w:r>
              <w:rPr>
                <w:rFonts w:hint="eastAsia"/>
                <w:sz w:val="24"/>
              </w:rPr>
              <w:t>开 户 行：中国工商银行西三旗支行</w:t>
            </w:r>
          </w:p>
          <w:p>
            <w:pPr>
              <w:jc w:val="left"/>
              <w:rPr>
                <w:sz w:val="24"/>
              </w:rPr>
            </w:pPr>
            <w:r>
              <w:rPr>
                <w:rFonts w:hint="eastAsia"/>
                <w:sz w:val="24"/>
              </w:rPr>
              <w:t xml:space="preserve">账    号：0200240109200060854 </w:t>
            </w:r>
          </w:p>
          <w:p>
            <w:pPr>
              <w:jc w:val="left"/>
              <w:rPr>
                <w:sz w:val="24"/>
              </w:rPr>
            </w:pPr>
            <w:r>
              <w:rPr>
                <w:rFonts w:hint="eastAsia"/>
                <w:sz w:val="24"/>
              </w:rPr>
              <w:t>备注：中标服务费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28</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签署、盖章</w:t>
            </w:r>
          </w:p>
        </w:tc>
        <w:tc>
          <w:tcPr>
            <w:tcW w:w="6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line="360" w:lineRule="auto"/>
              <w:jc w:val="left"/>
              <w:rPr>
                <w:rFonts w:ascii="宋体" w:hAnsi="宋体" w:cs="宋体"/>
                <w:kern w:val="0"/>
                <w:sz w:val="24"/>
                <w:lang w:val="zh-CN"/>
              </w:rPr>
            </w:pPr>
            <w:r>
              <w:rPr>
                <w:rFonts w:hint="eastAsia" w:ascii="宋体" w:hAnsi="宋体" w:cs="宋体"/>
                <w:kern w:val="0"/>
                <w:sz w:val="24"/>
                <w:lang w:val="zh-CN"/>
              </w:rPr>
              <w:t>开标一览表、投标文件按招标文件要求有效签署并加盖供应商单位公章。招标文件中要求的盖章，除特殊标注外，是指行政公章，其他合同专用章、投标专用章等无效。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29</w:t>
            </w:r>
          </w:p>
        </w:tc>
        <w:tc>
          <w:tcPr>
            <w:tcW w:w="1701" w:type="dxa"/>
            <w:vAlign w:val="center"/>
          </w:tcPr>
          <w:p>
            <w:pPr>
              <w:autoSpaceDE w:val="0"/>
              <w:autoSpaceDN w:val="0"/>
              <w:spacing w:before="120" w:line="360" w:lineRule="auto"/>
              <w:jc w:val="center"/>
              <w:rPr>
                <w:rFonts w:ascii="宋体" w:hAnsi="宋体" w:cs="宋体"/>
                <w:kern w:val="0"/>
                <w:sz w:val="24"/>
              </w:rPr>
            </w:pPr>
            <w:r>
              <w:rPr>
                <w:rFonts w:hint="eastAsia" w:ascii="宋体" w:hAnsi="宋体" w:cs="宋体"/>
                <w:kern w:val="0"/>
                <w:sz w:val="24"/>
              </w:rPr>
              <w:t>虚假材料</w:t>
            </w:r>
          </w:p>
        </w:tc>
        <w:tc>
          <w:tcPr>
            <w:tcW w:w="6889" w:type="dxa"/>
            <w:vAlign w:val="center"/>
          </w:tcPr>
          <w:p>
            <w:pPr>
              <w:autoSpaceDE w:val="0"/>
              <w:autoSpaceDN w:val="0"/>
              <w:spacing w:before="120" w:line="360" w:lineRule="auto"/>
              <w:jc w:val="left"/>
              <w:rPr>
                <w:rFonts w:ascii="宋体" w:hAnsi="宋体" w:cs="宋体"/>
                <w:kern w:val="0"/>
                <w:sz w:val="24"/>
                <w:lang w:val="zh-CN"/>
              </w:rPr>
            </w:pPr>
            <w:r>
              <w:rPr>
                <w:rFonts w:hint="eastAsia" w:ascii="宋体" w:hAnsi="宋体" w:cs="宋体"/>
                <w:kern w:val="0"/>
                <w:sz w:val="24"/>
                <w:lang w:val="zh-CN"/>
              </w:rPr>
              <w:t>供应商如果在投标文件中提供了虚假材料，在任何时候采购人都有权否决其投标，并视情况追究其责任。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8" w:type="dxa"/>
            <w:vAlign w:val="center"/>
          </w:tcPr>
          <w:p>
            <w:pPr>
              <w:pStyle w:val="23"/>
              <w:adjustRightInd w:val="0"/>
              <w:snapToGrid w:val="0"/>
              <w:jc w:val="center"/>
              <w:rPr>
                <w:rFonts w:hint="default" w:hAnsi="宋体" w:cs="宋体"/>
                <w:kern w:val="0"/>
                <w:sz w:val="24"/>
                <w:lang w:val="zh-CN"/>
              </w:rPr>
            </w:pPr>
            <w:r>
              <w:rPr>
                <w:rFonts w:hAnsi="宋体" w:cs="宋体"/>
                <w:kern w:val="0"/>
                <w:sz w:val="24"/>
                <w:szCs w:val="24"/>
              </w:rPr>
              <w:t>30</w:t>
            </w:r>
          </w:p>
        </w:tc>
        <w:tc>
          <w:tcPr>
            <w:tcW w:w="1701" w:type="dxa"/>
            <w:vAlign w:val="center"/>
          </w:tcPr>
          <w:p>
            <w:pPr>
              <w:autoSpaceDE w:val="0"/>
              <w:autoSpaceDN w:val="0"/>
              <w:spacing w:before="120" w:line="360" w:lineRule="auto"/>
              <w:jc w:val="center"/>
              <w:rPr>
                <w:rFonts w:ascii="宋体" w:hAnsi="宋体" w:cs="宋体"/>
                <w:kern w:val="0"/>
                <w:sz w:val="24"/>
              </w:rPr>
            </w:pPr>
            <w:r>
              <w:rPr>
                <w:rFonts w:hint="eastAsia" w:ascii="宋体" w:hAnsi="宋体" w:cs="宋体"/>
                <w:kern w:val="0"/>
                <w:sz w:val="24"/>
                <w:lang w:val="zh-CN"/>
              </w:rPr>
              <w:t>履约保证金</w:t>
            </w:r>
          </w:p>
        </w:tc>
        <w:tc>
          <w:tcPr>
            <w:tcW w:w="6889" w:type="dxa"/>
            <w:vAlign w:val="center"/>
          </w:tcPr>
          <w:p>
            <w:pPr>
              <w:autoSpaceDE w:val="0"/>
              <w:autoSpaceDN w:val="0"/>
              <w:spacing w:before="120"/>
              <w:jc w:val="left"/>
              <w:rPr>
                <w:rFonts w:ascii="宋体" w:hAnsi="宋体" w:cs="宋体"/>
                <w:kern w:val="0"/>
                <w:sz w:val="24"/>
                <w:lang w:val="zh-CN"/>
              </w:rPr>
            </w:pPr>
            <w:r>
              <w:rPr>
                <w:rFonts w:hint="eastAsia" w:ascii="宋体" w:hAnsi="宋体" w:cs="宋体"/>
                <w:kern w:val="0"/>
                <w:sz w:val="24"/>
                <w:lang w:val="zh-CN"/>
              </w:rPr>
              <w:t>1、提交履约保证金的时间：签订合同后</w:t>
            </w:r>
            <w:r>
              <w:rPr>
                <w:rFonts w:hint="eastAsia" w:ascii="宋体" w:hAnsi="宋体" w:cs="宋体"/>
                <w:kern w:val="0"/>
                <w:sz w:val="24"/>
                <w:u w:val="single"/>
                <w:lang w:val="zh-CN"/>
              </w:rPr>
              <w:t xml:space="preserve"> 7 </w:t>
            </w:r>
            <w:r>
              <w:rPr>
                <w:rFonts w:hint="eastAsia" w:ascii="宋体" w:hAnsi="宋体" w:cs="宋体"/>
                <w:kern w:val="0"/>
                <w:sz w:val="24"/>
                <w:lang w:val="zh-CN"/>
              </w:rPr>
              <w:t>个工作日内</w:t>
            </w:r>
          </w:p>
          <w:p>
            <w:pPr>
              <w:autoSpaceDE w:val="0"/>
              <w:autoSpaceDN w:val="0"/>
              <w:spacing w:before="120"/>
              <w:jc w:val="left"/>
              <w:rPr>
                <w:rFonts w:ascii="宋体" w:hAnsi="宋体" w:cs="宋体"/>
                <w:kern w:val="0"/>
                <w:sz w:val="24"/>
                <w:lang w:val="zh-CN"/>
              </w:rPr>
            </w:pPr>
            <w:r>
              <w:rPr>
                <w:rFonts w:hint="eastAsia" w:ascii="宋体" w:hAnsi="宋体" w:cs="宋体"/>
                <w:kern w:val="0"/>
                <w:sz w:val="24"/>
                <w:lang w:val="zh-CN"/>
              </w:rPr>
              <w:t>2、履约保证金金额：合同总金额的</w:t>
            </w:r>
            <w:r>
              <w:rPr>
                <w:rFonts w:hint="eastAsia" w:ascii="宋体" w:hAnsi="宋体" w:cs="宋体"/>
                <w:kern w:val="0"/>
                <w:sz w:val="24"/>
                <w:u w:val="single"/>
                <w:lang w:val="zh-CN"/>
              </w:rPr>
              <w:t>10</w:t>
            </w:r>
            <w:r>
              <w:rPr>
                <w:rFonts w:hint="eastAsia" w:ascii="宋体" w:hAnsi="宋体" w:cs="宋体"/>
                <w:kern w:val="0"/>
                <w:sz w:val="24"/>
                <w:lang w:val="zh-CN"/>
              </w:rPr>
              <w:t>%。</w:t>
            </w:r>
          </w:p>
          <w:p>
            <w:pPr>
              <w:autoSpaceDE w:val="0"/>
              <w:autoSpaceDN w:val="0"/>
              <w:spacing w:before="120"/>
              <w:jc w:val="left"/>
              <w:rPr>
                <w:rFonts w:ascii="宋体" w:hAnsi="宋体" w:cs="宋体"/>
                <w:kern w:val="0"/>
                <w:sz w:val="24"/>
                <w:lang w:val="zh-CN"/>
              </w:rPr>
            </w:pPr>
            <w:r>
              <w:rPr>
                <w:rFonts w:hint="eastAsia" w:ascii="宋体" w:hAnsi="宋体" w:cs="宋体"/>
                <w:kern w:val="0"/>
                <w:sz w:val="24"/>
                <w:lang w:val="zh-CN"/>
              </w:rPr>
              <w:t>3、递交形式；通过银行转账</w:t>
            </w:r>
            <w:r>
              <w:rPr>
                <w:rFonts w:hint="eastAsia" w:ascii="宋体" w:hAnsi="宋体" w:cs="宋体"/>
                <w:kern w:val="0"/>
                <w:sz w:val="24"/>
                <w:lang w:val="en-US" w:eastAsia="zh-CN"/>
              </w:rPr>
              <w:t>或支票</w:t>
            </w:r>
            <w:r>
              <w:rPr>
                <w:rFonts w:hint="eastAsia" w:ascii="宋体" w:hAnsi="宋体" w:cs="宋体"/>
                <w:kern w:val="0"/>
                <w:sz w:val="24"/>
                <w:lang w:val="zh-CN"/>
              </w:rPr>
              <w:t>的方式</w:t>
            </w:r>
            <w:r>
              <w:rPr>
                <w:rFonts w:hint="eastAsia" w:ascii="宋体" w:hAnsi="宋体" w:cs="宋体"/>
                <w:kern w:val="0"/>
                <w:sz w:val="24"/>
                <w:lang w:val="en-US" w:eastAsia="zh-CN"/>
              </w:rPr>
              <w:t>递交</w:t>
            </w:r>
            <w:r>
              <w:rPr>
                <w:rFonts w:hint="eastAsia" w:ascii="宋体" w:hAnsi="宋体" w:cs="宋体"/>
                <w:kern w:val="0"/>
                <w:sz w:val="24"/>
                <w:lang w:val="zh-CN"/>
              </w:rPr>
              <w:t>。</w:t>
            </w:r>
          </w:p>
        </w:tc>
      </w:tr>
    </w:tbl>
    <w:p>
      <w:pPr>
        <w:tabs>
          <w:tab w:val="left" w:pos="5580"/>
        </w:tabs>
        <w:adjustRightInd w:val="0"/>
        <w:spacing w:line="360" w:lineRule="auto"/>
        <w:jc w:val="distribute"/>
        <w:rPr>
          <w:sz w:val="24"/>
        </w:rPr>
        <w:sectPr>
          <w:pgSz w:w="11907" w:h="16840"/>
          <w:pgMar w:top="1418" w:right="1134" w:bottom="1418" w:left="1701" w:header="851" w:footer="851" w:gutter="0"/>
          <w:cols w:space="720" w:num="1"/>
          <w:titlePg/>
          <w:docGrid w:linePitch="462" w:charSpace="0"/>
        </w:sect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Pr>
        <w:spacing w:before="240" w:beforeLines="100" w:after="240" w:afterLines="100"/>
        <w:jc w:val="center"/>
        <w:rPr>
          <w:b/>
          <w:sz w:val="28"/>
          <w:szCs w:val="28"/>
        </w:rPr>
      </w:pPr>
      <w:bookmarkStart w:id="72" w:name="_Hlt487900425"/>
      <w:bookmarkEnd w:id="72"/>
      <w:bookmarkStart w:id="73" w:name="_Hlt522424701"/>
      <w:bookmarkEnd w:id="73"/>
      <w:bookmarkStart w:id="74" w:name="_Toc353873662"/>
      <w:bookmarkStart w:id="75" w:name="_Toc127151517"/>
      <w:bookmarkStart w:id="76" w:name="_Toc150774722"/>
      <w:bookmarkStart w:id="77" w:name="_Toc264969207"/>
      <w:bookmarkStart w:id="78" w:name="_Toc265228355"/>
      <w:bookmarkStart w:id="79" w:name="_Toc226337213"/>
      <w:bookmarkStart w:id="80" w:name="_Toc353873932"/>
      <w:bookmarkStart w:id="81" w:name="_Toc150480755"/>
      <w:bookmarkStart w:id="82" w:name="_Toc353825542"/>
      <w:bookmarkStart w:id="83" w:name="_Toc305158785"/>
      <w:bookmarkStart w:id="84" w:name="_Toc226965790"/>
      <w:bookmarkStart w:id="85" w:name="_Toc142311019"/>
      <w:bookmarkStart w:id="86" w:name="_Toc195842882"/>
      <w:bookmarkStart w:id="87" w:name="_Toc305158859"/>
      <w:bookmarkStart w:id="88" w:name="_Toc353825544"/>
      <w:bookmarkStart w:id="89" w:name="_Toc142311056"/>
      <w:bookmarkStart w:id="90" w:name="_Toc353873934"/>
      <w:bookmarkStart w:id="91" w:name="_Toc226337250"/>
      <w:bookmarkStart w:id="92" w:name="_Toc150774759"/>
      <w:bookmarkStart w:id="93" w:name="_Toc305158822"/>
      <w:bookmarkStart w:id="94" w:name="_Toc226965827"/>
      <w:bookmarkStart w:id="95" w:name="_Toc150480792"/>
      <w:bookmarkStart w:id="96" w:name="_Toc127151554"/>
      <w:bookmarkStart w:id="97" w:name="_Toc265228392"/>
      <w:bookmarkStart w:id="98" w:name="_Toc353873664"/>
      <w:bookmarkStart w:id="99" w:name="_Toc264969244"/>
      <w:bookmarkStart w:id="100" w:name="_Toc305158896"/>
      <w:bookmarkStart w:id="101" w:name="_Toc99301421"/>
      <w:bookmarkStart w:id="102" w:name="_Toc127161490"/>
      <w:bookmarkStart w:id="103" w:name="_Toc127151779"/>
      <w:bookmarkStart w:id="104" w:name="_Toc353825550"/>
      <w:bookmarkStart w:id="105" w:name="_Toc353873940"/>
      <w:bookmarkStart w:id="106" w:name="_Toc226965858"/>
      <w:r>
        <w:rPr>
          <w:b/>
          <w:sz w:val="28"/>
          <w:szCs w:val="28"/>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4"/>
        <w:tabs>
          <w:tab w:val="center" w:pos="4592"/>
          <w:tab w:val="left" w:pos="7860"/>
        </w:tabs>
        <w:spacing w:before="0" w:line="360" w:lineRule="auto"/>
        <w:jc w:val="left"/>
        <w:rPr>
          <w:rFonts w:ascii="Times New Roman" w:hAnsi="Times New Roman" w:eastAsia="宋体"/>
          <w:sz w:val="28"/>
        </w:rPr>
      </w:pPr>
      <w:bookmarkStart w:id="107" w:name="_Toc520356143"/>
      <w:bookmarkStart w:id="108" w:name="_Toc127151518"/>
      <w:r>
        <w:rPr>
          <w:rFonts w:ascii="Times New Roman" w:hAnsi="Times New Roman" w:eastAsia="宋体"/>
          <w:sz w:val="28"/>
        </w:rPr>
        <w:tab/>
      </w:r>
      <w:bookmarkStart w:id="109" w:name="_Toc226309762"/>
      <w:bookmarkStart w:id="110" w:name="_Toc150509269"/>
      <w:bookmarkStart w:id="111" w:name="_Toc151190145"/>
      <w:bookmarkStart w:id="112" w:name="_Toc150774723"/>
      <w:bookmarkStart w:id="113" w:name="_Toc150774618"/>
      <w:bookmarkStart w:id="114" w:name="_Toc151193688"/>
      <w:bookmarkStart w:id="115" w:name="_Toc151193906"/>
      <w:bookmarkStart w:id="116" w:name="_Toc195842883"/>
      <w:bookmarkStart w:id="117" w:name="_Toc226337214"/>
      <w:bookmarkStart w:id="118" w:name="_Toc150480756"/>
      <w:bookmarkStart w:id="119" w:name="_Toc265228356"/>
      <w:bookmarkStart w:id="120" w:name="_Toc226965708"/>
      <w:bookmarkStart w:id="121" w:name="_Toc226965791"/>
      <w:bookmarkStart w:id="122" w:name="_Toc305158786"/>
      <w:bookmarkStart w:id="123" w:name="_Toc305158860"/>
      <w:bookmarkStart w:id="124" w:name="_Toc151193760"/>
      <w:bookmarkStart w:id="125" w:name="_Toc142311020"/>
      <w:bookmarkStart w:id="126" w:name="_Toc151193832"/>
      <w:bookmarkStart w:id="127" w:name="_Toc151193616"/>
      <w:bookmarkStart w:id="128" w:name="_Toc264969208"/>
      <w:r>
        <w:rPr>
          <w:rFonts w:ascii="Times New Roman" w:hAnsi="Times New Roman" w:eastAsia="宋体"/>
          <w:sz w:val="28"/>
        </w:rPr>
        <w:t>一   说  明</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Times New Roman" w:hAnsi="Times New Roman" w:eastAsia="宋体"/>
          <w:sz w:val="28"/>
        </w:rPr>
        <w:tab/>
      </w:r>
    </w:p>
    <w:p>
      <w:pPr>
        <w:numPr>
          <w:ilvl w:val="0"/>
          <w:numId w:val="8"/>
        </w:numPr>
        <w:tabs>
          <w:tab w:val="left" w:pos="360"/>
          <w:tab w:val="clear" w:pos="900"/>
        </w:tabs>
        <w:snapToGrid w:val="0"/>
        <w:spacing w:line="360" w:lineRule="auto"/>
        <w:ind w:left="357" w:hanging="357"/>
        <w:outlineLvl w:val="1"/>
        <w:rPr>
          <w:sz w:val="24"/>
        </w:rPr>
      </w:pPr>
      <w:bookmarkStart w:id="129" w:name="_Toc264969209"/>
      <w:bookmarkStart w:id="130" w:name="_Toc265228357"/>
      <w:bookmarkStart w:id="131" w:name="_Toc305158861"/>
      <w:bookmarkStart w:id="132" w:name="_Toc305158787"/>
      <w:r>
        <w:rPr>
          <w:sz w:val="24"/>
        </w:rPr>
        <w:t>采购人、采购代理机构、投标人</w:t>
      </w:r>
      <w:bookmarkEnd w:id="129"/>
      <w:bookmarkEnd w:id="130"/>
      <w:bookmarkEnd w:id="131"/>
      <w:bookmarkEnd w:id="132"/>
      <w:r>
        <w:rPr>
          <w:rFonts w:hint="eastAsia"/>
          <w:sz w:val="24"/>
        </w:rPr>
        <w:t>、联合体</w:t>
      </w:r>
    </w:p>
    <w:p>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pPr>
        <w:numPr>
          <w:ilvl w:val="1"/>
          <w:numId w:val="8"/>
        </w:numPr>
        <w:tabs>
          <w:tab w:val="left" w:pos="1080"/>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sz w:val="24"/>
        </w:rPr>
      </w:pPr>
      <w:bookmarkStart w:id="133" w:name="_Toc164608634"/>
      <w:bookmarkStart w:id="134" w:name="_Toc164351614"/>
      <w:bookmarkStart w:id="135" w:name="_Toc226337216"/>
      <w:bookmarkStart w:id="136" w:name="_Toc305158788"/>
      <w:bookmarkStart w:id="137" w:name="_Toc150774620"/>
      <w:bookmarkStart w:id="138" w:name="_Toc151193762"/>
      <w:bookmarkStart w:id="139" w:name="_Toc226965793"/>
      <w:bookmarkStart w:id="140" w:name="_Toc150509271"/>
      <w:bookmarkStart w:id="141" w:name="_Toc151193834"/>
      <w:bookmarkStart w:id="142" w:name="_Toc305158862"/>
      <w:bookmarkStart w:id="143" w:name="_Toc127161434"/>
      <w:bookmarkStart w:id="144" w:name="_Toc226965710"/>
      <w:bookmarkStart w:id="145" w:name="_Toc164229361"/>
      <w:bookmarkStart w:id="146" w:name="_Toc151193618"/>
      <w:bookmarkStart w:id="147" w:name="_Toc226309764"/>
      <w:bookmarkStart w:id="148" w:name="_Toc195842885"/>
      <w:bookmarkStart w:id="149" w:name="_Toc150480758"/>
      <w:bookmarkStart w:id="150" w:name="_Toc264969210"/>
      <w:bookmarkStart w:id="151" w:name="_Toc150774725"/>
      <w:bookmarkStart w:id="152" w:name="_Toc151193908"/>
      <w:bookmarkStart w:id="153" w:name="_Toc142311022"/>
      <w:bookmarkStart w:id="154" w:name="_Toc164608789"/>
      <w:bookmarkStart w:id="155" w:name="_Toc149720813"/>
      <w:bookmarkStart w:id="156" w:name="_Toc151190147"/>
      <w:bookmarkStart w:id="157" w:name="_Toc164229215"/>
      <w:bookmarkStart w:id="158" w:name="_Toc127151721"/>
      <w:bookmarkStart w:id="159" w:name="_Toc127151520"/>
      <w:bookmarkStart w:id="160" w:name="_Toc151193690"/>
      <w:bookmarkStart w:id="161" w:name="_Toc265228358"/>
      <w:r>
        <w:rPr>
          <w:sz w:val="24"/>
        </w:rPr>
        <w:t>资金来源</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sz w:val="24"/>
        </w:rPr>
        <w:t>、项目属性、科研仪器设备采购、核心产品</w:t>
      </w:r>
    </w:p>
    <w:p>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pPr>
        <w:numPr>
          <w:ilvl w:val="0"/>
          <w:numId w:val="8"/>
        </w:numPr>
        <w:tabs>
          <w:tab w:val="left" w:pos="360"/>
        </w:tabs>
        <w:snapToGrid w:val="0"/>
        <w:spacing w:line="360" w:lineRule="auto"/>
        <w:ind w:left="357" w:hanging="357"/>
        <w:outlineLvl w:val="1"/>
        <w:rPr>
          <w:sz w:val="24"/>
        </w:rPr>
      </w:pPr>
      <w:r>
        <w:rPr>
          <w:sz w:val="24"/>
        </w:rPr>
        <w:t>现场考察、开标前答疑会</w:t>
      </w:r>
    </w:p>
    <w:p>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62" w:name="_Toc226309766"/>
      <w:bookmarkStart w:id="163" w:name="_Toc151193764"/>
      <w:bookmarkStart w:id="164" w:name="_Toc520356146"/>
      <w:bookmarkStart w:id="165" w:name="_Toc151190149"/>
      <w:bookmarkStart w:id="166" w:name="_Toc226337218"/>
      <w:bookmarkStart w:id="167" w:name="_Toc195842887"/>
      <w:bookmarkStart w:id="168" w:name="_Toc150509273"/>
      <w:bookmarkStart w:id="169" w:name="_Toc150480760"/>
      <w:bookmarkStart w:id="170" w:name="_Toc226965712"/>
      <w:bookmarkStart w:id="171" w:name="_Toc264969212"/>
      <w:bookmarkStart w:id="172" w:name="_Toc151193910"/>
      <w:bookmarkStart w:id="173" w:name="_Toc150774727"/>
      <w:bookmarkStart w:id="174" w:name="_Toc151193836"/>
      <w:bookmarkStart w:id="175" w:name="_Toc265228360"/>
      <w:bookmarkStart w:id="176" w:name="_Toc305158864"/>
      <w:bookmarkStart w:id="177" w:name="_Toc305158790"/>
      <w:bookmarkStart w:id="178" w:name="_Toc151193620"/>
      <w:bookmarkStart w:id="179" w:name="_Toc142311024"/>
      <w:bookmarkStart w:id="180" w:name="_Toc226965795"/>
      <w:bookmarkStart w:id="181" w:name="_Toc150774622"/>
      <w:bookmarkStart w:id="182" w:name="_Toc151193692"/>
      <w:bookmarkStart w:id="183" w:name="_Toc127151522"/>
    </w:p>
    <w:p>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pPr>
        <w:numPr>
          <w:ilvl w:val="0"/>
          <w:numId w:val="8"/>
        </w:numPr>
        <w:tabs>
          <w:tab w:val="left" w:pos="360"/>
        </w:tabs>
        <w:snapToGrid w:val="0"/>
        <w:spacing w:line="360" w:lineRule="auto"/>
        <w:ind w:left="357" w:hanging="357"/>
        <w:outlineLvl w:val="1"/>
        <w:rPr>
          <w:sz w:val="24"/>
        </w:rPr>
      </w:pPr>
      <w:r>
        <w:rPr>
          <w:sz w:val="24"/>
        </w:rPr>
        <w:t>样品</w:t>
      </w:r>
    </w:p>
    <w:p>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样品的评审方法以及评审标准等内容见第四章《评标方法和评标标准》。</w:t>
      </w:r>
    </w:p>
    <w:p>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8"/>
        </w:numPr>
        <w:tabs>
          <w:tab w:val="left" w:pos="1080"/>
          <w:tab w:val="left" w:pos="2014"/>
        </w:tabs>
        <w:snapToGrid w:val="0"/>
        <w:spacing w:line="360" w:lineRule="auto"/>
        <w:ind w:left="1080" w:hanging="720"/>
        <w:rPr>
          <w:sz w:val="24"/>
        </w:rPr>
      </w:pPr>
      <w:r>
        <w:rPr>
          <w:sz w:val="24"/>
        </w:rPr>
        <w:t>进口产品</w:t>
      </w:r>
    </w:p>
    <w:p>
      <w:pPr>
        <w:numPr>
          <w:ilvl w:val="2"/>
          <w:numId w:val="8"/>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8"/>
        </w:numPr>
        <w:tabs>
          <w:tab w:val="left" w:pos="2014"/>
        </w:tabs>
        <w:snapToGrid w:val="0"/>
        <w:spacing w:line="360" w:lineRule="auto"/>
        <w:rPr>
          <w:sz w:val="24"/>
        </w:rPr>
      </w:pPr>
      <w:r>
        <w:rPr>
          <w:sz w:val="24"/>
        </w:rPr>
        <w:t>本项目是否接受进口产品见第五章《采购需求》。</w:t>
      </w:r>
    </w:p>
    <w:p>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8"/>
        </w:numPr>
        <w:snapToGrid w:val="0"/>
        <w:spacing w:line="360" w:lineRule="auto"/>
        <w:rPr>
          <w:sz w:val="24"/>
        </w:rPr>
      </w:pPr>
      <w:r>
        <w:rPr>
          <w:sz w:val="24"/>
        </w:rPr>
        <w:t>中小企业定义：</w:t>
      </w:r>
    </w:p>
    <w:p>
      <w:pPr>
        <w:pStyle w:val="73"/>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73"/>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73"/>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73"/>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73"/>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73"/>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73"/>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73"/>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sz w:val="24"/>
        </w:rPr>
      </w:pPr>
      <w:r>
        <w:rPr>
          <w:sz w:val="24"/>
        </w:rPr>
        <w:t>残疾人福利单位定义：享受政府采购支持政策的残疾人福利性单位应当同时满足以下条件：</w:t>
      </w:r>
    </w:p>
    <w:p>
      <w:pPr>
        <w:pStyle w:val="73"/>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pPr>
        <w:pStyle w:val="73"/>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rPr>
      </w:pPr>
      <w:r>
        <w:rPr>
          <w:sz w:val="24"/>
        </w:rPr>
        <w:t>本项目是否专门面向中小企业预留采购份额见第一章《投标邀请》。</w:t>
      </w:r>
    </w:p>
    <w:p>
      <w:pPr>
        <w:numPr>
          <w:ilvl w:val="2"/>
          <w:numId w:val="8"/>
        </w:numPr>
        <w:snapToGrid w:val="0"/>
        <w:spacing w:line="360" w:lineRule="auto"/>
        <w:rPr>
          <w:sz w:val="24"/>
        </w:rPr>
      </w:pPr>
      <w:r>
        <w:rPr>
          <w:sz w:val="24"/>
        </w:rPr>
        <w:t>采购标的对应的中小企业划分标准所属行业见《投标人须知资料表》。</w:t>
      </w:r>
    </w:p>
    <w:p>
      <w:pPr>
        <w:numPr>
          <w:ilvl w:val="2"/>
          <w:numId w:val="8"/>
        </w:numPr>
        <w:snapToGrid w:val="0"/>
        <w:spacing w:line="360" w:lineRule="auto"/>
        <w:rPr>
          <w:sz w:val="24"/>
        </w:rPr>
      </w:pPr>
      <w:r>
        <w:rPr>
          <w:sz w:val="24"/>
        </w:rPr>
        <w:t>小微企业价格评审优惠的政策调整：见第四章《评标方法和评标标准》。</w:t>
      </w:r>
    </w:p>
    <w:p>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pPr>
        <w:numPr>
          <w:ilvl w:val="1"/>
          <w:numId w:val="8"/>
        </w:numPr>
        <w:tabs>
          <w:tab w:val="left" w:pos="1080"/>
          <w:tab w:val="left" w:pos="2014"/>
        </w:tabs>
        <w:snapToGrid w:val="0"/>
        <w:spacing w:line="360" w:lineRule="auto"/>
        <w:ind w:left="1080" w:hanging="720"/>
        <w:rPr>
          <w:sz w:val="24"/>
        </w:rPr>
      </w:pPr>
      <w:r>
        <w:rPr>
          <w:sz w:val="24"/>
        </w:rPr>
        <w:t>支持乡村产业振兴管理</w:t>
      </w:r>
    </w:p>
    <w:p>
      <w:pPr>
        <w:numPr>
          <w:ilvl w:val="2"/>
          <w:numId w:val="8"/>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为落实《关于运用政府采购政策支持乡村产业振兴的通知》（财库〔2021〕19号）有关要求，做好支持脱贫攻坚工作，本项目采购活动中对于支持乡村振兴管理的相关要求见第五章《采购需求》（如涉及）。</w:t>
      </w:r>
    </w:p>
    <w:p>
      <w:pPr>
        <w:numPr>
          <w:ilvl w:val="1"/>
          <w:numId w:val="8"/>
        </w:numPr>
        <w:tabs>
          <w:tab w:val="left" w:pos="1080"/>
          <w:tab w:val="left" w:pos="2014"/>
        </w:tabs>
        <w:snapToGrid w:val="0"/>
        <w:spacing w:line="360" w:lineRule="auto"/>
        <w:ind w:left="1080" w:hanging="720"/>
        <w:rPr>
          <w:sz w:val="24"/>
        </w:rPr>
      </w:pPr>
      <w:r>
        <w:rPr>
          <w:sz w:val="24"/>
        </w:rPr>
        <w:t>正版软件</w:t>
      </w:r>
    </w:p>
    <w:p>
      <w:pPr>
        <w:numPr>
          <w:ilvl w:val="2"/>
          <w:numId w:val="8"/>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sz w:val="24"/>
        </w:rPr>
      </w:pPr>
      <w:r>
        <w:rPr>
          <w:sz w:val="24"/>
        </w:rPr>
        <w:t>信息安全产品</w:t>
      </w:r>
    </w:p>
    <w:p>
      <w:pPr>
        <w:numPr>
          <w:ilvl w:val="2"/>
          <w:numId w:val="8"/>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。关于信息安全相关规定依据《关于信息安全产品实施政府采购的通知》（财库〔2010〕48 号）。</w:t>
      </w:r>
    </w:p>
    <w:p>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pPr>
        <w:numPr>
          <w:ilvl w:val="0"/>
          <w:numId w:val="8"/>
        </w:numPr>
        <w:tabs>
          <w:tab w:val="left" w:pos="360"/>
        </w:tabs>
        <w:snapToGrid w:val="0"/>
        <w:spacing w:line="360" w:lineRule="auto"/>
        <w:ind w:left="357" w:hanging="357"/>
        <w:outlineLvl w:val="1"/>
        <w:rPr>
          <w:sz w:val="24"/>
        </w:rPr>
      </w:pPr>
      <w:r>
        <w:rPr>
          <w:sz w:val="24"/>
        </w:rPr>
        <w:t>投标费用</w:t>
      </w:r>
    </w:p>
    <w:p>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sz w:val="28"/>
        </w:rPr>
      </w:pPr>
      <w:bookmarkStart w:id="184" w:name="_1.8_计量单位"/>
      <w:bookmarkEnd w:id="184"/>
    </w:p>
    <w:p>
      <w:pPr>
        <w:pStyle w:val="4"/>
        <w:spacing w:before="0" w:line="360" w:lineRule="auto"/>
        <w:rPr>
          <w:rFonts w:ascii="Times New Roman" w:hAnsi="Times New Roman" w:eastAsia="宋体"/>
          <w:sz w:val="28"/>
        </w:rPr>
      </w:pPr>
      <w:r>
        <w:rPr>
          <w:rFonts w:ascii="Times New Roman" w:hAnsi="Times New Roman" w:eastAsia="宋体"/>
          <w:sz w:val="28"/>
        </w:rPr>
        <w:t>二   招标文件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numPr>
          <w:ilvl w:val="0"/>
          <w:numId w:val="8"/>
        </w:numPr>
        <w:tabs>
          <w:tab w:val="left" w:pos="360"/>
        </w:tabs>
        <w:snapToGrid w:val="0"/>
        <w:spacing w:line="360" w:lineRule="auto"/>
        <w:ind w:left="357" w:hanging="357"/>
        <w:outlineLvl w:val="1"/>
        <w:rPr>
          <w:sz w:val="24"/>
        </w:rPr>
      </w:pPr>
      <w:bookmarkStart w:id="185" w:name="_Toc150774728"/>
      <w:bookmarkStart w:id="186" w:name="_Toc226965713"/>
      <w:bookmarkStart w:id="187" w:name="_Toc520356147"/>
      <w:bookmarkStart w:id="188" w:name="_Toc305158791"/>
      <w:bookmarkStart w:id="189" w:name="_Toc151193621"/>
      <w:bookmarkStart w:id="190" w:name="_Toc164608792"/>
      <w:bookmarkStart w:id="191" w:name="_Toc149720816"/>
      <w:bookmarkStart w:id="192" w:name="_Toc127151523"/>
      <w:bookmarkStart w:id="193" w:name="_Toc195842888"/>
      <w:bookmarkStart w:id="194" w:name="_Toc150774623"/>
      <w:bookmarkStart w:id="195" w:name="_Toc164351617"/>
      <w:bookmarkStart w:id="196" w:name="_Toc164229364"/>
      <w:bookmarkStart w:id="197" w:name="_Toc151193765"/>
      <w:bookmarkStart w:id="198" w:name="_Toc150509274"/>
      <w:bookmarkStart w:id="199" w:name="_Toc264969213"/>
      <w:bookmarkStart w:id="200" w:name="_Toc164608637"/>
      <w:bookmarkStart w:id="201" w:name="_Toc226965796"/>
      <w:bookmarkStart w:id="202" w:name="_Toc151193837"/>
      <w:bookmarkStart w:id="203" w:name="_Toc142311025"/>
      <w:bookmarkStart w:id="204" w:name="_Toc151193693"/>
      <w:bookmarkStart w:id="205" w:name="_Toc151190150"/>
      <w:bookmarkStart w:id="206" w:name="_Toc265228361"/>
      <w:bookmarkStart w:id="207" w:name="_Toc305158865"/>
      <w:bookmarkStart w:id="208" w:name="_Toc127151724"/>
      <w:bookmarkStart w:id="209" w:name="_Toc226337219"/>
      <w:bookmarkStart w:id="210" w:name="_Toc226309767"/>
      <w:bookmarkStart w:id="211" w:name="_Toc151193911"/>
      <w:bookmarkStart w:id="212" w:name="_Toc164229218"/>
      <w:bookmarkStart w:id="213" w:name="_Toc127161437"/>
      <w:bookmarkStart w:id="214" w:name="_Toc150480761"/>
      <w:r>
        <w:rPr>
          <w:sz w:val="24"/>
        </w:rPr>
        <w:t>招标文件构</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sz w:val="24"/>
        </w:rPr>
        <w:t>成</w:t>
      </w:r>
    </w:p>
    <w:p>
      <w:pPr>
        <w:numPr>
          <w:ilvl w:val="1"/>
          <w:numId w:val="8"/>
        </w:numPr>
        <w:tabs>
          <w:tab w:val="left" w:pos="1080"/>
          <w:tab w:val="left" w:pos="2014"/>
        </w:tabs>
        <w:snapToGrid w:val="0"/>
        <w:spacing w:line="360" w:lineRule="auto"/>
        <w:ind w:left="1080" w:hanging="720"/>
        <w:rPr>
          <w:sz w:val="24"/>
        </w:rPr>
      </w:pPr>
      <w:r>
        <w:rPr>
          <w:sz w:val="24"/>
        </w:rPr>
        <w:t>招标文件包括以下部分：</w:t>
      </w:r>
    </w:p>
    <w:p>
      <w:pPr>
        <w:numPr>
          <w:ilvl w:val="0"/>
          <w:numId w:val="10"/>
        </w:numPr>
        <w:tabs>
          <w:tab w:val="left" w:pos="1980"/>
          <w:tab w:val="left" w:pos="2520"/>
        </w:tabs>
        <w:snapToGrid w:val="0"/>
        <w:spacing w:line="360" w:lineRule="auto"/>
        <w:ind w:left="1440" w:firstLine="5"/>
        <w:rPr>
          <w:sz w:val="24"/>
        </w:rPr>
      </w:pPr>
      <w:r>
        <w:rPr>
          <w:sz w:val="24"/>
        </w:rPr>
        <w:t>投标邀请</w:t>
      </w:r>
    </w:p>
    <w:p>
      <w:pPr>
        <w:numPr>
          <w:ilvl w:val="0"/>
          <w:numId w:val="10"/>
        </w:numPr>
        <w:tabs>
          <w:tab w:val="left" w:pos="1980"/>
          <w:tab w:val="left" w:pos="2520"/>
        </w:tabs>
        <w:snapToGrid w:val="0"/>
        <w:spacing w:line="360" w:lineRule="auto"/>
        <w:ind w:left="1440" w:firstLine="5"/>
        <w:rPr>
          <w:sz w:val="24"/>
        </w:rPr>
      </w:pPr>
      <w:r>
        <w:rPr>
          <w:sz w:val="24"/>
        </w:rPr>
        <w:t>投标人须知</w:t>
      </w:r>
    </w:p>
    <w:p>
      <w:pPr>
        <w:numPr>
          <w:ilvl w:val="0"/>
          <w:numId w:val="10"/>
        </w:numPr>
        <w:tabs>
          <w:tab w:val="left" w:pos="1980"/>
          <w:tab w:val="left" w:pos="2520"/>
        </w:tabs>
        <w:snapToGrid w:val="0"/>
        <w:spacing w:line="360" w:lineRule="auto"/>
        <w:ind w:left="1440" w:firstLine="5"/>
        <w:rPr>
          <w:sz w:val="24"/>
        </w:rPr>
      </w:pPr>
      <w:r>
        <w:rPr>
          <w:sz w:val="24"/>
        </w:rPr>
        <w:t>资格审查</w:t>
      </w:r>
    </w:p>
    <w:p>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pPr>
        <w:numPr>
          <w:ilvl w:val="0"/>
          <w:numId w:val="10"/>
        </w:numPr>
        <w:tabs>
          <w:tab w:val="left" w:pos="1980"/>
          <w:tab w:val="left" w:pos="2520"/>
        </w:tabs>
        <w:snapToGrid w:val="0"/>
        <w:spacing w:line="360" w:lineRule="auto"/>
        <w:ind w:left="1440" w:firstLine="5"/>
        <w:rPr>
          <w:sz w:val="24"/>
        </w:rPr>
      </w:pPr>
      <w:r>
        <w:rPr>
          <w:sz w:val="24"/>
        </w:rPr>
        <w:t>采购需求</w:t>
      </w:r>
    </w:p>
    <w:p>
      <w:pPr>
        <w:numPr>
          <w:ilvl w:val="0"/>
          <w:numId w:val="10"/>
        </w:numPr>
        <w:tabs>
          <w:tab w:val="left" w:pos="1980"/>
          <w:tab w:val="left" w:pos="2520"/>
        </w:tabs>
        <w:snapToGrid w:val="0"/>
        <w:spacing w:line="360" w:lineRule="auto"/>
        <w:ind w:left="1440" w:firstLine="5"/>
        <w:rPr>
          <w:sz w:val="24"/>
        </w:rPr>
      </w:pPr>
      <w:r>
        <w:rPr>
          <w:sz w:val="24"/>
        </w:rPr>
        <w:t>拟签订的合同文本</w:t>
      </w:r>
    </w:p>
    <w:p>
      <w:pPr>
        <w:numPr>
          <w:ilvl w:val="0"/>
          <w:numId w:val="10"/>
        </w:numPr>
        <w:tabs>
          <w:tab w:val="left" w:pos="1980"/>
          <w:tab w:val="left" w:pos="2520"/>
        </w:tabs>
        <w:snapToGrid w:val="0"/>
        <w:spacing w:line="360" w:lineRule="auto"/>
        <w:ind w:left="1440" w:firstLine="5"/>
        <w:rPr>
          <w:sz w:val="24"/>
        </w:rPr>
      </w:pPr>
      <w:r>
        <w:rPr>
          <w:sz w:val="24"/>
        </w:rPr>
        <w:t>投标文件格式</w:t>
      </w:r>
    </w:p>
    <w:p>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sz w:val="28"/>
        </w:rPr>
      </w:pPr>
      <w:bookmarkStart w:id="215" w:name="_Toc226309770"/>
      <w:bookmarkStart w:id="216" w:name="_Toc151190153"/>
      <w:bookmarkStart w:id="217" w:name="_Toc195842891"/>
      <w:bookmarkStart w:id="218" w:name="_Toc150774626"/>
      <w:bookmarkStart w:id="219" w:name="_Toc226965799"/>
      <w:bookmarkStart w:id="220" w:name="_Toc516367020"/>
      <w:bookmarkStart w:id="221" w:name="_Toc265228364"/>
      <w:bookmarkStart w:id="222" w:name="_Toc226337222"/>
      <w:bookmarkStart w:id="223" w:name="_Toc305158868"/>
      <w:bookmarkStart w:id="224" w:name="_Toc151193696"/>
      <w:bookmarkStart w:id="225" w:name="_Toc520356150"/>
      <w:bookmarkStart w:id="226" w:name="_Toc151193768"/>
      <w:bookmarkStart w:id="227" w:name="_Toc127151526"/>
      <w:bookmarkStart w:id="228" w:name="_Toc150480764"/>
      <w:bookmarkStart w:id="229" w:name="_Toc142311028"/>
      <w:bookmarkStart w:id="230" w:name="_Toc264969216"/>
      <w:bookmarkStart w:id="231" w:name="_Toc151193840"/>
      <w:bookmarkStart w:id="232" w:name="_Toc150509277"/>
      <w:bookmarkStart w:id="233" w:name="_Toc226965716"/>
      <w:bookmarkStart w:id="234" w:name="_Toc305158794"/>
      <w:bookmarkStart w:id="235" w:name="_Toc151193914"/>
      <w:bookmarkStart w:id="236" w:name="_Toc151193624"/>
      <w:bookmarkStart w:id="237" w:name="_Toc150774731"/>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Pr>
        <w:pStyle w:val="4"/>
        <w:spacing w:before="0" w:line="360" w:lineRule="auto"/>
        <w:rPr>
          <w:rFonts w:ascii="Times New Roman" w:hAnsi="Times New Roman" w:eastAsia="宋体"/>
          <w:sz w:val="28"/>
        </w:rPr>
      </w:pPr>
      <w:bookmarkStart w:id="238" w:name="_Toc520356169"/>
      <w:r>
        <w:rPr>
          <w:rFonts w:ascii="Times New Roman" w:hAnsi="Times New Roman" w:eastAsia="宋体"/>
          <w:sz w:val="28"/>
        </w:rPr>
        <w:t>三   投标文件的编制</w:t>
      </w:r>
    </w:p>
    <w:p>
      <w:pPr>
        <w:numPr>
          <w:ilvl w:val="0"/>
          <w:numId w:val="8"/>
        </w:numPr>
        <w:tabs>
          <w:tab w:val="left" w:pos="360"/>
        </w:tabs>
        <w:snapToGrid w:val="0"/>
        <w:spacing w:line="360" w:lineRule="auto"/>
        <w:ind w:left="357" w:hanging="357"/>
        <w:outlineLvl w:val="1"/>
        <w:rPr>
          <w:sz w:val="24"/>
        </w:rPr>
      </w:pPr>
      <w:bookmarkStart w:id="239" w:name="_Toc150774732"/>
      <w:bookmarkStart w:id="240" w:name="_Toc226337223"/>
      <w:bookmarkStart w:id="241" w:name="_Toc265228365"/>
      <w:bookmarkStart w:id="242" w:name="_Toc151193697"/>
      <w:bookmarkStart w:id="243" w:name="_Toc150509278"/>
      <w:bookmarkStart w:id="244" w:name="_Toc151193769"/>
      <w:bookmarkStart w:id="245" w:name="_Toc164229222"/>
      <w:bookmarkStart w:id="246" w:name="_Toc151193841"/>
      <w:bookmarkStart w:id="247" w:name="_Toc164351621"/>
      <w:bookmarkStart w:id="248" w:name="_Toc226965717"/>
      <w:bookmarkStart w:id="249" w:name="_Toc164608796"/>
      <w:bookmarkStart w:id="250" w:name="_Toc127151527"/>
      <w:bookmarkStart w:id="251" w:name="_Toc142311029"/>
      <w:bookmarkStart w:id="252" w:name="_Toc164229368"/>
      <w:bookmarkStart w:id="253" w:name="_Toc149720820"/>
      <w:bookmarkStart w:id="254" w:name="_Toc127161441"/>
      <w:bookmarkStart w:id="255" w:name="_Toc151193625"/>
      <w:bookmarkStart w:id="256" w:name="_Toc226309771"/>
      <w:bookmarkStart w:id="257" w:name="_Toc151193915"/>
      <w:bookmarkStart w:id="258" w:name="_Toc305158795"/>
      <w:bookmarkStart w:id="259" w:name="_Toc305158869"/>
      <w:bookmarkStart w:id="260" w:name="_Toc195842892"/>
      <w:bookmarkStart w:id="261" w:name="_Toc226965800"/>
      <w:bookmarkStart w:id="262" w:name="_Toc520356151"/>
      <w:bookmarkStart w:id="263" w:name="_Toc150774627"/>
      <w:bookmarkStart w:id="264" w:name="_Toc127151728"/>
      <w:bookmarkStart w:id="265" w:name="_Toc264969217"/>
      <w:bookmarkStart w:id="266" w:name="_Toc151190154"/>
      <w:bookmarkStart w:id="267" w:name="_Toc164608641"/>
      <w:bookmarkStart w:id="268" w:name="_Toc150480765"/>
      <w:bookmarkStart w:id="269" w:name="_Toc516367021"/>
      <w:r>
        <w:rPr>
          <w:sz w:val="24"/>
        </w:rPr>
        <w:t>投标范围、投标文件中计量单位的使用</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sz w:val="24"/>
        </w:rPr>
        <w:t>及投标语言</w:t>
      </w:r>
    </w:p>
    <w:p>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8"/>
        </w:numPr>
        <w:tabs>
          <w:tab w:val="left" w:pos="360"/>
        </w:tabs>
        <w:snapToGrid w:val="0"/>
        <w:spacing w:line="360" w:lineRule="auto"/>
        <w:ind w:left="357" w:hanging="357"/>
        <w:outlineLvl w:val="1"/>
        <w:rPr>
          <w:sz w:val="24"/>
        </w:rPr>
      </w:pPr>
      <w:bookmarkStart w:id="270" w:name="_Toc516367022"/>
      <w:bookmarkStart w:id="271" w:name="_Ref467306676"/>
      <w:bookmarkStart w:id="272" w:name="_Ref467306195"/>
      <w:bookmarkStart w:id="273" w:name="_Toc305158870"/>
      <w:bookmarkStart w:id="274" w:name="_Toc305158796"/>
      <w:bookmarkStart w:id="275" w:name="_Toc150774628"/>
      <w:bookmarkStart w:id="276" w:name="_Toc127151729"/>
      <w:bookmarkStart w:id="277" w:name="_Toc151193626"/>
      <w:bookmarkStart w:id="278" w:name="_Toc164229369"/>
      <w:bookmarkStart w:id="279" w:name="_Toc150509279"/>
      <w:bookmarkStart w:id="280" w:name="_Toc149720821"/>
      <w:bookmarkStart w:id="281" w:name="_Toc127161442"/>
      <w:bookmarkStart w:id="282" w:name="_Toc164608642"/>
      <w:bookmarkStart w:id="283" w:name="_Toc127151528"/>
      <w:bookmarkStart w:id="284" w:name="_Toc226965718"/>
      <w:bookmarkStart w:id="285" w:name="_Toc226309772"/>
      <w:bookmarkStart w:id="286" w:name="_Toc195842893"/>
      <w:bookmarkStart w:id="287" w:name="_Toc226965801"/>
      <w:bookmarkStart w:id="288" w:name="_Toc151190155"/>
      <w:bookmarkStart w:id="289" w:name="_Toc164351622"/>
      <w:bookmarkStart w:id="290" w:name="_Toc264969218"/>
      <w:bookmarkStart w:id="291" w:name="_Toc142311030"/>
      <w:bookmarkStart w:id="292" w:name="_Toc150480766"/>
      <w:bookmarkStart w:id="293" w:name="_Toc151193842"/>
      <w:bookmarkStart w:id="294" w:name="_Toc151193770"/>
      <w:bookmarkStart w:id="295" w:name="_Toc150774733"/>
      <w:bookmarkStart w:id="296" w:name="_Toc151193916"/>
      <w:bookmarkStart w:id="297" w:name="_Toc151193698"/>
      <w:bookmarkStart w:id="298" w:name="_Toc520356152"/>
      <w:bookmarkStart w:id="299" w:name="_Toc164608797"/>
      <w:bookmarkStart w:id="300" w:name="_Toc265228366"/>
      <w:bookmarkStart w:id="301" w:name="_Toc164229223"/>
      <w:bookmarkStart w:id="302" w:name="_Toc226337224"/>
      <w:r>
        <w:rPr>
          <w:sz w:val="24"/>
        </w:rPr>
        <w:t>投标文件</w:t>
      </w:r>
      <w:bookmarkEnd w:id="270"/>
      <w:bookmarkEnd w:id="271"/>
      <w:bookmarkEnd w:id="272"/>
      <w:r>
        <w:rPr>
          <w:sz w:val="24"/>
        </w:rPr>
        <w:t>构成</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numPr>
          <w:ilvl w:val="1"/>
          <w:numId w:val="8"/>
        </w:numPr>
        <w:tabs>
          <w:tab w:val="left" w:pos="1080"/>
          <w:tab w:val="left" w:pos="2014"/>
        </w:tabs>
        <w:snapToGrid w:val="0"/>
        <w:spacing w:line="360" w:lineRule="auto"/>
        <w:ind w:left="1077" w:hanging="720"/>
        <w:rPr>
          <w:sz w:val="24"/>
        </w:rPr>
      </w:pPr>
      <w:bookmarkStart w:id="303" w:name="_Ref467052588"/>
      <w:r>
        <w:rPr>
          <w:sz w:val="24"/>
        </w:rPr>
        <w:t>投标人应当按照招标文件的要求编制投标文件。投标文件应由《资格证明文件》、《商务技术文件》两部分构成。投标文件的部分格式要求，见第七章《投标文件格式》。</w:t>
      </w:r>
    </w:p>
    <w:p>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303"/>
    </w:p>
    <w:p>
      <w:pPr>
        <w:numPr>
          <w:ilvl w:val="0"/>
          <w:numId w:val="8"/>
        </w:numPr>
        <w:tabs>
          <w:tab w:val="left" w:pos="360"/>
        </w:tabs>
        <w:snapToGrid w:val="0"/>
        <w:spacing w:line="360" w:lineRule="auto"/>
        <w:ind w:left="357" w:hanging="357"/>
        <w:outlineLvl w:val="1"/>
        <w:rPr>
          <w:sz w:val="24"/>
        </w:rPr>
      </w:pPr>
      <w:bookmarkStart w:id="304" w:name="_Toc164229225"/>
      <w:bookmarkStart w:id="305" w:name="_Toc142311032"/>
      <w:bookmarkStart w:id="306" w:name="_Toc151193918"/>
      <w:bookmarkStart w:id="307" w:name="_Toc151190157"/>
      <w:bookmarkStart w:id="308" w:name="_Toc151193700"/>
      <w:bookmarkStart w:id="309" w:name="_Toc150774735"/>
      <w:bookmarkStart w:id="310" w:name="_Toc151193628"/>
      <w:bookmarkStart w:id="311" w:name="_Toc520356155"/>
      <w:bookmarkStart w:id="312" w:name="_Toc150509281"/>
      <w:bookmarkStart w:id="313" w:name="_Toc150774630"/>
      <w:bookmarkStart w:id="314" w:name="_Toc127151530"/>
      <w:bookmarkStart w:id="315" w:name="_Toc164229371"/>
      <w:bookmarkStart w:id="316" w:name="_Toc150480768"/>
      <w:bookmarkStart w:id="317" w:name="_Toc195842895"/>
      <w:bookmarkStart w:id="318" w:name="_Toc127161444"/>
      <w:bookmarkStart w:id="319" w:name="_Toc149720823"/>
      <w:bookmarkStart w:id="320" w:name="_Toc127151731"/>
      <w:bookmarkStart w:id="321" w:name="_Toc151193844"/>
      <w:bookmarkStart w:id="322" w:name="_Toc151193772"/>
      <w:bookmarkStart w:id="323" w:name="_Toc164351624"/>
      <w:bookmarkStart w:id="324" w:name="_Toc164608799"/>
      <w:bookmarkStart w:id="325" w:name="_Toc164608644"/>
      <w:r>
        <w:rPr>
          <w:sz w:val="24"/>
        </w:rPr>
        <w:t>投标报价</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numPr>
          <w:ilvl w:val="1"/>
          <w:numId w:val="8"/>
        </w:numPr>
        <w:tabs>
          <w:tab w:val="left" w:pos="1080"/>
          <w:tab w:val="left" w:pos="2014"/>
        </w:tabs>
        <w:snapToGrid w:val="0"/>
        <w:spacing w:line="360" w:lineRule="auto"/>
        <w:ind w:left="1077" w:hanging="720"/>
        <w:rPr>
          <w:sz w:val="24"/>
        </w:rPr>
      </w:pPr>
      <w:r>
        <w:rPr>
          <w:sz w:val="24"/>
        </w:rPr>
        <w:t>所有投标均以人民币报价。</w:t>
      </w:r>
    </w:p>
    <w:p>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8"/>
        </w:numPr>
        <w:snapToGrid w:val="0"/>
        <w:spacing w:line="360" w:lineRule="auto"/>
        <w:rPr>
          <w:sz w:val="24"/>
        </w:rPr>
      </w:pPr>
      <w:r>
        <w:rPr>
          <w:sz w:val="24"/>
        </w:rPr>
        <w:t xml:space="preserve">按照招标文件要求完成本项目的全部相关服务费用。 </w:t>
      </w:r>
    </w:p>
    <w:p>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pPr>
        <w:numPr>
          <w:ilvl w:val="0"/>
          <w:numId w:val="8"/>
        </w:numPr>
        <w:tabs>
          <w:tab w:val="left" w:pos="360"/>
        </w:tabs>
        <w:snapToGrid w:val="0"/>
        <w:spacing w:line="360" w:lineRule="auto"/>
        <w:ind w:left="357" w:hanging="357"/>
        <w:outlineLvl w:val="1"/>
        <w:rPr>
          <w:sz w:val="24"/>
        </w:rPr>
      </w:pPr>
      <w:bookmarkStart w:id="326" w:name="_Toc305158799"/>
      <w:bookmarkStart w:id="327" w:name="_Toc195842896"/>
      <w:bookmarkStart w:id="328" w:name="_Toc150480769"/>
      <w:bookmarkStart w:id="329" w:name="_Toc164608800"/>
      <w:bookmarkStart w:id="330" w:name="_Toc127151732"/>
      <w:bookmarkStart w:id="331" w:name="_Toc265228369"/>
      <w:bookmarkStart w:id="332" w:name="_Toc151193773"/>
      <w:bookmarkStart w:id="333" w:name="_Ref467306513"/>
      <w:bookmarkStart w:id="334" w:name="_Toc164608645"/>
      <w:bookmarkStart w:id="335" w:name="_Toc226965721"/>
      <w:bookmarkStart w:id="336" w:name="_Toc142311033"/>
      <w:bookmarkStart w:id="337" w:name="_Toc164351625"/>
      <w:bookmarkStart w:id="338" w:name="_Toc520356156"/>
      <w:bookmarkStart w:id="339" w:name="_Toc151190158"/>
      <w:bookmarkStart w:id="340" w:name="_Toc164229372"/>
      <w:bookmarkStart w:id="341" w:name="_Toc127161445"/>
      <w:bookmarkStart w:id="342" w:name="_Toc226309775"/>
      <w:bookmarkStart w:id="343" w:name="_Toc151193919"/>
      <w:bookmarkStart w:id="344" w:name="_Toc151193629"/>
      <w:bookmarkStart w:id="345" w:name="_Toc226337227"/>
      <w:bookmarkStart w:id="346" w:name="_Toc264969221"/>
      <w:bookmarkStart w:id="347" w:name="_Toc305158873"/>
      <w:bookmarkStart w:id="348" w:name="_Toc164229226"/>
      <w:bookmarkStart w:id="349" w:name="_Toc226965804"/>
      <w:bookmarkStart w:id="350" w:name="_Toc150509282"/>
      <w:bookmarkStart w:id="351" w:name="_Toc150774736"/>
      <w:bookmarkStart w:id="352" w:name="_Toc151193701"/>
      <w:bookmarkStart w:id="353" w:name="_Toc150774631"/>
      <w:bookmarkStart w:id="354" w:name="_Toc151193845"/>
      <w:bookmarkStart w:id="355" w:name="_Toc127151531"/>
      <w:bookmarkStart w:id="356" w:name="_Toc149720824"/>
      <w:r>
        <w:rPr>
          <w:sz w:val="24"/>
        </w:rPr>
        <w:t>投标保证金</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numPr>
          <w:ilvl w:val="1"/>
          <w:numId w:val="8"/>
        </w:numPr>
        <w:tabs>
          <w:tab w:val="left" w:pos="1080"/>
          <w:tab w:val="left" w:pos="2014"/>
        </w:tabs>
        <w:snapToGrid w:val="0"/>
        <w:spacing w:line="360" w:lineRule="auto"/>
        <w:ind w:left="1077" w:hanging="720"/>
        <w:rPr>
          <w:sz w:val="24"/>
        </w:rPr>
      </w:pPr>
      <w:bookmarkStart w:id="357" w:name="_Ref467306302"/>
      <w:r>
        <w:rPr>
          <w:sz w:val="24"/>
        </w:rPr>
        <w:t>投标人应按《投标人须知资料表》中规定的金额及要求交纳投标保证金</w:t>
      </w:r>
      <w:bookmarkEnd w:id="357"/>
      <w:r>
        <w:rPr>
          <w:sz w:val="24"/>
        </w:rPr>
        <w:t>，并作为其投标的一部分。</w:t>
      </w:r>
    </w:p>
    <w:p>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pPr>
        <w:numPr>
          <w:ilvl w:val="1"/>
          <w:numId w:val="8"/>
        </w:numPr>
        <w:tabs>
          <w:tab w:val="left" w:pos="1080"/>
          <w:tab w:val="left" w:pos="2014"/>
        </w:tabs>
        <w:snapToGrid w:val="0"/>
        <w:spacing w:line="360" w:lineRule="auto"/>
        <w:ind w:left="1077" w:hanging="720"/>
        <w:rPr>
          <w:sz w:val="24"/>
        </w:rPr>
      </w:pPr>
      <w:r>
        <w:rPr>
          <w:sz w:val="24"/>
        </w:rPr>
        <w:t>投标保证金（保函）有效期同投标有效期。</w:t>
      </w:r>
    </w:p>
    <w:p>
      <w:pPr>
        <w:numPr>
          <w:ilvl w:val="1"/>
          <w:numId w:val="8"/>
        </w:numPr>
        <w:tabs>
          <w:tab w:val="left" w:pos="1080"/>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w:t>
      </w:r>
      <w:r>
        <w:rPr>
          <w:rFonts w:hint="eastAsia" w:eastAsiaTheme="minorEastAsia"/>
          <w:sz w:val="24"/>
        </w:rPr>
        <w:t>投标</w:t>
      </w:r>
      <w:r>
        <w:rPr>
          <w:rFonts w:eastAsiaTheme="minorEastAsia"/>
          <w:sz w:val="24"/>
        </w:rPr>
        <w:t>保证金，经供应商同意后采购人、采购代理机构可以不再退还，</w:t>
      </w:r>
      <w:r>
        <w:rPr>
          <w:sz w:val="24"/>
        </w:rPr>
        <w:t>但因投标人自身原因导致无法及时退还的除外：</w:t>
      </w:r>
    </w:p>
    <w:p>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pPr>
        <w:numPr>
          <w:ilvl w:val="2"/>
          <w:numId w:val="8"/>
        </w:numPr>
        <w:snapToGrid w:val="0"/>
        <w:spacing w:line="360" w:lineRule="auto"/>
        <w:rPr>
          <w:sz w:val="24"/>
        </w:rPr>
      </w:pPr>
      <w:r>
        <w:rPr>
          <w:sz w:val="24"/>
        </w:rPr>
        <w:t>中标人的投标保证金，自采购合同签订之日起5个工作日内退还中标人；</w:t>
      </w:r>
    </w:p>
    <w:p>
      <w:pPr>
        <w:numPr>
          <w:ilvl w:val="2"/>
          <w:numId w:val="8"/>
        </w:numPr>
        <w:snapToGrid w:val="0"/>
        <w:spacing w:line="360" w:lineRule="auto"/>
        <w:rPr>
          <w:sz w:val="24"/>
        </w:rPr>
      </w:pPr>
      <w:r>
        <w:rPr>
          <w:sz w:val="24"/>
        </w:rPr>
        <w:t>未中标投标人的投标保证金，自中标通知书发出之日起5个工作日内退还未中标人；</w:t>
      </w:r>
    </w:p>
    <w:p>
      <w:pPr>
        <w:numPr>
          <w:ilvl w:val="2"/>
          <w:numId w:val="8"/>
        </w:numPr>
        <w:snapToGrid w:val="0"/>
        <w:spacing w:line="360" w:lineRule="auto"/>
        <w:rPr>
          <w:sz w:val="24"/>
        </w:rPr>
      </w:pPr>
      <w:r>
        <w:rPr>
          <w:sz w:val="24"/>
        </w:rPr>
        <w:t>终止招标项目已经收取投标保证金的，自终止采购活动后5个工作日内退还已收取的投标保证金。</w:t>
      </w:r>
    </w:p>
    <w:p>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pPr>
        <w:numPr>
          <w:ilvl w:val="2"/>
          <w:numId w:val="8"/>
        </w:numPr>
        <w:snapToGrid w:val="0"/>
        <w:spacing w:line="360" w:lineRule="auto"/>
        <w:rPr>
          <w:sz w:val="24"/>
        </w:rPr>
      </w:pPr>
      <w:r>
        <w:rPr>
          <w:sz w:val="24"/>
        </w:rPr>
        <w:t>投标有效期内投标人撤销投标文件的；</w:t>
      </w:r>
    </w:p>
    <w:p>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pPr>
        <w:numPr>
          <w:ilvl w:val="0"/>
          <w:numId w:val="8"/>
        </w:numPr>
        <w:tabs>
          <w:tab w:val="left" w:pos="360"/>
        </w:tabs>
        <w:snapToGrid w:val="0"/>
        <w:spacing w:line="360" w:lineRule="auto"/>
        <w:ind w:left="357" w:hanging="357"/>
        <w:outlineLvl w:val="1"/>
        <w:rPr>
          <w:sz w:val="24"/>
        </w:rPr>
      </w:pPr>
      <w:bookmarkStart w:id="358" w:name="_Toc150774632"/>
      <w:bookmarkStart w:id="359" w:name="_Toc150509283"/>
      <w:bookmarkStart w:id="360" w:name="_Toc149720825"/>
      <w:bookmarkStart w:id="361" w:name="_Toc151193702"/>
      <w:bookmarkStart w:id="362" w:name="_Toc150774737"/>
      <w:bookmarkStart w:id="363" w:name="_Toc142311034"/>
      <w:bookmarkStart w:id="364" w:name="_Toc226309776"/>
      <w:bookmarkStart w:id="365" w:name="_Toc151190159"/>
      <w:bookmarkStart w:id="366" w:name="_Toc520356157"/>
      <w:bookmarkStart w:id="367" w:name="_Toc265228370"/>
      <w:bookmarkStart w:id="368" w:name="_Toc164351626"/>
      <w:bookmarkStart w:id="369" w:name="_Toc305158800"/>
      <w:bookmarkStart w:id="370" w:name="_Toc226965805"/>
      <w:bookmarkStart w:id="371" w:name="_Toc305158874"/>
      <w:bookmarkStart w:id="372" w:name="_Toc151193846"/>
      <w:bookmarkStart w:id="373" w:name="_Toc195842897"/>
      <w:bookmarkStart w:id="374" w:name="_Toc226337228"/>
      <w:bookmarkStart w:id="375" w:name="_Toc164229227"/>
      <w:bookmarkStart w:id="376" w:name="_Toc127151532"/>
      <w:bookmarkStart w:id="377" w:name="_Toc127151733"/>
      <w:bookmarkStart w:id="378" w:name="_Toc151193774"/>
      <w:bookmarkStart w:id="379" w:name="_Toc264969222"/>
      <w:bookmarkStart w:id="380" w:name="_Toc150480770"/>
      <w:bookmarkStart w:id="381" w:name="_Toc151193630"/>
      <w:bookmarkStart w:id="382" w:name="_Toc127161446"/>
      <w:bookmarkStart w:id="383" w:name="_Toc226965722"/>
      <w:bookmarkStart w:id="384" w:name="_Toc151193920"/>
      <w:bookmarkStart w:id="385" w:name="_Toc164608646"/>
      <w:bookmarkStart w:id="386" w:name="_Toc164608801"/>
      <w:bookmarkStart w:id="387" w:name="_Toc164229373"/>
      <w:r>
        <w:rPr>
          <w:sz w:val="24"/>
        </w:rPr>
        <w:t>投标有效期</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numPr>
          <w:ilvl w:val="1"/>
          <w:numId w:val="8"/>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pPr>
        <w:numPr>
          <w:ilvl w:val="0"/>
          <w:numId w:val="8"/>
        </w:numPr>
        <w:tabs>
          <w:tab w:val="left" w:pos="360"/>
        </w:tabs>
        <w:snapToGrid w:val="0"/>
        <w:spacing w:line="360" w:lineRule="auto"/>
        <w:ind w:left="357" w:hanging="357"/>
        <w:outlineLvl w:val="1"/>
        <w:rPr>
          <w:sz w:val="24"/>
        </w:rPr>
      </w:pPr>
      <w:bookmarkStart w:id="388" w:name="_Toc195842898"/>
      <w:bookmarkStart w:id="389" w:name="_Toc142311035"/>
      <w:bookmarkStart w:id="390" w:name="_Toc151193847"/>
      <w:bookmarkStart w:id="391" w:name="_Toc127161447"/>
      <w:bookmarkStart w:id="392" w:name="_Toc150774738"/>
      <w:bookmarkStart w:id="393" w:name="_Toc164351627"/>
      <w:bookmarkStart w:id="394" w:name="_Toc164608802"/>
      <w:bookmarkStart w:id="395" w:name="_Toc164229228"/>
      <w:bookmarkStart w:id="396" w:name="_Toc150480771"/>
      <w:bookmarkStart w:id="397" w:name="_Toc265228371"/>
      <w:bookmarkStart w:id="398" w:name="_Toc226965806"/>
      <w:bookmarkStart w:id="399" w:name="_Toc164229374"/>
      <w:bookmarkStart w:id="400" w:name="_Toc305158875"/>
      <w:bookmarkStart w:id="401" w:name="_Toc151193703"/>
      <w:bookmarkStart w:id="402" w:name="_Toc226309777"/>
      <w:bookmarkStart w:id="403" w:name="_Toc150774633"/>
      <w:bookmarkStart w:id="404" w:name="_Toc149720826"/>
      <w:bookmarkStart w:id="405" w:name="_Toc151190160"/>
      <w:bookmarkStart w:id="406" w:name="_Toc520356158"/>
      <w:bookmarkStart w:id="407" w:name="_Toc226965723"/>
      <w:bookmarkStart w:id="408" w:name="_Toc150509284"/>
      <w:bookmarkStart w:id="409" w:name="_Toc305158801"/>
      <w:bookmarkStart w:id="410" w:name="_Toc151193921"/>
      <w:bookmarkStart w:id="411" w:name="_Toc127151533"/>
      <w:bookmarkStart w:id="412" w:name="_Toc264969223"/>
      <w:bookmarkStart w:id="413" w:name="_Toc151193631"/>
      <w:bookmarkStart w:id="414" w:name="_Toc164608647"/>
      <w:bookmarkStart w:id="415" w:name="_Toc226337229"/>
      <w:bookmarkStart w:id="416" w:name="_Toc127151734"/>
      <w:bookmarkStart w:id="417" w:name="_Toc151193775"/>
      <w:r>
        <w:rPr>
          <w:sz w:val="24"/>
        </w:rPr>
        <w:t>投标文件的签署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sz w:val="24"/>
        </w:rPr>
        <w:t>、盖章</w:t>
      </w:r>
    </w:p>
    <w:p>
      <w:pPr>
        <w:numPr>
          <w:ilvl w:val="1"/>
          <w:numId w:val="8"/>
        </w:numPr>
        <w:tabs>
          <w:tab w:val="left" w:pos="1080"/>
          <w:tab w:val="left" w:pos="2014"/>
        </w:tabs>
        <w:snapToGrid w:val="0"/>
        <w:spacing w:line="360" w:lineRule="auto"/>
        <w:ind w:left="1077" w:hanging="720"/>
      </w:pPr>
      <w:bookmarkStart w:id="418" w:name="_Toc265228372"/>
      <w:bookmarkStart w:id="419" w:name="_Toc226965724"/>
      <w:bookmarkStart w:id="420" w:name="_Toc226309778"/>
      <w:bookmarkStart w:id="421" w:name="_Toc150774634"/>
      <w:bookmarkStart w:id="422" w:name="_Toc151193776"/>
      <w:bookmarkStart w:id="423" w:name="_Toc127151534"/>
      <w:bookmarkStart w:id="424" w:name="_Toc264969224"/>
      <w:bookmarkStart w:id="425" w:name="_Toc305158802"/>
      <w:bookmarkStart w:id="426" w:name="_Toc150509285"/>
      <w:bookmarkStart w:id="427" w:name="_Toc305158876"/>
      <w:bookmarkStart w:id="428" w:name="_Toc151190161"/>
      <w:bookmarkStart w:id="429" w:name="_Toc195842899"/>
      <w:bookmarkStart w:id="430" w:name="_Toc150480772"/>
      <w:bookmarkStart w:id="431" w:name="_Toc151193922"/>
      <w:bookmarkStart w:id="432" w:name="_Toc150774739"/>
      <w:bookmarkStart w:id="433" w:name="_Toc142311036"/>
      <w:bookmarkStart w:id="434" w:name="_Toc226337230"/>
      <w:bookmarkStart w:id="435" w:name="_Toc151193848"/>
      <w:bookmarkStart w:id="436" w:name="_Toc520356159"/>
      <w:bookmarkStart w:id="437" w:name="_Toc151193632"/>
      <w:bookmarkStart w:id="438" w:name="_Toc151193704"/>
      <w:bookmarkStart w:id="439" w:name="_Toc226965807"/>
      <w:r>
        <w:rPr>
          <w:rFonts w:hint="eastAsia"/>
          <w:sz w:val="24"/>
        </w:rPr>
        <w:t>投标文件的正本需打印或用不褪色墨水书写，并由供应商的法定代表人授权的代表在投标文件上签字并加盖单位公章。投标文件的正本封面处加盖供应商公章。授权代表须持有书面的“法定代表人授权委托书”（标准格式附后），并将其附在投标文件中。如对投标文件进行了修改，则应当由授权代表在修改的每一页上签字。投标文件的副本可以采用正本的复印件。</w:t>
      </w:r>
    </w:p>
    <w:p>
      <w:pPr>
        <w:numPr>
          <w:ilvl w:val="1"/>
          <w:numId w:val="8"/>
        </w:numPr>
        <w:tabs>
          <w:tab w:val="left" w:pos="1080"/>
          <w:tab w:val="left" w:pos="2014"/>
        </w:tabs>
        <w:snapToGrid w:val="0"/>
        <w:spacing w:line="360" w:lineRule="auto"/>
        <w:ind w:left="1077" w:hanging="720"/>
        <w:rPr>
          <w:sz w:val="24"/>
        </w:rPr>
      </w:pPr>
      <w:r>
        <w:rPr>
          <w:rFonts w:hint="eastAsia"/>
          <w:sz w:val="24"/>
        </w:rPr>
        <w:t>任何行间插字、涂改和增删，必须由供应商的法定代表人授权的代表签字或加盖公章后才有效。</w:t>
      </w:r>
    </w:p>
    <w:p>
      <w:pPr>
        <w:numPr>
          <w:ilvl w:val="1"/>
          <w:numId w:val="8"/>
        </w:numPr>
        <w:tabs>
          <w:tab w:val="left" w:pos="1080"/>
          <w:tab w:val="left" w:pos="2014"/>
        </w:tabs>
        <w:snapToGrid w:val="0"/>
        <w:spacing w:line="360" w:lineRule="auto"/>
        <w:ind w:left="1077" w:hanging="720"/>
        <w:rPr>
          <w:sz w:val="24"/>
        </w:rPr>
      </w:pPr>
      <w:r>
        <w:rPr>
          <w:rFonts w:hint="eastAsia"/>
          <w:sz w:val="24"/>
        </w:rPr>
        <w:t>投标文件因字迹潦草或表达不清所引起的后果由供应商负责。</w:t>
      </w:r>
    </w:p>
    <w:p>
      <w:pPr>
        <w:numPr>
          <w:ilvl w:val="1"/>
          <w:numId w:val="8"/>
        </w:numPr>
        <w:tabs>
          <w:tab w:val="left" w:pos="1080"/>
          <w:tab w:val="left" w:pos="2014"/>
        </w:tabs>
        <w:snapToGrid w:val="0"/>
        <w:spacing w:line="360" w:lineRule="auto"/>
        <w:ind w:left="1077" w:hanging="720"/>
      </w:pPr>
      <w:r>
        <w:rPr>
          <w:rFonts w:hint="eastAsia"/>
          <w:sz w:val="24"/>
        </w:rPr>
        <w:t>本招标文件中要求加盖投标人公章的，是指与投标人名称全称相一致的“行政公章”，不得加盖“合同专用章、投标专用章、财务专用章”等非行政公章。</w:t>
      </w:r>
    </w:p>
    <w:p>
      <w:pPr>
        <w:tabs>
          <w:tab w:val="left" w:pos="900"/>
          <w:tab w:val="left" w:pos="1080"/>
        </w:tabs>
        <w:snapToGrid w:val="0"/>
        <w:spacing w:line="360" w:lineRule="auto"/>
        <w:ind w:left="357"/>
      </w:pPr>
    </w:p>
    <w:p>
      <w:pPr>
        <w:pStyle w:val="4"/>
        <w:spacing w:before="0" w:line="360" w:lineRule="auto"/>
        <w:rPr>
          <w:rFonts w:ascii="Times New Roman" w:hAnsi="Times New Roman" w:eastAsia="宋体"/>
          <w:sz w:val="28"/>
        </w:rPr>
      </w:pPr>
      <w:r>
        <w:rPr>
          <w:rFonts w:ascii="Times New Roman" w:hAnsi="Times New Roman" w:eastAsia="宋体"/>
          <w:sz w:val="28"/>
        </w:rPr>
        <w:t>四   投标文</w:t>
      </w:r>
      <w:r>
        <w:rPr>
          <w:rFonts w:ascii="Times New Roman" w:hAnsi="Times New Roman" w:eastAsia="宋体"/>
          <w:color w:val="auto"/>
          <w:sz w:val="28"/>
        </w:rPr>
        <w:t>件的提</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Fonts w:hint="eastAsia" w:ascii="Times New Roman" w:hAnsi="Times New Roman" w:eastAsia="宋体"/>
          <w:color w:val="auto"/>
          <w:sz w:val="28"/>
        </w:rPr>
        <w:t>交</w:t>
      </w:r>
    </w:p>
    <w:p>
      <w:pPr>
        <w:numPr>
          <w:ilvl w:val="0"/>
          <w:numId w:val="8"/>
        </w:numPr>
        <w:tabs>
          <w:tab w:val="left" w:pos="360"/>
        </w:tabs>
        <w:snapToGrid w:val="0"/>
        <w:spacing w:line="360" w:lineRule="auto"/>
        <w:ind w:left="357" w:hanging="357"/>
        <w:outlineLvl w:val="1"/>
        <w:rPr>
          <w:sz w:val="24"/>
        </w:rPr>
      </w:pPr>
      <w:bookmarkStart w:id="440" w:name="_Toc520356160"/>
      <w:bookmarkStart w:id="441" w:name="_Toc127151535"/>
      <w:bookmarkStart w:id="442" w:name="_Toc226337231"/>
      <w:bookmarkStart w:id="443" w:name="_Toc151193633"/>
      <w:bookmarkStart w:id="444" w:name="_Toc195842900"/>
      <w:bookmarkStart w:id="445" w:name="_Toc265228373"/>
      <w:bookmarkStart w:id="446" w:name="_Toc164608804"/>
      <w:bookmarkStart w:id="447" w:name="_Toc226965808"/>
      <w:bookmarkStart w:id="448" w:name="_Toc127161449"/>
      <w:bookmarkStart w:id="449" w:name="_Toc151193705"/>
      <w:bookmarkStart w:id="450" w:name="_Toc151193923"/>
      <w:bookmarkStart w:id="451" w:name="_Toc151193849"/>
      <w:bookmarkStart w:id="452" w:name="_Toc127151736"/>
      <w:bookmarkStart w:id="453" w:name="_Toc149720828"/>
      <w:bookmarkStart w:id="454" w:name="_Toc264969225"/>
      <w:bookmarkStart w:id="455" w:name="_Toc305158803"/>
      <w:bookmarkStart w:id="456" w:name="_Toc164351629"/>
      <w:bookmarkStart w:id="457" w:name="_Toc142311037"/>
      <w:bookmarkStart w:id="458" w:name="_Toc164608649"/>
      <w:bookmarkStart w:id="459" w:name="_Toc226309779"/>
      <w:bookmarkStart w:id="460" w:name="_Toc151193777"/>
      <w:bookmarkStart w:id="461" w:name="_Toc305158877"/>
      <w:bookmarkStart w:id="462" w:name="_Toc150480773"/>
      <w:bookmarkStart w:id="463" w:name="_Toc164229230"/>
      <w:bookmarkStart w:id="464" w:name="_Toc150774740"/>
      <w:bookmarkStart w:id="465" w:name="_Toc164229376"/>
      <w:bookmarkStart w:id="466" w:name="_Toc150509286"/>
      <w:bookmarkStart w:id="467" w:name="_Toc226965725"/>
      <w:bookmarkStart w:id="468" w:name="_Toc151190162"/>
      <w:bookmarkStart w:id="469" w:name="_Toc150774635"/>
      <w:r>
        <w:rPr>
          <w:sz w:val="24"/>
        </w:rPr>
        <w:t>投标文件的</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sz w:val="24"/>
        </w:rPr>
        <w:t>提交</w:t>
      </w:r>
    </w:p>
    <w:p>
      <w:pPr>
        <w:numPr>
          <w:ilvl w:val="1"/>
          <w:numId w:val="8"/>
        </w:numPr>
        <w:tabs>
          <w:tab w:val="left" w:pos="1080"/>
          <w:tab w:val="left" w:pos="2014"/>
        </w:tabs>
        <w:snapToGrid w:val="0"/>
        <w:spacing w:line="360" w:lineRule="auto"/>
        <w:ind w:left="1077" w:hanging="720"/>
        <w:rPr>
          <w:sz w:val="24"/>
        </w:rPr>
      </w:pPr>
      <w:r>
        <w:rPr>
          <w:sz w:val="24"/>
        </w:rPr>
        <w:t>线下递交</w:t>
      </w:r>
    </w:p>
    <w:p>
      <w:pPr>
        <w:numPr>
          <w:ilvl w:val="1"/>
          <w:numId w:val="8"/>
        </w:numPr>
        <w:tabs>
          <w:tab w:val="left" w:pos="1080"/>
          <w:tab w:val="left" w:pos="2014"/>
        </w:tabs>
        <w:snapToGrid w:val="0"/>
        <w:spacing w:line="360" w:lineRule="auto"/>
        <w:ind w:left="1077" w:hanging="720"/>
        <w:rPr>
          <w:sz w:val="24"/>
        </w:rPr>
      </w:pPr>
      <w:bookmarkStart w:id="470" w:name="_Toc150774741"/>
      <w:bookmarkStart w:id="471" w:name="_Toc226309780"/>
      <w:bookmarkStart w:id="472" w:name="_Toc164608805"/>
      <w:bookmarkStart w:id="473" w:name="_Toc164608650"/>
      <w:bookmarkStart w:id="474" w:name="_Toc127151536"/>
      <w:bookmarkStart w:id="475" w:name="_Toc305158878"/>
      <w:bookmarkStart w:id="476" w:name="_Toc164351630"/>
      <w:bookmarkStart w:id="477" w:name="_Toc226337232"/>
      <w:bookmarkStart w:id="478" w:name="_Toc151193850"/>
      <w:bookmarkStart w:id="479" w:name="_Toc150774636"/>
      <w:bookmarkStart w:id="480" w:name="_Toc265228374"/>
      <w:bookmarkStart w:id="481" w:name="_Toc164229231"/>
      <w:bookmarkStart w:id="482" w:name="_Toc151190163"/>
      <w:bookmarkStart w:id="483" w:name="_Toc142311038"/>
      <w:bookmarkStart w:id="484" w:name="_Toc151193634"/>
      <w:bookmarkStart w:id="485" w:name="_Toc151193778"/>
      <w:bookmarkStart w:id="486" w:name="_Toc127161450"/>
      <w:bookmarkStart w:id="487" w:name="_Toc127151737"/>
      <w:bookmarkStart w:id="488" w:name="_Toc226965809"/>
      <w:bookmarkStart w:id="489" w:name="_Toc520356161"/>
      <w:bookmarkStart w:id="490" w:name="_Toc264969226"/>
      <w:bookmarkStart w:id="491" w:name="_Toc150480774"/>
      <w:bookmarkStart w:id="492" w:name="_Toc164229377"/>
      <w:bookmarkStart w:id="493" w:name="_Toc195842901"/>
      <w:bookmarkStart w:id="494" w:name="_Toc305158804"/>
      <w:bookmarkStart w:id="495" w:name="_Toc150509287"/>
      <w:bookmarkStart w:id="496" w:name="_Toc151193706"/>
      <w:bookmarkStart w:id="497" w:name="_Toc226965726"/>
      <w:bookmarkStart w:id="498" w:name="_Toc151193924"/>
      <w:bookmarkStart w:id="499" w:name="_Toc149720829"/>
      <w:r>
        <w:rPr>
          <w:sz w:val="24"/>
        </w:rPr>
        <w:t>投标现场需提供的资料</w:t>
      </w:r>
    </w:p>
    <w:p>
      <w:pPr>
        <w:tabs>
          <w:tab w:val="left" w:pos="1080"/>
          <w:tab w:val="left" w:pos="2014"/>
        </w:tabs>
        <w:snapToGrid w:val="0"/>
        <w:spacing w:line="360" w:lineRule="auto"/>
        <w:ind w:left="357"/>
        <w:rPr>
          <w:sz w:val="24"/>
        </w:rPr>
      </w:pPr>
      <w:r>
        <w:rPr>
          <w:rFonts w:hint="eastAsia"/>
          <w:sz w:val="24"/>
        </w:rPr>
        <w:t>15.2.1</w:t>
      </w:r>
      <w:r>
        <w:rPr>
          <w:sz w:val="24"/>
        </w:rPr>
        <w:t>投标人需在开标当日，由投标单位法人或授权人参加开标会。届时应提供以下资料：①《投标文件》纸质版正本 1 份，副本</w:t>
      </w:r>
      <w:r>
        <w:rPr>
          <w:rFonts w:hint="eastAsia"/>
          <w:sz w:val="24"/>
          <w:lang w:val="en-US" w:eastAsia="zh-CN"/>
        </w:rPr>
        <w:t>4份</w:t>
      </w:r>
      <w:r>
        <w:rPr>
          <w:sz w:val="24"/>
        </w:rPr>
        <w:t>；②《开标一览表》纸质版 1 份。③</w:t>
      </w:r>
      <w:r>
        <w:rPr>
          <w:rFonts w:hint="eastAsia"/>
          <w:sz w:val="24"/>
          <w:lang w:val="en-US" w:eastAsia="zh-CN"/>
        </w:rPr>
        <w:t>电子版</w:t>
      </w:r>
      <w:r>
        <w:rPr>
          <w:sz w:val="24"/>
        </w:rPr>
        <w:t xml:space="preserve"> U 盘或光盘</w:t>
      </w:r>
      <w:r>
        <w:rPr>
          <w:rFonts w:hint="eastAsia"/>
          <w:sz w:val="24"/>
          <w:lang w:val="en-US" w:eastAsia="zh-CN"/>
        </w:rPr>
        <w:t>1份（正本加盖公章的扫描件）</w:t>
      </w:r>
      <w:r>
        <w:rPr>
          <w:sz w:val="24"/>
        </w:rPr>
        <w:t>。④法人身份证明或法人代表授权书 1 份。以上资料需开标当日现场递交，不接受现场递交以外的投递形式，投标人采取其他投递形式致使投标无效，招标代理机构不承担任何责任。（现场递交系指投标人将投标文件相关资料直接递交给代理机构，并签字确认）</w:t>
      </w:r>
    </w:p>
    <w:p>
      <w:pPr>
        <w:numPr>
          <w:ilvl w:val="1"/>
          <w:numId w:val="8"/>
        </w:numPr>
        <w:tabs>
          <w:tab w:val="left" w:pos="1080"/>
          <w:tab w:val="left" w:pos="2014"/>
        </w:tabs>
        <w:snapToGrid w:val="0"/>
        <w:spacing w:line="360" w:lineRule="auto"/>
        <w:ind w:left="1077" w:hanging="720"/>
        <w:rPr>
          <w:sz w:val="24"/>
        </w:rPr>
      </w:pPr>
      <w:r>
        <w:rPr>
          <w:rFonts w:hint="eastAsia"/>
          <w:sz w:val="24"/>
        </w:rPr>
        <w:t>投标文件的密封及标记</w:t>
      </w:r>
    </w:p>
    <w:p>
      <w:pPr>
        <w:tabs>
          <w:tab w:val="left" w:pos="1080"/>
          <w:tab w:val="left" w:pos="2014"/>
        </w:tabs>
        <w:snapToGrid w:val="0"/>
        <w:spacing w:line="360" w:lineRule="auto"/>
        <w:ind w:left="357"/>
        <w:rPr>
          <w:sz w:val="24"/>
        </w:rPr>
      </w:pPr>
      <w:r>
        <w:rPr>
          <w:rFonts w:hint="eastAsia"/>
          <w:sz w:val="24"/>
        </w:rPr>
        <w:t>15.3.1 纸质投标文件正本、投标文件副本、投标一览表及投标文件电子版 U盘应分三个袋装袋密封。</w:t>
      </w:r>
    </w:p>
    <w:p>
      <w:pPr>
        <w:tabs>
          <w:tab w:val="left" w:pos="1080"/>
          <w:tab w:val="left" w:pos="2014"/>
        </w:tabs>
        <w:snapToGrid w:val="0"/>
        <w:spacing w:line="360" w:lineRule="auto"/>
        <w:ind w:left="357"/>
        <w:rPr>
          <w:sz w:val="24"/>
        </w:rPr>
      </w:pPr>
      <w:r>
        <w:rPr>
          <w:rFonts w:hint="eastAsia"/>
          <w:sz w:val="24"/>
        </w:rPr>
        <w:t>15.3.2 投标文件正本密封袋：内装１份纸质投标文件正本。封口处加盖投标人公章。封皮上写明：①投标文件正本、②项目编号、包号、③项目名称、</w:t>
      </w:r>
      <w:r>
        <w:rPr>
          <w:sz w:val="24"/>
        </w:rPr>
        <w:t>④</w:t>
      </w:r>
      <w:r>
        <w:rPr>
          <w:rFonts w:hint="eastAsia"/>
          <w:sz w:val="24"/>
        </w:rPr>
        <w:t>投标人名称、⑤开标时启封。</w:t>
      </w:r>
    </w:p>
    <w:p>
      <w:pPr>
        <w:tabs>
          <w:tab w:val="left" w:pos="1080"/>
          <w:tab w:val="left" w:pos="2014"/>
        </w:tabs>
        <w:snapToGrid w:val="0"/>
        <w:spacing w:line="360" w:lineRule="auto"/>
        <w:ind w:left="357"/>
        <w:rPr>
          <w:sz w:val="24"/>
        </w:rPr>
      </w:pPr>
      <w:r>
        <w:rPr>
          <w:rFonts w:hint="eastAsia"/>
          <w:sz w:val="24"/>
        </w:rPr>
        <w:t>15.3.3 投标文件副本密封袋：内装要求份数的纸质投标文件。封口处加盖投标人公章。封皮上写明：①投标文件副本、②项目编号、包号、③项目名称、</w:t>
      </w:r>
      <w:r>
        <w:rPr>
          <w:sz w:val="24"/>
        </w:rPr>
        <w:t>④</w:t>
      </w:r>
      <w:r>
        <w:rPr>
          <w:rFonts w:hint="eastAsia"/>
          <w:sz w:val="24"/>
        </w:rPr>
        <w:t>投标人名称、⑤开标时启封。</w:t>
      </w:r>
    </w:p>
    <w:p>
      <w:pPr>
        <w:tabs>
          <w:tab w:val="left" w:pos="1080"/>
          <w:tab w:val="left" w:pos="2014"/>
        </w:tabs>
        <w:snapToGrid w:val="0"/>
        <w:spacing w:line="360" w:lineRule="auto"/>
        <w:ind w:left="357"/>
        <w:rPr>
          <w:sz w:val="24"/>
        </w:rPr>
      </w:pPr>
      <w:r>
        <w:rPr>
          <w:rFonts w:hint="eastAsia"/>
          <w:sz w:val="24"/>
        </w:rPr>
        <w:t>15.3.4 投标一览表密封袋：内装１套纸质“投标一览表”、“投标保证金递交凭证”（复印件，如有）和要求份数的“投标文件电子版&lt;U 盘&gt;”，封口处加盖投标人公章。封皮上写明：①投标一览表、②项目编号、包号、③项目名称、</w:t>
      </w:r>
      <w:r>
        <w:rPr>
          <w:sz w:val="24"/>
        </w:rPr>
        <w:t>④</w:t>
      </w:r>
      <w:r>
        <w:rPr>
          <w:rFonts w:hint="eastAsia"/>
          <w:sz w:val="24"/>
        </w:rPr>
        <w:t>投标人名称、⑤开标时启封。</w:t>
      </w:r>
    </w:p>
    <w:p>
      <w:pPr>
        <w:tabs>
          <w:tab w:val="left" w:pos="1080"/>
          <w:tab w:val="left" w:pos="2014"/>
        </w:tabs>
        <w:snapToGrid w:val="0"/>
        <w:spacing w:line="360" w:lineRule="auto"/>
        <w:ind w:left="357"/>
        <w:rPr>
          <w:sz w:val="24"/>
        </w:rPr>
      </w:pPr>
      <w:r>
        <w:rPr>
          <w:rFonts w:hint="eastAsia"/>
          <w:sz w:val="24"/>
        </w:rPr>
        <w:t>15.3.5 采用暗标评审的，由采购代理机构补充对投标文件的制作和评标等要求，投标文件的密封及标记从其规定。</w:t>
      </w:r>
    </w:p>
    <w:p>
      <w:pPr>
        <w:tabs>
          <w:tab w:val="left" w:pos="1080"/>
          <w:tab w:val="left" w:pos="2014"/>
        </w:tabs>
        <w:snapToGrid w:val="0"/>
        <w:spacing w:line="360" w:lineRule="auto"/>
        <w:ind w:left="357"/>
      </w:pPr>
      <w:r>
        <w:rPr>
          <w:rFonts w:hint="eastAsia"/>
          <w:sz w:val="24"/>
        </w:rPr>
        <w:t>15.3.6 采购代理机构拒收未按要求密封、标记的投标文件。</w:t>
      </w:r>
    </w:p>
    <w:p>
      <w:pPr>
        <w:numPr>
          <w:ilvl w:val="0"/>
          <w:numId w:val="8"/>
        </w:numPr>
        <w:tabs>
          <w:tab w:val="left" w:pos="360"/>
        </w:tabs>
        <w:snapToGrid w:val="0"/>
        <w:spacing w:line="360" w:lineRule="auto"/>
        <w:ind w:left="357" w:hanging="357"/>
        <w:outlineLvl w:val="1"/>
        <w:rPr>
          <w:sz w:val="24"/>
        </w:rPr>
      </w:pPr>
      <w:r>
        <w:rPr>
          <w:sz w:val="24"/>
        </w:rPr>
        <w:t>投标截止</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sz w:val="24"/>
        </w:rPr>
        <w:t>时间</w:t>
      </w:r>
      <w:bookmarkStart w:id="500" w:name="_Toc142311039"/>
      <w:bookmarkStart w:id="501" w:name="_Toc164229378"/>
      <w:bookmarkStart w:id="502" w:name="_Toc127161451"/>
      <w:bookmarkStart w:id="503" w:name="_Toc226337233"/>
      <w:bookmarkStart w:id="504" w:name="_Toc151193925"/>
      <w:bookmarkStart w:id="505" w:name="_Toc151190164"/>
      <w:bookmarkStart w:id="506" w:name="_Toc226309781"/>
      <w:bookmarkStart w:id="507" w:name="_Toc151193707"/>
      <w:bookmarkStart w:id="508" w:name="_Toc150480775"/>
      <w:bookmarkStart w:id="509" w:name="_Toc164608651"/>
      <w:bookmarkStart w:id="510" w:name="_Toc226965727"/>
      <w:bookmarkStart w:id="511" w:name="_Toc164229232"/>
      <w:bookmarkStart w:id="512" w:name="_Toc164608806"/>
      <w:bookmarkStart w:id="513" w:name="_Toc151193851"/>
      <w:bookmarkStart w:id="514" w:name="_Toc305158805"/>
      <w:bookmarkStart w:id="515" w:name="_Toc127151537"/>
      <w:bookmarkStart w:id="516" w:name="_Toc127151738"/>
      <w:bookmarkStart w:id="517" w:name="_Toc164351631"/>
      <w:bookmarkStart w:id="518" w:name="_Toc520356162"/>
      <w:bookmarkStart w:id="519" w:name="_Toc149720830"/>
      <w:bookmarkStart w:id="520" w:name="_Toc151193779"/>
      <w:bookmarkStart w:id="521" w:name="_Toc226965810"/>
      <w:bookmarkStart w:id="522" w:name="_Toc150774742"/>
      <w:bookmarkStart w:id="523" w:name="_Toc195842902"/>
      <w:bookmarkStart w:id="524" w:name="_Toc151193635"/>
      <w:bookmarkStart w:id="525" w:name="_Toc265228375"/>
      <w:bookmarkStart w:id="526" w:name="_Toc264969227"/>
      <w:bookmarkStart w:id="527" w:name="_Toc305158879"/>
      <w:bookmarkStart w:id="528" w:name="_Toc150509288"/>
      <w:bookmarkStart w:id="529" w:name="_Toc150774637"/>
    </w:p>
    <w:p>
      <w:pPr>
        <w:tabs>
          <w:tab w:val="left" w:pos="1080"/>
          <w:tab w:val="left" w:pos="2014"/>
        </w:tabs>
        <w:snapToGrid w:val="0"/>
        <w:spacing w:line="360" w:lineRule="auto"/>
        <w:ind w:left="357"/>
        <w:rPr>
          <w:sz w:val="24"/>
        </w:rPr>
      </w:pPr>
      <w:r>
        <w:rPr>
          <w:rFonts w:hint="eastAsia"/>
          <w:sz w:val="24"/>
        </w:rPr>
        <w:t>16.1 投标人应在招标文件要求提交投标文件截止时间前和地址递交投标文件，逾期送达，不予受理。</w:t>
      </w:r>
    </w:p>
    <w:p>
      <w:pPr>
        <w:tabs>
          <w:tab w:val="left" w:pos="1080"/>
          <w:tab w:val="left" w:pos="2014"/>
        </w:tabs>
        <w:snapToGrid w:val="0"/>
        <w:spacing w:line="360" w:lineRule="auto"/>
        <w:ind w:left="357"/>
        <w:rPr>
          <w:sz w:val="24"/>
        </w:rPr>
      </w:pPr>
      <w:r>
        <w:rPr>
          <w:rFonts w:hint="eastAsia"/>
          <w:sz w:val="24"/>
        </w:rPr>
        <w:t>16.2 招标采购单位有权按本须知的规定，通过修改招标文件延长投标截止时间。在此情况下，招标采购单位和供应商受投标截止时间制约的所有权利和义务均应当延长至新的截止期。</w:t>
      </w:r>
    </w:p>
    <w:p>
      <w:pPr>
        <w:tabs>
          <w:tab w:val="left" w:pos="1080"/>
          <w:tab w:val="left" w:pos="2014"/>
        </w:tabs>
        <w:snapToGrid w:val="0"/>
        <w:spacing w:line="360" w:lineRule="auto"/>
        <w:ind w:left="357"/>
        <w:rPr>
          <w:sz w:val="24"/>
        </w:rPr>
      </w:pPr>
      <w:r>
        <w:rPr>
          <w:rFonts w:hint="eastAsia"/>
          <w:sz w:val="24"/>
        </w:rPr>
        <w:t>16.3 拒收情形：招标采购单位将拒绝接收并原封退回在本须知规定的投标截止时间后送达的任何投标文件。</w:t>
      </w:r>
    </w:p>
    <w:p>
      <w:pPr>
        <w:pStyle w:val="249"/>
      </w:pPr>
    </w:p>
    <w:p>
      <w:pPr>
        <w:numPr>
          <w:ilvl w:val="0"/>
          <w:numId w:val="8"/>
        </w:numPr>
        <w:tabs>
          <w:tab w:val="left" w:pos="360"/>
        </w:tabs>
        <w:snapToGrid w:val="0"/>
        <w:spacing w:line="360" w:lineRule="auto"/>
        <w:ind w:left="357" w:hanging="357"/>
        <w:outlineLvl w:val="1"/>
        <w:rPr>
          <w:sz w:val="24"/>
        </w:rPr>
      </w:pPr>
      <w:r>
        <w:rPr>
          <w:sz w:val="24"/>
        </w:rPr>
        <w:t>投标文件的修改与撤回</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tabs>
          <w:tab w:val="left" w:pos="1080"/>
          <w:tab w:val="left" w:pos="2014"/>
        </w:tabs>
        <w:snapToGrid w:val="0"/>
        <w:spacing w:line="360" w:lineRule="auto"/>
        <w:ind w:left="357"/>
        <w:rPr>
          <w:sz w:val="24"/>
        </w:rPr>
      </w:pPr>
      <w:r>
        <w:rPr>
          <w:rFonts w:hint="eastAsia"/>
          <w:sz w:val="24"/>
        </w:rPr>
        <w:t>17.1</w:t>
      </w:r>
      <w:r>
        <w:rPr>
          <w:rFonts w:hint="eastAsia"/>
          <w:sz w:val="24"/>
        </w:rPr>
        <w:tab/>
      </w:r>
      <w:r>
        <w:rPr>
          <w:rFonts w:hint="eastAsia"/>
          <w:sz w:val="24"/>
        </w:rPr>
        <w:t>供应商在投标截止时间前，可以对所递交的投标文件进行补充、修改或者撤回，并书面通知招标采购单位。补充、修改的内容应当按招标文件要求签署、盖章，并作为投标文件的组成部分。</w:t>
      </w:r>
    </w:p>
    <w:p>
      <w:pPr>
        <w:tabs>
          <w:tab w:val="left" w:pos="1080"/>
          <w:tab w:val="left" w:pos="2014"/>
        </w:tabs>
        <w:snapToGrid w:val="0"/>
        <w:spacing w:line="360" w:lineRule="auto"/>
        <w:ind w:left="357"/>
        <w:rPr>
          <w:sz w:val="24"/>
        </w:rPr>
      </w:pPr>
      <w:r>
        <w:rPr>
          <w:rFonts w:hint="eastAsia"/>
          <w:sz w:val="24"/>
        </w:rPr>
        <w:t>17.2</w:t>
      </w:r>
      <w:r>
        <w:rPr>
          <w:rFonts w:hint="eastAsia"/>
          <w:sz w:val="24"/>
        </w:rPr>
        <w:tab/>
      </w:r>
      <w:r>
        <w:rPr>
          <w:rFonts w:hint="eastAsia"/>
          <w:sz w:val="24"/>
        </w:rPr>
        <w:t>投标截止时间后，供应商不得对其投标文件做任何修改。</w:t>
      </w:r>
    </w:p>
    <w:p>
      <w:pPr>
        <w:tabs>
          <w:tab w:val="left" w:pos="1080"/>
          <w:tab w:val="left" w:pos="2014"/>
        </w:tabs>
        <w:snapToGrid w:val="0"/>
        <w:spacing w:line="360" w:lineRule="auto"/>
        <w:ind w:left="357"/>
        <w:rPr>
          <w:sz w:val="24"/>
        </w:rPr>
      </w:pPr>
      <w:r>
        <w:rPr>
          <w:rFonts w:hint="eastAsia"/>
          <w:sz w:val="24"/>
        </w:rPr>
        <w:t>17.3</w:t>
      </w:r>
      <w:r>
        <w:rPr>
          <w:rFonts w:hint="eastAsia"/>
          <w:sz w:val="24"/>
        </w:rPr>
        <w:tab/>
      </w:r>
      <w:r>
        <w:rPr>
          <w:rFonts w:hint="eastAsia"/>
          <w:sz w:val="24"/>
        </w:rPr>
        <w:t>从投标截止期至供应商在投标书格式中确定的投标有效期之间，供应商不得撤销其投标，否则其投标保证金将按照本须知的规定不予退还。</w:t>
      </w:r>
    </w:p>
    <w:p>
      <w:pPr>
        <w:pStyle w:val="249"/>
      </w:pPr>
    </w:p>
    <w:p>
      <w:pPr>
        <w:pStyle w:val="4"/>
        <w:spacing w:before="0" w:line="360" w:lineRule="auto"/>
        <w:rPr>
          <w:rFonts w:ascii="Times New Roman" w:hAnsi="Times New Roman" w:eastAsia="宋体"/>
          <w:sz w:val="28"/>
        </w:rPr>
      </w:pPr>
      <w:bookmarkStart w:id="530" w:name="_Toc151193852"/>
      <w:bookmarkStart w:id="531" w:name="_Toc265228376"/>
      <w:bookmarkStart w:id="532" w:name="_Toc150774743"/>
      <w:bookmarkStart w:id="533" w:name="_Toc264969228"/>
      <w:bookmarkStart w:id="534" w:name="_Toc226965728"/>
      <w:bookmarkStart w:id="535" w:name="_Toc151193926"/>
      <w:bookmarkStart w:id="536" w:name="_Toc151190165"/>
      <w:bookmarkStart w:id="537" w:name="_Toc127151538"/>
      <w:bookmarkStart w:id="538" w:name="_Toc150509289"/>
      <w:bookmarkStart w:id="539" w:name="_Toc151193636"/>
      <w:bookmarkStart w:id="540" w:name="_Toc151193708"/>
      <w:bookmarkStart w:id="541" w:name="_Toc151193780"/>
      <w:bookmarkStart w:id="542" w:name="_Toc226309782"/>
      <w:bookmarkStart w:id="543" w:name="_Toc142311040"/>
      <w:bookmarkStart w:id="544" w:name="_Toc305158806"/>
      <w:bookmarkStart w:id="545" w:name="_Toc226337234"/>
      <w:bookmarkStart w:id="546" w:name="_Toc305158880"/>
      <w:bookmarkStart w:id="547" w:name="_Toc520356163"/>
      <w:bookmarkStart w:id="548" w:name="_Toc195842903"/>
      <w:bookmarkStart w:id="549" w:name="_Toc226965811"/>
      <w:bookmarkStart w:id="550" w:name="_Toc150480776"/>
      <w:bookmarkStart w:id="551" w:name="_Toc150774638"/>
      <w:r>
        <w:rPr>
          <w:rFonts w:ascii="Times New Roman" w:hAnsi="Times New Roman" w:eastAsia="宋体"/>
          <w:sz w:val="28"/>
        </w:rPr>
        <w:t>五   开标、资格审查及评标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pPr>
        <w:numPr>
          <w:ilvl w:val="0"/>
          <w:numId w:val="8"/>
        </w:numPr>
        <w:tabs>
          <w:tab w:val="left" w:pos="360"/>
        </w:tabs>
        <w:snapToGrid w:val="0"/>
        <w:spacing w:line="360" w:lineRule="auto"/>
        <w:ind w:left="357" w:hanging="357"/>
        <w:outlineLvl w:val="1"/>
        <w:rPr>
          <w:sz w:val="24"/>
        </w:rPr>
      </w:pPr>
      <w:bookmarkStart w:id="552" w:name="_Toc226337235"/>
      <w:bookmarkStart w:id="553" w:name="_Toc151193709"/>
      <w:bookmarkStart w:id="554" w:name="_Toc164229380"/>
      <w:bookmarkStart w:id="555" w:name="_Toc164351633"/>
      <w:bookmarkStart w:id="556" w:name="_Toc264969229"/>
      <w:bookmarkStart w:id="557" w:name="_Toc150480777"/>
      <w:bookmarkStart w:id="558" w:name="_Toc151193927"/>
      <w:bookmarkStart w:id="559" w:name="_Toc151193637"/>
      <w:bookmarkStart w:id="560" w:name="_Toc164608653"/>
      <w:bookmarkStart w:id="561" w:name="_Toc265228377"/>
      <w:bookmarkStart w:id="562" w:name="_Toc150774639"/>
      <w:bookmarkStart w:id="563" w:name="_Toc164229234"/>
      <w:bookmarkStart w:id="564" w:name="_Toc305158881"/>
      <w:bookmarkStart w:id="565" w:name="_Toc226965812"/>
      <w:bookmarkStart w:id="566" w:name="_Toc151193853"/>
      <w:bookmarkStart w:id="567" w:name="_Toc150509290"/>
      <w:bookmarkStart w:id="568" w:name="_Toc149720832"/>
      <w:bookmarkStart w:id="569" w:name="_Toc142311041"/>
      <w:bookmarkStart w:id="570" w:name="_Toc127161453"/>
      <w:bookmarkStart w:id="571" w:name="_Toc151193781"/>
      <w:bookmarkStart w:id="572" w:name="_Toc150774744"/>
      <w:bookmarkStart w:id="573" w:name="_Toc127151740"/>
      <w:bookmarkStart w:id="574" w:name="_Toc195842904"/>
      <w:bookmarkStart w:id="575" w:name="_Toc151190166"/>
      <w:bookmarkStart w:id="576" w:name="_Toc305158807"/>
      <w:bookmarkStart w:id="577" w:name="_Toc226309783"/>
      <w:bookmarkStart w:id="578" w:name="_Toc127151539"/>
      <w:bookmarkStart w:id="579" w:name="_Toc226965729"/>
      <w:bookmarkStart w:id="580" w:name="_Toc520356164"/>
      <w:bookmarkStart w:id="581" w:name="_Toc164608808"/>
      <w:r>
        <w:rPr>
          <w:sz w:val="24"/>
        </w:rPr>
        <w:t>开标</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pPr>
        <w:numPr>
          <w:ilvl w:val="1"/>
          <w:numId w:val="8"/>
        </w:numPr>
        <w:tabs>
          <w:tab w:val="left" w:pos="1080"/>
          <w:tab w:val="left" w:pos="2014"/>
        </w:tabs>
        <w:snapToGrid w:val="0"/>
        <w:spacing w:line="360" w:lineRule="auto"/>
        <w:ind w:left="1077" w:hanging="720"/>
        <w:rPr>
          <w:sz w:val="24"/>
        </w:rPr>
      </w:pPr>
      <w:r>
        <w:rPr>
          <w:sz w:val="24"/>
        </w:rPr>
        <w:t>采购代理机构按招标公告、投标邀请书的规定，在投标截止时间的同一时间和预先确定的地点组织开标。开标时邀请所有投标人授权代表和有关方面代表参加。投标人法定代理人或代理人参加开标的，应当在开标前单独提交按招标文件格式要求填写的法定代表人声明或法定代表人授权书原件，同时出示其本人身份证明。投标人未参加开标的，视同认可开标结果。</w:t>
      </w:r>
    </w:p>
    <w:p>
      <w:pPr>
        <w:numPr>
          <w:ilvl w:val="1"/>
          <w:numId w:val="8"/>
        </w:numPr>
        <w:tabs>
          <w:tab w:val="left" w:pos="1080"/>
          <w:tab w:val="left" w:pos="2014"/>
        </w:tabs>
        <w:snapToGrid w:val="0"/>
        <w:spacing w:line="360" w:lineRule="auto"/>
        <w:ind w:left="1077" w:hanging="720"/>
        <w:rPr>
          <w:sz w:val="24"/>
        </w:rPr>
      </w:pPr>
      <w:bookmarkStart w:id="582" w:name="_Toc520356165"/>
      <w:r>
        <w:rPr>
          <w:sz w:val="24"/>
        </w:rPr>
        <w:t>开标过程将宣布投标人名称、投标价格和招标文件规定的需要宣布的其他内容并进行记录，并由参加开标的各投标人代表确认。</w:t>
      </w:r>
    </w:p>
    <w:p>
      <w:pPr>
        <w:numPr>
          <w:ilvl w:val="1"/>
          <w:numId w:val="8"/>
        </w:numPr>
        <w:tabs>
          <w:tab w:val="left" w:pos="1080"/>
          <w:tab w:val="left" w:pos="2014"/>
        </w:tabs>
        <w:snapToGrid w:val="0"/>
        <w:spacing w:line="360" w:lineRule="auto"/>
        <w:ind w:left="1077" w:hanging="720"/>
        <w:rPr>
          <w:sz w:val="24"/>
        </w:rPr>
      </w:pPr>
      <w:r>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8"/>
        </w:numPr>
        <w:tabs>
          <w:tab w:val="left" w:pos="1080"/>
          <w:tab w:val="left" w:pos="2014"/>
        </w:tabs>
        <w:snapToGrid w:val="0"/>
        <w:spacing w:line="360" w:lineRule="auto"/>
        <w:ind w:left="1077" w:hanging="720"/>
        <w:rPr>
          <w:sz w:val="24"/>
        </w:rPr>
      </w:pPr>
      <w:r>
        <w:rPr>
          <w:sz w:val="24"/>
        </w:rPr>
        <w:t>投标人不足3家的，不予开标。</w:t>
      </w:r>
    </w:p>
    <w:p>
      <w:pPr>
        <w:numPr>
          <w:ilvl w:val="0"/>
          <w:numId w:val="8"/>
        </w:numPr>
        <w:tabs>
          <w:tab w:val="left" w:pos="360"/>
        </w:tabs>
        <w:snapToGrid w:val="0"/>
        <w:spacing w:line="360" w:lineRule="auto"/>
        <w:ind w:left="357" w:hanging="357"/>
        <w:outlineLvl w:val="1"/>
        <w:rPr>
          <w:sz w:val="24"/>
        </w:rPr>
      </w:pPr>
      <w:r>
        <w:rPr>
          <w:sz w:val="24"/>
        </w:rPr>
        <w:t>资格审查</w:t>
      </w:r>
    </w:p>
    <w:p>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82"/>
    <w:p>
      <w:pPr>
        <w:numPr>
          <w:ilvl w:val="0"/>
          <w:numId w:val="8"/>
        </w:numPr>
        <w:tabs>
          <w:tab w:val="left" w:pos="360"/>
        </w:tabs>
        <w:snapToGrid w:val="0"/>
        <w:spacing w:line="360" w:lineRule="auto"/>
        <w:ind w:left="357" w:hanging="357"/>
        <w:outlineLvl w:val="1"/>
        <w:rPr>
          <w:sz w:val="24"/>
        </w:rPr>
      </w:pPr>
      <w:bookmarkStart w:id="583" w:name="_Toc305158808"/>
      <w:bookmarkStart w:id="584" w:name="_Toc150509291"/>
      <w:bookmarkStart w:id="585" w:name="_Toc195842905"/>
      <w:bookmarkStart w:id="586" w:name="_Toc127161454"/>
      <w:bookmarkStart w:id="587" w:name="_Toc226309784"/>
      <w:bookmarkStart w:id="588" w:name="_Toc265228378"/>
      <w:bookmarkStart w:id="589" w:name="_Toc264969230"/>
      <w:bookmarkStart w:id="590" w:name="_Toc164229381"/>
      <w:bookmarkStart w:id="591" w:name="_Toc150774640"/>
      <w:bookmarkStart w:id="592" w:name="_Toc164229235"/>
      <w:bookmarkStart w:id="593" w:name="_Toc150774745"/>
      <w:bookmarkStart w:id="594" w:name="_Toc142311042"/>
      <w:bookmarkStart w:id="595" w:name="_Toc149720833"/>
      <w:bookmarkStart w:id="596" w:name="_Toc127151540"/>
      <w:bookmarkStart w:id="597" w:name="_Toc127151741"/>
      <w:bookmarkStart w:id="598" w:name="_Toc151193638"/>
      <w:bookmarkStart w:id="599" w:name="_Toc164608809"/>
      <w:bookmarkStart w:id="600" w:name="_Toc151193854"/>
      <w:bookmarkStart w:id="601" w:name="_Toc164608654"/>
      <w:bookmarkStart w:id="602" w:name="_Toc151193782"/>
      <w:bookmarkStart w:id="603" w:name="_Toc226965813"/>
      <w:bookmarkStart w:id="604" w:name="_Toc226337236"/>
      <w:bookmarkStart w:id="605" w:name="_Toc151190167"/>
      <w:bookmarkStart w:id="606" w:name="_Toc226965730"/>
      <w:bookmarkStart w:id="607" w:name="_Toc151193928"/>
      <w:bookmarkStart w:id="608" w:name="_Toc164351634"/>
      <w:bookmarkStart w:id="609" w:name="_Toc150480778"/>
      <w:bookmarkStart w:id="610" w:name="_Toc151193710"/>
      <w:bookmarkStart w:id="611" w:name="_Toc305158882"/>
      <w:r>
        <w:rPr>
          <w:sz w:val="24"/>
        </w:rPr>
        <w:t>评标委员会</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612" w:name="_Toc520356166"/>
    </w:p>
    <w:p>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12"/>
    </w:p>
    <w:p>
      <w:pPr>
        <w:numPr>
          <w:ilvl w:val="0"/>
          <w:numId w:val="8"/>
        </w:numPr>
        <w:tabs>
          <w:tab w:val="left" w:pos="360"/>
        </w:tabs>
        <w:snapToGrid w:val="0"/>
        <w:spacing w:line="360" w:lineRule="auto"/>
        <w:ind w:left="357" w:hanging="357"/>
        <w:outlineLvl w:val="1"/>
        <w:rPr>
          <w:sz w:val="24"/>
        </w:rPr>
      </w:pPr>
      <w:r>
        <w:rPr>
          <w:sz w:val="24"/>
        </w:rPr>
        <w:t>评标程序、评标方法和评标标准</w:t>
      </w:r>
    </w:p>
    <w:p>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pPr>
        <w:pStyle w:val="4"/>
        <w:spacing w:before="0" w:line="360" w:lineRule="auto"/>
        <w:rPr>
          <w:rFonts w:ascii="Times New Roman" w:hAnsi="Times New Roman" w:eastAsia="宋体"/>
          <w:sz w:val="28"/>
        </w:rPr>
      </w:pPr>
      <w:bookmarkStart w:id="613" w:name="_Toc226965735"/>
      <w:bookmarkStart w:id="614" w:name="_Toc151193933"/>
      <w:bookmarkStart w:id="615" w:name="_Toc151193715"/>
      <w:bookmarkStart w:id="616" w:name="_Toc151193859"/>
      <w:bookmarkStart w:id="617" w:name="_Toc151193787"/>
      <w:bookmarkStart w:id="618" w:name="_Toc150774750"/>
      <w:bookmarkStart w:id="619" w:name="_Toc305158887"/>
      <w:bookmarkStart w:id="620" w:name="_Toc151193643"/>
      <w:bookmarkStart w:id="621" w:name="_Toc142311047"/>
      <w:bookmarkStart w:id="622" w:name="_Toc226965818"/>
      <w:bookmarkStart w:id="623" w:name="_Toc264969235"/>
      <w:bookmarkStart w:id="624" w:name="_Toc150480783"/>
      <w:bookmarkStart w:id="625" w:name="_Toc150509296"/>
      <w:bookmarkStart w:id="626" w:name="_Toc226337241"/>
      <w:bookmarkStart w:id="627" w:name="_Toc265228383"/>
      <w:bookmarkStart w:id="628" w:name="_Toc150774645"/>
      <w:bookmarkStart w:id="629" w:name="_Toc127151545"/>
      <w:bookmarkStart w:id="630" w:name="_Toc226309789"/>
      <w:bookmarkStart w:id="631" w:name="_Toc305158813"/>
      <w:bookmarkStart w:id="632" w:name="_Toc151190172"/>
      <w:bookmarkStart w:id="633" w:name="_Toc195842910"/>
      <w:r>
        <w:rPr>
          <w:rFonts w:ascii="Times New Roman" w:hAnsi="Times New Roman" w:eastAsia="宋体"/>
          <w:sz w:val="28"/>
        </w:rPr>
        <w:t xml:space="preserve">六   </w:t>
      </w:r>
      <w:bookmarkEnd w:id="238"/>
      <w:r>
        <w:rPr>
          <w:rFonts w:ascii="Times New Roman" w:hAnsi="Times New Roman" w:eastAsia="宋体"/>
          <w:sz w:val="28"/>
        </w:rPr>
        <w:t>确定中标</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Start w:id="634" w:name="_Toc226965737"/>
      <w:bookmarkStart w:id="635" w:name="_Toc226337243"/>
      <w:bookmarkStart w:id="636" w:name="_Toc164608661"/>
      <w:bookmarkStart w:id="637" w:name="_Toc150774752"/>
      <w:bookmarkStart w:id="638" w:name="_Toc265228385"/>
      <w:bookmarkStart w:id="639" w:name="_Toc142311049"/>
      <w:bookmarkStart w:id="640" w:name="_Toc150509298"/>
      <w:bookmarkStart w:id="641" w:name="_Toc264969237"/>
      <w:bookmarkStart w:id="642" w:name="_Toc151190174"/>
      <w:bookmarkStart w:id="643" w:name="_Toc151193717"/>
      <w:bookmarkStart w:id="644" w:name="_Toc164229242"/>
      <w:bookmarkStart w:id="645" w:name="_Toc164608816"/>
      <w:bookmarkStart w:id="646" w:name="_Toc151193935"/>
      <w:bookmarkStart w:id="647" w:name="_Toc127151547"/>
      <w:bookmarkStart w:id="648" w:name="_Toc150480785"/>
      <w:bookmarkStart w:id="649" w:name="_Toc164229388"/>
      <w:bookmarkStart w:id="650" w:name="_Toc226309791"/>
      <w:bookmarkStart w:id="651" w:name="_Toc151193861"/>
      <w:bookmarkStart w:id="652" w:name="_Toc127151748"/>
      <w:bookmarkStart w:id="653" w:name="_Toc127161461"/>
      <w:bookmarkStart w:id="654" w:name="_Toc151193645"/>
      <w:bookmarkStart w:id="655" w:name="_Toc149720840"/>
      <w:bookmarkStart w:id="656" w:name="_Toc226965820"/>
      <w:bookmarkStart w:id="657" w:name="_Toc195842912"/>
      <w:bookmarkStart w:id="658" w:name="_Toc305158815"/>
      <w:bookmarkStart w:id="659" w:name="_Toc305158889"/>
      <w:bookmarkStart w:id="660" w:name="_Toc151193789"/>
      <w:bookmarkStart w:id="661" w:name="_Toc150774647"/>
      <w:bookmarkStart w:id="662" w:name="_Toc164351641"/>
    </w:p>
    <w:p>
      <w:pPr>
        <w:numPr>
          <w:ilvl w:val="0"/>
          <w:numId w:val="8"/>
        </w:numPr>
        <w:tabs>
          <w:tab w:val="left" w:pos="360"/>
        </w:tabs>
        <w:snapToGrid w:val="0"/>
        <w:spacing w:line="360" w:lineRule="auto"/>
        <w:ind w:left="357" w:hanging="357"/>
        <w:outlineLvl w:val="1"/>
        <w:rPr>
          <w:sz w:val="24"/>
        </w:rPr>
      </w:pPr>
      <w:r>
        <w:rPr>
          <w:sz w:val="24"/>
        </w:rPr>
        <w:t>确定中标人</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pPr>
        <w:numPr>
          <w:ilvl w:val="0"/>
          <w:numId w:val="8"/>
        </w:numPr>
        <w:tabs>
          <w:tab w:val="left" w:pos="360"/>
        </w:tabs>
        <w:snapToGrid w:val="0"/>
        <w:spacing w:line="360" w:lineRule="auto"/>
        <w:ind w:left="357" w:hanging="357"/>
        <w:outlineLvl w:val="1"/>
        <w:rPr>
          <w:sz w:val="24"/>
        </w:rPr>
      </w:pPr>
      <w:bookmarkStart w:id="663" w:name="_Toc305158891"/>
      <w:bookmarkStart w:id="664" w:name="_Toc305158817"/>
      <w:bookmarkStart w:id="665" w:name="_Toc150480787"/>
      <w:bookmarkStart w:id="666" w:name="_Toc151190176"/>
      <w:bookmarkStart w:id="667" w:name="_Toc142311051"/>
      <w:bookmarkStart w:id="668" w:name="_Toc151193863"/>
      <w:bookmarkStart w:id="669" w:name="_Toc150774649"/>
      <w:bookmarkStart w:id="670" w:name="_Toc164229244"/>
      <w:bookmarkStart w:id="671" w:name="_Toc265228387"/>
      <w:bookmarkStart w:id="672" w:name="_Toc151193719"/>
      <w:bookmarkStart w:id="673" w:name="_Toc151193937"/>
      <w:bookmarkStart w:id="674" w:name="_Toc151193791"/>
      <w:bookmarkStart w:id="675" w:name="_Toc127161463"/>
      <w:bookmarkStart w:id="676" w:name="_Toc149720842"/>
      <w:bookmarkStart w:id="677" w:name="_Toc150774754"/>
      <w:bookmarkStart w:id="678" w:name="_Toc226965822"/>
      <w:bookmarkStart w:id="679" w:name="_Toc226309793"/>
      <w:bookmarkStart w:id="680" w:name="_Toc127151549"/>
      <w:bookmarkStart w:id="681" w:name="_Toc164229390"/>
      <w:bookmarkStart w:id="682" w:name="_Toc226337245"/>
      <w:bookmarkStart w:id="683" w:name="_Toc127151750"/>
      <w:bookmarkStart w:id="684" w:name="_Toc164608818"/>
      <w:bookmarkStart w:id="685" w:name="_Toc164608663"/>
      <w:bookmarkStart w:id="686" w:name="_Toc164351643"/>
      <w:bookmarkStart w:id="687" w:name="_Toc195842914"/>
      <w:bookmarkStart w:id="688" w:name="_Toc264969239"/>
      <w:bookmarkStart w:id="689" w:name="_Toc226965739"/>
      <w:bookmarkStart w:id="690" w:name="_Toc150509300"/>
      <w:bookmarkStart w:id="691" w:name="_Toc151193647"/>
      <w:bookmarkStart w:id="692" w:name="_Toc520356176"/>
      <w:bookmarkStart w:id="693" w:name="_Ref467307090"/>
      <w:bookmarkStart w:id="694" w:name="_Ref467306425"/>
      <w:r>
        <w:rPr>
          <w:sz w:val="24"/>
        </w:rPr>
        <w:t>中标公告与中标通知书</w:t>
      </w:r>
      <w:bookmarkEnd w:id="663"/>
      <w:bookmarkEnd w:id="664"/>
    </w:p>
    <w:p>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中标公告期限为1个工作日。</w:t>
      </w:r>
    </w:p>
    <w:p>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pPr>
        <w:numPr>
          <w:ilvl w:val="0"/>
          <w:numId w:val="8"/>
        </w:numPr>
        <w:tabs>
          <w:tab w:val="left" w:pos="360"/>
        </w:tabs>
        <w:snapToGrid w:val="0"/>
        <w:spacing w:line="360" w:lineRule="auto"/>
        <w:ind w:left="357" w:hanging="357"/>
        <w:outlineLvl w:val="1"/>
        <w:rPr>
          <w:sz w:val="24"/>
        </w:rPr>
      </w:pPr>
      <w:r>
        <w:rPr>
          <w:sz w:val="24"/>
        </w:rPr>
        <w:t>废标</w:t>
      </w:r>
    </w:p>
    <w:p>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pPr>
        <w:numPr>
          <w:ilvl w:val="2"/>
          <w:numId w:val="8"/>
        </w:numPr>
        <w:snapToGrid w:val="0"/>
        <w:spacing w:line="360" w:lineRule="auto"/>
        <w:rPr>
          <w:sz w:val="24"/>
        </w:rPr>
      </w:pPr>
      <w:r>
        <w:rPr>
          <w:sz w:val="24"/>
        </w:rPr>
        <w:t>符合专业条件的供应商或者对招标文件作实质响应的供应商不足三家的；</w:t>
      </w:r>
    </w:p>
    <w:p>
      <w:pPr>
        <w:numPr>
          <w:ilvl w:val="2"/>
          <w:numId w:val="8"/>
        </w:numPr>
        <w:snapToGrid w:val="0"/>
        <w:spacing w:line="360" w:lineRule="auto"/>
        <w:rPr>
          <w:sz w:val="24"/>
        </w:rPr>
      </w:pPr>
      <w:r>
        <w:rPr>
          <w:sz w:val="24"/>
        </w:rPr>
        <w:t>出现影响采购公正的违法、违规行为的；</w:t>
      </w:r>
    </w:p>
    <w:p>
      <w:pPr>
        <w:numPr>
          <w:ilvl w:val="2"/>
          <w:numId w:val="8"/>
        </w:numPr>
        <w:snapToGrid w:val="0"/>
        <w:spacing w:line="360" w:lineRule="auto"/>
        <w:rPr>
          <w:sz w:val="24"/>
        </w:rPr>
      </w:pPr>
      <w:r>
        <w:rPr>
          <w:sz w:val="24"/>
        </w:rPr>
        <w:t>投标人的报价均超过了采购预算，采购人不能支付的；</w:t>
      </w:r>
    </w:p>
    <w:p>
      <w:pPr>
        <w:numPr>
          <w:ilvl w:val="2"/>
          <w:numId w:val="8"/>
        </w:numPr>
        <w:snapToGrid w:val="0"/>
        <w:spacing w:line="360" w:lineRule="auto"/>
        <w:rPr>
          <w:sz w:val="24"/>
        </w:rPr>
      </w:pPr>
      <w:r>
        <w:rPr>
          <w:sz w:val="24"/>
        </w:rPr>
        <w:t>因重大变故，采购任务取消的。</w:t>
      </w:r>
    </w:p>
    <w:p>
      <w:pPr>
        <w:numPr>
          <w:ilvl w:val="1"/>
          <w:numId w:val="8"/>
        </w:numPr>
        <w:tabs>
          <w:tab w:val="left" w:pos="1080"/>
          <w:tab w:val="left" w:pos="2014"/>
        </w:tabs>
        <w:snapToGrid w:val="0"/>
        <w:spacing w:line="360" w:lineRule="auto"/>
        <w:ind w:left="1077" w:hanging="720"/>
        <w:rPr>
          <w:sz w:val="24"/>
        </w:rPr>
      </w:pPr>
      <w:r>
        <w:rPr>
          <w:sz w:val="24"/>
        </w:rPr>
        <w:t>废标后，采购人将废标理由通知所有投标人。</w:t>
      </w:r>
    </w:p>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Pr>
        <w:numPr>
          <w:ilvl w:val="0"/>
          <w:numId w:val="8"/>
        </w:numPr>
        <w:tabs>
          <w:tab w:val="left" w:pos="360"/>
        </w:tabs>
        <w:snapToGrid w:val="0"/>
        <w:spacing w:line="360" w:lineRule="auto"/>
        <w:ind w:left="357" w:hanging="357"/>
        <w:outlineLvl w:val="1"/>
        <w:rPr>
          <w:sz w:val="24"/>
        </w:rPr>
      </w:pPr>
      <w:bookmarkStart w:id="695" w:name="_Ref467306978"/>
      <w:bookmarkStart w:id="696" w:name="_Toc127151550"/>
      <w:bookmarkStart w:id="697" w:name="_Toc151193938"/>
      <w:bookmarkStart w:id="698" w:name="_Ref467307204"/>
      <w:bookmarkStart w:id="699" w:name="_Toc151193720"/>
      <w:bookmarkStart w:id="700" w:name="_Toc151193648"/>
      <w:bookmarkStart w:id="701" w:name="_Toc164608664"/>
      <w:bookmarkStart w:id="702" w:name="_Toc226337246"/>
      <w:bookmarkStart w:id="703" w:name="_Toc264969240"/>
      <w:bookmarkStart w:id="704" w:name="_Toc150774650"/>
      <w:bookmarkStart w:id="705" w:name="_Toc164351644"/>
      <w:bookmarkStart w:id="706" w:name="_Toc520356175"/>
      <w:bookmarkStart w:id="707" w:name="_Toc305158818"/>
      <w:bookmarkStart w:id="708" w:name="_Toc151193792"/>
      <w:bookmarkStart w:id="709" w:name="_Toc226309794"/>
      <w:bookmarkStart w:id="710" w:name="_Toc164608819"/>
      <w:bookmarkStart w:id="711" w:name="_Toc305158892"/>
      <w:bookmarkStart w:id="712" w:name="_Toc149720843"/>
      <w:bookmarkStart w:id="713" w:name="_Toc127161464"/>
      <w:bookmarkStart w:id="714" w:name="_Toc151190177"/>
      <w:bookmarkStart w:id="715" w:name="_Toc151193864"/>
      <w:bookmarkStart w:id="716" w:name="_Toc150480788"/>
      <w:bookmarkStart w:id="717" w:name="_Toc164229391"/>
      <w:bookmarkStart w:id="718" w:name="_Toc164229245"/>
      <w:bookmarkStart w:id="719" w:name="_Toc142311052"/>
      <w:bookmarkStart w:id="720" w:name="_Toc226965740"/>
      <w:bookmarkStart w:id="721" w:name="_Toc150509301"/>
      <w:bookmarkStart w:id="722" w:name="_Toc226965823"/>
      <w:bookmarkStart w:id="723" w:name="_Ref467306377"/>
      <w:bookmarkStart w:id="724" w:name="_Ref467307062"/>
      <w:bookmarkStart w:id="725" w:name="_Toc265228388"/>
      <w:bookmarkStart w:id="726" w:name="_Toc127151751"/>
      <w:bookmarkStart w:id="727" w:name="_Toc150774755"/>
      <w:bookmarkStart w:id="728" w:name="_Toc195842915"/>
      <w:r>
        <w:rPr>
          <w:sz w:val="24"/>
        </w:rPr>
        <w:t>签订合同</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8"/>
        </w:numPr>
        <w:tabs>
          <w:tab w:val="left" w:pos="1080"/>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pPr>
        <w:numPr>
          <w:ilvl w:val="1"/>
          <w:numId w:val="8"/>
        </w:numPr>
        <w:tabs>
          <w:tab w:val="left" w:pos="1080"/>
          <w:tab w:val="left" w:pos="2014"/>
        </w:tabs>
        <w:snapToGrid w:val="0"/>
        <w:spacing w:line="360" w:lineRule="auto"/>
        <w:ind w:left="1077" w:hanging="720"/>
        <w:rPr>
          <w:sz w:val="24"/>
        </w:rPr>
      </w:pPr>
      <w:r>
        <w:rPr>
          <w:sz w:val="24"/>
        </w:rPr>
        <w:t>政府采购合同不能转包。</w:t>
      </w:r>
    </w:p>
    <w:p>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92"/>
    <w:bookmarkEnd w:id="693"/>
    <w:bookmarkEnd w:id="694"/>
    <w:p>
      <w:pPr>
        <w:numPr>
          <w:ilvl w:val="0"/>
          <w:numId w:val="8"/>
        </w:numPr>
        <w:tabs>
          <w:tab w:val="left" w:pos="360"/>
        </w:tabs>
        <w:snapToGrid w:val="0"/>
        <w:spacing w:line="360" w:lineRule="auto"/>
        <w:ind w:left="357" w:hanging="357"/>
        <w:outlineLvl w:val="1"/>
        <w:rPr>
          <w:sz w:val="24"/>
        </w:rPr>
      </w:pPr>
      <w:r>
        <w:rPr>
          <w:sz w:val="24"/>
        </w:rPr>
        <w:t>询问与质疑</w:t>
      </w:r>
    </w:p>
    <w:p>
      <w:pPr>
        <w:numPr>
          <w:ilvl w:val="1"/>
          <w:numId w:val="8"/>
        </w:numPr>
        <w:tabs>
          <w:tab w:val="left" w:pos="1080"/>
          <w:tab w:val="left" w:pos="2014"/>
        </w:tabs>
        <w:snapToGrid w:val="0"/>
        <w:spacing w:line="360" w:lineRule="auto"/>
        <w:ind w:left="1077" w:hanging="720"/>
        <w:rPr>
          <w:sz w:val="24"/>
        </w:rPr>
      </w:pPr>
      <w:r>
        <w:rPr>
          <w:sz w:val="24"/>
        </w:rPr>
        <w:t>询问</w:t>
      </w:r>
    </w:p>
    <w:p>
      <w:pPr>
        <w:numPr>
          <w:ilvl w:val="2"/>
          <w:numId w:val="8"/>
        </w:numPr>
        <w:snapToGrid w:val="0"/>
        <w:spacing w:line="360" w:lineRule="auto"/>
        <w:rPr>
          <w:sz w:val="24"/>
        </w:rPr>
      </w:pPr>
      <w:r>
        <w:rPr>
          <w:sz w:val="24"/>
        </w:rPr>
        <w:t>投标人对政府采购活动事项有疑问的，可依法提出询问，并按《投标人须知资料表》载明的形式送达采购人或采购代理机构。</w:t>
      </w:r>
    </w:p>
    <w:p>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rPr>
      </w:pPr>
      <w:r>
        <w:rPr>
          <w:sz w:val="24"/>
        </w:rPr>
        <w:t>质疑</w:t>
      </w:r>
    </w:p>
    <w:p>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8"/>
        </w:numPr>
        <w:snapToGrid w:val="0"/>
        <w:spacing w:line="360" w:lineRule="auto"/>
        <w:rPr>
          <w:sz w:val="24"/>
        </w:rPr>
      </w:pPr>
      <w:r>
        <w:rPr>
          <w:sz w:val="24"/>
        </w:rPr>
        <w:t>质疑函须使用财政部制定的范本文件。</w:t>
      </w:r>
    </w:p>
    <w:p>
      <w:pPr>
        <w:numPr>
          <w:ilvl w:val="2"/>
          <w:numId w:val="8"/>
        </w:numPr>
        <w:snapToGrid w:val="0"/>
        <w:spacing w:line="360" w:lineRule="auto"/>
        <w:rPr>
          <w:sz w:val="24"/>
        </w:rPr>
      </w:pPr>
      <w:r>
        <w:rPr>
          <w:sz w:val="24"/>
        </w:rPr>
        <w:t>投标人为自然人的，应当由本人签字；投标人为法人或者其他组织的，应当由法定代表人、主要负责人，或者其授权代表签字或者盖章，并加盖公章。</w:t>
      </w:r>
    </w:p>
    <w:p>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pPr>
        <w:numPr>
          <w:ilvl w:val="0"/>
          <w:numId w:val="8"/>
        </w:numPr>
        <w:tabs>
          <w:tab w:val="left" w:pos="360"/>
        </w:tabs>
        <w:snapToGrid w:val="0"/>
        <w:spacing w:line="360" w:lineRule="auto"/>
        <w:ind w:left="357" w:hanging="357"/>
        <w:outlineLvl w:val="1"/>
        <w:rPr>
          <w:sz w:val="24"/>
        </w:rPr>
      </w:pPr>
      <w:r>
        <w:rPr>
          <w:sz w:val="24"/>
        </w:rPr>
        <w:t>代理费</w:t>
      </w:r>
    </w:p>
    <w:p>
      <w:pPr>
        <w:spacing w:line="360" w:lineRule="auto"/>
        <w:jc w:val="center"/>
        <w:outlineLvl w:val="0"/>
        <w:rPr>
          <w:sz w:val="24"/>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r>
        <w:rPr>
          <w:sz w:val="24"/>
        </w:rPr>
        <w:t>收费对象、收费标准及缴纳时间见《投标人须知资料表》。由中标人支付的，中标人须一次性向采购代理机构缴纳代理费，投标报价应包含代理费用。</w:t>
      </w:r>
    </w:p>
    <w:p>
      <w:pPr>
        <w:spacing w:line="360" w:lineRule="auto"/>
        <w:jc w:val="center"/>
        <w:outlineLvl w:val="0"/>
        <w:rPr>
          <w:b/>
          <w:sz w:val="36"/>
          <w:szCs w:val="36"/>
        </w:rPr>
      </w:pPr>
      <w:r>
        <w:rPr>
          <w:b/>
          <w:sz w:val="36"/>
          <w:szCs w:val="36"/>
        </w:rPr>
        <w:t xml:space="preserve">第三章   </w:t>
      </w:r>
      <w:bookmarkEnd w:id="88"/>
      <w:bookmarkEnd w:id="89"/>
      <w:bookmarkEnd w:id="90"/>
      <w:bookmarkEnd w:id="91"/>
      <w:bookmarkEnd w:id="92"/>
      <w:bookmarkEnd w:id="93"/>
      <w:bookmarkEnd w:id="94"/>
      <w:bookmarkEnd w:id="95"/>
      <w:bookmarkEnd w:id="96"/>
      <w:bookmarkEnd w:id="97"/>
      <w:bookmarkEnd w:id="98"/>
      <w:bookmarkEnd w:id="99"/>
      <w:bookmarkEnd w:id="100"/>
      <w:r>
        <w:rPr>
          <w:b/>
          <w:sz w:val="36"/>
          <w:szCs w:val="36"/>
        </w:rPr>
        <w:t>资格审查</w:t>
      </w:r>
      <w:bookmarkEnd w:id="101"/>
      <w:bookmarkStart w:id="729" w:name="_Toc487900382"/>
    </w:p>
    <w:p>
      <w:pPr>
        <w:tabs>
          <w:tab w:val="left" w:pos="360"/>
          <w:tab w:val="left" w:pos="900"/>
        </w:tabs>
        <w:snapToGrid w:val="0"/>
        <w:spacing w:line="360" w:lineRule="auto"/>
        <w:jc w:val="center"/>
        <w:outlineLvl w:val="1"/>
        <w:rPr>
          <w:b/>
          <w:sz w:val="24"/>
        </w:rPr>
      </w:pPr>
      <w:bookmarkStart w:id="730" w:name="_Toc99301422"/>
      <w:r>
        <w:rPr>
          <w:b/>
          <w:sz w:val="24"/>
        </w:rPr>
        <w:t>一、资格审查程序</w:t>
      </w:r>
      <w:bookmarkEnd w:id="730"/>
    </w:p>
    <w:p>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widowControl/>
        <w:jc w:val="left"/>
        <w:rPr>
          <w:sz w:val="24"/>
        </w:rPr>
      </w:pPr>
    </w:p>
    <w:p>
      <w:pPr>
        <w:tabs>
          <w:tab w:val="left" w:pos="360"/>
          <w:tab w:val="left" w:pos="900"/>
        </w:tabs>
        <w:snapToGrid w:val="0"/>
        <w:spacing w:line="360" w:lineRule="auto"/>
        <w:jc w:val="center"/>
        <w:outlineLvl w:val="1"/>
        <w:rPr>
          <w:b/>
          <w:sz w:val="24"/>
        </w:rPr>
      </w:pPr>
      <w:r>
        <w:rPr>
          <w:b/>
          <w:sz w:val="24"/>
        </w:rPr>
        <w:t>二、资格审查要求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848"/>
        <w:gridCol w:w="4960"/>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3" w:type="pct"/>
            <w:vAlign w:val="center"/>
          </w:tcPr>
          <w:p>
            <w:pPr>
              <w:tabs>
                <w:tab w:val="left" w:pos="1080"/>
              </w:tabs>
              <w:snapToGrid w:val="0"/>
              <w:jc w:val="center"/>
              <w:rPr>
                <w:b/>
                <w:sz w:val="24"/>
              </w:rPr>
            </w:pPr>
            <w:bookmarkStart w:id="731" w:name="_Hlt487972895"/>
            <w:bookmarkEnd w:id="731"/>
            <w:r>
              <w:rPr>
                <w:b/>
                <w:sz w:val="24"/>
              </w:rPr>
              <w:t>序号</w:t>
            </w:r>
          </w:p>
        </w:tc>
        <w:tc>
          <w:tcPr>
            <w:tcW w:w="994" w:type="pct"/>
            <w:vAlign w:val="center"/>
          </w:tcPr>
          <w:p>
            <w:pPr>
              <w:tabs>
                <w:tab w:val="left" w:pos="1080"/>
              </w:tabs>
              <w:snapToGrid w:val="0"/>
              <w:jc w:val="center"/>
              <w:rPr>
                <w:b/>
                <w:sz w:val="24"/>
              </w:rPr>
            </w:pPr>
            <w:r>
              <w:rPr>
                <w:b/>
                <w:sz w:val="24"/>
              </w:rPr>
              <w:t>审查因素</w:t>
            </w:r>
          </w:p>
        </w:tc>
        <w:tc>
          <w:tcPr>
            <w:tcW w:w="2668" w:type="pct"/>
            <w:vAlign w:val="center"/>
          </w:tcPr>
          <w:p>
            <w:pPr>
              <w:tabs>
                <w:tab w:val="left" w:pos="1080"/>
              </w:tabs>
              <w:snapToGrid w:val="0"/>
              <w:jc w:val="center"/>
              <w:rPr>
                <w:b/>
                <w:sz w:val="24"/>
              </w:rPr>
            </w:pPr>
            <w:r>
              <w:rPr>
                <w:b/>
                <w:sz w:val="24"/>
              </w:rPr>
              <w:t>审查内容</w:t>
            </w:r>
          </w:p>
        </w:tc>
        <w:tc>
          <w:tcPr>
            <w:tcW w:w="882"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pPr>
              <w:tabs>
                <w:tab w:val="left" w:pos="1080"/>
              </w:tabs>
              <w:snapToGrid w:val="0"/>
              <w:jc w:val="center"/>
              <w:rPr>
                <w:sz w:val="24"/>
              </w:rPr>
            </w:pPr>
            <w:r>
              <w:rPr>
                <w:sz w:val="24"/>
              </w:rPr>
              <w:t>1</w:t>
            </w:r>
          </w:p>
        </w:tc>
        <w:tc>
          <w:tcPr>
            <w:tcW w:w="994" w:type="pct"/>
            <w:vAlign w:val="center"/>
          </w:tcPr>
          <w:p>
            <w:pPr>
              <w:tabs>
                <w:tab w:val="left" w:pos="1080"/>
              </w:tabs>
              <w:snapToGrid w:val="0"/>
              <w:rPr>
                <w:sz w:val="24"/>
              </w:rPr>
            </w:pPr>
            <w:r>
              <w:rPr>
                <w:sz w:val="24"/>
              </w:rPr>
              <w:t>满足《中华人民共和国政府采购法》第二十二条规定及法律法规的其他规定</w:t>
            </w:r>
          </w:p>
        </w:tc>
        <w:tc>
          <w:tcPr>
            <w:tcW w:w="2668" w:type="pct"/>
            <w:vAlign w:val="center"/>
          </w:tcPr>
          <w:p>
            <w:pPr>
              <w:tabs>
                <w:tab w:val="left" w:pos="1080"/>
              </w:tabs>
              <w:snapToGrid w:val="0"/>
              <w:rPr>
                <w:sz w:val="24"/>
              </w:rPr>
            </w:pPr>
            <w:r>
              <w:rPr>
                <w:sz w:val="24"/>
              </w:rPr>
              <w:t>具体规定见第一章《投标邀请》</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pPr>
              <w:tabs>
                <w:tab w:val="left" w:pos="1080"/>
              </w:tabs>
              <w:snapToGrid w:val="0"/>
              <w:jc w:val="center"/>
              <w:rPr>
                <w:sz w:val="24"/>
              </w:rPr>
            </w:pPr>
            <w:r>
              <w:rPr>
                <w:sz w:val="24"/>
              </w:rPr>
              <w:t>1-1</w:t>
            </w:r>
          </w:p>
        </w:tc>
        <w:tc>
          <w:tcPr>
            <w:tcW w:w="994" w:type="pct"/>
            <w:vAlign w:val="center"/>
          </w:tcPr>
          <w:p>
            <w:pPr>
              <w:tabs>
                <w:tab w:val="left" w:pos="1080"/>
              </w:tabs>
              <w:snapToGrid w:val="0"/>
              <w:rPr>
                <w:sz w:val="24"/>
              </w:rPr>
            </w:pPr>
            <w:r>
              <w:rPr>
                <w:sz w:val="24"/>
              </w:rPr>
              <w:t>营业执照等证明文件</w:t>
            </w:r>
          </w:p>
        </w:tc>
        <w:tc>
          <w:tcPr>
            <w:tcW w:w="2668" w:type="pct"/>
            <w:vAlign w:val="center"/>
          </w:tcPr>
          <w:p>
            <w:pPr>
              <w:tabs>
                <w:tab w:val="left" w:pos="1080"/>
              </w:tabs>
              <w:snapToGrid w:val="0"/>
              <w:rPr>
                <w:sz w:val="24"/>
              </w:rPr>
            </w:pPr>
            <w:r>
              <w:rPr>
                <w:sz w:val="24"/>
              </w:rPr>
              <w:t>投标人为企业（包括合伙企业）的，应提供有效的“营业执照”；</w:t>
            </w:r>
          </w:p>
          <w:p>
            <w:pPr>
              <w:tabs>
                <w:tab w:val="left" w:pos="1080"/>
              </w:tabs>
              <w:snapToGrid w:val="0"/>
              <w:rPr>
                <w:sz w:val="24"/>
              </w:rPr>
            </w:pPr>
            <w:r>
              <w:rPr>
                <w:sz w:val="24"/>
              </w:rPr>
              <w:t>投标人为事业单位的，应提供有效的“事业单位法人证书”；</w:t>
            </w:r>
          </w:p>
          <w:p>
            <w:pPr>
              <w:tabs>
                <w:tab w:val="left" w:pos="1080"/>
              </w:tabs>
              <w:snapToGrid w:val="0"/>
              <w:rPr>
                <w:sz w:val="24"/>
              </w:rPr>
            </w:pPr>
            <w:r>
              <w:rPr>
                <w:rFonts w:hint="eastAsia"/>
                <w:sz w:val="24"/>
              </w:rPr>
              <w:t>投标人是非企业机构的，应提供有效的“执业许可证”、“登记证书”等证明文件；</w:t>
            </w:r>
          </w:p>
          <w:p>
            <w:pPr>
              <w:tabs>
                <w:tab w:val="left" w:pos="1080"/>
              </w:tabs>
              <w:snapToGrid w:val="0"/>
              <w:rPr>
                <w:sz w:val="24"/>
              </w:rPr>
            </w:pPr>
            <w:r>
              <w:rPr>
                <w:sz w:val="24"/>
              </w:rPr>
              <w:t>投标人是个体工商户的，应提供有效的“个体工商户营业执照”；</w:t>
            </w:r>
          </w:p>
          <w:p>
            <w:pPr>
              <w:tabs>
                <w:tab w:val="left" w:pos="1080"/>
              </w:tabs>
              <w:snapToGrid w:val="0"/>
              <w:rPr>
                <w:sz w:val="24"/>
              </w:rPr>
            </w:pPr>
            <w:r>
              <w:rPr>
                <w:sz w:val="24"/>
              </w:rPr>
              <w:t>投标人是自然人的，应提供有效的自然人身份证明。</w:t>
            </w:r>
          </w:p>
          <w:p>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pPr>
              <w:tabs>
                <w:tab w:val="left" w:pos="1080"/>
              </w:tabs>
              <w:snapToGrid w:val="0"/>
              <w:rPr>
                <w:sz w:val="24"/>
              </w:rPr>
            </w:pPr>
            <w:r>
              <w:rPr>
                <w:sz w:val="24"/>
              </w:rPr>
              <w:t>提供证明文 件并加盖投 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pPr>
              <w:tabs>
                <w:tab w:val="left" w:pos="1080"/>
              </w:tabs>
              <w:snapToGrid w:val="0"/>
              <w:jc w:val="center"/>
              <w:rPr>
                <w:sz w:val="24"/>
              </w:rPr>
            </w:pPr>
            <w:r>
              <w:rPr>
                <w:sz w:val="24"/>
              </w:rPr>
              <w:t>1-2</w:t>
            </w:r>
          </w:p>
        </w:tc>
        <w:tc>
          <w:tcPr>
            <w:tcW w:w="994" w:type="pct"/>
            <w:vAlign w:val="center"/>
          </w:tcPr>
          <w:p>
            <w:pPr>
              <w:tabs>
                <w:tab w:val="left" w:pos="1080"/>
              </w:tabs>
              <w:snapToGrid w:val="0"/>
              <w:rPr>
                <w:sz w:val="24"/>
              </w:rPr>
            </w:pPr>
            <w:r>
              <w:rPr>
                <w:sz w:val="24"/>
              </w:rPr>
              <w:t>投标人资格声明书</w:t>
            </w:r>
          </w:p>
        </w:tc>
        <w:tc>
          <w:tcPr>
            <w:tcW w:w="2668" w:type="pct"/>
            <w:vAlign w:val="center"/>
          </w:tcPr>
          <w:p>
            <w:pPr>
              <w:tabs>
                <w:tab w:val="left" w:pos="1080"/>
              </w:tabs>
              <w:snapToGrid w:val="0"/>
              <w:rPr>
                <w:sz w:val="24"/>
              </w:rPr>
            </w:pPr>
            <w:r>
              <w:rPr>
                <w:sz w:val="24"/>
              </w:rPr>
              <w:t>提供了符合招标文件要求的《投标人资格声明书》。</w:t>
            </w:r>
          </w:p>
        </w:tc>
        <w:tc>
          <w:tcPr>
            <w:tcW w:w="882" w:type="pct"/>
            <w:vAlign w:val="center"/>
          </w:tcPr>
          <w:p>
            <w:pPr>
              <w:tabs>
                <w:tab w:val="left" w:pos="1080"/>
              </w:tabs>
              <w:snapToGrid w:val="0"/>
              <w:rPr>
                <w:sz w:val="24"/>
              </w:rPr>
            </w:pPr>
            <w:r>
              <w:rPr>
                <w:sz w:val="24"/>
              </w:rPr>
              <w:t>格式见《投标文件格式》提供证明文件并加盖投标人公章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pPr>
              <w:tabs>
                <w:tab w:val="left" w:pos="1080"/>
              </w:tabs>
              <w:snapToGrid w:val="0"/>
              <w:jc w:val="center"/>
              <w:rPr>
                <w:sz w:val="24"/>
              </w:rPr>
            </w:pPr>
            <w:r>
              <w:rPr>
                <w:rFonts w:hint="eastAsia"/>
                <w:sz w:val="24"/>
              </w:rPr>
              <w:t>1-</w:t>
            </w:r>
            <w:r>
              <w:rPr>
                <w:sz w:val="24"/>
              </w:rPr>
              <w:t>3</w:t>
            </w:r>
          </w:p>
        </w:tc>
        <w:tc>
          <w:tcPr>
            <w:tcW w:w="994" w:type="pct"/>
            <w:vAlign w:val="center"/>
          </w:tcPr>
          <w:p>
            <w:pPr>
              <w:tabs>
                <w:tab w:val="left" w:pos="1080"/>
              </w:tabs>
              <w:snapToGrid w:val="0"/>
              <w:rPr>
                <w:sz w:val="24"/>
              </w:rPr>
            </w:pPr>
            <w:r>
              <w:rPr>
                <w:sz w:val="24"/>
              </w:rPr>
              <w:t>投标人信用记录</w:t>
            </w:r>
          </w:p>
        </w:tc>
        <w:tc>
          <w:tcPr>
            <w:tcW w:w="2668"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pPr>
              <w:tabs>
                <w:tab w:val="left" w:pos="1080"/>
              </w:tabs>
              <w:snapToGrid w:val="0"/>
              <w:rPr>
                <w:sz w:val="24"/>
              </w:rPr>
            </w:pPr>
            <w:r>
              <w:rPr>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pPr>
              <w:tabs>
                <w:tab w:val="left" w:pos="1080"/>
              </w:tabs>
              <w:snapToGrid w:val="0"/>
              <w:jc w:val="center"/>
              <w:rPr>
                <w:sz w:val="24"/>
              </w:rPr>
            </w:pPr>
            <w:r>
              <w:rPr>
                <w:sz w:val="24"/>
              </w:rPr>
              <w:t>2</w:t>
            </w:r>
          </w:p>
        </w:tc>
        <w:tc>
          <w:tcPr>
            <w:tcW w:w="994" w:type="pct"/>
            <w:vAlign w:val="center"/>
          </w:tcPr>
          <w:p>
            <w:pPr>
              <w:tabs>
                <w:tab w:val="left" w:pos="1080"/>
              </w:tabs>
              <w:snapToGrid w:val="0"/>
              <w:rPr>
                <w:sz w:val="24"/>
              </w:rPr>
            </w:pPr>
            <w:r>
              <w:rPr>
                <w:sz w:val="24"/>
              </w:rPr>
              <w:t>落实政府采购政策需满足的资格要求</w:t>
            </w:r>
          </w:p>
        </w:tc>
        <w:tc>
          <w:tcPr>
            <w:tcW w:w="2668" w:type="pct"/>
            <w:vAlign w:val="center"/>
          </w:tcPr>
          <w:p>
            <w:pPr>
              <w:tabs>
                <w:tab w:val="left" w:pos="1080"/>
              </w:tabs>
              <w:snapToGrid w:val="0"/>
              <w:rPr>
                <w:sz w:val="24"/>
              </w:rPr>
            </w:pPr>
            <w:r>
              <w:rPr>
                <w:sz w:val="24"/>
              </w:rPr>
              <w:t>具体要求见第一章《投标邀请》</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5" w:hRule="atLeast"/>
        </w:trPr>
        <w:tc>
          <w:tcPr>
            <w:tcW w:w="453" w:type="pct"/>
            <w:vAlign w:val="center"/>
          </w:tcPr>
          <w:p>
            <w:pPr>
              <w:tabs>
                <w:tab w:val="left" w:pos="1080"/>
              </w:tabs>
              <w:snapToGrid w:val="0"/>
              <w:jc w:val="center"/>
              <w:rPr>
                <w:sz w:val="24"/>
              </w:rPr>
            </w:pPr>
            <w:r>
              <w:rPr>
                <w:sz w:val="24"/>
              </w:rPr>
              <w:t>3</w:t>
            </w:r>
          </w:p>
        </w:tc>
        <w:tc>
          <w:tcPr>
            <w:tcW w:w="994" w:type="pct"/>
            <w:vAlign w:val="center"/>
          </w:tcPr>
          <w:p>
            <w:pPr>
              <w:tabs>
                <w:tab w:val="left" w:pos="1080"/>
              </w:tabs>
              <w:snapToGrid w:val="0"/>
              <w:rPr>
                <w:sz w:val="24"/>
              </w:rPr>
            </w:pPr>
            <w:r>
              <w:rPr>
                <w:sz w:val="24"/>
              </w:rPr>
              <w:t>本项目的特定资格要求</w:t>
            </w:r>
          </w:p>
        </w:tc>
        <w:tc>
          <w:tcPr>
            <w:tcW w:w="2668" w:type="pct"/>
            <w:vAlign w:val="center"/>
          </w:tcPr>
          <w:p>
            <w:pPr>
              <w:tabs>
                <w:tab w:val="left" w:pos="1080"/>
              </w:tabs>
              <w:snapToGrid w:val="0"/>
              <w:rPr>
                <w:sz w:val="24"/>
              </w:rPr>
            </w:pPr>
            <w:r>
              <w:rPr>
                <w:sz w:val="24"/>
              </w:rPr>
              <w:t>如有，见第一章《投标邀请》</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2" w:hRule="atLeast"/>
        </w:trPr>
        <w:tc>
          <w:tcPr>
            <w:tcW w:w="453" w:type="pct"/>
            <w:vAlign w:val="center"/>
          </w:tcPr>
          <w:p>
            <w:pPr>
              <w:tabs>
                <w:tab w:val="left" w:pos="1080"/>
              </w:tabs>
              <w:snapToGrid w:val="0"/>
              <w:jc w:val="center"/>
              <w:rPr>
                <w:sz w:val="24"/>
              </w:rPr>
            </w:pPr>
            <w:r>
              <w:rPr>
                <w:sz w:val="24"/>
              </w:rPr>
              <w:t>3-1</w:t>
            </w:r>
          </w:p>
        </w:tc>
        <w:tc>
          <w:tcPr>
            <w:tcW w:w="994" w:type="pct"/>
            <w:vAlign w:val="center"/>
          </w:tcPr>
          <w:p>
            <w:pPr>
              <w:tabs>
                <w:tab w:val="left" w:pos="1080"/>
              </w:tabs>
              <w:snapToGrid w:val="0"/>
              <w:rPr>
                <w:sz w:val="24"/>
              </w:rPr>
            </w:pPr>
            <w:r>
              <w:rPr>
                <w:sz w:val="24"/>
              </w:rPr>
              <w:t>是否接受联合体投标</w:t>
            </w:r>
          </w:p>
        </w:tc>
        <w:tc>
          <w:tcPr>
            <w:tcW w:w="2668" w:type="pct"/>
            <w:vAlign w:val="center"/>
          </w:tcPr>
          <w:p>
            <w:pPr>
              <w:tabs>
                <w:tab w:val="left" w:pos="1080"/>
              </w:tabs>
              <w:snapToGrid w:val="0"/>
              <w:rPr>
                <w:sz w:val="24"/>
              </w:rPr>
            </w:pPr>
            <w:r>
              <w:rPr>
                <w:sz w:val="24"/>
              </w:rPr>
              <w:t>本项目不接受联合体投标，</w:t>
            </w:r>
            <w:r>
              <w:rPr>
                <w:rFonts w:hint="eastAsia"/>
                <w:sz w:val="24"/>
              </w:rPr>
              <w:t>投标人不得为联合体</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3" w:type="pct"/>
            <w:vAlign w:val="center"/>
          </w:tcPr>
          <w:p>
            <w:pPr>
              <w:tabs>
                <w:tab w:val="left" w:pos="1080"/>
              </w:tabs>
              <w:snapToGrid w:val="0"/>
              <w:jc w:val="center"/>
              <w:rPr>
                <w:sz w:val="24"/>
              </w:rPr>
            </w:pPr>
            <w:r>
              <w:rPr>
                <w:sz w:val="24"/>
              </w:rPr>
              <w:t>3-2</w:t>
            </w:r>
          </w:p>
        </w:tc>
        <w:tc>
          <w:tcPr>
            <w:tcW w:w="994" w:type="pct"/>
            <w:vAlign w:val="center"/>
          </w:tcPr>
          <w:p>
            <w:pPr>
              <w:tabs>
                <w:tab w:val="left" w:pos="1080"/>
              </w:tabs>
              <w:snapToGrid w:val="0"/>
              <w:rPr>
                <w:sz w:val="24"/>
              </w:rPr>
            </w:pPr>
            <w:r>
              <w:rPr>
                <w:sz w:val="24"/>
              </w:rPr>
              <w:t>其他特定资格要求</w:t>
            </w:r>
          </w:p>
        </w:tc>
        <w:tc>
          <w:tcPr>
            <w:tcW w:w="2668" w:type="pct"/>
            <w:vAlign w:val="center"/>
          </w:tcPr>
          <w:p>
            <w:pPr>
              <w:tabs>
                <w:tab w:val="left" w:pos="1080"/>
              </w:tabs>
              <w:snapToGrid w:val="0"/>
              <w:rPr>
                <w:sz w:val="24"/>
              </w:rPr>
            </w:pPr>
            <w:r>
              <w:rPr>
                <w:color w:val="000000"/>
                <w:sz w:val="24"/>
              </w:rPr>
              <w:t>如有，见</w:t>
            </w:r>
            <w:r>
              <w:rPr>
                <w:sz w:val="24"/>
              </w:rPr>
              <w:t>第一章《投标邀请》</w:t>
            </w:r>
          </w:p>
        </w:tc>
        <w:tc>
          <w:tcPr>
            <w:tcW w:w="882" w:type="pct"/>
          </w:tcPr>
          <w:p>
            <w:pPr>
              <w:pStyle w:val="248"/>
              <w:ind w:left="105"/>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提供证明文</w:t>
            </w:r>
          </w:p>
          <w:p>
            <w:pPr>
              <w:pStyle w:val="248"/>
              <w:spacing w:line="310" w:lineRule="atLeast"/>
              <w:ind w:left="105" w:right="52"/>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件并加盖投 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pPr>
              <w:tabs>
                <w:tab w:val="left" w:pos="1080"/>
              </w:tabs>
              <w:snapToGrid w:val="0"/>
              <w:jc w:val="center"/>
              <w:rPr>
                <w:sz w:val="24"/>
              </w:rPr>
            </w:pPr>
            <w:r>
              <w:rPr>
                <w:sz w:val="24"/>
              </w:rPr>
              <w:t>4</w:t>
            </w:r>
          </w:p>
        </w:tc>
        <w:tc>
          <w:tcPr>
            <w:tcW w:w="994" w:type="pct"/>
            <w:vAlign w:val="center"/>
          </w:tcPr>
          <w:p>
            <w:pPr>
              <w:tabs>
                <w:tab w:val="left" w:pos="1080"/>
              </w:tabs>
              <w:snapToGrid w:val="0"/>
              <w:rPr>
                <w:sz w:val="24"/>
              </w:rPr>
            </w:pPr>
            <w:r>
              <w:rPr>
                <w:rFonts w:hint="eastAsia"/>
                <w:sz w:val="24"/>
              </w:rPr>
              <w:t>投标保证金</w:t>
            </w:r>
          </w:p>
        </w:tc>
        <w:tc>
          <w:tcPr>
            <w:tcW w:w="2668" w:type="pct"/>
            <w:vAlign w:val="center"/>
          </w:tcPr>
          <w:p>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tcPr>
          <w:p>
            <w:pPr>
              <w:pStyle w:val="248"/>
              <w:spacing w:line="242" w:lineRule="auto"/>
              <w:ind w:left="105" w:right="52"/>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提供证明文件并加盖投</w:t>
            </w:r>
          </w:p>
          <w:p>
            <w:pPr>
              <w:pStyle w:val="248"/>
              <w:spacing w:before="2" w:line="292" w:lineRule="exact"/>
              <w:ind w:left="105"/>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标人公章</w:t>
            </w:r>
          </w:p>
        </w:tc>
      </w:tr>
      <w:bookmarkEnd w:id="729"/>
    </w:tbl>
    <w:p>
      <w:pPr>
        <w:jc w:val="center"/>
        <w:rPr>
          <w:b/>
          <w:sz w:val="36"/>
          <w:szCs w:val="36"/>
        </w:rPr>
      </w:pPr>
      <w:r>
        <w:br w:type="page"/>
      </w:r>
      <w:bookmarkEnd w:id="102"/>
      <w:bookmarkEnd w:id="103"/>
      <w:bookmarkEnd w:id="104"/>
      <w:bookmarkEnd w:id="105"/>
      <w:bookmarkEnd w:id="106"/>
    </w:p>
    <w:p>
      <w:pPr>
        <w:tabs>
          <w:tab w:val="left" w:pos="360"/>
          <w:tab w:val="left" w:pos="900"/>
        </w:tabs>
        <w:snapToGrid w:val="0"/>
        <w:spacing w:line="360" w:lineRule="auto"/>
        <w:jc w:val="center"/>
        <w:outlineLvl w:val="1"/>
        <w:rPr>
          <w:b/>
          <w:sz w:val="24"/>
        </w:rPr>
      </w:pPr>
    </w:p>
    <w:p>
      <w:pPr>
        <w:spacing w:line="360" w:lineRule="auto"/>
        <w:jc w:val="center"/>
        <w:outlineLvl w:val="0"/>
        <w:rPr>
          <w:b/>
          <w:sz w:val="36"/>
          <w:szCs w:val="36"/>
        </w:rPr>
      </w:pPr>
      <w:bookmarkStart w:id="732" w:name="_Toc305158823"/>
      <w:bookmarkStart w:id="733" w:name="_Toc195842920"/>
      <w:bookmarkStart w:id="734" w:name="_Toc226965828"/>
      <w:bookmarkStart w:id="735" w:name="_Toc265228393"/>
      <w:bookmarkStart w:id="736" w:name="_Toc353873935"/>
      <w:bookmarkStart w:id="737" w:name="_Toc264969245"/>
      <w:bookmarkStart w:id="738" w:name="_Toc226337251"/>
      <w:bookmarkStart w:id="739" w:name="_Toc142311057"/>
      <w:bookmarkStart w:id="740" w:name="_Toc353873665"/>
      <w:bookmarkStart w:id="741" w:name="_Toc150774760"/>
      <w:bookmarkStart w:id="742" w:name="_Toc305158897"/>
      <w:bookmarkStart w:id="743" w:name="_Toc150480793"/>
      <w:bookmarkStart w:id="744" w:name="_Toc353825545"/>
      <w:bookmarkStart w:id="745" w:name="_Toc127151555"/>
      <w:r>
        <w:rPr>
          <w:b/>
          <w:sz w:val="36"/>
          <w:szCs w:val="36"/>
        </w:rPr>
        <w:t>第四章   评标方法和评标标准</w:t>
      </w:r>
    </w:p>
    <w:p>
      <w:pPr>
        <w:tabs>
          <w:tab w:val="left" w:pos="360"/>
          <w:tab w:val="left" w:pos="900"/>
        </w:tabs>
        <w:snapToGrid w:val="0"/>
        <w:spacing w:line="360" w:lineRule="auto"/>
        <w:jc w:val="center"/>
        <w:outlineLvl w:val="1"/>
        <w:rPr>
          <w:b/>
        </w:rPr>
      </w:pPr>
      <w:r>
        <w:rPr>
          <w:b/>
          <w:sz w:val="24"/>
        </w:rPr>
        <w:t>一、评标方法</w:t>
      </w:r>
    </w:p>
    <w:p>
      <w:pPr>
        <w:numPr>
          <w:ilvl w:val="0"/>
          <w:numId w:val="12"/>
        </w:numPr>
        <w:tabs>
          <w:tab w:val="left" w:pos="360"/>
        </w:tabs>
        <w:snapToGrid w:val="0"/>
        <w:spacing w:line="360" w:lineRule="auto"/>
        <w:outlineLvl w:val="1"/>
        <w:rPr>
          <w:sz w:val="24"/>
        </w:rPr>
      </w:pPr>
      <w:bookmarkStart w:id="746" w:name="_Toc164608810"/>
      <w:bookmarkStart w:id="747" w:name="_Toc226965731"/>
      <w:bookmarkStart w:id="748" w:name="_Toc150509292"/>
      <w:bookmarkStart w:id="749" w:name="_Toc151193711"/>
      <w:bookmarkStart w:id="750" w:name="_Toc149720834"/>
      <w:bookmarkStart w:id="751" w:name="_Toc226965814"/>
      <w:bookmarkStart w:id="752" w:name="_Toc226337237"/>
      <w:bookmarkStart w:id="753" w:name="_Toc151193783"/>
      <w:bookmarkStart w:id="754" w:name="_Toc150774746"/>
      <w:bookmarkStart w:id="755" w:name="_Toc226309785"/>
      <w:bookmarkStart w:id="756" w:name="_Toc150774641"/>
      <w:bookmarkStart w:id="757" w:name="_Toc127151541"/>
      <w:bookmarkStart w:id="758" w:name="_Toc127161455"/>
      <w:bookmarkStart w:id="759" w:name="_Toc164351635"/>
      <w:bookmarkStart w:id="760" w:name="_Toc264969231"/>
      <w:bookmarkStart w:id="761" w:name="_Toc305158809"/>
      <w:bookmarkStart w:id="762" w:name="_Toc164229382"/>
      <w:bookmarkStart w:id="763" w:name="_Toc142311043"/>
      <w:bookmarkStart w:id="764" w:name="_Toc265228379"/>
      <w:bookmarkStart w:id="765" w:name="_Toc150480779"/>
      <w:bookmarkStart w:id="766" w:name="_Toc151193929"/>
      <w:bookmarkStart w:id="767" w:name="_Toc151193639"/>
      <w:bookmarkStart w:id="768" w:name="_Toc164608655"/>
      <w:bookmarkStart w:id="769" w:name="_Toc305158883"/>
      <w:bookmarkStart w:id="770" w:name="_Toc127151742"/>
      <w:bookmarkStart w:id="771" w:name="_Toc151193855"/>
      <w:bookmarkStart w:id="772" w:name="_Toc195842906"/>
      <w:bookmarkStart w:id="773" w:name="_Toc151190168"/>
      <w:bookmarkStart w:id="774" w:name="_Toc164229236"/>
      <w:bookmarkStart w:id="775" w:name="_Toc353873941"/>
      <w:bookmarkStart w:id="776" w:name="_Toc353825551"/>
      <w:r>
        <w:rPr>
          <w:sz w:val="24"/>
        </w:rPr>
        <w:t>投标文件的符合性审查</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77" w:name="_Toc520356167"/>
    </w:p>
    <w:p>
      <w:pPr>
        <w:numPr>
          <w:ilvl w:val="1"/>
          <w:numId w:val="12"/>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77"/>
      <w:r>
        <w:rPr>
          <w:rFonts w:hint="eastAsia"/>
          <w:sz w:val="24"/>
        </w:rPr>
        <w:t>要求的，</w:t>
      </w:r>
      <w:r>
        <w:rPr>
          <w:rFonts w:hint="eastAsia"/>
          <w:b/>
          <w:sz w:val="24"/>
        </w:rPr>
        <w:t>投标无效</w:t>
      </w:r>
      <w:r>
        <w:rPr>
          <w:rFonts w:hint="eastAsia"/>
          <w:sz w:val="24"/>
        </w:rPr>
        <w:t>。</w:t>
      </w:r>
    </w:p>
    <w:p>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sz w:val="24"/>
        </w:rPr>
        <w:t>符合性审查</w:t>
      </w:r>
      <w:r>
        <w:rPr>
          <w:rFonts w:hint="eastAsia"/>
          <w:b/>
          <w:sz w:val="24"/>
        </w:rPr>
        <w:t>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812"/>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shd w:val="clear" w:color="auto" w:fill="auto"/>
            <w:vAlign w:val="center"/>
          </w:tcPr>
          <w:p>
            <w:pPr>
              <w:widowControl/>
              <w:jc w:val="center"/>
              <w:rPr>
                <w:b/>
                <w:color w:val="000000"/>
                <w:kern w:val="0"/>
                <w:sz w:val="24"/>
              </w:rPr>
            </w:pPr>
            <w:r>
              <w:rPr>
                <w:b/>
                <w:color w:val="000000"/>
                <w:kern w:val="0"/>
                <w:sz w:val="24"/>
              </w:rPr>
              <w:t>序号</w:t>
            </w:r>
          </w:p>
        </w:tc>
        <w:tc>
          <w:tcPr>
            <w:tcW w:w="975" w:type="pct"/>
            <w:shd w:val="clear" w:color="auto" w:fill="auto"/>
            <w:vAlign w:val="center"/>
          </w:tcPr>
          <w:p>
            <w:pPr>
              <w:widowControl/>
              <w:jc w:val="center"/>
              <w:rPr>
                <w:b/>
                <w:color w:val="000000"/>
                <w:kern w:val="0"/>
                <w:sz w:val="24"/>
              </w:rPr>
            </w:pPr>
            <w:r>
              <w:rPr>
                <w:b/>
                <w:color w:val="000000"/>
                <w:kern w:val="0"/>
                <w:sz w:val="24"/>
              </w:rPr>
              <w:t>审查因素</w:t>
            </w:r>
          </w:p>
        </w:tc>
        <w:tc>
          <w:tcPr>
            <w:tcW w:w="3621" w:type="pct"/>
            <w:shd w:val="clear" w:color="auto" w:fill="auto"/>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1</w:t>
            </w:r>
          </w:p>
        </w:tc>
        <w:tc>
          <w:tcPr>
            <w:tcW w:w="975" w:type="pct"/>
            <w:shd w:val="clear" w:color="auto" w:fill="auto"/>
            <w:vAlign w:val="center"/>
          </w:tcPr>
          <w:p>
            <w:pPr>
              <w:widowControl/>
              <w:jc w:val="left"/>
              <w:rPr>
                <w:color w:val="000000"/>
                <w:kern w:val="0"/>
                <w:sz w:val="24"/>
              </w:rPr>
            </w:pPr>
            <w:r>
              <w:rPr>
                <w:color w:val="000000"/>
                <w:kern w:val="0"/>
                <w:sz w:val="24"/>
              </w:rPr>
              <w:t>授权委托书</w:t>
            </w:r>
          </w:p>
        </w:tc>
        <w:tc>
          <w:tcPr>
            <w:tcW w:w="3621" w:type="pct"/>
            <w:shd w:val="clear" w:color="auto" w:fill="auto"/>
            <w:vAlign w:val="center"/>
          </w:tcPr>
          <w:p>
            <w:pPr>
              <w:widowControl/>
              <w:jc w:val="left"/>
              <w:rPr>
                <w:color w:val="000000"/>
                <w:kern w:val="0"/>
                <w:sz w:val="24"/>
              </w:rPr>
            </w:pPr>
            <w:r>
              <w:rPr>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2</w:t>
            </w:r>
          </w:p>
        </w:tc>
        <w:tc>
          <w:tcPr>
            <w:tcW w:w="975" w:type="pct"/>
            <w:shd w:val="clear" w:color="auto" w:fill="auto"/>
            <w:vAlign w:val="center"/>
          </w:tcPr>
          <w:p>
            <w:pPr>
              <w:widowControl/>
              <w:jc w:val="left"/>
              <w:rPr>
                <w:color w:val="000000"/>
                <w:kern w:val="0"/>
                <w:sz w:val="24"/>
              </w:rPr>
            </w:pPr>
            <w:r>
              <w:rPr>
                <w:color w:val="000000"/>
                <w:kern w:val="0"/>
                <w:sz w:val="24"/>
              </w:rPr>
              <w:t>投标完整性</w:t>
            </w:r>
          </w:p>
        </w:tc>
        <w:tc>
          <w:tcPr>
            <w:tcW w:w="3621" w:type="pct"/>
            <w:shd w:val="clear" w:color="auto" w:fill="auto"/>
            <w:vAlign w:val="center"/>
          </w:tcPr>
          <w:p>
            <w:pPr>
              <w:widowControl/>
              <w:jc w:val="left"/>
              <w:rPr>
                <w:color w:val="000000"/>
                <w:kern w:val="0"/>
                <w:sz w:val="24"/>
              </w:rPr>
            </w:pPr>
            <w:r>
              <w:rPr>
                <w:rFonts w:hint="eastAsia"/>
                <w:sz w:val="24"/>
              </w:rPr>
              <w:t>未</w:t>
            </w:r>
            <w:r>
              <w:rPr>
                <w:sz w:val="24"/>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3</w:t>
            </w:r>
          </w:p>
        </w:tc>
        <w:tc>
          <w:tcPr>
            <w:tcW w:w="975" w:type="pct"/>
            <w:shd w:val="clear" w:color="auto" w:fill="auto"/>
            <w:vAlign w:val="center"/>
          </w:tcPr>
          <w:p>
            <w:pPr>
              <w:widowControl/>
              <w:jc w:val="left"/>
              <w:rPr>
                <w:color w:val="000000"/>
                <w:kern w:val="0"/>
                <w:sz w:val="24"/>
              </w:rPr>
            </w:pPr>
            <w:r>
              <w:rPr>
                <w:color w:val="000000"/>
                <w:kern w:val="0"/>
                <w:sz w:val="24"/>
              </w:rPr>
              <w:t>投标报价</w:t>
            </w:r>
          </w:p>
        </w:tc>
        <w:tc>
          <w:tcPr>
            <w:tcW w:w="3621" w:type="pct"/>
            <w:shd w:val="clear" w:color="auto" w:fill="auto"/>
            <w:vAlign w:val="center"/>
          </w:tcPr>
          <w:p>
            <w:pPr>
              <w:widowControl/>
              <w:jc w:val="left"/>
              <w:rPr>
                <w:color w:val="000000"/>
                <w:kern w:val="0"/>
                <w:sz w:val="24"/>
              </w:rPr>
            </w:pPr>
            <w:r>
              <w:rPr>
                <w:color w:val="000000"/>
                <w:kern w:val="0"/>
                <w:sz w:val="24"/>
              </w:rPr>
              <w:t>投标报价</w:t>
            </w:r>
            <w:r>
              <w:rPr>
                <w:rFonts w:hint="eastAsia"/>
                <w:color w:val="000000"/>
                <w:kern w:val="0"/>
                <w:sz w:val="24"/>
              </w:rPr>
              <w:t>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4</w:t>
            </w:r>
          </w:p>
        </w:tc>
        <w:tc>
          <w:tcPr>
            <w:tcW w:w="975" w:type="pct"/>
            <w:shd w:val="clear" w:color="auto" w:fill="auto"/>
            <w:vAlign w:val="center"/>
          </w:tcPr>
          <w:p>
            <w:pPr>
              <w:widowControl/>
              <w:jc w:val="left"/>
              <w:rPr>
                <w:color w:val="000000"/>
                <w:kern w:val="0"/>
                <w:sz w:val="24"/>
              </w:rPr>
            </w:pPr>
            <w:r>
              <w:rPr>
                <w:color w:val="000000"/>
                <w:kern w:val="0"/>
                <w:sz w:val="24"/>
              </w:rPr>
              <w:t>报价唯一性</w:t>
            </w:r>
          </w:p>
        </w:tc>
        <w:tc>
          <w:tcPr>
            <w:tcW w:w="3621" w:type="pct"/>
            <w:shd w:val="clear" w:color="auto" w:fill="auto"/>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03" w:type="pct"/>
            <w:shd w:val="clear" w:color="auto" w:fill="auto"/>
            <w:vAlign w:val="center"/>
          </w:tcPr>
          <w:p>
            <w:pPr>
              <w:widowControl/>
              <w:jc w:val="center"/>
              <w:rPr>
                <w:color w:val="000000"/>
                <w:kern w:val="0"/>
                <w:sz w:val="24"/>
              </w:rPr>
            </w:pPr>
            <w:r>
              <w:rPr>
                <w:color w:val="000000"/>
                <w:kern w:val="0"/>
                <w:sz w:val="24"/>
              </w:rPr>
              <w:t>5</w:t>
            </w:r>
          </w:p>
        </w:tc>
        <w:tc>
          <w:tcPr>
            <w:tcW w:w="975" w:type="pct"/>
            <w:shd w:val="clear" w:color="auto" w:fill="auto"/>
            <w:vAlign w:val="center"/>
          </w:tcPr>
          <w:p>
            <w:pPr>
              <w:widowControl/>
              <w:jc w:val="left"/>
              <w:rPr>
                <w:color w:val="000000"/>
                <w:kern w:val="0"/>
                <w:sz w:val="24"/>
              </w:rPr>
            </w:pPr>
            <w:r>
              <w:rPr>
                <w:color w:val="000000"/>
                <w:kern w:val="0"/>
                <w:sz w:val="24"/>
              </w:rPr>
              <w:t>投标有效期</w:t>
            </w:r>
          </w:p>
        </w:tc>
        <w:tc>
          <w:tcPr>
            <w:tcW w:w="3621" w:type="pct"/>
            <w:shd w:val="clear" w:color="auto" w:fill="auto"/>
            <w:vAlign w:val="center"/>
          </w:tcPr>
          <w:p>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6</w:t>
            </w:r>
          </w:p>
        </w:tc>
        <w:tc>
          <w:tcPr>
            <w:tcW w:w="975" w:type="pct"/>
            <w:shd w:val="clear" w:color="auto" w:fill="auto"/>
            <w:vAlign w:val="center"/>
          </w:tcPr>
          <w:p>
            <w:pPr>
              <w:widowControl/>
              <w:jc w:val="left"/>
              <w:rPr>
                <w:color w:val="000000"/>
                <w:kern w:val="0"/>
                <w:sz w:val="24"/>
              </w:rPr>
            </w:pPr>
            <w:r>
              <w:rPr>
                <w:color w:val="000000"/>
                <w:kern w:val="0"/>
                <w:sz w:val="24"/>
              </w:rPr>
              <w:t>签署、盖章</w:t>
            </w:r>
          </w:p>
        </w:tc>
        <w:tc>
          <w:tcPr>
            <w:tcW w:w="3621" w:type="pct"/>
            <w:shd w:val="clear" w:color="auto" w:fill="auto"/>
            <w:vAlign w:val="center"/>
          </w:tcPr>
          <w:p>
            <w:pPr>
              <w:widowControl/>
              <w:jc w:val="left"/>
              <w:rPr>
                <w:color w:val="000000"/>
                <w:kern w:val="0"/>
                <w:sz w:val="24"/>
              </w:rPr>
            </w:pPr>
            <w:r>
              <w:rPr>
                <w:color w:val="000000"/>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rFonts w:hint="eastAsia"/>
                <w:color w:val="000000"/>
                <w:kern w:val="0"/>
                <w:sz w:val="24"/>
              </w:rPr>
              <w:t>7</w:t>
            </w:r>
          </w:p>
        </w:tc>
        <w:tc>
          <w:tcPr>
            <w:tcW w:w="975" w:type="pct"/>
            <w:shd w:val="clear" w:color="auto" w:fill="auto"/>
            <w:vAlign w:val="center"/>
          </w:tcPr>
          <w:p>
            <w:pPr>
              <w:widowControl/>
              <w:jc w:val="left"/>
              <w:rPr>
                <w:color w:val="000000"/>
                <w:kern w:val="0"/>
                <w:sz w:val="24"/>
              </w:rPr>
            </w:pPr>
            <w:r>
              <w:rPr>
                <w:rFonts w:hint="eastAsia"/>
                <w:color w:val="000000"/>
                <w:kern w:val="0"/>
                <w:sz w:val="24"/>
              </w:rPr>
              <w:t>实质性格式</w:t>
            </w:r>
          </w:p>
        </w:tc>
        <w:tc>
          <w:tcPr>
            <w:tcW w:w="3621" w:type="pct"/>
            <w:shd w:val="clear" w:color="auto" w:fill="auto"/>
            <w:vAlign w:val="center"/>
          </w:tcPr>
          <w:p>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8</w:t>
            </w:r>
          </w:p>
        </w:tc>
        <w:tc>
          <w:tcPr>
            <w:tcW w:w="975" w:type="pct"/>
            <w:shd w:val="clear" w:color="auto" w:fill="auto"/>
            <w:vAlign w:val="center"/>
          </w:tcPr>
          <w:p>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1" w:type="pct"/>
            <w:shd w:val="clear" w:color="auto" w:fill="auto"/>
            <w:vAlign w:val="center"/>
          </w:tcPr>
          <w:p>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rFonts w:hint="eastAsia"/>
                <w:color w:val="000000"/>
                <w:kern w:val="0"/>
                <w:sz w:val="24"/>
              </w:rPr>
              <w:t>9</w:t>
            </w:r>
          </w:p>
        </w:tc>
        <w:tc>
          <w:tcPr>
            <w:tcW w:w="975" w:type="pct"/>
            <w:shd w:val="clear" w:color="auto" w:fill="auto"/>
            <w:vAlign w:val="center"/>
          </w:tcPr>
          <w:p>
            <w:pPr>
              <w:widowControl/>
              <w:jc w:val="left"/>
              <w:rPr>
                <w:color w:val="000000"/>
                <w:kern w:val="0"/>
                <w:sz w:val="24"/>
              </w:rPr>
            </w:pPr>
            <w:r>
              <w:rPr>
                <w:color w:val="000000"/>
                <w:kern w:val="0"/>
                <w:sz w:val="24"/>
              </w:rPr>
              <w:t>报价的修正（如有）</w:t>
            </w:r>
          </w:p>
        </w:tc>
        <w:tc>
          <w:tcPr>
            <w:tcW w:w="3621" w:type="pct"/>
            <w:shd w:val="clear" w:color="auto" w:fill="auto"/>
            <w:vAlign w:val="center"/>
          </w:tcPr>
          <w:p>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1</w:t>
            </w:r>
            <w:r>
              <w:rPr>
                <w:rFonts w:hint="eastAsia"/>
                <w:color w:val="000000"/>
                <w:kern w:val="0"/>
                <w:sz w:val="24"/>
              </w:rPr>
              <w:t>0</w:t>
            </w:r>
          </w:p>
        </w:tc>
        <w:tc>
          <w:tcPr>
            <w:tcW w:w="975" w:type="pct"/>
            <w:shd w:val="clear" w:color="auto" w:fill="auto"/>
            <w:vAlign w:val="center"/>
          </w:tcPr>
          <w:p>
            <w:pPr>
              <w:widowControl/>
              <w:jc w:val="left"/>
              <w:rPr>
                <w:color w:val="000000"/>
                <w:kern w:val="0"/>
                <w:sz w:val="24"/>
              </w:rPr>
            </w:pPr>
            <w:r>
              <w:rPr>
                <w:color w:val="000000"/>
                <w:kern w:val="0"/>
                <w:sz w:val="24"/>
              </w:rPr>
              <w:t>报价合理性</w:t>
            </w:r>
          </w:p>
        </w:tc>
        <w:tc>
          <w:tcPr>
            <w:tcW w:w="3621" w:type="pct"/>
            <w:shd w:val="clear" w:color="auto" w:fill="auto"/>
            <w:vAlign w:val="center"/>
          </w:tcPr>
          <w:p>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1</w:t>
            </w:r>
            <w:r>
              <w:rPr>
                <w:rFonts w:hint="eastAsia"/>
                <w:color w:val="000000"/>
                <w:kern w:val="0"/>
                <w:sz w:val="24"/>
              </w:rPr>
              <w:t>1</w:t>
            </w:r>
          </w:p>
        </w:tc>
        <w:tc>
          <w:tcPr>
            <w:tcW w:w="975" w:type="pct"/>
            <w:shd w:val="clear" w:color="auto" w:fill="auto"/>
            <w:vAlign w:val="center"/>
          </w:tcPr>
          <w:p>
            <w:pPr>
              <w:widowControl/>
              <w:jc w:val="left"/>
              <w:rPr>
                <w:color w:val="000000"/>
                <w:kern w:val="0"/>
                <w:sz w:val="24"/>
              </w:rPr>
            </w:pPr>
            <w:r>
              <w:rPr>
                <w:color w:val="000000"/>
                <w:kern w:val="0"/>
                <w:sz w:val="24"/>
              </w:rPr>
              <w:t>进口产品</w:t>
            </w:r>
          </w:p>
          <w:p>
            <w:pPr>
              <w:widowControl/>
              <w:jc w:val="left"/>
              <w:rPr>
                <w:color w:val="000000"/>
                <w:kern w:val="0"/>
                <w:sz w:val="24"/>
              </w:rPr>
            </w:pPr>
            <w:r>
              <w:rPr>
                <w:color w:val="000000"/>
                <w:kern w:val="0"/>
                <w:sz w:val="24"/>
              </w:rPr>
              <w:t>（如有）</w:t>
            </w:r>
          </w:p>
        </w:tc>
        <w:tc>
          <w:tcPr>
            <w:tcW w:w="3621" w:type="pct"/>
            <w:shd w:val="clear" w:color="auto" w:fill="auto"/>
            <w:vAlign w:val="center"/>
          </w:tcPr>
          <w:p>
            <w:pPr>
              <w:widowControl/>
              <w:jc w:val="left"/>
              <w:rPr>
                <w:color w:val="000000"/>
                <w:kern w:val="0"/>
                <w:sz w:val="24"/>
              </w:rPr>
            </w:pPr>
            <w:r>
              <w:rPr>
                <w:rFonts w:hint="eastAsia" w:ascii="宋体" w:hAnsi="宋体"/>
                <w:sz w:val="24"/>
              </w:rPr>
              <w:t>招标文件</w:t>
            </w:r>
            <w:r>
              <w:rPr>
                <w:rFonts w:ascii="宋体" w:hAnsi="宋体"/>
                <w:sz w:val="24"/>
              </w:rPr>
              <w:t>不接受进口产品投标</w:t>
            </w:r>
            <w:r>
              <w:rPr>
                <w:rFonts w:hint="eastAsia" w:ascii="宋体" w:hAnsi="宋体"/>
                <w:sz w:val="24"/>
              </w:rPr>
              <w:t>的内容时</w:t>
            </w:r>
            <w:r>
              <w:rPr>
                <w:rFonts w:ascii="宋体" w:hAnsi="宋体"/>
                <w:sz w:val="24"/>
              </w:rPr>
              <w:t>，</w:t>
            </w:r>
            <w:r>
              <w:rPr>
                <w:rFonts w:hint="eastAsia" w:ascii="宋体" w:hAnsi="宋体"/>
                <w:sz w:val="24"/>
              </w:rPr>
              <w:t>投标人所投产品非进口产品的；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1</w:t>
            </w:r>
            <w:r>
              <w:rPr>
                <w:rFonts w:hint="eastAsia"/>
                <w:color w:val="000000"/>
                <w:kern w:val="0"/>
                <w:sz w:val="24"/>
              </w:rPr>
              <w:t>2</w:t>
            </w:r>
          </w:p>
        </w:tc>
        <w:tc>
          <w:tcPr>
            <w:tcW w:w="975" w:type="pct"/>
            <w:shd w:val="clear" w:color="auto" w:fill="auto"/>
            <w:vAlign w:val="center"/>
          </w:tcPr>
          <w:p>
            <w:pPr>
              <w:widowControl/>
              <w:jc w:val="left"/>
              <w:rPr>
                <w:color w:val="000000"/>
                <w:kern w:val="0"/>
                <w:sz w:val="24"/>
              </w:rPr>
            </w:pPr>
            <w:r>
              <w:rPr>
                <w:color w:val="000000"/>
                <w:kern w:val="0"/>
                <w:sz w:val="24"/>
              </w:rPr>
              <w:t>国家有关部门对投标人的投标产品有强制性规定或要求的</w:t>
            </w:r>
          </w:p>
        </w:tc>
        <w:tc>
          <w:tcPr>
            <w:tcW w:w="3621" w:type="pct"/>
            <w:shd w:val="clear" w:color="auto" w:fill="auto"/>
            <w:vAlign w:val="center"/>
          </w:tcPr>
          <w:p>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w:t>
            </w:r>
          </w:p>
          <w:p>
            <w:pPr>
              <w:widowControl/>
              <w:jc w:val="left"/>
              <w:rPr>
                <w:color w:val="000000"/>
                <w:kern w:val="0"/>
                <w:sz w:val="24"/>
              </w:rPr>
            </w:pPr>
            <w:r>
              <w:rPr>
                <w:rFonts w:hint="eastAsia"/>
                <w:color w:val="000000"/>
                <w:kern w:val="0"/>
                <w:sz w:val="24"/>
              </w:rPr>
              <w:t>1）</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pPr>
              <w:widowControl/>
              <w:jc w:val="left"/>
              <w:rPr>
                <w:color w:val="000000"/>
                <w:kern w:val="0"/>
                <w:sz w:val="24"/>
              </w:rPr>
            </w:pPr>
            <w:r>
              <w:rPr>
                <w:rFonts w:hint="eastAsia"/>
                <w:color w:val="000000"/>
                <w:kern w:val="0"/>
                <w:sz w:val="24"/>
              </w:rPr>
              <w:t>2）</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pPr>
              <w:widowControl/>
              <w:jc w:val="left"/>
              <w:rPr>
                <w:sz w:val="24"/>
              </w:rPr>
            </w:pPr>
            <w:r>
              <w:rPr>
                <w:rFonts w:hint="eastAsia"/>
                <w:sz w:val="24"/>
              </w:rPr>
              <w:t>4）</w:t>
            </w:r>
            <w:r>
              <w:rPr>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项目中涉及涂料、胶黏剂、油墨、清洗剂等挥发性有机物产品，且属于强制性标准的，供应商应执行符合本市和国家的VOCs 含量限制标准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1</w:t>
            </w:r>
            <w:r>
              <w:rPr>
                <w:rFonts w:hint="eastAsia"/>
                <w:color w:val="000000"/>
                <w:kern w:val="0"/>
                <w:sz w:val="24"/>
              </w:rPr>
              <w:t>3</w:t>
            </w:r>
          </w:p>
        </w:tc>
        <w:tc>
          <w:tcPr>
            <w:tcW w:w="975" w:type="pct"/>
            <w:shd w:val="clear" w:color="auto" w:fill="auto"/>
            <w:vAlign w:val="center"/>
          </w:tcPr>
          <w:p>
            <w:pPr>
              <w:widowControl/>
              <w:jc w:val="left"/>
              <w:rPr>
                <w:color w:val="000000"/>
                <w:kern w:val="0"/>
                <w:sz w:val="24"/>
              </w:rPr>
            </w:pPr>
            <w:r>
              <w:rPr>
                <w:color w:val="000000"/>
                <w:kern w:val="0"/>
                <w:sz w:val="24"/>
              </w:rPr>
              <w:t>公平竞争</w:t>
            </w:r>
          </w:p>
        </w:tc>
        <w:tc>
          <w:tcPr>
            <w:tcW w:w="3621" w:type="pct"/>
            <w:shd w:val="clear" w:color="auto" w:fill="auto"/>
            <w:vAlign w:val="center"/>
          </w:tcPr>
          <w:p>
            <w:pPr>
              <w:widowControl/>
              <w:jc w:val="left"/>
              <w:rPr>
                <w:color w:val="000000"/>
                <w:kern w:val="0"/>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1</w:t>
            </w:r>
            <w:r>
              <w:rPr>
                <w:rFonts w:hint="eastAsia"/>
                <w:color w:val="000000"/>
                <w:kern w:val="0"/>
                <w:sz w:val="24"/>
              </w:rPr>
              <w:t>4</w:t>
            </w:r>
          </w:p>
        </w:tc>
        <w:tc>
          <w:tcPr>
            <w:tcW w:w="975" w:type="pct"/>
            <w:shd w:val="clear" w:color="auto" w:fill="auto"/>
            <w:vAlign w:val="center"/>
          </w:tcPr>
          <w:p>
            <w:pPr>
              <w:widowControl/>
              <w:jc w:val="left"/>
              <w:rPr>
                <w:color w:val="000000"/>
                <w:kern w:val="0"/>
                <w:sz w:val="24"/>
              </w:rPr>
            </w:pPr>
            <w:r>
              <w:rPr>
                <w:color w:val="000000"/>
                <w:kern w:val="0"/>
                <w:sz w:val="24"/>
              </w:rPr>
              <w:t>串通投标</w:t>
            </w:r>
          </w:p>
        </w:tc>
        <w:tc>
          <w:tcPr>
            <w:tcW w:w="3621" w:type="pct"/>
            <w:shd w:val="clear" w:color="auto" w:fill="auto"/>
            <w:vAlign w:val="center"/>
          </w:tcPr>
          <w:p>
            <w:pPr>
              <w:widowControl/>
              <w:jc w:val="left"/>
              <w:rPr>
                <w:color w:val="000000"/>
                <w:kern w:val="0"/>
                <w:sz w:val="24"/>
              </w:rPr>
            </w:pPr>
            <w:r>
              <w:rPr>
                <w:rFonts w:hint="eastAsia"/>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color w:val="000000"/>
                <w:kern w:val="0"/>
                <w:sz w:val="24"/>
              </w:rPr>
              <w:t>17</w:t>
            </w:r>
          </w:p>
        </w:tc>
        <w:tc>
          <w:tcPr>
            <w:tcW w:w="975" w:type="pct"/>
            <w:shd w:val="clear" w:color="auto" w:fill="auto"/>
            <w:vAlign w:val="center"/>
          </w:tcPr>
          <w:p>
            <w:pPr>
              <w:widowControl/>
              <w:jc w:val="left"/>
              <w:rPr>
                <w:color w:val="000000"/>
                <w:kern w:val="0"/>
                <w:sz w:val="24"/>
              </w:rPr>
            </w:pPr>
            <w:r>
              <w:rPr>
                <w:color w:val="000000"/>
                <w:kern w:val="0"/>
                <w:sz w:val="24"/>
              </w:rPr>
              <w:t>附加条件</w:t>
            </w:r>
          </w:p>
        </w:tc>
        <w:tc>
          <w:tcPr>
            <w:tcW w:w="3621" w:type="pct"/>
            <w:shd w:val="clear" w:color="auto" w:fill="auto"/>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pPr>
              <w:widowControl/>
              <w:jc w:val="center"/>
              <w:rPr>
                <w:color w:val="000000"/>
                <w:kern w:val="0"/>
                <w:sz w:val="24"/>
              </w:rPr>
            </w:pPr>
            <w:r>
              <w:rPr>
                <w:rFonts w:hint="eastAsia"/>
                <w:color w:val="000000"/>
                <w:kern w:val="0"/>
                <w:sz w:val="24"/>
              </w:rPr>
              <w:t>1</w:t>
            </w:r>
            <w:r>
              <w:rPr>
                <w:color w:val="000000"/>
                <w:kern w:val="0"/>
                <w:sz w:val="24"/>
              </w:rPr>
              <w:t>8</w:t>
            </w:r>
          </w:p>
        </w:tc>
        <w:tc>
          <w:tcPr>
            <w:tcW w:w="975" w:type="pct"/>
            <w:shd w:val="clear" w:color="auto" w:fill="auto"/>
            <w:vAlign w:val="center"/>
          </w:tcPr>
          <w:p>
            <w:pPr>
              <w:widowControl/>
              <w:jc w:val="left"/>
              <w:rPr>
                <w:color w:val="000000"/>
                <w:kern w:val="0"/>
                <w:sz w:val="24"/>
              </w:rPr>
            </w:pPr>
            <w:r>
              <w:rPr>
                <w:color w:val="000000"/>
                <w:kern w:val="0"/>
                <w:sz w:val="24"/>
              </w:rPr>
              <w:t>其他无效情形</w:t>
            </w:r>
          </w:p>
        </w:tc>
        <w:tc>
          <w:tcPr>
            <w:tcW w:w="3621" w:type="pct"/>
            <w:shd w:val="clear" w:color="auto" w:fill="auto"/>
            <w:vAlign w:val="center"/>
          </w:tcPr>
          <w:p>
            <w:pPr>
              <w:widowControl/>
              <w:jc w:val="left"/>
              <w:rPr>
                <w:color w:val="000000"/>
                <w:kern w:val="0"/>
                <w:sz w:val="24"/>
              </w:rPr>
            </w:pPr>
            <w:r>
              <w:rPr>
                <w:color w:val="000000" w:themeColor="text1"/>
                <w:sz w:val="24"/>
                <w14:textFill>
                  <w14:solidFill>
                    <w14:schemeClr w14:val="tx1"/>
                  </w14:solidFill>
                </w14:textFill>
              </w:rPr>
              <w:t>投标人、投标文件</w:t>
            </w:r>
            <w:r>
              <w:rPr>
                <w:rFonts w:hint="eastAsia"/>
                <w:color w:val="000000" w:themeColor="text1"/>
                <w:sz w:val="24"/>
                <w14:textFill>
                  <w14:solidFill>
                    <w14:schemeClr w14:val="tx1"/>
                  </w14:solidFill>
                </w14:textFill>
              </w:rPr>
              <w:t>不存在</w:t>
            </w:r>
            <w:r>
              <w:rPr>
                <w:color w:val="000000" w:themeColor="text1"/>
                <w:sz w:val="24"/>
                <w14:textFill>
                  <w14:solidFill>
                    <w14:schemeClr w14:val="tx1"/>
                  </w14:solidFill>
                </w14:textFill>
              </w:rPr>
              <w:t>不符合法律、法规和招标文件规定的其他无效情形。</w:t>
            </w:r>
          </w:p>
        </w:tc>
      </w:tr>
    </w:tbl>
    <w:p>
      <w:pPr>
        <w:numPr>
          <w:ilvl w:val="0"/>
          <w:numId w:val="13"/>
        </w:numPr>
        <w:tabs>
          <w:tab w:val="left" w:pos="1080"/>
          <w:tab w:val="left" w:pos="1589"/>
        </w:tabs>
        <w:snapToGrid w:val="0"/>
        <w:spacing w:line="360" w:lineRule="auto"/>
        <w:rPr>
          <w:sz w:val="24"/>
        </w:rPr>
        <w:sectPr>
          <w:pgSz w:w="11907" w:h="16840"/>
          <w:pgMar w:top="1418" w:right="1134" w:bottom="1418" w:left="1701" w:header="851" w:footer="851" w:gutter="0"/>
          <w:cols w:space="720" w:num="1"/>
          <w:docGrid w:linePitch="462" w:charSpace="0"/>
        </w:sectPr>
      </w:pPr>
    </w:p>
    <w:p>
      <w:pPr>
        <w:numPr>
          <w:ilvl w:val="0"/>
          <w:numId w:val="12"/>
        </w:numPr>
        <w:tabs>
          <w:tab w:val="left" w:pos="360"/>
        </w:tabs>
        <w:snapToGrid w:val="0"/>
        <w:spacing w:line="360" w:lineRule="auto"/>
        <w:outlineLvl w:val="1"/>
        <w:rPr>
          <w:sz w:val="24"/>
        </w:rPr>
      </w:pPr>
      <w:r>
        <w:rPr>
          <w:sz w:val="24"/>
        </w:rPr>
        <w:t>投标文件有关事项的澄清或者说明</w:t>
      </w:r>
    </w:p>
    <w:p>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无，按下述2.4.2-2.4.7项规定修正。</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10</w:t>
      </w:r>
      <w:r>
        <w:rPr>
          <w:sz w:val="24"/>
        </w:rPr>
        <w:t>%的扣除，用扣除后的价格参加评审。</w:t>
      </w:r>
    </w:p>
    <w:p>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2</w:t>
      </w:r>
      <w:r>
        <w:rPr>
          <w:sz w:val="24"/>
        </w:rPr>
        <w:t>%的扣除，用扣除后的价格参加评审。</w:t>
      </w:r>
    </w:p>
    <w:p>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12"/>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监狱企业提供了由省级以上监狱管理局（含北京市教育矫治局）、戒毒管理局（含新疆生产建设兵团）出具的属于监狱企业的证明文件的，视同小微企业。</w:t>
      </w:r>
    </w:p>
    <w:p>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残疾人福利性单位按招标文件要求提供了《残疾人福利性单位声明函》（见附件）的，视同小微企业。</w:t>
      </w:r>
    </w:p>
    <w:p>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pPr>
        <w:numPr>
          <w:ilvl w:val="0"/>
          <w:numId w:val="12"/>
        </w:numPr>
        <w:tabs>
          <w:tab w:val="left" w:pos="360"/>
        </w:tabs>
        <w:snapToGrid w:val="0"/>
        <w:spacing w:line="360" w:lineRule="auto"/>
        <w:outlineLvl w:val="1"/>
        <w:rPr>
          <w:sz w:val="24"/>
        </w:rPr>
      </w:pPr>
      <w:r>
        <w:rPr>
          <w:sz w:val="24"/>
        </w:rPr>
        <w:t>投标文件的比较和评价</w:t>
      </w:r>
      <w:bookmarkEnd w:id="775"/>
      <w:bookmarkEnd w:id="776"/>
    </w:p>
    <w:p>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2"/>
        </w:numPr>
        <w:tabs>
          <w:tab w:val="left" w:pos="1080"/>
        </w:tabs>
        <w:snapToGrid w:val="0"/>
        <w:spacing w:line="360" w:lineRule="auto"/>
        <w:ind w:left="1077" w:hanging="720"/>
        <w:rPr>
          <w:sz w:val="24"/>
        </w:rPr>
      </w:pPr>
      <w:r>
        <w:rPr>
          <w:sz w:val="24"/>
        </w:rPr>
        <w:t>评标方法和评标标准</w:t>
      </w:r>
    </w:p>
    <w:p>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pPr>
        <w:tabs>
          <w:tab w:val="left" w:pos="900"/>
          <w:tab w:val="left" w:pos="1589"/>
          <w:tab w:val="left" w:pos="1701"/>
        </w:tabs>
        <w:snapToGrid w:val="0"/>
        <w:spacing w:line="360" w:lineRule="auto"/>
        <w:ind w:left="1985"/>
        <w:rPr>
          <w:sz w:val="24"/>
        </w:rPr>
      </w:pPr>
      <w:r>
        <w:rPr>
          <w:rFonts w:hint="eastAsia"/>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pPr>
        <w:tabs>
          <w:tab w:val="left" w:pos="1080"/>
          <w:tab w:val="left" w:pos="1589"/>
          <w:tab w:val="left" w:pos="2035"/>
        </w:tabs>
        <w:snapToGrid w:val="0"/>
        <w:spacing w:line="360" w:lineRule="auto"/>
        <w:ind w:left="2035"/>
        <w:rPr>
          <w:sz w:val="24"/>
        </w:rPr>
      </w:pPr>
      <w:r>
        <w:rPr>
          <w:sz w:val="24"/>
        </w:rPr>
        <w:t>□随机抽取</w:t>
      </w:r>
    </w:p>
    <w:p>
      <w:pPr>
        <w:tabs>
          <w:tab w:val="left" w:pos="1080"/>
          <w:tab w:val="left" w:pos="1589"/>
          <w:tab w:val="left" w:pos="2035"/>
        </w:tabs>
        <w:snapToGrid w:val="0"/>
        <w:spacing w:line="360" w:lineRule="auto"/>
        <w:ind w:left="2035"/>
        <w:rPr>
          <w:sz w:val="24"/>
          <w:u w:val="single"/>
        </w:rPr>
      </w:pPr>
      <w:r>
        <w:rPr>
          <w:sz w:val="24"/>
        </w:rPr>
        <w:t>□其他方式，具体要求：__</w:t>
      </w:r>
      <w:r>
        <w:rPr>
          <w:rFonts w:hint="eastAsia"/>
          <w:sz w:val="24"/>
        </w:rPr>
        <w:t>/</w:t>
      </w:r>
      <w:r>
        <w:rPr>
          <w:sz w:val="24"/>
        </w:rPr>
        <w:t>___</w:t>
      </w:r>
    </w:p>
    <w:p>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非政府强制采购的节能产品或环境标志产品，依据品目清单和认证证书实施政府优先采购。优先采购的具体规定（如涉及）__</w:t>
      </w:r>
      <w:r>
        <w:rPr>
          <w:rFonts w:hint="eastAsia"/>
          <w:sz w:val="24"/>
        </w:rPr>
        <w:t>/</w:t>
      </w:r>
      <w:r>
        <w:rPr>
          <w:sz w:val="24"/>
        </w:rPr>
        <w:t>___。</w:t>
      </w:r>
    </w:p>
    <w:p>
      <w:pPr>
        <w:numPr>
          <w:ilvl w:val="2"/>
          <w:numId w:val="12"/>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关于无线局域网认证产品政府采购清单中的产品，优先采购的具体规定（如涉及）__</w:t>
      </w:r>
      <w:r>
        <w:rPr>
          <w:rFonts w:hint="eastAsia"/>
          <w:sz w:val="24"/>
        </w:rPr>
        <w:t>/</w:t>
      </w:r>
      <w:r>
        <w:rPr>
          <w:sz w:val="24"/>
        </w:rPr>
        <w:t>___。</w:t>
      </w:r>
    </w:p>
    <w:p>
      <w:pPr>
        <w:numPr>
          <w:ilvl w:val="0"/>
          <w:numId w:val="12"/>
        </w:numPr>
        <w:tabs>
          <w:tab w:val="left" w:pos="360"/>
        </w:tabs>
        <w:snapToGrid w:val="0"/>
        <w:spacing w:line="360" w:lineRule="auto"/>
        <w:outlineLvl w:val="1"/>
        <w:rPr>
          <w:sz w:val="24"/>
        </w:rPr>
      </w:pPr>
      <w:r>
        <w:rPr>
          <w:sz w:val="24"/>
        </w:rPr>
        <w:t>确定</w:t>
      </w:r>
      <w:bookmarkStart w:id="778" w:name="_Toc164608815"/>
      <w:bookmarkStart w:id="779" w:name="_Toc149720839"/>
      <w:bookmarkStart w:id="780" w:name="_Toc150480784"/>
      <w:bookmarkStart w:id="781" w:name="_Toc164229387"/>
      <w:bookmarkStart w:id="782" w:name="_Toc150774646"/>
      <w:bookmarkStart w:id="783" w:name="_Toc127161460"/>
      <w:bookmarkStart w:id="784" w:name="_Ref467307010"/>
      <w:bookmarkStart w:id="785" w:name="_Toc150509297"/>
      <w:bookmarkStart w:id="786" w:name="_Toc226965819"/>
      <w:bookmarkStart w:id="787" w:name="_Toc151190173"/>
      <w:bookmarkStart w:id="788" w:name="_Toc151193716"/>
      <w:bookmarkStart w:id="789" w:name="_Toc151193860"/>
      <w:bookmarkStart w:id="790" w:name="_Toc164229241"/>
      <w:bookmarkStart w:id="791" w:name="_Toc151193934"/>
      <w:bookmarkStart w:id="792" w:name="_Toc150774751"/>
      <w:bookmarkStart w:id="793" w:name="_Toc127151747"/>
      <w:bookmarkStart w:id="794" w:name="_Toc142311048"/>
      <w:bookmarkStart w:id="795" w:name="_Toc305158888"/>
      <w:bookmarkStart w:id="796" w:name="_Toc195842911"/>
      <w:bookmarkStart w:id="797" w:name="_Toc164608660"/>
      <w:bookmarkStart w:id="798" w:name="_Toc226337242"/>
      <w:bookmarkStart w:id="799" w:name="_Toc520356170"/>
      <w:bookmarkStart w:id="800" w:name="_Toc151193644"/>
      <w:bookmarkStart w:id="801" w:name="_Toc264969236"/>
      <w:bookmarkStart w:id="802" w:name="_Toc226309790"/>
      <w:bookmarkStart w:id="803" w:name="_Toc127151546"/>
      <w:bookmarkStart w:id="804" w:name="_Toc151193788"/>
      <w:bookmarkStart w:id="805" w:name="_Toc265228384"/>
      <w:bookmarkStart w:id="806" w:name="_Toc305158814"/>
      <w:bookmarkStart w:id="807" w:name="_Toc164351640"/>
      <w:bookmarkStart w:id="808" w:name="_Toc226965736"/>
      <w:r>
        <w:rPr>
          <w:sz w:val="24"/>
        </w:rPr>
        <w:t>中标候选人名单</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pPr>
        <w:pStyle w:val="23"/>
        <w:tabs>
          <w:tab w:val="left" w:pos="900"/>
          <w:tab w:val="left" w:pos="2127"/>
        </w:tabs>
        <w:adjustRightInd w:val="0"/>
        <w:snapToGrid w:val="0"/>
        <w:spacing w:line="360" w:lineRule="auto"/>
        <w:ind w:left="993" w:firstLine="136" w:firstLineChars="57"/>
        <w:jc w:val="left"/>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其他方式，具体要求：</w:t>
      </w:r>
      <w:r>
        <w:rPr>
          <w:sz w:val="24"/>
          <w:u w:val="single"/>
        </w:rPr>
        <w:t>评审得分相同的，价低者获推荐；价格仍相同的，</w:t>
      </w:r>
      <w:r>
        <w:rPr>
          <w:spacing w:val="4"/>
          <w:sz w:val="24"/>
          <w:u w:val="single"/>
        </w:rPr>
        <w:t>由评标委员会按照少数服从多数原则推荐产生一个投标人获得中标人推荐资</w:t>
      </w:r>
      <w:r>
        <w:rPr>
          <w:sz w:val="24"/>
          <w:u w:val="single"/>
        </w:rPr>
        <w:t xml:space="preserve">格，其他同品牌投标人不作为中标候选人。   </w:t>
      </w:r>
    </w:p>
    <w:p>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投标文件</w:t>
      </w:r>
      <w:r>
        <w:rPr>
          <w:sz w:val="24"/>
        </w:rPr>
        <w:t>被认定为无效的情形进行重点复核。</w:t>
      </w:r>
    </w:p>
    <w:p>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3</w:t>
      </w:r>
      <w:r>
        <w:rPr>
          <w:sz w:val="24"/>
        </w:rPr>
        <w:t>名中标候选人。</w:t>
      </w:r>
    </w:p>
    <w:p>
      <w:pPr>
        <w:numPr>
          <w:ilvl w:val="0"/>
          <w:numId w:val="12"/>
        </w:numPr>
        <w:tabs>
          <w:tab w:val="left" w:pos="360"/>
        </w:tabs>
        <w:snapToGrid w:val="0"/>
        <w:spacing w:line="360" w:lineRule="auto"/>
        <w:outlineLvl w:val="1"/>
        <w:rPr>
          <w:sz w:val="24"/>
        </w:rPr>
      </w:pPr>
      <w:r>
        <w:rPr>
          <w:sz w:val="24"/>
        </w:rPr>
        <w:t>报告违法行为</w:t>
      </w:r>
    </w:p>
    <w:p>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pPr>
        <w:widowControl/>
        <w:jc w:val="left"/>
        <w:rPr>
          <w:b/>
          <w:sz w:val="24"/>
        </w:rPr>
      </w:pPr>
      <w:r>
        <w:rPr>
          <w:b/>
          <w:sz w:val="24"/>
        </w:rPr>
        <w:br w:type="page"/>
      </w:r>
    </w:p>
    <w:p>
      <w:pPr>
        <w:tabs>
          <w:tab w:val="left" w:pos="360"/>
          <w:tab w:val="left" w:pos="900"/>
        </w:tabs>
        <w:snapToGrid w:val="0"/>
        <w:spacing w:line="360" w:lineRule="auto"/>
        <w:jc w:val="center"/>
        <w:outlineLvl w:val="1"/>
        <w:rPr>
          <w:b/>
        </w:rPr>
      </w:pPr>
      <w:r>
        <w:rPr>
          <w:b/>
          <w:sz w:val="24"/>
        </w:rPr>
        <w:t>二、评标标准</w:t>
      </w:r>
    </w:p>
    <w:p>
      <w:pPr>
        <w:spacing w:line="360" w:lineRule="auto"/>
        <w:contextualSpacing/>
        <w:jc w:val="left"/>
        <w:outlineLvl w:val="0"/>
        <w:rPr>
          <w:rFonts w:ascii="宋体" w:hAnsi="宋体"/>
          <w:b/>
          <w:sz w:val="24"/>
        </w:rPr>
      </w:pPr>
      <w:r>
        <w:rPr>
          <w:rFonts w:hint="eastAsia" w:ascii="宋体" w:hAnsi="宋体"/>
          <w:b/>
          <w:sz w:val="24"/>
        </w:rPr>
        <w:t>（一）、总则</w:t>
      </w:r>
    </w:p>
    <w:p>
      <w:pPr>
        <w:spacing w:line="360" w:lineRule="auto"/>
        <w:ind w:firstLine="480"/>
        <w:contextualSpacing/>
        <w:rPr>
          <w:rFonts w:ascii="宋体" w:hAnsi="宋体"/>
          <w:sz w:val="24"/>
        </w:rPr>
      </w:pPr>
      <w:r>
        <w:rPr>
          <w:rFonts w:hint="eastAsia" w:ascii="宋体" w:hAnsi="宋体"/>
          <w:sz w:val="24"/>
        </w:rPr>
        <w:t>评审委员会将仅对在实质上响应招标文件要求的投标文件进行评价和比较。投标文件的评价采用综合评分法，评分按商务、技术服务和价格两部分分别打分的方式进行。其中商务、技术服务分满分为70分、价格分满分为30分，投标人的综合评分为两项得分之和，满分为100分。</w:t>
      </w:r>
    </w:p>
    <w:p>
      <w:pPr>
        <w:spacing w:line="360" w:lineRule="auto"/>
        <w:contextualSpacing/>
        <w:jc w:val="left"/>
        <w:outlineLvl w:val="0"/>
        <w:rPr>
          <w:rFonts w:ascii="宋体" w:hAnsi="宋体"/>
          <w:b/>
          <w:sz w:val="24"/>
        </w:rPr>
      </w:pPr>
      <w:r>
        <w:rPr>
          <w:rFonts w:hint="eastAsia" w:ascii="宋体" w:hAnsi="宋体"/>
          <w:b/>
          <w:sz w:val="24"/>
        </w:rPr>
        <w:t>（二）、资格性检查及符合性检查的审查</w:t>
      </w:r>
    </w:p>
    <w:p>
      <w:pPr>
        <w:spacing w:line="360" w:lineRule="auto"/>
        <w:ind w:firstLine="480"/>
        <w:contextualSpacing/>
        <w:rPr>
          <w:rFonts w:ascii="宋体" w:hAnsi="宋体"/>
          <w:b/>
          <w:sz w:val="24"/>
        </w:rPr>
      </w:pPr>
      <w:r>
        <w:rPr>
          <w:rFonts w:hint="eastAsia" w:ascii="宋体" w:hAnsi="宋体"/>
          <w:sz w:val="24"/>
        </w:rPr>
        <w:t>满足 “资格性检查及符合性检查”的投标文件，方可进入商务、技术评议，否则将导致投标无效。</w:t>
      </w:r>
    </w:p>
    <w:p>
      <w:pPr>
        <w:spacing w:line="360" w:lineRule="auto"/>
        <w:contextualSpacing/>
        <w:outlineLvl w:val="0"/>
        <w:rPr>
          <w:rFonts w:ascii="宋体" w:hAnsi="宋体"/>
          <w:sz w:val="24"/>
        </w:rPr>
      </w:pPr>
      <w:r>
        <w:rPr>
          <w:rFonts w:hint="eastAsia" w:ascii="宋体" w:hAnsi="宋体"/>
          <w:b/>
          <w:sz w:val="24"/>
        </w:rPr>
        <w:t xml:space="preserve">（三）、商务、技术评议 </w:t>
      </w:r>
    </w:p>
    <w:p>
      <w:pPr>
        <w:spacing w:line="360" w:lineRule="auto"/>
        <w:ind w:firstLine="480" w:firstLineChars="200"/>
        <w:contextualSpacing/>
        <w:rPr>
          <w:rFonts w:ascii="宋体" w:hAnsi="宋体"/>
          <w:sz w:val="24"/>
        </w:rPr>
      </w:pPr>
      <w:r>
        <w:rPr>
          <w:rFonts w:hint="eastAsia" w:ascii="宋体" w:hAnsi="宋体"/>
          <w:sz w:val="24"/>
        </w:rPr>
        <w:t>评审委员会对通过“资格性检查及符合性检查”的投标人，进行商务、技术评议，其内容包括：服务方案的应答满足需求的程度等，根据评标细则对每一评审项打分，从而得出投标人的商务、技术得分。</w:t>
      </w:r>
    </w:p>
    <w:p>
      <w:pPr>
        <w:pStyle w:val="2"/>
      </w:pPr>
      <w:r>
        <w:rPr>
          <w:rFonts w:hint="eastAsia"/>
          <w:b/>
          <w:bCs/>
        </w:rPr>
        <w:t>评分细则：</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962"/>
        <w:gridCol w:w="768"/>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80" w:type="dxa"/>
            <w:vAlign w:val="center"/>
          </w:tcPr>
          <w:p>
            <w:pPr>
              <w:jc w:val="center"/>
              <w:rPr>
                <w:rFonts w:ascii="宋体" w:hAnsi="宋体" w:cs="宋体"/>
                <w:b/>
                <w:color w:val="000000"/>
                <w:sz w:val="24"/>
              </w:rPr>
            </w:pPr>
            <w:r>
              <w:rPr>
                <w:rFonts w:hint="eastAsia" w:ascii="宋体" w:hAnsi="宋体" w:cs="宋体"/>
                <w:b/>
                <w:color w:val="000000"/>
                <w:sz w:val="24"/>
              </w:rPr>
              <w:t>评分项目</w:t>
            </w:r>
          </w:p>
        </w:tc>
        <w:tc>
          <w:tcPr>
            <w:tcW w:w="1962" w:type="dxa"/>
            <w:vAlign w:val="center"/>
          </w:tcPr>
          <w:p>
            <w:pPr>
              <w:jc w:val="center"/>
              <w:rPr>
                <w:rFonts w:ascii="宋体" w:hAnsi="宋体" w:cs="宋体"/>
                <w:b/>
                <w:color w:val="000000"/>
                <w:sz w:val="24"/>
              </w:rPr>
            </w:pPr>
            <w:r>
              <w:rPr>
                <w:rFonts w:hint="eastAsia" w:ascii="宋体" w:hAnsi="宋体" w:cs="宋体"/>
                <w:b/>
                <w:color w:val="000000"/>
                <w:sz w:val="24"/>
              </w:rPr>
              <w:t>评分因素</w:t>
            </w:r>
          </w:p>
        </w:tc>
        <w:tc>
          <w:tcPr>
            <w:tcW w:w="768" w:type="dxa"/>
            <w:vAlign w:val="center"/>
          </w:tcPr>
          <w:p>
            <w:pPr>
              <w:jc w:val="center"/>
              <w:rPr>
                <w:rFonts w:ascii="宋体" w:hAnsi="宋体" w:cs="宋体"/>
                <w:b/>
                <w:color w:val="000000"/>
                <w:sz w:val="24"/>
              </w:rPr>
            </w:pPr>
            <w:r>
              <w:rPr>
                <w:rFonts w:hint="eastAsia" w:ascii="宋体" w:hAnsi="宋体" w:cs="宋体"/>
                <w:b/>
                <w:color w:val="000000"/>
                <w:sz w:val="24"/>
              </w:rPr>
              <w:t>分值</w:t>
            </w:r>
          </w:p>
        </w:tc>
        <w:tc>
          <w:tcPr>
            <w:tcW w:w="4738" w:type="dxa"/>
            <w:vAlign w:val="center"/>
          </w:tcPr>
          <w:p>
            <w:pPr>
              <w:jc w:val="center"/>
              <w:rPr>
                <w:rFonts w:ascii="宋体" w:hAnsi="宋体" w:cs="宋体"/>
                <w:b/>
                <w:color w:val="000000"/>
                <w:sz w:val="24"/>
              </w:rPr>
            </w:pPr>
            <w:r>
              <w:rPr>
                <w:rFonts w:hint="eastAsia" w:ascii="宋体" w:hAnsi="宋体" w:cs="宋体"/>
                <w:b/>
                <w:color w:val="000000"/>
                <w:sz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0" w:type="dxa"/>
            <w:vAlign w:val="center"/>
          </w:tcPr>
          <w:p>
            <w:pPr>
              <w:rPr>
                <w:rFonts w:ascii="宋体" w:hAnsi="宋体" w:cs="宋体"/>
                <w:b/>
                <w:color w:val="000000"/>
                <w:sz w:val="22"/>
              </w:rPr>
            </w:pPr>
            <w:r>
              <w:rPr>
                <w:rFonts w:hint="eastAsia" w:ascii="宋体" w:hAnsi="宋体" w:cs="宋体"/>
                <w:b/>
                <w:color w:val="000000"/>
                <w:sz w:val="22"/>
              </w:rPr>
              <w:t>价格评议</w:t>
            </w:r>
          </w:p>
          <w:p>
            <w:pPr>
              <w:rPr>
                <w:rFonts w:ascii="宋体" w:hAnsi="宋体" w:cs="宋体"/>
                <w:color w:val="000000"/>
                <w:sz w:val="22"/>
              </w:rPr>
            </w:pPr>
            <w:r>
              <w:rPr>
                <w:rFonts w:hint="eastAsia" w:ascii="宋体" w:hAnsi="宋体" w:cs="宋体"/>
                <w:b/>
                <w:color w:val="000000"/>
                <w:sz w:val="22"/>
              </w:rPr>
              <w:t>（30分）</w:t>
            </w:r>
          </w:p>
        </w:tc>
        <w:tc>
          <w:tcPr>
            <w:tcW w:w="1962" w:type="dxa"/>
            <w:vAlign w:val="center"/>
          </w:tcPr>
          <w:p>
            <w:pPr>
              <w:rPr>
                <w:rFonts w:ascii="宋体" w:hAnsi="宋体" w:cs="宋体"/>
                <w:color w:val="000000"/>
                <w:sz w:val="22"/>
              </w:rPr>
            </w:pPr>
            <w:r>
              <w:rPr>
                <w:rFonts w:hint="eastAsia" w:ascii="宋体" w:hAnsi="宋体" w:cs="宋体"/>
                <w:color w:val="000000"/>
                <w:sz w:val="22"/>
              </w:rPr>
              <w:t>投标报价</w:t>
            </w:r>
          </w:p>
        </w:tc>
        <w:tc>
          <w:tcPr>
            <w:tcW w:w="768" w:type="dxa"/>
            <w:vAlign w:val="center"/>
          </w:tcPr>
          <w:p>
            <w:pPr>
              <w:jc w:val="center"/>
              <w:rPr>
                <w:rFonts w:ascii="宋体" w:hAnsi="宋体" w:cs="宋体"/>
                <w:color w:val="000000"/>
                <w:sz w:val="22"/>
              </w:rPr>
            </w:pPr>
            <w:r>
              <w:rPr>
                <w:rFonts w:hint="eastAsia" w:ascii="宋体" w:hAnsi="宋体" w:cs="宋体"/>
                <w:color w:val="000000"/>
                <w:sz w:val="22"/>
              </w:rPr>
              <w:t>30</w:t>
            </w:r>
          </w:p>
        </w:tc>
        <w:tc>
          <w:tcPr>
            <w:tcW w:w="4738" w:type="dxa"/>
            <w:vAlign w:val="center"/>
          </w:tcPr>
          <w:p>
            <w:pPr>
              <w:rPr>
                <w:rFonts w:ascii="宋体" w:hAnsi="宋体" w:cs="宋体"/>
                <w:color w:val="000000"/>
                <w:sz w:val="22"/>
              </w:rPr>
            </w:pPr>
            <w:r>
              <w:rPr>
                <w:rFonts w:hint="eastAsia" w:ascii="宋体" w:hAnsi="宋体" w:cs="宋体"/>
                <w:color w:val="000000"/>
                <w:sz w:val="22"/>
              </w:rPr>
              <w:t>满足招标文件要求且投标价格最低的投标报价为评标基准价，其价格分为满分。其他满足招标文件要求的投标人的价格分统一按照下列公式计算：投标报价得分=(评标基准价／投标报价)×30</w:t>
            </w:r>
          </w:p>
          <w:p>
            <w:pPr>
              <w:rPr>
                <w:rFonts w:ascii="宋体" w:hAnsi="宋体" w:cs="宋体"/>
                <w:color w:val="000000"/>
                <w:sz w:val="22"/>
              </w:rPr>
            </w:pPr>
            <w:r>
              <w:rPr>
                <w:rFonts w:hint="eastAsia" w:ascii="宋体" w:hAnsi="宋体" w:cs="宋体"/>
                <w:color w:val="000000"/>
                <w:sz w:val="22"/>
              </w:rPr>
              <w:t>注：分数计算保留到小数点后两位。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1280" w:type="dxa"/>
            <w:vMerge w:val="restart"/>
            <w:vAlign w:val="center"/>
          </w:tcPr>
          <w:p>
            <w:pPr>
              <w:rPr>
                <w:rFonts w:ascii="宋体" w:hAnsi="宋体" w:cs="宋体"/>
                <w:b/>
                <w:color w:val="000000"/>
                <w:sz w:val="22"/>
              </w:rPr>
            </w:pPr>
            <w:r>
              <w:rPr>
                <w:rFonts w:hint="eastAsia" w:ascii="宋体" w:hAnsi="宋体" w:cs="宋体"/>
                <w:b/>
                <w:color w:val="000000"/>
                <w:sz w:val="22"/>
              </w:rPr>
              <w:t>投标人业绩、对招标文件响应程度等</w:t>
            </w:r>
          </w:p>
          <w:p>
            <w:pPr>
              <w:rPr>
                <w:rFonts w:ascii="宋体" w:hAnsi="宋体" w:cs="宋体"/>
                <w:b/>
                <w:color w:val="000000"/>
                <w:sz w:val="22"/>
              </w:rPr>
            </w:pPr>
            <w:r>
              <w:rPr>
                <w:rFonts w:hint="eastAsia" w:ascii="宋体" w:hAnsi="宋体" w:cs="宋体"/>
                <w:b/>
                <w:color w:val="000000"/>
                <w:sz w:val="22"/>
              </w:rPr>
              <w:t>（14分）</w:t>
            </w:r>
          </w:p>
        </w:tc>
        <w:tc>
          <w:tcPr>
            <w:tcW w:w="1962" w:type="dxa"/>
            <w:vAlign w:val="center"/>
          </w:tcPr>
          <w:p>
            <w:pPr>
              <w:rPr>
                <w:rFonts w:ascii="宋体" w:hAnsi="宋体" w:cs="宋体"/>
                <w:color w:val="000000"/>
                <w:sz w:val="22"/>
              </w:rPr>
            </w:pPr>
            <w:r>
              <w:rPr>
                <w:rFonts w:hint="eastAsia" w:ascii="宋体" w:hAnsi="宋体" w:cs="宋体"/>
                <w:color w:val="000000"/>
                <w:sz w:val="22"/>
              </w:rPr>
              <w:t>业绩</w:t>
            </w:r>
          </w:p>
        </w:tc>
        <w:tc>
          <w:tcPr>
            <w:tcW w:w="768" w:type="dxa"/>
            <w:vAlign w:val="center"/>
          </w:tcPr>
          <w:p>
            <w:pPr>
              <w:jc w:val="center"/>
              <w:rPr>
                <w:rFonts w:ascii="宋体" w:hAnsi="宋体" w:cs="宋体"/>
                <w:color w:val="000000"/>
                <w:sz w:val="22"/>
              </w:rPr>
            </w:pPr>
            <w:r>
              <w:rPr>
                <w:rFonts w:hint="eastAsia" w:ascii="宋体" w:hAnsi="宋体" w:cs="宋体"/>
                <w:color w:val="000000"/>
                <w:sz w:val="22"/>
              </w:rPr>
              <w:t>10</w:t>
            </w:r>
          </w:p>
        </w:tc>
        <w:tc>
          <w:tcPr>
            <w:tcW w:w="4738" w:type="dxa"/>
            <w:vAlign w:val="center"/>
          </w:tcPr>
          <w:p>
            <w:pPr>
              <w:rPr>
                <w:rFonts w:ascii="宋体" w:hAnsi="宋体" w:cs="宋体"/>
                <w:color w:val="000000"/>
                <w:sz w:val="22"/>
              </w:rPr>
            </w:pPr>
            <w:r>
              <w:rPr>
                <w:rFonts w:hint="eastAsia" w:ascii="宋体" w:hAnsi="宋体" w:cs="宋体"/>
                <w:color w:val="000000"/>
                <w:sz w:val="22"/>
              </w:rPr>
              <w:t>投标人近三年（2021年3月至今）每有一个类似项目的成功案例得</w:t>
            </w:r>
            <w:r>
              <w:rPr>
                <w:rFonts w:hint="eastAsia" w:ascii="宋体" w:hAnsi="宋体" w:cs="宋体"/>
                <w:color w:val="000000"/>
                <w:sz w:val="22"/>
                <w:lang w:val="en-US" w:eastAsia="zh-CN"/>
              </w:rPr>
              <w:t>2</w:t>
            </w:r>
            <w:r>
              <w:rPr>
                <w:rFonts w:hint="eastAsia" w:ascii="宋体" w:hAnsi="宋体" w:cs="宋体"/>
                <w:color w:val="000000"/>
                <w:sz w:val="22"/>
              </w:rPr>
              <w:t>分，最高得</w:t>
            </w:r>
            <w:r>
              <w:rPr>
                <w:rFonts w:hint="eastAsia" w:ascii="宋体" w:hAnsi="宋体" w:cs="宋体"/>
                <w:color w:val="000000"/>
                <w:sz w:val="22"/>
                <w:lang w:val="en-US" w:eastAsia="zh-CN"/>
              </w:rPr>
              <w:t>10</w:t>
            </w:r>
            <w:r>
              <w:rPr>
                <w:rFonts w:hint="eastAsia" w:ascii="宋体" w:hAnsi="宋体" w:cs="宋体"/>
                <w:color w:val="000000"/>
                <w:sz w:val="22"/>
              </w:rPr>
              <w:t>分，最低得0分。需提供业绩合同主要页（含：首页、服务内容信息页、合同金额页、签字盖章页）复印件加盖公章，时间以合同签订日期为准，原件备查。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2" w:hRule="atLeast"/>
        </w:trPr>
        <w:tc>
          <w:tcPr>
            <w:tcW w:w="1280" w:type="dxa"/>
            <w:vMerge w:val="continue"/>
            <w:vAlign w:val="center"/>
          </w:tcPr>
          <w:p>
            <w:pPr>
              <w:rPr>
                <w:rFonts w:ascii="宋体" w:hAnsi="宋体" w:cs="宋体"/>
                <w:b/>
                <w:color w:val="000000"/>
                <w:sz w:val="22"/>
              </w:rPr>
            </w:pPr>
          </w:p>
        </w:tc>
        <w:tc>
          <w:tcPr>
            <w:tcW w:w="1962" w:type="dxa"/>
            <w:vAlign w:val="center"/>
          </w:tcPr>
          <w:p>
            <w:pPr>
              <w:rPr>
                <w:rFonts w:ascii="宋体" w:hAnsi="宋体" w:cs="宋体"/>
                <w:color w:val="000000"/>
                <w:sz w:val="22"/>
              </w:rPr>
            </w:pPr>
            <w:r>
              <w:rPr>
                <w:rFonts w:hint="eastAsia" w:ascii="宋体" w:hAnsi="宋体" w:cs="宋体"/>
                <w:color w:val="000000"/>
                <w:sz w:val="22"/>
              </w:rPr>
              <w:t>对招标文件响应程度</w:t>
            </w:r>
          </w:p>
        </w:tc>
        <w:tc>
          <w:tcPr>
            <w:tcW w:w="768" w:type="dxa"/>
            <w:vAlign w:val="center"/>
          </w:tcPr>
          <w:p>
            <w:pPr>
              <w:jc w:val="center"/>
              <w:rPr>
                <w:rFonts w:ascii="宋体" w:hAnsi="宋体" w:cs="宋体"/>
                <w:color w:val="000000"/>
                <w:sz w:val="22"/>
              </w:rPr>
            </w:pPr>
            <w:r>
              <w:rPr>
                <w:rFonts w:hint="eastAsia" w:ascii="宋体" w:hAnsi="宋体" w:cs="宋体"/>
                <w:color w:val="000000"/>
                <w:sz w:val="22"/>
              </w:rPr>
              <w:t>2</w:t>
            </w:r>
          </w:p>
        </w:tc>
        <w:tc>
          <w:tcPr>
            <w:tcW w:w="4738" w:type="dxa"/>
            <w:vAlign w:val="center"/>
          </w:tcPr>
          <w:p>
            <w:pPr>
              <w:widowControl/>
              <w:jc w:val="left"/>
              <w:rPr>
                <w:rFonts w:ascii="宋体" w:hAnsi="宋体" w:cs="宋体"/>
                <w:color w:val="000000"/>
                <w:sz w:val="22"/>
              </w:rPr>
            </w:pPr>
            <w:r>
              <w:rPr>
                <w:rFonts w:hint="eastAsia" w:ascii="宋体" w:hAnsi="宋体" w:cs="宋体"/>
                <w:color w:val="000000"/>
                <w:sz w:val="22"/>
              </w:rPr>
              <w:t>（1）严格按照招标文件要求制作，商务响应全面，投标文件编内容完整、真实、资料清晰齐全，每页有页码的得2分；</w:t>
            </w:r>
          </w:p>
          <w:p>
            <w:pPr>
              <w:widowControl/>
              <w:jc w:val="left"/>
              <w:rPr>
                <w:rFonts w:ascii="宋体" w:hAnsi="宋体" w:cs="宋体"/>
                <w:color w:val="000000"/>
                <w:sz w:val="22"/>
              </w:rPr>
            </w:pPr>
            <w:r>
              <w:rPr>
                <w:rFonts w:hint="eastAsia" w:ascii="宋体" w:hAnsi="宋体" w:cs="宋体"/>
                <w:color w:val="000000"/>
                <w:sz w:val="22"/>
              </w:rPr>
              <w:t>（2）商务响应较全面，内容较完整，资料较齐全，但格式不够规范或目录不能一一对应的得1分；</w:t>
            </w:r>
          </w:p>
          <w:p>
            <w:pPr>
              <w:widowControl/>
              <w:jc w:val="left"/>
              <w:rPr>
                <w:rFonts w:ascii="宋体" w:hAnsi="宋体" w:cs="宋体"/>
                <w:color w:val="000000"/>
                <w:sz w:val="22"/>
              </w:rPr>
            </w:pPr>
            <w:r>
              <w:rPr>
                <w:rFonts w:hint="eastAsia" w:ascii="宋体" w:hAnsi="宋体" w:cs="宋体"/>
                <w:color w:val="000000"/>
                <w:sz w:val="22"/>
              </w:rPr>
              <w:t>（3）内容不完整，资料不够齐全，格式不够规范，不符合招标文件要求的得0分。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2" w:hRule="atLeast"/>
        </w:trPr>
        <w:tc>
          <w:tcPr>
            <w:tcW w:w="1280" w:type="dxa"/>
            <w:vMerge w:val="continue"/>
            <w:vAlign w:val="center"/>
          </w:tcPr>
          <w:p>
            <w:pPr>
              <w:rPr>
                <w:rFonts w:ascii="宋体" w:hAnsi="宋体" w:cs="宋体"/>
                <w:b/>
                <w:color w:val="000000"/>
                <w:sz w:val="22"/>
              </w:rPr>
            </w:pPr>
          </w:p>
        </w:tc>
        <w:tc>
          <w:tcPr>
            <w:tcW w:w="1962" w:type="dxa"/>
            <w:vAlign w:val="center"/>
          </w:tcPr>
          <w:p>
            <w:pPr>
              <w:rPr>
                <w:rFonts w:hint="eastAsia" w:ascii="宋体" w:hAnsi="宋体" w:eastAsia="宋体" w:cs="宋体"/>
                <w:color w:val="000000"/>
                <w:sz w:val="22"/>
              </w:rPr>
            </w:pPr>
            <w:r>
              <w:rPr>
                <w:rFonts w:hint="eastAsia" w:ascii="宋体" w:hAnsi="宋体" w:eastAsia="宋体" w:cs="宋体"/>
                <w:color w:val="000000"/>
                <w:sz w:val="22"/>
              </w:rPr>
              <w:t>节能与环境标志产品</w:t>
            </w:r>
          </w:p>
        </w:tc>
        <w:tc>
          <w:tcPr>
            <w:tcW w:w="768" w:type="dxa"/>
            <w:vAlign w:val="center"/>
          </w:tcPr>
          <w:p>
            <w:pPr>
              <w:rPr>
                <w:rFonts w:hint="eastAsia" w:ascii="宋体" w:hAnsi="宋体" w:eastAsia="宋体" w:cs="宋体"/>
                <w:color w:val="000000"/>
                <w:sz w:val="22"/>
              </w:rPr>
            </w:pPr>
            <w:r>
              <w:rPr>
                <w:rFonts w:hint="eastAsia" w:ascii="宋体" w:hAnsi="宋体" w:eastAsia="宋体" w:cs="宋体"/>
                <w:color w:val="000000"/>
                <w:sz w:val="22"/>
              </w:rPr>
              <w:t>0或2</w:t>
            </w:r>
          </w:p>
        </w:tc>
        <w:tc>
          <w:tcPr>
            <w:tcW w:w="4738" w:type="dxa"/>
            <w:vAlign w:val="center"/>
          </w:tcPr>
          <w:p>
            <w:pPr>
              <w:rPr>
                <w:rFonts w:hint="eastAsia" w:ascii="宋体" w:hAnsi="宋体" w:eastAsia="宋体" w:cs="宋体"/>
                <w:color w:val="000000"/>
                <w:sz w:val="22"/>
              </w:rPr>
            </w:pPr>
            <w:r>
              <w:rPr>
                <w:rFonts w:hint="eastAsia" w:ascii="宋体" w:hAnsi="宋体" w:eastAsia="宋体" w:cs="宋体"/>
                <w:color w:val="000000"/>
                <w:sz w:val="22"/>
              </w:rPr>
              <w:t>（1）投标人所投货物列入最新一期财政部、原国家环保 总局发布的“环境标志产品政府采购清单”，且认证证 书在有效截止日期内，得1分（投标人提供相关证明材料）</w:t>
            </w:r>
          </w:p>
          <w:p>
            <w:pPr>
              <w:rPr>
                <w:rFonts w:hint="eastAsia" w:ascii="宋体" w:hAnsi="宋体" w:eastAsia="宋体" w:cs="宋体"/>
                <w:color w:val="000000"/>
                <w:sz w:val="22"/>
              </w:rPr>
            </w:pPr>
            <w:r>
              <w:rPr>
                <w:rFonts w:hint="eastAsia" w:ascii="宋体" w:hAnsi="宋体" w:eastAsia="宋体" w:cs="宋体"/>
                <w:color w:val="000000"/>
                <w:sz w:val="22"/>
              </w:rPr>
              <w:t xml:space="preserve">（2）投标人所投货物列入最新一期国家发展和改革委员会、财政部发布的“节能产品政府采购清单”,且认 证证书在有效截止日期内,得1分(投标人提供相关证明材料) </w:t>
            </w:r>
          </w:p>
          <w:p>
            <w:pPr>
              <w:rPr>
                <w:rFonts w:hint="eastAsia" w:ascii="宋体" w:hAnsi="宋体" w:eastAsia="宋体" w:cs="宋体"/>
                <w:color w:val="000000"/>
                <w:sz w:val="22"/>
              </w:rPr>
            </w:pPr>
            <w:r>
              <w:rPr>
                <w:rFonts w:hint="eastAsia" w:ascii="宋体" w:hAnsi="宋体" w:eastAsia="宋体" w:cs="宋体"/>
                <w:color w:val="000000"/>
                <w:sz w:val="22"/>
              </w:rPr>
              <w:t>注：1）同一投标货物同时为节能产品和环境标志产品 的，只得其中一项分，不重复计算。</w:t>
            </w:r>
          </w:p>
          <w:p>
            <w:pPr>
              <w:rPr>
                <w:rFonts w:hint="eastAsia" w:ascii="宋体" w:hAnsi="宋体" w:eastAsia="宋体" w:cs="宋体"/>
                <w:color w:val="000000"/>
                <w:sz w:val="22"/>
              </w:rPr>
            </w:pPr>
            <w:r>
              <w:rPr>
                <w:rFonts w:hint="eastAsia" w:ascii="宋体" w:hAnsi="宋体" w:eastAsia="宋体" w:cs="宋体"/>
                <w:color w:val="000000"/>
                <w:sz w:val="22"/>
              </w:rPr>
              <w:t>（3）投标货物为强制采购节能、环境标志产品的，本项不得分。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280" w:type="dxa"/>
            <w:vMerge w:val="restart"/>
            <w:vAlign w:val="center"/>
          </w:tcPr>
          <w:p>
            <w:pPr>
              <w:rPr>
                <w:rFonts w:ascii="宋体" w:hAnsi="宋体" w:cs="宋体"/>
                <w:b/>
                <w:color w:val="000000"/>
                <w:sz w:val="22"/>
              </w:rPr>
            </w:pPr>
            <w:r>
              <w:rPr>
                <w:rFonts w:hint="eastAsia" w:ascii="宋体" w:hAnsi="宋体" w:cs="宋体"/>
                <w:b/>
                <w:color w:val="000000"/>
                <w:sz w:val="22"/>
              </w:rPr>
              <w:t>产品技术性能、质量（40分）</w:t>
            </w:r>
          </w:p>
          <w:p>
            <w:pPr>
              <w:rPr>
                <w:rFonts w:ascii="宋体" w:hAnsi="宋体" w:cs="宋体"/>
                <w:b/>
                <w:color w:val="000000"/>
                <w:sz w:val="22"/>
              </w:rPr>
            </w:pPr>
          </w:p>
        </w:tc>
        <w:tc>
          <w:tcPr>
            <w:tcW w:w="1962" w:type="dxa"/>
            <w:vAlign w:val="center"/>
          </w:tcPr>
          <w:p>
            <w:pPr>
              <w:rPr>
                <w:rFonts w:ascii="宋体" w:hAnsi="宋体" w:cs="宋体"/>
                <w:color w:val="000000"/>
                <w:sz w:val="22"/>
              </w:rPr>
            </w:pPr>
            <w:r>
              <w:rPr>
                <w:rFonts w:hint="eastAsia" w:ascii="宋体" w:hAnsi="宋体" w:cs="宋体"/>
                <w:color w:val="000000"/>
                <w:sz w:val="22"/>
              </w:rPr>
              <w:t>对招标文件技术规格要求的响应程度</w:t>
            </w:r>
          </w:p>
        </w:tc>
        <w:tc>
          <w:tcPr>
            <w:tcW w:w="768" w:type="dxa"/>
            <w:vAlign w:val="center"/>
          </w:tcPr>
          <w:p>
            <w:pPr>
              <w:jc w:val="center"/>
              <w:rPr>
                <w:rFonts w:ascii="宋体" w:hAnsi="宋体" w:cs="宋体"/>
                <w:color w:val="000000"/>
                <w:sz w:val="22"/>
              </w:rPr>
            </w:pPr>
            <w:r>
              <w:rPr>
                <w:rFonts w:hint="eastAsia" w:ascii="宋体" w:hAnsi="宋体" w:cs="宋体"/>
                <w:color w:val="000000"/>
                <w:sz w:val="22"/>
              </w:rPr>
              <w:t>30</w:t>
            </w:r>
          </w:p>
        </w:tc>
        <w:tc>
          <w:tcPr>
            <w:tcW w:w="4738" w:type="dxa"/>
            <w:vAlign w:val="center"/>
          </w:tcPr>
          <w:p>
            <w:pPr>
              <w:rPr>
                <w:rFonts w:ascii="宋体" w:hAnsi="宋体" w:cs="宋体"/>
                <w:color w:val="000000"/>
                <w:sz w:val="22"/>
              </w:rPr>
            </w:pPr>
            <w:r>
              <w:rPr>
                <w:rFonts w:hint="eastAsia" w:ascii="宋体" w:hAnsi="宋体"/>
                <w:sz w:val="22"/>
              </w:rPr>
              <w:t>有一项#号技术指标负偏离减1分，有一项非#号技术指标负偏离减0.5分；技术指标</w:t>
            </w:r>
            <w:r>
              <w:rPr>
                <w:rFonts w:hint="eastAsia"/>
                <w:sz w:val="22"/>
              </w:rPr>
              <w:t>全部符合得满分。本项最低分</w:t>
            </w:r>
            <w:r>
              <w:rPr>
                <w:sz w:val="22"/>
              </w:rPr>
              <w:t>0</w:t>
            </w:r>
            <w:r>
              <w:rPr>
                <w:rFonts w:hint="eastAsia"/>
                <w:sz w:val="22"/>
              </w:rPr>
              <w:t>分，最高分30分。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trPr>
        <w:tc>
          <w:tcPr>
            <w:tcW w:w="1280" w:type="dxa"/>
            <w:vMerge w:val="continue"/>
            <w:vAlign w:val="center"/>
          </w:tcPr>
          <w:p>
            <w:pPr>
              <w:rPr>
                <w:rFonts w:ascii="宋体" w:hAnsi="宋体" w:cs="宋体"/>
                <w:b/>
                <w:color w:val="000000"/>
                <w:sz w:val="22"/>
              </w:rPr>
            </w:pPr>
          </w:p>
        </w:tc>
        <w:tc>
          <w:tcPr>
            <w:tcW w:w="1962" w:type="dxa"/>
            <w:vAlign w:val="center"/>
          </w:tcPr>
          <w:p>
            <w:pPr>
              <w:rPr>
                <w:rFonts w:hint="eastAsia" w:ascii="宋体" w:hAnsi="宋体" w:eastAsia="宋体" w:cs="宋体"/>
                <w:color w:val="000000"/>
                <w:sz w:val="22"/>
              </w:rPr>
            </w:pPr>
            <w:r>
              <w:rPr>
                <w:rFonts w:hint="eastAsia" w:ascii="宋体" w:hAnsi="宋体" w:eastAsia="宋体" w:cs="宋体"/>
                <w:color w:val="000000"/>
                <w:sz w:val="22"/>
              </w:rPr>
              <w:t>对投标产品整体性能质量的评价</w:t>
            </w:r>
          </w:p>
        </w:tc>
        <w:tc>
          <w:tcPr>
            <w:tcW w:w="768" w:type="dxa"/>
            <w:vAlign w:val="center"/>
          </w:tcPr>
          <w:p>
            <w:pPr>
              <w:jc w:val="center"/>
              <w:rPr>
                <w:rFonts w:hint="eastAsia" w:ascii="宋体" w:hAnsi="宋体" w:eastAsia="宋体" w:cs="宋体"/>
                <w:color w:val="000000"/>
                <w:sz w:val="22"/>
              </w:rPr>
            </w:pPr>
            <w:r>
              <w:rPr>
                <w:rFonts w:hint="eastAsia" w:ascii="宋体" w:hAnsi="宋体" w:eastAsia="宋体" w:cs="宋体"/>
                <w:color w:val="000000"/>
                <w:sz w:val="22"/>
              </w:rPr>
              <w:t>10</w:t>
            </w:r>
          </w:p>
        </w:tc>
        <w:tc>
          <w:tcPr>
            <w:tcW w:w="4738" w:type="dxa"/>
            <w:vAlign w:val="center"/>
          </w:tcPr>
          <w:p>
            <w:pPr>
              <w:rPr>
                <w:rFonts w:hint="eastAsia" w:ascii="宋体" w:hAnsi="宋体" w:eastAsia="宋体" w:cs="宋体"/>
                <w:color w:val="000000"/>
                <w:sz w:val="22"/>
              </w:rPr>
            </w:pPr>
            <w:r>
              <w:rPr>
                <w:rFonts w:hint="eastAsia" w:ascii="宋体" w:hAnsi="宋体" w:eastAsia="宋体" w:cs="宋体"/>
                <w:color w:val="000000"/>
                <w:sz w:val="22"/>
              </w:rPr>
              <w:t xml:space="preserve">根据招标文件技术要求和投标技术响应情况，对投标产品制造工艺的技术水平、先进性、稳定性、安全性进行评分： </w:t>
            </w:r>
          </w:p>
          <w:p>
            <w:pPr>
              <w:rPr>
                <w:rFonts w:hint="eastAsia" w:ascii="宋体" w:hAnsi="宋体" w:eastAsia="宋体" w:cs="宋体"/>
                <w:color w:val="000000"/>
                <w:sz w:val="22"/>
              </w:rPr>
            </w:pPr>
            <w:r>
              <w:rPr>
                <w:rFonts w:hint="eastAsia" w:ascii="宋体" w:hAnsi="宋体" w:eastAsia="宋体" w:cs="宋体"/>
                <w:color w:val="000000"/>
                <w:sz w:val="22"/>
              </w:rPr>
              <w:t xml:space="preserve">（1）技术水平先进、稳定性、安全性高，得10分； </w:t>
            </w:r>
          </w:p>
          <w:p>
            <w:pPr>
              <w:rPr>
                <w:rFonts w:hint="eastAsia" w:ascii="宋体" w:hAnsi="宋体" w:eastAsia="宋体" w:cs="宋体"/>
                <w:color w:val="000000"/>
                <w:sz w:val="22"/>
              </w:rPr>
            </w:pPr>
            <w:r>
              <w:rPr>
                <w:rFonts w:hint="eastAsia" w:ascii="宋体" w:hAnsi="宋体" w:eastAsia="宋体" w:cs="宋体"/>
                <w:color w:val="000000"/>
                <w:sz w:val="22"/>
              </w:rPr>
              <w:t>（2）技术较为先进、稳定性、安全性较高，得7分；</w:t>
            </w:r>
          </w:p>
          <w:p>
            <w:pPr>
              <w:rPr>
                <w:rFonts w:hint="eastAsia" w:ascii="宋体" w:hAnsi="宋体" w:eastAsia="宋体" w:cs="宋体"/>
                <w:color w:val="000000"/>
                <w:sz w:val="22"/>
              </w:rPr>
            </w:pPr>
            <w:r>
              <w:rPr>
                <w:rFonts w:hint="eastAsia" w:ascii="宋体" w:hAnsi="宋体" w:eastAsia="宋体" w:cs="宋体"/>
                <w:color w:val="000000"/>
                <w:sz w:val="22"/>
              </w:rPr>
              <w:t>（3）技术一般、稳定性、安全性一般，得4分；</w:t>
            </w:r>
          </w:p>
          <w:p>
            <w:pPr>
              <w:rPr>
                <w:rFonts w:hint="eastAsia" w:ascii="宋体" w:hAnsi="宋体" w:eastAsia="宋体" w:cs="宋体"/>
                <w:color w:val="000000"/>
                <w:sz w:val="22"/>
              </w:rPr>
            </w:pPr>
            <w:r>
              <w:rPr>
                <w:rFonts w:hint="eastAsia" w:ascii="宋体" w:hAnsi="宋体" w:eastAsia="宋体" w:cs="宋体"/>
                <w:color w:val="000000"/>
                <w:sz w:val="22"/>
              </w:rPr>
              <w:t>（4）技术落后、稳定性、安全性差，得1分。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1280" w:type="dxa"/>
            <w:vMerge w:val="restart"/>
            <w:vAlign w:val="center"/>
          </w:tcPr>
          <w:p>
            <w:pPr>
              <w:rPr>
                <w:rFonts w:ascii="宋体" w:hAnsi="宋体" w:cs="宋体"/>
                <w:b/>
                <w:color w:val="000000"/>
                <w:sz w:val="22"/>
              </w:rPr>
            </w:pPr>
            <w:r>
              <w:rPr>
                <w:rFonts w:hint="eastAsia" w:ascii="宋体" w:hAnsi="宋体" w:cs="宋体"/>
                <w:b/>
                <w:color w:val="000000"/>
                <w:sz w:val="22"/>
              </w:rPr>
              <w:t>技术支持及培训和售后服务</w:t>
            </w:r>
          </w:p>
          <w:p>
            <w:pPr>
              <w:rPr>
                <w:rFonts w:ascii="宋体" w:hAnsi="宋体" w:cs="宋体"/>
                <w:b/>
                <w:color w:val="000000"/>
                <w:sz w:val="22"/>
              </w:rPr>
            </w:pPr>
            <w:r>
              <w:rPr>
                <w:rFonts w:hint="eastAsia" w:ascii="宋体" w:hAnsi="宋体" w:cs="宋体"/>
                <w:b/>
                <w:color w:val="000000"/>
                <w:sz w:val="22"/>
              </w:rPr>
              <w:t>（16分）</w:t>
            </w:r>
          </w:p>
          <w:p>
            <w:pPr>
              <w:rPr>
                <w:rFonts w:ascii="宋体" w:hAnsi="宋体" w:cs="宋体"/>
                <w:color w:val="000000"/>
                <w:sz w:val="22"/>
              </w:rPr>
            </w:pPr>
          </w:p>
        </w:tc>
        <w:tc>
          <w:tcPr>
            <w:tcW w:w="1962" w:type="dxa"/>
            <w:vAlign w:val="center"/>
          </w:tcPr>
          <w:p>
            <w:pPr>
              <w:rPr>
                <w:rFonts w:ascii="宋体" w:hAnsi="宋体" w:cs="宋体"/>
                <w:color w:val="000000"/>
                <w:sz w:val="22"/>
              </w:rPr>
            </w:pPr>
            <w:r>
              <w:rPr>
                <w:rFonts w:hint="eastAsia" w:ascii="宋体" w:hAnsi="宋体" w:cs="宋体"/>
                <w:color w:val="000000"/>
                <w:sz w:val="22"/>
              </w:rPr>
              <w:t>技术支持能力及项目实施方案、培训方案</w:t>
            </w:r>
          </w:p>
        </w:tc>
        <w:tc>
          <w:tcPr>
            <w:tcW w:w="768" w:type="dxa"/>
            <w:vAlign w:val="center"/>
          </w:tcPr>
          <w:p>
            <w:pPr>
              <w:jc w:val="center"/>
              <w:rPr>
                <w:rFonts w:hint="eastAsia" w:ascii="宋体" w:hAnsi="宋体" w:eastAsia="宋体" w:cs="宋体"/>
                <w:color w:val="000000"/>
                <w:sz w:val="22"/>
              </w:rPr>
            </w:pPr>
            <w:r>
              <w:rPr>
                <w:rFonts w:hint="eastAsia" w:ascii="宋体" w:hAnsi="宋体" w:eastAsia="宋体" w:cs="宋体"/>
                <w:color w:val="000000"/>
                <w:sz w:val="22"/>
              </w:rPr>
              <w:t>8</w:t>
            </w:r>
          </w:p>
        </w:tc>
        <w:tc>
          <w:tcPr>
            <w:tcW w:w="4738" w:type="dxa"/>
            <w:vAlign w:val="center"/>
          </w:tcPr>
          <w:p>
            <w:pPr>
              <w:rPr>
                <w:rFonts w:hint="eastAsia" w:ascii="宋体" w:hAnsi="宋体" w:eastAsia="宋体" w:cs="宋体"/>
                <w:color w:val="000000"/>
                <w:sz w:val="22"/>
              </w:rPr>
            </w:pPr>
            <w:r>
              <w:rPr>
                <w:rFonts w:hint="eastAsia" w:ascii="宋体" w:hAnsi="宋体" w:eastAsia="宋体" w:cs="宋体"/>
                <w:color w:val="000000"/>
                <w:sz w:val="22"/>
              </w:rPr>
              <w:t>投标人针对本项目应制定详细的技术支持方案、项目实施方案、进度计划安排和合理可行的培训计划。</w:t>
            </w:r>
          </w:p>
          <w:p>
            <w:pPr>
              <w:rPr>
                <w:rFonts w:hint="eastAsia" w:ascii="宋体" w:hAnsi="宋体" w:eastAsia="宋体" w:cs="宋体"/>
                <w:color w:val="000000"/>
                <w:sz w:val="22"/>
              </w:rPr>
            </w:pPr>
            <w:r>
              <w:rPr>
                <w:rFonts w:hint="eastAsia" w:ascii="宋体" w:hAnsi="宋体" w:eastAsia="宋体" w:cs="宋体"/>
                <w:color w:val="000000"/>
                <w:sz w:val="22"/>
              </w:rPr>
              <w:t xml:space="preserve">（1）方案全面、合理、针对性强得8分； </w:t>
            </w:r>
          </w:p>
          <w:p>
            <w:pPr>
              <w:rPr>
                <w:rFonts w:hint="eastAsia" w:ascii="宋体" w:hAnsi="宋体" w:eastAsia="宋体" w:cs="宋体"/>
                <w:color w:val="000000"/>
                <w:sz w:val="22"/>
              </w:rPr>
            </w:pPr>
            <w:r>
              <w:rPr>
                <w:rFonts w:hint="eastAsia" w:ascii="宋体" w:hAnsi="宋体" w:eastAsia="宋体" w:cs="宋体"/>
                <w:color w:val="000000"/>
                <w:sz w:val="22"/>
              </w:rPr>
              <w:t xml:space="preserve">（2）方案较全面、合理、针对性较强得6 分； </w:t>
            </w:r>
          </w:p>
          <w:p>
            <w:pPr>
              <w:rPr>
                <w:rFonts w:hint="eastAsia" w:ascii="宋体" w:hAnsi="宋体" w:eastAsia="宋体" w:cs="宋体"/>
                <w:color w:val="000000"/>
                <w:sz w:val="22"/>
              </w:rPr>
            </w:pPr>
            <w:r>
              <w:rPr>
                <w:rFonts w:hint="eastAsia" w:ascii="宋体" w:hAnsi="宋体" w:eastAsia="宋体" w:cs="宋体"/>
                <w:color w:val="000000"/>
                <w:sz w:val="22"/>
              </w:rPr>
              <w:t xml:space="preserve">（3）方案全面性、合理性、针对性一般的得4 分； </w:t>
            </w:r>
          </w:p>
          <w:p>
            <w:pPr>
              <w:rPr>
                <w:rFonts w:hint="eastAsia" w:ascii="宋体" w:hAnsi="宋体" w:eastAsia="宋体" w:cs="宋体"/>
                <w:color w:val="000000"/>
                <w:sz w:val="22"/>
              </w:rPr>
            </w:pPr>
            <w:r>
              <w:rPr>
                <w:rFonts w:hint="eastAsia" w:ascii="宋体" w:hAnsi="宋体" w:eastAsia="宋体" w:cs="宋体"/>
                <w:color w:val="000000"/>
                <w:sz w:val="22"/>
              </w:rPr>
              <w:t xml:space="preserve">（4）方案全面性、合理性、针对性较差的得2 分； </w:t>
            </w:r>
          </w:p>
          <w:p>
            <w:pPr>
              <w:rPr>
                <w:rFonts w:hint="eastAsia" w:ascii="宋体" w:hAnsi="宋体" w:eastAsia="宋体" w:cs="宋体"/>
                <w:color w:val="000000"/>
                <w:sz w:val="22"/>
              </w:rPr>
            </w:pPr>
            <w:r>
              <w:rPr>
                <w:rFonts w:hint="eastAsia" w:ascii="宋体" w:hAnsi="宋体" w:eastAsia="宋体" w:cs="宋体"/>
                <w:color w:val="000000"/>
                <w:sz w:val="22"/>
              </w:rPr>
              <w:t>（5）未提供得0分。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280" w:type="dxa"/>
            <w:vMerge w:val="continue"/>
            <w:vAlign w:val="center"/>
          </w:tcPr>
          <w:p>
            <w:pPr>
              <w:rPr>
                <w:rFonts w:ascii="宋体" w:hAnsi="宋体" w:cs="宋体"/>
                <w:color w:val="000000"/>
                <w:sz w:val="22"/>
              </w:rPr>
            </w:pPr>
          </w:p>
        </w:tc>
        <w:tc>
          <w:tcPr>
            <w:tcW w:w="1962" w:type="dxa"/>
            <w:vAlign w:val="center"/>
          </w:tcPr>
          <w:p>
            <w:pPr>
              <w:rPr>
                <w:rFonts w:ascii="宋体" w:hAnsi="宋体" w:cs="宋体"/>
                <w:color w:val="000000"/>
                <w:sz w:val="22"/>
              </w:rPr>
            </w:pPr>
            <w:r>
              <w:rPr>
                <w:rFonts w:hint="eastAsia" w:ascii="宋体" w:hAnsi="宋体" w:cs="宋体"/>
                <w:color w:val="000000"/>
                <w:sz w:val="22"/>
              </w:rPr>
              <w:t>售后服务方案和售后服务承诺</w:t>
            </w:r>
          </w:p>
        </w:tc>
        <w:tc>
          <w:tcPr>
            <w:tcW w:w="768" w:type="dxa"/>
            <w:vAlign w:val="center"/>
          </w:tcPr>
          <w:p>
            <w:pPr>
              <w:jc w:val="center"/>
              <w:rPr>
                <w:rFonts w:ascii="宋体" w:hAnsi="宋体" w:cs="宋体"/>
                <w:color w:val="000000"/>
                <w:sz w:val="22"/>
              </w:rPr>
            </w:pPr>
            <w:r>
              <w:rPr>
                <w:rFonts w:hint="eastAsia" w:ascii="宋体" w:hAnsi="宋体" w:cs="宋体"/>
                <w:color w:val="000000"/>
                <w:sz w:val="22"/>
              </w:rPr>
              <w:t>8</w:t>
            </w:r>
          </w:p>
        </w:tc>
        <w:tc>
          <w:tcPr>
            <w:tcW w:w="4738" w:type="dxa"/>
            <w:vAlign w:val="center"/>
          </w:tcPr>
          <w:p>
            <w:pPr>
              <w:pStyle w:val="73"/>
              <w:widowControl/>
              <w:spacing w:line="360" w:lineRule="auto"/>
              <w:ind w:firstLine="0" w:firstLineChars="0"/>
              <w:jc w:val="left"/>
              <w:rPr>
                <w:rFonts w:ascii="宋体" w:hAnsi="宋体" w:cs="宋体"/>
                <w:color w:val="000000"/>
                <w:sz w:val="22"/>
              </w:rPr>
            </w:pPr>
            <w:r>
              <w:rPr>
                <w:rFonts w:hint="eastAsia" w:ascii="宋体" w:hAnsi="宋体" w:cs="宋体"/>
                <w:color w:val="000000"/>
                <w:sz w:val="22"/>
              </w:rPr>
              <w:t xml:space="preserve">投标人应提供完整详细售后服务方案，应包括完备的售后服务体系，服务范围，充分满采购人需求且提供优质周到的服务，服务响应时间，快速应急服务方案，服务机构的设置，完善的服务承诺等。 </w:t>
            </w:r>
          </w:p>
          <w:p>
            <w:pPr>
              <w:pStyle w:val="73"/>
              <w:widowControl/>
              <w:spacing w:line="360" w:lineRule="auto"/>
              <w:ind w:firstLine="0" w:firstLineChars="0"/>
              <w:jc w:val="left"/>
              <w:rPr>
                <w:rFonts w:ascii="宋体" w:hAnsi="宋体" w:cs="宋体"/>
                <w:color w:val="000000"/>
                <w:sz w:val="22"/>
              </w:rPr>
            </w:pPr>
            <w:r>
              <w:rPr>
                <w:rFonts w:hint="eastAsia" w:ascii="宋体" w:hAnsi="宋体" w:cs="宋体"/>
                <w:color w:val="000000"/>
                <w:sz w:val="22"/>
              </w:rPr>
              <w:t xml:space="preserve">（1）方案全面、合理、针对性强得8分； </w:t>
            </w:r>
          </w:p>
          <w:p>
            <w:pPr>
              <w:pStyle w:val="73"/>
              <w:widowControl/>
              <w:spacing w:line="360" w:lineRule="auto"/>
              <w:ind w:firstLine="0" w:firstLineChars="0"/>
              <w:jc w:val="left"/>
              <w:rPr>
                <w:rFonts w:ascii="宋体" w:hAnsi="宋体" w:cs="宋体"/>
                <w:color w:val="000000"/>
                <w:sz w:val="22"/>
              </w:rPr>
            </w:pPr>
            <w:r>
              <w:rPr>
                <w:rFonts w:hint="eastAsia" w:ascii="宋体" w:hAnsi="宋体" w:cs="宋体"/>
                <w:color w:val="000000"/>
                <w:sz w:val="22"/>
              </w:rPr>
              <w:t xml:space="preserve">（2）方案较全面、合理、针对性较强得6 分； </w:t>
            </w:r>
          </w:p>
          <w:p>
            <w:pPr>
              <w:pStyle w:val="73"/>
              <w:widowControl/>
              <w:spacing w:line="360" w:lineRule="auto"/>
              <w:ind w:firstLine="0" w:firstLineChars="0"/>
              <w:jc w:val="left"/>
              <w:rPr>
                <w:rFonts w:ascii="宋体" w:hAnsi="宋体" w:cs="宋体"/>
                <w:color w:val="000000"/>
                <w:sz w:val="22"/>
              </w:rPr>
            </w:pPr>
            <w:r>
              <w:rPr>
                <w:rFonts w:hint="eastAsia" w:ascii="宋体" w:hAnsi="宋体" w:cs="宋体"/>
                <w:color w:val="000000"/>
                <w:sz w:val="22"/>
              </w:rPr>
              <w:t xml:space="preserve">（3）方案全面性、合理性、针对性一般的得 4 分； </w:t>
            </w:r>
          </w:p>
          <w:p>
            <w:pPr>
              <w:pStyle w:val="73"/>
              <w:widowControl/>
              <w:spacing w:line="360" w:lineRule="auto"/>
              <w:ind w:firstLine="0" w:firstLineChars="0"/>
              <w:jc w:val="left"/>
              <w:rPr>
                <w:rFonts w:ascii="宋体" w:hAnsi="宋体" w:cs="宋体"/>
                <w:color w:val="000000"/>
                <w:sz w:val="22"/>
              </w:rPr>
            </w:pPr>
            <w:r>
              <w:rPr>
                <w:rFonts w:hint="eastAsia" w:ascii="宋体" w:hAnsi="宋体" w:cs="宋体"/>
                <w:color w:val="000000"/>
                <w:sz w:val="22"/>
              </w:rPr>
              <w:t xml:space="preserve">（4）方案全面性、合理性、针对性较差的得 2 分； </w:t>
            </w:r>
          </w:p>
          <w:p>
            <w:pPr>
              <w:pStyle w:val="73"/>
              <w:widowControl/>
              <w:spacing w:line="360" w:lineRule="auto"/>
              <w:ind w:firstLine="0" w:firstLineChars="0"/>
              <w:jc w:val="left"/>
              <w:rPr>
                <w:rFonts w:ascii="宋体" w:hAnsi="宋体" w:cs="宋体"/>
                <w:color w:val="000000"/>
                <w:sz w:val="22"/>
              </w:rPr>
            </w:pPr>
            <w:r>
              <w:rPr>
                <w:rFonts w:hint="eastAsia" w:ascii="宋体" w:hAnsi="宋体" w:cs="宋体"/>
                <w:color w:val="000000"/>
                <w:sz w:val="22"/>
              </w:rPr>
              <w:t>（5）未提供得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80" w:type="dxa"/>
            <w:vAlign w:val="center"/>
          </w:tcPr>
          <w:p>
            <w:pPr>
              <w:jc w:val="center"/>
              <w:rPr>
                <w:rFonts w:ascii="宋体" w:hAnsi="宋体" w:cs="宋体"/>
                <w:b/>
                <w:color w:val="000000"/>
                <w:sz w:val="24"/>
              </w:rPr>
            </w:pPr>
            <w:r>
              <w:rPr>
                <w:rFonts w:hint="eastAsia" w:ascii="宋体" w:hAnsi="宋体" w:cs="宋体"/>
                <w:b/>
                <w:color w:val="000000"/>
                <w:sz w:val="24"/>
              </w:rPr>
              <w:t>总分</w:t>
            </w:r>
          </w:p>
        </w:tc>
        <w:tc>
          <w:tcPr>
            <w:tcW w:w="1962" w:type="dxa"/>
            <w:vAlign w:val="center"/>
          </w:tcPr>
          <w:p>
            <w:pPr>
              <w:rPr>
                <w:rFonts w:ascii="宋体" w:hAnsi="宋体" w:cs="宋体"/>
                <w:b/>
                <w:color w:val="000000"/>
                <w:sz w:val="24"/>
              </w:rPr>
            </w:pPr>
          </w:p>
        </w:tc>
        <w:tc>
          <w:tcPr>
            <w:tcW w:w="768" w:type="dxa"/>
            <w:vAlign w:val="center"/>
          </w:tcPr>
          <w:p>
            <w:pPr>
              <w:jc w:val="center"/>
              <w:rPr>
                <w:rFonts w:ascii="宋体" w:hAnsi="宋体" w:cs="宋体"/>
                <w:b/>
                <w:color w:val="000000"/>
                <w:sz w:val="24"/>
              </w:rPr>
            </w:pPr>
            <w:r>
              <w:rPr>
                <w:rFonts w:hint="eastAsia" w:ascii="宋体" w:hAnsi="宋体" w:cs="宋体"/>
                <w:b/>
                <w:color w:val="000000"/>
                <w:sz w:val="24"/>
              </w:rPr>
              <w:t>100</w:t>
            </w:r>
          </w:p>
        </w:tc>
        <w:tc>
          <w:tcPr>
            <w:tcW w:w="4738" w:type="dxa"/>
            <w:vAlign w:val="center"/>
          </w:tcPr>
          <w:p>
            <w:pPr>
              <w:rPr>
                <w:rFonts w:ascii="宋体" w:hAnsi="宋体" w:cs="宋体"/>
                <w:b/>
                <w:color w:val="000000"/>
                <w:sz w:val="24"/>
              </w:rPr>
            </w:pPr>
          </w:p>
        </w:tc>
      </w:tr>
    </w:tbl>
    <w:p>
      <w:pPr>
        <w:pStyle w:val="23"/>
        <w:spacing w:line="360" w:lineRule="auto"/>
        <w:rPr>
          <w:rFonts w:hint="default"/>
          <w:b/>
          <w:bCs/>
        </w:rPr>
      </w:pPr>
    </w:p>
    <w:p>
      <w:pPr>
        <w:pStyle w:val="23"/>
        <w:spacing w:line="360" w:lineRule="auto"/>
        <w:rPr>
          <w:rFonts w:hint="default" w:hAnsi="宋体" w:cs="宋体"/>
          <w:sz w:val="24"/>
          <w:szCs w:val="24"/>
        </w:rPr>
      </w:pPr>
      <w:r>
        <w:rPr>
          <w:rFonts w:hAnsi="宋体" w:cs="宋体"/>
          <w:sz w:val="24"/>
          <w:szCs w:val="24"/>
        </w:rPr>
        <w:t>备注：</w:t>
      </w:r>
    </w:p>
    <w:p>
      <w:pPr>
        <w:pStyle w:val="23"/>
        <w:spacing w:line="360" w:lineRule="auto"/>
        <w:rPr>
          <w:rFonts w:hint="default" w:hAnsi="宋体" w:cs="宋体"/>
          <w:sz w:val="24"/>
          <w:szCs w:val="24"/>
        </w:rPr>
      </w:pPr>
      <w:r>
        <w:rPr>
          <w:rFonts w:hAnsi="宋体" w:cs="宋体"/>
          <w:sz w:val="24"/>
          <w:szCs w:val="24"/>
        </w:rPr>
        <w:t xml:space="preserve">     1、保留小数点后两位。</w:t>
      </w:r>
    </w:p>
    <w:p>
      <w:pPr>
        <w:pStyle w:val="23"/>
        <w:spacing w:line="360" w:lineRule="auto"/>
        <w:rPr>
          <w:rFonts w:hint="default" w:hAnsi="宋体" w:cs="宋体"/>
          <w:sz w:val="24"/>
          <w:szCs w:val="24"/>
          <w:shd w:val="clear" w:color="auto" w:fill="FFFFFF"/>
        </w:rPr>
      </w:pPr>
      <w:r>
        <w:rPr>
          <w:rFonts w:hAnsi="宋体" w:cs="宋体"/>
          <w:sz w:val="24"/>
          <w:szCs w:val="24"/>
        </w:rPr>
        <w:t xml:space="preserve">     2、为贯彻落实国家发展节能环保产品的相关政策，充分发挥政府采购在支持节能环保产品中的作用，在政府采购活动中，采购人及评标委员会将遵循国家和省级政府有关部门公布的优先采购产品目录，优先采购环境保护产品、节能产品、自主创新产品。凡涉及国家强制采购节能、环保产品，投标供应商必须提供生产制造商使用节能环保材料的有效证明，并应将纳入国家节能产品清单的产品、获得中国环境标志认证证书的产品作明显标注。</w:t>
      </w:r>
    </w:p>
    <w:p>
      <w:pPr>
        <w:spacing w:line="360" w:lineRule="auto"/>
        <w:ind w:firstLine="480" w:firstLineChars="200"/>
        <w:rPr>
          <w:rFonts w:ascii="宋体" w:hAnsi="宋体" w:cs="宋体"/>
          <w:b/>
          <w:bCs/>
          <w:sz w:val="24"/>
          <w:shd w:val="clear" w:color="auto" w:fill="FFFFFF"/>
        </w:rPr>
      </w:pPr>
      <w:r>
        <w:rPr>
          <w:rFonts w:hint="eastAsia" w:ascii="宋体" w:hAnsi="宋体" w:cs="宋体"/>
          <w:sz w:val="24"/>
        </w:rPr>
        <w:t>3、根据财政部 国家发展改革委关于调整公布第十九期节能产品政府采购清单的通知节能清单中的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电视设备、视频监控设备、便器、水嘴等为政府强制采购节能产品。本次招标中如有以上产品投标人必须提供财政部、国家发展和改革委员会认可的有效期内的相应的节能产品；如不符合强制节能产品，投标将被拒绝。</w:t>
      </w:r>
    </w:p>
    <w:p>
      <w:pPr>
        <w:spacing w:line="360" w:lineRule="auto"/>
        <w:ind w:firstLine="422" w:firstLineChars="200"/>
        <w:sectPr>
          <w:headerReference r:id="rId16" w:type="default"/>
          <w:footerReference r:id="rId17" w:type="default"/>
          <w:pgSz w:w="11910" w:h="16840"/>
          <w:pgMar w:top="1580" w:right="1320" w:bottom="1360" w:left="1520" w:header="720" w:footer="1180" w:gutter="0"/>
          <w:cols w:space="720" w:num="1"/>
        </w:sectPr>
      </w:pPr>
      <w:r>
        <w:rPr>
          <w:b/>
          <w:bCs/>
        </w:rPr>
        <w:br w:type="page"/>
      </w:r>
    </w:p>
    <w:p>
      <w:pPr>
        <w:rPr>
          <w:b/>
          <w:bCs/>
        </w:rPr>
      </w:pPr>
    </w:p>
    <w:p>
      <w:pPr>
        <w:numPr>
          <w:ilvl w:val="0"/>
          <w:numId w:val="14"/>
        </w:numPr>
        <w:spacing w:line="360" w:lineRule="auto"/>
        <w:jc w:val="center"/>
        <w:outlineLvl w:val="0"/>
        <w:rPr>
          <w:b/>
          <w:sz w:val="36"/>
          <w:szCs w:val="36"/>
        </w:rPr>
      </w:pPr>
      <w:bookmarkStart w:id="809" w:name="_Toc99301424"/>
      <w:r>
        <w:rPr>
          <w:b/>
          <w:sz w:val="36"/>
          <w:szCs w:val="36"/>
        </w:rPr>
        <w:t xml:space="preserve"> 采购需求</w:t>
      </w:r>
      <w:bookmarkEnd w:id="809"/>
      <w:bookmarkStart w:id="810" w:name="_Toc14585"/>
      <w:bookmarkStart w:id="811" w:name="_Toc100686552"/>
      <w:bookmarkStart w:id="812" w:name="_Toc10048"/>
      <w:bookmarkStart w:id="813" w:name="_Toc3543"/>
      <w:bookmarkStart w:id="814" w:name="_Toc10666"/>
      <w:bookmarkStart w:id="815" w:name="_Toc17797"/>
      <w:bookmarkStart w:id="816" w:name="_Toc103181575"/>
      <w:bookmarkStart w:id="817" w:name="_Toc27194"/>
      <w:bookmarkStart w:id="818" w:name="_Toc14935"/>
      <w:bookmarkStart w:id="819" w:name="_Toc16470"/>
      <w:bookmarkStart w:id="820" w:name="_Toc47350405"/>
      <w:bookmarkStart w:id="821" w:name="_Toc120221342"/>
      <w:bookmarkStart w:id="822" w:name="_Toc99301425"/>
    </w:p>
    <w:bookmarkEnd w:id="810"/>
    <w:bookmarkEnd w:id="811"/>
    <w:bookmarkEnd w:id="812"/>
    <w:bookmarkEnd w:id="813"/>
    <w:bookmarkEnd w:id="814"/>
    <w:bookmarkEnd w:id="815"/>
    <w:bookmarkEnd w:id="816"/>
    <w:bookmarkEnd w:id="817"/>
    <w:bookmarkEnd w:id="818"/>
    <w:bookmarkEnd w:id="819"/>
    <w:bookmarkEnd w:id="820"/>
    <w:bookmarkEnd w:id="821"/>
    <w:p>
      <w:pPr>
        <w:spacing w:after="240" w:afterLines="100" w:line="274" w:lineRule="exact"/>
        <w:rPr>
          <w:sz w:val="20"/>
        </w:rPr>
      </w:pPr>
      <w:r>
        <w:rPr>
          <w:rFonts w:hint="eastAsia" w:ascii="宋体" w:hAnsi="宋体" w:cs="宋体"/>
          <w:b/>
          <w:bCs/>
          <w:sz w:val="24"/>
        </w:rPr>
        <w:t>一、采购明细清单</w:t>
      </w:r>
    </w:p>
    <w:tbl>
      <w:tblPr>
        <w:tblStyle w:val="43"/>
        <w:tblW w:w="13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92"/>
        <w:gridCol w:w="6542"/>
        <w:gridCol w:w="1251"/>
        <w:gridCol w:w="1482"/>
        <w:gridCol w:w="11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34" w:type="dxa"/>
            <w:vMerge w:val="restart"/>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序号</w:t>
            </w:r>
          </w:p>
        </w:tc>
        <w:tc>
          <w:tcPr>
            <w:tcW w:w="1492" w:type="dxa"/>
            <w:vMerge w:val="restart"/>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产品名称</w:t>
            </w:r>
          </w:p>
        </w:tc>
        <w:tc>
          <w:tcPr>
            <w:tcW w:w="6542" w:type="dxa"/>
            <w:vMerge w:val="restart"/>
            <w:vAlign w:val="center"/>
          </w:tcPr>
          <w:p>
            <w:pPr>
              <w:widowControl/>
              <w:jc w:val="center"/>
              <w:textAlignment w:val="center"/>
              <w:rPr>
                <w:rFonts w:ascii="宋体" w:hAnsi="宋体" w:cs="宋体" w:eastAsiaTheme="minorEastAsia"/>
                <w:b/>
                <w:bCs/>
                <w:color w:val="000000"/>
                <w:kern w:val="0"/>
                <w:sz w:val="24"/>
              </w:rPr>
            </w:pPr>
            <w:r>
              <w:rPr>
                <w:rFonts w:hint="eastAsia" w:ascii="宋体" w:hAnsi="宋体" w:cs="宋体"/>
                <w:b/>
                <w:bCs/>
                <w:color w:val="000000"/>
                <w:kern w:val="0"/>
                <w:sz w:val="24"/>
              </w:rPr>
              <w:t>技术参数要求</w:t>
            </w:r>
          </w:p>
        </w:tc>
        <w:tc>
          <w:tcPr>
            <w:tcW w:w="1251" w:type="dxa"/>
            <w:vMerge w:val="restart"/>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数量</w:t>
            </w:r>
          </w:p>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（台/套）</w:t>
            </w:r>
          </w:p>
        </w:tc>
        <w:tc>
          <w:tcPr>
            <w:tcW w:w="1482" w:type="dxa"/>
            <w:vMerge w:val="restart"/>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是否接受进口产品投标</w:t>
            </w:r>
          </w:p>
        </w:tc>
        <w:tc>
          <w:tcPr>
            <w:tcW w:w="2355" w:type="dxa"/>
            <w:gridSpan w:val="2"/>
            <w:vAlign w:val="center"/>
          </w:tcPr>
          <w:p>
            <w:pPr>
              <w:widowControl/>
              <w:jc w:val="center"/>
              <w:textAlignment w:val="center"/>
              <w:rPr>
                <w:rFonts w:ascii="宋体" w:hAnsi="宋体" w:cs="宋体" w:eastAsiaTheme="minorEastAsia"/>
                <w:b/>
                <w:bCs/>
                <w:color w:val="000000"/>
                <w:kern w:val="0"/>
                <w:sz w:val="24"/>
              </w:rPr>
            </w:pPr>
            <w:r>
              <w:rPr>
                <w:rFonts w:hint="eastAsia" w:ascii="宋体" w:hAnsi="宋体" w:cs="宋体"/>
                <w:b/>
                <w:bCs/>
                <w:color w:val="000000"/>
                <w:kern w:val="0"/>
                <w:sz w:val="24"/>
              </w:rPr>
              <w:t>预算控制金额（元）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4" w:type="dxa"/>
            <w:vMerge w:val="continue"/>
            <w:vAlign w:val="center"/>
          </w:tcPr>
          <w:p>
            <w:pPr>
              <w:widowControl/>
              <w:jc w:val="center"/>
              <w:textAlignment w:val="center"/>
              <w:rPr>
                <w:b/>
                <w:bCs/>
                <w:sz w:val="24"/>
              </w:rPr>
            </w:pPr>
          </w:p>
        </w:tc>
        <w:tc>
          <w:tcPr>
            <w:tcW w:w="1492" w:type="dxa"/>
            <w:vMerge w:val="continue"/>
            <w:vAlign w:val="center"/>
          </w:tcPr>
          <w:p>
            <w:pPr>
              <w:widowControl/>
              <w:jc w:val="center"/>
              <w:textAlignment w:val="center"/>
              <w:rPr>
                <w:b/>
                <w:bCs/>
                <w:sz w:val="24"/>
              </w:rPr>
            </w:pPr>
          </w:p>
        </w:tc>
        <w:tc>
          <w:tcPr>
            <w:tcW w:w="6542" w:type="dxa"/>
            <w:vMerge w:val="continue"/>
            <w:vAlign w:val="center"/>
          </w:tcPr>
          <w:p>
            <w:pPr>
              <w:widowControl/>
              <w:jc w:val="center"/>
              <w:textAlignment w:val="center"/>
              <w:rPr>
                <w:b/>
                <w:bCs/>
                <w:sz w:val="24"/>
              </w:rPr>
            </w:pPr>
          </w:p>
        </w:tc>
        <w:tc>
          <w:tcPr>
            <w:tcW w:w="1251" w:type="dxa"/>
            <w:vMerge w:val="continue"/>
            <w:vAlign w:val="center"/>
          </w:tcPr>
          <w:p>
            <w:pPr>
              <w:widowControl/>
              <w:jc w:val="center"/>
              <w:textAlignment w:val="center"/>
              <w:rPr>
                <w:b/>
                <w:bCs/>
                <w:sz w:val="24"/>
              </w:rPr>
            </w:pPr>
          </w:p>
        </w:tc>
        <w:tc>
          <w:tcPr>
            <w:tcW w:w="1482" w:type="dxa"/>
            <w:vMerge w:val="continue"/>
            <w:vAlign w:val="center"/>
          </w:tcPr>
          <w:p>
            <w:pPr>
              <w:widowControl/>
              <w:jc w:val="center"/>
              <w:textAlignment w:val="center"/>
              <w:rPr>
                <w:b/>
                <w:bCs/>
                <w:sz w:val="24"/>
              </w:rPr>
            </w:pPr>
          </w:p>
        </w:tc>
        <w:tc>
          <w:tcPr>
            <w:tcW w:w="1177" w:type="dxa"/>
            <w:vAlign w:val="center"/>
          </w:tcPr>
          <w:p>
            <w:pPr>
              <w:widowControl/>
              <w:jc w:val="center"/>
              <w:textAlignment w:val="center"/>
              <w:rPr>
                <w:rFonts w:ascii="宋体" w:hAnsi="宋体" w:cs="宋体" w:eastAsiaTheme="minorEastAsia"/>
                <w:b/>
                <w:bCs/>
                <w:color w:val="000000"/>
                <w:kern w:val="0"/>
                <w:sz w:val="24"/>
              </w:rPr>
            </w:pPr>
            <w:r>
              <w:rPr>
                <w:rFonts w:hint="eastAsia" w:ascii="宋体" w:hAnsi="宋体" w:cs="宋体"/>
                <w:b/>
                <w:bCs/>
                <w:color w:val="000000"/>
                <w:kern w:val="0"/>
                <w:sz w:val="24"/>
              </w:rPr>
              <w:t>单价</w:t>
            </w:r>
          </w:p>
        </w:tc>
        <w:tc>
          <w:tcPr>
            <w:tcW w:w="1178" w:type="dxa"/>
            <w:vAlign w:val="center"/>
          </w:tcPr>
          <w:p>
            <w:pPr>
              <w:widowControl/>
              <w:jc w:val="center"/>
              <w:textAlignment w:val="center"/>
              <w:rPr>
                <w:rFonts w:ascii="宋体" w:hAnsi="宋体" w:cs="宋体" w:eastAsiaTheme="minorEastAsia"/>
                <w:b/>
                <w:bCs/>
                <w:color w:val="000000"/>
                <w:kern w:val="0"/>
                <w:sz w:val="24"/>
              </w:rPr>
            </w:pPr>
            <w:r>
              <w:rPr>
                <w:rFonts w:hint="eastAsia" w:ascii="宋体" w:hAnsi="宋体" w:cs="宋体"/>
                <w:b/>
                <w:bCs/>
                <w:color w:val="000000"/>
                <w:kern w:val="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834"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9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组织解离仪</w:t>
            </w:r>
          </w:p>
        </w:tc>
        <w:tc>
          <w:tcPr>
            <w:tcW w:w="654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1.技术原理：基于机械切割+酶解的方法，搭配组织解离试剂和解离管，快速从各类组织中获得高质量的单细胞悬液。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2.所获得的单细胞悬液可以用于细胞分选、培养，流式分析、单细胞测序等多种不同的后续应用。</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3.运行通量：通道2个，可以独立运行，可同时处理2个组织样本。</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4.样本质量：10-4150 mg。</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5.缓冲液容量：0.3-10 mL。</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6.运行转速：30~300 rpm。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7.温控功能：37℃恒温加热功能，运行开始即加热，无需其他辅助加热设备。</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8.解离程序：内置标准组织处理程序≥30条，同时配置自定义程序≥90条，用于探索特定组织最佳解离程序。解离程序可调节可保存。</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9.程序编程：可触屏设置不同参数，至少包括转速、正转时间、反转时间、循环数、孵育时间等。</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10.组织解离时间：15分钟。</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11.配备广谱组织解离试剂盒，预制分装，液体形式无需配置，适用≥350种组织样本类型。</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12.配备不同疑难组织的特定试剂盒≥15种，包括血管、脂肪、胰腺、皮肤、肌肉等。</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13.配备一次性解离管，独立封装，安全灭菌，正置使用，不存在污染情况。（提供厂家耗材灭菌报告）</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14.可拓展性：携带USB接口，可用于厂家持续性更新优化后的解离程序。</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15.语言模式：中英双语模式可切换。</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16.智能模式：内置智能触摸屏幕≥110.4mm</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62.1mm，可触屏操作，自动识别运行通道，实时查看当前运行程序、运行进度、剩余时间等。</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17.远程监控：支持手机远程监控设备运行状态。</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18.</w:t>
            </w:r>
            <w:r>
              <w:rPr>
                <w:rFonts w:hint="eastAsia" w:ascii="宋体" w:hAnsi="宋体" w:cs="宋体"/>
                <w:color w:val="000000"/>
                <w:kern w:val="0"/>
                <w:sz w:val="24"/>
                <w:lang w:bidi="ar"/>
              </w:rPr>
              <w:tab/>
            </w:r>
            <w:r>
              <w:rPr>
                <w:rFonts w:hint="eastAsia" w:ascii="宋体" w:hAnsi="宋体" w:cs="宋体"/>
                <w:color w:val="000000"/>
                <w:kern w:val="0"/>
                <w:sz w:val="24"/>
                <w:lang w:bidi="ar"/>
              </w:rPr>
              <w:t>无特殊电路要求：电压：AC220V，输入功率：250VA，额定功率：50/60Hz，一般情况下不涉及电路改造。</w:t>
            </w:r>
          </w:p>
        </w:tc>
        <w:tc>
          <w:tcPr>
            <w:tcW w:w="125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2"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否</w:t>
            </w:r>
          </w:p>
        </w:tc>
        <w:tc>
          <w:tcPr>
            <w:tcW w:w="1177"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150,000.00 </w:t>
            </w:r>
          </w:p>
        </w:tc>
        <w:tc>
          <w:tcPr>
            <w:tcW w:w="1178"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150,000.00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49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生物安全柜</w:t>
            </w:r>
          </w:p>
        </w:tc>
        <w:tc>
          <w:tcPr>
            <w:tcW w:w="654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外部尺寸：</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宽</w:t>
            </w:r>
            <w:r>
              <w:rPr>
                <w:rFonts w:hint="eastAsia" w:ascii="宋体" w:hAnsi="宋体" w:cs="宋体"/>
                <w:color w:val="000000"/>
                <w:kern w:val="0"/>
                <w:sz w:val="24"/>
                <w:lang w:bidi="ar"/>
              </w:rPr>
              <w:t>：不高于</w:t>
            </w:r>
            <w:r>
              <w:rPr>
                <w:rFonts w:ascii="宋体" w:hAnsi="宋体" w:cs="宋体"/>
                <w:color w:val="000000"/>
                <w:kern w:val="0"/>
                <w:sz w:val="24"/>
                <w:lang w:bidi="ar"/>
              </w:rPr>
              <w:t>1900</w:t>
            </w:r>
            <w:r>
              <w:rPr>
                <w:rFonts w:hint="eastAsia" w:ascii="宋体" w:hAnsi="宋体" w:cs="宋体"/>
                <w:color w:val="000000"/>
                <w:kern w:val="0"/>
                <w:sz w:val="24"/>
                <w:lang w:bidi="ar"/>
              </w:rPr>
              <w:t xml:space="preserve">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高</w:t>
            </w:r>
            <w:r>
              <w:rPr>
                <w:rFonts w:hint="eastAsia" w:ascii="宋体" w:hAnsi="宋体" w:cs="宋体"/>
                <w:color w:val="000000"/>
                <w:kern w:val="0"/>
                <w:sz w:val="24"/>
                <w:lang w:bidi="ar"/>
              </w:rPr>
              <w:t>：不高于</w:t>
            </w:r>
            <w:r>
              <w:rPr>
                <w:rFonts w:ascii="宋体" w:hAnsi="宋体" w:cs="宋体"/>
                <w:color w:val="000000"/>
                <w:kern w:val="0"/>
                <w:sz w:val="24"/>
                <w:lang w:bidi="ar"/>
              </w:rPr>
              <w:t>1568</w:t>
            </w:r>
            <w:r>
              <w:rPr>
                <w:rFonts w:hint="eastAsia" w:ascii="宋体" w:hAnsi="宋体" w:cs="宋体"/>
                <w:color w:val="000000"/>
                <w:kern w:val="0"/>
                <w:sz w:val="24"/>
                <w:lang w:bidi="ar"/>
              </w:rPr>
              <w:t xml:space="preserve">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深：不高于</w:t>
            </w:r>
            <w:r>
              <w:rPr>
                <w:rFonts w:ascii="宋体" w:hAnsi="宋体" w:cs="宋体"/>
                <w:color w:val="000000"/>
                <w:kern w:val="0"/>
                <w:sz w:val="24"/>
                <w:lang w:bidi="ar"/>
              </w:rPr>
              <w:t>800</w:t>
            </w:r>
            <w:r>
              <w:rPr>
                <w:rFonts w:hint="eastAsia" w:ascii="宋体" w:hAnsi="宋体" w:cs="宋体"/>
                <w:color w:val="000000"/>
                <w:kern w:val="0"/>
                <w:sz w:val="24"/>
                <w:lang w:bidi="ar"/>
              </w:rPr>
              <w:t xml:space="preserve">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内部尺寸：</w:t>
            </w:r>
            <w:r>
              <w:rPr>
                <w:rFonts w:ascii="宋体" w:hAnsi="宋体" w:cs="宋体"/>
                <w:color w:val="000000"/>
                <w:kern w:val="0"/>
                <w:sz w:val="24"/>
                <w:lang w:bidi="ar"/>
              </w:rPr>
              <w:t xml:space="preserve">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宽：不低于</w:t>
            </w:r>
            <w:r>
              <w:rPr>
                <w:rFonts w:ascii="宋体" w:hAnsi="宋体" w:cs="宋体"/>
                <w:color w:val="000000"/>
                <w:kern w:val="0"/>
                <w:sz w:val="24"/>
                <w:lang w:bidi="ar"/>
              </w:rPr>
              <w:t>1800</w:t>
            </w:r>
            <w:r>
              <w:rPr>
                <w:rFonts w:hint="eastAsia" w:ascii="宋体" w:hAnsi="宋体" w:cs="宋体"/>
                <w:color w:val="000000"/>
                <w:kern w:val="0"/>
                <w:sz w:val="24"/>
                <w:lang w:bidi="ar"/>
              </w:rPr>
              <w:t xml:space="preserve">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高：不低于</w:t>
            </w:r>
            <w:r>
              <w:rPr>
                <w:rFonts w:ascii="宋体" w:hAnsi="宋体" w:cs="宋体"/>
                <w:color w:val="000000"/>
                <w:kern w:val="0"/>
                <w:sz w:val="24"/>
                <w:lang w:bidi="ar"/>
              </w:rPr>
              <w:t>780</w:t>
            </w:r>
            <w:r>
              <w:rPr>
                <w:rFonts w:hint="eastAsia" w:ascii="宋体" w:hAnsi="宋体" w:cs="宋体"/>
                <w:color w:val="000000"/>
                <w:kern w:val="0"/>
                <w:sz w:val="24"/>
                <w:lang w:bidi="ar"/>
              </w:rPr>
              <w:t xml:space="preserve">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深：不低于</w:t>
            </w:r>
            <w:r>
              <w:rPr>
                <w:rFonts w:ascii="宋体" w:hAnsi="宋体" w:cs="宋体"/>
                <w:color w:val="000000"/>
                <w:kern w:val="0"/>
                <w:sz w:val="24"/>
                <w:lang w:bidi="ar"/>
              </w:rPr>
              <w:t>630</w:t>
            </w:r>
            <w:r>
              <w:rPr>
                <w:rFonts w:hint="eastAsia" w:ascii="宋体" w:hAnsi="宋体" w:cs="宋体"/>
                <w:color w:val="000000"/>
                <w:kern w:val="0"/>
                <w:sz w:val="24"/>
                <w:lang w:bidi="ar"/>
              </w:rPr>
              <w:t xml:space="preserve">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前窗工作高度：250mm；前窗最大开启高度：535mm；声压级别：＜65dB，具备防眩目涂层内壁，紫外线灯，搁手架及支架。</w:t>
            </w:r>
          </w:p>
        </w:tc>
        <w:tc>
          <w:tcPr>
            <w:tcW w:w="125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2"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否</w:t>
            </w:r>
          </w:p>
        </w:tc>
        <w:tc>
          <w:tcPr>
            <w:tcW w:w="1177"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72,000.00 </w:t>
            </w:r>
          </w:p>
        </w:tc>
        <w:tc>
          <w:tcPr>
            <w:tcW w:w="1178"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72,000.00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34"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49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荧光定量PCR仪</w:t>
            </w:r>
          </w:p>
        </w:tc>
        <w:tc>
          <w:tcPr>
            <w:tcW w:w="654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1、热循环系统： 珀耳帖效应系统, 96孔模块；</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2、精确数码温控模块: 96孔模块分为≥3个独立数码温控的区域，相邻区域之间温度设置最大可相差≥4.5℃；</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3、支持耗材：国际标准的九十六孔反应板与光学盖膜,八连管与光学平盖,单管与光学平盖；</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#4、温度范围：1</w:t>
            </w:r>
            <w:r>
              <w:rPr>
                <w:rFonts w:hint="eastAsia" w:ascii="宋体" w:hAnsi="宋体" w:cs="宋体"/>
                <w:color w:val="000000"/>
                <w:kern w:val="0"/>
                <w:sz w:val="24"/>
                <w:lang w:val="en-US" w:eastAsia="zh-CN" w:bidi="ar"/>
              </w:rPr>
              <w:t>1</w:t>
            </w:r>
            <w:r>
              <w:rPr>
                <w:rFonts w:hint="eastAsia" w:ascii="宋体" w:hAnsi="宋体" w:eastAsia="宋体" w:cs="宋体"/>
                <w:color w:val="000000"/>
                <w:kern w:val="0"/>
                <w:sz w:val="24"/>
                <w:lang w:val="en-US" w:eastAsia="zh-CN" w:bidi="ar"/>
              </w:rPr>
              <w:t>℃</w:t>
            </w:r>
            <w:r>
              <w:rPr>
                <w:rFonts w:hint="eastAsia" w:ascii="宋体" w:hAnsi="宋体" w:cs="宋体"/>
                <w:color w:val="000000"/>
                <w:kern w:val="0"/>
                <w:sz w:val="24"/>
                <w:lang w:bidi="ar"/>
              </w:rPr>
              <w:t>~95</w:t>
            </w:r>
            <w:r>
              <w:rPr>
                <w:rFonts w:hint="eastAsia" w:ascii="宋体" w:hAnsi="宋体" w:eastAsia="宋体" w:cs="宋体"/>
                <w:color w:val="000000"/>
                <w:kern w:val="0"/>
                <w:sz w:val="24"/>
                <w:lang w:bidi="ar"/>
              </w:rPr>
              <w:t>℃</w:t>
            </w:r>
            <w:r>
              <w:rPr>
                <w:rFonts w:hint="eastAsia" w:ascii="宋体" w:hAnsi="宋体" w:cs="宋体"/>
                <w:color w:val="000000"/>
                <w:kern w:val="0"/>
                <w:sz w:val="24"/>
                <w:lang w:bidi="ar"/>
              </w:rPr>
              <w:t>；</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5、光学系统：高亮度白光半导体光源(工作寿命≥ 10000 个小时)；</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6、荧光通道数：同时检测荧光染料种类 ≥4个；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#7、数据采集：96个反应孔同时采集荧光数据，不同孔之间不存在时间差；</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8、温控模块最高升降温速率：≥6.2°C/秒；</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9、试剂耗材支持：完全开放平台，可使用第三方的各品牌试剂和耗材；</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10、被动参照染料：软件支持内参比荧光（ROX或其他染料，用户自行选择）校正去除移液误差和管间差异，并可监控反应体系是否蒸发，同时软件支持无参比荧光设置进行实验；11、荧光染料：能同时检测并区分VIC荧光和TAMRA荧光，以用于TaqMan基因拷贝数(CNV)检测；</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12、动态范围：10个对数的线性动态范围；</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13、检测灵敏度：单拷贝检测/反应体系；</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14、精密度（分辨率）：最低可分辨1.5倍拷贝数差异， 置信度99.7%；</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15、运行时间：三十分钟内完成40循环的定量PCR反应；</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16、内置超大互动式触摸屏：可脱离电脑独立进行操作，可查看实时荧光定量PCR实验，界面清爽，互动性强。</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17、支持云端服务器，可以用任何电脑打开浏览器，使用云端服务器查看，分析，共享数据；</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18、云端服务器支持10GB的免费存储空间；</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19、配备原厂专业的引物探针设计软件：可用于PCR引物、巢式PCR、多重PCR引物、RT-PCR引物和TaqMan探针的设计和自动测试，无需优化反应条件直接用于定量PCR实验。</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20、分析软件：具有定性定量（绝对定量、相对定量）、自动报告熔解温度、自动报告基因分型结果、高分辨率熔解曲线、阴阳性判读等功能，实时动态监测运行，扩增和检测同时进行；</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#21、需具备蛋白表达分析功能，并提供同品牌原厂试剂和专门二级分析软件；</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22、需具备基因拷贝数（CNV）分析功能，并提供同品牌原厂试剂和专门二级分析软件；</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23、需具备DNA稀有突变分析功能，可检测占背景野生型细胞0.1%的微量突变细胞或DNA，并提供同品牌原厂试剂和专门二级分析软件。</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24、高分辨率熔解曲线或解离每步温度变化最小可设置≤0.02℃。</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25、配置要求</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1)96孔实时荧光定量PCR仪1台</w:t>
            </w:r>
            <w:r>
              <w:rPr>
                <w:rFonts w:hint="eastAsia" w:ascii="宋体" w:hAnsi="宋体" w:cs="宋体"/>
                <w:color w:val="000000"/>
                <w:kern w:val="0"/>
                <w:sz w:val="24"/>
                <w:lang w:eastAsia="zh-CN" w:bidi="ar"/>
              </w:rPr>
              <w:t>；</w:t>
            </w:r>
          </w:p>
          <w:p>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bidi="ar"/>
              </w:rPr>
              <w:t>2)专用</w:t>
            </w:r>
            <w:r>
              <w:rPr>
                <w:rFonts w:hint="eastAsia" w:ascii="宋体" w:hAnsi="宋体" w:cs="宋体"/>
                <w:color w:val="000000"/>
                <w:kern w:val="0"/>
                <w:sz w:val="24"/>
                <w:lang w:val="en-US" w:eastAsia="zh-CN" w:bidi="ar"/>
              </w:rPr>
              <w:t>电脑工作站1台，配置不低于：CPU：i5；16G内存，1T硬盘，23英寸显示屏；</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3)RNase P主机安装验证试剂盒1盒</w:t>
            </w:r>
            <w:r>
              <w:rPr>
                <w:rFonts w:hint="eastAsia" w:ascii="宋体" w:hAnsi="宋体" w:cs="宋体"/>
                <w:color w:val="000000"/>
                <w:kern w:val="0"/>
                <w:sz w:val="24"/>
                <w:lang w:eastAsia="zh-CN" w:bidi="ar"/>
              </w:rPr>
              <w:t>；</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4)实时荧光定量PCR分析软件1套</w:t>
            </w:r>
            <w:r>
              <w:rPr>
                <w:rFonts w:hint="eastAsia" w:ascii="宋体" w:hAnsi="宋体" w:cs="宋体"/>
                <w:color w:val="000000"/>
                <w:kern w:val="0"/>
                <w:sz w:val="24"/>
                <w:lang w:eastAsia="zh-CN" w:bidi="ar"/>
              </w:rPr>
              <w:t>；</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26、质保期：≥24个月，</w:t>
            </w:r>
            <w:r>
              <w:rPr>
                <w:rFonts w:hint="eastAsia" w:ascii="宋体" w:hAnsi="宋体" w:cs="宋体"/>
                <w:color w:val="000000"/>
                <w:kern w:val="0"/>
                <w:sz w:val="24"/>
                <w:lang w:val="en-US" w:eastAsia="zh-CN" w:bidi="ar"/>
              </w:rPr>
              <w:t>质保期内每半年按采购人要求免费上门较准一次该设备，</w:t>
            </w:r>
            <w:r>
              <w:rPr>
                <w:rFonts w:hint="eastAsia" w:ascii="宋体" w:hAnsi="宋体" w:cs="宋体"/>
                <w:color w:val="000000"/>
                <w:kern w:val="0"/>
                <w:sz w:val="24"/>
                <w:lang w:bidi="ar"/>
              </w:rPr>
              <w:t>自验收合格之日起计算</w:t>
            </w:r>
            <w:r>
              <w:rPr>
                <w:rFonts w:hint="eastAsia" w:ascii="宋体" w:hAnsi="宋体" w:cs="宋体"/>
                <w:color w:val="000000"/>
                <w:kern w:val="0"/>
                <w:sz w:val="24"/>
                <w:lang w:eastAsia="zh-CN" w:bidi="ar"/>
              </w:rPr>
              <w:t>。</w:t>
            </w:r>
          </w:p>
        </w:tc>
        <w:tc>
          <w:tcPr>
            <w:tcW w:w="125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2"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是</w:t>
            </w:r>
          </w:p>
        </w:tc>
        <w:tc>
          <w:tcPr>
            <w:tcW w:w="1177"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400,000.00 </w:t>
            </w:r>
          </w:p>
        </w:tc>
        <w:tc>
          <w:tcPr>
            <w:tcW w:w="1178"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400,000.00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834"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49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轮转式切片机（配套）</w:t>
            </w:r>
          </w:p>
        </w:tc>
        <w:tc>
          <w:tcPr>
            <w:tcW w:w="654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全自动；</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额定频率50/60Hz；</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切片厚度设置范围：0.5 - 100 µm；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修片厚度设置范围：1 - 600 µm；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切片速度：0-420 mm/s ±10 %；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尺寸：宽：不低于470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深：不低于615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高：不低于290 mm；重量：约40KG</w:t>
            </w:r>
          </w:p>
        </w:tc>
        <w:tc>
          <w:tcPr>
            <w:tcW w:w="125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2"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否</w:t>
            </w:r>
          </w:p>
        </w:tc>
        <w:tc>
          <w:tcPr>
            <w:tcW w:w="1177"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220,000.00 </w:t>
            </w:r>
          </w:p>
        </w:tc>
        <w:tc>
          <w:tcPr>
            <w:tcW w:w="1178"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220,000.00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34"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149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包埋机（配套）</w:t>
            </w:r>
          </w:p>
        </w:tc>
        <w:tc>
          <w:tcPr>
            <w:tcW w:w="6542" w:type="dxa"/>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热台：工作温度50-75℃；</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尺寸：深：不低于635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宽：不低于555 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高：不低于380 mm；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冷台：工作温度：-6℃；</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尺寸：深：不低于635 mm；宽：不低于400mm；高：不低于380mm；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可电加热镊子：工作温度范围+15°C至+40°C、                尺寸：深：不低于150mm；宽：不低于80mm；高：不低于100mm。</w:t>
            </w:r>
          </w:p>
        </w:tc>
        <w:tc>
          <w:tcPr>
            <w:tcW w:w="125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2"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否</w:t>
            </w:r>
          </w:p>
        </w:tc>
        <w:tc>
          <w:tcPr>
            <w:tcW w:w="1177"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150,000.00 </w:t>
            </w:r>
          </w:p>
        </w:tc>
        <w:tc>
          <w:tcPr>
            <w:tcW w:w="1178"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150,000.00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49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扩展型摊烤片系统（配套）</w:t>
            </w:r>
          </w:p>
        </w:tc>
        <w:tc>
          <w:tcPr>
            <w:tcW w:w="654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摊片机 ：尺寸：长：不低于280mm；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高：不低于280mm；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宽：不低于100mm；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加热温度：60℃</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烤片机 ：尺寸：长：不低于200mm；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高：不低于280mm；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宽：不低于95mm；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加热温度：75℃</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石蜡：8kg/箱</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刀片：50片/盒</w:t>
            </w:r>
          </w:p>
        </w:tc>
        <w:tc>
          <w:tcPr>
            <w:tcW w:w="125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2"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否</w:t>
            </w:r>
          </w:p>
        </w:tc>
        <w:tc>
          <w:tcPr>
            <w:tcW w:w="1177"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50,000.00 </w:t>
            </w:r>
          </w:p>
        </w:tc>
        <w:tc>
          <w:tcPr>
            <w:tcW w:w="1178"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34"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49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纯水/超纯水一体化系统配件</w:t>
            </w:r>
          </w:p>
        </w:tc>
        <w:tc>
          <w:tcPr>
            <w:tcW w:w="654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可以和Milli-Q Integral 纯水/超纯水一体化系统配套使用，具体包括</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PR0G0T0S2 预纯化柱1个；QTUM0TIX1 超纯化柱1个；TANKMPK01 空气过滤器1个；CDUFBI001 终端滤器1个；MPGP04001 终端滤器1个；ZFA10UVM1 A10紫外灯1个；ZMQUVLP01 185紫外灯1个；ZLXUVLP01 254紫外灯1个。</w:t>
            </w:r>
          </w:p>
        </w:tc>
        <w:tc>
          <w:tcPr>
            <w:tcW w:w="125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2"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是</w:t>
            </w:r>
          </w:p>
        </w:tc>
        <w:tc>
          <w:tcPr>
            <w:tcW w:w="1177"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40,000.00 </w:t>
            </w:r>
          </w:p>
        </w:tc>
        <w:tc>
          <w:tcPr>
            <w:tcW w:w="1178"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40,000.00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34"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149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液氮立式速冻机</w:t>
            </w:r>
          </w:p>
        </w:tc>
        <w:tc>
          <w:tcPr>
            <w:tcW w:w="6542"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最低工作温度可达-196°C，控温精度1°-2°C；实现5-40分钟极速冻结，生产效率为传统冷冻设备3倍以上；水分干耗几乎为零；液氮喷射汽化蒸发式制冷系统；低温气动阀控制流量；变频调速双风机循环系统； PLC+触摸屏智能程序控制系统；自动报警系统；电源220V，1.2KW；容积830L；</w:t>
            </w:r>
            <w:r>
              <w:t xml:space="preserve"> </w:t>
            </w:r>
            <w:r>
              <w:rPr>
                <w:rFonts w:hint="eastAsia" w:ascii="宋体" w:hAnsi="宋体" w:cs="宋体"/>
                <w:color w:val="000000"/>
                <w:kern w:val="0"/>
                <w:sz w:val="24"/>
                <w:lang w:bidi="ar"/>
              </w:rPr>
              <w:t>保温材质为双面食品级SUS304不锈钢150mm整体发泡保温；可用水冲洗，维护简单；占地面积2平方以内，底部有轮子，可随时移动；内部搁板设置合理，可以冷冻整鸡或分割部位。配备物料车1台、物料架1台、</w:t>
            </w:r>
            <w:r>
              <w:rPr>
                <w:rFonts w:ascii="宋体" w:hAnsi="宋体" w:cs="宋体"/>
                <w:color w:val="000000"/>
                <w:kern w:val="0"/>
                <w:sz w:val="24"/>
                <w:lang w:bidi="ar"/>
              </w:rPr>
              <w:t>400</w:t>
            </w:r>
            <w:r>
              <w:rPr>
                <w:rFonts w:hint="eastAsia" w:ascii="宋体" w:hAnsi="宋体" w:cs="宋体"/>
                <w:color w:val="000000"/>
                <w:kern w:val="0"/>
                <w:sz w:val="24"/>
                <w:lang w:val="en-US" w:eastAsia="zh-CN" w:bidi="ar"/>
              </w:rPr>
              <w:t>*</w:t>
            </w:r>
            <w:r>
              <w:rPr>
                <w:rFonts w:ascii="宋体" w:hAnsi="宋体" w:cs="宋体"/>
                <w:color w:val="000000"/>
                <w:kern w:val="0"/>
                <w:sz w:val="24"/>
                <w:lang w:bidi="ar"/>
              </w:rPr>
              <w:t>600</w:t>
            </w:r>
            <w:r>
              <w:rPr>
                <w:rFonts w:hint="eastAsia" w:ascii="宋体" w:hAnsi="宋体" w:cs="宋体"/>
                <w:color w:val="000000"/>
                <w:kern w:val="0"/>
                <w:sz w:val="24"/>
                <w:lang w:bidi="ar"/>
              </w:rPr>
              <w:t>托盘30个以及配套安装所需液氮管道。</w:t>
            </w:r>
          </w:p>
        </w:tc>
        <w:tc>
          <w:tcPr>
            <w:tcW w:w="125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2"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否</w:t>
            </w:r>
          </w:p>
        </w:tc>
        <w:tc>
          <w:tcPr>
            <w:tcW w:w="1177"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76,400.00 </w:t>
            </w:r>
          </w:p>
        </w:tc>
        <w:tc>
          <w:tcPr>
            <w:tcW w:w="1178"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 76,400.00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34"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49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液氮低温储罐</w:t>
            </w:r>
          </w:p>
        </w:tc>
        <w:tc>
          <w:tcPr>
            <w:tcW w:w="654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设计压力1.6MPa；全容积2.96M</w:t>
            </w:r>
            <w:r>
              <w:rPr>
                <w:rFonts w:hint="eastAsia" w:ascii="宋体" w:hAnsi="宋体" w:eastAsia="宋体" w:cs="宋体"/>
                <w:color w:val="000000"/>
                <w:kern w:val="0"/>
                <w:sz w:val="24"/>
                <w:szCs w:val="24"/>
                <w:vertAlign w:val="superscript"/>
                <w:lang w:bidi="ar"/>
              </w:rPr>
              <w:t>3</w:t>
            </w:r>
            <w:r>
              <w:rPr>
                <w:rFonts w:hint="eastAsia" w:ascii="宋体" w:hAnsi="宋体" w:eastAsia="宋体" w:cs="宋体"/>
                <w:color w:val="000000"/>
                <w:kern w:val="0"/>
                <w:sz w:val="24"/>
                <w:szCs w:val="24"/>
                <w:lang w:bidi="ar"/>
              </w:rPr>
              <w:t>；充装介质：液氮；内容器材质：S30408；外容器材质：S30408。</w:t>
            </w:r>
          </w:p>
        </w:tc>
        <w:tc>
          <w:tcPr>
            <w:tcW w:w="1251"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48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c>
          <w:tcPr>
            <w:tcW w:w="1177"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142,100.00 </w:t>
            </w:r>
          </w:p>
        </w:tc>
        <w:tc>
          <w:tcPr>
            <w:tcW w:w="1178"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142,100.00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34"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49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全自动移液吸头排列机器人</w:t>
            </w:r>
          </w:p>
        </w:tc>
        <w:tc>
          <w:tcPr>
            <w:tcW w:w="654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#1.二合一机型，在不更换零件的情况下，一台设备上同时支持排列10ul和200ul吸头；</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2.整机采用全铝机身，使用阳极氧化工艺加优质烤漆，关键结构采用医用级304不锈钢打造，抗菌、坚固、耐用；</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3.无需复杂设置，开机即用；</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4.高清电容触摸屏，显示清晰，触摸精准，戴手套也可操作，界面简单，容易操作；</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5.支持吸头：匹配进口、国产等多种品牌吸头；</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6.储料仓体积：可同时储存不少于1500个200ul移液吸头、2500个10ul移液吸头；</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7.加料方式：上方加料，节省空间，不容易掉落吸头；</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#8.低功耗，整机运行功耗低于50W；</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#9.磁吸式快拆式下料管，可快速拆卸更换，便于后期维护；</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#10.磁吸式吸头盒固定架，可以通过更换不同固定架匹配不同品牌的吸头盒；</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#11.单次装盒量：6盒；</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#12.重量：60-70KG。</w:t>
            </w:r>
          </w:p>
        </w:tc>
        <w:tc>
          <w:tcPr>
            <w:tcW w:w="1251"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48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c>
          <w:tcPr>
            <w:tcW w:w="1177"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74,000.00 </w:t>
            </w:r>
          </w:p>
        </w:tc>
        <w:tc>
          <w:tcPr>
            <w:tcW w:w="1178"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74,000.00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trPr>
        <w:tc>
          <w:tcPr>
            <w:tcW w:w="834"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49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96孔移液器</w:t>
            </w:r>
          </w:p>
        </w:tc>
        <w:tc>
          <w:tcPr>
            <w:tcW w:w="6542" w:type="dxa"/>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 xml:space="preserve">1. 适合高通量移液操作，10 秒内可填充一块 96 孔板，一分钟内可完成 384 孔板操作 </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 标配的快速定位旋钮，样品转移至 384 孔板时能够准确定位，防止样品加错</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两种型号可选，0.5-20ul， 2-220ul，实验结果</w:t>
            </w:r>
            <w:r>
              <w:rPr>
                <w:rFonts w:hint="eastAsia" w:ascii="宋体" w:hAnsi="宋体" w:cs="宋体"/>
                <w:color w:val="000000"/>
                <w:kern w:val="0"/>
                <w:sz w:val="24"/>
                <w:szCs w:val="24"/>
                <w:lang w:val="en-US" w:eastAsia="zh-CN" w:bidi="ar"/>
              </w:rPr>
              <w:t>可靠</w:t>
            </w:r>
            <w:r>
              <w:rPr>
                <w:rFonts w:hint="eastAsia" w:ascii="宋体" w:hAnsi="宋体" w:eastAsia="宋体" w:cs="宋体"/>
                <w:color w:val="000000"/>
                <w:kern w:val="0"/>
                <w:sz w:val="24"/>
                <w:szCs w:val="24"/>
                <w:lang w:bidi="ar"/>
              </w:rPr>
              <w:t>，具备绝佳的精确度和准确性</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bidi="ar"/>
              </w:rPr>
              <w:t>.</w:t>
            </w:r>
            <w:r>
              <w:rPr>
                <w:rFonts w:hint="eastAsia" w:ascii="宋体" w:hAnsi="宋体" w:eastAsia="宋体" w:cs="宋体"/>
                <w:sz w:val="24"/>
                <w:szCs w:val="24"/>
              </w:rPr>
              <w:t xml:space="preserve"> </w:t>
            </w:r>
            <w:r>
              <w:rPr>
                <w:rFonts w:hint="eastAsia" w:ascii="宋体" w:hAnsi="宋体" w:eastAsia="宋体" w:cs="宋体"/>
                <w:kern w:val="0"/>
                <w:sz w:val="24"/>
                <w:szCs w:val="24"/>
                <w:lang w:bidi="ar"/>
              </w:rPr>
              <w:t>尺寸：长：不高于300 mm；宽：不高于450 mm；高：不高于400 mm；</w:t>
            </w:r>
            <w:r>
              <w:rPr>
                <w:rFonts w:hint="eastAsia" w:ascii="宋体" w:hAnsi="宋体" w:eastAsia="宋体" w:cs="宋体"/>
                <w:color w:val="000000"/>
                <w:kern w:val="0"/>
                <w:sz w:val="24"/>
                <w:szCs w:val="24"/>
                <w:lang w:bidi="ar"/>
              </w:rPr>
              <w:t>可放置在桌面，或者安全柜中进行操作</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bidi="ar"/>
              </w:rPr>
              <w:t>. 可配备多种配件，如 384 孔微孔板适配器，样品加热底座等</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bidi="ar"/>
              </w:rPr>
              <w:t>. 配备位置控制杆，能</w:t>
            </w:r>
            <w:bookmarkStart w:id="975" w:name="_GoBack"/>
            <w:bookmarkEnd w:id="975"/>
            <w:r>
              <w:rPr>
                <w:rFonts w:hint="eastAsia" w:ascii="宋体" w:hAnsi="宋体" w:eastAsia="宋体" w:cs="宋体"/>
                <w:color w:val="000000"/>
                <w:kern w:val="0"/>
                <w:sz w:val="24"/>
                <w:szCs w:val="24"/>
                <w:lang w:bidi="ar"/>
              </w:rPr>
              <w:t>控制吸头进入液面的深度</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bidi="ar"/>
              </w:rPr>
              <w:t xml:space="preserve">.最大容许偏差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1）体积 2µl，  系统误差± 0.12µL，随机误差≤ 0.15µL，系统误差 6.00 % ，随机误差7.50 %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2）体积 5µl，  系统误差± 0.25µL，随机误差≤ 0.18µL，系统误差 5.00 % ，随机误差3.50 %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3）体积 20µl， 系统误差± 0.40µL，随机误差≤ 0.30µL，系统误差 2.00 % ，随机误差1.50 %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4）体积 100µl，系统误差± 1.00µL，随机误差≤ 0.80µL，系统误差 1.00% ，随机误差0.80 %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5）体积 200µl，系统误差± 1.60µL，随机误差≤ 0.80µL，系统误差 0.80% ，随机误差0.40 %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6）体积 220µl，系统误差± 1.80µL，随机误差)≤ 0.80µL，系统误差 0.82% ，随机误差0.36 %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配置：移液工作站主机一台，专用工具一套，润滑油1瓶</w:t>
            </w:r>
          </w:p>
        </w:tc>
        <w:tc>
          <w:tcPr>
            <w:tcW w:w="1251"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48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是</w:t>
            </w:r>
          </w:p>
        </w:tc>
        <w:tc>
          <w:tcPr>
            <w:tcW w:w="1177"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210,000.00 </w:t>
            </w:r>
          </w:p>
        </w:tc>
        <w:tc>
          <w:tcPr>
            <w:tcW w:w="1178"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210,000.00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49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立式压力蒸汽灭菌器</w:t>
            </w:r>
          </w:p>
        </w:tc>
        <w:tc>
          <w:tcPr>
            <w:tcW w:w="6542" w:type="dxa"/>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1、具有特种设备制造许可证</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2、随机附带压力容器质量证明书（包括压力容器产品合格证、特种设备制造监督检验证书、设计蓝图等）</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3、高性能，操作简单，全机型冷却风扇标准装备，</w:t>
            </w:r>
            <w:r>
              <w:rPr>
                <w:rFonts w:hint="eastAsia" w:ascii="宋体" w:hAnsi="宋体" w:cs="宋体"/>
                <w:color w:val="000000"/>
                <w:kern w:val="0"/>
                <w:sz w:val="24"/>
                <w:szCs w:val="24"/>
                <w:lang w:val="en-US" w:eastAsia="zh-CN" w:bidi="ar"/>
              </w:rPr>
              <w:t>可</w:t>
            </w:r>
            <w:r>
              <w:rPr>
                <w:rFonts w:hint="eastAsia" w:ascii="宋体" w:hAnsi="宋体" w:eastAsia="宋体" w:cs="宋体"/>
                <w:color w:val="000000"/>
                <w:kern w:val="0"/>
                <w:sz w:val="24"/>
                <w:szCs w:val="24"/>
                <w:lang w:bidi="ar"/>
              </w:rPr>
              <w:t>缩短降温时间，提高工作效率，大幅缩短等待时间</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翻盖式高性能高压蒸汽灭菌器，最高使用温度为135℃，可以作为蛋白改质之用，不管是通常的灭菌还是培养基和液体的灭菌，或者是培养基的溶解都能简单设定，简单操作除了各种灭菌程序设定之外，也可以任意进行工程设定，反复运行</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5、数码式操作控制面设置在盖子的前侧，容易查看，使用方便</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6、槽内温度及推移过程通过LED实时显示监测</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7、设有三重压力盖开启保护锁，各种安全保护措施充分。电源规格：AC200V—240V，10.5A-12.5A</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8、搭载定时开始和预热功能，可以根据实际情况有效利用自己的时间，方便操作人员</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9、灭菌器内腔采用3mm厚不锈钢制作，表面经镜面抛光、防腐处理。设计使用寿命20年；设计压力0.42Mpa,设计温度151℃</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10、GLP/GMP检测规则对应</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11、温度控制、显示精度：0.1℃；使用温度范围：45--135℃</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45-80℃（预热温度）  45-60℃（保温工程） 65-100℃（溶解工程）105-135℃（灭菌工程）</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12、最高使用压力：0.26MPa，压力表和压力安全阀都可方便的进行拆卸，以便校验</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13、使用环境温度：5-35℃</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14、手动上下翻盖开启式（附有安全锁定机构），节约占地空间</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15、排气阀：全开放用和慢开放用各一个</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16、其他配置用接口：样品传感器用（1/4），记录仪用（1/4），压力表用（电磁阀配管分支）</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17、冷却风扇：轴流风扇马达</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18、加热器：100V， 1500W×2</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19、控制器：微电脑PID控制，对话型输入型式，避免重复输入；上下键数码设定显示</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20、定时功能（任意模式）：定时0或者1分—99小时59分，分解能力：1分</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21、运行模式：器具灭菌模式，液体灭菌模式，灭菌保温模式，溶解保温模式，手动操作模式</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22、其他功能：键盘锁定功能、预约功能、记忆功能、预热功能、强制冷却功能、试料温度传感器（选购）、程序锁功能、警报发生记录功能（20件）、时间积算显示、时间显示、操作音ON/OFF设定功能</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23、安全装置：传感器异常、SSR短路、加热器断线、防止空烧（液胀式温控器）、冷却水箱异常警告、排水箱未设置警告、压力盖锁定异常、内存异常、压力安全阀（0.26MPa）、专门蒸汽接收杯、过电流漏电保护开关、异常时自动中止运行并进行蜂鸣警报和故障显示、独立防止过温功能、安全阀</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24、外形尺寸：宽：不低于520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直径：不低于660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高：不低于1161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25、罐内有效尺寸：内径370×750mm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26、罐体有效容积：80L</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27、本体重量：约120kg</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28、附属品：提篮2个, 蒸汽接收杯1个，冷却水壶1个，加热器挡板1个，过滤器1个，排水管1根，抱箍2个，灭菌效果测试卡30片,长臂夹</w:t>
            </w:r>
            <w:r>
              <w:rPr>
                <w:rFonts w:hint="eastAsia" w:ascii="宋体" w:hAnsi="宋体" w:cs="宋体"/>
                <w:color w:val="000000"/>
                <w:kern w:val="0"/>
                <w:sz w:val="24"/>
                <w:szCs w:val="24"/>
                <w:lang w:eastAsia="zh-CN" w:bidi="ar"/>
              </w:rPr>
              <w:t>。</w:t>
            </w:r>
          </w:p>
        </w:tc>
        <w:tc>
          <w:tcPr>
            <w:tcW w:w="1251"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48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c>
          <w:tcPr>
            <w:tcW w:w="1177"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56,000.00 </w:t>
            </w:r>
          </w:p>
        </w:tc>
        <w:tc>
          <w:tcPr>
            <w:tcW w:w="1178"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56,000.00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34"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49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立式二氧化碳振荡培养箱</w:t>
            </w:r>
          </w:p>
        </w:tc>
        <w:tc>
          <w:tcPr>
            <w:tcW w:w="654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1.立式双层摇板设计，节省占地空间</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2.优质不锈钢镜面工作室，易清洁，防腐蚀。静电喷塑外壳，经久耐用。</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3.中空钢化玻璃门，方便观察内部情况。弹压式透气孔设计，满足样品对氧气的需求。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4.采用高精密16位真彩触摸屏电脑控制系统。所有功能显示及设定值在同一界面显示，观察更直观。</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5.控制系统集成照明灯和紫外灭菌功能，便于观察和灭菌。</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6.具有超温声光报警、自动断电功能。具有故障自诊断功能。</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7.具有门控功能，开门自动停止转动。</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8.振荡频率 30-300rpm</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#9.振荡频率精度 ±1rpm</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#10.摇板振幅 Ф26mm</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#10.1温控范围 4～65℃</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#10.2温度分辨率 0.1℃</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#10.3温度均匀度 ±0.3 （37℃时）</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#10.4 CO2传感器；CO2控量范围 0-20%；CO2温控范围 4-60℃；CO2分布均一性 0.1%；CO2控温精度 0.1%</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11.控制方式 P．I．D 微电脑智能控制</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12.摇板尺寸(mm) 439×528mm/2块</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13.单层最大容量（ml× 支） 100m×42或250ml×25或500ml×16或1000ml×9或2000ml×6</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14.单层标配容量（ml× 支） 100m×25或250ml×20或500ml×12或1000ml×6或2000ml×4</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15.出厂标配规格: 2层（下层固定夹具500ml×12，上层万用弹簧夹具）</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15.1定时范围 0～9999 分钟（小时）</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15.2功率（kw） 1.3</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15.3电源 AC220±10% 50～60Hz</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单层外形尺寸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长：不低于740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宽：不低于780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高：不低于1260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单层包装尺寸：</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长：不低于860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宽：不低于860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高：不低于1435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单层净重（kg） 160-180</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#16.附属配件一套包含温湿度监控记录仪，气路、管件、流量阀、气瓶含99.99%的二氧化碳。</w:t>
            </w:r>
          </w:p>
        </w:tc>
        <w:tc>
          <w:tcPr>
            <w:tcW w:w="1251"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48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c>
          <w:tcPr>
            <w:tcW w:w="1177"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47,900.00 </w:t>
            </w:r>
          </w:p>
        </w:tc>
        <w:tc>
          <w:tcPr>
            <w:tcW w:w="1178"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47,900.00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34"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49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核酸提取仪</w:t>
            </w:r>
          </w:p>
        </w:tc>
        <w:tc>
          <w:tcPr>
            <w:tcW w:w="6542" w:type="dxa"/>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处理样品数 1-32个样品/次</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处理样品范围  20~1000μl</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使用耗材 96深孔板+磁棒套</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操作湿度范围 10%~90%</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操作温度范围 10℃~40℃</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磁珠收集效率 ≥98%</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提纯孔间差（CV） &lt;3%</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加热温度控制范围 裂解加热温度：室温+5℃~125℃</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洗脱加热温度：室温+5℃~125℃</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振荡混合</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多模式多档可调</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消毒去污染方式</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紫外灯照射</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条码扫描</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用户可选</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试剂类型</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磁珠法核酸纯化试剂</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操作系统</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Windows7/8</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控制电脑</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平板电脑、PC/Laptop</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接口方式</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USB，RS232数据接口，蓝牙，Wifi</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程序管理</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新建、编辑、删除模式程序；自由灵活编辑提取程序</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外形尺寸（mm）</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长：不低于372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宽：不低于430 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高：不低于440 mm；</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电源 AC100-240V   50Hz/60Hz   600W</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净重 31kg-34kg</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操作温度范围 10℃-40℃</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操作湿度范围 10%-90%</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highlight w:val="none"/>
                <w:lang w:val="en-US" w:eastAsia="zh-CN" w:bidi="ar"/>
              </w:rPr>
              <w:t>须</w:t>
            </w:r>
            <w:r>
              <w:rPr>
                <w:rFonts w:hint="eastAsia" w:ascii="宋体" w:hAnsi="宋体" w:eastAsia="宋体" w:cs="宋体"/>
                <w:color w:val="000000"/>
                <w:kern w:val="0"/>
                <w:sz w:val="24"/>
                <w:szCs w:val="24"/>
                <w:highlight w:val="none"/>
                <w:lang w:bidi="ar"/>
              </w:rPr>
              <w:t>提供该产品《第一类医疗器械备案凭证》</w:t>
            </w:r>
          </w:p>
        </w:tc>
        <w:tc>
          <w:tcPr>
            <w:tcW w:w="1251"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48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c>
          <w:tcPr>
            <w:tcW w:w="1177"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70,000.00 </w:t>
            </w:r>
          </w:p>
        </w:tc>
        <w:tc>
          <w:tcPr>
            <w:tcW w:w="1178"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70,000.00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34"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49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组织研磨低温均质仪</w:t>
            </w:r>
          </w:p>
        </w:tc>
        <w:tc>
          <w:tcPr>
            <w:tcW w:w="6542" w:type="dxa"/>
            <w:vAlign w:val="center"/>
          </w:tcPr>
          <w:p>
            <w:pPr>
              <w:widowControl/>
              <w:numPr>
                <w:ilvl w:val="0"/>
                <w:numId w:val="15"/>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样本通量：1-24个样本同时研磨，通量大，效率高。 </w:t>
            </w:r>
          </w:p>
          <w:p>
            <w:pPr>
              <w:widowControl/>
              <w:numPr>
                <w:ilvl w:val="0"/>
                <w:numId w:val="15"/>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快速研磨：30-60 sec均质样本。</w:t>
            </w:r>
          </w:p>
          <w:p>
            <w:pPr>
              <w:widowControl/>
              <w:numPr>
                <w:ilvl w:val="0"/>
                <w:numId w:val="15"/>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低温环境：-10°C低温环境，有效避免核酸降解、蛋白变性。</w:t>
            </w:r>
          </w:p>
          <w:p>
            <w:pPr>
              <w:widowControl/>
              <w:numPr>
                <w:ilvl w:val="0"/>
                <w:numId w:val="15"/>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研磨效果：力度大、效果均一、无交叉污染。</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5.可用于各类样本提取DNA、RNA及其他生物活性物质的研磨处理。</w:t>
            </w:r>
          </w:p>
        </w:tc>
        <w:tc>
          <w:tcPr>
            <w:tcW w:w="1251"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48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c>
          <w:tcPr>
            <w:tcW w:w="1177"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49,800.00 </w:t>
            </w:r>
          </w:p>
        </w:tc>
        <w:tc>
          <w:tcPr>
            <w:tcW w:w="1178"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49,800.00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834"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49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智能型IVC</w:t>
            </w:r>
          </w:p>
        </w:tc>
        <w:tc>
          <w:tcPr>
            <w:tcW w:w="6542" w:type="dxa"/>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1，产品用途：用于实验室饲养SPF级小鼠，能实现实验动物生存空间的严格微生物控制，防止不同笼盒间交叉感染；</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2，电源：220V/50 Hz，功率≤350W，主机外罩材质采用吸塑前罩+碳钢喷塑侧罩；主机同笼架分离，连接笼架后的主机有效宽≤330mm；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3，采用性能稳定的EC直流离心风机，风机转子直径≥140mm，单风机在无背压下最大风量≥500m³/h，风机自带蜗壳和调速功能，提供风机铭牌及对应参数表；</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4，采用双风机结构（2个进风机，2个排风机），一备一用，风机采用串联方式，保证在单风机有故障的情况下送排风的可靠性，提供照片证明；</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5，控制系统：采用工业级PLC处理器，支持TCP/IP等众多网络协议，不接受电路板、一体机等其他控制方式，提供照片证明；</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6，采用彩色触摸屏，屏幕尺寸≥7寸；分辨率≥800 × 480；</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7，采用风速传感器在线检测系统换气次数，换气次数应为实时检测值，提供风速传感器实物照片；</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8，触摸屏实时显示笼盒压差、换气次数、温度、湿度、过滤器使用时间等信息，使用信息异常会报警。提供照片证明；</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9，温湿度传感器安装于排风口附近，测得温度湿度为笼内排出气体的真实温度湿度，不接受测得房间内温湿度或只测试笼盒内的温湿度，提供照片证明；</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10，换气次数≥40次/h（可调），运行噪音≤50dB，提供具有CNAS认证的第三方机构出具的检测报告；</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进排风处至少提供初、高效两级过滤，高效过滤效率≥99.995%，高效过滤器应带出厂测试报告，高效过滤器的截面面积应≥0.09㎡，通风量应≥250m³/h，笼盒内空气洁净度不低于ISO5级。提供高效过滤器尺寸证明及笼内洁净度等级的第三方检测报告；</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12，具有昼夜运行模式，夜间主机运行或报警指示灯的灯光不会影响动物休息，提供证明；</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r>
              <w:rPr>
                <w:rFonts w:hint="eastAsia" w:ascii="宋体" w:hAnsi="宋体" w:cs="宋体"/>
                <w:color w:val="000000"/>
                <w:kern w:val="0"/>
                <w:sz w:val="24"/>
                <w:szCs w:val="24"/>
                <w:lang w:val="en-US" w:eastAsia="zh-CN" w:bidi="ar"/>
              </w:rPr>
              <w:t>配备小鼠笼盒：70个，</w:t>
            </w:r>
            <w:r>
              <w:rPr>
                <w:rFonts w:hint="eastAsia" w:ascii="宋体" w:hAnsi="宋体" w:eastAsia="宋体" w:cs="宋体"/>
                <w:color w:val="000000"/>
                <w:kern w:val="0"/>
                <w:sz w:val="24"/>
                <w:szCs w:val="24"/>
                <w:lang w:bidi="ar"/>
              </w:rPr>
              <w:t>小鼠笼盒尺寸（宽×深×高）≥205×388×165mm（带标牌插槽、饮水瓶），笼盒底面积＞533cm²，符合《GB14925实验动物环境及设施》相关要求；</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r>
              <w:rPr>
                <w:rFonts w:hint="eastAsia" w:ascii="宋体" w:hAnsi="宋体" w:cs="宋体"/>
                <w:color w:val="000000"/>
                <w:kern w:val="0"/>
                <w:sz w:val="24"/>
                <w:szCs w:val="24"/>
                <w:lang w:val="en-US" w:eastAsia="zh-CN" w:bidi="ar"/>
              </w:rPr>
              <w:t>配备大鼠笼盒：60个，</w:t>
            </w:r>
            <w:r>
              <w:rPr>
                <w:rFonts w:hint="eastAsia" w:ascii="宋体" w:hAnsi="宋体" w:eastAsia="宋体" w:cs="宋体"/>
                <w:color w:val="000000"/>
                <w:kern w:val="0"/>
                <w:sz w:val="24"/>
                <w:szCs w:val="24"/>
                <w:lang w:bidi="ar"/>
              </w:rPr>
              <w:t>大鼠笼盒尺寸笼盒尺寸（宽深高）465×275×255mm（带饮水瓶和标牌插槽），盒体高度≥18cm，符合《GB14925实验动物环境及设施》相关要求；</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15，笼盒采用聚砜（PSU）材料，严禁使用回收料，耐高压灭菌温度≥134℃，保证灭菌150次不变形，提供相应的材质证明材料；</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16，笼盒密封采用侧密封结构，胶条安装于盒底侧边，密封性能好，操作方便，提供密封结构实物照片证明；</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17，标牌插槽可掰平90°保持位置，便于对异常笼盒进行标记，提供实物照片证明；</w:t>
            </w:r>
          </w:p>
          <w:p>
            <w:pPr>
              <w:tabs>
                <w:tab w:val="left" w:pos="142"/>
              </w:tabs>
              <w:rPr>
                <w:rFonts w:hint="eastAsia" w:ascii="宋体" w:hAnsi="宋体" w:eastAsia="宋体" w:cs="宋体"/>
                <w:bCs/>
                <w:kern w:val="0"/>
                <w:sz w:val="24"/>
                <w:szCs w:val="24"/>
              </w:rPr>
            </w:pPr>
            <w:r>
              <w:rPr>
                <w:rFonts w:hint="eastAsia" w:ascii="宋体" w:hAnsi="宋体" w:eastAsia="宋体" w:cs="宋体"/>
                <w:bCs/>
                <w:kern w:val="0"/>
                <w:sz w:val="24"/>
                <w:szCs w:val="24"/>
              </w:rPr>
              <w:t>18，外置式饮水瓶，聚亚苯基砜（PPSU）材料，瓶嘴为316L不锈钢或更优材质，表面经研磨处理防止水的表面张力造成不出水或漏水现象；</w:t>
            </w:r>
          </w:p>
          <w:p>
            <w:pPr>
              <w:tabs>
                <w:tab w:val="left" w:pos="142"/>
              </w:tabs>
              <w:rPr>
                <w:rFonts w:hint="eastAsia" w:ascii="宋体" w:hAnsi="宋体" w:eastAsia="宋体" w:cs="宋体"/>
                <w:bCs/>
                <w:kern w:val="0"/>
                <w:sz w:val="24"/>
                <w:szCs w:val="24"/>
              </w:rPr>
            </w:pPr>
            <w:r>
              <w:rPr>
                <w:rFonts w:hint="eastAsia" w:ascii="宋体" w:hAnsi="宋体" w:eastAsia="宋体" w:cs="宋体"/>
                <w:bCs/>
                <w:kern w:val="0"/>
                <w:sz w:val="24"/>
                <w:szCs w:val="24"/>
              </w:rPr>
              <w:t>19，笼盒采用一体式搭扣结构设计，搭扣与盒底注塑一体成型，使用简单方便，不易损坏，提供产品实物照片证明；</w:t>
            </w:r>
          </w:p>
          <w:p>
            <w:pPr>
              <w:tabs>
                <w:tab w:val="left" w:pos="142"/>
              </w:tabs>
              <w:rPr>
                <w:rFonts w:hint="eastAsia" w:ascii="宋体" w:hAnsi="宋体" w:eastAsia="宋体" w:cs="宋体"/>
                <w:bCs/>
                <w:kern w:val="0"/>
                <w:sz w:val="24"/>
                <w:szCs w:val="24"/>
              </w:rPr>
            </w:pPr>
            <w:r>
              <w:rPr>
                <w:rFonts w:hint="eastAsia" w:ascii="宋体" w:hAnsi="宋体" w:eastAsia="宋体" w:cs="宋体"/>
                <w:bCs/>
                <w:kern w:val="0"/>
                <w:sz w:val="24"/>
                <w:szCs w:val="24"/>
              </w:rPr>
              <w:t>20，笼盒进风口预留进风散流罩安装结构，便于根据需求增加笼盒进风散流罩，提供实物照片证明；</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bCs/>
                <w:kern w:val="0"/>
                <w:sz w:val="24"/>
                <w:szCs w:val="24"/>
              </w:rPr>
              <w:t>21，笼盒回风口预留过滤装置安装结构，便于根据需求增加笼盒排风过滤，防止笼盒内的粉尘、毛发等进入笼架内，提供实物照片证明。</w:t>
            </w:r>
          </w:p>
        </w:tc>
        <w:tc>
          <w:tcPr>
            <w:tcW w:w="1251"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482" w:type="dxa"/>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否</w:t>
            </w:r>
          </w:p>
        </w:tc>
        <w:tc>
          <w:tcPr>
            <w:tcW w:w="1177"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138,000.00 </w:t>
            </w:r>
          </w:p>
        </w:tc>
        <w:tc>
          <w:tcPr>
            <w:tcW w:w="1178" w:type="dxa"/>
            <w:vAlign w:val="center"/>
          </w:tcPr>
          <w:p>
            <w:pPr>
              <w:widowControl/>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138,000.00 </w:t>
            </w:r>
          </w:p>
        </w:tc>
      </w:tr>
    </w:tbl>
    <w:p>
      <w:pPr>
        <w:widowControl/>
        <w:jc w:val="left"/>
        <w:textAlignment w:val="center"/>
        <w:rPr>
          <w:rFonts w:ascii="宋体" w:hAnsi="宋体" w:cs="宋体"/>
          <w:b/>
          <w:bCs/>
          <w:color w:val="000000"/>
          <w:kern w:val="0"/>
          <w:szCs w:val="21"/>
          <w:lang w:bidi="ar"/>
        </w:rPr>
      </w:pPr>
    </w:p>
    <w:p>
      <w:pPr>
        <w:widowControl/>
        <w:jc w:val="left"/>
        <w:textAlignment w:val="center"/>
        <w:rPr>
          <w:rFonts w:ascii="宋体" w:hAnsi="宋体"/>
          <w:b/>
          <w:bCs/>
          <w:sz w:val="24"/>
          <w:szCs w:val="32"/>
        </w:rPr>
      </w:pPr>
      <w:r>
        <w:rPr>
          <w:rFonts w:hint="eastAsia" w:ascii="宋体" w:hAnsi="宋体" w:cs="宋体"/>
          <w:b/>
          <w:bCs/>
          <w:color w:val="000000"/>
          <w:kern w:val="0"/>
          <w:szCs w:val="21"/>
          <w:lang w:bidi="ar"/>
        </w:rPr>
        <w:t>备注：</w:t>
      </w:r>
    </w:p>
    <w:p>
      <w:pPr>
        <w:numPr>
          <w:ilvl w:val="0"/>
          <w:numId w:val="16"/>
        </w:numPr>
        <w:spacing w:line="480" w:lineRule="auto"/>
        <w:jc w:val="left"/>
        <w:rPr>
          <w:rFonts w:ascii="宋体" w:hAnsi="宋体"/>
          <w:b/>
          <w:bCs/>
        </w:rPr>
      </w:pPr>
      <w:r>
        <w:rPr>
          <w:rFonts w:hint="eastAsia" w:ascii="宋体" w:hAnsi="宋体" w:eastAsia="宋体" w:cs="宋体"/>
          <w:b/>
          <w:bCs/>
        </w:rPr>
        <w:t>*</w:t>
      </w:r>
      <w:r>
        <w:rPr>
          <w:rFonts w:hint="eastAsia" w:ascii="宋体" w:hAnsi="宋体"/>
          <w:b/>
          <w:bCs/>
        </w:rPr>
        <w:t>本项目的第</w:t>
      </w:r>
      <w:r>
        <w:rPr>
          <w:rFonts w:hint="eastAsia" w:ascii="宋体" w:hAnsi="宋体"/>
          <w:b/>
          <w:bCs/>
          <w:lang w:val="en-US" w:eastAsia="zh-CN"/>
        </w:rPr>
        <w:t>3、</w:t>
      </w:r>
      <w:r>
        <w:rPr>
          <w:rFonts w:hint="eastAsia" w:ascii="宋体" w:hAnsi="宋体"/>
          <w:b/>
          <w:bCs/>
        </w:rPr>
        <w:t>7、11等</w:t>
      </w:r>
      <w:r>
        <w:rPr>
          <w:rFonts w:hint="eastAsia" w:ascii="宋体" w:hAnsi="宋体"/>
          <w:b/>
          <w:bCs/>
          <w:lang w:val="en-US" w:eastAsia="zh-CN"/>
        </w:rPr>
        <w:t>2</w:t>
      </w:r>
      <w:r>
        <w:rPr>
          <w:rFonts w:hint="eastAsia" w:ascii="宋体" w:hAnsi="宋体"/>
          <w:b/>
          <w:bCs/>
        </w:rPr>
        <w:t>项产品允许进口产品投标；其它项产品不接受进口产品投标。否则投标将被拒绝。</w:t>
      </w:r>
    </w:p>
    <w:p>
      <w:pPr>
        <w:numPr>
          <w:ilvl w:val="0"/>
          <w:numId w:val="16"/>
        </w:numPr>
        <w:spacing w:line="480" w:lineRule="auto"/>
        <w:jc w:val="left"/>
        <w:rPr>
          <w:rFonts w:ascii="宋体" w:hAnsi="宋体"/>
          <w:b/>
          <w:bCs/>
        </w:rPr>
      </w:pPr>
      <w:r>
        <w:rPr>
          <w:rFonts w:hint="eastAsia" w:ascii="宋体" w:hAnsi="宋体" w:eastAsia="宋体" w:cs="宋体"/>
          <w:b/>
          <w:bCs/>
        </w:rPr>
        <w:t>*</w:t>
      </w:r>
      <w:r>
        <w:rPr>
          <w:rFonts w:hint="eastAsia" w:ascii="宋体" w:hAnsi="宋体"/>
          <w:b/>
          <w:bCs/>
        </w:rPr>
        <w:t>本项目的7、11等</w:t>
      </w:r>
      <w:r>
        <w:rPr>
          <w:rFonts w:hint="eastAsia" w:ascii="宋体" w:hAnsi="宋体"/>
          <w:b/>
          <w:bCs/>
          <w:lang w:val="en-US" w:eastAsia="zh-CN"/>
        </w:rPr>
        <w:t>2</w:t>
      </w:r>
      <w:r>
        <w:rPr>
          <w:rFonts w:hint="eastAsia" w:ascii="宋体" w:hAnsi="宋体"/>
          <w:b/>
          <w:bCs/>
        </w:rPr>
        <w:t>项产品如代理商投标，须提供产品制造厂家或官方区域总代理商出具的针对本项目的厂家授权书原件。</w:t>
      </w:r>
    </w:p>
    <w:p>
      <w:pPr>
        <w:numPr>
          <w:ilvl w:val="0"/>
          <w:numId w:val="16"/>
        </w:numPr>
        <w:spacing w:line="480" w:lineRule="auto"/>
        <w:jc w:val="left"/>
        <w:rPr>
          <w:rFonts w:ascii="宋体" w:hAnsi="宋体"/>
          <w:b/>
          <w:bCs/>
        </w:rPr>
      </w:pPr>
      <w:r>
        <w:rPr>
          <w:rFonts w:hint="eastAsia" w:ascii="宋体" w:hAnsi="宋体"/>
          <w:b/>
          <w:bCs/>
          <w:color w:val="auto"/>
        </w:rPr>
        <w:t>本项目的第</w:t>
      </w:r>
      <w:r>
        <w:rPr>
          <w:rFonts w:hint="eastAsia" w:ascii="宋体" w:hAnsi="宋体"/>
          <w:b/>
          <w:bCs/>
          <w:color w:val="auto"/>
          <w:lang w:val="en-US" w:eastAsia="zh-CN"/>
        </w:rPr>
        <w:t>14</w:t>
      </w:r>
      <w:r>
        <w:rPr>
          <w:rFonts w:hint="eastAsia" w:ascii="宋体" w:hAnsi="宋体"/>
          <w:b/>
          <w:bCs/>
          <w:color w:val="auto"/>
        </w:rPr>
        <w:t>项</w:t>
      </w:r>
      <w:r>
        <w:rPr>
          <w:rFonts w:hint="eastAsia" w:ascii="宋体" w:hAnsi="宋体"/>
          <w:b/>
          <w:bCs/>
          <w:color w:val="auto"/>
          <w:u w:val="single"/>
        </w:rPr>
        <w:t xml:space="preserve"> </w:t>
      </w:r>
      <w:r>
        <w:rPr>
          <w:rFonts w:hint="eastAsia" w:ascii="宋体" w:hAnsi="宋体"/>
          <w:b/>
          <w:bCs/>
          <w:u w:val="single"/>
        </w:rPr>
        <w:t>核酸提取仪 为</w:t>
      </w:r>
      <w:r>
        <w:rPr>
          <w:rFonts w:hint="eastAsia" w:ascii="宋体" w:hAnsi="宋体"/>
          <w:b/>
          <w:bCs/>
          <w:color w:val="auto"/>
        </w:rPr>
        <w:t>本次采购的核心</w:t>
      </w:r>
      <w:r>
        <w:rPr>
          <w:rFonts w:hint="eastAsia" w:ascii="宋体" w:hAnsi="宋体"/>
          <w:b/>
          <w:bCs/>
        </w:rPr>
        <w:t>产品，如本项目采购的全部产品或核心产品，不同投标人提供相同品牌产品且通过资格审查、符合性审查的同一合同项下投标的，按一家投标人计算，评审后得分最高的同品牌投标人获得中标人推荐资格；评审得分相同的，价格分高的获得中标人推荐资格；如评审得分和价格分均相同，则采取随机抽取方式确定，其他同品牌投标人不作为中标候选人。</w:t>
      </w:r>
    </w:p>
    <w:p>
      <w:pPr>
        <w:numPr>
          <w:ilvl w:val="0"/>
          <w:numId w:val="16"/>
        </w:numPr>
        <w:spacing w:line="480" w:lineRule="auto"/>
        <w:ind w:left="0" w:leftChars="0" w:firstLine="0" w:firstLineChars="0"/>
        <w:jc w:val="left"/>
        <w:rPr>
          <w:rFonts w:ascii="宋体" w:hAnsi="宋体"/>
          <w:b/>
          <w:bCs/>
        </w:rPr>
      </w:pPr>
      <w:r>
        <w:rPr>
          <w:rFonts w:ascii="宋体" w:hAnsi="宋体"/>
          <w:b/>
          <w:bCs/>
        </w:rPr>
        <w:t>本招标文件不指定产品品牌</w:t>
      </w:r>
      <w:r>
        <w:rPr>
          <w:rFonts w:hint="eastAsia" w:ascii="宋体" w:hAnsi="宋体"/>
          <w:b/>
          <w:bCs/>
        </w:rPr>
        <w:t>与型号</w:t>
      </w:r>
      <w:r>
        <w:rPr>
          <w:rFonts w:ascii="宋体" w:hAnsi="宋体"/>
          <w:b/>
          <w:bCs/>
        </w:rPr>
        <w:t>，但应按照高端</w:t>
      </w:r>
      <w:r>
        <w:rPr>
          <w:rFonts w:hint="eastAsia" w:ascii="宋体" w:hAnsi="宋体"/>
          <w:b/>
          <w:bCs/>
        </w:rPr>
        <w:t>品牌</w:t>
      </w:r>
      <w:r>
        <w:rPr>
          <w:rFonts w:ascii="宋体" w:hAnsi="宋体"/>
          <w:b/>
          <w:bCs/>
        </w:rPr>
        <w:t>配置；技术要求文件中如果出现了某品牌产品的规格和参数，其目的是为了方便投标人直观和准确地把握相应材料和设备的技术标准，不具任何品牌指向性，投标人应当按照本招标文件所列规格和参数需求投标，提供相当于或高于所列技术标准的设备</w:t>
      </w:r>
      <w:r>
        <w:rPr>
          <w:rFonts w:hint="eastAsia" w:ascii="宋体" w:hAnsi="宋体"/>
          <w:b/>
          <w:bCs/>
        </w:rPr>
        <w:t>（如投标人所提供产品的规格和参数和招标文件表述不一致，但投标人认为能满足或优于招标文件所列规格和参数需求，投标人需提供有效的证明文件，包括生产厂商证明文件以</w:t>
      </w:r>
      <w:bookmarkStart w:id="823" w:name="_Hlk69141001"/>
      <w:r>
        <w:rPr>
          <w:rFonts w:hint="eastAsia" w:ascii="宋体" w:hAnsi="宋体"/>
          <w:b/>
          <w:bCs/>
        </w:rPr>
        <w:t>厂家公开发布的印刷资料、产品彩页</w:t>
      </w:r>
      <w:r>
        <w:rPr>
          <w:rFonts w:hint="eastAsia" w:ascii="宋体" w:hAnsi="宋体"/>
          <w:b/>
          <w:bCs/>
          <w:lang w:val="en-US" w:eastAsia="zh-CN"/>
        </w:rPr>
        <w:t>等</w:t>
      </w:r>
      <w:r>
        <w:rPr>
          <w:rFonts w:hint="eastAsia" w:ascii="宋体" w:hAnsi="宋体"/>
          <w:b/>
          <w:bCs/>
        </w:rPr>
        <w:t>和由有关政府部门或者检测机构</w:t>
      </w:r>
      <w:r>
        <w:rPr>
          <w:rFonts w:hint="eastAsia" w:ascii="宋体" w:hAnsi="宋体"/>
          <w:b/>
          <w:bCs/>
          <w:lang w:val="en-US" w:eastAsia="zh-CN"/>
        </w:rPr>
        <w:t>等部门</w:t>
      </w:r>
      <w:r>
        <w:rPr>
          <w:rFonts w:hint="eastAsia" w:ascii="宋体" w:hAnsi="宋体"/>
          <w:b/>
          <w:bCs/>
        </w:rPr>
        <w:t>合法出具的文件或者报告</w:t>
      </w:r>
      <w:bookmarkEnd w:id="823"/>
      <w:r>
        <w:rPr>
          <w:rFonts w:hint="eastAsia" w:ascii="宋体" w:hAnsi="宋体"/>
          <w:b/>
          <w:bCs/>
        </w:rPr>
        <w:t>）</w:t>
      </w:r>
      <w:r>
        <w:rPr>
          <w:rFonts w:ascii="宋体" w:hAnsi="宋体"/>
          <w:b/>
          <w:bCs/>
        </w:rPr>
        <w:t xml:space="preserve">。 </w:t>
      </w:r>
      <w:r>
        <w:rPr>
          <w:rFonts w:hint="eastAsia" w:ascii="宋体" w:hAnsi="宋体"/>
          <w:b/>
          <w:bCs/>
          <w:lang w:val="en-US" w:eastAsia="zh-CN"/>
        </w:rPr>
        <w:t>本次招标的所有产品，供应商中标后应提供货物的合法来源，保证所有产品为全新、合格产品，进口产品应符合国家相关规定。</w:t>
      </w:r>
    </w:p>
    <w:p>
      <w:pPr>
        <w:numPr>
          <w:ilvl w:val="0"/>
          <w:numId w:val="16"/>
        </w:numPr>
        <w:spacing w:line="480" w:lineRule="auto"/>
        <w:ind w:left="0" w:leftChars="0" w:firstLine="0" w:firstLineChars="0"/>
        <w:jc w:val="left"/>
        <w:rPr>
          <w:rFonts w:ascii="宋体" w:hAnsi="宋体"/>
          <w:b/>
          <w:bCs/>
        </w:rPr>
      </w:pPr>
      <w:r>
        <w:rPr>
          <w:rFonts w:hint="eastAsia" w:ascii="宋体" w:hAnsi="宋体" w:eastAsia="宋体" w:cs="宋体"/>
          <w:b/>
          <w:bCs/>
        </w:rPr>
        <w:t>*</w:t>
      </w:r>
      <w:r>
        <w:rPr>
          <w:rFonts w:hint="eastAsia" w:ascii="宋体" w:hAnsi="宋体" w:eastAsia="宋体" w:cs="宋体"/>
          <w:color w:val="000000"/>
          <w:kern w:val="0"/>
          <w:sz w:val="24"/>
          <w:szCs w:val="24"/>
          <w:lang w:eastAsia="zh-CN" w:bidi="ar"/>
        </w:rPr>
        <w:t>★</w:t>
      </w:r>
      <w:r>
        <w:rPr>
          <w:rFonts w:hint="eastAsia" w:ascii="宋体" w:hAnsi="宋体"/>
          <w:b/>
          <w:bCs/>
          <w:szCs w:val="24"/>
        </w:rPr>
        <w:t>号条款为实质性条款，供应商必须按采购文件要求进行响应，否则按无效</w:t>
      </w:r>
      <w:r>
        <w:rPr>
          <w:rFonts w:hint="eastAsia" w:ascii="宋体" w:hAnsi="宋体"/>
          <w:b/>
          <w:bCs/>
          <w:szCs w:val="24"/>
          <w:lang w:val="en-US" w:eastAsia="zh-CN"/>
        </w:rPr>
        <w:t>投标</w:t>
      </w:r>
      <w:r>
        <w:rPr>
          <w:rFonts w:hint="eastAsia" w:ascii="宋体" w:hAnsi="宋体"/>
          <w:b/>
          <w:bCs/>
          <w:szCs w:val="24"/>
        </w:rPr>
        <w:t>处理。</w:t>
      </w:r>
    </w:p>
    <w:p>
      <w:pPr>
        <w:spacing w:after="240" w:afterLines="100"/>
        <w:rPr>
          <w:rFonts w:hint="eastAsia" w:ascii="宋体" w:hAnsi="宋体" w:eastAsia="宋体" w:cs="Times New Roman"/>
          <w:b/>
          <w:bCs/>
          <w:szCs w:val="24"/>
        </w:rPr>
      </w:pPr>
      <w:r>
        <w:rPr>
          <w:rFonts w:hint="eastAsia" w:ascii="宋体" w:hAnsi="宋体"/>
          <w:b/>
          <w:sz w:val="24"/>
          <w:szCs w:val="24"/>
          <w:lang w:val="en-US" w:eastAsia="zh-CN"/>
        </w:rPr>
        <w:t>6、</w:t>
      </w:r>
      <w:r>
        <w:rPr>
          <w:rFonts w:hint="eastAsia" w:ascii="宋体" w:hAnsi="宋体" w:eastAsia="宋体" w:cs="宋体"/>
          <w:b/>
          <w:bCs/>
        </w:rPr>
        <w:t>*</w:t>
      </w:r>
      <w:r>
        <w:rPr>
          <w:rFonts w:hint="eastAsia" w:ascii="宋体" w:hAnsi="宋体" w:eastAsia="宋体" w:cs="Times New Roman"/>
          <w:b/>
          <w:bCs/>
          <w:szCs w:val="24"/>
        </w:rPr>
        <w:t>本项目实行分项价格控制，超过单价最高限价或最高限价总价的，其</w:t>
      </w:r>
      <w:r>
        <w:rPr>
          <w:rFonts w:hint="eastAsia" w:ascii="宋体" w:hAnsi="宋体" w:eastAsia="宋体" w:cs="Times New Roman"/>
          <w:b/>
          <w:bCs/>
          <w:szCs w:val="24"/>
          <w:lang w:val="en-US" w:eastAsia="zh-CN"/>
        </w:rPr>
        <w:t>投标</w:t>
      </w:r>
      <w:r>
        <w:rPr>
          <w:rFonts w:hint="eastAsia" w:ascii="宋体" w:hAnsi="宋体" w:eastAsia="宋体" w:cs="Times New Roman"/>
          <w:b/>
          <w:bCs/>
          <w:szCs w:val="24"/>
        </w:rPr>
        <w:t>文件将</w:t>
      </w:r>
      <w:r>
        <w:rPr>
          <w:rFonts w:hint="eastAsia" w:ascii="宋体" w:hAnsi="宋体" w:eastAsia="宋体" w:cs="Times New Roman"/>
          <w:b/>
          <w:bCs/>
          <w:szCs w:val="24"/>
          <w:lang w:val="en-US" w:eastAsia="zh-CN"/>
        </w:rPr>
        <w:t>按无效投标处理</w:t>
      </w:r>
      <w:r>
        <w:rPr>
          <w:rFonts w:hint="eastAsia" w:ascii="宋体" w:hAnsi="宋体" w:eastAsia="宋体" w:cs="Times New Roman"/>
          <w:b/>
          <w:bCs/>
          <w:szCs w:val="24"/>
        </w:rPr>
        <w:t>。</w:t>
      </w:r>
    </w:p>
    <w:p>
      <w:pPr>
        <w:spacing w:after="240" w:afterLines="100"/>
        <w:rPr>
          <w:rFonts w:ascii="宋体" w:hAnsi="宋体"/>
          <w:b/>
          <w:sz w:val="28"/>
          <w:szCs w:val="28"/>
        </w:rPr>
      </w:pPr>
      <w:r>
        <w:rPr>
          <w:rFonts w:hint="eastAsia" w:ascii="宋体" w:hAnsi="宋体"/>
          <w:b/>
          <w:sz w:val="28"/>
          <w:szCs w:val="28"/>
        </w:rPr>
        <w:t>二、其它要求</w:t>
      </w:r>
    </w:p>
    <w:p>
      <w:pPr>
        <w:spacing w:line="480" w:lineRule="auto"/>
        <w:ind w:left="480"/>
        <w:jc w:val="left"/>
        <w:rPr>
          <w:rFonts w:ascii="宋体" w:hAnsi="宋体" w:cs="宋体"/>
          <w:sz w:val="24"/>
        </w:rPr>
      </w:pPr>
      <w:r>
        <w:rPr>
          <w:rFonts w:hint="eastAsia" w:ascii="宋体" w:hAnsi="宋体" w:cs="宋体"/>
          <w:sz w:val="24"/>
        </w:rPr>
        <w:t>（一）、售后服务及技术服务和培训等要求</w:t>
      </w:r>
    </w:p>
    <w:p>
      <w:pPr>
        <w:spacing w:line="480" w:lineRule="auto"/>
        <w:ind w:left="480"/>
        <w:jc w:val="left"/>
        <w:rPr>
          <w:rFonts w:ascii="宋体" w:hAnsi="宋体" w:cs="宋体"/>
          <w:sz w:val="24"/>
        </w:rPr>
      </w:pPr>
      <w:r>
        <w:rPr>
          <w:rFonts w:hint="eastAsia" w:ascii="宋体" w:hAnsi="宋体" w:cs="宋体"/>
          <w:sz w:val="24"/>
          <w:highlight w:val="none"/>
        </w:rPr>
        <w:t>1. 本项目质保期不少于1年（</w:t>
      </w:r>
      <w:r>
        <w:rPr>
          <w:rFonts w:hint="eastAsia" w:ascii="宋体" w:hAnsi="宋体" w:cs="宋体"/>
          <w:sz w:val="24"/>
        </w:rPr>
        <w:t>特殊要求货物</w:t>
      </w:r>
      <w:r>
        <w:rPr>
          <w:rFonts w:hint="eastAsia" w:ascii="宋体" w:hAnsi="宋体" w:cs="宋体"/>
          <w:sz w:val="24"/>
          <w:lang w:eastAsia="zh-CN"/>
        </w:rPr>
        <w:t>（</w:t>
      </w:r>
      <w:r>
        <w:rPr>
          <w:rFonts w:hint="eastAsia" w:ascii="宋体" w:hAnsi="宋体" w:cs="宋体"/>
          <w:sz w:val="24"/>
        </w:rPr>
        <w:t>荧光定量PCR仪</w:t>
      </w:r>
      <w:r>
        <w:rPr>
          <w:rFonts w:hint="eastAsia" w:ascii="宋体" w:hAnsi="宋体" w:cs="宋体"/>
          <w:sz w:val="24"/>
          <w:lang w:val="en-US" w:eastAsia="zh-CN"/>
        </w:rPr>
        <w:t>不少于2年</w:t>
      </w:r>
      <w:r>
        <w:rPr>
          <w:rFonts w:hint="eastAsia" w:ascii="宋体" w:hAnsi="宋体" w:cs="宋体"/>
          <w:sz w:val="24"/>
          <w:lang w:eastAsia="zh-CN"/>
        </w:rPr>
        <w:t>）</w:t>
      </w:r>
      <w:r>
        <w:rPr>
          <w:rFonts w:hint="eastAsia" w:ascii="宋体" w:hAnsi="宋体" w:cs="宋体"/>
          <w:sz w:val="24"/>
        </w:rPr>
        <w:t>，详见采购明细清单，以双方合同约定为准）；</w:t>
      </w:r>
    </w:p>
    <w:p>
      <w:pPr>
        <w:spacing w:line="480" w:lineRule="auto"/>
        <w:ind w:left="480"/>
        <w:jc w:val="left"/>
        <w:rPr>
          <w:rFonts w:ascii="宋体" w:hAnsi="宋体" w:cs="宋体"/>
          <w:sz w:val="24"/>
        </w:rPr>
      </w:pPr>
      <w:r>
        <w:rPr>
          <w:rFonts w:hint="eastAsia" w:ascii="宋体" w:hAnsi="宋体" w:cs="宋体"/>
          <w:sz w:val="24"/>
        </w:rPr>
        <w:t>2.应明示售后服务中心地址、电话、负责人和服务组织机构，7</w:t>
      </w:r>
      <w:r>
        <w:rPr>
          <w:rFonts w:hint="eastAsia" w:ascii="宋体" w:hAnsi="宋体" w:cs="宋体"/>
          <w:sz w:val="24"/>
          <w:lang w:val="en-US" w:eastAsia="zh-CN"/>
        </w:rPr>
        <w:t>*</w:t>
      </w:r>
      <w:r>
        <w:rPr>
          <w:rFonts w:hint="eastAsia" w:ascii="宋体" w:hAnsi="宋体" w:cs="宋体"/>
          <w:sz w:val="24"/>
        </w:rPr>
        <w:t>24小时服务；</w:t>
      </w:r>
    </w:p>
    <w:p>
      <w:pPr>
        <w:spacing w:line="480" w:lineRule="auto"/>
        <w:ind w:left="480"/>
        <w:jc w:val="left"/>
        <w:rPr>
          <w:rFonts w:ascii="宋体" w:hAnsi="宋体" w:cs="宋体"/>
          <w:sz w:val="24"/>
        </w:rPr>
      </w:pPr>
      <w:r>
        <w:rPr>
          <w:rFonts w:hint="eastAsia" w:ascii="宋体" w:hAnsi="宋体" w:cs="宋体"/>
          <w:sz w:val="24"/>
        </w:rPr>
        <w:t>3.为保证师资水平的不断提高，投标人应具有进行现场培训、集中培训及厂家培训的能力，培训后应达到能操控项目产品、完成任务的基本水平；</w:t>
      </w:r>
    </w:p>
    <w:p>
      <w:pPr>
        <w:spacing w:line="480" w:lineRule="auto"/>
        <w:ind w:left="480"/>
        <w:jc w:val="left"/>
        <w:rPr>
          <w:rFonts w:ascii="宋体" w:hAnsi="宋体" w:cs="宋体"/>
          <w:sz w:val="24"/>
        </w:rPr>
      </w:pPr>
      <w:r>
        <w:rPr>
          <w:rFonts w:hint="eastAsia" w:ascii="宋体" w:hAnsi="宋体" w:cs="宋体"/>
          <w:sz w:val="24"/>
        </w:rPr>
        <w:t>4.供货方需提供设备的全部技术资料。</w:t>
      </w:r>
    </w:p>
    <w:p>
      <w:pPr>
        <w:spacing w:line="480" w:lineRule="auto"/>
        <w:ind w:left="480"/>
        <w:jc w:val="left"/>
        <w:rPr>
          <w:rFonts w:ascii="宋体" w:hAnsi="宋体" w:cs="宋体"/>
          <w:sz w:val="24"/>
        </w:rPr>
      </w:pPr>
      <w:r>
        <w:rPr>
          <w:rFonts w:hint="eastAsia" w:ascii="宋体" w:hAnsi="宋体" w:cs="宋体"/>
          <w:sz w:val="24"/>
        </w:rPr>
        <w:t xml:space="preserve">5、验收要求：由招标人指定人员在指定地点对货物进行清点核对以及验收，并出具验收清单，作为交货和结算的依据。验收依据为国家相关规定、招标文件及投标文件等。 </w:t>
      </w:r>
    </w:p>
    <w:p>
      <w:pPr>
        <w:spacing w:line="480" w:lineRule="auto"/>
        <w:ind w:left="480"/>
        <w:jc w:val="left"/>
        <w:rPr>
          <w:rFonts w:ascii="宋体" w:hAnsi="宋体" w:cs="宋体"/>
          <w:sz w:val="24"/>
        </w:rPr>
      </w:pPr>
      <w:r>
        <w:rPr>
          <w:rFonts w:hint="eastAsia" w:ascii="宋体" w:hAnsi="宋体" w:cs="宋体"/>
          <w:sz w:val="24"/>
        </w:rPr>
        <w:t>（二）、供货日期与供货地点</w:t>
      </w:r>
    </w:p>
    <w:p>
      <w:pPr>
        <w:spacing w:line="480" w:lineRule="auto"/>
        <w:ind w:left="480"/>
        <w:jc w:val="left"/>
        <w:rPr>
          <w:rFonts w:ascii="宋体" w:hAnsi="宋体" w:cs="宋体"/>
          <w:sz w:val="24"/>
          <w:highlight w:val="none"/>
        </w:rPr>
      </w:pPr>
      <w:r>
        <w:rPr>
          <w:rFonts w:hint="eastAsia" w:ascii="宋体" w:hAnsi="宋体" w:cs="宋体"/>
          <w:sz w:val="24"/>
          <w:highlight w:val="none"/>
        </w:rPr>
        <w:t>交货时间：合同签订后180天内完成货物安装、调试等全部工作。</w:t>
      </w:r>
    </w:p>
    <w:p>
      <w:pPr>
        <w:ind w:firstLine="480" w:firstLineChars="200"/>
        <w:rPr>
          <w:rFonts w:ascii="宋体" w:hAnsi="宋体" w:cs="宋体"/>
          <w:sz w:val="24"/>
        </w:rPr>
        <w:sectPr>
          <w:pgSz w:w="16838" w:h="11911" w:orient="landscape"/>
          <w:pgMar w:top="1519" w:right="1582" w:bottom="1321" w:left="1361" w:header="720" w:footer="1179" w:gutter="0"/>
          <w:cols w:space="0" w:num="1"/>
        </w:sectPr>
      </w:pPr>
      <w:r>
        <w:rPr>
          <w:rFonts w:hint="eastAsia" w:ascii="宋体" w:hAnsi="宋体" w:cs="宋体"/>
          <w:sz w:val="24"/>
        </w:rPr>
        <w:t>交货地点：买方指定地点</w:t>
      </w:r>
    </w:p>
    <w:p/>
    <w:p>
      <w:pPr>
        <w:spacing w:line="360" w:lineRule="auto"/>
        <w:ind w:firstLine="1807" w:firstLineChars="500"/>
        <w:outlineLvl w:val="0"/>
        <w:rPr>
          <w:b/>
          <w:sz w:val="36"/>
          <w:szCs w:val="36"/>
        </w:rPr>
      </w:pPr>
      <w:r>
        <w:rPr>
          <w:b/>
          <w:sz w:val="36"/>
          <w:szCs w:val="36"/>
        </w:rPr>
        <w:t>第六章   拟签订的合同文本</w:t>
      </w:r>
      <w:bookmarkEnd w:id="822"/>
    </w:p>
    <w:p>
      <w:pPr>
        <w:jc w:val="center"/>
        <w:rPr>
          <w:rFonts w:ascii="宋体" w:hAnsi="宋体" w:cs="宋体"/>
          <w:b/>
          <w:bCs/>
          <w:sz w:val="24"/>
        </w:rPr>
      </w:pPr>
      <w:bookmarkStart w:id="824" w:name="_Toc38355581"/>
      <w:bookmarkStart w:id="825" w:name="_Hlk12453290"/>
      <w:bookmarkStart w:id="826" w:name="_Toc12525337"/>
    </w:p>
    <w:bookmarkEnd w:id="824"/>
    <w:bookmarkEnd w:id="825"/>
    <w:bookmarkEnd w:id="826"/>
    <w:p>
      <w:pPr>
        <w:pStyle w:val="2"/>
        <w:jc w:val="center"/>
        <w:rPr>
          <w:b/>
          <w:bCs/>
        </w:rPr>
      </w:pPr>
      <w:r>
        <w:rPr>
          <w:rFonts w:hint="eastAsia"/>
          <w:b/>
          <w:bCs/>
        </w:rPr>
        <w:t>（仅供参考，以实际签订为准）</w:t>
      </w:r>
    </w:p>
    <w:p>
      <w:pPr>
        <w:spacing w:before="120" w:line="360" w:lineRule="auto"/>
        <w:jc w:val="center"/>
        <w:rPr>
          <w:rFonts w:ascii="宋体" w:hAnsi="宋体"/>
          <w:b/>
          <w:sz w:val="28"/>
          <w:shd w:val="clear" w:color="auto" w:fill="FFFFFF"/>
        </w:rPr>
      </w:pPr>
    </w:p>
    <w:p>
      <w:pPr>
        <w:spacing w:before="120" w:line="360" w:lineRule="auto"/>
        <w:jc w:val="center"/>
        <w:rPr>
          <w:rFonts w:ascii="宋体" w:hAnsi="宋体"/>
          <w:b/>
          <w:sz w:val="28"/>
          <w:shd w:val="clear" w:color="auto" w:fill="FFFFFF"/>
        </w:rPr>
      </w:pPr>
      <w:r>
        <w:rPr>
          <w:rFonts w:hint="eastAsia" w:ascii="宋体" w:hAnsi="宋体"/>
          <w:b/>
          <w:sz w:val="28"/>
          <w:shd w:val="clear" w:color="auto" w:fill="FFFFFF"/>
        </w:rPr>
        <w:t>合同一般条款</w:t>
      </w:r>
      <w:bookmarkStart w:id="827" w:name="_Ref467378404"/>
      <w:bookmarkStart w:id="828" w:name="_Toc487900349"/>
      <w:bookmarkStart w:id="829" w:name="_Ref467378499"/>
      <w:bookmarkStart w:id="830" w:name="_Ref467379101"/>
      <w:bookmarkStart w:id="831" w:name="_Ref467379094"/>
      <w:bookmarkStart w:id="832" w:name="_Ref467379225"/>
      <w:bookmarkStart w:id="833" w:name="_Ref467379109"/>
      <w:bookmarkStart w:id="834" w:name="_Ref467379214"/>
      <w:bookmarkStart w:id="835" w:name="_Ref467379205"/>
      <w:bookmarkStart w:id="836" w:name="_Ref467378463"/>
      <w:bookmarkStart w:id="837" w:name="_Ref467379195"/>
    </w:p>
    <w:p>
      <w:pPr>
        <w:spacing w:before="120" w:line="360" w:lineRule="auto"/>
        <w:rPr>
          <w:rFonts w:ascii="宋体" w:hAnsi="宋体"/>
          <w:sz w:val="24"/>
          <w:shd w:val="clear" w:color="auto" w:fill="FFFFFF"/>
        </w:rPr>
      </w:pPr>
      <w:r>
        <w:rPr>
          <w:rFonts w:hint="eastAsia" w:ascii="宋体" w:hAnsi="宋体"/>
          <w:sz w:val="24"/>
          <w:shd w:val="clear" w:color="auto" w:fill="FFFFFF"/>
        </w:rPr>
        <w:t>1       定义</w:t>
      </w:r>
      <w:bookmarkEnd w:id="827"/>
      <w:bookmarkEnd w:id="828"/>
      <w:bookmarkEnd w:id="829"/>
      <w:bookmarkEnd w:id="830"/>
      <w:bookmarkEnd w:id="831"/>
      <w:bookmarkEnd w:id="832"/>
      <w:bookmarkEnd w:id="833"/>
      <w:bookmarkEnd w:id="834"/>
      <w:bookmarkEnd w:id="835"/>
      <w:bookmarkEnd w:id="836"/>
      <w:bookmarkEnd w:id="837"/>
    </w:p>
    <w:p>
      <w:pPr>
        <w:tabs>
          <w:tab w:val="left" w:pos="900"/>
        </w:tabs>
        <w:spacing w:line="360" w:lineRule="auto"/>
        <w:ind w:left="900"/>
        <w:rPr>
          <w:rFonts w:ascii="宋体" w:hAnsi="宋体"/>
          <w:sz w:val="24"/>
          <w:shd w:val="clear" w:color="auto" w:fill="FFFFFF"/>
        </w:rPr>
      </w:pPr>
      <w:r>
        <w:rPr>
          <w:rFonts w:hint="eastAsia" w:ascii="宋体" w:hAnsi="宋体"/>
          <w:sz w:val="24"/>
          <w:shd w:val="clear" w:color="auto" w:fill="FFFFFF"/>
        </w:rPr>
        <w:t>本合同中的下列术语应解释为：</w:t>
      </w:r>
    </w:p>
    <w:p>
      <w:pPr>
        <w:pStyle w:val="26"/>
        <w:spacing w:line="360" w:lineRule="auto"/>
        <w:ind w:left="960" w:hanging="960" w:hangingChars="400"/>
        <w:rPr>
          <w:rFonts w:ascii="宋体" w:hAnsi="宋体"/>
          <w:shd w:val="clear" w:color="auto" w:fill="FFFFFF"/>
        </w:rPr>
      </w:pPr>
      <w:r>
        <w:rPr>
          <w:rFonts w:hint="eastAsia" w:ascii="宋体" w:hAnsi="宋体"/>
          <w:shd w:val="clear" w:color="auto" w:fill="FFFFFF"/>
        </w:rPr>
        <w:t xml:space="preserve">1.1   </w:t>
      </w:r>
      <w:r>
        <w:rPr>
          <w:rFonts w:ascii="宋体" w:hAnsi="宋体"/>
          <w:shd w:val="clear" w:color="auto" w:fill="FFFFFF"/>
        </w:rPr>
        <w:t>“</w:t>
      </w:r>
      <w:r>
        <w:rPr>
          <w:rFonts w:hint="eastAsia" w:asciiTheme="minorEastAsia" w:hAnsiTheme="minorEastAsia" w:eastAsiaTheme="minorEastAsia" w:cstheme="minorEastAsia"/>
          <w:shd w:val="clear" w:color="auto" w:fill="FFFFFF"/>
        </w:rPr>
        <w:t>合同”系指买卖双方签署的、合同格式中载明的买卖双方所达成的协议， 包括所有的附件、附录和构成合同的其它文件。</w:t>
      </w:r>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 xml:space="preserve">1.2   </w:t>
      </w:r>
      <w:r>
        <w:rPr>
          <w:rFonts w:ascii="宋体" w:hAnsi="宋体"/>
          <w:sz w:val="24"/>
          <w:shd w:val="clear" w:color="auto" w:fill="FFFFFF"/>
        </w:rPr>
        <w:t>“</w:t>
      </w:r>
      <w:r>
        <w:rPr>
          <w:rFonts w:hint="eastAsia" w:ascii="宋体" w:hAnsi="宋体"/>
          <w:sz w:val="24"/>
          <w:shd w:val="clear" w:color="auto" w:fill="FFFFFF"/>
        </w:rPr>
        <w:t>合同价”系指根据合同约定，卖方在完全履行合同义务后买方应付给卖方的价格。</w:t>
      </w:r>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1.3   “货物”系指卖方根据合同约定须向买方提供的一切设备、机械、仪表、备件，包括工具、手册等其它相关资料。</w:t>
      </w:r>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 xml:space="preserve">1.4   </w:t>
      </w:r>
      <w:r>
        <w:rPr>
          <w:rFonts w:ascii="宋体" w:hAnsi="宋体"/>
          <w:sz w:val="24"/>
          <w:shd w:val="clear" w:color="auto" w:fill="FFFFFF"/>
        </w:rPr>
        <w:t>“</w:t>
      </w:r>
      <w:r>
        <w:rPr>
          <w:rFonts w:hint="eastAsia" w:ascii="宋体" w:hAnsi="宋体"/>
          <w:sz w:val="24"/>
          <w:shd w:val="clear" w:color="auto" w:fill="FFFFFF"/>
        </w:rPr>
        <w:t>服务”系指根据合同约定卖方承担与供货有关的辅助服务，如运输、保险及安装、调试、提供技术援助、培训和其他类似的服务。</w:t>
      </w:r>
    </w:p>
    <w:p>
      <w:pPr>
        <w:spacing w:before="120" w:line="360" w:lineRule="auto"/>
        <w:rPr>
          <w:rFonts w:ascii="宋体" w:hAnsi="宋体"/>
          <w:sz w:val="24"/>
          <w:shd w:val="clear" w:color="auto" w:fill="FFFFFF"/>
        </w:rPr>
      </w:pPr>
      <w:bookmarkStart w:id="838" w:name="_Ref467378840"/>
      <w:r>
        <w:rPr>
          <w:rFonts w:hint="eastAsia" w:ascii="宋体" w:hAnsi="宋体"/>
          <w:sz w:val="24"/>
          <w:shd w:val="clear" w:color="auto" w:fill="FFFFFF"/>
        </w:rPr>
        <w:t xml:space="preserve">1.5   </w:t>
      </w:r>
      <w:r>
        <w:rPr>
          <w:rFonts w:ascii="宋体" w:hAnsi="宋体"/>
          <w:sz w:val="24"/>
          <w:shd w:val="clear" w:color="auto" w:fill="FFFFFF"/>
        </w:rPr>
        <w:t>“</w:t>
      </w:r>
      <w:r>
        <w:rPr>
          <w:rFonts w:hint="eastAsia" w:ascii="宋体" w:hAnsi="宋体"/>
          <w:sz w:val="24"/>
          <w:shd w:val="clear" w:color="auto" w:fill="FFFFFF"/>
        </w:rPr>
        <w:t>买方”系指与中标人签署供货合同的单位（含最终用户）。</w:t>
      </w:r>
      <w:bookmarkEnd w:id="838"/>
    </w:p>
    <w:p>
      <w:pPr>
        <w:spacing w:before="120" w:line="360" w:lineRule="auto"/>
        <w:ind w:left="960" w:hanging="960"/>
        <w:rPr>
          <w:rFonts w:ascii="宋体" w:hAnsi="宋体"/>
          <w:sz w:val="24"/>
          <w:shd w:val="clear" w:color="auto" w:fill="FFFFFF"/>
        </w:rPr>
      </w:pPr>
      <w:bookmarkStart w:id="839" w:name="_Ref467379400"/>
      <w:r>
        <w:rPr>
          <w:rFonts w:hint="eastAsia" w:ascii="宋体" w:hAnsi="宋体"/>
          <w:sz w:val="24"/>
          <w:shd w:val="clear" w:color="auto" w:fill="FFFFFF"/>
        </w:rPr>
        <w:t xml:space="preserve">1.6   </w:t>
      </w:r>
      <w:r>
        <w:rPr>
          <w:rFonts w:ascii="宋体" w:hAnsi="宋体"/>
          <w:sz w:val="24"/>
          <w:shd w:val="clear" w:color="auto" w:fill="FFFFFF"/>
        </w:rPr>
        <w:t>“</w:t>
      </w:r>
      <w:r>
        <w:rPr>
          <w:rFonts w:hint="eastAsia" w:ascii="宋体" w:hAnsi="宋体"/>
          <w:sz w:val="24"/>
          <w:shd w:val="clear" w:color="auto" w:fill="FFFFFF"/>
        </w:rPr>
        <w:t>卖方”系指根据合同约定提供货物及相关服务的中标人。</w:t>
      </w:r>
      <w:bookmarkEnd w:id="839"/>
    </w:p>
    <w:p>
      <w:pPr>
        <w:tabs>
          <w:tab w:val="left" w:pos="900"/>
        </w:tabs>
        <w:spacing w:before="120" w:line="360" w:lineRule="auto"/>
        <w:rPr>
          <w:rFonts w:ascii="宋体" w:hAnsi="宋体"/>
          <w:sz w:val="24"/>
          <w:shd w:val="clear" w:color="auto" w:fill="FFFFFF"/>
        </w:rPr>
      </w:pPr>
      <w:bookmarkStart w:id="840" w:name="_Ref467379436"/>
      <w:r>
        <w:rPr>
          <w:rFonts w:hint="eastAsia" w:ascii="宋体" w:hAnsi="宋体"/>
          <w:sz w:val="24"/>
          <w:shd w:val="clear" w:color="auto" w:fill="FFFFFF"/>
        </w:rPr>
        <w:t xml:space="preserve">1.7   </w:t>
      </w:r>
      <w:r>
        <w:rPr>
          <w:rFonts w:ascii="宋体" w:hAnsi="宋体"/>
          <w:sz w:val="24"/>
          <w:shd w:val="clear" w:color="auto" w:fill="FFFFFF"/>
        </w:rPr>
        <w:t>“</w:t>
      </w:r>
      <w:r>
        <w:rPr>
          <w:rFonts w:hint="eastAsia" w:ascii="宋体" w:hAnsi="宋体"/>
          <w:sz w:val="24"/>
          <w:shd w:val="clear" w:color="auto" w:fill="FFFFFF"/>
        </w:rPr>
        <w:t>现场”系指合同约定货物将要运至和安装的地点。</w:t>
      </w:r>
      <w:bookmarkEnd w:id="840"/>
    </w:p>
    <w:p>
      <w:pPr>
        <w:spacing w:before="120" w:line="360" w:lineRule="auto"/>
        <w:ind w:left="960" w:hanging="960" w:hangingChars="400"/>
        <w:rPr>
          <w:rFonts w:ascii="宋体" w:hAnsi="宋体"/>
          <w:sz w:val="24"/>
          <w:shd w:val="clear" w:color="auto" w:fill="FFFFFF"/>
        </w:rPr>
      </w:pPr>
      <w:r>
        <w:rPr>
          <w:rFonts w:hint="eastAsia" w:ascii="宋体" w:hAnsi="宋体"/>
          <w:sz w:val="24"/>
          <w:shd w:val="clear" w:color="auto" w:fill="FFFFFF"/>
        </w:rPr>
        <w:t xml:space="preserve">1.8   </w:t>
      </w:r>
      <w:r>
        <w:rPr>
          <w:rFonts w:ascii="宋体" w:hAnsi="宋体"/>
          <w:sz w:val="24"/>
          <w:shd w:val="clear" w:color="auto" w:fill="FFFFFF"/>
        </w:rPr>
        <w:t>“</w:t>
      </w:r>
      <w:r>
        <w:rPr>
          <w:rFonts w:hint="eastAsia" w:ascii="宋体" w:hAnsi="宋体"/>
          <w:sz w:val="24"/>
          <w:shd w:val="clear" w:color="auto" w:fill="FFFFFF"/>
        </w:rPr>
        <w:t>验收”系指合同双方依据强制性的国家技术质量规范和合同约定，确认合同项下的货物符合合同规定的活动。</w:t>
      </w:r>
      <w:bookmarkStart w:id="841" w:name="_Toc487900350"/>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2      技术规范</w:t>
      </w:r>
      <w:bookmarkEnd w:id="841"/>
    </w:p>
    <w:p>
      <w:pPr>
        <w:tabs>
          <w:tab w:val="left" w:pos="900"/>
        </w:tabs>
        <w:spacing w:before="120" w:line="360" w:lineRule="auto"/>
        <w:ind w:left="720" w:hanging="720"/>
        <w:rPr>
          <w:rFonts w:ascii="宋体" w:hAnsi="宋体"/>
          <w:sz w:val="24"/>
          <w:shd w:val="clear" w:color="auto" w:fill="FFFFFF"/>
        </w:rPr>
      </w:pPr>
      <w:r>
        <w:rPr>
          <w:rFonts w:hint="eastAsia" w:ascii="宋体" w:hAnsi="宋体"/>
          <w:sz w:val="24"/>
          <w:shd w:val="clear" w:color="auto" w:fill="FFFFFF"/>
        </w:rPr>
        <w:t>2.1   提交货物的技术规范应与招标文件规定的技术规范和技术规范附件</w:t>
      </w:r>
      <w:r>
        <w:rPr>
          <w:rFonts w:ascii="宋体" w:hAnsi="宋体"/>
          <w:sz w:val="24"/>
          <w:shd w:val="clear" w:color="auto" w:fill="FFFFFF"/>
        </w:rPr>
        <w:t>(</w:t>
      </w:r>
      <w:r>
        <w:rPr>
          <w:rFonts w:hint="eastAsia" w:ascii="宋体" w:hAnsi="宋体"/>
          <w:sz w:val="24"/>
          <w:shd w:val="clear" w:color="auto" w:fill="FFFFFF"/>
        </w:rPr>
        <w:t>如果有的话</w:t>
      </w:r>
      <w:r>
        <w:rPr>
          <w:rFonts w:ascii="宋体" w:hAnsi="宋体"/>
          <w:sz w:val="24"/>
          <w:shd w:val="clear" w:color="auto" w:fill="FFFFFF"/>
        </w:rPr>
        <w:t>)</w:t>
      </w:r>
      <w:r>
        <w:rPr>
          <w:rFonts w:hint="eastAsia" w:ascii="宋体" w:hAnsi="宋体"/>
          <w:sz w:val="24"/>
          <w:shd w:val="clear" w:color="auto" w:fill="FFFFFF"/>
        </w:rPr>
        <w:t>及其投标文件的技术规范偏差表</w:t>
      </w:r>
      <w:r>
        <w:rPr>
          <w:rFonts w:ascii="宋体" w:hAnsi="宋体"/>
          <w:sz w:val="24"/>
          <w:shd w:val="clear" w:color="auto" w:fill="FFFFFF"/>
        </w:rPr>
        <w:t>(</w:t>
      </w:r>
      <w:r>
        <w:rPr>
          <w:rFonts w:hint="eastAsia" w:ascii="宋体" w:hAnsi="宋体"/>
          <w:sz w:val="24"/>
          <w:shd w:val="clear" w:color="auto" w:fill="FFFFFF"/>
        </w:rPr>
        <w:t>如果被买方接受的话</w:t>
      </w:r>
      <w:r>
        <w:rPr>
          <w:rFonts w:ascii="宋体" w:hAnsi="宋体"/>
          <w:sz w:val="24"/>
          <w:shd w:val="clear" w:color="auto" w:fill="FFFFFF"/>
        </w:rPr>
        <w:t>)</w:t>
      </w:r>
      <w:r>
        <w:rPr>
          <w:rFonts w:hint="eastAsia" w:ascii="宋体" w:hAnsi="宋体"/>
          <w:sz w:val="24"/>
          <w:shd w:val="clear" w:color="auto" w:fill="FFFFFF"/>
        </w:rPr>
        <w:t>相一致。若技术规范中无相应说明，则以国家有关部门最新颁布的相应标准及规范为准。</w:t>
      </w:r>
      <w:bookmarkStart w:id="842" w:name="_Toc487900351"/>
    </w:p>
    <w:p>
      <w:pPr>
        <w:tabs>
          <w:tab w:val="left" w:pos="900"/>
        </w:tabs>
        <w:spacing w:before="120" w:line="360" w:lineRule="auto"/>
        <w:ind w:left="720" w:hanging="720"/>
        <w:rPr>
          <w:rFonts w:ascii="宋体" w:hAnsi="宋体"/>
          <w:sz w:val="24"/>
          <w:shd w:val="clear" w:color="auto" w:fill="FFFFFF"/>
        </w:rPr>
      </w:pPr>
      <w:r>
        <w:rPr>
          <w:rFonts w:hint="eastAsia" w:ascii="宋体" w:hAnsi="宋体"/>
          <w:sz w:val="24"/>
          <w:shd w:val="clear" w:color="auto" w:fill="FFFFFF"/>
        </w:rPr>
        <w:t>3     知识产权</w:t>
      </w:r>
      <w:bookmarkEnd w:id="842"/>
    </w:p>
    <w:p>
      <w:pPr>
        <w:spacing w:before="120" w:line="360" w:lineRule="auto"/>
        <w:ind w:left="720" w:hanging="720"/>
        <w:rPr>
          <w:rFonts w:ascii="宋体" w:hAnsi="宋体"/>
          <w:sz w:val="24"/>
          <w:shd w:val="clear" w:color="auto" w:fill="FFFFFF"/>
        </w:rPr>
      </w:pPr>
      <w:r>
        <w:rPr>
          <w:rFonts w:hint="eastAsia" w:ascii="宋体" w:hAnsi="宋体"/>
          <w:sz w:val="24"/>
          <w:shd w:val="clear" w:color="auto" w:fill="FFFFFF"/>
        </w:rPr>
        <w:t>3.1   卖方应保证买方在使用该货物或其任何一部分时不受第三方提出的侵犯专利权、</w:t>
      </w:r>
      <w:r>
        <w:rPr>
          <w:rFonts w:ascii="宋体" w:hAnsi="宋体"/>
          <w:sz w:val="24"/>
          <w:shd w:val="clear" w:color="auto" w:fill="FFFFFF"/>
        </w:rPr>
        <w:t xml:space="preserve"> </w:t>
      </w:r>
      <w:r>
        <w:rPr>
          <w:rFonts w:hint="eastAsia" w:ascii="宋体" w:hAnsi="宋体"/>
          <w:sz w:val="24"/>
          <w:shd w:val="clear" w:color="auto" w:fill="FFFFFF"/>
        </w:rPr>
        <w:t>著作权、商标权和工业设计权等的起诉。如果任何第三方提出侵权指控，</w:t>
      </w:r>
      <w:r>
        <w:rPr>
          <w:rFonts w:ascii="宋体" w:hAnsi="宋体"/>
          <w:sz w:val="24"/>
          <w:shd w:val="clear" w:color="auto" w:fill="FFFFFF"/>
        </w:rPr>
        <w:t xml:space="preserve"> </w:t>
      </w:r>
      <w:r>
        <w:rPr>
          <w:rFonts w:hint="eastAsia" w:ascii="宋体" w:hAnsi="宋体"/>
          <w:sz w:val="24"/>
          <w:shd w:val="clear" w:color="auto" w:fill="FFFFFF"/>
        </w:rPr>
        <w:t>卖方须与第三方交涉并承担由此发生的一切责任、费用和经济赔偿。</w:t>
      </w:r>
      <w:bookmarkStart w:id="843" w:name="_Toc487900352"/>
    </w:p>
    <w:p>
      <w:pPr>
        <w:spacing w:before="120" w:line="360" w:lineRule="auto"/>
        <w:ind w:left="720" w:hanging="720"/>
        <w:rPr>
          <w:rFonts w:ascii="宋体" w:hAnsi="宋体"/>
          <w:sz w:val="24"/>
          <w:shd w:val="clear" w:color="auto" w:fill="FFFFFF"/>
        </w:rPr>
      </w:pPr>
      <w:r>
        <w:rPr>
          <w:rFonts w:hint="eastAsia" w:ascii="宋体" w:hAnsi="宋体"/>
          <w:sz w:val="24"/>
          <w:shd w:val="clear" w:color="auto" w:fill="FFFFFF"/>
        </w:rPr>
        <w:t>4     包装要求</w:t>
      </w:r>
      <w:bookmarkEnd w:id="843"/>
    </w:p>
    <w:p>
      <w:pPr>
        <w:spacing w:before="120" w:line="360" w:lineRule="auto"/>
        <w:ind w:left="720" w:hanging="720"/>
        <w:rPr>
          <w:rFonts w:ascii="宋体" w:hAnsi="宋体"/>
          <w:sz w:val="24"/>
          <w:shd w:val="clear" w:color="auto" w:fill="FFFFFF"/>
        </w:rPr>
      </w:pPr>
      <w:r>
        <w:rPr>
          <w:rFonts w:hint="eastAsia" w:ascii="宋体" w:hAnsi="宋体"/>
          <w:sz w:val="24"/>
          <w:shd w:val="clear" w:color="auto" w:fill="FFFFFF"/>
        </w:rPr>
        <w:t>4.1   除合同另有约定外</w:t>
      </w:r>
      <w:r>
        <w:rPr>
          <w:rFonts w:ascii="宋体" w:hAnsi="宋体"/>
          <w:sz w:val="24"/>
          <w:shd w:val="clear" w:color="auto" w:fill="FFFFFF"/>
        </w:rPr>
        <w:t>,</w:t>
      </w:r>
      <w:r>
        <w:rPr>
          <w:rFonts w:hint="eastAsia" w:ascii="宋体" w:hAnsi="宋体"/>
          <w:sz w:val="24"/>
          <w:shd w:val="clear" w:color="auto" w:fill="FFFFFF"/>
        </w:rPr>
        <w:t>卖方提供的全部货物</w:t>
      </w:r>
      <w:r>
        <w:rPr>
          <w:rFonts w:ascii="宋体" w:hAnsi="宋体"/>
          <w:sz w:val="24"/>
          <w:shd w:val="clear" w:color="auto" w:fill="FFFFFF"/>
        </w:rPr>
        <w:t>,</w:t>
      </w:r>
      <w:r>
        <w:rPr>
          <w:rFonts w:hint="eastAsia" w:ascii="宋体" w:hAnsi="宋体"/>
          <w:sz w:val="24"/>
          <w:shd w:val="clear" w:color="auto" w:fill="FFFFFF"/>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before="120" w:line="360" w:lineRule="auto"/>
        <w:rPr>
          <w:rFonts w:ascii="宋体" w:hAnsi="宋体"/>
          <w:sz w:val="24"/>
          <w:shd w:val="clear" w:color="auto" w:fill="FFFFFF"/>
        </w:rPr>
      </w:pPr>
      <w:r>
        <w:rPr>
          <w:rFonts w:hint="eastAsia" w:ascii="宋体" w:hAnsi="宋体"/>
          <w:sz w:val="24"/>
          <w:shd w:val="clear" w:color="auto" w:fill="FFFFFF"/>
        </w:rPr>
        <w:t>4.2   每件包装箱内应附一份详细装箱单和质量合格证。</w:t>
      </w:r>
      <w:bookmarkStart w:id="844" w:name="_Toc487900353"/>
    </w:p>
    <w:p>
      <w:pPr>
        <w:spacing w:before="120" w:line="360" w:lineRule="auto"/>
        <w:rPr>
          <w:rFonts w:ascii="宋体" w:hAnsi="宋体"/>
          <w:sz w:val="24"/>
          <w:shd w:val="clear" w:color="auto" w:fill="FFFFFF"/>
        </w:rPr>
      </w:pPr>
      <w:r>
        <w:rPr>
          <w:rFonts w:hint="eastAsia" w:ascii="宋体" w:hAnsi="宋体"/>
          <w:sz w:val="24"/>
          <w:shd w:val="clear" w:color="auto" w:fill="FFFFFF"/>
        </w:rPr>
        <w:t>5     装运标志</w:t>
      </w:r>
      <w:bookmarkEnd w:id="844"/>
    </w:p>
    <w:p>
      <w:pPr>
        <w:spacing w:before="120" w:line="360" w:lineRule="auto"/>
        <w:ind w:left="720" w:hanging="720"/>
        <w:rPr>
          <w:rFonts w:ascii="宋体" w:hAnsi="宋体"/>
          <w:sz w:val="24"/>
          <w:shd w:val="clear" w:color="auto" w:fill="FFFFFF"/>
        </w:rPr>
      </w:pPr>
      <w:r>
        <w:rPr>
          <w:rFonts w:hint="eastAsia" w:ascii="宋体" w:hAnsi="宋体"/>
          <w:sz w:val="24"/>
          <w:shd w:val="clear" w:color="auto" w:fill="FFFFFF"/>
        </w:rPr>
        <w:t>5.1.  卖方应在每一包装箱的四侧用不褪色的油漆以醒目的中文字样做出下列标记：</w:t>
      </w:r>
    </w:p>
    <w:p>
      <w:pPr>
        <w:spacing w:line="360" w:lineRule="auto"/>
        <w:ind w:left="1276"/>
        <w:rPr>
          <w:rFonts w:ascii="宋体" w:hAnsi="宋体"/>
          <w:sz w:val="24"/>
          <w:shd w:val="clear" w:color="auto" w:fill="FFFFFF"/>
        </w:rPr>
      </w:pPr>
      <w:r>
        <w:rPr>
          <w:rFonts w:hint="eastAsia" w:ascii="宋体" w:hAnsi="宋体"/>
          <w:sz w:val="24"/>
          <w:shd w:val="clear" w:color="auto" w:fill="FFFFFF"/>
        </w:rPr>
        <w:t>收货人：</w:t>
      </w:r>
      <w:r>
        <w:rPr>
          <w:rFonts w:hint="eastAsia" w:ascii="宋体" w:hAnsi="宋体"/>
          <w:sz w:val="24"/>
          <w:u w:val="single"/>
          <w:shd w:val="clear" w:color="auto" w:fill="FFFFFF"/>
        </w:rPr>
        <w:t xml:space="preserve">                                  </w:t>
      </w:r>
    </w:p>
    <w:p>
      <w:pPr>
        <w:spacing w:line="360" w:lineRule="auto"/>
        <w:ind w:left="1276"/>
        <w:rPr>
          <w:rFonts w:ascii="宋体" w:hAnsi="宋体"/>
          <w:sz w:val="24"/>
          <w:shd w:val="clear" w:color="auto" w:fill="FFFFFF"/>
        </w:rPr>
      </w:pPr>
      <w:r>
        <w:rPr>
          <w:rFonts w:hint="eastAsia" w:ascii="宋体" w:hAnsi="宋体"/>
          <w:sz w:val="24"/>
          <w:shd w:val="clear" w:color="auto" w:fill="FFFFFF"/>
        </w:rPr>
        <w:t>合同号：</w:t>
      </w:r>
      <w:r>
        <w:rPr>
          <w:rFonts w:ascii="宋体" w:hAnsi="宋体"/>
          <w:sz w:val="24"/>
          <w:shd w:val="clear" w:color="auto" w:fill="FFFFFF"/>
        </w:rPr>
        <w:t xml:space="preserve"> </w:t>
      </w:r>
      <w:r>
        <w:rPr>
          <w:rFonts w:ascii="宋体" w:hAnsi="宋体"/>
          <w:sz w:val="24"/>
          <w:u w:val="single"/>
          <w:shd w:val="clear" w:color="auto" w:fill="FFFFFF"/>
        </w:rPr>
        <w:t xml:space="preserve">                                 </w:t>
      </w:r>
      <w:r>
        <w:rPr>
          <w:rFonts w:ascii="宋体" w:hAnsi="宋体"/>
          <w:sz w:val="24"/>
          <w:shd w:val="clear" w:color="auto" w:fill="FFFFFF"/>
        </w:rPr>
        <w:t xml:space="preserve">                               </w:t>
      </w:r>
    </w:p>
    <w:p>
      <w:pPr>
        <w:spacing w:line="360" w:lineRule="auto"/>
        <w:ind w:left="1276"/>
        <w:rPr>
          <w:rFonts w:ascii="宋体" w:hAnsi="宋体"/>
          <w:sz w:val="24"/>
          <w:shd w:val="clear" w:color="auto" w:fill="FFFFFF"/>
        </w:rPr>
      </w:pPr>
      <w:r>
        <w:rPr>
          <w:rFonts w:hint="eastAsia" w:ascii="宋体" w:hAnsi="宋体"/>
          <w:sz w:val="24"/>
          <w:shd w:val="clear" w:color="auto" w:fill="FFFFFF"/>
        </w:rPr>
        <w:t>装运标志：</w:t>
      </w:r>
      <w:r>
        <w:rPr>
          <w:rFonts w:ascii="宋体" w:hAnsi="宋体"/>
          <w:sz w:val="24"/>
          <w:u w:val="single"/>
          <w:shd w:val="clear" w:color="auto" w:fill="FFFFFF"/>
        </w:rPr>
        <w:t xml:space="preserve">                                 </w:t>
      </w:r>
    </w:p>
    <w:p>
      <w:pPr>
        <w:spacing w:line="360" w:lineRule="auto"/>
        <w:ind w:left="1276"/>
        <w:rPr>
          <w:rFonts w:ascii="宋体" w:hAnsi="宋体"/>
          <w:sz w:val="24"/>
          <w:shd w:val="clear" w:color="auto" w:fill="FFFFFF"/>
        </w:rPr>
      </w:pPr>
      <w:r>
        <w:rPr>
          <w:rFonts w:hint="eastAsia" w:ascii="宋体" w:hAnsi="宋体"/>
          <w:sz w:val="24"/>
          <w:shd w:val="clear" w:color="auto" w:fill="FFFFFF"/>
        </w:rPr>
        <w:t>收货人代号：</w:t>
      </w:r>
      <w:r>
        <w:rPr>
          <w:rFonts w:ascii="宋体" w:hAnsi="宋体"/>
          <w:sz w:val="24"/>
          <w:u w:val="single"/>
          <w:shd w:val="clear" w:color="auto" w:fill="FFFFFF"/>
        </w:rPr>
        <w:t xml:space="preserve">                               </w:t>
      </w:r>
    </w:p>
    <w:p>
      <w:pPr>
        <w:spacing w:line="360" w:lineRule="auto"/>
        <w:ind w:left="1276"/>
        <w:rPr>
          <w:rFonts w:ascii="宋体" w:hAnsi="宋体"/>
          <w:sz w:val="24"/>
          <w:shd w:val="clear" w:color="auto" w:fill="FFFFFF"/>
        </w:rPr>
      </w:pPr>
      <w:r>
        <w:rPr>
          <w:rFonts w:hint="eastAsia" w:ascii="宋体" w:hAnsi="宋体"/>
          <w:sz w:val="24"/>
          <w:shd w:val="clear" w:color="auto" w:fill="FFFFFF"/>
        </w:rPr>
        <w:t>目的地：</w:t>
      </w:r>
      <w:r>
        <w:rPr>
          <w:rFonts w:hint="eastAsia" w:ascii="宋体" w:hAnsi="宋体"/>
          <w:sz w:val="24"/>
          <w:u w:val="single"/>
          <w:shd w:val="clear" w:color="auto" w:fill="FFFFFF"/>
        </w:rPr>
        <w:t xml:space="preserve">                              </w:t>
      </w:r>
      <w:r>
        <w:rPr>
          <w:rFonts w:ascii="宋体" w:hAnsi="宋体"/>
          <w:sz w:val="24"/>
          <w:u w:val="single"/>
          <w:shd w:val="clear" w:color="auto" w:fill="FFFFFF"/>
        </w:rPr>
        <w:t xml:space="preserve"> </w:t>
      </w:r>
      <w:r>
        <w:rPr>
          <w:rFonts w:hint="eastAsia" w:ascii="宋体" w:hAnsi="宋体"/>
          <w:sz w:val="24"/>
          <w:u w:val="single"/>
          <w:shd w:val="clear" w:color="auto" w:fill="FFFFFF"/>
        </w:rPr>
        <w:t xml:space="preserve">    </w:t>
      </w:r>
    </w:p>
    <w:p>
      <w:pPr>
        <w:spacing w:line="360" w:lineRule="auto"/>
        <w:ind w:left="1276"/>
        <w:rPr>
          <w:rFonts w:ascii="宋体" w:hAnsi="宋体"/>
          <w:sz w:val="24"/>
          <w:u w:val="single"/>
          <w:shd w:val="clear" w:color="auto" w:fill="FFFFFF"/>
        </w:rPr>
      </w:pPr>
      <w:r>
        <w:rPr>
          <w:rFonts w:hint="eastAsia" w:ascii="宋体" w:hAnsi="宋体"/>
          <w:sz w:val="24"/>
          <w:shd w:val="clear" w:color="auto" w:fill="FFFFFF"/>
        </w:rPr>
        <w:t>货物名称、品目号和箱号：</w:t>
      </w:r>
      <w:r>
        <w:rPr>
          <w:rFonts w:hint="eastAsia" w:ascii="宋体" w:hAnsi="宋体"/>
          <w:sz w:val="24"/>
          <w:u w:val="single"/>
          <w:shd w:val="clear" w:color="auto" w:fill="FFFFFF"/>
        </w:rPr>
        <w:t xml:space="preserve">                  </w:t>
      </w:r>
    </w:p>
    <w:p>
      <w:pPr>
        <w:spacing w:line="360" w:lineRule="auto"/>
        <w:ind w:left="1276"/>
        <w:rPr>
          <w:rFonts w:ascii="宋体" w:hAnsi="宋体"/>
          <w:sz w:val="24"/>
          <w:shd w:val="clear" w:color="auto" w:fill="FFFFFF"/>
        </w:rPr>
      </w:pPr>
      <w:r>
        <w:rPr>
          <w:rFonts w:hint="eastAsia" w:ascii="宋体" w:hAnsi="宋体"/>
          <w:sz w:val="24"/>
          <w:shd w:val="clear" w:color="auto" w:fill="FFFFFF"/>
        </w:rPr>
        <w:t>毛重／净重：</w:t>
      </w:r>
      <w:r>
        <w:rPr>
          <w:rFonts w:ascii="宋体" w:hAnsi="宋体"/>
          <w:sz w:val="24"/>
          <w:u w:val="single"/>
          <w:shd w:val="clear" w:color="auto" w:fill="FFFFFF"/>
        </w:rPr>
        <w:t xml:space="preserve">                               </w:t>
      </w:r>
    </w:p>
    <w:p>
      <w:pPr>
        <w:spacing w:line="360" w:lineRule="auto"/>
        <w:ind w:left="1276"/>
        <w:rPr>
          <w:rFonts w:ascii="宋体" w:hAnsi="宋体"/>
          <w:sz w:val="24"/>
          <w:shd w:val="clear" w:color="auto" w:fill="FFFFFF"/>
        </w:rPr>
      </w:pPr>
      <w:r>
        <w:rPr>
          <w:rFonts w:hint="eastAsia" w:ascii="宋体" w:hAnsi="宋体"/>
          <w:sz w:val="24"/>
          <w:shd w:val="clear" w:color="auto" w:fill="FFFFFF"/>
        </w:rPr>
        <w:t>尺寸</w:t>
      </w:r>
      <w:r>
        <w:rPr>
          <w:rFonts w:ascii="宋体" w:hAnsi="宋体"/>
          <w:sz w:val="24"/>
          <w:shd w:val="clear" w:color="auto" w:fill="FFFFFF"/>
        </w:rPr>
        <w:t>(</w:t>
      </w:r>
      <w:r>
        <w:rPr>
          <w:rFonts w:hint="eastAsia" w:ascii="宋体" w:hAnsi="宋体"/>
          <w:sz w:val="24"/>
          <w:shd w:val="clear" w:color="auto" w:fill="FFFFFF"/>
        </w:rPr>
        <w:t>长×宽×高以厘米计</w:t>
      </w:r>
      <w:r>
        <w:rPr>
          <w:rFonts w:ascii="宋体" w:hAnsi="宋体"/>
          <w:sz w:val="24"/>
          <w:shd w:val="clear" w:color="auto" w:fill="FFFFFF"/>
        </w:rPr>
        <w:t>)</w:t>
      </w:r>
      <w:r>
        <w:rPr>
          <w:rFonts w:hint="eastAsia" w:ascii="宋体" w:hAnsi="宋体"/>
          <w:sz w:val="24"/>
          <w:shd w:val="clear" w:color="auto" w:fill="FFFFFF"/>
        </w:rPr>
        <w:t>：</w:t>
      </w:r>
      <w:r>
        <w:rPr>
          <w:rFonts w:ascii="宋体" w:hAnsi="宋体"/>
          <w:sz w:val="24"/>
          <w:u w:val="single"/>
          <w:shd w:val="clear" w:color="auto" w:fill="FFFFFF"/>
        </w:rPr>
        <w:t xml:space="preserve">                 </w:t>
      </w:r>
    </w:p>
    <w:p>
      <w:pPr>
        <w:spacing w:before="120" w:line="360" w:lineRule="auto"/>
        <w:ind w:left="720" w:hanging="720"/>
        <w:rPr>
          <w:rFonts w:ascii="宋体" w:hAnsi="宋体"/>
          <w:sz w:val="24"/>
          <w:shd w:val="clear" w:color="auto" w:fill="FFFFFF"/>
        </w:rPr>
      </w:pPr>
      <w:r>
        <w:rPr>
          <w:rFonts w:hint="eastAsia" w:ascii="宋体" w:hAnsi="宋体"/>
          <w:sz w:val="24"/>
          <w:shd w:val="clear" w:color="auto" w:fill="FFFFFF"/>
        </w:rPr>
        <w:t>5.2   如果货物单件重量在</w:t>
      </w:r>
      <w:r>
        <w:rPr>
          <w:rFonts w:ascii="宋体" w:hAnsi="宋体"/>
          <w:sz w:val="24"/>
          <w:shd w:val="clear" w:color="auto" w:fill="FFFFFF"/>
        </w:rPr>
        <w:t>2</w:t>
      </w:r>
      <w:r>
        <w:rPr>
          <w:rFonts w:hint="eastAsia" w:ascii="宋体" w:hAnsi="宋体"/>
          <w:sz w:val="24"/>
          <w:shd w:val="clear" w:color="auto" w:fill="FFFFFF"/>
        </w:rPr>
        <w:t>吨或</w:t>
      </w:r>
      <w:r>
        <w:rPr>
          <w:rFonts w:ascii="宋体" w:hAnsi="宋体"/>
          <w:sz w:val="24"/>
          <w:shd w:val="clear" w:color="auto" w:fill="FFFFFF"/>
        </w:rPr>
        <w:t>2</w:t>
      </w:r>
      <w:r>
        <w:rPr>
          <w:rFonts w:hint="eastAsia" w:ascii="宋体" w:hAnsi="宋体"/>
          <w:sz w:val="24"/>
          <w:shd w:val="clear" w:color="auto" w:fill="FFFFFF"/>
        </w:rPr>
        <w:t>吨以上，卖方应在每件包装箱的两侧用中文和适当的运输标记，标明“重心”和“吊装点”，以便装卸和搬运。根据货物的特点和运输的不同要求，</w:t>
      </w:r>
      <w:r>
        <w:rPr>
          <w:rFonts w:ascii="宋体" w:hAnsi="宋体"/>
          <w:sz w:val="24"/>
          <w:shd w:val="clear" w:color="auto" w:fill="FFFFFF"/>
        </w:rPr>
        <w:t xml:space="preserve"> </w:t>
      </w:r>
      <w:r>
        <w:rPr>
          <w:rFonts w:hint="eastAsia" w:ascii="宋体" w:hAnsi="宋体"/>
          <w:sz w:val="24"/>
          <w:shd w:val="clear" w:color="auto" w:fill="FFFFFF"/>
        </w:rPr>
        <w:t>卖方应在包装箱上清楚地标有“小心轻放”、“防潮”、</w:t>
      </w:r>
      <w:r>
        <w:rPr>
          <w:rFonts w:ascii="宋体" w:hAnsi="宋体"/>
          <w:sz w:val="24"/>
          <w:shd w:val="clear" w:color="auto" w:fill="FFFFFF"/>
        </w:rPr>
        <w:t xml:space="preserve"> “</w:t>
      </w:r>
      <w:r>
        <w:rPr>
          <w:rFonts w:hint="eastAsia" w:ascii="宋体" w:hAnsi="宋体"/>
          <w:sz w:val="24"/>
          <w:shd w:val="clear" w:color="auto" w:fill="FFFFFF"/>
        </w:rPr>
        <w:t>勿倒置”等字样和其他适当的标志。</w:t>
      </w:r>
      <w:bookmarkStart w:id="845" w:name="_Ref467379536"/>
      <w:bookmarkStart w:id="846" w:name="_Ref467378591"/>
      <w:bookmarkStart w:id="847" w:name="_Toc487900354"/>
      <w:bookmarkStart w:id="848" w:name="_Ref467379527"/>
      <w:bookmarkStart w:id="849" w:name="_Ref467378541"/>
      <w:bookmarkStart w:id="850" w:name="_Ref467379542"/>
    </w:p>
    <w:p>
      <w:pPr>
        <w:spacing w:before="120" w:line="360" w:lineRule="auto"/>
        <w:ind w:left="720" w:hanging="720"/>
        <w:rPr>
          <w:rFonts w:ascii="宋体" w:hAnsi="宋体"/>
          <w:sz w:val="24"/>
          <w:shd w:val="clear" w:color="auto" w:fill="FFFFFF"/>
        </w:rPr>
      </w:pPr>
      <w:r>
        <w:rPr>
          <w:rFonts w:hint="eastAsia" w:ascii="宋体" w:hAnsi="宋体"/>
          <w:sz w:val="24"/>
          <w:shd w:val="clear" w:color="auto" w:fill="FFFFFF"/>
        </w:rPr>
        <w:t>6     交货方式</w:t>
      </w:r>
      <w:bookmarkEnd w:id="845"/>
      <w:bookmarkEnd w:id="846"/>
      <w:bookmarkEnd w:id="847"/>
      <w:bookmarkEnd w:id="848"/>
      <w:bookmarkEnd w:id="849"/>
      <w:bookmarkEnd w:id="850"/>
    </w:p>
    <w:p>
      <w:pPr>
        <w:adjustRightInd w:val="0"/>
        <w:snapToGrid w:val="0"/>
        <w:spacing w:before="120" w:line="360" w:lineRule="auto"/>
        <w:ind w:left="739" w:hanging="739" w:hangingChars="308"/>
        <w:rPr>
          <w:rFonts w:ascii="宋体" w:hAnsi="宋体"/>
          <w:sz w:val="24"/>
          <w:shd w:val="clear" w:color="auto" w:fill="FFFFFF"/>
        </w:rPr>
      </w:pPr>
      <w:bookmarkStart w:id="851" w:name="_Ref467379657"/>
      <w:r>
        <w:rPr>
          <w:rFonts w:hint="eastAsia" w:ascii="宋体" w:hAnsi="宋体"/>
          <w:sz w:val="24"/>
          <w:shd w:val="clear" w:color="auto" w:fill="FFFFFF"/>
        </w:rPr>
        <w:t>6.1   交货方式一般为下列其中一种，具体在合同书中规定。</w:t>
      </w:r>
      <w:bookmarkEnd w:id="851"/>
    </w:p>
    <w:p>
      <w:pPr>
        <w:adjustRightInd w:val="0"/>
        <w:snapToGrid w:val="0"/>
        <w:spacing w:before="120" w:line="360" w:lineRule="auto"/>
        <w:ind w:left="740" w:hanging="760"/>
        <w:rPr>
          <w:rFonts w:ascii="宋体" w:hAnsi="宋体"/>
          <w:sz w:val="24"/>
          <w:shd w:val="clear" w:color="auto" w:fill="FFFFFF"/>
        </w:rPr>
      </w:pPr>
      <w:r>
        <w:rPr>
          <w:rFonts w:hint="eastAsia" w:ascii="宋体" w:hAnsi="宋体"/>
          <w:sz w:val="24"/>
          <w:shd w:val="clear" w:color="auto" w:fill="FFFFFF"/>
        </w:rPr>
        <w:t>6.1.1  现场交货：卖方负责办理运输和保险，将货物运抵现场。有关运输和保险的一切费用由卖方承担。所有货物运抵现场的日期为交货日期。</w:t>
      </w:r>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6.1.2   工厂交货：由卖方负责代办运输和保险事宜。运输费和保险费由买方承担。运输部门出具收据的日期为交货日期。</w:t>
      </w:r>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6.1.3   买方自提货物：由买方在合同规定地点自行办理提货。提单日期为交货日期。</w:t>
      </w:r>
    </w:p>
    <w:p>
      <w:pPr>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6.2     卖方应在合同规定的交货期</w:t>
      </w:r>
      <w:r>
        <w:rPr>
          <w:rFonts w:hint="eastAsia" w:ascii="宋体" w:hAnsi="宋体"/>
          <w:sz w:val="24"/>
          <w:u w:val="single"/>
          <w:shd w:val="clear" w:color="auto" w:fill="FFFFFF"/>
        </w:rPr>
        <w:t>7</w:t>
      </w:r>
      <w:r>
        <w:rPr>
          <w:rFonts w:hint="eastAsia" w:ascii="宋体" w:hAnsi="宋体"/>
          <w:sz w:val="24"/>
          <w:shd w:val="clear" w:color="auto" w:fill="FFFFFF"/>
        </w:rPr>
        <w:t>天以前以电报或传真形式将合同号、货物名称、数量、包装箱件数、总毛重、总体积</w:t>
      </w:r>
      <w:r>
        <w:rPr>
          <w:rFonts w:ascii="宋体" w:hAnsi="宋体"/>
          <w:sz w:val="24"/>
          <w:shd w:val="clear" w:color="auto" w:fill="FFFFFF"/>
        </w:rPr>
        <w:t>(</w:t>
      </w:r>
      <w:r>
        <w:rPr>
          <w:rFonts w:hint="eastAsia" w:ascii="宋体" w:hAnsi="宋体"/>
          <w:sz w:val="24"/>
          <w:shd w:val="clear" w:color="auto" w:fill="FFFFFF"/>
        </w:rPr>
        <w:t>立方米</w:t>
      </w:r>
      <w:r>
        <w:rPr>
          <w:rFonts w:ascii="宋体" w:hAnsi="宋体"/>
          <w:sz w:val="24"/>
          <w:shd w:val="clear" w:color="auto" w:fill="FFFFFF"/>
        </w:rPr>
        <w:t>)</w:t>
      </w:r>
      <w:r>
        <w:rPr>
          <w:rFonts w:hint="eastAsia" w:ascii="宋体" w:hAnsi="宋体"/>
          <w:sz w:val="24"/>
          <w:shd w:val="clear" w:color="auto" w:fill="FFFFFF"/>
        </w:rPr>
        <w:t>和备妥交货日期通知买方。同时卖方应用挂号信将详细交货清单一式</w:t>
      </w:r>
      <w:r>
        <w:rPr>
          <w:rFonts w:ascii="宋体" w:hAnsi="宋体"/>
          <w:sz w:val="24"/>
          <w:shd w:val="clear" w:color="auto" w:fill="FFFFFF"/>
        </w:rPr>
        <w:t>6</w:t>
      </w:r>
      <w:r>
        <w:rPr>
          <w:rFonts w:hint="eastAsia" w:ascii="宋体" w:hAnsi="宋体"/>
          <w:sz w:val="24"/>
          <w:shd w:val="clear" w:color="auto" w:fill="FFFFFF"/>
        </w:rPr>
        <w:t>份包括合同号、货物名称、规格、数量、总毛重、总体积</w:t>
      </w:r>
      <w:r>
        <w:rPr>
          <w:rFonts w:ascii="宋体" w:hAnsi="宋体"/>
          <w:sz w:val="24"/>
          <w:shd w:val="clear" w:color="auto" w:fill="FFFFFF"/>
        </w:rPr>
        <w:t>(</w:t>
      </w:r>
      <w:r>
        <w:rPr>
          <w:rFonts w:hint="eastAsia" w:ascii="宋体" w:hAnsi="宋体"/>
          <w:sz w:val="24"/>
          <w:shd w:val="clear" w:color="auto" w:fill="FFFFFF"/>
        </w:rPr>
        <w:t>立方米</w:t>
      </w:r>
      <w:r>
        <w:rPr>
          <w:rFonts w:ascii="宋体" w:hAnsi="宋体"/>
          <w:sz w:val="24"/>
          <w:shd w:val="clear" w:color="auto" w:fill="FFFFFF"/>
        </w:rPr>
        <w:t>)</w:t>
      </w:r>
      <w:r>
        <w:rPr>
          <w:rFonts w:hint="eastAsia" w:ascii="宋体" w:hAnsi="宋体"/>
          <w:sz w:val="24"/>
          <w:shd w:val="clear" w:color="auto" w:fill="FFFFFF"/>
        </w:rPr>
        <w:t>、包装箱件数和每个包装箱的尺寸</w:t>
      </w:r>
      <w:r>
        <w:rPr>
          <w:rFonts w:ascii="宋体" w:hAnsi="宋体"/>
          <w:sz w:val="24"/>
          <w:shd w:val="clear" w:color="auto" w:fill="FFFFFF"/>
        </w:rPr>
        <w:t>(</w:t>
      </w:r>
      <w:r>
        <w:rPr>
          <w:rFonts w:hint="eastAsia" w:ascii="宋体" w:hAnsi="宋体"/>
          <w:sz w:val="24"/>
          <w:shd w:val="clear" w:color="auto" w:fill="FFFFFF"/>
        </w:rPr>
        <w:t>长×宽×高</w:t>
      </w:r>
      <w:r>
        <w:rPr>
          <w:rFonts w:ascii="宋体" w:hAnsi="宋体"/>
          <w:sz w:val="24"/>
          <w:shd w:val="clear" w:color="auto" w:fill="FFFFFF"/>
        </w:rPr>
        <w:t>)</w:t>
      </w:r>
      <w:r>
        <w:rPr>
          <w:rFonts w:hint="eastAsia" w:ascii="宋体" w:hAnsi="宋体"/>
          <w:sz w:val="24"/>
          <w:shd w:val="clear" w:color="auto" w:fill="FFFFFF"/>
        </w:rPr>
        <w:t>、货物总价和备妥待交日期以及对货物在运输和仓储的特殊要求和注意事项通知买方。</w:t>
      </w:r>
    </w:p>
    <w:p>
      <w:pPr>
        <w:tabs>
          <w:tab w:val="left" w:pos="720"/>
        </w:tabs>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6.3     在现场交货和工厂交货条件下，卖方装运的货物不应超过合同规定的数量或重量。否则，卖方应对超运部分引起的一切后果负责。</w:t>
      </w:r>
      <w:bookmarkStart w:id="852" w:name="_Toc487900355"/>
    </w:p>
    <w:p>
      <w:pPr>
        <w:tabs>
          <w:tab w:val="left" w:pos="720"/>
        </w:tabs>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7      装运通知</w:t>
      </w:r>
      <w:bookmarkEnd w:id="852"/>
    </w:p>
    <w:p>
      <w:pPr>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7.1    在现场交货和工厂交货条件下的货物，卖方通知买方货物已备妥待运输后</w:t>
      </w:r>
      <w:r>
        <w:rPr>
          <w:rFonts w:ascii="宋体" w:hAnsi="宋体"/>
          <w:sz w:val="24"/>
          <w:shd w:val="clear" w:color="auto" w:fill="FFFFFF"/>
        </w:rPr>
        <w:t>24</w:t>
      </w:r>
      <w:r>
        <w:rPr>
          <w:rFonts w:hint="eastAsia" w:ascii="宋体" w:hAnsi="宋体"/>
          <w:sz w:val="24"/>
          <w:shd w:val="clear" w:color="auto" w:fill="FFFFFF"/>
        </w:rPr>
        <w:t>小时之内，应将合同号、货名、数量、毛重、总体积</w:t>
      </w:r>
      <w:r>
        <w:rPr>
          <w:rFonts w:ascii="宋体" w:hAnsi="宋体"/>
          <w:sz w:val="24"/>
          <w:shd w:val="clear" w:color="auto" w:fill="FFFFFF"/>
        </w:rPr>
        <w:t>(</w:t>
      </w:r>
      <w:r>
        <w:rPr>
          <w:rFonts w:hint="eastAsia" w:ascii="宋体" w:hAnsi="宋体"/>
          <w:sz w:val="24"/>
          <w:shd w:val="clear" w:color="auto" w:fill="FFFFFF"/>
        </w:rPr>
        <w:t>立方米</w:t>
      </w:r>
      <w:r>
        <w:rPr>
          <w:rFonts w:ascii="宋体" w:hAnsi="宋体"/>
          <w:sz w:val="24"/>
          <w:shd w:val="clear" w:color="auto" w:fill="FFFFFF"/>
        </w:rPr>
        <w:t>)</w:t>
      </w:r>
      <w:r>
        <w:rPr>
          <w:rFonts w:hint="eastAsia" w:ascii="宋体" w:hAnsi="宋体"/>
          <w:sz w:val="24"/>
          <w:shd w:val="clear" w:color="auto" w:fill="FFFFFF"/>
        </w:rPr>
        <w:t>、发票金额、运输工具名称及装运日期，以电报或传真通知买方。</w:t>
      </w:r>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7.2    如因卖方延误将上述内容用电报或传真通知买方，由此引起的一切后果损失应由卖方负责。</w:t>
      </w:r>
      <w:bookmarkStart w:id="853" w:name="_Ref467379793"/>
      <w:bookmarkStart w:id="854" w:name="_Ref467379807"/>
      <w:bookmarkStart w:id="855" w:name="_Toc487900357"/>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8      付款</w:t>
      </w:r>
      <w:bookmarkEnd w:id="853"/>
      <w:bookmarkEnd w:id="854"/>
      <w:bookmarkEnd w:id="855"/>
      <w:r>
        <w:rPr>
          <w:rFonts w:hint="eastAsia" w:ascii="宋体" w:hAnsi="宋体"/>
          <w:sz w:val="24"/>
          <w:shd w:val="clear" w:color="auto" w:fill="FFFFFF"/>
        </w:rPr>
        <w:t>方式</w:t>
      </w:r>
    </w:p>
    <w:p>
      <w:pPr>
        <w:spacing w:before="120" w:line="360" w:lineRule="auto"/>
        <w:ind w:left="967" w:leftChars="399" w:hanging="129" w:hangingChars="54"/>
        <w:rPr>
          <w:rFonts w:ascii="宋体" w:hAnsi="宋体"/>
          <w:sz w:val="24"/>
          <w:shd w:val="clear" w:color="auto" w:fill="FFFFFF"/>
        </w:rPr>
      </w:pPr>
      <w:bookmarkStart w:id="856" w:name="_Ref467379852"/>
      <w:bookmarkStart w:id="857" w:name="_Toc487900358"/>
      <w:bookmarkStart w:id="858" w:name="_Ref467379923"/>
      <w:bookmarkStart w:id="859" w:name="_Ref467379863"/>
      <w:r>
        <w:rPr>
          <w:rFonts w:hint="eastAsia" w:ascii="宋体" w:hAnsi="宋体"/>
          <w:sz w:val="24"/>
          <w:shd w:val="clear" w:color="auto" w:fill="FFFFFF"/>
        </w:rPr>
        <w:t>按照合同书规定。</w:t>
      </w:r>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9      技术资料</w:t>
      </w:r>
      <w:bookmarkEnd w:id="856"/>
      <w:bookmarkEnd w:id="857"/>
      <w:bookmarkEnd w:id="858"/>
      <w:bookmarkEnd w:id="859"/>
    </w:p>
    <w:p>
      <w:pPr>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9.1    合同项下技术资料(除合同书规定外)将以下列方式交付：</w:t>
      </w:r>
    </w:p>
    <w:p>
      <w:pPr>
        <w:adjustRightInd w:val="0"/>
        <w:snapToGrid w:val="0"/>
        <w:spacing w:before="120" w:line="360" w:lineRule="auto"/>
        <w:ind w:left="958"/>
        <w:rPr>
          <w:rFonts w:ascii="宋体" w:hAnsi="宋体"/>
          <w:sz w:val="24"/>
          <w:shd w:val="clear" w:color="auto" w:fill="FFFFFF"/>
        </w:rPr>
      </w:pPr>
      <w:r>
        <w:rPr>
          <w:rFonts w:hint="eastAsia" w:ascii="宋体" w:hAnsi="宋体"/>
          <w:sz w:val="24"/>
          <w:shd w:val="clear" w:color="auto" w:fill="FFFFFF"/>
        </w:rPr>
        <w:t>合同生效后 7 天之内，卖方应将每台设备和仪器的中文技术资料一套，如目录索引、图纸、操作手册、使用指南、维修指南和／或服务手册和示意图寄给买方。</w:t>
      </w:r>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9.2    另外一套完整的上述资料应包装好随同每批货物一起发运。</w:t>
      </w:r>
    </w:p>
    <w:p>
      <w:pPr>
        <w:adjustRightInd w:val="0"/>
        <w:snapToGrid w:val="0"/>
        <w:spacing w:before="120" w:line="360" w:lineRule="auto"/>
        <w:ind w:left="870" w:hanging="870"/>
        <w:rPr>
          <w:rFonts w:ascii="宋体" w:hAnsi="宋体"/>
          <w:sz w:val="24"/>
          <w:shd w:val="clear" w:color="auto" w:fill="FFFFFF"/>
        </w:rPr>
      </w:pPr>
      <w:r>
        <w:rPr>
          <w:rFonts w:hint="eastAsia" w:ascii="宋体" w:hAnsi="宋体"/>
          <w:sz w:val="24"/>
          <w:shd w:val="clear" w:color="auto" w:fill="FFFFFF"/>
        </w:rPr>
        <w:t>9.3    如果买方确认卖方提供的技术资料不完整或在运输过程中丢失，卖方将在收到买方通知后</w:t>
      </w:r>
      <w:r>
        <w:rPr>
          <w:rFonts w:hint="eastAsia" w:ascii="宋体" w:hAnsi="宋体"/>
          <w:sz w:val="24"/>
          <w:u w:val="single"/>
          <w:shd w:val="clear" w:color="auto" w:fill="FFFFFF"/>
        </w:rPr>
        <w:t xml:space="preserve">  5 </w:t>
      </w:r>
      <w:r>
        <w:rPr>
          <w:rFonts w:hint="eastAsia" w:ascii="宋体" w:hAnsi="宋体"/>
          <w:sz w:val="24"/>
          <w:shd w:val="clear" w:color="auto" w:fill="FFFFFF"/>
        </w:rPr>
        <w:t>天内将这些资料免费寄给买方。</w:t>
      </w:r>
      <w:bookmarkStart w:id="860" w:name="_Ref467377798"/>
      <w:bookmarkStart w:id="861" w:name="_Toc487900359"/>
      <w:bookmarkStart w:id="862" w:name="_Ref467379937"/>
      <w:bookmarkStart w:id="863" w:name="_Ref467377962"/>
      <w:bookmarkStart w:id="864" w:name="_Ref467379946"/>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10      质量保证</w:t>
      </w:r>
      <w:bookmarkEnd w:id="860"/>
      <w:bookmarkEnd w:id="861"/>
      <w:bookmarkEnd w:id="862"/>
      <w:bookmarkEnd w:id="863"/>
      <w:bookmarkEnd w:id="864"/>
    </w:p>
    <w:p>
      <w:pPr>
        <w:adjustRightInd w:val="0"/>
        <w:snapToGrid w:val="0"/>
        <w:spacing w:line="360" w:lineRule="auto"/>
        <w:ind w:left="960" w:hanging="960"/>
        <w:rPr>
          <w:rFonts w:ascii="宋体" w:hAnsi="宋体"/>
          <w:sz w:val="24"/>
          <w:shd w:val="clear" w:color="auto" w:fill="FFFFFF"/>
        </w:rPr>
      </w:pPr>
      <w:r>
        <w:rPr>
          <w:rFonts w:hint="eastAsia" w:ascii="宋体" w:hAnsi="宋体"/>
          <w:sz w:val="24"/>
          <w:shd w:val="clear" w:color="auto" w:fill="FFFFFF"/>
        </w:rPr>
        <w:t>10.1    卖方须保证货物是全新、未使用过的，并完全符合强制性的国家技术质量规范和合同规定的质量、规格、性能和技术规范等的要求。</w:t>
      </w:r>
    </w:p>
    <w:p>
      <w:pPr>
        <w:adjustRightInd w:val="0"/>
        <w:snapToGrid w:val="0"/>
        <w:spacing w:line="360" w:lineRule="auto"/>
        <w:ind w:left="960" w:hanging="960"/>
        <w:rPr>
          <w:rFonts w:ascii="宋体" w:hAnsi="宋体"/>
          <w:sz w:val="24"/>
          <w:shd w:val="clear" w:color="auto" w:fill="FFFFFF"/>
        </w:rPr>
      </w:pPr>
      <w:r>
        <w:rPr>
          <w:rFonts w:hint="eastAsia" w:ascii="宋体" w:hAnsi="宋体"/>
          <w:sz w:val="24"/>
          <w:shd w:val="clear" w:color="auto" w:fill="FFFFFF"/>
        </w:rPr>
        <w:t>10.2</w:t>
      </w:r>
      <w:r>
        <w:rPr>
          <w:rFonts w:hint="eastAsia" w:ascii="宋体" w:hAnsi="宋体"/>
          <w:sz w:val="24"/>
          <w:shd w:val="clear" w:color="auto" w:fill="FFFFFF"/>
        </w:rPr>
        <w:tab/>
      </w:r>
      <w:r>
        <w:rPr>
          <w:rFonts w:hint="eastAsia" w:ascii="宋体" w:hAnsi="宋体"/>
          <w:sz w:val="24"/>
          <w:shd w:val="clear" w:color="auto" w:fill="FFFFFF"/>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宋体" w:hAnsi="宋体"/>
          <w:sz w:val="24"/>
          <w:u w:val="single"/>
          <w:shd w:val="clear" w:color="auto" w:fill="FFFFFF"/>
        </w:rPr>
        <w:t>20</w:t>
      </w:r>
      <w:r>
        <w:rPr>
          <w:rFonts w:hint="eastAsia" w:ascii="宋体" w:hAnsi="宋体"/>
          <w:sz w:val="24"/>
          <w:shd w:val="clear" w:color="auto" w:fill="FFFFFF"/>
        </w:rPr>
        <w:t>天内应免费维修或更换有缺陷的货物或部件。</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10.4    如果卖方在收到通知后</w:t>
      </w:r>
      <w:r>
        <w:rPr>
          <w:rFonts w:hint="eastAsia" w:ascii="宋体" w:hAnsi="宋体"/>
          <w:sz w:val="24"/>
          <w:u w:val="single"/>
          <w:shd w:val="clear" w:color="auto" w:fill="FFFFFF"/>
        </w:rPr>
        <w:t xml:space="preserve"> 20 </w:t>
      </w:r>
      <w:r>
        <w:rPr>
          <w:rFonts w:hint="eastAsia" w:ascii="宋体" w:hAnsi="宋体"/>
          <w:sz w:val="24"/>
          <w:shd w:val="clear" w:color="auto" w:fill="FFFFFF"/>
        </w:rPr>
        <w:t>天内没有弥补缺陷，买方可采取必要的补救措施，但由此引发的风险和费用将由卖方承担。</w:t>
      </w:r>
    </w:p>
    <w:p>
      <w:pPr>
        <w:adjustRightInd w:val="0"/>
        <w:snapToGrid w:val="0"/>
        <w:spacing w:before="120" w:line="360" w:lineRule="auto"/>
        <w:ind w:left="960" w:hanging="960"/>
        <w:rPr>
          <w:rFonts w:ascii="宋体" w:hAnsi="宋体"/>
          <w:sz w:val="24"/>
          <w:shd w:val="clear" w:color="auto" w:fill="FFFFFF"/>
        </w:rPr>
      </w:pPr>
      <w:bookmarkStart w:id="865" w:name="_Ref467378018"/>
      <w:bookmarkStart w:id="866" w:name="_Toc487900360"/>
      <w:r>
        <w:rPr>
          <w:rFonts w:hint="eastAsia" w:ascii="宋体" w:hAnsi="宋体"/>
          <w:sz w:val="24"/>
          <w:shd w:val="clear" w:color="auto" w:fill="FFFFFF"/>
        </w:rPr>
        <w:t>11      检验</w:t>
      </w:r>
      <w:bookmarkEnd w:id="865"/>
      <w:bookmarkEnd w:id="866"/>
      <w:r>
        <w:rPr>
          <w:rFonts w:hint="eastAsia" w:ascii="宋体" w:hAnsi="宋体"/>
          <w:sz w:val="24"/>
          <w:shd w:val="clear" w:color="auto" w:fill="FFFFFF"/>
        </w:rPr>
        <w:t>和验收</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11.2    货物运抵现场后，买方应在日内组织验收，并制作验收备忘录，签署验收意见 。</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11.3    买方有在货物制造过程中派员监造的权利</w:t>
      </w:r>
      <w:r>
        <w:rPr>
          <w:rFonts w:ascii="宋体" w:hAnsi="宋体"/>
          <w:sz w:val="24"/>
          <w:shd w:val="clear" w:color="auto" w:fill="FFFFFF"/>
        </w:rPr>
        <w:t xml:space="preserve">, </w:t>
      </w:r>
      <w:r>
        <w:rPr>
          <w:rFonts w:hint="eastAsia" w:ascii="宋体" w:hAnsi="宋体"/>
          <w:sz w:val="24"/>
          <w:shd w:val="clear" w:color="auto" w:fill="FFFFFF"/>
        </w:rPr>
        <w:t>卖方有义务为买方监造人员行使该权利提供方便。</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11.4    制造商对所供货物进行机械运转试验和性能试验时，中标人必须提前通知买方。</w:t>
      </w:r>
      <w:bookmarkStart w:id="867" w:name="_Toc487900361"/>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12      索赔</w:t>
      </w:r>
      <w:bookmarkEnd w:id="867"/>
    </w:p>
    <w:p>
      <w:pPr>
        <w:adjustRightInd w:val="0"/>
        <w:snapToGrid w:val="0"/>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adjustRightInd w:val="0"/>
        <w:snapToGrid w:val="0"/>
        <w:spacing w:before="120" w:line="360" w:lineRule="auto"/>
        <w:ind w:left="900" w:hanging="900"/>
        <w:rPr>
          <w:rFonts w:ascii="宋体" w:hAnsi="宋体"/>
          <w:sz w:val="24"/>
          <w:shd w:val="clear" w:color="auto" w:fill="FFFFFF"/>
        </w:rPr>
      </w:pPr>
      <w:bookmarkStart w:id="868" w:name="_Ref467378076"/>
      <w:r>
        <w:rPr>
          <w:rFonts w:hint="eastAsia" w:ascii="宋体" w:hAnsi="宋体"/>
          <w:sz w:val="24"/>
          <w:shd w:val="clear" w:color="auto" w:fill="FFFFFF"/>
        </w:rPr>
        <w:t>12.2   在根据合同第10条和第11条规定的检验期和质量保证期内，如果卖方对买方提出的索赔负有责任，卖方应按照买方同意的下列一种或多种方式解决索赔事宜：</w:t>
      </w:r>
      <w:bookmarkEnd w:id="868"/>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12.2.2  根据货物低劣程度、损坏程度以及买方所遭受损失的数额，经买卖双方商定降低货物的价格，或由有权的部门评估，以降低后的价格或评估价格为准。</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12.2.3  用符合规格、质量和性能要求的新零件、部件或货物来更换有缺陷的部分或／和修补缺陷部分，卖方应承担一切费用和风险并负担买方所发生的一切直接费用。同时，卖方应按合同第</w:t>
      </w:r>
      <w:r>
        <w:rPr>
          <w:rFonts w:ascii="宋体" w:hAnsi="宋体"/>
          <w:sz w:val="24"/>
          <w:shd w:val="clear" w:color="auto" w:fill="FFFFFF"/>
        </w:rPr>
        <w:t>10</w:t>
      </w:r>
      <w:r>
        <w:rPr>
          <w:rFonts w:hint="eastAsia" w:ascii="宋体" w:hAnsi="宋体"/>
          <w:sz w:val="24"/>
          <w:shd w:val="clear" w:color="auto" w:fill="FFFFFF"/>
        </w:rPr>
        <w:t>条规定，相应延长修补或更换件的质量保证期。</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12.3    如果在买方发出索赔通知后</w:t>
      </w:r>
      <w:r>
        <w:rPr>
          <w:rFonts w:hint="eastAsia" w:ascii="宋体" w:hAnsi="宋体"/>
          <w:sz w:val="24"/>
          <w:u w:val="single"/>
          <w:shd w:val="clear" w:color="auto" w:fill="FFFFFF"/>
        </w:rPr>
        <w:t xml:space="preserve"> 7 </w:t>
      </w:r>
      <w:r>
        <w:rPr>
          <w:rFonts w:hint="eastAsia" w:ascii="宋体" w:hAnsi="宋体"/>
          <w:sz w:val="24"/>
          <w:shd w:val="clear" w:color="auto" w:fill="FFFFFF"/>
        </w:rPr>
        <w:t>天内，卖方未作答复，上述索赔应视为已被卖方接受。如卖方未能在买方提出索赔通知后</w:t>
      </w:r>
      <w:r>
        <w:rPr>
          <w:rFonts w:hint="eastAsia" w:ascii="宋体" w:hAnsi="宋体"/>
          <w:sz w:val="24"/>
          <w:u w:val="single"/>
          <w:shd w:val="clear" w:color="auto" w:fill="FFFFFF"/>
        </w:rPr>
        <w:t xml:space="preserve"> 7 </w:t>
      </w:r>
      <w:r>
        <w:rPr>
          <w:rFonts w:hint="eastAsia" w:ascii="宋体" w:hAnsi="宋体"/>
          <w:sz w:val="24"/>
          <w:shd w:val="clear" w:color="auto" w:fill="FFFFFF"/>
        </w:rPr>
        <w:t>天内或买方同意的更长时间内，按照本合同第12.2条规定的任何一种方法解决索赔事宜，买方将从合同款中扣回索赔金额。如果这些金额不足以补偿索赔金额，买方有权向卖方提出不足部分的补偿。</w:t>
      </w:r>
      <w:bookmarkStart w:id="869" w:name="_Toc487900362"/>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13     延迟交货</w:t>
      </w:r>
      <w:bookmarkEnd w:id="869"/>
    </w:p>
    <w:p>
      <w:pPr>
        <w:adjustRightInd w:val="0"/>
        <w:snapToGrid w:val="0"/>
        <w:spacing w:before="120" w:line="360" w:lineRule="auto"/>
        <w:ind w:left="901" w:hanging="960"/>
        <w:rPr>
          <w:rFonts w:ascii="宋体" w:hAnsi="宋体"/>
          <w:sz w:val="24"/>
          <w:shd w:val="clear" w:color="auto" w:fill="FFFFFF"/>
        </w:rPr>
      </w:pPr>
      <w:r>
        <w:rPr>
          <w:rFonts w:hint="eastAsia" w:ascii="宋体" w:hAnsi="宋体"/>
          <w:sz w:val="24"/>
          <w:shd w:val="clear" w:color="auto" w:fill="FFFFFF"/>
        </w:rPr>
        <w:t>13.1   卖方应按照“货物需求一览表及技术规格”中买方规定的时间表交货和提供服务。</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13.2   如果卖方无正当理由迟延交货，买方有权提出违约损失赔偿或解除合同。</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13.3    在履行合同过程中，如果卖方遇到不能按时交货和提供服务的情况，应及时以书面形式将不能按时交货的理由、预期延误时间通知买方。买方收到卖方通知后，认为其理由正当的，可酌情延长交货时间。</w:t>
      </w:r>
      <w:bookmarkStart w:id="870" w:name="_Toc487900363"/>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14      违约赔偿</w:t>
      </w:r>
      <w:bookmarkEnd w:id="870"/>
    </w:p>
    <w:p>
      <w:pPr>
        <w:adjustRightInd w:val="0"/>
        <w:snapToGrid w:val="0"/>
        <w:spacing w:before="120" w:line="360" w:lineRule="auto"/>
        <w:ind w:left="900" w:hanging="900" w:hangingChars="375"/>
        <w:rPr>
          <w:rFonts w:ascii="宋体" w:hAnsi="宋体"/>
          <w:sz w:val="24"/>
          <w:shd w:val="clear" w:color="auto" w:fill="FFFFFF"/>
        </w:rPr>
      </w:pPr>
      <w:r>
        <w:rPr>
          <w:rFonts w:hint="eastAsia" w:ascii="宋体" w:hAnsi="宋体"/>
          <w:sz w:val="24"/>
          <w:shd w:val="clear" w:color="auto" w:fill="FFFFFF"/>
        </w:rPr>
        <w:t>14.1    除合同第15条规定外，如果卖方没有按照合同规定的时间交货和提供服务，买方可要求卖方支付违约金。违约金按每周迟交货物或未提供服务交货价的</w:t>
      </w:r>
      <w:r>
        <w:rPr>
          <w:rFonts w:ascii="宋体" w:hAnsi="宋体"/>
          <w:sz w:val="24"/>
          <w:shd w:val="clear" w:color="auto" w:fill="FFFFFF"/>
        </w:rPr>
        <w:t>0.5%</w:t>
      </w:r>
      <w:r>
        <w:rPr>
          <w:rFonts w:hint="eastAsia" w:ascii="宋体" w:hAnsi="宋体"/>
          <w:sz w:val="24"/>
          <w:shd w:val="clear" w:color="auto" w:fill="FFFFFF"/>
        </w:rPr>
        <w:t>计收。但违约金的最高限额为迟交货物或没有提供服务的合同价的</w:t>
      </w:r>
      <w:r>
        <w:rPr>
          <w:rFonts w:ascii="宋体" w:hAnsi="宋体"/>
          <w:sz w:val="24"/>
          <w:shd w:val="clear" w:color="auto" w:fill="FFFFFF"/>
        </w:rPr>
        <w:t>5%</w:t>
      </w:r>
      <w:r>
        <w:rPr>
          <w:rFonts w:hint="eastAsia" w:ascii="宋体" w:hAnsi="宋体"/>
          <w:sz w:val="24"/>
          <w:shd w:val="clear" w:color="auto" w:fill="FFFFFF"/>
        </w:rPr>
        <w:t>。一周按７天计算，不足７天按一周计算。如果达到最高限额，买方有权解除合同。</w:t>
      </w:r>
      <w:bookmarkStart w:id="871" w:name="_Toc487900364"/>
      <w:bookmarkStart w:id="872" w:name="_Ref467378121"/>
    </w:p>
    <w:p>
      <w:pPr>
        <w:adjustRightInd w:val="0"/>
        <w:snapToGrid w:val="0"/>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15      不可抗力</w:t>
      </w:r>
      <w:bookmarkEnd w:id="871"/>
      <w:bookmarkEnd w:id="872"/>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15.1    如果双方中任何一方遭遇法律规定的不可抗力，致使合同履行受阻时，履行合同的期限应予延长，延长的期限应相当于不可抗力所影响的时间。</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15.2    受事故影响的一方应在不可抗力的事故发生后尽快书面形式通知另一方，并在事故发生后</w:t>
      </w:r>
      <w:r>
        <w:rPr>
          <w:rFonts w:hint="eastAsia" w:ascii="宋体" w:hAnsi="宋体"/>
          <w:sz w:val="24"/>
          <w:u w:val="single"/>
          <w:shd w:val="clear" w:color="auto" w:fill="FFFFFF"/>
        </w:rPr>
        <w:t xml:space="preserve">  7 </w:t>
      </w:r>
      <w:r>
        <w:rPr>
          <w:rFonts w:hint="eastAsia" w:ascii="宋体" w:hAnsi="宋体"/>
          <w:sz w:val="24"/>
          <w:shd w:val="clear" w:color="auto" w:fill="FFFFFF"/>
        </w:rPr>
        <w:t>天内，将有关部门出具的证明文件送达另一方。</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15.3</w:t>
      </w:r>
      <w:r>
        <w:rPr>
          <w:rFonts w:hint="eastAsia" w:ascii="宋体" w:hAnsi="宋体"/>
          <w:sz w:val="24"/>
          <w:shd w:val="clear" w:color="auto" w:fill="FFFFFF"/>
        </w:rPr>
        <w:tab/>
      </w:r>
      <w:r>
        <w:rPr>
          <w:rFonts w:hint="eastAsia" w:ascii="宋体" w:hAnsi="宋体"/>
          <w:sz w:val="24"/>
          <w:shd w:val="clear" w:color="auto" w:fill="FFFFFF"/>
        </w:rPr>
        <w:t>不可抗力使合同的某些内容有变更必要的，双方应通过协商在</w:t>
      </w:r>
      <w:r>
        <w:rPr>
          <w:rFonts w:hint="eastAsia" w:ascii="宋体" w:hAnsi="宋体"/>
          <w:sz w:val="24"/>
          <w:u w:val="single"/>
          <w:shd w:val="clear" w:color="auto" w:fill="FFFFFF"/>
        </w:rPr>
        <w:t xml:space="preserve">   7  </w:t>
      </w:r>
      <w:r>
        <w:rPr>
          <w:rFonts w:hint="eastAsia" w:ascii="宋体" w:hAnsi="宋体"/>
          <w:sz w:val="24"/>
          <w:shd w:val="clear" w:color="auto" w:fill="FFFFFF"/>
        </w:rPr>
        <w:t>日内达成进一步履行合同的协议，因不可抗力致使合同不能履行的，合同终止。</w:t>
      </w:r>
      <w:bookmarkStart w:id="873" w:name="_Toc487900365"/>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16      税费</w:t>
      </w:r>
      <w:bookmarkEnd w:id="873"/>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16.1    与本合同有关的一切税费均适用中华人民共和国法律的相关规定。</w:t>
      </w:r>
      <w:bookmarkStart w:id="874" w:name="_Toc487900366"/>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 xml:space="preserve">17      </w:t>
      </w:r>
      <w:bookmarkEnd w:id="874"/>
      <w:r>
        <w:rPr>
          <w:rFonts w:hint="eastAsia" w:ascii="宋体" w:hAnsi="宋体"/>
          <w:sz w:val="24"/>
          <w:shd w:val="clear" w:color="auto" w:fill="FFFFFF"/>
        </w:rPr>
        <w:t>合同争议的解决</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17.1    因合同履行中发生的争议，合同当事人双方可通过协商解决。协商不成的，可提请北京市仲裁委员会仲裁或向人民法院提起诉讼。</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17.2    仲裁裁决应为最终裁决，当事人一方在规定时间内不履行仲裁机构裁决的，另一方可以申请人民法院强制执行。</w:t>
      </w:r>
    </w:p>
    <w:p>
      <w:pPr>
        <w:tabs>
          <w:tab w:val="left" w:pos="900"/>
        </w:tabs>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17.3    仲裁费用和诉讼费用除仲裁机构另有裁决外，应由败诉方负担。</w:t>
      </w:r>
      <w:bookmarkStart w:id="875" w:name="_Toc487900367"/>
    </w:p>
    <w:p>
      <w:pPr>
        <w:tabs>
          <w:tab w:val="left" w:pos="900"/>
        </w:tabs>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18      违约解除合同</w:t>
      </w:r>
      <w:bookmarkEnd w:id="875"/>
    </w:p>
    <w:p>
      <w:pPr>
        <w:adjustRightInd w:val="0"/>
        <w:snapToGrid w:val="0"/>
        <w:spacing w:before="120" w:line="360" w:lineRule="auto"/>
        <w:ind w:left="960" w:hanging="960"/>
        <w:rPr>
          <w:rFonts w:ascii="宋体" w:hAnsi="宋体"/>
          <w:sz w:val="24"/>
          <w:shd w:val="clear" w:color="auto" w:fill="FFFFFF"/>
        </w:rPr>
      </w:pPr>
      <w:bookmarkStart w:id="876" w:name="_Ref467378234"/>
      <w:r>
        <w:rPr>
          <w:rFonts w:hint="eastAsia" w:ascii="宋体" w:hAnsi="宋体"/>
          <w:sz w:val="24"/>
          <w:shd w:val="clear" w:color="auto" w:fill="FFFFFF"/>
        </w:rPr>
        <w:t>18.1    在卖方违约的情况下，买方可向卖方发出书面通知，部分或全部终止合同。同时保留向卖方追诉的权利。</w:t>
      </w:r>
      <w:bookmarkEnd w:id="876"/>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18.1.1  卖方未能在合同规定的限期或买方同意延长的限期内，提供全部或部分货物,按合同第14.1的规定可以解除合同的；</w:t>
      </w:r>
      <w:r>
        <w:rPr>
          <w:rFonts w:ascii="宋体" w:hAnsi="宋体"/>
          <w:sz w:val="24"/>
          <w:shd w:val="clear" w:color="auto" w:fill="FFFFFF"/>
        </w:rPr>
        <w:t xml:space="preserve"> </w:t>
      </w:r>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18.1.2  卖方未能履行合同规定的其它主要义务的；</w:t>
      </w:r>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18.1.3  在本合同履行过程中有腐败和欺诈行为的。</w:t>
      </w:r>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 xml:space="preserve">18.1.3.1 </w:t>
      </w:r>
      <w:r>
        <w:rPr>
          <w:rFonts w:ascii="宋体" w:hAnsi="宋体"/>
          <w:sz w:val="24"/>
          <w:shd w:val="clear" w:color="auto" w:fill="FFFFFF"/>
        </w:rPr>
        <w:t>“</w:t>
      </w:r>
      <w:r>
        <w:rPr>
          <w:rFonts w:hint="eastAsia" w:ascii="宋体" w:hAnsi="宋体"/>
          <w:sz w:val="24"/>
          <w:shd w:val="clear" w:color="auto" w:fill="FFFFFF"/>
        </w:rPr>
        <w:t>腐败行为”和“欺诈行为”定义如下</w:t>
      </w:r>
      <w:r>
        <w:rPr>
          <w:rFonts w:ascii="宋体" w:hAnsi="宋体"/>
          <w:sz w:val="24"/>
          <w:shd w:val="clear" w:color="auto" w:fill="FFFFFF"/>
        </w:rPr>
        <w:t>:</w:t>
      </w:r>
    </w:p>
    <w:p>
      <w:pPr>
        <w:adjustRightInd w:val="0"/>
        <w:snapToGrid w:val="0"/>
        <w:spacing w:before="120" w:line="360" w:lineRule="auto"/>
        <w:ind w:left="1440" w:hanging="1440"/>
        <w:rPr>
          <w:rFonts w:ascii="宋体" w:hAnsi="宋体"/>
          <w:sz w:val="24"/>
          <w:shd w:val="clear" w:color="auto" w:fill="FFFFFF"/>
        </w:rPr>
      </w:pPr>
      <w:r>
        <w:rPr>
          <w:rFonts w:hint="eastAsia" w:ascii="宋体" w:hAnsi="宋体"/>
          <w:sz w:val="24"/>
          <w:shd w:val="clear" w:color="auto" w:fill="FFFFFF"/>
        </w:rPr>
        <w:t>18.1.3.1.1</w:t>
      </w:r>
      <w:r>
        <w:rPr>
          <w:rFonts w:ascii="宋体" w:hAnsi="宋体"/>
          <w:sz w:val="24"/>
          <w:shd w:val="clear" w:color="auto" w:fill="FFFFFF"/>
        </w:rPr>
        <w:t>“</w:t>
      </w:r>
      <w:r>
        <w:rPr>
          <w:rFonts w:hint="eastAsia" w:ascii="宋体" w:hAnsi="宋体"/>
          <w:sz w:val="24"/>
          <w:shd w:val="clear" w:color="auto" w:fill="FFFFFF"/>
        </w:rPr>
        <w:t>腐败行为”是指提供</w:t>
      </w:r>
      <w:r>
        <w:rPr>
          <w:rFonts w:ascii="宋体" w:hAnsi="宋体"/>
          <w:sz w:val="24"/>
          <w:shd w:val="clear" w:color="auto" w:fill="FFFFFF"/>
        </w:rPr>
        <w:t>/</w:t>
      </w:r>
      <w:r>
        <w:rPr>
          <w:rFonts w:hint="eastAsia" w:ascii="宋体" w:hAnsi="宋体"/>
          <w:sz w:val="24"/>
          <w:shd w:val="clear" w:color="auto" w:fill="FFFFFF"/>
        </w:rPr>
        <w:t>给予</w:t>
      </w:r>
      <w:r>
        <w:rPr>
          <w:rFonts w:ascii="宋体" w:hAnsi="宋体"/>
          <w:sz w:val="24"/>
          <w:shd w:val="clear" w:color="auto" w:fill="FFFFFF"/>
        </w:rPr>
        <w:t>/</w:t>
      </w:r>
      <w:r>
        <w:rPr>
          <w:rFonts w:hint="eastAsia" w:ascii="宋体" w:hAnsi="宋体"/>
          <w:sz w:val="24"/>
          <w:shd w:val="clear" w:color="auto" w:fill="FFFFFF"/>
        </w:rPr>
        <w:t>接受或索取任何有价值的东西来影响买方在合同签订、履行过程中的行为。</w:t>
      </w:r>
    </w:p>
    <w:p>
      <w:pPr>
        <w:adjustRightInd w:val="0"/>
        <w:snapToGrid w:val="0"/>
        <w:spacing w:before="120" w:line="360" w:lineRule="auto"/>
        <w:ind w:left="1440" w:hanging="1440"/>
        <w:rPr>
          <w:rFonts w:ascii="宋体" w:hAnsi="宋体"/>
          <w:sz w:val="24"/>
          <w:shd w:val="clear" w:color="auto" w:fill="FFFFFF"/>
        </w:rPr>
      </w:pPr>
      <w:r>
        <w:rPr>
          <w:rFonts w:hint="eastAsia" w:ascii="宋体" w:hAnsi="宋体"/>
          <w:sz w:val="24"/>
          <w:shd w:val="clear" w:color="auto" w:fill="FFFFFF"/>
        </w:rPr>
        <w:t>18.1.3.1.2</w:t>
      </w:r>
      <w:r>
        <w:rPr>
          <w:rFonts w:ascii="宋体" w:hAnsi="宋体"/>
          <w:sz w:val="24"/>
          <w:shd w:val="clear" w:color="auto" w:fill="FFFFFF"/>
        </w:rPr>
        <w:t>“</w:t>
      </w:r>
      <w:r>
        <w:rPr>
          <w:rFonts w:hint="eastAsia" w:ascii="宋体" w:hAnsi="宋体"/>
          <w:sz w:val="24"/>
          <w:shd w:val="clear" w:color="auto" w:fill="FFFFFF"/>
        </w:rPr>
        <w:t>欺诈行为”是指为了影响合同签订、履行过程，以谎报事实的方法，损害买方的利益的行为。</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bookmarkStart w:id="877" w:name="_Toc487900368"/>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19     破产终止合同</w:t>
      </w:r>
      <w:bookmarkEnd w:id="877"/>
    </w:p>
    <w:p>
      <w:pPr>
        <w:adjustRightInd w:val="0"/>
        <w:snapToGrid w:val="0"/>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bookmarkStart w:id="878" w:name="_Toc487900369"/>
    </w:p>
    <w:p>
      <w:pPr>
        <w:adjustRightInd w:val="0"/>
        <w:snapToGrid w:val="0"/>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20     转让和分包</w:t>
      </w:r>
      <w:bookmarkEnd w:id="878"/>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20.1    政府采购合同不能转让。</w:t>
      </w:r>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bookmarkStart w:id="879" w:name="_Toc487900370"/>
    </w:p>
    <w:p>
      <w:pPr>
        <w:adjustRightInd w:val="0"/>
        <w:snapToGrid w:val="0"/>
        <w:spacing w:before="120" w:line="360" w:lineRule="auto"/>
        <w:ind w:left="960" w:hanging="960"/>
        <w:rPr>
          <w:rFonts w:ascii="宋体" w:hAnsi="宋体"/>
          <w:sz w:val="24"/>
          <w:shd w:val="clear" w:color="auto" w:fill="FFFFFF"/>
        </w:rPr>
      </w:pPr>
      <w:r>
        <w:rPr>
          <w:rFonts w:hint="eastAsia" w:ascii="宋体" w:hAnsi="宋体"/>
          <w:sz w:val="24"/>
          <w:shd w:val="clear" w:color="auto" w:fill="FFFFFF"/>
        </w:rPr>
        <w:t>21     合同修改</w:t>
      </w:r>
      <w:bookmarkEnd w:id="879"/>
    </w:p>
    <w:p>
      <w:pPr>
        <w:adjustRightInd w:val="0"/>
        <w:snapToGrid w:val="0"/>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bookmarkStart w:id="880" w:name="_Toc487900371"/>
    </w:p>
    <w:p>
      <w:pPr>
        <w:adjustRightInd w:val="0"/>
        <w:snapToGrid w:val="0"/>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22      通知</w:t>
      </w:r>
      <w:bookmarkEnd w:id="880"/>
    </w:p>
    <w:p>
      <w:pPr>
        <w:adjustRightInd w:val="0"/>
        <w:snapToGrid w:val="0"/>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22.1    本合同任何一方给另一方的通知，都应以书面形式发送，而另一方也应以书面形式确认并发送到对方明确的地址。</w:t>
      </w:r>
      <w:bookmarkStart w:id="881" w:name="_Toc487900372"/>
    </w:p>
    <w:p>
      <w:pPr>
        <w:adjustRightInd w:val="0"/>
        <w:snapToGrid w:val="0"/>
        <w:spacing w:before="120" w:line="360" w:lineRule="auto"/>
        <w:ind w:left="900" w:hanging="900"/>
        <w:rPr>
          <w:rFonts w:ascii="宋体" w:hAnsi="宋体"/>
          <w:sz w:val="24"/>
          <w:shd w:val="clear" w:color="auto" w:fill="FFFFFF"/>
        </w:rPr>
      </w:pPr>
      <w:r>
        <w:rPr>
          <w:rFonts w:hint="eastAsia" w:ascii="宋体" w:hAnsi="宋体"/>
          <w:sz w:val="24"/>
          <w:shd w:val="clear" w:color="auto" w:fill="FFFFFF"/>
        </w:rPr>
        <w:t>23      计量单位</w:t>
      </w:r>
      <w:bookmarkEnd w:id="881"/>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23.1    除技术规范中另有规定外</w:t>
      </w:r>
      <w:r>
        <w:rPr>
          <w:rFonts w:ascii="宋体" w:hAnsi="宋体"/>
          <w:sz w:val="24"/>
          <w:shd w:val="clear" w:color="auto" w:fill="FFFFFF"/>
        </w:rPr>
        <w:t>,</w:t>
      </w:r>
      <w:r>
        <w:rPr>
          <w:rFonts w:hint="eastAsia" w:ascii="宋体" w:hAnsi="宋体"/>
          <w:sz w:val="24"/>
          <w:shd w:val="clear" w:color="auto" w:fill="FFFFFF"/>
        </w:rPr>
        <w:t>计量单位均使用国家法定计量单位。</w:t>
      </w:r>
      <w:bookmarkStart w:id="882" w:name="_Toc487900373"/>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24      适用法律</w:t>
      </w:r>
      <w:bookmarkEnd w:id="882"/>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24.1    本合同应按照中华人民共和国的法律进行解释。</w:t>
      </w:r>
      <w:bookmarkStart w:id="883" w:name="_Toc487900374"/>
    </w:p>
    <w:p>
      <w:pPr>
        <w:adjustRightInd w:val="0"/>
        <w:snapToGrid w:val="0"/>
        <w:spacing w:before="120" w:line="360" w:lineRule="auto"/>
        <w:rPr>
          <w:rFonts w:hint="default" w:ascii="宋体" w:hAnsi="宋体" w:eastAsia="宋体"/>
          <w:sz w:val="24"/>
          <w:shd w:val="clear" w:color="auto" w:fill="FFFFFF"/>
          <w:lang w:val="en-US" w:eastAsia="zh-CN"/>
        </w:rPr>
      </w:pPr>
      <w:r>
        <w:rPr>
          <w:rFonts w:ascii="宋体" w:hAnsi="宋体"/>
          <w:sz w:val="24"/>
          <w:shd w:val="clear" w:color="auto" w:fill="FFFFFF"/>
        </w:rPr>
        <w:t>2</w:t>
      </w:r>
      <w:r>
        <w:rPr>
          <w:rFonts w:hint="eastAsia" w:ascii="宋体" w:hAnsi="宋体"/>
          <w:sz w:val="24"/>
          <w:shd w:val="clear" w:color="auto" w:fill="FFFFFF"/>
        </w:rPr>
        <w:t>5      履约保证金：</w:t>
      </w:r>
      <w:r>
        <w:rPr>
          <w:rFonts w:hint="eastAsia" w:ascii="宋体" w:hAnsi="宋体"/>
          <w:sz w:val="24"/>
          <w:shd w:val="clear" w:color="auto" w:fill="FFFFFF"/>
          <w:lang w:val="en-US" w:eastAsia="zh-CN"/>
        </w:rPr>
        <w:t>详见合同书的约定</w:t>
      </w:r>
    </w:p>
    <w:p>
      <w:pPr>
        <w:adjustRightInd w:val="0"/>
        <w:snapToGrid w:val="0"/>
        <w:spacing w:before="120" w:line="360" w:lineRule="auto"/>
        <w:rPr>
          <w:rFonts w:ascii="宋体" w:hAnsi="宋体"/>
          <w:sz w:val="24"/>
          <w:shd w:val="clear" w:color="auto" w:fill="FFFFFF"/>
        </w:rPr>
      </w:pPr>
      <w:r>
        <w:rPr>
          <w:rFonts w:hint="eastAsia" w:ascii="宋体" w:hAnsi="宋体"/>
          <w:sz w:val="24"/>
          <w:shd w:val="clear" w:color="auto" w:fill="FFFFFF"/>
        </w:rPr>
        <w:t>26　    合同生效</w:t>
      </w:r>
      <w:bookmarkEnd w:id="883"/>
      <w:r>
        <w:rPr>
          <w:rFonts w:hint="eastAsia" w:ascii="宋体" w:hAnsi="宋体"/>
          <w:sz w:val="24"/>
          <w:shd w:val="clear" w:color="auto" w:fill="FFFFFF"/>
        </w:rPr>
        <w:t>和其它</w:t>
      </w:r>
    </w:p>
    <w:p>
      <w:pPr>
        <w:adjustRightInd w:val="0"/>
        <w:snapToGrid w:val="0"/>
        <w:spacing w:line="360" w:lineRule="auto"/>
        <w:ind w:left="989" w:hanging="960"/>
        <w:rPr>
          <w:rFonts w:ascii="宋体" w:hAnsi="宋体"/>
          <w:sz w:val="24"/>
          <w:shd w:val="clear" w:color="auto" w:fill="FFFFFF"/>
        </w:rPr>
      </w:pPr>
      <w:r>
        <w:rPr>
          <w:rFonts w:hint="eastAsia" w:ascii="宋体" w:hAnsi="宋体"/>
          <w:sz w:val="24"/>
          <w:shd w:val="clear" w:color="auto" w:fill="FFFFFF"/>
        </w:rPr>
        <w:t>26.1    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pPr>
        <w:adjustRightInd w:val="0"/>
        <w:snapToGrid w:val="0"/>
        <w:spacing w:line="360" w:lineRule="auto"/>
        <w:ind w:left="962" w:hanging="960"/>
        <w:rPr>
          <w:rFonts w:ascii="宋体" w:hAnsi="宋体"/>
          <w:sz w:val="24"/>
          <w:shd w:val="clear" w:color="auto" w:fill="FFFFFF"/>
        </w:rPr>
      </w:pPr>
      <w:r>
        <w:rPr>
          <w:rFonts w:hint="eastAsia" w:ascii="宋体" w:hAnsi="宋体"/>
          <w:sz w:val="24"/>
          <w:shd w:val="clear" w:color="auto" w:fill="FFFFFF"/>
        </w:rPr>
        <w:t>26.2    本合同一式</w:t>
      </w:r>
      <w:r>
        <w:rPr>
          <w:rFonts w:hint="eastAsia" w:ascii="宋体" w:hAnsi="宋体"/>
          <w:sz w:val="24"/>
          <w:u w:val="single"/>
          <w:shd w:val="clear" w:color="auto" w:fill="FFFFFF"/>
        </w:rPr>
        <w:t xml:space="preserve">  </w:t>
      </w:r>
      <w:r>
        <w:rPr>
          <w:rFonts w:hint="eastAsia" w:ascii="宋体" w:hAnsi="宋体"/>
          <w:sz w:val="24"/>
          <w:shd w:val="clear" w:color="auto" w:fill="FFFFFF"/>
        </w:rPr>
        <w:t>份，以中文书写，买方执</w:t>
      </w:r>
      <w:r>
        <w:rPr>
          <w:rFonts w:hint="eastAsia" w:ascii="宋体" w:hAnsi="宋体"/>
          <w:sz w:val="24"/>
          <w:u w:val="single"/>
          <w:shd w:val="clear" w:color="auto" w:fill="FFFFFF"/>
        </w:rPr>
        <w:t xml:space="preserve">  </w:t>
      </w:r>
      <w:r>
        <w:rPr>
          <w:rFonts w:hint="eastAsia" w:ascii="宋体" w:hAnsi="宋体"/>
          <w:sz w:val="24"/>
          <w:shd w:val="clear" w:color="auto" w:fill="FFFFFF"/>
        </w:rPr>
        <w:t>份，卖方执</w:t>
      </w:r>
      <w:r>
        <w:rPr>
          <w:rFonts w:hint="eastAsia" w:ascii="宋体" w:hAnsi="宋体"/>
          <w:sz w:val="24"/>
          <w:u w:val="single"/>
          <w:shd w:val="clear" w:color="auto" w:fill="FFFFFF"/>
        </w:rPr>
        <w:t xml:space="preserve">  </w:t>
      </w:r>
      <w:r>
        <w:rPr>
          <w:rFonts w:hint="eastAsia" w:ascii="宋体" w:hAnsi="宋体"/>
          <w:sz w:val="24"/>
          <w:shd w:val="clear" w:color="auto" w:fill="FFFFFF"/>
        </w:rPr>
        <w:t>份。</w:t>
      </w:r>
    </w:p>
    <w:p>
      <w:pPr>
        <w:rPr>
          <w:rFonts w:asciiTheme="minorEastAsia" w:hAnsiTheme="minorEastAsia" w:cstheme="minorEastAsia"/>
          <w:b/>
          <w:sz w:val="24"/>
        </w:rPr>
        <w:sectPr>
          <w:pgSz w:w="11907" w:h="16840"/>
          <w:pgMar w:top="1440" w:right="1361" w:bottom="1440" w:left="1361" w:header="851" w:footer="850" w:gutter="0"/>
          <w:cols w:space="0" w:num="1"/>
        </w:sectPr>
      </w:pPr>
    </w:p>
    <w:p>
      <w:pPr>
        <w:spacing w:before="120" w:line="22" w:lineRule="atLeast"/>
        <w:ind w:left="960" w:leftChars="457" w:firstLine="1446" w:firstLineChars="600"/>
        <w:jc w:val="center"/>
        <w:rPr>
          <w:rFonts w:ascii="宋体" w:hAnsi="宋体"/>
          <w:b/>
          <w:sz w:val="24"/>
          <w:shd w:val="clear" w:color="auto" w:fill="FFFFFF"/>
        </w:rPr>
      </w:pPr>
    </w:p>
    <w:p>
      <w:pPr>
        <w:spacing w:before="120" w:line="22" w:lineRule="atLeast"/>
        <w:ind w:left="960" w:leftChars="457" w:firstLine="2645" w:firstLineChars="1098"/>
        <w:rPr>
          <w:rFonts w:ascii="宋体" w:hAnsi="宋体"/>
          <w:b/>
          <w:sz w:val="24"/>
          <w:shd w:val="clear" w:color="auto" w:fill="FFFFFF"/>
        </w:rPr>
      </w:pPr>
      <w:r>
        <w:rPr>
          <w:rFonts w:hint="eastAsia" w:ascii="宋体" w:hAnsi="宋体"/>
          <w:b/>
          <w:sz w:val="24"/>
          <w:shd w:val="clear" w:color="auto" w:fill="FFFFFF"/>
        </w:rPr>
        <w:t>采购合同格式</w:t>
      </w:r>
    </w:p>
    <w:p>
      <w:pPr>
        <w:pStyle w:val="3"/>
      </w:pPr>
      <w:r>
        <w:rPr>
          <w:rFonts w:hint="eastAsia" w:hAnsi="宋体"/>
          <w:sz w:val="21"/>
          <w:szCs w:val="21"/>
          <w:shd w:val="clear" w:color="auto" w:fill="FFFFFF"/>
        </w:rPr>
        <w:t xml:space="preserve"> （供参考，以实际签订为准）</w:t>
      </w:r>
    </w:p>
    <w:p>
      <w:pPr>
        <w:spacing w:before="120" w:line="22" w:lineRule="atLeast"/>
        <w:rPr>
          <w:rFonts w:ascii="宋体" w:hAnsi="宋体"/>
          <w:b/>
          <w:sz w:val="24"/>
          <w:shd w:val="clear" w:color="auto" w:fill="FFFFFF"/>
        </w:rPr>
      </w:pPr>
    </w:p>
    <w:p>
      <w:pPr>
        <w:spacing w:before="120" w:line="22" w:lineRule="atLeast"/>
        <w:ind w:firstLine="1446" w:firstLineChars="600"/>
        <w:rPr>
          <w:rFonts w:ascii="宋体" w:hAnsi="宋体"/>
          <w:b/>
          <w:sz w:val="24"/>
          <w:u w:val="single"/>
          <w:shd w:val="clear" w:color="auto" w:fill="FFFFFF"/>
        </w:rPr>
      </w:pPr>
      <w:r>
        <w:rPr>
          <w:rFonts w:hint="eastAsia" w:ascii="宋体" w:hAnsi="宋体"/>
          <w:b/>
          <w:sz w:val="24"/>
          <w:shd w:val="clear" w:color="auto" w:fill="FFFFFF"/>
        </w:rPr>
        <w:t>项目编号：</w:t>
      </w:r>
      <w:r>
        <w:rPr>
          <w:rFonts w:hint="eastAsia" w:ascii="宋体" w:hAnsi="宋体"/>
          <w:b/>
          <w:sz w:val="24"/>
          <w:u w:val="single"/>
          <w:shd w:val="clear" w:color="auto" w:fill="FFFFFF"/>
        </w:rPr>
        <w:t xml:space="preserve">                         </w:t>
      </w:r>
    </w:p>
    <w:p>
      <w:pPr>
        <w:spacing w:before="120" w:line="22" w:lineRule="atLeast"/>
        <w:ind w:firstLine="1446" w:firstLineChars="600"/>
        <w:rPr>
          <w:rFonts w:ascii="宋体" w:hAnsi="宋体"/>
          <w:sz w:val="24"/>
          <w:u w:val="single"/>
          <w:shd w:val="clear" w:color="auto" w:fill="FFFFFF"/>
        </w:rPr>
      </w:pPr>
      <w:r>
        <w:rPr>
          <w:rFonts w:hint="eastAsia" w:ascii="宋体" w:hAnsi="宋体"/>
          <w:b/>
          <w:sz w:val="24"/>
          <w:shd w:val="clear" w:color="auto" w:fill="FFFFFF"/>
        </w:rPr>
        <w:t>合同编号：</w:t>
      </w:r>
      <w:r>
        <w:rPr>
          <w:rFonts w:hint="eastAsia" w:ascii="宋体" w:hAnsi="宋体"/>
          <w:b/>
          <w:sz w:val="24"/>
          <w:u w:val="single"/>
          <w:shd w:val="clear" w:color="auto" w:fill="FFFFFF"/>
        </w:rPr>
        <w:t xml:space="preserve">                         </w:t>
      </w:r>
    </w:p>
    <w:p>
      <w:pPr>
        <w:pStyle w:val="13"/>
        <w:ind w:firstLine="480"/>
        <w:rPr>
          <w:rFonts w:hAnsi="宋体"/>
          <w:shd w:val="clear" w:color="auto" w:fill="FFFFFF"/>
        </w:rPr>
      </w:pPr>
    </w:p>
    <w:p>
      <w:pPr>
        <w:ind w:left="2884"/>
        <w:rPr>
          <w:rFonts w:ascii="宋体" w:hAnsi="宋体"/>
          <w:shd w:val="clear" w:color="auto" w:fill="FFFFFF"/>
        </w:rPr>
      </w:pPr>
    </w:p>
    <w:p>
      <w:pPr>
        <w:pStyle w:val="13"/>
        <w:ind w:firstLine="480"/>
        <w:rPr>
          <w:rFonts w:hAnsi="宋体"/>
          <w:shd w:val="clear" w:color="auto" w:fill="FFFFFF"/>
        </w:rPr>
      </w:pPr>
    </w:p>
    <w:p>
      <w:pPr>
        <w:spacing w:before="120" w:line="22" w:lineRule="atLeast"/>
        <w:rPr>
          <w:rFonts w:ascii="宋体" w:hAnsi="宋体"/>
          <w:sz w:val="24"/>
          <w:shd w:val="clear" w:color="auto" w:fill="FFFFFF"/>
        </w:rPr>
      </w:pPr>
    </w:p>
    <w:p>
      <w:pPr>
        <w:spacing w:before="120" w:line="22" w:lineRule="atLeast"/>
        <w:ind w:left="960" w:leftChars="457" w:firstLine="482" w:firstLineChars="200"/>
        <w:rPr>
          <w:rFonts w:ascii="宋体" w:hAnsi="宋体"/>
          <w:b/>
          <w:sz w:val="24"/>
          <w:u w:val="single"/>
          <w:shd w:val="clear" w:color="auto" w:fill="FFFFFF"/>
        </w:rPr>
      </w:pPr>
      <w:r>
        <w:rPr>
          <w:rFonts w:hint="eastAsia" w:ascii="宋体" w:hAnsi="宋体"/>
          <w:b/>
          <w:sz w:val="24"/>
          <w:shd w:val="clear" w:color="auto" w:fill="FFFFFF"/>
        </w:rPr>
        <w:t>项目名称：</w:t>
      </w:r>
      <w:r>
        <w:rPr>
          <w:rFonts w:hint="eastAsia" w:ascii="宋体" w:hAnsi="宋体"/>
          <w:b/>
          <w:sz w:val="24"/>
          <w:u w:val="single"/>
          <w:shd w:val="clear" w:color="auto" w:fill="FFFFFF"/>
        </w:rPr>
        <w:t xml:space="preserve">                         </w:t>
      </w:r>
    </w:p>
    <w:p>
      <w:pPr>
        <w:spacing w:before="120" w:line="22" w:lineRule="atLeast"/>
        <w:ind w:left="960" w:leftChars="457" w:firstLine="482" w:firstLineChars="200"/>
        <w:rPr>
          <w:rFonts w:ascii="宋体" w:hAnsi="宋体"/>
          <w:b/>
          <w:sz w:val="24"/>
          <w:u w:val="single"/>
          <w:shd w:val="clear" w:color="auto" w:fill="FFFFFF"/>
        </w:rPr>
      </w:pPr>
      <w:r>
        <w:rPr>
          <w:rFonts w:hint="eastAsia" w:ascii="宋体" w:hAnsi="宋体"/>
          <w:b/>
          <w:sz w:val="24"/>
          <w:shd w:val="clear" w:color="auto" w:fill="FFFFFF"/>
        </w:rPr>
        <w:t>货物名称：</w:t>
      </w:r>
      <w:r>
        <w:rPr>
          <w:rFonts w:ascii="宋体" w:hAnsi="宋体"/>
          <w:b/>
          <w:sz w:val="24"/>
          <w:shd w:val="clear" w:color="auto" w:fill="FFFFFF"/>
        </w:rPr>
        <w:t xml:space="preserve"> </w:t>
      </w:r>
      <w:r>
        <w:rPr>
          <w:rFonts w:hint="eastAsia" w:ascii="宋体" w:hAnsi="宋体"/>
          <w:b/>
          <w:sz w:val="24"/>
          <w:u w:val="single"/>
          <w:shd w:val="clear" w:color="auto" w:fill="FFFFFF"/>
        </w:rPr>
        <w:t xml:space="preserve">                        </w:t>
      </w:r>
    </w:p>
    <w:p>
      <w:pPr>
        <w:spacing w:before="120" w:line="22" w:lineRule="atLeast"/>
        <w:rPr>
          <w:rFonts w:ascii="宋体" w:hAnsi="宋体"/>
          <w:b/>
          <w:sz w:val="24"/>
          <w:shd w:val="clear" w:color="auto" w:fill="FFFFFF"/>
        </w:rPr>
      </w:pPr>
    </w:p>
    <w:p>
      <w:pPr>
        <w:pStyle w:val="39"/>
        <w:spacing w:before="120" w:line="22" w:lineRule="atLeast"/>
        <w:rPr>
          <w:rFonts w:ascii="宋体" w:hAnsi="宋体"/>
          <w:sz w:val="24"/>
          <w:shd w:val="clear" w:color="auto" w:fill="FFFFFF"/>
        </w:rPr>
      </w:pPr>
    </w:p>
    <w:p>
      <w:pPr>
        <w:pStyle w:val="39"/>
        <w:spacing w:before="120" w:line="22" w:lineRule="atLeast"/>
        <w:rPr>
          <w:rFonts w:ascii="宋体" w:hAnsi="宋体"/>
          <w:sz w:val="24"/>
          <w:shd w:val="clear" w:color="auto" w:fill="FFFFFF"/>
        </w:rPr>
      </w:pPr>
    </w:p>
    <w:p>
      <w:pPr>
        <w:spacing w:before="120" w:line="22" w:lineRule="atLeast"/>
        <w:ind w:left="960" w:leftChars="457" w:firstLine="482" w:firstLineChars="200"/>
        <w:rPr>
          <w:rFonts w:ascii="宋体" w:hAnsi="宋体"/>
          <w:sz w:val="24"/>
          <w:u w:val="single"/>
          <w:shd w:val="clear" w:color="auto" w:fill="FFFFFF"/>
        </w:rPr>
      </w:pPr>
      <w:r>
        <w:rPr>
          <w:rFonts w:hint="eastAsia" w:ascii="宋体" w:hAnsi="宋体"/>
          <w:b/>
          <w:sz w:val="24"/>
          <w:shd w:val="clear" w:color="auto" w:fill="FFFFFF"/>
        </w:rPr>
        <w:t xml:space="preserve">买　　方： </w:t>
      </w:r>
      <w:r>
        <w:rPr>
          <w:rFonts w:hint="eastAsia" w:ascii="宋体" w:hAnsi="宋体"/>
          <w:b/>
          <w:sz w:val="24"/>
          <w:u w:val="single"/>
          <w:shd w:val="clear" w:color="auto" w:fill="FFFFFF"/>
        </w:rPr>
        <w:t xml:space="preserve">                        </w:t>
      </w:r>
      <w:r>
        <w:rPr>
          <w:rFonts w:hint="eastAsia" w:ascii="宋体" w:hAnsi="宋体"/>
          <w:b/>
          <w:sz w:val="24"/>
          <w:shd w:val="clear" w:color="auto" w:fill="FFFFFF"/>
        </w:rPr>
        <w:t xml:space="preserve"> </w:t>
      </w:r>
    </w:p>
    <w:p>
      <w:pPr>
        <w:spacing w:before="120" w:line="22" w:lineRule="atLeast"/>
        <w:ind w:left="960" w:leftChars="457" w:firstLine="482" w:firstLineChars="200"/>
        <w:rPr>
          <w:rFonts w:ascii="宋体" w:hAnsi="宋体"/>
          <w:sz w:val="24"/>
          <w:shd w:val="clear" w:color="auto" w:fill="FFFFFF"/>
        </w:rPr>
      </w:pPr>
      <w:r>
        <w:rPr>
          <w:rFonts w:hint="eastAsia" w:ascii="宋体" w:hAnsi="宋体"/>
          <w:b/>
          <w:sz w:val="24"/>
          <w:shd w:val="clear" w:color="auto" w:fill="FFFFFF"/>
        </w:rPr>
        <w:t>卖　　方：</w:t>
      </w:r>
      <w:r>
        <w:rPr>
          <w:rFonts w:hint="eastAsia" w:ascii="宋体" w:hAnsi="宋体"/>
          <w:sz w:val="24"/>
          <w:shd w:val="clear" w:color="auto" w:fill="FFFFFF"/>
        </w:rPr>
        <w:t xml:space="preserve"> </w:t>
      </w:r>
      <w:r>
        <w:rPr>
          <w:rFonts w:hint="eastAsia" w:ascii="宋体" w:hAnsi="宋体"/>
          <w:sz w:val="24"/>
          <w:u w:val="single"/>
          <w:shd w:val="clear" w:color="auto" w:fill="FFFFFF"/>
        </w:rPr>
        <w:t xml:space="preserve">                        </w:t>
      </w:r>
    </w:p>
    <w:p>
      <w:pPr>
        <w:spacing w:before="120" w:line="22" w:lineRule="atLeast"/>
        <w:ind w:left="960"/>
        <w:jc w:val="center"/>
        <w:rPr>
          <w:rFonts w:ascii="宋体" w:hAnsi="宋体"/>
          <w:sz w:val="24"/>
          <w:shd w:val="clear" w:color="auto" w:fill="FFFFFF"/>
        </w:rPr>
      </w:pPr>
    </w:p>
    <w:p>
      <w:pPr>
        <w:spacing w:before="120" w:line="22" w:lineRule="atLeast"/>
        <w:ind w:firstLine="1446" w:firstLineChars="600"/>
        <w:rPr>
          <w:rFonts w:ascii="宋体" w:hAnsi="宋体"/>
          <w:sz w:val="24"/>
          <w:u w:val="single"/>
          <w:shd w:val="clear" w:color="auto" w:fill="FFFFFF"/>
        </w:rPr>
      </w:pPr>
      <w:r>
        <w:rPr>
          <w:rFonts w:hint="eastAsia" w:ascii="宋体" w:hAnsi="宋体"/>
          <w:b/>
          <w:sz w:val="24"/>
          <w:shd w:val="clear" w:color="auto" w:fill="FFFFFF"/>
        </w:rPr>
        <w:t>签署日期：</w:t>
      </w:r>
      <w:r>
        <w:rPr>
          <w:rFonts w:hint="eastAsia" w:ascii="宋体" w:hAnsi="宋体"/>
          <w:b/>
          <w:sz w:val="24"/>
          <w:u w:val="single"/>
          <w:shd w:val="clear" w:color="auto" w:fill="FFFFFF"/>
        </w:rPr>
        <w:t xml:space="preserve">                         </w:t>
      </w:r>
    </w:p>
    <w:p>
      <w:pPr>
        <w:spacing w:before="120" w:line="22" w:lineRule="atLeast"/>
        <w:jc w:val="center"/>
        <w:rPr>
          <w:rFonts w:ascii="宋体" w:hAnsi="宋体"/>
          <w:b/>
          <w:sz w:val="24"/>
          <w:shd w:val="clear" w:color="auto" w:fill="FFFFFF"/>
        </w:rPr>
      </w:pPr>
      <w:r>
        <w:rPr>
          <w:rFonts w:ascii="宋体" w:hAnsi="宋体"/>
          <w:sz w:val="24"/>
          <w:shd w:val="clear" w:color="auto" w:fill="FFFFFF"/>
        </w:rPr>
        <w:br w:type="page"/>
      </w:r>
      <w:r>
        <w:rPr>
          <w:rFonts w:hint="eastAsia" w:ascii="宋体" w:hAnsi="宋体"/>
          <w:b/>
          <w:sz w:val="24"/>
          <w:shd w:val="clear" w:color="auto" w:fill="FFFFFF"/>
        </w:rPr>
        <w:t>合　　同　　书</w:t>
      </w:r>
    </w:p>
    <w:p>
      <w:pPr>
        <w:spacing w:before="120" w:line="22" w:lineRule="atLeast"/>
        <w:rPr>
          <w:rFonts w:ascii="宋体" w:hAnsi="宋体"/>
          <w:sz w:val="24"/>
          <w:shd w:val="clear" w:color="auto" w:fill="FFFFFF"/>
        </w:rPr>
      </w:pPr>
    </w:p>
    <w:p>
      <w:pPr>
        <w:spacing w:before="120" w:line="420" w:lineRule="atLeast"/>
        <w:ind w:firstLine="480" w:firstLineChars="200"/>
        <w:rPr>
          <w:rFonts w:ascii="宋体" w:hAnsi="宋体"/>
          <w:sz w:val="24"/>
          <w:shd w:val="clear" w:color="auto" w:fill="FFFFFF"/>
        </w:rPr>
      </w:pPr>
      <w:r>
        <w:rPr>
          <w:rFonts w:ascii="宋体" w:hAnsi="宋体"/>
          <w:sz w:val="24"/>
          <w:u w:val="single"/>
          <w:shd w:val="clear" w:color="auto" w:fill="FFFFFF"/>
        </w:rPr>
        <w:t xml:space="preserve">  </w:t>
      </w:r>
      <w:r>
        <w:rPr>
          <w:rFonts w:hint="eastAsia" w:ascii="宋体" w:hAnsi="宋体"/>
          <w:sz w:val="24"/>
          <w:u w:val="single"/>
          <w:shd w:val="clear" w:color="auto" w:fill="FFFFFF"/>
        </w:rPr>
        <w:t xml:space="preserve">            </w:t>
      </w:r>
      <w:r>
        <w:rPr>
          <w:rFonts w:ascii="宋体" w:hAnsi="宋体"/>
          <w:sz w:val="24"/>
          <w:shd w:val="clear" w:color="auto" w:fill="FFFFFF"/>
        </w:rPr>
        <w:t>(</w:t>
      </w:r>
      <w:r>
        <w:rPr>
          <w:rFonts w:hint="eastAsia" w:ascii="宋体" w:hAnsi="宋体"/>
          <w:sz w:val="24"/>
          <w:shd w:val="clear" w:color="auto" w:fill="FFFFFF"/>
        </w:rPr>
        <w:t>买方</w:t>
      </w:r>
      <w:r>
        <w:rPr>
          <w:rFonts w:ascii="宋体" w:hAnsi="宋体"/>
          <w:sz w:val="24"/>
          <w:shd w:val="clear" w:color="auto" w:fill="FFFFFF"/>
        </w:rPr>
        <w:t>)</w:t>
      </w:r>
      <w:r>
        <w:rPr>
          <w:rFonts w:hint="eastAsia" w:ascii="宋体" w:hAnsi="宋体"/>
          <w:bCs/>
          <w:sz w:val="24"/>
          <w:u w:val="single"/>
          <w:shd w:val="clear" w:color="auto" w:fill="FFFFFF"/>
        </w:rPr>
        <w:t xml:space="preserve">         </w:t>
      </w:r>
      <w:r>
        <w:rPr>
          <w:rFonts w:ascii="宋体" w:hAnsi="宋体"/>
          <w:sz w:val="24"/>
          <w:shd w:val="clear" w:color="auto" w:fill="FFFFFF"/>
        </w:rPr>
        <w:t>(</w:t>
      </w:r>
      <w:r>
        <w:rPr>
          <w:rFonts w:hint="eastAsia" w:ascii="宋体" w:hAnsi="宋体"/>
          <w:sz w:val="24"/>
          <w:shd w:val="clear" w:color="auto" w:fill="FFFFFF"/>
        </w:rPr>
        <w:t>项目名称</w:t>
      </w:r>
      <w:r>
        <w:rPr>
          <w:rFonts w:ascii="宋体" w:hAnsi="宋体"/>
          <w:sz w:val="24"/>
          <w:shd w:val="clear" w:color="auto" w:fill="FFFFFF"/>
        </w:rPr>
        <w:t>)</w:t>
      </w:r>
      <w:r>
        <w:rPr>
          <w:rFonts w:hint="eastAsia" w:ascii="宋体" w:hAnsi="宋体"/>
          <w:sz w:val="24"/>
          <w:shd w:val="clear" w:color="auto" w:fill="FFFFFF"/>
        </w:rPr>
        <w:t>中所需</w:t>
      </w:r>
      <w:r>
        <w:rPr>
          <w:rFonts w:hint="eastAsia" w:ascii="宋体" w:hAnsi="宋体"/>
          <w:sz w:val="24"/>
          <w:u w:val="single"/>
          <w:shd w:val="clear" w:color="auto" w:fill="FFFFFF"/>
        </w:rPr>
        <w:t xml:space="preserve">   </w:t>
      </w:r>
      <w:r>
        <w:rPr>
          <w:rFonts w:ascii="宋体" w:hAnsi="宋体"/>
          <w:sz w:val="24"/>
          <w:u w:val="single"/>
          <w:shd w:val="clear" w:color="auto" w:fill="FFFFFF"/>
        </w:rPr>
        <w:t xml:space="preserve"> </w:t>
      </w:r>
      <w:r>
        <w:rPr>
          <w:rFonts w:hint="eastAsia" w:ascii="宋体" w:hAnsi="宋体"/>
          <w:sz w:val="24"/>
          <w:u w:val="single"/>
          <w:shd w:val="clear" w:color="auto" w:fill="FFFFFF"/>
        </w:rPr>
        <w:t xml:space="preserve">             </w:t>
      </w:r>
      <w:r>
        <w:rPr>
          <w:rFonts w:ascii="宋体" w:hAnsi="宋体"/>
          <w:sz w:val="24"/>
          <w:shd w:val="clear" w:color="auto" w:fill="FFFFFF"/>
        </w:rPr>
        <w:t>(</w:t>
      </w:r>
      <w:r>
        <w:rPr>
          <w:rFonts w:hint="eastAsia" w:ascii="宋体" w:hAnsi="宋体"/>
          <w:sz w:val="24"/>
          <w:shd w:val="clear" w:color="auto" w:fill="FFFFFF"/>
        </w:rPr>
        <w:t>货物名称</w:t>
      </w:r>
      <w:r>
        <w:rPr>
          <w:rFonts w:ascii="宋体" w:hAnsi="宋体"/>
          <w:sz w:val="24"/>
          <w:shd w:val="clear" w:color="auto" w:fill="FFFFFF"/>
        </w:rPr>
        <w:t>)</w:t>
      </w:r>
      <w:r>
        <w:rPr>
          <w:rFonts w:hint="eastAsia" w:ascii="宋体" w:hAnsi="宋体"/>
          <w:sz w:val="24"/>
          <w:shd w:val="clear" w:color="auto" w:fill="FFFFFF"/>
        </w:rPr>
        <w:t>经</w:t>
      </w:r>
      <w:r>
        <w:rPr>
          <w:rFonts w:hint="eastAsia" w:ascii="宋体" w:hAnsi="宋体"/>
          <w:sz w:val="24"/>
          <w:u w:val="single"/>
          <w:shd w:val="clear" w:color="auto" w:fill="FFFFFF"/>
        </w:rPr>
        <w:t xml:space="preserve">     </w:t>
      </w:r>
      <w:r>
        <w:rPr>
          <w:rFonts w:ascii="宋体" w:hAnsi="宋体"/>
          <w:sz w:val="24"/>
          <w:shd w:val="clear" w:color="auto" w:fill="FFFFFF"/>
        </w:rPr>
        <w:t xml:space="preserve"> (</w:t>
      </w:r>
      <w:r>
        <w:rPr>
          <w:rFonts w:hint="eastAsia" w:ascii="宋体" w:hAnsi="宋体"/>
          <w:sz w:val="24"/>
          <w:shd w:val="clear" w:color="auto" w:fill="FFFFFF"/>
        </w:rPr>
        <w:t>招标采购单位</w:t>
      </w:r>
      <w:r>
        <w:rPr>
          <w:rFonts w:ascii="宋体" w:hAnsi="宋体"/>
          <w:sz w:val="24"/>
          <w:shd w:val="clear" w:color="auto" w:fill="FFFFFF"/>
        </w:rPr>
        <w:t>)</w:t>
      </w:r>
      <w:r>
        <w:rPr>
          <w:rFonts w:hint="eastAsia" w:ascii="宋体" w:hAnsi="宋体"/>
          <w:sz w:val="24"/>
          <w:shd w:val="clear" w:color="auto" w:fill="FFFFFF"/>
        </w:rPr>
        <w:t>以</w:t>
      </w:r>
      <w:r>
        <w:rPr>
          <w:rFonts w:hint="eastAsia" w:ascii="宋体" w:hAnsi="宋体"/>
          <w:sz w:val="24"/>
          <w:u w:val="single"/>
          <w:shd w:val="clear" w:color="auto" w:fill="FFFFFF"/>
        </w:rPr>
        <w:t xml:space="preserve">      </w:t>
      </w:r>
      <w:r>
        <w:rPr>
          <w:rFonts w:hint="eastAsia" w:ascii="宋体" w:hAnsi="宋体"/>
          <w:sz w:val="24"/>
          <w:shd w:val="clear" w:color="auto" w:fill="FFFFFF"/>
        </w:rPr>
        <w:t xml:space="preserve">号招标文件在国内 </w:t>
      </w:r>
      <w:r>
        <w:rPr>
          <w:rFonts w:hint="eastAsia" w:ascii="宋体" w:hAnsi="宋体"/>
          <w:sz w:val="24"/>
          <w:u w:val="single"/>
          <w:shd w:val="clear" w:color="auto" w:fill="FFFFFF"/>
        </w:rPr>
        <w:t xml:space="preserve">          </w:t>
      </w:r>
      <w:r>
        <w:rPr>
          <w:rFonts w:hint="eastAsia" w:ascii="宋体" w:hAnsi="宋体"/>
          <w:sz w:val="24"/>
          <w:shd w:val="clear" w:color="auto" w:fill="FFFFFF"/>
        </w:rPr>
        <w:t>（公开/邀请）招标。经评标委员会评定</w:t>
      </w:r>
      <w:r>
        <w:rPr>
          <w:rFonts w:hint="eastAsia" w:ascii="宋体" w:hAnsi="宋体"/>
          <w:sz w:val="24"/>
          <w:u w:val="single"/>
          <w:shd w:val="clear" w:color="auto" w:fill="FFFFFF"/>
        </w:rPr>
        <w:t xml:space="preserve">            </w:t>
      </w:r>
      <w:r>
        <w:rPr>
          <w:rFonts w:ascii="宋体" w:hAnsi="宋体"/>
          <w:sz w:val="24"/>
          <w:shd w:val="clear" w:color="auto" w:fill="FFFFFF"/>
        </w:rPr>
        <w:t>(</w:t>
      </w:r>
      <w:r>
        <w:rPr>
          <w:rFonts w:hint="eastAsia" w:ascii="宋体" w:hAnsi="宋体"/>
          <w:sz w:val="24"/>
          <w:shd w:val="clear" w:color="auto" w:fill="FFFFFF"/>
        </w:rPr>
        <w:t>卖方</w:t>
      </w:r>
      <w:r>
        <w:rPr>
          <w:rFonts w:ascii="宋体" w:hAnsi="宋体"/>
          <w:sz w:val="24"/>
          <w:shd w:val="clear" w:color="auto" w:fill="FFFFFF"/>
        </w:rPr>
        <w:t>)</w:t>
      </w:r>
      <w:r>
        <w:rPr>
          <w:rFonts w:hint="eastAsia" w:ascii="宋体" w:hAnsi="宋体"/>
          <w:sz w:val="24"/>
          <w:shd w:val="clear" w:color="auto" w:fill="FFFFFF"/>
        </w:rPr>
        <w:t>为中标人。买、卖双方同意按照下面的条款和条件，签署本合同。</w:t>
      </w:r>
    </w:p>
    <w:p>
      <w:pPr>
        <w:spacing w:before="240" w:line="420" w:lineRule="atLeast"/>
        <w:rPr>
          <w:rFonts w:ascii="宋体" w:hAnsi="宋体"/>
          <w:b/>
          <w:sz w:val="24"/>
          <w:shd w:val="clear" w:color="auto" w:fill="FFFFFF"/>
        </w:rPr>
      </w:pPr>
      <w:r>
        <w:rPr>
          <w:rFonts w:ascii="宋体" w:hAnsi="宋体"/>
          <w:b/>
          <w:sz w:val="24"/>
          <w:shd w:val="clear" w:color="auto" w:fill="FFFFFF"/>
        </w:rPr>
        <w:t>1</w:t>
      </w:r>
      <w:r>
        <w:rPr>
          <w:rFonts w:hint="eastAsia" w:ascii="宋体" w:hAnsi="宋体"/>
          <w:b/>
          <w:sz w:val="24"/>
          <w:shd w:val="clear" w:color="auto" w:fill="FFFFFF"/>
        </w:rPr>
        <w:t>、合同文件</w:t>
      </w:r>
    </w:p>
    <w:p>
      <w:pPr>
        <w:spacing w:before="120" w:line="420" w:lineRule="atLeast"/>
        <w:ind w:firstLine="720"/>
        <w:rPr>
          <w:rFonts w:ascii="宋体" w:hAnsi="宋体"/>
          <w:sz w:val="24"/>
          <w:shd w:val="clear" w:color="auto" w:fill="FFFFFF"/>
        </w:rPr>
      </w:pPr>
      <w:r>
        <w:rPr>
          <w:rFonts w:hint="eastAsia" w:ascii="宋体" w:hAnsi="宋体"/>
          <w:sz w:val="24"/>
          <w:shd w:val="clear" w:color="auto" w:fill="FFFFFF"/>
        </w:rPr>
        <w:t>下列文件构成本合同的组成部分，应该认为是一个整体，彼此相互解释，相互补充。为便于解释，组成合同的多个文件的优先支配地位的次序如下：</w:t>
      </w:r>
    </w:p>
    <w:p>
      <w:pPr>
        <w:spacing w:before="120" w:line="420" w:lineRule="atLeast"/>
        <w:ind w:firstLine="540"/>
        <w:rPr>
          <w:rFonts w:ascii="宋体" w:hAnsi="宋体"/>
          <w:sz w:val="24"/>
          <w:shd w:val="clear" w:color="auto" w:fill="FFFFFF"/>
        </w:rPr>
      </w:pPr>
      <w:r>
        <w:rPr>
          <w:rFonts w:ascii="宋体" w:hAnsi="宋体"/>
          <w:sz w:val="24"/>
          <w:shd w:val="clear" w:color="auto" w:fill="FFFFFF"/>
        </w:rPr>
        <w:t>a.</w:t>
      </w:r>
      <w:r>
        <w:rPr>
          <w:rFonts w:ascii="宋体" w:hAnsi="宋体"/>
          <w:sz w:val="24"/>
          <w:shd w:val="clear" w:color="auto" w:fill="FFFFFF"/>
        </w:rPr>
        <w:tab/>
      </w:r>
      <w:r>
        <w:rPr>
          <w:rFonts w:hint="eastAsia" w:ascii="宋体" w:hAnsi="宋体"/>
          <w:sz w:val="24"/>
          <w:shd w:val="clear" w:color="auto" w:fill="FFFFFF"/>
        </w:rPr>
        <w:t>本合同书　</w:t>
      </w:r>
    </w:p>
    <w:p>
      <w:pPr>
        <w:spacing w:before="120" w:line="420" w:lineRule="atLeast"/>
        <w:ind w:firstLine="540"/>
        <w:rPr>
          <w:rFonts w:ascii="宋体" w:hAnsi="宋体"/>
          <w:sz w:val="24"/>
          <w:shd w:val="clear" w:color="auto" w:fill="FFFFFF"/>
        </w:rPr>
      </w:pPr>
      <w:r>
        <w:rPr>
          <w:rFonts w:ascii="宋体" w:hAnsi="宋体"/>
          <w:sz w:val="24"/>
          <w:shd w:val="clear" w:color="auto" w:fill="FFFFFF"/>
        </w:rPr>
        <w:t>b.</w:t>
      </w:r>
      <w:r>
        <w:rPr>
          <w:rFonts w:ascii="宋体" w:hAnsi="宋体"/>
          <w:sz w:val="24"/>
          <w:shd w:val="clear" w:color="auto" w:fill="FFFFFF"/>
        </w:rPr>
        <w:tab/>
      </w:r>
      <w:r>
        <w:rPr>
          <w:rFonts w:hint="eastAsia" w:ascii="宋体" w:hAnsi="宋体"/>
          <w:sz w:val="24"/>
          <w:shd w:val="clear" w:color="auto" w:fill="FFFFFF"/>
        </w:rPr>
        <w:t>中标通知书</w:t>
      </w:r>
    </w:p>
    <w:p>
      <w:pPr>
        <w:spacing w:before="120" w:line="420" w:lineRule="atLeast"/>
        <w:ind w:firstLine="540"/>
        <w:rPr>
          <w:rFonts w:ascii="宋体" w:hAnsi="宋体"/>
          <w:sz w:val="24"/>
          <w:shd w:val="clear" w:color="auto" w:fill="FFFFFF"/>
        </w:rPr>
      </w:pPr>
      <w:r>
        <w:rPr>
          <w:rFonts w:ascii="宋体" w:hAnsi="宋体"/>
          <w:sz w:val="24"/>
          <w:shd w:val="clear" w:color="auto" w:fill="FFFFFF"/>
        </w:rPr>
        <w:t>c.</w:t>
      </w:r>
      <w:r>
        <w:rPr>
          <w:rFonts w:ascii="宋体" w:hAnsi="宋体"/>
          <w:sz w:val="24"/>
          <w:shd w:val="clear" w:color="auto" w:fill="FFFFFF"/>
        </w:rPr>
        <w:tab/>
      </w:r>
      <w:r>
        <w:rPr>
          <w:rFonts w:hint="eastAsia" w:ascii="宋体" w:hAnsi="宋体"/>
          <w:sz w:val="24"/>
          <w:shd w:val="clear" w:color="auto" w:fill="FFFFFF"/>
        </w:rPr>
        <w:t>协议</w:t>
      </w:r>
      <w:r>
        <w:rPr>
          <w:rFonts w:hint="eastAsia" w:ascii="宋体" w:hAnsi="宋体"/>
          <w:sz w:val="24"/>
          <w:shd w:val="clear" w:color="auto" w:fill="FFFFFF"/>
        </w:rPr>
        <w:tab/>
      </w:r>
      <w:r>
        <w:rPr>
          <w:rFonts w:ascii="宋体" w:hAnsi="宋体"/>
          <w:sz w:val="24"/>
          <w:shd w:val="clear" w:color="auto" w:fill="FFFFFF"/>
        </w:rPr>
        <w:tab/>
      </w:r>
      <w:r>
        <w:rPr>
          <w:rFonts w:ascii="宋体" w:hAnsi="宋体"/>
          <w:sz w:val="24"/>
          <w:shd w:val="clear" w:color="auto" w:fill="FFFFFF"/>
        </w:rPr>
        <w:tab/>
      </w:r>
      <w:r>
        <w:rPr>
          <w:rFonts w:hint="eastAsia" w:ascii="宋体" w:hAnsi="宋体"/>
          <w:sz w:val="24"/>
          <w:shd w:val="clear" w:color="auto" w:fill="FFFFFF"/>
        </w:rPr>
        <w:tab/>
      </w:r>
      <w:r>
        <w:rPr>
          <w:rFonts w:ascii="宋体" w:hAnsi="宋体"/>
          <w:sz w:val="24"/>
          <w:shd w:val="clear" w:color="auto" w:fill="FFFFFF"/>
        </w:rPr>
        <w:tab/>
      </w:r>
    </w:p>
    <w:p>
      <w:pPr>
        <w:spacing w:before="120" w:line="420" w:lineRule="atLeast"/>
        <w:ind w:firstLine="540"/>
        <w:rPr>
          <w:rFonts w:ascii="宋体" w:hAnsi="宋体"/>
          <w:sz w:val="24"/>
          <w:shd w:val="clear" w:color="auto" w:fill="FFFFFF"/>
        </w:rPr>
      </w:pPr>
      <w:r>
        <w:rPr>
          <w:rFonts w:ascii="宋体" w:hAnsi="宋体"/>
          <w:sz w:val="24"/>
          <w:shd w:val="clear" w:color="auto" w:fill="FFFFFF"/>
        </w:rPr>
        <w:t>d.</w:t>
      </w:r>
      <w:r>
        <w:rPr>
          <w:rFonts w:ascii="宋体" w:hAnsi="宋体"/>
          <w:sz w:val="24"/>
          <w:shd w:val="clear" w:color="auto" w:fill="FFFFFF"/>
        </w:rPr>
        <w:tab/>
      </w:r>
      <w:r>
        <w:rPr>
          <w:rFonts w:hint="eastAsia" w:ascii="宋体" w:hAnsi="宋体"/>
          <w:sz w:val="24"/>
          <w:shd w:val="clear" w:color="auto" w:fill="FFFFFF"/>
        </w:rPr>
        <w:t>投标文件</w:t>
      </w:r>
      <w:r>
        <w:rPr>
          <w:rFonts w:hint="eastAsia" w:ascii="宋体" w:hAnsi="宋体"/>
          <w:sz w:val="24"/>
          <w:shd w:val="clear" w:color="auto" w:fill="FFFFFF"/>
        </w:rPr>
        <w:tab/>
      </w:r>
      <w:r>
        <w:rPr>
          <w:rFonts w:hint="eastAsia" w:ascii="宋体" w:hAnsi="宋体"/>
          <w:sz w:val="24"/>
          <w:shd w:val="clear" w:color="auto" w:fill="FFFFFF"/>
        </w:rPr>
        <w:tab/>
      </w:r>
      <w:r>
        <w:rPr>
          <w:rFonts w:hint="eastAsia" w:ascii="宋体" w:hAnsi="宋体"/>
          <w:sz w:val="24"/>
          <w:shd w:val="clear" w:color="auto" w:fill="FFFFFF"/>
        </w:rPr>
        <w:tab/>
      </w:r>
      <w:r>
        <w:rPr>
          <w:rFonts w:hint="eastAsia" w:ascii="宋体" w:hAnsi="宋体"/>
          <w:sz w:val="24"/>
          <w:shd w:val="clear" w:color="auto" w:fill="FFFFFF"/>
        </w:rPr>
        <w:tab/>
      </w:r>
      <w:r>
        <w:rPr>
          <w:rFonts w:hint="eastAsia" w:ascii="宋体" w:hAnsi="宋体"/>
          <w:sz w:val="24"/>
          <w:shd w:val="clear" w:color="auto" w:fill="FFFFFF"/>
        </w:rPr>
        <w:t>(含澄清文件)</w:t>
      </w:r>
    </w:p>
    <w:p>
      <w:pPr>
        <w:spacing w:before="120" w:line="420" w:lineRule="atLeast"/>
        <w:ind w:firstLine="540"/>
        <w:rPr>
          <w:rFonts w:ascii="宋体" w:hAnsi="宋体"/>
          <w:sz w:val="24"/>
          <w:shd w:val="clear" w:color="auto" w:fill="FFFFFF"/>
        </w:rPr>
      </w:pPr>
      <w:r>
        <w:rPr>
          <w:rFonts w:ascii="宋体" w:hAnsi="宋体"/>
          <w:sz w:val="24"/>
          <w:shd w:val="clear" w:color="auto" w:fill="FFFFFF"/>
        </w:rPr>
        <w:t>e.</w:t>
      </w:r>
      <w:r>
        <w:rPr>
          <w:rFonts w:ascii="宋体" w:hAnsi="宋体"/>
          <w:sz w:val="24"/>
          <w:shd w:val="clear" w:color="auto" w:fill="FFFFFF"/>
        </w:rPr>
        <w:tab/>
      </w:r>
      <w:r>
        <w:rPr>
          <w:rFonts w:hint="eastAsia" w:ascii="宋体" w:hAnsi="宋体"/>
          <w:sz w:val="24"/>
          <w:shd w:val="clear" w:color="auto" w:fill="FFFFFF"/>
        </w:rPr>
        <w:t>招标文件</w:t>
      </w:r>
      <w:r>
        <w:rPr>
          <w:rFonts w:ascii="宋体" w:hAnsi="宋体"/>
          <w:sz w:val="24"/>
          <w:shd w:val="clear" w:color="auto" w:fill="FFFFFF"/>
        </w:rPr>
        <w:tab/>
      </w:r>
      <w:r>
        <w:rPr>
          <w:rFonts w:ascii="宋体" w:hAnsi="宋体"/>
          <w:sz w:val="24"/>
          <w:shd w:val="clear" w:color="auto" w:fill="FFFFFF"/>
        </w:rPr>
        <w:tab/>
      </w:r>
      <w:r>
        <w:rPr>
          <w:rFonts w:ascii="宋体" w:hAnsi="宋体"/>
          <w:sz w:val="24"/>
          <w:shd w:val="clear" w:color="auto" w:fill="FFFFFF"/>
        </w:rPr>
        <w:tab/>
      </w:r>
      <w:r>
        <w:rPr>
          <w:rFonts w:ascii="宋体" w:hAnsi="宋体"/>
          <w:sz w:val="24"/>
          <w:shd w:val="clear" w:color="auto" w:fill="FFFFFF"/>
        </w:rPr>
        <w:tab/>
      </w:r>
      <w:r>
        <w:rPr>
          <w:rFonts w:ascii="宋体" w:hAnsi="宋体"/>
          <w:sz w:val="24"/>
          <w:shd w:val="clear" w:color="auto" w:fill="FFFFFF"/>
        </w:rPr>
        <w:t>(</w:t>
      </w:r>
      <w:r>
        <w:rPr>
          <w:rFonts w:hint="eastAsia" w:ascii="宋体" w:hAnsi="宋体"/>
          <w:sz w:val="24"/>
          <w:shd w:val="clear" w:color="auto" w:fill="FFFFFF"/>
        </w:rPr>
        <w:t>含招标文件补充通知</w:t>
      </w:r>
      <w:r>
        <w:rPr>
          <w:rFonts w:ascii="宋体" w:hAnsi="宋体"/>
          <w:sz w:val="24"/>
          <w:shd w:val="clear" w:color="auto" w:fill="FFFFFF"/>
        </w:rPr>
        <w:t>)</w:t>
      </w:r>
    </w:p>
    <w:p>
      <w:pPr>
        <w:spacing w:before="240" w:line="420" w:lineRule="atLeast"/>
        <w:rPr>
          <w:rFonts w:ascii="宋体" w:hAnsi="宋体"/>
          <w:b/>
          <w:sz w:val="24"/>
          <w:shd w:val="clear" w:color="auto" w:fill="FFFFFF"/>
        </w:rPr>
      </w:pPr>
      <w:r>
        <w:rPr>
          <w:rFonts w:hint="eastAsia" w:ascii="宋体" w:hAnsi="宋体"/>
          <w:b/>
          <w:sz w:val="24"/>
          <w:shd w:val="clear" w:color="auto" w:fill="FFFFFF"/>
        </w:rPr>
        <w:t>2、货物和数量</w:t>
      </w:r>
    </w:p>
    <w:p>
      <w:pPr>
        <w:spacing w:before="120" w:line="420" w:lineRule="atLeast"/>
        <w:ind w:firstLine="454"/>
        <w:rPr>
          <w:sz w:val="24"/>
          <w:szCs w:val="21"/>
          <w:u w:val="single"/>
          <w:shd w:val="clear" w:color="auto" w:fill="FFFFFF"/>
        </w:rPr>
      </w:pPr>
      <w:r>
        <w:rPr>
          <w:rFonts w:hint="eastAsia" w:ascii="宋体" w:hAnsi="宋体"/>
          <w:sz w:val="24"/>
          <w:shd w:val="clear" w:color="auto" w:fill="FFFFFF"/>
        </w:rPr>
        <w:t>本合同货物：</w:t>
      </w:r>
      <w:r>
        <w:rPr>
          <w:rFonts w:hint="eastAsia" w:ascii="宋体" w:hAnsi="宋体"/>
          <w:sz w:val="24"/>
          <w:u w:val="single"/>
          <w:shd w:val="clear" w:color="auto" w:fill="FFFFFF"/>
        </w:rPr>
        <w:t xml:space="preserve">                  </w:t>
      </w:r>
      <w:r>
        <w:rPr>
          <w:rFonts w:hint="eastAsia" w:ascii="宋体" w:hAnsi="宋体"/>
          <w:sz w:val="24"/>
          <w:shd w:val="clear" w:color="auto" w:fill="FFFFFF"/>
        </w:rPr>
        <w:t xml:space="preserve">     </w:t>
      </w:r>
    </w:p>
    <w:p>
      <w:pPr>
        <w:spacing w:before="120" w:line="420" w:lineRule="atLeast"/>
        <w:ind w:firstLine="454"/>
        <w:rPr>
          <w:rFonts w:ascii="宋体" w:hAnsi="宋体"/>
          <w:sz w:val="24"/>
          <w:shd w:val="clear" w:color="auto" w:fill="FFFFFF"/>
        </w:rPr>
      </w:pPr>
      <w:r>
        <w:rPr>
          <w:rFonts w:hint="eastAsia" w:ascii="宋体" w:hAnsi="宋体"/>
          <w:sz w:val="24"/>
          <w:shd w:val="clear" w:color="auto" w:fill="FFFFFF"/>
        </w:rPr>
        <w:t>数      量：</w:t>
      </w:r>
      <w:r>
        <w:rPr>
          <w:rFonts w:hint="eastAsia" w:ascii="宋体" w:hAnsi="宋体"/>
          <w:sz w:val="24"/>
          <w:u w:val="single"/>
          <w:shd w:val="clear" w:color="auto" w:fill="FFFFFF"/>
        </w:rPr>
        <w:t xml:space="preserve">                  </w:t>
      </w:r>
      <w:r>
        <w:rPr>
          <w:rFonts w:ascii="宋体" w:hAnsi="宋体"/>
          <w:sz w:val="24"/>
          <w:shd w:val="clear" w:color="auto" w:fill="FFFFFF"/>
        </w:rPr>
        <w:t xml:space="preserve"> </w:t>
      </w:r>
    </w:p>
    <w:p>
      <w:pPr>
        <w:spacing w:before="240" w:line="420" w:lineRule="atLeast"/>
        <w:rPr>
          <w:rFonts w:ascii="宋体" w:hAnsi="宋体"/>
          <w:b/>
          <w:sz w:val="24"/>
          <w:shd w:val="clear" w:color="auto" w:fill="FFFFFF"/>
        </w:rPr>
      </w:pPr>
      <w:r>
        <w:rPr>
          <w:rFonts w:hint="eastAsia" w:ascii="宋体" w:hAnsi="宋体"/>
          <w:b/>
          <w:sz w:val="24"/>
          <w:shd w:val="clear" w:color="auto" w:fill="FFFFFF"/>
        </w:rPr>
        <w:t>3、合同总价</w:t>
      </w:r>
    </w:p>
    <w:p>
      <w:pPr>
        <w:spacing w:before="120" w:line="420" w:lineRule="atLeast"/>
        <w:ind w:firstLine="454"/>
        <w:rPr>
          <w:rFonts w:ascii="宋体" w:hAnsi="宋体"/>
          <w:sz w:val="24"/>
          <w:shd w:val="clear" w:color="auto" w:fill="FFFFFF"/>
        </w:rPr>
      </w:pPr>
      <w:r>
        <w:rPr>
          <w:rFonts w:hint="eastAsia" w:ascii="宋体" w:hAnsi="宋体"/>
          <w:sz w:val="24"/>
          <w:shd w:val="clear" w:color="auto" w:fill="FFFFFF"/>
        </w:rPr>
        <w:t>本合同总价为</w:t>
      </w:r>
      <w:r>
        <w:rPr>
          <w:rFonts w:hint="eastAsia" w:ascii="宋体" w:hAnsi="宋体"/>
          <w:sz w:val="24"/>
          <w:u w:val="single"/>
          <w:shd w:val="clear" w:color="auto" w:fill="FFFFFF"/>
        </w:rPr>
        <w:t xml:space="preserve">    </w:t>
      </w:r>
      <w:r>
        <w:rPr>
          <w:rFonts w:hint="eastAsia" w:ascii="宋体" w:hAnsi="宋体"/>
          <w:sz w:val="24"/>
          <w:shd w:val="clear" w:color="auto" w:fill="FFFFFF"/>
        </w:rPr>
        <w:t>元人民币，人民币大写金额为</w:t>
      </w:r>
      <w:r>
        <w:rPr>
          <w:rFonts w:hint="eastAsia" w:ascii="宋体" w:hAnsi="宋体"/>
          <w:sz w:val="24"/>
          <w:u w:val="single"/>
          <w:shd w:val="clear" w:color="auto" w:fill="FFFFFF"/>
        </w:rPr>
        <w:t xml:space="preserve">   整</w:t>
      </w:r>
    </w:p>
    <w:p>
      <w:pPr>
        <w:snapToGrid w:val="0"/>
        <w:spacing w:before="312" w:beforeLines="100" w:line="360" w:lineRule="auto"/>
        <w:ind w:firstLine="480" w:firstLineChars="200"/>
        <w:rPr>
          <w:rFonts w:ascii="宋体" w:hAnsi="宋体"/>
          <w:b/>
          <w:sz w:val="24"/>
          <w:shd w:val="clear" w:color="auto" w:fill="FFFFFF"/>
        </w:rPr>
      </w:pPr>
      <w:r>
        <w:rPr>
          <w:rFonts w:hint="eastAsia" w:ascii="宋体" w:hAnsi="宋体"/>
          <w:sz w:val="24"/>
          <w:shd w:val="clear" w:color="auto" w:fill="FFFFFF"/>
        </w:rPr>
        <w:t>分项价格：</w:t>
      </w:r>
      <w:r>
        <w:rPr>
          <w:rFonts w:hint="eastAsia" w:ascii="宋体" w:hAnsi="宋体"/>
          <w:b/>
          <w:sz w:val="24"/>
          <w:shd w:val="clear" w:color="auto" w:fill="FFFFFF"/>
        </w:rPr>
        <w:t xml:space="preserve"> </w:t>
      </w:r>
    </w:p>
    <w:p>
      <w:pPr>
        <w:spacing w:before="120" w:line="420" w:lineRule="atLeast"/>
        <w:rPr>
          <w:rFonts w:ascii="宋体" w:hAnsi="宋体"/>
          <w:b/>
          <w:sz w:val="24"/>
          <w:shd w:val="clear" w:color="auto" w:fill="FFFFFF"/>
        </w:rPr>
      </w:pPr>
      <w:r>
        <w:rPr>
          <w:rFonts w:hint="eastAsia" w:ascii="宋体" w:hAnsi="宋体"/>
          <w:b/>
          <w:sz w:val="24"/>
          <w:shd w:val="clear" w:color="auto" w:fill="FFFFFF"/>
        </w:rPr>
        <w:t>4、付款方式</w:t>
      </w:r>
    </w:p>
    <w:p>
      <w:pPr>
        <w:spacing w:before="312" w:beforeLines="100" w:line="360" w:lineRule="auto"/>
        <w:ind w:firstLine="480" w:firstLineChars="200"/>
        <w:rPr>
          <w:rFonts w:ascii="宋体" w:hAnsi="宋体"/>
          <w:sz w:val="24"/>
          <w:highlight w:val="none"/>
        </w:rPr>
      </w:pPr>
      <w:r>
        <w:rPr>
          <w:rFonts w:hint="eastAsia" w:ascii="宋体" w:hAnsi="宋体"/>
          <w:sz w:val="24"/>
          <w:highlight w:val="none"/>
          <w:shd w:val="clear" w:color="auto" w:fill="FFFFFF"/>
        </w:rPr>
        <w:t>中标人支付给招标人合同总金额10%的履约保证金后7个工作日内并在签订《政府采购合同》的基础上，招标人向中标人支付合同总金额70％的合同款；202</w:t>
      </w:r>
      <w:r>
        <w:rPr>
          <w:rFonts w:hint="eastAsia" w:ascii="宋体" w:hAnsi="宋体"/>
          <w:sz w:val="24"/>
          <w:highlight w:val="none"/>
          <w:shd w:val="clear" w:color="auto" w:fill="FFFFFF"/>
          <w:lang w:val="en-US" w:eastAsia="zh-CN"/>
        </w:rPr>
        <w:t>4</w:t>
      </w:r>
      <w:r>
        <w:rPr>
          <w:rFonts w:hint="eastAsia" w:ascii="宋体" w:hAnsi="宋体"/>
          <w:sz w:val="24"/>
          <w:highlight w:val="none"/>
          <w:shd w:val="clear" w:color="auto" w:fill="FFFFFF"/>
        </w:rPr>
        <w:t>年</w:t>
      </w:r>
      <w:r>
        <w:rPr>
          <w:rFonts w:hint="eastAsia" w:ascii="宋体" w:hAnsi="宋体"/>
          <w:sz w:val="24"/>
          <w:highlight w:val="none"/>
          <w:shd w:val="clear" w:color="auto" w:fill="FFFFFF"/>
          <w:lang w:val="en-US" w:eastAsia="zh-CN"/>
        </w:rPr>
        <w:t>1</w:t>
      </w:r>
      <w:r>
        <w:rPr>
          <w:rFonts w:hint="eastAsia" w:ascii="宋体" w:hAnsi="宋体"/>
          <w:sz w:val="24"/>
          <w:highlight w:val="none"/>
          <w:shd w:val="clear" w:color="auto" w:fill="FFFFFF"/>
        </w:rPr>
        <w:t>1月3</w:t>
      </w:r>
      <w:r>
        <w:rPr>
          <w:rFonts w:hint="eastAsia" w:ascii="宋体" w:hAnsi="宋体"/>
          <w:sz w:val="24"/>
          <w:highlight w:val="none"/>
          <w:shd w:val="clear" w:color="auto" w:fill="FFFFFF"/>
          <w:lang w:val="en-US" w:eastAsia="zh-CN"/>
        </w:rPr>
        <w:t>0</w:t>
      </w:r>
      <w:r>
        <w:rPr>
          <w:rFonts w:hint="eastAsia" w:ascii="宋体" w:hAnsi="宋体"/>
          <w:sz w:val="24"/>
          <w:highlight w:val="none"/>
          <w:shd w:val="clear" w:color="auto" w:fill="FFFFFF"/>
        </w:rPr>
        <w:t>日前，招标人向中标人支付合同总金额30％的合同款。</w:t>
      </w:r>
    </w:p>
    <w:p>
      <w:pPr>
        <w:spacing w:line="360" w:lineRule="auto"/>
        <w:rPr>
          <w:rFonts w:ascii="宋体" w:hAnsi="宋体"/>
          <w:b/>
          <w:bCs/>
          <w:sz w:val="24"/>
          <w:highlight w:val="none"/>
        </w:rPr>
      </w:pPr>
      <w:r>
        <w:rPr>
          <w:rFonts w:hint="eastAsia" w:ascii="宋体" w:hAnsi="宋体"/>
          <w:b/>
          <w:bCs/>
          <w:sz w:val="24"/>
          <w:highlight w:val="none"/>
        </w:rPr>
        <w:t>履约保证金：</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履约保证金金额：合同总金额的10%。</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履约保证金缴纳形式：</w:t>
      </w:r>
      <w:r>
        <w:rPr>
          <w:rFonts w:hint="eastAsia" w:ascii="宋体" w:hAnsi="宋体"/>
          <w:sz w:val="24"/>
          <w:highlight w:val="none"/>
          <w:shd w:val="clear" w:color="auto" w:fill="FFFFFF"/>
          <w:lang w:val="en-US" w:eastAsia="zh-CN"/>
        </w:rPr>
        <w:t>银行转账或支票的形式</w:t>
      </w:r>
      <w:r>
        <w:rPr>
          <w:rFonts w:hint="eastAsia" w:ascii="宋体" w:hAnsi="宋体"/>
          <w:sz w:val="24"/>
          <w:highlight w:val="none"/>
          <w:shd w:val="clear" w:color="auto" w:fill="FFFFFF"/>
        </w:rPr>
        <w:t>。</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履约保证金退还时间：项目验收合格后，7个工作日内退还。</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质量保证金：</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质保金金额：合同总金额的10%。</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质保金缴纳形式：中标人开户行基本户开具的有效的银行担保函。质保期结束后退还，如中标人未按招标文件要求保证售后服务质量，招标人有权视情没收质保金。</w:t>
      </w:r>
    </w:p>
    <w:p>
      <w:pPr>
        <w:spacing w:before="240" w:line="420" w:lineRule="atLeast"/>
        <w:rPr>
          <w:rFonts w:ascii="宋体" w:hAnsi="宋体"/>
          <w:b/>
          <w:sz w:val="24"/>
          <w:shd w:val="clear" w:color="auto" w:fill="FFFFFF"/>
        </w:rPr>
      </w:pPr>
      <w:r>
        <w:rPr>
          <w:rFonts w:hint="eastAsia" w:ascii="宋体" w:hAnsi="宋体"/>
          <w:b/>
          <w:sz w:val="24"/>
          <w:shd w:val="clear" w:color="auto" w:fill="FFFFFF"/>
        </w:rPr>
        <w:t>5、本合同的合同履行期（交货期）要求及交货地点</w:t>
      </w:r>
    </w:p>
    <w:p>
      <w:pPr>
        <w:spacing w:before="312" w:beforeLines="100" w:line="360" w:lineRule="auto"/>
        <w:ind w:firstLine="480" w:firstLineChars="200"/>
        <w:rPr>
          <w:rFonts w:ascii="宋体" w:hAnsi="宋体"/>
          <w:sz w:val="24"/>
          <w:u w:val="single"/>
          <w:shd w:val="clear" w:color="auto" w:fill="FFFFFF"/>
        </w:rPr>
      </w:pPr>
      <w:r>
        <w:rPr>
          <w:rFonts w:hint="eastAsia" w:ascii="宋体" w:hAnsi="宋体"/>
          <w:bCs/>
          <w:sz w:val="24"/>
          <w:shd w:val="clear" w:color="auto" w:fill="FFFFFF"/>
        </w:rPr>
        <w:t>合同履行期（交货期</w:t>
      </w:r>
      <w:r>
        <w:rPr>
          <w:rFonts w:hint="eastAsia" w:ascii="宋体" w:hAnsi="宋体"/>
          <w:bCs/>
          <w:sz w:val="24"/>
          <w:highlight w:val="none"/>
          <w:shd w:val="clear" w:color="auto" w:fill="FFFFFF"/>
        </w:rPr>
        <w:t>）：</w:t>
      </w:r>
      <w:r>
        <w:rPr>
          <w:rFonts w:hint="eastAsia" w:ascii="宋体" w:hAnsi="宋体"/>
          <w:sz w:val="24"/>
          <w:highlight w:val="none"/>
          <w:u w:val="single"/>
          <w:shd w:val="clear" w:color="auto" w:fill="FFFFFF"/>
        </w:rPr>
        <w:t>合同签订后180天内完成货物安装、调试等全部工作。</w:t>
      </w:r>
    </w:p>
    <w:p>
      <w:pPr>
        <w:spacing w:before="240" w:line="420" w:lineRule="atLeast"/>
        <w:ind w:firstLine="480" w:firstLineChars="200"/>
        <w:rPr>
          <w:rFonts w:ascii="宋体" w:hAnsi="宋体"/>
          <w:sz w:val="24"/>
          <w:u w:val="single"/>
          <w:shd w:val="clear" w:color="auto" w:fill="FFFFFF"/>
        </w:rPr>
      </w:pPr>
      <w:r>
        <w:rPr>
          <w:rFonts w:hint="eastAsia" w:ascii="宋体" w:hAnsi="宋体"/>
          <w:sz w:val="24"/>
          <w:shd w:val="clear" w:color="auto" w:fill="FFFFFF"/>
        </w:rPr>
        <w:t>交货地点：</w:t>
      </w:r>
      <w:r>
        <w:rPr>
          <w:rFonts w:hint="eastAsia" w:ascii="宋体" w:hAnsi="宋体"/>
          <w:bCs/>
          <w:sz w:val="24"/>
          <w:u w:val="single"/>
          <w:shd w:val="clear" w:color="auto" w:fill="FFFFFF"/>
        </w:rPr>
        <w:t>采购人</w:t>
      </w:r>
      <w:r>
        <w:rPr>
          <w:rFonts w:hint="eastAsia" w:ascii="宋体" w:hAnsi="宋体"/>
          <w:sz w:val="24"/>
          <w:u w:val="single"/>
          <w:shd w:val="clear" w:color="auto" w:fill="FFFFFF"/>
        </w:rPr>
        <w:t>指定地点</w:t>
      </w:r>
    </w:p>
    <w:p>
      <w:pPr>
        <w:numPr>
          <w:ilvl w:val="0"/>
          <w:numId w:val="17"/>
        </w:numPr>
        <w:spacing w:before="240" w:line="420" w:lineRule="atLeast"/>
        <w:rPr>
          <w:sz w:val="24"/>
        </w:rPr>
      </w:pPr>
      <w:r>
        <w:rPr>
          <w:rFonts w:hint="eastAsia" w:ascii="宋体" w:hAnsi="宋体"/>
          <w:b/>
          <w:sz w:val="24"/>
          <w:shd w:val="clear" w:color="auto" w:fill="FFFFFF"/>
        </w:rPr>
        <w:t>质量保证期</w:t>
      </w:r>
    </w:p>
    <w:p>
      <w:pPr>
        <w:spacing w:before="240" w:line="420" w:lineRule="atLeast"/>
        <w:ind w:firstLine="480" w:firstLineChars="200"/>
        <w:rPr>
          <w:sz w:val="24"/>
        </w:rPr>
      </w:pPr>
      <w:r>
        <w:rPr>
          <w:rFonts w:hint="eastAsia" w:cs="Arial"/>
          <w:sz w:val="24"/>
          <w:highlight w:val="none"/>
        </w:rPr>
        <w:t>本项目所有货物质保期</w:t>
      </w:r>
      <w:r>
        <w:rPr>
          <w:rFonts w:hint="eastAsia" w:ascii="宋体" w:hAnsi="宋体" w:cs="宋体"/>
          <w:sz w:val="24"/>
          <w:highlight w:val="none"/>
        </w:rPr>
        <w:t>自验收合格之日起12个月，如采</w:t>
      </w:r>
      <w:r>
        <w:rPr>
          <w:rFonts w:hint="eastAsia" w:ascii="宋体" w:hAnsi="宋体" w:cs="宋体"/>
          <w:sz w:val="24"/>
        </w:rPr>
        <w:t>购明细有特殊要求的按照相关要求执行。</w:t>
      </w:r>
    </w:p>
    <w:p>
      <w:pPr>
        <w:spacing w:before="240" w:line="420" w:lineRule="atLeast"/>
        <w:rPr>
          <w:rFonts w:ascii="宋体" w:hAnsi="宋体"/>
          <w:b/>
          <w:sz w:val="24"/>
          <w:shd w:val="clear" w:color="auto" w:fill="FFFFFF"/>
        </w:rPr>
      </w:pPr>
      <w:r>
        <w:rPr>
          <w:rFonts w:hint="eastAsia" w:ascii="宋体" w:hAnsi="宋体"/>
          <w:b/>
          <w:sz w:val="24"/>
          <w:shd w:val="clear" w:color="auto" w:fill="FFFFFF"/>
        </w:rPr>
        <w:t>7、合同的生效</w:t>
      </w:r>
    </w:p>
    <w:p>
      <w:pPr>
        <w:spacing w:before="120" w:line="420" w:lineRule="atLeast"/>
        <w:ind w:firstLine="454"/>
        <w:rPr>
          <w:rFonts w:ascii="宋体" w:hAnsi="宋体"/>
          <w:sz w:val="24"/>
          <w:shd w:val="clear" w:color="auto" w:fill="FFFFFF"/>
        </w:rPr>
      </w:pPr>
      <w:r>
        <w:rPr>
          <w:rFonts w:hint="eastAsia" w:ascii="宋体" w:hAnsi="宋体"/>
          <w:sz w:val="24"/>
          <w:shd w:val="clear" w:color="auto" w:fill="FFFFFF"/>
        </w:rPr>
        <w:t>本合同经双方全权代表签署、加盖单位印章后生效。</w:t>
      </w:r>
    </w:p>
    <w:p>
      <w:pPr>
        <w:spacing w:before="120" w:line="420" w:lineRule="atLeast"/>
        <w:ind w:firstLine="454"/>
        <w:rPr>
          <w:rFonts w:ascii="宋体" w:hAnsi="宋体"/>
          <w:sz w:val="24"/>
          <w:shd w:val="clear" w:color="auto" w:fill="FFFFFF"/>
        </w:rPr>
      </w:pPr>
    </w:p>
    <w:p>
      <w:pPr>
        <w:snapToGrid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买   方：                          卖   方：</w:t>
      </w:r>
    </w:p>
    <w:p>
      <w:pPr>
        <w:snapToGrid w:val="0"/>
        <w:spacing w:line="360" w:lineRule="auto"/>
        <w:ind w:firstLine="480" w:firstLineChars="200"/>
        <w:rPr>
          <w:rFonts w:ascii="宋体" w:hAnsi="宋体"/>
          <w:szCs w:val="21"/>
          <w:shd w:val="clear" w:color="auto" w:fill="FFFFFF"/>
        </w:rPr>
      </w:pPr>
      <w:r>
        <w:rPr>
          <w:rFonts w:hint="eastAsia" w:ascii="宋体" w:hAnsi="宋体"/>
          <w:sz w:val="24"/>
          <w:shd w:val="clear" w:color="auto" w:fill="FFFFFF"/>
        </w:rPr>
        <w:t xml:space="preserve">                            </w:t>
      </w:r>
    </w:p>
    <w:p>
      <w:pPr>
        <w:snapToGrid w:val="0"/>
        <w:spacing w:line="360" w:lineRule="auto"/>
        <w:rPr>
          <w:rFonts w:ascii="宋体" w:hAnsi="宋体"/>
          <w:sz w:val="24"/>
          <w:shd w:val="clear" w:color="auto" w:fill="FFFFFF"/>
        </w:rPr>
      </w:pPr>
      <w:r>
        <w:rPr>
          <w:rFonts w:hint="eastAsia" w:ascii="宋体" w:hAnsi="宋体"/>
          <w:sz w:val="24"/>
          <w:shd w:val="clear" w:color="auto" w:fill="FFFFFF"/>
        </w:rPr>
        <w:t xml:space="preserve">    名   称：(印章)                    名    称：(印章)</w:t>
      </w:r>
    </w:p>
    <w:p>
      <w:pPr>
        <w:snapToGrid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年     月     日                   年    月    日</w:t>
      </w:r>
    </w:p>
    <w:p>
      <w:pPr>
        <w:snapToGrid w:val="0"/>
        <w:spacing w:line="360" w:lineRule="auto"/>
        <w:ind w:firstLine="480"/>
        <w:rPr>
          <w:rFonts w:ascii="宋体" w:hAnsi="宋体"/>
          <w:sz w:val="24"/>
          <w:shd w:val="clear" w:color="auto" w:fill="FFFFFF"/>
        </w:rPr>
      </w:pPr>
      <w:r>
        <w:rPr>
          <w:rFonts w:hint="eastAsia" w:ascii="宋体" w:hAnsi="宋体"/>
          <w:sz w:val="24"/>
          <w:shd w:val="clear" w:color="auto" w:fill="FFFFFF"/>
        </w:rPr>
        <w:t xml:space="preserve">授权代表(签字)：                   授权代表(签字)： </w:t>
      </w:r>
    </w:p>
    <w:p>
      <w:pPr>
        <w:snapToGrid w:val="0"/>
        <w:spacing w:line="360" w:lineRule="auto"/>
        <w:rPr>
          <w:rFonts w:ascii="宋体" w:hAnsi="宋体"/>
          <w:sz w:val="24"/>
          <w:shd w:val="clear" w:color="auto" w:fill="FFFFFF"/>
        </w:rPr>
      </w:pPr>
    </w:p>
    <w:p>
      <w:pPr>
        <w:snapToGrid w:val="0"/>
        <w:spacing w:line="360" w:lineRule="auto"/>
        <w:ind w:left="359" w:leftChars="171" w:firstLine="120" w:firstLineChars="50"/>
        <w:rPr>
          <w:rFonts w:hint="eastAsia" w:ascii="宋体" w:hAnsi="宋体"/>
          <w:sz w:val="24"/>
          <w:shd w:val="clear" w:color="auto" w:fill="FFFFFF"/>
        </w:rPr>
      </w:pPr>
      <w:r>
        <w:rPr>
          <w:rFonts w:hint="eastAsia" w:ascii="宋体" w:hAnsi="宋体"/>
          <w:sz w:val="24"/>
          <w:shd w:val="clear" w:color="auto" w:fill="FFFFFF"/>
        </w:rPr>
        <w:t xml:space="preserve">地址：                               地址： </w:t>
      </w:r>
    </w:p>
    <w:p>
      <w:pPr>
        <w:snapToGrid w:val="0"/>
        <w:spacing w:line="360" w:lineRule="auto"/>
        <w:ind w:left="359" w:leftChars="171" w:firstLine="120" w:firstLineChars="50"/>
        <w:rPr>
          <w:rFonts w:hint="eastAsia" w:ascii="宋体" w:hAnsi="宋体"/>
          <w:sz w:val="24"/>
          <w:shd w:val="clear" w:color="auto" w:fill="FFFFFF"/>
        </w:rPr>
      </w:pPr>
      <w:r>
        <w:rPr>
          <w:rFonts w:hint="eastAsia" w:ascii="宋体" w:hAnsi="宋体"/>
          <w:sz w:val="24"/>
          <w:shd w:val="clear" w:color="auto" w:fill="FFFFFF"/>
        </w:rPr>
        <w:t xml:space="preserve">邮政编码：                  </w:t>
      </w:r>
      <w:r>
        <w:rPr>
          <w:rFonts w:hint="eastAsia" w:ascii="宋体" w:hAnsi="宋体"/>
          <w:sz w:val="24"/>
          <w:shd w:val="clear" w:color="auto" w:fill="FFFFFF"/>
        </w:rPr>
        <w:tab/>
      </w:r>
      <w:r>
        <w:rPr>
          <w:rFonts w:hint="eastAsia" w:ascii="宋体" w:hAnsi="宋体"/>
          <w:sz w:val="24"/>
          <w:shd w:val="clear" w:color="auto" w:fill="FFFFFF"/>
        </w:rPr>
        <w:t xml:space="preserve">      邮政编码：</w:t>
      </w:r>
    </w:p>
    <w:p>
      <w:pPr>
        <w:snapToGrid w:val="0"/>
        <w:spacing w:line="360" w:lineRule="auto"/>
        <w:ind w:left="359" w:leftChars="171" w:firstLine="120" w:firstLineChars="50"/>
        <w:rPr>
          <w:rFonts w:hint="eastAsia" w:ascii="宋体" w:hAnsi="宋体"/>
          <w:sz w:val="24"/>
          <w:shd w:val="clear" w:color="auto" w:fill="FFFFFF"/>
        </w:rPr>
      </w:pPr>
      <w:r>
        <w:rPr>
          <w:rFonts w:hint="eastAsia" w:ascii="宋体" w:hAnsi="宋体"/>
          <w:sz w:val="24"/>
          <w:shd w:val="clear" w:color="auto" w:fill="FFFFFF"/>
        </w:rPr>
        <w:t>电     话：                          电     话：</w:t>
      </w:r>
    </w:p>
    <w:p>
      <w:pPr>
        <w:snapToGrid w:val="0"/>
        <w:spacing w:line="360" w:lineRule="auto"/>
        <w:ind w:left="359" w:leftChars="171" w:firstLine="120" w:firstLineChars="50"/>
        <w:rPr>
          <w:rFonts w:hint="eastAsia" w:ascii="宋体" w:hAnsi="宋体"/>
          <w:sz w:val="24"/>
          <w:shd w:val="clear" w:color="auto" w:fill="FFFFFF"/>
        </w:rPr>
      </w:pPr>
      <w:r>
        <w:rPr>
          <w:rFonts w:hint="eastAsia" w:ascii="宋体" w:hAnsi="宋体"/>
          <w:sz w:val="24"/>
          <w:shd w:val="clear" w:color="auto" w:fill="FFFFFF"/>
        </w:rPr>
        <w:t>开户银行：                           开户银行：</w:t>
      </w:r>
    </w:p>
    <w:p>
      <w:pPr>
        <w:snapToGrid w:val="0"/>
        <w:spacing w:line="360" w:lineRule="auto"/>
        <w:ind w:left="359" w:leftChars="171" w:firstLine="120" w:firstLineChars="50"/>
        <w:rPr>
          <w:rFonts w:hint="eastAsia" w:ascii="宋体" w:hAnsi="宋体"/>
          <w:sz w:val="24"/>
          <w:shd w:val="clear" w:color="auto" w:fill="FFFFFF"/>
        </w:rPr>
      </w:pPr>
      <w:r>
        <w:rPr>
          <w:rFonts w:hint="eastAsia" w:ascii="宋体" w:hAnsi="宋体"/>
          <w:sz w:val="24"/>
          <w:shd w:val="clear" w:color="auto" w:fill="FFFFFF"/>
        </w:rPr>
        <w:t>账　　号：</w:t>
      </w:r>
      <w:r>
        <w:rPr>
          <w:rFonts w:hint="eastAsia" w:ascii="宋体" w:hAnsi="宋体"/>
          <w:sz w:val="24"/>
          <w:shd w:val="clear" w:color="auto" w:fill="FFFFFF"/>
        </w:rPr>
        <w:tab/>
      </w:r>
      <w:r>
        <w:rPr>
          <w:rFonts w:hint="eastAsia" w:ascii="宋体" w:hAnsi="宋体"/>
          <w:sz w:val="24"/>
          <w:shd w:val="clear" w:color="auto" w:fill="FFFFFF"/>
        </w:rPr>
        <w:tab/>
      </w:r>
      <w:r>
        <w:rPr>
          <w:rFonts w:hint="eastAsia" w:ascii="宋体" w:hAnsi="宋体"/>
          <w:sz w:val="24"/>
          <w:shd w:val="clear" w:color="auto" w:fill="FFFFFF"/>
        </w:rPr>
        <w:t xml:space="preserve">                    账    号：</w:t>
      </w:r>
    </w:p>
    <w:p>
      <w:pPr>
        <w:rPr>
          <w:rFonts w:ascii="宋体" w:hAnsi="宋体"/>
          <w:sz w:val="24"/>
          <w:u w:val="single"/>
          <w:shd w:val="clear" w:color="auto" w:fill="FFFFFF"/>
        </w:rPr>
        <w:sectPr>
          <w:headerReference r:id="rId18" w:type="default"/>
          <w:footerReference r:id="rId19" w:type="default"/>
          <w:pgSz w:w="11906" w:h="16838"/>
          <w:pgMar w:top="1440" w:right="1466" w:bottom="1440" w:left="1800" w:header="851" w:footer="992" w:gutter="0"/>
          <w:cols w:space="720" w:num="1"/>
          <w:docGrid w:type="lines" w:linePitch="312" w:charSpace="0"/>
        </w:sectPr>
      </w:pPr>
    </w:p>
    <w:p>
      <w:pPr>
        <w:jc w:val="center"/>
        <w:rPr>
          <w:rFonts w:ascii="宋体" w:hAnsi="宋体"/>
          <w:b/>
          <w:sz w:val="32"/>
          <w:szCs w:val="32"/>
          <w:shd w:val="clear" w:color="auto" w:fill="FFFFFF"/>
        </w:rPr>
      </w:pPr>
      <w:r>
        <w:rPr>
          <w:rFonts w:hint="eastAsia" w:ascii="宋体" w:hAnsi="宋体"/>
          <w:b/>
          <w:sz w:val="32"/>
          <w:szCs w:val="32"/>
          <w:shd w:val="clear" w:color="auto" w:fill="FFFFFF"/>
        </w:rPr>
        <w:t>采购货物明细表</w:t>
      </w:r>
    </w:p>
    <w:p>
      <w:pPr>
        <w:wordWrap w:val="0"/>
        <w:rPr>
          <w:rFonts w:ascii="宋体" w:hAnsi="宋体"/>
          <w:spacing w:val="-8"/>
          <w:sz w:val="24"/>
          <w:shd w:val="clear" w:color="auto" w:fill="FFFFFF"/>
        </w:rPr>
      </w:pPr>
      <w:r>
        <w:rPr>
          <w:rFonts w:hint="eastAsia" w:ascii="宋体" w:hAnsi="宋体"/>
          <w:sz w:val="24"/>
          <w:shd w:val="clear" w:color="auto" w:fill="FFFFFF"/>
        </w:rPr>
        <w:t>项目名称</w:t>
      </w:r>
      <w:r>
        <w:rPr>
          <w:rFonts w:hint="eastAsia" w:ascii="宋体" w:hAnsi="宋体"/>
          <w:spacing w:val="-8"/>
          <w:sz w:val="24"/>
          <w:shd w:val="clear" w:color="auto" w:fill="FFFFFF"/>
        </w:rPr>
        <w:t xml:space="preserve">：                    </w:t>
      </w:r>
    </w:p>
    <w:p>
      <w:pPr>
        <w:wordWrap w:val="0"/>
        <w:rPr>
          <w:rFonts w:ascii="宋体"/>
          <w:sz w:val="24"/>
          <w:shd w:val="clear" w:color="auto" w:fill="FFFFFF"/>
        </w:rPr>
      </w:pPr>
      <w:r>
        <w:rPr>
          <w:rFonts w:hint="eastAsia" w:ascii="宋体" w:hAnsi="宋体"/>
          <w:spacing w:val="-8"/>
          <w:sz w:val="24"/>
          <w:shd w:val="clear" w:color="auto" w:fill="FFFFFF"/>
        </w:rPr>
        <w:t xml:space="preserve">项目编号：                                      </w:t>
      </w:r>
    </w:p>
    <w:p>
      <w:pPr>
        <w:wordWrap w:val="0"/>
        <w:ind w:left="1378" w:hanging="1378"/>
        <w:rPr>
          <w:rFonts w:ascii="宋体" w:hAnsi="宋体"/>
          <w:sz w:val="24"/>
          <w:shd w:val="clear" w:color="auto" w:fill="FFFFFF"/>
        </w:rPr>
      </w:pPr>
      <w:r>
        <w:rPr>
          <w:rFonts w:hint="eastAsia" w:ascii="宋体" w:hAnsi="宋体"/>
          <w:sz w:val="24"/>
          <w:shd w:val="clear" w:color="auto" w:fill="FFFFFF"/>
        </w:rPr>
        <w:t>单位：万元</w:t>
      </w:r>
    </w:p>
    <w:tbl>
      <w:tblPr>
        <w:tblStyle w:val="43"/>
        <w:tblW w:w="14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302"/>
        <w:gridCol w:w="1245"/>
        <w:gridCol w:w="1798"/>
        <w:gridCol w:w="1348"/>
        <w:gridCol w:w="1539"/>
        <w:gridCol w:w="1032"/>
        <w:gridCol w:w="645"/>
        <w:gridCol w:w="11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p>
            <w:pPr>
              <w:jc w:val="center"/>
              <w:rPr>
                <w:rFonts w:ascii="宋体" w:hAnsi="宋体"/>
                <w:sz w:val="24"/>
                <w:shd w:val="clear" w:color="auto" w:fill="FFFFFF"/>
              </w:rPr>
            </w:pPr>
            <w:r>
              <w:rPr>
                <w:rFonts w:hint="eastAsia" w:ascii="宋体" w:hAnsi="宋体"/>
                <w:sz w:val="24"/>
                <w:shd w:val="clear" w:color="auto" w:fill="FFFFFF"/>
              </w:rPr>
              <w:t>序号</w:t>
            </w:r>
          </w:p>
          <w:p>
            <w:pPr>
              <w:jc w:val="center"/>
              <w:rPr>
                <w:rFonts w:ascii="宋体" w:hAnsi="宋体"/>
                <w:sz w:val="24"/>
                <w:shd w:val="clear" w:color="auto" w:fill="FFFFFF"/>
              </w:rPr>
            </w:pPr>
          </w:p>
        </w:tc>
        <w:tc>
          <w:tcPr>
            <w:tcW w:w="3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r>
              <w:rPr>
                <w:rFonts w:hint="eastAsia" w:ascii="宋体" w:hAnsi="宋体"/>
                <w:sz w:val="24"/>
                <w:shd w:val="clear" w:color="auto" w:fill="FFFFFF"/>
              </w:rPr>
              <w:t>货物名称</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r>
              <w:rPr>
                <w:rFonts w:hint="eastAsia" w:ascii="宋体" w:hAnsi="宋体"/>
                <w:sz w:val="24"/>
                <w:shd w:val="clear" w:color="auto" w:fill="FFFFFF"/>
              </w:rPr>
              <w:t>数量</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r>
              <w:rPr>
                <w:rFonts w:hint="eastAsia" w:ascii="宋体" w:hAnsi="宋体"/>
                <w:sz w:val="24"/>
                <w:shd w:val="clear" w:color="auto" w:fill="FFFFFF"/>
              </w:rPr>
              <w:t>品牌规格型号</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r>
              <w:rPr>
                <w:rFonts w:hint="eastAsia" w:ascii="宋体" w:hAnsi="宋体"/>
                <w:sz w:val="24"/>
                <w:shd w:val="clear" w:color="auto" w:fill="FFFFFF"/>
              </w:rPr>
              <w:t>产地</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r>
              <w:rPr>
                <w:rFonts w:hint="eastAsia" w:ascii="宋体" w:hAnsi="宋体"/>
                <w:sz w:val="24"/>
                <w:shd w:val="clear" w:color="auto" w:fill="FFFFFF"/>
              </w:rPr>
              <w:t xml:space="preserve">单价 </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r>
              <w:rPr>
                <w:rFonts w:hint="eastAsia" w:ascii="宋体" w:hAnsi="宋体"/>
                <w:sz w:val="24"/>
                <w:shd w:val="clear" w:color="auto" w:fill="FFFFFF"/>
              </w:rPr>
              <w:t>货物总价</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r>
              <w:rPr>
                <w:rFonts w:hint="eastAsia" w:ascii="宋体" w:hAnsi="宋体"/>
                <w:sz w:val="24"/>
                <w:shd w:val="clear" w:color="auto" w:fill="FFFFFF"/>
              </w:rPr>
              <w:t>其它</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r>
              <w:rPr>
                <w:rFonts w:hint="eastAsia" w:ascii="宋体" w:hAnsi="宋体"/>
                <w:sz w:val="24"/>
                <w:shd w:val="clear" w:color="auto" w:fill="FFFFFF"/>
              </w:rPr>
              <w:t xml:space="preserve">合计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24"/>
                <w:shd w:val="clear" w:color="auto" w:fill="FFFFFF"/>
              </w:rPr>
            </w:pPr>
            <w:r>
              <w:rPr>
                <w:rFonts w:hint="eastAsia"/>
                <w:sz w:val="24"/>
                <w:shd w:val="clear" w:color="auto" w:fill="FFFFFF"/>
              </w:rPr>
              <w:t>1</w:t>
            </w:r>
          </w:p>
        </w:tc>
        <w:tc>
          <w:tcPr>
            <w:tcW w:w="3302" w:type="dxa"/>
            <w:tcBorders>
              <w:top w:val="single" w:color="auto" w:sz="4" w:space="0"/>
              <w:left w:val="single" w:color="auto" w:sz="4" w:space="0"/>
              <w:bottom w:val="single" w:color="auto" w:sz="4" w:space="0"/>
              <w:right w:val="single" w:color="auto" w:sz="4" w:space="0"/>
            </w:tcBorders>
            <w:vAlign w:val="center"/>
          </w:tcPr>
          <w:p>
            <w:pPr>
              <w:jc w:val="center"/>
              <w:rPr>
                <w:sz w:val="24"/>
                <w:shd w:val="clear" w:color="auto" w:fill="FFFFFF"/>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1"/>
              <w:tabs>
                <w:tab w:val="right" w:leader="dot" w:pos="9231"/>
                <w:tab w:val="clear" w:pos="1050"/>
                <w:tab w:val="clear" w:pos="8937"/>
              </w:tabs>
              <w:rPr>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31"/>
              <w:tabs>
                <w:tab w:val="right" w:leader="dot" w:pos="9231"/>
                <w:tab w:val="clear" w:pos="1050"/>
                <w:tab w:val="clear" w:pos="8937"/>
              </w:tabs>
              <w:rPr>
                <w:shd w:val="clear" w:color="auto" w:fill="FFFFFF"/>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jc w:val="center"/>
        </w:trPr>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24"/>
                <w:shd w:val="clear" w:color="auto" w:fill="FFFFFF"/>
              </w:rPr>
            </w:pPr>
            <w:r>
              <w:rPr>
                <w:rFonts w:hint="eastAsia"/>
                <w:sz w:val="24"/>
                <w:shd w:val="clear" w:color="auto" w:fill="FFFFFF"/>
              </w:rPr>
              <w:t>2</w:t>
            </w:r>
          </w:p>
        </w:tc>
        <w:tc>
          <w:tcPr>
            <w:tcW w:w="3302" w:type="dxa"/>
            <w:tcBorders>
              <w:top w:val="single" w:color="auto" w:sz="4" w:space="0"/>
              <w:left w:val="single" w:color="auto" w:sz="4" w:space="0"/>
              <w:bottom w:val="single" w:color="auto" w:sz="4" w:space="0"/>
              <w:right w:val="single" w:color="auto" w:sz="4" w:space="0"/>
            </w:tcBorders>
            <w:vAlign w:val="center"/>
          </w:tcPr>
          <w:p>
            <w:pPr>
              <w:jc w:val="center"/>
              <w:rPr>
                <w:sz w:val="24"/>
                <w:shd w:val="clear" w:color="auto" w:fill="FFFFFF"/>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1"/>
              <w:tabs>
                <w:tab w:val="right" w:leader="dot" w:pos="9231"/>
                <w:tab w:val="clear" w:pos="1050"/>
                <w:tab w:val="clear" w:pos="8937"/>
              </w:tabs>
              <w:rPr>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31"/>
              <w:tabs>
                <w:tab w:val="right" w:leader="dot" w:pos="9231"/>
                <w:tab w:val="clear" w:pos="1050"/>
                <w:tab w:val="clear" w:pos="8937"/>
              </w:tabs>
              <w:rPr>
                <w:shd w:val="clear" w:color="auto" w:fill="FFFFFF"/>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24"/>
                <w:shd w:val="clear" w:color="auto" w:fill="FFFFFF"/>
              </w:rPr>
            </w:pPr>
            <w:r>
              <w:rPr>
                <w:rFonts w:hint="eastAsia"/>
                <w:sz w:val="24"/>
                <w:shd w:val="clear" w:color="auto" w:fill="FFFFFF"/>
              </w:rPr>
              <w:t>3</w:t>
            </w:r>
          </w:p>
        </w:tc>
        <w:tc>
          <w:tcPr>
            <w:tcW w:w="3302" w:type="dxa"/>
            <w:tcBorders>
              <w:top w:val="single" w:color="auto" w:sz="4" w:space="0"/>
              <w:left w:val="single" w:color="auto" w:sz="4" w:space="0"/>
              <w:bottom w:val="single" w:color="auto" w:sz="4" w:space="0"/>
              <w:right w:val="single" w:color="auto" w:sz="4" w:space="0"/>
            </w:tcBorders>
            <w:vAlign w:val="center"/>
          </w:tcPr>
          <w:p>
            <w:pPr>
              <w:jc w:val="center"/>
              <w:rPr>
                <w:sz w:val="24"/>
                <w:shd w:val="clear" w:color="auto" w:fill="FFFFFF"/>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1"/>
              <w:tabs>
                <w:tab w:val="right" w:leader="dot" w:pos="9231"/>
                <w:tab w:val="clear" w:pos="1050"/>
                <w:tab w:val="clear" w:pos="8937"/>
              </w:tabs>
              <w:rPr>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31"/>
              <w:tabs>
                <w:tab w:val="right" w:leader="dot" w:pos="9231"/>
                <w:tab w:val="clear" w:pos="1050"/>
                <w:tab w:val="clear" w:pos="8937"/>
              </w:tabs>
              <w:rPr>
                <w:shd w:val="clear" w:color="auto" w:fill="FFFFFF"/>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762" w:type="dxa"/>
            <w:tcBorders>
              <w:top w:val="single" w:color="auto" w:sz="4" w:space="0"/>
              <w:left w:val="single" w:color="auto" w:sz="4" w:space="0"/>
              <w:bottom w:val="single" w:color="auto" w:sz="4" w:space="0"/>
              <w:right w:val="single" w:color="auto" w:sz="4" w:space="0"/>
            </w:tcBorders>
            <w:vAlign w:val="center"/>
          </w:tcPr>
          <w:p>
            <w:pPr>
              <w:jc w:val="center"/>
              <w:rPr>
                <w:sz w:val="24"/>
                <w:shd w:val="clear" w:color="auto" w:fill="FFFFFF"/>
              </w:rPr>
            </w:pPr>
            <w:r>
              <w:rPr>
                <w:rFonts w:hint="eastAsia"/>
                <w:sz w:val="24"/>
                <w:shd w:val="clear" w:color="auto" w:fill="FFFFFF"/>
              </w:rPr>
              <w:t>4</w:t>
            </w:r>
          </w:p>
        </w:tc>
        <w:tc>
          <w:tcPr>
            <w:tcW w:w="3302" w:type="dxa"/>
            <w:tcBorders>
              <w:top w:val="single" w:color="auto" w:sz="4" w:space="0"/>
              <w:left w:val="single" w:color="auto" w:sz="4" w:space="0"/>
              <w:bottom w:val="single" w:color="auto" w:sz="4" w:space="0"/>
              <w:right w:val="single" w:color="auto" w:sz="4" w:space="0"/>
            </w:tcBorders>
            <w:vAlign w:val="center"/>
          </w:tcPr>
          <w:p>
            <w:pPr>
              <w:jc w:val="center"/>
              <w:rPr>
                <w:sz w:val="24"/>
                <w:shd w:val="clear" w:color="auto" w:fill="FFFFFF"/>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1"/>
              <w:tabs>
                <w:tab w:val="right" w:leader="dot" w:pos="9231"/>
                <w:tab w:val="clear" w:pos="1050"/>
                <w:tab w:val="clear" w:pos="8937"/>
              </w:tabs>
              <w:rPr>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31"/>
              <w:tabs>
                <w:tab w:val="right" w:leader="dot" w:pos="9231"/>
                <w:tab w:val="clear" w:pos="1050"/>
                <w:tab w:val="clear" w:pos="8937"/>
              </w:tabs>
              <w:rPr>
                <w:shd w:val="clear" w:color="auto" w:fill="FFFFFF"/>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exact"/>
          <w:jc w:val="center"/>
        </w:trPr>
        <w:tc>
          <w:tcPr>
            <w:tcW w:w="406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hd w:val="clear" w:color="auto" w:fill="FFFFFF"/>
              </w:rPr>
            </w:pPr>
            <w:r>
              <w:rPr>
                <w:rFonts w:hint="eastAsia"/>
                <w:sz w:val="24"/>
                <w:shd w:val="clear" w:color="auto" w:fill="FFFFFF"/>
              </w:rPr>
              <w:t>合计（元）</w:t>
            </w:r>
          </w:p>
        </w:tc>
        <w:tc>
          <w:tcPr>
            <w:tcW w:w="696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shd w:val="clear" w:color="auto" w:fill="FFFFFF"/>
              </w:rPr>
            </w:pPr>
            <w:r>
              <w:rPr>
                <w:rFonts w:hint="eastAsia" w:ascii="宋体" w:hAnsi="宋体"/>
                <w:sz w:val="24"/>
                <w:shd w:val="clear" w:color="auto" w:fill="FFFFFF"/>
              </w:rPr>
              <w:t>人民币（大写）：</w:t>
            </w:r>
            <w:r>
              <w:rPr>
                <w:rFonts w:ascii="宋体" w:hAnsi="宋体"/>
                <w:sz w:val="24"/>
                <w:shd w:val="clear" w:color="auto" w:fill="FFFFFF"/>
              </w:rPr>
              <w:t xml:space="preserve"> </w:t>
            </w:r>
          </w:p>
        </w:tc>
        <w:tc>
          <w:tcPr>
            <w:tcW w:w="357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hd w:val="clear" w:color="auto" w:fill="FFFFFF"/>
              </w:rPr>
            </w:pPr>
            <w:r>
              <w:rPr>
                <w:rFonts w:hint="eastAsia" w:ascii="宋体" w:hAnsi="宋体"/>
                <w:sz w:val="24"/>
                <w:shd w:val="clear" w:color="auto" w:fill="FFFFFF"/>
              </w:rPr>
              <w:t>¥：</w:t>
            </w:r>
          </w:p>
        </w:tc>
      </w:tr>
    </w:tbl>
    <w:p>
      <w:pPr>
        <w:ind w:left="420"/>
        <w:rPr>
          <w:rFonts w:ascii="宋体" w:hAnsi="宋体"/>
          <w:sz w:val="24"/>
          <w:shd w:val="clear" w:color="auto" w:fill="FFFFFF"/>
        </w:rPr>
      </w:pPr>
    </w:p>
    <w:p>
      <w:pPr>
        <w:rPr>
          <w:rFonts w:ascii="宋体" w:hAnsi="宋体"/>
          <w:shd w:val="clear" w:color="auto" w:fill="FFFFFF"/>
        </w:rPr>
      </w:pPr>
      <w:r>
        <w:rPr>
          <w:rFonts w:hint="eastAsia" w:ascii="宋体" w:hAnsi="宋体"/>
          <w:sz w:val="24"/>
          <w:shd w:val="clear" w:color="auto" w:fill="FFFFFF"/>
        </w:rPr>
        <w:t>供方：（加盖印章）</w:t>
      </w:r>
    </w:p>
    <w:p>
      <w:pPr>
        <w:rPr>
          <w:rFonts w:ascii="宋体" w:hAnsi="宋体"/>
          <w:shd w:val="clear" w:color="auto" w:fill="FFFFFF"/>
        </w:rPr>
      </w:pPr>
      <w:r>
        <w:rPr>
          <w:rFonts w:hint="eastAsia" w:ascii="宋体" w:hAnsi="宋体"/>
          <w:sz w:val="24"/>
          <w:shd w:val="clear" w:color="auto" w:fill="FFFFFF"/>
        </w:rPr>
        <w:t>授权代表：</w:t>
      </w:r>
    </w:p>
    <w:p>
      <w:pPr>
        <w:snapToGrid w:val="0"/>
        <w:rPr>
          <w:rFonts w:ascii="宋体" w:hAnsi="宋体"/>
          <w:sz w:val="24"/>
          <w:shd w:val="clear" w:color="auto" w:fill="FFFFFF"/>
        </w:rPr>
      </w:pPr>
      <w:r>
        <w:rPr>
          <w:rFonts w:hint="eastAsia" w:ascii="宋体" w:hAnsi="宋体"/>
          <w:sz w:val="24"/>
          <w:shd w:val="clear" w:color="auto" w:fill="FFFFFF"/>
        </w:rPr>
        <w:t xml:space="preserve">办公电话：                        </w:t>
      </w:r>
    </w:p>
    <w:p>
      <w:pPr>
        <w:snapToGrid w:val="0"/>
        <w:rPr>
          <w:rFonts w:ascii="宋体" w:hAnsi="宋体"/>
          <w:sz w:val="24"/>
          <w:shd w:val="clear" w:color="auto" w:fill="FFFFFF"/>
        </w:rPr>
      </w:pPr>
      <w:r>
        <w:rPr>
          <w:rFonts w:hint="eastAsia" w:ascii="宋体" w:hAnsi="宋体"/>
          <w:sz w:val="24"/>
          <w:shd w:val="clear" w:color="auto" w:fill="FFFFFF"/>
        </w:rPr>
        <w:t xml:space="preserve">移动电话： </w:t>
      </w:r>
    </w:p>
    <w:p>
      <w:pPr>
        <w:snapToGrid w:val="0"/>
        <w:ind w:firstLine="10800" w:firstLineChars="4500"/>
        <w:rPr>
          <w:rFonts w:ascii="宋体" w:hAnsi="宋体"/>
          <w:sz w:val="24"/>
          <w:shd w:val="clear" w:color="auto" w:fill="FFFFFF"/>
        </w:rPr>
        <w:sectPr>
          <w:headerReference r:id="rId20" w:type="default"/>
          <w:pgSz w:w="16838" w:h="11906" w:orient="landscape"/>
          <w:pgMar w:top="1134" w:right="851" w:bottom="1134" w:left="1134" w:header="851" w:footer="992" w:gutter="0"/>
          <w:cols w:space="720" w:num="1"/>
          <w:docGrid w:type="linesAndChars" w:linePitch="312" w:charSpace="0"/>
        </w:sectPr>
      </w:pPr>
      <w:r>
        <w:rPr>
          <w:rFonts w:hint="eastAsia" w:ascii="宋体" w:hAnsi="宋体"/>
          <w:sz w:val="24"/>
          <w:shd w:val="clear" w:color="auto" w:fill="FFFFFF"/>
        </w:rPr>
        <w:t>年    月    日</w:t>
      </w:r>
    </w:p>
    <w:p>
      <w:pPr>
        <w:tabs>
          <w:tab w:val="left" w:pos="900"/>
          <w:tab w:val="left" w:pos="1080"/>
        </w:tabs>
        <w:snapToGrid w:val="0"/>
        <w:spacing w:line="360" w:lineRule="auto"/>
        <w:rPr>
          <w:kern w:val="0"/>
          <w:sz w:val="18"/>
          <w:szCs w:val="18"/>
        </w:rPr>
      </w:pPr>
    </w:p>
    <w:p>
      <w:pPr>
        <w:spacing w:line="360" w:lineRule="auto"/>
        <w:jc w:val="center"/>
        <w:outlineLvl w:val="0"/>
        <w:rPr>
          <w:b/>
          <w:sz w:val="36"/>
          <w:szCs w:val="36"/>
        </w:rPr>
      </w:pPr>
      <w:bookmarkStart w:id="884" w:name="_Toc99301426"/>
      <w:r>
        <w:rPr>
          <w:b/>
          <w:sz w:val="36"/>
          <w:szCs w:val="36"/>
        </w:rPr>
        <w:t>第七章   投标文件格式</w:t>
      </w:r>
      <w:bookmarkEnd w:id="884"/>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sz w:val="24"/>
        </w:rPr>
      </w:pPr>
      <w:r>
        <w:rPr>
          <w:b/>
          <w:sz w:val="24"/>
        </w:rPr>
        <w:t>投标人编制文件须知</w:t>
      </w:r>
    </w:p>
    <w:p>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widowControl/>
        <w:jc w:val="left"/>
        <w:rPr>
          <w:sz w:val="24"/>
        </w:rPr>
      </w:pPr>
      <w:r>
        <w:rPr>
          <w:sz w:val="24"/>
        </w:rPr>
        <w:br w:type="page"/>
      </w:r>
    </w:p>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rPr>
          <w:b/>
          <w:sz w:val="24"/>
        </w:rPr>
      </w:pPr>
      <w:r>
        <w:rPr>
          <w:b/>
          <w:spacing w:val="20"/>
          <w:sz w:val="24"/>
        </w:rPr>
        <w:t>投标文件（资格证明文件）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w:t>
      </w:r>
      <w:r>
        <w:rPr>
          <w:rFonts w:hint="eastAsia"/>
          <w:b/>
          <w:spacing w:val="20"/>
          <w:sz w:val="32"/>
          <w:szCs w:val="32"/>
        </w:rPr>
        <w:t>/</w:t>
      </w:r>
      <w:r>
        <w:rPr>
          <w:b/>
          <w:spacing w:val="20"/>
          <w:sz w:val="32"/>
          <w:szCs w:val="32"/>
        </w:rPr>
        <w:t>包号：</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rPr>
          <w:b/>
        </w:rPr>
      </w:pPr>
      <w:r>
        <w:rPr>
          <w:b/>
          <w:spacing w:val="20"/>
          <w:sz w:val="32"/>
          <w:szCs w:val="32"/>
        </w:rPr>
        <w:br w:type="page"/>
      </w:r>
    </w:p>
    <w:p>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w:t>
      </w:r>
    </w:p>
    <w:p>
      <w:pPr>
        <w:spacing w:line="360" w:lineRule="auto"/>
        <w:outlineLvl w:val="2"/>
        <w:rPr>
          <w:color w:val="000000"/>
          <w:sz w:val="24"/>
          <w:szCs w:val="20"/>
        </w:rPr>
      </w:pPr>
      <w:r>
        <w:rPr>
          <w:color w:val="000000"/>
          <w:sz w:val="24"/>
          <w:szCs w:val="20"/>
        </w:rPr>
        <w:t>1-1营业执照等证明文件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5"/>
        <w:rPr>
          <w:rFonts w:ascii="Times New Roman"/>
          <w:b w:val="0"/>
          <w:bCs/>
          <w:color w:val="000000"/>
          <w:u w:val="none"/>
        </w:rPr>
      </w:pPr>
      <w:r>
        <w:rPr>
          <w:rFonts w:ascii="Times New Roman"/>
          <w:b w:val="0"/>
          <w:color w:val="000000"/>
          <w:u w:val="none"/>
        </w:rPr>
        <w:t>1-2 投标人资格声明书（实质性格式）</w:t>
      </w:r>
    </w:p>
    <w:p>
      <w:pPr>
        <w:jc w:val="center"/>
        <w:rPr>
          <w:b/>
          <w:color w:val="000000"/>
          <w:sz w:val="36"/>
          <w:szCs w:val="36"/>
        </w:rPr>
      </w:pPr>
      <w:r>
        <w:rPr>
          <w:rFonts w:hint="eastAsia"/>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18"/>
        </w:numPr>
        <w:spacing w:line="360" w:lineRule="auto"/>
        <w:ind w:left="1134"/>
        <w:rPr>
          <w:sz w:val="24"/>
          <w:szCs w:val="22"/>
        </w:rPr>
      </w:pPr>
      <w:r>
        <w:rPr>
          <w:sz w:val="24"/>
          <w:szCs w:val="22"/>
        </w:rPr>
        <w:t>具有良好的商业信誉和健全的财务会计制度；</w:t>
      </w:r>
    </w:p>
    <w:p>
      <w:pPr>
        <w:numPr>
          <w:ilvl w:val="0"/>
          <w:numId w:val="18"/>
        </w:numPr>
        <w:spacing w:line="360" w:lineRule="auto"/>
        <w:ind w:left="1134"/>
        <w:rPr>
          <w:sz w:val="24"/>
          <w:szCs w:val="22"/>
        </w:rPr>
      </w:pPr>
      <w:r>
        <w:rPr>
          <w:sz w:val="24"/>
          <w:szCs w:val="22"/>
        </w:rPr>
        <w:t>具有履行合同所必需的设备和专业技术能力；</w:t>
      </w:r>
    </w:p>
    <w:p>
      <w:pPr>
        <w:numPr>
          <w:ilvl w:val="0"/>
          <w:numId w:val="18"/>
        </w:numPr>
        <w:spacing w:line="360" w:lineRule="auto"/>
        <w:ind w:left="1134"/>
        <w:rPr>
          <w:sz w:val="24"/>
          <w:szCs w:val="22"/>
        </w:rPr>
      </w:pPr>
      <w:r>
        <w:rPr>
          <w:sz w:val="24"/>
          <w:szCs w:val="22"/>
        </w:rPr>
        <w:t>有依法缴纳税收和社会保障资金的良好记录；</w:t>
      </w:r>
    </w:p>
    <w:p>
      <w:pPr>
        <w:numPr>
          <w:ilvl w:val="0"/>
          <w:numId w:val="1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8"/>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tabs>
          <w:tab w:val="left" w:pos="5580"/>
        </w:tabs>
        <w:spacing w:line="360" w:lineRule="auto"/>
        <w:rPr>
          <w:sz w:val="24"/>
        </w:rPr>
        <w:sectPr>
          <w:headerReference r:id="rId21" w:type="default"/>
          <w:footerReference r:id="rId22" w:type="default"/>
          <w:pgSz w:w="11905" w:h="16838"/>
          <w:pgMar w:top="1417" w:right="1134" w:bottom="1417" w:left="1701" w:header="851" w:footer="850" w:gutter="0"/>
          <w:cols w:space="0" w:num="1"/>
          <w:docGrid w:linePitch="462" w:charSpace="0"/>
        </w:sectPr>
      </w:pPr>
    </w:p>
    <w:p>
      <w:pPr>
        <w:spacing w:line="360" w:lineRule="auto"/>
        <w:outlineLvl w:val="2"/>
        <w:rPr>
          <w:color w:val="000000"/>
          <w:sz w:val="24"/>
          <w:szCs w:val="20"/>
        </w:rPr>
      </w:pPr>
      <w:r>
        <w:rPr>
          <w:color w:val="000000"/>
          <w:sz w:val="24"/>
          <w:szCs w:val="20"/>
        </w:rPr>
        <w:t>2 落实政府采购政策需满足的资格要求（如有）</w:t>
      </w:r>
    </w:p>
    <w:p>
      <w:pPr>
        <w:widowControl/>
        <w:jc w:val="left"/>
        <w:rPr>
          <w:sz w:val="24"/>
        </w:rPr>
      </w:pPr>
    </w:p>
    <w:p>
      <w:pPr>
        <w:widowControl/>
        <w:jc w:val="left"/>
        <w:rPr>
          <w:sz w:val="24"/>
        </w:rPr>
      </w:pPr>
      <w:r>
        <w:rPr>
          <w:sz w:val="24"/>
        </w:rPr>
        <w:br w:type="page"/>
      </w:r>
    </w:p>
    <w:p>
      <w:pPr>
        <w:spacing w:line="360" w:lineRule="auto"/>
        <w:outlineLvl w:val="2"/>
        <w:rPr>
          <w:sz w:val="24"/>
        </w:rPr>
      </w:pPr>
      <w:r>
        <w:rPr>
          <w:color w:val="000000"/>
          <w:sz w:val="24"/>
          <w:szCs w:val="20"/>
        </w:rPr>
        <w:t xml:space="preserve">3 </w:t>
      </w:r>
      <w:r>
        <w:rPr>
          <w:sz w:val="24"/>
        </w:rPr>
        <w:t>本项目的特定资格要求</w:t>
      </w:r>
      <w:r>
        <w:rPr>
          <w:color w:val="000000"/>
          <w:sz w:val="24"/>
          <w:szCs w:val="20"/>
        </w:rPr>
        <w:t>（如有）</w:t>
      </w:r>
    </w:p>
    <w:p>
      <w:pPr>
        <w:widowControl/>
        <w:jc w:val="left"/>
        <w:rPr>
          <w:sz w:val="24"/>
          <w:szCs w:val="20"/>
        </w:rPr>
      </w:pPr>
      <w:r>
        <w:rPr>
          <w:sz w:val="24"/>
          <w:szCs w:val="20"/>
        </w:rPr>
        <w:br w:type="page"/>
      </w:r>
    </w:p>
    <w:p>
      <w:pPr>
        <w:spacing w:line="360" w:lineRule="auto"/>
        <w:outlineLvl w:val="2"/>
        <w:rPr>
          <w:sz w:val="24"/>
          <w:szCs w:val="20"/>
        </w:rPr>
      </w:pPr>
      <w:r>
        <w:rPr>
          <w:sz w:val="24"/>
          <w:szCs w:val="20"/>
        </w:rPr>
        <w:t xml:space="preserve">4 </w:t>
      </w:r>
      <w:r>
        <w:rPr>
          <w:color w:val="000000"/>
          <w:sz w:val="24"/>
          <w:szCs w:val="20"/>
        </w:rPr>
        <w:t>投标保证金</w:t>
      </w:r>
      <w:r>
        <w:rPr>
          <w:rFonts w:hint="eastAsia"/>
          <w:color w:val="000000"/>
          <w:sz w:val="24"/>
          <w:szCs w:val="20"/>
        </w:rPr>
        <w:t>凭证/</w:t>
      </w:r>
      <w:r>
        <w:rPr>
          <w:color w:val="000000"/>
          <w:sz w:val="24"/>
          <w:szCs w:val="20"/>
        </w:rPr>
        <w:t>交款单据</w:t>
      </w:r>
      <w:r>
        <w:rPr>
          <w:rFonts w:hint="eastAsia"/>
          <w:color w:val="000000"/>
          <w:sz w:val="24"/>
          <w:szCs w:val="20"/>
        </w:rPr>
        <w:t>电子件</w:t>
      </w:r>
    </w:p>
    <w:p>
      <w:pPr>
        <w:spacing w:line="360" w:lineRule="auto"/>
        <w:rPr>
          <w:sz w:val="24"/>
          <w:szCs w:val="20"/>
        </w:rPr>
      </w:pPr>
    </w:p>
    <w:p>
      <w:pPr>
        <w:spacing w:line="360" w:lineRule="auto"/>
        <w:rPr>
          <w:sz w:val="24"/>
          <w:szCs w:val="20"/>
        </w:rPr>
      </w:pPr>
    </w:p>
    <w:p>
      <w:pPr>
        <w:widowControl/>
        <w:jc w:val="left"/>
        <w:rPr>
          <w:kern w:val="0"/>
          <w:sz w:val="24"/>
          <w:szCs w:val="20"/>
        </w:rPr>
      </w:pPr>
      <w:r>
        <w:rPr>
          <w:sz w:val="24"/>
          <w:szCs w:val="20"/>
        </w:rPr>
        <w:br w:type="page"/>
      </w:r>
    </w:p>
    <w:p>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pPr>
        <w:rPr>
          <w:b/>
          <w:spacing w:val="20"/>
          <w:szCs w:val="21"/>
        </w:rPr>
      </w:pPr>
    </w:p>
    <w:p>
      <w:pPr>
        <w:rPr>
          <w:b/>
          <w:sz w:val="24"/>
        </w:rPr>
      </w:pPr>
      <w:r>
        <w:rPr>
          <w:b/>
          <w:spacing w:val="20"/>
          <w:sz w:val="24"/>
        </w:rPr>
        <w:t>投标文件（商务技术文件）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w:t>
      </w:r>
      <w:r>
        <w:rPr>
          <w:rFonts w:hint="eastAsia"/>
          <w:b/>
          <w:spacing w:val="20"/>
          <w:sz w:val="32"/>
          <w:szCs w:val="32"/>
        </w:rPr>
        <w:t>/</w:t>
      </w:r>
      <w:r>
        <w:rPr>
          <w:b/>
          <w:spacing w:val="20"/>
          <w:sz w:val="32"/>
          <w:szCs w:val="32"/>
        </w:rPr>
        <w:t>包号：</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spacing w:line="360" w:lineRule="auto"/>
        <w:outlineLvl w:val="2"/>
        <w:rPr>
          <w:color w:val="000000"/>
          <w:sz w:val="24"/>
          <w:szCs w:val="20"/>
        </w:rPr>
      </w:pPr>
      <w:bookmarkStart w:id="885" w:name="_Hlt520273711"/>
      <w:bookmarkEnd w:id="885"/>
      <w:bookmarkStart w:id="886" w:name="_Hlt520274065"/>
      <w:bookmarkEnd w:id="886"/>
      <w:bookmarkStart w:id="887" w:name="_Hlt520350918"/>
      <w:bookmarkEnd w:id="887"/>
      <w:bookmarkStart w:id="888" w:name="_Hlt520343392"/>
      <w:bookmarkEnd w:id="888"/>
      <w:bookmarkStart w:id="889" w:name="_Hlt520274393"/>
      <w:bookmarkEnd w:id="889"/>
      <w:bookmarkStart w:id="890" w:name="_Hlt520274121"/>
      <w:bookmarkEnd w:id="890"/>
      <w:bookmarkStart w:id="891" w:name="_Hlt520274407"/>
      <w:bookmarkEnd w:id="891"/>
      <w:bookmarkStart w:id="892" w:name="_Hlt520343000"/>
      <w:bookmarkEnd w:id="892"/>
      <w:bookmarkStart w:id="893" w:name="_Hlt520355504"/>
      <w:bookmarkEnd w:id="893"/>
      <w:bookmarkStart w:id="894" w:name="_Hlt520271212"/>
      <w:bookmarkEnd w:id="894"/>
      <w:bookmarkStart w:id="895" w:name="_Toc480942349"/>
      <w:bookmarkStart w:id="896" w:name="_Ref467988698"/>
      <w:bookmarkStart w:id="897" w:name="_Toc150480794"/>
      <w:bookmarkStart w:id="898" w:name="_Toc520356217"/>
      <w:bookmarkStart w:id="899" w:name="_Toc195842921"/>
      <w:bookmarkStart w:id="900" w:name="_Toc226337252"/>
      <w:bookmarkStart w:id="901" w:name="_Toc142311058"/>
      <w:bookmarkStart w:id="902" w:name="_Toc226965829"/>
      <w:bookmarkStart w:id="903" w:name="_Toc226965746"/>
      <w:bookmarkStart w:id="904" w:name="_Toc150774761"/>
      <w:bookmarkStart w:id="905" w:name="_Toc127151556"/>
      <w:bookmarkStart w:id="906" w:name="_Toc226309800"/>
      <w:r>
        <w:rPr>
          <w:color w:val="000000"/>
          <w:sz w:val="24"/>
        </w:rPr>
        <w:t>1</w:t>
      </w:r>
      <w:r>
        <w:rPr>
          <w:color w:val="000000"/>
          <w:sz w:val="24"/>
          <w:szCs w:val="20"/>
        </w:rPr>
        <w:t xml:space="preserve">  </w:t>
      </w:r>
      <w:r>
        <w:rPr>
          <w:color w:val="000000"/>
          <w:sz w:val="24"/>
        </w:rPr>
        <w:t>投标</w:t>
      </w:r>
      <w:bookmarkEnd w:id="895"/>
      <w:bookmarkEnd w:id="896"/>
      <w:r>
        <w:rPr>
          <w:color w:val="000000"/>
          <w:sz w:val="24"/>
        </w:rPr>
        <w:t>书</w:t>
      </w:r>
      <w:bookmarkEnd w:id="897"/>
      <w:bookmarkEnd w:id="898"/>
      <w:bookmarkEnd w:id="899"/>
      <w:bookmarkEnd w:id="900"/>
      <w:bookmarkEnd w:id="901"/>
      <w:bookmarkEnd w:id="902"/>
      <w:bookmarkEnd w:id="903"/>
      <w:bookmarkEnd w:id="904"/>
      <w:bookmarkEnd w:id="905"/>
      <w:bookmarkEnd w:id="906"/>
      <w:r>
        <w:rPr>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w:t>
      </w:r>
      <w:r>
        <w:rPr>
          <w:rFonts w:hint="eastAsia"/>
          <w:color w:val="000000"/>
          <w:sz w:val="24"/>
          <w:szCs w:val="20"/>
        </w:rPr>
        <w:t>/</w:t>
      </w:r>
      <w:r>
        <w:rPr>
          <w:color w:val="000000"/>
          <w:sz w:val="24"/>
          <w:szCs w:val="20"/>
        </w:rPr>
        <w:t>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907" w:name="_Hlt520355938"/>
      <w:bookmarkEnd w:id="907"/>
      <w:bookmarkStart w:id="908" w:name="_Hlt520356243"/>
      <w:bookmarkEnd w:id="908"/>
      <w:bookmarkStart w:id="909" w:name="_Toc305158825"/>
      <w:bookmarkStart w:id="910" w:name="_Toc226337253"/>
      <w:bookmarkStart w:id="911" w:name="_Toc150480795"/>
      <w:bookmarkStart w:id="912" w:name="_Toc195842922"/>
      <w:bookmarkStart w:id="913" w:name="_Toc226309801"/>
      <w:bookmarkStart w:id="914" w:name="_Toc226965747"/>
      <w:bookmarkStart w:id="915" w:name="_Toc142311059"/>
      <w:bookmarkStart w:id="916" w:name="_Toc305158899"/>
      <w:bookmarkStart w:id="917" w:name="_Toc150774762"/>
      <w:bookmarkStart w:id="918" w:name="_Toc127151557"/>
      <w:bookmarkStart w:id="919" w:name="_Toc480942350"/>
      <w:bookmarkStart w:id="920" w:name="_Toc520356218"/>
      <w:bookmarkStart w:id="921" w:name="_Toc226965830"/>
      <w:bookmarkStart w:id="922" w:name="_Ref467988705"/>
      <w:bookmarkStart w:id="923" w:name="_Toc264969247"/>
      <w:bookmarkStart w:id="924" w:name="_Toc265228395"/>
      <w:r>
        <w:rPr>
          <w:color w:val="000000"/>
          <w:sz w:val="24"/>
        </w:rPr>
        <w:br w:type="page"/>
      </w:r>
    </w:p>
    <w:p>
      <w:pPr>
        <w:spacing w:line="360" w:lineRule="auto"/>
        <w:outlineLvl w:val="2"/>
        <w:rPr>
          <w:color w:val="000000"/>
          <w:sz w:val="24"/>
        </w:rPr>
      </w:pPr>
      <w:r>
        <w:rPr>
          <w:color w:val="000000"/>
          <w:sz w:val="24"/>
        </w:rPr>
        <w:t>2  授权委托书（实质性格式）</w:t>
      </w:r>
    </w:p>
    <w:p>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pPr>
        <w:spacing w:line="360" w:lineRule="auto"/>
        <w:ind w:firstLine="420"/>
        <w:rPr>
          <w:rFonts w:ascii="宋体" w:hAnsi="宋体"/>
          <w:color w:val="000000"/>
          <w:sz w:val="24"/>
          <w:szCs w:val="20"/>
        </w:rPr>
      </w:pPr>
    </w:p>
    <w:p>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投标文件和</w:t>
      </w:r>
      <w:r>
        <w:rPr>
          <w:rFonts w:ascii="宋体" w:hAnsi="宋体"/>
          <w:color w:val="000000"/>
          <w:sz w:val="24"/>
          <w:szCs w:val="20"/>
        </w:rPr>
        <w:t>处理有关事宜，其法律后果由我方承担。</w:t>
      </w:r>
    </w:p>
    <w:p>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spacing w:line="360" w:lineRule="auto"/>
        <w:rPr>
          <w:rFonts w:ascii="宋体" w:hAnsi="宋体"/>
          <w:color w:val="000000"/>
          <w:sz w:val="24"/>
          <w:szCs w:val="20"/>
        </w:rPr>
      </w:pPr>
      <w:r>
        <w:rPr>
          <w:rFonts w:ascii="宋体" w:hAnsi="宋体"/>
          <w:color w:val="000000"/>
          <w:sz w:val="24"/>
          <w:szCs w:val="20"/>
        </w:rPr>
        <w:t>法定代表人（单位负责人）（</w:t>
      </w:r>
      <w:r>
        <w:rPr>
          <w:rFonts w:hint="eastAsia" w:ascii="宋体" w:hAnsi="宋体"/>
          <w:color w:val="000000"/>
          <w:sz w:val="24"/>
          <w:szCs w:val="20"/>
        </w:rPr>
        <w:t>签字或盖章）</w:t>
      </w:r>
      <w:r>
        <w:rPr>
          <w:rFonts w:ascii="宋体" w:hAnsi="宋体"/>
          <w:color w:val="000000"/>
          <w:sz w:val="24"/>
          <w:szCs w:val="20"/>
        </w:rPr>
        <w:t>：</w:t>
      </w:r>
      <w:r>
        <w:rPr>
          <w:rFonts w:ascii="宋体" w:hAnsi="宋体"/>
          <w:color w:val="000000"/>
          <w:sz w:val="24"/>
          <w:lang w:val="zh-CN"/>
        </w:rPr>
        <w:t>________________</w:t>
      </w: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tabs>
          <w:tab w:val="left" w:pos="5580"/>
        </w:tabs>
        <w:spacing w:line="360" w:lineRule="auto"/>
        <w:ind w:firstLine="480" w:firstLineChars="200"/>
        <w:rPr>
          <w:rFonts w:ascii="宋体" w:hAnsi="宋体"/>
          <w:color w:val="000000"/>
          <w:sz w:val="24"/>
          <w:szCs w:val="20"/>
        </w:rPr>
      </w:pPr>
    </w:p>
    <w:p>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hint="eastAsia" w:ascii="宋体" w:hAnsi="宋体"/>
          <w:b/>
          <w:color w:val="000000"/>
          <w:sz w:val="24"/>
          <w:szCs w:val="20"/>
        </w:rPr>
        <w:t>复印件</w:t>
      </w:r>
      <w:r>
        <w:rPr>
          <w:rFonts w:ascii="宋体" w:hAnsi="宋体"/>
          <w:color w:val="000000"/>
          <w:sz w:val="24"/>
          <w:szCs w:val="20"/>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hint="eastAsia" w:ascii="宋体" w:hAnsi="宋体"/>
          <w:color w:val="000000"/>
          <w:sz w:val="24"/>
          <w:szCs w:val="20"/>
        </w:rPr>
        <w:t>复印件</w:t>
      </w:r>
      <w:r>
        <w:rPr>
          <w:rFonts w:ascii="宋体" w:hAnsi="宋体"/>
          <w:color w:val="000000"/>
          <w:sz w:val="24"/>
          <w:szCs w:val="20"/>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（实质性格式）。</w:t>
      </w:r>
    </w:p>
    <w:p>
      <w:pPr>
        <w:tabs>
          <w:tab w:val="left" w:pos="5580"/>
        </w:tabs>
        <w:spacing w:line="360" w:lineRule="auto"/>
        <w:jc w:val="left"/>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p>
    <w:p>
      <w:pPr>
        <w:tabs>
          <w:tab w:val="left" w:pos="5580"/>
        </w:tabs>
        <w:spacing w:line="360" w:lineRule="auto"/>
        <w:jc w:val="left"/>
        <w:rPr>
          <w:rFonts w:ascii="宋体" w:hAnsi="宋体"/>
          <w:color w:val="000000"/>
          <w:sz w:val="24"/>
          <w:szCs w:val="20"/>
        </w:rPr>
      </w:pPr>
    </w:p>
    <w:p>
      <w:pPr>
        <w:spacing w:line="360" w:lineRule="exact"/>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ascii="宋体" w:hAnsi="宋体"/>
          <w:color w:val="000000"/>
          <w:sz w:val="24"/>
        </w:rPr>
      </w:pPr>
    </w:p>
    <w:p>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pPr>
        <w:pStyle w:val="2"/>
        <w:tabs>
          <w:tab w:val="left" w:pos="2412"/>
          <w:tab w:val="left" w:pos="3883"/>
          <w:tab w:val="left" w:pos="5352"/>
          <w:tab w:val="left" w:pos="6821"/>
        </w:tabs>
        <w:kinsoku w:val="0"/>
        <w:overflowPunct w:val="0"/>
        <w:spacing w:line="335" w:lineRule="exact"/>
        <w:ind w:firstLine="480" w:firstLineChars="200"/>
      </w:pPr>
      <w:r>
        <w:rPr>
          <w:rFonts w:hint="eastAsia"/>
        </w:rPr>
        <w:t>兹证明，</w:t>
      </w:r>
    </w:p>
    <w:p>
      <w:pPr>
        <w:pStyle w:val="2"/>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pPr>
        <w:pStyle w:val="2"/>
        <w:tabs>
          <w:tab w:val="left" w:pos="2412"/>
          <w:tab w:val="left" w:pos="3883"/>
          <w:tab w:val="left" w:pos="5352"/>
          <w:tab w:val="left" w:pos="6821"/>
        </w:tabs>
        <w:kinsoku w:val="0"/>
        <w:overflowPunct w:val="0"/>
        <w:spacing w:line="335" w:lineRule="exact"/>
      </w:pPr>
    </w:p>
    <w:p>
      <w:pPr>
        <w:pStyle w:val="2"/>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pPr>
        <w:pStyle w:val="2"/>
        <w:tabs>
          <w:tab w:val="left" w:pos="2412"/>
          <w:tab w:val="left" w:pos="3883"/>
          <w:tab w:val="left" w:pos="5352"/>
          <w:tab w:val="left" w:pos="6821"/>
        </w:tabs>
        <w:kinsoku w:val="0"/>
        <w:overflowPunct w:val="0"/>
        <w:spacing w:line="335" w:lineRule="exact"/>
      </w:pPr>
    </w:p>
    <w:p>
      <w:pPr>
        <w:pStyle w:val="2"/>
        <w:tabs>
          <w:tab w:val="left" w:pos="2412"/>
          <w:tab w:val="left" w:pos="3883"/>
          <w:tab w:val="left" w:pos="5352"/>
          <w:tab w:val="left" w:pos="6821"/>
        </w:tabs>
        <w:kinsoku w:val="0"/>
        <w:overflowPunct w:val="0"/>
        <w:spacing w:line="335" w:lineRule="exact"/>
      </w:pPr>
    </w:p>
    <w:p>
      <w:pPr>
        <w:pStyle w:val="2"/>
        <w:tabs>
          <w:tab w:val="left" w:pos="2412"/>
          <w:tab w:val="left" w:pos="3883"/>
          <w:tab w:val="left" w:pos="5352"/>
          <w:tab w:val="left" w:pos="6821"/>
        </w:tabs>
        <w:kinsoku w:val="0"/>
        <w:overflowPunct w:val="0"/>
        <w:spacing w:line="335" w:lineRule="exact"/>
      </w:pPr>
    </w:p>
    <w:p>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pStyle w:val="2"/>
        <w:kinsoku w:val="0"/>
        <w:overflowPunct w:val="0"/>
        <w:spacing w:line="583" w:lineRule="auto"/>
        <w:ind w:right="4305"/>
        <w:rPr>
          <w:spacing w:val="-3"/>
        </w:rPr>
      </w:pPr>
    </w:p>
    <w:p>
      <w:pPr>
        <w:pStyle w:val="2"/>
        <w:kinsoku w:val="0"/>
        <w:overflowPunct w:val="0"/>
        <w:spacing w:line="583" w:lineRule="auto"/>
        <w:ind w:right="4305"/>
        <w:rPr>
          <w:spacing w:val="-3"/>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pStyle w:val="2"/>
        <w:kinsoku w:val="0"/>
        <w:overflowPunct w:val="0"/>
        <w:spacing w:line="583" w:lineRule="auto"/>
        <w:ind w:right="95"/>
        <w:rPr>
          <w:spacing w:val="-3"/>
        </w:rPr>
      </w:pPr>
      <w:r>
        <w:rPr>
          <w:rFonts w:hint="eastAsia"/>
          <w:spacing w:val="-3"/>
        </w:rPr>
        <w:t>法定代表人（</w:t>
      </w:r>
      <w:r>
        <w:t>单位负责人</w:t>
      </w:r>
      <w:r>
        <w:rPr>
          <w:rFonts w:hint="eastAsia"/>
          <w:spacing w:val="-3"/>
        </w:rPr>
        <w:t>）（签字或盖章）：_</w:t>
      </w:r>
      <w:r>
        <w:rPr>
          <w:spacing w:val="-3"/>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widowControl/>
        <w:jc w:val="left"/>
        <w:rPr>
          <w:rFonts w:ascii="宋体" w:hAnsi="宋体"/>
          <w:i/>
          <w:color w:val="000000"/>
          <w:sz w:val="24"/>
          <w:szCs w:val="20"/>
          <w:u w:val="single"/>
        </w:rPr>
      </w:pP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3  开标一览表</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Pr>
          <w:color w:val="000000"/>
          <w:sz w:val="24"/>
          <w:szCs w:val="20"/>
        </w:rPr>
        <w:t>（实质性格式）</w:t>
      </w:r>
    </w:p>
    <w:p>
      <w:pPr>
        <w:spacing w:line="360" w:lineRule="exact"/>
        <w:jc w:val="center"/>
        <w:rPr>
          <w:b/>
          <w:color w:val="000000"/>
          <w:sz w:val="36"/>
          <w:szCs w:val="36"/>
        </w:rPr>
      </w:pPr>
      <w:bookmarkStart w:id="925" w:name="_Toc265228396"/>
      <w:bookmarkStart w:id="926" w:name="_Toc264969248"/>
      <w:bookmarkStart w:id="927" w:name="_Toc164608672"/>
      <w:bookmarkStart w:id="928" w:name="_Toc195842923"/>
      <w:bookmarkStart w:id="929" w:name="_Toc226965748"/>
      <w:bookmarkStart w:id="930" w:name="_Toc164608827"/>
      <w:bookmarkStart w:id="931" w:name="_Toc305158826"/>
      <w:bookmarkStart w:id="932" w:name="_Toc226309802"/>
      <w:bookmarkStart w:id="933" w:name="_Toc305158900"/>
      <w:bookmarkStart w:id="934" w:name="_Toc226337254"/>
      <w:bookmarkStart w:id="935" w:name="_Toc226965831"/>
      <w:r>
        <w:rPr>
          <w:rFonts w:hint="eastAsia"/>
          <w:b/>
          <w:color w:val="000000"/>
          <w:sz w:val="36"/>
          <w:szCs w:val="36"/>
        </w:rPr>
        <w:t>开标一览表</w:t>
      </w:r>
      <w:bookmarkEnd w:id="925"/>
      <w:bookmarkEnd w:id="926"/>
      <w:bookmarkEnd w:id="927"/>
      <w:bookmarkEnd w:id="928"/>
      <w:bookmarkEnd w:id="929"/>
      <w:bookmarkEnd w:id="930"/>
      <w:bookmarkEnd w:id="931"/>
      <w:bookmarkEnd w:id="932"/>
      <w:bookmarkEnd w:id="933"/>
      <w:bookmarkEnd w:id="934"/>
      <w:bookmarkEnd w:id="935"/>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w:t>
      </w:r>
      <w:r>
        <w:rPr>
          <w:rFonts w:hint="eastAsia"/>
          <w:color w:val="000000"/>
          <w:sz w:val="24"/>
        </w:rPr>
        <w:t>/</w:t>
      </w:r>
      <w:r>
        <w:rPr>
          <w:color w:val="000000"/>
          <w:sz w:val="24"/>
        </w:rPr>
        <w:t>包号</w:t>
      </w:r>
      <w:r>
        <w:rPr>
          <w:rFonts w:hint="eastAsia"/>
          <w:color w:val="000000"/>
          <w:sz w:val="24"/>
        </w:rPr>
        <w:t>：</w:t>
      </w:r>
      <w:r>
        <w:rPr>
          <w:color w:val="000000"/>
          <w:sz w:val="24"/>
        </w:rPr>
        <w:t>_____________________ 项目名称：____________</w:t>
      </w:r>
    </w:p>
    <w:tbl>
      <w:tblPr>
        <w:tblStyle w:val="43"/>
        <w:tblW w:w="47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17"/>
        <w:gridCol w:w="1360"/>
        <w:gridCol w:w="1481"/>
        <w:gridCol w:w="1090"/>
        <w:gridCol w:w="1174"/>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620" w:type="pct"/>
            <w:vAlign w:val="center"/>
          </w:tcPr>
          <w:p>
            <w:pPr>
              <w:tabs>
                <w:tab w:val="left" w:pos="5580"/>
              </w:tabs>
              <w:jc w:val="center"/>
              <w:rPr>
                <w:b/>
                <w:sz w:val="24"/>
              </w:rPr>
            </w:pPr>
            <w:r>
              <w:rPr>
                <w:b/>
                <w:sz w:val="24"/>
              </w:rPr>
              <w:t>投标人名称</w:t>
            </w:r>
          </w:p>
        </w:tc>
        <w:tc>
          <w:tcPr>
            <w:tcW w:w="1634" w:type="pct"/>
            <w:gridSpan w:val="2"/>
            <w:vAlign w:val="center"/>
          </w:tcPr>
          <w:p>
            <w:pPr>
              <w:tabs>
                <w:tab w:val="left" w:pos="5580"/>
              </w:tabs>
              <w:jc w:val="center"/>
              <w:rPr>
                <w:b/>
                <w:sz w:val="24"/>
              </w:rPr>
            </w:pPr>
            <w:r>
              <w:rPr>
                <w:b/>
                <w:sz w:val="24"/>
              </w:rPr>
              <w:t>投标报价</w:t>
            </w:r>
          </w:p>
        </w:tc>
        <w:tc>
          <w:tcPr>
            <w:tcW w:w="627" w:type="pct"/>
            <w:vAlign w:val="center"/>
          </w:tcPr>
          <w:p>
            <w:pPr>
              <w:tabs>
                <w:tab w:val="left" w:pos="5580"/>
              </w:tabs>
              <w:jc w:val="center"/>
              <w:rPr>
                <w:b/>
                <w:sz w:val="24"/>
              </w:rPr>
            </w:pPr>
            <w:r>
              <w:rPr>
                <w:rFonts w:hint="eastAsia"/>
                <w:b/>
                <w:sz w:val="24"/>
              </w:rPr>
              <w:t>投标保证金（元）</w:t>
            </w:r>
          </w:p>
        </w:tc>
        <w:tc>
          <w:tcPr>
            <w:tcW w:w="675" w:type="pct"/>
            <w:vAlign w:val="center"/>
          </w:tcPr>
          <w:p>
            <w:pPr>
              <w:tabs>
                <w:tab w:val="left" w:pos="5580"/>
              </w:tabs>
              <w:jc w:val="center"/>
              <w:rPr>
                <w:b/>
                <w:sz w:val="24"/>
              </w:rPr>
            </w:pPr>
            <w:r>
              <w:rPr>
                <w:rFonts w:hint="eastAsia"/>
                <w:b/>
                <w:sz w:val="24"/>
              </w:rPr>
              <w:t>交货期</w:t>
            </w:r>
          </w:p>
        </w:tc>
        <w:tc>
          <w:tcPr>
            <w:tcW w:w="442" w:type="pct"/>
            <w:vAlign w:val="center"/>
          </w:tcPr>
          <w:p>
            <w:pPr>
              <w:tabs>
                <w:tab w:val="left" w:pos="5580"/>
              </w:tabs>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20" w:type="pct"/>
            <w:vMerge w:val="restart"/>
            <w:vAlign w:val="center"/>
          </w:tcPr>
          <w:p>
            <w:pPr>
              <w:tabs>
                <w:tab w:val="left" w:pos="5580"/>
              </w:tabs>
              <w:jc w:val="center"/>
              <w:rPr>
                <w:sz w:val="24"/>
              </w:rPr>
            </w:pPr>
          </w:p>
        </w:tc>
        <w:tc>
          <w:tcPr>
            <w:tcW w:w="782" w:type="pct"/>
            <w:vAlign w:val="center"/>
          </w:tcPr>
          <w:p>
            <w:pPr>
              <w:tabs>
                <w:tab w:val="left" w:pos="5580"/>
              </w:tabs>
              <w:jc w:val="center"/>
              <w:rPr>
                <w:sz w:val="24"/>
              </w:rPr>
            </w:pPr>
            <w:r>
              <w:rPr>
                <w:rFonts w:hint="eastAsia"/>
                <w:sz w:val="24"/>
              </w:rPr>
              <w:t>大写</w:t>
            </w:r>
          </w:p>
        </w:tc>
        <w:tc>
          <w:tcPr>
            <w:tcW w:w="852" w:type="pct"/>
            <w:vAlign w:val="center"/>
          </w:tcPr>
          <w:p>
            <w:pPr>
              <w:tabs>
                <w:tab w:val="left" w:pos="5580"/>
              </w:tabs>
              <w:jc w:val="center"/>
              <w:rPr>
                <w:sz w:val="24"/>
              </w:rPr>
            </w:pPr>
            <w:r>
              <w:rPr>
                <w:rFonts w:hint="eastAsia"/>
                <w:sz w:val="24"/>
              </w:rPr>
              <w:t>小写</w:t>
            </w:r>
          </w:p>
        </w:tc>
        <w:tc>
          <w:tcPr>
            <w:tcW w:w="627" w:type="pct"/>
            <w:vMerge w:val="restart"/>
            <w:vAlign w:val="center"/>
          </w:tcPr>
          <w:p>
            <w:pPr>
              <w:tabs>
                <w:tab w:val="left" w:pos="5580"/>
              </w:tabs>
              <w:jc w:val="center"/>
              <w:rPr>
                <w:sz w:val="24"/>
              </w:rPr>
            </w:pPr>
          </w:p>
        </w:tc>
        <w:tc>
          <w:tcPr>
            <w:tcW w:w="675" w:type="pct"/>
            <w:vMerge w:val="restart"/>
            <w:vAlign w:val="center"/>
          </w:tcPr>
          <w:p>
            <w:pPr>
              <w:tabs>
                <w:tab w:val="left" w:pos="5580"/>
              </w:tabs>
              <w:jc w:val="center"/>
              <w:rPr>
                <w:sz w:val="24"/>
              </w:rPr>
            </w:pPr>
          </w:p>
        </w:tc>
        <w:tc>
          <w:tcPr>
            <w:tcW w:w="442" w:type="pct"/>
            <w:vMerge w:val="restart"/>
            <w:vAlign w:val="center"/>
          </w:tcPr>
          <w:p>
            <w:pPr>
              <w:tabs>
                <w:tab w:val="left" w:pos="5580"/>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1620" w:type="pct"/>
            <w:vMerge w:val="continue"/>
            <w:vAlign w:val="center"/>
          </w:tcPr>
          <w:p>
            <w:pPr>
              <w:tabs>
                <w:tab w:val="left" w:pos="5580"/>
              </w:tabs>
              <w:jc w:val="center"/>
              <w:rPr>
                <w:sz w:val="24"/>
              </w:rPr>
            </w:pPr>
          </w:p>
        </w:tc>
        <w:tc>
          <w:tcPr>
            <w:tcW w:w="782" w:type="pct"/>
            <w:vAlign w:val="center"/>
          </w:tcPr>
          <w:p>
            <w:pPr>
              <w:tabs>
                <w:tab w:val="left" w:pos="5580"/>
              </w:tabs>
              <w:jc w:val="center"/>
              <w:rPr>
                <w:sz w:val="24"/>
              </w:rPr>
            </w:pPr>
          </w:p>
        </w:tc>
        <w:tc>
          <w:tcPr>
            <w:tcW w:w="852" w:type="pct"/>
            <w:vAlign w:val="center"/>
          </w:tcPr>
          <w:p>
            <w:pPr>
              <w:tabs>
                <w:tab w:val="left" w:pos="5580"/>
              </w:tabs>
              <w:jc w:val="center"/>
              <w:rPr>
                <w:sz w:val="24"/>
              </w:rPr>
            </w:pPr>
          </w:p>
        </w:tc>
        <w:tc>
          <w:tcPr>
            <w:tcW w:w="627" w:type="pct"/>
            <w:vMerge w:val="continue"/>
            <w:vAlign w:val="center"/>
          </w:tcPr>
          <w:p>
            <w:pPr>
              <w:tabs>
                <w:tab w:val="left" w:pos="5580"/>
              </w:tabs>
              <w:jc w:val="center"/>
              <w:rPr>
                <w:sz w:val="24"/>
              </w:rPr>
            </w:pPr>
          </w:p>
        </w:tc>
        <w:tc>
          <w:tcPr>
            <w:tcW w:w="675" w:type="pct"/>
            <w:vMerge w:val="continue"/>
            <w:vAlign w:val="center"/>
          </w:tcPr>
          <w:p>
            <w:pPr>
              <w:tabs>
                <w:tab w:val="left" w:pos="5580"/>
              </w:tabs>
              <w:jc w:val="center"/>
              <w:rPr>
                <w:sz w:val="24"/>
              </w:rPr>
            </w:pPr>
          </w:p>
        </w:tc>
        <w:tc>
          <w:tcPr>
            <w:tcW w:w="442" w:type="pct"/>
            <w:vMerge w:val="continue"/>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snapToGrid w:val="0"/>
        <w:spacing w:before="25" w:after="25" w:line="360" w:lineRule="auto"/>
        <w:rPr>
          <w:color w:val="000000"/>
          <w:kern w:val="0"/>
          <w:sz w:val="24"/>
        </w:rPr>
      </w:pPr>
      <w:r>
        <w:rPr>
          <w:color w:val="000000"/>
          <w:kern w:val="0"/>
          <w:sz w:val="24"/>
        </w:rPr>
        <w:t>注：1.</w:t>
      </w:r>
      <w:r>
        <w:rPr>
          <w:rFonts w:hint="eastAsia"/>
          <w:color w:val="000000"/>
          <w:kern w:val="0"/>
          <w:sz w:val="24"/>
        </w:rPr>
        <w:t xml:space="preserve">此表中，每包的投标报价应和《投标分项报价表》中的总价相一致。 </w:t>
      </w:r>
    </w:p>
    <w:p>
      <w:pPr>
        <w:autoSpaceDE w:val="0"/>
        <w:autoSpaceDN w:val="0"/>
        <w:adjustRightInd w:val="0"/>
        <w:snapToGrid w:val="0"/>
        <w:spacing w:before="25" w:after="25" w:line="360" w:lineRule="auto"/>
        <w:ind w:firstLine="480" w:firstLineChars="200"/>
        <w:rPr>
          <w:color w:val="000000"/>
          <w:kern w:val="0"/>
          <w:sz w:val="24"/>
        </w:rPr>
      </w:pPr>
      <w:r>
        <w:rPr>
          <w:color w:val="000000"/>
          <w:kern w:val="0"/>
          <w:sz w:val="24"/>
        </w:rPr>
        <w:t>2.</w:t>
      </w:r>
      <w:r>
        <w:rPr>
          <w:rFonts w:hint="eastAsia"/>
          <w:color w:val="000000"/>
          <w:kern w:val="0"/>
          <w:sz w:val="24"/>
        </w:rPr>
        <w:t>本表必须按包分别填写。</w:t>
      </w:r>
    </w:p>
    <w:p>
      <w:pPr>
        <w:autoSpaceDE w:val="0"/>
        <w:autoSpaceDN w:val="0"/>
        <w:adjustRightInd w:val="0"/>
        <w:ind w:firstLine="480" w:firstLineChars="200"/>
        <w:jc w:val="left"/>
        <w:rPr>
          <w:color w:val="000000"/>
          <w:sz w:val="24"/>
          <w:szCs w:val="20"/>
        </w:rPr>
      </w:pPr>
      <w:r>
        <w:rPr>
          <w:rFonts w:hint="eastAsia"/>
          <w:color w:val="000000"/>
          <w:sz w:val="24"/>
          <w:szCs w:val="20"/>
        </w:rPr>
        <w:t>3.开标一览表需另外单独密封一份，以供唱标使用</w:t>
      </w:r>
      <w:r>
        <w:rPr>
          <w:color w:val="000000"/>
          <w:sz w:val="24"/>
          <w:szCs w:val="20"/>
        </w:rPr>
        <w:t>。</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szCs w:val="20"/>
        </w:rPr>
      </w:pPr>
    </w:p>
    <w:p>
      <w:pPr>
        <w:autoSpaceDE w:val="0"/>
        <w:autoSpaceDN w:val="0"/>
        <w:adjustRightInd w:val="0"/>
        <w:snapToGrid w:val="0"/>
        <w:spacing w:before="25" w:after="25" w:line="360" w:lineRule="auto"/>
        <w:rPr>
          <w:color w:val="000000"/>
          <w:sz w:val="24"/>
          <w:szCs w:val="20"/>
        </w:rPr>
        <w:sectPr>
          <w:headerReference r:id="rId24" w:type="first"/>
          <w:footerReference r:id="rId26" w:type="first"/>
          <w:headerReference r:id="rId23" w:type="even"/>
          <w:footerReference r:id="rId25" w:type="even"/>
          <w:pgSz w:w="11907" w:h="16840"/>
          <w:pgMar w:top="1418" w:right="1134" w:bottom="1418" w:left="1701" w:header="851" w:footer="851" w:gutter="0"/>
          <w:cols w:space="720" w:num="1"/>
          <w:docGrid w:linePitch="462" w:charSpace="0"/>
        </w:sectPr>
      </w:pPr>
      <w:r>
        <w:rPr>
          <w:color w:val="000000"/>
          <w:sz w:val="24"/>
          <w:szCs w:val="20"/>
        </w:rPr>
        <w:t xml:space="preserve">日期：_____年______月______日   </w:t>
      </w:r>
    </w:p>
    <w:p>
      <w:pPr>
        <w:spacing w:line="360" w:lineRule="auto"/>
        <w:outlineLvl w:val="2"/>
        <w:rPr>
          <w:color w:val="000000"/>
          <w:sz w:val="24"/>
          <w:szCs w:val="20"/>
        </w:rPr>
      </w:pPr>
      <w:bookmarkStart w:id="936" w:name="_Toc127151558"/>
      <w:bookmarkStart w:id="937" w:name="_Toc305158901"/>
      <w:bookmarkStart w:id="938" w:name="_Toc150480796"/>
      <w:bookmarkStart w:id="939" w:name="_Toc226309803"/>
      <w:bookmarkStart w:id="940" w:name="_Toc265228397"/>
      <w:bookmarkStart w:id="941" w:name="_Toc226965749"/>
      <w:bookmarkStart w:id="942" w:name="_Toc195842924"/>
      <w:bookmarkStart w:id="943" w:name="_Toc226337255"/>
      <w:bookmarkStart w:id="944" w:name="_Toc305158827"/>
      <w:bookmarkStart w:id="945" w:name="_Toc226965832"/>
      <w:bookmarkStart w:id="946" w:name="_Toc264969249"/>
      <w:bookmarkStart w:id="947" w:name="_Toc150774763"/>
      <w:bookmarkStart w:id="948" w:name="_Toc142311060"/>
      <w:r>
        <w:rPr>
          <w:color w:val="000000"/>
          <w:sz w:val="24"/>
          <w:szCs w:val="20"/>
        </w:rPr>
        <w:t>4  投标分项报价表</w:t>
      </w:r>
      <w:bookmarkEnd w:id="936"/>
      <w:bookmarkEnd w:id="937"/>
      <w:bookmarkEnd w:id="938"/>
      <w:bookmarkEnd w:id="939"/>
      <w:bookmarkEnd w:id="940"/>
      <w:bookmarkEnd w:id="941"/>
      <w:bookmarkEnd w:id="942"/>
      <w:bookmarkEnd w:id="943"/>
      <w:bookmarkEnd w:id="944"/>
      <w:bookmarkEnd w:id="945"/>
      <w:bookmarkEnd w:id="946"/>
      <w:bookmarkEnd w:id="947"/>
      <w:bookmarkEnd w:id="948"/>
      <w:r>
        <w:rPr>
          <w:color w:val="000000"/>
          <w:sz w:val="24"/>
          <w:szCs w:val="20"/>
        </w:rPr>
        <w:t>（实质性格式）</w:t>
      </w:r>
    </w:p>
    <w:p>
      <w:pPr>
        <w:spacing w:line="360" w:lineRule="exact"/>
        <w:jc w:val="center"/>
        <w:rPr>
          <w:color w:val="000000"/>
          <w:sz w:val="36"/>
          <w:szCs w:val="36"/>
        </w:rPr>
      </w:pPr>
    </w:p>
    <w:p>
      <w:pPr>
        <w:spacing w:line="360" w:lineRule="exact"/>
        <w:jc w:val="center"/>
        <w:rPr>
          <w:b/>
          <w:color w:val="000000"/>
          <w:sz w:val="36"/>
          <w:szCs w:val="36"/>
        </w:rPr>
      </w:pPr>
      <w:r>
        <w:rPr>
          <w:rFonts w:hint="eastAsia"/>
          <w:b/>
          <w:color w:val="000000"/>
          <w:sz w:val="36"/>
          <w:szCs w:val="36"/>
        </w:rPr>
        <w:t>投标分项报价表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43"/>
        <w:tblW w:w="9677" w:type="dxa"/>
        <w:tblInd w:w="-4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426"/>
        <w:gridCol w:w="1204"/>
        <w:gridCol w:w="856"/>
        <w:gridCol w:w="1137"/>
        <w:gridCol w:w="1137"/>
        <w:gridCol w:w="1137"/>
        <w:gridCol w:w="1137"/>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13" w:type="dxa"/>
            <w:vAlign w:val="center"/>
          </w:tcPr>
          <w:p>
            <w:pPr>
              <w:jc w:val="center"/>
              <w:rPr>
                <w:sz w:val="24"/>
              </w:rPr>
            </w:pPr>
            <w:r>
              <w:rPr>
                <w:sz w:val="24"/>
              </w:rPr>
              <w:t>序号</w:t>
            </w:r>
          </w:p>
        </w:tc>
        <w:tc>
          <w:tcPr>
            <w:tcW w:w="1426" w:type="dxa"/>
            <w:vAlign w:val="center"/>
          </w:tcPr>
          <w:p>
            <w:pPr>
              <w:jc w:val="center"/>
              <w:rPr>
                <w:sz w:val="24"/>
              </w:rPr>
            </w:pPr>
            <w:r>
              <w:rPr>
                <w:sz w:val="24"/>
              </w:rPr>
              <w:t>分项名称</w:t>
            </w:r>
          </w:p>
        </w:tc>
        <w:tc>
          <w:tcPr>
            <w:tcW w:w="1204" w:type="dxa"/>
            <w:vAlign w:val="center"/>
          </w:tcPr>
          <w:p>
            <w:pPr>
              <w:jc w:val="center"/>
              <w:rPr>
                <w:sz w:val="24"/>
              </w:rPr>
            </w:pPr>
            <w:r>
              <w:rPr>
                <w:sz w:val="24"/>
              </w:rPr>
              <w:t>制造商</w:t>
            </w:r>
          </w:p>
        </w:tc>
        <w:tc>
          <w:tcPr>
            <w:tcW w:w="856" w:type="dxa"/>
            <w:vAlign w:val="center"/>
          </w:tcPr>
          <w:p>
            <w:pPr>
              <w:jc w:val="center"/>
              <w:rPr>
                <w:sz w:val="24"/>
              </w:rPr>
            </w:pPr>
            <w:r>
              <w:rPr>
                <w:sz w:val="24"/>
              </w:rPr>
              <w:t>产地/国别</w:t>
            </w:r>
          </w:p>
        </w:tc>
        <w:tc>
          <w:tcPr>
            <w:tcW w:w="1137" w:type="dxa"/>
            <w:vAlign w:val="center"/>
          </w:tcPr>
          <w:p>
            <w:pPr>
              <w:jc w:val="center"/>
              <w:rPr>
                <w:sz w:val="24"/>
              </w:rPr>
            </w:pPr>
            <w:r>
              <w:rPr>
                <w:sz w:val="24"/>
              </w:rPr>
              <w:t>制造商统一信用代</w:t>
            </w:r>
          </w:p>
          <w:p>
            <w:pPr>
              <w:jc w:val="center"/>
              <w:rPr>
                <w:sz w:val="24"/>
              </w:rPr>
            </w:pPr>
            <w:r>
              <w:rPr>
                <w:sz w:val="24"/>
              </w:rPr>
              <w:t>码</w:t>
            </w:r>
          </w:p>
        </w:tc>
        <w:tc>
          <w:tcPr>
            <w:tcW w:w="1137" w:type="dxa"/>
            <w:vAlign w:val="center"/>
          </w:tcPr>
          <w:p>
            <w:pPr>
              <w:jc w:val="center"/>
              <w:rPr>
                <w:sz w:val="24"/>
              </w:rPr>
            </w:pPr>
            <w:r>
              <w:rPr>
                <w:sz w:val="24"/>
              </w:rPr>
              <w:t>制造商规模</w:t>
            </w:r>
          </w:p>
        </w:tc>
        <w:tc>
          <w:tcPr>
            <w:tcW w:w="1137" w:type="dxa"/>
            <w:vAlign w:val="center"/>
          </w:tcPr>
          <w:p>
            <w:pPr>
              <w:jc w:val="center"/>
              <w:rPr>
                <w:sz w:val="24"/>
              </w:rPr>
            </w:pPr>
            <w:r>
              <w:rPr>
                <w:sz w:val="24"/>
              </w:rPr>
              <w:t>品牌</w:t>
            </w:r>
          </w:p>
        </w:tc>
        <w:tc>
          <w:tcPr>
            <w:tcW w:w="1137" w:type="dxa"/>
            <w:vAlign w:val="center"/>
          </w:tcPr>
          <w:p>
            <w:pPr>
              <w:jc w:val="center"/>
              <w:rPr>
                <w:sz w:val="24"/>
              </w:rPr>
            </w:pPr>
            <w:r>
              <w:rPr>
                <w:sz w:val="24"/>
              </w:rPr>
              <w:t>规格、型号</w:t>
            </w:r>
          </w:p>
        </w:tc>
        <w:tc>
          <w:tcPr>
            <w:tcW w:w="930" w:type="dxa"/>
            <w:vAlign w:val="center"/>
          </w:tcPr>
          <w:p>
            <w:pPr>
              <w:jc w:val="center"/>
              <w:rPr>
                <w:sz w:val="24"/>
              </w:rPr>
            </w:pPr>
            <w:r>
              <w:rPr>
                <w:sz w:val="24"/>
              </w:rPr>
              <w:t>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13" w:type="dxa"/>
          </w:tcPr>
          <w:p>
            <w:pPr>
              <w:jc w:val="center"/>
              <w:rPr>
                <w:sz w:val="24"/>
              </w:rPr>
            </w:pPr>
            <w:r>
              <w:rPr>
                <w:sz w:val="24"/>
              </w:rPr>
              <w:t>1</w:t>
            </w:r>
          </w:p>
        </w:tc>
        <w:tc>
          <w:tcPr>
            <w:tcW w:w="1426" w:type="dxa"/>
          </w:tcPr>
          <w:p>
            <w:pPr>
              <w:rPr>
                <w:sz w:val="24"/>
              </w:rPr>
            </w:pPr>
          </w:p>
        </w:tc>
        <w:tc>
          <w:tcPr>
            <w:tcW w:w="1204" w:type="dxa"/>
          </w:tcPr>
          <w:p>
            <w:pPr>
              <w:rPr>
                <w:sz w:val="24"/>
              </w:rPr>
            </w:pPr>
          </w:p>
        </w:tc>
        <w:tc>
          <w:tcPr>
            <w:tcW w:w="856"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930" w:type="dxa"/>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13" w:type="dxa"/>
          </w:tcPr>
          <w:p>
            <w:pPr>
              <w:jc w:val="center"/>
              <w:rPr>
                <w:sz w:val="24"/>
              </w:rPr>
            </w:pPr>
            <w:r>
              <w:rPr>
                <w:sz w:val="24"/>
              </w:rPr>
              <w:t>2</w:t>
            </w:r>
          </w:p>
        </w:tc>
        <w:tc>
          <w:tcPr>
            <w:tcW w:w="1426" w:type="dxa"/>
          </w:tcPr>
          <w:p>
            <w:pPr>
              <w:rPr>
                <w:sz w:val="24"/>
              </w:rPr>
            </w:pPr>
          </w:p>
        </w:tc>
        <w:tc>
          <w:tcPr>
            <w:tcW w:w="1204" w:type="dxa"/>
          </w:tcPr>
          <w:p>
            <w:pPr>
              <w:rPr>
                <w:sz w:val="24"/>
              </w:rPr>
            </w:pPr>
          </w:p>
        </w:tc>
        <w:tc>
          <w:tcPr>
            <w:tcW w:w="856"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930" w:type="dxa"/>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13" w:type="dxa"/>
          </w:tcPr>
          <w:p>
            <w:pPr>
              <w:jc w:val="center"/>
              <w:rPr>
                <w:sz w:val="24"/>
              </w:rPr>
            </w:pPr>
            <w:r>
              <w:rPr>
                <w:sz w:val="24"/>
              </w:rPr>
              <w:t>3</w:t>
            </w:r>
          </w:p>
        </w:tc>
        <w:tc>
          <w:tcPr>
            <w:tcW w:w="1426" w:type="dxa"/>
          </w:tcPr>
          <w:p>
            <w:pPr>
              <w:rPr>
                <w:sz w:val="24"/>
              </w:rPr>
            </w:pPr>
          </w:p>
        </w:tc>
        <w:tc>
          <w:tcPr>
            <w:tcW w:w="1204" w:type="dxa"/>
          </w:tcPr>
          <w:p>
            <w:pPr>
              <w:rPr>
                <w:sz w:val="24"/>
              </w:rPr>
            </w:pPr>
          </w:p>
        </w:tc>
        <w:tc>
          <w:tcPr>
            <w:tcW w:w="856"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930" w:type="dxa"/>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13" w:type="dxa"/>
          </w:tcPr>
          <w:p>
            <w:pPr>
              <w:jc w:val="center"/>
              <w:rPr>
                <w:sz w:val="24"/>
              </w:rPr>
            </w:pPr>
            <w:r>
              <w:rPr>
                <w:sz w:val="24"/>
              </w:rPr>
              <w:t>4</w:t>
            </w:r>
          </w:p>
        </w:tc>
        <w:tc>
          <w:tcPr>
            <w:tcW w:w="1426" w:type="dxa"/>
          </w:tcPr>
          <w:p>
            <w:pPr>
              <w:rPr>
                <w:sz w:val="24"/>
              </w:rPr>
            </w:pPr>
          </w:p>
        </w:tc>
        <w:tc>
          <w:tcPr>
            <w:tcW w:w="1204" w:type="dxa"/>
          </w:tcPr>
          <w:p>
            <w:pPr>
              <w:rPr>
                <w:sz w:val="24"/>
              </w:rPr>
            </w:pPr>
          </w:p>
        </w:tc>
        <w:tc>
          <w:tcPr>
            <w:tcW w:w="856"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930" w:type="dxa"/>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13" w:type="dxa"/>
          </w:tcPr>
          <w:p>
            <w:pPr>
              <w:rPr>
                <w:sz w:val="24"/>
              </w:rPr>
            </w:pPr>
            <w:r>
              <w:rPr>
                <w:sz w:val="24"/>
              </w:rPr>
              <w:t>…</w:t>
            </w:r>
          </w:p>
        </w:tc>
        <w:tc>
          <w:tcPr>
            <w:tcW w:w="1426" w:type="dxa"/>
          </w:tcPr>
          <w:p>
            <w:pPr>
              <w:rPr>
                <w:sz w:val="24"/>
              </w:rPr>
            </w:pPr>
          </w:p>
        </w:tc>
        <w:tc>
          <w:tcPr>
            <w:tcW w:w="1204" w:type="dxa"/>
          </w:tcPr>
          <w:p>
            <w:pPr>
              <w:rPr>
                <w:sz w:val="24"/>
              </w:rPr>
            </w:pPr>
          </w:p>
        </w:tc>
        <w:tc>
          <w:tcPr>
            <w:tcW w:w="856"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1137" w:type="dxa"/>
          </w:tcPr>
          <w:p>
            <w:pPr>
              <w:rPr>
                <w:sz w:val="24"/>
              </w:rPr>
            </w:pPr>
          </w:p>
        </w:tc>
        <w:tc>
          <w:tcPr>
            <w:tcW w:w="930" w:type="dxa"/>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747" w:type="dxa"/>
            <w:gridSpan w:val="8"/>
          </w:tcPr>
          <w:p>
            <w:pPr>
              <w:rPr>
                <w:sz w:val="24"/>
              </w:rPr>
            </w:pPr>
            <w:r>
              <w:rPr>
                <w:rFonts w:hint="eastAsia"/>
                <w:sz w:val="24"/>
              </w:rPr>
              <w:t>总价</w:t>
            </w:r>
          </w:p>
        </w:tc>
        <w:tc>
          <w:tcPr>
            <w:tcW w:w="930" w:type="dxa"/>
          </w:tcPr>
          <w:p>
            <w:pPr>
              <w:rPr>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autoSpaceDE w:val="0"/>
        <w:autoSpaceDN w:val="0"/>
        <w:adjustRightInd w:val="0"/>
        <w:snapToGrid w:val="0"/>
        <w:spacing w:before="25" w:after="25" w:line="360" w:lineRule="auto"/>
        <w:rPr>
          <w:color w:val="000000"/>
          <w:sz w:val="24"/>
          <w:lang w:val="zh-CN"/>
        </w:rPr>
      </w:pPr>
      <w:r>
        <w:rPr>
          <w:color w:val="000000"/>
          <w:sz w:val="24"/>
          <w:lang w:val="zh-CN"/>
        </w:rPr>
        <w:t>注：1.本表应按包分别填写。</w:t>
      </w:r>
    </w:p>
    <w:p>
      <w:pPr>
        <w:autoSpaceDE w:val="0"/>
        <w:autoSpaceDN w:val="0"/>
        <w:adjustRightInd w:val="0"/>
        <w:snapToGrid w:val="0"/>
        <w:spacing w:before="25" w:after="25" w:line="360" w:lineRule="auto"/>
        <w:rPr>
          <w:color w:val="000000"/>
          <w:sz w:val="24"/>
          <w:lang w:val="zh-CN"/>
        </w:rPr>
      </w:pPr>
      <w:r>
        <w:rPr>
          <w:rFonts w:hint="eastAsia"/>
          <w:color w:val="000000"/>
          <w:sz w:val="24"/>
        </w:rPr>
        <w:t>2.</w:t>
      </w:r>
      <w:r>
        <w:rPr>
          <w:color w:val="000000"/>
          <w:sz w:val="24"/>
          <w:lang w:val="zh-CN"/>
        </w:rPr>
        <w:t>如果不提供分项报价将视为没有实质性响应招标文件。</w:t>
      </w:r>
    </w:p>
    <w:p>
      <w:pPr>
        <w:autoSpaceDE w:val="0"/>
        <w:autoSpaceDN w:val="0"/>
        <w:adjustRightInd w:val="0"/>
        <w:snapToGrid w:val="0"/>
        <w:spacing w:before="25" w:after="25" w:line="360" w:lineRule="auto"/>
        <w:rPr>
          <w:color w:val="000000"/>
          <w:sz w:val="24"/>
          <w:lang w:val="zh-CN"/>
        </w:rPr>
      </w:pPr>
      <w:r>
        <w:rPr>
          <w:rFonts w:hint="eastAsia"/>
          <w:color w:val="000000"/>
          <w:sz w:val="24"/>
        </w:rPr>
        <w:t>3.</w:t>
      </w:r>
      <w:r>
        <w:rPr>
          <w:color w:val="000000"/>
          <w:sz w:val="24"/>
          <w:lang w:val="zh-CN"/>
        </w:rPr>
        <w:t>上述各项的详细规格（如有），可另页描述。</w:t>
      </w:r>
    </w:p>
    <w:p>
      <w:pPr>
        <w:autoSpaceDE w:val="0"/>
        <w:autoSpaceDN w:val="0"/>
        <w:adjustRightInd w:val="0"/>
        <w:snapToGrid w:val="0"/>
        <w:spacing w:before="25" w:after="25" w:line="360" w:lineRule="auto"/>
        <w:rPr>
          <w:color w:val="000000"/>
          <w:sz w:val="24"/>
          <w:lang w:val="zh-CN"/>
        </w:rPr>
      </w:pPr>
      <w:r>
        <w:rPr>
          <w:rFonts w:hint="eastAsia"/>
          <w:color w:val="000000"/>
          <w:sz w:val="24"/>
        </w:rPr>
        <w:t>4.</w:t>
      </w:r>
      <w:r>
        <w:rPr>
          <w:color w:val="000000"/>
          <w:sz w:val="24"/>
          <w:lang w:val="zh-CN"/>
        </w:rPr>
        <w:t>制造商规模列应填写“中型”、“小型”、“微型”或“其他”，且不应与《中小企业声明函》或《拟分包情况说明》中内容矛盾。</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szCs w:val="20"/>
        </w:rPr>
        <w:sectPr>
          <w:pgSz w:w="11907" w:h="16840"/>
          <w:pgMar w:top="1418" w:right="1134" w:bottom="1418" w:left="1701" w:header="851" w:footer="851" w:gutter="0"/>
          <w:cols w:space="720" w:num="1"/>
          <w:docGrid w:linePitch="462" w:charSpace="0"/>
        </w:sectPr>
      </w:pPr>
      <w:r>
        <w:rPr>
          <w:color w:val="000000"/>
          <w:sz w:val="24"/>
          <w:szCs w:val="20"/>
        </w:rPr>
        <w:t xml:space="preserve">日期：_____年______月______日   </w:t>
      </w:r>
    </w:p>
    <w:p>
      <w:pPr>
        <w:rPr>
          <w:lang w:val="zh-CN"/>
        </w:rPr>
      </w:pPr>
    </w:p>
    <w:p>
      <w:pPr>
        <w:spacing w:line="360" w:lineRule="auto"/>
        <w:outlineLvl w:val="2"/>
        <w:rPr>
          <w:color w:val="000000"/>
          <w:sz w:val="24"/>
          <w:szCs w:val="20"/>
        </w:rPr>
      </w:pPr>
      <w:bookmarkStart w:id="949" w:name="_Toc305158830"/>
      <w:bookmarkStart w:id="950" w:name="_Toc264969252"/>
      <w:bookmarkStart w:id="951" w:name="_Toc226965752"/>
      <w:bookmarkStart w:id="952" w:name="_Toc305158904"/>
      <w:bookmarkStart w:id="953" w:name="_Toc150774765"/>
      <w:bookmarkStart w:id="954" w:name="_Toc226309806"/>
      <w:bookmarkStart w:id="955" w:name="_Toc142311062"/>
      <w:bookmarkStart w:id="956" w:name="_Toc226965835"/>
      <w:bookmarkStart w:id="957" w:name="_Toc127151562"/>
      <w:bookmarkStart w:id="958" w:name="_Toc150480798"/>
      <w:bookmarkStart w:id="959" w:name="_Toc265228400"/>
      <w:bookmarkStart w:id="960" w:name="_Toc226337258"/>
      <w:bookmarkStart w:id="961" w:name="_Toc195842927"/>
      <w:bookmarkStart w:id="962" w:name="_Toc264969251"/>
      <w:bookmarkStart w:id="963" w:name="_Toc127151561"/>
      <w:bookmarkStart w:id="964" w:name="_Toc226337257"/>
      <w:bookmarkStart w:id="965" w:name="_Toc150774764"/>
      <w:bookmarkStart w:id="966" w:name="_Toc305158829"/>
      <w:bookmarkStart w:id="967" w:name="_Toc150480797"/>
      <w:bookmarkStart w:id="968" w:name="_Toc226965834"/>
      <w:bookmarkStart w:id="969" w:name="_Toc142311061"/>
      <w:bookmarkStart w:id="970" w:name="_Toc195842926"/>
      <w:bookmarkStart w:id="971" w:name="_Toc305158903"/>
      <w:bookmarkStart w:id="972" w:name="_Toc265228399"/>
      <w:bookmarkStart w:id="973" w:name="_Toc226965751"/>
      <w:bookmarkStart w:id="974" w:name="_Toc226309805"/>
      <w:r>
        <w:rPr>
          <w:color w:val="000000"/>
          <w:sz w:val="24"/>
          <w:szCs w:val="20"/>
        </w:rPr>
        <w:t>5  合同条款偏离表</w:t>
      </w:r>
      <w:bookmarkEnd w:id="949"/>
      <w:bookmarkEnd w:id="950"/>
      <w:bookmarkEnd w:id="951"/>
      <w:bookmarkEnd w:id="952"/>
      <w:bookmarkEnd w:id="953"/>
      <w:bookmarkEnd w:id="954"/>
      <w:bookmarkEnd w:id="955"/>
      <w:bookmarkEnd w:id="956"/>
      <w:bookmarkEnd w:id="957"/>
      <w:bookmarkEnd w:id="958"/>
      <w:bookmarkEnd w:id="959"/>
      <w:bookmarkEnd w:id="960"/>
      <w:bookmarkEnd w:id="961"/>
      <w:r>
        <w:rPr>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rPr>
            </w:pPr>
            <w:r>
              <w:rPr>
                <w:color w:val="000000"/>
                <w:sz w:val="24"/>
              </w:rPr>
              <w:t>序号</w:t>
            </w:r>
          </w:p>
        </w:tc>
        <w:tc>
          <w:tcPr>
            <w:tcW w:w="1291" w:type="dxa"/>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1981" w:type="dxa"/>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1982" w:type="dxa"/>
            <w:vAlign w:val="center"/>
          </w:tcPr>
          <w:p>
            <w:pPr>
              <w:adjustRightInd w:val="0"/>
              <w:snapToGrid w:val="0"/>
              <w:jc w:val="center"/>
              <w:rPr>
                <w:color w:val="000000"/>
                <w:sz w:val="24"/>
              </w:rPr>
            </w:pPr>
            <w:r>
              <w:rPr>
                <w:color w:val="000000"/>
                <w:sz w:val="24"/>
              </w:rPr>
              <w:t>投标文件内容</w:t>
            </w:r>
          </w:p>
        </w:tc>
        <w:tc>
          <w:tcPr>
            <w:tcW w:w="2424" w:type="dxa"/>
            <w:vAlign w:val="center"/>
          </w:tcPr>
          <w:p>
            <w:pPr>
              <w:adjustRightInd w:val="0"/>
              <w:snapToGrid w:val="0"/>
              <w:jc w:val="center"/>
              <w:rPr>
                <w:color w:val="000000"/>
                <w:sz w:val="24"/>
              </w:rPr>
            </w:pPr>
            <w:r>
              <w:rPr>
                <w:color w:val="000000"/>
                <w:sz w:val="24"/>
              </w:rPr>
              <w:t>偏离情况</w:t>
            </w:r>
          </w:p>
        </w:tc>
        <w:tc>
          <w:tcPr>
            <w:tcW w:w="782"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pPr>
              <w:widowControl/>
              <w:jc w:val="left"/>
            </w:pPr>
            <w:r>
              <w:rPr>
                <w:rFonts w:hint="eastAsia" w:ascii="宋体" w:hAnsi="宋体" w:cs="宋体"/>
                <w:b/>
                <w:bCs/>
                <w:color w:val="000000"/>
                <w:kern w:val="0"/>
                <w:sz w:val="24"/>
                <w:lang w:bidi="ar"/>
              </w:rPr>
              <w:t>对本项目合同条款的偏离情况</w:t>
            </w:r>
            <w:r>
              <w:rPr>
                <w:rFonts w:hint="eastAsia" w:ascii="宋体" w:hAnsi="宋体" w:cs="宋体"/>
                <w:color w:val="000000"/>
                <w:kern w:val="0"/>
                <w:sz w:val="24"/>
                <w:lang w:bidi="ar"/>
              </w:rPr>
              <w:t>（应进行选择，未选择</w:t>
            </w:r>
            <w:r>
              <w:rPr>
                <w:rFonts w:hint="eastAsia" w:ascii="宋体" w:hAnsi="宋体" w:cs="宋体"/>
                <w:b/>
                <w:bCs/>
                <w:color w:val="000000"/>
                <w:kern w:val="0"/>
                <w:sz w:val="24"/>
                <w:lang w:bidi="ar"/>
              </w:rPr>
              <w:t>投标无效</w:t>
            </w:r>
            <w:r>
              <w:rPr>
                <w:rFonts w:hint="eastAsia" w:ascii="宋体" w:hAnsi="宋体" w:cs="宋体"/>
                <w:color w:val="000000"/>
                <w:kern w:val="0"/>
                <w:sz w:val="24"/>
                <w:lang w:bidi="ar"/>
              </w:rPr>
              <w:t xml:space="preserve">）： </w:t>
            </w:r>
          </w:p>
          <w:p>
            <w:pPr>
              <w:widowControl/>
              <w:jc w:val="left"/>
            </w:pPr>
            <w:r>
              <w:rPr>
                <w:rFonts w:ascii="DejaVuSans-Bold" w:hAnsi="DejaVuSans-Bold" w:eastAsia="DejaVuSans-Bold" w:cs="DejaVuSans-Bold"/>
                <w:b/>
                <w:bCs/>
                <w:color w:val="000000"/>
                <w:kern w:val="0"/>
                <w:sz w:val="24"/>
                <w:lang w:bidi="ar"/>
              </w:rPr>
              <w:t>□</w:t>
            </w:r>
            <w:r>
              <w:rPr>
                <w:rFonts w:hint="eastAsia" w:ascii="宋体" w:hAnsi="宋体" w:cs="宋体"/>
                <w:b/>
                <w:bCs/>
                <w:color w:val="000000"/>
                <w:kern w:val="0"/>
                <w:sz w:val="24"/>
                <w:lang w:bidi="ar"/>
              </w:rPr>
              <w:t>无偏离</w:t>
            </w:r>
            <w:r>
              <w:rPr>
                <w:rFonts w:hint="eastAsia" w:ascii="宋体" w:hAnsi="宋体" w:cs="宋体"/>
                <w:color w:val="000000"/>
                <w:kern w:val="0"/>
                <w:sz w:val="24"/>
                <w:lang w:bidi="ar"/>
              </w:rPr>
              <w:t xml:space="preserve">（如无偏离，仅选择无偏离即可；无偏离即为对合同条款中的所有要求，均视 </w:t>
            </w:r>
          </w:p>
          <w:p>
            <w:pPr>
              <w:widowControl/>
              <w:jc w:val="left"/>
            </w:pPr>
            <w:r>
              <w:rPr>
                <w:rFonts w:hint="eastAsia" w:ascii="宋体" w:hAnsi="宋体" w:cs="宋体"/>
                <w:color w:val="000000"/>
                <w:kern w:val="0"/>
                <w:sz w:val="24"/>
                <w:lang w:bidi="ar"/>
              </w:rPr>
              <w:t xml:space="preserve">作供应商已对之理解和响应。） </w:t>
            </w:r>
          </w:p>
          <w:p>
            <w:pPr>
              <w:widowControl/>
              <w:jc w:val="left"/>
            </w:pPr>
            <w:r>
              <w:rPr>
                <w:rFonts w:ascii="DejaVuSans-Bold" w:hAnsi="DejaVuSans-Bold" w:eastAsia="DejaVuSans-Bold" w:cs="DejaVuSans-Bold"/>
                <w:b/>
                <w:bCs/>
                <w:color w:val="000000"/>
                <w:kern w:val="0"/>
                <w:sz w:val="24"/>
                <w:lang w:bidi="ar"/>
              </w:rPr>
              <w:t>□</w:t>
            </w:r>
            <w:r>
              <w:rPr>
                <w:rFonts w:hint="eastAsia" w:ascii="宋体" w:hAnsi="宋体" w:cs="宋体"/>
                <w:b/>
                <w:bCs/>
                <w:color w:val="000000"/>
                <w:kern w:val="0"/>
                <w:sz w:val="24"/>
                <w:lang w:bidi="ar"/>
              </w:rPr>
              <w:t>有偏离</w:t>
            </w:r>
            <w:r>
              <w:rPr>
                <w:rFonts w:hint="eastAsia" w:ascii="宋体" w:hAnsi="宋体" w:cs="宋体"/>
                <w:color w:val="000000"/>
                <w:kern w:val="0"/>
                <w:sz w:val="24"/>
                <w:lang w:bidi="ar"/>
              </w:rPr>
              <w:t>（如有偏离，则应在本表中对偏离项逐一列明，否则</w:t>
            </w:r>
            <w:r>
              <w:rPr>
                <w:rFonts w:hint="eastAsia" w:ascii="宋体" w:hAnsi="宋体" w:cs="宋体"/>
                <w:b/>
                <w:bCs/>
                <w:color w:val="000000"/>
                <w:kern w:val="0"/>
                <w:sz w:val="24"/>
                <w:lang w:bidi="ar"/>
              </w:rPr>
              <w:t>投标无效</w:t>
            </w:r>
            <w:r>
              <w:rPr>
                <w:rFonts w:hint="eastAsia" w:ascii="宋体" w:hAnsi="宋体" w:cs="宋体"/>
                <w:color w:val="000000"/>
                <w:kern w:val="0"/>
                <w:sz w:val="24"/>
                <w:lang w:bidi="ar"/>
              </w:rPr>
              <w:t xml:space="preserve">；对合同条款中 </w:t>
            </w:r>
          </w:p>
          <w:p>
            <w:pPr>
              <w:adjustRightInd w:val="0"/>
              <w:snapToGrid w:val="0"/>
              <w:jc w:val="left"/>
              <w:rPr>
                <w:color w:val="000000"/>
                <w:sz w:val="24"/>
              </w:rPr>
            </w:pPr>
            <w:r>
              <w:rPr>
                <w:rFonts w:hint="eastAsia" w:ascii="宋体" w:hAnsi="宋体" w:cs="宋体"/>
                <w:color w:val="000000"/>
                <w:kern w:val="0"/>
                <w:sz w:val="24"/>
                <w:lang w:bidi="ar"/>
              </w:rPr>
              <w:t xml:space="preserve">的所有要求，除本表列明的偏离外，均视作供应商已对之理解和响应。）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rPr>
            </w:pPr>
          </w:p>
        </w:tc>
        <w:tc>
          <w:tcPr>
            <w:tcW w:w="1291" w:type="dxa"/>
            <w:vAlign w:val="center"/>
          </w:tcPr>
          <w:p>
            <w:pPr>
              <w:adjustRightInd w:val="0"/>
              <w:snapToGrid w:val="0"/>
              <w:jc w:val="center"/>
              <w:rPr>
                <w:color w:val="000000"/>
                <w:sz w:val="24"/>
              </w:rPr>
            </w:pPr>
          </w:p>
        </w:tc>
        <w:tc>
          <w:tcPr>
            <w:tcW w:w="1981" w:type="dxa"/>
            <w:vAlign w:val="center"/>
          </w:tcPr>
          <w:p>
            <w:pPr>
              <w:adjustRightInd w:val="0"/>
              <w:snapToGrid w:val="0"/>
              <w:jc w:val="center"/>
              <w:rPr>
                <w:color w:val="000000"/>
                <w:sz w:val="24"/>
              </w:rPr>
            </w:pPr>
          </w:p>
        </w:tc>
        <w:tc>
          <w:tcPr>
            <w:tcW w:w="1982" w:type="dxa"/>
            <w:vAlign w:val="center"/>
          </w:tcPr>
          <w:p>
            <w:pPr>
              <w:adjustRightInd w:val="0"/>
              <w:snapToGrid w:val="0"/>
              <w:jc w:val="center"/>
              <w:rPr>
                <w:color w:val="000000"/>
                <w:sz w:val="24"/>
              </w:rPr>
            </w:pPr>
          </w:p>
        </w:tc>
        <w:tc>
          <w:tcPr>
            <w:tcW w:w="2424" w:type="dxa"/>
            <w:vAlign w:val="center"/>
          </w:tcPr>
          <w:p>
            <w:pPr>
              <w:adjustRightInd w:val="0"/>
              <w:snapToGrid w:val="0"/>
              <w:jc w:val="center"/>
              <w:rPr>
                <w:color w:val="000000"/>
                <w:sz w:val="24"/>
              </w:rPr>
            </w:pPr>
          </w:p>
        </w:tc>
        <w:tc>
          <w:tcPr>
            <w:tcW w:w="782"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rPr>
            </w:pPr>
          </w:p>
        </w:tc>
        <w:tc>
          <w:tcPr>
            <w:tcW w:w="1291" w:type="dxa"/>
            <w:vAlign w:val="center"/>
          </w:tcPr>
          <w:p>
            <w:pPr>
              <w:adjustRightInd w:val="0"/>
              <w:snapToGrid w:val="0"/>
              <w:jc w:val="center"/>
              <w:rPr>
                <w:color w:val="000000"/>
                <w:sz w:val="24"/>
              </w:rPr>
            </w:pPr>
          </w:p>
        </w:tc>
        <w:tc>
          <w:tcPr>
            <w:tcW w:w="1981" w:type="dxa"/>
            <w:vAlign w:val="center"/>
          </w:tcPr>
          <w:p>
            <w:pPr>
              <w:adjustRightInd w:val="0"/>
              <w:snapToGrid w:val="0"/>
              <w:jc w:val="center"/>
              <w:rPr>
                <w:color w:val="000000"/>
                <w:sz w:val="24"/>
              </w:rPr>
            </w:pPr>
          </w:p>
        </w:tc>
        <w:tc>
          <w:tcPr>
            <w:tcW w:w="1982" w:type="dxa"/>
            <w:vAlign w:val="center"/>
          </w:tcPr>
          <w:p>
            <w:pPr>
              <w:adjustRightInd w:val="0"/>
              <w:snapToGrid w:val="0"/>
              <w:jc w:val="center"/>
              <w:rPr>
                <w:color w:val="000000"/>
                <w:sz w:val="24"/>
              </w:rPr>
            </w:pPr>
          </w:p>
        </w:tc>
        <w:tc>
          <w:tcPr>
            <w:tcW w:w="2424" w:type="dxa"/>
            <w:vAlign w:val="center"/>
          </w:tcPr>
          <w:p>
            <w:pPr>
              <w:adjustRightInd w:val="0"/>
              <w:snapToGrid w:val="0"/>
              <w:jc w:val="center"/>
              <w:rPr>
                <w:color w:val="000000"/>
                <w:sz w:val="24"/>
              </w:rPr>
            </w:pPr>
          </w:p>
        </w:tc>
        <w:tc>
          <w:tcPr>
            <w:tcW w:w="782"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rPr>
            </w:pPr>
          </w:p>
        </w:tc>
        <w:tc>
          <w:tcPr>
            <w:tcW w:w="1291" w:type="dxa"/>
            <w:vAlign w:val="center"/>
          </w:tcPr>
          <w:p>
            <w:pPr>
              <w:adjustRightInd w:val="0"/>
              <w:snapToGrid w:val="0"/>
              <w:jc w:val="center"/>
              <w:rPr>
                <w:color w:val="000000"/>
                <w:sz w:val="24"/>
              </w:rPr>
            </w:pPr>
          </w:p>
        </w:tc>
        <w:tc>
          <w:tcPr>
            <w:tcW w:w="1981" w:type="dxa"/>
            <w:vAlign w:val="center"/>
          </w:tcPr>
          <w:p>
            <w:pPr>
              <w:adjustRightInd w:val="0"/>
              <w:snapToGrid w:val="0"/>
              <w:jc w:val="center"/>
              <w:rPr>
                <w:color w:val="000000"/>
                <w:sz w:val="24"/>
              </w:rPr>
            </w:pPr>
          </w:p>
        </w:tc>
        <w:tc>
          <w:tcPr>
            <w:tcW w:w="1982" w:type="dxa"/>
            <w:vAlign w:val="center"/>
          </w:tcPr>
          <w:p>
            <w:pPr>
              <w:adjustRightInd w:val="0"/>
              <w:snapToGrid w:val="0"/>
              <w:jc w:val="center"/>
              <w:rPr>
                <w:color w:val="000000"/>
                <w:sz w:val="24"/>
              </w:rPr>
            </w:pPr>
          </w:p>
        </w:tc>
        <w:tc>
          <w:tcPr>
            <w:tcW w:w="2424" w:type="dxa"/>
            <w:vAlign w:val="center"/>
          </w:tcPr>
          <w:p>
            <w:pPr>
              <w:adjustRightInd w:val="0"/>
              <w:snapToGrid w:val="0"/>
              <w:jc w:val="center"/>
              <w:rPr>
                <w:color w:val="000000"/>
                <w:sz w:val="24"/>
              </w:rPr>
            </w:pPr>
          </w:p>
        </w:tc>
        <w:tc>
          <w:tcPr>
            <w:tcW w:w="782" w:type="dxa"/>
            <w:vAlign w:val="center"/>
          </w:tcPr>
          <w:p>
            <w:pPr>
              <w:adjustRightInd w:val="0"/>
              <w:snapToGrid w:val="0"/>
              <w:jc w:val="center"/>
              <w:rPr>
                <w:color w:val="000000"/>
                <w:sz w:val="24"/>
              </w:rPr>
            </w:pPr>
          </w:p>
        </w:tc>
      </w:tr>
    </w:tbl>
    <w:p>
      <w:pPr>
        <w:tabs>
          <w:tab w:val="left" w:pos="1800"/>
          <w:tab w:val="left" w:pos="5580"/>
        </w:tabs>
        <w:jc w:val="left"/>
        <w:rPr>
          <w:color w:val="000000"/>
          <w:sz w:val="28"/>
          <w:szCs w:val="28"/>
        </w:rPr>
      </w:pPr>
    </w:p>
    <w:p>
      <w:pPr>
        <w:rPr>
          <w:sz w:val="24"/>
          <w:szCs w:val="32"/>
        </w:rPr>
      </w:pPr>
      <w:r>
        <w:rPr>
          <w:rFonts w:hint="eastAsia"/>
          <w:sz w:val="24"/>
          <w:szCs w:val="32"/>
        </w:rPr>
        <w:t>注：“偏离情况”列应据实填写“正偏离”或“负偏离”。</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r>
        <w:rPr>
          <w:color w:val="000000"/>
          <w:sz w:val="24"/>
          <w:szCs w:val="20"/>
        </w:rPr>
        <w:br w:type="page"/>
      </w:r>
      <w:r>
        <w:rPr>
          <w:color w:val="000000"/>
          <w:sz w:val="24"/>
          <w:szCs w:val="20"/>
        </w:rPr>
        <w:t xml:space="preserve">6  </w:t>
      </w:r>
      <w:bookmarkEnd w:id="962"/>
      <w:bookmarkEnd w:id="963"/>
      <w:bookmarkEnd w:id="964"/>
      <w:bookmarkEnd w:id="965"/>
      <w:bookmarkEnd w:id="966"/>
      <w:bookmarkEnd w:id="967"/>
      <w:bookmarkEnd w:id="968"/>
      <w:bookmarkEnd w:id="969"/>
      <w:bookmarkEnd w:id="970"/>
      <w:bookmarkEnd w:id="971"/>
      <w:bookmarkEnd w:id="972"/>
      <w:bookmarkEnd w:id="973"/>
      <w:bookmarkEnd w:id="974"/>
      <w:r>
        <w:rPr>
          <w:color w:val="000000"/>
          <w:sz w:val="24"/>
          <w:szCs w:val="20"/>
        </w:rPr>
        <w:t>采购需求偏离表（实质性格式）</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招标文件条目号(页码)</w:t>
            </w:r>
          </w:p>
        </w:tc>
        <w:tc>
          <w:tcPr>
            <w:tcW w:w="2384" w:type="dxa"/>
            <w:vAlign w:val="center"/>
          </w:tcPr>
          <w:p>
            <w:pPr>
              <w:adjustRightInd w:val="0"/>
              <w:snapToGrid w:val="0"/>
              <w:jc w:val="center"/>
              <w:rPr>
                <w:color w:val="000000"/>
                <w:sz w:val="24"/>
              </w:rPr>
            </w:pPr>
            <w:r>
              <w:rPr>
                <w:color w:val="000000"/>
                <w:sz w:val="24"/>
              </w:rPr>
              <w:t>招标文件要求</w:t>
            </w:r>
          </w:p>
        </w:tc>
        <w:tc>
          <w:tcPr>
            <w:tcW w:w="2126" w:type="dxa"/>
            <w:vAlign w:val="center"/>
          </w:tcPr>
          <w:p>
            <w:pPr>
              <w:adjustRightInd w:val="0"/>
              <w:snapToGrid w:val="0"/>
              <w:jc w:val="center"/>
              <w:rPr>
                <w:color w:val="000000"/>
                <w:sz w:val="24"/>
              </w:rPr>
            </w:pPr>
            <w:r>
              <w:rPr>
                <w:color w:val="000000"/>
                <w:sz w:val="24"/>
              </w:rPr>
              <w:t>投标响应内容</w:t>
            </w:r>
          </w:p>
        </w:tc>
        <w:tc>
          <w:tcPr>
            <w:tcW w:w="1875" w:type="dxa"/>
            <w:vAlign w:val="center"/>
          </w:tcPr>
          <w:p>
            <w:pPr>
              <w:adjustRightInd w:val="0"/>
              <w:snapToGrid w:val="0"/>
              <w:jc w:val="center"/>
              <w:rPr>
                <w:color w:val="000000"/>
                <w:sz w:val="24"/>
              </w:rPr>
            </w:pPr>
            <w:r>
              <w:rPr>
                <w:color w:val="000000"/>
                <w:sz w:val="24"/>
              </w:rPr>
              <w:t>偏离情况</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填写“无偏离”、“正偏离”或“负偏离”。</w:t>
      </w:r>
    </w:p>
    <w:p>
      <w:pPr>
        <w:tabs>
          <w:tab w:val="left" w:pos="1800"/>
          <w:tab w:val="left" w:pos="5580"/>
        </w:tabs>
        <w:jc w:val="left"/>
        <w:rPr>
          <w:sz w:val="24"/>
        </w:rPr>
      </w:pP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szCs w:val="20"/>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r>
        <w:rPr>
          <w:color w:val="000000"/>
          <w:sz w:val="24"/>
          <w:szCs w:val="20"/>
        </w:rPr>
        <w:br w:type="page"/>
      </w:r>
      <w:r>
        <w:rPr>
          <w:color w:val="000000"/>
          <w:sz w:val="24"/>
          <w:szCs w:val="20"/>
        </w:rPr>
        <w:t>7  中小企业声明函</w:t>
      </w:r>
    </w:p>
    <w:p>
      <w:pPr>
        <w:widowControl/>
        <w:spacing w:line="360" w:lineRule="auto"/>
        <w:jc w:val="left"/>
        <w:rPr>
          <w:color w:val="000000"/>
          <w:sz w:val="24"/>
        </w:rPr>
      </w:pPr>
      <w:r>
        <w:rPr>
          <w:rFonts w:hint="eastAsia"/>
          <w:color w:val="000000"/>
          <w:sz w:val="24"/>
        </w:rPr>
        <w:t xml:space="preserve">说明： </w:t>
      </w:r>
    </w:p>
    <w:p>
      <w:pPr>
        <w:widowControl/>
        <w:spacing w:line="360" w:lineRule="auto"/>
        <w:jc w:val="left"/>
        <w:rPr>
          <w:color w:val="000000"/>
          <w:sz w:val="24"/>
        </w:rPr>
      </w:pPr>
      <w:r>
        <w:rPr>
          <w:color w:val="000000"/>
          <w:sz w:val="24"/>
        </w:rPr>
        <w:t>1</w:t>
      </w:r>
      <w:r>
        <w:rPr>
          <w:rFonts w:hint="eastAsia"/>
          <w:color w:val="000000"/>
          <w:sz w:val="24"/>
        </w:rPr>
        <w:t xml:space="preserve">）中小企业参加政府采购活动，应当出具《中小企业声明函》或《残疾人福利性单位 </w:t>
      </w:r>
    </w:p>
    <w:p>
      <w:pPr>
        <w:widowControl/>
        <w:spacing w:line="360" w:lineRule="auto"/>
        <w:jc w:val="left"/>
        <w:rPr>
          <w:color w:val="000000"/>
          <w:sz w:val="24"/>
        </w:rPr>
      </w:pPr>
      <w:r>
        <w:rPr>
          <w:rFonts w:hint="eastAsia"/>
          <w:color w:val="000000"/>
          <w:sz w:val="24"/>
        </w:rPr>
        <w:t xml:space="preserve">声明函》或由省级以上监狱管理局、戒毒管理局（含新疆生产建设兵团）出具的属于监 </w:t>
      </w:r>
    </w:p>
    <w:p>
      <w:pPr>
        <w:widowControl/>
        <w:spacing w:line="360" w:lineRule="auto"/>
        <w:jc w:val="left"/>
        <w:rPr>
          <w:color w:val="000000"/>
          <w:sz w:val="24"/>
        </w:rPr>
      </w:pPr>
      <w:r>
        <w:rPr>
          <w:rFonts w:hint="eastAsia"/>
          <w:color w:val="000000"/>
          <w:sz w:val="24"/>
        </w:rPr>
        <w:t xml:space="preserve">狱企业的证明文件，以证明中小企业身份。《中小企业声明函》由参加政府采购活动的 </w:t>
      </w:r>
    </w:p>
    <w:p>
      <w:pPr>
        <w:widowControl/>
        <w:spacing w:line="360" w:lineRule="auto"/>
        <w:jc w:val="left"/>
        <w:rPr>
          <w:color w:val="000000"/>
          <w:sz w:val="24"/>
        </w:rPr>
      </w:pPr>
      <w:r>
        <w:rPr>
          <w:rFonts w:hint="eastAsia"/>
          <w:color w:val="000000"/>
          <w:sz w:val="24"/>
        </w:rPr>
        <w:t xml:space="preserve">投标人出具。联合体投标的，《中小企业声明函》可由牵头人出具。 </w:t>
      </w:r>
    </w:p>
    <w:p>
      <w:pPr>
        <w:widowControl/>
        <w:spacing w:line="360" w:lineRule="auto"/>
        <w:jc w:val="left"/>
        <w:rPr>
          <w:color w:val="000000"/>
          <w:sz w:val="24"/>
        </w:rPr>
      </w:pPr>
      <w:r>
        <w:rPr>
          <w:color w:val="000000"/>
          <w:sz w:val="24"/>
        </w:rPr>
        <w:t>2</w:t>
      </w:r>
      <w:r>
        <w:rPr>
          <w:rFonts w:hint="eastAsia"/>
          <w:color w:val="000000"/>
          <w:sz w:val="24"/>
        </w:rPr>
        <w:t xml:space="preserve">）对于联合体中由中小企业承担的部分，或者分包给中小企业的部分，必须全部由中 </w:t>
      </w:r>
    </w:p>
    <w:p>
      <w:pPr>
        <w:widowControl/>
        <w:spacing w:line="360" w:lineRule="auto"/>
        <w:jc w:val="left"/>
        <w:rPr>
          <w:color w:val="000000"/>
          <w:sz w:val="24"/>
        </w:rPr>
      </w:pPr>
      <w:r>
        <w:rPr>
          <w:rFonts w:hint="eastAsia"/>
          <w:color w:val="000000"/>
          <w:sz w:val="24"/>
        </w:rPr>
        <w:t xml:space="preserve">小企业制造、承建或者承接。供应商应当在声明函标的名称部分标明联合体中中小业承担的具体内容或者中小企业的具体分包内容。 </w:t>
      </w:r>
    </w:p>
    <w:p>
      <w:pPr>
        <w:widowControl/>
        <w:spacing w:line="360" w:lineRule="auto"/>
        <w:jc w:val="left"/>
        <w:rPr>
          <w:color w:val="000000"/>
          <w:sz w:val="24"/>
        </w:rPr>
      </w:pPr>
      <w:r>
        <w:rPr>
          <w:color w:val="000000"/>
          <w:sz w:val="24"/>
        </w:rPr>
        <w:t>3</w:t>
      </w:r>
      <w:r>
        <w:rPr>
          <w:rFonts w:hint="eastAsia"/>
          <w:color w:val="000000"/>
          <w:sz w:val="24"/>
        </w:rPr>
        <w:t xml:space="preserve">）对于多标的采购项目，投标人应充分、准确地了解所提供货物的制造企业、提供服 </w:t>
      </w:r>
    </w:p>
    <w:p>
      <w:pPr>
        <w:widowControl/>
        <w:spacing w:line="360" w:lineRule="auto"/>
        <w:jc w:val="left"/>
        <w:rPr>
          <w:color w:val="000000"/>
          <w:sz w:val="24"/>
        </w:rPr>
      </w:pPr>
      <w:r>
        <w:rPr>
          <w:rFonts w:hint="eastAsia"/>
          <w:color w:val="000000"/>
          <w:sz w:val="24"/>
        </w:rPr>
        <w:t xml:space="preserve">务的承接企业信息。对相关情况了解不清楚的，不建议填报本声明函。 </w:t>
      </w:r>
    </w:p>
    <w:p>
      <w:pPr>
        <w:widowControl/>
        <w:spacing w:line="360" w:lineRule="auto"/>
        <w:jc w:val="left"/>
        <w:rPr>
          <w:color w:val="000000"/>
          <w:sz w:val="24"/>
        </w:rPr>
      </w:pPr>
      <w:r>
        <w:rPr>
          <w:color w:val="000000"/>
          <w:sz w:val="24"/>
        </w:rPr>
        <w:t>4</w:t>
      </w:r>
      <w:r>
        <w:rPr>
          <w:rFonts w:hint="eastAsia"/>
          <w:color w:val="000000"/>
          <w:sz w:val="24"/>
        </w:rPr>
        <w:t xml:space="preserve">）温馨提示：为方便广大中小企业识别企业规模类型，工业和信息化部组织开发了中 </w:t>
      </w:r>
    </w:p>
    <w:p>
      <w:pPr>
        <w:widowControl/>
        <w:spacing w:line="360" w:lineRule="auto"/>
        <w:jc w:val="left"/>
        <w:rPr>
          <w:color w:val="000000"/>
          <w:sz w:val="24"/>
        </w:rPr>
      </w:pPr>
      <w:r>
        <w:rPr>
          <w:rFonts w:hint="eastAsia"/>
          <w:color w:val="000000"/>
          <w:sz w:val="24"/>
        </w:rPr>
        <w:t xml:space="preserve">小企业规模类型自测小程序，在国务院客户端和工业和信息化部网站上均有链接，投标 </w:t>
      </w:r>
    </w:p>
    <w:p>
      <w:pPr>
        <w:widowControl/>
        <w:spacing w:line="360" w:lineRule="auto"/>
        <w:jc w:val="left"/>
        <w:rPr>
          <w:color w:val="000000"/>
          <w:sz w:val="24"/>
        </w:rPr>
      </w:pPr>
      <w:r>
        <w:rPr>
          <w:rFonts w:hint="eastAsia"/>
          <w:color w:val="000000"/>
          <w:sz w:val="24"/>
        </w:rPr>
        <w:t xml:space="preserve">人填写所属的行业和指标数据可自动生成企业规模类型测试结果。本项目中小企业划分 </w:t>
      </w:r>
    </w:p>
    <w:p>
      <w:pPr>
        <w:widowControl/>
        <w:spacing w:line="360" w:lineRule="auto"/>
        <w:jc w:val="left"/>
        <w:rPr>
          <w:color w:val="000000"/>
          <w:sz w:val="24"/>
        </w:rPr>
      </w:pPr>
      <w:r>
        <w:rPr>
          <w:rFonts w:hint="eastAsia"/>
          <w:color w:val="000000"/>
          <w:sz w:val="24"/>
        </w:rPr>
        <w:t xml:space="preserve">标准所属行业详见第二章《投标人须知资料表》，如在该程序中未找到本项目文件规定 </w:t>
      </w:r>
    </w:p>
    <w:p>
      <w:pPr>
        <w:widowControl/>
        <w:spacing w:line="360" w:lineRule="auto"/>
        <w:jc w:val="left"/>
        <w:rPr>
          <w:color w:val="000000"/>
          <w:sz w:val="24"/>
        </w:rPr>
      </w:pPr>
      <w:r>
        <w:rPr>
          <w:rFonts w:hint="eastAsia"/>
          <w:color w:val="000000"/>
          <w:sz w:val="24"/>
        </w:rPr>
        <w:t xml:space="preserve">的中小企业划分标准所属行业，则按照《关于印发中小企业划型标准规定的通知（工信 </w:t>
      </w:r>
    </w:p>
    <w:p>
      <w:pPr>
        <w:widowControl/>
        <w:spacing w:line="360" w:lineRule="auto"/>
        <w:jc w:val="left"/>
        <w:rPr>
          <w:color w:val="000000"/>
          <w:sz w:val="24"/>
        </w:rPr>
      </w:pPr>
      <w:r>
        <w:rPr>
          <w:rFonts w:hint="eastAsia"/>
          <w:color w:val="000000"/>
          <w:sz w:val="24"/>
        </w:rPr>
        <w:t>部联企业﹝</w:t>
      </w:r>
      <w:r>
        <w:rPr>
          <w:color w:val="000000"/>
          <w:sz w:val="24"/>
        </w:rPr>
        <w:t>2011</w:t>
      </w:r>
      <w:r>
        <w:rPr>
          <w:rFonts w:hint="eastAsia"/>
          <w:color w:val="000000"/>
          <w:sz w:val="24"/>
        </w:rPr>
        <w:t>﹞</w:t>
      </w:r>
      <w:r>
        <w:rPr>
          <w:color w:val="000000"/>
          <w:sz w:val="24"/>
        </w:rPr>
        <w:t xml:space="preserve">300 </w:t>
      </w:r>
      <w:r>
        <w:rPr>
          <w:rFonts w:hint="eastAsia"/>
          <w:color w:val="000000"/>
          <w:sz w:val="24"/>
        </w:rPr>
        <w:t xml:space="preserve">号）》及本项目文件规定的中小企业划分标准所属行业执行。 </w:t>
      </w:r>
    </w:p>
    <w:p>
      <w:pPr>
        <w:widowControl/>
        <w:jc w:val="left"/>
        <w:rPr>
          <w:b/>
          <w:bCs/>
          <w:color w:val="000000"/>
          <w:sz w:val="24"/>
        </w:rPr>
      </w:pPr>
      <w:r>
        <w:rPr>
          <w:b/>
          <w:bCs/>
          <w:color w:val="000000"/>
          <w:sz w:val="24"/>
        </w:rPr>
        <w:br w:type="page"/>
      </w:r>
    </w:p>
    <w:p>
      <w:pPr>
        <w:widowControl/>
        <w:jc w:val="left"/>
        <w:rPr>
          <w:b/>
          <w:bCs/>
          <w:color w:val="000000"/>
          <w:sz w:val="24"/>
        </w:rPr>
      </w:pPr>
    </w:p>
    <w:p>
      <w:pPr>
        <w:spacing w:before="240" w:beforeLines="100" w:after="240" w:afterLines="100" w:line="360" w:lineRule="auto"/>
        <w:jc w:val="center"/>
        <w:rPr>
          <w:b/>
          <w:bCs/>
          <w:color w:val="000000"/>
          <w:sz w:val="36"/>
          <w:szCs w:val="36"/>
        </w:rPr>
      </w:pPr>
      <w:r>
        <w:rPr>
          <w:b/>
          <w:bCs/>
          <w:color w:val="000000"/>
          <w:sz w:val="36"/>
          <w:szCs w:val="36"/>
        </w:rPr>
        <w:t>中小企业声明函格式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w:t>
      </w:r>
      <w:r>
        <w:rPr>
          <w:rFonts w:hint="eastAsia"/>
          <w:kern w:val="0"/>
          <w:sz w:val="24"/>
        </w:rPr>
        <w:t xml:space="preserve">提供的货物全部由符合政策要求的中小企业制造。相关企业（含联合体中的中小企业、签订分包意向协议的中小企业）的具体情况如下： </w:t>
      </w:r>
    </w:p>
    <w:p>
      <w:pPr>
        <w:numPr>
          <w:ilvl w:val="0"/>
          <w:numId w:val="1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rFonts w:hint="eastAsia"/>
          <w:kern w:val="0"/>
          <w:sz w:val="24"/>
          <w:u w:color="000000"/>
        </w:rPr>
        <w:t>制造商</w:t>
      </w:r>
      <w:r>
        <w:rPr>
          <w:kern w:val="0"/>
          <w:sz w:val="24"/>
        </w:rPr>
        <w:t>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pPr>
        <w:numPr>
          <w:ilvl w:val="0"/>
          <w:numId w:val="1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rFonts w:hint="eastAsia"/>
          <w:kern w:val="0"/>
          <w:sz w:val="24"/>
          <w:u w:color="000000"/>
        </w:rPr>
        <w:t>制造商</w:t>
      </w:r>
      <w:r>
        <w:rPr>
          <w:kern w:val="0"/>
          <w:sz w:val="24"/>
        </w:rPr>
        <w:t>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firstLine="504"/>
        <w:rPr>
          <w:spacing w:val="6"/>
          <w:sz w:val="24"/>
        </w:rPr>
      </w:pP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adjustRightInd w:val="0"/>
        <w:snapToGrid w:val="0"/>
        <w:jc w:val="left"/>
        <w:rPr>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r>
        <w:br w:type="page"/>
      </w:r>
    </w:p>
    <w:p>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spacing w:line="360" w:lineRule="auto"/>
        <w:outlineLvl w:val="2"/>
        <w:rPr>
          <w:color w:val="000000"/>
          <w:sz w:val="24"/>
          <w:szCs w:val="20"/>
        </w:rPr>
        <w:sectPr>
          <w:pgSz w:w="11907" w:h="16840"/>
          <w:pgMar w:top="1418" w:right="1134" w:bottom="1418" w:left="1701" w:header="851" w:footer="851" w:gutter="0"/>
          <w:cols w:space="720" w:num="1"/>
          <w:docGrid w:linePitch="462" w:charSpace="0"/>
        </w:sectPr>
      </w:pPr>
      <w:r>
        <w:rPr>
          <w:color w:val="000000"/>
          <w:szCs w:val="20"/>
        </w:rPr>
        <w:br w:type="page"/>
      </w:r>
    </w:p>
    <w:p>
      <w:pPr>
        <w:spacing w:line="360" w:lineRule="auto"/>
        <w:outlineLvl w:val="2"/>
        <w:rPr>
          <w:color w:val="000000"/>
          <w:sz w:val="24"/>
          <w:szCs w:val="20"/>
        </w:rPr>
      </w:pPr>
      <w:r>
        <w:rPr>
          <w:rFonts w:hint="eastAsia"/>
          <w:color w:val="000000"/>
          <w:sz w:val="24"/>
          <w:szCs w:val="20"/>
        </w:rPr>
        <w:t>8</w:t>
      </w:r>
      <w:r>
        <w:rPr>
          <w:color w:val="000000"/>
          <w:sz w:val="24"/>
          <w:szCs w:val="20"/>
        </w:rPr>
        <w:t xml:space="preserve">  招标文件要求提供或投标人认为应附的其他材料</w:t>
      </w:r>
    </w:p>
    <w:p>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DejaVuSans-Bold">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y="1"/>
      <w:ind w:right="360"/>
      <w:rPr>
        <w:rStyle w:val="48"/>
      </w:rPr>
    </w:pPr>
  </w:p>
  <w:p>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8"/>
      </w:rPr>
      <w:instrText xml:space="preserve"> PAGE </w:instrText>
    </w:r>
    <w:r>
      <w:fldChar w:fldCharType="separate"/>
    </w:r>
    <w:r>
      <w:rPr>
        <w:rStyle w:val="48"/>
      </w:rPr>
      <w:t>48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p>
  <w:p>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4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ind w:firstLine="360"/>
                            <w:rPr>
                              <w:rStyle w:val="48"/>
                            </w:rPr>
                          </w:pPr>
                          <w:r>
                            <w:fldChar w:fldCharType="begin"/>
                          </w:r>
                          <w:r>
                            <w:rPr>
                              <w:rStyle w:val="48"/>
                            </w:rPr>
                            <w:instrText xml:space="preserve">PAGE  </w:instrText>
                          </w:r>
                          <w:r>
                            <w:fldChar w:fldCharType="separate"/>
                          </w:r>
                          <w:r>
                            <w:rPr>
                              <w:rStyle w:val="48"/>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8"/>
                      <w:ind w:firstLine="360"/>
                      <w:rPr>
                        <w:rStyle w:val="48"/>
                      </w:rPr>
                    </w:pPr>
                    <w:r>
                      <w:fldChar w:fldCharType="begin"/>
                    </w:r>
                    <w:r>
                      <w:rPr>
                        <w:rStyle w:val="48"/>
                      </w:rPr>
                      <w:instrText xml:space="preserve">PAGE  </w:instrText>
                    </w:r>
                    <w:r>
                      <w:fldChar w:fldCharType="separate"/>
                    </w:r>
                    <w:r>
                      <w:rPr>
                        <w:rStyle w:val="48"/>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中工国际招标有限公司-公开招标文件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中工国际招标有限公司-公开招标文件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中工国际招标有限公司-公开招标文件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ascii="宋体" w:hAnsi="宋体"/>
        <w:color w:val="000000"/>
        <w:u w:val="single"/>
      </w:rPr>
    </w:pPr>
    <w:r>
      <w:rPr>
        <w:rFonts w:hint="eastAsia"/>
      </w:rPr>
      <w:t>中工国际招标有限公司-公开招标文件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中工国际招标有限公司-公开招标文件</w:t>
    </w:r>
  </w:p>
  <w:p>
    <w:pPr>
      <w:pStyle w:val="3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中工国际招标有限公司-公开招标文件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FE68D"/>
    <w:multiLevelType w:val="singleLevel"/>
    <w:tmpl w:val="871FE68D"/>
    <w:lvl w:ilvl="0" w:tentative="0">
      <w:start w:val="6"/>
      <w:numFmt w:val="decimal"/>
      <w:suff w:val="nothing"/>
      <w:lvlText w:val="%1、"/>
      <w:lvlJc w:val="left"/>
    </w:lvl>
  </w:abstractNum>
  <w:abstractNum w:abstractNumId="1">
    <w:nsid w:val="D63F7E76"/>
    <w:multiLevelType w:val="singleLevel"/>
    <w:tmpl w:val="D63F7E76"/>
    <w:lvl w:ilvl="0" w:tentative="0">
      <w:start w:val="5"/>
      <w:numFmt w:val="chineseCounting"/>
      <w:suff w:val="space"/>
      <w:lvlText w:val="第%1章"/>
      <w:lvlJc w:val="left"/>
      <w:rPr>
        <w:rFonts w:hint="eastAsia"/>
      </w:rPr>
    </w:lvl>
  </w:abstractNum>
  <w:abstractNum w:abstractNumId="2">
    <w:nsid w:val="E0BDA338"/>
    <w:multiLevelType w:val="singleLevel"/>
    <w:tmpl w:val="E0BDA338"/>
    <w:lvl w:ilvl="0" w:tentative="0">
      <w:start w:val="1"/>
      <w:numFmt w:val="decimal"/>
      <w:suff w:val="nothing"/>
      <w:lvlText w:val="%1、"/>
      <w:lvlJc w:val="left"/>
    </w:lvl>
  </w:abstractNum>
  <w:abstractNum w:abstractNumId="3">
    <w:nsid w:val="F7A957F6"/>
    <w:multiLevelType w:val="singleLevel"/>
    <w:tmpl w:val="F7A957F6"/>
    <w:lvl w:ilvl="0" w:tentative="0">
      <w:start w:val="1"/>
      <w:numFmt w:val="decimal"/>
      <w:lvlText w:val="%1."/>
      <w:lvlJc w:val="left"/>
      <w:pPr>
        <w:tabs>
          <w:tab w:val="left" w:pos="312"/>
        </w:tabs>
      </w:p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8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16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3"/>
    <w:multiLevelType w:val="singleLevel"/>
    <w:tmpl w:val="00000013"/>
    <w:lvl w:ilvl="0" w:tentative="0">
      <w:start w:val="1"/>
      <w:numFmt w:val="decimal"/>
      <w:pStyle w:val="133"/>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8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F"/>
    <w:multiLevelType w:val="multilevel"/>
    <w:tmpl w:val="0000002F"/>
    <w:lvl w:ilvl="0" w:tentative="0">
      <w:start w:val="1"/>
      <w:numFmt w:val="decimal"/>
      <w:pStyle w:val="8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3">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8"/>
  </w:num>
  <w:num w:numId="2">
    <w:abstractNumId w:val="11"/>
  </w:num>
  <w:num w:numId="3">
    <w:abstractNumId w:val="5"/>
  </w:num>
  <w:num w:numId="4">
    <w:abstractNumId w:val="9"/>
  </w:num>
  <w:num w:numId="5">
    <w:abstractNumId w:val="7"/>
  </w:num>
  <w:num w:numId="6">
    <w:abstractNumId w:val="6"/>
  </w:num>
  <w:num w:numId="7">
    <w:abstractNumId w:val="13"/>
  </w:num>
  <w:num w:numId="8">
    <w:abstractNumId w:val="10"/>
  </w:num>
  <w:num w:numId="9">
    <w:abstractNumId w:val="15"/>
  </w:num>
  <w:num w:numId="10">
    <w:abstractNumId w:val="4"/>
  </w:num>
  <w:num w:numId="11">
    <w:abstractNumId w:val="17"/>
  </w:num>
  <w:num w:numId="12">
    <w:abstractNumId w:val="14"/>
  </w:num>
  <w:num w:numId="13">
    <w:abstractNumId w:val="18"/>
  </w:num>
  <w:num w:numId="14">
    <w:abstractNumId w:val="1"/>
  </w:num>
  <w:num w:numId="15">
    <w:abstractNumId w:val="3"/>
  </w:num>
  <w:num w:numId="16">
    <w:abstractNumId w:val="2"/>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GNhM2FkOTljNzc4MDljYTQwNjY2YTZjY2E5NjJmZD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051"/>
    <w:rsid w:val="0001235C"/>
    <w:rsid w:val="00012486"/>
    <w:rsid w:val="000124BE"/>
    <w:rsid w:val="000125B2"/>
    <w:rsid w:val="000125FF"/>
    <w:rsid w:val="00012A66"/>
    <w:rsid w:val="00012BE6"/>
    <w:rsid w:val="00012C45"/>
    <w:rsid w:val="00012EBE"/>
    <w:rsid w:val="000131D3"/>
    <w:rsid w:val="00013380"/>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2D2"/>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3F1B"/>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2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D86"/>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C6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2DB2"/>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3FE9"/>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2B4"/>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168"/>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728"/>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486"/>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18E"/>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5E"/>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3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09C"/>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DD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87CC5"/>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D7B"/>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3B"/>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CF4"/>
    <w:rsid w:val="004F4FDD"/>
    <w:rsid w:val="004F50AD"/>
    <w:rsid w:val="004F535D"/>
    <w:rsid w:val="004F54BD"/>
    <w:rsid w:val="004F599C"/>
    <w:rsid w:val="004F6066"/>
    <w:rsid w:val="004F6349"/>
    <w:rsid w:val="004F639C"/>
    <w:rsid w:val="004F6435"/>
    <w:rsid w:val="004F66C8"/>
    <w:rsid w:val="004F670B"/>
    <w:rsid w:val="004F68E3"/>
    <w:rsid w:val="004F6AB5"/>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76B"/>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9E6"/>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2D8"/>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3E6"/>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B2"/>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544"/>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40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5A"/>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3C1"/>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7A0"/>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536"/>
    <w:rsid w:val="00712646"/>
    <w:rsid w:val="007126CA"/>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4F"/>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2FBE"/>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AA3"/>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04F"/>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B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6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262"/>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03"/>
    <w:rsid w:val="007F4A41"/>
    <w:rsid w:val="007F4AC6"/>
    <w:rsid w:val="007F4B3B"/>
    <w:rsid w:val="007F4B5E"/>
    <w:rsid w:val="007F4E0E"/>
    <w:rsid w:val="007F4E9D"/>
    <w:rsid w:val="007F5150"/>
    <w:rsid w:val="007F51F7"/>
    <w:rsid w:val="007F574C"/>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58E"/>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72A"/>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C69"/>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94F"/>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747"/>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5D"/>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DB4"/>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591"/>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8A"/>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AE2"/>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B63"/>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D19"/>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CA6"/>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570"/>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0F44"/>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86D"/>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47FC6"/>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31"/>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4A4"/>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3EF1"/>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39"/>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0E"/>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460"/>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5F56"/>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B0D"/>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ACA"/>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2FFF"/>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26D"/>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5D"/>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3DA"/>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49"/>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39E"/>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7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AF"/>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4AD"/>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836"/>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9ED"/>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5C"/>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126"/>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8E4"/>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59"/>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24E"/>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E03"/>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6F559D"/>
    <w:rsid w:val="01BD17FD"/>
    <w:rsid w:val="029D4CAF"/>
    <w:rsid w:val="03C25563"/>
    <w:rsid w:val="04FB4F75"/>
    <w:rsid w:val="05C702EC"/>
    <w:rsid w:val="062F5434"/>
    <w:rsid w:val="068D6C50"/>
    <w:rsid w:val="07187830"/>
    <w:rsid w:val="07B73C6C"/>
    <w:rsid w:val="083E11BD"/>
    <w:rsid w:val="09F6435F"/>
    <w:rsid w:val="0B660C1A"/>
    <w:rsid w:val="0BA63A89"/>
    <w:rsid w:val="0CAD50A3"/>
    <w:rsid w:val="0CDF2F6F"/>
    <w:rsid w:val="0DBA0E49"/>
    <w:rsid w:val="0EC85E06"/>
    <w:rsid w:val="0F144A26"/>
    <w:rsid w:val="0F1D06C0"/>
    <w:rsid w:val="0F6E6DCA"/>
    <w:rsid w:val="0FBA55CD"/>
    <w:rsid w:val="0FDD19F6"/>
    <w:rsid w:val="107B4D5D"/>
    <w:rsid w:val="12011292"/>
    <w:rsid w:val="12952CF3"/>
    <w:rsid w:val="14A91383"/>
    <w:rsid w:val="14C50709"/>
    <w:rsid w:val="1674297A"/>
    <w:rsid w:val="169E79F7"/>
    <w:rsid w:val="16A938D8"/>
    <w:rsid w:val="16C321D0"/>
    <w:rsid w:val="17F93E0B"/>
    <w:rsid w:val="18E23876"/>
    <w:rsid w:val="1B3B410E"/>
    <w:rsid w:val="1C156C5F"/>
    <w:rsid w:val="1C455CA5"/>
    <w:rsid w:val="1CE25313"/>
    <w:rsid w:val="1CF87735"/>
    <w:rsid w:val="1D036182"/>
    <w:rsid w:val="1D1F1166"/>
    <w:rsid w:val="1D2C69D2"/>
    <w:rsid w:val="1D35300A"/>
    <w:rsid w:val="203104A4"/>
    <w:rsid w:val="211F7986"/>
    <w:rsid w:val="239E00B4"/>
    <w:rsid w:val="251E74A4"/>
    <w:rsid w:val="2533755C"/>
    <w:rsid w:val="255F47F5"/>
    <w:rsid w:val="256F66B2"/>
    <w:rsid w:val="258171FE"/>
    <w:rsid w:val="25E22D30"/>
    <w:rsid w:val="26776A98"/>
    <w:rsid w:val="268A2D2E"/>
    <w:rsid w:val="276370CF"/>
    <w:rsid w:val="27843CE5"/>
    <w:rsid w:val="296B5C08"/>
    <w:rsid w:val="29B726F0"/>
    <w:rsid w:val="29D1654E"/>
    <w:rsid w:val="2A0B7A5C"/>
    <w:rsid w:val="2B7331A2"/>
    <w:rsid w:val="2BE81816"/>
    <w:rsid w:val="2C152CF0"/>
    <w:rsid w:val="2C1E4B51"/>
    <w:rsid w:val="2C92725E"/>
    <w:rsid w:val="2D28646E"/>
    <w:rsid w:val="2DAE0A02"/>
    <w:rsid w:val="2DD020A6"/>
    <w:rsid w:val="2E5073D1"/>
    <w:rsid w:val="2E5B3930"/>
    <w:rsid w:val="2F413C3C"/>
    <w:rsid w:val="2F6D6520"/>
    <w:rsid w:val="2FBC3E46"/>
    <w:rsid w:val="315A418C"/>
    <w:rsid w:val="32EB653A"/>
    <w:rsid w:val="33437504"/>
    <w:rsid w:val="34585B96"/>
    <w:rsid w:val="37A677C4"/>
    <w:rsid w:val="38167504"/>
    <w:rsid w:val="39564258"/>
    <w:rsid w:val="3A0A256D"/>
    <w:rsid w:val="3A723EB7"/>
    <w:rsid w:val="3A91636E"/>
    <w:rsid w:val="3BCB6780"/>
    <w:rsid w:val="3C340332"/>
    <w:rsid w:val="3CA42B32"/>
    <w:rsid w:val="3D624284"/>
    <w:rsid w:val="3DDD1542"/>
    <w:rsid w:val="3F1918B1"/>
    <w:rsid w:val="3F267BCD"/>
    <w:rsid w:val="3FCA3D33"/>
    <w:rsid w:val="40B51257"/>
    <w:rsid w:val="42701998"/>
    <w:rsid w:val="42B54940"/>
    <w:rsid w:val="42CD0A98"/>
    <w:rsid w:val="42F85E42"/>
    <w:rsid w:val="431A0C09"/>
    <w:rsid w:val="452B3913"/>
    <w:rsid w:val="45745A75"/>
    <w:rsid w:val="45E8301C"/>
    <w:rsid w:val="466766E6"/>
    <w:rsid w:val="469C7BFB"/>
    <w:rsid w:val="47360A01"/>
    <w:rsid w:val="480E2158"/>
    <w:rsid w:val="485F27BF"/>
    <w:rsid w:val="4B64544A"/>
    <w:rsid w:val="4B65373A"/>
    <w:rsid w:val="4CFE2ECD"/>
    <w:rsid w:val="4D00163A"/>
    <w:rsid w:val="4E010960"/>
    <w:rsid w:val="4E826308"/>
    <w:rsid w:val="4E9216F8"/>
    <w:rsid w:val="4ED056C5"/>
    <w:rsid w:val="4F0F5BE3"/>
    <w:rsid w:val="509B22D6"/>
    <w:rsid w:val="50D457E8"/>
    <w:rsid w:val="51F078E9"/>
    <w:rsid w:val="52422029"/>
    <w:rsid w:val="52600F5C"/>
    <w:rsid w:val="528D20F2"/>
    <w:rsid w:val="54EB4356"/>
    <w:rsid w:val="55040901"/>
    <w:rsid w:val="55236D3E"/>
    <w:rsid w:val="56302068"/>
    <w:rsid w:val="56A93273"/>
    <w:rsid w:val="56DF05DE"/>
    <w:rsid w:val="56F70118"/>
    <w:rsid w:val="57FC6189"/>
    <w:rsid w:val="58C3293F"/>
    <w:rsid w:val="5996622D"/>
    <w:rsid w:val="59CE11E0"/>
    <w:rsid w:val="5A1447FD"/>
    <w:rsid w:val="5AA52A0D"/>
    <w:rsid w:val="5B2509AE"/>
    <w:rsid w:val="5B954851"/>
    <w:rsid w:val="5BD4106F"/>
    <w:rsid w:val="5C380238"/>
    <w:rsid w:val="5C400064"/>
    <w:rsid w:val="5C9D73E9"/>
    <w:rsid w:val="5D7E596D"/>
    <w:rsid w:val="5F073306"/>
    <w:rsid w:val="5F5F73B9"/>
    <w:rsid w:val="5F6A430D"/>
    <w:rsid w:val="5F7568CD"/>
    <w:rsid w:val="5FC202C1"/>
    <w:rsid w:val="6153504B"/>
    <w:rsid w:val="62980983"/>
    <w:rsid w:val="63810B09"/>
    <w:rsid w:val="64145800"/>
    <w:rsid w:val="6838144E"/>
    <w:rsid w:val="68AA7398"/>
    <w:rsid w:val="69C86B5B"/>
    <w:rsid w:val="6A75729C"/>
    <w:rsid w:val="6AB4431A"/>
    <w:rsid w:val="6ABF4986"/>
    <w:rsid w:val="6CB57E24"/>
    <w:rsid w:val="6CB90DF2"/>
    <w:rsid w:val="6CF40891"/>
    <w:rsid w:val="6E381203"/>
    <w:rsid w:val="6ED0753E"/>
    <w:rsid w:val="6F4D07E7"/>
    <w:rsid w:val="6F755C7D"/>
    <w:rsid w:val="6F97D24A"/>
    <w:rsid w:val="6FC3459F"/>
    <w:rsid w:val="70014C6D"/>
    <w:rsid w:val="7024008C"/>
    <w:rsid w:val="70A67D22"/>
    <w:rsid w:val="7145584D"/>
    <w:rsid w:val="72165809"/>
    <w:rsid w:val="72FA7564"/>
    <w:rsid w:val="742C597A"/>
    <w:rsid w:val="745E53D7"/>
    <w:rsid w:val="74D65405"/>
    <w:rsid w:val="74FB2A94"/>
    <w:rsid w:val="754C6FD2"/>
    <w:rsid w:val="762C4D21"/>
    <w:rsid w:val="77B72E7C"/>
    <w:rsid w:val="78074C4E"/>
    <w:rsid w:val="794A6517"/>
    <w:rsid w:val="7B6C6926"/>
    <w:rsid w:val="7BC506FF"/>
    <w:rsid w:val="7C8D0D98"/>
    <w:rsid w:val="7E002EC9"/>
    <w:rsid w:val="7E3A0780"/>
    <w:rsid w:val="7F4E0536"/>
    <w:rsid w:val="7F5E6B3D"/>
    <w:rsid w:val="7F614D37"/>
    <w:rsid w:val="7F69341C"/>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9"/>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1"/>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3"/>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8"/>
    <w:qFormat/>
    <w:uiPriority w:val="0"/>
    <w:pPr>
      <w:tabs>
        <w:tab w:val="left" w:pos="567"/>
      </w:tabs>
      <w:spacing w:before="120" w:line="22" w:lineRule="atLeast"/>
    </w:pPr>
    <w:rPr>
      <w:rFonts w:ascii="宋体" w:hAnsi="宋体"/>
      <w:sz w:val="24"/>
    </w:rPr>
  </w:style>
  <w:style w:type="paragraph" w:styleId="12">
    <w:name w:val="toc 7"/>
    <w:basedOn w:val="1"/>
    <w:next w:val="1"/>
    <w:autoRedefine/>
    <w:qFormat/>
    <w:uiPriority w:val="0"/>
    <w:pPr>
      <w:ind w:left="2520" w:leftChars="1200"/>
    </w:pPr>
  </w:style>
  <w:style w:type="paragraph" w:styleId="13">
    <w:name w:val="Normal Indent"/>
    <w:basedOn w:val="1"/>
    <w:link w:val="62"/>
    <w:autoRedefine/>
    <w:qFormat/>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236"/>
    <w:autoRedefine/>
    <w:qFormat/>
    <w:uiPriority w:val="0"/>
    <w:pPr>
      <w:shd w:val="clear" w:color="auto" w:fill="000080"/>
    </w:pPr>
  </w:style>
  <w:style w:type="paragraph" w:styleId="16">
    <w:name w:val="annotation text"/>
    <w:basedOn w:val="1"/>
    <w:link w:val="182"/>
    <w:autoRedefine/>
    <w:qFormat/>
    <w:uiPriority w:val="99"/>
    <w:pPr>
      <w:jc w:val="left"/>
    </w:pPr>
  </w:style>
  <w:style w:type="paragraph" w:styleId="17">
    <w:name w:val="Body Text 3"/>
    <w:basedOn w:val="1"/>
    <w:link w:val="237"/>
    <w:autoRedefine/>
    <w:qFormat/>
    <w:uiPriority w:val="0"/>
    <w:pPr>
      <w:spacing w:after="120"/>
    </w:pPr>
    <w:rPr>
      <w:sz w:val="16"/>
      <w:szCs w:val="16"/>
    </w:rPr>
  </w:style>
  <w:style w:type="paragraph" w:styleId="18">
    <w:name w:val="Body Text Indent"/>
    <w:basedOn w:val="1"/>
    <w:link w:val="67"/>
    <w:autoRedefine/>
    <w:qFormat/>
    <w:uiPriority w:val="0"/>
    <w:pPr>
      <w:spacing w:line="360" w:lineRule="auto"/>
      <w:ind w:firstLine="570"/>
    </w:pPr>
    <w:rPr>
      <w:sz w:val="24"/>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202"/>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239"/>
    <w:autoRedefine/>
    <w:qFormat/>
    <w:uiPriority w:val="0"/>
    <w:pPr>
      <w:ind w:left="100" w:leftChars="2500"/>
    </w:pPr>
    <w:rPr>
      <w:rFonts w:ascii="仿宋_GB2312" w:hAnsi="宋体" w:eastAsia="仿宋_GB2312"/>
      <w:color w:val="000000"/>
      <w:sz w:val="24"/>
    </w:rPr>
  </w:style>
  <w:style w:type="paragraph" w:styleId="26">
    <w:name w:val="Body Text Indent 2"/>
    <w:basedOn w:val="1"/>
    <w:link w:val="240"/>
    <w:autoRedefine/>
    <w:qFormat/>
    <w:uiPriority w:val="0"/>
    <w:pPr>
      <w:ind w:firstLine="480" w:firstLineChars="200"/>
    </w:pPr>
    <w:rPr>
      <w:rFonts w:ascii="仿宋_GB2312" w:eastAsia="仿宋_GB2312"/>
      <w:sz w:val="24"/>
    </w:rPr>
  </w:style>
  <w:style w:type="paragraph" w:styleId="27">
    <w:name w:val="Balloon Text"/>
    <w:basedOn w:val="1"/>
    <w:link w:val="241"/>
    <w:autoRedefine/>
    <w:qFormat/>
    <w:uiPriority w:val="0"/>
    <w:rPr>
      <w:sz w:val="18"/>
      <w:szCs w:val="18"/>
    </w:rPr>
  </w:style>
  <w:style w:type="paragraph" w:styleId="28">
    <w:name w:val="footer"/>
    <w:basedOn w:val="1"/>
    <w:next w:val="1"/>
    <w:link w:val="169"/>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autoRedefine/>
    <w:qFormat/>
    <w:uiPriority w:val="0"/>
    <w:pPr>
      <w:snapToGrid w:val="0"/>
    </w:pPr>
    <w:rPr>
      <w:rFonts w:ascii="Arial" w:hAnsi="Arial"/>
    </w:rPr>
  </w:style>
  <w:style w:type="paragraph" w:styleId="30">
    <w:name w:val="header"/>
    <w:basedOn w:val="1"/>
    <w:link w:val="76"/>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2100" w:leftChars="1000"/>
    </w:pPr>
  </w:style>
  <w:style w:type="paragraph" w:styleId="34">
    <w:name w:val="Body Text Indent 3"/>
    <w:basedOn w:val="1"/>
    <w:link w:val="242"/>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autoRedefine/>
    <w:qFormat/>
    <w:uiPriority w:val="39"/>
    <w:pPr>
      <w:tabs>
        <w:tab w:val="right" w:leader="dot" w:pos="8937"/>
      </w:tabs>
      <w:spacing w:line="312" w:lineRule="auto"/>
      <w:ind w:left="420" w:leftChars="200"/>
    </w:pPr>
  </w:style>
  <w:style w:type="paragraph" w:styleId="36">
    <w:name w:val="toc 9"/>
    <w:basedOn w:val="1"/>
    <w:next w:val="1"/>
    <w:autoRedefine/>
    <w:qFormat/>
    <w:uiPriority w:val="0"/>
    <w:pPr>
      <w:ind w:left="3360" w:leftChars="1600"/>
    </w:pPr>
  </w:style>
  <w:style w:type="paragraph" w:styleId="37">
    <w:name w:val="HTML Preformatted"/>
    <w:basedOn w:val="1"/>
    <w:link w:val="2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rPr>
      <w:szCs w:val="20"/>
    </w:rPr>
  </w:style>
  <w:style w:type="paragraph" w:styleId="40">
    <w:name w:val="Title"/>
    <w:basedOn w:val="1"/>
    <w:link w:val="188"/>
    <w:autoRedefine/>
    <w:qFormat/>
    <w:uiPriority w:val="0"/>
    <w:pPr>
      <w:jc w:val="center"/>
      <w:outlineLvl w:val="0"/>
    </w:pPr>
    <w:rPr>
      <w:b/>
      <w:sz w:val="32"/>
      <w:szCs w:val="20"/>
    </w:rPr>
  </w:style>
  <w:style w:type="paragraph" w:styleId="41">
    <w:name w:val="annotation subject"/>
    <w:basedOn w:val="16"/>
    <w:next w:val="16"/>
    <w:link w:val="244"/>
    <w:autoRedefine/>
    <w:qFormat/>
    <w:uiPriority w:val="0"/>
    <w:rPr>
      <w:b/>
      <w:bCs/>
    </w:rPr>
  </w:style>
  <w:style w:type="paragraph" w:styleId="42">
    <w:name w:val="Body Text First Indent 2"/>
    <w:basedOn w:val="18"/>
    <w:link w:val="245"/>
    <w:autoRedefine/>
    <w:qFormat/>
    <w:uiPriority w:val="0"/>
    <w:pPr>
      <w:spacing w:after="120" w:line="480" w:lineRule="exact"/>
      <w:ind w:left="420" w:leftChars="200" w:firstLine="420" w:firstLineChars="200"/>
    </w:pPr>
    <w:rPr>
      <w:szCs w:val="20"/>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character" w:customStyle="1" w:styleId="54">
    <w:name w:val="标题 2 字符"/>
    <w:link w:val="4"/>
    <w:autoRedefine/>
    <w:qFormat/>
    <w:uiPriority w:val="0"/>
    <w:rPr>
      <w:rFonts w:ascii="Arial" w:hAnsi="Arial" w:eastAsia="黑体"/>
      <w:b/>
      <w:sz w:val="30"/>
      <w:lang w:val="en-US" w:eastAsia="zh-CN" w:bidi="ar-SA"/>
    </w:rPr>
  </w:style>
  <w:style w:type="character" w:customStyle="1" w:styleId="55">
    <w:name w:val="标题 3 字符"/>
    <w:link w:val="5"/>
    <w:autoRedefine/>
    <w:qFormat/>
    <w:uiPriority w:val="0"/>
    <w:rPr>
      <w:rFonts w:ascii="宋体" w:eastAsia="宋体"/>
      <w:b/>
      <w:sz w:val="24"/>
      <w:u w:val="single"/>
      <w:lang w:val="en-US" w:eastAsia="zh-CN" w:bidi="ar-SA"/>
    </w:rPr>
  </w:style>
  <w:style w:type="character" w:customStyle="1" w:styleId="56">
    <w:name w:val="c21"/>
    <w:autoRedefine/>
    <w:qFormat/>
    <w:uiPriority w:val="0"/>
    <w:rPr>
      <w:rFonts w:hint="default" w:ascii="ˎ̥" w:hAnsi="ˎ̥"/>
      <w:color w:val="000000"/>
      <w:sz w:val="20"/>
      <w:szCs w:val="20"/>
      <w:u w:val="none"/>
    </w:rPr>
  </w:style>
  <w:style w:type="character" w:customStyle="1" w:styleId="57">
    <w:name w:val="title4"/>
    <w:autoRedefine/>
    <w:qFormat/>
    <w:uiPriority w:val="0"/>
    <w:rPr>
      <w:b/>
      <w:bCs/>
      <w:color w:val="1D87B3"/>
      <w:sz w:val="15"/>
      <w:szCs w:val="15"/>
    </w:rPr>
  </w:style>
  <w:style w:type="character" w:customStyle="1" w:styleId="58">
    <w:name w:val="标题 2 Char Char"/>
    <w:autoRedefine/>
    <w:qFormat/>
    <w:uiPriority w:val="0"/>
    <w:rPr>
      <w:rFonts w:ascii="Arial" w:hAnsi="Arial" w:eastAsia="黑体"/>
      <w:b/>
      <w:bCs/>
      <w:kern w:val="2"/>
      <w:sz w:val="32"/>
      <w:szCs w:val="32"/>
      <w:lang w:val="en-US" w:eastAsia="zh-CN" w:bidi="ar-SA"/>
    </w:rPr>
  </w:style>
  <w:style w:type="character" w:customStyle="1" w:styleId="59">
    <w:name w:val="black1"/>
    <w:autoRedefine/>
    <w:qFormat/>
    <w:uiPriority w:val="0"/>
    <w:rPr>
      <w:color w:val="000000"/>
    </w:rPr>
  </w:style>
  <w:style w:type="character" w:customStyle="1" w:styleId="60">
    <w:name w:val="street-address"/>
    <w:basedOn w:val="46"/>
    <w:autoRedefine/>
    <w:qFormat/>
    <w:uiPriority w:val="0"/>
  </w:style>
  <w:style w:type="character" w:customStyle="1" w:styleId="61">
    <w:name w:val="locality"/>
    <w:basedOn w:val="46"/>
    <w:autoRedefine/>
    <w:qFormat/>
    <w:uiPriority w:val="0"/>
  </w:style>
  <w:style w:type="character" w:customStyle="1" w:styleId="62">
    <w:name w:val="正文缩进 字符"/>
    <w:link w:val="13"/>
    <w:autoRedefine/>
    <w:qFormat/>
    <w:uiPriority w:val="0"/>
    <w:rPr>
      <w:rFonts w:ascii="宋体" w:eastAsia="宋体"/>
      <w:kern w:val="2"/>
      <w:sz w:val="24"/>
      <w:szCs w:val="24"/>
      <w:lang w:val="en-US" w:eastAsia="zh-CN" w:bidi="ar-SA"/>
    </w:rPr>
  </w:style>
  <w:style w:type="character" w:customStyle="1" w:styleId="63">
    <w:name w:val="正文文本缩进 Char1"/>
    <w:link w:val="64"/>
    <w:autoRedefine/>
    <w:qFormat/>
    <w:uiPriority w:val="0"/>
    <w:rPr>
      <w:rFonts w:ascii="宋体" w:hAnsi="宋体" w:eastAsia="宋体"/>
      <w:sz w:val="24"/>
      <w:szCs w:val="24"/>
      <w:lang w:bidi="ar-SA"/>
    </w:rPr>
  </w:style>
  <w:style w:type="paragraph" w:customStyle="1" w:styleId="64">
    <w:name w:val="正文文本缩进1"/>
    <w:basedOn w:val="1"/>
    <w:link w:val="63"/>
    <w:autoRedefine/>
    <w:qFormat/>
    <w:uiPriority w:val="0"/>
    <w:pPr>
      <w:spacing w:line="480" w:lineRule="exact"/>
      <w:ind w:firstLine="480" w:firstLineChars="200"/>
    </w:pPr>
    <w:rPr>
      <w:rFonts w:ascii="宋体" w:hAnsi="宋体"/>
      <w:kern w:val="0"/>
      <w:sz w:val="24"/>
    </w:rPr>
  </w:style>
  <w:style w:type="character" w:customStyle="1" w:styleId="65">
    <w:name w:val="Char Char11"/>
    <w:autoRedefine/>
    <w:qFormat/>
    <w:uiPriority w:val="0"/>
    <w:rPr>
      <w:rFonts w:ascii="宋体" w:eastAsia="宋体"/>
      <w:b/>
      <w:sz w:val="24"/>
      <w:u w:val="single"/>
      <w:lang w:val="en-US" w:eastAsia="zh-CN" w:bidi="ar-SA"/>
    </w:rPr>
  </w:style>
  <w:style w:type="character" w:customStyle="1" w:styleId="66">
    <w:name w:val="txt"/>
    <w:basedOn w:val="46"/>
    <w:autoRedefine/>
    <w:qFormat/>
    <w:uiPriority w:val="0"/>
  </w:style>
  <w:style w:type="character" w:customStyle="1" w:styleId="67">
    <w:name w:val="正文文本缩进 字符"/>
    <w:link w:val="18"/>
    <w:autoRedefine/>
    <w:qFormat/>
    <w:uiPriority w:val="0"/>
    <w:rPr>
      <w:rFonts w:eastAsia="宋体"/>
      <w:kern w:val="2"/>
      <w:sz w:val="24"/>
      <w:szCs w:val="24"/>
      <w:lang w:val="en-US" w:eastAsia="zh-CN" w:bidi="ar-SA"/>
    </w:rPr>
  </w:style>
  <w:style w:type="character" w:customStyle="1" w:styleId="68">
    <w:name w:val="正文缩进 Char Char"/>
    <w:link w:val="69"/>
    <w:autoRedefine/>
    <w:qFormat/>
    <w:uiPriority w:val="0"/>
    <w:rPr>
      <w:rFonts w:ascii="宋体" w:eastAsia="宋体"/>
      <w:snapToGrid w:val="0"/>
      <w:color w:val="000000"/>
      <w:kern w:val="28"/>
      <w:sz w:val="28"/>
      <w:lang w:bidi="ar-SA"/>
    </w:rPr>
  </w:style>
  <w:style w:type="paragraph" w:customStyle="1" w:styleId="69">
    <w:name w:val="正文缩进1"/>
    <w:basedOn w:val="1"/>
    <w:link w:val="6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autoRedefine/>
    <w:qFormat/>
    <w:uiPriority w:val="0"/>
    <w:rPr>
      <w:rFonts w:ascii="宋体" w:hAnsi="Courier New" w:eastAsia="宋体"/>
      <w:kern w:val="2"/>
      <w:sz w:val="21"/>
      <w:lang w:val="en-US" w:eastAsia="zh-CN" w:bidi="ar-SA"/>
    </w:rPr>
  </w:style>
  <w:style w:type="character" w:customStyle="1" w:styleId="71">
    <w:name w:val="chanpin1"/>
    <w:autoRedefine/>
    <w:qFormat/>
    <w:uiPriority w:val="0"/>
    <w:rPr>
      <w:rFonts w:hint="default" w:ascii="ˎ̥" w:hAnsi="ˎ̥"/>
      <w:color w:val="000000"/>
      <w:sz w:val="20"/>
      <w:szCs w:val="20"/>
      <w:u w:val="none"/>
    </w:rPr>
  </w:style>
  <w:style w:type="character" w:customStyle="1" w:styleId="72">
    <w:name w:val="列表段落 字符"/>
    <w:link w:val="73"/>
    <w:autoRedefine/>
    <w:qFormat/>
    <w:uiPriority w:val="34"/>
    <w:rPr>
      <w:rFonts w:ascii="Calibri" w:hAnsi="Calibri" w:eastAsia="宋体"/>
      <w:kern w:val="2"/>
      <w:sz w:val="21"/>
      <w:szCs w:val="22"/>
      <w:lang w:val="en-US" w:eastAsia="zh-CN" w:bidi="ar-SA"/>
    </w:rPr>
  </w:style>
  <w:style w:type="paragraph" w:styleId="73">
    <w:name w:val="List Paragraph"/>
    <w:basedOn w:val="1"/>
    <w:link w:val="72"/>
    <w:autoRedefine/>
    <w:qFormat/>
    <w:uiPriority w:val="34"/>
    <w:pPr>
      <w:ind w:firstLine="420" w:firstLineChars="200"/>
    </w:pPr>
    <w:rPr>
      <w:rFonts w:ascii="Calibri" w:hAnsi="Calibri"/>
      <w:szCs w:val="22"/>
    </w:rPr>
  </w:style>
  <w:style w:type="character" w:customStyle="1" w:styleId="74">
    <w:name w:val="标题 3 Char Char"/>
    <w:autoRedefine/>
    <w:qFormat/>
    <w:uiPriority w:val="0"/>
    <w:rPr>
      <w:rFonts w:eastAsia="宋体"/>
      <w:b/>
      <w:bCs/>
      <w:kern w:val="2"/>
      <w:sz w:val="32"/>
      <w:szCs w:val="32"/>
      <w:lang w:val="en-US" w:eastAsia="zh-CN" w:bidi="ar-SA"/>
    </w:rPr>
  </w:style>
  <w:style w:type="character" w:customStyle="1" w:styleId="75">
    <w:name w:val="段1 Char"/>
    <w:autoRedefine/>
    <w:qFormat/>
    <w:uiPriority w:val="0"/>
    <w:rPr>
      <w:rFonts w:ascii="宋体" w:eastAsia="宋体"/>
      <w:sz w:val="24"/>
      <w:lang w:val="en-US" w:eastAsia="zh-CN" w:bidi="ar-SA"/>
    </w:rPr>
  </w:style>
  <w:style w:type="character" w:customStyle="1" w:styleId="76">
    <w:name w:val="页眉 字符"/>
    <w:link w:val="30"/>
    <w:autoRedefine/>
    <w:qFormat/>
    <w:uiPriority w:val="0"/>
    <w:rPr>
      <w:rFonts w:eastAsia="宋体"/>
      <w:kern w:val="2"/>
      <w:sz w:val="18"/>
      <w:szCs w:val="18"/>
      <w:lang w:val="en-US" w:eastAsia="zh-CN" w:bidi="ar-SA"/>
    </w:rPr>
  </w:style>
  <w:style w:type="character" w:customStyle="1" w:styleId="77">
    <w:name w:val="chanpin拷贝"/>
    <w:basedOn w:val="46"/>
    <w:autoRedefine/>
    <w:qFormat/>
    <w:uiPriority w:val="0"/>
  </w:style>
  <w:style w:type="character" w:customStyle="1" w:styleId="78">
    <w:name w:val="纯文本 Char1"/>
    <w:autoRedefine/>
    <w:qFormat/>
    <w:uiPriority w:val="0"/>
    <w:rPr>
      <w:rFonts w:ascii="宋体" w:hAnsi="Courier New" w:eastAsia="宋体"/>
      <w:kern w:val="2"/>
      <w:sz w:val="21"/>
      <w:lang w:val="en-US" w:eastAsia="zh-CN" w:bidi="ar-SA"/>
    </w:rPr>
  </w:style>
  <w:style w:type="character" w:customStyle="1" w:styleId="79">
    <w:name w:val="apple-style-span"/>
    <w:autoRedefine/>
    <w:qFormat/>
    <w:uiPriority w:val="0"/>
    <w:rPr>
      <w:rFonts w:cs="Times New Roman"/>
    </w:rPr>
  </w:style>
  <w:style w:type="paragraph" w:customStyle="1" w:styleId="80">
    <w:name w:val="二级条标题"/>
    <w:basedOn w:val="81"/>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81">
    <w:name w:val="一级条标题"/>
    <w:basedOn w:val="82"/>
    <w:next w:val="1"/>
    <w:autoRedefine/>
    <w:qFormat/>
    <w:uiPriority w:val="0"/>
    <w:pPr>
      <w:numPr>
        <w:ilvl w:val="1"/>
      </w:numPr>
      <w:tabs>
        <w:tab w:val="left" w:pos="360"/>
        <w:tab w:val="left" w:pos="840"/>
      </w:tabs>
      <w:ind w:left="0" w:hanging="840"/>
      <w:outlineLvl w:val="1"/>
    </w:pPr>
  </w:style>
  <w:style w:type="paragraph" w:customStyle="1" w:styleId="82">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3">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4">
    <w:name w:val="字元 字元"/>
    <w:basedOn w:val="1"/>
    <w:autoRedefine/>
    <w:qFormat/>
    <w:uiPriority w:val="0"/>
    <w:rPr>
      <w:rFonts w:ascii="Tahoma" w:hAnsi="Tahoma"/>
      <w:sz w:val="24"/>
      <w:szCs w:val="20"/>
    </w:rPr>
  </w:style>
  <w:style w:type="paragraph" w:customStyle="1" w:styleId="85">
    <w:name w:val="Char3 Char Char Char"/>
    <w:basedOn w:val="1"/>
    <w:autoRedefine/>
    <w:qFormat/>
    <w:uiPriority w:val="0"/>
    <w:rPr>
      <w:rFonts w:ascii="Tahoma" w:hAnsi="Tahoma"/>
      <w:sz w:val="24"/>
      <w:szCs w:val="20"/>
    </w:rPr>
  </w:style>
  <w:style w:type="paragraph" w:customStyle="1" w:styleId="8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项目编号2"/>
    <w:basedOn w:val="88"/>
    <w:autoRedefine/>
    <w:qFormat/>
    <w:uiPriority w:val="0"/>
    <w:pPr>
      <w:numPr>
        <w:numId w:val="2"/>
      </w:numPr>
    </w:pPr>
  </w:style>
  <w:style w:type="paragraph" w:customStyle="1" w:styleId="88">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89">
    <w:name w:val="图中文字"/>
    <w:basedOn w:val="1"/>
    <w:autoRedefine/>
    <w:qFormat/>
    <w:uiPriority w:val="0"/>
    <w:pPr>
      <w:adjustRightInd w:val="0"/>
      <w:snapToGrid w:val="0"/>
      <w:spacing w:line="0" w:lineRule="atLeast"/>
      <w:jc w:val="center"/>
    </w:pPr>
    <w:rPr>
      <w:sz w:val="24"/>
      <w:szCs w:val="20"/>
    </w:rPr>
  </w:style>
  <w:style w:type="paragraph" w:customStyle="1" w:styleId="90">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2">
    <w:name w:val="Char2"/>
    <w:basedOn w:val="1"/>
    <w:autoRedefine/>
    <w:qFormat/>
    <w:uiPriority w:val="0"/>
    <w:rPr>
      <w:rFonts w:ascii="Tahoma" w:hAnsi="Tahoma"/>
      <w:sz w:val="24"/>
      <w:szCs w:val="20"/>
    </w:rPr>
  </w:style>
  <w:style w:type="paragraph" w:customStyle="1" w:styleId="93">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0">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1">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02">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6">
    <w:name w:val="font8"/>
    <w:basedOn w:val="1"/>
    <w:autoRedefine/>
    <w:qFormat/>
    <w:uiPriority w:val="0"/>
    <w:pPr>
      <w:widowControl/>
      <w:spacing w:before="100" w:beforeAutospacing="1" w:after="100" w:afterAutospacing="1"/>
      <w:jc w:val="left"/>
    </w:pPr>
    <w:rPr>
      <w:kern w:val="0"/>
      <w:sz w:val="36"/>
      <w:szCs w:val="36"/>
    </w:rPr>
  </w:style>
  <w:style w:type="paragraph" w:customStyle="1" w:styleId="107">
    <w:name w:val="Char"/>
    <w:basedOn w:val="1"/>
    <w:autoRedefine/>
    <w:qFormat/>
    <w:uiPriority w:val="0"/>
    <w:pPr>
      <w:tabs>
        <w:tab w:val="left" w:pos="360"/>
      </w:tabs>
    </w:pPr>
    <w:rPr>
      <w:sz w:val="24"/>
    </w:rPr>
  </w:style>
  <w:style w:type="paragraph" w:customStyle="1" w:styleId="108">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09">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Char Char1"/>
    <w:basedOn w:val="15"/>
    <w:autoRedefine/>
    <w:qFormat/>
    <w:uiPriority w:val="0"/>
    <w:rPr>
      <w:rFonts w:ascii="Tahoma" w:hAnsi="Tahoma"/>
      <w:sz w:val="24"/>
    </w:rPr>
  </w:style>
  <w:style w:type="paragraph" w:customStyle="1" w:styleId="11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16">
    <w:name w:val="Char1 Char Char Char1"/>
    <w:basedOn w:val="1"/>
    <w:autoRedefine/>
    <w:qFormat/>
    <w:uiPriority w:val="0"/>
    <w:rPr>
      <w:rFonts w:ascii="Tahoma" w:hAnsi="Tahoma" w:cs="仿宋_GB2312"/>
      <w:sz w:val="24"/>
      <w:szCs w:val="28"/>
    </w:rPr>
  </w:style>
  <w:style w:type="paragraph" w:customStyle="1" w:styleId="117">
    <w:name w:val="四级条标题"/>
    <w:basedOn w:val="118"/>
    <w:next w:val="1"/>
    <w:autoRedefine/>
    <w:qFormat/>
    <w:uiPriority w:val="0"/>
    <w:pPr>
      <w:numPr>
        <w:ilvl w:val="4"/>
      </w:numPr>
      <w:tabs>
        <w:tab w:val="left" w:pos="360"/>
        <w:tab w:val="left" w:pos="840"/>
      </w:tabs>
      <w:ind w:left="0" w:hanging="840"/>
      <w:outlineLvl w:val="4"/>
    </w:pPr>
  </w:style>
  <w:style w:type="paragraph" w:customStyle="1" w:styleId="118">
    <w:name w:val="三级条标题"/>
    <w:basedOn w:val="80"/>
    <w:next w:val="1"/>
    <w:autoRedefine/>
    <w:qFormat/>
    <w:uiPriority w:val="0"/>
    <w:pPr>
      <w:numPr>
        <w:ilvl w:val="3"/>
        <w:numId w:val="1"/>
      </w:numPr>
      <w:ind w:left="0" w:hanging="840"/>
      <w:outlineLvl w:val="3"/>
    </w:pPr>
  </w:style>
  <w:style w:type="paragraph" w:customStyle="1" w:styleId="119">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0">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1">
    <w:name w:val="List Paragraph1"/>
    <w:basedOn w:val="1"/>
    <w:autoRedefine/>
    <w:qFormat/>
    <w:uiPriority w:val="0"/>
    <w:pPr>
      <w:ind w:firstLine="420" w:firstLineChars="200"/>
    </w:pPr>
    <w:rPr>
      <w:rFonts w:ascii="Calibri" w:hAnsi="Calibri"/>
      <w:szCs w:val="22"/>
    </w:rPr>
  </w:style>
  <w:style w:type="paragraph" w:customStyle="1" w:styleId="122">
    <w:name w:val="项目符号1"/>
    <w:basedOn w:val="123"/>
    <w:autoRedefine/>
    <w:qFormat/>
    <w:uiPriority w:val="0"/>
    <w:pPr>
      <w:ind w:left="-25" w:firstLine="0"/>
    </w:pPr>
  </w:style>
  <w:style w:type="paragraph" w:customStyle="1" w:styleId="123">
    <w:name w:val="正文文本样式"/>
    <w:basedOn w:val="1"/>
    <w:autoRedefine/>
    <w:qFormat/>
    <w:uiPriority w:val="0"/>
    <w:pPr>
      <w:spacing w:line="360" w:lineRule="auto"/>
      <w:ind w:firstLine="482"/>
    </w:pPr>
    <w:rPr>
      <w:rFonts w:cs="宋体"/>
      <w:sz w:val="24"/>
      <w:szCs w:val="20"/>
    </w:rPr>
  </w:style>
  <w:style w:type="paragraph" w:customStyle="1" w:styleId="12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五级条标题"/>
    <w:basedOn w:val="117"/>
    <w:next w:val="1"/>
    <w:autoRedefine/>
    <w:qFormat/>
    <w:uiPriority w:val="0"/>
    <w:pPr>
      <w:numPr>
        <w:ilvl w:val="5"/>
      </w:numPr>
      <w:ind w:left="0" w:hanging="840"/>
      <w:outlineLvl w:val="5"/>
    </w:pPr>
  </w:style>
  <w:style w:type="paragraph" w:customStyle="1" w:styleId="12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8">
    <w:name w:val="文档正文"/>
    <w:basedOn w:val="1"/>
    <w:autoRedefine/>
    <w:qFormat/>
    <w:uiPriority w:val="0"/>
    <w:pPr>
      <w:snapToGrid w:val="0"/>
      <w:spacing w:before="120" w:after="120" w:line="180" w:lineRule="auto"/>
    </w:pPr>
    <w:rPr>
      <w:rFonts w:ascii="Arial" w:hAnsi="Arial"/>
      <w:szCs w:val="20"/>
    </w:rPr>
  </w:style>
  <w:style w:type="paragraph" w:customStyle="1" w:styleId="12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Char Char Char1 Char"/>
    <w:basedOn w:val="1"/>
    <w:autoRedefine/>
    <w:qFormat/>
    <w:uiPriority w:val="0"/>
    <w:rPr>
      <w:rFonts w:ascii="Tahoma" w:hAnsi="Tahoma"/>
      <w:sz w:val="24"/>
      <w:szCs w:val="20"/>
    </w:rPr>
  </w:style>
  <w:style w:type="paragraph" w:customStyle="1" w:styleId="13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3">
    <w:name w:val="1名"/>
    <w:basedOn w:val="1"/>
    <w:autoRedefine/>
    <w:qFormat/>
    <w:uiPriority w:val="0"/>
    <w:pPr>
      <w:numPr>
        <w:ilvl w:val="0"/>
        <w:numId w:val="5"/>
      </w:numPr>
      <w:spacing w:before="120"/>
    </w:pPr>
    <w:rPr>
      <w:rFonts w:ascii="宋体"/>
      <w:sz w:val="28"/>
      <w:szCs w:val="20"/>
    </w:rPr>
  </w:style>
  <w:style w:type="paragraph" w:customStyle="1" w:styleId="13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5">
    <w:name w:val="Char Char Char1 Char1"/>
    <w:basedOn w:val="1"/>
    <w:autoRedefine/>
    <w:qFormat/>
    <w:uiPriority w:val="0"/>
    <w:rPr>
      <w:rFonts w:ascii="Tahoma" w:hAnsi="Tahoma"/>
      <w:sz w:val="24"/>
      <w:szCs w:val="20"/>
    </w:rPr>
  </w:style>
  <w:style w:type="paragraph" w:customStyle="1" w:styleId="136">
    <w:name w:val="Char Char Char Char Char Char Char Char Char Char"/>
    <w:basedOn w:val="1"/>
    <w:autoRedefine/>
    <w:qFormat/>
    <w:uiPriority w:val="0"/>
  </w:style>
  <w:style w:type="paragraph" w:customStyle="1" w:styleId="13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8">
    <w:name w:val="Char1"/>
    <w:basedOn w:val="1"/>
    <w:autoRedefine/>
    <w:qFormat/>
    <w:uiPriority w:val="0"/>
    <w:pPr>
      <w:tabs>
        <w:tab w:val="left" w:pos="360"/>
      </w:tabs>
    </w:pPr>
    <w:rPr>
      <w:sz w:val="24"/>
    </w:rPr>
  </w:style>
  <w:style w:type="paragraph" w:customStyle="1" w:styleId="139">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默认段落字体 Para Char Char Char Char"/>
    <w:basedOn w:val="1"/>
    <w:autoRedefine/>
    <w:qFormat/>
    <w:uiPriority w:val="0"/>
    <w:rPr>
      <w:rFonts w:ascii="Arial" w:hAnsi="Arial" w:cs="Arial"/>
      <w:szCs w:val="21"/>
    </w:rPr>
  </w:style>
  <w:style w:type="paragraph" w:customStyle="1" w:styleId="14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6">
    <w:name w:val="Char Char Char"/>
    <w:basedOn w:val="1"/>
    <w:autoRedefine/>
    <w:qFormat/>
    <w:uiPriority w:val="0"/>
    <w:rPr>
      <w:rFonts w:ascii="Tahoma" w:hAnsi="Tahoma"/>
      <w:sz w:val="24"/>
      <w:szCs w:val="20"/>
    </w:rPr>
  </w:style>
  <w:style w:type="paragraph" w:customStyle="1" w:styleId="14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8">
    <w:name w:val="缺省文本"/>
    <w:basedOn w:val="1"/>
    <w:autoRedefine/>
    <w:qFormat/>
    <w:uiPriority w:val="0"/>
    <w:pPr>
      <w:autoSpaceDE w:val="0"/>
      <w:autoSpaceDN w:val="0"/>
      <w:adjustRightInd w:val="0"/>
      <w:jc w:val="left"/>
    </w:pPr>
    <w:rPr>
      <w:kern w:val="0"/>
      <w:sz w:val="24"/>
    </w:rPr>
  </w:style>
  <w:style w:type="paragraph" w:customStyle="1" w:styleId="149">
    <w:name w:val="Char Char Char1"/>
    <w:basedOn w:val="1"/>
    <w:autoRedefine/>
    <w:qFormat/>
    <w:uiPriority w:val="0"/>
    <w:rPr>
      <w:rFonts w:ascii="Tahoma" w:hAnsi="Tahoma"/>
      <w:sz w:val="24"/>
      <w:szCs w:val="20"/>
    </w:rPr>
  </w:style>
  <w:style w:type="paragraph" w:customStyle="1" w:styleId="150">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5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2">
    <w:name w:val="样式2"/>
    <w:basedOn w:val="39"/>
    <w:autoRedefine/>
    <w:qFormat/>
    <w:uiPriority w:val="0"/>
    <w:pPr>
      <w:spacing w:line="360" w:lineRule="auto"/>
      <w:jc w:val="center"/>
    </w:pPr>
    <w:rPr>
      <w:sz w:val="24"/>
    </w:rPr>
  </w:style>
  <w:style w:type="paragraph" w:customStyle="1" w:styleId="15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5">
    <w:name w:val="正文 + 楷体_GB2312"/>
    <w:basedOn w:val="1"/>
    <w:autoRedefine/>
    <w:qFormat/>
    <w:uiPriority w:val="0"/>
    <w:pPr>
      <w:widowControl/>
      <w:jc w:val="left"/>
    </w:pPr>
    <w:rPr>
      <w:rFonts w:ascii="楷体_GB2312" w:eastAsia="楷体_GB2312" w:cs="Arial"/>
      <w:kern w:val="0"/>
      <w:sz w:val="24"/>
    </w:rPr>
  </w:style>
  <w:style w:type="paragraph" w:customStyle="1" w:styleId="15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7">
    <w:name w:val="1 Char Char Char Char"/>
    <w:basedOn w:val="1"/>
    <w:autoRedefine/>
    <w:qFormat/>
    <w:uiPriority w:val="0"/>
    <w:rPr>
      <w:rFonts w:ascii="Tahoma" w:hAnsi="Tahoma"/>
      <w:sz w:val="24"/>
      <w:szCs w:val="20"/>
    </w:rPr>
  </w:style>
  <w:style w:type="paragraph" w:customStyle="1" w:styleId="158">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9">
    <w:name w:val="列出段落1"/>
    <w:basedOn w:val="1"/>
    <w:autoRedefine/>
    <w:qFormat/>
    <w:uiPriority w:val="0"/>
    <w:pPr>
      <w:ind w:firstLine="420" w:firstLineChars="200"/>
    </w:pPr>
    <w:rPr>
      <w:rFonts w:ascii="Calibri" w:hAnsi="Calibri"/>
      <w:szCs w:val="22"/>
    </w:rPr>
  </w:style>
  <w:style w:type="paragraph" w:customStyle="1" w:styleId="160">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1">
    <w:name w:val="字元 字元1"/>
    <w:basedOn w:val="1"/>
    <w:autoRedefine/>
    <w:qFormat/>
    <w:uiPriority w:val="0"/>
    <w:rPr>
      <w:rFonts w:ascii="Tahoma" w:hAnsi="Tahoma"/>
      <w:sz w:val="24"/>
      <w:szCs w:val="20"/>
    </w:rPr>
  </w:style>
  <w:style w:type="paragraph" w:customStyle="1" w:styleId="162">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63">
    <w:name w:val="项目编号3"/>
    <w:basedOn w:val="123"/>
    <w:autoRedefine/>
    <w:qFormat/>
    <w:uiPriority w:val="0"/>
    <w:pPr>
      <w:numPr>
        <w:ilvl w:val="0"/>
        <w:numId w:val="6"/>
      </w:numPr>
    </w:pPr>
  </w:style>
  <w:style w:type="paragraph" w:customStyle="1" w:styleId="164">
    <w:name w:val="Char21"/>
    <w:basedOn w:val="1"/>
    <w:autoRedefine/>
    <w:qFormat/>
    <w:uiPriority w:val="0"/>
    <w:rPr>
      <w:rFonts w:ascii="Tahoma" w:hAnsi="Tahoma"/>
      <w:sz w:val="24"/>
      <w:szCs w:val="20"/>
    </w:rPr>
  </w:style>
  <w:style w:type="paragraph" w:customStyle="1" w:styleId="165">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66">
    <w:name w:val="Char Char Char Char Char Char Char Char Char Char1"/>
    <w:basedOn w:val="1"/>
    <w:autoRedefine/>
    <w:qFormat/>
    <w:uiPriority w:val="0"/>
    <w:rPr>
      <w:rFonts w:ascii="宋体" w:hAnsi="宋体" w:cs="Courier New"/>
      <w:sz w:val="32"/>
      <w:szCs w:val="32"/>
    </w:rPr>
  </w:style>
  <w:style w:type="paragraph" w:customStyle="1" w:styleId="167">
    <w:name w:val="正文文本样式 加粗"/>
    <w:basedOn w:val="123"/>
    <w:autoRedefine/>
    <w:qFormat/>
    <w:uiPriority w:val="0"/>
    <w:rPr>
      <w:b/>
    </w:rPr>
  </w:style>
  <w:style w:type="paragraph" w:customStyle="1" w:styleId="168">
    <w:name w:val="Char2 Char Char Char Char Char Char"/>
    <w:basedOn w:val="1"/>
    <w:autoRedefine/>
    <w:qFormat/>
    <w:uiPriority w:val="0"/>
    <w:pPr>
      <w:widowControl/>
      <w:spacing w:line="400" w:lineRule="exact"/>
      <w:jc w:val="center"/>
    </w:pPr>
  </w:style>
  <w:style w:type="character" w:customStyle="1" w:styleId="169">
    <w:name w:val="页脚 字符"/>
    <w:link w:val="28"/>
    <w:autoRedefine/>
    <w:qFormat/>
    <w:uiPriority w:val="99"/>
    <w:rPr>
      <w:rFonts w:ascii="宋体" w:eastAsia="宋体"/>
      <w:sz w:val="18"/>
      <w:lang w:val="en-US" w:eastAsia="zh-CN" w:bidi="ar-SA"/>
    </w:rPr>
  </w:style>
  <w:style w:type="paragraph" w:customStyle="1" w:styleId="170">
    <w:name w:val="Char Char4"/>
    <w:basedOn w:val="1"/>
    <w:autoRedefine/>
    <w:qFormat/>
    <w:uiPriority w:val="0"/>
    <w:pPr>
      <w:widowControl/>
      <w:spacing w:line="400" w:lineRule="exact"/>
      <w:jc w:val="center"/>
    </w:pPr>
  </w:style>
  <w:style w:type="paragraph" w:customStyle="1" w:styleId="171">
    <w:name w:val="Char3 Char Char Char1"/>
    <w:basedOn w:val="1"/>
    <w:autoRedefine/>
    <w:qFormat/>
    <w:uiPriority w:val="0"/>
    <w:rPr>
      <w:rFonts w:ascii="Tahoma" w:hAnsi="Tahoma"/>
      <w:sz w:val="24"/>
      <w:szCs w:val="20"/>
    </w:rPr>
  </w:style>
  <w:style w:type="paragraph" w:styleId="172">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autoRedefine/>
    <w:qFormat/>
    <w:uiPriority w:val="0"/>
    <w:rPr>
      <w:kern w:val="2"/>
      <w:sz w:val="21"/>
      <w:szCs w:val="24"/>
      <w:lang w:val="zh-CN" w:eastAsia="zh-CN"/>
    </w:rPr>
  </w:style>
  <w:style w:type="paragraph" w:customStyle="1" w:styleId="175">
    <w:name w:val="1"/>
    <w:link w:val="174"/>
    <w:autoRedefine/>
    <w:qFormat/>
    <w:uiPriority w:val="0"/>
    <w:rPr>
      <w:rFonts w:ascii="Times New Roman" w:hAnsi="Times New Roman" w:eastAsia="宋体" w:cs="Times New Roman"/>
      <w:kern w:val="2"/>
      <w:sz w:val="21"/>
      <w:szCs w:val="24"/>
      <w:lang w:val="zh-CN" w:eastAsia="zh-CN" w:bidi="ar-SA"/>
    </w:rPr>
  </w:style>
  <w:style w:type="paragraph" w:customStyle="1" w:styleId="176">
    <w:name w:val="图文"/>
    <w:basedOn w:val="1"/>
    <w:autoRedefine/>
    <w:qFormat/>
    <w:uiPriority w:val="0"/>
    <w:pPr>
      <w:adjustRightInd w:val="0"/>
      <w:snapToGrid w:val="0"/>
      <w:spacing w:after="50" w:line="360" w:lineRule="auto"/>
    </w:pPr>
    <w:rPr>
      <w:sz w:val="24"/>
    </w:rPr>
  </w:style>
  <w:style w:type="paragraph" w:customStyle="1" w:styleId="17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autoRedefine/>
    <w:qFormat/>
    <w:uiPriority w:val="0"/>
    <w:pPr>
      <w:adjustRightInd w:val="0"/>
      <w:snapToGrid w:val="0"/>
      <w:jc w:val="left"/>
    </w:pPr>
    <w:rPr>
      <w:rFonts w:ascii="宋体" w:hAnsi="宋体"/>
      <w:color w:val="000000"/>
      <w:szCs w:val="21"/>
    </w:rPr>
  </w:style>
  <w:style w:type="character" w:customStyle="1" w:styleId="179">
    <w:name w:val="正文表格 Char"/>
    <w:link w:val="178"/>
    <w:autoRedefine/>
    <w:qFormat/>
    <w:uiPriority w:val="0"/>
    <w:rPr>
      <w:rFonts w:ascii="宋体" w:hAnsi="宋体"/>
      <w:color w:val="000000"/>
      <w:kern w:val="2"/>
      <w:sz w:val="21"/>
      <w:szCs w:val="21"/>
    </w:rPr>
  </w:style>
  <w:style w:type="paragraph" w:customStyle="1" w:styleId="180">
    <w:name w:val="正文重点"/>
    <w:basedOn w:val="1"/>
    <w:link w:val="181"/>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autoRedefine/>
    <w:qFormat/>
    <w:uiPriority w:val="0"/>
    <w:rPr>
      <w:b/>
      <w:sz w:val="24"/>
    </w:rPr>
  </w:style>
  <w:style w:type="character" w:customStyle="1" w:styleId="182">
    <w:name w:val="批注文字 字符1"/>
    <w:link w:val="16"/>
    <w:autoRedefine/>
    <w:qFormat/>
    <w:uiPriority w:val="99"/>
    <w:rPr>
      <w:kern w:val="2"/>
      <w:sz w:val="21"/>
      <w:szCs w:val="24"/>
    </w:rPr>
  </w:style>
  <w:style w:type="paragraph" w:customStyle="1" w:styleId="183">
    <w:name w:val="标题1-附件"/>
    <w:basedOn w:val="3"/>
    <w:autoRedefine/>
    <w:qFormat/>
    <w:uiPriority w:val="0"/>
    <w:pPr>
      <w:jc w:val="left"/>
    </w:pPr>
    <w:rPr>
      <w:sz w:val="24"/>
      <w:szCs w:val="24"/>
    </w:rPr>
  </w:style>
  <w:style w:type="paragraph" w:customStyle="1" w:styleId="184">
    <w:name w:val="正文小标题"/>
    <w:basedOn w:val="1"/>
    <w:next w:val="13"/>
    <w:link w:val="185"/>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5">
    <w:name w:val="正文小标题 Char"/>
    <w:link w:val="184"/>
    <w:autoRedefine/>
    <w:qFormat/>
    <w:uiPriority w:val="0"/>
    <w:rPr>
      <w:rFonts w:ascii="宋体" w:hAnsi="宋体"/>
      <w:b/>
      <w:i/>
      <w:color w:val="FF0000"/>
      <w:kern w:val="2"/>
      <w:sz w:val="24"/>
    </w:rPr>
  </w:style>
  <w:style w:type="paragraph" w:customStyle="1" w:styleId="186">
    <w:name w:val="正文大标题"/>
    <w:basedOn w:val="184"/>
    <w:next w:val="13"/>
    <w:link w:val="187"/>
    <w:autoRedefine/>
    <w:qFormat/>
    <w:uiPriority w:val="0"/>
    <w:pPr>
      <w:jc w:val="center"/>
    </w:pPr>
    <w:rPr>
      <w:i w:val="0"/>
      <w:color w:val="000000"/>
      <w:sz w:val="28"/>
      <w:szCs w:val="21"/>
    </w:rPr>
  </w:style>
  <w:style w:type="character" w:customStyle="1" w:styleId="187">
    <w:name w:val="正文大标题 Char"/>
    <w:link w:val="186"/>
    <w:autoRedefine/>
    <w:qFormat/>
    <w:uiPriority w:val="0"/>
    <w:rPr>
      <w:rFonts w:ascii="宋体" w:hAnsi="宋体"/>
      <w:b/>
      <w:color w:val="000000"/>
      <w:kern w:val="2"/>
      <w:sz w:val="28"/>
      <w:szCs w:val="21"/>
    </w:rPr>
  </w:style>
  <w:style w:type="character" w:customStyle="1" w:styleId="188">
    <w:name w:val="标题 字符"/>
    <w:link w:val="40"/>
    <w:autoRedefine/>
    <w:qFormat/>
    <w:uiPriority w:val="0"/>
    <w:rPr>
      <w:b/>
      <w:kern w:val="2"/>
      <w:sz w:val="32"/>
    </w:rPr>
  </w:style>
  <w:style w:type="paragraph" w:customStyle="1" w:styleId="189">
    <w:name w:val="注释"/>
    <w:basedOn w:val="1"/>
    <w:link w:val="190"/>
    <w:autoRedefine/>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autoRedefine/>
    <w:qFormat/>
    <w:uiPriority w:val="0"/>
    <w:rPr>
      <w:rFonts w:ascii="宋体" w:hAnsi="宋体"/>
      <w:kern w:val="2"/>
      <w:sz w:val="21"/>
      <w:szCs w:val="21"/>
    </w:rPr>
  </w:style>
  <w:style w:type="paragraph" w:customStyle="1" w:styleId="191">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autoRedefine/>
    <w:qFormat/>
    <w:uiPriority w:val="99"/>
    <w:rPr>
      <w:rFonts w:ascii="Times New Roman" w:hAnsi="Times New Roman" w:eastAsia="宋体" w:cs="Times New Roman"/>
      <w:sz w:val="24"/>
      <w:lang w:val="en-US" w:eastAsia="zh-CN" w:bidi="ar-SA"/>
    </w:rPr>
  </w:style>
  <w:style w:type="character" w:customStyle="1" w:styleId="195">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196">
    <w:name w:val="表格1"/>
    <w:basedOn w:val="1"/>
    <w:autoRedefine/>
    <w:qFormat/>
    <w:uiPriority w:val="0"/>
    <w:pPr>
      <w:ind w:firstLine="480" w:firstLineChars="200"/>
      <w:jc w:val="center"/>
    </w:pPr>
    <w:rPr>
      <w:sz w:val="24"/>
      <w:szCs w:val="20"/>
    </w:rPr>
  </w:style>
  <w:style w:type="character" w:customStyle="1" w:styleId="197">
    <w:name w:val="纯文本 字符1"/>
    <w:autoRedefine/>
    <w:qFormat/>
    <w:uiPriority w:val="0"/>
    <w:rPr>
      <w:rFonts w:ascii="宋体" w:hAnsi="Courier New"/>
    </w:rPr>
  </w:style>
  <w:style w:type="character" w:customStyle="1" w:styleId="198">
    <w:name w:val="bjh-p"/>
    <w:autoRedefine/>
    <w:qFormat/>
    <w:uiPriority w:val="0"/>
  </w:style>
  <w:style w:type="paragraph" w:customStyle="1" w:styleId="199">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00">
    <w:name w:val="正文格式 Char"/>
    <w:link w:val="201"/>
    <w:autoRedefine/>
    <w:qFormat/>
    <w:locked/>
    <w:uiPriority w:val="0"/>
    <w:rPr>
      <w:rFonts w:ascii="宋体" w:hAnsi="宋体"/>
      <w:sz w:val="24"/>
      <w:szCs w:val="24"/>
      <w:lang w:val="en-GB"/>
    </w:rPr>
  </w:style>
  <w:style w:type="paragraph" w:customStyle="1" w:styleId="201">
    <w:name w:val="正文格式"/>
    <w:basedOn w:val="1"/>
    <w:link w:val="200"/>
    <w:autoRedefine/>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字符2"/>
    <w:basedOn w:val="46"/>
    <w:link w:val="23"/>
    <w:autoRedefine/>
    <w:qFormat/>
    <w:uiPriority w:val="0"/>
    <w:rPr>
      <w:rFonts w:hint="eastAsia" w:ascii="宋体" w:hAnsi="Courier New" w:eastAsia="宋体" w:cs="宋体"/>
      <w:kern w:val="2"/>
      <w:sz w:val="21"/>
    </w:rPr>
  </w:style>
  <w:style w:type="character" w:customStyle="1" w:styleId="203">
    <w:name w:val="标题 3 Char"/>
    <w:autoRedefine/>
    <w:qFormat/>
    <w:uiPriority w:val="0"/>
    <w:rPr>
      <w:rFonts w:ascii="宋体" w:eastAsia="宋体"/>
      <w:b/>
      <w:sz w:val="24"/>
      <w:u w:val="single"/>
      <w:lang w:val="en-US" w:eastAsia="zh-CN" w:bidi="ar-SA"/>
    </w:rPr>
  </w:style>
  <w:style w:type="character" w:customStyle="1" w:styleId="204">
    <w:name w:val="正文缩进 Char"/>
    <w:autoRedefine/>
    <w:qFormat/>
    <w:uiPriority w:val="0"/>
    <w:rPr>
      <w:rFonts w:ascii="宋体" w:eastAsia="宋体"/>
      <w:kern w:val="2"/>
      <w:sz w:val="24"/>
      <w:szCs w:val="24"/>
      <w:lang w:val="en-US" w:eastAsia="zh-CN" w:bidi="ar-SA"/>
    </w:rPr>
  </w:style>
  <w:style w:type="character" w:customStyle="1" w:styleId="205">
    <w:name w:val="Char Char111"/>
    <w:autoRedefine/>
    <w:qFormat/>
    <w:uiPriority w:val="0"/>
    <w:rPr>
      <w:rFonts w:ascii="宋体" w:eastAsia="宋体"/>
      <w:b/>
      <w:sz w:val="24"/>
      <w:u w:val="single"/>
      <w:lang w:val="en-US" w:eastAsia="zh-CN" w:bidi="ar-SA"/>
    </w:rPr>
  </w:style>
  <w:style w:type="character" w:customStyle="1" w:styleId="206">
    <w:name w:val="正文文本缩进 Char"/>
    <w:autoRedefine/>
    <w:qFormat/>
    <w:uiPriority w:val="0"/>
    <w:rPr>
      <w:rFonts w:eastAsia="宋体"/>
      <w:kern w:val="2"/>
      <w:sz w:val="24"/>
      <w:szCs w:val="24"/>
      <w:lang w:val="en-US" w:eastAsia="zh-CN" w:bidi="ar-SA"/>
    </w:rPr>
  </w:style>
  <w:style w:type="character" w:customStyle="1" w:styleId="207">
    <w:name w:val="列出段落 Char"/>
    <w:autoRedefine/>
    <w:qFormat/>
    <w:uiPriority w:val="0"/>
    <w:rPr>
      <w:rFonts w:ascii="Calibri" w:hAnsi="Calibri" w:eastAsia="宋体"/>
      <w:kern w:val="2"/>
      <w:sz w:val="21"/>
      <w:szCs w:val="22"/>
      <w:lang w:val="en-US" w:eastAsia="zh-CN" w:bidi="ar-SA"/>
    </w:rPr>
  </w:style>
  <w:style w:type="character" w:customStyle="1" w:styleId="208">
    <w:name w:val="页眉 Char"/>
    <w:autoRedefine/>
    <w:qFormat/>
    <w:uiPriority w:val="0"/>
    <w:rPr>
      <w:rFonts w:eastAsia="宋体"/>
      <w:kern w:val="2"/>
      <w:sz w:val="18"/>
      <w:szCs w:val="18"/>
      <w:lang w:val="en-US" w:eastAsia="zh-CN" w:bidi="ar-SA"/>
    </w:rPr>
  </w:style>
  <w:style w:type="character" w:customStyle="1" w:styleId="209">
    <w:name w:val="标题 2 Char"/>
    <w:autoRedefine/>
    <w:qFormat/>
    <w:uiPriority w:val="0"/>
    <w:rPr>
      <w:rFonts w:ascii="Arial" w:hAnsi="Arial" w:eastAsia="黑体"/>
      <w:b/>
      <w:sz w:val="30"/>
      <w:lang w:val="en-US" w:eastAsia="zh-CN" w:bidi="ar-SA"/>
    </w:rPr>
  </w:style>
  <w:style w:type="paragraph" w:customStyle="1" w:styleId="210">
    <w:name w:val="字元 字元2"/>
    <w:basedOn w:val="1"/>
    <w:autoRedefine/>
    <w:qFormat/>
    <w:uiPriority w:val="0"/>
    <w:rPr>
      <w:rFonts w:ascii="Tahoma" w:hAnsi="Tahoma"/>
      <w:sz w:val="24"/>
      <w:szCs w:val="20"/>
    </w:rPr>
  </w:style>
  <w:style w:type="paragraph" w:customStyle="1" w:styleId="211">
    <w:name w:val="Char3 Char Char Char2"/>
    <w:basedOn w:val="1"/>
    <w:autoRedefine/>
    <w:qFormat/>
    <w:uiPriority w:val="0"/>
    <w:rPr>
      <w:rFonts w:ascii="Tahoma" w:hAnsi="Tahoma"/>
      <w:sz w:val="24"/>
      <w:szCs w:val="20"/>
    </w:rPr>
  </w:style>
  <w:style w:type="paragraph" w:customStyle="1" w:styleId="212">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13">
    <w:name w:val="Char3"/>
    <w:basedOn w:val="1"/>
    <w:autoRedefine/>
    <w:qFormat/>
    <w:uiPriority w:val="0"/>
    <w:pPr>
      <w:tabs>
        <w:tab w:val="left" w:pos="360"/>
      </w:tabs>
    </w:pPr>
    <w:rPr>
      <w:sz w:val="24"/>
    </w:rPr>
  </w:style>
  <w:style w:type="paragraph" w:customStyle="1" w:styleId="214">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1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列出段落2"/>
    <w:basedOn w:val="1"/>
    <w:autoRedefine/>
    <w:qFormat/>
    <w:uiPriority w:val="0"/>
    <w:pPr>
      <w:ind w:firstLine="420" w:firstLineChars="200"/>
    </w:pPr>
    <w:rPr>
      <w:rFonts w:ascii="Calibri" w:hAnsi="Calibri"/>
      <w:szCs w:val="22"/>
    </w:rPr>
  </w:style>
  <w:style w:type="paragraph" w:customStyle="1" w:styleId="217">
    <w:name w:val="Char Char Char1 Char2"/>
    <w:basedOn w:val="1"/>
    <w:autoRedefine/>
    <w:qFormat/>
    <w:uiPriority w:val="0"/>
    <w:rPr>
      <w:rFonts w:ascii="Tahoma" w:hAnsi="Tahoma"/>
      <w:sz w:val="24"/>
      <w:szCs w:val="20"/>
    </w:rPr>
  </w:style>
  <w:style w:type="paragraph" w:customStyle="1" w:styleId="218">
    <w:name w:val="Char Char Char2"/>
    <w:basedOn w:val="1"/>
    <w:autoRedefine/>
    <w:qFormat/>
    <w:uiPriority w:val="0"/>
    <w:rPr>
      <w:rFonts w:ascii="Tahoma" w:hAnsi="Tahoma"/>
      <w:sz w:val="24"/>
      <w:szCs w:val="20"/>
    </w:rPr>
  </w:style>
  <w:style w:type="paragraph" w:customStyle="1" w:styleId="21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2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22">
    <w:name w:val="Char22"/>
    <w:basedOn w:val="1"/>
    <w:autoRedefine/>
    <w:qFormat/>
    <w:uiPriority w:val="0"/>
    <w:rPr>
      <w:rFonts w:ascii="Tahoma" w:hAnsi="Tahoma"/>
      <w:sz w:val="24"/>
      <w:szCs w:val="20"/>
    </w:rPr>
  </w:style>
  <w:style w:type="paragraph" w:customStyle="1" w:styleId="223">
    <w:name w:val="Char Char Char Char Char Char Char Char Char Char2"/>
    <w:basedOn w:val="1"/>
    <w:autoRedefine/>
    <w:qFormat/>
    <w:uiPriority w:val="0"/>
    <w:rPr>
      <w:rFonts w:ascii="宋体" w:hAnsi="宋体" w:cs="Courier New"/>
      <w:sz w:val="32"/>
      <w:szCs w:val="32"/>
    </w:rPr>
  </w:style>
  <w:style w:type="paragraph" w:customStyle="1" w:styleId="224">
    <w:name w:val="Char2 Char Char Char Char Char Char1"/>
    <w:basedOn w:val="1"/>
    <w:autoRedefine/>
    <w:qFormat/>
    <w:uiPriority w:val="0"/>
    <w:pPr>
      <w:widowControl/>
      <w:spacing w:line="400" w:lineRule="exact"/>
      <w:jc w:val="center"/>
    </w:pPr>
  </w:style>
  <w:style w:type="character" w:customStyle="1" w:styleId="225">
    <w:name w:val="页脚 Char"/>
    <w:autoRedefine/>
    <w:qFormat/>
    <w:uiPriority w:val="0"/>
    <w:rPr>
      <w:rFonts w:ascii="宋体" w:eastAsia="宋体"/>
      <w:sz w:val="18"/>
      <w:lang w:val="en-US" w:eastAsia="zh-CN" w:bidi="ar-SA"/>
    </w:rPr>
  </w:style>
  <w:style w:type="paragraph" w:customStyle="1" w:styleId="226">
    <w:name w:val="Char Char41"/>
    <w:basedOn w:val="1"/>
    <w:autoRedefine/>
    <w:qFormat/>
    <w:uiPriority w:val="0"/>
    <w:pPr>
      <w:widowControl/>
      <w:spacing w:line="400" w:lineRule="exact"/>
      <w:jc w:val="center"/>
    </w:pPr>
  </w:style>
  <w:style w:type="character" w:customStyle="1" w:styleId="227">
    <w:name w:val="批注文字 Char"/>
    <w:autoRedefine/>
    <w:qFormat/>
    <w:uiPriority w:val="99"/>
    <w:rPr>
      <w:kern w:val="2"/>
      <w:sz w:val="21"/>
      <w:szCs w:val="24"/>
    </w:rPr>
  </w:style>
  <w:style w:type="character" w:customStyle="1" w:styleId="228">
    <w:name w:val="标题 Char"/>
    <w:autoRedefine/>
    <w:qFormat/>
    <w:uiPriority w:val="0"/>
    <w:rPr>
      <w:b/>
      <w:kern w:val="2"/>
      <w:sz w:val="32"/>
    </w:rPr>
  </w:style>
  <w:style w:type="character" w:customStyle="1" w:styleId="229">
    <w:name w:val="标题 1 字符"/>
    <w:basedOn w:val="46"/>
    <w:link w:val="3"/>
    <w:autoRedefine/>
    <w:qFormat/>
    <w:uiPriority w:val="0"/>
    <w:rPr>
      <w:rFonts w:ascii="宋体"/>
      <w:b/>
      <w:kern w:val="44"/>
      <w:sz w:val="32"/>
    </w:rPr>
  </w:style>
  <w:style w:type="character" w:customStyle="1" w:styleId="230">
    <w:name w:val="标题 4 字符"/>
    <w:basedOn w:val="46"/>
    <w:link w:val="6"/>
    <w:qFormat/>
    <w:uiPriority w:val="0"/>
    <w:rPr>
      <w:rFonts w:ascii="Arial" w:hAnsi="Arial" w:eastAsia="黑体"/>
      <w:b/>
      <w:sz w:val="28"/>
    </w:rPr>
  </w:style>
  <w:style w:type="character" w:customStyle="1" w:styleId="231">
    <w:name w:val="标题 5 字符"/>
    <w:basedOn w:val="46"/>
    <w:link w:val="7"/>
    <w:autoRedefine/>
    <w:qFormat/>
    <w:uiPriority w:val="0"/>
    <w:rPr>
      <w:b/>
      <w:sz w:val="28"/>
    </w:rPr>
  </w:style>
  <w:style w:type="character" w:customStyle="1" w:styleId="232">
    <w:name w:val="标题 6 字符"/>
    <w:basedOn w:val="46"/>
    <w:link w:val="8"/>
    <w:autoRedefine/>
    <w:qFormat/>
    <w:uiPriority w:val="0"/>
    <w:rPr>
      <w:rFonts w:ascii="Arial" w:hAnsi="Arial" w:eastAsia="黑体"/>
      <w:b/>
      <w:sz w:val="24"/>
    </w:rPr>
  </w:style>
  <w:style w:type="character" w:customStyle="1" w:styleId="233">
    <w:name w:val="标题 7 字符"/>
    <w:basedOn w:val="46"/>
    <w:link w:val="9"/>
    <w:autoRedefine/>
    <w:qFormat/>
    <w:uiPriority w:val="0"/>
    <w:rPr>
      <w:b/>
      <w:sz w:val="24"/>
    </w:rPr>
  </w:style>
  <w:style w:type="character" w:customStyle="1" w:styleId="234">
    <w:name w:val="标题 8 字符"/>
    <w:basedOn w:val="46"/>
    <w:link w:val="10"/>
    <w:autoRedefine/>
    <w:qFormat/>
    <w:uiPriority w:val="0"/>
    <w:rPr>
      <w:rFonts w:ascii="Arial" w:hAnsi="Arial" w:eastAsia="黑体"/>
      <w:sz w:val="24"/>
    </w:rPr>
  </w:style>
  <w:style w:type="character" w:customStyle="1" w:styleId="235">
    <w:name w:val="标题 9 字符"/>
    <w:basedOn w:val="46"/>
    <w:link w:val="11"/>
    <w:autoRedefine/>
    <w:qFormat/>
    <w:uiPriority w:val="0"/>
    <w:rPr>
      <w:rFonts w:ascii="Arial" w:hAnsi="Arial" w:eastAsia="黑体"/>
      <w:sz w:val="21"/>
    </w:rPr>
  </w:style>
  <w:style w:type="character" w:customStyle="1" w:styleId="236">
    <w:name w:val="文档结构图 字符"/>
    <w:basedOn w:val="46"/>
    <w:link w:val="15"/>
    <w:autoRedefine/>
    <w:qFormat/>
    <w:uiPriority w:val="0"/>
    <w:rPr>
      <w:kern w:val="2"/>
      <w:sz w:val="21"/>
      <w:szCs w:val="24"/>
      <w:shd w:val="clear" w:color="auto" w:fill="000080"/>
    </w:rPr>
  </w:style>
  <w:style w:type="character" w:customStyle="1" w:styleId="237">
    <w:name w:val="正文文本 3 字符"/>
    <w:basedOn w:val="46"/>
    <w:link w:val="17"/>
    <w:autoRedefine/>
    <w:qFormat/>
    <w:uiPriority w:val="0"/>
    <w:rPr>
      <w:kern w:val="2"/>
      <w:sz w:val="16"/>
      <w:szCs w:val="16"/>
    </w:rPr>
  </w:style>
  <w:style w:type="character" w:customStyle="1" w:styleId="238">
    <w:name w:val="正文文本 字符"/>
    <w:basedOn w:val="46"/>
    <w:link w:val="2"/>
    <w:autoRedefine/>
    <w:qFormat/>
    <w:uiPriority w:val="0"/>
    <w:rPr>
      <w:rFonts w:ascii="宋体" w:hAnsi="宋体"/>
      <w:kern w:val="2"/>
      <w:sz w:val="24"/>
      <w:szCs w:val="24"/>
    </w:rPr>
  </w:style>
  <w:style w:type="character" w:customStyle="1" w:styleId="239">
    <w:name w:val="日期 字符"/>
    <w:basedOn w:val="46"/>
    <w:link w:val="25"/>
    <w:autoRedefine/>
    <w:qFormat/>
    <w:uiPriority w:val="0"/>
    <w:rPr>
      <w:rFonts w:ascii="仿宋_GB2312" w:hAnsi="宋体" w:eastAsia="仿宋_GB2312"/>
      <w:color w:val="000000"/>
      <w:kern w:val="2"/>
      <w:sz w:val="24"/>
      <w:szCs w:val="24"/>
    </w:rPr>
  </w:style>
  <w:style w:type="character" w:customStyle="1" w:styleId="240">
    <w:name w:val="正文文本缩进 2 字符"/>
    <w:basedOn w:val="46"/>
    <w:link w:val="26"/>
    <w:autoRedefine/>
    <w:qFormat/>
    <w:uiPriority w:val="0"/>
    <w:rPr>
      <w:rFonts w:ascii="仿宋_GB2312" w:eastAsia="仿宋_GB2312"/>
      <w:kern w:val="2"/>
      <w:sz w:val="24"/>
      <w:szCs w:val="24"/>
    </w:rPr>
  </w:style>
  <w:style w:type="character" w:customStyle="1" w:styleId="241">
    <w:name w:val="批注框文本 字符"/>
    <w:basedOn w:val="46"/>
    <w:link w:val="27"/>
    <w:autoRedefine/>
    <w:qFormat/>
    <w:uiPriority w:val="0"/>
    <w:rPr>
      <w:kern w:val="2"/>
      <w:sz w:val="18"/>
      <w:szCs w:val="18"/>
    </w:rPr>
  </w:style>
  <w:style w:type="character" w:customStyle="1" w:styleId="242">
    <w:name w:val="正文文本缩进 3 字符"/>
    <w:basedOn w:val="46"/>
    <w:link w:val="34"/>
    <w:autoRedefine/>
    <w:qFormat/>
    <w:uiPriority w:val="0"/>
    <w:rPr>
      <w:rFonts w:ascii="宋体"/>
      <w:sz w:val="24"/>
    </w:rPr>
  </w:style>
  <w:style w:type="character" w:customStyle="1" w:styleId="243">
    <w:name w:val="HTML 预设格式 字符"/>
    <w:basedOn w:val="46"/>
    <w:link w:val="37"/>
    <w:autoRedefine/>
    <w:qFormat/>
    <w:uiPriority w:val="0"/>
    <w:rPr>
      <w:rFonts w:ascii="宋体" w:hAnsi="宋体" w:cs="宋体"/>
      <w:sz w:val="24"/>
      <w:szCs w:val="24"/>
    </w:rPr>
  </w:style>
  <w:style w:type="character" w:customStyle="1" w:styleId="244">
    <w:name w:val="批注主题 字符"/>
    <w:basedOn w:val="194"/>
    <w:link w:val="41"/>
    <w:autoRedefine/>
    <w:qFormat/>
    <w:uiPriority w:val="0"/>
    <w:rPr>
      <w:rFonts w:ascii="Times New Roman" w:hAnsi="Times New Roman" w:eastAsia="宋体" w:cs="Times New Roman"/>
      <w:b/>
      <w:bCs/>
      <w:kern w:val="2"/>
      <w:sz w:val="21"/>
      <w:szCs w:val="24"/>
      <w:lang w:val="en-US" w:eastAsia="zh-CN" w:bidi="ar-SA"/>
    </w:rPr>
  </w:style>
  <w:style w:type="character" w:customStyle="1" w:styleId="245">
    <w:name w:val="正文文本首行缩进 2 字符"/>
    <w:basedOn w:val="67"/>
    <w:link w:val="42"/>
    <w:autoRedefine/>
    <w:qFormat/>
    <w:uiPriority w:val="0"/>
    <w:rPr>
      <w:rFonts w:eastAsia="宋体"/>
      <w:kern w:val="2"/>
      <w:sz w:val="24"/>
      <w:szCs w:val="24"/>
      <w:lang w:val="en-US" w:eastAsia="zh-CN" w:bidi="ar-SA"/>
    </w:rPr>
  </w:style>
  <w:style w:type="paragraph" w:customStyle="1" w:styleId="246">
    <w:name w:val="图例"/>
    <w:basedOn w:val="1"/>
    <w:autoRedefine/>
    <w:qFormat/>
    <w:uiPriority w:val="0"/>
    <w:pPr>
      <w:spacing w:before="120" w:after="120" w:line="360" w:lineRule="auto"/>
      <w:jc w:val="center"/>
    </w:pPr>
    <w:rPr>
      <w:rFonts w:eastAsia="仿宋_GB2312"/>
      <w:b/>
      <w:sz w:val="24"/>
      <w:szCs w:val="20"/>
    </w:rPr>
  </w:style>
  <w:style w:type="table" w:customStyle="1" w:styleId="247">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8">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49">
    <w:name w:val="_正文"/>
    <w:autoRedefine/>
    <w:qFormat/>
    <w:uiPriority w:val="0"/>
    <w:rPr>
      <w:rFonts w:ascii="Times New Roman" w:hAnsi="Times New Roman" w:eastAsia="宋体" w:cs="Times New Roman"/>
      <w:szCs w:val="24"/>
      <w:lang w:val="en-US" w:eastAsia="zh-CN" w:bidi="ar-SA"/>
    </w:rPr>
  </w:style>
  <w:style w:type="character" w:customStyle="1" w:styleId="250">
    <w:name w:val="标题 1 Char"/>
    <w:autoRedefine/>
    <w:qFormat/>
    <w:uiPriority w:val="9"/>
    <w:rPr>
      <w:rFonts w:ascii="宋体"/>
      <w:b/>
      <w:kern w:val="44"/>
      <w:sz w:val="32"/>
      <w:szCs w:val="20"/>
    </w:rPr>
  </w:style>
  <w:style w:type="paragraph" w:customStyle="1" w:styleId="251">
    <w:name w:val="my正文"/>
    <w:basedOn w:val="1"/>
    <w:autoRedefine/>
    <w:qFormat/>
    <w:uiPriority w:val="0"/>
    <w:pPr>
      <w:snapToGrid w:val="0"/>
    </w:pPr>
    <w:rPr>
      <w:rFonts w:ascii="仿宋_GB2312" w:hAnsi="黑体"/>
      <w:szCs w:val="28"/>
    </w:rPr>
  </w:style>
  <w:style w:type="paragraph" w:customStyle="1" w:styleId="252">
    <w:name w:val="列表段落1"/>
    <w:basedOn w:val="1"/>
    <w:autoRedefine/>
    <w:qFormat/>
    <w:uiPriority w:val="0"/>
    <w:pPr>
      <w:ind w:firstLine="420" w:firstLineChars="200"/>
    </w:pPr>
  </w:style>
  <w:style w:type="paragraph" w:customStyle="1" w:styleId="253">
    <w:name w:val="_Style 4"/>
    <w:basedOn w:val="1"/>
    <w:autoRedefine/>
    <w:qFormat/>
    <w:uiPriority w:val="34"/>
    <w:pPr>
      <w:adjustRightInd w:val="0"/>
      <w:spacing w:line="360" w:lineRule="atLeast"/>
      <w:ind w:firstLine="420" w:firstLineChars="200"/>
      <w:jc w:val="left"/>
      <w:textAlignment w:val="baseline"/>
    </w:pPr>
    <w:rPr>
      <w:kern w:val="0"/>
      <w:sz w:val="24"/>
    </w:rPr>
  </w:style>
  <w:style w:type="paragraph" w:customStyle="1" w:styleId="254">
    <w:name w:val="纯文本1"/>
    <w:basedOn w:val="1"/>
    <w:autoRedefine/>
    <w:qFormat/>
    <w:uiPriority w:val="0"/>
    <w:rPr>
      <w:rFonts w:ascii="宋体" w:hAnsi="Courier New"/>
      <w:szCs w:val="20"/>
    </w:rPr>
  </w:style>
  <w:style w:type="paragraph" w:customStyle="1" w:styleId="255">
    <w:name w:val="Table Text"/>
    <w:basedOn w:val="1"/>
    <w:autoRedefine/>
    <w:semiHidden/>
    <w:qFormat/>
    <w:uiPriority w:val="0"/>
    <w:rPr>
      <w:rFonts w:ascii="Arial" w:hAnsi="Arial" w:eastAsia="Arial" w:cs="Arial"/>
      <w:szCs w:val="21"/>
      <w:lang w:eastAsia="en-US"/>
    </w:rPr>
  </w:style>
  <w:style w:type="character" w:customStyle="1" w:styleId="256">
    <w:name w:val="NormalCharacter"/>
    <w:autoRedefine/>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28F10-143A-40B9-8EB0-0BF7D8FF17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36217</Words>
  <Characters>39441</Characters>
  <Lines>1395</Lines>
  <Paragraphs>1022</Paragraphs>
  <TotalTime>1</TotalTime>
  <ScaleCrop>false</ScaleCrop>
  <LinksUpToDate>false</LinksUpToDate>
  <CharactersWithSpaces>41990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2024-03-18T03:29:00Z</dcterms:created>
  <dc:creator>尹皓</dc:creator>
  <cp:lastModifiedBy>bird</cp:lastModifiedBy>
  <cp:lastPrinted>2020-04-02T03:13:00Z</cp:lastPrinted>
  <dcterms:modified xsi:type="dcterms:W3CDTF">2024-04-11T03:23:44Z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D2AB7A873439456DB951537D09763F98_13</vt:lpwstr>
  </property>
</Properties>
</file>