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p>
    <w:p>
      <w:pPr>
        <w:tabs>
          <w:tab w:val="left" w:pos="6750"/>
        </w:tabs>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ab/>
      </w:r>
    </w:p>
    <w:p>
      <w:pPr>
        <w:snapToGrid w:val="0"/>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物业服务合同</w:t>
      </w: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p>
    <w:p>
      <w:pPr>
        <w:suppressAutoHyphens/>
        <w:snapToGrid w:val="0"/>
        <w:spacing w:line="52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委 托 方（甲方）：</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北京市西城区残疾人综合服务中心</w:t>
      </w:r>
      <w:r>
        <w:rPr>
          <w:rFonts w:hint="eastAsia" w:ascii="宋体" w:hAnsi="宋体" w:eastAsia="宋体" w:cs="宋体"/>
          <w:color w:val="auto"/>
          <w:sz w:val="24"/>
          <w:szCs w:val="24"/>
          <w:u w:val="single"/>
        </w:rPr>
        <w:t xml:space="preserve">  </w:t>
      </w:r>
    </w:p>
    <w:p>
      <w:pPr>
        <w:suppressAutoHyphens/>
        <w:snapToGrid w:val="0"/>
        <w:spacing w:line="520" w:lineRule="exact"/>
        <w:jc w:val="center"/>
        <w:rPr>
          <w:rFonts w:hint="eastAsia" w:ascii="宋体" w:hAnsi="宋体" w:eastAsia="宋体" w:cs="宋体"/>
          <w:color w:val="auto"/>
          <w:sz w:val="24"/>
          <w:szCs w:val="24"/>
        </w:rPr>
      </w:pPr>
    </w:p>
    <w:p>
      <w:pPr>
        <w:suppressAutoHyphens/>
        <w:snapToGrid w:val="0"/>
        <w:spacing w:line="520" w:lineRule="exact"/>
        <w:jc w:val="center"/>
        <w:rPr>
          <w:rFonts w:hint="eastAsia" w:ascii="宋体" w:hAnsi="宋体" w:eastAsia="宋体" w:cs="宋体"/>
          <w:color w:val="auto"/>
          <w:sz w:val="24"/>
          <w:szCs w:val="24"/>
        </w:rPr>
      </w:pPr>
    </w:p>
    <w:p>
      <w:pPr>
        <w:suppressAutoHyphens/>
        <w:snapToGrid w:val="0"/>
        <w:spacing w:line="52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受委托方（乙方）：</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北京首源物业管理有限公司</w:t>
      </w:r>
      <w:r>
        <w:rPr>
          <w:rFonts w:hint="eastAsia" w:ascii="宋体" w:hAnsi="宋体" w:eastAsia="宋体" w:cs="宋体"/>
          <w:color w:val="auto"/>
          <w:sz w:val="24"/>
          <w:szCs w:val="24"/>
          <w:u w:val="single"/>
          <w:lang w:eastAsia="zh-CN"/>
        </w:rPr>
        <w:t xml:space="preserve">   </w:t>
      </w: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p>
    <w:p>
      <w:pPr>
        <w:snapToGrid w:val="0"/>
        <w:spacing w:line="520" w:lineRule="exact"/>
        <w:jc w:val="center"/>
        <w:rPr>
          <w:rFonts w:hint="eastAsia" w:ascii="宋体" w:hAnsi="宋体" w:eastAsia="宋体" w:cs="宋体"/>
          <w:color w:val="auto"/>
          <w:sz w:val="24"/>
          <w:szCs w:val="24"/>
        </w:rPr>
      </w:pPr>
    </w:p>
    <w:p>
      <w:pPr>
        <w:snapToGrid w:val="0"/>
        <w:spacing w:line="520" w:lineRule="exact"/>
        <w:rPr>
          <w:rFonts w:hint="eastAsia" w:ascii="宋体" w:hAnsi="宋体" w:eastAsia="宋体" w:cs="宋体"/>
          <w:b/>
          <w:color w:val="auto"/>
          <w:sz w:val="24"/>
          <w:szCs w:val="24"/>
        </w:rPr>
      </w:pPr>
    </w:p>
    <w:p>
      <w:pPr>
        <w:snapToGrid w:val="0"/>
        <w:spacing w:line="520" w:lineRule="exact"/>
        <w:jc w:val="center"/>
        <w:rPr>
          <w:rFonts w:hint="eastAsia" w:ascii="宋体" w:hAnsi="宋体" w:eastAsia="宋体" w:cs="宋体"/>
          <w:b/>
          <w:color w:val="auto"/>
          <w:sz w:val="24"/>
          <w:szCs w:val="24"/>
        </w:rPr>
      </w:pPr>
    </w:p>
    <w:p>
      <w:pPr>
        <w:snapToGrid w:val="0"/>
        <w:spacing w:line="520" w:lineRule="exact"/>
        <w:jc w:val="center"/>
        <w:rPr>
          <w:rFonts w:hint="eastAsia" w:ascii="宋体" w:hAnsi="宋体" w:eastAsia="宋体" w:cs="宋体"/>
          <w:b/>
          <w:color w:val="auto"/>
          <w:sz w:val="24"/>
          <w:szCs w:val="24"/>
        </w:rPr>
      </w:pPr>
    </w:p>
    <w:p>
      <w:pPr>
        <w:snapToGrid w:val="0"/>
        <w:spacing w:line="520" w:lineRule="exact"/>
        <w:jc w:val="center"/>
        <w:rPr>
          <w:rFonts w:hint="eastAsia" w:ascii="宋体" w:hAnsi="宋体" w:eastAsia="宋体" w:cs="宋体"/>
          <w:b/>
          <w:color w:val="auto"/>
          <w:sz w:val="24"/>
          <w:szCs w:val="24"/>
        </w:rPr>
      </w:pPr>
    </w:p>
    <w:p>
      <w:pPr>
        <w:snapToGrid w:val="0"/>
        <w:spacing w:line="520" w:lineRule="exact"/>
        <w:jc w:val="center"/>
        <w:rPr>
          <w:rFonts w:hint="eastAsia" w:ascii="宋体" w:hAnsi="宋体" w:eastAsia="宋体" w:cs="宋体"/>
          <w:b/>
          <w:color w:val="auto"/>
          <w:sz w:val="24"/>
          <w:szCs w:val="24"/>
        </w:rPr>
      </w:pPr>
    </w:p>
    <w:p>
      <w:pPr>
        <w:snapToGrid w:val="0"/>
        <w:spacing w:line="520" w:lineRule="exact"/>
        <w:jc w:val="center"/>
        <w:rPr>
          <w:rFonts w:hint="eastAsia" w:ascii="宋体" w:hAnsi="宋体" w:eastAsia="宋体" w:cs="宋体"/>
          <w:b/>
          <w:color w:val="auto"/>
          <w:sz w:val="24"/>
          <w:szCs w:val="24"/>
        </w:rPr>
      </w:pPr>
    </w:p>
    <w:p>
      <w:pPr>
        <w:snapToGrid w:val="0"/>
        <w:spacing w:line="5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物业服务合同</w:t>
      </w:r>
    </w:p>
    <w:p>
      <w:pPr>
        <w:snapToGrid w:val="0"/>
        <w:spacing w:line="520" w:lineRule="exact"/>
        <w:rPr>
          <w:rFonts w:hint="eastAsia" w:ascii="宋体" w:hAnsi="宋体" w:eastAsia="宋体" w:cs="宋体"/>
          <w:color w:val="auto"/>
          <w:sz w:val="24"/>
          <w:szCs w:val="24"/>
        </w:rPr>
      </w:pPr>
    </w:p>
    <w:p>
      <w:pPr>
        <w:suppressAutoHyphens/>
        <w:snapToGrid w:val="0"/>
        <w:spacing w:line="520" w:lineRule="exact"/>
        <w:rPr>
          <w:rFonts w:hint="eastAsia" w:ascii="宋体" w:hAnsi="宋体" w:cs="宋体"/>
          <w:b/>
          <w:color w:val="auto"/>
          <w:spacing w:val="23"/>
          <w:kern w:val="0"/>
          <w:sz w:val="24"/>
          <w:szCs w:val="24"/>
          <w:lang w:eastAsia="zh-CN"/>
        </w:rPr>
      </w:pPr>
      <w:r>
        <w:rPr>
          <w:rFonts w:hint="eastAsia" w:ascii="宋体" w:hAnsi="宋体" w:eastAsia="宋体" w:cs="宋体"/>
          <w:b/>
          <w:color w:val="auto"/>
          <w:spacing w:val="23"/>
          <w:kern w:val="0"/>
          <w:sz w:val="24"/>
          <w:szCs w:val="24"/>
        </w:rPr>
        <w:t>甲方：</w:t>
      </w:r>
      <w:r>
        <w:rPr>
          <w:rFonts w:hint="eastAsia" w:ascii="宋体" w:hAnsi="宋体" w:cs="宋体"/>
          <w:b/>
          <w:color w:val="auto"/>
          <w:spacing w:val="23"/>
          <w:kern w:val="0"/>
          <w:sz w:val="24"/>
          <w:szCs w:val="24"/>
          <w:lang w:eastAsia="zh-CN"/>
        </w:rPr>
        <w:t>北京市西城区残疾人综合服务中心</w:t>
      </w:r>
    </w:p>
    <w:p>
      <w:pPr>
        <w:snapToGrid w:val="0"/>
        <w:spacing w:line="520" w:lineRule="exact"/>
        <w:rPr>
          <w:rFonts w:hint="eastAsia" w:ascii="宋体" w:hAnsi="宋体" w:eastAsia="宋体" w:cs="宋体"/>
          <w:color w:val="auto"/>
          <w:sz w:val="24"/>
          <w:szCs w:val="24"/>
          <w:u w:val="single"/>
        </w:rPr>
      </w:pPr>
      <w:r>
        <w:rPr>
          <w:rFonts w:hint="eastAsia" w:ascii="宋体" w:hAnsi="宋体" w:eastAsia="宋体" w:cs="宋体"/>
          <w:color w:val="auto"/>
          <w:spacing w:val="24"/>
          <w:kern w:val="0"/>
          <w:sz w:val="24"/>
          <w:szCs w:val="24"/>
        </w:rPr>
        <w:t>法定代表人</w:t>
      </w:r>
      <w:r>
        <w:rPr>
          <w:rFonts w:hint="eastAsia" w:ascii="宋体" w:hAnsi="宋体" w:eastAsia="宋体" w:cs="宋体"/>
          <w:color w:val="auto"/>
          <w:kern w:val="0"/>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王昊</w:t>
      </w:r>
      <w:r>
        <w:rPr>
          <w:rFonts w:hint="eastAsia" w:ascii="宋体" w:hAnsi="宋体" w:eastAsia="宋体" w:cs="宋体"/>
          <w:color w:val="auto"/>
          <w:sz w:val="24"/>
          <w:szCs w:val="24"/>
          <w:u w:val="single"/>
        </w:rPr>
        <w:t xml:space="preserve">    </w:t>
      </w:r>
    </w:p>
    <w:p>
      <w:pPr>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pacing w:val="25"/>
          <w:kern w:val="0"/>
          <w:sz w:val="24"/>
          <w:szCs w:val="24"/>
        </w:rPr>
        <w:t>联系电话</w:t>
      </w:r>
      <w:r>
        <w:rPr>
          <w:rFonts w:hint="eastAsia" w:ascii="宋体" w:hAnsi="宋体" w:eastAsia="宋体" w:cs="宋体"/>
          <w:color w:val="auto"/>
          <w:kern w:val="0"/>
          <w:sz w:val="24"/>
          <w:szCs w:val="24"/>
        </w:rPr>
        <w:t>：</w:t>
      </w:r>
      <w:r>
        <w:rPr>
          <w:rFonts w:hint="eastAsia" w:ascii="宋体" w:hAnsi="宋体" w:eastAsia="宋体" w:cs="宋体"/>
          <w:color w:val="auto"/>
          <w:sz w:val="24"/>
          <w:szCs w:val="24"/>
          <w:u w:val="single"/>
          <w:lang w:val="en-US" w:eastAsia="zh-CN"/>
        </w:rPr>
        <w:t>010-66126351</w:t>
      </w:r>
      <w:r>
        <w:rPr>
          <w:rFonts w:hint="eastAsia" w:ascii="宋体" w:hAnsi="宋体" w:eastAsia="宋体" w:cs="宋体"/>
          <w:color w:val="auto"/>
          <w:sz w:val="24"/>
          <w:szCs w:val="24"/>
          <w:u w:val="single"/>
        </w:rPr>
        <w:t xml:space="preserve">         </w:t>
      </w:r>
    </w:p>
    <w:p>
      <w:pPr>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pacing w:val="25"/>
          <w:kern w:val="0"/>
          <w:sz w:val="24"/>
          <w:szCs w:val="24"/>
        </w:rPr>
        <w:t>通讯地址</w:t>
      </w:r>
      <w:r>
        <w:rPr>
          <w:rFonts w:hint="eastAsia" w:ascii="宋体" w:hAnsi="宋体" w:eastAsia="宋体" w:cs="宋体"/>
          <w:color w:val="auto"/>
          <w:kern w:val="0"/>
          <w:sz w:val="24"/>
          <w:szCs w:val="24"/>
        </w:rPr>
        <w:t>：</w:t>
      </w:r>
      <w:r>
        <w:rPr>
          <w:rFonts w:hint="eastAsia" w:ascii="宋体" w:hAnsi="宋体" w:eastAsia="宋体" w:cs="宋体"/>
          <w:color w:val="auto"/>
          <w:sz w:val="24"/>
          <w:szCs w:val="24"/>
          <w:u w:val="single"/>
          <w:lang w:eastAsia="zh-CN"/>
        </w:rPr>
        <w:t>西城区半步桥街</w:t>
      </w:r>
      <w:r>
        <w:rPr>
          <w:rFonts w:hint="eastAsia" w:ascii="宋体" w:hAnsi="宋体" w:eastAsia="宋体" w:cs="宋体"/>
          <w:color w:val="auto"/>
          <w:sz w:val="24"/>
          <w:szCs w:val="24"/>
          <w:u w:val="single"/>
          <w:lang w:val="en-US" w:eastAsia="zh-CN"/>
        </w:rPr>
        <w:t>13号甲</w:t>
      </w:r>
      <w:r>
        <w:rPr>
          <w:rFonts w:hint="eastAsia" w:ascii="宋体" w:hAnsi="宋体" w:eastAsia="宋体" w:cs="宋体"/>
          <w:color w:val="auto"/>
          <w:sz w:val="24"/>
          <w:szCs w:val="24"/>
          <w:u w:val="single"/>
        </w:rPr>
        <w:t xml:space="preserve"> </w:t>
      </w:r>
    </w:p>
    <w:p>
      <w:pPr>
        <w:suppressAutoHyphens/>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pacing w:val="25"/>
          <w:kern w:val="0"/>
          <w:sz w:val="24"/>
          <w:szCs w:val="24"/>
        </w:rPr>
        <w:t>邮政编码</w:t>
      </w:r>
      <w:r>
        <w:rPr>
          <w:rFonts w:hint="eastAsia" w:ascii="宋体" w:hAnsi="宋体" w:eastAsia="宋体" w:cs="宋体"/>
          <w:color w:val="auto"/>
          <w:kern w:val="0"/>
          <w:sz w:val="24"/>
          <w:szCs w:val="24"/>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100054</w:t>
      </w:r>
      <w:r>
        <w:rPr>
          <w:rFonts w:hint="eastAsia" w:ascii="宋体" w:hAnsi="宋体" w:eastAsia="宋体" w:cs="宋体"/>
          <w:color w:val="auto"/>
          <w:sz w:val="24"/>
          <w:szCs w:val="24"/>
          <w:u w:val="single"/>
        </w:rPr>
        <w:t xml:space="preserve">         </w:t>
      </w:r>
      <w:r>
        <w:rPr>
          <w:rFonts w:hint="eastAsia" w:ascii="宋体" w:hAnsi="宋体" w:eastAsia="宋体" w:cs="宋体"/>
          <w:b/>
          <w:color w:val="auto"/>
          <w:spacing w:val="23"/>
          <w:kern w:val="0"/>
          <w:sz w:val="24"/>
          <w:szCs w:val="24"/>
        </w:rPr>
        <w:t xml:space="preserve">                      </w:t>
      </w: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r>
        <w:rPr>
          <w:rFonts w:hint="eastAsia" w:ascii="宋体" w:hAnsi="宋体" w:eastAsia="宋体" w:cs="宋体"/>
          <w:b/>
          <w:color w:val="auto"/>
          <w:spacing w:val="23"/>
          <w:kern w:val="0"/>
          <w:sz w:val="24"/>
          <w:szCs w:val="24"/>
        </w:rPr>
        <w:t xml:space="preserve">乙方：北京首源物业管理有限公司                  </w:t>
      </w:r>
    </w:p>
    <w:p>
      <w:pPr>
        <w:snapToGrid w:val="0"/>
        <w:spacing w:line="520" w:lineRule="exact"/>
        <w:rPr>
          <w:rFonts w:hint="eastAsia" w:ascii="宋体" w:hAnsi="宋体" w:eastAsia="宋体" w:cs="宋体"/>
          <w:color w:val="auto"/>
          <w:sz w:val="24"/>
          <w:szCs w:val="24"/>
          <w:u w:val="single"/>
        </w:rPr>
      </w:pPr>
      <w:r>
        <w:rPr>
          <w:rFonts w:hint="eastAsia" w:ascii="宋体" w:hAnsi="宋体" w:eastAsia="宋体" w:cs="宋体"/>
          <w:color w:val="auto"/>
          <w:spacing w:val="24"/>
          <w:kern w:val="0"/>
          <w:sz w:val="24"/>
          <w:szCs w:val="24"/>
        </w:rPr>
        <w:t>法定代表人</w:t>
      </w:r>
      <w:r>
        <w:rPr>
          <w:rFonts w:hint="eastAsia" w:ascii="宋体" w:hAnsi="宋体" w:eastAsia="宋体" w:cs="宋体"/>
          <w:color w:val="auto"/>
          <w:kern w:val="0"/>
          <w:sz w:val="24"/>
          <w:szCs w:val="24"/>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马洪延</w:t>
      </w:r>
      <w:r>
        <w:rPr>
          <w:rFonts w:hint="eastAsia" w:ascii="宋体" w:hAnsi="宋体" w:eastAsia="宋体" w:cs="宋体"/>
          <w:color w:val="auto"/>
          <w:sz w:val="24"/>
          <w:szCs w:val="24"/>
          <w:u w:val="single"/>
        </w:rPr>
        <w:t xml:space="preserve">    </w:t>
      </w:r>
    </w:p>
    <w:p>
      <w:pPr>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pacing w:val="25"/>
          <w:kern w:val="0"/>
          <w:sz w:val="24"/>
          <w:szCs w:val="24"/>
        </w:rPr>
        <w:t>联系电话</w:t>
      </w:r>
      <w:r>
        <w:rPr>
          <w:rFonts w:hint="eastAsia" w:ascii="宋体" w:hAnsi="宋体" w:eastAsia="宋体" w:cs="宋体"/>
          <w:color w:val="auto"/>
          <w:kern w:val="0"/>
          <w:sz w:val="24"/>
          <w:szCs w:val="24"/>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010-63385101</w:t>
      </w:r>
      <w:r>
        <w:rPr>
          <w:rFonts w:hint="eastAsia" w:ascii="宋体" w:hAnsi="宋体" w:eastAsia="宋体" w:cs="宋体"/>
          <w:color w:val="auto"/>
          <w:sz w:val="24"/>
          <w:szCs w:val="24"/>
          <w:u w:val="single"/>
        </w:rPr>
        <w:t xml:space="preserve">     </w:t>
      </w:r>
    </w:p>
    <w:p>
      <w:pPr>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pacing w:val="25"/>
          <w:kern w:val="0"/>
          <w:sz w:val="24"/>
          <w:szCs w:val="24"/>
        </w:rPr>
        <w:t>通讯地址</w:t>
      </w:r>
      <w:r>
        <w:rPr>
          <w:rFonts w:hint="eastAsia" w:ascii="宋体" w:hAnsi="宋体" w:eastAsia="宋体" w:cs="宋体"/>
          <w:color w:val="auto"/>
          <w:kern w:val="0"/>
          <w:sz w:val="24"/>
          <w:szCs w:val="24"/>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西城区南菜园街</w:t>
      </w:r>
      <w:r>
        <w:rPr>
          <w:rFonts w:hint="eastAsia" w:ascii="宋体" w:hAnsi="宋体" w:cs="宋体"/>
          <w:color w:val="auto"/>
          <w:sz w:val="24"/>
          <w:szCs w:val="24"/>
          <w:u w:val="single"/>
          <w:lang w:val="en-US" w:eastAsia="zh-CN"/>
        </w:rPr>
        <w:t>49号</w:t>
      </w:r>
      <w:r>
        <w:rPr>
          <w:rFonts w:hint="eastAsia" w:ascii="宋体" w:hAnsi="宋体" w:eastAsia="宋体" w:cs="宋体"/>
          <w:color w:val="auto"/>
          <w:sz w:val="24"/>
          <w:szCs w:val="24"/>
          <w:u w:val="single"/>
        </w:rPr>
        <w:t xml:space="preserve"> </w:t>
      </w:r>
    </w:p>
    <w:p>
      <w:pPr>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pacing w:val="25"/>
          <w:kern w:val="0"/>
          <w:sz w:val="24"/>
          <w:szCs w:val="24"/>
        </w:rPr>
        <w:t>邮政编码</w:t>
      </w:r>
      <w:r>
        <w:rPr>
          <w:rFonts w:hint="eastAsia" w:ascii="宋体" w:hAnsi="宋体" w:eastAsia="宋体" w:cs="宋体"/>
          <w:color w:val="auto"/>
          <w:kern w:val="0"/>
          <w:sz w:val="24"/>
          <w:szCs w:val="24"/>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100054</w:t>
      </w:r>
      <w:bookmarkStart w:id="1" w:name="_GoBack"/>
      <w:bookmarkEnd w:id="1"/>
      <w:r>
        <w:rPr>
          <w:rFonts w:hint="eastAsia" w:ascii="宋体" w:hAnsi="宋体" w:eastAsia="宋体" w:cs="宋体"/>
          <w:color w:val="auto"/>
          <w:sz w:val="24"/>
          <w:szCs w:val="24"/>
          <w:u w:val="single"/>
        </w:rPr>
        <w:t xml:space="preserve">        </w:t>
      </w:r>
    </w:p>
    <w:p>
      <w:pPr>
        <w:snapToGrid w:val="0"/>
        <w:spacing w:line="520" w:lineRule="exact"/>
        <w:ind w:firstLine="480"/>
        <w:rPr>
          <w:rFonts w:hint="eastAsia" w:ascii="宋体" w:hAnsi="宋体" w:eastAsia="宋体" w:cs="宋体"/>
          <w:color w:val="auto"/>
          <w:sz w:val="24"/>
          <w:szCs w:val="24"/>
        </w:rPr>
      </w:pPr>
    </w:p>
    <w:p>
      <w:pPr>
        <w:snapToGrid w:val="0"/>
        <w:spacing w:line="5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根据《中华人民共和国民法典》等有关法律、法规的规定，甲乙双方在自愿、平等、公平、诚实信用的基础上，就</w:t>
      </w:r>
      <w:r>
        <w:rPr>
          <w:rFonts w:hint="eastAsia" w:ascii="宋体" w:hAnsi="宋体" w:eastAsia="宋体" w:cs="宋体"/>
          <w:color w:val="auto"/>
          <w:sz w:val="24"/>
          <w:szCs w:val="24"/>
          <w:lang w:eastAsia="zh-CN"/>
        </w:rPr>
        <w:t>西城区残联</w:t>
      </w:r>
      <w:r>
        <w:rPr>
          <w:rFonts w:hint="eastAsia" w:ascii="宋体" w:hAnsi="宋体" w:cs="宋体"/>
          <w:color w:val="auto"/>
          <w:sz w:val="24"/>
          <w:szCs w:val="24"/>
          <w:lang w:eastAsia="zh-CN"/>
        </w:rPr>
        <w:t>服务</w:t>
      </w:r>
      <w:r>
        <w:rPr>
          <w:rFonts w:hint="eastAsia" w:ascii="宋体" w:hAnsi="宋体" w:eastAsia="宋体" w:cs="宋体"/>
          <w:color w:val="auto"/>
          <w:sz w:val="24"/>
          <w:szCs w:val="24"/>
          <w:lang w:eastAsia="zh-CN"/>
        </w:rPr>
        <w:t>大楼</w:t>
      </w:r>
      <w:r>
        <w:rPr>
          <w:rFonts w:hint="eastAsia" w:ascii="宋体" w:hAnsi="宋体" w:eastAsia="宋体" w:cs="宋体"/>
          <w:color w:val="auto"/>
          <w:sz w:val="24"/>
          <w:szCs w:val="24"/>
        </w:rPr>
        <w:t>（以下简称“本物业”）物业服务有关事宜,协商订立本合同。</w:t>
      </w:r>
    </w:p>
    <w:p>
      <w:pPr>
        <w:snapToGrid w:val="0"/>
        <w:spacing w:line="5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第一章  物业项目基本情况</w:t>
      </w:r>
    </w:p>
    <w:p>
      <w:pPr>
        <w:snapToGrid w:val="0"/>
        <w:spacing w:line="520" w:lineRule="exact"/>
        <w:rPr>
          <w:rFonts w:hint="eastAsia" w:ascii="宋体" w:hAnsi="宋体" w:eastAsia="宋体" w:cs="宋体"/>
          <w:b/>
          <w:bCs/>
          <w:color w:val="auto"/>
          <w:sz w:val="24"/>
          <w:szCs w:val="24"/>
        </w:rPr>
      </w:pPr>
    </w:p>
    <w:p>
      <w:pPr>
        <w:snapToGrid w:val="0"/>
        <w:spacing w:line="520" w:lineRule="exact"/>
        <w:ind w:firstLine="480"/>
        <w:rPr>
          <w:rFonts w:hint="eastAsia" w:ascii="宋体" w:hAnsi="宋体" w:eastAsia="宋体" w:cs="宋体"/>
          <w:b/>
          <w:color w:val="auto"/>
          <w:sz w:val="24"/>
          <w:szCs w:val="24"/>
        </w:rPr>
      </w:pPr>
      <w:r>
        <w:rPr>
          <w:rFonts w:hint="eastAsia" w:ascii="宋体" w:hAnsi="宋体" w:eastAsia="宋体" w:cs="宋体"/>
          <w:b/>
          <w:color w:val="auto"/>
          <w:sz w:val="24"/>
          <w:szCs w:val="24"/>
        </w:rPr>
        <w:t>第一条  物业项目基本情况</w:t>
      </w:r>
    </w:p>
    <w:p>
      <w:pPr>
        <w:snapToGrid w:val="0"/>
        <w:spacing w:line="5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物业管理费.物业管理服务采购项目</w:t>
      </w:r>
      <w:r>
        <w:rPr>
          <w:rFonts w:hint="eastAsia" w:ascii="宋体" w:hAnsi="宋体" w:eastAsia="宋体" w:cs="宋体"/>
          <w:color w:val="auto"/>
          <w:sz w:val="24"/>
          <w:szCs w:val="24"/>
        </w:rPr>
        <w:t>；</w:t>
      </w:r>
    </w:p>
    <w:p>
      <w:pPr>
        <w:suppressAutoHyphens/>
        <w:snapToGrid w:val="0"/>
        <w:spacing w:line="5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类型：办公、</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w:t>
      </w:r>
    </w:p>
    <w:p>
      <w:pPr>
        <w:snapToGrid w:val="0"/>
        <w:spacing w:line="5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坐落位置：</w:t>
      </w:r>
      <w:r>
        <w:rPr>
          <w:rFonts w:hint="eastAsia" w:ascii="宋体" w:hAnsi="宋体" w:eastAsia="宋体" w:cs="宋体"/>
          <w:bCs/>
          <w:color w:val="auto"/>
          <w:sz w:val="24"/>
          <w:szCs w:val="24"/>
        </w:rPr>
        <w:t>北京市西城区</w:t>
      </w:r>
      <w:r>
        <w:rPr>
          <w:rFonts w:hint="eastAsia" w:ascii="宋体" w:hAnsi="宋体" w:eastAsia="宋体" w:cs="宋体"/>
          <w:bCs/>
          <w:color w:val="auto"/>
          <w:sz w:val="24"/>
          <w:szCs w:val="24"/>
          <w:lang w:val="en-US" w:eastAsia="zh-CN"/>
        </w:rPr>
        <w:t>半步桥街13号甲</w:t>
      </w:r>
      <w:r>
        <w:rPr>
          <w:rFonts w:hint="eastAsia" w:ascii="宋体" w:hAnsi="宋体" w:eastAsia="宋体" w:cs="宋体"/>
          <w:bCs/>
          <w:color w:val="auto"/>
          <w:sz w:val="24"/>
          <w:szCs w:val="24"/>
        </w:rPr>
        <w:t>；</w:t>
      </w:r>
    </w:p>
    <w:p>
      <w:pPr>
        <w:snapToGrid w:val="0"/>
        <w:spacing w:line="5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11901.57</w:t>
      </w:r>
      <w:r>
        <w:rPr>
          <w:rFonts w:hint="eastAsia" w:ascii="宋体" w:hAnsi="宋体" w:eastAsia="宋体" w:cs="宋体"/>
          <w:color w:val="auto"/>
          <w:sz w:val="24"/>
          <w:szCs w:val="24"/>
        </w:rPr>
        <w:t>平方米。</w:t>
      </w:r>
    </w:p>
    <w:p>
      <w:pPr>
        <w:snapToGrid w:val="0"/>
        <w:spacing w:line="520" w:lineRule="exact"/>
        <w:ind w:firstLine="480"/>
        <w:rPr>
          <w:rFonts w:hint="eastAsia" w:ascii="宋体" w:hAnsi="宋体" w:eastAsia="宋体" w:cs="宋体"/>
          <w:color w:val="auto"/>
          <w:sz w:val="24"/>
          <w:szCs w:val="24"/>
        </w:rPr>
      </w:pPr>
    </w:p>
    <w:p>
      <w:pPr>
        <w:keepNext/>
        <w:widowControl/>
        <w:snapToGrid w:val="0"/>
        <w:spacing w:line="5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第二章  物业服务内容</w:t>
      </w:r>
    </w:p>
    <w:p>
      <w:pPr>
        <w:keepNext/>
        <w:widowControl/>
        <w:snapToGrid w:val="0"/>
        <w:spacing w:line="520" w:lineRule="exact"/>
        <w:jc w:val="center"/>
        <w:rPr>
          <w:rFonts w:hint="eastAsia" w:ascii="宋体" w:hAnsi="宋体" w:eastAsia="宋体" w:cs="宋体"/>
          <w:b/>
          <w:bCs/>
          <w:color w:val="auto"/>
          <w:sz w:val="24"/>
          <w:szCs w:val="24"/>
        </w:rPr>
      </w:pPr>
    </w:p>
    <w:p>
      <w:pPr>
        <w:keepNext/>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第二条  物业服务事项</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1、制订本项目物业服务工作计划并组织实施。根据国家及北京市相关法律、法规、规章制定本项目物业服务的各项制度和《办公楼管理规定》，报甲方审定后执行。</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房屋共用部位的日常小修、养护和管理。共用部位包括：房屋的承重结构（包括办公楼、房的基础、承重墙体、梁柱、楼盖等）、屋顶、外墙面（包括非承重结构的分户墙外墙面）、楼梯间、走廊通道、大堂、公共门厅、电梯井、楼内下水立管及通向污水井的下水管道、雨落管、卫生间、开水房等。</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设施设备的日常小修养护、运行和管理。设施设备包括：上下水管道、共用照明、供电系统、消防系统、供水系统、空调系统末端设备、有线电视系统、避雷装置、通风系统、弱电系统、电梯、煤气管线、公共卫生设施等。</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4、附属建筑物、构筑物的维修、养护和管理。包括道路、化粪池、泵房、自行车棚、停车场（库）、景观、护栏及围墙等。</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5、绿地养护和绿植租摆服务。包括公共绿地的养护、会议室和公共区域绿植摆放。</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6、清洁服务。包括房屋共用部位、公共场所的清洁卫生、外墙清洗、垃圾的收集等（含楼宇外立面清洗、院落及门前三包）。</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7、会议服务。对会议室的清洁服务，会议的礼仪接待等。</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8、协助维护秩序。对人员物品的进出登记查验，车辆（包括自行车）停放进行管理。</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9、协助做好安全防范工作。发生安全事故，及时向有关部门报告，采取相应措施，协助做好救助工作。</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10、消防服务。包括消防中控室24小时专人双岗值守，公共区域消防设施的维护，消防防火工作的巡检，建立消防管理制度</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消防设备器材</w:t>
      </w:r>
      <w:r>
        <w:rPr>
          <w:rFonts w:hint="eastAsia" w:ascii="宋体" w:hAnsi="宋体" w:eastAsia="宋体" w:cs="宋体"/>
          <w:color w:val="auto"/>
          <w:sz w:val="24"/>
          <w:szCs w:val="24"/>
        </w:rPr>
        <w:t>的日常维护及保养工作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灭火器年检</w:t>
      </w:r>
      <w:r>
        <w:rPr>
          <w:rFonts w:hint="eastAsia" w:ascii="宋体" w:hAnsi="宋体" w:cs="宋体"/>
          <w:color w:val="auto"/>
          <w:sz w:val="24"/>
          <w:szCs w:val="24"/>
          <w:lang w:val="en-US" w:eastAsia="zh-CN"/>
        </w:rPr>
        <w:t>。</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11、电梯的运行和日常维护。</w:t>
      </w:r>
    </w:p>
    <w:p>
      <w:pPr>
        <w:snapToGrid w:val="0"/>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12、负责编制房屋、附属建筑物、设施设备、绿化的年度维修养护方案。</w:t>
      </w:r>
    </w:p>
    <w:p>
      <w:pPr>
        <w:snapToGrid w:val="0"/>
        <w:spacing w:line="520" w:lineRule="exact"/>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13</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负责</w:t>
      </w:r>
      <w:r>
        <w:rPr>
          <w:rFonts w:hint="eastAsia" w:ascii="宋体" w:hAnsi="宋体" w:eastAsia="宋体" w:cs="宋体"/>
          <w:b w:val="0"/>
          <w:bCs w:val="0"/>
          <w:color w:val="auto"/>
          <w:sz w:val="24"/>
          <w:szCs w:val="24"/>
          <w:lang w:val="en-US" w:eastAsia="zh-CN"/>
        </w:rPr>
        <w:t>避雷装置安全检测。</w:t>
      </w:r>
    </w:p>
    <w:p>
      <w:pPr>
        <w:snapToGrid w:val="0"/>
        <w:spacing w:line="520" w:lineRule="exact"/>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14</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负责</w:t>
      </w:r>
      <w:r>
        <w:rPr>
          <w:rFonts w:hint="eastAsia" w:ascii="宋体" w:hAnsi="宋体" w:eastAsia="宋体" w:cs="宋体"/>
          <w:b w:val="0"/>
          <w:bCs w:val="0"/>
          <w:color w:val="auto"/>
          <w:sz w:val="24"/>
          <w:szCs w:val="24"/>
          <w:lang w:val="en-US" w:eastAsia="zh-CN"/>
        </w:rPr>
        <w:t>灭蟑服务。</w:t>
      </w:r>
    </w:p>
    <w:p>
      <w:pPr>
        <w:snapToGrid w:val="0"/>
        <w:spacing w:line="520" w:lineRule="exact"/>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15</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负责</w:t>
      </w:r>
      <w:r>
        <w:rPr>
          <w:rFonts w:hint="eastAsia" w:ascii="宋体" w:hAnsi="宋体" w:eastAsia="宋体" w:cs="宋体"/>
          <w:b w:val="0"/>
          <w:bCs w:val="0"/>
          <w:color w:val="auto"/>
          <w:sz w:val="24"/>
          <w:szCs w:val="24"/>
          <w:lang w:val="en-US" w:eastAsia="zh-CN"/>
        </w:rPr>
        <w:t>生活用水检测。</w:t>
      </w:r>
    </w:p>
    <w:p>
      <w:pPr>
        <w:snapToGrid w:val="0"/>
        <w:spacing w:line="52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负责</w:t>
      </w:r>
      <w:r>
        <w:rPr>
          <w:rFonts w:hint="eastAsia" w:ascii="宋体" w:hAnsi="宋体" w:eastAsia="宋体" w:cs="宋体"/>
          <w:b w:val="0"/>
          <w:bCs w:val="0"/>
          <w:color w:val="auto"/>
          <w:sz w:val="24"/>
          <w:szCs w:val="24"/>
          <w:lang w:val="en-US" w:eastAsia="zh-CN"/>
        </w:rPr>
        <w:t>配电室耐压试验清扫、消电检。</w:t>
      </w:r>
    </w:p>
    <w:p>
      <w:pPr>
        <w:autoSpaceDE w:val="0"/>
        <w:autoSpaceDN w:val="0"/>
        <w:adjustRightIn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、按照法律、法规、规章等有关规定对房屋装修提供管理服务。业主或物业使用人申请装修时，乙方应当告知相关的限制性规定和注意事项，与其订立书面的装修服务协议，明确双方的权利义务。</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、对物业区域内违反有关治安、环保、物业装修和使用等方面法律、法规、规章的行为，应及时告知、建议、劝阻，并向有关部门报告。</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、制定预防火灾、水灾、地震、治安等应急突发事件的工作预案，明确妥善处置应急事件或急迫性维修的具体内容。</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、按国家要求制定疫情防控方案，并落实疫情防控工作内容。</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、设立服务监督电话，并在物业区域内告知。</w:t>
      </w:r>
    </w:p>
    <w:p>
      <w:pPr>
        <w:snapToGrid w:val="0"/>
        <w:spacing w:line="520" w:lineRule="exact"/>
        <w:ind w:firstLine="480"/>
        <w:rPr>
          <w:rFonts w:hint="eastAsia" w:ascii="宋体" w:hAnsi="宋体" w:eastAsia="宋体" w:cs="宋体"/>
          <w:color w:val="auto"/>
          <w:sz w:val="24"/>
          <w:szCs w:val="24"/>
        </w:rPr>
      </w:pPr>
    </w:p>
    <w:p>
      <w:pPr>
        <w:snapToGrid w:val="0"/>
        <w:spacing w:line="5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第三章  物业服务节能减排管理</w:t>
      </w:r>
    </w:p>
    <w:p>
      <w:pPr>
        <w:snapToGrid w:val="0"/>
        <w:spacing w:line="520" w:lineRule="exact"/>
        <w:jc w:val="center"/>
        <w:rPr>
          <w:rFonts w:hint="eastAsia" w:ascii="宋体" w:hAnsi="宋体" w:eastAsia="宋体" w:cs="宋体"/>
          <w:b/>
          <w:bCs/>
          <w:color w:val="auto"/>
          <w:sz w:val="24"/>
          <w:szCs w:val="24"/>
        </w:rPr>
      </w:pPr>
    </w:p>
    <w:p>
      <w:pPr>
        <w:snapToGrid w:val="0"/>
        <w:spacing w:line="520" w:lineRule="exact"/>
        <w:ind w:firstLine="480"/>
        <w:rPr>
          <w:rFonts w:hint="eastAsia" w:ascii="宋体" w:hAnsi="宋体" w:eastAsia="宋体" w:cs="宋体"/>
          <w:color w:val="auto"/>
          <w:sz w:val="24"/>
          <w:szCs w:val="24"/>
        </w:rPr>
      </w:pPr>
      <w:r>
        <w:rPr>
          <w:rFonts w:hint="eastAsia" w:ascii="宋体" w:hAnsi="宋体" w:eastAsia="宋体" w:cs="宋体"/>
          <w:b/>
          <w:color w:val="auto"/>
          <w:sz w:val="24"/>
          <w:szCs w:val="24"/>
        </w:rPr>
        <w:t>第三条</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节能减排管理内容</w:t>
      </w:r>
    </w:p>
    <w:p>
      <w:pPr>
        <w:autoSpaceDE w:val="0"/>
        <w:autoSpaceDN w:val="0"/>
        <w:adjustRightInd w:val="0"/>
        <w:spacing w:line="52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1、根据节能减排、光盘行动、垃圾分类相关要求对大楼供水、供电、制止浪费、垃圾分类等管理、宣传工作。</w:t>
      </w:r>
    </w:p>
    <w:p>
      <w:pPr>
        <w:autoSpaceDE w:val="0"/>
        <w:autoSpaceDN w:val="0"/>
        <w:adjustRightIn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2、节能降耗管理措施：</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（1）教室照明、会议室设置使用LED节能照明灯；</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（2）电动自行车充电安装定时装置；</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（3）在公共区域张贴节能提示标识；</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（4）定期统计水、电、燃气能源消耗情况。</w:t>
      </w:r>
    </w:p>
    <w:p>
      <w:pPr>
        <w:autoSpaceDE w:val="0"/>
        <w:autoSpaceDN w:val="0"/>
        <w:adjustRightIn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3、节水管理要求：</w:t>
      </w:r>
    </w:p>
    <w:p>
      <w:pPr>
        <w:autoSpaceDE w:val="0"/>
        <w:autoSpaceDN w:val="0"/>
        <w:adjustRightInd w:val="0"/>
        <w:spacing w:line="520" w:lineRule="exact"/>
        <w:ind w:firstLine="633" w:firstLineChars="264"/>
        <w:rPr>
          <w:rFonts w:hint="eastAsia" w:ascii="宋体" w:hAnsi="宋体" w:eastAsia="宋体" w:cs="宋体"/>
          <w:color w:val="auto"/>
          <w:sz w:val="24"/>
          <w:szCs w:val="24"/>
        </w:rPr>
      </w:pPr>
      <w:r>
        <w:rPr>
          <w:rFonts w:hint="eastAsia" w:ascii="宋体" w:hAnsi="宋体" w:eastAsia="宋体" w:cs="宋体"/>
          <w:color w:val="auto"/>
          <w:sz w:val="24"/>
          <w:szCs w:val="24"/>
        </w:rPr>
        <w:t>定期巡视楼内设备设施，发现跑冒滴漏现象及时处理。</w:t>
      </w:r>
    </w:p>
    <w:p>
      <w:pPr>
        <w:autoSpaceDE w:val="0"/>
        <w:autoSpaceDN w:val="0"/>
        <w:adjustRightInd w:val="0"/>
        <w:spacing w:line="52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4、垃圾分类管理要求：</w:t>
      </w:r>
    </w:p>
    <w:p>
      <w:pPr>
        <w:autoSpaceDE w:val="0"/>
        <w:autoSpaceDN w:val="0"/>
        <w:adjustRightInd w:val="0"/>
        <w:spacing w:line="52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（1）做好垃圾分类工作，张贴垃圾分类标识；</w:t>
      </w:r>
    </w:p>
    <w:p>
      <w:pPr>
        <w:autoSpaceDE w:val="0"/>
        <w:autoSpaceDN w:val="0"/>
        <w:adjustRightInd w:val="0"/>
        <w:spacing w:line="520" w:lineRule="exact"/>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color w:val="auto"/>
          <w:sz w:val="24"/>
          <w:szCs w:val="24"/>
          <w:lang w:val="zh-CN"/>
        </w:rPr>
        <w:t>（2）明确垃圾分类责任人，</w:t>
      </w:r>
      <w:r>
        <w:rPr>
          <w:rFonts w:hint="eastAsia" w:ascii="宋体" w:hAnsi="宋体" w:eastAsia="宋体" w:cs="宋体"/>
          <w:b w:val="0"/>
          <w:bCs w:val="0"/>
          <w:color w:val="auto"/>
          <w:sz w:val="24"/>
          <w:szCs w:val="24"/>
          <w:lang w:val="zh-CN"/>
        </w:rPr>
        <w:t>签订</w:t>
      </w:r>
      <w:r>
        <w:rPr>
          <w:rFonts w:hint="eastAsia" w:ascii="宋体" w:hAnsi="宋体" w:cs="宋体"/>
          <w:b w:val="0"/>
          <w:bCs w:val="0"/>
          <w:color w:val="auto"/>
          <w:sz w:val="24"/>
          <w:szCs w:val="24"/>
          <w:lang w:val="zh-CN"/>
        </w:rPr>
        <w:t>其他垃圾、</w:t>
      </w:r>
      <w:r>
        <w:rPr>
          <w:rFonts w:hint="eastAsia" w:ascii="宋体" w:hAnsi="宋体" w:eastAsia="宋体" w:cs="宋体"/>
          <w:b w:val="0"/>
          <w:bCs w:val="0"/>
          <w:color w:val="auto"/>
          <w:sz w:val="24"/>
          <w:szCs w:val="24"/>
          <w:lang w:val="zh-CN"/>
        </w:rPr>
        <w:t>有害垃圾、可回收垃圾清运</w:t>
      </w:r>
      <w:r>
        <w:rPr>
          <w:rFonts w:hint="eastAsia" w:ascii="宋体" w:hAnsi="宋体" w:cs="宋体"/>
          <w:b w:val="0"/>
          <w:bCs w:val="0"/>
          <w:color w:val="auto"/>
          <w:sz w:val="24"/>
          <w:szCs w:val="24"/>
          <w:lang w:val="zh-CN"/>
        </w:rPr>
        <w:t>和消纳</w:t>
      </w:r>
      <w:r>
        <w:rPr>
          <w:rFonts w:hint="eastAsia" w:ascii="宋体" w:hAnsi="宋体" w:eastAsia="宋体" w:cs="宋体"/>
          <w:b w:val="0"/>
          <w:bCs w:val="0"/>
          <w:color w:val="auto"/>
          <w:sz w:val="24"/>
          <w:szCs w:val="24"/>
          <w:lang w:val="zh-CN"/>
        </w:rPr>
        <w:t>合同。</w:t>
      </w:r>
    </w:p>
    <w:p>
      <w:pPr>
        <w:autoSpaceDE w:val="0"/>
        <w:autoSpaceDN w:val="0"/>
        <w:adjustRightIn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5、餐饮部节能管理措施：</w:t>
      </w:r>
    </w:p>
    <w:p>
      <w:pPr>
        <w:autoSpaceDE w:val="0"/>
        <w:autoSpaceDN w:val="0"/>
        <w:adjustRightInd w:val="0"/>
        <w:spacing w:line="520" w:lineRule="exact"/>
        <w:ind w:left="0" w:leftChars="0" w:firstLine="626" w:firstLineChars="26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餐厅制作并张贴“光盘行动”、“节约粮食”宣传海报，并提示用餐人员勤拿少取，制止浪费。</w:t>
      </w:r>
    </w:p>
    <w:p>
      <w:pPr>
        <w:snapToGrid w:val="0"/>
        <w:spacing w:line="5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第四章  物业服务标准</w:t>
      </w:r>
    </w:p>
    <w:p>
      <w:pPr>
        <w:snapToGrid w:val="0"/>
        <w:spacing w:line="520" w:lineRule="exact"/>
        <w:jc w:val="center"/>
        <w:rPr>
          <w:rFonts w:hint="eastAsia" w:ascii="宋体" w:hAnsi="宋体" w:eastAsia="宋体" w:cs="宋体"/>
          <w:b/>
          <w:bCs/>
          <w:color w:val="auto"/>
          <w:sz w:val="24"/>
          <w:szCs w:val="24"/>
        </w:rPr>
      </w:pPr>
    </w:p>
    <w:p>
      <w:pPr>
        <w:snapToGrid w:val="0"/>
        <w:spacing w:line="520" w:lineRule="exact"/>
        <w:ind w:firstLine="480"/>
        <w:rPr>
          <w:rFonts w:hint="eastAsia" w:ascii="宋体" w:hAnsi="宋体" w:eastAsia="宋体" w:cs="宋体"/>
          <w:color w:val="auto"/>
          <w:sz w:val="24"/>
          <w:szCs w:val="24"/>
        </w:rPr>
      </w:pPr>
      <w:r>
        <w:rPr>
          <w:rFonts w:hint="eastAsia" w:ascii="宋体" w:hAnsi="宋体" w:eastAsia="宋体" w:cs="宋体"/>
          <w:b/>
          <w:color w:val="auto"/>
          <w:sz w:val="24"/>
          <w:szCs w:val="24"/>
        </w:rPr>
        <w:t>第四条</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物业服务标准</w:t>
      </w:r>
    </w:p>
    <w:p>
      <w:pPr>
        <w:autoSpaceDE w:val="0"/>
        <w:autoSpaceDN w:val="0"/>
        <w:adjustRightIn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1、乙方按照[</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w:t>
      </w:r>
      <w:r>
        <w:rPr>
          <w:rFonts w:hint="eastAsia" w:ascii="宋体" w:hAnsi="宋体" w:eastAsia="宋体" w:cs="宋体"/>
          <w:bCs/>
          <w:color w:val="auto"/>
          <w:sz w:val="24"/>
          <w:szCs w:val="24"/>
        </w:rPr>
        <w:t>物业服务标准]</w:t>
      </w:r>
      <w:r>
        <w:rPr>
          <w:rFonts w:hint="eastAsia" w:ascii="宋体" w:hAnsi="宋体" w:eastAsia="宋体" w:cs="宋体"/>
          <w:color w:val="auto"/>
          <w:sz w:val="24"/>
          <w:szCs w:val="24"/>
        </w:rPr>
        <w:t>提供服务，不得低于[</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文件]的要求。</w:t>
      </w:r>
    </w:p>
    <w:p>
      <w:pPr>
        <w:autoSpaceDE w:val="0"/>
        <w:autoSpaceDN w:val="0"/>
        <w:adjustRightInd w:val="0"/>
        <w:spacing w:line="520" w:lineRule="exact"/>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2、物业管理服务要达到的指标：</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（1）持证上岗100%；</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（2）房屋及公共设施完好率达到100%；</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（3）设备完好率达到99%；</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（4）消防设施设备完好率达到100%；</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（5）食品卫生合格率100%；</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（6）停车场设备完好率达到99%；</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（7）维修及时率98%，返修率小于1%；</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（8）有效投诉小于1%，处理率100%；</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（9）业主对物业满意率95%；</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（10）合同履约率100%；</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（11）杜绝火灾责任事故，杜绝重大盗窃及刑事案件，发生率0%；</w:t>
      </w:r>
    </w:p>
    <w:p>
      <w:pPr>
        <w:autoSpaceDE w:val="0"/>
        <w:autoSpaceDN w:val="0"/>
        <w:adjustRightInd w:val="0"/>
        <w:spacing w:line="520" w:lineRule="exact"/>
        <w:ind w:firstLine="633" w:firstLineChars="264"/>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（12）根据物业管理工作的需要，制定物业管理补充协议。</w:t>
      </w:r>
    </w:p>
    <w:p>
      <w:pPr>
        <w:snapToGrid w:val="0"/>
        <w:spacing w:line="520" w:lineRule="exact"/>
        <w:rPr>
          <w:rFonts w:hint="eastAsia" w:ascii="宋体" w:hAnsi="宋体" w:eastAsia="宋体" w:cs="宋体"/>
          <w:color w:val="auto"/>
          <w:sz w:val="24"/>
          <w:szCs w:val="24"/>
        </w:rPr>
      </w:pPr>
    </w:p>
    <w:p>
      <w:pPr>
        <w:keepNext/>
        <w:widowControl/>
        <w:snapToGrid w:val="0"/>
        <w:spacing w:line="5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第五章  合同期限</w:t>
      </w:r>
    </w:p>
    <w:p>
      <w:pPr>
        <w:keepNext/>
        <w:widowControl/>
        <w:snapToGrid w:val="0"/>
        <w:spacing w:line="520" w:lineRule="exact"/>
        <w:rPr>
          <w:rFonts w:hint="eastAsia" w:ascii="宋体" w:hAnsi="宋体" w:eastAsia="宋体" w:cs="宋体"/>
          <w:b/>
          <w:bCs/>
          <w:color w:val="auto"/>
          <w:sz w:val="24"/>
          <w:szCs w:val="24"/>
        </w:rPr>
      </w:pPr>
    </w:p>
    <w:p>
      <w:pPr>
        <w:snapToGrid w:val="0"/>
        <w:spacing w:line="520" w:lineRule="exact"/>
        <w:ind w:firstLine="480"/>
        <w:rPr>
          <w:rFonts w:hint="eastAsia" w:ascii="宋体" w:hAnsi="宋体" w:eastAsia="宋体" w:cs="宋体"/>
          <w:color w:val="auto"/>
          <w:sz w:val="24"/>
          <w:szCs w:val="24"/>
        </w:rPr>
      </w:pPr>
      <w:r>
        <w:rPr>
          <w:rFonts w:hint="eastAsia" w:ascii="宋体" w:hAnsi="宋体" w:eastAsia="宋体" w:cs="宋体"/>
          <w:b/>
          <w:color w:val="auto"/>
          <w:sz w:val="24"/>
          <w:szCs w:val="24"/>
        </w:rPr>
        <w:t>第五条  物业服务期限</w:t>
      </w:r>
    </w:p>
    <w:p>
      <w:pPr>
        <w:snapToGrid w:val="0"/>
        <w:spacing w:line="5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物业服务期限为</w:t>
      </w:r>
      <w:r>
        <w:rPr>
          <w:rFonts w:hint="eastAsia" w:ascii="宋体" w:hAnsi="宋体" w:cs="宋体"/>
          <w:color w:val="auto"/>
          <w:sz w:val="24"/>
          <w:szCs w:val="24"/>
          <w:lang w:eastAsia="zh-CN"/>
        </w:rPr>
        <w:t>一</w:t>
      </w:r>
      <w:r>
        <w:rPr>
          <w:rFonts w:hint="eastAsia" w:ascii="宋体" w:hAnsi="宋体" w:eastAsia="宋体" w:cs="宋体"/>
          <w:color w:val="auto"/>
          <w:sz w:val="24"/>
          <w:szCs w:val="24"/>
        </w:rPr>
        <w:t>年，自</w:t>
      </w:r>
      <w:r>
        <w:rPr>
          <w:rFonts w:hint="eastAsia" w:ascii="宋体" w:hAnsi="宋体" w:cs="宋体"/>
          <w:color w:val="auto"/>
          <w:sz w:val="24"/>
          <w:szCs w:val="24"/>
          <w:u w:val="single"/>
          <w:lang w:val="en-US" w:eastAsia="zh-CN"/>
        </w:rPr>
        <w:t>2024</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1</w:t>
      </w:r>
      <w:r>
        <w:rPr>
          <w:rFonts w:hint="eastAsia" w:ascii="宋体" w:hAnsi="宋体" w:eastAsia="宋体" w:cs="宋体"/>
          <w:color w:val="auto"/>
          <w:sz w:val="24"/>
          <w:szCs w:val="24"/>
        </w:rPr>
        <w:t>日至</w:t>
      </w:r>
      <w:r>
        <w:rPr>
          <w:rFonts w:hint="eastAsia" w:ascii="宋体" w:hAnsi="宋体" w:cs="宋体"/>
          <w:color w:val="auto"/>
          <w:sz w:val="24"/>
          <w:szCs w:val="24"/>
          <w:u w:val="single"/>
          <w:lang w:val="en-US" w:eastAsia="zh-CN"/>
        </w:rPr>
        <w:t>2025</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rPr>
        <w:t>日止。</w:t>
      </w:r>
    </w:p>
    <w:p>
      <w:pPr>
        <w:snapToGrid w:val="0"/>
        <w:spacing w:line="520" w:lineRule="exact"/>
        <w:jc w:val="center"/>
        <w:rPr>
          <w:rFonts w:hint="eastAsia" w:ascii="宋体" w:hAnsi="宋体" w:eastAsia="宋体" w:cs="宋体"/>
          <w:b/>
          <w:bCs/>
          <w:color w:val="auto"/>
          <w:sz w:val="24"/>
          <w:szCs w:val="24"/>
        </w:rPr>
      </w:pPr>
    </w:p>
    <w:p>
      <w:pPr>
        <w:snapToGrid w:val="0"/>
        <w:spacing w:line="5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第六章  物业服务相关费用</w:t>
      </w:r>
    </w:p>
    <w:p>
      <w:pPr>
        <w:snapToGrid w:val="0"/>
        <w:spacing w:line="520" w:lineRule="exact"/>
        <w:jc w:val="center"/>
        <w:rPr>
          <w:rFonts w:hint="eastAsia" w:ascii="宋体" w:hAnsi="宋体" w:eastAsia="宋体" w:cs="宋体"/>
          <w:b/>
          <w:bCs/>
          <w:color w:val="auto"/>
          <w:sz w:val="24"/>
          <w:szCs w:val="24"/>
        </w:rPr>
      </w:pP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第六条  物业服务费包含内容及相关事项说明</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1、本物业区域物业服务收费方式为：包干制。</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2、办公楼设施的日常管理、维护、小修、保养、急修，日常养护及材料费用（含日常照明用品、维修工具、小五金、润滑剂），</w:t>
      </w:r>
      <w:r>
        <w:rPr>
          <w:rFonts w:hint="eastAsia" w:ascii="宋体" w:hAnsi="宋体" w:eastAsia="宋体" w:cs="宋体"/>
          <w:color w:val="auto"/>
          <w:sz w:val="24"/>
          <w:szCs w:val="24"/>
          <w:lang w:eastAsia="zh-CN"/>
        </w:rPr>
        <w:t>单次</w:t>
      </w:r>
      <w:r>
        <w:rPr>
          <w:rFonts w:hint="eastAsia" w:ascii="宋体" w:hAnsi="宋体" w:eastAsia="宋体" w:cs="宋体"/>
          <w:color w:val="auto"/>
          <w:sz w:val="24"/>
          <w:szCs w:val="24"/>
        </w:rPr>
        <w:t>单价200元(含)以下材料费用由物业公司承担。</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3、因甲方物业服务项目、范围增加或者减少时，物业服务费应相应增加或者减少。</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4、当国家有关政策发生变化时，甲乙双方应及时协商调整相关物业服务费。</w:t>
      </w: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第七条  物业服务费用交纳</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1、甲方向乙方支付的物业服务费总价为人民币1427735.2元</w:t>
      </w:r>
      <w:r>
        <w:rPr>
          <w:rFonts w:hint="eastAsia" w:ascii="宋体" w:hAnsi="宋体" w:eastAsia="宋体" w:cs="宋体"/>
          <w:color w:val="auto"/>
          <w:sz w:val="24"/>
          <w:szCs w:val="24"/>
          <w:u w:val="single"/>
        </w:rPr>
        <w:t>（大写：</w:t>
      </w:r>
      <w:r>
        <w:rPr>
          <w:rFonts w:hint="eastAsia" w:ascii="宋体" w:hAnsi="宋体" w:cs="宋体"/>
          <w:color w:val="auto"/>
          <w:sz w:val="24"/>
          <w:szCs w:val="24"/>
          <w:u w:val="single"/>
          <w:lang w:eastAsia="zh-CN"/>
        </w:rPr>
        <w:t>壹佰肆拾贰万柒仟柒佰叁拾伍元贰角</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2、合同签订</w:t>
      </w:r>
      <w:r>
        <w:rPr>
          <w:rFonts w:hint="eastAsia" w:ascii="宋体" w:hAnsi="宋体" w:eastAsia="宋体" w:cs="宋体"/>
          <w:color w:val="auto"/>
          <w:sz w:val="24"/>
          <w:szCs w:val="24"/>
          <w:lang w:eastAsia="zh-Hans"/>
        </w:rPr>
        <w:t>并经</w:t>
      </w:r>
      <w:r>
        <w:rPr>
          <w:rFonts w:hint="eastAsia" w:ascii="宋体" w:hAnsi="宋体" w:eastAsia="宋体" w:cs="宋体"/>
          <w:color w:val="auto"/>
          <w:sz w:val="24"/>
          <w:szCs w:val="24"/>
        </w:rPr>
        <w:t>财政拨款后，甲方向乙方支付合同约定物业服务费的50%，即人民币 713867.6元</w:t>
      </w:r>
      <w:r>
        <w:rPr>
          <w:rFonts w:hint="eastAsia" w:ascii="宋体" w:hAnsi="宋体" w:eastAsia="宋体" w:cs="宋体"/>
          <w:color w:val="auto"/>
          <w:sz w:val="24"/>
          <w:szCs w:val="24"/>
          <w:u w:val="single"/>
        </w:rPr>
        <w:t>（大写：</w:t>
      </w:r>
      <w:r>
        <w:rPr>
          <w:rFonts w:hint="eastAsia" w:ascii="宋体" w:hAnsi="宋体" w:cs="宋体"/>
          <w:color w:val="auto"/>
          <w:sz w:val="24"/>
          <w:szCs w:val="24"/>
          <w:u w:val="single"/>
          <w:lang w:eastAsia="zh-CN"/>
        </w:rPr>
        <w:t>柒拾壹万叁仟捌佰陆拾柒元陆角</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。合同执行满6个月且乙方未出现任何违约情形后，甲方在15日内向乙方支付合同约定剩余物业服务费，即人民币 713867.6元</w:t>
      </w:r>
      <w:r>
        <w:rPr>
          <w:rFonts w:hint="eastAsia" w:ascii="宋体" w:hAnsi="宋体" w:eastAsia="宋体" w:cs="宋体"/>
          <w:color w:val="auto"/>
          <w:sz w:val="24"/>
          <w:szCs w:val="24"/>
          <w:u w:val="single"/>
        </w:rPr>
        <w:t>（大写：</w:t>
      </w:r>
      <w:r>
        <w:rPr>
          <w:rFonts w:hint="eastAsia" w:ascii="宋体" w:hAnsi="宋体" w:cs="宋体"/>
          <w:color w:val="auto"/>
          <w:sz w:val="24"/>
          <w:szCs w:val="24"/>
          <w:u w:val="single"/>
          <w:lang w:eastAsia="zh-CN"/>
        </w:rPr>
        <w:t>柒拾壹万叁仟捌佰陆拾柒元陆角</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甲方向乙方支付每笔物业服务费前，乙方应向甲方开具符合甲方财务要求且合法有效的等额增值税普通发票。如因乙方未及时开具发票或开具的发票不符合甲方要求的，甲方付款期限作相应顺延，且不承担任何责任。</w:t>
      </w: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bCs/>
          <w:color w:val="auto"/>
          <w:kern w:val="0"/>
          <w:sz w:val="24"/>
          <w:szCs w:val="24"/>
          <w:lang w:val="zh-CN"/>
        </w:rPr>
        <w:t>八条</w:t>
      </w:r>
      <w:r>
        <w:rPr>
          <w:rFonts w:hint="eastAsia" w:ascii="宋体" w:hAnsi="宋体" w:eastAsia="宋体" w:cs="宋体"/>
          <w:b/>
          <w:color w:val="auto"/>
          <w:sz w:val="24"/>
          <w:szCs w:val="24"/>
        </w:rPr>
        <w:t xml:space="preserve">  特约服务</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乙方可在甲方允许的情况下，提供特约服务，服务收费标准按双方约定执行。</w:t>
      </w:r>
    </w:p>
    <w:p>
      <w:pPr>
        <w:snapToGrid w:val="0"/>
        <w:spacing w:line="520" w:lineRule="exact"/>
        <w:ind w:firstLine="480" w:firstLineChars="200"/>
        <w:rPr>
          <w:rFonts w:hint="eastAsia" w:ascii="宋体" w:hAnsi="宋体" w:eastAsia="宋体" w:cs="宋体"/>
          <w:color w:val="auto"/>
          <w:sz w:val="24"/>
          <w:szCs w:val="24"/>
        </w:rPr>
      </w:pPr>
    </w:p>
    <w:p>
      <w:pPr>
        <w:snapToGrid w:val="0"/>
        <w:spacing w:line="5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第七章  双方权利与义务</w:t>
      </w:r>
    </w:p>
    <w:p>
      <w:pPr>
        <w:snapToGrid w:val="0"/>
        <w:spacing w:line="520" w:lineRule="exact"/>
        <w:rPr>
          <w:rFonts w:hint="eastAsia" w:ascii="宋体" w:hAnsi="宋体" w:eastAsia="宋体" w:cs="宋体"/>
          <w:color w:val="auto"/>
          <w:sz w:val="24"/>
          <w:szCs w:val="24"/>
        </w:rPr>
      </w:pP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第九条  甲方的权利与义务</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1、审定乙方制定的物业服务方案，并监督实施。</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2、对本物业区域内的物业服务事项有知情权。</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3、对乙方提供的服务有建议、督促的权利。</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4、审核本物业服务费的年度预算。</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5、组织物业服务满意度调查。</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6、不得要求乙方在本物业区域内行使物业服务内容以外的物业服务。</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7、应在乙方办理入住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日前，免费提供符合办公要求的物业服务用房。物业服务用房建筑面积约</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平方米，位置为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8、负责协调、处理、解决本合同生效前发生的遗留问题，不因此影响乙方工作。</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9、协助乙方做好物业区域内的物业服务工作。及时回复、解决乙方提出的本物业区域内设施设备整改、维修方案所需的相关资金。</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10、按照合同约定按时支付物业服务费用及特约服务费。</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11、有关法律、法规、规章规定的甲方其他权利与义务。</w:t>
      </w:r>
    </w:p>
    <w:p>
      <w:pPr>
        <w:keepNext/>
        <w:widowControl/>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第十条  乙方的权利与义务</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1、按照合同约定收取物业服务费用。</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2、根据有关法律、法规、规章及本合同的约定，按照物业服务标准和内容提供物业服务。</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3、制定物业服务计划，负责编制房屋、附属建筑物、设施设备、绿化的年度维修养护计划。</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4、向甲方告知物业区域内物业服务的有关情况。</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5、可以选聘专业服务企业承担物业区域内的专项服务项目，但需经过甲方书面同意；乙方不得将本区域内的非专业物业服务委托给第三方，并对受托专业服务企业的服务行为承担连带责任。</w:t>
      </w:r>
    </w:p>
    <w:p>
      <w:pPr>
        <w:snapToGrid w:val="0"/>
        <w:spacing w:line="52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6、妥善保管和正确使用本物业的档案资料，及时记载有关变更信息。</w:t>
      </w:r>
    </w:p>
    <w:p>
      <w:pPr>
        <w:snapToGrid w:val="0"/>
        <w:spacing w:line="52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7、及时向甲方、业主和物业使用人通报本物业区域内有关物业</w:t>
      </w:r>
      <w:r>
        <w:rPr>
          <w:rFonts w:hint="eastAsia" w:ascii="宋体" w:hAnsi="宋体" w:eastAsia="宋体" w:cs="宋体"/>
          <w:color w:val="auto"/>
          <w:sz w:val="24"/>
          <w:szCs w:val="24"/>
        </w:rPr>
        <w:t>服务</w:t>
      </w:r>
      <w:r>
        <w:rPr>
          <w:rFonts w:hint="eastAsia" w:ascii="宋体" w:hAnsi="宋体" w:eastAsia="宋体" w:cs="宋体"/>
          <w:bCs/>
          <w:color w:val="auto"/>
          <w:sz w:val="24"/>
          <w:szCs w:val="24"/>
        </w:rPr>
        <w:t>的重大事项，接受甲方和物业使用人的监督。</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8、对甲方和物业使用人违反《办公楼管理规定》的行为，采取告知、劝说和建议等方式改正。</w:t>
      </w:r>
    </w:p>
    <w:p>
      <w:pPr>
        <w:snapToGrid w:val="0"/>
        <w:spacing w:line="52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9、不得擅自占用本物业区域内的共用部位、共用设施设备或改变用途，不得擅自占用、挖掘本物业区域内的道路、场地。确需临时占用、挖掘本物业区域内道路、场地的，应报甲方审定同意后，制定施工方案，开工前要在物业区域内公示，施工过程中尽可能减少对正常秩序的影响，并及时恢复原状。</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10、本物业区域内需另行配备相关设施设备的，乙方应与甲方协商解决。</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11、对自身原因造成的事故承担责任并负责善后处理。</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12、不得泄露甲方的各种信息，做好保密工作。</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13、国家法律、法规、规章规定的乙方其他权利与义务。</w:t>
      </w:r>
    </w:p>
    <w:p>
      <w:pPr>
        <w:snapToGrid w:val="0"/>
        <w:spacing w:line="5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第八章  合同终止</w:t>
      </w:r>
    </w:p>
    <w:p>
      <w:pPr>
        <w:snapToGrid w:val="0"/>
        <w:spacing w:line="520" w:lineRule="exact"/>
        <w:rPr>
          <w:rFonts w:hint="eastAsia" w:ascii="宋体" w:hAnsi="宋体" w:eastAsia="宋体" w:cs="宋体"/>
          <w:color w:val="auto"/>
          <w:sz w:val="24"/>
          <w:szCs w:val="24"/>
        </w:rPr>
      </w:pP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第十一条  期满终止</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本合同期满前，甲方决定不再聘用乙方的，应在期满前1个月书面通知乙方；乙方决定不再续约的，应在期满前1个月书面通知甲方。</w:t>
      </w: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第十二条  期满续约</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本合同期满前，双方同意续签，应于本合同到期前1个月内签署新的物业服务合同。本合同期满前1个月，没有将解聘乙方的意见通知乙方的，乙方视甲方同意此合同自动延续一个合同期。</w:t>
      </w: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第十三条  接管前处理</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本合同终止后，在新的物业服务企业接管本物业项目之前，乙方应当应甲方的要求暂时继续提供物业服务，一般不超过三个月；双方的权利与义务继续按照本合同执行。</w:t>
      </w: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第十四条  不可抗力的终止</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因不可抗力致使合同无法继续履行的，根据不可抗力的影响，部分或全部免除责任，其他事宜由甲乙双方依法协商处理。</w:t>
      </w: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第十五条  终止后处理</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本合同终止后，甲乙双方应共同做好债权债务处理事宜，包括物业服务费用的清算、对外签订的各种协议等。甲方、乙方应相互配合，做好物业服务的交接和善后工作。</w:t>
      </w:r>
    </w:p>
    <w:p>
      <w:pPr>
        <w:snapToGrid w:val="0"/>
        <w:spacing w:line="520" w:lineRule="exact"/>
        <w:rPr>
          <w:rFonts w:hint="eastAsia" w:ascii="宋体" w:hAnsi="宋体" w:eastAsia="宋体" w:cs="宋体"/>
          <w:b/>
          <w:bCs/>
          <w:color w:val="auto"/>
          <w:sz w:val="24"/>
          <w:szCs w:val="24"/>
        </w:rPr>
      </w:pPr>
    </w:p>
    <w:p>
      <w:pPr>
        <w:snapToGrid w:val="0"/>
        <w:spacing w:line="5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第九章  违约责任</w:t>
      </w:r>
    </w:p>
    <w:p>
      <w:pPr>
        <w:pStyle w:val="7"/>
        <w:keepLines w:val="0"/>
        <w:widowControl w:val="0"/>
        <w:tabs>
          <w:tab w:val="clear" w:pos="4320"/>
          <w:tab w:val="clear" w:pos="8640"/>
        </w:tabs>
        <w:snapToGrid w:val="0"/>
        <w:spacing w:line="520" w:lineRule="exact"/>
        <w:rPr>
          <w:rFonts w:hint="eastAsia" w:ascii="宋体" w:hAnsi="宋体" w:eastAsia="宋体" w:cs="宋体"/>
          <w:color w:val="auto"/>
          <w:spacing w:val="0"/>
          <w:kern w:val="1"/>
          <w:sz w:val="24"/>
          <w:szCs w:val="24"/>
        </w:rPr>
      </w:pP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第十六条  甲方违约责任</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甲方违反本合同约定，导致乙方未能完成服务内容的，乙方有权要求甲方限期解决；逾期未解决的，乙方可要求甲方支付违约金，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违约金</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元；造成损失的，乙方可要求甲方承担相应的赔偿责任。</w:t>
      </w: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第十七条  乙方违约责任</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提供的服务达不到本合同约定标准的，甲方有权要求乙方在合理期限内改进。如乙方未能在合理期限内完成改进的，每逾期一日，应按照合同总额的【0.3】%向甲方支付违约金（如乙方需承担违约金的，甲方有权在物业服务费中予以扣除，乙方对此不持异议）；逾期超过【30】日的，甲方有权解除合同。合同解除后，双方应按实结算，给业主或物业使用人造成损失的，乙方还应承担相应的赔偿责任。</w:t>
      </w: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第十八条  提前解约责任</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除本合同第七章规定及本合同其他约定的终止情形外，甲、乙双方均不得提前解除本合同，否则无过错方可要求其支付</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万元的违约金；造成损失的，无过错方可要求其承担相应的赔偿责任。</w:t>
      </w: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第十九条  突发事件处理</w:t>
      </w:r>
    </w:p>
    <w:p>
      <w:pPr>
        <w:snapToGrid w:val="0"/>
        <w:spacing w:line="52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为维护公共利益，在不可预见情况下，如发生煤气泄露、漏电、火灾、暖气管、水管破裂、救助人命、协助公安机关执行任务等突发事件，乙方因采取紧急避险措施造成损失的，当事人应按有关规定处理。</w:t>
      </w: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第二十条  乙方免责条款</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具有以下情况之一的，乙方不承担违约责任：</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1、由于甲方的原因导致乙方的服务无法达到合同要求的。</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2、因维修养护物业共用部位、共用设施设备需要且事先已告知业主，暂时停水、停电、停止共用设施设备使用等造成损失的。</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3、非乙方责任出现供水、供电、供气、供热、通讯、有线电视及其他共用设施设备运行障碍造成损失，乙方已采取应急措施的。</w:t>
      </w:r>
    </w:p>
    <w:p>
      <w:pPr>
        <w:snapToGrid w:val="0"/>
        <w:spacing w:line="520" w:lineRule="exact"/>
        <w:ind w:firstLine="480" w:firstLineChars="200"/>
        <w:rPr>
          <w:rFonts w:hint="eastAsia" w:ascii="宋体" w:hAnsi="宋体" w:eastAsia="宋体" w:cs="宋体"/>
          <w:bCs/>
          <w:color w:val="auto"/>
          <w:sz w:val="24"/>
          <w:szCs w:val="24"/>
        </w:rPr>
      </w:pPr>
    </w:p>
    <w:p>
      <w:pPr>
        <w:keepNext/>
        <w:snapToGrid w:val="0"/>
        <w:spacing w:line="5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第十章  争议解决</w:t>
      </w:r>
    </w:p>
    <w:p>
      <w:pPr>
        <w:keepNext/>
        <w:snapToGrid w:val="0"/>
        <w:spacing w:line="520" w:lineRule="exact"/>
        <w:rPr>
          <w:rFonts w:hint="eastAsia" w:ascii="宋体" w:hAnsi="宋体" w:eastAsia="宋体" w:cs="宋体"/>
          <w:color w:val="auto"/>
          <w:sz w:val="24"/>
          <w:szCs w:val="24"/>
        </w:rPr>
      </w:pPr>
    </w:p>
    <w:p>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第二十一条  争议解决</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因合同的解释或履行发生争议的，双方可采取以下方式处理：</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1、协商解决；</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2、向物业纠纷人民调解委员会申请调解； </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3、向甲方所在地有管辖权的人民法院提起诉讼。</w:t>
      </w:r>
    </w:p>
    <w:p>
      <w:pPr>
        <w:snapToGrid w:val="0"/>
        <w:spacing w:line="520" w:lineRule="exact"/>
        <w:ind w:firstLine="495"/>
        <w:rPr>
          <w:rFonts w:hint="eastAsia" w:ascii="宋体" w:hAnsi="宋体" w:eastAsia="宋体" w:cs="宋体"/>
          <w:b/>
          <w:bCs/>
          <w:color w:val="auto"/>
          <w:sz w:val="24"/>
          <w:szCs w:val="24"/>
        </w:rPr>
      </w:pPr>
    </w:p>
    <w:p>
      <w:pPr>
        <w:snapToGrid w:val="0"/>
        <w:spacing w:line="5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第十一章  附 则</w:t>
      </w:r>
    </w:p>
    <w:p>
      <w:pPr>
        <w:snapToGrid w:val="0"/>
        <w:spacing w:line="520" w:lineRule="exact"/>
        <w:rPr>
          <w:rFonts w:hint="eastAsia" w:ascii="宋体" w:hAnsi="宋体" w:eastAsia="宋体" w:cs="宋体"/>
          <w:color w:val="auto"/>
          <w:sz w:val="24"/>
          <w:szCs w:val="24"/>
        </w:rPr>
      </w:pPr>
    </w:p>
    <w:p>
      <w:pPr>
        <w:snapToGrid w:val="0"/>
        <w:spacing w:line="520" w:lineRule="exact"/>
        <w:ind w:firstLine="480"/>
        <w:rPr>
          <w:rFonts w:hint="eastAsia" w:ascii="宋体" w:hAnsi="宋体" w:eastAsia="宋体" w:cs="宋体"/>
          <w:b/>
          <w:color w:val="auto"/>
          <w:sz w:val="24"/>
          <w:szCs w:val="24"/>
        </w:rPr>
      </w:pPr>
      <w:r>
        <w:rPr>
          <w:rFonts w:hint="eastAsia" w:ascii="宋体" w:hAnsi="宋体" w:eastAsia="宋体" w:cs="宋体"/>
          <w:b/>
          <w:color w:val="auto"/>
          <w:sz w:val="24"/>
          <w:szCs w:val="24"/>
        </w:rPr>
        <w:t>第二十二条  其他约定</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1、本合同未尽事宜，国家有相关规定的，依规定解决；没有相关规定的，由双方协商解决，并签订书面协议。</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2、对本合同的任何修改、补充或变更应经双方书面确认,并作为本合同附件，与本合同具有同等的法律效力。</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3、本合同一式</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六</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份，甲方执</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四</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份、乙方执</w:t>
      </w:r>
      <w:r>
        <w:rPr>
          <w:rFonts w:hint="eastAsia" w:ascii="宋体" w:hAnsi="宋体" w:eastAsia="宋体" w:cs="宋体"/>
          <w:color w:val="auto"/>
          <w:sz w:val="24"/>
          <w:szCs w:val="24"/>
          <w:u w:val="single"/>
        </w:rPr>
        <w:t xml:space="preserve"> 二 </w:t>
      </w:r>
      <w:r>
        <w:rPr>
          <w:rFonts w:hint="eastAsia" w:ascii="宋体" w:hAnsi="宋体" w:eastAsia="宋体" w:cs="宋体"/>
          <w:color w:val="auto"/>
          <w:sz w:val="24"/>
          <w:szCs w:val="24"/>
        </w:rPr>
        <w:t>份，附件、</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文件均为本合同的有效组成部分，具有同等法律效力。</w:t>
      </w:r>
    </w:p>
    <w:p>
      <w:pPr>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4、本合同经双方法定代表人（负责人）或其授权代表签字并盖章后生效。</w:t>
      </w:r>
    </w:p>
    <w:p>
      <w:pPr>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napToGrid w:val="0"/>
        <w:spacing w:line="520" w:lineRule="exact"/>
        <w:ind w:firstLine="240" w:firstLineChars="100"/>
        <w:rPr>
          <w:rFonts w:hint="eastAsia" w:ascii="宋体" w:hAnsi="宋体" w:eastAsia="宋体" w:cs="宋体"/>
          <w:b/>
          <w:color w:val="auto"/>
          <w:sz w:val="24"/>
          <w:szCs w:val="24"/>
        </w:rPr>
      </w:pPr>
      <w:r>
        <w:rPr>
          <w:rFonts w:hint="eastAsia" w:ascii="宋体" w:hAnsi="宋体" w:eastAsia="宋体" w:cs="宋体"/>
          <w:color w:val="auto"/>
          <w:sz w:val="24"/>
          <w:szCs w:val="24"/>
        </w:rPr>
        <w:br w:type="page"/>
      </w:r>
    </w:p>
    <w:p>
      <w:pPr>
        <w:snapToGrid w:val="0"/>
        <w:spacing w:line="5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签  字  页</w:t>
      </w:r>
    </w:p>
    <w:p>
      <w:pPr>
        <w:snapToGrid w:val="0"/>
        <w:spacing w:line="520" w:lineRule="exact"/>
        <w:rPr>
          <w:rFonts w:hint="eastAsia" w:ascii="宋体" w:hAnsi="宋体" w:eastAsia="宋体" w:cs="宋体"/>
          <w:b/>
          <w:color w:val="auto"/>
          <w:sz w:val="24"/>
          <w:szCs w:val="24"/>
        </w:rPr>
      </w:pPr>
    </w:p>
    <w:p>
      <w:pPr>
        <w:snapToGrid w:val="0"/>
        <w:spacing w:line="5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甲方：              </w:t>
      </w: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负责人或其授权代表：</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w:t>
      </w:r>
    </w:p>
    <w:p>
      <w:pPr>
        <w:snapToGrid w:val="0"/>
        <w:spacing w:line="520" w:lineRule="exact"/>
        <w:rPr>
          <w:rFonts w:hint="eastAsia" w:ascii="宋体" w:hAnsi="宋体" w:eastAsia="宋体" w:cs="宋体"/>
          <w:color w:val="auto"/>
          <w:sz w:val="24"/>
          <w:szCs w:val="24"/>
        </w:rPr>
      </w:pPr>
    </w:p>
    <w:p>
      <w:pPr>
        <w:snapToGrid w:val="0"/>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签订日期：    年   月   日            </w:t>
      </w:r>
    </w:p>
    <w:p>
      <w:pPr>
        <w:spacing w:line="520" w:lineRule="exact"/>
        <w:rPr>
          <w:rFonts w:hint="eastAsia" w:ascii="宋体" w:hAnsi="宋体" w:eastAsia="宋体" w:cs="宋体"/>
          <w:b/>
          <w:color w:val="auto"/>
          <w:sz w:val="24"/>
          <w:szCs w:val="24"/>
        </w:rPr>
      </w:pPr>
    </w:p>
    <w:p>
      <w:pPr>
        <w:spacing w:line="520" w:lineRule="exact"/>
        <w:rPr>
          <w:rFonts w:hint="eastAsia" w:ascii="宋体" w:hAnsi="宋体" w:eastAsia="宋体" w:cs="宋体"/>
          <w:b/>
          <w:color w:val="auto"/>
          <w:sz w:val="24"/>
          <w:szCs w:val="24"/>
        </w:rPr>
      </w:pPr>
    </w:p>
    <w:p>
      <w:pPr>
        <w:spacing w:line="5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乙方：</w:t>
      </w:r>
    </w:p>
    <w:p>
      <w:pPr>
        <w:spacing w:line="520" w:lineRule="exact"/>
        <w:rPr>
          <w:rFonts w:hint="eastAsia" w:ascii="宋体" w:hAnsi="宋体" w:eastAsia="宋体" w:cs="宋体"/>
          <w:color w:val="auto"/>
          <w:sz w:val="24"/>
          <w:szCs w:val="24"/>
        </w:rPr>
      </w:pPr>
    </w:p>
    <w:p>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w:t>
      </w:r>
    </w:p>
    <w:p>
      <w:pPr>
        <w:spacing w:line="520" w:lineRule="exact"/>
        <w:rPr>
          <w:rFonts w:hint="eastAsia" w:ascii="宋体" w:hAnsi="宋体" w:eastAsia="宋体" w:cs="宋体"/>
          <w:color w:val="auto"/>
          <w:sz w:val="24"/>
          <w:szCs w:val="24"/>
        </w:rPr>
      </w:pPr>
    </w:p>
    <w:p>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签订日期：    年   月   日</w:t>
      </w:r>
    </w:p>
    <w:p>
      <w:pPr>
        <w:spacing w:line="520" w:lineRule="exact"/>
        <w:rPr>
          <w:rFonts w:hint="eastAsia" w:ascii="宋体" w:hAnsi="宋体" w:eastAsia="宋体" w:cs="宋体"/>
          <w:color w:val="auto"/>
          <w:sz w:val="24"/>
          <w:szCs w:val="24"/>
        </w:rPr>
      </w:pPr>
    </w:p>
    <w:p>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开 户 行：</w:t>
      </w:r>
    </w:p>
    <w:p>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行    号：</w:t>
      </w:r>
    </w:p>
    <w:p>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账    号：</w:t>
      </w:r>
    </w:p>
    <w:p>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p>
      <w:pPr>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p>
      <w:pPr>
        <w:rPr>
          <w:rFonts w:hint="eastAsia" w:ascii="宋体" w:hAnsi="宋体" w:eastAsia="宋体" w:cs="宋体"/>
          <w:sz w:val="24"/>
          <w:szCs w:val="24"/>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z w:val="24"/>
          <w:szCs w:val="24"/>
          <w:lang w:val="en-US" w:eastAsia="zh-CN"/>
        </w:rPr>
      </w:pPr>
      <w:bookmarkStart w:id="0" w:name="_Toc101442753"/>
    </w:p>
    <w:bookmarkEnd w:id="0"/>
    <w:p>
      <w:pPr>
        <w:rPr>
          <w:rFonts w:hint="eastAsia" w:ascii="宋体" w:hAnsi="宋体" w:eastAsia="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楷体">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D7006"/>
    <w:rsid w:val="0822714A"/>
    <w:rsid w:val="0DED7006"/>
    <w:rsid w:val="0E855E39"/>
    <w:rsid w:val="3D600AB6"/>
    <w:rsid w:val="3E5B06E3"/>
    <w:rsid w:val="7C09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qFormat/>
    <w:uiPriority w:val="0"/>
    <w:pPr>
      <w:keepNext/>
      <w:keepLines/>
      <w:spacing w:before="340" w:after="330" w:line="578" w:lineRule="atLeast"/>
      <w:jc w:val="center"/>
      <w:outlineLvl w:val="0"/>
    </w:pPr>
    <w:rPr>
      <w:b/>
      <w:bCs/>
      <w:kern w:val="44"/>
      <w:sz w:val="28"/>
      <w:szCs w:val="28"/>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unhideWhenUsed/>
    <w:qFormat/>
    <w:uiPriority w:val="99"/>
    <w:pPr>
      <w:spacing w:after="120"/>
    </w:pPr>
  </w:style>
  <w:style w:type="paragraph" w:customStyle="1" w:styleId="7">
    <w:name w:val="Header Base"/>
    <w:basedOn w:val="4"/>
    <w:qFormat/>
    <w:uiPriority w:val="0"/>
    <w:pPr>
      <w:keepLines/>
      <w:widowControl/>
      <w:tabs>
        <w:tab w:val="center" w:pos="4320"/>
        <w:tab w:val="right" w:pos="8640"/>
      </w:tabs>
      <w:suppressAutoHyphens/>
      <w:spacing w:after="0" w:line="180" w:lineRule="atLeast"/>
    </w:pPr>
    <w:rPr>
      <w:rFonts w:ascii="Arial" w:hAnsi="Arial" w:eastAsia="微软简楷体"/>
      <w:spacing w:val="-5"/>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2024-04-03T02:24:00Z</dcterms:created>
  <dc:creator>dellzhu</dc:creator>
  <cp:lastModifiedBy>dellzhu</cp:lastModifiedBy>
  <cp:lastPrinted>2024-04-03T05:47:00Z</cp:lastPrinted>
  <dcterms:modified xsi:type="dcterms:W3CDTF">2024-05-06T01:10:21Z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