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360" w:lineRule="auto"/>
        <w:rPr>
          <w:rFonts w:ascii="Times New Roman" w:hAnsi="Times New Roman" w:eastAsia="宋体"/>
          <w:color w:val="auto"/>
          <w:sz w:val="24"/>
        </w:rPr>
      </w:pPr>
      <w:r>
        <w:rPr>
          <w:rFonts w:ascii="Times New Roman" w:hAnsi="Times New Roman" w:eastAsia="宋体"/>
          <w:color w:val="auto"/>
          <w:sz w:val="24"/>
          <w:szCs w:val="24"/>
        </w:rPr>
        <w:t>二、评审标准</w:t>
      </w:r>
    </w:p>
    <w:tbl>
      <w:tblPr>
        <w:tblStyle w:val="4"/>
        <w:tblW w:w="8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392"/>
        <w:gridCol w:w="843"/>
        <w:gridCol w:w="5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jc w:val="center"/>
              <w:rPr>
                <w:b/>
                <w:color w:val="auto"/>
                <w:szCs w:val="21"/>
              </w:rPr>
            </w:pPr>
            <w:r>
              <w:rPr>
                <w:b/>
                <w:color w:val="auto"/>
                <w:szCs w:val="21"/>
              </w:rPr>
              <w:t>序号</w:t>
            </w:r>
          </w:p>
        </w:tc>
        <w:tc>
          <w:tcPr>
            <w:tcW w:w="1392" w:type="dxa"/>
            <w:noWrap w:val="0"/>
            <w:vAlign w:val="center"/>
          </w:tcPr>
          <w:p>
            <w:pPr>
              <w:ind w:firstLine="28"/>
              <w:jc w:val="center"/>
              <w:rPr>
                <w:b/>
                <w:color w:val="auto"/>
                <w:szCs w:val="21"/>
              </w:rPr>
            </w:pPr>
            <w:r>
              <w:rPr>
                <w:b/>
                <w:color w:val="auto"/>
                <w:szCs w:val="21"/>
              </w:rPr>
              <w:t>评分因素</w:t>
            </w:r>
          </w:p>
        </w:tc>
        <w:tc>
          <w:tcPr>
            <w:tcW w:w="843" w:type="dxa"/>
            <w:noWrap w:val="0"/>
            <w:vAlign w:val="center"/>
          </w:tcPr>
          <w:p>
            <w:pPr>
              <w:ind w:firstLine="28"/>
              <w:jc w:val="center"/>
              <w:rPr>
                <w:b/>
                <w:color w:val="auto"/>
                <w:szCs w:val="21"/>
              </w:rPr>
            </w:pPr>
            <w:r>
              <w:rPr>
                <w:b/>
                <w:color w:val="auto"/>
                <w:szCs w:val="21"/>
              </w:rPr>
              <w:t>分值</w:t>
            </w:r>
          </w:p>
        </w:tc>
        <w:tc>
          <w:tcPr>
            <w:tcW w:w="5447" w:type="dxa"/>
            <w:noWrap w:val="0"/>
            <w:vAlign w:val="center"/>
          </w:tcPr>
          <w:p>
            <w:pPr>
              <w:ind w:firstLine="28"/>
              <w:jc w:val="center"/>
              <w:rPr>
                <w:b/>
                <w:color w:val="auto"/>
                <w:szCs w:val="21"/>
              </w:rPr>
            </w:pPr>
            <w:r>
              <w:rPr>
                <w:b/>
                <w:color w:val="auto"/>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一</w:t>
            </w:r>
          </w:p>
        </w:tc>
        <w:tc>
          <w:tcPr>
            <w:tcW w:w="1392" w:type="dxa"/>
            <w:noWrap w:val="0"/>
            <w:vAlign w:val="center"/>
          </w:tcPr>
          <w:p>
            <w:pPr>
              <w:ind w:firstLine="28"/>
              <w:jc w:val="center"/>
              <w:rPr>
                <w:color w:val="auto"/>
                <w:szCs w:val="21"/>
              </w:rPr>
            </w:pPr>
            <w:r>
              <w:rPr>
                <w:color w:val="auto"/>
                <w:szCs w:val="21"/>
              </w:rPr>
              <w:t>商务部分</w:t>
            </w:r>
          </w:p>
        </w:tc>
        <w:tc>
          <w:tcPr>
            <w:tcW w:w="843" w:type="dxa"/>
            <w:noWrap w:val="0"/>
            <w:vAlign w:val="center"/>
          </w:tcPr>
          <w:p>
            <w:pPr>
              <w:ind w:firstLine="28"/>
              <w:jc w:val="center"/>
              <w:rPr>
                <w:rFonts w:hint="default" w:eastAsia="宋体"/>
                <w:b/>
                <w:color w:val="auto"/>
                <w:szCs w:val="21"/>
                <w:lang w:val="en-US" w:eastAsia="zh-CN"/>
              </w:rPr>
            </w:pPr>
            <w:r>
              <w:rPr>
                <w:b/>
                <w:color w:val="auto"/>
                <w:szCs w:val="21"/>
                <w:lang w:val="en"/>
              </w:rPr>
              <w:t>1</w:t>
            </w:r>
            <w:r>
              <w:rPr>
                <w:rFonts w:hint="eastAsia"/>
                <w:b/>
                <w:color w:val="auto"/>
                <w:szCs w:val="21"/>
                <w:lang w:val="en-US" w:eastAsia="zh-CN"/>
              </w:rPr>
              <w:t>3.7</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1.1</w:t>
            </w:r>
          </w:p>
        </w:tc>
        <w:tc>
          <w:tcPr>
            <w:tcW w:w="1392" w:type="dxa"/>
            <w:noWrap w:val="0"/>
            <w:vAlign w:val="center"/>
          </w:tcPr>
          <w:p>
            <w:pPr>
              <w:ind w:firstLine="28"/>
              <w:jc w:val="center"/>
              <w:rPr>
                <w:color w:val="auto"/>
                <w:szCs w:val="21"/>
              </w:rPr>
            </w:pPr>
            <w:r>
              <w:rPr>
                <w:color w:val="auto"/>
                <w:szCs w:val="21"/>
              </w:rPr>
              <w:t>企业管理体系</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2</w:t>
            </w:r>
          </w:p>
        </w:tc>
        <w:tc>
          <w:tcPr>
            <w:tcW w:w="5447" w:type="dxa"/>
            <w:noWrap w:val="0"/>
            <w:vAlign w:val="center"/>
          </w:tcPr>
          <w:p>
            <w:pPr>
              <w:jc w:val="left"/>
              <w:rPr>
                <w:color w:val="auto"/>
                <w:szCs w:val="21"/>
              </w:rPr>
            </w:pPr>
            <w:r>
              <w:rPr>
                <w:color w:val="auto"/>
                <w:szCs w:val="21"/>
              </w:rPr>
              <w:t>具有有效的质量管理体系认证证书；</w:t>
            </w:r>
          </w:p>
          <w:p>
            <w:pPr>
              <w:jc w:val="left"/>
              <w:rPr>
                <w:color w:val="auto"/>
                <w:szCs w:val="21"/>
              </w:rPr>
            </w:pPr>
            <w:r>
              <w:rPr>
                <w:color w:val="auto"/>
                <w:szCs w:val="21"/>
              </w:rPr>
              <w:t>具有有效的环境管理体系认证证书；</w:t>
            </w:r>
          </w:p>
          <w:p>
            <w:pPr>
              <w:jc w:val="left"/>
              <w:rPr>
                <w:color w:val="auto"/>
                <w:szCs w:val="21"/>
              </w:rPr>
            </w:pPr>
            <w:r>
              <w:rPr>
                <w:color w:val="auto"/>
                <w:szCs w:val="21"/>
              </w:rPr>
              <w:t>具有有效的职业安全健康管理体系认证证书；</w:t>
            </w:r>
          </w:p>
          <w:p>
            <w:pPr>
              <w:ind w:firstLine="28"/>
              <w:jc w:val="left"/>
              <w:rPr>
                <w:color w:val="auto"/>
                <w:szCs w:val="21"/>
              </w:rPr>
            </w:pPr>
            <w:r>
              <w:rPr>
                <w:color w:val="auto"/>
                <w:szCs w:val="21"/>
              </w:rPr>
              <w:t>以上证书均提供复印件并加盖供应商公章得</w:t>
            </w:r>
            <w:r>
              <w:rPr>
                <w:rFonts w:hint="eastAsia"/>
                <w:color w:val="auto"/>
                <w:szCs w:val="21"/>
                <w:lang w:val="en-US" w:eastAsia="zh-CN"/>
              </w:rPr>
              <w:t>2</w:t>
            </w:r>
            <w:r>
              <w:rPr>
                <w:color w:val="auto"/>
                <w:szCs w:val="21"/>
              </w:rPr>
              <w:t>分，否则不得分（须同时附企业体系运行良好的承诺书，加盖供应商公章，不提供承诺书视为未提供认证证书）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1.2</w:t>
            </w:r>
          </w:p>
        </w:tc>
        <w:tc>
          <w:tcPr>
            <w:tcW w:w="1392" w:type="dxa"/>
            <w:noWrap w:val="0"/>
            <w:vAlign w:val="center"/>
          </w:tcPr>
          <w:p>
            <w:pPr>
              <w:ind w:firstLine="28"/>
              <w:jc w:val="center"/>
              <w:rPr>
                <w:color w:val="auto"/>
                <w:szCs w:val="21"/>
              </w:rPr>
            </w:pPr>
            <w:r>
              <w:rPr>
                <w:color w:val="auto"/>
                <w:szCs w:val="21"/>
              </w:rPr>
              <w:t>近三年类似工程业绩</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6</w:t>
            </w:r>
          </w:p>
        </w:tc>
        <w:tc>
          <w:tcPr>
            <w:tcW w:w="5447" w:type="dxa"/>
            <w:noWrap w:val="0"/>
            <w:vAlign w:val="center"/>
          </w:tcPr>
          <w:p>
            <w:pPr>
              <w:ind w:firstLine="28"/>
              <w:jc w:val="left"/>
              <w:rPr>
                <w:color w:val="auto"/>
                <w:szCs w:val="21"/>
              </w:rPr>
            </w:pPr>
            <w:r>
              <w:rPr>
                <w:color w:val="auto"/>
                <w:szCs w:val="21"/>
              </w:rPr>
              <w:t>每提供一个近三年类似工程业绩，得2分，最高得</w:t>
            </w:r>
            <w:r>
              <w:rPr>
                <w:rFonts w:hint="eastAsia"/>
                <w:color w:val="auto"/>
                <w:szCs w:val="21"/>
                <w:lang w:val="en-US" w:eastAsia="zh-CN"/>
              </w:rPr>
              <w:t>6</w:t>
            </w:r>
            <w:r>
              <w:rPr>
                <w:color w:val="auto"/>
                <w:szCs w:val="21"/>
              </w:rPr>
              <w:t>分。（近三年为2021年1月至今，类似工程业绩资料，应提供合同关键页复印件或者其他证明材料并加盖供应商公章。）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1.3</w:t>
            </w:r>
          </w:p>
        </w:tc>
        <w:tc>
          <w:tcPr>
            <w:tcW w:w="1392" w:type="dxa"/>
            <w:noWrap w:val="0"/>
            <w:vAlign w:val="center"/>
          </w:tcPr>
          <w:p>
            <w:pPr>
              <w:ind w:firstLine="28"/>
              <w:jc w:val="center"/>
              <w:rPr>
                <w:color w:val="auto"/>
                <w:szCs w:val="21"/>
              </w:rPr>
            </w:pPr>
            <w:r>
              <w:rPr>
                <w:color w:val="auto"/>
                <w:szCs w:val="21"/>
              </w:rPr>
              <w:t>项目组织结构</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3</w:t>
            </w:r>
          </w:p>
        </w:tc>
        <w:tc>
          <w:tcPr>
            <w:tcW w:w="5447" w:type="dxa"/>
            <w:noWrap w:val="0"/>
            <w:vAlign w:val="center"/>
          </w:tcPr>
          <w:p>
            <w:pPr>
              <w:ind w:firstLine="28"/>
              <w:jc w:val="left"/>
              <w:rPr>
                <w:color w:val="auto"/>
                <w:szCs w:val="21"/>
              </w:rPr>
            </w:pPr>
            <w:r>
              <w:rPr>
                <w:color w:val="auto"/>
                <w:szCs w:val="21"/>
              </w:rPr>
              <w:t>项目管理机构人员构成配备合理、专业齐全、执业资格完备且提供了相关证明材料，完全满足施工需要，得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项目管理机构人员构成配备较合理、专业基本齐全、执业资格基本齐全且提供了相关证明材料，得</w:t>
            </w:r>
            <w:r>
              <w:rPr>
                <w:rFonts w:hint="eastAsia"/>
                <w:color w:val="auto"/>
                <w:szCs w:val="21"/>
                <w:lang w:val="en-US" w:eastAsia="zh-CN"/>
              </w:rPr>
              <w:t>2</w:t>
            </w:r>
            <w:r>
              <w:rPr>
                <w:color w:val="auto"/>
                <w:szCs w:val="21"/>
              </w:rPr>
              <w:t>分；</w:t>
            </w:r>
          </w:p>
          <w:p>
            <w:pPr>
              <w:ind w:firstLine="28"/>
              <w:jc w:val="left"/>
              <w:rPr>
                <w:color w:val="auto"/>
                <w:szCs w:val="21"/>
              </w:rPr>
            </w:pPr>
            <w:r>
              <w:rPr>
                <w:color w:val="auto"/>
                <w:szCs w:val="21"/>
              </w:rPr>
              <w:t>项目管理机构人员构成配备不够合理、专业不够齐全、未提供任何执业资格相关证明材料，不能满足施工需要或未提供不得分。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restart"/>
            <w:noWrap w:val="0"/>
            <w:vAlign w:val="center"/>
          </w:tcPr>
          <w:p>
            <w:pPr>
              <w:ind w:firstLine="28"/>
              <w:jc w:val="center"/>
              <w:rPr>
                <w:b/>
                <w:color w:val="auto"/>
                <w:szCs w:val="21"/>
              </w:rPr>
            </w:pPr>
            <w:r>
              <w:rPr>
                <w:b/>
                <w:color w:val="auto"/>
                <w:szCs w:val="21"/>
              </w:rPr>
              <w:t>1.4</w:t>
            </w:r>
          </w:p>
        </w:tc>
        <w:tc>
          <w:tcPr>
            <w:tcW w:w="1392" w:type="dxa"/>
            <w:vMerge w:val="restart"/>
            <w:noWrap w:val="0"/>
            <w:vAlign w:val="center"/>
          </w:tcPr>
          <w:p>
            <w:pPr>
              <w:ind w:firstLine="28"/>
              <w:jc w:val="center"/>
              <w:rPr>
                <w:color w:val="auto"/>
                <w:szCs w:val="21"/>
              </w:rPr>
            </w:pPr>
            <w:r>
              <w:rPr>
                <w:color w:val="auto"/>
                <w:szCs w:val="21"/>
              </w:rPr>
              <w:t>项目经理</w:t>
            </w:r>
          </w:p>
        </w:tc>
        <w:tc>
          <w:tcPr>
            <w:tcW w:w="843" w:type="dxa"/>
            <w:noWrap w:val="0"/>
            <w:vAlign w:val="center"/>
          </w:tcPr>
          <w:p>
            <w:pPr>
              <w:ind w:firstLine="28"/>
              <w:jc w:val="center"/>
              <w:rPr>
                <w:rFonts w:hint="eastAsia" w:eastAsia="宋体"/>
                <w:bCs/>
                <w:color w:val="auto"/>
                <w:szCs w:val="21"/>
                <w:lang w:val="en-US" w:eastAsia="zh-CN"/>
              </w:rPr>
            </w:pPr>
            <w:r>
              <w:rPr>
                <w:rFonts w:hint="eastAsia"/>
                <w:bCs/>
                <w:color w:val="auto"/>
                <w:szCs w:val="21"/>
                <w:lang w:val="en-US" w:eastAsia="zh-CN"/>
              </w:rPr>
              <w:t>1</w:t>
            </w:r>
          </w:p>
        </w:tc>
        <w:tc>
          <w:tcPr>
            <w:tcW w:w="5447" w:type="dxa"/>
            <w:noWrap w:val="0"/>
            <w:vAlign w:val="center"/>
          </w:tcPr>
          <w:p>
            <w:pPr>
              <w:ind w:firstLine="28"/>
              <w:jc w:val="left"/>
              <w:rPr>
                <w:color w:val="auto"/>
                <w:szCs w:val="21"/>
              </w:rPr>
            </w:pPr>
            <w:r>
              <w:rPr>
                <w:color w:val="auto"/>
                <w:szCs w:val="21"/>
              </w:rPr>
              <w:t>项目经理相关业绩</w:t>
            </w:r>
          </w:p>
          <w:p>
            <w:pPr>
              <w:ind w:firstLine="28"/>
              <w:jc w:val="left"/>
              <w:rPr>
                <w:color w:val="auto"/>
                <w:szCs w:val="21"/>
              </w:rPr>
            </w:pPr>
            <w:r>
              <w:rPr>
                <w:color w:val="auto"/>
                <w:szCs w:val="21"/>
              </w:rPr>
              <w:t>每提供一个近三年类似工程业绩，得1分。（近三年为2021年1月至今，类似工程业绩资料，应提供合同关键页复印件或者其他证明材料并加盖供应商公章。）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ind w:firstLine="28"/>
              <w:jc w:val="center"/>
              <w:rPr>
                <w:color w:val="auto"/>
                <w:szCs w:val="21"/>
              </w:rPr>
            </w:pPr>
          </w:p>
        </w:tc>
        <w:tc>
          <w:tcPr>
            <w:tcW w:w="843" w:type="dxa"/>
            <w:noWrap w:val="0"/>
            <w:vAlign w:val="center"/>
          </w:tcPr>
          <w:p>
            <w:pPr>
              <w:ind w:firstLine="28"/>
              <w:jc w:val="center"/>
              <w:rPr>
                <w:rFonts w:hint="eastAsia"/>
                <w:bCs/>
                <w:color w:val="auto"/>
                <w:szCs w:val="21"/>
              </w:rPr>
            </w:pPr>
            <w:r>
              <w:rPr>
                <w:rFonts w:hint="eastAsia"/>
                <w:bCs/>
                <w:color w:val="auto"/>
                <w:szCs w:val="21"/>
              </w:rPr>
              <w:t>1</w:t>
            </w:r>
          </w:p>
        </w:tc>
        <w:tc>
          <w:tcPr>
            <w:tcW w:w="5447" w:type="dxa"/>
            <w:noWrap w:val="0"/>
            <w:vAlign w:val="center"/>
          </w:tcPr>
          <w:p>
            <w:pPr>
              <w:ind w:firstLine="28"/>
              <w:jc w:val="left"/>
              <w:rPr>
                <w:rFonts w:hint="eastAsia"/>
                <w:color w:val="auto"/>
                <w:szCs w:val="21"/>
              </w:rPr>
            </w:pPr>
            <w:r>
              <w:rPr>
                <w:rFonts w:hint="eastAsia"/>
                <w:color w:val="auto"/>
                <w:szCs w:val="21"/>
              </w:rPr>
              <w:t>项目经理具有高级及以上职称，得1分。</w:t>
            </w:r>
          </w:p>
          <w:p>
            <w:pPr>
              <w:ind w:firstLine="28"/>
              <w:jc w:val="left"/>
              <w:rPr>
                <w:color w:val="auto"/>
                <w:szCs w:val="21"/>
              </w:rPr>
            </w:pPr>
            <w:r>
              <w:rPr>
                <w:rFonts w:hint="eastAsia"/>
                <w:color w:val="auto"/>
                <w:szCs w:val="21"/>
              </w:rPr>
              <w:t>（</w:t>
            </w:r>
            <w:r>
              <w:rPr>
                <w:color w:val="auto"/>
                <w:szCs w:val="21"/>
              </w:rPr>
              <w:t>提供</w:t>
            </w:r>
            <w:r>
              <w:rPr>
                <w:rFonts w:hint="eastAsia"/>
                <w:color w:val="auto"/>
                <w:szCs w:val="21"/>
              </w:rPr>
              <w:t>证书</w:t>
            </w:r>
            <w:r>
              <w:rPr>
                <w:color w:val="auto"/>
                <w:szCs w:val="21"/>
              </w:rPr>
              <w:t>复印件并加盖供应商公章。</w:t>
            </w: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1.5</w:t>
            </w:r>
          </w:p>
        </w:tc>
        <w:tc>
          <w:tcPr>
            <w:tcW w:w="1392" w:type="dxa"/>
            <w:noWrap w:val="0"/>
            <w:vAlign w:val="center"/>
          </w:tcPr>
          <w:p>
            <w:pPr>
              <w:ind w:firstLine="28"/>
              <w:jc w:val="center"/>
              <w:rPr>
                <w:color w:val="auto"/>
                <w:szCs w:val="21"/>
              </w:rPr>
            </w:pPr>
            <w:r>
              <w:rPr>
                <w:color w:val="auto"/>
                <w:szCs w:val="21"/>
              </w:rPr>
              <w:t>非强制采购节能产品</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0.35</w:t>
            </w:r>
          </w:p>
        </w:tc>
        <w:tc>
          <w:tcPr>
            <w:tcW w:w="5447" w:type="dxa"/>
            <w:noWrap w:val="0"/>
            <w:vAlign w:val="center"/>
          </w:tcPr>
          <w:p>
            <w:pPr>
              <w:ind w:firstLine="28"/>
              <w:jc w:val="left"/>
              <w:rPr>
                <w:color w:val="auto"/>
                <w:szCs w:val="21"/>
              </w:rPr>
            </w:pPr>
            <w:r>
              <w:rPr>
                <w:color w:val="auto"/>
                <w:szCs w:val="21"/>
              </w:rPr>
              <w:t>供应商所投产品属于节能产品政府采购品目清单中非强制采购品目产品的，得</w:t>
            </w:r>
            <w:r>
              <w:rPr>
                <w:rFonts w:hint="eastAsia"/>
                <w:color w:val="auto"/>
                <w:szCs w:val="21"/>
                <w:lang w:val="en-US" w:eastAsia="zh-CN"/>
              </w:rPr>
              <w:t>0.35</w:t>
            </w:r>
            <w:r>
              <w:rPr>
                <w:color w:val="auto"/>
                <w:szCs w:val="21"/>
              </w:rPr>
              <w:t>分，否则不得分。</w:t>
            </w:r>
          </w:p>
          <w:p>
            <w:pPr>
              <w:pStyle w:val="3"/>
              <w:spacing w:line="240" w:lineRule="auto"/>
              <w:rPr>
                <w:rFonts w:ascii="Times New Roman" w:hAnsi="Times New Roman"/>
                <w:color w:val="auto"/>
                <w:sz w:val="21"/>
                <w:szCs w:val="21"/>
              </w:rPr>
            </w:pPr>
            <w:r>
              <w:rPr>
                <w:rFonts w:ascii="Times New Roman" w:hAnsi="Times New Roman"/>
                <w:color w:val="auto"/>
                <w:sz w:val="21"/>
                <w:szCs w:val="21"/>
              </w:rPr>
              <w:t>须附相应证明材料。证明材料须按照“附件”的具体要求提供，未按照要求提供证明材料的不加分。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1.6</w:t>
            </w:r>
          </w:p>
        </w:tc>
        <w:tc>
          <w:tcPr>
            <w:tcW w:w="1392" w:type="dxa"/>
            <w:noWrap w:val="0"/>
            <w:vAlign w:val="center"/>
          </w:tcPr>
          <w:p>
            <w:pPr>
              <w:ind w:firstLine="28"/>
              <w:jc w:val="center"/>
              <w:rPr>
                <w:color w:val="auto"/>
                <w:szCs w:val="21"/>
              </w:rPr>
            </w:pPr>
            <w:r>
              <w:rPr>
                <w:color w:val="auto"/>
                <w:szCs w:val="21"/>
              </w:rPr>
              <w:t>环保标志产品</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0.35</w:t>
            </w:r>
          </w:p>
        </w:tc>
        <w:tc>
          <w:tcPr>
            <w:tcW w:w="5447" w:type="dxa"/>
            <w:noWrap w:val="0"/>
            <w:vAlign w:val="center"/>
          </w:tcPr>
          <w:p>
            <w:pPr>
              <w:ind w:firstLine="28"/>
              <w:jc w:val="left"/>
              <w:rPr>
                <w:color w:val="auto"/>
                <w:szCs w:val="21"/>
              </w:rPr>
            </w:pPr>
            <w:r>
              <w:rPr>
                <w:color w:val="auto"/>
                <w:szCs w:val="21"/>
              </w:rPr>
              <w:t>供应商所投产品属于环境标志产品政府采购品目清单中品目产品的，得</w:t>
            </w:r>
            <w:r>
              <w:rPr>
                <w:rFonts w:hint="eastAsia"/>
                <w:color w:val="auto"/>
                <w:szCs w:val="21"/>
                <w:lang w:val="en-US" w:eastAsia="zh-CN"/>
              </w:rPr>
              <w:t>0.35</w:t>
            </w:r>
            <w:r>
              <w:rPr>
                <w:color w:val="auto"/>
                <w:szCs w:val="21"/>
              </w:rPr>
              <w:t>分，否则不得分。</w:t>
            </w:r>
          </w:p>
          <w:p>
            <w:pPr>
              <w:pStyle w:val="3"/>
              <w:spacing w:line="240" w:lineRule="auto"/>
              <w:rPr>
                <w:rFonts w:ascii="Times New Roman" w:hAnsi="Times New Roman"/>
                <w:color w:val="auto"/>
                <w:sz w:val="21"/>
                <w:szCs w:val="21"/>
              </w:rPr>
            </w:pPr>
            <w:r>
              <w:rPr>
                <w:rFonts w:ascii="Times New Roman" w:hAnsi="Times New Roman"/>
                <w:color w:val="auto"/>
                <w:sz w:val="21"/>
                <w:szCs w:val="21"/>
              </w:rPr>
              <w:t>须附相应证明材料。证明材料须按照“附件”的具体要求提供，未按照要求提供证明材料的不加分。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二</w:t>
            </w:r>
          </w:p>
        </w:tc>
        <w:tc>
          <w:tcPr>
            <w:tcW w:w="1392" w:type="dxa"/>
            <w:noWrap w:val="0"/>
            <w:vAlign w:val="center"/>
          </w:tcPr>
          <w:p>
            <w:pPr>
              <w:ind w:firstLine="28"/>
              <w:jc w:val="center"/>
              <w:rPr>
                <w:color w:val="auto"/>
                <w:szCs w:val="21"/>
              </w:rPr>
            </w:pPr>
            <w:r>
              <w:rPr>
                <w:color w:val="auto"/>
                <w:szCs w:val="21"/>
              </w:rPr>
              <w:t>施工组织设计</w:t>
            </w:r>
          </w:p>
        </w:tc>
        <w:tc>
          <w:tcPr>
            <w:tcW w:w="843" w:type="dxa"/>
            <w:noWrap w:val="0"/>
            <w:vAlign w:val="center"/>
          </w:tcPr>
          <w:p>
            <w:pPr>
              <w:ind w:firstLine="28"/>
              <w:jc w:val="center"/>
              <w:rPr>
                <w:rFonts w:hint="default" w:eastAsia="宋体"/>
                <w:b/>
                <w:color w:val="auto"/>
                <w:szCs w:val="21"/>
                <w:lang w:val="en-US" w:eastAsia="zh-CN"/>
              </w:rPr>
            </w:pPr>
            <w:r>
              <w:rPr>
                <w:rFonts w:hint="eastAsia"/>
                <w:b/>
                <w:color w:val="auto"/>
                <w:szCs w:val="21"/>
                <w:lang w:val="en-US" w:eastAsia="zh-CN"/>
              </w:rPr>
              <w:t>39</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2.1</w:t>
            </w:r>
          </w:p>
        </w:tc>
        <w:tc>
          <w:tcPr>
            <w:tcW w:w="1392" w:type="dxa"/>
            <w:noWrap w:val="0"/>
            <w:vAlign w:val="center"/>
          </w:tcPr>
          <w:p>
            <w:pPr>
              <w:spacing w:line="312" w:lineRule="auto"/>
              <w:jc w:val="center"/>
              <w:rPr>
                <w:color w:val="auto"/>
                <w:szCs w:val="21"/>
              </w:rPr>
            </w:pPr>
            <w:r>
              <w:rPr>
                <w:color w:val="auto"/>
                <w:szCs w:val="21"/>
              </w:rPr>
              <w:t>施工方案及主要技术措施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8</w:t>
            </w:r>
          </w:p>
        </w:tc>
        <w:tc>
          <w:tcPr>
            <w:tcW w:w="5447" w:type="dxa"/>
            <w:noWrap w:val="0"/>
            <w:vAlign w:val="center"/>
          </w:tcPr>
          <w:p>
            <w:pPr>
              <w:jc w:val="left"/>
              <w:rPr>
                <w:color w:val="auto"/>
                <w:szCs w:val="21"/>
              </w:rPr>
            </w:pPr>
            <w:r>
              <w:rPr>
                <w:color w:val="auto"/>
                <w:szCs w:val="21"/>
              </w:rPr>
              <w:t>内容完整、科学合理、详实可行，重点难点分析细致全面，技术措施到位、有很强的针对性，完全符合现场实际情况及施工需要，得</w:t>
            </w:r>
            <w:r>
              <w:rPr>
                <w:rFonts w:hint="eastAsia"/>
                <w:color w:val="auto"/>
                <w:szCs w:val="21"/>
                <w:lang w:val="en-US" w:eastAsia="zh-CN"/>
              </w:rPr>
              <w:t>8</w:t>
            </w:r>
            <w:r>
              <w:rPr>
                <w:color w:val="auto"/>
                <w:szCs w:val="21"/>
              </w:rPr>
              <w:t>分；</w:t>
            </w:r>
          </w:p>
          <w:p>
            <w:pPr>
              <w:jc w:val="left"/>
              <w:rPr>
                <w:color w:val="auto"/>
                <w:szCs w:val="21"/>
              </w:rPr>
            </w:pPr>
            <w:r>
              <w:rPr>
                <w:color w:val="auto"/>
                <w:szCs w:val="21"/>
              </w:rPr>
              <w:t>方案内容完整、合理可行，重点难点分析全面，基本符合现场实际情况及施工需要，但针对性有待提高，得</w:t>
            </w:r>
            <w:r>
              <w:rPr>
                <w:rFonts w:hint="eastAsia"/>
                <w:color w:val="auto"/>
                <w:szCs w:val="21"/>
                <w:lang w:val="en-US" w:eastAsia="zh-CN"/>
              </w:rPr>
              <w:t>6</w:t>
            </w:r>
            <w:r>
              <w:rPr>
                <w:color w:val="auto"/>
                <w:szCs w:val="21"/>
              </w:rPr>
              <w:t>分；</w:t>
            </w:r>
          </w:p>
          <w:p>
            <w:pPr>
              <w:jc w:val="left"/>
              <w:rPr>
                <w:color w:val="auto"/>
                <w:szCs w:val="21"/>
              </w:rPr>
            </w:pPr>
            <w:r>
              <w:rPr>
                <w:color w:val="auto"/>
                <w:szCs w:val="21"/>
              </w:rPr>
              <w:t>提供了常规、通用的实施方案，与现场实际情况结合不够紧密，细节需完善，得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方案内容不够全面、缺乏可行性、存在缺陷，难以满足工程需要，得</w:t>
            </w:r>
            <w:r>
              <w:rPr>
                <w:rFonts w:hint="eastAsia"/>
                <w:color w:val="auto"/>
                <w:szCs w:val="21"/>
                <w:lang w:val="en-US" w:eastAsia="zh-CN"/>
              </w:rPr>
              <w:t>1</w:t>
            </w:r>
            <w:r>
              <w:rPr>
                <w:color w:val="auto"/>
                <w:szCs w:val="21"/>
              </w:rPr>
              <w:t>分；</w:t>
            </w:r>
          </w:p>
          <w:p>
            <w:pPr>
              <w:jc w:val="left"/>
              <w:rPr>
                <w:color w:val="auto"/>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2.2</w:t>
            </w:r>
          </w:p>
        </w:tc>
        <w:tc>
          <w:tcPr>
            <w:tcW w:w="1392" w:type="dxa"/>
            <w:noWrap w:val="0"/>
            <w:vAlign w:val="center"/>
          </w:tcPr>
          <w:p>
            <w:pPr>
              <w:spacing w:line="312" w:lineRule="auto"/>
              <w:jc w:val="center"/>
              <w:rPr>
                <w:color w:val="auto"/>
                <w:szCs w:val="21"/>
              </w:rPr>
            </w:pPr>
            <w:r>
              <w:rPr>
                <w:color w:val="auto"/>
                <w:szCs w:val="21"/>
              </w:rPr>
              <w:t>施工工期、施工进度计划及工期保证措施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5</w:t>
            </w:r>
          </w:p>
        </w:tc>
        <w:tc>
          <w:tcPr>
            <w:tcW w:w="5447" w:type="dxa"/>
            <w:noWrap w:val="0"/>
            <w:vAlign w:val="center"/>
          </w:tcPr>
          <w:p>
            <w:pPr>
              <w:jc w:val="left"/>
              <w:rPr>
                <w:color w:val="auto"/>
                <w:szCs w:val="21"/>
              </w:rPr>
            </w:pPr>
            <w:r>
              <w:rPr>
                <w:color w:val="auto"/>
                <w:szCs w:val="21"/>
              </w:rPr>
              <w:t>提供了内容完整、合理可行、详实的施工进度计划，及与施工进度计划相适应的工期保证措施，有针对性，完全满足施工需要，得</w:t>
            </w:r>
            <w:r>
              <w:rPr>
                <w:rFonts w:hint="eastAsia"/>
                <w:color w:val="auto"/>
                <w:szCs w:val="21"/>
                <w:lang w:val="en-US" w:eastAsia="zh-CN"/>
              </w:rPr>
              <w:t>5</w:t>
            </w:r>
            <w:r>
              <w:rPr>
                <w:color w:val="auto"/>
                <w:szCs w:val="21"/>
              </w:rPr>
              <w:t>分；</w:t>
            </w:r>
          </w:p>
          <w:p>
            <w:pPr>
              <w:jc w:val="left"/>
              <w:rPr>
                <w:color w:val="auto"/>
                <w:szCs w:val="21"/>
              </w:rPr>
            </w:pPr>
            <w:r>
              <w:rPr>
                <w:color w:val="auto"/>
                <w:szCs w:val="21"/>
              </w:rPr>
              <w:t>提供了内容完整、合理可行的施工进度计划，工期保证措施与施工进度计划基本相适应，基本满足施工需要，但针对性有待提高，得</w:t>
            </w:r>
            <w:r>
              <w:rPr>
                <w:rFonts w:hint="eastAsia"/>
                <w:color w:val="auto"/>
                <w:szCs w:val="21"/>
                <w:lang w:val="en-US" w:eastAsia="zh-CN"/>
              </w:rPr>
              <w:t>4</w:t>
            </w:r>
            <w:r>
              <w:rPr>
                <w:color w:val="auto"/>
                <w:szCs w:val="21"/>
              </w:rPr>
              <w:t>分；</w:t>
            </w:r>
          </w:p>
          <w:p>
            <w:pPr>
              <w:jc w:val="left"/>
              <w:rPr>
                <w:color w:val="auto"/>
                <w:szCs w:val="21"/>
              </w:rPr>
            </w:pPr>
            <w:r>
              <w:rPr>
                <w:color w:val="auto"/>
                <w:szCs w:val="21"/>
              </w:rPr>
              <w:t>提供了常规、通用的施工进度计划及工期保证措施，与本项目实际情况结合不够紧密，细节待完善，得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施工进度计划不够合理，工期保证措施缺乏可行性、有严重缺陷，得</w:t>
            </w:r>
            <w:r>
              <w:rPr>
                <w:rFonts w:hint="eastAsia"/>
                <w:color w:val="auto"/>
                <w:szCs w:val="21"/>
                <w:lang w:val="en-US" w:eastAsia="zh-CN"/>
              </w:rPr>
              <w:t>1</w:t>
            </w:r>
            <w:r>
              <w:rPr>
                <w:color w:val="auto"/>
                <w:szCs w:val="21"/>
              </w:rPr>
              <w:t>分；</w:t>
            </w:r>
          </w:p>
          <w:p>
            <w:pPr>
              <w:jc w:val="left"/>
              <w:rPr>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2.3</w:t>
            </w:r>
          </w:p>
        </w:tc>
        <w:tc>
          <w:tcPr>
            <w:tcW w:w="1392" w:type="dxa"/>
            <w:noWrap w:val="0"/>
            <w:vAlign w:val="center"/>
          </w:tcPr>
          <w:p>
            <w:pPr>
              <w:spacing w:line="312" w:lineRule="auto"/>
              <w:jc w:val="center"/>
              <w:rPr>
                <w:color w:val="auto"/>
                <w:szCs w:val="21"/>
              </w:rPr>
            </w:pPr>
            <w:r>
              <w:rPr>
                <w:color w:val="auto"/>
                <w:szCs w:val="21"/>
              </w:rPr>
              <w:t>质量目标及保证措施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5</w:t>
            </w:r>
          </w:p>
        </w:tc>
        <w:tc>
          <w:tcPr>
            <w:tcW w:w="5447" w:type="dxa"/>
            <w:noWrap w:val="0"/>
            <w:vAlign w:val="center"/>
          </w:tcPr>
          <w:p>
            <w:pPr>
              <w:jc w:val="left"/>
              <w:rPr>
                <w:color w:val="auto"/>
                <w:szCs w:val="21"/>
              </w:rPr>
            </w:pPr>
            <w:r>
              <w:rPr>
                <w:bCs/>
                <w:color w:val="auto"/>
                <w:szCs w:val="21"/>
              </w:rPr>
              <w:t>提</w:t>
            </w:r>
            <w:r>
              <w:rPr>
                <w:color w:val="auto"/>
                <w:szCs w:val="21"/>
              </w:rPr>
              <w:t>供了内容完整、合理可行的的质量管理目标，及与质量管理目标相适应的保证措施，有针对性，得</w:t>
            </w:r>
            <w:r>
              <w:rPr>
                <w:rFonts w:hint="eastAsia"/>
                <w:color w:val="auto"/>
                <w:szCs w:val="21"/>
                <w:lang w:val="en-US" w:eastAsia="zh-CN"/>
              </w:rPr>
              <w:t>5</w:t>
            </w:r>
            <w:r>
              <w:rPr>
                <w:color w:val="auto"/>
                <w:szCs w:val="21"/>
              </w:rPr>
              <w:t>分；</w:t>
            </w:r>
          </w:p>
          <w:p>
            <w:pPr>
              <w:jc w:val="left"/>
              <w:rPr>
                <w:color w:val="auto"/>
                <w:szCs w:val="21"/>
              </w:rPr>
            </w:pPr>
            <w:r>
              <w:rPr>
                <w:color w:val="auto"/>
                <w:szCs w:val="21"/>
              </w:rPr>
              <w:t>提供的质量管理目标符合采购需求，其相应的保证措施完整可行，但针对性有待提高，得</w:t>
            </w:r>
            <w:r>
              <w:rPr>
                <w:rFonts w:hint="eastAsia"/>
                <w:color w:val="auto"/>
                <w:szCs w:val="21"/>
                <w:lang w:val="en-US" w:eastAsia="zh-CN"/>
              </w:rPr>
              <w:t>4</w:t>
            </w:r>
            <w:r>
              <w:rPr>
                <w:color w:val="auto"/>
                <w:szCs w:val="21"/>
              </w:rPr>
              <w:t>分；</w:t>
            </w:r>
          </w:p>
          <w:p>
            <w:pPr>
              <w:jc w:val="left"/>
              <w:rPr>
                <w:color w:val="auto"/>
                <w:szCs w:val="21"/>
              </w:rPr>
            </w:pPr>
            <w:r>
              <w:rPr>
                <w:color w:val="auto"/>
                <w:szCs w:val="21"/>
              </w:rPr>
              <w:t>提供了常规、通用的质量管理目标及保证措施，与本项目联系不够紧密，细节也待完善，得</w:t>
            </w:r>
            <w:r>
              <w:rPr>
                <w:rFonts w:hint="eastAsia"/>
                <w:color w:val="auto"/>
                <w:szCs w:val="21"/>
                <w:lang w:val="en-US" w:eastAsia="zh-CN"/>
              </w:rPr>
              <w:t>3</w:t>
            </w:r>
            <w:r>
              <w:rPr>
                <w:color w:val="auto"/>
                <w:szCs w:val="21"/>
              </w:rPr>
              <w:t>分；</w:t>
            </w:r>
          </w:p>
          <w:p>
            <w:pPr>
              <w:jc w:val="left"/>
              <w:rPr>
                <w:color w:val="auto"/>
                <w:szCs w:val="21"/>
              </w:rPr>
            </w:pPr>
            <w:r>
              <w:rPr>
                <w:color w:val="auto"/>
                <w:szCs w:val="21"/>
              </w:rPr>
              <w:t>措施缺乏可行性、有缺陷，得</w:t>
            </w:r>
            <w:r>
              <w:rPr>
                <w:rFonts w:hint="eastAsia"/>
                <w:color w:val="auto"/>
                <w:szCs w:val="21"/>
                <w:lang w:val="en-US" w:eastAsia="zh-CN"/>
              </w:rPr>
              <w:t>1</w:t>
            </w:r>
            <w:r>
              <w:rPr>
                <w:color w:val="auto"/>
                <w:szCs w:val="21"/>
              </w:rPr>
              <w:t>分；</w:t>
            </w:r>
          </w:p>
          <w:p>
            <w:pPr>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restart"/>
            <w:noWrap w:val="0"/>
            <w:vAlign w:val="center"/>
          </w:tcPr>
          <w:p>
            <w:pPr>
              <w:ind w:firstLine="28"/>
              <w:jc w:val="center"/>
              <w:rPr>
                <w:b/>
                <w:color w:val="auto"/>
                <w:szCs w:val="21"/>
              </w:rPr>
            </w:pPr>
            <w:r>
              <w:rPr>
                <w:b/>
                <w:color w:val="auto"/>
                <w:szCs w:val="21"/>
              </w:rPr>
              <w:t>2.4</w:t>
            </w:r>
          </w:p>
        </w:tc>
        <w:tc>
          <w:tcPr>
            <w:tcW w:w="1392" w:type="dxa"/>
            <w:vMerge w:val="restart"/>
            <w:noWrap w:val="0"/>
            <w:vAlign w:val="center"/>
          </w:tcPr>
          <w:p>
            <w:pPr>
              <w:spacing w:line="312" w:lineRule="auto"/>
              <w:jc w:val="center"/>
              <w:rPr>
                <w:color w:val="auto"/>
                <w:szCs w:val="21"/>
              </w:rPr>
            </w:pPr>
            <w:r>
              <w:rPr>
                <w:color w:val="auto"/>
                <w:szCs w:val="21"/>
              </w:rPr>
              <w:t>施工机械的配备和施工人员配备</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2</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了内容完整、合理可行、与施工进度计划相适应的施工机械的配备计划，</w:t>
            </w:r>
            <w:r>
              <w:rPr>
                <w:bCs/>
                <w:color w:val="auto"/>
                <w:szCs w:val="21"/>
              </w:rPr>
              <w:t>有针对性，</w:t>
            </w:r>
            <w:r>
              <w:rPr>
                <w:color w:val="auto"/>
                <w:szCs w:val="21"/>
              </w:rPr>
              <w:t>得</w:t>
            </w:r>
            <w:r>
              <w:rPr>
                <w:rFonts w:hint="eastAsia"/>
                <w:color w:val="auto"/>
                <w:szCs w:val="21"/>
                <w:lang w:val="en-US" w:eastAsia="zh-CN"/>
              </w:rPr>
              <w:t>2</w:t>
            </w:r>
            <w:r>
              <w:rPr>
                <w:color w:val="auto"/>
                <w:szCs w:val="21"/>
              </w:rPr>
              <w:t>分；</w:t>
            </w:r>
          </w:p>
          <w:p>
            <w:pPr>
              <w:ind w:firstLine="28"/>
              <w:jc w:val="left"/>
              <w:rPr>
                <w:rFonts w:hint="default" w:eastAsia="宋体"/>
                <w:color w:val="auto"/>
                <w:szCs w:val="21"/>
                <w:lang w:val="en-US" w:eastAsia="zh-CN"/>
              </w:rPr>
            </w:pPr>
            <w:r>
              <w:rPr>
                <w:color w:val="auto"/>
                <w:szCs w:val="21"/>
              </w:rPr>
              <w:t>配备计划缺乏可行性、有缺陷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spacing w:line="312" w:lineRule="auto"/>
              <w:jc w:val="center"/>
              <w:rPr>
                <w:color w:val="auto"/>
                <w:szCs w:val="21"/>
              </w:rPr>
            </w:pP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2</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了内容完整、合理可行、与施工进度计划相适应的施工人员配备计划，</w:t>
            </w:r>
            <w:r>
              <w:rPr>
                <w:bCs/>
                <w:color w:val="auto"/>
                <w:szCs w:val="21"/>
              </w:rPr>
              <w:t>有针对性，</w:t>
            </w:r>
            <w:r>
              <w:rPr>
                <w:color w:val="auto"/>
                <w:szCs w:val="21"/>
              </w:rPr>
              <w:t>得</w:t>
            </w:r>
            <w:r>
              <w:rPr>
                <w:rFonts w:hint="eastAsia"/>
                <w:color w:val="auto"/>
                <w:szCs w:val="21"/>
                <w:lang w:val="en-US" w:eastAsia="zh-CN"/>
              </w:rPr>
              <w:t>2</w:t>
            </w:r>
            <w:r>
              <w:rPr>
                <w:color w:val="auto"/>
                <w:szCs w:val="21"/>
              </w:rPr>
              <w:t>分；</w:t>
            </w:r>
          </w:p>
          <w:p>
            <w:pPr>
              <w:ind w:firstLine="28"/>
              <w:jc w:val="left"/>
              <w:rPr>
                <w:rFonts w:hint="eastAsia" w:eastAsia="宋体"/>
                <w:color w:val="auto"/>
                <w:szCs w:val="21"/>
                <w:lang w:eastAsia="zh-CN"/>
              </w:rPr>
            </w:pPr>
            <w:r>
              <w:rPr>
                <w:color w:val="auto"/>
                <w:szCs w:val="21"/>
              </w:rPr>
              <w:t>配备计划缺乏可行性、有缺陷</w:t>
            </w:r>
            <w:r>
              <w:rPr>
                <w:rFonts w:hint="eastAsia"/>
                <w:color w:val="auto"/>
                <w:szCs w:val="21"/>
                <w:lang w:eastAsia="zh-CN"/>
              </w:rPr>
              <w:t>，</w:t>
            </w:r>
            <w:r>
              <w:rPr>
                <w:rFonts w:hint="eastAsia"/>
                <w:color w:val="auto"/>
                <w:szCs w:val="21"/>
                <w:lang w:val="en-US" w:eastAsia="zh-CN"/>
              </w:rPr>
              <w:t>得1分</w:t>
            </w:r>
            <w:r>
              <w:rPr>
                <w:rFonts w:hint="eastAsia"/>
                <w:color w:val="auto"/>
                <w:szCs w:val="21"/>
                <w:lang w:eastAsia="zh-CN"/>
              </w:rPr>
              <w:t>；</w:t>
            </w:r>
          </w:p>
          <w:p>
            <w:pPr>
              <w:ind w:firstLine="28"/>
              <w:jc w:val="left"/>
              <w:rPr>
                <w:bCs/>
                <w:color w:val="auto"/>
                <w:szCs w:val="21"/>
              </w:rPr>
            </w:pPr>
            <w:r>
              <w:rPr>
                <w:color w:val="auto"/>
                <w:szCs w:val="21"/>
              </w:rPr>
              <w:t>未提供相应内容，得0分。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2.5</w:t>
            </w:r>
          </w:p>
        </w:tc>
        <w:tc>
          <w:tcPr>
            <w:tcW w:w="1392" w:type="dxa"/>
            <w:noWrap w:val="0"/>
            <w:vAlign w:val="center"/>
          </w:tcPr>
          <w:p>
            <w:pPr>
              <w:spacing w:line="312" w:lineRule="auto"/>
              <w:jc w:val="center"/>
              <w:rPr>
                <w:color w:val="auto"/>
                <w:szCs w:val="21"/>
              </w:rPr>
            </w:pPr>
            <w:r>
              <w:rPr>
                <w:color w:val="auto"/>
                <w:szCs w:val="21"/>
              </w:rPr>
              <w:t>安全生产和文明施工措施</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4</w:t>
            </w:r>
          </w:p>
        </w:tc>
        <w:tc>
          <w:tcPr>
            <w:tcW w:w="5447" w:type="dxa"/>
            <w:noWrap w:val="0"/>
            <w:vAlign w:val="center"/>
          </w:tcPr>
          <w:p>
            <w:pPr>
              <w:jc w:val="left"/>
              <w:rPr>
                <w:color w:val="auto"/>
                <w:szCs w:val="21"/>
              </w:rPr>
            </w:pPr>
            <w:r>
              <w:rPr>
                <w:bCs/>
                <w:color w:val="auto"/>
                <w:szCs w:val="21"/>
              </w:rPr>
              <w:t>提供</w:t>
            </w:r>
            <w:r>
              <w:rPr>
                <w:color w:val="auto"/>
                <w:szCs w:val="21"/>
              </w:rPr>
              <w:t>了内容完整、合理可行的安全生产和文明施工措施，</w:t>
            </w:r>
            <w:r>
              <w:rPr>
                <w:bCs/>
                <w:color w:val="auto"/>
                <w:szCs w:val="21"/>
              </w:rPr>
              <w:t>有针对性，</w:t>
            </w:r>
            <w:r>
              <w:rPr>
                <w:color w:val="auto"/>
                <w:szCs w:val="21"/>
              </w:rPr>
              <w:t>得</w:t>
            </w:r>
            <w:r>
              <w:rPr>
                <w:rFonts w:hint="eastAsia"/>
                <w:color w:val="auto"/>
                <w:szCs w:val="21"/>
                <w:lang w:val="en-US" w:eastAsia="zh-CN"/>
              </w:rPr>
              <w:t>4</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措施缺乏可行性、有缺陷，得</w:t>
            </w:r>
            <w:r>
              <w:rPr>
                <w:rFonts w:hint="eastAsia"/>
                <w:color w:val="auto"/>
                <w:szCs w:val="21"/>
                <w:lang w:val="en-US" w:eastAsia="zh-CN"/>
              </w:rPr>
              <w:t>1</w:t>
            </w:r>
            <w:r>
              <w:rPr>
                <w:color w:val="auto"/>
                <w:szCs w:val="21"/>
              </w:rPr>
              <w:t>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754" w:type="dxa"/>
            <w:noWrap w:val="0"/>
            <w:vAlign w:val="center"/>
          </w:tcPr>
          <w:p>
            <w:pPr>
              <w:ind w:firstLine="28"/>
              <w:jc w:val="center"/>
              <w:rPr>
                <w:b/>
                <w:color w:val="auto"/>
                <w:szCs w:val="21"/>
              </w:rPr>
            </w:pPr>
            <w:r>
              <w:rPr>
                <w:b/>
                <w:color w:val="auto"/>
                <w:szCs w:val="21"/>
              </w:rPr>
              <w:t>2.6</w:t>
            </w:r>
          </w:p>
        </w:tc>
        <w:tc>
          <w:tcPr>
            <w:tcW w:w="1392" w:type="dxa"/>
            <w:noWrap w:val="0"/>
            <w:vAlign w:val="center"/>
          </w:tcPr>
          <w:p>
            <w:pPr>
              <w:ind w:firstLine="28"/>
              <w:jc w:val="center"/>
              <w:rPr>
                <w:color w:val="auto"/>
                <w:szCs w:val="21"/>
              </w:rPr>
            </w:pPr>
            <w:r>
              <w:rPr>
                <w:color w:val="auto"/>
                <w:szCs w:val="21"/>
              </w:rPr>
              <w:t>各单位组织协调与配合保证措施</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3</w:t>
            </w:r>
          </w:p>
        </w:tc>
        <w:tc>
          <w:tcPr>
            <w:tcW w:w="5447" w:type="dxa"/>
            <w:noWrap w:val="0"/>
            <w:vAlign w:val="center"/>
          </w:tcPr>
          <w:p>
            <w:pPr>
              <w:ind w:firstLine="28"/>
              <w:jc w:val="left"/>
              <w:rPr>
                <w:color w:val="auto"/>
                <w:szCs w:val="21"/>
              </w:rPr>
            </w:pPr>
            <w:r>
              <w:rPr>
                <w:bCs/>
                <w:color w:val="auto"/>
                <w:szCs w:val="21"/>
              </w:rPr>
              <w:t>提供</w:t>
            </w:r>
            <w:r>
              <w:rPr>
                <w:color w:val="auto"/>
                <w:szCs w:val="21"/>
              </w:rPr>
              <w:t>了内容完整、合理可行的组织协调与配合保证措施，</w:t>
            </w:r>
            <w:r>
              <w:rPr>
                <w:bCs/>
                <w:color w:val="auto"/>
                <w:szCs w:val="21"/>
              </w:rPr>
              <w:t>有针对性，</w:t>
            </w:r>
            <w:r>
              <w:rPr>
                <w:color w:val="auto"/>
                <w:szCs w:val="21"/>
              </w:rPr>
              <w:t>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2</w:t>
            </w:r>
            <w:r>
              <w:rPr>
                <w:color w:val="auto"/>
                <w:szCs w:val="21"/>
              </w:rPr>
              <w:t>分；</w:t>
            </w:r>
          </w:p>
          <w:p>
            <w:pPr>
              <w:ind w:firstLine="28"/>
              <w:jc w:val="left"/>
              <w:rPr>
                <w:rFonts w:hint="default" w:eastAsia="宋体"/>
                <w:color w:val="auto"/>
                <w:szCs w:val="21"/>
                <w:lang w:val="en-US" w:eastAsia="zh-CN"/>
              </w:rPr>
            </w:pPr>
            <w:r>
              <w:rPr>
                <w:color w:val="auto"/>
                <w:szCs w:val="21"/>
              </w:rPr>
              <w:t>措施缺乏可行性、有缺陷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754" w:type="dxa"/>
            <w:noWrap w:val="0"/>
            <w:vAlign w:val="center"/>
          </w:tcPr>
          <w:p>
            <w:pPr>
              <w:ind w:firstLine="28"/>
              <w:jc w:val="center"/>
              <w:rPr>
                <w:b/>
                <w:color w:val="auto"/>
                <w:szCs w:val="21"/>
              </w:rPr>
            </w:pPr>
            <w:r>
              <w:rPr>
                <w:b/>
                <w:color w:val="auto"/>
                <w:szCs w:val="21"/>
              </w:rPr>
              <w:t>2.7</w:t>
            </w:r>
          </w:p>
        </w:tc>
        <w:tc>
          <w:tcPr>
            <w:tcW w:w="1392" w:type="dxa"/>
            <w:noWrap w:val="0"/>
            <w:vAlign w:val="center"/>
          </w:tcPr>
          <w:p>
            <w:pPr>
              <w:ind w:firstLine="28"/>
              <w:jc w:val="center"/>
              <w:rPr>
                <w:color w:val="auto"/>
                <w:szCs w:val="21"/>
              </w:rPr>
            </w:pPr>
            <w:r>
              <w:rPr>
                <w:color w:val="auto"/>
                <w:szCs w:val="21"/>
              </w:rPr>
              <w:t>紧急情况的处理措施、预案以及抵抗风险的措施</w:t>
            </w:r>
          </w:p>
        </w:tc>
        <w:tc>
          <w:tcPr>
            <w:tcW w:w="843" w:type="dxa"/>
            <w:noWrap w:val="0"/>
            <w:vAlign w:val="center"/>
          </w:tcPr>
          <w:p>
            <w:pPr>
              <w:ind w:firstLine="28"/>
              <w:jc w:val="center"/>
              <w:rPr>
                <w:rFonts w:hint="eastAsia" w:eastAsia="宋体"/>
                <w:bCs/>
                <w:color w:val="auto"/>
                <w:szCs w:val="21"/>
                <w:lang w:val="en" w:eastAsia="zh-CN"/>
              </w:rPr>
            </w:pPr>
            <w:r>
              <w:rPr>
                <w:rFonts w:hint="eastAsia"/>
                <w:bCs/>
                <w:color w:val="auto"/>
                <w:szCs w:val="21"/>
                <w:lang w:val="en-US" w:eastAsia="zh-CN"/>
              </w:rPr>
              <w:t>3</w:t>
            </w:r>
          </w:p>
        </w:tc>
        <w:tc>
          <w:tcPr>
            <w:tcW w:w="5447" w:type="dxa"/>
            <w:noWrap w:val="0"/>
            <w:vAlign w:val="center"/>
          </w:tcPr>
          <w:p>
            <w:pPr>
              <w:jc w:val="left"/>
              <w:rPr>
                <w:color w:val="auto"/>
                <w:szCs w:val="21"/>
              </w:rPr>
            </w:pPr>
            <w:r>
              <w:rPr>
                <w:bCs/>
                <w:color w:val="auto"/>
                <w:szCs w:val="21"/>
              </w:rPr>
              <w:t>提供</w:t>
            </w:r>
            <w:r>
              <w:rPr>
                <w:color w:val="auto"/>
                <w:szCs w:val="21"/>
              </w:rPr>
              <w:t>了内容完整、合理可行的紧急情况的处理措施、预案以及抵抗风险的措施，得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提供了常规、通用的措施，细节待完善，得</w:t>
            </w:r>
            <w:r>
              <w:rPr>
                <w:rFonts w:hint="eastAsia"/>
                <w:color w:val="auto"/>
                <w:szCs w:val="21"/>
                <w:lang w:val="en-US" w:eastAsia="zh-CN"/>
              </w:rPr>
              <w:t>2</w:t>
            </w:r>
            <w:r>
              <w:rPr>
                <w:color w:val="auto"/>
                <w:szCs w:val="21"/>
              </w:rPr>
              <w:t>分；</w:t>
            </w:r>
          </w:p>
          <w:p>
            <w:pPr>
              <w:ind w:firstLine="28"/>
              <w:jc w:val="left"/>
              <w:rPr>
                <w:color w:val="auto"/>
                <w:szCs w:val="21"/>
              </w:rPr>
            </w:pPr>
            <w:r>
              <w:rPr>
                <w:color w:val="auto"/>
                <w:szCs w:val="21"/>
              </w:rPr>
              <w:t>措施缺乏可行性、有缺陷</w:t>
            </w:r>
            <w:r>
              <w:rPr>
                <w:rFonts w:hint="eastAsia"/>
                <w:color w:val="auto"/>
                <w:szCs w:val="21"/>
                <w:lang w:eastAsia="zh-CN"/>
              </w:rPr>
              <w:t>，</w:t>
            </w:r>
            <w:r>
              <w:rPr>
                <w:rFonts w:hint="eastAsia"/>
                <w:color w:val="auto"/>
                <w:szCs w:val="21"/>
                <w:lang w:val="en-US" w:eastAsia="zh-CN"/>
              </w:rPr>
              <w:t>得1分；</w:t>
            </w:r>
          </w:p>
          <w:p>
            <w:pPr>
              <w:ind w:firstLine="28"/>
              <w:jc w:val="left"/>
              <w:rPr>
                <w:b/>
                <w:color w:val="auto"/>
                <w:szCs w:val="21"/>
              </w:rPr>
            </w:pPr>
            <w:r>
              <w:rPr>
                <w:color w:val="auto"/>
                <w:szCs w:val="21"/>
              </w:rPr>
              <w:t>未提供相应方案，得0分。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54" w:type="dxa"/>
            <w:vMerge w:val="restart"/>
            <w:noWrap w:val="0"/>
            <w:vAlign w:val="center"/>
          </w:tcPr>
          <w:p>
            <w:pPr>
              <w:ind w:firstLine="28"/>
              <w:jc w:val="center"/>
              <w:rPr>
                <w:b/>
                <w:color w:val="auto"/>
                <w:szCs w:val="21"/>
              </w:rPr>
            </w:pPr>
            <w:r>
              <w:rPr>
                <w:b/>
                <w:color w:val="auto"/>
                <w:szCs w:val="21"/>
              </w:rPr>
              <w:t>2.8</w:t>
            </w:r>
          </w:p>
        </w:tc>
        <w:tc>
          <w:tcPr>
            <w:tcW w:w="1392" w:type="dxa"/>
            <w:vMerge w:val="restart"/>
            <w:noWrap w:val="0"/>
            <w:vAlign w:val="center"/>
          </w:tcPr>
          <w:p>
            <w:pPr>
              <w:ind w:firstLine="28"/>
              <w:jc w:val="center"/>
              <w:rPr>
                <w:color w:val="auto"/>
                <w:szCs w:val="21"/>
              </w:rPr>
            </w:pPr>
            <w:r>
              <w:rPr>
                <w:color w:val="auto"/>
                <w:szCs w:val="21"/>
              </w:rPr>
              <w:t>售后服务、技术支持及培训方案</w:t>
            </w:r>
          </w:p>
        </w:tc>
        <w:tc>
          <w:tcPr>
            <w:tcW w:w="843" w:type="dxa"/>
            <w:noWrap w:val="0"/>
            <w:vAlign w:val="center"/>
          </w:tcPr>
          <w:p>
            <w:pPr>
              <w:ind w:firstLine="28"/>
              <w:jc w:val="center"/>
              <w:rPr>
                <w:rFonts w:hint="default" w:eastAsia="宋体"/>
                <w:bCs/>
                <w:color w:val="auto"/>
                <w:szCs w:val="21"/>
                <w:lang w:val="en-US" w:eastAsia="zh-CN"/>
              </w:rPr>
            </w:pPr>
            <w:r>
              <w:rPr>
                <w:rFonts w:hint="eastAsia"/>
                <w:bCs/>
                <w:color w:val="auto"/>
                <w:szCs w:val="21"/>
                <w:lang w:val="en-US" w:eastAsia="zh-CN"/>
              </w:rPr>
              <w:t>4</w:t>
            </w:r>
          </w:p>
        </w:tc>
        <w:tc>
          <w:tcPr>
            <w:tcW w:w="5447" w:type="dxa"/>
            <w:noWrap w:val="0"/>
            <w:vAlign w:val="center"/>
          </w:tcPr>
          <w:p>
            <w:pPr>
              <w:ind w:firstLine="28"/>
              <w:jc w:val="left"/>
              <w:rPr>
                <w:bCs/>
                <w:color w:val="auto"/>
                <w:szCs w:val="21"/>
              </w:rPr>
            </w:pPr>
            <w:r>
              <w:rPr>
                <w:bCs/>
                <w:color w:val="auto"/>
                <w:szCs w:val="21"/>
              </w:rPr>
              <w:t>提供的服务方案完善可行，内容全面，且提供了关于本项目的保修期承诺，承诺的期限满足相关规定</w:t>
            </w:r>
            <w:r>
              <w:rPr>
                <w:rFonts w:hint="eastAsia"/>
                <w:bCs/>
                <w:color w:val="auto"/>
                <w:szCs w:val="21"/>
                <w:lang w:eastAsia="zh-CN"/>
              </w:rPr>
              <w:t>，</w:t>
            </w:r>
            <w:r>
              <w:rPr>
                <w:rFonts w:hint="eastAsia"/>
                <w:bCs/>
                <w:color w:val="auto"/>
                <w:szCs w:val="21"/>
                <w:lang w:val="en-US" w:eastAsia="zh-CN"/>
              </w:rPr>
              <w:t>得4分</w:t>
            </w:r>
            <w:r>
              <w:rPr>
                <w:bCs/>
                <w:color w:val="auto"/>
                <w:szCs w:val="21"/>
              </w:rPr>
              <w:t>；</w:t>
            </w:r>
          </w:p>
          <w:p>
            <w:pPr>
              <w:ind w:firstLine="28"/>
              <w:jc w:val="left"/>
              <w:rPr>
                <w:color w:val="auto"/>
                <w:szCs w:val="21"/>
              </w:rPr>
            </w:pPr>
            <w:r>
              <w:rPr>
                <w:color w:val="auto"/>
                <w:szCs w:val="21"/>
              </w:rPr>
              <w:t>提供了常规、通用的服务方案，细节待完善，得</w:t>
            </w:r>
            <w:r>
              <w:rPr>
                <w:rFonts w:hint="eastAsia"/>
                <w:color w:val="auto"/>
                <w:szCs w:val="21"/>
                <w:lang w:val="en-US" w:eastAsia="zh-CN"/>
              </w:rPr>
              <w:t>3</w:t>
            </w:r>
            <w:r>
              <w:rPr>
                <w:color w:val="auto"/>
                <w:szCs w:val="21"/>
              </w:rPr>
              <w:t>分；</w:t>
            </w:r>
          </w:p>
          <w:p>
            <w:pPr>
              <w:ind w:firstLine="28"/>
              <w:jc w:val="left"/>
              <w:rPr>
                <w:color w:val="auto"/>
                <w:szCs w:val="21"/>
              </w:rPr>
            </w:pPr>
            <w:r>
              <w:rPr>
                <w:color w:val="auto"/>
                <w:szCs w:val="21"/>
              </w:rPr>
              <w:t>服务方案缺乏可行性、有缺陷，得</w:t>
            </w:r>
            <w:r>
              <w:rPr>
                <w:rFonts w:hint="eastAsia"/>
                <w:color w:val="auto"/>
                <w:szCs w:val="21"/>
                <w:lang w:val="en-US" w:eastAsia="zh-CN"/>
              </w:rPr>
              <w:t>1</w:t>
            </w:r>
            <w:r>
              <w:rPr>
                <w:color w:val="auto"/>
                <w:szCs w:val="21"/>
              </w:rPr>
              <w:t>分；</w:t>
            </w:r>
          </w:p>
          <w:p>
            <w:pPr>
              <w:ind w:firstLine="28"/>
              <w:jc w:val="left"/>
              <w:rPr>
                <w:bCs/>
                <w:color w:val="auto"/>
                <w:szCs w:val="21"/>
              </w:rPr>
            </w:pPr>
            <w:r>
              <w:rPr>
                <w:color w:val="auto"/>
                <w:szCs w:val="21"/>
              </w:rPr>
              <w:t>未提供相应服务方案，得0分。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754" w:type="dxa"/>
            <w:vMerge w:val="continue"/>
            <w:noWrap w:val="0"/>
            <w:vAlign w:val="center"/>
          </w:tcPr>
          <w:p>
            <w:pPr>
              <w:ind w:firstLine="28"/>
              <w:jc w:val="center"/>
              <w:rPr>
                <w:b/>
                <w:color w:val="auto"/>
                <w:szCs w:val="21"/>
              </w:rPr>
            </w:pPr>
          </w:p>
        </w:tc>
        <w:tc>
          <w:tcPr>
            <w:tcW w:w="1392" w:type="dxa"/>
            <w:vMerge w:val="continue"/>
            <w:noWrap w:val="0"/>
            <w:vAlign w:val="center"/>
          </w:tcPr>
          <w:p>
            <w:pPr>
              <w:ind w:firstLine="28"/>
              <w:jc w:val="center"/>
              <w:rPr>
                <w:color w:val="auto"/>
                <w:szCs w:val="21"/>
              </w:rPr>
            </w:pPr>
          </w:p>
        </w:tc>
        <w:tc>
          <w:tcPr>
            <w:tcW w:w="843" w:type="dxa"/>
            <w:noWrap w:val="0"/>
            <w:vAlign w:val="center"/>
          </w:tcPr>
          <w:p>
            <w:pPr>
              <w:tabs>
                <w:tab w:val="left" w:pos="319"/>
              </w:tabs>
              <w:ind w:firstLine="28"/>
              <w:jc w:val="left"/>
              <w:rPr>
                <w:rFonts w:hint="default"/>
                <w:bCs/>
                <w:color w:val="auto"/>
                <w:szCs w:val="21"/>
                <w:lang w:val="en-US" w:eastAsia="zh-CN"/>
              </w:rPr>
            </w:pPr>
            <w:r>
              <w:rPr>
                <w:rFonts w:hint="eastAsia"/>
                <w:bCs/>
                <w:color w:val="auto"/>
                <w:szCs w:val="21"/>
                <w:lang w:val="en-US" w:eastAsia="zh-CN"/>
              </w:rPr>
              <w:tab/>
            </w:r>
            <w:r>
              <w:rPr>
                <w:rFonts w:hint="eastAsia"/>
                <w:bCs/>
                <w:color w:val="auto"/>
                <w:szCs w:val="21"/>
                <w:lang w:val="en-US" w:eastAsia="zh-CN"/>
              </w:rPr>
              <w:t>3</w:t>
            </w:r>
          </w:p>
        </w:tc>
        <w:tc>
          <w:tcPr>
            <w:tcW w:w="5447" w:type="dxa"/>
            <w:noWrap w:val="0"/>
            <w:vAlign w:val="center"/>
          </w:tcPr>
          <w:p>
            <w:pPr>
              <w:ind w:firstLine="28"/>
              <w:jc w:val="left"/>
              <w:rPr>
                <w:rFonts w:hint="default" w:eastAsia="宋体"/>
                <w:color w:val="auto"/>
                <w:szCs w:val="21"/>
                <w:lang w:val="en-US" w:eastAsia="zh-CN"/>
              </w:rPr>
            </w:pPr>
            <w:r>
              <w:rPr>
                <w:rFonts w:hint="eastAsia"/>
                <w:color w:val="auto"/>
                <w:szCs w:val="21"/>
                <w:lang w:val="en-US" w:eastAsia="zh-CN"/>
              </w:rPr>
              <w:t>在本项目质量保修期要求的基础上，每承诺多一年得1分，本项最多得3分。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jc w:val="center"/>
              <w:rPr>
                <w:rFonts w:hint="eastAsia" w:eastAsia="宋体"/>
                <w:b/>
                <w:bCs/>
                <w:color w:val="auto"/>
                <w:szCs w:val="21"/>
                <w:lang w:val="en-US" w:eastAsia="zh-CN"/>
              </w:rPr>
            </w:pPr>
            <w:r>
              <w:rPr>
                <w:rFonts w:hint="eastAsia"/>
                <w:b/>
                <w:bCs/>
                <w:color w:val="auto"/>
                <w:szCs w:val="21"/>
                <w:lang w:val="en-US" w:eastAsia="zh-CN"/>
              </w:rPr>
              <w:t>三</w:t>
            </w:r>
          </w:p>
        </w:tc>
        <w:tc>
          <w:tcPr>
            <w:tcW w:w="1392" w:type="dxa"/>
            <w:noWrap w:val="0"/>
            <w:vAlign w:val="center"/>
          </w:tcPr>
          <w:p>
            <w:pPr>
              <w:ind w:firstLine="28"/>
              <w:jc w:val="center"/>
              <w:rPr>
                <w:rFonts w:hint="default" w:eastAsia="宋体"/>
                <w:b/>
                <w:bCs/>
                <w:color w:val="auto"/>
                <w:szCs w:val="21"/>
                <w:lang w:val="en-US" w:eastAsia="zh-CN"/>
              </w:rPr>
            </w:pPr>
            <w:r>
              <w:rPr>
                <w:rFonts w:hint="eastAsia"/>
                <w:b/>
                <w:bCs/>
                <w:color w:val="auto"/>
                <w:szCs w:val="21"/>
                <w:lang w:val="en-US" w:eastAsia="zh-CN"/>
              </w:rPr>
              <w:t>设备选型</w:t>
            </w:r>
          </w:p>
        </w:tc>
        <w:tc>
          <w:tcPr>
            <w:tcW w:w="843" w:type="dxa"/>
            <w:noWrap w:val="0"/>
            <w:vAlign w:val="center"/>
          </w:tcPr>
          <w:p>
            <w:pPr>
              <w:ind w:firstLine="28"/>
              <w:jc w:val="center"/>
              <w:rPr>
                <w:rFonts w:hint="default" w:eastAsia="宋体"/>
                <w:b/>
                <w:bCs/>
                <w:color w:val="auto"/>
                <w:szCs w:val="21"/>
                <w:lang w:val="en-US" w:eastAsia="zh-CN"/>
              </w:rPr>
            </w:pPr>
            <w:r>
              <w:rPr>
                <w:rFonts w:hint="eastAsia" w:eastAsia="宋体"/>
                <w:b/>
                <w:bCs/>
                <w:color w:val="auto"/>
                <w:szCs w:val="21"/>
                <w:lang w:val="en-US" w:eastAsia="zh-CN"/>
              </w:rPr>
              <w:t>17.</w:t>
            </w:r>
            <w:r>
              <w:rPr>
                <w:rFonts w:hint="eastAsia"/>
                <w:b/>
                <w:bCs/>
                <w:color w:val="auto"/>
                <w:szCs w:val="21"/>
                <w:lang w:val="en-US" w:eastAsia="zh-CN"/>
              </w:rPr>
              <w:t>3</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vMerge w:val="restart"/>
            <w:noWrap w:val="0"/>
            <w:vAlign w:val="center"/>
          </w:tcPr>
          <w:p>
            <w:pPr>
              <w:ind w:firstLine="28"/>
              <w:jc w:val="center"/>
              <w:rPr>
                <w:rFonts w:hint="default"/>
                <w:b/>
                <w:bCs/>
                <w:color w:val="auto"/>
                <w:szCs w:val="21"/>
                <w:lang w:val="en-US" w:eastAsia="zh-CN"/>
              </w:rPr>
            </w:pPr>
            <w:r>
              <w:rPr>
                <w:rFonts w:hint="eastAsia"/>
                <w:b w:val="0"/>
                <w:bCs w:val="0"/>
                <w:color w:val="auto"/>
                <w:szCs w:val="21"/>
                <w:lang w:val="en-US" w:eastAsia="zh-CN"/>
              </w:rPr>
              <w:t>3.1</w:t>
            </w:r>
          </w:p>
        </w:tc>
        <w:tc>
          <w:tcPr>
            <w:tcW w:w="1392" w:type="dxa"/>
            <w:vMerge w:val="restart"/>
            <w:noWrap w:val="0"/>
            <w:vAlign w:val="center"/>
          </w:tcPr>
          <w:p>
            <w:pPr>
              <w:ind w:firstLine="28"/>
              <w:jc w:val="center"/>
              <w:rPr>
                <w:rFonts w:hint="default"/>
                <w:b w:val="0"/>
                <w:bCs w:val="0"/>
                <w:color w:val="auto"/>
                <w:szCs w:val="21"/>
                <w:lang w:val="en-US" w:eastAsia="zh-CN"/>
              </w:rPr>
            </w:pPr>
            <w:r>
              <w:rPr>
                <w:rFonts w:hint="eastAsia"/>
                <w:b w:val="0"/>
                <w:bCs w:val="0"/>
                <w:color w:val="auto"/>
                <w:szCs w:val="21"/>
                <w:lang w:val="en-US" w:eastAsia="zh-CN"/>
              </w:rPr>
              <w:t>主要设备选型</w:t>
            </w:r>
          </w:p>
        </w:tc>
        <w:tc>
          <w:tcPr>
            <w:tcW w:w="843" w:type="dxa"/>
            <w:noWrap w:val="0"/>
            <w:vAlign w:val="center"/>
          </w:tcPr>
          <w:p>
            <w:pPr>
              <w:ind w:firstLine="28"/>
              <w:jc w:val="center"/>
              <w:rPr>
                <w:rFonts w:hint="default" w:eastAsia="宋体"/>
                <w:b w:val="0"/>
                <w:bCs w:val="0"/>
                <w:color w:val="auto"/>
                <w:szCs w:val="21"/>
                <w:lang w:val="en-US" w:eastAsia="zh-CN"/>
              </w:rPr>
            </w:pPr>
            <w:r>
              <w:rPr>
                <w:rFonts w:hint="eastAsia"/>
                <w:b w:val="0"/>
                <w:bCs w:val="0"/>
                <w:color w:val="auto"/>
                <w:szCs w:val="21"/>
                <w:lang w:val="en-US" w:eastAsia="zh-CN"/>
              </w:rPr>
              <w:t>8.1</w:t>
            </w:r>
          </w:p>
        </w:tc>
        <w:tc>
          <w:tcPr>
            <w:tcW w:w="5447" w:type="dxa"/>
            <w:noWrap w:val="0"/>
            <w:vAlign w:val="center"/>
          </w:tcPr>
          <w:p>
            <w:pPr>
              <w:ind w:firstLine="28"/>
              <w:jc w:val="left"/>
              <w:rPr>
                <w:rFonts w:hint="default" w:eastAsia="宋体"/>
                <w:b w:val="0"/>
                <w:bCs w:val="0"/>
                <w:color w:val="auto"/>
                <w:szCs w:val="21"/>
                <w:lang w:val="en-US" w:eastAsia="zh-CN"/>
              </w:rPr>
            </w:pPr>
            <w:r>
              <w:rPr>
                <w:rFonts w:hint="eastAsia"/>
                <w:b w:val="0"/>
                <w:bCs w:val="0"/>
                <w:color w:val="auto"/>
                <w:szCs w:val="21"/>
                <w:lang w:val="en-US" w:eastAsia="zh-CN"/>
              </w:rPr>
              <w:t>根据第四章采购需求“一、4.主要设备参数表”中的非</w:t>
            </w:r>
            <w:r>
              <w:rPr>
                <w:rFonts w:hint="eastAsia" w:ascii="宋体" w:hAnsi="宋体" w:eastAsia="宋体" w:cs="宋体"/>
                <w:b w:val="0"/>
                <w:bCs w:val="0"/>
                <w:i w:val="0"/>
                <w:iCs w:val="0"/>
                <w:color w:val="000000"/>
                <w:kern w:val="0"/>
                <w:sz w:val="21"/>
                <w:szCs w:val="21"/>
                <w:u w:val="none"/>
                <w:lang w:val="en-US" w:eastAsia="zh-CN" w:bidi="ar"/>
              </w:rPr>
              <w:t>※号</w:t>
            </w:r>
            <w:r>
              <w:rPr>
                <w:rFonts w:hint="eastAsia" w:ascii="宋体" w:hAnsi="宋体" w:cs="宋体"/>
                <w:b w:val="0"/>
                <w:bCs w:val="0"/>
                <w:i w:val="0"/>
                <w:iCs w:val="0"/>
                <w:color w:val="000000"/>
                <w:kern w:val="0"/>
                <w:sz w:val="21"/>
                <w:szCs w:val="21"/>
                <w:u w:val="none"/>
                <w:lang w:val="en-US" w:eastAsia="zh-CN" w:bidi="ar"/>
              </w:rPr>
              <w:t>和</w:t>
            </w:r>
            <w:r>
              <w:rPr>
                <w:rFonts w:hint="eastAsia" w:ascii="宋体" w:hAnsi="宋体" w:eastAsia="宋体" w:cs="宋体"/>
                <w:b/>
                <w:bCs/>
                <w:i w:val="0"/>
                <w:iCs w:val="0"/>
                <w:color w:val="auto"/>
                <w:kern w:val="0"/>
                <w:sz w:val="21"/>
                <w:szCs w:val="21"/>
                <w:highlight w:val="none"/>
                <w:u w:val="none"/>
                <w:lang w:val="en-US" w:eastAsia="zh-CN" w:bidi="ar"/>
              </w:rPr>
              <w:t>★</w:t>
            </w:r>
            <w:r>
              <w:rPr>
                <w:rFonts w:hint="eastAsia" w:ascii="宋体" w:hAnsi="宋体" w:cs="宋体"/>
                <w:b w:val="0"/>
                <w:bCs w:val="0"/>
                <w:i w:val="0"/>
                <w:iCs w:val="0"/>
                <w:color w:val="auto"/>
                <w:kern w:val="0"/>
                <w:sz w:val="21"/>
                <w:szCs w:val="21"/>
                <w:highlight w:val="none"/>
                <w:u w:val="none"/>
                <w:lang w:val="en-US" w:eastAsia="zh-CN" w:bidi="ar"/>
              </w:rPr>
              <w:t>号</w:t>
            </w:r>
            <w:r>
              <w:rPr>
                <w:rFonts w:hint="eastAsia" w:ascii="宋体" w:hAnsi="宋体" w:eastAsia="宋体" w:cs="宋体"/>
                <w:b w:val="0"/>
                <w:bCs w:val="0"/>
                <w:i w:val="0"/>
                <w:iCs w:val="0"/>
                <w:color w:val="000000"/>
                <w:kern w:val="0"/>
                <w:sz w:val="21"/>
                <w:szCs w:val="21"/>
                <w:u w:val="none"/>
                <w:lang w:val="en-US" w:eastAsia="zh-CN" w:bidi="ar"/>
              </w:rPr>
              <w:t>参数</w:t>
            </w:r>
            <w:bookmarkStart w:id="0" w:name="_GoBack"/>
            <w:r>
              <w:rPr>
                <w:rFonts w:hint="eastAsia" w:ascii="宋体" w:hAnsi="宋体" w:eastAsia="宋体" w:cs="宋体"/>
                <w:b w:val="0"/>
                <w:bCs w:val="0"/>
                <w:i w:val="0"/>
                <w:iCs w:val="0"/>
                <w:color w:val="000000"/>
                <w:kern w:val="0"/>
                <w:sz w:val="21"/>
                <w:szCs w:val="21"/>
                <w:highlight w:val="none"/>
                <w:u w:val="none"/>
                <w:lang w:val="en-US" w:eastAsia="zh-CN" w:bidi="ar"/>
              </w:rPr>
              <w:t>共1</w:t>
            </w:r>
            <w:r>
              <w:rPr>
                <w:rFonts w:hint="eastAsia" w:ascii="宋体" w:hAnsi="宋体" w:cs="宋体"/>
                <w:b w:val="0"/>
                <w:bCs w:val="0"/>
                <w:i w:val="0"/>
                <w:iCs w:val="0"/>
                <w:color w:val="000000"/>
                <w:kern w:val="0"/>
                <w:sz w:val="21"/>
                <w:szCs w:val="21"/>
                <w:highlight w:val="none"/>
                <w:u w:val="none"/>
                <w:lang w:val="en-US" w:eastAsia="zh-CN" w:bidi="ar"/>
              </w:rPr>
              <w:t>62</w:t>
            </w:r>
            <w:r>
              <w:rPr>
                <w:rFonts w:hint="eastAsia" w:ascii="宋体" w:hAnsi="宋体" w:eastAsia="宋体" w:cs="宋体"/>
                <w:b w:val="0"/>
                <w:bCs w:val="0"/>
                <w:i w:val="0"/>
                <w:iCs w:val="0"/>
                <w:color w:val="000000"/>
                <w:kern w:val="0"/>
                <w:sz w:val="21"/>
                <w:szCs w:val="21"/>
                <w:highlight w:val="none"/>
                <w:u w:val="none"/>
                <w:lang w:val="en-US" w:eastAsia="zh-CN" w:bidi="ar"/>
              </w:rPr>
              <w:t>项，供应</w:t>
            </w:r>
            <w:bookmarkEnd w:id="0"/>
            <w:r>
              <w:rPr>
                <w:rFonts w:hint="eastAsia" w:ascii="宋体" w:hAnsi="宋体" w:eastAsia="宋体" w:cs="宋体"/>
                <w:b w:val="0"/>
                <w:bCs w:val="0"/>
                <w:i w:val="0"/>
                <w:iCs w:val="0"/>
                <w:color w:val="000000"/>
                <w:kern w:val="0"/>
                <w:sz w:val="21"/>
                <w:szCs w:val="21"/>
                <w:u w:val="none"/>
                <w:lang w:val="en-US" w:eastAsia="zh-CN" w:bidi="ar"/>
              </w:rPr>
              <w:t>商所投设备参数全部满足得</w:t>
            </w:r>
            <w:r>
              <w:rPr>
                <w:rFonts w:hint="eastAsia" w:ascii="宋体" w:hAnsi="宋体" w:cs="宋体"/>
                <w:b w:val="0"/>
                <w:bCs w:val="0"/>
                <w:i w:val="0"/>
                <w:iCs w:val="0"/>
                <w:color w:val="000000"/>
                <w:kern w:val="0"/>
                <w:sz w:val="21"/>
                <w:szCs w:val="21"/>
                <w:u w:val="none"/>
                <w:lang w:val="en-US" w:eastAsia="zh-CN" w:bidi="ar"/>
              </w:rPr>
              <w:t>8.1</w:t>
            </w:r>
            <w:r>
              <w:rPr>
                <w:rFonts w:hint="eastAsia" w:ascii="宋体" w:hAnsi="宋体" w:eastAsia="宋体" w:cs="宋体"/>
                <w:b w:val="0"/>
                <w:bCs w:val="0"/>
                <w:i w:val="0"/>
                <w:iCs w:val="0"/>
                <w:color w:val="000000"/>
                <w:kern w:val="0"/>
                <w:sz w:val="21"/>
                <w:szCs w:val="21"/>
                <w:u w:val="none"/>
                <w:lang w:val="en-US" w:eastAsia="zh-CN" w:bidi="ar"/>
              </w:rPr>
              <w:t>分，每有一项负偏离扣0.05分，直至0分。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vMerge w:val="continue"/>
            <w:noWrap w:val="0"/>
            <w:vAlign w:val="center"/>
          </w:tcPr>
          <w:p>
            <w:pPr>
              <w:ind w:firstLine="28"/>
              <w:jc w:val="center"/>
              <w:rPr>
                <w:rFonts w:hint="eastAsia"/>
                <w:b/>
                <w:bCs/>
                <w:color w:val="auto"/>
                <w:szCs w:val="21"/>
                <w:lang w:val="en-US" w:eastAsia="zh-CN"/>
              </w:rPr>
            </w:pPr>
          </w:p>
        </w:tc>
        <w:tc>
          <w:tcPr>
            <w:tcW w:w="1392" w:type="dxa"/>
            <w:vMerge w:val="continue"/>
            <w:noWrap w:val="0"/>
            <w:vAlign w:val="center"/>
          </w:tcPr>
          <w:p>
            <w:pPr>
              <w:ind w:firstLine="28"/>
              <w:jc w:val="center"/>
              <w:rPr>
                <w:rFonts w:hint="eastAsia"/>
                <w:b/>
                <w:bCs/>
                <w:color w:val="auto"/>
                <w:szCs w:val="21"/>
                <w:lang w:val="en-US" w:eastAsia="zh-CN"/>
              </w:rPr>
            </w:pPr>
          </w:p>
        </w:tc>
        <w:tc>
          <w:tcPr>
            <w:tcW w:w="843" w:type="dxa"/>
            <w:noWrap w:val="0"/>
            <w:vAlign w:val="center"/>
          </w:tcPr>
          <w:p>
            <w:pPr>
              <w:ind w:firstLine="28"/>
              <w:jc w:val="center"/>
              <w:rPr>
                <w:rFonts w:hint="default" w:eastAsia="宋体"/>
                <w:b/>
                <w:bCs/>
                <w:color w:val="auto"/>
                <w:szCs w:val="21"/>
                <w:lang w:val="en-US" w:eastAsia="zh-CN"/>
              </w:rPr>
            </w:pPr>
            <w:r>
              <w:rPr>
                <w:rFonts w:hint="eastAsia"/>
                <w:b w:val="0"/>
                <w:bCs w:val="0"/>
                <w:color w:val="auto"/>
                <w:szCs w:val="21"/>
                <w:lang w:val="en-US" w:eastAsia="zh-CN"/>
              </w:rPr>
              <w:t>9.2</w:t>
            </w:r>
          </w:p>
        </w:tc>
        <w:tc>
          <w:tcPr>
            <w:tcW w:w="5447" w:type="dxa"/>
            <w:noWrap w:val="0"/>
            <w:vAlign w:val="center"/>
          </w:tcPr>
          <w:p>
            <w:pPr>
              <w:ind w:firstLine="28"/>
              <w:jc w:val="left"/>
              <w:rPr>
                <w:b/>
                <w:color w:val="auto"/>
                <w:szCs w:val="21"/>
              </w:rPr>
            </w:pPr>
            <w:r>
              <w:rPr>
                <w:rFonts w:hint="eastAsia"/>
                <w:b w:val="0"/>
                <w:bCs w:val="0"/>
                <w:color w:val="auto"/>
                <w:szCs w:val="21"/>
                <w:lang w:val="en-US" w:eastAsia="zh-CN"/>
              </w:rPr>
              <w:t>根据第四章采购需求“一、4.主要设备参数表”中的</w:t>
            </w:r>
            <w:r>
              <w:rPr>
                <w:rFonts w:hint="eastAsia" w:ascii="宋体" w:hAnsi="宋体" w:eastAsia="宋体" w:cs="宋体"/>
                <w:b w:val="0"/>
                <w:bCs w:val="0"/>
                <w:i w:val="0"/>
                <w:iCs w:val="0"/>
                <w:color w:val="000000"/>
                <w:kern w:val="0"/>
                <w:sz w:val="21"/>
                <w:szCs w:val="21"/>
                <w:u w:val="none"/>
                <w:lang w:val="en-US" w:eastAsia="zh-CN" w:bidi="ar"/>
              </w:rPr>
              <w:t>※号参数共</w:t>
            </w:r>
            <w:r>
              <w:rPr>
                <w:rFonts w:hint="eastAsia" w:ascii="宋体" w:hAnsi="宋体" w:cs="宋体"/>
                <w:b w:val="0"/>
                <w:bCs w:val="0"/>
                <w:i w:val="0"/>
                <w:iCs w:val="0"/>
                <w:color w:val="000000"/>
                <w:kern w:val="0"/>
                <w:sz w:val="21"/>
                <w:szCs w:val="21"/>
                <w:u w:val="none"/>
                <w:lang w:val="en-US" w:eastAsia="zh-CN" w:bidi="ar"/>
              </w:rPr>
              <w:t>23</w:t>
            </w:r>
            <w:r>
              <w:rPr>
                <w:rFonts w:hint="eastAsia" w:ascii="宋体" w:hAnsi="宋体" w:eastAsia="宋体" w:cs="宋体"/>
                <w:b w:val="0"/>
                <w:bCs w:val="0"/>
                <w:i w:val="0"/>
                <w:iCs w:val="0"/>
                <w:color w:val="000000"/>
                <w:kern w:val="0"/>
                <w:sz w:val="21"/>
                <w:szCs w:val="21"/>
                <w:u w:val="none"/>
                <w:lang w:val="en-US" w:eastAsia="zh-CN" w:bidi="ar"/>
              </w:rPr>
              <w:t>项，供应商所投设备参数全部满足得</w:t>
            </w:r>
            <w:r>
              <w:rPr>
                <w:rFonts w:hint="eastAsia" w:ascii="宋体" w:hAnsi="宋体" w:cs="宋体"/>
                <w:b w:val="0"/>
                <w:bCs w:val="0"/>
                <w:i w:val="0"/>
                <w:iCs w:val="0"/>
                <w:color w:val="000000"/>
                <w:kern w:val="0"/>
                <w:sz w:val="21"/>
                <w:szCs w:val="21"/>
                <w:u w:val="none"/>
                <w:lang w:val="en-US" w:eastAsia="zh-CN" w:bidi="ar"/>
              </w:rPr>
              <w:t>9.2</w:t>
            </w:r>
            <w:r>
              <w:rPr>
                <w:rFonts w:hint="eastAsia" w:ascii="宋体" w:hAnsi="宋体" w:eastAsia="宋体" w:cs="宋体"/>
                <w:b w:val="0"/>
                <w:bCs w:val="0"/>
                <w:i w:val="0"/>
                <w:iCs w:val="0"/>
                <w:color w:val="000000"/>
                <w:kern w:val="0"/>
                <w:sz w:val="21"/>
                <w:szCs w:val="21"/>
                <w:u w:val="none"/>
                <w:lang w:val="en-US" w:eastAsia="zh-CN" w:bidi="ar"/>
              </w:rPr>
              <w:t>分，每有一项负偏离扣0.</w:t>
            </w:r>
            <w:r>
              <w:rPr>
                <w:rFonts w:hint="eastAsia" w:ascii="宋体" w:hAnsi="宋体" w:cs="宋体"/>
                <w:b w:val="0"/>
                <w:bCs w:val="0"/>
                <w:i w:val="0"/>
                <w:iCs w:val="0"/>
                <w:color w:val="000000"/>
                <w:kern w:val="0"/>
                <w:sz w:val="21"/>
                <w:szCs w:val="21"/>
                <w:u w:val="none"/>
                <w:lang w:val="en-US" w:eastAsia="zh-CN" w:bidi="ar"/>
              </w:rPr>
              <w:t>4</w:t>
            </w:r>
            <w:r>
              <w:rPr>
                <w:rFonts w:hint="eastAsia" w:ascii="宋体" w:hAnsi="宋体" w:eastAsia="宋体" w:cs="宋体"/>
                <w:b w:val="0"/>
                <w:bCs w:val="0"/>
                <w:i w:val="0"/>
                <w:iCs w:val="0"/>
                <w:color w:val="000000"/>
                <w:kern w:val="0"/>
                <w:sz w:val="21"/>
                <w:szCs w:val="21"/>
                <w:u w:val="none"/>
                <w:lang w:val="en-US" w:eastAsia="zh-CN" w:bidi="ar"/>
              </w:rPr>
              <w:t>分，直至0分。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firstLineChars="0"/>
              <w:jc w:val="center"/>
              <w:rPr>
                <w:rFonts w:hint="default" w:eastAsia="宋体"/>
                <w:b/>
                <w:bCs/>
                <w:color w:val="auto"/>
                <w:szCs w:val="21"/>
                <w:lang w:val="en-US" w:eastAsia="zh-CN"/>
              </w:rPr>
            </w:pPr>
            <w:r>
              <w:rPr>
                <w:rFonts w:hint="eastAsia"/>
                <w:b/>
                <w:bCs/>
                <w:color w:val="auto"/>
                <w:szCs w:val="21"/>
                <w:lang w:val="en-US" w:eastAsia="zh-CN"/>
              </w:rPr>
              <w:t>四</w:t>
            </w:r>
          </w:p>
        </w:tc>
        <w:tc>
          <w:tcPr>
            <w:tcW w:w="1392" w:type="dxa"/>
            <w:noWrap w:val="0"/>
            <w:vAlign w:val="center"/>
          </w:tcPr>
          <w:p>
            <w:pPr>
              <w:ind w:firstLine="28" w:firstLineChars="0"/>
              <w:jc w:val="center"/>
              <w:rPr>
                <w:b/>
                <w:bCs/>
                <w:color w:val="auto"/>
                <w:szCs w:val="21"/>
              </w:rPr>
            </w:pPr>
            <w:r>
              <w:rPr>
                <w:b/>
                <w:bCs/>
                <w:color w:val="auto"/>
                <w:szCs w:val="21"/>
              </w:rPr>
              <w:t>价格部分</w:t>
            </w:r>
          </w:p>
        </w:tc>
        <w:tc>
          <w:tcPr>
            <w:tcW w:w="843" w:type="dxa"/>
            <w:noWrap w:val="0"/>
            <w:vAlign w:val="center"/>
          </w:tcPr>
          <w:p>
            <w:pPr>
              <w:ind w:firstLine="28" w:firstLineChars="0"/>
              <w:jc w:val="center"/>
              <w:rPr>
                <w:rFonts w:hint="eastAsia"/>
                <w:b/>
                <w:bCs/>
                <w:color w:val="auto"/>
                <w:szCs w:val="21"/>
                <w:lang w:val="en-US" w:eastAsia="zh-CN"/>
              </w:rPr>
            </w:pPr>
            <w:r>
              <w:rPr>
                <w:rFonts w:hint="eastAsia"/>
                <w:b/>
                <w:bCs/>
                <w:color w:val="auto"/>
                <w:szCs w:val="21"/>
                <w:lang w:val="en-US" w:eastAsia="zh-CN"/>
              </w:rPr>
              <w:t>30</w:t>
            </w:r>
          </w:p>
        </w:tc>
        <w:tc>
          <w:tcPr>
            <w:tcW w:w="5447" w:type="dxa"/>
            <w:noWrap w:val="0"/>
            <w:vAlign w:val="center"/>
          </w:tcPr>
          <w:p>
            <w:pPr>
              <w:ind w:firstLine="28"/>
              <w:jc w:val="center"/>
              <w:rPr>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ind w:firstLine="28"/>
              <w:jc w:val="center"/>
              <w:rPr>
                <w:color w:val="auto"/>
                <w:szCs w:val="21"/>
              </w:rPr>
            </w:pPr>
            <w:r>
              <w:rPr>
                <w:rFonts w:hint="eastAsia"/>
                <w:color w:val="auto"/>
                <w:szCs w:val="21"/>
                <w:lang w:val="en-US" w:eastAsia="zh-CN"/>
              </w:rPr>
              <w:t>4</w:t>
            </w:r>
            <w:r>
              <w:rPr>
                <w:color w:val="auto"/>
                <w:szCs w:val="21"/>
              </w:rPr>
              <w:t>.1</w:t>
            </w:r>
          </w:p>
        </w:tc>
        <w:tc>
          <w:tcPr>
            <w:tcW w:w="1392" w:type="dxa"/>
            <w:noWrap w:val="0"/>
            <w:vAlign w:val="center"/>
          </w:tcPr>
          <w:p>
            <w:pPr>
              <w:ind w:firstLine="28"/>
              <w:jc w:val="center"/>
              <w:rPr>
                <w:color w:val="auto"/>
                <w:szCs w:val="21"/>
              </w:rPr>
            </w:pPr>
            <w:r>
              <w:rPr>
                <w:color w:val="auto"/>
                <w:szCs w:val="21"/>
              </w:rPr>
              <w:t>报价</w:t>
            </w:r>
          </w:p>
        </w:tc>
        <w:tc>
          <w:tcPr>
            <w:tcW w:w="843" w:type="dxa"/>
            <w:noWrap w:val="0"/>
            <w:vAlign w:val="center"/>
          </w:tcPr>
          <w:p>
            <w:pPr>
              <w:ind w:firstLine="28"/>
              <w:jc w:val="center"/>
              <w:rPr>
                <w:rFonts w:hint="default" w:eastAsia="宋体"/>
                <w:color w:val="auto"/>
                <w:szCs w:val="21"/>
                <w:lang w:val="en-US" w:eastAsia="zh-CN"/>
              </w:rPr>
            </w:pPr>
            <w:r>
              <w:rPr>
                <w:rFonts w:hint="eastAsia"/>
                <w:color w:val="auto"/>
                <w:szCs w:val="21"/>
                <w:lang w:val="en-US" w:eastAsia="zh-CN"/>
              </w:rPr>
              <w:t>30</w:t>
            </w:r>
          </w:p>
        </w:tc>
        <w:tc>
          <w:tcPr>
            <w:tcW w:w="5447" w:type="dxa"/>
            <w:noWrap w:val="0"/>
            <w:vAlign w:val="center"/>
          </w:tcPr>
          <w:p>
            <w:pPr>
              <w:ind w:firstLine="28"/>
              <w:jc w:val="left"/>
              <w:rPr>
                <w:color w:val="auto"/>
                <w:szCs w:val="21"/>
              </w:rPr>
            </w:pPr>
            <w:r>
              <w:rPr>
                <w:color w:val="auto"/>
                <w:szCs w:val="21"/>
              </w:rPr>
              <w:t>满足磋商文件要求的最后报价最低的供应商的价格为磋商基准价，其价格分为满分。其他供应商的价格分统一按照下列公式计算：</w:t>
            </w:r>
          </w:p>
          <w:p>
            <w:pPr>
              <w:ind w:firstLine="28"/>
              <w:jc w:val="left"/>
              <w:rPr>
                <w:color w:val="auto"/>
                <w:szCs w:val="21"/>
              </w:rPr>
            </w:pPr>
            <w:r>
              <w:rPr>
                <w:color w:val="auto"/>
                <w:szCs w:val="21"/>
              </w:rPr>
              <w:t>磋商报价得分=（磋商基准价/最后报价）×</w:t>
            </w:r>
            <w:r>
              <w:rPr>
                <w:rFonts w:hint="eastAsia"/>
                <w:color w:val="auto"/>
                <w:szCs w:val="21"/>
                <w:lang w:val="en-US" w:eastAsia="zh-CN"/>
              </w:rPr>
              <w:t>3</w:t>
            </w:r>
            <w:r>
              <w:rPr>
                <w:rFonts w:hint="eastAsia"/>
                <w:color w:val="auto"/>
                <w:szCs w:val="21"/>
              </w:rPr>
              <w:t>0</w:t>
            </w:r>
          </w:p>
          <w:p>
            <w:pPr>
              <w:ind w:firstLine="28"/>
              <w:jc w:val="left"/>
              <w:rPr>
                <w:color w:val="auto"/>
              </w:rPr>
            </w:pPr>
            <w:r>
              <w:rPr>
                <w:color w:val="auto"/>
                <w:szCs w:val="21"/>
              </w:rPr>
              <w:t>此处最后报价指经过报价修正，及因落实政府采购政策进行价格调整后的报价，详见第三章《评审方法和评审标准》3.2、3.3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6" w:type="dxa"/>
            <w:gridSpan w:val="2"/>
            <w:noWrap w:val="0"/>
            <w:vAlign w:val="center"/>
          </w:tcPr>
          <w:p>
            <w:pPr>
              <w:ind w:firstLine="28"/>
              <w:jc w:val="center"/>
              <w:rPr>
                <w:color w:val="auto"/>
                <w:szCs w:val="21"/>
              </w:rPr>
            </w:pPr>
            <w:r>
              <w:rPr>
                <w:color w:val="auto"/>
                <w:szCs w:val="21"/>
              </w:rPr>
              <w:t>合计</w:t>
            </w:r>
          </w:p>
        </w:tc>
        <w:tc>
          <w:tcPr>
            <w:tcW w:w="843" w:type="dxa"/>
            <w:noWrap w:val="0"/>
            <w:vAlign w:val="center"/>
          </w:tcPr>
          <w:p>
            <w:pPr>
              <w:ind w:firstLine="28"/>
              <w:jc w:val="center"/>
              <w:rPr>
                <w:color w:val="auto"/>
                <w:szCs w:val="21"/>
              </w:rPr>
            </w:pPr>
            <w:r>
              <w:rPr>
                <w:color w:val="auto"/>
                <w:szCs w:val="21"/>
              </w:rPr>
              <w:t>100</w:t>
            </w:r>
          </w:p>
        </w:tc>
        <w:tc>
          <w:tcPr>
            <w:tcW w:w="5447" w:type="dxa"/>
            <w:noWrap w:val="0"/>
            <w:vAlign w:val="center"/>
          </w:tcPr>
          <w:p>
            <w:pPr>
              <w:ind w:firstLine="28"/>
              <w:jc w:val="left"/>
              <w:rPr>
                <w:color w:val="auto"/>
                <w:szCs w:val="21"/>
              </w:rPr>
            </w:pPr>
          </w:p>
        </w:tc>
      </w:tr>
    </w:tbl>
    <w:p>
      <w:pPr>
        <w:widowControl/>
        <w:jc w:val="left"/>
        <w:rPr>
          <w:b/>
          <w:color w:val="auto"/>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mNjUwMmY5Mjg4ODBjNjBhOTJjZGFjODQ0ZTY0YTMifQ=="/>
  </w:docVars>
  <w:rsids>
    <w:rsidRoot w:val="107E09D2"/>
    <w:rsid w:val="107E09D2"/>
    <w:rsid w:val="42F91CA2"/>
    <w:rsid w:val="63AB4054"/>
    <w:rsid w:val="65856A75"/>
    <w:rsid w:val="73AB7039"/>
    <w:rsid w:val="769E4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2024-04-29T08:15:00Z</dcterms:created>
  <dc:creator>业务部</dc:creator>
  <cp:lastModifiedBy>业务部</cp:lastModifiedBy>
  <dcterms:modified xsi:type="dcterms:W3CDTF">2024-05-09T04:15:31Z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32A29D25B92C4E93A4B29634155D7D48_11</vt:lpwstr>
  </property>
</Properties>
</file>