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r>
        <w:rPr>
          <w:rFonts w:hint="eastAsia"/>
          <w:sz w:val="24"/>
          <w:szCs w:val="24"/>
        </w:rPr>
        <w:t>更正内容：</w:t>
      </w:r>
    </w:p>
    <w:p>
      <w:pPr>
        <w:numPr>
          <w:ilvl w:val="0"/>
          <w:numId w:val="1"/>
        </w:numPr>
        <w:rPr>
          <w:rFonts w:hint="eastAsia"/>
          <w:sz w:val="24"/>
          <w:szCs w:val="24"/>
          <w:lang w:val="en-US" w:eastAsia="zh-CN"/>
        </w:rPr>
      </w:pPr>
      <w:r>
        <w:rPr>
          <w:rFonts w:hint="eastAsia"/>
          <w:sz w:val="24"/>
          <w:szCs w:val="24"/>
          <w:lang w:val="en-US" w:eastAsia="zh-CN"/>
        </w:rPr>
        <w:t>采购需求及评分标准变更：</w:t>
      </w:r>
    </w:p>
    <w:p>
      <w:pPr>
        <w:numPr>
          <w:ilvl w:val="0"/>
          <w:numId w:val="2"/>
        </w:numPr>
        <w:rPr>
          <w:rFonts w:hint="eastAsia"/>
          <w:sz w:val="24"/>
          <w:szCs w:val="24"/>
          <w:lang w:val="en-US" w:eastAsia="zh-CN"/>
        </w:rPr>
      </w:pPr>
      <w:r>
        <w:rPr>
          <w:rFonts w:hint="eastAsia"/>
          <w:sz w:val="24"/>
          <w:szCs w:val="24"/>
          <w:lang w:val="en-US" w:eastAsia="zh-CN"/>
        </w:rPr>
        <w:t>第一包：办公家具</w:t>
      </w:r>
    </w:p>
    <w:p>
      <w:pPr>
        <w:numPr>
          <w:ilvl w:val="0"/>
          <w:numId w:val="3"/>
        </w:numPr>
        <w:rPr>
          <w:rFonts w:hint="eastAsia" w:ascii="宋体" w:hAnsi="宋体" w:cs="宋体"/>
          <w:i w:val="0"/>
          <w:iCs w:val="0"/>
          <w:color w:val="000000"/>
          <w:kern w:val="0"/>
          <w:sz w:val="24"/>
          <w:szCs w:val="24"/>
          <w:u w:val="none"/>
          <w:lang w:val="en-US" w:eastAsia="zh-CN" w:bidi="ar"/>
        </w:rPr>
      </w:pPr>
      <w:r>
        <w:rPr>
          <w:rFonts w:hint="eastAsia"/>
          <w:b/>
          <w:bCs/>
          <w:sz w:val="24"/>
          <w:szCs w:val="24"/>
          <w:lang w:val="en-US" w:eastAsia="zh-CN"/>
        </w:rPr>
        <w:t>采购需求中序号1“窗口办公桌”</w:t>
      </w:r>
    </w:p>
    <w:p>
      <w:pPr>
        <w:numPr>
          <w:ilvl w:val="0"/>
          <w:numId w:val="0"/>
        </w:numPr>
        <w:rPr>
          <w:rFonts w:hint="eastAsia"/>
          <w:sz w:val="24"/>
          <w:szCs w:val="24"/>
          <w:lang w:val="en-US" w:eastAsia="zh-CN"/>
        </w:rPr>
      </w:pPr>
      <w:r>
        <w:rPr>
          <w:rFonts w:hint="eastAsia"/>
          <w:sz w:val="24"/>
          <w:szCs w:val="24"/>
          <w:lang w:val="en-US" w:eastAsia="zh-CN"/>
        </w:rPr>
        <w:t>原技术参数要求：</w:t>
      </w:r>
    </w:p>
    <w:p>
      <w:pPr>
        <w:numPr>
          <w:ilvl w:val="0"/>
          <w:numId w:val="0"/>
        </w:numP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基材：#优质品牌中密度纤维板，</w:t>
      </w:r>
      <w:r>
        <w:rPr>
          <w:rFonts w:hint="eastAsia" w:ascii="宋体" w:hAnsi="宋体" w:cs="宋体"/>
          <w:i w:val="0"/>
          <w:iCs w:val="0"/>
          <w:color w:val="000000"/>
          <w:kern w:val="0"/>
          <w:sz w:val="24"/>
          <w:szCs w:val="24"/>
          <w:u w:val="none"/>
          <w:lang w:val="en-US" w:eastAsia="zh-CN" w:bidi="ar"/>
        </w:rPr>
        <w:t>甲醛释放量达到GB/T 39600-2021 ENF级</w:t>
      </w:r>
      <w:r>
        <w:rPr>
          <w:rFonts w:hint="eastAsia" w:ascii="宋体" w:hAnsi="宋体" w:eastAsia="宋体" w:cs="宋体"/>
          <w:i w:val="0"/>
          <w:iCs w:val="0"/>
          <w:color w:val="000000"/>
          <w:kern w:val="0"/>
          <w:sz w:val="24"/>
          <w:szCs w:val="24"/>
          <w:u w:val="none"/>
          <w:lang w:val="en-US" w:eastAsia="zh-CN" w:bidi="ar"/>
        </w:rPr>
        <w:t>,苯、甲苯、二甲苯≤5μg/m</w:t>
      </w:r>
      <w:r>
        <w:rPr>
          <w:rFonts w:hint="eastAsia" w:ascii="宋体" w:hAnsi="宋体" w:eastAsia="宋体" w:cs="宋体"/>
          <w:i w:val="0"/>
          <w:iCs w:val="0"/>
          <w:color w:val="000000"/>
          <w:kern w:val="0"/>
          <w:sz w:val="24"/>
          <w:szCs w:val="24"/>
          <w:u w:val="none"/>
          <w:vertAlign w:val="superscript"/>
          <w:lang w:val="en-US" w:eastAsia="zh-CN" w:bidi="ar"/>
        </w:rPr>
        <w:t>3</w:t>
      </w:r>
      <w:r>
        <w:rPr>
          <w:rFonts w:hint="eastAsia" w:ascii="宋体" w:hAnsi="宋体" w:eastAsia="宋体" w:cs="宋体"/>
          <w:i w:val="0"/>
          <w:iCs w:val="0"/>
          <w:color w:val="000000"/>
          <w:kern w:val="0"/>
          <w:sz w:val="24"/>
          <w:szCs w:val="24"/>
          <w:u w:val="none"/>
          <w:lang w:val="en-US" w:eastAsia="zh-CN" w:bidi="ar"/>
        </w:rPr>
        <w:t>，TVOC≤50μg/m</w:t>
      </w:r>
      <w:r>
        <w:rPr>
          <w:rFonts w:hint="eastAsia" w:ascii="宋体" w:hAnsi="宋体" w:eastAsia="宋体" w:cs="宋体"/>
          <w:i w:val="0"/>
          <w:iCs w:val="0"/>
          <w:color w:val="000000"/>
          <w:kern w:val="0"/>
          <w:sz w:val="24"/>
          <w:szCs w:val="24"/>
          <w:u w:val="none"/>
          <w:vertAlign w:val="superscript"/>
          <w:lang w:val="en-US" w:eastAsia="zh-CN" w:bidi="ar"/>
        </w:rPr>
        <w:t>3</w:t>
      </w:r>
      <w:r>
        <w:rPr>
          <w:rFonts w:hint="eastAsia" w:ascii="宋体" w:hAnsi="宋体" w:eastAsia="宋体" w:cs="宋体"/>
          <w:i w:val="0"/>
          <w:iCs w:val="0"/>
          <w:color w:val="000000"/>
          <w:kern w:val="0"/>
          <w:sz w:val="24"/>
          <w:szCs w:val="24"/>
          <w:u w:val="none"/>
          <w:lang w:val="en-US" w:eastAsia="zh-CN" w:bidi="ar"/>
        </w:rPr>
        <w:t>，含水率3%～6%,密度0.75～0.80g/cm³，吸水厚度膨胀率≤4.5%，表面胶合强度≥1.6MPa，内胶合强度≥1MPa，静曲强度≥28.5MPa，弹性模量≥3300MPa，板面握螺钉力≥1920N，板边握螺钉力≥1630N,燃烧增长速率指数≤250W/s，符合火焰横向蔓延未到达试样长翼边缘，60s内无燃烧滴落物引燃纸现象</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面材：采用优质品牌胡桃木覆面（可根据甲方要求提供樱桃木实木木皮）木皮双饰面；厚度0.6mm；木皮宽度200mm木皮木纹流畅，色泽纹理一致，接缝处自然均匀无瑕疵；所有人造板件双饰面。 封边：采用6厚胡桃木实木封边，木材含水率8%-12%； 油 饰：#优质品牌环保水性漆，甲醛含量≤5mg/kg，VOC含量≤2g/L，乙二醇醚及醚酯总和含量≤50mg/kg，苯、甲苯、二甲苯、乙苯的总量≤50mg/kg，烷基酚聚氧乙烯醚总和含量≤10mg/kg。</w:t>
      </w:r>
      <w:r>
        <w:rPr>
          <w:rFonts w:hint="eastAsia" w:ascii="宋体" w:hAnsi="宋体" w:cs="宋体"/>
          <w:i w:val="0"/>
          <w:iCs w:val="0"/>
          <w:color w:val="000000"/>
          <w:kern w:val="0"/>
          <w:sz w:val="24"/>
          <w:szCs w:val="24"/>
          <w:u w:val="none"/>
          <w:lang w:val="en-US" w:eastAsia="zh-CN" w:bidi="ar"/>
        </w:rPr>
        <w:t>具备键盘、走线、抽屉等功能。</w:t>
      </w:r>
    </w:p>
    <w:p>
      <w:pPr>
        <w:numPr>
          <w:ilvl w:val="0"/>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更正后技术参数要求：</w:t>
      </w:r>
    </w:p>
    <w:p>
      <w:pPr>
        <w:numPr>
          <w:ilvl w:val="0"/>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基材：#优质品牌中密度纤维板，甲醛释放量达到QB/T 39600-2021 ENF级,苯、甲苯、二甲苯≤5μg/m3，TVOC≤50μg/m3，含水率3%～6%,密度0.75～0.80g/cm³，吸水厚度膨胀率≤4.5%，表面胶合强度≥1.6MPa，内胶合强度≥1MPa，静曲强度≥28.5MPa，弹性模量≥3300MPa，板面握螺钉力≥1920N，板边握螺钉力≥1630N,燃烧增长速率指数≤250W/s，符合火焰横向蔓延未到达试样长翼边缘，60s内无燃烧滴落物引燃纸现象； 面材：混油油漆饰面板。 油 饰：#优质品牌环保水性漆，甲醛含量≤5mg/kg，VOC含量≤2g/L，乙二醇醚及醚酯总和含量≤50mg/kg，苯、甲苯、二甲苯、乙苯的总量≤50mg/kg，烷基酚聚氧乙烯醚总和含量≤10mg/kg。具备键盘、走线、抽屉等功能。</w:t>
      </w:r>
    </w:p>
    <w:p>
      <w:pPr>
        <w:numPr>
          <w:ilvl w:val="0"/>
          <w:numId w:val="3"/>
        </w:numP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采购需求中序号11“吧椅”</w:t>
      </w:r>
    </w:p>
    <w:p>
      <w:pPr>
        <w:numPr>
          <w:ilvl w:val="0"/>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原技术参数要求：</w:t>
      </w:r>
    </w:p>
    <w:p>
      <w:pPr>
        <w:numPr>
          <w:ilvl w:val="0"/>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中背、带扶手 覆面：#采用优质品牌麻绒面料，耐水（变色、沾色）4-5级，耐酸汗渍（变色、沾色）4-5级，耐碱汗渍（变色、沾色）4-5级，耐干摩擦4-5级，甲醛含量≤20mg/kg，pH值6-7，可分解致癌芳香胺染料未检出；砷、铅、镉、铬、六价铬、钴、汞：未检出，总铅、总镉：未检出，通过香烟抗引燃试验无续燃、阴燃。 泡棉：#优质品牌PU泡绵，表观密度≥60kg/m3，75%压缩永久变形≤5.2%，回弹性≥58%，抗菌性能（抑菌率-大肠埃希氏菌）≥99.9%，防霉性能等级达到0级，抗引燃特性试验，阻燃II级—模拟火柴火焰未观察到试样表面或内部出现任何续燃、阴燃想象。硬适中，触感舒适。具备倾仰、锁定功能。 五金件：优质气压棒；优质金属脚。</w:t>
      </w:r>
    </w:p>
    <w:p>
      <w:pPr>
        <w:numPr>
          <w:ilvl w:val="0"/>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更正后技术参数要求：</w:t>
      </w:r>
    </w:p>
    <w:p>
      <w:pPr>
        <w:numPr>
          <w:ilvl w:val="0"/>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中背、无扶手 覆面：#采用优质品牌麻绒面料，耐水（变色、沾色）4-5级，耐酸汗渍（变色、沾色）4-5级，耐碱汗渍（变色、沾色）4-5级，耐干摩擦4-5级，甲醛含量≤20mg/kg，pH值6-7，可分解致癌芳香胺染料未检出；砷、铅、镉、铬、六价铬、钴、汞：未检出，总铅、总镉：未检出，通过香烟抗引燃试验无续燃、阴燃。 泡棉：#优质品牌PU泡绵，表观密度≥60kg/m3，75%压缩永久变形≤5.2%，回弹性≥58%，抗菌性能（抑菌率-大肠埃希氏菌）≥99.9%，防霉性能等级达到0级，抗引燃特性试验，阻燃II级—模拟火柴火焰未观察到试样表面或内部出现任何续燃、阴燃想象。硬适中，触感舒适。具备倾仰、锁定功能。 五金件：优质气压棒；优质金属脚。</w:t>
      </w:r>
    </w:p>
    <w:p>
      <w:pPr>
        <w:numPr>
          <w:ilvl w:val="0"/>
          <w:numId w:val="3"/>
        </w:numP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采购需求中序号12“矮柜”</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原技术参数要求：</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基材：#优质品牌中密度纤维板，甲醛释放量达到GB/T 39600-2021 ENF级,苯、甲苯、二甲苯≤5μg/m3，TVOC≤50μg/m3，含水率3%～6%,密度0.75～0.80g/cm³，吸水厚度膨胀率≤4.5%，表面胶合强度≥1.6MPa，内胶合强度≥1MPa，静曲强度≥28.5MPa，弹性模量≥3300MPa，板面握螺钉力≥1920N，板边握螺钉力≥1630N,燃烧增长速率指数≤250W/s，符合火焰横向蔓延未到达试样长翼边缘，60s内无燃烧滴落物引燃纸现象。 面材：采用优质品牌胡桃木覆面（可根据甲方要求提供樱桃木实木木皮）木皮双饰面；厚度0.6mm；木皮宽度200mm木皮木纹流畅，色泽纹理一致，接缝处自然均匀无瑕疵；所有人造板件双饰面。 封边：采用6厚胡桃木实木封边，木材含水率8%-12%； 油 饰：#优质品牌环保水性漆，甲醛含量≤5mg/kg，VOC含量≤2g/L，乙二醇醚及醚酯总和含量≤50mg/kg，苯、甲苯、二甲苯、乙苯的总量≤50mg/kg，烷基酚聚氧乙烯醚总和含量≤10mg/kg。</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更正后技术参数要求：</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基材：#优质品牌中密度纤维板，甲醛释放量达到QB/T 39600-2021 ENF级,苯、甲苯、二甲苯≤5μg/m3，TVOC≤50μg/m3，含水率3%～6%,密度0.75～0.80g/cm³，吸水厚度膨胀率≤4.5%，表面胶合强度≥1.6MPa，内胶合强度≥1MPa，静曲强度≥28.5MPa，弹性模量≥3300MPa，板面握螺钉力≥1920N，板边握螺钉力≥1630N,燃烧增长速率指数≤250W/s，符合火焰横向蔓延未到达试样长翼边缘，60s内无燃烧滴落物引燃纸现象； 面材：混油油漆饰面板。 油 饰：#优质品牌环保水性漆，甲醛含量≤5mg/kg，VOC含量≤2g/L，乙二醇醚及醚酯总和含量≤50mg/kg，苯、甲苯、二甲苯、乙苯的总量≤50mg/kg，烷基酚聚氧乙烯醚总和含量≤10mg/kg。具备键盘、走线、抽屉等功能。</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（4）采购需求中序号52“茶歇组合柜”</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原技术参数要求：规格（W*D*H）为定制</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更正后技术参数要求：规格（W*D*H）为</w:t>
      </w:r>
      <w:r>
        <w:rPr>
          <w:rFonts w:hint="eastAsia" w:ascii="宋体" w:hAnsi="宋体" w:cs="宋体"/>
          <w:i w:val="0"/>
          <w:iCs w:val="0"/>
          <w:color w:val="auto"/>
          <w:kern w:val="0"/>
          <w:sz w:val="24"/>
          <w:szCs w:val="24"/>
          <w:u w:val="none"/>
          <w:lang w:val="en-US" w:eastAsia="zh-CN" w:bidi="ar"/>
        </w:rPr>
        <w:t>3000*600*2400</w:t>
      </w:r>
    </w:p>
    <w:p>
      <w:pPr>
        <w:numPr>
          <w:numId w:val="0"/>
        </w:numPr>
        <w:rPr>
          <w:rFonts w:hint="eastAsia" w:ascii="宋体" w:hAnsi="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（5）其他未更正采购需求如出现图片与技术参数要求不一致的情况，以技术参数要求为准。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（6）评分标准中“投标人相关证书”</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原评分标准：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1、投标人具备中国环境标志产品认证（十环认证）证书（实木类家具、综合类木家具、人造板类家具、钢木家具、金属家具、软体家具），满足得1分；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2、投标人获得GB/T27925-2011商业企业品牌评价与企业文化建设指南标准的五星级品牌认证证书（证书认证范围需包含办公家具、智能办公家具、定制家具等所涉及的品牌服务评价）得1分；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3、投标人获得 产品安全认证证书，产品认证单元需包括“桌类、柜类”家具等，满足得1分；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4、投标人获得Greenguard 绿色卫士金级认证证书，满足得1分；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5、投标人获得CEC006-2016标准的绿色供应链评价证书（五星级），满足得1分；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6、投标人获得产品碳足迹证书，核查范围包括办公家具、智能办公家具、定制家具等所涉及的产品碳足迹核查 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7、投标人获得碳中和认证证书  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8、投标人获得低VOCs家具产品认证证书（包含木家具、金属家具、软体家具等），得1分；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9、投标人获得家具产品环保卫士认证证书（包含木家具、金属家具、软体家具等） 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10、投标人获得人类功效学认证（认证范围包括桌台类、椅凳类、柜架类、屏风类、沙发类等）得1分。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以上证件复印件并加盖供应商公章，并提供网站查询截图</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更正后评分标准：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1、投标人具备中国环境标志产品认证（十环认证）证书（实木类家具、综合类木家具、人造板类家具、钢木家具、金属家具、软体家具），满足得1分；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2、投标人获得GB/T27925-2011商业企业品牌评价与企业文化建设指南标准的五星级品牌认证证书（证书认证范围需包含本项目所涉及家具产品的品牌服务评价）得1分；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3、投标人获得 产品安全认证证书，产品认证单元需包括“桌类、柜类”家具等，满足得1分；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4、投标人获得Greenguard 绿色卫士金级认证证书，满足得1分；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5、投标人获得CEC006-2016标准的绿色供应链评价证书（五星级），满足得1分；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6、投标人获得产品碳足迹证书，核查范围包括本项目所涉及家具产品碳足迹核查 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7、投标人获得碳中和认证证书  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8、投标人获得低VOCs家具产品认证证书（包含木家具、金属家具、软体家具等），得1分；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9、投标人获得家具产品环保卫士认证证书（包含木家具、金属家具、软体家具等） 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10、投标人获得人类功效学认证（认证范围包括桌台类、椅凳类、柜架类、屏风类、沙发类等）得1分；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以上证件复印件并加盖供应商公章，并提供网站查询截图。</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（7）评分标准中“投标产品对招标文件技术需求书响应程度”</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原评分标准：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对招标文件技术需求书中的响应程度，完全满足的得20分，在此基础上：</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（1）每有一项一般条款负偏离扣1分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（2）每有一项#条款负偏离扣2分；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本项最多得20分，最少得0分。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注：投标人须对本招标文件技术要求进行点对点应答，必须在引用本招标文件的基础上,进行逐条逐项答复、说明和解释,特别对有具体参数要求的指标，投标人必须提供所投产品的具体参数值。对于招标文件中标注“#”条款，必须提供有效证明材料，有效证明材料是指本项目公告之日前有效期内检测机构出具的抽检检测报告（原件备查）。未提供有效证明材料或证明材料中内容与采购要求指标不一致的，该指标按不满足处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更正后评分标准：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对招标文件技术需求书中的响应程度，完全满足的得20分，在此基础上：</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（1）每有一项一般条款负偏离扣1分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（2）每有一项#条款负偏离扣2分；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本项最多得20分，最少得0分。</w:t>
      </w:r>
    </w:p>
    <w:p>
      <w:pPr>
        <w:numPr>
          <w:numId w:val="0"/>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注：投标人须对本招标文件技术要求进行点对点应答，必须在引用本招标文件的基础上,进行逐条逐项答复、说明和解释,特别对有具体参数要求的指标，投标人必须提供所投产品的具体参数值。对于招标文件中标注“#”条款，必须提供有效证明材料，有效证明材料是指本项目投标前检测机构出具的有效期内的</w:t>
      </w:r>
      <w:bookmarkStart w:id="0" w:name="_GoBack"/>
      <w:bookmarkEnd w:id="0"/>
      <w:r>
        <w:rPr>
          <w:rFonts w:hint="eastAsia" w:ascii="宋体" w:hAnsi="宋体" w:cs="宋体"/>
          <w:i w:val="0"/>
          <w:iCs w:val="0"/>
          <w:color w:val="auto"/>
          <w:kern w:val="0"/>
          <w:sz w:val="24"/>
          <w:szCs w:val="24"/>
          <w:u w:val="none"/>
          <w:lang w:val="en-US" w:eastAsia="zh-CN" w:bidi="ar"/>
        </w:rPr>
        <w:t>抽检检测报告（原件备查）。未提供有效证明材料或证明材料中内容与采购要求指标不一致的，该指标按不满足处理。</w:t>
      </w:r>
    </w:p>
    <w:p>
      <w:pPr>
        <w:numPr>
          <w:numId w:val="0"/>
        </w:numPr>
        <w:rPr>
          <w:rFonts w:hint="eastAsia" w:ascii="宋体" w:hAnsi="宋体" w:cs="宋体"/>
          <w:i w:val="0"/>
          <w:iCs w:val="0"/>
          <w:color w:val="auto"/>
          <w:kern w:val="0"/>
          <w:sz w:val="24"/>
          <w:szCs w:val="24"/>
          <w:u w:val="none"/>
          <w:lang w:val="en-US" w:eastAsia="zh-CN" w:bidi="ar"/>
        </w:rPr>
      </w:pPr>
    </w:p>
    <w:p>
      <w:pPr>
        <w:numPr>
          <w:ilvl w:val="0"/>
          <w:numId w:val="4"/>
        </w:numP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第二包：密集柜</w:t>
      </w:r>
    </w:p>
    <w:p>
      <w:pPr>
        <w:numPr>
          <w:numId w:val="0"/>
        </w:numPr>
        <w:rPr>
          <w:rFonts w:hint="eastAsia" w:ascii="宋体" w:hAnsi="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（1）产品技术参数要求中“2.产品部件用材及制作要求”，序号（4）“侧护板”</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原技术参数要求：</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采用≥1.0mm一级冷轧钢板。中间圆弧直径约20mm，圆弧末端另有美化增强筋；标签框采用冷轧钢板一次冲压成型。</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更正后技术参数要求：</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采用≥1.0mm一级冷轧钢板。标签框采用冷轧钢板一次冲压成型。</w:t>
      </w:r>
    </w:p>
    <w:p>
      <w:pPr>
        <w:numPr>
          <w:ilvl w:val="0"/>
          <w:numId w:val="5"/>
        </w:numP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产品技术参数要求中“2.产品部件用材及制作要求”，序号（8）“门板”</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原技术参数要求：</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采用≥1.0mm一级冷轧钢板制作而成，采用隐藏式通体拉手，拉手与门板为一整体。锁具：自动卡位装配；具有三级管理功能，锁头损坏或钥匙损坏丢失等情况下，可通过维修管理钥匙直接更换锁头。</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更正后技术参数要求：</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采用≥1.0mm一级冷轧钢板制作而成，具备拉手，拉手与门板为一整体。锁具：自动卡位装配；具有三级管理功能，锁头损坏或钥匙损坏丢失等情况下，可通过维修管理钥匙直接更换锁头。</w:t>
      </w:r>
    </w:p>
    <w:p>
      <w:pPr>
        <w:numPr>
          <w:ilvl w:val="0"/>
          <w:numId w:val="5"/>
        </w:numP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评分标准中“项目设计”</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原评分标准：</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产品配置、设计效果，根据投标人提供的投标设计方案、设计技术说明、产品彩图或效果图进行评审:</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（1）投标产品设计满足招标文件要求，设计合理(外形、功能尺寸、结构及人体工学)、设计理念先进、彩图或效果图、三视图完整、方案合理可行、先进外形和效果美观，符合使用特点得10分；</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投标产品设计基本满足招标文件要求，设计相对合理(外形、功能尺寸、结构及人体工学)、设计理念较先进、彩图或效果图较完整、方案较合理可行性较好，外形和效果、三视图较美观，基本符合使用特点得6分；</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投标产品设计与满足招标文件要求有差距，设计一般合理性较差(外形、功能尺寸、结构及人体工学)、设计理念先进性较差、彩图或效果、三视图不完整、有错误、方案合理可行性较差，外形和效果较差、不符合使用特点得3分；</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（4）投标产品设计与招标文件要求有差距，设计合理性差(外形、功能尺寸、结构及人体工学)、设计理念先进性差、彩图或效果图不完整、方案可行性差，外形和效果差、不符合使用特点得0分。</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更正后评分标准：</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产品配置、设计效果，根据投标人提供的投标设计方案、设计技术说明、产品彩图或效果图进行评审:</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（1）投标产品设计满足招标文件要求，设计合理(外形、功能尺寸、结构)、设计理念先进、彩图或效果图、三视图完整、方案合理可行、先进外形和效果美观，符合使用特点得10分；</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（2）投标产品设计基本满足招标文件要求，设计相对合理(外形、功能尺寸、结构)、设计理念较先进、彩图或效果图较完整、方案较合理可行性较好，外形和效果、三视图较美观，基本符合使用特点得6分；</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投标产品设计与满足招标文件要求有差距，设计一般合理性较差(外形、功能尺寸、结构)、设计理念先进性较差、彩图或效果、三视图不完整、有错误、方案合理可行性较差，外形和效果较差、不符合使用特点得3分；</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（4）投标产品设计与招标文件要求有差距，设计合理性差(外形、功能尺寸、结构)、设计理念先进性差、彩图或效果图不完整、方案可行性差，外形和效果差、不符合使用特点得0分。</w:t>
      </w:r>
    </w:p>
    <w:p>
      <w:pPr>
        <w:numPr>
          <w:numId w:val="0"/>
        </w:numPr>
        <w:rPr>
          <w:rFonts w:hint="eastAsia" w:ascii="宋体" w:hAnsi="宋体" w:cs="宋体"/>
          <w:i w:val="0"/>
          <w:iCs w:val="0"/>
          <w:color w:val="000000"/>
          <w:kern w:val="0"/>
          <w:sz w:val="24"/>
          <w:szCs w:val="24"/>
          <w:u w:val="none"/>
          <w:lang w:val="en-US" w:eastAsia="zh-CN" w:bidi="ar"/>
        </w:rPr>
      </w:pPr>
    </w:p>
    <w:p>
      <w:pPr>
        <w:numPr>
          <w:ilvl w:val="0"/>
          <w:numId w:val="6"/>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电子投标截止时间变更</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原时间：</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2024年5月31日  上午9:00（北京时间）,投标样品请于2024年5月30日下午14：00-17:00递交至北京市石景山区实兴大街30号院17号楼8层。</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更正后时间：</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2024年6月5日  上午9:00（北京时间）,投标样品请于2024年6月4日下午14：00-17:00递交至北京市石景山区实兴大街30号院17号楼8层。</w:t>
      </w:r>
    </w:p>
    <w:p>
      <w:pPr>
        <w:numPr>
          <w:numId w:val="0"/>
        </w:numPr>
        <w:rPr>
          <w:rFonts w:hint="eastAsia" w:ascii="宋体" w:hAnsi="宋体" w:cs="宋体"/>
          <w:i w:val="0"/>
          <w:iCs w:val="0"/>
          <w:color w:val="000000"/>
          <w:kern w:val="0"/>
          <w:sz w:val="24"/>
          <w:szCs w:val="24"/>
          <w:u w:val="none"/>
          <w:lang w:val="en-US" w:eastAsia="zh-CN" w:bidi="ar"/>
        </w:rPr>
      </w:pPr>
    </w:p>
    <w:p>
      <w:pPr>
        <w:numPr>
          <w:ilvl w:val="0"/>
          <w:numId w:val="6"/>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开标时间变更</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原时间：</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2024年5月31日  上午9:00（北京时间）</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更正后时间：</w:t>
      </w:r>
    </w:p>
    <w:p>
      <w:pPr>
        <w:numPr>
          <w:numId w:val="0"/>
        </w:num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2024年6月5日  上午9:00（北京时间）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altName w:val="Segoe Print"/>
    <w:panose1 w:val="020B0502020202020204"/>
    <w:charset w:val="00"/>
    <w:family w:val="swiss"/>
    <w:pitch w:val="default"/>
    <w:sig w:usb0="00000000" w:usb1="00000000" w:usb2="00000000" w:usb3="00000000" w:csb0="0000009F" w:csb1="00000000"/>
  </w:font>
  <w:font w:name="等线">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方正书宋_GBK">
    <w:altName w:val="微软雅黑"/>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Aparajita">
    <w:panose1 w:val="020B0604020202020204"/>
    <w:charset w:val="00"/>
    <w:family w:val="auto"/>
    <w:pitch w:val="default"/>
    <w:sig w:usb0="00008003"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Microsoft JhengHei">
    <w:panose1 w:val="020B0604030504040204"/>
    <w:charset w:val="88"/>
    <w:family w:val="auto"/>
    <w:pitch w:val="default"/>
    <w:sig w:usb0="00000087" w:usb1="28AF4000" w:usb2="00000016" w:usb3="00000000" w:csb0="00100009" w:csb1="00000000"/>
  </w:font>
  <w:font w:name="Arial Unicode MS">
    <w:altName w:val="Arial"/>
    <w:panose1 w:val="00000000000000000000"/>
    <w:charset w:val="00"/>
    <w:family w:val="auto"/>
    <w:pitch w:val="default"/>
    <w:sig w:usb0="00000000" w:usb1="00000000" w:usb2="00000000" w:usb3="00000000" w:csb0="00000000" w:csb1="00000000"/>
  </w:font>
  <w:font w:name="Nirmala UI">
    <w:altName w:val="Segoe Print"/>
    <w:panose1 w:val="00000000000000000000"/>
    <w:charset w:val="00"/>
    <w:family w:val="auto"/>
    <w:pitch w:val="default"/>
    <w:sig w:usb0="00000000" w:usb1="00000000" w:usb2="00000000" w:usb3="00000000" w:csb0="00000000" w:csb1="00000000"/>
  </w:font>
  <w:font w:name="Leelawadee UI">
    <w:altName w:val="Leelawadee"/>
    <w:panose1 w:val="00000000000000000000"/>
    <w:charset w:val="00"/>
    <w:family w:val="auto"/>
    <w:pitch w:val="default"/>
    <w:sig w:usb0="00000000" w:usb1="00000000" w:usb2="00000000" w:usb3="00000000" w:csb0="00000000" w:csb1="00000000"/>
  </w:font>
  <w:font w:name="Leelawadee">
    <w:panose1 w:val="020B0502040204020203"/>
    <w:charset w:val="00"/>
    <w:family w:val="auto"/>
    <w:pitch w:val="default"/>
    <w:sig w:usb0="810000AF" w:usb1="4000204B" w:usb2="00000000" w:usb3="00000000" w:csb0="20010001" w:csb1="00000000"/>
  </w:font>
  <w:font w:name="Traditional Arabic">
    <w:panose1 w:val="02020603050405020304"/>
    <w:charset w:val="00"/>
    <w:family w:val="auto"/>
    <w:pitch w:val="default"/>
    <w:sig w:usb0="00006003" w:usb1="80000000" w:usb2="00000008" w:usb3="00000000" w:csb0="00000041" w:csb1="20080000"/>
  </w:font>
  <w:font w:name="Cambria Math">
    <w:panose1 w:val="02040503050406030204"/>
    <w:charset w:val="00"/>
    <w:family w:val="roman"/>
    <w:pitch w:val="default"/>
    <w:sig w:usb0="E00002FF" w:usb1="420024FF" w:usb2="00000000" w:usb3="00000000" w:csb0="2000019F" w:csb1="00000000"/>
  </w:font>
  <w:font w:name="瀹嬩綋">
    <w:altName w:val="宋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ime">
    <w:altName w:val="微软雅黑"/>
    <w:panose1 w:val="00000000000000000000"/>
    <w:charset w:val="00"/>
    <w:family w:val="auto"/>
    <w:pitch w:val="default"/>
    <w:sig w:usb0="00000000" w:usb1="00000000" w:usb2="00000000"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9" w:usb3="00000000" w:csb0="000001FF" w:csb1="00000000"/>
  </w:font>
  <w:font w:name="KaiTi_GB2312">
    <w:altName w:val="楷体"/>
    <w:panose1 w:val="02010609030101010101"/>
    <w:charset w:val="86"/>
    <w:family w:val="modern"/>
    <w:pitch w:val="default"/>
    <w:sig w:usb0="00000000" w:usb1="00000000" w:usb2="00000000" w:usb3="00000000" w:csb0="00040000" w:csb1="00000000"/>
  </w:font>
  <w:font w:name="FangSong_GB2312">
    <w:altName w:val="仿宋"/>
    <w:panose1 w:val="00000000000000000000"/>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Tw Cen MT">
    <w:altName w:val="Segoe Print"/>
    <w:panose1 w:val="00000000000000000000"/>
    <w:charset w:val="00"/>
    <w:family w:val="swiss"/>
    <w:pitch w:val="default"/>
    <w:sig w:usb0="00000000" w:usb1="00000000" w:usb2="00000000" w:usb3="00000000" w:csb0="00000003" w:csb1="0000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0000000000000000000"/>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AB0D4"/>
    <w:multiLevelType w:val="singleLevel"/>
    <w:tmpl w:val="664AB0D4"/>
    <w:lvl w:ilvl="0" w:tentative="0">
      <w:start w:val="1"/>
      <w:numFmt w:val="chineseCounting"/>
      <w:suff w:val="nothing"/>
      <w:lvlText w:val="（%1）"/>
      <w:lvlJc w:val="left"/>
    </w:lvl>
  </w:abstractNum>
  <w:abstractNum w:abstractNumId="1">
    <w:nsid w:val="664AB106"/>
    <w:multiLevelType w:val="singleLevel"/>
    <w:tmpl w:val="664AB106"/>
    <w:lvl w:ilvl="0" w:tentative="0">
      <w:start w:val="1"/>
      <w:numFmt w:val="decimal"/>
      <w:suff w:val="nothing"/>
      <w:lvlText w:val="%1、"/>
      <w:lvlJc w:val="left"/>
    </w:lvl>
  </w:abstractNum>
  <w:abstractNum w:abstractNumId="2">
    <w:nsid w:val="664AB1E1"/>
    <w:multiLevelType w:val="singleLevel"/>
    <w:tmpl w:val="664AB1E1"/>
    <w:lvl w:ilvl="0" w:tentative="0">
      <w:start w:val="1"/>
      <w:numFmt w:val="decimal"/>
      <w:suff w:val="nothing"/>
      <w:lvlText w:val="（%1）"/>
      <w:lvlJc w:val="left"/>
    </w:lvl>
  </w:abstractNum>
  <w:abstractNum w:abstractNumId="3">
    <w:nsid w:val="664AB705"/>
    <w:multiLevelType w:val="singleLevel"/>
    <w:tmpl w:val="664AB705"/>
    <w:lvl w:ilvl="0" w:tentative="0">
      <w:start w:val="2"/>
      <w:numFmt w:val="decimal"/>
      <w:suff w:val="nothing"/>
      <w:lvlText w:val="%1、"/>
      <w:lvlJc w:val="left"/>
    </w:lvl>
  </w:abstractNum>
  <w:abstractNum w:abstractNumId="4">
    <w:nsid w:val="664AB909"/>
    <w:multiLevelType w:val="singleLevel"/>
    <w:tmpl w:val="664AB909"/>
    <w:lvl w:ilvl="0" w:tentative="0">
      <w:start w:val="2"/>
      <w:numFmt w:val="decimal"/>
      <w:suff w:val="nothing"/>
      <w:lvlText w:val="（%1）"/>
      <w:lvlJc w:val="left"/>
    </w:lvl>
  </w:abstractNum>
  <w:abstractNum w:abstractNumId="5">
    <w:nsid w:val="664ABB16"/>
    <w:multiLevelType w:val="singleLevel"/>
    <w:tmpl w:val="664ABB16"/>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D2BD9"/>
    <w:rsid w:val="001D4685"/>
    <w:rsid w:val="04D16FE4"/>
    <w:rsid w:val="0BE80026"/>
    <w:rsid w:val="10075E83"/>
    <w:rsid w:val="149F3B4E"/>
    <w:rsid w:val="1DA41E66"/>
    <w:rsid w:val="21592928"/>
    <w:rsid w:val="223E5B1F"/>
    <w:rsid w:val="295443CB"/>
    <w:rsid w:val="2B7B577C"/>
    <w:rsid w:val="2B85163E"/>
    <w:rsid w:val="339E2137"/>
    <w:rsid w:val="36772D15"/>
    <w:rsid w:val="3B1D0F36"/>
    <w:rsid w:val="3B376C53"/>
    <w:rsid w:val="3BD269BB"/>
    <w:rsid w:val="3E0022EA"/>
    <w:rsid w:val="3FBA1C6E"/>
    <w:rsid w:val="40085F9C"/>
    <w:rsid w:val="405D4CF3"/>
    <w:rsid w:val="42BA05D2"/>
    <w:rsid w:val="43786AC7"/>
    <w:rsid w:val="44687E38"/>
    <w:rsid w:val="463762F4"/>
    <w:rsid w:val="469B615D"/>
    <w:rsid w:val="4ADB7310"/>
    <w:rsid w:val="4DA656E0"/>
    <w:rsid w:val="4FD8679F"/>
    <w:rsid w:val="52375F89"/>
    <w:rsid w:val="54884F63"/>
    <w:rsid w:val="58795039"/>
    <w:rsid w:val="587B5386"/>
    <w:rsid w:val="5A397A03"/>
    <w:rsid w:val="5A641020"/>
    <w:rsid w:val="5BA877B1"/>
    <w:rsid w:val="5D28722E"/>
    <w:rsid w:val="5DA17CE0"/>
    <w:rsid w:val="609117CD"/>
    <w:rsid w:val="6BF02F00"/>
    <w:rsid w:val="6C63621B"/>
    <w:rsid w:val="6D694B49"/>
    <w:rsid w:val="6EA6397C"/>
    <w:rsid w:val="6FF77AD7"/>
    <w:rsid w:val="728D00E0"/>
    <w:rsid w:val="74043987"/>
    <w:rsid w:val="77EC663C"/>
    <w:rsid w:val="783804DF"/>
    <w:rsid w:val="78F0747B"/>
    <w:rsid w:val="7A4A39F8"/>
    <w:rsid w:val="7C837AB1"/>
    <w:rsid w:val="7C927BBE"/>
    <w:rsid w:val="7E4D2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发改委</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2024-05-20T01:58:00Z</dcterms:created>
  <dc:creator>SJS-ZST-1</dc:creator>
  <cp:lastModifiedBy>SJS-ZST-1</cp:lastModifiedBy>
  <dcterms:modified xsi:type="dcterms:W3CDTF">2024-05-20T02:49:34Z</dcterms:modified>
  <dc:title>更正内容：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