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eastAsiaTheme="minorEastAsia"/>
          <w:b/>
          <w:sz w:val="36"/>
          <w:szCs w:val="36"/>
        </w:rPr>
      </w:pPr>
      <w:bookmarkStart w:id="0" w:name="_Toc97371945"/>
      <w:r>
        <w:rPr>
          <w:rFonts w:eastAsiaTheme="minorEastAsia"/>
          <w:b/>
          <w:sz w:val="36"/>
          <w:szCs w:val="36"/>
        </w:rPr>
        <w:t>采购需求</w:t>
      </w:r>
      <w:bookmarkEnd w:id="0"/>
    </w:p>
    <w:tbl>
      <w:tblPr>
        <w:tblStyle w:val="3"/>
        <w:tblpPr w:leftFromText="180" w:rightFromText="180" w:vertAnchor="text" w:horzAnchor="page" w:tblpX="1699" w:tblpY="57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56"/>
        <w:gridCol w:w="619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3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技术参数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全自动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液压一体升降柱</w:t>
            </w:r>
          </w:p>
        </w:tc>
        <w:tc>
          <w:tcPr>
            <w:tcW w:w="3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1、驱动：液压一体式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升降柱的尺寸：地埋柱体高度（mm）： ≥1100，升降柱体直径（mm）：≥21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，升降柱体壁厚(mm)：≥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，阻挡高度(mm)：≥600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地面法兰盘直径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（mm）≥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40,地面法兰厚度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（mm）≥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10，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升起速度：（mm）/(s)：≥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143.01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 xml:space="preserve">供电方式(v)：380/220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升降柱体材质：304不锈钢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，抗拉强度≥ 640Mpa，规定塑性延伸强度≥220Mpa（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提供国家权威机构出具的升降柱304 不绣钢管检验报告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5、升降柱表面处理：拉丝 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地面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兰盘材质：304不锈钢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，抗拉强度≥800Mpa，规定塑性延伸强度≥320Mpa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(提供国家权威机构出具的升降柱 304 不绣钢法兰面盘检验报告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)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＃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液压一体升降柱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应当能承受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6.8吨的卡车并以65km/h的速度产生的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不小于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1108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KJ(千焦)的刚性碰撞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注：产品需满足GA/T1343-2016标准，并提供经国家安全防范报警系统产品质量监督检验中心检验的符合《防暴升降式阻车路障》（GA/T1343-2016）标准的且具有实车碰撞的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B级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及以上的检验报告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8、停电时仍可以处于工作状态，具有手动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降功能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稳定性、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可靠性检验：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升起速度大于等于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143.01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mm/s,路障阻挡主体能正常升降，无卡滞，到位可靠，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2次/min连续升降5000次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注：满足GA/T 1343-2016《防暴升降式阻车路障》标准中的试验方法6.11可靠性检验，需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提供相关检测报告。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环境适应性检验：工作温度(℃)：-40～+70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需提供相关检测报告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＃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集成式铝合金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驱动单元防水防尘等级：≥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IP68,需提供相关检测报告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防腐性能检验：≥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9级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13、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警示标识检验：阻挡柱体有明显警示标识，且具有夜间警示功能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lang w:val="en-US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浸水性能：路障阻挡主体置于水池中浸泡48h无漏电现象，且能正常升降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15、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highlight w:val="none"/>
                <w:lang w:val="zh-CN" w:eastAsia="zh-CN" w:bidi="ar-SA"/>
              </w:rPr>
              <w:t>动力单元结构：核心动力单元要求无外露油管，一体式封闭铝桶结构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、隔离防尘护圈，运动柱体和地埋柱体之间设置非金属隔离防尘护圈，既能避免刮花柱体，又能防尘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/>
              </w:rPr>
              <w:t>备注：以上所要求的证书及相关证明材料须提供原件或复印件加盖公章，如提供复印件，中标人要在合同签订前提供原件备查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控制系统</w:t>
            </w:r>
          </w:p>
        </w:tc>
        <w:tc>
          <w:tcPr>
            <w:tcW w:w="3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1、控制方式：专用控制箱，手动按钮盒+遥控器，每个控制箱配2把遥控器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2、控制柜主板预留内置开、关、停控制按钮，遥控距离100米以上（空旷无干扰）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输入电源：AC220/380V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IP65防水控制箱，可防液体泼溅，能够适应全室外安装环境。需提供（GB/T 4208-2017）执行标准的检测报告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、应急要求：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外部供电停止状态下，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手动释放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下降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、工作噪音：不大于30分贝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、控制稳定性：无信号输入，无操作指令，不会输出信号，不会自动运行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其他功能接口：具备警示灯、门禁系统、车牌识别、地感线圈、红外安全光线感应等联动接口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备注：以上所要求的证书及相关证明材料须提供原件或复印件加盖公章，如提供复印件，中标人要在合同签订前提供原件备查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半自动升降柱</w:t>
            </w:r>
          </w:p>
        </w:tc>
        <w:tc>
          <w:tcPr>
            <w:tcW w:w="3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升降柱的尺寸：地埋柱体高度（mm）： 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860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，升降柱体直径（mm）：≥21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，升降柱体壁厚(mm)：≥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，阻挡高度(mm)：≥600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地面法兰盘直径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（mm）≥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＃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升降柱体材质：304不锈钢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，抗拉强度≥ 640Mpa，规定塑性延伸强度≥220Mpa（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提供国家权威机构出具的升降柱304 不绣钢管检验报告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＃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地面法兰盘材质：304不锈钢，抗拉强度≥800Mpa，规定塑性延伸强度≥320Mpa(提供国家权威机构出具的升降柱 304 不绣钢法兰面盘检验报告)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表面处理：抛光拉丝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驱动方式：氮气液压动力单元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警示方式：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阻挡柱体有明显警示标识，且具有夜间警示功能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防护等级：IP68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拒马</w:t>
            </w:r>
          </w:p>
        </w:tc>
        <w:tc>
          <w:tcPr>
            <w:tcW w:w="3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材质:Q235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高度mm:1200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宽度mm:1000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顶部圆管直径mm：114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内部矩形管尺寸mm：100*50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主矩形管mm：100*100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壁厚mm：2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脚轮材质：聚氨酯(PU）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脚轮直径mm：125</w:t>
            </w: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单只脚轮允许承重㎏：≥250                                        国产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石球</w:t>
            </w:r>
          </w:p>
        </w:tc>
        <w:tc>
          <w:tcPr>
            <w:tcW w:w="3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石墩、大理石材质、直径60CM                                                1、球体由整块石材切割制作而成，无切割。2、水磨抛光，精准定位，球体圆滑形正，耐磨耐刮，经久耐用。6、厚实的底座保证了石球的稳定性，平稳牢固，不易移动。重量约350公斤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推车</w:t>
            </w:r>
          </w:p>
        </w:tc>
        <w:tc>
          <w:tcPr>
            <w:tcW w:w="36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国产、路障石墩手动移动架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适用于60CM石球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spacing w:line="360" w:lineRule="auto"/>
        <w:contextualSpacing/>
        <w:rPr>
          <w:sz w:val="24"/>
        </w:rPr>
      </w:pPr>
    </w:p>
    <w:p>
      <w:pPr>
        <w:autoSpaceDE w:val="0"/>
        <w:autoSpaceDN w:val="0"/>
        <w:rPr>
          <w:rFonts w:eastAsiaTheme="minorEastAsia"/>
          <w:bCs/>
        </w:rPr>
      </w:pPr>
    </w:p>
    <w:tbl>
      <w:tblPr>
        <w:tblStyle w:val="3"/>
        <w:tblW w:w="5101" w:type="pct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840"/>
        <w:gridCol w:w="1050"/>
        <w:gridCol w:w="1574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防冲撞桩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拒马（米/个）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石球（60）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昌平区天通苑小学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昌平区一中教育集团本部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北京市第十五中学南口学校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昌平区育新教育集团沙河校区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北京十一未来城学校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清华附小昌平学校陈营校区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昌平区百善学校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昌平区马池口中心小学白浮小学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昌平区马池口中心小学横桥小学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昌平区大东流中学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昌平第三实验小学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昌平区崔村中学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昌平区城关小学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昌平区第五学校南邵中学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昌平区十三陵中心小学泰陵小学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昌平区南口学校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昌平二中教育集团回龙观校区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昌平二中教育集团政府街校区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昌平区回龙观中心小学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昌平区平西府中心小学白庙小学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清华附中昌平悦府小学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昌平区亭自庄学校土楼小学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昌平区亭自庄学校中学部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昌平区亭自庄学校小学部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首都师范大学附属中学昌平学校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北京育翔小学回龙观学校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昌平区沙河镇中心幼儿园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昌平区延寿镇中心幼儿园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昌平区马池口镇中心幼儿园白浮分园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昌平区马池口镇中心幼儿园楼自庄分园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昌平区清华成志幼儿园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昌平区流村镇中心幼儿园漆园村分园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昌平区十三陵镇中心幼儿园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昌平区滨河幼儿园畅悦分园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昌平区长陵镇中心幼儿园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北京师范大学未来科学城第一幼儿园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Tc0YTIyMDg2MDMwMjY5ZTNiMDVmYTZlODgwNTgifQ=="/>
  </w:docVars>
  <w:rsids>
    <w:rsidRoot w:val="07850A66"/>
    <w:rsid w:val="07850A66"/>
    <w:rsid w:val="0BCC68EA"/>
    <w:rsid w:val="0C8A677F"/>
    <w:rsid w:val="19704DB0"/>
    <w:rsid w:val="2F653BA9"/>
    <w:rsid w:val="31741628"/>
    <w:rsid w:val="423C1CEE"/>
    <w:rsid w:val="46E6047B"/>
    <w:rsid w:val="6FD11393"/>
    <w:rsid w:val="719D2BAB"/>
    <w:rsid w:val="7D1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2048</Words>
  <Characters>2398</Characters>
  <Lines>0</Lines>
  <Paragraphs>0</Paragraphs>
  <TotalTime>11</TotalTime>
  <ScaleCrop>false</ScaleCrop>
  <LinksUpToDate>false</LinksUpToDate>
  <CharactersWithSpaces>2501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2024-06-24T02:12:00Z</dcterms:created>
  <dc:creator>=_=</dc:creator>
  <cp:lastModifiedBy>=_=</cp:lastModifiedBy>
  <dcterms:modified xsi:type="dcterms:W3CDTF">2024-06-24T03:39:46Z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8B347DA1CCD447B78CCDDB349D881730_11</vt:lpwstr>
  </property>
</Properties>
</file>