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10E2B">
      <w:pPr>
        <w:spacing w:line="360" w:lineRule="auto"/>
        <w:jc w:val="center"/>
        <w:rPr>
          <w:rFonts w:hint="eastAsia" w:ascii="宋体" w:hAnsi="宋体" w:eastAsia="宋体"/>
          <w:b/>
          <w:bCs/>
          <w:sz w:val="28"/>
          <w:szCs w:val="28"/>
        </w:rPr>
      </w:pPr>
      <w:r>
        <w:rPr>
          <w:rFonts w:hint="eastAsia" w:ascii="宋体" w:hAnsi="宋体" w:eastAsia="宋体"/>
          <w:b/>
          <w:bCs/>
          <w:sz w:val="28"/>
          <w:szCs w:val="28"/>
        </w:rPr>
        <w:t>关于“</w:t>
      </w:r>
      <w:bookmarkStart w:id="4" w:name="_GoBack"/>
      <w:r>
        <w:rPr>
          <w:rFonts w:hint="eastAsia" w:ascii="宋体" w:hAnsi="宋体" w:eastAsia="宋体"/>
          <w:b/>
          <w:bCs/>
          <w:sz w:val="28"/>
          <w:szCs w:val="28"/>
        </w:rPr>
        <w:t>路县故城遗址保护展示工程智能化系统建设其他信息化设备采</w:t>
      </w:r>
      <w:r>
        <w:rPr>
          <w:rFonts w:hint="eastAsia" w:ascii="宋体" w:hAnsi="宋体" w:eastAsia="宋体"/>
          <w:b/>
          <w:bCs/>
          <w:sz w:val="28"/>
          <w:szCs w:val="28"/>
        </w:rPr>
        <w:t>购项目</w:t>
      </w:r>
      <w:bookmarkEnd w:id="4"/>
      <w:r>
        <w:rPr>
          <w:rFonts w:hint="eastAsia" w:ascii="宋体" w:hAnsi="宋体" w:eastAsia="宋体"/>
          <w:b/>
          <w:bCs/>
          <w:sz w:val="28"/>
          <w:szCs w:val="28"/>
        </w:rPr>
        <w:t>”</w:t>
      </w:r>
      <w:r>
        <w:rPr>
          <w:rFonts w:hint="eastAsia" w:ascii="宋体" w:hAnsi="宋体" w:eastAsia="宋体"/>
          <w:b/>
          <w:bCs/>
          <w:sz w:val="28"/>
          <w:szCs w:val="28"/>
          <w:lang w:val="en-US" w:eastAsia="zh-CN"/>
        </w:rPr>
        <w:t>招标文件的补充说明</w:t>
      </w:r>
    </w:p>
    <w:p w14:paraId="42D84836">
      <w:pPr>
        <w:numPr>
          <w:ilvl w:val="0"/>
          <w:numId w:val="1"/>
        </w:numPr>
        <w:spacing w:line="360" w:lineRule="auto"/>
        <w:ind w:firstLine="0"/>
        <w:jc w:val="left"/>
        <w:rPr>
          <w:rFonts w:hint="eastAsia" w:ascii="宋体" w:hAnsi="宋体" w:eastAsia="宋体" w:cs="宋体"/>
          <w:szCs w:val="21"/>
        </w:rPr>
      </w:pPr>
      <w:r>
        <w:rPr>
          <w:rFonts w:hint="eastAsia" w:ascii="宋体" w:hAnsi="宋体" w:eastAsia="宋体"/>
          <w:szCs w:val="21"/>
        </w:rPr>
        <w:t>招标文件中会议室、大厅、弱电机房等具体位置</w:t>
      </w:r>
      <w:r>
        <w:rPr>
          <w:rFonts w:hint="eastAsia" w:ascii="宋体" w:hAnsi="宋体" w:eastAsia="宋体" w:cs="宋体"/>
          <w:szCs w:val="21"/>
        </w:rPr>
        <w:t>如下图所示：</w:t>
      </w:r>
    </w:p>
    <w:p w14:paraId="7E571AF4">
      <w:pPr>
        <w:snapToGrid w:val="0"/>
        <w:spacing w:line="360" w:lineRule="auto"/>
        <w:jc w:val="left"/>
        <w:rPr>
          <w:rFonts w:hint="eastAsia" w:ascii="宋体" w:hAnsi="宋体" w:eastAsia="宋体" w:cs="宋体"/>
          <w:szCs w:val="21"/>
        </w:rPr>
      </w:pPr>
      <w:r>
        <w:rPr>
          <w:rFonts w:ascii="宋体" w:hAnsi="宋体" w:eastAsia="宋体" w:cs="宋体"/>
          <w:szCs w:val="21"/>
        </w:rPr>
        <w:drawing>
          <wp:inline distT="0" distB="0" distL="0" distR="0">
            <wp:extent cx="5749290" cy="3682365"/>
            <wp:effectExtent l="0" t="0" r="3810" b="13335"/>
            <wp:docPr id="3397513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5134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49290" cy="3682365"/>
                    </a:xfrm>
                    <a:prstGeom prst="rect">
                      <a:avLst/>
                    </a:prstGeom>
                    <a:noFill/>
                    <a:ln>
                      <a:noFill/>
                    </a:ln>
                  </pic:spPr>
                </pic:pic>
              </a:graphicData>
            </a:graphic>
          </wp:inline>
        </w:drawing>
      </w:r>
    </w:p>
    <w:p w14:paraId="6EB1EC96">
      <w:pPr>
        <w:snapToGrid w:val="0"/>
        <w:spacing w:line="360" w:lineRule="auto"/>
        <w:jc w:val="center"/>
        <w:rPr>
          <w:rFonts w:hint="eastAsia" w:ascii="宋体" w:hAnsi="宋体" w:eastAsia="宋体" w:cs="宋体"/>
          <w:szCs w:val="21"/>
        </w:rPr>
      </w:pPr>
      <w:r>
        <w:rPr>
          <w:rFonts w:hint="eastAsia" w:ascii="宋体" w:hAnsi="宋体" w:eastAsia="宋体" w:cs="宋体"/>
          <w:szCs w:val="21"/>
        </w:rPr>
        <w:t>主楼B1层平面图</w:t>
      </w:r>
    </w:p>
    <w:p w14:paraId="3ACE30B3">
      <w:pPr>
        <w:snapToGrid w:val="0"/>
        <w:spacing w:line="360" w:lineRule="auto"/>
        <w:jc w:val="left"/>
      </w:pPr>
      <w:r>
        <w:drawing>
          <wp:inline distT="0" distB="0" distL="114300" distR="114300">
            <wp:extent cx="5704205" cy="3973830"/>
            <wp:effectExtent l="0" t="0" r="1079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l="1579"/>
                    <a:stretch>
                      <a:fillRect/>
                    </a:stretch>
                  </pic:blipFill>
                  <pic:spPr>
                    <a:xfrm>
                      <a:off x="0" y="0"/>
                      <a:ext cx="5704205" cy="3973830"/>
                    </a:xfrm>
                    <a:prstGeom prst="rect">
                      <a:avLst/>
                    </a:prstGeom>
                    <a:noFill/>
                    <a:ln>
                      <a:noFill/>
                    </a:ln>
                  </pic:spPr>
                </pic:pic>
              </a:graphicData>
            </a:graphic>
          </wp:inline>
        </w:drawing>
      </w:r>
    </w:p>
    <w:p w14:paraId="132F26C3">
      <w:pPr>
        <w:snapToGrid w:val="0"/>
        <w:spacing w:line="360" w:lineRule="auto"/>
        <w:jc w:val="center"/>
        <w:rPr>
          <w:rFonts w:hint="eastAsia" w:ascii="宋体" w:hAnsi="宋体" w:eastAsia="宋体" w:cs="宋体"/>
          <w:szCs w:val="21"/>
        </w:rPr>
      </w:pPr>
      <w:r>
        <w:rPr>
          <w:rFonts w:hint="eastAsia" w:ascii="宋体" w:hAnsi="宋体" w:eastAsia="宋体" w:cs="宋体"/>
          <w:szCs w:val="21"/>
        </w:rPr>
        <w:t>主楼1F平面图</w:t>
      </w:r>
    </w:p>
    <w:p w14:paraId="12EEB141">
      <w:pPr>
        <w:snapToGrid w:val="0"/>
        <w:spacing w:line="360" w:lineRule="auto"/>
        <w:jc w:val="center"/>
        <w:rPr>
          <w:rFonts w:hint="eastAsia" w:ascii="宋体" w:hAnsi="宋体" w:eastAsia="宋体" w:cs="宋体"/>
          <w:szCs w:val="21"/>
        </w:rPr>
      </w:pPr>
      <w:r>
        <w:drawing>
          <wp:inline distT="0" distB="0" distL="114300" distR="114300">
            <wp:extent cx="5740400" cy="2482215"/>
            <wp:effectExtent l="0" t="0" r="1270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40400" cy="2482215"/>
                    </a:xfrm>
                    <a:prstGeom prst="rect">
                      <a:avLst/>
                    </a:prstGeom>
                    <a:noFill/>
                    <a:ln>
                      <a:noFill/>
                    </a:ln>
                  </pic:spPr>
                </pic:pic>
              </a:graphicData>
            </a:graphic>
          </wp:inline>
        </w:drawing>
      </w:r>
    </w:p>
    <w:p w14:paraId="6A12B6BE">
      <w:pPr>
        <w:snapToGrid w:val="0"/>
        <w:spacing w:line="360" w:lineRule="auto"/>
        <w:jc w:val="center"/>
      </w:pPr>
      <w:r>
        <w:rPr>
          <w:rFonts w:hint="eastAsia" w:ascii="宋体" w:hAnsi="宋体" w:eastAsia="宋体" w:cs="宋体"/>
          <w:szCs w:val="21"/>
        </w:rPr>
        <w:t>主楼2F平面图</w:t>
      </w:r>
      <w:r>
        <w:drawing>
          <wp:inline distT="0" distB="0" distL="114300" distR="114300">
            <wp:extent cx="5550535" cy="3604895"/>
            <wp:effectExtent l="0" t="0" r="1206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550535" cy="3604895"/>
                    </a:xfrm>
                    <a:prstGeom prst="rect">
                      <a:avLst/>
                    </a:prstGeom>
                    <a:noFill/>
                    <a:ln>
                      <a:noFill/>
                    </a:ln>
                  </pic:spPr>
                </pic:pic>
              </a:graphicData>
            </a:graphic>
          </wp:inline>
        </w:drawing>
      </w:r>
    </w:p>
    <w:p w14:paraId="6AF996B3">
      <w:pPr>
        <w:snapToGrid w:val="0"/>
        <w:spacing w:line="360" w:lineRule="auto"/>
        <w:jc w:val="center"/>
      </w:pPr>
      <w:r>
        <w:rPr>
          <w:rFonts w:hint="eastAsia"/>
        </w:rPr>
        <w:t>运营管理用房B1层</w:t>
      </w:r>
    </w:p>
    <w:p w14:paraId="04173EA7">
      <w:p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以上图示内容供投标人参考。本次采购项目主要为设备采购，投标人需完成设备供货及安装，对于安装过程中涉及的点位部署等内容，因博物馆保密性要求，详细设备点位图纸待中标人确定后提供。设备点位、安装方式现已确认，如投标人中标后在安装过程中需要进行调整时，投标人可在满足招标人使用需求前提下，根据投标产品及现场实际情况进行优化，但需提前报招标人审核通过方可实施。</w:t>
      </w:r>
    </w:p>
    <w:p w14:paraId="0ACB3642">
      <w:pPr>
        <w:numPr>
          <w:ilvl w:val="0"/>
          <w:numId w:val="1"/>
        </w:numPr>
        <w:spacing w:line="360" w:lineRule="auto"/>
        <w:ind w:firstLine="0"/>
        <w:jc w:val="left"/>
        <w:rPr>
          <w:rFonts w:hint="eastAsia" w:ascii="宋体" w:hAnsi="宋体" w:eastAsia="宋体"/>
          <w:szCs w:val="21"/>
        </w:rPr>
      </w:pPr>
      <w:r>
        <w:rPr>
          <w:rFonts w:hint="eastAsia" w:ascii="宋体" w:hAnsi="宋体" w:eastAsia="宋体"/>
          <w:szCs w:val="21"/>
        </w:rPr>
        <w:t>本项目中涉及的预埋及明配管槽工作由其他单位承担，但如有不到位，无法满足智能化设备安装需求的情况则需投标人自行进行完善，确保系统功能完整。</w:t>
      </w:r>
    </w:p>
    <w:p w14:paraId="30ED2E2F">
      <w:pPr>
        <w:numPr>
          <w:ilvl w:val="0"/>
          <w:numId w:val="1"/>
        </w:numPr>
        <w:spacing w:line="360" w:lineRule="auto"/>
        <w:ind w:firstLine="0"/>
        <w:jc w:val="left"/>
        <w:rPr>
          <w:rFonts w:hint="eastAsia" w:ascii="宋体" w:hAnsi="宋体" w:eastAsia="宋体"/>
          <w:szCs w:val="21"/>
        </w:rPr>
      </w:pPr>
      <w:r>
        <w:rPr>
          <w:rFonts w:hint="eastAsia" w:ascii="宋体" w:hAnsi="宋体" w:eastAsia="宋体"/>
          <w:szCs w:val="21"/>
        </w:rPr>
        <w:t>本项目招标文件中第57页，3.2.55电源时序器中“8个13A插座”的描述无误，即要求该电源时序器为8路输出插座，每个插座支持最大13A。</w:t>
      </w:r>
    </w:p>
    <w:p w14:paraId="1611A15C">
      <w:pPr>
        <w:numPr>
          <w:ilvl w:val="0"/>
          <w:numId w:val="1"/>
        </w:numPr>
        <w:spacing w:line="360" w:lineRule="auto"/>
        <w:ind w:firstLine="0"/>
        <w:jc w:val="left"/>
        <w:rPr>
          <w:rFonts w:hint="eastAsia" w:ascii="宋体" w:hAnsi="宋体" w:eastAsia="宋体"/>
          <w:szCs w:val="21"/>
        </w:rPr>
      </w:pPr>
      <w:r>
        <w:rPr>
          <w:rFonts w:hint="eastAsia" w:ascii="宋体" w:hAnsi="宋体" w:eastAsia="宋体"/>
          <w:szCs w:val="21"/>
        </w:rPr>
        <w:t>本项目中涉及的会议室及多功能厅中的投影设备由其他包件完成采购，本项目中投标人仅需负责提供与投影设备进行集成对接联调和控制的部分工作。</w:t>
      </w:r>
    </w:p>
    <w:p w14:paraId="3D68098F">
      <w:pPr>
        <w:numPr>
          <w:ilvl w:val="0"/>
          <w:numId w:val="1"/>
        </w:numPr>
        <w:spacing w:line="360" w:lineRule="auto"/>
        <w:ind w:firstLine="0"/>
        <w:jc w:val="left"/>
        <w:rPr>
          <w:rFonts w:hint="eastAsia" w:ascii="宋体" w:hAnsi="宋体" w:eastAsia="宋体"/>
          <w:szCs w:val="21"/>
        </w:rPr>
      </w:pPr>
      <w:r>
        <w:rPr>
          <w:rFonts w:hint="eastAsia" w:ascii="宋体" w:hAnsi="宋体" w:eastAsia="宋体"/>
          <w:szCs w:val="21"/>
        </w:rPr>
        <w:t>招标文件中第57页，3.2.54 分布式综合管理平台，需要统一接入多功能厅以及其他会议室，并实现网络互通。</w:t>
      </w:r>
    </w:p>
    <w:p w14:paraId="5B438332">
      <w:pPr>
        <w:numPr>
          <w:ilvl w:val="0"/>
          <w:numId w:val="1"/>
        </w:numPr>
        <w:spacing w:line="360" w:lineRule="auto"/>
        <w:ind w:firstLine="0"/>
        <w:jc w:val="left"/>
        <w:rPr>
          <w:rFonts w:hint="eastAsia" w:ascii="宋体" w:hAnsi="宋体" w:eastAsia="宋体" w:cs="宋体"/>
          <w:szCs w:val="21"/>
        </w:rPr>
      </w:pPr>
      <w:r>
        <w:rPr>
          <w:rFonts w:hint="eastAsia" w:ascii="宋体" w:hAnsi="宋体" w:eastAsia="宋体"/>
          <w:szCs w:val="21"/>
        </w:rPr>
        <w:t>安装设备的线缆</w:t>
      </w:r>
      <w:r>
        <w:rPr>
          <w:rFonts w:hint="eastAsia" w:ascii="宋体" w:hAnsi="宋体" w:eastAsia="宋体" w:cs="宋体"/>
          <w:szCs w:val="21"/>
        </w:rPr>
        <w:t>由投标人自行根据投标产品本身以及现场情况进行优化，但需保证设备或系统正常运行</w:t>
      </w:r>
      <w:r>
        <w:rPr>
          <w:rFonts w:hint="eastAsia" w:ascii="宋体" w:hAnsi="宋体" w:eastAsia="宋体"/>
          <w:szCs w:val="21"/>
        </w:rPr>
        <w:t>。</w:t>
      </w:r>
    </w:p>
    <w:p w14:paraId="480D039C">
      <w:pPr>
        <w:numPr>
          <w:ilvl w:val="0"/>
          <w:numId w:val="1"/>
        </w:numPr>
        <w:spacing w:line="360" w:lineRule="auto"/>
        <w:ind w:firstLine="0"/>
        <w:jc w:val="left"/>
        <w:rPr>
          <w:rFonts w:hint="eastAsia" w:ascii="宋体" w:hAnsi="宋体" w:eastAsia="宋体" w:cs="宋体"/>
          <w:b/>
          <w:bCs/>
          <w:szCs w:val="21"/>
        </w:rPr>
      </w:pPr>
      <w:r>
        <w:rPr>
          <w:rFonts w:hint="eastAsia" w:ascii="宋体" w:hAnsi="宋体" w:eastAsia="宋体" w:cs="宋体"/>
          <w:szCs w:val="21"/>
        </w:rPr>
        <w:t>原招标文件中涉及的招标参数均是根据项目实际需求而制定，且经前期市场调研，均同时满足三个不同品牌，故不做修改。</w:t>
      </w:r>
    </w:p>
    <w:p w14:paraId="36504779">
      <w:pPr>
        <w:numPr>
          <w:ilvl w:val="0"/>
          <w:numId w:val="1"/>
        </w:numPr>
        <w:spacing w:line="360" w:lineRule="auto"/>
        <w:ind w:firstLine="0"/>
        <w:jc w:val="left"/>
        <w:rPr>
          <w:rFonts w:hint="eastAsia" w:ascii="宋体" w:hAnsi="宋体" w:eastAsia="宋体" w:cs="宋体"/>
          <w:szCs w:val="21"/>
        </w:rPr>
      </w:pPr>
      <w:r>
        <w:rPr>
          <w:rFonts w:hint="eastAsia" w:ascii="宋体" w:hAnsi="宋体" w:eastAsia="宋体"/>
          <w:szCs w:val="21"/>
        </w:rPr>
        <w:t>招标文件中第50页“</w:t>
      </w:r>
      <w:r>
        <w:rPr>
          <w:rFonts w:hint="eastAsia" w:ascii="宋体" w:hAnsi="宋体" w:eastAsia="宋体" w:cs="宋体"/>
          <w:szCs w:val="21"/>
        </w:rPr>
        <w:t>3.2.17、双总线控制主机</w:t>
      </w:r>
      <w:r>
        <w:rPr>
          <w:rFonts w:hint="eastAsia" w:ascii="宋体" w:hAnsi="宋体" w:eastAsia="宋体"/>
          <w:szCs w:val="21"/>
        </w:rPr>
        <w:t>”</w:t>
      </w:r>
      <w:r>
        <w:rPr>
          <w:rFonts w:hint="eastAsia" w:ascii="宋体" w:hAnsi="宋体" w:eastAsia="宋体" w:cs="宋体"/>
          <w:szCs w:val="21"/>
        </w:rPr>
        <w:t>中：“</w:t>
      </w:r>
      <w:r>
        <w:rPr>
          <w:rFonts w:hint="eastAsia" w:ascii="宋体" w:hAnsi="宋体" w:eastAsia="宋体" w:cs="宋体"/>
          <w:color w:val="000000"/>
          <w:kern w:val="0"/>
          <w:sz w:val="22"/>
          <w:szCs w:val="22"/>
          <w:lang w:bidi="ar"/>
        </w:rPr>
        <w:t xml:space="preserve">10. </w:t>
      </w:r>
      <w:r>
        <w:rPr>
          <w:rFonts w:hint="eastAsia" w:ascii="宋体" w:hAnsi="宋体" w:eastAsia="宋体" w:cs="宋体"/>
          <w:szCs w:val="21"/>
        </w:rPr>
        <w:t>#产品需同时提供3C、CE、ROHS认证证书复印件并加盖原厂公章”，修改为：#提供产品的3C、CQC、CE或ROHS认证证书其中任意一项证书。</w:t>
      </w:r>
    </w:p>
    <w:p w14:paraId="40D2B197">
      <w:pPr>
        <w:numPr>
          <w:ilvl w:val="0"/>
          <w:numId w:val="1"/>
        </w:numPr>
        <w:spacing w:line="360" w:lineRule="auto"/>
        <w:ind w:firstLine="0"/>
        <w:jc w:val="left"/>
        <w:rPr>
          <w:b/>
          <w:bCs/>
        </w:rPr>
      </w:pPr>
      <w:r>
        <w:rPr>
          <w:rFonts w:hint="eastAsia" w:ascii="宋体" w:hAnsi="宋体" w:eastAsia="宋体" w:cs="宋体"/>
          <w:szCs w:val="21"/>
        </w:rPr>
        <w:t>本项目招标文件中第88页“6、声音复核系统”、“6.2.1、拾音器（壁装、吸顶）”、第44页“2.2.5、音频存储设备”要求的配置参数，可以满足声音复核系统的功能要求。</w:t>
      </w:r>
    </w:p>
    <w:p w14:paraId="6DF3D661">
      <w:pPr>
        <w:numPr>
          <w:ilvl w:val="0"/>
          <w:numId w:val="1"/>
        </w:numPr>
        <w:spacing w:line="360" w:lineRule="auto"/>
        <w:ind w:firstLine="0"/>
        <w:jc w:val="left"/>
        <w:rPr>
          <w:b/>
          <w:bCs/>
        </w:rPr>
      </w:pPr>
      <w:r>
        <w:rPr>
          <w:rFonts w:hint="eastAsia" w:ascii="宋体" w:hAnsi="宋体" w:cs="宋体"/>
          <w:bCs/>
          <w:szCs w:val="21"/>
        </w:rPr>
        <w:t>招标文件中涉及到需要投标人提供“</w:t>
      </w:r>
      <w:r>
        <w:rPr>
          <w:rFonts w:hint="eastAsia" w:ascii="宋体" w:hAnsi="宋体" w:cs="宋体"/>
          <w:bCs/>
          <w:color w:val="FF0000"/>
          <w:szCs w:val="21"/>
        </w:rPr>
        <w:t>（投标人应提供第三方机构出具的检测报告复印件并加盖厂商公章作为证明文件）、（要求提供主机插卡式外观截图或者“一种PCI插卡式网络音频采集设备”证书复印件证明，并加盖厂家公章）、（要求提供主机插卡式外观截图及线路故障检测功能界面截图证明，并加盖厂家公章）、（投标人须提供相关证明材料复印件并加盖公章）、（提供设备实物功能面板图片，标识相关接口加盖厂家公章）、</w:t>
      </w:r>
      <w:r>
        <w:rPr>
          <w:rFonts w:ascii="宋体" w:hAnsi="宋体" w:cs="宋体"/>
          <w:bCs/>
          <w:color w:val="FF0000"/>
          <w:szCs w:val="21"/>
        </w:rPr>
        <w:t>（投标时需提供照片</w:t>
      </w:r>
      <w:r>
        <w:rPr>
          <w:rFonts w:hint="eastAsia" w:ascii="宋体" w:hAnsi="宋体" w:cs="宋体"/>
          <w:bCs/>
          <w:color w:val="FF0000"/>
          <w:szCs w:val="21"/>
        </w:rPr>
        <w:t>或截图</w:t>
      </w:r>
      <w:r>
        <w:rPr>
          <w:rFonts w:ascii="宋体" w:hAnsi="宋体" w:cs="宋体"/>
          <w:bCs/>
          <w:color w:val="FF0000"/>
          <w:szCs w:val="21"/>
        </w:rPr>
        <w:t>并加盖厂家公章</w:t>
      </w:r>
      <w:r>
        <w:rPr>
          <w:rFonts w:hint="eastAsia" w:ascii="宋体" w:hAnsi="宋体" w:cs="宋体"/>
          <w:bCs/>
          <w:color w:val="FF0000"/>
          <w:szCs w:val="21"/>
        </w:rPr>
        <w:t>）”</w:t>
      </w:r>
      <w:r>
        <w:rPr>
          <w:rFonts w:hint="eastAsia" w:ascii="宋体" w:hAnsi="宋体" w:cs="宋体"/>
          <w:bCs/>
          <w:szCs w:val="21"/>
        </w:rPr>
        <w:t>等要求，</w:t>
      </w:r>
      <w:r>
        <w:rPr>
          <w:rFonts w:hint="eastAsia" w:ascii="宋体" w:hAnsi="宋体" w:cs="宋体"/>
          <w:b/>
          <w:szCs w:val="21"/>
        </w:rPr>
        <w:t>全部删除。</w:t>
      </w:r>
    </w:p>
    <w:p w14:paraId="3E742FFD">
      <w:pPr>
        <w:numPr>
          <w:ilvl w:val="0"/>
          <w:numId w:val="1"/>
        </w:numPr>
        <w:spacing w:line="360" w:lineRule="auto"/>
        <w:ind w:firstLine="0"/>
        <w:jc w:val="left"/>
        <w:rPr>
          <w:b/>
          <w:bCs/>
        </w:rPr>
      </w:pPr>
      <w:r>
        <w:rPr>
          <w:rFonts w:hint="eastAsia"/>
          <w:b/>
          <w:bCs/>
        </w:rPr>
        <w:t>补充原招标文件中部分设备的技术参数如下：</w:t>
      </w:r>
    </w:p>
    <w:p w14:paraId="0A61D45B">
      <w:pPr>
        <w:numPr>
          <w:ilvl w:val="0"/>
          <w:numId w:val="2"/>
        </w:numPr>
        <w:spacing w:line="360" w:lineRule="auto"/>
        <w:ind w:firstLine="420" w:firstLineChars="200"/>
        <w:rPr>
          <w:rFonts w:hint="eastAsia" w:ascii="宋体" w:hAnsi="宋体"/>
          <w:color w:val="000000"/>
        </w:rPr>
      </w:pPr>
      <w:r>
        <w:rPr>
          <w:rFonts w:hint="eastAsia"/>
        </w:rPr>
        <w:t xml:space="preserve">  </w:t>
      </w:r>
      <w:r>
        <w:rPr>
          <w:rFonts w:hint="eastAsia" w:ascii="宋体" w:hAnsi="宋体"/>
          <w:color w:val="000000"/>
        </w:rPr>
        <w:t>监控摄像机(含支架）、23、监控摄像机(含支架）参数要求如下：</w:t>
      </w:r>
    </w:p>
    <w:p w14:paraId="661C598F">
      <w:pPr>
        <w:numPr>
          <w:ilvl w:val="0"/>
          <w:numId w:val="3"/>
        </w:numPr>
        <w:snapToGrid w:val="0"/>
        <w:spacing w:line="360" w:lineRule="auto"/>
        <w:ind w:left="0" w:firstLine="440" w:firstLineChars="200"/>
        <w:jc w:val="left"/>
        <w:rPr>
          <w:rFonts w:hint="eastAsia" w:ascii="宋体" w:hAnsi="宋体" w:cs="宋体"/>
          <w:color w:val="FF0000"/>
          <w:sz w:val="22"/>
          <w:szCs w:val="22"/>
        </w:rPr>
      </w:pPr>
      <w:r>
        <w:rPr>
          <w:rFonts w:hint="eastAsia" w:ascii="宋体" w:hAnsi="宋体" w:cs="宋体"/>
          <w:color w:val="FF0000"/>
          <w:sz w:val="22"/>
          <w:szCs w:val="22"/>
        </w:rPr>
        <w:t>传感器类型：≥1/2.8英寸CMOS；</w:t>
      </w:r>
    </w:p>
    <w:p w14:paraId="68A4AD1F">
      <w:pPr>
        <w:numPr>
          <w:ilvl w:val="0"/>
          <w:numId w:val="3"/>
        </w:numPr>
        <w:snapToGrid w:val="0"/>
        <w:spacing w:line="360" w:lineRule="auto"/>
        <w:ind w:left="0" w:firstLine="440" w:firstLineChars="200"/>
        <w:jc w:val="left"/>
        <w:rPr>
          <w:rFonts w:hint="eastAsia" w:ascii="宋体" w:hAnsi="宋体" w:cs="宋体"/>
          <w:color w:val="FF0000"/>
          <w:sz w:val="22"/>
          <w:szCs w:val="22"/>
        </w:rPr>
      </w:pPr>
      <w:r>
        <w:rPr>
          <w:rFonts w:hint="eastAsia" w:ascii="宋体" w:hAnsi="宋体" w:cs="宋体"/>
          <w:color w:val="FF0000"/>
          <w:sz w:val="22"/>
          <w:szCs w:val="22"/>
        </w:rPr>
        <w:t>像素：≥200万；</w:t>
      </w:r>
    </w:p>
    <w:p w14:paraId="109266DD">
      <w:pPr>
        <w:numPr>
          <w:ilvl w:val="0"/>
          <w:numId w:val="3"/>
        </w:numPr>
        <w:snapToGrid w:val="0"/>
        <w:spacing w:line="360" w:lineRule="auto"/>
        <w:ind w:left="0" w:firstLine="440" w:firstLineChars="200"/>
        <w:jc w:val="left"/>
        <w:rPr>
          <w:rFonts w:hint="eastAsia" w:ascii="宋体" w:hAnsi="宋体" w:cs="宋体"/>
          <w:color w:val="FF0000"/>
          <w:sz w:val="22"/>
          <w:szCs w:val="22"/>
        </w:rPr>
      </w:pPr>
      <w:r>
        <w:rPr>
          <w:rFonts w:hint="eastAsia" w:ascii="宋体" w:hAnsi="宋体" w:cs="宋体"/>
          <w:color w:val="FF0000"/>
          <w:sz w:val="22"/>
          <w:szCs w:val="22"/>
        </w:rPr>
        <w:t>最大分辨率：≥1920×1080；</w:t>
      </w:r>
    </w:p>
    <w:p w14:paraId="5B80F5A3">
      <w:pPr>
        <w:pStyle w:val="15"/>
        <w:numPr>
          <w:ilvl w:val="0"/>
          <w:numId w:val="4"/>
        </w:numPr>
        <w:spacing w:line="360" w:lineRule="auto"/>
        <w:ind w:left="0" w:firstLine="420"/>
        <w:rPr>
          <w:rFonts w:hint="eastAsia" w:ascii="宋体" w:hAnsi="宋体"/>
          <w:color w:val="000000"/>
        </w:rPr>
      </w:pPr>
      <w:r>
        <w:rPr>
          <w:rFonts w:hint="eastAsia" w:ascii="宋体" w:hAnsi="宋体"/>
          <w:color w:val="000000"/>
        </w:rPr>
        <w:t>无线投屏发射器</w:t>
      </w:r>
    </w:p>
    <w:p w14:paraId="7D5C67BF">
      <w:pPr>
        <w:pStyle w:val="15"/>
        <w:spacing w:line="360" w:lineRule="auto"/>
        <w:rPr>
          <w:rFonts w:hint="eastAsia" w:ascii="宋体" w:hAnsi="宋体"/>
          <w:color w:val="FF0000"/>
        </w:rPr>
      </w:pPr>
      <w:r>
        <w:rPr>
          <w:rFonts w:hint="eastAsia" w:ascii="宋体" w:hAnsi="宋体"/>
          <w:color w:val="FF0000"/>
        </w:rPr>
        <w:t>即插即投免驱动；最大支持30米无线传屏；笔记本插入后</w:t>
      </w:r>
      <w:r>
        <w:rPr>
          <w:rFonts w:ascii="宋体" w:hAnsi="宋体"/>
          <w:color w:val="FF0000"/>
        </w:rPr>
        <w:t>无需运行内置特定程序即可支持</w:t>
      </w:r>
      <w:r>
        <w:rPr>
          <w:rFonts w:hint="eastAsia" w:ascii="宋体" w:hAnsi="宋体"/>
          <w:color w:val="FF0000"/>
        </w:rPr>
        <w:t>。</w:t>
      </w:r>
    </w:p>
    <w:p w14:paraId="5D04FC0D">
      <w:pPr>
        <w:numPr>
          <w:ilvl w:val="0"/>
          <w:numId w:val="5"/>
        </w:numPr>
        <w:spacing w:line="360" w:lineRule="auto"/>
        <w:ind w:firstLine="420" w:firstLineChars="200"/>
        <w:rPr>
          <w:rFonts w:hint="eastAsia" w:ascii="宋体" w:hAnsi="宋体"/>
          <w:color w:val="000000"/>
        </w:rPr>
      </w:pPr>
      <w:r>
        <w:rPr>
          <w:rFonts w:hint="eastAsia" w:ascii="宋体" w:hAnsi="宋体"/>
          <w:color w:val="000000"/>
        </w:rPr>
        <w:t>隔离变压器</w:t>
      </w:r>
    </w:p>
    <w:p w14:paraId="23466DB2">
      <w:pPr>
        <w:spacing w:line="360" w:lineRule="auto"/>
        <w:ind w:firstLine="420" w:firstLineChars="200"/>
        <w:rPr>
          <w:rFonts w:hint="eastAsia" w:ascii="宋体" w:hAnsi="宋体"/>
          <w:color w:val="FF0000"/>
        </w:rPr>
      </w:pPr>
      <w:r>
        <w:rPr>
          <w:rFonts w:hint="eastAsia" w:ascii="宋体" w:hAnsi="宋体"/>
          <w:color w:val="FF0000"/>
        </w:rPr>
        <w:t>支持3.5AUX插座，支持消除共地电流声</w:t>
      </w:r>
    </w:p>
    <w:p w14:paraId="5FEAF983">
      <w:pPr>
        <w:numPr>
          <w:ilvl w:val="0"/>
          <w:numId w:val="5"/>
        </w:numPr>
        <w:spacing w:line="360" w:lineRule="auto"/>
        <w:ind w:firstLine="420" w:firstLineChars="200"/>
        <w:rPr>
          <w:rFonts w:hint="eastAsia" w:ascii="宋体" w:hAnsi="宋体"/>
          <w:color w:val="000000"/>
        </w:rPr>
      </w:pPr>
      <w:r>
        <w:rPr>
          <w:rFonts w:hint="eastAsia" w:ascii="宋体" w:hAnsi="宋体"/>
          <w:color w:val="000000"/>
        </w:rPr>
        <w:t>红外发射棒</w:t>
      </w:r>
    </w:p>
    <w:p w14:paraId="54730B1A">
      <w:pPr>
        <w:spacing w:line="360" w:lineRule="auto"/>
        <w:ind w:firstLine="420" w:firstLineChars="200"/>
        <w:rPr>
          <w:rFonts w:hint="eastAsia" w:ascii="宋体" w:hAnsi="宋体"/>
          <w:color w:val="FF0000"/>
        </w:rPr>
      </w:pPr>
      <w:r>
        <w:rPr>
          <w:rFonts w:hint="eastAsia" w:ascii="宋体" w:hAnsi="宋体"/>
          <w:color w:val="FF0000"/>
        </w:rPr>
        <w:t>≥1米红外IR发射线；</w:t>
      </w:r>
    </w:p>
    <w:p w14:paraId="5C7DCF97">
      <w:pPr>
        <w:numPr>
          <w:ilvl w:val="0"/>
          <w:numId w:val="6"/>
        </w:numPr>
        <w:spacing w:line="360" w:lineRule="auto"/>
        <w:ind w:firstLine="420" w:firstLineChars="200"/>
        <w:rPr>
          <w:rFonts w:hint="eastAsia" w:ascii="宋体" w:hAnsi="宋体"/>
          <w:color w:val="000000"/>
        </w:rPr>
      </w:pPr>
      <w:r>
        <w:rPr>
          <w:rFonts w:hint="eastAsia" w:ascii="宋体" w:hAnsi="宋体"/>
          <w:color w:val="000000"/>
        </w:rPr>
        <w:t>红外发射棒</w:t>
      </w:r>
    </w:p>
    <w:p w14:paraId="6191CA51">
      <w:pPr>
        <w:spacing w:line="360" w:lineRule="auto"/>
        <w:ind w:firstLine="420" w:firstLineChars="200"/>
        <w:rPr>
          <w:rFonts w:hint="eastAsia" w:ascii="宋体" w:hAnsi="宋体"/>
          <w:color w:val="FF0000"/>
        </w:rPr>
      </w:pPr>
      <w:r>
        <w:rPr>
          <w:rFonts w:hint="eastAsia" w:ascii="宋体" w:hAnsi="宋体"/>
          <w:color w:val="FF0000"/>
        </w:rPr>
        <w:t>≥1米红外IR发射线；</w:t>
      </w:r>
    </w:p>
    <w:p w14:paraId="310B65EF">
      <w:pPr>
        <w:numPr>
          <w:ilvl w:val="0"/>
          <w:numId w:val="7"/>
        </w:numPr>
        <w:spacing w:line="360" w:lineRule="auto"/>
        <w:ind w:firstLine="420" w:firstLineChars="200"/>
      </w:pPr>
      <w:r>
        <w:rPr>
          <w:rFonts w:hint="eastAsia"/>
        </w:rPr>
        <w:t>话筒</w:t>
      </w:r>
    </w:p>
    <w:p w14:paraId="1D5259DE">
      <w:pPr>
        <w:spacing w:line="360" w:lineRule="auto"/>
        <w:ind w:firstLine="420" w:firstLineChars="200"/>
        <w:rPr>
          <w:color w:val="FF0000"/>
        </w:rPr>
      </w:pPr>
      <w:r>
        <w:rPr>
          <w:rFonts w:hint="eastAsia"/>
          <w:color w:val="FF0000"/>
        </w:rPr>
        <w:t>超心形指向</w:t>
      </w:r>
    </w:p>
    <w:p w14:paraId="7B4E5D88">
      <w:pPr>
        <w:spacing w:line="360" w:lineRule="auto"/>
        <w:ind w:firstLine="420" w:firstLineChars="200"/>
        <w:rPr>
          <w:color w:val="FF0000"/>
        </w:rPr>
      </w:pPr>
      <w:r>
        <w:rPr>
          <w:rFonts w:hint="eastAsia"/>
          <w:color w:val="FF0000"/>
        </w:rPr>
        <w:t>咪杆长度不小于300mm</w:t>
      </w:r>
    </w:p>
    <w:p w14:paraId="086719FA">
      <w:pPr>
        <w:spacing w:line="360" w:lineRule="auto"/>
        <w:ind w:firstLine="420" w:firstLineChars="200"/>
      </w:pPr>
      <w:r>
        <w:rPr>
          <w:rFonts w:hint="eastAsia"/>
        </w:rPr>
        <w:t>2、门磁</w:t>
      </w:r>
    </w:p>
    <w:p w14:paraId="765C5120">
      <w:pPr>
        <w:spacing w:line="360" w:lineRule="auto"/>
        <w:ind w:firstLine="420" w:firstLineChars="200"/>
        <w:rPr>
          <w:color w:val="FF0000"/>
        </w:rPr>
      </w:pPr>
      <w:r>
        <w:rPr>
          <w:rFonts w:hint="eastAsia"/>
          <w:color w:val="FF0000"/>
        </w:rPr>
        <w:t>工作电压：DC2.5~3.6V，输入电压DC12V。工作电流：静态电流≤20uA，报警电流≤150mA。工作方式：常开、闭合信号输出，配合控制设备使用可定义报警信号。</w:t>
      </w:r>
    </w:p>
    <w:p w14:paraId="4EA13980">
      <w:pPr>
        <w:spacing w:line="360" w:lineRule="auto"/>
        <w:ind w:firstLine="420" w:firstLineChars="200"/>
      </w:pPr>
      <w:r>
        <w:rPr>
          <w:rFonts w:hint="eastAsia"/>
        </w:rPr>
        <w:t>6、单门单向（人脸）</w:t>
      </w:r>
    </w:p>
    <w:p w14:paraId="1A27CD87">
      <w:pPr>
        <w:spacing w:line="360" w:lineRule="auto"/>
        <w:ind w:firstLine="420" w:firstLineChars="200"/>
        <w:rPr>
          <w:color w:val="FF0000"/>
        </w:rPr>
      </w:pPr>
      <w:r>
        <w:rPr>
          <w:rFonts w:hint="eastAsia"/>
          <w:color w:val="FF0000"/>
        </w:rPr>
        <w:t>此项为单门单向人脸识别门禁的闭门器，详见7.2.5闭门器参数要求。</w:t>
      </w:r>
    </w:p>
    <w:p w14:paraId="04046859">
      <w:pPr>
        <w:pStyle w:val="15"/>
        <w:numPr>
          <w:ilvl w:val="0"/>
          <w:numId w:val="7"/>
        </w:numPr>
        <w:spacing w:line="360" w:lineRule="auto"/>
      </w:pPr>
      <w:r>
        <w:rPr>
          <w:rFonts w:hint="eastAsia"/>
        </w:rPr>
        <w:t>单门单向（人脸）</w:t>
      </w:r>
    </w:p>
    <w:p w14:paraId="3823C991">
      <w:pPr>
        <w:spacing w:line="360" w:lineRule="auto"/>
        <w:ind w:firstLine="420" w:firstLineChars="200"/>
      </w:pPr>
      <w:bookmarkStart w:id="0" w:name="_Hlk172409922"/>
      <w:r>
        <w:rPr>
          <w:rFonts w:hint="eastAsia"/>
          <w:color w:val="FF0000"/>
        </w:rPr>
        <w:t>此项为单门单向人脸识别门禁的人脸门禁一体机，详见7.2.7</w:t>
      </w:r>
      <w:bookmarkEnd w:id="0"/>
      <w:r>
        <w:rPr>
          <w:rFonts w:hint="eastAsia"/>
          <w:color w:val="FF0000"/>
        </w:rPr>
        <w:t>人脸门禁一体机参数要求。</w:t>
      </w:r>
    </w:p>
    <w:p w14:paraId="4FF89219">
      <w:pPr>
        <w:pStyle w:val="15"/>
        <w:numPr>
          <w:ilvl w:val="0"/>
          <w:numId w:val="7"/>
        </w:numPr>
        <w:spacing w:line="360" w:lineRule="auto"/>
      </w:pPr>
      <w:r>
        <w:rPr>
          <w:rFonts w:hint="eastAsia"/>
        </w:rPr>
        <w:t>单门单向（人脸）</w:t>
      </w:r>
    </w:p>
    <w:p w14:paraId="0E099B6E">
      <w:pPr>
        <w:pStyle w:val="15"/>
        <w:spacing w:line="360" w:lineRule="auto"/>
        <w:rPr>
          <w:color w:val="FF0000"/>
        </w:rPr>
      </w:pPr>
      <w:r>
        <w:rPr>
          <w:rFonts w:hint="eastAsia"/>
          <w:color w:val="FF0000"/>
        </w:rPr>
        <w:t>此项为单门单向人脸识别门禁的开门按钮，详见7.2.4开门按钮参数要求。</w:t>
      </w:r>
    </w:p>
    <w:p w14:paraId="219C9657">
      <w:pPr>
        <w:pStyle w:val="15"/>
        <w:numPr>
          <w:ilvl w:val="0"/>
          <w:numId w:val="7"/>
        </w:numPr>
        <w:spacing w:line="360" w:lineRule="auto"/>
      </w:pPr>
      <w:r>
        <w:rPr>
          <w:rFonts w:hint="eastAsia"/>
        </w:rPr>
        <w:t>单门单向（指静脉）</w:t>
      </w:r>
    </w:p>
    <w:p w14:paraId="0F40571C">
      <w:pPr>
        <w:pStyle w:val="15"/>
        <w:spacing w:line="360" w:lineRule="auto"/>
        <w:rPr>
          <w:color w:val="FF0000"/>
        </w:rPr>
      </w:pPr>
      <w:r>
        <w:rPr>
          <w:rFonts w:hint="eastAsia"/>
          <w:color w:val="FF0000"/>
        </w:rPr>
        <w:t>此项为单门单向门禁的门所配置的双门门禁控制器，详见7.2.6普通双门门禁控制器参数要求。</w:t>
      </w:r>
    </w:p>
    <w:p w14:paraId="325A75EF">
      <w:pPr>
        <w:pStyle w:val="15"/>
        <w:numPr>
          <w:ilvl w:val="0"/>
          <w:numId w:val="7"/>
        </w:numPr>
        <w:spacing w:line="360" w:lineRule="auto"/>
      </w:pPr>
      <w:r>
        <w:rPr>
          <w:rFonts w:hint="eastAsia"/>
        </w:rPr>
        <w:t>单门单向（指静脉）</w:t>
      </w:r>
    </w:p>
    <w:p w14:paraId="536B2478">
      <w:pPr>
        <w:pStyle w:val="15"/>
        <w:spacing w:line="360" w:lineRule="auto"/>
      </w:pPr>
      <w:r>
        <w:rPr>
          <w:rFonts w:hint="eastAsia"/>
          <w:color w:val="FF0000"/>
        </w:rPr>
        <w:t>此项为单门单向（指静脉）识别的闭门器，详见7.2.5闭门器参数要求。</w:t>
      </w:r>
    </w:p>
    <w:p w14:paraId="5062F6D8">
      <w:pPr>
        <w:pStyle w:val="15"/>
        <w:numPr>
          <w:ilvl w:val="0"/>
          <w:numId w:val="7"/>
        </w:numPr>
        <w:spacing w:line="360" w:lineRule="auto"/>
      </w:pPr>
      <w:r>
        <w:rPr>
          <w:rFonts w:hint="eastAsia"/>
        </w:rPr>
        <w:t>单门单向（指静脉）</w:t>
      </w:r>
    </w:p>
    <w:p w14:paraId="7FA4A1D8">
      <w:pPr>
        <w:pStyle w:val="15"/>
        <w:spacing w:line="360" w:lineRule="auto"/>
      </w:pPr>
      <w:r>
        <w:rPr>
          <w:rFonts w:hint="eastAsia"/>
          <w:color w:val="FF0000"/>
        </w:rPr>
        <w:t>此项为单门单向（指静脉）识别的读卡器，详见7.2.8指静脉读卡器参数要求</w:t>
      </w:r>
    </w:p>
    <w:p w14:paraId="69E1D274">
      <w:pPr>
        <w:pStyle w:val="15"/>
        <w:numPr>
          <w:ilvl w:val="0"/>
          <w:numId w:val="7"/>
        </w:numPr>
        <w:spacing w:line="360" w:lineRule="auto"/>
      </w:pPr>
      <w:r>
        <w:rPr>
          <w:rFonts w:hint="eastAsia"/>
        </w:rPr>
        <w:t>单门单向（指静脉</w:t>
      </w:r>
    </w:p>
    <w:p w14:paraId="17539711">
      <w:pPr>
        <w:spacing w:line="360" w:lineRule="auto"/>
        <w:ind w:firstLine="420" w:firstLineChars="200"/>
      </w:pPr>
      <w:r>
        <w:rPr>
          <w:rFonts w:hint="eastAsia"/>
          <w:color w:val="FF0000"/>
        </w:rPr>
        <w:t>此项为单门单向（指静脉）识别的开门按钮，详见7.2.4开门按钮参数要求</w:t>
      </w:r>
    </w:p>
    <w:p w14:paraId="7CD7225E">
      <w:pPr>
        <w:pStyle w:val="15"/>
        <w:numPr>
          <w:ilvl w:val="0"/>
          <w:numId w:val="7"/>
        </w:numPr>
        <w:spacing w:line="360" w:lineRule="auto"/>
      </w:pPr>
      <w:r>
        <w:rPr>
          <w:rFonts w:hint="eastAsia"/>
        </w:rPr>
        <w:t>单门双向（生物人别+键盘密码）</w:t>
      </w:r>
    </w:p>
    <w:p w14:paraId="644E5D04">
      <w:pPr>
        <w:pStyle w:val="15"/>
        <w:spacing w:line="360" w:lineRule="auto"/>
        <w:rPr>
          <w:color w:val="FF0000"/>
        </w:rPr>
      </w:pPr>
      <w:r>
        <w:rPr>
          <w:rFonts w:hint="eastAsia"/>
          <w:color w:val="FF0000"/>
        </w:rPr>
        <w:t>此项为单门双向（生物人别+键盘密码）识别的人脸门禁一体机，详见7.2.7人脸门禁一体机参数要求</w:t>
      </w:r>
    </w:p>
    <w:p w14:paraId="2D535FCF">
      <w:pPr>
        <w:pStyle w:val="15"/>
        <w:numPr>
          <w:ilvl w:val="0"/>
          <w:numId w:val="7"/>
        </w:numPr>
        <w:spacing w:line="360" w:lineRule="auto"/>
      </w:pPr>
      <w:r>
        <w:rPr>
          <w:rFonts w:hint="eastAsia"/>
        </w:rPr>
        <w:t>单门双向（生物人别+键盘密码）</w:t>
      </w:r>
    </w:p>
    <w:p w14:paraId="728F5D9D">
      <w:pPr>
        <w:pStyle w:val="15"/>
        <w:spacing w:line="360" w:lineRule="auto"/>
        <w:rPr>
          <w:color w:val="FF0000"/>
        </w:rPr>
      </w:pPr>
      <w:bookmarkStart w:id="1" w:name="_Hlk172411645"/>
      <w:r>
        <w:rPr>
          <w:rFonts w:hint="eastAsia"/>
          <w:color w:val="FF0000"/>
        </w:rPr>
        <w:t>此项为单门双向（生物人别+键盘密码）识别的闭门器，详见7.2.5闭门器参数要求</w:t>
      </w:r>
    </w:p>
    <w:bookmarkEnd w:id="1"/>
    <w:p w14:paraId="010752F0">
      <w:pPr>
        <w:pStyle w:val="15"/>
        <w:numPr>
          <w:ilvl w:val="0"/>
          <w:numId w:val="7"/>
        </w:numPr>
        <w:spacing w:line="360" w:lineRule="auto"/>
      </w:pPr>
      <w:r>
        <w:rPr>
          <w:rFonts w:hint="eastAsia"/>
        </w:rPr>
        <w:t>单门双向（生物人别+键盘密码）</w:t>
      </w:r>
    </w:p>
    <w:p w14:paraId="11058141">
      <w:pPr>
        <w:pStyle w:val="15"/>
        <w:spacing w:line="360" w:lineRule="auto"/>
      </w:pPr>
      <w:r>
        <w:rPr>
          <w:rFonts w:hint="eastAsia"/>
          <w:color w:val="FF0000"/>
        </w:rPr>
        <w:t>此项为单门双向（生物人别+键盘密码）识别的开门按钮，详见7.2.4开门按钮参数要求</w:t>
      </w:r>
    </w:p>
    <w:p w14:paraId="1B3C59B5">
      <w:pPr>
        <w:pStyle w:val="15"/>
        <w:numPr>
          <w:ilvl w:val="0"/>
          <w:numId w:val="7"/>
        </w:numPr>
        <w:spacing w:line="360" w:lineRule="auto"/>
      </w:pPr>
      <w:r>
        <w:rPr>
          <w:rFonts w:hint="eastAsia"/>
        </w:rPr>
        <w:t>单门双向（生物人别+键盘密码）</w:t>
      </w:r>
    </w:p>
    <w:p w14:paraId="754A317B">
      <w:pPr>
        <w:pStyle w:val="15"/>
        <w:spacing w:line="360" w:lineRule="auto"/>
        <w:rPr>
          <w:color w:val="FF0000"/>
        </w:rPr>
      </w:pPr>
      <w:r>
        <w:rPr>
          <w:rFonts w:hint="eastAsia"/>
          <w:color w:val="FF0000"/>
        </w:rPr>
        <w:t>此项为单门双向（生物人别+键盘密码）识别的读卡器。</w:t>
      </w:r>
    </w:p>
    <w:p w14:paraId="3A593122">
      <w:pPr>
        <w:pStyle w:val="15"/>
        <w:spacing w:line="360" w:lineRule="auto"/>
      </w:pPr>
      <w:r>
        <w:rPr>
          <w:rFonts w:hint="eastAsia"/>
          <w:color w:val="FF0000"/>
        </w:rPr>
        <w:t>读卡器应采用读取卡内写入的流水号认证权限的方式，读写卡时间小于1秒，工作频率：13.56MHZ；带呼吸灯显示效果。支持键盘密码识别。</w:t>
      </w:r>
    </w:p>
    <w:p w14:paraId="0ABEC7BC">
      <w:pPr>
        <w:pStyle w:val="15"/>
        <w:numPr>
          <w:ilvl w:val="0"/>
          <w:numId w:val="7"/>
        </w:numPr>
        <w:spacing w:line="360" w:lineRule="auto"/>
      </w:pPr>
      <w:bookmarkStart w:id="2" w:name="_Hlk172411655"/>
      <w:r>
        <w:rPr>
          <w:rFonts w:hint="eastAsia"/>
        </w:rPr>
        <w:t>双门单向（掌型）</w:t>
      </w:r>
    </w:p>
    <w:bookmarkEnd w:id="2"/>
    <w:p w14:paraId="54013DBB">
      <w:pPr>
        <w:pStyle w:val="15"/>
        <w:spacing w:line="360" w:lineRule="auto"/>
        <w:rPr>
          <w:color w:val="FF0000"/>
        </w:rPr>
      </w:pPr>
      <w:r>
        <w:rPr>
          <w:rFonts w:hint="eastAsia"/>
          <w:color w:val="FF0000"/>
        </w:rPr>
        <w:t>此项为双门单向（掌型）识别的闭门器，详见7.2.5闭门器参数要求</w:t>
      </w:r>
    </w:p>
    <w:p w14:paraId="4EA9FEE2">
      <w:pPr>
        <w:pStyle w:val="15"/>
        <w:numPr>
          <w:ilvl w:val="0"/>
          <w:numId w:val="7"/>
        </w:numPr>
        <w:spacing w:line="360" w:lineRule="auto"/>
      </w:pPr>
      <w:r>
        <w:rPr>
          <w:rFonts w:hint="eastAsia"/>
        </w:rPr>
        <w:t>双门单向（掌型）</w:t>
      </w:r>
    </w:p>
    <w:p w14:paraId="6AA3F6AC">
      <w:pPr>
        <w:pStyle w:val="15"/>
        <w:spacing w:line="360" w:lineRule="auto"/>
      </w:pPr>
      <w:r>
        <w:rPr>
          <w:rFonts w:hint="eastAsia"/>
          <w:color w:val="FF0000"/>
        </w:rPr>
        <w:t>此项为双门单向（掌型）识别的读卡器，读卡器应采用读取卡内写入的流水号认证权限的方式，读写卡时间小于1秒，工作频率：13.56MHZ；带呼吸灯显示效果；支持键盘密码识别。</w:t>
      </w:r>
    </w:p>
    <w:p w14:paraId="2F3B04C5">
      <w:pPr>
        <w:pStyle w:val="15"/>
        <w:numPr>
          <w:ilvl w:val="0"/>
          <w:numId w:val="7"/>
        </w:numPr>
        <w:spacing w:line="360" w:lineRule="auto"/>
      </w:pPr>
      <w:r>
        <w:rPr>
          <w:rFonts w:hint="eastAsia"/>
        </w:rPr>
        <w:t>双门单向（掌型）</w:t>
      </w:r>
    </w:p>
    <w:p w14:paraId="0632BCB5">
      <w:pPr>
        <w:pStyle w:val="15"/>
        <w:spacing w:line="360" w:lineRule="auto"/>
        <w:rPr>
          <w:color w:val="FF0000"/>
        </w:rPr>
      </w:pPr>
      <w:r>
        <w:rPr>
          <w:rFonts w:hint="eastAsia"/>
          <w:color w:val="FF0000"/>
        </w:rPr>
        <w:t>此项为双门单向（掌型）识别的指静脉读卡器，详见7.2.8指静脉读卡器参数要求。</w:t>
      </w:r>
    </w:p>
    <w:p w14:paraId="637E15A3">
      <w:pPr>
        <w:pStyle w:val="15"/>
        <w:numPr>
          <w:ilvl w:val="0"/>
          <w:numId w:val="7"/>
        </w:numPr>
        <w:spacing w:line="360" w:lineRule="auto"/>
      </w:pPr>
      <w:r>
        <w:rPr>
          <w:rFonts w:hint="eastAsia"/>
        </w:rPr>
        <w:t>双门单向（掌型）</w:t>
      </w:r>
    </w:p>
    <w:p w14:paraId="7710FCA8">
      <w:pPr>
        <w:spacing w:line="360" w:lineRule="auto"/>
        <w:ind w:firstLine="420" w:firstLineChars="200"/>
      </w:pPr>
      <w:r>
        <w:rPr>
          <w:rFonts w:hint="eastAsia"/>
          <w:color w:val="FF0000"/>
        </w:rPr>
        <w:t>此项为双门单向（掌型）识别的开门按钮，详见7.2.4开门按钮参数要求。</w:t>
      </w:r>
    </w:p>
    <w:p w14:paraId="61B9AF31">
      <w:pPr>
        <w:pStyle w:val="15"/>
        <w:numPr>
          <w:ilvl w:val="0"/>
          <w:numId w:val="7"/>
        </w:numPr>
        <w:spacing w:line="360" w:lineRule="auto"/>
      </w:pPr>
      <w:r>
        <w:rPr>
          <w:rFonts w:hint="eastAsia"/>
        </w:rPr>
        <w:t>双门双向（生物人别+键盘密码）</w:t>
      </w:r>
    </w:p>
    <w:p w14:paraId="2B82D5E0">
      <w:pPr>
        <w:spacing w:line="360" w:lineRule="auto"/>
        <w:ind w:firstLine="420" w:firstLineChars="200"/>
      </w:pPr>
      <w:r>
        <w:rPr>
          <w:rFonts w:hint="eastAsia"/>
          <w:color w:val="FF0000"/>
        </w:rPr>
        <w:t>此项为双门双向（生物人别+键盘密码）配置的开门按钮，详见7.2.4开门按钮参数要求。</w:t>
      </w:r>
    </w:p>
    <w:p w14:paraId="5553BB81">
      <w:pPr>
        <w:pStyle w:val="15"/>
        <w:numPr>
          <w:ilvl w:val="0"/>
          <w:numId w:val="7"/>
        </w:numPr>
        <w:spacing w:line="360" w:lineRule="auto"/>
      </w:pPr>
      <w:r>
        <w:rPr>
          <w:rFonts w:hint="eastAsia"/>
        </w:rPr>
        <w:t>双门双向（生物人别+键盘密码）</w:t>
      </w:r>
    </w:p>
    <w:p w14:paraId="084D287F">
      <w:pPr>
        <w:pStyle w:val="15"/>
        <w:spacing w:line="360" w:lineRule="auto"/>
        <w:rPr>
          <w:color w:val="FF0000"/>
        </w:rPr>
      </w:pPr>
      <w:r>
        <w:rPr>
          <w:rFonts w:hint="eastAsia"/>
          <w:color w:val="FF0000"/>
        </w:rPr>
        <w:t>此项为双门双向（生物人别+键盘密码）配置的人脸门禁一体机，详见7.2.7人脸门禁一体机参数要求。</w:t>
      </w:r>
    </w:p>
    <w:p w14:paraId="13174171">
      <w:pPr>
        <w:pStyle w:val="15"/>
        <w:numPr>
          <w:ilvl w:val="0"/>
          <w:numId w:val="7"/>
        </w:numPr>
        <w:spacing w:line="360" w:lineRule="auto"/>
      </w:pPr>
      <w:r>
        <w:rPr>
          <w:rFonts w:hint="eastAsia"/>
        </w:rPr>
        <w:t>双门双向（生物人别+键盘密码）</w:t>
      </w:r>
    </w:p>
    <w:p w14:paraId="7E365374">
      <w:pPr>
        <w:pStyle w:val="15"/>
        <w:spacing w:line="360" w:lineRule="auto"/>
      </w:pPr>
      <w:bookmarkStart w:id="3" w:name="_Hlk172412138"/>
      <w:r>
        <w:rPr>
          <w:rFonts w:hint="eastAsia"/>
          <w:color w:val="FF0000"/>
        </w:rPr>
        <w:t>此项为双门双向（生物人别+键盘密码）配置的闭门器，详见7.2.5闭门器参数要求。</w:t>
      </w:r>
    </w:p>
    <w:bookmarkEnd w:id="3"/>
    <w:p w14:paraId="052C8D51">
      <w:pPr>
        <w:pStyle w:val="15"/>
        <w:numPr>
          <w:ilvl w:val="0"/>
          <w:numId w:val="7"/>
        </w:numPr>
        <w:spacing w:line="360" w:lineRule="auto"/>
      </w:pPr>
      <w:r>
        <w:rPr>
          <w:rFonts w:hint="eastAsia"/>
        </w:rPr>
        <w:t>双门双向（生物人别+键盘密码）</w:t>
      </w:r>
    </w:p>
    <w:p w14:paraId="19361FCA">
      <w:pPr>
        <w:spacing w:line="360" w:lineRule="auto"/>
        <w:ind w:firstLine="420" w:firstLineChars="200"/>
        <w:rPr>
          <w:color w:val="FF0000"/>
        </w:rPr>
      </w:pPr>
      <w:r>
        <w:rPr>
          <w:rFonts w:hint="eastAsia"/>
          <w:color w:val="FF0000"/>
        </w:rPr>
        <w:t>此项为双门双向（生物人别+键盘密码）配置的读卡器。</w:t>
      </w:r>
    </w:p>
    <w:p w14:paraId="4C6E472C">
      <w:pPr>
        <w:pStyle w:val="15"/>
        <w:spacing w:line="360" w:lineRule="auto"/>
        <w:rPr>
          <w:color w:val="FF0000"/>
        </w:rPr>
      </w:pPr>
      <w:r>
        <w:rPr>
          <w:rFonts w:hint="eastAsia"/>
          <w:color w:val="FF0000"/>
        </w:rPr>
        <w:t>读卡器应采用读取卡内写入的流水号认证权限的方式，读写卡时间小于1秒，工作频率：13.56MHZ；带呼吸灯显示效果；</w:t>
      </w:r>
    </w:p>
    <w:p w14:paraId="3DAD4511">
      <w:pPr>
        <w:pStyle w:val="15"/>
        <w:spacing w:line="360" w:lineRule="auto"/>
        <w:rPr>
          <w:color w:val="FF0000"/>
        </w:rPr>
      </w:pPr>
      <w:r>
        <w:rPr>
          <w:rFonts w:hint="eastAsia"/>
          <w:color w:val="FF0000"/>
        </w:rPr>
        <w:t>支持键盘密码识别。</w:t>
      </w:r>
    </w:p>
    <w:p w14:paraId="3B3F6E19">
      <w:pPr>
        <w:spacing w:line="360" w:lineRule="auto"/>
        <w:ind w:firstLine="420" w:firstLineChars="200"/>
      </w:pPr>
      <w:r>
        <w:rPr>
          <w:rFonts w:hint="eastAsia"/>
        </w:rPr>
        <w:t>27、单门磁力锁</w:t>
      </w:r>
    </w:p>
    <w:p w14:paraId="0B6F9585">
      <w:pPr>
        <w:spacing w:line="360" w:lineRule="auto"/>
        <w:ind w:firstLine="420" w:firstLineChars="200"/>
        <w:rPr>
          <w:color w:val="FF0000"/>
        </w:rPr>
      </w:pPr>
      <w:r>
        <w:rPr>
          <w:rFonts w:hint="eastAsia"/>
          <w:color w:val="FF0000"/>
        </w:rPr>
        <w:t>最大拉力：280KG （620LB）；输入电压：DC12V或24V；工作电流：DC12V/460mA.DC24V/230mA</w:t>
      </w:r>
    </w:p>
    <w:p w14:paraId="52C7BA06">
      <w:pPr>
        <w:spacing w:line="360" w:lineRule="auto"/>
        <w:ind w:firstLine="420" w:firstLineChars="200"/>
        <w:rPr>
          <w:color w:val="FF0000"/>
        </w:rPr>
      </w:pPr>
      <w:r>
        <w:rPr>
          <w:rFonts w:hint="eastAsia"/>
          <w:color w:val="FF0000"/>
        </w:rPr>
        <w:t>适用门型:木门、玻璃门、金属门、防火门；解锁方式：断电开门 .带信号反馈 ；特殊设计：专业防残磁处理，坚固耐用。</w:t>
      </w:r>
    </w:p>
    <w:p w14:paraId="5338668C">
      <w:pPr>
        <w:spacing w:line="360" w:lineRule="auto"/>
        <w:ind w:firstLine="420" w:firstLineChars="200"/>
      </w:pPr>
      <w:r>
        <w:rPr>
          <w:rFonts w:hint="eastAsia"/>
        </w:rPr>
        <w:t>28、双门磁力锁</w:t>
      </w:r>
    </w:p>
    <w:p w14:paraId="35C2F80E">
      <w:pPr>
        <w:spacing w:line="360" w:lineRule="auto"/>
        <w:ind w:firstLine="420" w:firstLineChars="200"/>
        <w:rPr>
          <w:color w:val="FF0000"/>
        </w:rPr>
      </w:pPr>
      <w:r>
        <w:rPr>
          <w:rFonts w:hint="eastAsia"/>
          <w:color w:val="FF0000"/>
        </w:rPr>
        <w:t>最大拉力：280KG （620LB）；输入电压：DC12V或24V；工作电流：DC12V/460mA.DC24V/230mA</w:t>
      </w:r>
    </w:p>
    <w:p w14:paraId="13B2F9D8">
      <w:pPr>
        <w:spacing w:line="360" w:lineRule="auto"/>
        <w:ind w:firstLine="420" w:firstLineChars="200"/>
        <w:rPr>
          <w:color w:val="FF0000"/>
        </w:rPr>
      </w:pPr>
      <w:r>
        <w:rPr>
          <w:rFonts w:hint="eastAsia"/>
          <w:color w:val="FF0000"/>
        </w:rPr>
        <w:t>适用门型:木门、玻璃门、金属门、防火门；解锁方式：断电开门 .带信号反馈 ；特殊设计：专业防残磁处理，坚固耐用。</w:t>
      </w:r>
    </w:p>
    <w:p w14:paraId="54279541">
      <w:pPr>
        <w:pStyle w:val="15"/>
        <w:numPr>
          <w:ilvl w:val="0"/>
          <w:numId w:val="5"/>
        </w:numPr>
        <w:spacing w:line="360" w:lineRule="auto"/>
      </w:pPr>
      <w:r>
        <w:rPr>
          <w:rFonts w:hint="eastAsia"/>
        </w:rPr>
        <w:t>巡更点信息按钮</w:t>
      </w:r>
    </w:p>
    <w:p w14:paraId="0D95CAE3">
      <w:pPr>
        <w:pStyle w:val="15"/>
        <w:spacing w:line="360" w:lineRule="auto"/>
        <w:rPr>
          <w:color w:val="FF0000"/>
        </w:rPr>
      </w:pPr>
      <w:r>
        <w:rPr>
          <w:rFonts w:hint="eastAsia"/>
          <w:color w:val="FF0000"/>
        </w:rPr>
        <w:t>识别距离3-5cm，读卡频率125KHz，识读此书大于100万次，防水防尘防震，无需供电，单独不可修改ID码。</w:t>
      </w:r>
    </w:p>
    <w:p w14:paraId="46952C00">
      <w:pPr>
        <w:spacing w:line="360" w:lineRule="auto"/>
        <w:ind w:firstLine="420" w:firstLineChars="200"/>
      </w:pPr>
      <w:r>
        <w:rPr>
          <w:rFonts w:hint="eastAsia"/>
        </w:rPr>
        <w:t>34、巡更采集器</w:t>
      </w:r>
    </w:p>
    <w:p w14:paraId="63C5C50E">
      <w:pPr>
        <w:spacing w:line="360" w:lineRule="auto"/>
        <w:ind w:firstLine="420" w:firstLineChars="200"/>
        <w:rPr>
          <w:rFonts w:hint="eastAsia"/>
          <w:color w:val="FF0000"/>
        </w:rPr>
      </w:pPr>
      <w:r>
        <w:rPr>
          <w:rFonts w:hint="eastAsia"/>
          <w:color w:val="FF0000"/>
        </w:rPr>
        <w:t>RFID自动感应读卡技术，读卡反应时间不大于0.1秒，读卡成功声光提示，显示屏显示记录数、卡号、时间，操作简单，无需按键即可操作。配备显示屏，低电提醒，不小于30000条容量，USB通讯，软件免安装，使用多种操作系统，多语言一键切换。</w:t>
      </w:r>
    </w:p>
    <w:p w14:paraId="44030BD3">
      <w:pPr>
        <w:spacing w:line="360" w:lineRule="auto"/>
        <w:ind w:firstLine="420" w:firstLineChars="200"/>
        <w:rPr>
          <w:rFonts w:hint="eastAsia"/>
          <w:color w:val="FF0000"/>
        </w:rPr>
      </w:pPr>
    </w:p>
    <w:p w14:paraId="6F4251EB">
      <w:pPr>
        <w:numPr>
          <w:ilvl w:val="0"/>
          <w:numId w:val="1"/>
        </w:numPr>
        <w:spacing w:line="360" w:lineRule="auto"/>
        <w:ind w:firstLine="0"/>
        <w:jc w:val="left"/>
        <w:rPr>
          <w:b/>
          <w:bCs/>
        </w:rPr>
      </w:pPr>
      <w:r>
        <w:rPr>
          <w:rFonts w:hint="eastAsia"/>
          <w:b/>
          <w:bCs/>
          <w:lang w:val="en-US" w:eastAsia="zh-CN"/>
        </w:rPr>
        <w:t>针对招标文件</w:t>
      </w:r>
      <w:r>
        <w:rPr>
          <w:rFonts w:hint="eastAsia"/>
          <w:b/>
          <w:bCs/>
        </w:rPr>
        <w:t>评标标准</w:t>
      </w:r>
      <w:r>
        <w:rPr>
          <w:rFonts w:hint="eastAsia"/>
          <w:b/>
          <w:bCs/>
          <w:lang w:val="en-US" w:eastAsia="zh-CN"/>
        </w:rPr>
        <w:t>中“</w:t>
      </w:r>
      <w:r>
        <w:rPr>
          <w:rFonts w:hint="eastAsia"/>
          <w:b/>
          <w:bCs/>
        </w:rPr>
        <w:t>音视频系统专项设计方案</w:t>
      </w:r>
      <w:r>
        <w:rPr>
          <w:rFonts w:hint="eastAsia"/>
          <w:b/>
          <w:bCs/>
          <w:lang w:val="en-US" w:eastAsia="zh-CN"/>
        </w:rPr>
        <w:t>”，现提供CAD图纸，作为招标文件的补充文件，请投标人依据现场踏勘情况和招标文件要求，自行提供设计方案</w:t>
      </w:r>
    </w:p>
    <w:p w14:paraId="26AF8A72">
      <w:pPr>
        <w:numPr>
          <w:ilvl w:val="0"/>
          <w:numId w:val="1"/>
        </w:numPr>
        <w:spacing w:line="360" w:lineRule="auto"/>
        <w:ind w:firstLine="0"/>
        <w:jc w:val="left"/>
        <w:rPr>
          <w:b/>
          <w:bCs/>
        </w:rPr>
      </w:pPr>
      <w:r>
        <w:rPr>
          <w:rFonts w:hint="eastAsia"/>
          <w:b/>
          <w:bCs/>
          <w:lang w:val="en-US" w:eastAsia="zh-CN"/>
        </w:rPr>
        <w:t>针对招标文件</w:t>
      </w:r>
      <w:r>
        <w:rPr>
          <w:rFonts w:hint="eastAsia"/>
          <w:b/>
          <w:bCs/>
        </w:rPr>
        <w:t>评标标准</w:t>
      </w:r>
      <w:r>
        <w:rPr>
          <w:rFonts w:hint="eastAsia"/>
          <w:b/>
          <w:bCs/>
          <w:lang w:val="en-US" w:eastAsia="zh-CN"/>
        </w:rPr>
        <w:t>中“须知屏专项设计方案”，现提供CAD图纸，作为招标文件的补充文件，屏幕尺寸按照招标文件要求执行，请投标人依据现场踏勘情况和招标文件要求，自行提供设计方案</w:t>
      </w:r>
    </w:p>
    <w:p w14:paraId="6AB008E1">
      <w:pPr>
        <w:numPr>
          <w:numId w:val="0"/>
        </w:numPr>
        <w:spacing w:line="360" w:lineRule="auto"/>
        <w:ind w:leftChars="0"/>
        <w:jc w:val="left"/>
        <w:rPr>
          <w:b/>
          <w:bCs/>
        </w:rPr>
      </w:pPr>
    </w:p>
    <w:p w14:paraId="2342C77C">
      <w:pPr>
        <w:numPr>
          <w:numId w:val="0"/>
        </w:numPr>
        <w:spacing w:line="360" w:lineRule="auto"/>
        <w:ind w:leftChars="0"/>
        <w:jc w:val="left"/>
        <w:rPr>
          <w:rFonts w:hint="default" w:eastAsiaTheme="minorEastAsia"/>
          <w:b/>
          <w:bCs/>
          <w:lang w:val="en-US" w:eastAsia="zh-CN"/>
        </w:rPr>
      </w:pPr>
    </w:p>
    <w:p w14:paraId="0E425542">
      <w:pPr>
        <w:spacing w:line="360" w:lineRule="auto"/>
        <w:rPr>
          <w:rFonts w:hint="eastAsia"/>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9E8C0"/>
    <w:multiLevelType w:val="singleLevel"/>
    <w:tmpl w:val="8809E8C0"/>
    <w:lvl w:ilvl="0" w:tentative="0">
      <w:start w:val="1"/>
      <w:numFmt w:val="chineseCounting"/>
      <w:suff w:val="nothing"/>
      <w:lvlText w:val="%1、"/>
      <w:lvlJc w:val="left"/>
      <w:pPr>
        <w:ind w:left="0" w:firstLine="420"/>
      </w:pPr>
      <w:rPr>
        <w:rFonts w:hint="eastAsia"/>
        <w:b w:val="0"/>
        <w:bCs w:val="0"/>
      </w:rPr>
    </w:lvl>
  </w:abstractNum>
  <w:abstractNum w:abstractNumId="1">
    <w:nsid w:val="C7EADE7C"/>
    <w:multiLevelType w:val="singleLevel"/>
    <w:tmpl w:val="C7EADE7C"/>
    <w:lvl w:ilvl="0" w:tentative="0">
      <w:start w:val="11"/>
      <w:numFmt w:val="decimal"/>
      <w:suff w:val="nothing"/>
      <w:lvlText w:val="%1、"/>
      <w:lvlJc w:val="left"/>
    </w:lvl>
  </w:abstractNum>
  <w:abstractNum w:abstractNumId="2">
    <w:nsid w:val="F1FCF272"/>
    <w:multiLevelType w:val="singleLevel"/>
    <w:tmpl w:val="F1FCF272"/>
    <w:lvl w:ilvl="0" w:tentative="0">
      <w:start w:val="7"/>
      <w:numFmt w:val="decimal"/>
      <w:suff w:val="nothing"/>
      <w:lvlText w:val="%1、"/>
      <w:lvlJc w:val="left"/>
    </w:lvl>
  </w:abstractNum>
  <w:abstractNum w:abstractNumId="3">
    <w:nsid w:val="00000036"/>
    <w:multiLevelType w:val="singleLevel"/>
    <w:tmpl w:val="00000036"/>
    <w:lvl w:ilvl="0" w:tentative="0">
      <w:start w:val="1"/>
      <w:numFmt w:val="decimal"/>
      <w:lvlText w:val="%1."/>
      <w:lvlJc w:val="left"/>
      <w:pPr>
        <w:ind w:left="425" w:hanging="425"/>
      </w:pPr>
      <w:rPr>
        <w:rFonts w:hint="default"/>
      </w:rPr>
    </w:lvl>
  </w:abstractNum>
  <w:abstractNum w:abstractNumId="4">
    <w:nsid w:val="22BB63D6"/>
    <w:multiLevelType w:val="singleLevel"/>
    <w:tmpl w:val="22BB63D6"/>
    <w:lvl w:ilvl="0" w:tentative="0">
      <w:start w:val="30"/>
      <w:numFmt w:val="decimal"/>
      <w:suff w:val="nothing"/>
      <w:lvlText w:val="%1、"/>
      <w:lvlJc w:val="left"/>
    </w:lvl>
  </w:abstractNum>
  <w:abstractNum w:abstractNumId="5">
    <w:nsid w:val="32A75DAF"/>
    <w:multiLevelType w:val="multilevel"/>
    <w:tmpl w:val="32A75DAF"/>
    <w:lvl w:ilvl="0" w:tentative="0">
      <w:start w:val="18"/>
      <w:numFmt w:val="decimal"/>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FA74EFE"/>
    <w:multiLevelType w:val="singleLevel"/>
    <w:tmpl w:val="5FA74EFE"/>
    <w:lvl w:ilvl="0" w:tentative="0">
      <w:start w:val="6"/>
      <w:numFmt w:val="decimal"/>
      <w:suff w:val="nothing"/>
      <w:lvlText w:val="%1、"/>
      <w:lvlJc w:val="left"/>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13E04CC3"/>
    <w:rsid w:val="002B3242"/>
    <w:rsid w:val="00302AC9"/>
    <w:rsid w:val="00567215"/>
    <w:rsid w:val="00791075"/>
    <w:rsid w:val="00D15724"/>
    <w:rsid w:val="00E71DEC"/>
    <w:rsid w:val="00EA0C72"/>
    <w:rsid w:val="13D15990"/>
    <w:rsid w:val="13E04CC3"/>
    <w:rsid w:val="2C187E31"/>
    <w:rsid w:val="2C3E23A2"/>
    <w:rsid w:val="31E4161C"/>
    <w:rsid w:val="37F55642"/>
    <w:rsid w:val="40D1511E"/>
    <w:rsid w:val="4C3E0821"/>
    <w:rsid w:val="534514A1"/>
    <w:rsid w:val="561B14C6"/>
    <w:rsid w:val="57925A39"/>
    <w:rsid w:val="59A5314E"/>
    <w:rsid w:val="5A650D5A"/>
    <w:rsid w:val="5C2977D6"/>
    <w:rsid w:val="5C7900C1"/>
    <w:rsid w:val="627B2578"/>
    <w:rsid w:val="7738674E"/>
    <w:rsid w:val="7883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360" w:lineRule="auto"/>
      <w:jc w:val="left"/>
      <w:outlineLvl w:val="0"/>
    </w:pPr>
    <w:rPr>
      <w:rFonts w:ascii="Calibri" w:hAnsi="Calibri" w:eastAsia="宋体" w:cs="Times New Roman"/>
      <w:b/>
      <w:bCs/>
      <w:kern w:val="44"/>
      <w:sz w:val="28"/>
      <w:szCs w:val="44"/>
    </w:rPr>
  </w:style>
  <w:style w:type="paragraph" w:styleId="3">
    <w:name w:val="heading 2"/>
    <w:basedOn w:val="1"/>
    <w:next w:val="1"/>
    <w:link w:val="12"/>
    <w:semiHidden/>
    <w:unhideWhenUsed/>
    <w:qFormat/>
    <w:uiPriority w:val="0"/>
    <w:pPr>
      <w:wordWrap w:val="0"/>
      <w:spacing w:line="360" w:lineRule="auto"/>
      <w:jc w:val="left"/>
      <w:outlineLvl w:val="1"/>
    </w:pPr>
    <w:rPr>
      <w:rFonts w:ascii="宋体" w:hAnsi="宋体" w:eastAsia="宋体" w:cs="Times New Roman"/>
      <w:b/>
      <w:bCs/>
      <w:sz w:val="24"/>
      <w:szCs w:val="32"/>
    </w:rPr>
  </w:style>
  <w:style w:type="paragraph" w:styleId="4">
    <w:name w:val="heading 3"/>
    <w:basedOn w:val="1"/>
    <w:next w:val="1"/>
    <w:link w:val="13"/>
    <w:semiHidden/>
    <w:unhideWhenUsed/>
    <w:qFormat/>
    <w:uiPriority w:val="0"/>
    <w:pPr>
      <w:keepNext/>
      <w:keepLines/>
      <w:spacing w:line="360" w:lineRule="auto"/>
      <w:jc w:val="left"/>
      <w:outlineLvl w:val="2"/>
    </w:pPr>
    <w:rPr>
      <w:rFonts w:ascii="Times New Roman" w:hAnsi="Times New Roman" w:eastAsia="宋体" w:cs="Times New Roman"/>
      <w:b/>
      <w:bCs/>
      <w:sz w:val="24"/>
      <w:szCs w:val="32"/>
    </w:rPr>
  </w:style>
  <w:style w:type="paragraph" w:styleId="5">
    <w:name w:val="heading 4"/>
    <w:basedOn w:val="1"/>
    <w:next w:val="1"/>
    <w:link w:val="14"/>
    <w:autoRedefine/>
    <w:semiHidden/>
    <w:unhideWhenUsed/>
    <w:qFormat/>
    <w:uiPriority w:val="0"/>
    <w:pPr>
      <w:keepNext/>
      <w:keepLines/>
      <w:spacing w:line="360" w:lineRule="auto"/>
      <w:jc w:val="left"/>
      <w:outlineLvl w:val="3"/>
    </w:pPr>
    <w:rPr>
      <w:rFonts w:ascii="Cambria" w:hAnsi="Cambria" w:eastAsia="宋体" w:cs="Times New Roman"/>
      <w:b/>
      <w:bCs/>
      <w:sz w:val="24"/>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315"/>
    </w:pPr>
    <w:rPr>
      <w:rFonts w:ascii="宋体" w:hAnsi="宋体" w:eastAsia="宋体" w:cs="宋体"/>
      <w:sz w:val="24"/>
      <w:lang w:val="zh-CN" w:bidi="zh-CN"/>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character" w:customStyle="1" w:styleId="11">
    <w:name w:val="标题 1 字符"/>
    <w:basedOn w:val="10"/>
    <w:link w:val="2"/>
    <w:autoRedefine/>
    <w:qFormat/>
    <w:uiPriority w:val="9"/>
    <w:rPr>
      <w:rFonts w:ascii="Calibri" w:hAnsi="Calibri" w:eastAsia="宋体" w:cs="Times New Roman"/>
      <w:b/>
      <w:bCs/>
      <w:kern w:val="44"/>
      <w:sz w:val="28"/>
      <w:szCs w:val="44"/>
    </w:rPr>
  </w:style>
  <w:style w:type="character" w:customStyle="1" w:styleId="12">
    <w:name w:val="标题 2 字符"/>
    <w:basedOn w:val="10"/>
    <w:link w:val="3"/>
    <w:qFormat/>
    <w:uiPriority w:val="0"/>
    <w:rPr>
      <w:rFonts w:ascii="宋体" w:hAnsi="宋体" w:eastAsia="宋体" w:cs="Times New Roman"/>
      <w:b/>
      <w:bCs/>
      <w:sz w:val="24"/>
      <w:szCs w:val="32"/>
    </w:rPr>
  </w:style>
  <w:style w:type="character" w:customStyle="1" w:styleId="13">
    <w:name w:val="标题 3 字符"/>
    <w:basedOn w:val="10"/>
    <w:link w:val="4"/>
    <w:qFormat/>
    <w:uiPriority w:val="0"/>
    <w:rPr>
      <w:rFonts w:ascii="Times New Roman" w:hAnsi="Times New Roman" w:eastAsia="宋体" w:cs="Times New Roman"/>
      <w:b/>
      <w:bCs/>
      <w:sz w:val="24"/>
      <w:szCs w:val="32"/>
    </w:rPr>
  </w:style>
  <w:style w:type="character" w:customStyle="1" w:styleId="14">
    <w:name w:val="标题 4 字符"/>
    <w:basedOn w:val="10"/>
    <w:link w:val="5"/>
    <w:qFormat/>
    <w:uiPriority w:val="9"/>
    <w:rPr>
      <w:rFonts w:ascii="Cambria" w:hAnsi="Cambria" w:eastAsia="宋体" w:cs="Times New Roman"/>
      <w:b/>
      <w:bCs/>
      <w:sz w:val="24"/>
      <w:szCs w:val="28"/>
    </w:rPr>
  </w:style>
  <w:style w:type="paragraph" w:styleId="15">
    <w:name w:val="List Paragraph"/>
    <w:basedOn w:val="1"/>
    <w:unhideWhenUsed/>
    <w:qFormat/>
    <w:uiPriority w:val="99"/>
    <w:pPr>
      <w:ind w:firstLine="420" w:firstLineChars="200"/>
    </w:pPr>
  </w:style>
  <w:style w:type="character" w:customStyle="1" w:styleId="16">
    <w:name w:val="页眉 字符"/>
    <w:basedOn w:val="10"/>
    <w:link w:val="8"/>
    <w:qFormat/>
    <w:uiPriority w:val="0"/>
    <w:rPr>
      <w:rFonts w:asciiTheme="minorHAnsi" w:hAnsiTheme="minorHAnsi" w:eastAsiaTheme="minorEastAsia" w:cstheme="minorBidi"/>
      <w:kern w:val="2"/>
      <w:sz w:val="18"/>
      <w:szCs w:val="18"/>
    </w:rPr>
  </w:style>
  <w:style w:type="character" w:customStyle="1" w:styleId="17">
    <w:name w:val="页脚 字符"/>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2671</Words>
  <Characters>2954</Characters>
  <Lines>21</Lines>
  <Paragraphs>6</Paragraphs>
  <TotalTime>3</TotalTime>
  <ScaleCrop>false</ScaleCrop>
  <LinksUpToDate>false</LinksUpToDate>
  <CharactersWithSpaces>2969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2024-07-23T06:01:00Z</dcterms:created>
  <dc:creator>HONOR</dc:creator>
  <cp:lastModifiedBy>招标代理</cp:lastModifiedBy>
  <dcterms:modified xsi:type="dcterms:W3CDTF">2024-07-23T09:13:04Z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68B45D8CD5E143D1BEB0A3E3F7EE1D59_13</vt:lpwstr>
  </property>
</Properties>
</file>