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80" w:lineRule="auto"/>
        <w:jc w:val="center"/>
        <w:rPr>
          <w:rFonts w:ascii="宋体" w:hAnsi="宋体"/>
          <w:b/>
          <w:kern w:val="44"/>
          <w:sz w:val="28"/>
          <w:szCs w:val="28"/>
        </w:rPr>
      </w:pPr>
      <w:r>
        <w:rPr>
          <w:rFonts w:hint="eastAsia" w:ascii="宋体" w:hAnsi="宋体"/>
          <w:b/>
          <w:kern w:val="44"/>
          <w:sz w:val="28"/>
          <w:szCs w:val="28"/>
        </w:rPr>
        <w:t>八角街道2024年度街巷清扫保洁作业服务项目（一标段）</w:t>
      </w:r>
    </w:p>
    <w:p>
      <w:pPr>
        <w:widowControl/>
        <w:spacing w:line="480" w:lineRule="auto"/>
        <w:jc w:val="center"/>
        <w:rPr>
          <w:rFonts w:ascii="宋体" w:hAnsi="宋体"/>
          <w:b/>
          <w:kern w:val="44"/>
          <w:sz w:val="28"/>
          <w:szCs w:val="28"/>
        </w:rPr>
      </w:pPr>
      <w:r>
        <w:rPr>
          <w:rFonts w:hint="eastAsia" w:ascii="宋体" w:hAnsi="宋体"/>
          <w:b/>
          <w:kern w:val="44"/>
          <w:sz w:val="28"/>
          <w:szCs w:val="28"/>
        </w:rPr>
        <w:t>采购合同</w:t>
      </w:r>
    </w:p>
    <w:p>
      <w:pPr>
        <w:spacing w:line="360" w:lineRule="auto"/>
        <w:rPr>
          <w:rFonts w:hint="eastAsia" w:ascii="宋体" w:hAnsi="宋体"/>
          <w:sz w:val="24"/>
        </w:rPr>
      </w:pPr>
      <w:r>
        <w:rPr>
          <w:rFonts w:hint="eastAsia" w:ascii="宋体" w:hAnsi="宋体"/>
          <w:sz w:val="24"/>
        </w:rPr>
        <w:t>甲方：北京市石景山区人民政府八角街道办事处</w:t>
      </w:r>
    </w:p>
    <w:p>
      <w:pPr>
        <w:spacing w:line="360" w:lineRule="auto"/>
        <w:rPr>
          <w:rFonts w:hint="eastAsia" w:ascii="宋体" w:hAnsi="宋体"/>
          <w:sz w:val="24"/>
        </w:rPr>
      </w:pPr>
      <w:r>
        <w:rPr>
          <w:rFonts w:hint="eastAsia" w:ascii="宋体" w:hAnsi="宋体"/>
          <w:sz w:val="24"/>
        </w:rPr>
        <w:t>地址：北京市石景山区八角北路甲36号</w:t>
      </w:r>
    </w:p>
    <w:p>
      <w:pPr>
        <w:spacing w:line="360" w:lineRule="auto"/>
        <w:rPr>
          <w:rFonts w:hint="eastAsia" w:ascii="宋体" w:hAnsi="宋体"/>
          <w:sz w:val="24"/>
        </w:rPr>
      </w:pPr>
      <w:r>
        <w:rPr>
          <w:rFonts w:hint="eastAsia" w:ascii="宋体" w:hAnsi="宋体"/>
          <w:sz w:val="24"/>
        </w:rPr>
        <w:t>法定代表人：段京涛</w:t>
      </w:r>
    </w:p>
    <w:p>
      <w:pPr>
        <w:spacing w:line="360" w:lineRule="auto"/>
        <w:rPr>
          <w:rFonts w:hint="eastAsia" w:ascii="宋体" w:hAnsi="宋体"/>
          <w:sz w:val="24"/>
        </w:rPr>
      </w:pPr>
      <w:r>
        <w:rPr>
          <w:rFonts w:hint="eastAsia" w:ascii="宋体" w:hAnsi="宋体"/>
          <w:sz w:val="24"/>
        </w:rPr>
        <w:t>联系电话：010- 68875224</w:t>
      </w:r>
    </w:p>
    <w:p>
      <w:pPr>
        <w:spacing w:line="360" w:lineRule="auto"/>
        <w:rPr>
          <w:rFonts w:hint="eastAsia" w:ascii="宋体" w:hAnsi="宋体"/>
          <w:sz w:val="24"/>
        </w:rPr>
      </w:pPr>
      <w:r>
        <w:rPr>
          <w:rFonts w:hint="eastAsia" w:ascii="宋体" w:hAnsi="宋体"/>
          <w:sz w:val="24"/>
        </w:rPr>
        <w:t xml:space="preserve"> </w:t>
      </w:r>
    </w:p>
    <w:p>
      <w:pPr>
        <w:spacing w:line="360" w:lineRule="auto"/>
        <w:rPr>
          <w:rFonts w:hint="eastAsia" w:ascii="宋体" w:hAnsi="宋体"/>
          <w:sz w:val="24"/>
        </w:rPr>
      </w:pPr>
      <w:r>
        <w:rPr>
          <w:rFonts w:hint="eastAsia" w:ascii="宋体" w:hAnsi="宋体"/>
          <w:sz w:val="24"/>
        </w:rPr>
        <w:t>乙方：北京金秋裕华环境科技有限公司</w:t>
      </w:r>
    </w:p>
    <w:p>
      <w:pPr>
        <w:spacing w:line="360" w:lineRule="auto"/>
        <w:rPr>
          <w:rFonts w:hint="eastAsia" w:ascii="宋体" w:hAnsi="宋体"/>
          <w:sz w:val="24"/>
        </w:rPr>
      </w:pPr>
      <w:r>
        <w:rPr>
          <w:rFonts w:hint="eastAsia" w:ascii="宋体" w:hAnsi="宋体"/>
          <w:sz w:val="24"/>
        </w:rPr>
        <w:t>地址：北京市石景山区西井路17号4号楼1层408房间</w:t>
      </w:r>
    </w:p>
    <w:p>
      <w:pPr>
        <w:spacing w:line="360" w:lineRule="auto"/>
        <w:rPr>
          <w:rFonts w:hint="eastAsia" w:ascii="宋体" w:hAnsi="宋体"/>
          <w:sz w:val="24"/>
        </w:rPr>
      </w:pPr>
      <w:r>
        <w:rPr>
          <w:rFonts w:hint="eastAsia" w:ascii="宋体" w:hAnsi="宋体"/>
          <w:sz w:val="24"/>
        </w:rPr>
        <w:t>法定代表人：王金秋</w:t>
      </w:r>
    </w:p>
    <w:p>
      <w:pPr>
        <w:spacing w:line="360" w:lineRule="auto"/>
        <w:rPr>
          <w:rFonts w:hint="eastAsia" w:ascii="宋体" w:hAnsi="宋体"/>
          <w:sz w:val="24"/>
        </w:rPr>
      </w:pPr>
      <w:r>
        <w:rPr>
          <w:rFonts w:hint="eastAsia" w:ascii="宋体" w:hAnsi="宋体"/>
          <w:sz w:val="24"/>
        </w:rPr>
        <w:t xml:space="preserve">联系电话：18713628607 </w:t>
      </w:r>
    </w:p>
    <w:p>
      <w:pPr>
        <w:spacing w:before="120" w:line="360" w:lineRule="auto"/>
        <w:rPr>
          <w:rFonts w:ascii="宋体" w:hAnsi="宋体"/>
          <w:b/>
          <w:sz w:val="24"/>
        </w:rPr>
      </w:pPr>
      <w:r>
        <w:rPr>
          <w:rFonts w:hint="eastAsia" w:ascii="宋体" w:hAnsi="宋体"/>
          <w:b/>
          <w:sz w:val="24"/>
        </w:rPr>
        <w:t>合同文件</w:t>
      </w:r>
    </w:p>
    <w:p>
      <w:pPr>
        <w:spacing w:line="360" w:lineRule="auto"/>
        <w:rPr>
          <w:rFonts w:ascii="宋体" w:hAnsi="宋体"/>
          <w:sz w:val="24"/>
        </w:rPr>
      </w:pPr>
      <w:r>
        <w:rPr>
          <w:rFonts w:hint="eastAsia" w:ascii="宋体" w:hAnsi="宋体"/>
          <w:sz w:val="24"/>
        </w:rPr>
        <w:t>本合同所附下列文件是构成本合同不可分割的部分：</w:t>
      </w:r>
    </w:p>
    <w:p>
      <w:pPr>
        <w:spacing w:line="360" w:lineRule="auto"/>
        <w:rPr>
          <w:rFonts w:ascii="宋体" w:hAnsi="宋体"/>
          <w:sz w:val="24"/>
        </w:rPr>
      </w:pPr>
      <w:r>
        <w:rPr>
          <w:rFonts w:hint="eastAsia" w:ascii="宋体" w:hAnsi="宋体"/>
          <w:sz w:val="24"/>
        </w:rPr>
        <w:t>合同主要条款</w:t>
      </w:r>
    </w:p>
    <w:p>
      <w:pPr>
        <w:spacing w:line="360" w:lineRule="auto"/>
        <w:rPr>
          <w:rFonts w:ascii="宋体" w:hAnsi="宋体"/>
          <w:sz w:val="24"/>
        </w:rPr>
      </w:pPr>
      <w:r>
        <w:rPr>
          <w:rFonts w:hint="eastAsia" w:ascii="宋体" w:hAnsi="宋体"/>
          <w:sz w:val="24"/>
        </w:rPr>
        <w:t>招标文件</w:t>
      </w:r>
    </w:p>
    <w:p>
      <w:pPr>
        <w:spacing w:line="360" w:lineRule="auto"/>
        <w:rPr>
          <w:rFonts w:ascii="宋体" w:hAnsi="宋体"/>
          <w:sz w:val="24"/>
        </w:rPr>
      </w:pPr>
      <w:r>
        <w:rPr>
          <w:rFonts w:hint="eastAsia" w:ascii="宋体" w:hAnsi="宋体"/>
          <w:sz w:val="24"/>
        </w:rPr>
        <w:t>中标人的文件文件及有关澄清资料</w:t>
      </w:r>
    </w:p>
    <w:p>
      <w:pPr>
        <w:widowControl/>
        <w:spacing w:line="560" w:lineRule="exact"/>
        <w:jc w:val="left"/>
        <w:rPr>
          <w:rFonts w:ascii="宋体" w:hAnsi="宋体"/>
          <w:sz w:val="24"/>
        </w:rPr>
      </w:pPr>
      <w:r>
        <w:rPr>
          <w:rFonts w:hint="eastAsia" w:ascii="宋体" w:hAnsi="宋体"/>
          <w:sz w:val="24"/>
        </w:rPr>
        <w:t>双方约定的其他补充条款</w:t>
      </w:r>
    </w:p>
    <w:p>
      <w:pPr>
        <w:pStyle w:val="2"/>
      </w:pPr>
    </w:p>
    <w:p>
      <w:pPr>
        <w:widowControl/>
        <w:spacing w:line="360" w:lineRule="auto"/>
        <w:ind w:firstLine="480" w:firstLineChars="200"/>
        <w:jc w:val="left"/>
        <w:rPr>
          <w:rFonts w:ascii="宋体" w:hAnsi="宋体" w:cs="宋体"/>
          <w:sz w:val="24"/>
        </w:rPr>
      </w:pPr>
      <w:r>
        <w:rPr>
          <w:rFonts w:hint="eastAsia" w:ascii="宋体" w:hAnsi="宋体" w:cs="宋体"/>
          <w:sz w:val="24"/>
        </w:rPr>
        <w:t>为进一步提高各街道办事处环境卫生保洁作业服务质量，切实为居民提供优质的环境卫生服务，双方本着互惠互利、共同发展的原则，经甲乙双方在平等、自愿、协商一致的基础上，同意签订清扫保洁承包协议如下：</w:t>
      </w:r>
    </w:p>
    <w:p>
      <w:pPr>
        <w:widowControl/>
        <w:spacing w:line="360" w:lineRule="auto"/>
        <w:jc w:val="left"/>
        <w:rPr>
          <w:rFonts w:ascii="宋体" w:hAnsi="宋体" w:cs="宋体"/>
          <w:b/>
          <w:sz w:val="24"/>
        </w:rPr>
      </w:pPr>
      <w:r>
        <w:rPr>
          <w:rFonts w:hint="eastAsia" w:ascii="宋体" w:hAnsi="宋体" w:cs="宋体"/>
          <w:b/>
          <w:sz w:val="24"/>
        </w:rPr>
        <w:t>一、承包期限</w:t>
      </w:r>
    </w:p>
    <w:p>
      <w:pPr>
        <w:widowControl/>
        <w:spacing w:line="360" w:lineRule="auto"/>
        <w:jc w:val="left"/>
        <w:rPr>
          <w:rFonts w:ascii="宋体" w:hAnsi="宋体" w:cs="宋体"/>
          <w:sz w:val="24"/>
        </w:rPr>
      </w:pPr>
      <w:r>
        <w:rPr>
          <w:rFonts w:hint="eastAsia" w:ascii="宋体" w:hAnsi="宋体" w:cs="宋体"/>
          <w:sz w:val="24"/>
        </w:rPr>
        <w:t>本招标项目</w:t>
      </w:r>
      <w:r>
        <w:rPr>
          <w:rFonts w:ascii="宋体" w:hAnsi="宋体" w:cs="宋体"/>
          <w:sz w:val="24"/>
        </w:rPr>
        <w:t>服务期限为</w:t>
      </w:r>
      <w:r>
        <w:rPr>
          <w:rFonts w:hint="eastAsia" w:ascii="宋体" w:hAnsi="宋体" w:cs="宋体"/>
          <w:sz w:val="24"/>
        </w:rPr>
        <w:t>自2024年   月   日至2025年  月  日，服务期限为一年</w:t>
      </w:r>
      <w:r>
        <w:rPr>
          <w:rFonts w:ascii="宋体" w:hAnsi="宋体" w:cs="宋体"/>
          <w:sz w:val="24"/>
        </w:rPr>
        <w:t>。</w:t>
      </w:r>
    </w:p>
    <w:p>
      <w:pPr>
        <w:widowControl/>
        <w:spacing w:line="360" w:lineRule="auto"/>
        <w:jc w:val="left"/>
        <w:rPr>
          <w:rFonts w:ascii="宋体" w:hAnsi="宋体" w:cs="宋体"/>
          <w:sz w:val="24"/>
        </w:rPr>
      </w:pPr>
      <w:r>
        <w:rPr>
          <w:rFonts w:hint="eastAsia" w:ascii="宋体" w:hAnsi="宋体" w:cs="宋体"/>
          <w:b/>
          <w:sz w:val="24"/>
        </w:rPr>
        <w:t>二、承包作业项目</w:t>
      </w:r>
    </w:p>
    <w:p>
      <w:pPr>
        <w:widowControl/>
        <w:spacing w:line="360" w:lineRule="auto"/>
        <w:ind w:firstLine="480" w:firstLineChars="200"/>
        <w:jc w:val="left"/>
        <w:rPr>
          <w:rFonts w:ascii="宋体" w:hAnsi="宋体" w:cs="宋体"/>
          <w:sz w:val="24"/>
        </w:rPr>
      </w:pPr>
      <w:r>
        <w:rPr>
          <w:rFonts w:hint="eastAsia" w:ascii="宋体" w:hAnsi="宋体" w:cs="宋体"/>
          <w:sz w:val="24"/>
        </w:rPr>
        <w:t>辖区背街小巷清扫保洁和垃圾清运、平房区和城乡结合部垃圾收运，垃圾收集设施日常维护，应急保障等项目。</w:t>
      </w:r>
    </w:p>
    <w:p>
      <w:pPr>
        <w:widowControl/>
        <w:spacing w:line="360" w:lineRule="auto"/>
        <w:jc w:val="left"/>
        <w:rPr>
          <w:rFonts w:ascii="宋体" w:hAnsi="宋体" w:cs="宋体"/>
          <w:sz w:val="24"/>
        </w:rPr>
      </w:pPr>
      <w:r>
        <w:rPr>
          <w:rFonts w:hint="eastAsia" w:ascii="宋体" w:hAnsi="宋体" w:cs="宋体"/>
          <w:sz w:val="24"/>
        </w:rPr>
        <w:t>（1）</w:t>
      </w:r>
      <w:r>
        <w:rPr>
          <w:rFonts w:hint="eastAsia" w:ascii="宋体" w:hAnsi="宋体" w:cs="宋体"/>
          <w:sz w:val="24"/>
          <w:u w:val="single"/>
        </w:rPr>
        <w:t xml:space="preserve"> 24 </w:t>
      </w:r>
      <w:r>
        <w:rPr>
          <w:rFonts w:hint="eastAsia" w:ascii="宋体" w:hAnsi="宋体" w:cs="宋体"/>
          <w:sz w:val="24"/>
        </w:rPr>
        <w:t>条街巷胡同</w:t>
      </w:r>
      <w:r>
        <w:rPr>
          <w:rFonts w:hint="eastAsia" w:ascii="宋体" w:hAnsi="宋体" w:cs="宋体"/>
          <w:sz w:val="24"/>
          <w:u w:val="single"/>
        </w:rPr>
        <w:t xml:space="preserve"> </w:t>
      </w:r>
      <w:r>
        <w:rPr>
          <w:rFonts w:hint="eastAsia" w:ascii="宋体" w:hAnsi="宋体" w:cs="楷体_GB2312"/>
          <w:sz w:val="24"/>
          <w:u w:val="single"/>
        </w:rPr>
        <w:t>173717.01</w:t>
      </w:r>
      <w:r>
        <w:rPr>
          <w:rFonts w:hint="eastAsia" w:ascii="宋体" w:hAnsi="宋体" w:cs="宋体"/>
          <w:sz w:val="24"/>
          <w:u w:val="single"/>
        </w:rPr>
        <w:t xml:space="preserve"> </w:t>
      </w:r>
      <w:r>
        <w:rPr>
          <w:rFonts w:hint="eastAsia" w:ascii="宋体" w:hAnsi="宋体" w:cs="宋体"/>
          <w:sz w:val="24"/>
        </w:rPr>
        <w:t>平米的清扫保洁工作（其中二级作业街巷</w:t>
      </w:r>
      <w:r>
        <w:rPr>
          <w:rFonts w:hint="eastAsia" w:ascii="宋体" w:hAnsi="宋体" w:cs="宋体"/>
          <w:sz w:val="24"/>
          <w:u w:val="single"/>
        </w:rPr>
        <w:t xml:space="preserve"> 17 </w:t>
      </w:r>
      <w:r>
        <w:rPr>
          <w:rFonts w:hint="eastAsia" w:ascii="宋体" w:hAnsi="宋体" w:cs="宋体"/>
          <w:sz w:val="24"/>
        </w:rPr>
        <w:t>条</w:t>
      </w:r>
      <w:r>
        <w:rPr>
          <w:rFonts w:ascii="宋体" w:hAnsi="宋体" w:cs="楷体_GB2312"/>
          <w:sz w:val="24"/>
          <w:u w:val="single"/>
        </w:rPr>
        <w:t>133927.47</w:t>
      </w:r>
      <w:r>
        <w:rPr>
          <w:rFonts w:hint="eastAsia" w:ascii="宋体" w:hAnsi="宋体" w:cs="宋体"/>
          <w:sz w:val="24"/>
        </w:rPr>
        <w:t>平米；三级作业街巷</w:t>
      </w:r>
      <w:r>
        <w:rPr>
          <w:rFonts w:hint="eastAsia" w:ascii="宋体" w:hAnsi="宋体" w:cs="宋体"/>
          <w:sz w:val="24"/>
          <w:u w:val="single"/>
        </w:rPr>
        <w:t>7</w:t>
      </w:r>
      <w:r>
        <w:rPr>
          <w:rFonts w:hint="eastAsia" w:ascii="宋体" w:hAnsi="宋体" w:cs="宋体"/>
          <w:sz w:val="24"/>
        </w:rPr>
        <w:t>条</w:t>
      </w:r>
      <w:r>
        <w:rPr>
          <w:rFonts w:hint="eastAsia" w:ascii="宋体" w:hAnsi="宋体" w:cs="宋体"/>
          <w:sz w:val="24"/>
          <w:u w:val="single"/>
        </w:rPr>
        <w:t xml:space="preserve"> 26452.25 </w:t>
      </w:r>
      <w:r>
        <w:rPr>
          <w:rFonts w:hint="eastAsia" w:ascii="宋体" w:hAnsi="宋体" w:cs="宋体"/>
          <w:sz w:val="24"/>
        </w:rPr>
        <w:t>平米，</w:t>
      </w:r>
      <w:r>
        <w:rPr>
          <w:rFonts w:hint="eastAsia" w:ascii="宋体" w:hAnsi="宋体" w:cs="楷体_GB2312"/>
          <w:sz w:val="24"/>
        </w:rPr>
        <w:t>包含应急保障区域</w:t>
      </w:r>
      <w:r>
        <w:rPr>
          <w:rFonts w:hint="eastAsia" w:ascii="宋体" w:hAnsi="宋体" w:cs="楷体_GB2312"/>
          <w:sz w:val="24"/>
          <w:u w:val="single"/>
        </w:rPr>
        <w:t>1</w:t>
      </w:r>
      <w:r>
        <w:rPr>
          <w:rFonts w:hint="eastAsia" w:ascii="宋体" w:hAnsi="宋体" w:cs="楷体_GB2312"/>
          <w:sz w:val="24"/>
        </w:rPr>
        <w:t>处（石景山游乐园南广场部分区域）</w:t>
      </w:r>
      <w:r>
        <w:rPr>
          <w:rFonts w:hint="eastAsia" w:ascii="宋体" w:hAnsi="宋体" w:cs="楷体_GB2312"/>
          <w:sz w:val="24"/>
          <w:u w:val="single"/>
        </w:rPr>
        <w:t xml:space="preserve"> 13337.29 </w:t>
      </w:r>
      <w:r>
        <w:rPr>
          <w:rFonts w:hint="eastAsia" w:ascii="宋体" w:hAnsi="宋体" w:cs="楷体_GB2312"/>
          <w:sz w:val="24"/>
        </w:rPr>
        <w:t>平米</w:t>
      </w:r>
      <w:r>
        <w:rPr>
          <w:rFonts w:hint="eastAsia" w:ascii="宋体" w:hAnsi="宋体" w:cs="宋体"/>
          <w:sz w:val="24"/>
        </w:rPr>
        <w:t>）。</w:t>
      </w:r>
      <w:r>
        <w:rPr>
          <w:rFonts w:ascii="宋体" w:hAnsi="宋体" w:cs="宋体"/>
          <w:sz w:val="24"/>
        </w:rPr>
        <w:t>人工清扫保洁、绿地保洁、扫雪</w:t>
      </w:r>
    </w:p>
    <w:p>
      <w:pPr>
        <w:widowControl/>
        <w:spacing w:line="360" w:lineRule="auto"/>
        <w:jc w:val="left"/>
        <w:rPr>
          <w:rFonts w:ascii="宋体" w:hAnsi="宋体" w:cs="宋体"/>
          <w:sz w:val="24"/>
        </w:rPr>
      </w:pPr>
      <w:r>
        <w:rPr>
          <w:rFonts w:ascii="宋体" w:hAnsi="宋体" w:cs="宋体"/>
          <w:sz w:val="24"/>
        </w:rPr>
        <w:t>铲冰、</w:t>
      </w:r>
      <w:r>
        <w:rPr>
          <w:rFonts w:hint="eastAsia" w:ascii="宋体" w:hAnsi="宋体" w:cs="宋体"/>
          <w:sz w:val="24"/>
        </w:rPr>
        <w:t>雨后</w:t>
      </w:r>
      <w:r>
        <w:rPr>
          <w:rFonts w:ascii="宋体" w:hAnsi="宋体" w:cs="宋体"/>
          <w:sz w:val="24"/>
        </w:rPr>
        <w:t>推水、白色污染捡拾（含树挂、不含电缆挂物）、果皮箱清掏清洗、</w:t>
      </w:r>
      <w:r>
        <w:rPr>
          <w:rFonts w:hint="eastAsia" w:ascii="宋体" w:hAnsi="宋体" w:cs="宋体"/>
          <w:sz w:val="24"/>
        </w:rPr>
        <w:t>雨下水口清理、</w:t>
      </w:r>
      <w:r>
        <w:rPr>
          <w:rFonts w:ascii="宋体" w:hAnsi="宋体" w:cs="宋体"/>
          <w:sz w:val="24"/>
        </w:rPr>
        <w:t>步道方砖地杂草清除、可视范围内小广告清除</w:t>
      </w:r>
      <w:r>
        <w:rPr>
          <w:rFonts w:hint="eastAsia" w:ascii="宋体" w:hAnsi="宋体" w:cs="宋体"/>
          <w:sz w:val="24"/>
        </w:rPr>
        <w:t>、</w:t>
      </w:r>
      <w:r>
        <w:rPr>
          <w:rFonts w:ascii="宋体" w:hAnsi="宋体" w:cs="宋体"/>
          <w:sz w:val="24"/>
        </w:rPr>
        <w:t>道路遗撒和无主垃圾清运、突发性公共</w:t>
      </w:r>
      <w:r>
        <w:rPr>
          <w:rFonts w:hint="eastAsia" w:ascii="宋体" w:hAnsi="宋体" w:cs="宋体"/>
          <w:sz w:val="24"/>
        </w:rPr>
        <w:t>污染</w:t>
      </w:r>
      <w:r>
        <w:rPr>
          <w:rFonts w:ascii="宋体" w:hAnsi="宋体" w:cs="宋体"/>
          <w:sz w:val="24"/>
        </w:rPr>
        <w:t>事件应急处理、极端天气环境卫生保障、重大活动、特勤服务环境卫生保障等</w:t>
      </w:r>
      <w:r>
        <w:rPr>
          <w:rFonts w:hint="eastAsia" w:ascii="宋体" w:hAnsi="宋体" w:cs="宋体"/>
          <w:sz w:val="24"/>
        </w:rPr>
        <w:t>。</w:t>
      </w:r>
    </w:p>
    <w:p>
      <w:pPr>
        <w:widowControl/>
        <w:spacing w:line="360" w:lineRule="auto"/>
        <w:jc w:val="left"/>
        <w:rPr>
          <w:rFonts w:ascii="宋体" w:hAnsi="宋体" w:cs="宋体"/>
          <w:sz w:val="24"/>
        </w:rPr>
      </w:pPr>
      <w:r>
        <w:rPr>
          <w:rFonts w:hint="eastAsia" w:ascii="宋体" w:hAnsi="宋体" w:cs="宋体"/>
          <w:sz w:val="24"/>
        </w:rPr>
        <w:t>（2）责任区域内无主大件生活垃圾（含废旧家具）、无主渣土、无主装修垃圾的清理运输。</w:t>
      </w:r>
    </w:p>
    <w:p>
      <w:pPr>
        <w:widowControl/>
        <w:spacing w:line="360" w:lineRule="auto"/>
        <w:jc w:val="left"/>
        <w:rPr>
          <w:rFonts w:ascii="宋体" w:hAnsi="宋体" w:cs="宋体"/>
          <w:sz w:val="24"/>
        </w:rPr>
      </w:pPr>
      <w:r>
        <w:rPr>
          <w:rFonts w:hint="eastAsia" w:ascii="宋体" w:hAnsi="宋体" w:cs="宋体"/>
          <w:sz w:val="24"/>
        </w:rPr>
        <w:t>（3）节假日环境保障、各级检查环境保障、各级特勤环境保障及其他重大政治任务、重要活动等事项的环境卫生作业。</w:t>
      </w:r>
    </w:p>
    <w:p>
      <w:pPr>
        <w:widowControl/>
        <w:spacing w:line="360" w:lineRule="auto"/>
        <w:jc w:val="left"/>
        <w:rPr>
          <w:rFonts w:ascii="宋体" w:hAnsi="宋体" w:cs="宋体"/>
          <w:b/>
          <w:sz w:val="24"/>
        </w:rPr>
      </w:pPr>
      <w:r>
        <w:rPr>
          <w:rFonts w:hint="eastAsia" w:ascii="宋体" w:hAnsi="宋体" w:cs="宋体"/>
          <w:b/>
          <w:sz w:val="24"/>
        </w:rPr>
        <w:t>三、承包费用及合同款的支付</w:t>
      </w:r>
    </w:p>
    <w:p>
      <w:pPr>
        <w:pStyle w:val="16"/>
        <w:rPr>
          <w:rFonts w:ascii="宋体" w:hAnsi="宋体" w:cs="宋体"/>
          <w:sz w:val="24"/>
        </w:rPr>
      </w:pPr>
      <w:r>
        <w:rPr>
          <w:rFonts w:hint="eastAsia" w:ascii="宋体" w:hAnsi="宋体" w:cs="宋体"/>
          <w:sz w:val="24"/>
        </w:rPr>
        <w:t>1.承包费用应按照承包作业项目规定的内容（详见以下表格）分别计算，合计</w:t>
      </w:r>
      <w:r>
        <w:rPr>
          <w:rFonts w:hint="eastAsia" w:ascii="宋体" w:hAnsi="宋体" w:cs="宋体"/>
          <w:sz w:val="24"/>
          <w:u w:val="single"/>
        </w:rPr>
        <w:t>￥2262856.92</w:t>
      </w:r>
      <w:r>
        <w:rPr>
          <w:rFonts w:hint="eastAsia" w:ascii="宋体" w:hAnsi="宋体" w:cs="宋体"/>
          <w:sz w:val="24"/>
        </w:rPr>
        <w:t>元，经双方</w:t>
      </w:r>
      <w:r>
        <w:rPr>
          <w:rFonts w:hint="eastAsia" w:ascii="宋体" w:hAnsi="宋体" w:cs="宋体"/>
          <w:sz w:val="24"/>
          <w:szCs w:val="24"/>
        </w:rPr>
        <w:t>协商，</w:t>
      </w:r>
      <w:r>
        <w:rPr>
          <w:rFonts w:hint="eastAsia"/>
          <w:sz w:val="24"/>
          <w:szCs w:val="24"/>
        </w:rPr>
        <w:t>最终合同金额以审计金额为准</w:t>
      </w:r>
      <w:r>
        <w:rPr>
          <w:rFonts w:hint="eastAsia" w:ascii="宋体" w:hAnsi="宋体" w:cs="宋体"/>
          <w:sz w:val="24"/>
          <w:szCs w:val="24"/>
        </w:rPr>
        <w:t>。</w:t>
      </w:r>
    </w:p>
    <w:p>
      <w:pPr>
        <w:widowControl/>
        <w:spacing w:line="360" w:lineRule="auto"/>
        <w:jc w:val="left"/>
        <w:rPr>
          <w:rFonts w:ascii="宋体" w:hAnsi="宋体" w:cs="宋体"/>
          <w:sz w:val="24"/>
        </w:rPr>
      </w:pPr>
      <w:r>
        <w:rPr>
          <w:rFonts w:hint="eastAsia" w:ascii="宋体" w:hAnsi="宋体" w:cs="宋体"/>
          <w:sz w:val="24"/>
        </w:rPr>
        <w:t>作业经费明细表</w:t>
      </w:r>
    </w:p>
    <w:tbl>
      <w:tblPr>
        <w:tblStyle w:val="46"/>
        <w:tblpPr w:leftFromText="180" w:rightFromText="180" w:vertAnchor="text" w:horzAnchor="margin" w:tblpX="-67" w:tblpY="91"/>
        <w:tblW w:w="8755" w:type="dxa"/>
        <w:tblInd w:w="0" w:type="dxa"/>
        <w:tblLayout w:type="fixed"/>
        <w:tblCellMar>
          <w:top w:w="0" w:type="dxa"/>
          <w:left w:w="108" w:type="dxa"/>
          <w:bottom w:w="0" w:type="dxa"/>
          <w:right w:w="108" w:type="dxa"/>
        </w:tblCellMar>
      </w:tblPr>
      <w:tblGrid>
        <w:gridCol w:w="567"/>
        <w:gridCol w:w="1276"/>
        <w:gridCol w:w="708"/>
        <w:gridCol w:w="1418"/>
        <w:gridCol w:w="709"/>
        <w:gridCol w:w="708"/>
        <w:gridCol w:w="851"/>
        <w:gridCol w:w="524"/>
        <w:gridCol w:w="1460"/>
        <w:gridCol w:w="534"/>
      </w:tblGrid>
      <w:tr>
        <w:trPr>
          <w:trHeight w:val="982" w:hRule="atLeast"/>
        </w:trPr>
        <w:tc>
          <w:tcPr>
            <w:tcW w:w="5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所属辖区</w:t>
            </w:r>
          </w:p>
        </w:tc>
        <w:tc>
          <w:tcPr>
            <w:tcW w:w="3402"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rPr>
            </w:pPr>
            <w:r>
              <w:rPr>
                <w:rFonts w:hint="eastAsia" w:ascii="宋体" w:hAnsi="宋体" w:cs="宋体"/>
                <w:sz w:val="24"/>
              </w:rPr>
              <w:t>街巷胡同清扫保洁和垃圾清运</w:t>
            </w:r>
          </w:p>
        </w:tc>
        <w:tc>
          <w:tcPr>
            <w:tcW w:w="2268"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rPr>
            </w:pPr>
            <w:r>
              <w:rPr>
                <w:rFonts w:hint="eastAsia" w:ascii="宋体" w:hAnsi="宋体" w:cs="宋体"/>
                <w:sz w:val="24"/>
              </w:rPr>
              <w:t>平房区城乡结合部垃圾收运工作</w:t>
            </w:r>
          </w:p>
        </w:tc>
        <w:tc>
          <w:tcPr>
            <w:tcW w:w="5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cs="宋体"/>
                <w:sz w:val="24"/>
              </w:rPr>
            </w:pPr>
            <w:r>
              <w:rPr>
                <w:rFonts w:hint="eastAsia" w:ascii="宋体" w:hAnsi="宋体" w:cs="宋体"/>
                <w:sz w:val="24"/>
              </w:rPr>
              <w:t>其他</w:t>
            </w: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cs="宋体"/>
                <w:sz w:val="24"/>
              </w:rPr>
            </w:pPr>
            <w:r>
              <w:rPr>
                <w:rFonts w:hint="eastAsia" w:ascii="宋体" w:hAnsi="宋体" w:cs="宋体"/>
                <w:sz w:val="24"/>
              </w:rPr>
              <w:t>合计</w:t>
            </w:r>
          </w:p>
        </w:tc>
        <w:tc>
          <w:tcPr>
            <w:tcW w:w="534" w:type="dxa"/>
            <w:vMerge w:val="restart"/>
            <w:tcBorders>
              <w:top w:val="single" w:color="auto" w:sz="4" w:space="0"/>
              <w:left w:val="single" w:color="auto" w:sz="4" w:space="0"/>
              <w:right w:val="single" w:color="auto" w:sz="4" w:space="0"/>
            </w:tcBorders>
            <w:vAlign w:val="center"/>
          </w:tcPr>
          <w:p>
            <w:pPr>
              <w:widowControl/>
              <w:spacing w:line="360" w:lineRule="auto"/>
              <w:jc w:val="left"/>
              <w:rPr>
                <w:rFonts w:ascii="宋体" w:hAnsi="宋体" w:cs="宋体"/>
                <w:sz w:val="24"/>
              </w:rPr>
            </w:pPr>
            <w:r>
              <w:rPr>
                <w:rFonts w:hint="eastAsia" w:ascii="宋体" w:hAnsi="宋体" w:cs="宋体"/>
                <w:sz w:val="24"/>
              </w:rPr>
              <w:t>备注</w:t>
            </w:r>
          </w:p>
        </w:tc>
      </w:tr>
      <w:tr>
        <w:tblPrEx>
          <w:tblCellMar>
            <w:top w:w="0" w:type="dxa"/>
            <w:left w:w="108" w:type="dxa"/>
            <w:bottom w:w="0" w:type="dxa"/>
            <w:right w:w="108" w:type="dxa"/>
          </w:tblCellMar>
        </w:tblPrEx>
        <w:trPr>
          <w:trHeight w:val="1160" w:hRule="atLeast"/>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作业面积（平米）</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标准</w:t>
            </w:r>
          </w:p>
          <w:p>
            <w:pPr>
              <w:widowControl/>
              <w:spacing w:line="360" w:lineRule="auto"/>
              <w:jc w:val="left"/>
              <w:rPr>
                <w:rFonts w:ascii="宋体" w:hAnsi="宋体" w:cs="宋体"/>
                <w:sz w:val="24"/>
              </w:rPr>
            </w:pPr>
            <w:r>
              <w:rPr>
                <w:rFonts w:hint="eastAsia" w:ascii="宋体" w:hAnsi="宋体" w:cs="宋体"/>
                <w:sz w:val="24"/>
              </w:rPr>
              <w:t>(元/平米)</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资金测算（元/年）</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人数</w:t>
            </w:r>
          </w:p>
          <w:p>
            <w:pPr>
              <w:widowControl/>
              <w:spacing w:line="360" w:lineRule="auto"/>
              <w:jc w:val="left"/>
              <w:rPr>
                <w:rFonts w:ascii="宋体" w:hAnsi="宋体" w:cs="宋体"/>
                <w:sz w:val="24"/>
              </w:rPr>
            </w:pPr>
            <w:r>
              <w:rPr>
                <w:rFonts w:hint="eastAsia" w:ascii="宋体" w:hAnsi="宋体" w:cs="宋体"/>
                <w:sz w:val="24"/>
              </w:rPr>
              <w:t>（人）</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标准</w:t>
            </w:r>
          </w:p>
          <w:p>
            <w:pPr>
              <w:widowControl/>
              <w:spacing w:line="360" w:lineRule="auto"/>
              <w:jc w:val="left"/>
              <w:rPr>
                <w:rFonts w:ascii="宋体" w:hAnsi="宋体" w:cs="宋体"/>
                <w:sz w:val="24"/>
              </w:rPr>
            </w:pPr>
            <w:r>
              <w:rPr>
                <w:rFonts w:hint="eastAsia" w:ascii="宋体" w:hAnsi="宋体" w:cs="宋体"/>
                <w:sz w:val="24"/>
              </w:rPr>
              <w:t>(元/人/月)</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资金</w:t>
            </w:r>
          </w:p>
          <w:p>
            <w:pPr>
              <w:widowControl/>
              <w:spacing w:line="360" w:lineRule="auto"/>
              <w:jc w:val="left"/>
              <w:rPr>
                <w:rFonts w:ascii="宋体" w:hAnsi="宋体" w:cs="宋体"/>
                <w:sz w:val="24"/>
              </w:rPr>
            </w:pPr>
            <w:r>
              <w:rPr>
                <w:rFonts w:hint="eastAsia" w:ascii="宋体" w:hAnsi="宋体" w:cs="宋体"/>
                <w:sz w:val="24"/>
              </w:rPr>
              <w:t>预算</w:t>
            </w:r>
          </w:p>
          <w:p>
            <w:pPr>
              <w:widowControl/>
              <w:spacing w:line="360" w:lineRule="auto"/>
              <w:jc w:val="left"/>
              <w:rPr>
                <w:rFonts w:ascii="宋体" w:hAnsi="宋体" w:cs="宋体"/>
                <w:sz w:val="24"/>
              </w:rPr>
            </w:pPr>
            <w:r>
              <w:rPr>
                <w:rFonts w:hint="eastAsia" w:ascii="宋体" w:hAnsi="宋体" w:cs="宋体"/>
                <w:sz w:val="24"/>
              </w:rPr>
              <w:t>（元/年）</w:t>
            </w:r>
          </w:p>
        </w:tc>
        <w:tc>
          <w:tcPr>
            <w:tcW w:w="5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街道作业经费需求（元/年）</w:t>
            </w:r>
          </w:p>
        </w:tc>
        <w:tc>
          <w:tcPr>
            <w:tcW w:w="534" w:type="dxa"/>
            <w:vMerge w:val="continue"/>
            <w:tcBorders>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p>
        </w:tc>
      </w:tr>
      <w:tr>
        <w:tblPrEx>
          <w:tblCellMar>
            <w:top w:w="0" w:type="dxa"/>
            <w:left w:w="108" w:type="dxa"/>
            <w:bottom w:w="0" w:type="dxa"/>
            <w:right w:w="108" w:type="dxa"/>
          </w:tblCellMar>
        </w:tblPrEx>
        <w:trPr>
          <w:trHeight w:val="773"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二级路</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color w:val="000000"/>
                <w:sz w:val="24"/>
              </w:rPr>
              <w:t>133927.47</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color w:val="000000"/>
                <w:sz w:val="24"/>
              </w:rPr>
              <w:t>15.1</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color w:val="000000"/>
                <w:sz w:val="24"/>
              </w:rPr>
              <w:t xml:space="preserve">2022304.80 </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0</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0</w:t>
            </w:r>
          </w:p>
        </w:tc>
        <w:tc>
          <w:tcPr>
            <w:tcW w:w="5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0</w:t>
            </w: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color w:val="000000"/>
                <w:sz w:val="24"/>
              </w:rPr>
              <w:t xml:space="preserve">2022304.80 </w:t>
            </w:r>
          </w:p>
        </w:tc>
        <w:tc>
          <w:tcPr>
            <w:tcW w:w="5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p>
        </w:tc>
      </w:tr>
      <w:tr>
        <w:tblPrEx>
          <w:tblCellMar>
            <w:top w:w="0" w:type="dxa"/>
            <w:left w:w="108" w:type="dxa"/>
            <w:bottom w:w="0" w:type="dxa"/>
            <w:right w:w="108" w:type="dxa"/>
          </w:tblCellMar>
        </w:tblPrEx>
        <w:trPr>
          <w:trHeight w:val="773"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三级路</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color w:val="000000"/>
                <w:sz w:val="24"/>
              </w:rPr>
              <w:t>26452.25</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color w:val="000000"/>
                <w:sz w:val="24"/>
              </w:rPr>
              <w:t>8.61</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color w:val="000000"/>
                <w:sz w:val="24"/>
              </w:rPr>
              <w:t xml:space="preserve">227753.87 </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0</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0</w:t>
            </w:r>
          </w:p>
        </w:tc>
        <w:tc>
          <w:tcPr>
            <w:tcW w:w="5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0</w:t>
            </w: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color w:val="000000"/>
                <w:sz w:val="24"/>
              </w:rPr>
              <w:t xml:space="preserve">227753.87 </w:t>
            </w:r>
          </w:p>
        </w:tc>
        <w:tc>
          <w:tcPr>
            <w:tcW w:w="5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p>
        </w:tc>
      </w:tr>
      <w:tr>
        <w:tblPrEx>
          <w:tblCellMar>
            <w:top w:w="0" w:type="dxa"/>
            <w:left w:w="108" w:type="dxa"/>
            <w:bottom w:w="0" w:type="dxa"/>
            <w:right w:w="108" w:type="dxa"/>
          </w:tblCellMar>
        </w:tblPrEx>
        <w:trPr>
          <w:trHeight w:val="773"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绿地应急</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color w:val="000000"/>
                <w:sz w:val="24"/>
              </w:rPr>
              <w:t>13337.29</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color w:val="000000"/>
                <w:sz w:val="24"/>
              </w:rPr>
              <w:t>1.05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color w:val="000000"/>
                <w:sz w:val="24"/>
              </w:rPr>
              <w:t xml:space="preserve">14004.15 </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0</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0</w:t>
            </w:r>
          </w:p>
        </w:tc>
        <w:tc>
          <w:tcPr>
            <w:tcW w:w="5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rFonts w:hint="eastAsia" w:ascii="宋体" w:hAnsi="宋体" w:cs="宋体"/>
                <w:sz w:val="24"/>
              </w:rPr>
              <w:t>0</w:t>
            </w: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r>
              <w:rPr>
                <w:color w:val="000000"/>
                <w:sz w:val="24"/>
              </w:rPr>
              <w:t xml:space="preserve">14004.15 </w:t>
            </w:r>
          </w:p>
        </w:tc>
        <w:tc>
          <w:tcPr>
            <w:tcW w:w="5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sz w:val="24"/>
              </w:rPr>
            </w:pPr>
          </w:p>
        </w:tc>
      </w:tr>
    </w:tbl>
    <w:p>
      <w:pPr>
        <w:widowControl/>
        <w:spacing w:line="360" w:lineRule="auto"/>
        <w:jc w:val="left"/>
        <w:rPr>
          <w:rFonts w:ascii="宋体" w:hAnsi="宋体" w:cs="宋体"/>
          <w:sz w:val="24"/>
        </w:rPr>
      </w:pPr>
      <w:r>
        <w:rPr>
          <w:rFonts w:hint="eastAsia" w:ascii="宋体" w:hAnsi="宋体" w:cs="宋体"/>
          <w:sz w:val="24"/>
        </w:rPr>
        <w:t>说明：</w:t>
      </w:r>
    </w:p>
    <w:p>
      <w:pPr>
        <w:widowControl/>
        <w:spacing w:line="360" w:lineRule="auto"/>
        <w:jc w:val="left"/>
        <w:rPr>
          <w:rFonts w:ascii="宋体" w:hAnsi="宋体" w:cs="宋体"/>
          <w:sz w:val="24"/>
        </w:rPr>
      </w:pPr>
      <w:r>
        <w:rPr>
          <w:rFonts w:hint="eastAsia" w:ascii="宋体" w:hAnsi="宋体" w:cs="宋体"/>
          <w:sz w:val="24"/>
        </w:rPr>
        <w:t>(1)街巷胡同清扫保洁作业内容包括</w:t>
      </w:r>
      <w:r>
        <w:rPr>
          <w:rFonts w:ascii="宋体" w:hAnsi="宋体" w:cs="宋体"/>
          <w:sz w:val="24"/>
        </w:rPr>
        <w:t>道路机械清扫保洁、人工清扫保洁、</w:t>
      </w:r>
      <w:r>
        <w:rPr>
          <w:rFonts w:hint="eastAsia" w:ascii="宋体" w:hAnsi="宋体" w:cs="宋体"/>
          <w:sz w:val="24"/>
        </w:rPr>
        <w:t>小型机械化作业、</w:t>
      </w:r>
      <w:r>
        <w:rPr>
          <w:rFonts w:ascii="宋体" w:hAnsi="宋体" w:cs="宋体"/>
          <w:sz w:val="24"/>
        </w:rPr>
        <w:t>绿地保洁、扫雪铲冰、</w:t>
      </w:r>
      <w:r>
        <w:rPr>
          <w:rFonts w:hint="eastAsia" w:ascii="宋体" w:hAnsi="宋体" w:cs="宋体"/>
          <w:sz w:val="24"/>
        </w:rPr>
        <w:t>雨后</w:t>
      </w:r>
      <w:r>
        <w:rPr>
          <w:rFonts w:ascii="宋体" w:hAnsi="宋体" w:cs="宋体"/>
          <w:sz w:val="24"/>
        </w:rPr>
        <w:t>推水、白色污染捡拾（含树挂、不含电缆挂物）、</w:t>
      </w:r>
      <w:r>
        <w:rPr>
          <w:rFonts w:hint="eastAsia" w:ascii="宋体" w:hAnsi="宋体" w:cs="宋体"/>
          <w:sz w:val="24"/>
        </w:rPr>
        <w:t>垃圾桶</w:t>
      </w:r>
      <w:r>
        <w:rPr>
          <w:rFonts w:ascii="宋体" w:hAnsi="宋体" w:cs="宋体"/>
          <w:sz w:val="24"/>
        </w:rPr>
        <w:t>清掏清洗、步道方砖地杂草清除、可视范围内小广告清除</w:t>
      </w:r>
      <w:r>
        <w:rPr>
          <w:rFonts w:hint="eastAsia" w:ascii="宋体" w:hAnsi="宋体" w:cs="宋体"/>
          <w:sz w:val="24"/>
        </w:rPr>
        <w:t>、</w:t>
      </w:r>
      <w:r>
        <w:rPr>
          <w:rFonts w:ascii="宋体" w:hAnsi="宋体" w:cs="宋体"/>
          <w:sz w:val="24"/>
        </w:rPr>
        <w:t>道路遗撒和无主垃圾清运、突发性公共</w:t>
      </w:r>
      <w:r>
        <w:rPr>
          <w:rFonts w:hint="eastAsia" w:ascii="宋体" w:hAnsi="宋体" w:cs="宋体"/>
          <w:sz w:val="24"/>
        </w:rPr>
        <w:t>污染</w:t>
      </w:r>
      <w:r>
        <w:rPr>
          <w:rFonts w:ascii="宋体" w:hAnsi="宋体" w:cs="宋体"/>
          <w:sz w:val="24"/>
        </w:rPr>
        <w:t>事件应急处理、极端天气环境卫生保障、重大活动、特勤服务环境卫生保障等</w:t>
      </w:r>
    </w:p>
    <w:p>
      <w:pPr>
        <w:widowControl/>
        <w:spacing w:line="360" w:lineRule="auto"/>
        <w:jc w:val="left"/>
        <w:rPr>
          <w:rFonts w:ascii="宋体" w:hAnsi="宋体" w:cs="宋体"/>
          <w:sz w:val="24"/>
        </w:rPr>
      </w:pPr>
      <w:r>
        <w:rPr>
          <w:rFonts w:hint="eastAsia" w:ascii="宋体" w:hAnsi="宋体" w:cs="宋体"/>
          <w:sz w:val="24"/>
        </w:rPr>
        <w:t xml:space="preserve"> (2)平房区和城乡结合部垃圾收运工作，含垃圾收集和收集设施设备的维护，并根据垃圾收运距离适当调整，同时结合责任区特点，主动开展“桶换桶”、“桶对车”、“垃圾不落地”、上门收集或其它有效垃圾收运方式，保证生活垃圾收集及时、设施周边无积存垃圾。生活垃圾日产日清、封闭存放；容器无满冒，每日清掏不少于2次，垃圾收集容器周边1米范围内无陈旧垃圾和污水外流现象，地面整洁、基本无蝇、无明显臭味。垃圾容器春夏秋季清洗、冬季擦拭每周不少于1次。</w:t>
      </w:r>
    </w:p>
    <w:p>
      <w:pPr>
        <w:widowControl/>
        <w:spacing w:line="360" w:lineRule="auto"/>
        <w:jc w:val="left"/>
        <w:rPr>
          <w:rFonts w:ascii="宋体" w:hAnsi="宋体" w:cs="宋体"/>
          <w:sz w:val="24"/>
        </w:rPr>
      </w:pPr>
      <w:r>
        <w:rPr>
          <w:rFonts w:hint="eastAsia" w:ascii="宋体" w:hAnsi="宋体" w:cs="宋体"/>
          <w:sz w:val="24"/>
        </w:rPr>
        <w:t>(3)老旧小区垃圾收运工作，含垃圾收集和收集设施设备的维护，并根据垃圾收运距离适当调整，同时结合责任区特点，主动开展“桶换桶”、“桶对车”、“垃圾不落地”或其它有效垃圾收运方式，设施周边无积存垃圾。生活垃圾日产日清、封闭存放；容器无满冒，每日清掏不少于2次，垃圾收集容器周边1米范围内无积存垃圾和污水外流现象，地面整洁、基本无蝇、无明显臭味。垃圾容器春夏秋季清洗、冬季擦拭每周不少于1次。</w:t>
      </w:r>
    </w:p>
    <w:p>
      <w:pPr>
        <w:widowControl/>
        <w:spacing w:line="360" w:lineRule="auto"/>
        <w:jc w:val="left"/>
        <w:rPr>
          <w:rFonts w:ascii="宋体" w:hAnsi="宋体" w:cs="宋体"/>
          <w:sz w:val="24"/>
        </w:rPr>
      </w:pPr>
      <w:r>
        <w:rPr>
          <w:rFonts w:hint="eastAsia" w:ascii="宋体" w:hAnsi="宋体" w:cs="宋体"/>
          <w:sz w:val="24"/>
        </w:rPr>
        <w:t>(4)作业范围包括保洁范围内墙到墙</w:t>
      </w:r>
      <w:r>
        <w:rPr>
          <w:rFonts w:ascii="宋体" w:hAnsi="宋体" w:cs="宋体"/>
          <w:sz w:val="24"/>
        </w:rPr>
        <w:t>，一把</w:t>
      </w:r>
      <w:r>
        <w:rPr>
          <w:rFonts w:hint="eastAsia" w:ascii="宋体" w:hAnsi="宋体" w:cs="宋体"/>
          <w:sz w:val="24"/>
        </w:rPr>
        <w:t>掃把</w:t>
      </w:r>
      <w:r>
        <w:rPr>
          <w:rFonts w:ascii="宋体" w:hAnsi="宋体" w:cs="宋体"/>
          <w:sz w:val="24"/>
        </w:rPr>
        <w:t>扫到底。</w:t>
      </w:r>
    </w:p>
    <w:p>
      <w:pPr>
        <w:widowControl/>
        <w:spacing w:line="360" w:lineRule="auto"/>
        <w:jc w:val="left"/>
        <w:rPr>
          <w:rFonts w:ascii="宋体" w:hAnsi="宋体" w:cs="宋体"/>
          <w:sz w:val="24"/>
        </w:rPr>
      </w:pPr>
      <w:r>
        <w:rPr>
          <w:rFonts w:hint="eastAsia" w:ascii="宋体" w:hAnsi="宋体" w:cs="宋体"/>
          <w:sz w:val="24"/>
        </w:rPr>
        <w:t>道路两侧</w:t>
      </w:r>
      <w:r>
        <w:rPr>
          <w:rFonts w:ascii="宋体" w:hAnsi="宋体" w:cs="宋体"/>
          <w:sz w:val="24"/>
        </w:rPr>
        <w:t>有房屋、围墙、栅栏等构筑物的，以构筑物边沿为准；道路两侧有边沟（</w:t>
      </w:r>
      <w:r>
        <w:rPr>
          <w:rFonts w:hint="eastAsia" w:ascii="宋体" w:hAnsi="宋体" w:cs="宋体"/>
          <w:sz w:val="24"/>
        </w:rPr>
        <w:t>非</w:t>
      </w:r>
      <w:r>
        <w:rPr>
          <w:rFonts w:ascii="宋体" w:hAnsi="宋体" w:cs="宋体"/>
          <w:sz w:val="24"/>
        </w:rPr>
        <w:t>封闭边沟）的，以边沟外沿为准；边沟外有构筑物的，以构筑物外沿为准；无房屋，围墙、栅栏等构筑物的，以道路两侧</w:t>
      </w:r>
      <w:r>
        <w:rPr>
          <w:rFonts w:hint="eastAsia" w:ascii="宋体" w:hAnsi="宋体" w:cs="宋体"/>
          <w:sz w:val="24"/>
        </w:rPr>
        <w:t>10米</w:t>
      </w:r>
      <w:r>
        <w:rPr>
          <w:rFonts w:ascii="宋体" w:hAnsi="宋体" w:cs="宋体"/>
          <w:sz w:val="24"/>
        </w:rPr>
        <w:t>范围为准。</w:t>
      </w:r>
      <w:r>
        <w:rPr>
          <w:rFonts w:hint="eastAsia" w:ascii="宋体" w:hAnsi="宋体" w:cs="宋体"/>
          <w:sz w:val="24"/>
        </w:rPr>
        <w:t>上述各</w:t>
      </w:r>
      <w:r>
        <w:rPr>
          <w:rFonts w:ascii="宋体" w:hAnsi="宋体" w:cs="宋体"/>
          <w:sz w:val="24"/>
        </w:rPr>
        <w:t>范围内的路面、路牙、便道、步道方砖地、边沟、树坑、雨水口、隔离带、绿地（不含封闭绿地）、城市公共设施等都应属于道路清扫保洁、杂草清除、垃圾拾捡</w:t>
      </w:r>
      <w:r>
        <w:rPr>
          <w:rFonts w:hint="eastAsia" w:ascii="宋体" w:hAnsi="宋体" w:cs="宋体"/>
          <w:sz w:val="24"/>
        </w:rPr>
        <w:t>、</w:t>
      </w:r>
      <w:r>
        <w:rPr>
          <w:rFonts w:ascii="宋体" w:hAnsi="宋体" w:cs="宋体"/>
          <w:sz w:val="24"/>
        </w:rPr>
        <w:t>白色污染捡拾、小广告清除作业的范围。</w:t>
      </w:r>
    </w:p>
    <w:p>
      <w:pPr>
        <w:widowControl/>
        <w:numPr>
          <w:ilvl w:val="0"/>
          <w:numId w:val="9"/>
        </w:numPr>
        <w:spacing w:line="360" w:lineRule="auto"/>
        <w:jc w:val="left"/>
        <w:rPr>
          <w:rFonts w:hint="eastAsia" w:ascii="宋体" w:hAnsi="宋体" w:cs="宋体"/>
          <w:sz w:val="24"/>
        </w:rPr>
      </w:pPr>
      <w:r>
        <w:rPr>
          <w:rFonts w:hint="eastAsia" w:ascii="宋体" w:hAnsi="宋体" w:cs="宋体"/>
          <w:sz w:val="24"/>
        </w:rPr>
        <w:t xml:space="preserve">付款方式： </w:t>
      </w:r>
    </w:p>
    <w:p>
      <w:pPr>
        <w:widowControl/>
        <w:numPr>
          <w:ilvl w:val="0"/>
          <w:numId w:val="10"/>
        </w:numPr>
        <w:spacing w:line="360" w:lineRule="auto"/>
        <w:jc w:val="lef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rPr>
        <w:t>合同签订后，甲方向乙方支付</w:t>
      </w:r>
      <w:r>
        <w:rPr>
          <w:rFonts w:hint="eastAsia" w:asciiTheme="minorEastAsia" w:hAnsiTheme="minorEastAsia" w:eastAsiaTheme="minorEastAsia" w:cstheme="minorEastAsia"/>
          <w:sz w:val="24"/>
          <w:lang w:val="en-US" w:eastAsia="zh-CN"/>
        </w:rPr>
        <w:t>一个</w:t>
      </w:r>
      <w:r>
        <w:rPr>
          <w:rFonts w:hint="eastAsia" w:asciiTheme="minorEastAsia" w:hAnsiTheme="minorEastAsia" w:eastAsiaTheme="minorEastAsia" w:cstheme="minorEastAsia"/>
          <w:sz w:val="24"/>
          <w:highlight w:val="none"/>
          <w:lang w:val="en-US" w:eastAsia="zh-CN"/>
        </w:rPr>
        <w:t>月的</w:t>
      </w:r>
      <w:r>
        <w:rPr>
          <w:rFonts w:hint="eastAsia" w:asciiTheme="minorEastAsia" w:hAnsiTheme="minorEastAsia" w:eastAsiaTheme="minorEastAsia" w:cstheme="minorEastAsia"/>
          <w:sz w:val="24"/>
          <w:highlight w:val="none"/>
        </w:rPr>
        <w:t>费用</w:t>
      </w:r>
      <w:r>
        <w:rPr>
          <w:rFonts w:hint="eastAsia" w:asciiTheme="minorEastAsia" w:hAnsiTheme="minorEastAsia" w:eastAsiaTheme="minorEastAsia" w:cstheme="minorEastAsia"/>
          <w:sz w:val="24"/>
          <w:lang w:eastAsia="zh-CN"/>
        </w:rPr>
        <w:t>，计</w:t>
      </w:r>
      <w:r>
        <w:rPr>
          <w:rFonts w:hint="eastAsia" w:asciiTheme="minorEastAsia" w:hAnsiTheme="minorEastAsia" w:eastAsiaTheme="minorEastAsia" w:cstheme="minorEastAsia"/>
          <w:sz w:val="24"/>
          <w:highlight w:val="none"/>
          <w:u w:val="single"/>
          <w:lang w:val="en-US" w:eastAsia="zh-CN"/>
        </w:rPr>
        <w:t>188571.41</w:t>
      </w:r>
      <w:r>
        <w:rPr>
          <w:rFonts w:hint="eastAsia" w:asciiTheme="minorEastAsia" w:hAnsiTheme="minorEastAsia" w:eastAsiaTheme="minorEastAsia" w:cstheme="minorEastAsia"/>
          <w:sz w:val="24"/>
          <w:lang w:val="en-US" w:eastAsia="zh-CN"/>
        </w:rPr>
        <w:t>元；</w:t>
      </w:r>
    </w:p>
    <w:p>
      <w:pPr>
        <w:widowControl/>
        <w:numPr>
          <w:ilvl w:val="0"/>
          <w:numId w:val="10"/>
        </w:numPr>
        <w:spacing w:line="360" w:lineRule="auto"/>
        <w:jc w:val="lef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202</w:t>
      </w:r>
      <w:r>
        <w:rPr>
          <w:rFonts w:hint="eastAsia" w:asciiTheme="minorEastAsia" w:hAnsiTheme="minorEastAsia" w:eastAsiaTheme="minorEastAsia" w:cstheme="minorEastAsia"/>
          <w:sz w:val="24"/>
          <w:highlight w:val="none"/>
          <w:lang w:val="en-US" w:eastAsia="zh-CN"/>
        </w:rPr>
        <w:t>4</w:t>
      </w:r>
      <w:r>
        <w:rPr>
          <w:rFonts w:hint="eastAsia" w:asciiTheme="minorEastAsia" w:hAnsiTheme="minorEastAsia" w:eastAsiaTheme="minorEastAsia" w:cstheme="minorEastAsia"/>
          <w:sz w:val="24"/>
          <w:highlight w:val="none"/>
        </w:rPr>
        <w:t>年</w:t>
      </w:r>
      <w:r>
        <w:rPr>
          <w:rFonts w:hint="eastAsia" w:asciiTheme="minorEastAsia" w:hAnsiTheme="minorEastAsia" w:eastAsiaTheme="minorEastAsia" w:cstheme="minorEastAsia"/>
          <w:sz w:val="24"/>
          <w:highlight w:val="none"/>
          <w:lang w:val="en-US" w:eastAsia="zh-CN"/>
        </w:rPr>
        <w:t>8</w:t>
      </w:r>
      <w:r>
        <w:rPr>
          <w:rFonts w:hint="eastAsia" w:asciiTheme="minorEastAsia" w:hAnsiTheme="minorEastAsia" w:eastAsiaTheme="minorEastAsia" w:cstheme="minorEastAsia"/>
          <w:sz w:val="24"/>
          <w:highlight w:val="none"/>
        </w:rPr>
        <w:t>月，甲方向乙方支付</w:t>
      </w:r>
      <w:r>
        <w:rPr>
          <w:rFonts w:hint="eastAsia" w:asciiTheme="minorEastAsia" w:hAnsiTheme="minorEastAsia" w:eastAsiaTheme="minorEastAsia" w:cstheme="minorEastAsia"/>
          <w:sz w:val="24"/>
          <w:highlight w:val="none"/>
          <w:lang w:val="en-US" w:eastAsia="zh-CN"/>
        </w:rPr>
        <w:t>三个月的</w:t>
      </w:r>
      <w:r>
        <w:rPr>
          <w:rFonts w:hint="eastAsia" w:asciiTheme="minorEastAsia" w:hAnsiTheme="minorEastAsia" w:eastAsiaTheme="minorEastAsia" w:cstheme="minorEastAsia"/>
          <w:sz w:val="24"/>
          <w:highlight w:val="none"/>
        </w:rPr>
        <w:t>费用</w:t>
      </w:r>
      <w:r>
        <w:rPr>
          <w:rFonts w:hint="eastAsia" w:asciiTheme="minorEastAsia" w:hAnsiTheme="minorEastAsia" w:eastAsiaTheme="minorEastAsia" w:cstheme="minorEastAsia"/>
          <w:sz w:val="24"/>
          <w:highlight w:val="none"/>
          <w:lang w:eastAsia="zh-CN"/>
        </w:rPr>
        <w:t>，计</w:t>
      </w:r>
      <w:r>
        <w:rPr>
          <w:rFonts w:hint="eastAsia" w:asciiTheme="minorEastAsia" w:hAnsiTheme="minorEastAsia" w:eastAsiaTheme="minorEastAsia" w:cstheme="minorEastAsia"/>
          <w:sz w:val="24"/>
          <w:highlight w:val="none"/>
          <w:u w:val="single"/>
          <w:lang w:val="en-US" w:eastAsia="zh-CN"/>
        </w:rPr>
        <w:t>565714.23</w:t>
      </w:r>
      <w:r>
        <w:rPr>
          <w:rFonts w:hint="eastAsia" w:asciiTheme="minorEastAsia" w:hAnsiTheme="minorEastAsia" w:eastAsiaTheme="minorEastAsia" w:cstheme="minorEastAsia"/>
          <w:sz w:val="24"/>
          <w:highlight w:val="none"/>
          <w:lang w:val="en-US" w:eastAsia="zh-CN"/>
        </w:rPr>
        <w:t>元，并</w:t>
      </w:r>
      <w:r>
        <w:rPr>
          <w:rFonts w:hint="eastAsia" w:asciiTheme="minorEastAsia" w:hAnsiTheme="minorEastAsia" w:eastAsiaTheme="minorEastAsia" w:cstheme="minorEastAsia"/>
          <w:sz w:val="24"/>
          <w:highlight w:val="none"/>
        </w:rPr>
        <w:t>扣除前一支付周期内产生的违约金</w:t>
      </w:r>
      <w:r>
        <w:rPr>
          <w:rFonts w:hint="eastAsia" w:asciiTheme="minorEastAsia" w:hAnsiTheme="minorEastAsia" w:eastAsiaTheme="minorEastAsia" w:cstheme="minorEastAsia"/>
          <w:sz w:val="24"/>
          <w:highlight w:val="none"/>
          <w:lang w:eastAsia="zh-CN"/>
        </w:rPr>
        <w:t>；</w:t>
      </w:r>
    </w:p>
    <w:p>
      <w:pPr>
        <w:widowControl/>
        <w:numPr>
          <w:ilvl w:val="0"/>
          <w:numId w:val="10"/>
        </w:numPr>
        <w:spacing w:line="360" w:lineRule="auto"/>
        <w:jc w:val="lef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202</w:t>
      </w:r>
      <w:r>
        <w:rPr>
          <w:rFonts w:hint="eastAsia" w:asciiTheme="minorEastAsia" w:hAnsiTheme="minorEastAsia" w:eastAsiaTheme="minorEastAsia" w:cstheme="minorEastAsia"/>
          <w:sz w:val="24"/>
          <w:highlight w:val="none"/>
          <w:lang w:val="en-US" w:eastAsia="zh-CN"/>
        </w:rPr>
        <w:t>4</w:t>
      </w:r>
      <w:r>
        <w:rPr>
          <w:rFonts w:hint="eastAsia" w:asciiTheme="minorEastAsia" w:hAnsiTheme="minorEastAsia" w:eastAsiaTheme="minorEastAsia" w:cstheme="minorEastAsia"/>
          <w:sz w:val="24"/>
          <w:highlight w:val="none"/>
        </w:rPr>
        <w:t>年</w:t>
      </w:r>
      <w:r>
        <w:rPr>
          <w:rFonts w:hint="eastAsia" w:asciiTheme="minorEastAsia" w:hAnsiTheme="minorEastAsia" w:eastAsiaTheme="minorEastAsia" w:cstheme="minorEastAsia"/>
          <w:sz w:val="24"/>
          <w:highlight w:val="none"/>
          <w:lang w:val="en-US" w:eastAsia="zh-CN"/>
        </w:rPr>
        <w:t>11</w:t>
      </w:r>
      <w:r>
        <w:rPr>
          <w:rFonts w:hint="eastAsia" w:asciiTheme="minorEastAsia" w:hAnsiTheme="minorEastAsia" w:eastAsiaTheme="minorEastAsia" w:cstheme="minorEastAsia"/>
          <w:sz w:val="24"/>
          <w:highlight w:val="none"/>
        </w:rPr>
        <w:t>月，甲方向乙方支付</w:t>
      </w:r>
      <w:r>
        <w:rPr>
          <w:rFonts w:hint="eastAsia" w:asciiTheme="minorEastAsia" w:hAnsiTheme="minorEastAsia" w:eastAsiaTheme="minorEastAsia" w:cstheme="minorEastAsia"/>
          <w:sz w:val="24"/>
          <w:highlight w:val="none"/>
          <w:lang w:val="en-US" w:eastAsia="zh-CN"/>
        </w:rPr>
        <w:t>三个月的</w:t>
      </w:r>
      <w:r>
        <w:rPr>
          <w:rFonts w:hint="eastAsia" w:asciiTheme="minorEastAsia" w:hAnsiTheme="minorEastAsia" w:eastAsiaTheme="minorEastAsia" w:cstheme="minorEastAsia"/>
          <w:sz w:val="24"/>
          <w:highlight w:val="none"/>
        </w:rPr>
        <w:t>费用</w:t>
      </w:r>
      <w:r>
        <w:rPr>
          <w:rFonts w:hint="eastAsia" w:asciiTheme="minorEastAsia" w:hAnsiTheme="minorEastAsia" w:eastAsiaTheme="minorEastAsia" w:cstheme="minorEastAsia"/>
          <w:sz w:val="24"/>
          <w:highlight w:val="none"/>
          <w:lang w:eastAsia="zh-CN"/>
        </w:rPr>
        <w:t>，计</w:t>
      </w:r>
      <w:r>
        <w:rPr>
          <w:rFonts w:hint="eastAsia" w:asciiTheme="minorEastAsia" w:hAnsiTheme="minorEastAsia" w:eastAsiaTheme="minorEastAsia" w:cstheme="minorEastAsia"/>
          <w:sz w:val="24"/>
          <w:highlight w:val="none"/>
          <w:u w:val="single"/>
          <w:lang w:val="en-US" w:eastAsia="zh-CN"/>
        </w:rPr>
        <w:t>565714.23</w:t>
      </w:r>
      <w:r>
        <w:rPr>
          <w:rFonts w:hint="eastAsia" w:asciiTheme="minorEastAsia" w:hAnsiTheme="minorEastAsia" w:eastAsiaTheme="minorEastAsia" w:cstheme="minorEastAsia"/>
          <w:sz w:val="24"/>
          <w:highlight w:val="none"/>
          <w:lang w:val="en-US" w:eastAsia="zh-CN"/>
        </w:rPr>
        <w:t>元，并</w:t>
      </w:r>
      <w:r>
        <w:rPr>
          <w:rFonts w:hint="eastAsia" w:asciiTheme="minorEastAsia" w:hAnsiTheme="minorEastAsia" w:eastAsiaTheme="minorEastAsia" w:cstheme="minorEastAsia"/>
          <w:sz w:val="24"/>
          <w:highlight w:val="none"/>
        </w:rPr>
        <w:t>扣除前一支付周期内产生的违约金；</w:t>
      </w:r>
    </w:p>
    <w:p>
      <w:pPr>
        <w:widowControl/>
        <w:numPr>
          <w:ilvl w:val="0"/>
          <w:numId w:val="10"/>
        </w:numPr>
        <w:spacing w:line="360" w:lineRule="auto"/>
        <w:jc w:val="lef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202</w:t>
      </w:r>
      <w:r>
        <w:rPr>
          <w:rFonts w:hint="eastAsia" w:asciiTheme="minorEastAsia" w:hAnsiTheme="minorEastAsia" w:eastAsiaTheme="minorEastAsia" w:cstheme="minorEastAsia"/>
          <w:sz w:val="24"/>
          <w:highlight w:val="none"/>
          <w:lang w:val="en-US" w:eastAsia="zh-CN"/>
        </w:rPr>
        <w:t>5</w:t>
      </w:r>
      <w:r>
        <w:rPr>
          <w:rFonts w:hint="eastAsia" w:asciiTheme="minorEastAsia" w:hAnsiTheme="minorEastAsia" w:eastAsiaTheme="minorEastAsia" w:cstheme="minorEastAsia"/>
          <w:sz w:val="24"/>
          <w:highlight w:val="none"/>
        </w:rPr>
        <w:t>年</w:t>
      </w:r>
      <w:r>
        <w:rPr>
          <w:rFonts w:hint="eastAsia" w:asciiTheme="minorEastAsia" w:hAnsiTheme="minorEastAsia" w:eastAsiaTheme="minorEastAsia" w:cstheme="minorEastAsia"/>
          <w:sz w:val="24"/>
          <w:highlight w:val="none"/>
          <w:lang w:val="en-US" w:eastAsia="zh-CN"/>
        </w:rPr>
        <w:t>2</w:t>
      </w:r>
      <w:r>
        <w:rPr>
          <w:rFonts w:hint="eastAsia" w:asciiTheme="minorEastAsia" w:hAnsiTheme="minorEastAsia" w:eastAsiaTheme="minorEastAsia" w:cstheme="minorEastAsia"/>
          <w:sz w:val="24"/>
          <w:highlight w:val="none"/>
        </w:rPr>
        <w:t>月，甲方向乙方支付</w:t>
      </w:r>
      <w:r>
        <w:rPr>
          <w:rFonts w:hint="eastAsia" w:asciiTheme="minorEastAsia" w:hAnsiTheme="minorEastAsia" w:eastAsiaTheme="minorEastAsia" w:cstheme="minorEastAsia"/>
          <w:sz w:val="24"/>
          <w:highlight w:val="none"/>
          <w:lang w:val="en-US" w:eastAsia="zh-CN"/>
        </w:rPr>
        <w:t>三个月的</w:t>
      </w:r>
      <w:r>
        <w:rPr>
          <w:rFonts w:hint="eastAsia" w:asciiTheme="minorEastAsia" w:hAnsiTheme="minorEastAsia" w:eastAsiaTheme="minorEastAsia" w:cstheme="minorEastAsia"/>
          <w:sz w:val="24"/>
          <w:highlight w:val="none"/>
        </w:rPr>
        <w:t>费用</w:t>
      </w:r>
      <w:r>
        <w:rPr>
          <w:rFonts w:hint="eastAsia" w:asciiTheme="minorEastAsia" w:hAnsiTheme="minorEastAsia" w:eastAsiaTheme="minorEastAsia" w:cstheme="minorEastAsia"/>
          <w:sz w:val="24"/>
          <w:highlight w:val="none"/>
          <w:lang w:eastAsia="zh-CN"/>
        </w:rPr>
        <w:t>，计</w:t>
      </w:r>
      <w:r>
        <w:rPr>
          <w:rFonts w:hint="eastAsia" w:asciiTheme="minorEastAsia" w:hAnsiTheme="minorEastAsia" w:eastAsiaTheme="minorEastAsia" w:cstheme="minorEastAsia"/>
          <w:sz w:val="24"/>
          <w:highlight w:val="none"/>
          <w:u w:val="single"/>
          <w:lang w:val="en-US" w:eastAsia="zh-CN"/>
        </w:rPr>
        <w:t>565714.23</w:t>
      </w:r>
      <w:r>
        <w:rPr>
          <w:rFonts w:hint="eastAsia" w:asciiTheme="minorEastAsia" w:hAnsiTheme="minorEastAsia" w:eastAsiaTheme="minorEastAsia" w:cstheme="minorEastAsia"/>
          <w:sz w:val="24"/>
          <w:highlight w:val="none"/>
          <w:lang w:val="en-US" w:eastAsia="zh-CN"/>
        </w:rPr>
        <w:t>元并</w:t>
      </w:r>
      <w:r>
        <w:rPr>
          <w:rFonts w:hint="eastAsia" w:asciiTheme="minorEastAsia" w:hAnsiTheme="minorEastAsia" w:eastAsiaTheme="minorEastAsia" w:cstheme="minorEastAsia"/>
          <w:sz w:val="24"/>
          <w:highlight w:val="none"/>
        </w:rPr>
        <w:t>扣除前一支付周期内产生的违约金；</w:t>
      </w:r>
    </w:p>
    <w:p>
      <w:pPr>
        <w:widowControl/>
        <w:numPr>
          <w:ilvl w:val="0"/>
          <w:numId w:val="10"/>
        </w:numPr>
        <w:spacing w:line="360" w:lineRule="auto"/>
        <w:jc w:val="left"/>
        <w:rPr>
          <w:rFonts w:hint="eastAsia" w:ascii="宋体" w:hAnsi="宋体" w:cs="宋体"/>
          <w:sz w:val="24"/>
        </w:rPr>
      </w:pPr>
      <w:r>
        <w:rPr>
          <w:rFonts w:hint="eastAsia" w:ascii="宋体" w:hAnsi="宋体" w:eastAsia="宋体" w:cs="宋体"/>
          <w:sz w:val="24"/>
        </w:rPr>
        <w:t>项目结束后，由审计单位对项目进行审计，审计完成后，依照审定金额向乙方支付尾款。</w:t>
      </w:r>
      <w:bookmarkStart w:id="0" w:name="_GoBack"/>
      <w:bookmarkEnd w:id="0"/>
    </w:p>
    <w:p>
      <w:pPr>
        <w:widowControl/>
        <w:spacing w:line="360" w:lineRule="auto"/>
        <w:jc w:val="left"/>
        <w:rPr>
          <w:rFonts w:ascii="宋体" w:hAnsi="宋体" w:cs="宋体"/>
          <w:b/>
          <w:sz w:val="24"/>
        </w:rPr>
      </w:pPr>
      <w:r>
        <w:rPr>
          <w:rFonts w:hint="eastAsia" w:ascii="宋体" w:hAnsi="宋体" w:cs="宋体"/>
          <w:b/>
          <w:sz w:val="24"/>
        </w:rPr>
        <w:t>四、甲方责任</w:t>
      </w:r>
    </w:p>
    <w:p>
      <w:pPr>
        <w:widowControl/>
        <w:numPr>
          <w:ilvl w:val="0"/>
          <w:numId w:val="0"/>
        </w:numPr>
        <w:spacing w:line="360" w:lineRule="auto"/>
        <w:jc w:val="left"/>
        <w:rPr>
          <w:rFonts w:hint="eastAsia" w:ascii="宋体" w:hAnsi="宋体" w:eastAsia="宋体" w:cs="宋体"/>
          <w:sz w:val="24"/>
        </w:rPr>
      </w:pPr>
      <w:r>
        <w:rPr>
          <w:rFonts w:hint="eastAsia" w:ascii="宋体" w:hAnsi="宋体" w:cs="宋体"/>
          <w:sz w:val="24"/>
        </w:rPr>
        <w:t>1．甲方负责向</w:t>
      </w:r>
      <w:r>
        <w:rPr>
          <w:rFonts w:hint="eastAsia" w:ascii="宋体" w:hAnsi="宋体" w:eastAsia="宋体" w:cs="宋体"/>
          <w:sz w:val="24"/>
        </w:rPr>
        <w:t>乙方提供辖区承包范围的作业台账和作业标准，建立检查考评和奖励机制，且在合同履行过程中，甲方有权对评分标准进行合理的调整和修改。</w:t>
      </w:r>
    </w:p>
    <w:p>
      <w:pPr>
        <w:widowControl/>
        <w:numPr>
          <w:ilvl w:val="0"/>
          <w:numId w:val="0"/>
        </w:numPr>
        <w:spacing w:line="360" w:lineRule="auto"/>
        <w:jc w:val="left"/>
        <w:rPr>
          <w:rFonts w:hint="eastAsia" w:ascii="宋体" w:hAnsi="宋体" w:eastAsia="宋体" w:cs="宋体"/>
          <w:sz w:val="24"/>
        </w:rPr>
      </w:pPr>
      <w:r>
        <w:rPr>
          <w:rFonts w:hint="eastAsia" w:ascii="宋体" w:hAnsi="宋体" w:eastAsia="宋体" w:cs="宋体"/>
          <w:sz w:val="24"/>
        </w:rPr>
        <w:t>2．甲方负责对乙方所承包作业项目的作业质量、作息安排、作业流程进行监督、检查、考核、奖扣。</w:t>
      </w:r>
    </w:p>
    <w:p>
      <w:pPr>
        <w:widowControl/>
        <w:numPr>
          <w:ilvl w:val="0"/>
          <w:numId w:val="0"/>
        </w:numPr>
        <w:spacing w:line="360" w:lineRule="auto"/>
        <w:jc w:val="left"/>
        <w:rPr>
          <w:rFonts w:hint="eastAsia" w:ascii="宋体" w:hAnsi="宋体" w:eastAsia="宋体" w:cs="宋体"/>
          <w:sz w:val="24"/>
        </w:rPr>
      </w:pPr>
      <w:r>
        <w:rPr>
          <w:rFonts w:hint="eastAsia" w:ascii="宋体" w:hAnsi="宋体" w:eastAsia="宋体" w:cs="宋体"/>
          <w:sz w:val="24"/>
        </w:rPr>
        <w:t>3．遇突发事件乙方应及时采取有效的应急措施，并向甲方进行报告。</w:t>
      </w:r>
    </w:p>
    <w:p>
      <w:pPr>
        <w:widowControl/>
        <w:numPr>
          <w:ilvl w:val="0"/>
          <w:numId w:val="0"/>
        </w:numPr>
        <w:spacing w:line="360" w:lineRule="auto"/>
        <w:jc w:val="left"/>
        <w:rPr>
          <w:rFonts w:hint="eastAsia" w:ascii="宋体" w:hAnsi="宋体" w:eastAsia="宋体" w:cs="宋体"/>
          <w:sz w:val="24"/>
        </w:rPr>
      </w:pPr>
      <w:r>
        <w:rPr>
          <w:rFonts w:hint="eastAsia" w:ascii="宋体" w:hAnsi="宋体" w:eastAsia="宋体" w:cs="宋体"/>
          <w:sz w:val="24"/>
        </w:rPr>
        <w:t>4．甲方发现乙方将承包作业项目分包和转包，有权终止合同，并追究乙方法律责任。</w:t>
      </w:r>
    </w:p>
    <w:p>
      <w:pPr>
        <w:widowControl/>
        <w:spacing w:line="360" w:lineRule="auto"/>
        <w:jc w:val="left"/>
        <w:rPr>
          <w:rFonts w:ascii="宋体" w:hAnsi="宋体" w:cs="宋体"/>
          <w:b/>
          <w:sz w:val="24"/>
        </w:rPr>
      </w:pPr>
      <w:r>
        <w:rPr>
          <w:rFonts w:hint="eastAsia" w:ascii="宋体" w:hAnsi="宋体" w:cs="宋体"/>
          <w:b/>
          <w:sz w:val="24"/>
        </w:rPr>
        <w:t>五、乙方的责任</w:t>
      </w:r>
    </w:p>
    <w:p>
      <w:pPr>
        <w:widowControl/>
        <w:spacing w:line="360" w:lineRule="auto"/>
        <w:jc w:val="left"/>
        <w:rPr>
          <w:rFonts w:ascii="宋体" w:hAnsi="宋体" w:cs="宋体"/>
          <w:sz w:val="24"/>
        </w:rPr>
      </w:pPr>
      <w:r>
        <w:rPr>
          <w:rFonts w:hint="eastAsia" w:ascii="宋体" w:hAnsi="宋体" w:cs="宋体"/>
          <w:sz w:val="24"/>
        </w:rPr>
        <w:t>1．乙方应具有市、区市政市容委核准批复的道路清扫、收集、运输等资质证明，并将资质证明复印件、法人身份证复印件交予甲方留存。</w:t>
      </w:r>
    </w:p>
    <w:p>
      <w:pPr>
        <w:widowControl/>
        <w:spacing w:line="360" w:lineRule="auto"/>
        <w:jc w:val="left"/>
        <w:rPr>
          <w:rFonts w:ascii="宋体" w:hAnsi="宋体" w:cs="宋体"/>
          <w:sz w:val="24"/>
        </w:rPr>
      </w:pPr>
      <w:r>
        <w:rPr>
          <w:rFonts w:hint="eastAsia" w:ascii="宋体" w:hAnsi="宋体" w:cs="宋体"/>
          <w:sz w:val="24"/>
        </w:rPr>
        <w:t>2．乙方应具备机械清扫、小广告冲刷、快速保洁、垃圾收运等机械设备，开展“三快一净”，机械专业化作业。合理安排作业人员，落实作业标准，规范作业流程，保证作业质量，确保责任区范围内环境卫生整洁。</w:t>
      </w:r>
    </w:p>
    <w:p>
      <w:pPr>
        <w:widowControl/>
        <w:spacing w:line="360" w:lineRule="auto"/>
        <w:jc w:val="left"/>
        <w:rPr>
          <w:rFonts w:ascii="宋体" w:hAnsi="宋体" w:cs="宋体"/>
          <w:sz w:val="24"/>
        </w:rPr>
      </w:pPr>
      <w:r>
        <w:rPr>
          <w:rFonts w:hint="eastAsia" w:ascii="宋体" w:hAnsi="宋体" w:cs="宋体"/>
          <w:sz w:val="24"/>
        </w:rPr>
        <w:t>3．按街巷道路等级合理安排作业人员实施道路清扫保洁工作。每日上午8:00—11:30、下午13:00—15:00之间将每个垃圾收集站点内的垃圾及周边散落垃圾收运至指定的垃圾楼等垃圾站。</w:t>
      </w:r>
    </w:p>
    <w:p>
      <w:pPr>
        <w:widowControl/>
        <w:spacing w:line="360" w:lineRule="auto"/>
        <w:jc w:val="left"/>
        <w:rPr>
          <w:rFonts w:ascii="宋体" w:hAnsi="宋体" w:cs="宋体"/>
          <w:sz w:val="24"/>
        </w:rPr>
      </w:pPr>
      <w:r>
        <w:rPr>
          <w:rFonts w:hint="eastAsia" w:ascii="宋体" w:hAnsi="宋体" w:cs="宋体"/>
          <w:sz w:val="24"/>
        </w:rPr>
        <w:t>4．乙方不得将承包作业项目进行分包或转包。必须按照甲方规定的作业时间、作业人员、作业范围安排好工作，不得甩段，保证作业质量和上岗作业人员。组织做好清扫保洁、绿地保洁、果皮箱清掏擦拭、垃圾收集清运、落叶清扫清除、小广告清除、扫雪铲冰、门前三包责任范围内垃圾渣土清理整治、节假日环境保障、各级检查环境保障、各级特勤环境保障及其他重大政治任务、重要活动等事项的环境卫生作业。</w:t>
      </w:r>
    </w:p>
    <w:p>
      <w:pPr>
        <w:widowControl/>
        <w:spacing w:line="360" w:lineRule="auto"/>
        <w:jc w:val="left"/>
        <w:rPr>
          <w:rFonts w:ascii="宋体" w:hAnsi="宋体" w:cs="宋体"/>
          <w:sz w:val="24"/>
        </w:rPr>
      </w:pPr>
      <w:r>
        <w:rPr>
          <w:rFonts w:hint="eastAsia" w:ascii="宋体" w:hAnsi="宋体" w:cs="宋体"/>
          <w:sz w:val="24"/>
        </w:rPr>
        <w:t>5．乙方严格执行《北京市城市环境卫生质量标准》、《城市道路清扫保洁质量与作业要求》（D</w:t>
      </w:r>
      <w:r>
        <w:rPr>
          <w:rFonts w:ascii="宋体" w:hAnsi="宋体" w:cs="宋体"/>
          <w:sz w:val="24"/>
        </w:rPr>
        <w:t>B11/T353-2021</w:t>
      </w:r>
      <w:r>
        <w:rPr>
          <w:rFonts w:hint="eastAsia" w:ascii="宋体" w:hAnsi="宋体" w:cs="宋体"/>
          <w:sz w:val="24"/>
        </w:rPr>
        <w:t>）、《街巷环境卫生质量要求》（D</w:t>
      </w:r>
      <w:r>
        <w:rPr>
          <w:rFonts w:ascii="宋体" w:hAnsi="宋体" w:cs="宋体"/>
          <w:sz w:val="24"/>
        </w:rPr>
        <w:t>B11/T1375-2021</w:t>
      </w:r>
      <w:r>
        <w:rPr>
          <w:rFonts w:hint="eastAsia" w:ascii="宋体" w:hAnsi="宋体" w:cs="宋体"/>
          <w:sz w:val="24"/>
        </w:rPr>
        <w:t>）、《生活垃圾收集运输管理规范》、《北京市环境卫生专业检查考评办法》中《北京市街乡（镇）管理范围环境卫生检查标准》、《清除非法张贴宣传品广告专业作业检查考核标准（试行）》、《石景山区街道办事处市容环境综合管理检查考评办法（试行）》等作业标准。遇特殊保障任务，必须服从甲方的工作时间安排。节假日期间必须保证环境卫生正常作业。</w:t>
      </w:r>
    </w:p>
    <w:p>
      <w:pPr>
        <w:widowControl/>
        <w:spacing w:line="360" w:lineRule="auto"/>
        <w:jc w:val="left"/>
        <w:rPr>
          <w:rFonts w:ascii="宋体" w:hAnsi="宋体" w:cs="宋体"/>
          <w:sz w:val="24"/>
        </w:rPr>
      </w:pPr>
      <w:r>
        <w:rPr>
          <w:rFonts w:hint="eastAsia" w:ascii="宋体" w:hAnsi="宋体" w:cs="宋体"/>
          <w:sz w:val="24"/>
        </w:rPr>
        <w:t>6．乙方必须遵守国家、市、区的法律、法规等有关规定，对所招聘、雇用的人员加强日常管理和教育。由此引发的一切安全生产事故、社会责任事故均由乙方负责承担解决。由此给甲方造成的损失由乙方承担。</w:t>
      </w:r>
    </w:p>
    <w:p>
      <w:pPr>
        <w:widowControl/>
        <w:spacing w:line="360" w:lineRule="auto"/>
        <w:jc w:val="left"/>
        <w:rPr>
          <w:rFonts w:ascii="宋体" w:hAnsi="宋体" w:cs="宋体"/>
          <w:sz w:val="24"/>
        </w:rPr>
      </w:pPr>
      <w:r>
        <w:rPr>
          <w:rFonts w:hint="eastAsia" w:ascii="宋体" w:hAnsi="宋体" w:cs="宋体"/>
          <w:sz w:val="24"/>
        </w:rPr>
        <w:t>7．乙方招用人员应符合国家法律法规规定，招用人员各种证件手续完备齐全，符合规定要求乙方做好上述人员备案；应遵循国家法律法规对所招聘、雇佣人员的工资、保险费、劳保费和其他费用等给予保障。</w:t>
      </w:r>
    </w:p>
    <w:p>
      <w:pPr>
        <w:widowControl/>
        <w:spacing w:line="360" w:lineRule="auto"/>
        <w:jc w:val="left"/>
        <w:rPr>
          <w:rFonts w:ascii="宋体" w:hAnsi="宋体" w:cs="宋体"/>
          <w:sz w:val="24"/>
        </w:rPr>
      </w:pPr>
      <w:r>
        <w:rPr>
          <w:rFonts w:hint="eastAsia" w:ascii="宋体" w:hAnsi="宋体" w:cs="宋体"/>
          <w:sz w:val="24"/>
        </w:rPr>
        <w:t>8．乙方须按时支付作业人员工资，作业人员最低工资标准每人每月不得低于本市最低工资标准，乙方不得以压低用工人员工资或加大用工人员工作量以提高企业利润。</w:t>
      </w:r>
    </w:p>
    <w:p>
      <w:pPr>
        <w:widowControl/>
        <w:spacing w:line="360" w:lineRule="auto"/>
        <w:jc w:val="left"/>
        <w:rPr>
          <w:rFonts w:ascii="宋体" w:hAnsi="宋体" w:cs="宋体"/>
          <w:sz w:val="24"/>
        </w:rPr>
      </w:pPr>
      <w:r>
        <w:rPr>
          <w:rFonts w:hint="eastAsia" w:ascii="宋体" w:hAnsi="宋体" w:cs="宋体"/>
          <w:sz w:val="24"/>
        </w:rPr>
        <w:t>9．乙方有义务参加甲方通知的相关作业会议，通报作业情况，完善作业措施，提高作业水平。</w:t>
      </w:r>
    </w:p>
    <w:p>
      <w:pPr>
        <w:widowControl/>
        <w:spacing w:line="360" w:lineRule="auto"/>
        <w:jc w:val="left"/>
        <w:rPr>
          <w:rFonts w:ascii="宋体" w:hAnsi="宋体" w:cs="宋体"/>
          <w:sz w:val="24"/>
        </w:rPr>
      </w:pPr>
      <w:r>
        <w:rPr>
          <w:rFonts w:hint="eastAsia" w:ascii="宋体" w:hAnsi="宋体" w:cs="宋体"/>
          <w:sz w:val="24"/>
        </w:rPr>
        <w:t>10．乙方必须自觉接受甲方环卫行政主管部门和市、区市容环境管理部门管理、监督和检查，根据需要提供相关的检查文件和资料，以及作必要的解释和说明，乙方不得阻扰各级检查人员的检查工作。如遇突发事件或重大活动的突击任务，乙方须无条件服从甲方的安排。</w:t>
      </w:r>
    </w:p>
    <w:p>
      <w:pPr>
        <w:widowControl/>
        <w:spacing w:line="360" w:lineRule="auto"/>
        <w:jc w:val="left"/>
        <w:rPr>
          <w:rFonts w:ascii="宋体" w:hAnsi="宋体" w:cs="宋体"/>
          <w:b/>
          <w:sz w:val="24"/>
        </w:rPr>
      </w:pPr>
      <w:r>
        <w:rPr>
          <w:rFonts w:hint="eastAsia" w:ascii="宋体" w:hAnsi="宋体" w:cs="宋体"/>
          <w:b/>
          <w:sz w:val="24"/>
        </w:rPr>
        <w:t>六、甲方的权利</w:t>
      </w:r>
    </w:p>
    <w:p>
      <w:pPr>
        <w:widowControl/>
        <w:spacing w:line="360" w:lineRule="auto"/>
        <w:jc w:val="left"/>
        <w:rPr>
          <w:rFonts w:ascii="宋体" w:hAnsi="宋体" w:cs="宋体"/>
          <w:sz w:val="24"/>
        </w:rPr>
      </w:pPr>
      <w:r>
        <w:rPr>
          <w:rFonts w:hint="eastAsia" w:ascii="宋体" w:hAnsi="宋体" w:cs="宋体"/>
          <w:sz w:val="24"/>
        </w:rPr>
        <w:t>1．甲方有权对乙方作业质量进行督导、检查、考核、评估、扣款。</w:t>
      </w:r>
    </w:p>
    <w:p>
      <w:pPr>
        <w:widowControl/>
        <w:spacing w:line="360" w:lineRule="auto"/>
        <w:jc w:val="left"/>
        <w:rPr>
          <w:rFonts w:ascii="宋体" w:hAnsi="宋体" w:cs="宋体"/>
          <w:sz w:val="24"/>
        </w:rPr>
      </w:pPr>
      <w:r>
        <w:rPr>
          <w:rFonts w:hint="eastAsia" w:ascii="宋体" w:hAnsi="宋体" w:cs="宋体"/>
          <w:sz w:val="24"/>
        </w:rPr>
        <w:t>2．甲方按时支付乙方的承包费用，不得拖欠。</w:t>
      </w:r>
    </w:p>
    <w:p>
      <w:pPr>
        <w:widowControl/>
        <w:spacing w:line="360" w:lineRule="auto"/>
        <w:jc w:val="left"/>
        <w:rPr>
          <w:rFonts w:ascii="宋体" w:hAnsi="宋体" w:cs="宋体"/>
          <w:sz w:val="24"/>
        </w:rPr>
      </w:pPr>
      <w:r>
        <w:rPr>
          <w:rFonts w:hint="eastAsia" w:ascii="宋体" w:hAnsi="宋体" w:cs="宋体"/>
          <w:sz w:val="24"/>
        </w:rPr>
        <w:t>3．甲方按作业标准要求给乙方相应的指导和培训。</w:t>
      </w:r>
    </w:p>
    <w:p>
      <w:pPr>
        <w:widowControl/>
        <w:spacing w:line="360" w:lineRule="auto"/>
        <w:jc w:val="left"/>
        <w:rPr>
          <w:rFonts w:ascii="宋体" w:hAnsi="宋体" w:cs="宋体"/>
          <w:b/>
          <w:sz w:val="24"/>
        </w:rPr>
      </w:pPr>
      <w:r>
        <w:rPr>
          <w:rFonts w:hint="eastAsia" w:ascii="宋体" w:hAnsi="宋体" w:cs="宋体"/>
          <w:b/>
          <w:sz w:val="24"/>
        </w:rPr>
        <w:t>七、乙方的权利</w:t>
      </w:r>
    </w:p>
    <w:p>
      <w:pPr>
        <w:widowControl/>
        <w:spacing w:line="360" w:lineRule="auto"/>
        <w:jc w:val="left"/>
        <w:rPr>
          <w:rFonts w:ascii="宋体" w:hAnsi="宋体" w:cs="宋体"/>
          <w:sz w:val="24"/>
        </w:rPr>
      </w:pPr>
      <w:r>
        <w:rPr>
          <w:rFonts w:hint="eastAsia" w:ascii="宋体" w:hAnsi="宋体" w:cs="宋体"/>
          <w:sz w:val="24"/>
        </w:rPr>
        <w:t>1．乙方必须按照甲乙双方确定的承包作业项目作业，人工、机械清扫保洁频率必须达到市级保洁作业标准规定要求。</w:t>
      </w:r>
    </w:p>
    <w:p>
      <w:pPr>
        <w:widowControl/>
        <w:spacing w:line="360" w:lineRule="auto"/>
        <w:jc w:val="left"/>
        <w:rPr>
          <w:rFonts w:ascii="宋体" w:hAnsi="宋体" w:cs="宋体"/>
          <w:sz w:val="24"/>
        </w:rPr>
      </w:pPr>
      <w:r>
        <w:rPr>
          <w:rFonts w:hint="eastAsia" w:ascii="宋体" w:hAnsi="宋体" w:cs="宋体"/>
          <w:sz w:val="24"/>
        </w:rPr>
        <w:t>2．乙方招聘、雇用人员必须签订劳动合同，雇用人员如出现违法行为、意外伤害、安全生产伤亡事故、交通事故、因病死亡事故，责任由乙方负责，甲方不承担任何责任。如乙方对第三方造成侵权或伤害，由乙方负责。</w:t>
      </w:r>
    </w:p>
    <w:p>
      <w:pPr>
        <w:widowControl/>
        <w:spacing w:line="360" w:lineRule="auto"/>
        <w:jc w:val="left"/>
        <w:rPr>
          <w:rFonts w:ascii="宋体" w:hAnsi="宋体" w:cs="宋体"/>
          <w:b/>
          <w:sz w:val="24"/>
        </w:rPr>
      </w:pPr>
      <w:r>
        <w:rPr>
          <w:rFonts w:hint="eastAsia" w:ascii="宋体" w:hAnsi="宋体" w:cs="宋体"/>
          <w:b/>
          <w:sz w:val="24"/>
        </w:rPr>
        <w:t>八、扣款规定</w:t>
      </w:r>
    </w:p>
    <w:p>
      <w:pPr>
        <w:widowControl/>
        <w:spacing w:line="360" w:lineRule="auto"/>
        <w:jc w:val="left"/>
        <w:rPr>
          <w:rFonts w:hint="eastAsia" w:ascii="宋体" w:hAnsi="宋体" w:eastAsia="宋体" w:cs="宋体"/>
          <w:sz w:val="24"/>
        </w:rPr>
      </w:pPr>
      <w:r>
        <w:rPr>
          <w:rFonts w:hint="eastAsia" w:ascii="宋体" w:hAnsi="宋体" w:cs="宋体"/>
          <w:sz w:val="24"/>
        </w:rPr>
        <w:t>1．</w:t>
      </w:r>
      <w:r>
        <w:rPr>
          <w:rFonts w:hint="eastAsia" w:ascii="宋体" w:hAnsi="宋体" w:eastAsia="宋体" w:cs="宋体"/>
          <w:sz w:val="24"/>
        </w:rPr>
        <w:t>乙方承包路段的作业质量在创城迎检、接诉即办、市区两级环境卫生检查考核及其他重大政治任务、重要活动等事项的环境卫生作业中，造成甲方扣分或造成影响的，每次扣除1万元保洁作业经费，并按季度核算，由甲方在下一季度保洁作业经费中核减。</w:t>
      </w:r>
    </w:p>
    <w:p>
      <w:pPr>
        <w:widowControl/>
        <w:spacing w:line="360" w:lineRule="auto"/>
        <w:jc w:val="left"/>
        <w:rPr>
          <w:rFonts w:hint="eastAsia" w:ascii="宋体" w:hAnsi="宋体" w:eastAsia="宋体" w:cs="宋体"/>
          <w:sz w:val="24"/>
        </w:rPr>
      </w:pPr>
      <w:r>
        <w:rPr>
          <w:rFonts w:hint="eastAsia" w:ascii="宋体" w:hAnsi="宋体" w:eastAsia="宋体" w:cs="宋体"/>
          <w:sz w:val="24"/>
        </w:rPr>
        <w:t>2．因乙方责任造成新闻媒体曝光或群众投诉上访，造成社会不良影响的事件,按照街乡(镇)管理范围环境卫生检查考核标准进行加倍考核，乙方须在规定的时限内解决，消除社会影响。二次以上（含两次）出现问题且整改不到位的，甲方有权提前终止合同。</w:t>
      </w:r>
    </w:p>
    <w:p>
      <w:pPr>
        <w:widowControl/>
        <w:spacing w:line="360" w:lineRule="auto"/>
        <w:jc w:val="left"/>
        <w:rPr>
          <w:rFonts w:hint="eastAsia" w:ascii="宋体" w:hAnsi="宋体" w:eastAsia="宋体" w:cs="宋体"/>
          <w:sz w:val="24"/>
        </w:rPr>
      </w:pPr>
      <w:r>
        <w:rPr>
          <w:rFonts w:hint="eastAsia" w:ascii="宋体" w:hAnsi="宋体" w:eastAsia="宋体" w:cs="宋体"/>
          <w:sz w:val="24"/>
        </w:rPr>
        <w:t>3．乙方承包期间因不按作业质量标准作业，不服从甲方指导、监督，甲方可将其作为不良记录记录在案，在承包期内如不服从安排达三次以上（含三次）的，甲方将有权单方终止合同并需</w:t>
      </w:r>
      <w:r>
        <w:rPr>
          <w:rFonts w:hint="eastAsia" w:ascii="宋体" w:hAnsi="宋体" w:eastAsia="宋体" w:cs="宋体"/>
          <w:sz w:val="24"/>
          <w:lang w:val="en-US" w:eastAsia="zh-CN"/>
        </w:rPr>
        <w:t>乙方</w:t>
      </w:r>
      <w:r>
        <w:rPr>
          <w:rFonts w:hint="eastAsia" w:ascii="宋体" w:hAnsi="宋体" w:eastAsia="宋体" w:cs="宋体"/>
          <w:sz w:val="24"/>
        </w:rPr>
        <w:t>承担合同总金额百分之二十的违约金。</w:t>
      </w:r>
    </w:p>
    <w:p>
      <w:pPr>
        <w:widowControl/>
        <w:spacing w:line="360" w:lineRule="auto"/>
        <w:jc w:val="left"/>
        <w:rPr>
          <w:rFonts w:ascii="宋体" w:hAnsi="宋体" w:cs="宋体"/>
          <w:b/>
          <w:sz w:val="24"/>
        </w:rPr>
      </w:pPr>
      <w:r>
        <w:rPr>
          <w:rFonts w:hint="eastAsia" w:ascii="宋体" w:hAnsi="宋体" w:cs="宋体"/>
          <w:b/>
          <w:sz w:val="24"/>
        </w:rPr>
        <w:t>九、其它约定事项</w:t>
      </w:r>
    </w:p>
    <w:p>
      <w:pPr>
        <w:widowControl/>
        <w:spacing w:line="360" w:lineRule="auto"/>
        <w:jc w:val="left"/>
        <w:rPr>
          <w:rFonts w:ascii="宋体" w:hAnsi="宋体" w:cs="宋体"/>
          <w:sz w:val="24"/>
        </w:rPr>
      </w:pPr>
      <w:r>
        <w:rPr>
          <w:rFonts w:hint="eastAsia" w:ascii="宋体" w:hAnsi="宋体" w:cs="宋体"/>
          <w:sz w:val="24"/>
        </w:rPr>
        <w:t>1．乙方在本协议履行过程中所招聘的员工发生的相关用工待遇问题，由乙方负责，并由乙方按国家有关法律、法规及相关规定执行。</w:t>
      </w:r>
    </w:p>
    <w:p>
      <w:pPr>
        <w:widowControl/>
        <w:spacing w:line="360" w:lineRule="auto"/>
        <w:jc w:val="left"/>
        <w:rPr>
          <w:rFonts w:ascii="宋体" w:hAnsi="宋体" w:cs="宋体"/>
          <w:sz w:val="24"/>
        </w:rPr>
      </w:pPr>
      <w:r>
        <w:rPr>
          <w:rFonts w:hint="eastAsia" w:ascii="宋体" w:hAnsi="宋体" w:cs="宋体"/>
          <w:sz w:val="24"/>
        </w:rPr>
        <w:t>2．乙方在本协议履行过程中所招聘员工发生伤、残、亡，所发生费用由乙方承担，并妥善处理好善后事宜。</w:t>
      </w:r>
    </w:p>
    <w:p>
      <w:pPr>
        <w:widowControl/>
        <w:spacing w:line="360" w:lineRule="auto"/>
        <w:jc w:val="left"/>
        <w:rPr>
          <w:rFonts w:hint="eastAsia" w:ascii="宋体" w:hAnsi="宋体" w:eastAsia="宋体" w:cs="宋体"/>
          <w:sz w:val="24"/>
        </w:rPr>
      </w:pPr>
      <w:r>
        <w:rPr>
          <w:rFonts w:hint="eastAsia" w:ascii="宋体" w:hAnsi="宋体" w:cs="宋体"/>
          <w:sz w:val="24"/>
        </w:rPr>
        <w:t>3．甲方上期借用给乙方的车辆、物品，双方商定为临时性借用，如甲方需要收回时，乙方应无条件按期交回，不得以影响工作等借口拖延，所需车辆、物品乙方自行解决，不得影响正常清扫保洁工</w:t>
      </w:r>
      <w:r>
        <w:rPr>
          <w:rFonts w:hint="eastAsia" w:ascii="宋体" w:hAnsi="宋体" w:eastAsia="宋体" w:cs="宋体"/>
          <w:sz w:val="24"/>
        </w:rPr>
        <w:t>作。</w:t>
      </w:r>
    </w:p>
    <w:p>
      <w:pPr>
        <w:widowControl/>
        <w:spacing w:line="360" w:lineRule="auto"/>
        <w:jc w:val="left"/>
        <w:rPr>
          <w:rFonts w:hint="eastAsia" w:ascii="宋体" w:hAnsi="宋体" w:eastAsia="宋体" w:cs="宋体"/>
          <w:sz w:val="24"/>
        </w:rPr>
      </w:pPr>
      <w:r>
        <w:rPr>
          <w:rFonts w:hint="eastAsia" w:ascii="宋体" w:hAnsi="宋体" w:eastAsia="宋体" w:cs="宋体"/>
          <w:sz w:val="24"/>
        </w:rPr>
        <w:t>4．承包协议到期终止时，甲乙双方应提前一个月进行协商，签署双方意向，做好善后工作，甲乙双方如有意继续合作需签定新的承包协议。</w:t>
      </w:r>
    </w:p>
    <w:p>
      <w:pPr>
        <w:widowControl/>
        <w:spacing w:line="360" w:lineRule="auto"/>
        <w:jc w:val="left"/>
      </w:pPr>
      <w:r>
        <w:rPr>
          <w:rFonts w:hint="eastAsia" w:ascii="宋体" w:hAnsi="宋体" w:eastAsia="宋体" w:cs="宋体"/>
          <w:sz w:val="24"/>
        </w:rPr>
        <w:t>5．乙方连续2个月评分最后一名的，甲方对乙方进行告诫。如告诫无效或年度综合排名最后的，甲方有权与乙方解除合同，且乙方应承担</w:t>
      </w:r>
      <w:r>
        <w:rPr>
          <w:rFonts w:hint="eastAsia"/>
        </w:rPr>
        <w:t>合同总金额百分之二十的违约金。</w:t>
      </w:r>
    </w:p>
    <w:p>
      <w:pPr>
        <w:widowControl/>
        <w:spacing w:line="360" w:lineRule="auto"/>
        <w:jc w:val="left"/>
        <w:rPr>
          <w:rFonts w:ascii="宋体" w:hAnsi="宋体" w:cs="宋体"/>
          <w:sz w:val="24"/>
        </w:rPr>
      </w:pPr>
      <w:r>
        <w:rPr>
          <w:rFonts w:hint="eastAsia" w:ascii="宋体" w:hAnsi="宋体" w:cs="宋体"/>
          <w:sz w:val="24"/>
          <w:lang w:val="en-US" w:eastAsia="zh-CN"/>
        </w:rPr>
        <w:t>6</w:t>
      </w:r>
      <w:r>
        <w:rPr>
          <w:rFonts w:hint="eastAsia" w:ascii="宋体" w:hAnsi="宋体" w:cs="宋体"/>
          <w:sz w:val="24"/>
        </w:rPr>
        <w:t>．协议履行期间，若有未尽事宜，经双方协商后签署补充协议，补充协议视为原协议的一部分，具有同等法律效力。</w:t>
      </w:r>
    </w:p>
    <w:p>
      <w:pPr>
        <w:widowControl/>
        <w:spacing w:line="360" w:lineRule="auto"/>
        <w:jc w:val="left"/>
        <w:rPr>
          <w:rFonts w:ascii="宋体" w:hAnsi="宋体" w:cs="宋体"/>
          <w:sz w:val="24"/>
        </w:rPr>
      </w:pPr>
      <w:r>
        <w:rPr>
          <w:rFonts w:hint="eastAsia" w:ascii="宋体" w:hAnsi="宋体" w:cs="宋体"/>
          <w:sz w:val="24"/>
          <w:lang w:val="en-US" w:eastAsia="zh-CN"/>
        </w:rPr>
        <w:t>7</w:t>
      </w:r>
      <w:r>
        <w:rPr>
          <w:rFonts w:hint="eastAsia" w:ascii="宋体" w:hAnsi="宋体" w:cs="宋体"/>
          <w:sz w:val="24"/>
        </w:rPr>
        <w:t>．协议履行期间乙方承包费不在调整。</w:t>
      </w:r>
    </w:p>
    <w:p>
      <w:pPr>
        <w:widowControl/>
        <w:spacing w:line="360" w:lineRule="auto"/>
        <w:jc w:val="left"/>
        <w:rPr>
          <w:rFonts w:ascii="宋体" w:hAnsi="宋体" w:cs="宋体"/>
          <w:sz w:val="24"/>
        </w:rPr>
      </w:pPr>
      <w:r>
        <w:rPr>
          <w:rFonts w:hint="eastAsia" w:ascii="宋体" w:hAnsi="宋体" w:cs="宋体"/>
          <w:sz w:val="24"/>
          <w:lang w:val="en-US" w:eastAsia="zh-CN"/>
        </w:rPr>
        <w:t>8</w:t>
      </w:r>
      <w:r>
        <w:rPr>
          <w:rFonts w:hint="eastAsia" w:ascii="宋体" w:hAnsi="宋体" w:cs="宋体"/>
          <w:sz w:val="24"/>
        </w:rPr>
        <w:t>．不可抗力致使协议无法履行时，协议自然终止，双方无责，并按有关法律规定及时协商处理善后事宜。</w:t>
      </w:r>
    </w:p>
    <w:p>
      <w:pPr>
        <w:widowControl/>
        <w:spacing w:line="360" w:lineRule="auto"/>
        <w:jc w:val="left"/>
        <w:rPr>
          <w:rFonts w:ascii="宋体" w:hAnsi="宋体" w:cs="宋体"/>
          <w:sz w:val="24"/>
        </w:rPr>
      </w:pPr>
      <w:r>
        <w:rPr>
          <w:rFonts w:hint="eastAsia" w:ascii="宋体" w:hAnsi="宋体" w:cs="宋体"/>
          <w:sz w:val="24"/>
          <w:lang w:val="en-US" w:eastAsia="zh-CN"/>
        </w:rPr>
        <w:t>9</w:t>
      </w:r>
      <w:r>
        <w:rPr>
          <w:rFonts w:hint="eastAsia" w:ascii="宋体" w:hAnsi="宋体" w:cs="宋体"/>
          <w:sz w:val="24"/>
        </w:rPr>
        <w:t>．协议履行期间，如遇政府拆迁、征收等政府行为，乙方应服从甲方在协议履行时间、作业面积等方面的调整，结算以履行实际时间和作业面积为准进行核算。</w:t>
      </w:r>
    </w:p>
    <w:p>
      <w:pPr>
        <w:widowControl/>
        <w:spacing w:line="360" w:lineRule="auto"/>
        <w:jc w:val="left"/>
        <w:rPr>
          <w:rFonts w:ascii="宋体" w:hAnsi="宋体" w:cs="宋体"/>
          <w:sz w:val="24"/>
        </w:rPr>
      </w:pPr>
      <w:r>
        <w:rPr>
          <w:rFonts w:hint="eastAsia" w:ascii="宋体" w:hAnsi="宋体" w:cs="宋体"/>
          <w:sz w:val="24"/>
        </w:rPr>
        <w:t>1</w:t>
      </w:r>
      <w:r>
        <w:rPr>
          <w:rFonts w:hint="eastAsia" w:ascii="宋体" w:hAnsi="宋体" w:cs="宋体"/>
          <w:sz w:val="24"/>
          <w:lang w:val="en-US" w:eastAsia="zh-CN"/>
        </w:rPr>
        <w:t>0</w:t>
      </w:r>
      <w:r>
        <w:rPr>
          <w:rFonts w:hint="eastAsia" w:ascii="宋体" w:hAnsi="宋体" w:cs="宋体"/>
          <w:sz w:val="24"/>
        </w:rPr>
        <w:t>．甲乙双方因履行本协议所产生的争议，应协商解决。如协商未果，任何一方可向协议履行地的人民法院提起诉讼。</w:t>
      </w:r>
    </w:p>
    <w:p>
      <w:pPr>
        <w:widowControl/>
        <w:spacing w:line="360" w:lineRule="auto"/>
        <w:jc w:val="left"/>
        <w:rPr>
          <w:rFonts w:ascii="宋体" w:hAnsi="宋体" w:cs="宋体"/>
          <w:sz w:val="24"/>
        </w:rPr>
      </w:pPr>
      <w:r>
        <w:rPr>
          <w:rFonts w:hint="eastAsia" w:ascii="宋体" w:hAnsi="宋体" w:cs="宋体"/>
          <w:sz w:val="24"/>
        </w:rPr>
        <w:t>1</w:t>
      </w:r>
      <w:r>
        <w:rPr>
          <w:rFonts w:hint="eastAsia" w:ascii="宋体" w:hAnsi="宋体" w:cs="宋体"/>
          <w:sz w:val="24"/>
          <w:lang w:val="en-US" w:eastAsia="zh-CN"/>
        </w:rPr>
        <w:t>1</w:t>
      </w:r>
      <w:r>
        <w:rPr>
          <w:rFonts w:hint="eastAsia" w:ascii="宋体" w:hAnsi="宋体" w:cs="宋体"/>
          <w:sz w:val="24"/>
        </w:rPr>
        <w:t>．本承包协议一式五份，甲乙双方各执一份，一份由上级主管部门备案，招标</w:t>
      </w:r>
      <w:r>
        <w:rPr>
          <w:rFonts w:ascii="宋体" w:hAnsi="宋体" w:cs="宋体"/>
          <w:sz w:val="24"/>
        </w:rPr>
        <w:t>公司一份</w:t>
      </w:r>
      <w:r>
        <w:rPr>
          <w:rFonts w:hint="eastAsia" w:ascii="宋体" w:hAnsi="宋体" w:cs="宋体"/>
          <w:sz w:val="24"/>
        </w:rPr>
        <w:t>，</w:t>
      </w:r>
      <w:r>
        <w:rPr>
          <w:rFonts w:ascii="宋体" w:hAnsi="宋体" w:cs="宋体"/>
          <w:sz w:val="24"/>
        </w:rPr>
        <w:t>财政主管</w:t>
      </w:r>
      <w:r>
        <w:rPr>
          <w:rFonts w:hint="eastAsia" w:ascii="宋体" w:hAnsi="宋体" w:cs="宋体"/>
          <w:sz w:val="24"/>
        </w:rPr>
        <w:t>部门</w:t>
      </w:r>
      <w:r>
        <w:rPr>
          <w:rFonts w:ascii="宋体" w:hAnsi="宋体" w:cs="宋体"/>
          <w:sz w:val="24"/>
        </w:rPr>
        <w:t>一份，</w:t>
      </w:r>
      <w:r>
        <w:rPr>
          <w:rFonts w:hint="eastAsia" w:ascii="宋体" w:hAnsi="宋体" w:cs="宋体"/>
          <w:sz w:val="24"/>
        </w:rPr>
        <w:t>甲乙双方签字盖章后生效。</w:t>
      </w:r>
    </w:p>
    <w:p>
      <w:pPr>
        <w:widowControl/>
        <w:spacing w:line="360" w:lineRule="auto"/>
        <w:jc w:val="left"/>
        <w:rPr>
          <w:rFonts w:ascii="宋体" w:hAnsi="宋体" w:cs="宋体"/>
          <w:sz w:val="24"/>
        </w:rPr>
      </w:pPr>
      <w:r>
        <w:rPr>
          <w:rFonts w:hint="eastAsia" w:ascii="宋体" w:hAnsi="宋体" w:cs="宋体"/>
          <w:sz w:val="24"/>
        </w:rPr>
        <w:t>合同附件：</w:t>
      </w:r>
    </w:p>
    <w:p>
      <w:pPr>
        <w:widowControl/>
        <w:spacing w:line="360" w:lineRule="auto"/>
        <w:jc w:val="left"/>
        <w:rPr>
          <w:rFonts w:ascii="宋体" w:hAnsi="宋体"/>
          <w:sz w:val="24"/>
        </w:rPr>
      </w:pPr>
      <w:r>
        <w:rPr>
          <w:rFonts w:hint="eastAsia" w:ascii="宋体" w:hAnsi="宋体"/>
          <w:sz w:val="24"/>
        </w:rPr>
        <w:t>1.《北京市城市环境卫生质量标准》</w:t>
      </w:r>
    </w:p>
    <w:p>
      <w:pPr>
        <w:widowControl/>
        <w:spacing w:line="360" w:lineRule="auto"/>
        <w:jc w:val="left"/>
        <w:rPr>
          <w:rFonts w:ascii="宋体" w:hAnsi="宋体"/>
          <w:sz w:val="24"/>
        </w:rPr>
      </w:pPr>
      <w:r>
        <w:rPr>
          <w:rFonts w:hint="eastAsia" w:ascii="宋体" w:hAnsi="宋体"/>
          <w:sz w:val="24"/>
        </w:rPr>
        <w:t>2.《城市道路清扫保洁质量与作业要求》（D</w:t>
      </w:r>
      <w:r>
        <w:rPr>
          <w:rFonts w:ascii="宋体" w:hAnsi="宋体"/>
          <w:sz w:val="24"/>
        </w:rPr>
        <w:t>B11/T353-2021</w:t>
      </w:r>
      <w:r>
        <w:rPr>
          <w:rFonts w:hint="eastAsia" w:ascii="宋体" w:hAnsi="宋体"/>
          <w:sz w:val="24"/>
        </w:rPr>
        <w:t>）</w:t>
      </w:r>
    </w:p>
    <w:p>
      <w:pPr>
        <w:widowControl/>
        <w:spacing w:line="360" w:lineRule="auto"/>
        <w:jc w:val="left"/>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《街巷环境卫生质量要求》（D</w:t>
      </w:r>
      <w:r>
        <w:rPr>
          <w:rFonts w:ascii="宋体" w:hAnsi="宋体"/>
          <w:sz w:val="24"/>
        </w:rPr>
        <w:t>B11/T1375-2021</w:t>
      </w:r>
      <w:r>
        <w:rPr>
          <w:rFonts w:hint="eastAsia" w:ascii="宋体" w:hAnsi="宋体"/>
          <w:sz w:val="24"/>
        </w:rPr>
        <w:t>）</w:t>
      </w:r>
    </w:p>
    <w:p>
      <w:pPr>
        <w:widowControl/>
        <w:spacing w:line="360" w:lineRule="auto"/>
        <w:jc w:val="left"/>
        <w:rPr>
          <w:rFonts w:ascii="宋体" w:hAnsi="宋体"/>
          <w:sz w:val="24"/>
        </w:rPr>
      </w:pPr>
      <w:r>
        <w:rPr>
          <w:rFonts w:ascii="宋体" w:hAnsi="宋体"/>
          <w:sz w:val="24"/>
        </w:rPr>
        <w:t>4</w:t>
      </w:r>
      <w:r>
        <w:rPr>
          <w:rFonts w:hint="eastAsia" w:ascii="宋体" w:hAnsi="宋体"/>
          <w:sz w:val="24"/>
        </w:rPr>
        <w:t>.《生活垃圾收集运输管理规范》</w:t>
      </w:r>
    </w:p>
    <w:p>
      <w:pPr>
        <w:widowControl/>
        <w:spacing w:line="360" w:lineRule="auto"/>
        <w:jc w:val="left"/>
        <w:rPr>
          <w:rFonts w:ascii="宋体" w:hAnsi="宋体"/>
          <w:sz w:val="24"/>
        </w:rPr>
      </w:pPr>
      <w:r>
        <w:rPr>
          <w:rFonts w:ascii="宋体" w:hAnsi="宋体"/>
          <w:sz w:val="24"/>
        </w:rPr>
        <w:t>5</w:t>
      </w:r>
      <w:r>
        <w:rPr>
          <w:rFonts w:hint="eastAsia" w:ascii="宋体" w:hAnsi="宋体"/>
          <w:sz w:val="24"/>
        </w:rPr>
        <w:t>.《北京市环境卫生专业检查考评办法》中《北京市街乡（镇）管理范围环境卫生检查标准》</w:t>
      </w:r>
    </w:p>
    <w:p>
      <w:pPr>
        <w:widowControl/>
        <w:spacing w:line="360" w:lineRule="auto"/>
        <w:jc w:val="left"/>
        <w:rPr>
          <w:rFonts w:ascii="宋体" w:hAnsi="宋体"/>
          <w:sz w:val="24"/>
        </w:rPr>
      </w:pPr>
      <w:r>
        <w:rPr>
          <w:rFonts w:ascii="宋体" w:hAnsi="宋体"/>
          <w:sz w:val="24"/>
        </w:rPr>
        <w:t>6</w:t>
      </w:r>
      <w:r>
        <w:rPr>
          <w:rFonts w:hint="eastAsia" w:ascii="宋体" w:hAnsi="宋体"/>
          <w:sz w:val="24"/>
        </w:rPr>
        <w:t>.《清除非法张贴宣传品广告专业作业检查考核标准（试行）》</w:t>
      </w:r>
    </w:p>
    <w:p>
      <w:pPr>
        <w:widowControl/>
        <w:spacing w:line="360" w:lineRule="auto"/>
        <w:jc w:val="left"/>
        <w:rPr>
          <w:rFonts w:ascii="宋体" w:hAnsi="宋体"/>
          <w:sz w:val="24"/>
        </w:rPr>
      </w:pPr>
      <w:r>
        <w:rPr>
          <w:rFonts w:ascii="宋体" w:hAnsi="宋体"/>
          <w:sz w:val="24"/>
        </w:rPr>
        <w:t>7</w:t>
      </w:r>
      <w:r>
        <w:rPr>
          <w:rFonts w:hint="eastAsia" w:ascii="宋体" w:hAnsi="宋体"/>
          <w:sz w:val="24"/>
        </w:rPr>
        <w:t>.《石景山区街道办事处市容环境综合管理检查考评办法（试行）》</w:t>
      </w:r>
    </w:p>
    <w:p>
      <w:pPr>
        <w:widowControl/>
        <w:spacing w:line="360" w:lineRule="auto"/>
        <w:jc w:val="left"/>
        <w:rPr>
          <w:rFonts w:ascii="宋体" w:hAnsi="宋体" w:cs="宋体"/>
          <w:sz w:val="24"/>
        </w:rPr>
      </w:pPr>
    </w:p>
    <w:p>
      <w:pPr>
        <w:widowControl/>
        <w:spacing w:line="360" w:lineRule="auto"/>
        <w:jc w:val="left"/>
        <w:rPr>
          <w:rFonts w:ascii="宋体" w:hAnsi="宋体" w:cs="宋体"/>
          <w:sz w:val="24"/>
        </w:rPr>
      </w:pPr>
    </w:p>
    <w:p>
      <w:pPr>
        <w:widowControl/>
        <w:spacing w:line="360" w:lineRule="auto"/>
        <w:jc w:val="left"/>
        <w:rPr>
          <w:rFonts w:ascii="宋体" w:hAnsi="宋体" w:cs="宋体"/>
          <w:sz w:val="24"/>
        </w:rPr>
      </w:pPr>
      <w:r>
        <w:rPr>
          <w:rFonts w:hint="eastAsia" w:ascii="宋体" w:hAnsi="宋体" w:cs="宋体"/>
          <w:sz w:val="24"/>
        </w:rPr>
        <w:t>甲方：（盖章）                            乙方：（盖章）</w:t>
      </w:r>
    </w:p>
    <w:p>
      <w:pPr>
        <w:widowControl/>
        <w:spacing w:line="360" w:lineRule="auto"/>
        <w:jc w:val="left"/>
        <w:rPr>
          <w:rFonts w:ascii="宋体" w:hAnsi="宋体" w:cs="宋体"/>
          <w:sz w:val="24"/>
        </w:rPr>
      </w:pPr>
    </w:p>
    <w:p>
      <w:pPr>
        <w:widowControl/>
        <w:spacing w:line="360" w:lineRule="auto"/>
        <w:jc w:val="left"/>
        <w:rPr>
          <w:rFonts w:ascii="宋体" w:hAnsi="宋体" w:cs="宋体"/>
          <w:sz w:val="24"/>
        </w:rPr>
      </w:pPr>
    </w:p>
    <w:p>
      <w:pPr>
        <w:widowControl/>
        <w:spacing w:line="360" w:lineRule="auto"/>
        <w:jc w:val="left"/>
        <w:rPr>
          <w:rFonts w:ascii="宋体" w:hAnsi="宋体" w:cs="宋体"/>
          <w:sz w:val="24"/>
        </w:rPr>
      </w:pPr>
      <w:r>
        <w:rPr>
          <w:rFonts w:hint="eastAsia" w:ascii="宋体" w:hAnsi="宋体" w:cs="宋体"/>
          <w:sz w:val="24"/>
        </w:rPr>
        <w:t>法定代表人：                             法定代表人：</w:t>
      </w:r>
    </w:p>
    <w:p>
      <w:pPr>
        <w:widowControl/>
        <w:spacing w:line="360" w:lineRule="auto"/>
        <w:jc w:val="left"/>
        <w:rPr>
          <w:rFonts w:ascii="宋体" w:hAnsi="宋体" w:cs="宋体"/>
          <w:sz w:val="24"/>
        </w:rPr>
      </w:pPr>
    </w:p>
    <w:p>
      <w:pPr>
        <w:widowControl/>
        <w:spacing w:line="360" w:lineRule="auto"/>
        <w:jc w:val="left"/>
        <w:rPr>
          <w:rFonts w:ascii="宋体" w:hAnsi="宋体" w:cs="宋体"/>
          <w:sz w:val="24"/>
        </w:rPr>
      </w:pPr>
      <w:r>
        <w:rPr>
          <w:rFonts w:hint="eastAsia" w:ascii="宋体" w:hAnsi="宋体" w:cs="宋体"/>
          <w:sz w:val="24"/>
        </w:rPr>
        <w:t>年    月    日                           年    月    日</w:t>
      </w:r>
    </w:p>
    <w:p>
      <w:pPr>
        <w:widowControl/>
        <w:spacing w:line="360" w:lineRule="auto"/>
        <w:jc w:val="left"/>
        <w:rPr>
          <w:rFonts w:ascii="宋体" w:hAnsi="宋体" w:cs="宋体"/>
          <w:sz w:val="24"/>
        </w:rPr>
        <w:sectPr>
          <w:pgSz w:w="11907" w:h="16840"/>
          <w:pgMar w:top="1276" w:right="1134" w:bottom="1418" w:left="1701" w:header="851" w:footer="851" w:gutter="0"/>
          <w:cols w:space="720" w:num="1"/>
          <w:docGrid w:linePitch="462" w:charSpace="0"/>
        </w:sectPr>
      </w:pPr>
    </w:p>
    <w:p>
      <w:pPr>
        <w:widowControl/>
        <w:spacing w:line="360" w:lineRule="auto"/>
        <w:jc w:val="left"/>
        <w:rPr>
          <w:rFonts w:ascii="宋体" w:hAnsi="宋体" w:cs="宋体"/>
          <w:sz w:val="24"/>
        </w:rPr>
      </w:pPr>
    </w:p>
    <w:p>
      <w:pPr>
        <w:pStyle w:val="2"/>
        <w:spacing w:line="360" w:lineRule="auto"/>
        <w:ind w:firstLine="482"/>
        <w:rPr>
          <w:b/>
          <w:bCs/>
        </w:rPr>
      </w:pPr>
    </w:p>
    <w:tbl>
      <w:tblPr>
        <w:tblStyle w:val="46"/>
        <w:tblW w:w="5314" w:type="pct"/>
        <w:jc w:val="center"/>
        <w:tblLayout w:type="fixed"/>
        <w:tblCellMar>
          <w:top w:w="0" w:type="dxa"/>
          <w:left w:w="108" w:type="dxa"/>
          <w:bottom w:w="0" w:type="dxa"/>
          <w:right w:w="108" w:type="dxa"/>
        </w:tblCellMar>
      </w:tblPr>
      <w:tblGrid>
        <w:gridCol w:w="658"/>
        <w:gridCol w:w="1249"/>
        <w:gridCol w:w="864"/>
        <w:gridCol w:w="858"/>
        <w:gridCol w:w="870"/>
        <w:gridCol w:w="836"/>
        <w:gridCol w:w="736"/>
        <w:gridCol w:w="644"/>
        <w:gridCol w:w="1175"/>
        <w:gridCol w:w="968"/>
        <w:gridCol w:w="968"/>
        <w:gridCol w:w="968"/>
        <w:gridCol w:w="968"/>
        <w:gridCol w:w="980"/>
        <w:gridCol w:w="919"/>
        <w:gridCol w:w="730"/>
        <w:gridCol w:w="873"/>
      </w:tblGrid>
      <w:tr>
        <w:tblPrEx>
          <w:tblCellMar>
            <w:top w:w="0" w:type="dxa"/>
            <w:left w:w="108" w:type="dxa"/>
            <w:bottom w:w="0" w:type="dxa"/>
            <w:right w:w="108" w:type="dxa"/>
          </w:tblCellMar>
        </w:tblPrEx>
        <w:trPr>
          <w:trHeight w:val="720" w:hRule="atLeast"/>
          <w:jc w:val="center"/>
        </w:trPr>
        <w:tc>
          <w:tcPr>
            <w:tcW w:w="5000" w:type="pct"/>
            <w:gridSpan w:val="17"/>
            <w:tcBorders>
              <w:top w:val="nil"/>
              <w:left w:val="nil"/>
              <w:bottom w:val="single" w:color="auto" w:sz="4" w:space="0"/>
              <w:right w:val="nil"/>
            </w:tcBorders>
            <w:shd w:val="clear" w:color="auto" w:fill="auto"/>
            <w:vAlign w:val="center"/>
          </w:tcPr>
          <w:p>
            <w:pPr>
              <w:widowControl/>
              <w:jc w:val="center"/>
              <w:rPr>
                <w:rFonts w:ascii="宋体" w:hAnsi="宋体" w:cs="宋体"/>
                <w:b/>
                <w:bCs/>
                <w:kern w:val="0"/>
                <w:sz w:val="30"/>
                <w:szCs w:val="30"/>
              </w:rPr>
            </w:pPr>
            <w:r>
              <w:rPr>
                <w:rFonts w:hint="eastAsia" w:ascii="宋体" w:hAnsi="宋体" w:cs="宋体"/>
                <w:b/>
                <w:bCs/>
                <w:kern w:val="0"/>
                <w:sz w:val="30"/>
                <w:szCs w:val="30"/>
              </w:rPr>
              <w:t>八角街道保洁作业街巷路统计表（一标段）</w:t>
            </w:r>
          </w:p>
        </w:tc>
      </w:tr>
      <w:tr>
        <w:tblPrEx>
          <w:tblCellMar>
            <w:top w:w="0" w:type="dxa"/>
            <w:left w:w="108" w:type="dxa"/>
            <w:bottom w:w="0" w:type="dxa"/>
            <w:right w:w="108" w:type="dxa"/>
          </w:tblCellMar>
        </w:tblPrEx>
        <w:trPr>
          <w:trHeight w:val="454" w:hRule="atLeast"/>
          <w:jc w:val="center"/>
        </w:trPr>
        <w:tc>
          <w:tcPr>
            <w:tcW w:w="21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序号</w:t>
            </w:r>
          </w:p>
        </w:tc>
        <w:tc>
          <w:tcPr>
            <w:tcW w:w="4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街巷及责任区名称</w:t>
            </w:r>
          </w:p>
        </w:tc>
        <w:tc>
          <w:tcPr>
            <w:tcW w:w="2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道路       类型</w:t>
            </w:r>
          </w:p>
        </w:tc>
        <w:tc>
          <w:tcPr>
            <w:tcW w:w="56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四至范围</w:t>
            </w:r>
          </w:p>
        </w:tc>
        <w:tc>
          <w:tcPr>
            <w:tcW w:w="2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长度（M）</w:t>
            </w:r>
          </w:p>
        </w:tc>
        <w:tc>
          <w:tcPr>
            <w:tcW w:w="45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宽度（M）</w:t>
            </w:r>
          </w:p>
        </w:tc>
        <w:tc>
          <w:tcPr>
            <w:tcW w:w="38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面积（M</w:t>
            </w:r>
            <w:r>
              <w:rPr>
                <w:rFonts w:hint="eastAsia" w:ascii="宋体" w:hAnsi="宋体" w:cs="宋体"/>
                <w:kern w:val="0"/>
                <w:sz w:val="20"/>
                <w:szCs w:val="20"/>
                <w:vertAlign w:val="superscript"/>
              </w:rPr>
              <w:t>2</w:t>
            </w:r>
            <w:r>
              <w:rPr>
                <w:rFonts w:hint="eastAsia" w:ascii="宋体" w:hAnsi="宋体" w:cs="宋体"/>
                <w:kern w:val="0"/>
                <w:sz w:val="20"/>
                <w:szCs w:val="20"/>
              </w:rPr>
              <w:t>）</w:t>
            </w:r>
          </w:p>
        </w:tc>
        <w:tc>
          <w:tcPr>
            <w:tcW w:w="1589"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其中</w:t>
            </w:r>
          </w:p>
        </w:tc>
        <w:tc>
          <w:tcPr>
            <w:tcW w:w="30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备注</w:t>
            </w:r>
          </w:p>
        </w:tc>
        <w:tc>
          <w:tcPr>
            <w:tcW w:w="23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作业分级管理</w:t>
            </w:r>
          </w:p>
        </w:tc>
        <w:tc>
          <w:tcPr>
            <w:tcW w:w="28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是否实施小型机械化作业</w:t>
            </w:r>
          </w:p>
        </w:tc>
      </w:tr>
      <w:tr>
        <w:tblPrEx>
          <w:tblCellMar>
            <w:top w:w="0" w:type="dxa"/>
            <w:left w:w="108" w:type="dxa"/>
            <w:bottom w:w="0" w:type="dxa"/>
            <w:right w:w="108" w:type="dxa"/>
          </w:tblCellMar>
        </w:tblPrEx>
        <w:trPr>
          <w:trHeight w:val="883" w:hRule="atLeast"/>
          <w:jc w:val="center"/>
        </w:trPr>
        <w:tc>
          <w:tcPr>
            <w:tcW w:w="215"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p>
        </w:tc>
        <w:tc>
          <w:tcPr>
            <w:tcW w:w="409"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p>
        </w:tc>
        <w:tc>
          <w:tcPr>
            <w:tcW w:w="283"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起点</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终点</w:t>
            </w:r>
          </w:p>
        </w:tc>
        <w:tc>
          <w:tcPr>
            <w:tcW w:w="273"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主路</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步道</w:t>
            </w:r>
          </w:p>
        </w:tc>
        <w:tc>
          <w:tcPr>
            <w:tcW w:w="384"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主路（M</w:t>
            </w:r>
            <w:r>
              <w:rPr>
                <w:rFonts w:hint="eastAsia" w:ascii="宋体" w:hAnsi="宋体" w:cs="宋体"/>
                <w:kern w:val="0"/>
                <w:sz w:val="20"/>
                <w:szCs w:val="20"/>
                <w:vertAlign w:val="superscript"/>
              </w:rPr>
              <w:t>2</w:t>
            </w:r>
            <w:r>
              <w:rPr>
                <w:rFonts w:hint="eastAsia" w:ascii="宋体" w:hAnsi="宋体" w:cs="宋体"/>
                <w:kern w:val="0"/>
                <w:sz w:val="20"/>
                <w:szCs w:val="20"/>
              </w:rPr>
              <w:t>）</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辅路（M</w:t>
            </w:r>
            <w:r>
              <w:rPr>
                <w:rFonts w:hint="eastAsia" w:ascii="宋体" w:hAnsi="宋体" w:cs="宋体"/>
                <w:kern w:val="0"/>
                <w:sz w:val="20"/>
                <w:szCs w:val="20"/>
                <w:vertAlign w:val="superscript"/>
              </w:rPr>
              <w:t>2</w:t>
            </w:r>
            <w:r>
              <w:rPr>
                <w:rFonts w:hint="eastAsia" w:ascii="宋体" w:hAnsi="宋体" w:cs="宋体"/>
                <w:kern w:val="0"/>
                <w:sz w:val="20"/>
                <w:szCs w:val="20"/>
              </w:rPr>
              <w:t>）</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步道（M</w:t>
            </w:r>
            <w:r>
              <w:rPr>
                <w:rFonts w:hint="eastAsia" w:ascii="宋体" w:hAnsi="宋体" w:cs="宋体"/>
                <w:kern w:val="0"/>
                <w:sz w:val="20"/>
                <w:szCs w:val="20"/>
                <w:vertAlign w:val="superscript"/>
              </w:rPr>
              <w:t>2</w:t>
            </w:r>
            <w:r>
              <w:rPr>
                <w:rFonts w:hint="eastAsia" w:ascii="宋体" w:hAnsi="宋体" w:cs="宋体"/>
                <w:kern w:val="0"/>
                <w:sz w:val="20"/>
                <w:szCs w:val="20"/>
              </w:rPr>
              <w:t>）</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绿化带（M</w:t>
            </w:r>
            <w:r>
              <w:rPr>
                <w:rFonts w:hint="eastAsia" w:ascii="宋体" w:hAnsi="宋体" w:cs="宋体"/>
                <w:kern w:val="0"/>
                <w:sz w:val="20"/>
                <w:szCs w:val="20"/>
                <w:vertAlign w:val="superscript"/>
              </w:rPr>
              <w:t>2</w:t>
            </w:r>
            <w:r>
              <w:rPr>
                <w:rFonts w:hint="eastAsia" w:ascii="宋体" w:hAnsi="宋体" w:cs="宋体"/>
                <w:kern w:val="0"/>
                <w:sz w:val="20"/>
                <w:szCs w:val="20"/>
              </w:rPr>
              <w:t>）</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其它（M</w:t>
            </w:r>
            <w:r>
              <w:rPr>
                <w:rFonts w:hint="eastAsia" w:ascii="宋体" w:hAnsi="宋体" w:cs="宋体"/>
                <w:kern w:val="0"/>
                <w:sz w:val="20"/>
                <w:szCs w:val="20"/>
                <w:vertAlign w:val="superscript"/>
              </w:rPr>
              <w:t>2</w:t>
            </w:r>
            <w:r>
              <w:rPr>
                <w:rFonts w:hint="eastAsia" w:ascii="宋体" w:hAnsi="宋体" w:cs="宋体"/>
                <w:kern w:val="0"/>
                <w:sz w:val="20"/>
                <w:szCs w:val="20"/>
              </w:rPr>
              <w:t>）</w:t>
            </w:r>
          </w:p>
        </w:tc>
        <w:tc>
          <w:tcPr>
            <w:tcW w:w="301"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p>
        </w:tc>
        <w:tc>
          <w:tcPr>
            <w:tcW w:w="239"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p>
        </w:tc>
        <w:tc>
          <w:tcPr>
            <w:tcW w:w="285"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杨庄北区中路（西段）</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街巷</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东起杨庄北区东街</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西至杨庄北区中街</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472</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10209</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5664</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3304.0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1241</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原名：奈伦熙府南侧路</w:t>
            </w: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杨庄北区中街（北段）</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街巷</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南起杨庄北区南路</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北至杨庄北区中路</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251</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13.44</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3825.24</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3373</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452</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原名:法院西街北段</w:t>
            </w: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八角南里西侧路</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背街小巷</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南起八角南里西北门</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北至八角南路</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104</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21.54</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2239.92</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2240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西现代城西路</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责任区</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南起阜石路</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北至杨庄北区西门口</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92</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16.08</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1479.64</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1480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消杀中心西侧路</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背街小巷</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南起八角路</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北至八角北路</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347</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7.06</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2450.24</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2450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审计局门前路</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背街小巷</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南起八角路</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西至八角西街</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460</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10.5</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4830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4830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奈伦熙府门前路</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背街小巷</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东起杨庄东街</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西至杨庄北区东街</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124.63</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9.98</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2.70</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1244.14</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908.14</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336</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八角西小街</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背街小巷</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南起八角南里南路</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北至八角南路</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259</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2849</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2849</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原名:房管局东路</w:t>
            </w: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杨庄北区东街</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街巷</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南起杨庄北区南路</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北至奈伦熙府门前路</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281</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6463</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6463</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原名:鼎城小区门前路</w:t>
            </w: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时代花园东街（南段）</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支路</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南起八角北路</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北至时代花园北路</w:t>
            </w:r>
          </w:p>
        </w:tc>
        <w:tc>
          <w:tcPr>
            <w:tcW w:w="2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477</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13492.1</w:t>
            </w:r>
          </w:p>
        </w:tc>
        <w:tc>
          <w:tcPr>
            <w:tcW w:w="31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7632</w:t>
            </w:r>
          </w:p>
        </w:tc>
        <w:tc>
          <w:tcPr>
            <w:tcW w:w="31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2385</w:t>
            </w:r>
          </w:p>
        </w:tc>
        <w:tc>
          <w:tcPr>
            <w:tcW w:w="31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1919.5</w:t>
            </w:r>
          </w:p>
        </w:tc>
        <w:tc>
          <w:tcPr>
            <w:tcW w:w="32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1555.6</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否</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时代花园西街（南段）</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支路</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南起八角北路</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北至时代花园北路</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503</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20.2</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16651.2</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10161</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4527</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1757</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206.6</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时代花园南路</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支路</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东起八角东街</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西至杨庄东街</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703</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21</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26930.07</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14763.00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2812.00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2536</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6819.07</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时代花园中路</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支路</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东起时代花园西街</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西至杨庄东街</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230</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15.5</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7449.14</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3565</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1380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2504.14</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杨庄东街东侧</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责任区</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门前三包</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门前三包</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140</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16.5</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2309.79</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830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315</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1165</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409"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石景山游乐园门前广场</w:t>
            </w:r>
          </w:p>
        </w:tc>
        <w:tc>
          <w:tcPr>
            <w:tcW w:w="283"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责任区</w:t>
            </w:r>
          </w:p>
        </w:tc>
        <w:tc>
          <w:tcPr>
            <w:tcW w:w="566"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石景山区路北侧</w:t>
            </w:r>
          </w:p>
        </w:tc>
        <w:tc>
          <w:tcPr>
            <w:tcW w:w="273"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szCs w:val="20"/>
              </w:rPr>
            </w:pPr>
          </w:p>
        </w:tc>
        <w:tc>
          <w:tcPr>
            <w:tcW w:w="241"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szCs w:val="20"/>
              </w:rPr>
            </w:pPr>
          </w:p>
        </w:tc>
        <w:tc>
          <w:tcPr>
            <w:tcW w:w="210"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szCs w:val="20"/>
              </w:rPr>
            </w:pPr>
          </w:p>
        </w:tc>
        <w:tc>
          <w:tcPr>
            <w:tcW w:w="384"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41929.78</w:t>
            </w:r>
          </w:p>
        </w:tc>
        <w:tc>
          <w:tcPr>
            <w:tcW w:w="317"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19852.86</w:t>
            </w:r>
          </w:p>
        </w:tc>
        <w:tc>
          <w:tcPr>
            <w:tcW w:w="317"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13337.29</w:t>
            </w:r>
          </w:p>
        </w:tc>
        <w:tc>
          <w:tcPr>
            <w:tcW w:w="321"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8739.63</w:t>
            </w:r>
          </w:p>
        </w:tc>
        <w:tc>
          <w:tcPr>
            <w:tcW w:w="301"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新增2021，绿化带面积纳入应急保障</w:t>
            </w:r>
          </w:p>
        </w:tc>
        <w:tc>
          <w:tcPr>
            <w:tcW w:w="239"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八角南里小街</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街巷</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南起石景山路</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北至八角南里南路</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100</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1000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1000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新增2019</w:t>
            </w: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17</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八角南里中街</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街巷</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南起石景山路</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北至京燕饭店北侧路</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153</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3.5</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1913</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1377</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536</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新增2019</w:t>
            </w: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否</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人才市场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北侧路</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背街小巷</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东起宜家家居西小门</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西至杨庄东街</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69</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20.06</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1384.14</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1384</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三级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19</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八角南里南路</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责任区</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东起八角南里中街</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西至八角西街</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327</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11.50</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3760.5</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3761</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三级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京燕饭店北侧路</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背街小巷</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东起八角东街</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西至八角南里中街</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254</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11.5</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2921</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2921</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新增2019</w:t>
            </w: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三级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21</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八角南里东侧路</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背街小巷</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南起京燕饭店</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北侧路</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北至八角南路</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200</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12.00</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2400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2400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三级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22</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西现代城地铁沿线</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责任区</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南起阜石路</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北至杨庄北区西侧小门</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300</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5.6</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1680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1680</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三级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游乐园南门铁路周边</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责任区</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游乐园南门西侧</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石景山路桥下铁路道口</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211</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5.32</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1123</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1123</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三级</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是</w:t>
            </w:r>
          </w:p>
        </w:tc>
      </w:tr>
      <w:tr>
        <w:tblPrEx>
          <w:tblCellMar>
            <w:top w:w="0" w:type="dxa"/>
            <w:left w:w="108" w:type="dxa"/>
            <w:bottom w:w="0" w:type="dxa"/>
            <w:right w:w="108" w:type="dxa"/>
          </w:tblCellMar>
        </w:tblPrEx>
        <w:trPr>
          <w:trHeight w:val="795" w:hRule="atLeast"/>
          <w:jc w:val="center"/>
        </w:trPr>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24</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八角街道北部铁路沿线保洁责任区</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责任区</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东起五环东侧绿地</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西至苹东市场东侧</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2069.7</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13183.61</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67.50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13116.11</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2023年新增</w:t>
            </w:r>
          </w:p>
        </w:tc>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三级</w:t>
            </w:r>
          </w:p>
        </w:tc>
        <w:tc>
          <w:tcPr>
            <w:tcW w:w="28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否</w:t>
            </w:r>
          </w:p>
        </w:tc>
      </w:tr>
    </w:tbl>
    <w:p>
      <w:pPr>
        <w:pStyle w:val="2"/>
        <w:ind w:firstLine="480"/>
        <w:sectPr>
          <w:pgSz w:w="16840" w:h="11907" w:orient="landscape"/>
          <w:pgMar w:top="1134" w:right="1418" w:bottom="1701" w:left="1276" w:header="851" w:footer="851" w:gutter="0"/>
          <w:cols w:space="720" w:num="1"/>
          <w:docGrid w:linePitch="462" w:charSpace="0"/>
        </w:sectPr>
      </w:pPr>
    </w:p>
    <w:p>
      <w:pPr>
        <w:spacing w:line="360" w:lineRule="auto"/>
        <w:jc w:val="left"/>
        <w:rPr>
          <w:rFonts w:ascii="宋体" w:hAnsi="宋体"/>
          <w:b/>
          <w:szCs w:val="21"/>
        </w:rPr>
      </w:pPr>
      <w:r>
        <w:rPr>
          <w:rFonts w:hint="eastAsia" w:ascii="宋体" w:hAnsi="宋体"/>
          <w:b/>
          <w:szCs w:val="21"/>
        </w:rPr>
        <w:t>合同附件</w:t>
      </w:r>
      <w:r>
        <w:rPr>
          <w:rFonts w:ascii="宋体" w:hAnsi="宋体"/>
          <w:b/>
          <w:szCs w:val="21"/>
        </w:rPr>
        <w:t>1</w:t>
      </w:r>
      <w:r>
        <w:rPr>
          <w:rFonts w:hint="eastAsia" w:ascii="宋体" w:hAnsi="宋体"/>
          <w:b/>
          <w:szCs w:val="21"/>
        </w:rPr>
        <w:t>：</w:t>
      </w:r>
    </w:p>
    <w:p>
      <w:pPr>
        <w:spacing w:line="360" w:lineRule="auto"/>
        <w:jc w:val="center"/>
        <w:rPr>
          <w:rFonts w:ascii="宋体" w:hAnsi="宋体"/>
          <w:b/>
          <w:szCs w:val="21"/>
        </w:rPr>
      </w:pPr>
      <w:r>
        <w:rPr>
          <w:rFonts w:hint="eastAsia" w:ascii="宋体" w:hAnsi="宋体"/>
          <w:b/>
          <w:szCs w:val="21"/>
        </w:rPr>
        <w:t>北京市城市环境卫生质量标准</w:t>
      </w:r>
    </w:p>
    <w:p>
      <w:pPr>
        <w:spacing w:line="360" w:lineRule="auto"/>
        <w:ind w:firstLine="420" w:firstLineChars="200"/>
        <w:rPr>
          <w:rFonts w:ascii="宋体" w:hAnsi="宋体"/>
          <w:szCs w:val="21"/>
        </w:rPr>
      </w:pPr>
      <w:r>
        <w:rPr>
          <w:rFonts w:hint="eastAsia" w:ascii="宋体" w:hAnsi="宋体"/>
          <w:szCs w:val="21"/>
        </w:rPr>
        <w:t>第一条　为加强本市环境卫生服务管理，提高城市环境卫生质量，根据《北京市市容环境卫生条例》第十六条规定，制定本标准。</w:t>
      </w:r>
    </w:p>
    <w:p>
      <w:pPr>
        <w:spacing w:line="360" w:lineRule="auto"/>
        <w:ind w:firstLine="200"/>
        <w:rPr>
          <w:rFonts w:ascii="宋体" w:hAnsi="宋体"/>
          <w:szCs w:val="21"/>
        </w:rPr>
      </w:pPr>
      <w:r>
        <w:rPr>
          <w:rFonts w:hint="eastAsia" w:ascii="宋体" w:hAnsi="宋体"/>
          <w:szCs w:val="21"/>
        </w:rPr>
        <w:t>　第二条　本标准所称城市道路包括车行道、人行道、立体交叉桥、人行天桥、人行地下通道及其附属设施。</w:t>
      </w:r>
    </w:p>
    <w:p>
      <w:pPr>
        <w:spacing w:line="360" w:lineRule="auto"/>
        <w:ind w:firstLine="200"/>
        <w:rPr>
          <w:rFonts w:ascii="宋体" w:hAnsi="宋体"/>
          <w:szCs w:val="21"/>
        </w:rPr>
      </w:pPr>
      <w:r>
        <w:rPr>
          <w:rFonts w:hint="eastAsia" w:ascii="宋体" w:hAnsi="宋体"/>
          <w:szCs w:val="21"/>
        </w:rPr>
        <w:t>　本标准所称公共场所是指公共广场、公共绿地、公园、风景游览区、飞机场、火车站、公共电汽车（含长途客运汽车）首末站、地下铁路的车站、公路、铁路沿线、河湖水面、停车场、集贸市场、展览场馆、文化娱乐场馆、体育馆等。</w:t>
      </w:r>
    </w:p>
    <w:p>
      <w:pPr>
        <w:spacing w:line="360" w:lineRule="auto"/>
        <w:ind w:firstLine="200"/>
        <w:rPr>
          <w:rFonts w:ascii="宋体" w:hAnsi="宋体"/>
          <w:szCs w:val="21"/>
        </w:rPr>
      </w:pPr>
      <w:r>
        <w:rPr>
          <w:rFonts w:hint="eastAsia" w:ascii="宋体" w:hAnsi="宋体"/>
          <w:szCs w:val="21"/>
        </w:rPr>
        <w:t>　第三条　城市道路保洁应符合建设部《城市环境卫生质量标准》规定的一、二、三、四级等级划分条件（见附件1、</w:t>
      </w:r>
      <w:r>
        <w:rPr>
          <w:rFonts w:ascii="宋体" w:hAnsi="宋体"/>
          <w:szCs w:val="21"/>
        </w:rPr>
        <w:t>2）。</w:t>
      </w:r>
    </w:p>
    <w:p>
      <w:pPr>
        <w:spacing w:line="360" w:lineRule="auto"/>
        <w:ind w:firstLine="200"/>
        <w:rPr>
          <w:rFonts w:ascii="宋体" w:hAnsi="宋体"/>
          <w:szCs w:val="21"/>
        </w:rPr>
      </w:pPr>
      <w:r>
        <w:rPr>
          <w:rFonts w:hint="eastAsia" w:ascii="宋体" w:hAnsi="宋体"/>
          <w:szCs w:val="21"/>
        </w:rPr>
        <w:t>　第四条　城市道路和公共场所的清扫保洁，实行夜间清扫白天保洁。清扫工作应在每日早晨六时半（冬季为七时半）前完成。</w:t>
      </w:r>
    </w:p>
    <w:p>
      <w:pPr>
        <w:spacing w:line="360" w:lineRule="auto"/>
        <w:ind w:firstLine="200"/>
        <w:rPr>
          <w:rFonts w:ascii="宋体" w:hAnsi="宋体"/>
          <w:szCs w:val="21"/>
        </w:rPr>
      </w:pPr>
      <w:r>
        <w:rPr>
          <w:rFonts w:hint="eastAsia" w:ascii="宋体" w:hAnsi="宋体"/>
          <w:szCs w:val="21"/>
        </w:rPr>
        <w:t>　一、二、三级道路和公共场所应随时保洁，四级道路应定时保洁。</w:t>
      </w:r>
    </w:p>
    <w:p>
      <w:pPr>
        <w:spacing w:line="360" w:lineRule="auto"/>
        <w:ind w:firstLine="200"/>
        <w:rPr>
          <w:rFonts w:ascii="宋体" w:hAnsi="宋体"/>
          <w:szCs w:val="21"/>
        </w:rPr>
      </w:pPr>
      <w:r>
        <w:rPr>
          <w:rFonts w:hint="eastAsia" w:ascii="宋体" w:hAnsi="宋体"/>
          <w:szCs w:val="21"/>
        </w:rPr>
        <w:t>　第五条　一、二级道路和公共场所的路面、路牙、便道、巷口、隔离墩（棚）无浮土，无垃圾、渣土，无烟头、纸屑、瓜果皮核、痰迹（每</w:t>
      </w:r>
      <w:r>
        <w:rPr>
          <w:rFonts w:ascii="宋体" w:hAnsi="宋体"/>
          <w:szCs w:val="21"/>
        </w:rPr>
        <w:t>100平方米不得超过2处），无砖头石块等杂物（每100平方米不得超过１处），绿地无污物杂物（每100平方米不得超过１处），树坑、雨水口无污物。</w:t>
      </w:r>
    </w:p>
    <w:p>
      <w:pPr>
        <w:spacing w:line="360" w:lineRule="auto"/>
        <w:ind w:firstLine="200"/>
        <w:rPr>
          <w:rFonts w:ascii="宋体" w:hAnsi="宋体"/>
          <w:szCs w:val="21"/>
        </w:rPr>
      </w:pPr>
      <w:r>
        <w:rPr>
          <w:rFonts w:hint="eastAsia" w:ascii="宋体" w:hAnsi="宋体"/>
          <w:szCs w:val="21"/>
        </w:rPr>
        <w:t>　三级道路的路面、路牙、便道、巷口基本无浮土，无垃圾、渣土，无烟头、纸屑、瓜果皮核、痰迹（每</w:t>
      </w:r>
      <w:r>
        <w:rPr>
          <w:rFonts w:ascii="宋体" w:hAnsi="宋体"/>
          <w:szCs w:val="21"/>
        </w:rPr>
        <w:t>100平方米不得超过2处），无砖头石块等杂物（每100平方米不得超过１块），绿地无污物杂物（每100平方米不得超过2处），树坑、雨水口、边沟无污物。</w:t>
      </w:r>
    </w:p>
    <w:p>
      <w:pPr>
        <w:spacing w:line="360" w:lineRule="auto"/>
        <w:ind w:firstLine="200"/>
        <w:rPr>
          <w:rFonts w:ascii="宋体" w:hAnsi="宋体"/>
          <w:szCs w:val="21"/>
        </w:rPr>
      </w:pPr>
      <w:r>
        <w:rPr>
          <w:rFonts w:hint="eastAsia" w:ascii="宋体" w:hAnsi="宋体"/>
          <w:szCs w:val="21"/>
        </w:rPr>
        <w:t>　四级道路的路面、便道、树坑、雨水口、边沟无暴露的垃圾渣土，无泥沙灰土，基本无烟头、纸屑、瓜果皮核、痰迹（每</w:t>
      </w:r>
      <w:r>
        <w:rPr>
          <w:rFonts w:ascii="宋体" w:hAnsi="宋体"/>
          <w:szCs w:val="21"/>
        </w:rPr>
        <w:t>100平方米不得超过3处），无砖头石块等杂物（每100平方米不得超过2块），绿地无杂物（每100平方米不得超过３处）。</w:t>
      </w:r>
    </w:p>
    <w:p>
      <w:pPr>
        <w:spacing w:line="360" w:lineRule="auto"/>
        <w:ind w:firstLine="200"/>
        <w:rPr>
          <w:rFonts w:ascii="宋体" w:hAnsi="宋体"/>
          <w:szCs w:val="21"/>
        </w:rPr>
      </w:pPr>
      <w:r>
        <w:rPr>
          <w:rFonts w:hint="eastAsia" w:ascii="宋体" w:hAnsi="宋体"/>
          <w:szCs w:val="21"/>
        </w:rPr>
        <w:t>　第六条　清扫的垃圾应及时运走，做到垃圾不露天堆放在道路两侧或公共场所周围，不扫入或倾倒到雨水口、绿地内，不焚烧。</w:t>
      </w:r>
    </w:p>
    <w:p>
      <w:pPr>
        <w:spacing w:line="360" w:lineRule="auto"/>
        <w:ind w:firstLine="200"/>
        <w:rPr>
          <w:rFonts w:ascii="宋体" w:hAnsi="宋体"/>
          <w:szCs w:val="21"/>
        </w:rPr>
      </w:pPr>
      <w:r>
        <w:rPr>
          <w:rFonts w:hint="eastAsia" w:ascii="宋体" w:hAnsi="宋体"/>
          <w:szCs w:val="21"/>
        </w:rPr>
        <w:t>　第七条　一、二级道路实行机械清扫（机械清扫不到的地方由人工配合）。清扫作业做到喷雾清扫不扬尘，不漏土。</w:t>
      </w:r>
    </w:p>
    <w:p>
      <w:pPr>
        <w:spacing w:line="360" w:lineRule="auto"/>
        <w:ind w:firstLine="200"/>
        <w:rPr>
          <w:rFonts w:ascii="宋体" w:hAnsi="宋体"/>
          <w:szCs w:val="21"/>
        </w:rPr>
      </w:pPr>
      <w:r>
        <w:rPr>
          <w:rFonts w:hint="eastAsia" w:ascii="宋体" w:hAnsi="宋体"/>
          <w:szCs w:val="21"/>
        </w:rPr>
        <w:t>　第八条　一、二级道路冲刷作业期为每年４月</w:t>
      </w:r>
      <w:r>
        <w:rPr>
          <w:rFonts w:ascii="宋体" w:hAnsi="宋体"/>
          <w:szCs w:val="21"/>
        </w:rPr>
        <w:t>10日至10月25日，每日夜间11时开始，次日早４时前完成。</w:t>
      </w:r>
    </w:p>
    <w:p>
      <w:pPr>
        <w:spacing w:line="360" w:lineRule="auto"/>
        <w:ind w:firstLine="200"/>
        <w:rPr>
          <w:rFonts w:ascii="宋体" w:hAnsi="宋体"/>
          <w:szCs w:val="21"/>
        </w:rPr>
      </w:pPr>
      <w:r>
        <w:rPr>
          <w:rFonts w:hint="eastAsia" w:ascii="宋体" w:hAnsi="宋体"/>
          <w:szCs w:val="21"/>
        </w:rPr>
        <w:t>　冲刷时应压好茬、冲刷路面时距路牙不超过</w:t>
      </w:r>
      <w:r>
        <w:rPr>
          <w:rFonts w:ascii="宋体" w:hAnsi="宋体"/>
          <w:szCs w:val="21"/>
        </w:rPr>
        <w:t>50公分，冲刷后应及时人工轰水，做到路面、路牙、路口、隔离墩（棚）、岗台和安全岛周围无泥沙和积水。</w:t>
      </w:r>
    </w:p>
    <w:p>
      <w:pPr>
        <w:spacing w:line="360" w:lineRule="auto"/>
        <w:ind w:firstLine="200"/>
        <w:rPr>
          <w:rFonts w:ascii="宋体" w:hAnsi="宋体"/>
          <w:szCs w:val="21"/>
        </w:rPr>
      </w:pPr>
      <w:r>
        <w:rPr>
          <w:rFonts w:hint="eastAsia" w:ascii="宋体" w:hAnsi="宋体"/>
          <w:szCs w:val="21"/>
        </w:rPr>
        <w:t>　一、二级道路范围内的人行地下道应全天保洁，定时擦洗。</w:t>
      </w:r>
    </w:p>
    <w:p>
      <w:pPr>
        <w:spacing w:line="360" w:lineRule="auto"/>
        <w:ind w:firstLine="200"/>
        <w:rPr>
          <w:rFonts w:ascii="宋体" w:hAnsi="宋体"/>
          <w:szCs w:val="21"/>
        </w:rPr>
      </w:pPr>
      <w:r>
        <w:rPr>
          <w:rFonts w:hint="eastAsia" w:ascii="宋体" w:hAnsi="宋体"/>
          <w:szCs w:val="21"/>
        </w:rPr>
        <w:t>　第九条　降雪后，各单位应即自带工具，按照街道办事处或乡、镇人民政府划分的责任地段扫雪铲冰。昼间降雪的，应随时清扫；夜间降雪的，应在上午</w:t>
      </w:r>
      <w:r>
        <w:rPr>
          <w:rFonts w:ascii="宋体" w:hAnsi="宋体"/>
          <w:szCs w:val="21"/>
        </w:rPr>
        <w:t>10时前清扫干净。</w:t>
      </w:r>
    </w:p>
    <w:p>
      <w:pPr>
        <w:spacing w:line="360" w:lineRule="auto"/>
        <w:ind w:firstLine="200"/>
        <w:rPr>
          <w:rFonts w:ascii="宋体" w:hAnsi="宋体"/>
          <w:szCs w:val="21"/>
        </w:rPr>
      </w:pPr>
      <w:r>
        <w:rPr>
          <w:rFonts w:hint="eastAsia" w:ascii="宋体" w:hAnsi="宋体"/>
          <w:szCs w:val="21"/>
        </w:rPr>
        <w:t>　环境卫生专业队对市人民政府划定的城市主要道路和立交桥，应按照先立交桥后主要道路的顺序洒盐水溶雪，盐水浓度不低于</w:t>
      </w:r>
      <w:r>
        <w:rPr>
          <w:rFonts w:ascii="宋体" w:hAnsi="宋体"/>
          <w:szCs w:val="21"/>
        </w:rPr>
        <w:t>12℃。</w:t>
      </w:r>
    </w:p>
    <w:p>
      <w:pPr>
        <w:spacing w:line="360" w:lineRule="auto"/>
        <w:ind w:firstLine="200"/>
        <w:rPr>
          <w:rFonts w:ascii="宋体" w:hAnsi="宋体"/>
          <w:szCs w:val="21"/>
        </w:rPr>
      </w:pPr>
      <w:r>
        <w:rPr>
          <w:rFonts w:hint="eastAsia" w:ascii="宋体" w:hAnsi="宋体"/>
          <w:szCs w:val="21"/>
        </w:rPr>
        <w:t>　第十条　扫雪铲冰后，应做到路面无积雪，无结冰，露出路面。</w:t>
      </w:r>
    </w:p>
    <w:p>
      <w:pPr>
        <w:spacing w:line="360" w:lineRule="auto"/>
        <w:ind w:firstLine="200"/>
        <w:rPr>
          <w:rFonts w:ascii="宋体" w:hAnsi="宋体"/>
          <w:szCs w:val="21"/>
        </w:rPr>
      </w:pPr>
      <w:r>
        <w:rPr>
          <w:rFonts w:hint="eastAsia" w:ascii="宋体" w:hAnsi="宋体"/>
          <w:szCs w:val="21"/>
        </w:rPr>
        <w:t>　清除的冰雪，整齐堆放在不妨碍交通的向阳处；洒过盐水的冰雪，不得堆放在树坑和绿地内。</w:t>
      </w:r>
    </w:p>
    <w:p>
      <w:pPr>
        <w:spacing w:line="360" w:lineRule="auto"/>
        <w:ind w:firstLine="200"/>
        <w:rPr>
          <w:rFonts w:ascii="宋体" w:hAnsi="宋体"/>
          <w:szCs w:val="21"/>
        </w:rPr>
      </w:pPr>
      <w:r>
        <w:rPr>
          <w:rFonts w:hint="eastAsia" w:ascii="宋体" w:hAnsi="宋体"/>
          <w:szCs w:val="21"/>
        </w:rPr>
        <w:t>　第十一条　各单位应根据市容环境卫生部门的要求合理设置果皮箱、垃圾桶（箱），果皮箱、垃圾桶（箱）应做到周围整洁，及时清理，每周洗刷一次，每年油饰两次桶（箱）体。</w:t>
      </w:r>
    </w:p>
    <w:p>
      <w:pPr>
        <w:spacing w:line="360" w:lineRule="auto"/>
        <w:ind w:firstLine="200"/>
        <w:rPr>
          <w:rFonts w:ascii="宋体" w:hAnsi="宋体"/>
          <w:szCs w:val="21"/>
        </w:rPr>
      </w:pPr>
      <w:r>
        <w:rPr>
          <w:rFonts w:hint="eastAsia" w:ascii="宋体" w:hAnsi="宋体"/>
          <w:szCs w:val="21"/>
        </w:rPr>
        <w:t>　第十二条　垃圾收集装置应当便于使用和清运，不妨碍交通，不影响市容。设置的垃圾桶平时不超过</w:t>
      </w:r>
      <w:r>
        <w:rPr>
          <w:rFonts w:ascii="宋体" w:hAnsi="宋体"/>
          <w:szCs w:val="21"/>
        </w:rPr>
        <w:t>15个，高产期间不超过20个。</w:t>
      </w:r>
    </w:p>
    <w:p>
      <w:pPr>
        <w:spacing w:line="360" w:lineRule="auto"/>
        <w:ind w:firstLine="200"/>
        <w:rPr>
          <w:rFonts w:ascii="宋体" w:hAnsi="宋体"/>
          <w:szCs w:val="21"/>
        </w:rPr>
      </w:pPr>
      <w:r>
        <w:rPr>
          <w:rFonts w:hint="eastAsia" w:ascii="宋体" w:hAnsi="宋体"/>
          <w:szCs w:val="21"/>
        </w:rPr>
        <w:t>　每年４月</w:t>
      </w:r>
      <w:r>
        <w:rPr>
          <w:rFonts w:ascii="宋体" w:hAnsi="宋体"/>
          <w:szCs w:val="21"/>
        </w:rPr>
        <w:t>10日至10月20日期间，每日对垃圾收集站点进行打药灭蝇，杜绝苍蝇孳生。</w:t>
      </w:r>
    </w:p>
    <w:p>
      <w:pPr>
        <w:spacing w:line="360" w:lineRule="auto"/>
        <w:ind w:firstLine="200"/>
        <w:rPr>
          <w:rFonts w:ascii="宋体" w:hAnsi="宋体"/>
          <w:szCs w:val="21"/>
        </w:rPr>
      </w:pPr>
      <w:r>
        <w:rPr>
          <w:rFonts w:hint="eastAsia" w:ascii="宋体" w:hAnsi="宋体"/>
          <w:szCs w:val="21"/>
        </w:rPr>
        <w:t>　第十三条　密闭式清洁站周围环境应保持清洁，做到无暴露垃圾，箱槽、墙体、地面清洁无污物，基本无蝇。</w:t>
      </w:r>
    </w:p>
    <w:p>
      <w:pPr>
        <w:spacing w:line="360" w:lineRule="auto"/>
        <w:ind w:firstLine="200"/>
        <w:rPr>
          <w:rFonts w:ascii="宋体" w:hAnsi="宋体"/>
          <w:szCs w:val="21"/>
        </w:rPr>
      </w:pPr>
      <w:r>
        <w:rPr>
          <w:rFonts w:hint="eastAsia" w:ascii="宋体" w:hAnsi="宋体"/>
          <w:szCs w:val="21"/>
        </w:rPr>
        <w:t>　第十四条　居住区垃圾间应整洁，无散落垃圾和积留污水，基本无蝇。</w:t>
      </w:r>
    </w:p>
    <w:p>
      <w:pPr>
        <w:spacing w:line="360" w:lineRule="auto"/>
        <w:ind w:firstLine="200"/>
        <w:rPr>
          <w:rFonts w:ascii="宋体" w:hAnsi="宋体"/>
          <w:szCs w:val="21"/>
        </w:rPr>
      </w:pPr>
      <w:r>
        <w:rPr>
          <w:rFonts w:hint="eastAsia" w:ascii="宋体" w:hAnsi="宋体"/>
          <w:szCs w:val="21"/>
        </w:rPr>
        <w:t>　第十五条　一切单位和个人都应按照市容环境卫生部门规定的时间将生活垃圾倒入垃圾收集容器内；实行分类、袋装的地区，应将垃圾分类、袋装封闭后，定时投入容器内放置于指定的收集点。</w:t>
      </w:r>
    </w:p>
    <w:p>
      <w:pPr>
        <w:spacing w:line="360" w:lineRule="auto"/>
        <w:ind w:firstLine="200"/>
        <w:rPr>
          <w:rFonts w:ascii="宋体" w:hAnsi="宋体"/>
          <w:szCs w:val="21"/>
        </w:rPr>
      </w:pPr>
      <w:r>
        <w:rPr>
          <w:rFonts w:hint="eastAsia" w:ascii="宋体" w:hAnsi="宋体"/>
          <w:szCs w:val="21"/>
        </w:rPr>
        <w:t>　第十六条　大件垃圾的收集应设专门的收集站，每月定期收集清运。</w:t>
      </w:r>
    </w:p>
    <w:p>
      <w:pPr>
        <w:spacing w:line="360" w:lineRule="auto"/>
        <w:ind w:firstLine="200"/>
        <w:rPr>
          <w:rFonts w:ascii="宋体" w:hAnsi="宋体"/>
          <w:szCs w:val="21"/>
        </w:rPr>
      </w:pPr>
      <w:r>
        <w:rPr>
          <w:rFonts w:hint="eastAsia" w:ascii="宋体" w:hAnsi="宋体"/>
          <w:szCs w:val="21"/>
        </w:rPr>
        <w:t>　第十七条　垃圾清运做到定人、定车，包段负责，按日清运，车走站净，运到指定的垃圾消纳场所。</w:t>
      </w:r>
    </w:p>
    <w:p>
      <w:pPr>
        <w:spacing w:line="360" w:lineRule="auto"/>
        <w:ind w:firstLine="200"/>
        <w:rPr>
          <w:rFonts w:ascii="宋体" w:hAnsi="宋体"/>
          <w:szCs w:val="21"/>
        </w:rPr>
      </w:pPr>
      <w:r>
        <w:rPr>
          <w:rFonts w:hint="eastAsia" w:ascii="宋体" w:hAnsi="宋体"/>
          <w:szCs w:val="21"/>
        </w:rPr>
        <w:t>　第十八条　洒水车辆，垃圾、粪便清运车辆及设备，应做到车容貌整洁，车辆每日回场应冲洗干净，粪便车辆应定期清除罐内淤渣。各种设备齐全、安全有效，无失修。运输过程中做到密闭运输，不暴露、不遗撒。</w:t>
      </w:r>
    </w:p>
    <w:p>
      <w:pPr>
        <w:spacing w:line="360" w:lineRule="auto"/>
        <w:ind w:firstLine="200"/>
        <w:rPr>
          <w:rFonts w:ascii="宋体" w:hAnsi="宋体"/>
          <w:szCs w:val="21"/>
        </w:rPr>
      </w:pPr>
      <w:r>
        <w:rPr>
          <w:rFonts w:hint="eastAsia" w:ascii="宋体" w:hAnsi="宋体"/>
          <w:szCs w:val="21"/>
        </w:rPr>
        <w:t>　第十九条　垃圾收运的单位，应按指定的转运站和处理场消纳垃圾。</w:t>
      </w:r>
    </w:p>
    <w:p>
      <w:pPr>
        <w:spacing w:line="360" w:lineRule="auto"/>
        <w:ind w:firstLine="200"/>
        <w:rPr>
          <w:rFonts w:ascii="宋体" w:hAnsi="宋体"/>
          <w:szCs w:val="21"/>
        </w:rPr>
      </w:pPr>
      <w:r>
        <w:rPr>
          <w:rFonts w:hint="eastAsia" w:ascii="宋体" w:hAnsi="宋体"/>
          <w:szCs w:val="21"/>
        </w:rPr>
        <w:t>　每年</w:t>
      </w:r>
      <w:r>
        <w:rPr>
          <w:rFonts w:ascii="宋体" w:hAnsi="宋体"/>
          <w:szCs w:val="21"/>
        </w:rPr>
        <w:t>4月10日至10月25日期间，垃圾转运站和处理场，每日进行打药灭蝇，减少苍蝇孳生聚集，做到环境整洁，室内基本无蝇。</w:t>
      </w:r>
    </w:p>
    <w:p>
      <w:pPr>
        <w:spacing w:line="360" w:lineRule="auto"/>
        <w:ind w:firstLine="200"/>
        <w:rPr>
          <w:rFonts w:ascii="宋体" w:hAnsi="宋体"/>
          <w:szCs w:val="21"/>
        </w:rPr>
      </w:pPr>
      <w:r>
        <w:rPr>
          <w:rFonts w:hint="eastAsia" w:ascii="宋体" w:hAnsi="宋体"/>
          <w:szCs w:val="21"/>
        </w:rPr>
        <w:t>　第二十条　公共厕所保洁实行专人责任制，实现保洁管理规范化、制度化。</w:t>
      </w:r>
    </w:p>
    <w:p>
      <w:pPr>
        <w:spacing w:line="360" w:lineRule="auto"/>
        <w:ind w:firstLine="200"/>
        <w:rPr>
          <w:rFonts w:ascii="宋体" w:hAnsi="宋体"/>
          <w:szCs w:val="21"/>
        </w:rPr>
      </w:pPr>
      <w:r>
        <w:rPr>
          <w:rFonts w:hint="eastAsia" w:ascii="宋体" w:hAnsi="宋体"/>
          <w:szCs w:val="21"/>
        </w:rPr>
        <w:t>　三类以上的公共厕所保洁做到“十洁”、“六无”。“十洁”即：顶棚墙壁洁、门窗纱洁、地面蹲台洁、沟槽便坑洁、尿池洁、隔断板门洁、镜面、洗手盆、墩布池洁、干手器、挂衣钩洁，标牌灯具洁和厕所外部环境洁。“六无”即：无乱写乱画、无蚊蝇、无臭味、无尿碱污物、无暴露保洁工具和便纸，厕内外地面无积尿、积水、结冰。</w:t>
      </w:r>
    </w:p>
    <w:p>
      <w:pPr>
        <w:spacing w:line="360" w:lineRule="auto"/>
        <w:ind w:firstLine="200"/>
        <w:rPr>
          <w:rFonts w:ascii="宋体" w:hAnsi="宋体"/>
          <w:szCs w:val="21"/>
        </w:rPr>
      </w:pPr>
      <w:r>
        <w:rPr>
          <w:rFonts w:hint="eastAsia" w:ascii="宋体" w:hAnsi="宋体"/>
          <w:szCs w:val="21"/>
        </w:rPr>
        <w:t>　第二十一条　一、二类公共厕所，实行全天保洁，随脏随保洁；一、二级道路的三、四类公厕和三级道路的三类公厕，实行四冲四扫；三级道路的四类公厕和四级道路的三、四类公厕，实行两冲两扫。</w:t>
      </w:r>
    </w:p>
    <w:p>
      <w:pPr>
        <w:spacing w:line="360" w:lineRule="auto"/>
        <w:ind w:firstLine="200"/>
        <w:rPr>
          <w:rFonts w:ascii="宋体" w:hAnsi="宋体"/>
          <w:szCs w:val="21"/>
        </w:rPr>
      </w:pPr>
      <w:r>
        <w:rPr>
          <w:rFonts w:hint="eastAsia" w:ascii="宋体" w:hAnsi="宋体"/>
          <w:szCs w:val="21"/>
        </w:rPr>
        <w:t>　第二十二条　街道厕所，实行一冲两扫，做到地面蹲台整洁无污物，墙壁清洁无污迹，便坑、便池无粪迹、尿碱和其它污物，基本无蚊蝇。</w:t>
      </w:r>
    </w:p>
    <w:p>
      <w:pPr>
        <w:spacing w:line="360" w:lineRule="auto"/>
        <w:ind w:firstLine="200"/>
        <w:rPr>
          <w:rFonts w:ascii="宋体" w:hAnsi="宋体"/>
          <w:szCs w:val="21"/>
        </w:rPr>
      </w:pPr>
      <w:r>
        <w:rPr>
          <w:rFonts w:hint="eastAsia" w:ascii="宋体" w:hAnsi="宋体"/>
          <w:szCs w:val="21"/>
        </w:rPr>
        <w:t>　第二十三条　一、二类公共厕所和一、二级道路的三类公共厕所按照《北京市公共厕所建设类别标准》的要求，做到设备齐全，完整，有效。</w:t>
      </w:r>
    </w:p>
    <w:p>
      <w:pPr>
        <w:spacing w:line="360" w:lineRule="auto"/>
        <w:ind w:firstLine="200"/>
        <w:rPr>
          <w:rFonts w:ascii="宋体" w:hAnsi="宋体"/>
          <w:szCs w:val="21"/>
        </w:rPr>
      </w:pPr>
      <w:r>
        <w:rPr>
          <w:rFonts w:hint="eastAsia" w:ascii="宋体" w:hAnsi="宋体"/>
          <w:szCs w:val="21"/>
        </w:rPr>
        <w:t>　第二十四条　三级道路的公共厕所和街道厕所做到门窗纱齐全，无破损，建筑结构安全、卫生设施基本完好有效，水电路和照明正常完好。</w:t>
      </w:r>
    </w:p>
    <w:p>
      <w:pPr>
        <w:spacing w:line="360" w:lineRule="auto"/>
        <w:ind w:firstLine="200"/>
        <w:rPr>
          <w:rFonts w:ascii="宋体" w:hAnsi="宋体"/>
          <w:szCs w:val="21"/>
        </w:rPr>
      </w:pPr>
      <w:r>
        <w:rPr>
          <w:rFonts w:hint="eastAsia" w:ascii="宋体" w:hAnsi="宋体"/>
          <w:szCs w:val="21"/>
        </w:rPr>
        <w:t>　第二十五条　移运式厕所应符合市环境卫生管理局规定的二类以上建设标准和保洁标准，做到设施齐全，完整有效。</w:t>
      </w:r>
    </w:p>
    <w:p>
      <w:pPr>
        <w:spacing w:line="360" w:lineRule="auto"/>
        <w:ind w:firstLine="200"/>
        <w:rPr>
          <w:rFonts w:ascii="宋体" w:hAnsi="宋体"/>
          <w:szCs w:val="21"/>
        </w:rPr>
      </w:pPr>
      <w:r>
        <w:rPr>
          <w:rFonts w:hint="eastAsia" w:ascii="宋体" w:hAnsi="宋体"/>
          <w:szCs w:val="21"/>
        </w:rPr>
        <w:t>　第二十六条　粪便清运实行定人、定车，包段负责。做到清运及时，粪井不满不冒，厕所沟槽不积粪。抽粪车抽粪后应盖好井盖，将粪井周围清扫干净，无污物粪迹。</w:t>
      </w:r>
    </w:p>
    <w:p>
      <w:pPr>
        <w:widowControl/>
        <w:spacing w:line="360" w:lineRule="auto"/>
        <w:jc w:val="left"/>
        <w:rPr>
          <w:rFonts w:ascii="宋体" w:hAnsi="宋体"/>
          <w:b/>
          <w:bCs/>
          <w:kern w:val="44"/>
          <w:sz w:val="24"/>
        </w:rPr>
        <w:sectPr>
          <w:pgSz w:w="11907" w:h="16840"/>
          <w:pgMar w:top="1276" w:right="1134" w:bottom="1418" w:left="1701" w:header="851" w:footer="851" w:gutter="0"/>
          <w:cols w:space="720" w:num="1"/>
          <w:docGrid w:linePitch="462" w:charSpace="0"/>
        </w:sectPr>
      </w:pPr>
    </w:p>
    <w:p>
      <w:pPr>
        <w:spacing w:line="360" w:lineRule="auto"/>
        <w:jc w:val="left"/>
        <w:rPr>
          <w:b/>
          <w:szCs w:val="21"/>
        </w:rPr>
      </w:pPr>
      <w:r>
        <w:rPr>
          <w:rFonts w:hint="eastAsia"/>
          <w:b/>
          <w:szCs w:val="21"/>
        </w:rPr>
        <w:t>合同附件2：</w:t>
      </w:r>
    </w:p>
    <w:p>
      <w:pPr>
        <w:spacing w:line="360" w:lineRule="auto"/>
        <w:jc w:val="center"/>
        <w:rPr>
          <w:b/>
          <w:szCs w:val="21"/>
        </w:rPr>
      </w:pPr>
      <w:r>
        <w:rPr>
          <w:rFonts w:hint="eastAsia"/>
          <w:b/>
          <w:szCs w:val="21"/>
        </w:rPr>
        <w:t>城市道路清扫保洁质量与作业要求</w:t>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32095" cy="7552690"/>
            <wp:effectExtent l="0" t="0" r="1905" b="0"/>
            <wp:docPr id="18" name="图片 18" descr="56c89a10c6f3b4cfba460d29e313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6c89a10c6f3b4cfba460d29e31397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332095" cy="7552690"/>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521960" cy="7552690"/>
            <wp:effectExtent l="0" t="0" r="2540" b="0"/>
            <wp:docPr id="19" name="图片 19" descr="936f2b65669e43dc50d7694540d1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36f2b65669e43dc50d7694540d1a8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521960" cy="7552690"/>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509895" cy="7837805"/>
            <wp:effectExtent l="0" t="0" r="0" b="0"/>
            <wp:docPr id="20" name="图片 20" descr="4a8bcc1a1c3e8b2e4306bfbe5b8d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a8bcc1a1c3e8b2e4306bfbe5b8d1a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09895" cy="7837805"/>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20030" cy="7172960"/>
            <wp:effectExtent l="0" t="0" r="0" b="8890"/>
            <wp:docPr id="21" name="图片 21" descr="767cb860bd884b89e8d61f50e33f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67cb860bd884b89e8d61f50e33f3e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320030" cy="7172960"/>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248910" cy="6792595"/>
            <wp:effectExtent l="0" t="0" r="8890" b="8255"/>
            <wp:docPr id="22" name="图片 22" descr="65b9a1fd46e440f53e834c48c7ec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5b9a1fd46e440f53e834c48c7ecac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48910" cy="6792595"/>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55590" cy="6602730"/>
            <wp:effectExtent l="0" t="0" r="0" b="7620"/>
            <wp:docPr id="23" name="图片 23" descr="e7eea7db3a1bafcec73ab92d8f78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7eea7db3a1bafcec73ab92d8f78ca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355590" cy="6602730"/>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32095" cy="6923405"/>
            <wp:effectExtent l="0" t="0" r="1905" b="0"/>
            <wp:docPr id="24" name="图片 24" descr="b4edeff95de0c4293fb7f5e0d62e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4edeff95de0c4293fb7f5e0d62ecf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32095" cy="6923405"/>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91150" cy="6638290"/>
            <wp:effectExtent l="0" t="0" r="0" b="0"/>
            <wp:docPr id="25" name="图片 25" descr="62c886c639951589dfb049087de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2c886c639951589dfb049087de10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91150" cy="6638290"/>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284470" cy="6769100"/>
            <wp:effectExtent l="0" t="0" r="0" b="0"/>
            <wp:docPr id="26" name="图片 26" descr="7b5fdf72667f788985864bbd941c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b5fdf72667f788985864bbd941ce8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84470" cy="6769100"/>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07965" cy="6590665"/>
            <wp:effectExtent l="0" t="0" r="6985" b="635"/>
            <wp:docPr id="27" name="图片 27" descr="14874605db31c4b12a48eccd392d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4874605db31c4b12a48eccd392d2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07965" cy="6590665"/>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55590" cy="6863715"/>
            <wp:effectExtent l="0" t="0" r="0" b="0"/>
            <wp:docPr id="28" name="图片 28" descr="0d134707a6b56d6702c857d4f5806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d134707a6b56d6702c857d4f5806b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355590" cy="6863715"/>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55590" cy="6769100"/>
            <wp:effectExtent l="0" t="0" r="0" b="0"/>
            <wp:docPr id="29" name="图片 29" descr="4f520c5b34cd3747253c9d5be8422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f520c5b34cd3747253c9d5be84227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55590" cy="6769100"/>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32095" cy="6685915"/>
            <wp:effectExtent l="0" t="0" r="1905" b="635"/>
            <wp:docPr id="30" name="图片 30" descr="3d98b20f9da6c41f761d74c89858b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d98b20f9da6c41f761d74c89858b2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332095" cy="6685915"/>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403215" cy="6531610"/>
            <wp:effectExtent l="0" t="0" r="6985" b="2540"/>
            <wp:docPr id="31" name="图片 31" descr="b40d6aa62d0cff718091e8900448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b40d6aa62d0cff718091e89004489b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403215" cy="6531610"/>
                    </a:xfrm>
                    <a:prstGeom prst="rect">
                      <a:avLst/>
                    </a:prstGeom>
                    <a:noFill/>
                    <a:ln>
                      <a:noFill/>
                    </a:ln>
                  </pic:spPr>
                </pic:pic>
              </a:graphicData>
            </a:graphic>
          </wp:inline>
        </w:drawing>
      </w:r>
    </w:p>
    <w:p>
      <w:pPr>
        <w:widowControl/>
        <w:spacing w:line="360" w:lineRule="auto"/>
        <w:jc w:val="left"/>
        <w:rPr>
          <w:rFonts w:ascii="宋体" w:hAnsi="宋体"/>
          <w:b/>
          <w:bCs/>
          <w:kern w:val="44"/>
          <w:sz w:val="24"/>
        </w:rPr>
      </w:pPr>
    </w:p>
    <w:p>
      <w:pPr>
        <w:spacing w:line="360" w:lineRule="auto"/>
        <w:jc w:val="center"/>
        <w:outlineLvl w:val="0"/>
        <w:rPr>
          <w:b/>
          <w:sz w:val="36"/>
          <w:szCs w:val="36"/>
        </w:rPr>
      </w:pPr>
      <w:r>
        <w:rPr>
          <w:b/>
          <w:sz w:val="36"/>
          <w:szCs w:val="36"/>
        </w:rPr>
        <w:br w:type="page"/>
      </w:r>
    </w:p>
    <w:p>
      <w:pPr>
        <w:spacing w:line="360" w:lineRule="auto"/>
        <w:jc w:val="center"/>
        <w:outlineLvl w:val="0"/>
        <w:rPr>
          <w:b/>
          <w:sz w:val="36"/>
          <w:szCs w:val="36"/>
        </w:rPr>
        <w:sectPr>
          <w:pgSz w:w="11907" w:h="16840"/>
          <w:pgMar w:top="1276" w:right="1134" w:bottom="1418" w:left="1701" w:header="851" w:footer="851" w:gutter="0"/>
          <w:cols w:space="720" w:num="1"/>
          <w:docGrid w:linePitch="462" w:charSpace="0"/>
        </w:sectPr>
      </w:pPr>
    </w:p>
    <w:p>
      <w:pPr>
        <w:spacing w:line="360" w:lineRule="auto"/>
        <w:jc w:val="left"/>
        <w:rPr>
          <w:rFonts w:ascii="宋体" w:hAnsi="宋体"/>
          <w:b/>
          <w:sz w:val="24"/>
        </w:rPr>
      </w:pPr>
      <w:r>
        <w:rPr>
          <w:rFonts w:hint="eastAsia" w:ascii="宋体" w:hAnsi="宋体"/>
          <w:b/>
          <w:sz w:val="24"/>
        </w:rPr>
        <w:t>合同附件3：</w:t>
      </w:r>
    </w:p>
    <w:p>
      <w:pPr>
        <w:spacing w:line="360" w:lineRule="auto"/>
        <w:jc w:val="center"/>
        <w:rPr>
          <w:rFonts w:ascii="宋体" w:hAnsi="宋体"/>
          <w:b/>
          <w:sz w:val="24"/>
        </w:rPr>
      </w:pPr>
      <w:r>
        <w:rPr>
          <w:rFonts w:hint="eastAsia" w:ascii="宋体" w:hAnsi="宋体"/>
          <w:b/>
          <w:sz w:val="24"/>
        </w:rPr>
        <w:t>街巷环境卫生质量要求</w:t>
      </w:r>
    </w:p>
    <w:p>
      <w:pPr>
        <w:widowControl/>
        <w:spacing w:line="360" w:lineRule="auto"/>
        <w:rPr>
          <w:rFonts w:ascii="宋体" w:hAnsi="宋体"/>
          <w:b/>
          <w:kern w:val="44"/>
          <w:sz w:val="24"/>
        </w:rPr>
      </w:pPr>
    </w:p>
    <w:p>
      <w:pPr>
        <w:widowControl/>
        <w:spacing w:line="360" w:lineRule="auto"/>
        <w:rPr>
          <w:rFonts w:ascii="宋体" w:hAnsi="宋体"/>
          <w:b/>
          <w:kern w:val="44"/>
          <w:sz w:val="24"/>
        </w:rPr>
      </w:pPr>
      <w:r>
        <w:rPr>
          <w:rFonts w:hint="eastAsia" w:ascii="宋体" w:hAnsi="宋体"/>
          <w:b/>
          <w:kern w:val="44"/>
          <w:sz w:val="24"/>
        </w:rPr>
        <w:drawing>
          <wp:inline distT="0" distB="0" distL="0" distR="0">
            <wp:extent cx="5296535" cy="7219950"/>
            <wp:effectExtent l="0" t="0" r="0" b="0"/>
            <wp:docPr id="32" name="图片 32" descr="234588146a76bc8b41de5070147d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34588146a76bc8b41de5070147d3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96535" cy="7219950"/>
                    </a:xfrm>
                    <a:prstGeom prst="rect">
                      <a:avLst/>
                    </a:prstGeom>
                    <a:noFill/>
                    <a:ln>
                      <a:noFill/>
                    </a:ln>
                  </pic:spPr>
                </pic:pic>
              </a:graphicData>
            </a:graphic>
          </wp:inline>
        </w:drawing>
      </w:r>
    </w:p>
    <w:p>
      <w:pPr>
        <w:widowControl/>
        <w:spacing w:line="360" w:lineRule="auto"/>
        <w:rPr>
          <w:rFonts w:ascii="宋体" w:hAnsi="宋体"/>
          <w:b/>
          <w:kern w:val="44"/>
          <w:sz w:val="24"/>
        </w:rPr>
      </w:pPr>
    </w:p>
    <w:p>
      <w:pPr>
        <w:widowControl/>
        <w:spacing w:line="360" w:lineRule="auto"/>
        <w:rPr>
          <w:rFonts w:ascii="宋体" w:hAnsi="宋体"/>
          <w:b/>
          <w:kern w:val="44"/>
          <w:sz w:val="24"/>
        </w:rPr>
      </w:pPr>
      <w:r>
        <w:rPr>
          <w:rFonts w:ascii="宋体" w:hAnsi="宋体"/>
          <w:b/>
          <w:kern w:val="44"/>
          <w:sz w:val="24"/>
        </w:rPr>
        <w:drawing>
          <wp:inline distT="0" distB="0" distL="0" distR="0">
            <wp:extent cx="5284470" cy="6935470"/>
            <wp:effectExtent l="0" t="0" r="0" b="0"/>
            <wp:docPr id="33" name="图片 33" descr="6d31de7208ca7552f321dba908cd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d31de7208ca7552f321dba908cdbc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84470" cy="6935470"/>
                    </a:xfrm>
                    <a:prstGeom prst="rect">
                      <a:avLst/>
                    </a:prstGeom>
                    <a:noFill/>
                    <a:ln>
                      <a:noFill/>
                    </a:ln>
                  </pic:spPr>
                </pic:pic>
              </a:graphicData>
            </a:graphic>
          </wp:inline>
        </w:drawing>
      </w:r>
    </w:p>
    <w:p>
      <w:pPr>
        <w:widowControl/>
        <w:spacing w:line="360" w:lineRule="auto"/>
        <w:rPr>
          <w:rFonts w:ascii="宋体" w:hAnsi="宋体"/>
          <w:b/>
          <w:kern w:val="44"/>
          <w:sz w:val="24"/>
        </w:rPr>
      </w:pPr>
    </w:p>
    <w:p>
      <w:pPr>
        <w:widowControl/>
        <w:spacing w:line="360" w:lineRule="auto"/>
        <w:rPr>
          <w:rFonts w:ascii="宋体" w:hAnsi="宋体"/>
          <w:b/>
          <w:kern w:val="44"/>
          <w:sz w:val="24"/>
        </w:rPr>
        <w:sectPr>
          <w:pgSz w:w="11906" w:h="16838"/>
          <w:pgMar w:top="1440" w:right="1701" w:bottom="1361" w:left="1797" w:header="851" w:footer="992" w:gutter="0"/>
          <w:cols w:space="425" w:num="1"/>
          <w:docGrid w:linePitch="312" w:charSpace="0"/>
        </w:sectPr>
      </w:pPr>
      <w:r>
        <w:rPr>
          <w:rFonts w:ascii="宋体" w:hAnsi="宋体"/>
          <w:b/>
          <w:kern w:val="44"/>
          <w:sz w:val="24"/>
        </w:rPr>
        <w:drawing>
          <wp:inline distT="0" distB="0" distL="0" distR="0">
            <wp:extent cx="5344160" cy="7208520"/>
            <wp:effectExtent l="0" t="0" r="8890" b="0"/>
            <wp:docPr id="34" name="图片 34" descr="50a636e4360a7f5377ce352b9dff1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0a636e4360a7f5377ce352b9dff1c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344160" cy="7208520"/>
                    </a:xfrm>
                    <a:prstGeom prst="rect">
                      <a:avLst/>
                    </a:prstGeom>
                    <a:noFill/>
                    <a:ln>
                      <a:noFill/>
                    </a:ln>
                  </pic:spPr>
                </pic:pic>
              </a:graphicData>
            </a:graphic>
          </wp:inline>
        </w:drawing>
      </w:r>
    </w:p>
    <w:p>
      <w:pPr>
        <w:spacing w:line="360" w:lineRule="auto"/>
        <w:jc w:val="left"/>
        <w:rPr>
          <w:b/>
          <w:szCs w:val="21"/>
        </w:rPr>
      </w:pPr>
      <w:r>
        <w:rPr>
          <w:rFonts w:hint="eastAsia"/>
          <w:b/>
          <w:szCs w:val="21"/>
        </w:rPr>
        <w:t>合同附件</w:t>
      </w:r>
      <w:r>
        <w:rPr>
          <w:b/>
          <w:szCs w:val="21"/>
        </w:rPr>
        <w:t>4</w:t>
      </w:r>
      <w:r>
        <w:rPr>
          <w:rFonts w:hint="eastAsia"/>
          <w:b/>
          <w:szCs w:val="21"/>
        </w:rPr>
        <w:t>：</w:t>
      </w:r>
    </w:p>
    <w:p>
      <w:pPr>
        <w:spacing w:line="360" w:lineRule="auto"/>
        <w:jc w:val="center"/>
        <w:rPr>
          <w:rFonts w:ascii="等线" w:hAnsi="等线"/>
          <w:b/>
          <w:szCs w:val="21"/>
        </w:rPr>
      </w:pPr>
      <w:r>
        <w:rPr>
          <w:rFonts w:hint="eastAsia" w:ascii="等线" w:hAnsi="等线"/>
          <w:b/>
          <w:szCs w:val="21"/>
        </w:rPr>
        <w:t>生活垃圾收集运输管理规范</w:t>
      </w:r>
    </w:p>
    <w:p>
      <w:pPr>
        <w:adjustRightInd w:val="0"/>
        <w:snapToGrid w:val="0"/>
        <w:spacing w:line="360" w:lineRule="auto"/>
        <w:ind w:firstLine="422" w:firstLineChars="200"/>
        <w:rPr>
          <w:rFonts w:ascii="宋体" w:hAnsi="宋体"/>
          <w:b/>
          <w:szCs w:val="21"/>
        </w:rPr>
      </w:pPr>
      <w:r>
        <w:rPr>
          <w:rFonts w:ascii="宋体" w:hAnsi="宋体"/>
          <w:b/>
          <w:szCs w:val="21"/>
        </w:rPr>
        <w:t xml:space="preserve">1.范围 </w:t>
      </w:r>
    </w:p>
    <w:p>
      <w:pPr>
        <w:adjustRightInd w:val="0"/>
        <w:snapToGrid w:val="0"/>
        <w:spacing w:line="360" w:lineRule="auto"/>
        <w:ind w:firstLine="420" w:firstLineChars="200"/>
        <w:rPr>
          <w:rFonts w:ascii="宋体" w:hAnsi="宋体"/>
          <w:szCs w:val="21"/>
        </w:rPr>
      </w:pPr>
      <w:r>
        <w:rPr>
          <w:rFonts w:hint="eastAsia" w:ascii="宋体" w:hAnsi="宋体"/>
          <w:szCs w:val="21"/>
        </w:rPr>
        <w:t>本标准规定了生活垃圾收集运输过程中的基本要求、垃圾投放、垃圾收集和垃圾运输的管理要求。</w:t>
      </w:r>
      <w:r>
        <w:rPr>
          <w:rFonts w:ascii="宋体" w:hAnsi="宋体"/>
          <w:szCs w:val="21"/>
        </w:rPr>
        <w:t xml:space="preserve">  </w:t>
      </w:r>
    </w:p>
    <w:p>
      <w:pPr>
        <w:adjustRightInd w:val="0"/>
        <w:snapToGrid w:val="0"/>
        <w:spacing w:line="360" w:lineRule="auto"/>
        <w:ind w:firstLine="420" w:firstLineChars="200"/>
        <w:rPr>
          <w:rFonts w:ascii="宋体" w:hAnsi="宋体"/>
          <w:szCs w:val="21"/>
        </w:rPr>
      </w:pPr>
      <w:r>
        <w:rPr>
          <w:rFonts w:hint="eastAsia" w:ascii="宋体" w:hAnsi="宋体"/>
          <w:szCs w:val="21"/>
        </w:rPr>
        <w:t>本标准适用于生活垃圾收集运输管理。</w:t>
      </w:r>
      <w:r>
        <w:rPr>
          <w:rFonts w:ascii="宋体" w:hAnsi="宋体"/>
          <w:szCs w:val="21"/>
        </w:rPr>
        <w:t xml:space="preserve"> </w:t>
      </w:r>
    </w:p>
    <w:p>
      <w:pPr>
        <w:adjustRightInd w:val="0"/>
        <w:snapToGrid w:val="0"/>
        <w:spacing w:line="360" w:lineRule="auto"/>
        <w:ind w:firstLine="422" w:firstLineChars="200"/>
        <w:rPr>
          <w:rFonts w:ascii="宋体" w:hAnsi="宋体"/>
          <w:b/>
          <w:szCs w:val="21"/>
        </w:rPr>
      </w:pPr>
      <w:r>
        <w:rPr>
          <w:rFonts w:ascii="宋体" w:hAnsi="宋体"/>
          <w:b/>
          <w:szCs w:val="21"/>
        </w:rPr>
        <w:t xml:space="preserve">2.规范性引用文件 </w:t>
      </w:r>
    </w:p>
    <w:p>
      <w:pPr>
        <w:adjustRightInd w:val="0"/>
        <w:snapToGrid w:val="0"/>
        <w:spacing w:line="360" w:lineRule="auto"/>
        <w:ind w:firstLine="420" w:firstLineChars="200"/>
        <w:rPr>
          <w:rFonts w:ascii="宋体" w:hAnsi="宋体"/>
          <w:szCs w:val="21"/>
        </w:rPr>
      </w:pPr>
      <w:r>
        <w:rPr>
          <w:rFonts w:hint="eastAsia" w:ascii="宋体" w:hAnsi="宋体"/>
          <w:szCs w:val="21"/>
        </w:rPr>
        <w:t>下列文件中的条款通过本标准的引用而成为本标准的条款。</w:t>
      </w:r>
      <w:r>
        <w:rPr>
          <w:rFonts w:ascii="宋体" w:hAnsi="宋体"/>
          <w:szCs w:val="21"/>
        </w:rPr>
        <w:t xml:space="preserve"> 凡是注日期的引用文件， 其随后所有的修改单（不包括勘误的内容）或修订版均不适用于本标准，然而，鼓励根据本标准达成协议的各方研究是否可使用这些文件的最新版本。凡是不注日期的引用文件，其最新版本适用于本标准。 </w:t>
      </w:r>
    </w:p>
    <w:p>
      <w:pPr>
        <w:adjustRightInd w:val="0"/>
        <w:snapToGrid w:val="0"/>
        <w:spacing w:line="360" w:lineRule="auto"/>
        <w:ind w:firstLine="420" w:firstLineChars="200"/>
        <w:rPr>
          <w:rFonts w:ascii="宋体" w:hAnsi="宋体"/>
          <w:szCs w:val="21"/>
        </w:rPr>
      </w:pPr>
      <w:r>
        <w:rPr>
          <w:rFonts w:ascii="宋体" w:hAnsi="宋体"/>
          <w:szCs w:val="21"/>
        </w:rPr>
        <w:t xml:space="preserve">GB 12801  生产过程安全卫生要求总则 </w:t>
      </w:r>
    </w:p>
    <w:p>
      <w:pPr>
        <w:adjustRightInd w:val="0"/>
        <w:snapToGrid w:val="0"/>
        <w:spacing w:line="360" w:lineRule="auto"/>
        <w:ind w:firstLine="420" w:firstLineChars="200"/>
        <w:rPr>
          <w:rFonts w:ascii="宋体" w:hAnsi="宋体"/>
          <w:szCs w:val="21"/>
        </w:rPr>
      </w:pPr>
      <w:r>
        <w:rPr>
          <w:rFonts w:ascii="宋体" w:hAnsi="宋体"/>
          <w:szCs w:val="21"/>
        </w:rPr>
        <w:t xml:space="preserve">GB/T 19095  城市生活垃圾分类标志 </w:t>
      </w:r>
    </w:p>
    <w:p>
      <w:pPr>
        <w:adjustRightInd w:val="0"/>
        <w:snapToGrid w:val="0"/>
        <w:spacing w:line="360" w:lineRule="auto"/>
        <w:ind w:firstLine="420" w:firstLineChars="200"/>
        <w:rPr>
          <w:rFonts w:ascii="宋体" w:hAnsi="宋体"/>
          <w:szCs w:val="21"/>
        </w:rPr>
      </w:pPr>
      <w:r>
        <w:rPr>
          <w:rFonts w:ascii="宋体" w:hAnsi="宋体"/>
          <w:szCs w:val="21"/>
        </w:rPr>
        <w:t xml:space="preserve">CJ/T 84  垃圾车 </w:t>
      </w:r>
    </w:p>
    <w:p>
      <w:pPr>
        <w:adjustRightInd w:val="0"/>
        <w:snapToGrid w:val="0"/>
        <w:spacing w:line="360" w:lineRule="auto"/>
        <w:ind w:firstLine="420" w:firstLineChars="200"/>
        <w:rPr>
          <w:rFonts w:ascii="宋体" w:hAnsi="宋体"/>
          <w:szCs w:val="21"/>
        </w:rPr>
      </w:pPr>
      <w:r>
        <w:rPr>
          <w:rFonts w:ascii="宋体" w:hAnsi="宋体"/>
          <w:szCs w:val="21"/>
        </w:rPr>
        <w:t xml:space="preserve">CJ/T 127  压缩式垃圾车 </w:t>
      </w:r>
    </w:p>
    <w:p>
      <w:pPr>
        <w:adjustRightInd w:val="0"/>
        <w:snapToGrid w:val="0"/>
        <w:spacing w:line="360" w:lineRule="auto"/>
        <w:ind w:firstLine="420" w:firstLineChars="200"/>
        <w:rPr>
          <w:rFonts w:ascii="宋体" w:hAnsi="宋体"/>
          <w:szCs w:val="21"/>
        </w:rPr>
      </w:pPr>
      <w:r>
        <w:rPr>
          <w:rFonts w:ascii="宋体" w:hAnsi="宋体"/>
          <w:szCs w:val="21"/>
        </w:rPr>
        <w:t xml:space="preserve">CJJ/T 65-2004  市容环境卫生术语标准 </w:t>
      </w:r>
    </w:p>
    <w:p>
      <w:pPr>
        <w:adjustRightInd w:val="0"/>
        <w:snapToGrid w:val="0"/>
        <w:spacing w:line="360" w:lineRule="auto"/>
        <w:ind w:firstLine="420" w:firstLineChars="200"/>
        <w:rPr>
          <w:rFonts w:ascii="宋体" w:hAnsi="宋体"/>
          <w:szCs w:val="21"/>
        </w:rPr>
      </w:pPr>
      <w:r>
        <w:rPr>
          <w:rFonts w:ascii="宋体" w:hAnsi="宋体"/>
          <w:szCs w:val="21"/>
        </w:rPr>
        <w:t xml:space="preserve">CJJ/T 102  城市生活垃圾分类及其评价标准 </w:t>
      </w:r>
    </w:p>
    <w:p>
      <w:pPr>
        <w:adjustRightInd w:val="0"/>
        <w:snapToGrid w:val="0"/>
        <w:spacing w:line="360" w:lineRule="auto"/>
        <w:ind w:firstLine="422" w:firstLineChars="200"/>
        <w:rPr>
          <w:rFonts w:ascii="宋体" w:hAnsi="宋体"/>
          <w:b/>
          <w:szCs w:val="21"/>
        </w:rPr>
      </w:pPr>
      <w:r>
        <w:rPr>
          <w:rFonts w:ascii="宋体" w:hAnsi="宋体"/>
          <w:b/>
          <w:szCs w:val="21"/>
        </w:rPr>
        <w:t xml:space="preserve">3.术语与定义 </w:t>
      </w:r>
    </w:p>
    <w:p>
      <w:pPr>
        <w:adjustRightInd w:val="0"/>
        <w:snapToGrid w:val="0"/>
        <w:spacing w:line="360" w:lineRule="auto"/>
        <w:ind w:firstLine="420" w:firstLineChars="200"/>
        <w:rPr>
          <w:rFonts w:ascii="宋体" w:hAnsi="宋体"/>
          <w:szCs w:val="21"/>
        </w:rPr>
      </w:pPr>
      <w:r>
        <w:rPr>
          <w:rFonts w:hint="eastAsia" w:ascii="宋体" w:hAnsi="宋体"/>
          <w:szCs w:val="21"/>
        </w:rPr>
        <w:t>以下术语和定义适用于本标准，凡未在本标准定义的环卫术语按</w:t>
      </w:r>
      <w:r>
        <w:rPr>
          <w:rFonts w:ascii="宋体" w:hAnsi="宋体"/>
          <w:szCs w:val="21"/>
        </w:rPr>
        <w:t xml:space="preserve">CJJ/T 65-2004规定执行。 </w:t>
      </w:r>
    </w:p>
    <w:p>
      <w:pPr>
        <w:adjustRightInd w:val="0"/>
        <w:snapToGrid w:val="0"/>
        <w:spacing w:line="360" w:lineRule="auto"/>
        <w:ind w:firstLine="420" w:firstLineChars="200"/>
        <w:rPr>
          <w:rFonts w:ascii="宋体" w:hAnsi="宋体"/>
          <w:szCs w:val="21"/>
        </w:rPr>
      </w:pPr>
      <w:r>
        <w:rPr>
          <w:rFonts w:ascii="宋体" w:hAnsi="宋体"/>
          <w:szCs w:val="21"/>
        </w:rPr>
        <w:t xml:space="preserve">3.1 </w:t>
      </w:r>
      <w:r>
        <w:rPr>
          <w:rFonts w:hint="eastAsia" w:ascii="宋体" w:hAnsi="宋体"/>
          <w:szCs w:val="21"/>
        </w:rPr>
        <w:t>垃圾收集容器</w:t>
      </w:r>
      <w:r>
        <w:rPr>
          <w:rFonts w:ascii="宋体" w:hAnsi="宋体"/>
          <w:szCs w:val="21"/>
        </w:rPr>
        <w:t xml:space="preserve"> waste receptacles ,用于收集生活垃圾的容器，包括垃圾桶和垃圾箱。 </w:t>
      </w:r>
    </w:p>
    <w:p>
      <w:pPr>
        <w:adjustRightInd w:val="0"/>
        <w:snapToGrid w:val="0"/>
        <w:spacing w:line="360" w:lineRule="auto"/>
        <w:ind w:firstLine="420" w:firstLineChars="200"/>
        <w:rPr>
          <w:rFonts w:ascii="宋体" w:hAnsi="宋体"/>
          <w:szCs w:val="21"/>
        </w:rPr>
      </w:pPr>
      <w:r>
        <w:rPr>
          <w:rFonts w:ascii="宋体" w:hAnsi="宋体"/>
          <w:szCs w:val="21"/>
        </w:rPr>
        <w:t xml:space="preserve">3.2 </w:t>
      </w:r>
      <w:r>
        <w:rPr>
          <w:rFonts w:hint="eastAsia" w:ascii="宋体" w:hAnsi="宋体"/>
          <w:szCs w:val="21"/>
        </w:rPr>
        <w:t>垃圾收集站</w:t>
      </w:r>
      <w:r>
        <w:rPr>
          <w:rFonts w:ascii="宋体" w:hAnsi="宋体"/>
          <w:szCs w:val="21"/>
        </w:rPr>
        <w:t xml:space="preserve"> waste collection station ,将分散收集的垃圾集中后，由收集运输车运出去的小型垃圾收集设施，包括垃圾房、垃圾密闭式清洁站、地下箱站、小型垃圾中转站。 </w:t>
      </w:r>
    </w:p>
    <w:p>
      <w:pPr>
        <w:adjustRightInd w:val="0"/>
        <w:snapToGrid w:val="0"/>
        <w:spacing w:line="360" w:lineRule="auto"/>
        <w:ind w:firstLine="420" w:firstLineChars="200"/>
        <w:rPr>
          <w:rFonts w:ascii="宋体" w:hAnsi="宋体"/>
          <w:szCs w:val="21"/>
        </w:rPr>
      </w:pPr>
      <w:r>
        <w:rPr>
          <w:rFonts w:ascii="宋体" w:hAnsi="宋体"/>
          <w:szCs w:val="21"/>
        </w:rPr>
        <w:t xml:space="preserve">3.3 </w:t>
      </w:r>
      <w:r>
        <w:rPr>
          <w:rFonts w:hint="eastAsia" w:ascii="宋体" w:hAnsi="宋体"/>
          <w:szCs w:val="21"/>
        </w:rPr>
        <w:t>垃圾收集运输车</w:t>
      </w:r>
      <w:r>
        <w:rPr>
          <w:rFonts w:ascii="宋体" w:hAnsi="宋体"/>
          <w:szCs w:val="21"/>
        </w:rPr>
        <w:t xml:space="preserve"> trucks for waste collection and transportation ,用于收集、运输垃圾的车辆，包括机动和非机动车。   </w:t>
      </w:r>
    </w:p>
    <w:p>
      <w:pPr>
        <w:adjustRightInd w:val="0"/>
        <w:snapToGrid w:val="0"/>
        <w:spacing w:line="360" w:lineRule="auto"/>
        <w:ind w:firstLine="422" w:firstLineChars="200"/>
        <w:rPr>
          <w:rFonts w:ascii="宋体" w:hAnsi="宋体"/>
          <w:b/>
          <w:szCs w:val="21"/>
        </w:rPr>
      </w:pPr>
      <w:r>
        <w:rPr>
          <w:rFonts w:ascii="宋体" w:hAnsi="宋体"/>
          <w:b/>
          <w:szCs w:val="21"/>
        </w:rPr>
        <w:t xml:space="preserve">4.基本要求 </w:t>
      </w:r>
    </w:p>
    <w:p>
      <w:pPr>
        <w:adjustRightInd w:val="0"/>
        <w:snapToGrid w:val="0"/>
        <w:spacing w:line="360" w:lineRule="auto"/>
        <w:ind w:firstLine="420" w:firstLineChars="200"/>
        <w:rPr>
          <w:rFonts w:ascii="宋体" w:hAnsi="宋体"/>
          <w:szCs w:val="21"/>
        </w:rPr>
      </w:pPr>
      <w:r>
        <w:rPr>
          <w:rFonts w:ascii="宋体" w:hAnsi="宋体"/>
          <w:szCs w:val="21"/>
        </w:rPr>
        <w:t xml:space="preserve">4.1 收集运输企业要求 </w:t>
      </w:r>
    </w:p>
    <w:p>
      <w:pPr>
        <w:adjustRightInd w:val="0"/>
        <w:snapToGrid w:val="0"/>
        <w:spacing w:line="360" w:lineRule="auto"/>
        <w:ind w:firstLine="420" w:firstLineChars="200"/>
        <w:rPr>
          <w:rFonts w:ascii="宋体" w:hAnsi="宋体"/>
          <w:szCs w:val="21"/>
        </w:rPr>
      </w:pPr>
      <w:r>
        <w:rPr>
          <w:rFonts w:hint="eastAsia" w:ascii="宋体" w:hAnsi="宋体"/>
          <w:szCs w:val="21"/>
        </w:rPr>
        <w:t>生活垃圾收集运输作业单位应符合以下要求。</w:t>
      </w:r>
      <w:r>
        <w:rPr>
          <w:rFonts w:ascii="宋体" w:hAnsi="宋体"/>
          <w:szCs w:val="21"/>
        </w:rPr>
        <w:t xml:space="preserve"> </w:t>
      </w:r>
    </w:p>
    <w:p>
      <w:pPr>
        <w:adjustRightInd w:val="0"/>
        <w:snapToGrid w:val="0"/>
        <w:spacing w:line="360" w:lineRule="auto"/>
        <w:ind w:firstLine="420" w:firstLineChars="200"/>
        <w:rPr>
          <w:rFonts w:ascii="宋体" w:hAnsi="宋体"/>
          <w:szCs w:val="21"/>
        </w:rPr>
      </w:pPr>
      <w:r>
        <w:rPr>
          <w:rFonts w:ascii="宋体" w:hAnsi="宋体"/>
          <w:szCs w:val="21"/>
        </w:rPr>
        <w:t xml:space="preserve">4.1.1 具有经营资质，且具备的人员、设备和设施应符合北京市有关规定。 </w:t>
      </w:r>
    </w:p>
    <w:p>
      <w:pPr>
        <w:adjustRightInd w:val="0"/>
        <w:snapToGrid w:val="0"/>
        <w:spacing w:line="360" w:lineRule="auto"/>
        <w:ind w:firstLine="420" w:firstLineChars="200"/>
        <w:rPr>
          <w:rFonts w:ascii="宋体" w:hAnsi="宋体"/>
          <w:szCs w:val="21"/>
        </w:rPr>
      </w:pPr>
      <w:r>
        <w:rPr>
          <w:rFonts w:ascii="宋体" w:hAnsi="宋体"/>
          <w:szCs w:val="21"/>
        </w:rPr>
        <w:t xml:space="preserve">4.1.2 经北京市或区级环境卫生主管部门备案和审批后方可进行作业。 </w:t>
      </w:r>
    </w:p>
    <w:p>
      <w:pPr>
        <w:adjustRightInd w:val="0"/>
        <w:snapToGrid w:val="0"/>
        <w:spacing w:line="360" w:lineRule="auto"/>
        <w:ind w:firstLine="420" w:firstLineChars="200"/>
        <w:rPr>
          <w:rFonts w:ascii="宋体" w:hAnsi="宋体"/>
          <w:szCs w:val="21"/>
        </w:rPr>
      </w:pPr>
      <w:r>
        <w:rPr>
          <w:rFonts w:ascii="宋体" w:hAnsi="宋体"/>
          <w:szCs w:val="21"/>
        </w:rPr>
        <w:t xml:space="preserve">4.1.3 根据合同或协议，依据国家和北京市有关法律、法规和标准开展垃圾收集运输任务。 </w:t>
      </w:r>
    </w:p>
    <w:p>
      <w:pPr>
        <w:adjustRightInd w:val="0"/>
        <w:snapToGrid w:val="0"/>
        <w:spacing w:line="360" w:lineRule="auto"/>
        <w:ind w:firstLine="420" w:firstLineChars="200"/>
        <w:rPr>
          <w:rFonts w:ascii="宋体" w:hAnsi="宋体"/>
          <w:szCs w:val="21"/>
        </w:rPr>
      </w:pPr>
      <w:r>
        <w:rPr>
          <w:rFonts w:ascii="宋体" w:hAnsi="宋体"/>
          <w:szCs w:val="21"/>
        </w:rPr>
        <w:t xml:space="preserve">4.1.4 接受各级市容环境卫生主管部门的管理和监督。 </w:t>
      </w:r>
    </w:p>
    <w:p>
      <w:pPr>
        <w:adjustRightInd w:val="0"/>
        <w:snapToGrid w:val="0"/>
        <w:spacing w:line="360" w:lineRule="auto"/>
        <w:ind w:firstLine="420" w:firstLineChars="200"/>
        <w:rPr>
          <w:rFonts w:ascii="宋体" w:hAnsi="宋体"/>
          <w:szCs w:val="21"/>
        </w:rPr>
      </w:pPr>
      <w:r>
        <w:rPr>
          <w:rFonts w:ascii="宋体" w:hAnsi="宋体"/>
          <w:szCs w:val="21"/>
        </w:rPr>
        <w:t xml:space="preserve">4.1.5 安全运行应符合 GB 12801 的规定。 </w:t>
      </w:r>
    </w:p>
    <w:p>
      <w:pPr>
        <w:adjustRightInd w:val="0"/>
        <w:snapToGrid w:val="0"/>
        <w:spacing w:line="360" w:lineRule="auto"/>
        <w:ind w:firstLine="420" w:firstLineChars="200"/>
        <w:rPr>
          <w:rFonts w:ascii="宋体" w:hAnsi="宋体"/>
          <w:szCs w:val="21"/>
        </w:rPr>
      </w:pPr>
      <w:r>
        <w:rPr>
          <w:rFonts w:ascii="宋体" w:hAnsi="宋体"/>
          <w:szCs w:val="21"/>
        </w:rPr>
        <w:t xml:space="preserve">4.1.6 </w:t>
      </w:r>
      <w:r>
        <w:rPr>
          <w:rFonts w:hint="eastAsia" w:ascii="宋体" w:hAnsi="宋体"/>
          <w:szCs w:val="21"/>
        </w:rPr>
        <w:t>经营生活垃圾收集运输作业单位应具备下列保证措施。</w:t>
      </w:r>
    </w:p>
    <w:p>
      <w:pPr>
        <w:adjustRightInd w:val="0"/>
        <w:snapToGrid w:val="0"/>
        <w:spacing w:line="360" w:lineRule="auto"/>
        <w:ind w:firstLine="420" w:firstLineChars="200"/>
        <w:rPr>
          <w:rFonts w:ascii="宋体" w:hAnsi="宋体"/>
          <w:szCs w:val="21"/>
        </w:rPr>
      </w:pPr>
      <w:r>
        <w:rPr>
          <w:rFonts w:ascii="宋体" w:hAnsi="宋体"/>
          <w:szCs w:val="21"/>
        </w:rPr>
        <w:t xml:space="preserve">4.1.6.1 应有切实可行的环境卫生管理制度，保证在生活垃圾收集运输过程中达到本标准和北京市有关规定的要求。 </w:t>
      </w:r>
    </w:p>
    <w:p>
      <w:pPr>
        <w:adjustRightInd w:val="0"/>
        <w:snapToGrid w:val="0"/>
        <w:spacing w:line="360" w:lineRule="auto"/>
        <w:ind w:firstLine="420" w:firstLineChars="200"/>
        <w:rPr>
          <w:rFonts w:ascii="宋体" w:hAnsi="宋体"/>
          <w:szCs w:val="21"/>
        </w:rPr>
      </w:pPr>
      <w:r>
        <w:rPr>
          <w:rFonts w:ascii="宋体" w:hAnsi="宋体"/>
          <w:szCs w:val="21"/>
        </w:rPr>
        <w:t xml:space="preserve">4.1.6.2 建立环境卫生检查、抽查制度，建立各级领导负责制度，以及奖罚制度。 </w:t>
      </w:r>
    </w:p>
    <w:p>
      <w:pPr>
        <w:adjustRightInd w:val="0"/>
        <w:snapToGrid w:val="0"/>
        <w:spacing w:line="360" w:lineRule="auto"/>
        <w:ind w:firstLine="420" w:firstLineChars="200"/>
        <w:rPr>
          <w:rFonts w:ascii="宋体" w:hAnsi="宋体"/>
          <w:szCs w:val="21"/>
        </w:rPr>
      </w:pPr>
      <w:r>
        <w:rPr>
          <w:rFonts w:ascii="宋体" w:hAnsi="宋体"/>
          <w:szCs w:val="21"/>
        </w:rPr>
        <w:t xml:space="preserve">4.1.6.3 设有专职管理人员，负责环境卫生的检查和监督工作。 </w:t>
      </w:r>
    </w:p>
    <w:p>
      <w:pPr>
        <w:adjustRightInd w:val="0"/>
        <w:snapToGrid w:val="0"/>
        <w:spacing w:line="360" w:lineRule="auto"/>
        <w:ind w:firstLine="420" w:firstLineChars="200"/>
        <w:rPr>
          <w:rFonts w:ascii="宋体" w:hAnsi="宋体"/>
          <w:szCs w:val="21"/>
        </w:rPr>
      </w:pPr>
      <w:r>
        <w:rPr>
          <w:rFonts w:ascii="宋体" w:hAnsi="宋体"/>
          <w:szCs w:val="21"/>
        </w:rPr>
        <w:t xml:space="preserve">4.1.6.4 制定各类工种人员的岗位责任制，组织、开展职工技术培训、岗位培训和安全生产培训。 </w:t>
      </w:r>
    </w:p>
    <w:p>
      <w:pPr>
        <w:adjustRightInd w:val="0"/>
        <w:snapToGrid w:val="0"/>
        <w:spacing w:line="360" w:lineRule="auto"/>
        <w:ind w:firstLine="420" w:firstLineChars="200"/>
        <w:rPr>
          <w:rFonts w:ascii="宋体" w:hAnsi="宋体"/>
          <w:szCs w:val="21"/>
        </w:rPr>
      </w:pPr>
      <w:r>
        <w:rPr>
          <w:rFonts w:ascii="宋体" w:hAnsi="宋体"/>
          <w:szCs w:val="21"/>
        </w:rPr>
        <w:t xml:space="preserve">4.1.6.5 建立运营管理和相关工作程序文件，建立和完善垃圾收集运输设备、车辆的使用、保养和维修等相关文件。 </w:t>
      </w:r>
    </w:p>
    <w:p>
      <w:pPr>
        <w:adjustRightInd w:val="0"/>
        <w:snapToGrid w:val="0"/>
        <w:spacing w:line="360" w:lineRule="auto"/>
        <w:ind w:firstLine="420" w:firstLineChars="200"/>
        <w:rPr>
          <w:rFonts w:ascii="宋体" w:hAnsi="宋体"/>
          <w:szCs w:val="21"/>
        </w:rPr>
      </w:pPr>
      <w:r>
        <w:rPr>
          <w:rFonts w:ascii="宋体" w:hAnsi="宋体"/>
          <w:szCs w:val="21"/>
        </w:rPr>
        <w:t xml:space="preserve">4.2 设备、设施要求  </w:t>
      </w:r>
    </w:p>
    <w:p>
      <w:pPr>
        <w:adjustRightInd w:val="0"/>
        <w:snapToGrid w:val="0"/>
        <w:spacing w:line="360" w:lineRule="auto"/>
        <w:ind w:firstLine="420" w:firstLineChars="200"/>
        <w:rPr>
          <w:rFonts w:ascii="宋体" w:hAnsi="宋体"/>
          <w:szCs w:val="21"/>
        </w:rPr>
      </w:pPr>
      <w:r>
        <w:rPr>
          <w:rFonts w:ascii="宋体" w:hAnsi="宋体"/>
          <w:szCs w:val="21"/>
        </w:rPr>
        <w:t xml:space="preserve">4.2.1 一般要求 </w:t>
      </w:r>
    </w:p>
    <w:p>
      <w:pPr>
        <w:adjustRightInd w:val="0"/>
        <w:snapToGrid w:val="0"/>
        <w:spacing w:line="360" w:lineRule="auto"/>
        <w:ind w:firstLine="420" w:firstLineChars="200"/>
        <w:rPr>
          <w:rFonts w:ascii="宋体" w:hAnsi="宋体"/>
          <w:szCs w:val="21"/>
        </w:rPr>
      </w:pPr>
      <w:r>
        <w:rPr>
          <w:rFonts w:ascii="宋体" w:hAnsi="宋体"/>
          <w:szCs w:val="21"/>
        </w:rPr>
        <w:t xml:space="preserve">4.2.1.1 经营生活垃圾收集运输作业单位有责任选用新设备、新工艺和新设施，不断更新设备、工艺和设施，淘汰落后的设备、工艺和设施，以适应北京市不断发展的需要。 </w:t>
      </w:r>
    </w:p>
    <w:p>
      <w:pPr>
        <w:adjustRightInd w:val="0"/>
        <w:snapToGrid w:val="0"/>
        <w:spacing w:line="360" w:lineRule="auto"/>
        <w:ind w:firstLine="420" w:firstLineChars="200"/>
        <w:rPr>
          <w:rFonts w:ascii="宋体" w:hAnsi="宋体"/>
          <w:szCs w:val="21"/>
        </w:rPr>
      </w:pPr>
      <w:r>
        <w:rPr>
          <w:rFonts w:ascii="宋体" w:hAnsi="宋体"/>
          <w:szCs w:val="21"/>
        </w:rPr>
        <w:t xml:space="preserve">4.2.1.2 对正在使用的垃圾收集运输车辆和设备应建立必要的检测和淘汰制度，对影响市容、市貌、无法保证不遗洒垃圾和污水的垃圾收集运输车辆和设备应逐渐淘汰。 </w:t>
      </w:r>
    </w:p>
    <w:p>
      <w:pPr>
        <w:adjustRightInd w:val="0"/>
        <w:snapToGrid w:val="0"/>
        <w:spacing w:line="360" w:lineRule="auto"/>
        <w:ind w:firstLine="420" w:firstLineChars="200"/>
        <w:rPr>
          <w:rFonts w:ascii="宋体" w:hAnsi="宋体"/>
          <w:szCs w:val="21"/>
        </w:rPr>
      </w:pPr>
      <w:r>
        <w:rPr>
          <w:rFonts w:ascii="宋体" w:hAnsi="宋体"/>
          <w:szCs w:val="21"/>
        </w:rPr>
        <w:t xml:space="preserve">4.2.1.3 新的垃圾收集运输车辆和设备首次投入使用， 应经过北京市或区县环境卫生主管部门的批准。  </w:t>
      </w:r>
    </w:p>
    <w:p>
      <w:pPr>
        <w:adjustRightInd w:val="0"/>
        <w:snapToGrid w:val="0"/>
        <w:spacing w:line="360" w:lineRule="auto"/>
        <w:ind w:firstLine="420" w:firstLineChars="200"/>
        <w:rPr>
          <w:rFonts w:ascii="宋体" w:hAnsi="宋体"/>
          <w:szCs w:val="21"/>
        </w:rPr>
      </w:pPr>
      <w:r>
        <w:rPr>
          <w:rFonts w:ascii="宋体" w:hAnsi="宋体"/>
          <w:szCs w:val="21"/>
        </w:rPr>
        <w:t xml:space="preserve">4.2.1.4 新投入运营的垃圾收集运输车应符合 CJ/T 84 的规定。 </w:t>
      </w:r>
    </w:p>
    <w:p>
      <w:pPr>
        <w:adjustRightInd w:val="0"/>
        <w:snapToGrid w:val="0"/>
        <w:spacing w:line="360" w:lineRule="auto"/>
        <w:ind w:firstLine="420" w:firstLineChars="200"/>
        <w:rPr>
          <w:rFonts w:ascii="宋体" w:hAnsi="宋体"/>
          <w:szCs w:val="21"/>
        </w:rPr>
      </w:pPr>
      <w:r>
        <w:rPr>
          <w:rFonts w:ascii="宋体" w:hAnsi="宋体"/>
          <w:szCs w:val="21"/>
        </w:rPr>
        <w:t xml:space="preserve">4.2.1.5 新投入运营的压缩式垃圾收集运输车应符合 CJ/T 127 的规定。 </w:t>
      </w:r>
    </w:p>
    <w:p>
      <w:pPr>
        <w:adjustRightInd w:val="0"/>
        <w:snapToGrid w:val="0"/>
        <w:spacing w:line="360" w:lineRule="auto"/>
        <w:ind w:firstLine="420" w:firstLineChars="200"/>
        <w:rPr>
          <w:rFonts w:ascii="宋体" w:hAnsi="宋体"/>
          <w:szCs w:val="21"/>
        </w:rPr>
      </w:pPr>
      <w:r>
        <w:rPr>
          <w:rFonts w:ascii="宋体" w:hAnsi="宋体"/>
          <w:szCs w:val="21"/>
        </w:rPr>
        <w:t xml:space="preserve">4.2.1.6 新投入运营的垃圾收集运输车应设有防垃圾和污水遗洒的机构或装置，保证垃圾和污水在收运过程中不遗洒。 </w:t>
      </w:r>
    </w:p>
    <w:p>
      <w:pPr>
        <w:adjustRightInd w:val="0"/>
        <w:snapToGrid w:val="0"/>
        <w:spacing w:line="360" w:lineRule="auto"/>
        <w:ind w:firstLine="420" w:firstLineChars="200"/>
        <w:rPr>
          <w:rFonts w:ascii="宋体" w:hAnsi="宋体"/>
          <w:szCs w:val="21"/>
        </w:rPr>
      </w:pPr>
      <w:r>
        <w:rPr>
          <w:rFonts w:ascii="宋体" w:hAnsi="宋体"/>
          <w:szCs w:val="21"/>
        </w:rPr>
        <w:t xml:space="preserve">4.2.2 管理要求  </w:t>
      </w:r>
    </w:p>
    <w:p>
      <w:pPr>
        <w:adjustRightInd w:val="0"/>
        <w:snapToGrid w:val="0"/>
        <w:spacing w:line="360" w:lineRule="auto"/>
        <w:ind w:firstLine="420" w:firstLineChars="200"/>
        <w:rPr>
          <w:rFonts w:ascii="宋体" w:hAnsi="宋体"/>
          <w:szCs w:val="21"/>
        </w:rPr>
      </w:pPr>
      <w:r>
        <w:rPr>
          <w:rFonts w:ascii="宋体" w:hAnsi="宋体"/>
          <w:szCs w:val="21"/>
        </w:rPr>
        <w:t xml:space="preserve">4.2.2.1  建立设备、车辆台帐制度，主要内容包括：车辆型号、购置时间、主要部件、易损件、备件名称（规格、型号、数量）、工作情况、保养和维修情况等。 </w:t>
      </w:r>
    </w:p>
    <w:p>
      <w:pPr>
        <w:adjustRightInd w:val="0"/>
        <w:snapToGrid w:val="0"/>
        <w:spacing w:line="360" w:lineRule="auto"/>
        <w:ind w:firstLine="420" w:firstLineChars="200"/>
        <w:rPr>
          <w:rFonts w:ascii="宋体" w:hAnsi="宋体"/>
          <w:szCs w:val="21"/>
        </w:rPr>
      </w:pPr>
      <w:r>
        <w:rPr>
          <w:rFonts w:ascii="宋体" w:hAnsi="宋体"/>
          <w:szCs w:val="21"/>
        </w:rPr>
        <w:t xml:space="preserve">4.2.2.2 建立设备、车辆运行记录制度，主要内容包括：能耗、开始和停止工作时间、故障情况等。 </w:t>
      </w:r>
    </w:p>
    <w:p>
      <w:pPr>
        <w:adjustRightInd w:val="0"/>
        <w:snapToGrid w:val="0"/>
        <w:spacing w:line="360" w:lineRule="auto"/>
        <w:ind w:firstLine="420" w:firstLineChars="200"/>
        <w:rPr>
          <w:rFonts w:ascii="宋体" w:hAnsi="宋体"/>
          <w:szCs w:val="21"/>
        </w:rPr>
      </w:pPr>
      <w:r>
        <w:rPr>
          <w:rFonts w:ascii="宋体" w:hAnsi="宋体"/>
          <w:szCs w:val="21"/>
        </w:rPr>
        <w:t xml:space="preserve">4.2.2.3 建立设备、车辆维修、保养、年检和故障排除制度，确保按时、按质完成垃圾的收集运输任务。 </w:t>
      </w:r>
    </w:p>
    <w:p>
      <w:pPr>
        <w:adjustRightInd w:val="0"/>
        <w:snapToGrid w:val="0"/>
        <w:spacing w:line="360" w:lineRule="auto"/>
        <w:ind w:firstLine="420" w:firstLineChars="200"/>
        <w:rPr>
          <w:rFonts w:ascii="宋体" w:hAnsi="宋体"/>
          <w:szCs w:val="21"/>
        </w:rPr>
      </w:pPr>
      <w:r>
        <w:rPr>
          <w:rFonts w:ascii="宋体" w:hAnsi="宋体"/>
          <w:szCs w:val="21"/>
        </w:rPr>
        <w:t xml:space="preserve">4.3 信息要求 </w:t>
      </w:r>
    </w:p>
    <w:p>
      <w:pPr>
        <w:adjustRightInd w:val="0"/>
        <w:snapToGrid w:val="0"/>
        <w:spacing w:line="360" w:lineRule="auto"/>
        <w:ind w:firstLine="420" w:firstLineChars="200"/>
        <w:rPr>
          <w:rFonts w:ascii="宋体" w:hAnsi="宋体"/>
          <w:szCs w:val="21"/>
        </w:rPr>
      </w:pPr>
      <w:r>
        <w:rPr>
          <w:rFonts w:ascii="宋体" w:hAnsi="宋体"/>
          <w:szCs w:val="21"/>
        </w:rPr>
        <w:t xml:space="preserve">4.3.1 垃圾收集运输企业应按有关规定做好记录、备份、报送等项工作。 </w:t>
      </w:r>
    </w:p>
    <w:p>
      <w:pPr>
        <w:adjustRightInd w:val="0"/>
        <w:snapToGrid w:val="0"/>
        <w:spacing w:line="360" w:lineRule="auto"/>
        <w:ind w:firstLine="420" w:firstLineChars="200"/>
        <w:rPr>
          <w:rFonts w:ascii="宋体" w:hAnsi="宋体"/>
          <w:szCs w:val="21"/>
        </w:rPr>
      </w:pPr>
      <w:r>
        <w:rPr>
          <w:rFonts w:ascii="宋体" w:hAnsi="宋体"/>
          <w:szCs w:val="21"/>
        </w:rPr>
        <w:t xml:space="preserve">4.3.2 信息数据的收集、整理和报送应及时、准确、完整，不得虚报、瞒报和迟报或伪造篡改。 </w:t>
      </w:r>
    </w:p>
    <w:p>
      <w:pPr>
        <w:adjustRightInd w:val="0"/>
        <w:snapToGrid w:val="0"/>
        <w:spacing w:line="360" w:lineRule="auto"/>
        <w:ind w:firstLine="420" w:firstLineChars="200"/>
        <w:rPr>
          <w:rFonts w:ascii="宋体" w:hAnsi="宋体"/>
          <w:szCs w:val="21"/>
        </w:rPr>
      </w:pPr>
      <w:r>
        <w:rPr>
          <w:rFonts w:ascii="宋体" w:hAnsi="宋体"/>
          <w:szCs w:val="21"/>
        </w:rPr>
        <w:t xml:space="preserve">4.3.3 </w:t>
      </w:r>
      <w:r>
        <w:rPr>
          <w:rFonts w:hint="eastAsia" w:ascii="宋体" w:hAnsi="宋体"/>
          <w:szCs w:val="21"/>
        </w:rPr>
        <w:t>建立“运行工作日志”制度，日志内容主要包括：垃圾收运量、设备维修保养、设备运行状况等。</w:t>
      </w:r>
      <w:r>
        <w:rPr>
          <w:rFonts w:ascii="宋体" w:hAnsi="宋体"/>
          <w:szCs w:val="21"/>
        </w:rPr>
        <w:t xml:space="preserve"> </w:t>
      </w:r>
    </w:p>
    <w:p>
      <w:pPr>
        <w:adjustRightInd w:val="0"/>
        <w:snapToGrid w:val="0"/>
        <w:spacing w:line="360" w:lineRule="auto"/>
        <w:ind w:firstLine="420" w:firstLineChars="200"/>
        <w:rPr>
          <w:rFonts w:ascii="宋体" w:hAnsi="宋体"/>
          <w:szCs w:val="21"/>
        </w:rPr>
      </w:pPr>
      <w:r>
        <w:rPr>
          <w:rFonts w:ascii="宋体" w:hAnsi="宋体"/>
          <w:szCs w:val="21"/>
        </w:rPr>
        <w:t xml:space="preserve">4.3.4 按时向行政主管部门提交垃圾收集运输情况年度报告，主要内容包括：作业量、工艺、设备、人员和成本等。 </w:t>
      </w:r>
    </w:p>
    <w:p>
      <w:pPr>
        <w:adjustRightInd w:val="0"/>
        <w:snapToGrid w:val="0"/>
        <w:spacing w:line="360" w:lineRule="auto"/>
        <w:ind w:firstLine="422" w:firstLineChars="200"/>
        <w:rPr>
          <w:rFonts w:ascii="宋体" w:hAnsi="宋体"/>
          <w:b/>
          <w:szCs w:val="21"/>
        </w:rPr>
      </w:pPr>
      <w:r>
        <w:rPr>
          <w:rFonts w:ascii="宋体" w:hAnsi="宋体"/>
          <w:b/>
          <w:szCs w:val="21"/>
        </w:rPr>
        <w:t xml:space="preserve">5.垃圾投放 </w:t>
      </w:r>
    </w:p>
    <w:p>
      <w:pPr>
        <w:adjustRightInd w:val="0"/>
        <w:snapToGrid w:val="0"/>
        <w:spacing w:line="360" w:lineRule="auto"/>
        <w:ind w:firstLine="420" w:firstLineChars="200"/>
        <w:rPr>
          <w:rFonts w:ascii="宋体" w:hAnsi="宋体"/>
          <w:szCs w:val="21"/>
        </w:rPr>
      </w:pPr>
      <w:r>
        <w:rPr>
          <w:rFonts w:ascii="宋体" w:hAnsi="宋体"/>
          <w:szCs w:val="21"/>
        </w:rPr>
        <w:t xml:space="preserve">5.1 逐步推行生活垃圾分类收集、运输和处理，分类标志应符合 GB/T 19095 的规定，垃圾分类应符合CJJ/T 102 的规定。 </w:t>
      </w:r>
    </w:p>
    <w:p>
      <w:pPr>
        <w:adjustRightInd w:val="0"/>
        <w:snapToGrid w:val="0"/>
        <w:spacing w:line="360" w:lineRule="auto"/>
        <w:ind w:firstLine="420" w:firstLineChars="200"/>
        <w:rPr>
          <w:rFonts w:ascii="宋体" w:hAnsi="宋体"/>
          <w:szCs w:val="21"/>
        </w:rPr>
      </w:pPr>
      <w:r>
        <w:rPr>
          <w:rFonts w:ascii="宋体" w:hAnsi="宋体"/>
          <w:szCs w:val="21"/>
        </w:rPr>
        <w:t xml:space="preserve">5.2 生活垃圾产生者应按当地规定的时间、地点等要求，将生活垃圾倒入垃圾收集容器中或者指定的生活垃圾收集场所。实行分类收集的区域，应按规定分类的要求，将生活垃圾投入相应的收集容器中。  </w:t>
      </w:r>
    </w:p>
    <w:p>
      <w:pPr>
        <w:adjustRightInd w:val="0"/>
        <w:snapToGrid w:val="0"/>
        <w:spacing w:line="360" w:lineRule="auto"/>
        <w:ind w:firstLine="420" w:firstLineChars="200"/>
        <w:rPr>
          <w:rFonts w:ascii="宋体" w:hAnsi="宋体"/>
          <w:szCs w:val="21"/>
        </w:rPr>
      </w:pPr>
      <w:r>
        <w:rPr>
          <w:rFonts w:ascii="宋体" w:hAnsi="宋体"/>
          <w:szCs w:val="21"/>
        </w:rPr>
        <w:t xml:space="preserve">5.3 单位和个人应遵守生活垃圾投放规定，不得乱倒、乱丢生活垃圾，不得将有害垃圾混入生活垃圾中。 </w:t>
      </w:r>
    </w:p>
    <w:p>
      <w:pPr>
        <w:adjustRightInd w:val="0"/>
        <w:snapToGrid w:val="0"/>
        <w:spacing w:line="360" w:lineRule="auto"/>
        <w:ind w:firstLine="420" w:firstLineChars="200"/>
        <w:rPr>
          <w:rFonts w:ascii="宋体" w:hAnsi="宋体"/>
          <w:szCs w:val="21"/>
        </w:rPr>
      </w:pPr>
      <w:r>
        <w:rPr>
          <w:rFonts w:ascii="宋体" w:hAnsi="宋体"/>
          <w:szCs w:val="21"/>
        </w:rPr>
        <w:t xml:space="preserve">5.4 单位和组织应自行设置密闭式垃圾收集容器用于投放产生的生活垃圾，垃圾不得裸露堆放。 </w:t>
      </w:r>
    </w:p>
    <w:p>
      <w:pPr>
        <w:adjustRightInd w:val="0"/>
        <w:snapToGrid w:val="0"/>
        <w:spacing w:line="360" w:lineRule="auto"/>
        <w:ind w:firstLine="420" w:firstLineChars="200"/>
        <w:rPr>
          <w:rFonts w:ascii="宋体" w:hAnsi="宋体"/>
          <w:szCs w:val="21"/>
        </w:rPr>
      </w:pPr>
      <w:r>
        <w:rPr>
          <w:rFonts w:ascii="宋体" w:hAnsi="宋体"/>
          <w:szCs w:val="21"/>
        </w:rPr>
        <w:t xml:space="preserve">5.5 公共交通工具上的垃圾，应由运营单位自行收集，按规定存放。 </w:t>
      </w:r>
    </w:p>
    <w:p>
      <w:pPr>
        <w:adjustRightInd w:val="0"/>
        <w:snapToGrid w:val="0"/>
        <w:spacing w:line="360" w:lineRule="auto"/>
        <w:ind w:firstLine="422" w:firstLineChars="200"/>
        <w:rPr>
          <w:rFonts w:ascii="宋体" w:hAnsi="宋体"/>
          <w:b/>
          <w:szCs w:val="21"/>
        </w:rPr>
      </w:pPr>
      <w:r>
        <w:rPr>
          <w:rFonts w:ascii="宋体" w:hAnsi="宋体"/>
          <w:b/>
          <w:szCs w:val="21"/>
        </w:rPr>
        <w:t xml:space="preserve">6.垃圾收集 </w:t>
      </w:r>
    </w:p>
    <w:p>
      <w:pPr>
        <w:adjustRightInd w:val="0"/>
        <w:snapToGrid w:val="0"/>
        <w:spacing w:line="360" w:lineRule="auto"/>
        <w:ind w:firstLine="420" w:firstLineChars="200"/>
        <w:rPr>
          <w:rFonts w:ascii="宋体" w:hAnsi="宋体"/>
          <w:szCs w:val="21"/>
        </w:rPr>
      </w:pPr>
      <w:r>
        <w:rPr>
          <w:rFonts w:ascii="宋体" w:hAnsi="宋体"/>
          <w:szCs w:val="21"/>
        </w:rPr>
        <w:t xml:space="preserve">6.1 </w:t>
      </w:r>
      <w:r>
        <w:rPr>
          <w:rFonts w:hint="eastAsia" w:ascii="宋体" w:hAnsi="宋体"/>
          <w:szCs w:val="21"/>
        </w:rPr>
        <w:t>基本要求</w:t>
      </w:r>
    </w:p>
    <w:p>
      <w:pPr>
        <w:adjustRightInd w:val="0"/>
        <w:snapToGrid w:val="0"/>
        <w:spacing w:line="360" w:lineRule="auto"/>
        <w:ind w:firstLine="420" w:firstLineChars="200"/>
        <w:rPr>
          <w:rFonts w:ascii="宋体" w:hAnsi="宋体"/>
          <w:szCs w:val="21"/>
        </w:rPr>
      </w:pPr>
      <w:r>
        <w:rPr>
          <w:rFonts w:ascii="宋体" w:hAnsi="宋体"/>
          <w:szCs w:val="21"/>
        </w:rPr>
        <w:t xml:space="preserve">6.1.1 生活垃圾应密闭收集运输，防止造成环境污染。 </w:t>
      </w:r>
    </w:p>
    <w:p>
      <w:pPr>
        <w:adjustRightInd w:val="0"/>
        <w:snapToGrid w:val="0"/>
        <w:spacing w:line="360" w:lineRule="auto"/>
        <w:ind w:firstLine="420" w:firstLineChars="200"/>
        <w:rPr>
          <w:rFonts w:ascii="宋体" w:hAnsi="宋体"/>
          <w:szCs w:val="21"/>
        </w:rPr>
      </w:pPr>
      <w:r>
        <w:rPr>
          <w:rFonts w:ascii="宋体" w:hAnsi="宋体"/>
          <w:szCs w:val="21"/>
        </w:rPr>
        <w:t xml:space="preserve">6.1.2 居民区管理部门、单位和组织应设有专人负责垃圾收集运输工作，制定规章制度和保证措施，监督检查辖区生活垃圾收集运输工作。 </w:t>
      </w:r>
    </w:p>
    <w:p>
      <w:pPr>
        <w:adjustRightInd w:val="0"/>
        <w:snapToGrid w:val="0"/>
        <w:spacing w:line="360" w:lineRule="auto"/>
        <w:ind w:firstLine="420" w:firstLineChars="200"/>
        <w:rPr>
          <w:rFonts w:ascii="宋体" w:hAnsi="宋体"/>
          <w:szCs w:val="21"/>
        </w:rPr>
      </w:pPr>
      <w:r>
        <w:rPr>
          <w:rFonts w:ascii="宋体" w:hAnsi="宋体"/>
          <w:szCs w:val="21"/>
        </w:rPr>
        <w:t xml:space="preserve">6.1.3 居民区管理部门、单位和组织应开展生活垃圾分类收集工作。 </w:t>
      </w:r>
    </w:p>
    <w:p>
      <w:pPr>
        <w:adjustRightInd w:val="0"/>
        <w:snapToGrid w:val="0"/>
        <w:spacing w:line="360" w:lineRule="auto"/>
        <w:ind w:firstLine="420" w:firstLineChars="200"/>
        <w:rPr>
          <w:rFonts w:ascii="宋体" w:hAnsi="宋体"/>
          <w:szCs w:val="21"/>
        </w:rPr>
      </w:pPr>
      <w:r>
        <w:rPr>
          <w:rFonts w:ascii="宋体" w:hAnsi="宋体"/>
          <w:szCs w:val="21"/>
        </w:rPr>
        <w:t xml:space="preserve">6.1.4 垃圾收集人员应做好垃圾收集记录。 </w:t>
      </w:r>
    </w:p>
    <w:p>
      <w:pPr>
        <w:adjustRightInd w:val="0"/>
        <w:snapToGrid w:val="0"/>
        <w:spacing w:line="360" w:lineRule="auto"/>
        <w:ind w:firstLine="420" w:firstLineChars="200"/>
        <w:rPr>
          <w:rFonts w:ascii="宋体" w:hAnsi="宋体"/>
          <w:szCs w:val="21"/>
        </w:rPr>
      </w:pPr>
      <w:r>
        <w:rPr>
          <w:rFonts w:ascii="宋体" w:hAnsi="宋体"/>
          <w:szCs w:val="21"/>
        </w:rPr>
        <w:t xml:space="preserve">6.2 固定收集 </w:t>
      </w:r>
    </w:p>
    <w:p>
      <w:pPr>
        <w:adjustRightInd w:val="0"/>
        <w:snapToGrid w:val="0"/>
        <w:spacing w:line="360" w:lineRule="auto"/>
        <w:ind w:firstLine="420" w:firstLineChars="200"/>
        <w:rPr>
          <w:rFonts w:ascii="宋体" w:hAnsi="宋体"/>
          <w:szCs w:val="21"/>
        </w:rPr>
      </w:pPr>
      <w:r>
        <w:rPr>
          <w:rFonts w:hint="eastAsia" w:ascii="宋体" w:hAnsi="宋体"/>
          <w:szCs w:val="21"/>
        </w:rPr>
        <w:t>固定收集包括收集容器和收集站二种收集方式。</w:t>
      </w:r>
      <w:r>
        <w:rPr>
          <w:rFonts w:ascii="宋体" w:hAnsi="宋体"/>
          <w:szCs w:val="21"/>
        </w:rPr>
        <w:t xml:space="preserve"> </w:t>
      </w:r>
    </w:p>
    <w:p>
      <w:pPr>
        <w:adjustRightInd w:val="0"/>
        <w:snapToGrid w:val="0"/>
        <w:spacing w:line="360" w:lineRule="auto"/>
        <w:ind w:firstLine="420" w:firstLineChars="200"/>
        <w:rPr>
          <w:rFonts w:ascii="宋体" w:hAnsi="宋体"/>
          <w:szCs w:val="21"/>
        </w:rPr>
      </w:pPr>
      <w:r>
        <w:rPr>
          <w:rFonts w:ascii="宋体" w:hAnsi="宋体"/>
          <w:szCs w:val="21"/>
        </w:rPr>
        <w:t xml:space="preserve">6.2.1 垃圾收集容器 </w:t>
      </w:r>
    </w:p>
    <w:p>
      <w:pPr>
        <w:adjustRightInd w:val="0"/>
        <w:snapToGrid w:val="0"/>
        <w:spacing w:line="360" w:lineRule="auto"/>
        <w:ind w:firstLine="420" w:firstLineChars="200"/>
        <w:rPr>
          <w:rFonts w:ascii="宋体" w:hAnsi="宋体"/>
          <w:szCs w:val="21"/>
        </w:rPr>
      </w:pPr>
      <w:r>
        <w:rPr>
          <w:rFonts w:ascii="宋体" w:hAnsi="宋体"/>
          <w:szCs w:val="21"/>
        </w:rPr>
        <w:t xml:space="preserve">6.2.1.1 垃圾收集容器内的垃圾应及时清除，不得满溢和散落，外体干净。 </w:t>
      </w:r>
    </w:p>
    <w:p>
      <w:pPr>
        <w:adjustRightInd w:val="0"/>
        <w:snapToGrid w:val="0"/>
        <w:spacing w:line="360" w:lineRule="auto"/>
        <w:ind w:firstLine="420" w:firstLineChars="200"/>
        <w:rPr>
          <w:rFonts w:ascii="宋体" w:hAnsi="宋体"/>
          <w:szCs w:val="21"/>
        </w:rPr>
      </w:pPr>
      <w:r>
        <w:rPr>
          <w:rFonts w:ascii="宋体" w:hAnsi="宋体"/>
          <w:szCs w:val="21"/>
        </w:rPr>
        <w:t xml:space="preserve">6.2.1.2 垃圾收集容器周围 3 米内应整洁，无存留垃圾和污水，周围无明显异味。 </w:t>
      </w:r>
    </w:p>
    <w:p>
      <w:pPr>
        <w:adjustRightInd w:val="0"/>
        <w:snapToGrid w:val="0"/>
        <w:spacing w:line="360" w:lineRule="auto"/>
        <w:ind w:firstLine="420" w:firstLineChars="200"/>
        <w:rPr>
          <w:rFonts w:ascii="宋体" w:hAnsi="宋体"/>
          <w:szCs w:val="21"/>
        </w:rPr>
      </w:pPr>
      <w:r>
        <w:rPr>
          <w:rFonts w:ascii="宋体" w:hAnsi="宋体"/>
          <w:szCs w:val="21"/>
        </w:rPr>
        <w:t xml:space="preserve">6.2.1.3 垃圾收集容器应定位设置，摆放整齐。 </w:t>
      </w:r>
    </w:p>
    <w:p>
      <w:pPr>
        <w:adjustRightInd w:val="0"/>
        <w:snapToGrid w:val="0"/>
        <w:spacing w:line="360" w:lineRule="auto"/>
        <w:ind w:firstLine="420" w:firstLineChars="200"/>
        <w:rPr>
          <w:rFonts w:ascii="宋体" w:hAnsi="宋体"/>
          <w:szCs w:val="21"/>
        </w:rPr>
      </w:pPr>
      <w:r>
        <w:rPr>
          <w:rFonts w:ascii="宋体" w:hAnsi="宋体"/>
          <w:szCs w:val="21"/>
        </w:rPr>
        <w:t xml:space="preserve">6.2.1.4 垃圾收集容器应按时清洗、保洁，保持外观整洁，无脏乱、污迹现象。 </w:t>
      </w:r>
    </w:p>
    <w:p>
      <w:pPr>
        <w:adjustRightInd w:val="0"/>
        <w:snapToGrid w:val="0"/>
        <w:spacing w:line="360" w:lineRule="auto"/>
        <w:ind w:firstLine="420" w:firstLineChars="200"/>
        <w:rPr>
          <w:rFonts w:ascii="宋体" w:hAnsi="宋体"/>
          <w:szCs w:val="21"/>
        </w:rPr>
      </w:pPr>
      <w:r>
        <w:rPr>
          <w:rFonts w:ascii="宋体" w:hAnsi="宋体"/>
          <w:szCs w:val="21"/>
        </w:rPr>
        <w:t xml:space="preserve">6.2.1.5 垃圾收集容器应定期维护、维修，无破损、锈蚀现象，发现丢失、破损及时更新。 </w:t>
      </w:r>
    </w:p>
    <w:p>
      <w:pPr>
        <w:adjustRightInd w:val="0"/>
        <w:snapToGrid w:val="0"/>
        <w:spacing w:line="360" w:lineRule="auto"/>
        <w:ind w:firstLine="420" w:firstLineChars="200"/>
        <w:rPr>
          <w:rFonts w:ascii="宋体" w:hAnsi="宋体"/>
          <w:szCs w:val="21"/>
        </w:rPr>
      </w:pPr>
      <w:r>
        <w:rPr>
          <w:rFonts w:ascii="宋体" w:hAnsi="宋体"/>
          <w:szCs w:val="21"/>
        </w:rPr>
        <w:t xml:space="preserve">6.2.1.6 垃圾桶收集应符合下列要求。 </w:t>
      </w:r>
    </w:p>
    <w:p>
      <w:pPr>
        <w:adjustRightInd w:val="0"/>
        <w:snapToGrid w:val="0"/>
        <w:spacing w:line="360" w:lineRule="auto"/>
        <w:ind w:firstLine="420" w:firstLineChars="200"/>
        <w:rPr>
          <w:rFonts w:ascii="宋体" w:hAnsi="宋体"/>
          <w:szCs w:val="21"/>
        </w:rPr>
      </w:pPr>
      <w:r>
        <w:rPr>
          <w:rFonts w:ascii="宋体" w:hAnsi="宋体"/>
          <w:szCs w:val="21"/>
        </w:rPr>
        <w:t xml:space="preserve">6.2.1.6.1 垃圾桶配置数量符合 CJJ/T 102 的规定。 </w:t>
      </w:r>
    </w:p>
    <w:p>
      <w:pPr>
        <w:adjustRightInd w:val="0"/>
        <w:snapToGrid w:val="0"/>
        <w:spacing w:line="360" w:lineRule="auto"/>
        <w:ind w:firstLine="420" w:firstLineChars="200"/>
        <w:rPr>
          <w:rFonts w:ascii="宋体" w:hAnsi="宋体"/>
          <w:szCs w:val="21"/>
        </w:rPr>
      </w:pPr>
      <w:r>
        <w:rPr>
          <w:rFonts w:ascii="宋体" w:hAnsi="宋体"/>
          <w:szCs w:val="21"/>
        </w:rPr>
        <w:t xml:space="preserve">6.2.1.6.2 垃圾桶应密闭，完好率应符合 CJJ/T 102 的规定。 </w:t>
      </w:r>
    </w:p>
    <w:p>
      <w:pPr>
        <w:adjustRightInd w:val="0"/>
        <w:snapToGrid w:val="0"/>
        <w:spacing w:line="360" w:lineRule="auto"/>
        <w:ind w:firstLine="420" w:firstLineChars="200"/>
        <w:rPr>
          <w:rFonts w:ascii="宋体" w:hAnsi="宋体"/>
          <w:szCs w:val="21"/>
        </w:rPr>
      </w:pPr>
      <w:r>
        <w:rPr>
          <w:rFonts w:ascii="宋体" w:hAnsi="宋体"/>
          <w:szCs w:val="21"/>
        </w:rPr>
        <w:t xml:space="preserve">6.2.1.7 垃圾箱收集应符合下列要求。 </w:t>
      </w:r>
    </w:p>
    <w:p>
      <w:pPr>
        <w:adjustRightInd w:val="0"/>
        <w:snapToGrid w:val="0"/>
        <w:spacing w:line="360" w:lineRule="auto"/>
        <w:ind w:firstLine="420" w:firstLineChars="200"/>
        <w:rPr>
          <w:rFonts w:ascii="宋体" w:hAnsi="宋体"/>
          <w:szCs w:val="21"/>
        </w:rPr>
      </w:pPr>
      <w:r>
        <w:rPr>
          <w:rFonts w:ascii="宋体" w:hAnsi="宋体"/>
          <w:szCs w:val="21"/>
        </w:rPr>
        <w:t xml:space="preserve">6.2.1.7.1 垃圾箱应整洁、部件齐全、无破损。 </w:t>
      </w:r>
    </w:p>
    <w:p>
      <w:pPr>
        <w:adjustRightInd w:val="0"/>
        <w:snapToGrid w:val="0"/>
        <w:spacing w:line="360" w:lineRule="auto"/>
        <w:ind w:firstLine="420" w:firstLineChars="200"/>
        <w:rPr>
          <w:rFonts w:ascii="宋体" w:hAnsi="宋体"/>
          <w:szCs w:val="21"/>
        </w:rPr>
      </w:pPr>
      <w:r>
        <w:rPr>
          <w:rFonts w:ascii="宋体" w:hAnsi="宋体"/>
          <w:szCs w:val="21"/>
        </w:rPr>
        <w:t xml:space="preserve">6.2.1.7.2 垃圾箱不得有遗洒垃圾、渗漏污水现象。 </w:t>
      </w:r>
    </w:p>
    <w:p>
      <w:pPr>
        <w:adjustRightInd w:val="0"/>
        <w:snapToGrid w:val="0"/>
        <w:spacing w:line="360" w:lineRule="auto"/>
        <w:ind w:firstLine="420" w:firstLineChars="200"/>
        <w:rPr>
          <w:rFonts w:ascii="宋体" w:hAnsi="宋体"/>
          <w:szCs w:val="21"/>
        </w:rPr>
      </w:pPr>
      <w:r>
        <w:rPr>
          <w:rFonts w:ascii="宋体" w:hAnsi="宋体"/>
          <w:szCs w:val="21"/>
        </w:rPr>
        <w:t xml:space="preserve">6.2.1.7.3 采用压缩方式的垃圾箱应有垃圾渗沥液收集装置。垃圾渗沥液应排入下水道或集中处理。 </w:t>
      </w:r>
    </w:p>
    <w:p>
      <w:pPr>
        <w:adjustRightInd w:val="0"/>
        <w:snapToGrid w:val="0"/>
        <w:spacing w:line="360" w:lineRule="auto"/>
        <w:ind w:firstLine="420" w:firstLineChars="200"/>
        <w:rPr>
          <w:rFonts w:ascii="宋体" w:hAnsi="宋体"/>
          <w:szCs w:val="21"/>
        </w:rPr>
      </w:pPr>
      <w:r>
        <w:rPr>
          <w:rFonts w:ascii="宋体" w:hAnsi="宋体"/>
          <w:szCs w:val="21"/>
        </w:rPr>
        <w:t xml:space="preserve">6.2.1.7.4 固定式垃圾箱卸料时垃圾不得落地，收集后地面不得有垃圾和污水。 </w:t>
      </w:r>
    </w:p>
    <w:p>
      <w:pPr>
        <w:adjustRightInd w:val="0"/>
        <w:snapToGrid w:val="0"/>
        <w:spacing w:line="360" w:lineRule="auto"/>
        <w:ind w:firstLine="420" w:firstLineChars="200"/>
        <w:rPr>
          <w:rFonts w:ascii="宋体" w:hAnsi="宋体"/>
          <w:szCs w:val="21"/>
        </w:rPr>
      </w:pPr>
      <w:r>
        <w:rPr>
          <w:rFonts w:ascii="宋体" w:hAnsi="宋体"/>
          <w:szCs w:val="21"/>
        </w:rPr>
        <w:t xml:space="preserve">6.2.1.7.5 垃圾箱的放置应便于使用和装运，不影响市容。 </w:t>
      </w:r>
    </w:p>
    <w:p>
      <w:pPr>
        <w:adjustRightInd w:val="0"/>
        <w:snapToGrid w:val="0"/>
        <w:spacing w:line="360" w:lineRule="auto"/>
        <w:ind w:firstLine="420" w:firstLineChars="200"/>
        <w:rPr>
          <w:rFonts w:ascii="宋体" w:hAnsi="宋体"/>
          <w:szCs w:val="21"/>
        </w:rPr>
      </w:pPr>
      <w:r>
        <w:rPr>
          <w:rFonts w:ascii="宋体" w:hAnsi="宋体"/>
          <w:szCs w:val="21"/>
        </w:rPr>
        <w:t xml:space="preserve">6.2.2 垃圾收集站 </w:t>
      </w:r>
    </w:p>
    <w:p>
      <w:pPr>
        <w:adjustRightInd w:val="0"/>
        <w:snapToGrid w:val="0"/>
        <w:spacing w:line="360" w:lineRule="auto"/>
        <w:ind w:firstLine="420" w:firstLineChars="200"/>
        <w:rPr>
          <w:rFonts w:ascii="宋体" w:hAnsi="宋体"/>
          <w:szCs w:val="21"/>
        </w:rPr>
      </w:pPr>
      <w:r>
        <w:rPr>
          <w:rFonts w:ascii="宋体" w:hAnsi="宋体"/>
          <w:szCs w:val="21"/>
        </w:rPr>
        <w:t xml:space="preserve">6.2.2.1 垃圾房 </w:t>
      </w:r>
    </w:p>
    <w:p>
      <w:pPr>
        <w:adjustRightInd w:val="0"/>
        <w:snapToGrid w:val="0"/>
        <w:spacing w:line="360" w:lineRule="auto"/>
        <w:ind w:firstLine="420" w:firstLineChars="200"/>
        <w:rPr>
          <w:rFonts w:ascii="宋体" w:hAnsi="宋体"/>
          <w:szCs w:val="21"/>
        </w:rPr>
      </w:pPr>
      <w:r>
        <w:rPr>
          <w:rFonts w:ascii="宋体" w:hAnsi="宋体"/>
          <w:szCs w:val="21"/>
        </w:rPr>
        <w:t xml:space="preserve">6.2.2.1.1 垃圾房的服务半径不宜超过 70 米，不得影响市容市貌和景观环境。 </w:t>
      </w:r>
    </w:p>
    <w:p>
      <w:pPr>
        <w:adjustRightInd w:val="0"/>
        <w:snapToGrid w:val="0"/>
        <w:spacing w:line="360" w:lineRule="auto"/>
        <w:ind w:firstLine="420" w:firstLineChars="200"/>
        <w:rPr>
          <w:rFonts w:ascii="宋体" w:hAnsi="宋体"/>
          <w:szCs w:val="21"/>
        </w:rPr>
      </w:pPr>
      <w:r>
        <w:rPr>
          <w:rFonts w:ascii="宋体" w:hAnsi="宋体"/>
          <w:szCs w:val="21"/>
        </w:rPr>
        <w:t xml:space="preserve">6.2.2.1.2 垃圾房应整洁、密闭、无积水和恶臭，外墙不得有明显积灰。 </w:t>
      </w:r>
    </w:p>
    <w:p>
      <w:pPr>
        <w:adjustRightInd w:val="0"/>
        <w:snapToGrid w:val="0"/>
        <w:spacing w:line="360" w:lineRule="auto"/>
        <w:ind w:firstLine="420" w:firstLineChars="200"/>
        <w:rPr>
          <w:rFonts w:ascii="宋体" w:hAnsi="宋体"/>
          <w:szCs w:val="21"/>
        </w:rPr>
      </w:pPr>
      <w:r>
        <w:rPr>
          <w:rFonts w:ascii="宋体" w:hAnsi="宋体"/>
          <w:szCs w:val="21"/>
        </w:rPr>
        <w:t xml:space="preserve">6.2.2.1.3 垃圾房应有防尘、防臭措施，并能控制垃圾渗沥液和污水不外流。 </w:t>
      </w:r>
    </w:p>
    <w:p>
      <w:pPr>
        <w:adjustRightInd w:val="0"/>
        <w:snapToGrid w:val="0"/>
        <w:spacing w:line="360" w:lineRule="auto"/>
        <w:ind w:firstLine="420" w:firstLineChars="200"/>
        <w:rPr>
          <w:rFonts w:ascii="宋体" w:hAnsi="宋体"/>
          <w:szCs w:val="21"/>
        </w:rPr>
      </w:pPr>
      <w:r>
        <w:rPr>
          <w:rFonts w:ascii="宋体" w:hAnsi="宋体"/>
          <w:szCs w:val="21"/>
        </w:rPr>
        <w:t xml:space="preserve">6.2.2.1.4 垃圾房在进行装载作业时，应控制扬尘和垃圾飘散，装载完毕及时清理。 </w:t>
      </w:r>
    </w:p>
    <w:p>
      <w:pPr>
        <w:adjustRightInd w:val="0"/>
        <w:snapToGrid w:val="0"/>
        <w:spacing w:line="360" w:lineRule="auto"/>
        <w:ind w:firstLine="420" w:firstLineChars="200"/>
        <w:rPr>
          <w:rFonts w:ascii="宋体" w:hAnsi="宋体"/>
          <w:szCs w:val="21"/>
        </w:rPr>
      </w:pPr>
      <w:r>
        <w:rPr>
          <w:rFonts w:ascii="宋体" w:hAnsi="宋体"/>
          <w:szCs w:val="21"/>
        </w:rPr>
        <w:t xml:space="preserve">6.2.2.2 地下箱站 </w:t>
      </w:r>
    </w:p>
    <w:p>
      <w:pPr>
        <w:adjustRightInd w:val="0"/>
        <w:snapToGrid w:val="0"/>
        <w:spacing w:line="360" w:lineRule="auto"/>
        <w:ind w:firstLine="420" w:firstLineChars="200"/>
        <w:rPr>
          <w:rFonts w:ascii="宋体" w:hAnsi="宋体"/>
          <w:szCs w:val="21"/>
        </w:rPr>
      </w:pPr>
      <w:r>
        <w:rPr>
          <w:rFonts w:ascii="宋体" w:hAnsi="宋体"/>
          <w:szCs w:val="21"/>
        </w:rPr>
        <w:t xml:space="preserve">6.2.2.2.1 地下箱站的垃圾应及时清运，不得有满溢和散落，地面无垃圾和污水。 </w:t>
      </w:r>
    </w:p>
    <w:p>
      <w:pPr>
        <w:adjustRightInd w:val="0"/>
        <w:snapToGrid w:val="0"/>
        <w:spacing w:line="360" w:lineRule="auto"/>
        <w:ind w:firstLine="420" w:firstLineChars="200"/>
        <w:rPr>
          <w:rFonts w:ascii="宋体" w:hAnsi="宋体"/>
          <w:szCs w:val="21"/>
        </w:rPr>
      </w:pPr>
      <w:r>
        <w:rPr>
          <w:rFonts w:ascii="宋体" w:hAnsi="宋体"/>
          <w:szCs w:val="21"/>
        </w:rPr>
        <w:t xml:space="preserve">6.2.2.2.2 地下箱站设备应整洁、完好，运输过程中不得遗洒垃圾和垃圾渗沥液。 </w:t>
      </w:r>
    </w:p>
    <w:p>
      <w:pPr>
        <w:adjustRightInd w:val="0"/>
        <w:snapToGrid w:val="0"/>
        <w:spacing w:line="360" w:lineRule="auto"/>
        <w:ind w:firstLine="420" w:firstLineChars="200"/>
        <w:rPr>
          <w:rFonts w:ascii="宋体" w:hAnsi="宋体"/>
          <w:szCs w:val="21"/>
        </w:rPr>
      </w:pPr>
      <w:r>
        <w:rPr>
          <w:rFonts w:ascii="宋体" w:hAnsi="宋体"/>
          <w:szCs w:val="21"/>
        </w:rPr>
        <w:t xml:space="preserve">6.2.2.3 垃圾密闭式清洁站和小型垃圾中转站 </w:t>
      </w:r>
    </w:p>
    <w:p>
      <w:pPr>
        <w:adjustRightInd w:val="0"/>
        <w:snapToGrid w:val="0"/>
        <w:spacing w:line="360" w:lineRule="auto"/>
        <w:ind w:firstLine="420" w:firstLineChars="200"/>
        <w:rPr>
          <w:rFonts w:ascii="宋体" w:hAnsi="宋体"/>
          <w:szCs w:val="21"/>
        </w:rPr>
      </w:pPr>
      <w:r>
        <w:rPr>
          <w:rFonts w:ascii="宋体" w:hAnsi="宋体"/>
          <w:szCs w:val="21"/>
        </w:rPr>
        <w:t xml:space="preserve">6.2.2.3.1 在明显位置应设有站牌、《操作规程》牌和《倾倒垃圾人员须知》牌。应明确接收垃圾时间，并贴出公告，在接收垃圾时间内不得拒收垃圾。 </w:t>
      </w:r>
    </w:p>
    <w:p>
      <w:pPr>
        <w:adjustRightInd w:val="0"/>
        <w:snapToGrid w:val="0"/>
        <w:spacing w:line="360" w:lineRule="auto"/>
        <w:ind w:firstLine="420" w:firstLineChars="200"/>
        <w:rPr>
          <w:rFonts w:ascii="宋体" w:hAnsi="宋体"/>
          <w:szCs w:val="21"/>
        </w:rPr>
      </w:pPr>
      <w:r>
        <w:rPr>
          <w:rFonts w:ascii="宋体" w:hAnsi="宋体"/>
          <w:szCs w:val="21"/>
        </w:rPr>
        <w:t xml:space="preserve">6.2.2.3.2 清洁和中转站应建立人员岗位责任制，明确职责范围。 </w:t>
      </w:r>
    </w:p>
    <w:p>
      <w:pPr>
        <w:adjustRightInd w:val="0"/>
        <w:snapToGrid w:val="0"/>
        <w:spacing w:line="360" w:lineRule="auto"/>
        <w:ind w:firstLine="420" w:firstLineChars="200"/>
        <w:rPr>
          <w:rFonts w:ascii="宋体" w:hAnsi="宋体"/>
          <w:szCs w:val="21"/>
        </w:rPr>
      </w:pPr>
      <w:r>
        <w:rPr>
          <w:rFonts w:ascii="宋体" w:hAnsi="宋体"/>
          <w:szCs w:val="21"/>
        </w:rPr>
        <w:t xml:space="preserve">6.2.2.3.3 站内上、下水应保持畅通，电线不得乱拉。 </w:t>
      </w:r>
    </w:p>
    <w:p>
      <w:pPr>
        <w:adjustRightInd w:val="0"/>
        <w:snapToGrid w:val="0"/>
        <w:spacing w:line="360" w:lineRule="auto"/>
        <w:ind w:firstLine="420" w:firstLineChars="200"/>
        <w:rPr>
          <w:rFonts w:ascii="宋体" w:hAnsi="宋体"/>
          <w:szCs w:val="21"/>
        </w:rPr>
      </w:pPr>
      <w:r>
        <w:rPr>
          <w:rFonts w:ascii="宋体" w:hAnsi="宋体"/>
          <w:szCs w:val="21"/>
        </w:rPr>
        <w:t xml:space="preserve">6.2.2.3.4 站周围 3 米内为垃圾收集站保洁区域，保洁区域不得有垃圾和杂物，如有大件垃圾应码放整齐，且应当日运走。 </w:t>
      </w:r>
    </w:p>
    <w:p>
      <w:pPr>
        <w:adjustRightInd w:val="0"/>
        <w:snapToGrid w:val="0"/>
        <w:spacing w:line="360" w:lineRule="auto"/>
        <w:ind w:firstLine="420" w:firstLineChars="200"/>
        <w:rPr>
          <w:rFonts w:ascii="宋体" w:hAnsi="宋体"/>
          <w:szCs w:val="21"/>
        </w:rPr>
      </w:pPr>
      <w:r>
        <w:rPr>
          <w:rFonts w:ascii="宋体" w:hAnsi="宋体"/>
          <w:szCs w:val="21"/>
        </w:rPr>
        <w:t xml:space="preserve">6.2.2.3.5 站外立面、门窗和内墙应保持完好、整洁，如遇污迹，应及时清理。墙壁不得乱画、乱刻和乱贴。 </w:t>
      </w:r>
    </w:p>
    <w:p>
      <w:pPr>
        <w:adjustRightInd w:val="0"/>
        <w:snapToGrid w:val="0"/>
        <w:spacing w:line="360" w:lineRule="auto"/>
        <w:ind w:firstLine="420" w:firstLineChars="200"/>
        <w:rPr>
          <w:rFonts w:ascii="宋体" w:hAnsi="宋体"/>
          <w:szCs w:val="21"/>
        </w:rPr>
      </w:pPr>
      <w:r>
        <w:rPr>
          <w:rFonts w:ascii="宋体" w:hAnsi="宋体"/>
          <w:szCs w:val="21"/>
        </w:rPr>
        <w:t xml:space="preserve">6.2.2.3.6 站外立面应根据具体情况，在 5 年～8 年之内粉刷一次。垃圾收集站内墙应根据具体情况，在 3 年～5 年之内粉刷一次。 </w:t>
      </w:r>
    </w:p>
    <w:p>
      <w:pPr>
        <w:adjustRightInd w:val="0"/>
        <w:snapToGrid w:val="0"/>
        <w:spacing w:line="360" w:lineRule="auto"/>
        <w:ind w:firstLine="420" w:firstLineChars="200"/>
        <w:rPr>
          <w:rFonts w:ascii="宋体" w:hAnsi="宋体"/>
          <w:szCs w:val="21"/>
        </w:rPr>
      </w:pPr>
      <w:r>
        <w:rPr>
          <w:rFonts w:ascii="宋体" w:hAnsi="宋体"/>
          <w:szCs w:val="21"/>
        </w:rPr>
        <w:t xml:space="preserve">6.2.2.3.7 </w:t>
      </w:r>
      <w:r>
        <w:rPr>
          <w:rFonts w:hint="eastAsia" w:ascii="宋体" w:hAnsi="宋体"/>
          <w:szCs w:val="21"/>
        </w:rPr>
        <w:t>站内不得有蜘蛛网、老鼠、蛆等，每年</w:t>
      </w:r>
      <w:r>
        <w:rPr>
          <w:rFonts w:ascii="宋体" w:hAnsi="宋体"/>
          <w:szCs w:val="21"/>
        </w:rPr>
        <w:t xml:space="preserve"> 4 </w:t>
      </w:r>
      <w:r>
        <w:rPr>
          <w:rFonts w:hint="eastAsia" w:ascii="宋体" w:hAnsi="宋体"/>
          <w:szCs w:val="21"/>
        </w:rPr>
        <w:t>月至</w:t>
      </w:r>
      <w:r>
        <w:rPr>
          <w:rFonts w:ascii="宋体" w:hAnsi="宋体"/>
          <w:szCs w:val="21"/>
        </w:rPr>
        <w:t xml:space="preserve"> 10 </w:t>
      </w:r>
      <w:r>
        <w:rPr>
          <w:rFonts w:hint="eastAsia" w:ascii="宋体" w:hAnsi="宋体"/>
          <w:szCs w:val="21"/>
        </w:rPr>
        <w:t>月应进行打药灭蝇，清洁站应做到每</w:t>
      </w:r>
      <w:r>
        <w:rPr>
          <w:rFonts w:ascii="宋体" w:hAnsi="宋体"/>
          <w:szCs w:val="21"/>
        </w:rPr>
        <w:t xml:space="preserve"> 15平方米不得超过 5 </w:t>
      </w:r>
      <w:r>
        <w:rPr>
          <w:rFonts w:hint="eastAsia" w:ascii="宋体" w:hAnsi="宋体"/>
          <w:szCs w:val="21"/>
        </w:rPr>
        <w:t>只苍蝇，小型垃圾中转站非生产区内应做到每</w:t>
      </w:r>
      <w:r>
        <w:rPr>
          <w:rFonts w:ascii="宋体" w:hAnsi="宋体"/>
          <w:szCs w:val="21"/>
        </w:rPr>
        <w:t xml:space="preserve"> 15 </w:t>
      </w:r>
      <w:r>
        <w:rPr>
          <w:rFonts w:hint="eastAsia" w:ascii="宋体" w:hAnsi="宋体"/>
          <w:szCs w:val="21"/>
        </w:rPr>
        <w:t>平方米不得超过</w:t>
      </w:r>
      <w:r>
        <w:rPr>
          <w:rFonts w:ascii="宋体" w:hAnsi="宋体"/>
          <w:szCs w:val="21"/>
        </w:rPr>
        <w:t xml:space="preserve"> 3 </w:t>
      </w:r>
      <w:r>
        <w:rPr>
          <w:rFonts w:hint="eastAsia" w:ascii="宋体" w:hAnsi="宋体"/>
          <w:szCs w:val="21"/>
        </w:rPr>
        <w:t>只苍蝇。</w:t>
      </w:r>
    </w:p>
    <w:p>
      <w:pPr>
        <w:adjustRightInd w:val="0"/>
        <w:snapToGrid w:val="0"/>
        <w:spacing w:line="360" w:lineRule="auto"/>
        <w:ind w:firstLine="420" w:firstLineChars="200"/>
        <w:rPr>
          <w:rFonts w:ascii="宋体" w:hAnsi="宋体"/>
          <w:szCs w:val="21"/>
        </w:rPr>
      </w:pPr>
      <w:r>
        <w:rPr>
          <w:rFonts w:ascii="宋体" w:hAnsi="宋体"/>
          <w:szCs w:val="21"/>
        </w:rPr>
        <w:t xml:space="preserve">6.2.2.3.8 站内的垃圾应做到日产日清，站内垃圾不得过夜运输。 </w:t>
      </w:r>
    </w:p>
    <w:p>
      <w:pPr>
        <w:adjustRightInd w:val="0"/>
        <w:snapToGrid w:val="0"/>
        <w:spacing w:line="360" w:lineRule="auto"/>
        <w:ind w:firstLine="420" w:firstLineChars="200"/>
        <w:rPr>
          <w:rFonts w:ascii="宋体" w:hAnsi="宋体"/>
          <w:szCs w:val="21"/>
        </w:rPr>
      </w:pPr>
      <w:r>
        <w:rPr>
          <w:rFonts w:ascii="宋体" w:hAnsi="宋体"/>
          <w:szCs w:val="21"/>
        </w:rPr>
        <w:t xml:space="preserve">6.2.2.3.9 每日工作完毕应清扫设施内外，清洗地面、地坑和垃圾箱。保证地面、地坑和垃圾箱的清洁，无污水和垃圾。 </w:t>
      </w:r>
    </w:p>
    <w:p>
      <w:pPr>
        <w:adjustRightInd w:val="0"/>
        <w:snapToGrid w:val="0"/>
        <w:spacing w:line="360" w:lineRule="auto"/>
        <w:ind w:firstLine="420" w:firstLineChars="200"/>
        <w:rPr>
          <w:rFonts w:ascii="宋体" w:hAnsi="宋体"/>
          <w:szCs w:val="21"/>
        </w:rPr>
      </w:pPr>
      <w:r>
        <w:rPr>
          <w:rFonts w:ascii="宋体" w:hAnsi="宋体"/>
          <w:szCs w:val="21"/>
        </w:rPr>
        <w:t xml:space="preserve">6.2.2.3.10 应有防尘和防臭措施，污水排入下水管线或收集后统一处理。 </w:t>
      </w:r>
    </w:p>
    <w:p>
      <w:pPr>
        <w:adjustRightInd w:val="0"/>
        <w:snapToGrid w:val="0"/>
        <w:spacing w:line="360" w:lineRule="auto"/>
        <w:ind w:firstLine="420" w:firstLineChars="200"/>
        <w:rPr>
          <w:rFonts w:ascii="宋体" w:hAnsi="宋体"/>
          <w:szCs w:val="21"/>
        </w:rPr>
      </w:pPr>
      <w:r>
        <w:rPr>
          <w:rFonts w:ascii="宋体" w:hAnsi="宋体"/>
          <w:szCs w:val="21"/>
        </w:rPr>
        <w:t xml:space="preserve">6.2.2.3.11 垃圾箱应在后门、上盖关闭锁紧可靠后装车。 </w:t>
      </w:r>
    </w:p>
    <w:p>
      <w:pPr>
        <w:adjustRightInd w:val="0"/>
        <w:snapToGrid w:val="0"/>
        <w:spacing w:line="360" w:lineRule="auto"/>
        <w:ind w:firstLine="420" w:firstLineChars="200"/>
        <w:rPr>
          <w:rFonts w:ascii="宋体" w:hAnsi="宋体"/>
          <w:szCs w:val="21"/>
        </w:rPr>
      </w:pPr>
      <w:r>
        <w:rPr>
          <w:rFonts w:ascii="宋体" w:hAnsi="宋体"/>
          <w:szCs w:val="21"/>
        </w:rPr>
        <w:t xml:space="preserve">6.3 流动收集 </w:t>
      </w:r>
    </w:p>
    <w:p>
      <w:pPr>
        <w:adjustRightInd w:val="0"/>
        <w:snapToGrid w:val="0"/>
        <w:spacing w:line="360" w:lineRule="auto"/>
        <w:ind w:firstLine="420" w:firstLineChars="200"/>
        <w:rPr>
          <w:rFonts w:ascii="宋体" w:hAnsi="宋体"/>
          <w:szCs w:val="21"/>
        </w:rPr>
      </w:pPr>
      <w:r>
        <w:rPr>
          <w:rFonts w:ascii="宋体" w:hAnsi="宋体"/>
          <w:szCs w:val="21"/>
        </w:rPr>
        <w:t xml:space="preserve">6.3.1 流动垃圾收集运输车应按规定路线和时间进行收集，不得甩点，达到垃圾收集点时应有明显声响作为提示。 </w:t>
      </w:r>
    </w:p>
    <w:p>
      <w:pPr>
        <w:adjustRightInd w:val="0"/>
        <w:snapToGrid w:val="0"/>
        <w:spacing w:line="360" w:lineRule="auto"/>
        <w:ind w:firstLine="420" w:firstLineChars="200"/>
        <w:rPr>
          <w:rFonts w:ascii="宋体" w:hAnsi="宋体"/>
          <w:szCs w:val="21"/>
        </w:rPr>
      </w:pPr>
      <w:r>
        <w:rPr>
          <w:rFonts w:ascii="宋体" w:hAnsi="宋体"/>
          <w:szCs w:val="21"/>
        </w:rPr>
        <w:t xml:space="preserve">6.3.2 流动收集时垃圾不得落地，收集后地面不得有垃圾和污水。 </w:t>
      </w:r>
    </w:p>
    <w:p>
      <w:pPr>
        <w:adjustRightInd w:val="0"/>
        <w:snapToGrid w:val="0"/>
        <w:spacing w:line="360" w:lineRule="auto"/>
        <w:ind w:firstLine="420" w:firstLineChars="200"/>
        <w:rPr>
          <w:rFonts w:ascii="宋体" w:hAnsi="宋体"/>
          <w:szCs w:val="21"/>
        </w:rPr>
      </w:pPr>
      <w:r>
        <w:rPr>
          <w:rFonts w:ascii="宋体" w:hAnsi="宋体"/>
          <w:szCs w:val="21"/>
        </w:rPr>
        <w:t xml:space="preserve">7 垃圾运输 </w:t>
      </w:r>
    </w:p>
    <w:p>
      <w:pPr>
        <w:adjustRightInd w:val="0"/>
        <w:snapToGrid w:val="0"/>
        <w:spacing w:line="360" w:lineRule="auto"/>
        <w:ind w:firstLine="420" w:firstLineChars="200"/>
        <w:rPr>
          <w:rFonts w:ascii="宋体" w:hAnsi="宋体"/>
          <w:szCs w:val="21"/>
        </w:rPr>
      </w:pPr>
      <w:r>
        <w:rPr>
          <w:rFonts w:ascii="宋体" w:hAnsi="宋体"/>
          <w:szCs w:val="21"/>
        </w:rPr>
        <w:t xml:space="preserve">7.1 非机动垃圾收集运输车 </w:t>
      </w:r>
    </w:p>
    <w:p>
      <w:pPr>
        <w:adjustRightInd w:val="0"/>
        <w:snapToGrid w:val="0"/>
        <w:spacing w:line="360" w:lineRule="auto"/>
        <w:ind w:firstLine="420" w:firstLineChars="200"/>
        <w:rPr>
          <w:rFonts w:ascii="宋体" w:hAnsi="宋体"/>
          <w:szCs w:val="21"/>
        </w:rPr>
      </w:pPr>
      <w:r>
        <w:rPr>
          <w:rFonts w:ascii="宋体" w:hAnsi="宋体"/>
          <w:szCs w:val="21"/>
        </w:rPr>
        <w:t xml:space="preserve">7.1.1 外观应整洁，车体外部无污物、灰垢。 </w:t>
      </w:r>
    </w:p>
    <w:p>
      <w:pPr>
        <w:adjustRightInd w:val="0"/>
        <w:snapToGrid w:val="0"/>
        <w:spacing w:line="360" w:lineRule="auto"/>
        <w:ind w:firstLine="420" w:firstLineChars="200"/>
        <w:rPr>
          <w:rFonts w:ascii="宋体" w:hAnsi="宋体"/>
          <w:szCs w:val="21"/>
        </w:rPr>
      </w:pPr>
      <w:r>
        <w:rPr>
          <w:rFonts w:ascii="宋体" w:hAnsi="宋体"/>
          <w:szCs w:val="21"/>
        </w:rPr>
        <w:t xml:space="preserve">7.1.2 在运输垃圾过程中应密闭，无垃圾扬、撒、拖挂和污水滴漏。 </w:t>
      </w:r>
    </w:p>
    <w:p>
      <w:pPr>
        <w:adjustRightInd w:val="0"/>
        <w:snapToGrid w:val="0"/>
        <w:spacing w:line="360" w:lineRule="auto"/>
        <w:ind w:firstLine="420" w:firstLineChars="200"/>
        <w:rPr>
          <w:rFonts w:ascii="宋体" w:hAnsi="宋体"/>
          <w:szCs w:val="21"/>
        </w:rPr>
      </w:pPr>
      <w:r>
        <w:rPr>
          <w:rFonts w:ascii="宋体" w:hAnsi="宋体"/>
          <w:szCs w:val="21"/>
        </w:rPr>
        <w:t xml:space="preserve">7.1.3 应按指定时间将垃圾运送到指定的清洁站，不得随意倾倒。 </w:t>
      </w:r>
    </w:p>
    <w:p>
      <w:pPr>
        <w:adjustRightInd w:val="0"/>
        <w:snapToGrid w:val="0"/>
        <w:spacing w:line="360" w:lineRule="auto"/>
        <w:ind w:firstLine="420" w:firstLineChars="200"/>
        <w:rPr>
          <w:rFonts w:ascii="宋体" w:hAnsi="宋体"/>
          <w:szCs w:val="21"/>
        </w:rPr>
      </w:pPr>
      <w:r>
        <w:rPr>
          <w:rFonts w:ascii="宋体" w:hAnsi="宋体"/>
          <w:szCs w:val="21"/>
        </w:rPr>
        <w:t xml:space="preserve">7.2 机动垃圾收集运输车 </w:t>
      </w:r>
    </w:p>
    <w:p>
      <w:pPr>
        <w:adjustRightInd w:val="0"/>
        <w:snapToGrid w:val="0"/>
        <w:spacing w:line="360" w:lineRule="auto"/>
        <w:ind w:firstLine="420" w:firstLineChars="200"/>
        <w:rPr>
          <w:rFonts w:ascii="宋体" w:hAnsi="宋体"/>
          <w:szCs w:val="21"/>
        </w:rPr>
      </w:pPr>
      <w:r>
        <w:rPr>
          <w:rFonts w:ascii="宋体" w:hAnsi="宋体"/>
          <w:szCs w:val="21"/>
        </w:rPr>
        <w:t xml:space="preserve">7.2.1 应符合国家和地方的有关法律法规和安全技术操作规程等。 </w:t>
      </w:r>
    </w:p>
    <w:p>
      <w:pPr>
        <w:adjustRightInd w:val="0"/>
        <w:snapToGrid w:val="0"/>
        <w:spacing w:line="360" w:lineRule="auto"/>
        <w:ind w:firstLine="420" w:firstLineChars="200"/>
        <w:rPr>
          <w:rFonts w:ascii="宋体" w:hAnsi="宋体"/>
          <w:szCs w:val="21"/>
        </w:rPr>
      </w:pPr>
      <w:r>
        <w:rPr>
          <w:rFonts w:ascii="宋体" w:hAnsi="宋体"/>
          <w:szCs w:val="21"/>
        </w:rPr>
        <w:t xml:space="preserve">7.2.2 垃圾收集运输车在明显位置应标有本公司名称或图标。 </w:t>
      </w:r>
    </w:p>
    <w:p>
      <w:pPr>
        <w:adjustRightInd w:val="0"/>
        <w:snapToGrid w:val="0"/>
        <w:spacing w:line="360" w:lineRule="auto"/>
        <w:ind w:firstLine="420" w:firstLineChars="200"/>
        <w:rPr>
          <w:rFonts w:ascii="宋体" w:hAnsi="宋体"/>
          <w:szCs w:val="21"/>
        </w:rPr>
      </w:pPr>
      <w:r>
        <w:rPr>
          <w:rFonts w:ascii="宋体" w:hAnsi="宋体"/>
          <w:szCs w:val="21"/>
        </w:rPr>
        <w:t xml:space="preserve">7.2.3 垃圾收集运输车的配置应符合 CJJ/T 102 的规定。 </w:t>
      </w:r>
    </w:p>
    <w:p>
      <w:pPr>
        <w:adjustRightInd w:val="0"/>
        <w:snapToGrid w:val="0"/>
        <w:spacing w:line="360" w:lineRule="auto"/>
        <w:ind w:firstLine="420" w:firstLineChars="200"/>
        <w:rPr>
          <w:rFonts w:ascii="宋体" w:hAnsi="宋体"/>
          <w:szCs w:val="21"/>
        </w:rPr>
      </w:pPr>
      <w:r>
        <w:rPr>
          <w:rFonts w:ascii="宋体" w:hAnsi="宋体"/>
          <w:szCs w:val="21"/>
        </w:rPr>
        <w:t xml:space="preserve">7.2.4 日常运行的垃圾收集运输车完好率应在 85％以上。 </w:t>
      </w:r>
    </w:p>
    <w:p>
      <w:pPr>
        <w:adjustRightInd w:val="0"/>
        <w:snapToGrid w:val="0"/>
        <w:spacing w:line="360" w:lineRule="auto"/>
        <w:ind w:firstLine="420" w:firstLineChars="200"/>
        <w:rPr>
          <w:rFonts w:ascii="宋体" w:hAnsi="宋体"/>
          <w:szCs w:val="21"/>
        </w:rPr>
      </w:pPr>
      <w:r>
        <w:rPr>
          <w:rFonts w:ascii="宋体" w:hAnsi="宋体"/>
          <w:szCs w:val="21"/>
        </w:rPr>
        <w:t xml:space="preserve">7.2.5 垃圾收集运输作业单位应建立和完善垃圾收集运输车使用、保养、维修及监督检查等各项内部制度。编写并组织实施车辆运营计划，负责统计、考核和评比检查工作。 </w:t>
      </w:r>
    </w:p>
    <w:p>
      <w:pPr>
        <w:adjustRightInd w:val="0"/>
        <w:snapToGrid w:val="0"/>
        <w:spacing w:line="360" w:lineRule="auto"/>
        <w:ind w:firstLine="420" w:firstLineChars="200"/>
        <w:rPr>
          <w:rFonts w:ascii="宋体" w:hAnsi="宋体"/>
          <w:szCs w:val="21"/>
        </w:rPr>
      </w:pPr>
      <w:r>
        <w:rPr>
          <w:rFonts w:ascii="宋体" w:hAnsi="宋体"/>
          <w:szCs w:val="21"/>
        </w:rPr>
        <w:t xml:space="preserve">7.2.6 垃圾收集运输车应与清洁站和中转站设施、设备相配套，垃圾装卸方便。 </w:t>
      </w:r>
    </w:p>
    <w:p>
      <w:pPr>
        <w:adjustRightInd w:val="0"/>
        <w:snapToGrid w:val="0"/>
        <w:spacing w:line="360" w:lineRule="auto"/>
        <w:ind w:firstLine="420" w:firstLineChars="200"/>
        <w:rPr>
          <w:rFonts w:ascii="宋体" w:hAnsi="宋体"/>
          <w:szCs w:val="21"/>
        </w:rPr>
      </w:pPr>
      <w:r>
        <w:rPr>
          <w:rFonts w:ascii="宋体" w:hAnsi="宋体"/>
          <w:szCs w:val="21"/>
        </w:rPr>
        <w:t xml:space="preserve">7.2.7 垃圾收集运输车应装备行驶和装载情况记录仪，并按有关规定提供作业记录信息。 </w:t>
      </w:r>
    </w:p>
    <w:p>
      <w:pPr>
        <w:adjustRightInd w:val="0"/>
        <w:snapToGrid w:val="0"/>
        <w:spacing w:line="360" w:lineRule="auto"/>
        <w:ind w:firstLine="420" w:firstLineChars="200"/>
        <w:rPr>
          <w:rFonts w:ascii="宋体" w:hAnsi="宋体"/>
          <w:szCs w:val="21"/>
        </w:rPr>
      </w:pPr>
      <w:r>
        <w:rPr>
          <w:rFonts w:ascii="宋体" w:hAnsi="宋体"/>
          <w:szCs w:val="21"/>
        </w:rPr>
        <w:t xml:space="preserve">7.2.8 垃圾收集运输车应保持车容整洁，如遇污迹，应及时清理，每日工作完毕，应对垃圾收集运输车进行清洗。 </w:t>
      </w:r>
    </w:p>
    <w:p>
      <w:pPr>
        <w:adjustRightInd w:val="0"/>
        <w:snapToGrid w:val="0"/>
        <w:spacing w:line="360" w:lineRule="auto"/>
        <w:ind w:firstLine="420" w:firstLineChars="200"/>
        <w:rPr>
          <w:rFonts w:ascii="宋体" w:hAnsi="宋体"/>
          <w:szCs w:val="21"/>
        </w:rPr>
      </w:pPr>
      <w:r>
        <w:rPr>
          <w:rFonts w:ascii="宋体" w:hAnsi="宋体"/>
          <w:szCs w:val="21"/>
        </w:rPr>
        <w:t xml:space="preserve">7.2.9 垃圾收集运输车应设有防遗洒、渗漏装置，在作业过程中不得遗洒垃圾和污水。 </w:t>
      </w:r>
    </w:p>
    <w:p>
      <w:pPr>
        <w:adjustRightInd w:val="0"/>
        <w:snapToGrid w:val="0"/>
        <w:spacing w:line="360" w:lineRule="auto"/>
        <w:ind w:firstLine="420" w:firstLineChars="200"/>
        <w:rPr>
          <w:rFonts w:ascii="宋体" w:hAnsi="宋体"/>
          <w:szCs w:val="21"/>
        </w:rPr>
      </w:pPr>
      <w:r>
        <w:rPr>
          <w:rFonts w:ascii="宋体" w:hAnsi="宋体"/>
          <w:szCs w:val="21"/>
        </w:rPr>
        <w:t xml:space="preserve">7.2.10 垃圾收集运输车外部和垃圾箱体应完好无损，如遇磕、碰、漆皮脱落等，应及时修补。 </w:t>
      </w:r>
    </w:p>
    <w:p>
      <w:pPr>
        <w:adjustRightInd w:val="0"/>
        <w:snapToGrid w:val="0"/>
        <w:spacing w:line="360" w:lineRule="auto"/>
        <w:ind w:firstLine="420" w:firstLineChars="200"/>
        <w:rPr>
          <w:rFonts w:ascii="宋体" w:hAnsi="宋体"/>
          <w:szCs w:val="21"/>
        </w:rPr>
      </w:pPr>
      <w:r>
        <w:rPr>
          <w:rFonts w:ascii="宋体" w:hAnsi="宋体"/>
          <w:szCs w:val="21"/>
        </w:rPr>
        <w:t xml:space="preserve">7.2.11 垃圾收集运输车在收集、运输和转运垃圾时，垃圾不得暴露，车辆不得超载。 </w:t>
      </w:r>
    </w:p>
    <w:p>
      <w:pPr>
        <w:adjustRightInd w:val="0"/>
        <w:snapToGrid w:val="0"/>
        <w:spacing w:line="360" w:lineRule="auto"/>
        <w:ind w:firstLine="420" w:firstLineChars="200"/>
        <w:rPr>
          <w:rFonts w:ascii="宋体" w:hAnsi="宋体"/>
          <w:szCs w:val="21"/>
        </w:rPr>
      </w:pPr>
      <w:r>
        <w:rPr>
          <w:rFonts w:ascii="宋体" w:hAnsi="宋体"/>
          <w:szCs w:val="21"/>
        </w:rPr>
        <w:t xml:space="preserve">7.2.12 经营城市生活垃圾收集运输的企业应配有应急车辆和联系方式，垃圾收集运输车出现故障时，要及时调用备用车辆，尽快到达指定地点完成垃圾运输工作。 </w:t>
      </w:r>
    </w:p>
    <w:p>
      <w:pPr>
        <w:adjustRightInd w:val="0"/>
        <w:snapToGrid w:val="0"/>
        <w:spacing w:line="360" w:lineRule="auto"/>
        <w:ind w:firstLine="420" w:firstLineChars="200"/>
        <w:rPr>
          <w:rFonts w:ascii="宋体" w:hAnsi="宋体"/>
          <w:szCs w:val="21"/>
        </w:rPr>
      </w:pPr>
      <w:r>
        <w:rPr>
          <w:rFonts w:ascii="宋体" w:hAnsi="宋体"/>
          <w:szCs w:val="21"/>
        </w:rPr>
        <w:t xml:space="preserve">7.2.13 垃圾收集运输车应按规定路线和指定收集点进行收集，不得甩站。 </w:t>
      </w:r>
    </w:p>
    <w:p>
      <w:pPr>
        <w:adjustRightInd w:val="0"/>
        <w:snapToGrid w:val="0"/>
        <w:spacing w:line="360" w:lineRule="auto"/>
        <w:ind w:firstLine="420" w:firstLineChars="200"/>
        <w:rPr>
          <w:rFonts w:ascii="宋体" w:hAnsi="宋体"/>
          <w:szCs w:val="21"/>
        </w:rPr>
      </w:pPr>
      <w:r>
        <w:rPr>
          <w:rFonts w:ascii="宋体" w:hAnsi="宋体"/>
          <w:szCs w:val="21"/>
        </w:rPr>
        <w:t xml:space="preserve">7.2.14 垃圾应运送到指定地点处理或处置，不得自行乱倒。 </w:t>
      </w:r>
    </w:p>
    <w:p>
      <w:pPr>
        <w:adjustRightInd w:val="0"/>
        <w:snapToGrid w:val="0"/>
        <w:spacing w:line="360" w:lineRule="auto"/>
        <w:ind w:firstLine="420" w:firstLineChars="200"/>
        <w:rPr>
          <w:rFonts w:ascii="宋体" w:hAnsi="宋体"/>
          <w:szCs w:val="21"/>
        </w:rPr>
      </w:pPr>
      <w:r>
        <w:rPr>
          <w:rFonts w:ascii="宋体" w:hAnsi="宋体"/>
          <w:szCs w:val="21"/>
        </w:rPr>
        <w:t xml:space="preserve">7.2.15 </w:t>
      </w:r>
      <w:r>
        <w:rPr>
          <w:rFonts w:hint="eastAsia" w:ascii="宋体" w:hAnsi="宋体"/>
          <w:szCs w:val="21"/>
        </w:rPr>
        <w:t>垃圾收集运输车到达垃圾处理设施后应遵守其管理规定。</w:t>
      </w:r>
    </w:p>
    <w:p>
      <w:pPr>
        <w:spacing w:line="360" w:lineRule="auto"/>
        <w:jc w:val="left"/>
        <w:rPr>
          <w:szCs w:val="21"/>
        </w:rPr>
        <w:sectPr>
          <w:pgSz w:w="11906" w:h="16838"/>
          <w:pgMar w:top="1440" w:right="1701" w:bottom="1361" w:left="1797" w:header="851" w:footer="992" w:gutter="0"/>
          <w:cols w:space="425" w:num="1"/>
          <w:docGrid w:linePitch="312" w:charSpace="0"/>
        </w:sectPr>
      </w:pPr>
    </w:p>
    <w:p>
      <w:pPr>
        <w:spacing w:line="360" w:lineRule="auto"/>
        <w:jc w:val="left"/>
        <w:rPr>
          <w:b/>
          <w:szCs w:val="21"/>
        </w:rPr>
      </w:pPr>
      <w:r>
        <w:rPr>
          <w:rFonts w:hint="eastAsia"/>
          <w:b/>
          <w:szCs w:val="21"/>
        </w:rPr>
        <w:t>合同附件</w:t>
      </w:r>
      <w:r>
        <w:rPr>
          <w:b/>
          <w:szCs w:val="21"/>
        </w:rPr>
        <w:t>5</w:t>
      </w:r>
      <w:r>
        <w:rPr>
          <w:rFonts w:hint="eastAsia"/>
          <w:b/>
          <w:szCs w:val="21"/>
        </w:rPr>
        <w:t>：</w:t>
      </w:r>
    </w:p>
    <w:p>
      <w:pPr>
        <w:adjustRightInd w:val="0"/>
        <w:snapToGrid w:val="0"/>
        <w:jc w:val="center"/>
        <w:rPr>
          <w:rFonts w:ascii="宋体" w:hAnsi="宋体"/>
          <w:b/>
          <w:kern w:val="0"/>
          <w:szCs w:val="21"/>
        </w:rPr>
      </w:pPr>
      <w:r>
        <w:rPr>
          <w:rFonts w:hint="eastAsia" w:ascii="宋体" w:hAnsi="宋体"/>
          <w:b/>
          <w:kern w:val="0"/>
          <w:szCs w:val="21"/>
        </w:rPr>
        <w:t>北京市街乡（镇）管理范围环境卫生检查考评实施细则</w:t>
      </w:r>
    </w:p>
    <w:p>
      <w:pPr>
        <w:adjustRightInd w:val="0"/>
        <w:snapToGrid w:val="0"/>
        <w:spacing w:line="360" w:lineRule="auto"/>
        <w:ind w:firstLine="420" w:firstLineChars="200"/>
        <w:rPr>
          <w:rFonts w:ascii="宋体" w:hAnsi="宋体"/>
          <w:kern w:val="0"/>
          <w:szCs w:val="21"/>
        </w:rPr>
      </w:pP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为贯彻落实《北京市市容环境卫生条例》，推动北京市街乡</w:t>
      </w:r>
      <w:r>
        <w:rPr>
          <w:rFonts w:ascii="宋体" w:hAnsi="宋体"/>
          <w:kern w:val="0"/>
          <w:szCs w:val="21"/>
        </w:rPr>
        <w:t>(镇)管理范围环境卫生管理和作业水平提高，根据国家和本市相关法律、法规、规章、规范及标准，制定本实施细则。</w:t>
      </w:r>
    </w:p>
    <w:p>
      <w:pPr>
        <w:adjustRightInd w:val="0"/>
        <w:snapToGrid w:val="0"/>
        <w:spacing w:line="360" w:lineRule="auto"/>
        <w:ind w:firstLine="422" w:firstLineChars="200"/>
        <w:rPr>
          <w:rFonts w:ascii="宋体" w:hAnsi="宋体"/>
          <w:b/>
          <w:kern w:val="0"/>
          <w:szCs w:val="21"/>
        </w:rPr>
      </w:pPr>
      <w:r>
        <w:rPr>
          <w:rFonts w:hint="eastAsia" w:ascii="宋体" w:hAnsi="宋体"/>
          <w:b/>
          <w:szCs w:val="21"/>
        </w:rPr>
        <w:t>一、</w:t>
      </w:r>
      <w:r>
        <w:rPr>
          <w:rFonts w:hint="eastAsia" w:ascii="宋体" w:hAnsi="宋体"/>
          <w:b/>
          <w:kern w:val="0"/>
          <w:szCs w:val="21"/>
        </w:rPr>
        <w:t>检查考评主体</w:t>
      </w:r>
    </w:p>
    <w:p>
      <w:pPr>
        <w:adjustRightInd w:val="0"/>
        <w:snapToGrid w:val="0"/>
        <w:spacing w:line="360" w:lineRule="auto"/>
        <w:ind w:firstLine="420" w:firstLineChars="200"/>
        <w:rPr>
          <w:rFonts w:ascii="宋体" w:hAnsi="宋体"/>
          <w:szCs w:val="21"/>
        </w:rPr>
      </w:pPr>
      <w:r>
        <w:rPr>
          <w:rFonts w:hint="eastAsia" w:ascii="宋体" w:hAnsi="宋体"/>
          <w:szCs w:val="21"/>
        </w:rPr>
        <w:t>北京市城管委作为检查考评的主体，组织全市街乡</w:t>
      </w:r>
      <w:r>
        <w:rPr>
          <w:rFonts w:ascii="宋体" w:hAnsi="宋体"/>
          <w:szCs w:val="21"/>
        </w:rPr>
        <w:t>(镇)管理范围环境卫生检查考评工作，城区范围由</w:t>
      </w:r>
      <w:r>
        <w:rPr>
          <w:rFonts w:hint="eastAsia" w:ascii="宋体" w:hAnsi="宋体"/>
          <w:kern w:val="0"/>
          <w:szCs w:val="21"/>
        </w:rPr>
        <w:t>市垃圾渣土管理处具体执行，郊区范围重点</w:t>
      </w:r>
      <w:r>
        <w:rPr>
          <w:rFonts w:hint="eastAsia" w:ascii="宋体" w:hAnsi="宋体"/>
          <w:szCs w:val="21"/>
        </w:rPr>
        <w:t>新城、</w:t>
      </w:r>
      <w:r>
        <w:rPr>
          <w:rFonts w:ascii="宋体" w:hAnsi="宋体"/>
          <w:szCs w:val="21"/>
        </w:rPr>
        <w:t>42个重点小城镇</w:t>
      </w:r>
      <w:r>
        <w:rPr>
          <w:rFonts w:hint="eastAsia" w:ascii="宋体" w:hAnsi="宋体"/>
          <w:kern w:val="0"/>
          <w:szCs w:val="21"/>
        </w:rPr>
        <w:t>由市市容环境卫生协会具体执行。各区城管委负责辖区内街乡</w:t>
      </w:r>
      <w:r>
        <w:rPr>
          <w:rFonts w:ascii="宋体" w:hAnsi="宋体"/>
          <w:kern w:val="0"/>
          <w:szCs w:val="21"/>
        </w:rPr>
        <w:t>(镇)管理范围环境卫生日常检查考评工作，并接受市级环境卫生管理部门的指导和监督。</w:t>
      </w:r>
    </w:p>
    <w:p>
      <w:pPr>
        <w:adjustRightInd w:val="0"/>
        <w:snapToGrid w:val="0"/>
        <w:spacing w:line="360" w:lineRule="auto"/>
        <w:ind w:firstLine="422" w:firstLineChars="200"/>
        <w:rPr>
          <w:rFonts w:ascii="宋体" w:hAnsi="宋体"/>
          <w:b/>
          <w:szCs w:val="21"/>
        </w:rPr>
      </w:pPr>
      <w:r>
        <w:rPr>
          <w:rFonts w:hint="eastAsia" w:ascii="宋体" w:hAnsi="宋体"/>
          <w:b/>
          <w:szCs w:val="21"/>
        </w:rPr>
        <w:t>二、检查考评对象</w:t>
      </w:r>
    </w:p>
    <w:p>
      <w:pPr>
        <w:adjustRightInd w:val="0"/>
        <w:snapToGrid w:val="0"/>
        <w:spacing w:line="360" w:lineRule="auto"/>
        <w:ind w:firstLine="420" w:firstLineChars="200"/>
        <w:rPr>
          <w:rFonts w:ascii="宋体" w:hAnsi="宋体"/>
          <w:szCs w:val="21"/>
        </w:rPr>
      </w:pPr>
      <w:r>
        <w:rPr>
          <w:rFonts w:hint="eastAsia" w:ascii="宋体" w:hAnsi="宋体"/>
          <w:szCs w:val="21"/>
        </w:rPr>
        <w:t>全市街乡</w:t>
      </w:r>
      <w:r>
        <w:rPr>
          <w:rFonts w:ascii="宋体" w:hAnsi="宋体"/>
          <w:szCs w:val="21"/>
        </w:rPr>
        <w:t>(镇)管理范围环境卫生服务工作。</w:t>
      </w:r>
    </w:p>
    <w:p>
      <w:pPr>
        <w:adjustRightInd w:val="0"/>
        <w:snapToGrid w:val="0"/>
        <w:spacing w:line="360" w:lineRule="auto"/>
        <w:ind w:firstLine="422" w:firstLineChars="200"/>
        <w:rPr>
          <w:rFonts w:ascii="宋体" w:hAnsi="宋体"/>
          <w:b/>
          <w:szCs w:val="21"/>
        </w:rPr>
      </w:pPr>
      <w:r>
        <w:rPr>
          <w:rFonts w:hint="eastAsia" w:ascii="宋体" w:hAnsi="宋体"/>
          <w:b/>
          <w:szCs w:val="21"/>
        </w:rPr>
        <w:t>三、检查考评项目</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按北京市城管委纳入检查考评范围的街乡</w:t>
      </w:r>
      <w:r>
        <w:rPr>
          <w:rFonts w:ascii="宋体" w:hAnsi="宋体"/>
          <w:kern w:val="0"/>
          <w:szCs w:val="21"/>
        </w:rPr>
        <w:t>(镇)管理范围环境卫生作业项目进行检查考评，考评结果纳入</w:t>
      </w:r>
      <w:r>
        <w:rPr>
          <w:rFonts w:hint="eastAsia" w:ascii="宋体" w:hAnsi="宋体"/>
          <w:szCs w:val="21"/>
        </w:rPr>
        <w:t>《市容环境卫生综合考评（专业评价）》。街乡（镇）管理范围作业项目包括背街小巷、门前及其他责任区等。</w:t>
      </w:r>
    </w:p>
    <w:p>
      <w:pPr>
        <w:adjustRightInd w:val="0"/>
        <w:snapToGrid w:val="0"/>
        <w:spacing w:line="360" w:lineRule="auto"/>
        <w:ind w:firstLine="422" w:firstLineChars="200"/>
        <w:rPr>
          <w:rFonts w:ascii="宋体" w:hAnsi="宋体"/>
          <w:b/>
          <w:szCs w:val="21"/>
        </w:rPr>
      </w:pPr>
      <w:r>
        <w:rPr>
          <w:rFonts w:hint="eastAsia" w:ascii="宋体" w:hAnsi="宋体"/>
          <w:b/>
          <w:szCs w:val="21"/>
        </w:rPr>
        <w:t>四、检查考评形式</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考评采取“日检查、月考核、季评价、年汇总”的形式，对街乡</w:t>
      </w:r>
      <w:r>
        <w:rPr>
          <w:rFonts w:ascii="宋体" w:hAnsi="宋体"/>
          <w:kern w:val="0"/>
          <w:szCs w:val="21"/>
        </w:rPr>
        <w:t>(镇)管理范围环境卫生作业进行检查考评。即在各区规定的数量范围内，每日对各检查项目抽样实施现场检查；每月将现场检查结果统计进行考核；每季度综合月考核结果与季度检查情况进行评价；年终对全年工作进行总评。</w:t>
      </w:r>
    </w:p>
    <w:p>
      <w:pPr>
        <w:adjustRightInd w:val="0"/>
        <w:snapToGrid w:val="0"/>
        <w:spacing w:line="360" w:lineRule="auto"/>
        <w:ind w:firstLine="420" w:firstLineChars="200"/>
        <w:rPr>
          <w:rFonts w:ascii="宋体" w:hAnsi="宋体"/>
          <w:szCs w:val="21"/>
        </w:rPr>
      </w:pPr>
      <w:r>
        <w:rPr>
          <w:rFonts w:hint="eastAsia" w:ascii="宋体" w:hAnsi="宋体"/>
          <w:szCs w:val="21"/>
        </w:rPr>
        <w:t>（一）日检查</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检查考核内容包含作业管理、作业基础、作业规范、作业质量、安全生产与应急处置等内容。市垃圾渣土管理处、市环境卫生协会将日检查结果整理审核后，在</w:t>
      </w:r>
      <w:r>
        <w:rPr>
          <w:rFonts w:hint="eastAsia" w:ascii="宋体" w:hAnsi="宋体"/>
          <w:szCs w:val="21"/>
        </w:rPr>
        <w:t>北京市城管委</w:t>
      </w:r>
      <w:r>
        <w:rPr>
          <w:rFonts w:hint="eastAsia" w:ascii="宋体" w:hAnsi="宋体"/>
          <w:kern w:val="0"/>
          <w:szCs w:val="21"/>
        </w:rPr>
        <w:t>与本单位网站《街乡环境卫生检查》栏公示。公示内容包含所属街乡（镇）、作业项目、地理位置、问题描述及图片、检查时间和检查结果等内容。</w:t>
      </w:r>
    </w:p>
    <w:p>
      <w:pPr>
        <w:adjustRightInd w:val="0"/>
        <w:snapToGrid w:val="0"/>
        <w:spacing w:line="360" w:lineRule="auto"/>
        <w:ind w:firstLine="420" w:firstLineChars="200"/>
        <w:rPr>
          <w:rFonts w:ascii="宋体" w:hAnsi="宋体"/>
          <w:szCs w:val="21"/>
        </w:rPr>
      </w:pPr>
      <w:r>
        <w:rPr>
          <w:rFonts w:hint="eastAsia" w:ascii="宋体" w:hAnsi="宋体"/>
          <w:szCs w:val="21"/>
        </w:rPr>
        <w:t>（二）月考核</w:t>
      </w:r>
    </w:p>
    <w:p>
      <w:pPr>
        <w:adjustRightInd w:val="0"/>
        <w:snapToGrid w:val="0"/>
        <w:spacing w:line="360" w:lineRule="auto"/>
        <w:ind w:firstLine="420" w:firstLineChars="200"/>
        <w:rPr>
          <w:rFonts w:ascii="宋体" w:hAnsi="宋体"/>
          <w:kern w:val="0"/>
          <w:szCs w:val="21"/>
        </w:rPr>
      </w:pPr>
      <w:r>
        <w:rPr>
          <w:rFonts w:ascii="宋体" w:hAnsi="宋体"/>
          <w:szCs w:val="21"/>
        </w:rPr>
        <w:t>1.</w:t>
      </w:r>
      <w:r>
        <w:rPr>
          <w:rFonts w:hint="eastAsia" w:ascii="宋体" w:hAnsi="宋体"/>
          <w:kern w:val="0"/>
          <w:szCs w:val="21"/>
        </w:rPr>
        <w:t>考核内容：以自然月为一个周期，对日检查结果汇总进行月考核</w:t>
      </w:r>
    </w:p>
    <w:p>
      <w:pPr>
        <w:adjustRightInd w:val="0"/>
        <w:snapToGrid w:val="0"/>
        <w:spacing w:line="360" w:lineRule="auto"/>
        <w:ind w:firstLine="420" w:firstLineChars="200"/>
        <w:rPr>
          <w:rFonts w:ascii="宋体" w:hAnsi="宋体"/>
          <w:kern w:val="0"/>
          <w:szCs w:val="21"/>
        </w:rPr>
      </w:pPr>
      <w:r>
        <w:rPr>
          <w:rFonts w:ascii="宋体" w:hAnsi="宋体"/>
          <w:szCs w:val="21"/>
        </w:rPr>
        <w:t>2.</w:t>
      </w:r>
      <w:r>
        <w:rPr>
          <w:rFonts w:hint="eastAsia" w:ascii="宋体" w:hAnsi="宋体"/>
          <w:kern w:val="0"/>
          <w:szCs w:val="21"/>
        </w:rPr>
        <w:t>考核计分</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w:t>
      </w:r>
      <w:r>
        <w:rPr>
          <w:rFonts w:ascii="宋体" w:hAnsi="宋体"/>
          <w:kern w:val="0"/>
          <w:szCs w:val="21"/>
        </w:rPr>
        <w:t>1）分层级计分</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检查考核内容分三个部分三个层级，第一及第二层级采用百分制按权重计分，第三层级采用固定分值按项次累计计分。由第三层级向上逐级计算，最终得出总分值。</w:t>
      </w:r>
    </w:p>
    <w:p>
      <w:pPr>
        <w:adjustRightInd w:val="0"/>
        <w:snapToGrid w:val="0"/>
        <w:spacing w:line="360" w:lineRule="auto"/>
        <w:ind w:firstLine="420" w:firstLineChars="200"/>
        <w:rPr>
          <w:rFonts w:ascii="宋体" w:hAnsi="宋体"/>
          <w:kern w:val="0"/>
          <w:szCs w:val="21"/>
        </w:rPr>
      </w:pPr>
      <w:r>
        <w:rPr>
          <w:rFonts w:hint="eastAsia" w:ascii="宋体" w:hAnsi="宋体"/>
          <w:szCs w:val="21"/>
        </w:rPr>
        <w:t>（</w:t>
      </w:r>
      <w:r>
        <w:rPr>
          <w:rFonts w:ascii="宋体" w:hAnsi="宋体"/>
          <w:szCs w:val="21"/>
        </w:rPr>
        <w:t>2）</w:t>
      </w:r>
      <w:r>
        <w:rPr>
          <w:rFonts w:hint="eastAsia" w:ascii="宋体" w:hAnsi="宋体"/>
          <w:kern w:val="0"/>
          <w:szCs w:val="21"/>
        </w:rPr>
        <w:t>计分方法</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检查考核不合格时扣除该问题相应分值，按检查项次累计计分，扣分分值不超过该问题所属第二层级条目分值。（扣分分值</w:t>
      </w:r>
      <w:r>
        <w:rPr>
          <w:rFonts w:ascii="宋体" w:hAnsi="宋体"/>
          <w:kern w:val="0"/>
          <w:szCs w:val="21"/>
        </w:rPr>
        <w:t>=问题分值*不合格项次）</w:t>
      </w:r>
    </w:p>
    <w:p>
      <w:pPr>
        <w:adjustRightInd w:val="0"/>
        <w:snapToGrid w:val="0"/>
        <w:spacing w:line="360" w:lineRule="auto"/>
        <w:ind w:firstLine="420" w:firstLineChars="200"/>
        <w:rPr>
          <w:rFonts w:ascii="宋体" w:hAnsi="宋体"/>
          <w:kern w:val="0"/>
          <w:szCs w:val="21"/>
        </w:rPr>
      </w:pPr>
      <w:r>
        <w:rPr>
          <w:rFonts w:ascii="宋体" w:hAnsi="宋体"/>
          <w:szCs w:val="21"/>
        </w:rPr>
        <w:t xml:space="preserve">  3.</w:t>
      </w:r>
      <w:r>
        <w:rPr>
          <w:rFonts w:hint="eastAsia" w:ascii="宋体" w:hAnsi="宋体"/>
          <w:kern w:val="0"/>
          <w:szCs w:val="21"/>
        </w:rPr>
        <w:t>考核结果通报</w:t>
      </w:r>
    </w:p>
    <w:p>
      <w:pPr>
        <w:adjustRightInd w:val="0"/>
        <w:snapToGrid w:val="0"/>
        <w:spacing w:line="360" w:lineRule="auto"/>
        <w:ind w:firstLine="420" w:firstLineChars="200"/>
        <w:rPr>
          <w:rFonts w:ascii="宋体" w:hAnsi="宋体"/>
          <w:kern w:val="0"/>
          <w:szCs w:val="21"/>
        </w:rPr>
      </w:pPr>
      <w:r>
        <w:rPr>
          <w:rFonts w:hint="eastAsia" w:ascii="宋体" w:hAnsi="宋体"/>
          <w:szCs w:val="21"/>
        </w:rPr>
        <w:t>北京市城管委</w:t>
      </w:r>
      <w:r>
        <w:rPr>
          <w:rFonts w:hint="eastAsia" w:ascii="宋体" w:hAnsi="宋体"/>
          <w:kern w:val="0"/>
          <w:szCs w:val="21"/>
        </w:rPr>
        <w:t>每月审核考核结果后，</w:t>
      </w:r>
      <w:r>
        <w:rPr>
          <w:rFonts w:hint="eastAsia" w:ascii="宋体" w:hAnsi="宋体"/>
          <w:szCs w:val="21"/>
        </w:rPr>
        <w:t>上报市政府并通报区政府。考核结果包括分值、存在问题和工作建议等。</w:t>
      </w:r>
    </w:p>
    <w:p>
      <w:pPr>
        <w:adjustRightInd w:val="0"/>
        <w:snapToGrid w:val="0"/>
        <w:spacing w:line="360" w:lineRule="auto"/>
        <w:ind w:firstLine="420" w:firstLineChars="200"/>
        <w:rPr>
          <w:rFonts w:ascii="宋体" w:hAnsi="宋体"/>
          <w:szCs w:val="21"/>
        </w:rPr>
      </w:pPr>
      <w:r>
        <w:rPr>
          <w:rFonts w:hint="eastAsia" w:ascii="宋体" w:hAnsi="宋体"/>
          <w:szCs w:val="21"/>
        </w:rPr>
        <w:t>（三）季评价</w:t>
      </w:r>
    </w:p>
    <w:p>
      <w:pPr>
        <w:adjustRightInd w:val="0"/>
        <w:snapToGrid w:val="0"/>
        <w:spacing w:line="360" w:lineRule="auto"/>
        <w:ind w:firstLine="420" w:firstLineChars="200"/>
        <w:rPr>
          <w:rFonts w:ascii="宋体" w:hAnsi="宋体"/>
          <w:kern w:val="0"/>
          <w:szCs w:val="21"/>
        </w:rPr>
      </w:pPr>
      <w:r>
        <w:rPr>
          <w:rFonts w:ascii="宋体" w:hAnsi="宋体"/>
          <w:szCs w:val="21"/>
        </w:rPr>
        <w:t>1.</w:t>
      </w:r>
      <w:r>
        <w:rPr>
          <w:rFonts w:hint="eastAsia" w:ascii="宋体" w:hAnsi="宋体"/>
          <w:szCs w:val="21"/>
        </w:rPr>
        <w:t>评价周期</w:t>
      </w:r>
      <w:r>
        <w:rPr>
          <w:rFonts w:hint="eastAsia" w:ascii="宋体" w:hAnsi="宋体"/>
          <w:kern w:val="0"/>
          <w:szCs w:val="21"/>
        </w:rPr>
        <w:t>：</w:t>
      </w:r>
      <w:r>
        <w:rPr>
          <w:rFonts w:hint="eastAsia" w:ascii="宋体" w:hAnsi="宋体"/>
          <w:szCs w:val="21"/>
        </w:rPr>
        <w:t>以自然季度为一个周期，对</w:t>
      </w:r>
      <w:r>
        <w:rPr>
          <w:rFonts w:hint="eastAsia" w:ascii="宋体" w:hAnsi="宋体"/>
          <w:kern w:val="0"/>
          <w:szCs w:val="21"/>
        </w:rPr>
        <w:t>街乡（镇）管理范围作业考核、作业基础、专家季度检查评价等情况进行汇总评价。</w:t>
      </w:r>
    </w:p>
    <w:p>
      <w:pPr>
        <w:adjustRightInd w:val="0"/>
        <w:snapToGrid w:val="0"/>
        <w:spacing w:line="360" w:lineRule="auto"/>
        <w:ind w:firstLine="420" w:firstLineChars="200"/>
        <w:rPr>
          <w:rFonts w:ascii="宋体" w:hAnsi="宋体"/>
          <w:szCs w:val="21"/>
        </w:rPr>
      </w:pPr>
      <w:r>
        <w:rPr>
          <w:rFonts w:ascii="宋体" w:hAnsi="宋体"/>
          <w:szCs w:val="21"/>
        </w:rPr>
        <w:t>2.</w:t>
      </w:r>
      <w:r>
        <w:rPr>
          <w:rFonts w:hint="eastAsia" w:ascii="宋体" w:hAnsi="宋体"/>
          <w:kern w:val="0"/>
          <w:szCs w:val="21"/>
        </w:rPr>
        <w:t>评价结果通报</w:t>
      </w:r>
    </w:p>
    <w:p>
      <w:pPr>
        <w:adjustRightInd w:val="0"/>
        <w:snapToGrid w:val="0"/>
        <w:spacing w:line="360" w:lineRule="auto"/>
        <w:ind w:firstLine="420" w:firstLineChars="200"/>
        <w:rPr>
          <w:rFonts w:ascii="宋体" w:hAnsi="宋体"/>
          <w:kern w:val="0"/>
          <w:szCs w:val="21"/>
        </w:rPr>
      </w:pPr>
      <w:r>
        <w:rPr>
          <w:rFonts w:hint="eastAsia" w:ascii="宋体" w:hAnsi="宋体"/>
          <w:szCs w:val="21"/>
        </w:rPr>
        <w:t>北京市城管委</w:t>
      </w:r>
      <w:r>
        <w:rPr>
          <w:rFonts w:hint="eastAsia" w:ascii="宋体" w:hAnsi="宋体"/>
          <w:kern w:val="0"/>
          <w:szCs w:val="21"/>
        </w:rPr>
        <w:t>每季度审核评价结果后，</w:t>
      </w:r>
      <w:r>
        <w:rPr>
          <w:rFonts w:hint="eastAsia" w:ascii="宋体" w:hAnsi="宋体"/>
          <w:szCs w:val="21"/>
        </w:rPr>
        <w:t>上报市政府并通报区政府。</w:t>
      </w:r>
    </w:p>
    <w:p>
      <w:pPr>
        <w:adjustRightInd w:val="0"/>
        <w:snapToGrid w:val="0"/>
        <w:spacing w:line="360" w:lineRule="auto"/>
        <w:ind w:firstLine="422" w:firstLineChars="200"/>
        <w:rPr>
          <w:rFonts w:ascii="宋体" w:hAnsi="宋体"/>
          <w:b/>
          <w:szCs w:val="21"/>
        </w:rPr>
      </w:pPr>
      <w:r>
        <w:rPr>
          <w:rFonts w:hint="eastAsia" w:ascii="宋体" w:hAnsi="宋体"/>
          <w:b/>
          <w:szCs w:val="21"/>
        </w:rPr>
        <w:t>五、检查考评程序</w:t>
      </w:r>
    </w:p>
    <w:p>
      <w:pPr>
        <w:adjustRightInd w:val="0"/>
        <w:snapToGrid w:val="0"/>
        <w:spacing w:line="360" w:lineRule="auto"/>
        <w:ind w:firstLine="420" w:firstLineChars="200"/>
        <w:rPr>
          <w:rFonts w:ascii="宋体" w:hAnsi="宋体"/>
          <w:kern w:val="0"/>
          <w:szCs w:val="21"/>
        </w:rPr>
      </w:pPr>
      <w:r>
        <w:rPr>
          <w:rFonts w:hint="eastAsia" w:ascii="宋体" w:hAnsi="宋体"/>
          <w:szCs w:val="21"/>
        </w:rPr>
        <w:t>（一）</w:t>
      </w:r>
      <w:r>
        <w:rPr>
          <w:rFonts w:hint="eastAsia" w:ascii="宋体" w:hAnsi="宋体"/>
          <w:kern w:val="0"/>
          <w:szCs w:val="21"/>
        </w:rPr>
        <w:t>岗前培训</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为更好的实施检查考评工作，组织检查考评人员进行系统培训，考核合格后，方能参与检查考评工作；同时组织对被检查单位相关人员的培训。</w:t>
      </w:r>
    </w:p>
    <w:p>
      <w:pPr>
        <w:adjustRightInd w:val="0"/>
        <w:snapToGrid w:val="0"/>
        <w:spacing w:line="360" w:lineRule="auto"/>
        <w:ind w:firstLine="420" w:firstLineChars="200"/>
        <w:rPr>
          <w:rFonts w:ascii="宋体" w:hAnsi="宋体"/>
          <w:kern w:val="0"/>
          <w:szCs w:val="21"/>
        </w:rPr>
      </w:pPr>
      <w:r>
        <w:rPr>
          <w:rFonts w:hint="eastAsia" w:ascii="宋体" w:hAnsi="宋体"/>
          <w:szCs w:val="21"/>
        </w:rPr>
        <w:t>（二）实施</w:t>
      </w:r>
      <w:r>
        <w:rPr>
          <w:rFonts w:hint="eastAsia" w:ascii="宋体" w:hAnsi="宋体"/>
          <w:kern w:val="0"/>
          <w:szCs w:val="21"/>
        </w:rPr>
        <w:t>检查</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现场检查人员不少于</w:t>
      </w:r>
      <w:r>
        <w:rPr>
          <w:rFonts w:ascii="宋体" w:hAnsi="宋体"/>
          <w:kern w:val="0"/>
          <w:szCs w:val="21"/>
        </w:rPr>
        <w:t>2人。对检查项目采取观察作业情况、听取介绍、问询岗位人员、查阅相关运行资料和记录等方式进行检查，检查时填写《街乡(镇)管理范围检查考核记录表》，对存在的问题进行说明、拍照或摄像。</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每季度组织专家对全市街乡</w:t>
      </w:r>
      <w:r>
        <w:rPr>
          <w:rFonts w:ascii="宋体" w:hAnsi="宋体"/>
          <w:kern w:val="0"/>
          <w:szCs w:val="21"/>
        </w:rPr>
        <w:t>(镇)管理范围环境卫生实施检查，检查时填写《季度专家检查记录表》，检查情况汇总后纳入季度评价报告。</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（三）复查</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检查中出现较为突出的问题，视情况进行复查，复查结果纳入复查当日检查结果。</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（四）编写报告</w:t>
      </w:r>
    </w:p>
    <w:p>
      <w:pPr>
        <w:adjustRightInd w:val="0"/>
        <w:snapToGrid w:val="0"/>
        <w:spacing w:line="360" w:lineRule="auto"/>
        <w:ind w:firstLine="420" w:firstLineChars="200"/>
        <w:rPr>
          <w:rFonts w:ascii="宋体" w:hAnsi="宋体"/>
          <w:kern w:val="0"/>
          <w:szCs w:val="21"/>
        </w:rPr>
      </w:pPr>
      <w:r>
        <w:rPr>
          <w:rFonts w:ascii="宋体" w:hAnsi="宋体"/>
          <w:kern w:val="0"/>
          <w:szCs w:val="21"/>
        </w:rPr>
        <w:t>1.月考核报告</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市垃圾渣土管理处、市环境卫生协会每月将日常检查结果进行汇总、分析，分别编写考核报告，</w:t>
      </w:r>
      <w:r>
        <w:rPr>
          <w:rFonts w:hint="eastAsia" w:ascii="宋体" w:hAnsi="宋体"/>
          <w:szCs w:val="21"/>
        </w:rPr>
        <w:t>于次月的前</w:t>
      </w:r>
      <w:r>
        <w:rPr>
          <w:rFonts w:ascii="宋体" w:hAnsi="宋体"/>
          <w:szCs w:val="21"/>
        </w:rPr>
        <w:t>5</w:t>
      </w:r>
      <w:r>
        <w:rPr>
          <w:rFonts w:hint="eastAsia" w:ascii="宋体" w:hAnsi="宋体"/>
          <w:szCs w:val="21"/>
        </w:rPr>
        <w:t>个工作日内完成并</w:t>
      </w:r>
      <w:r>
        <w:rPr>
          <w:rFonts w:hint="eastAsia" w:ascii="宋体" w:hAnsi="宋体"/>
          <w:kern w:val="0"/>
          <w:szCs w:val="21"/>
        </w:rPr>
        <w:t>上报市城管委。</w:t>
      </w:r>
    </w:p>
    <w:p>
      <w:pPr>
        <w:adjustRightInd w:val="0"/>
        <w:snapToGrid w:val="0"/>
        <w:spacing w:line="360" w:lineRule="auto"/>
        <w:ind w:firstLine="420" w:firstLineChars="200"/>
        <w:rPr>
          <w:rFonts w:ascii="宋体" w:hAnsi="宋体"/>
          <w:kern w:val="0"/>
          <w:szCs w:val="21"/>
        </w:rPr>
      </w:pPr>
      <w:r>
        <w:rPr>
          <w:rFonts w:ascii="宋体" w:hAnsi="宋体"/>
          <w:kern w:val="0"/>
          <w:szCs w:val="21"/>
        </w:rPr>
        <w:t>2.季评价报告</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各区环卫行业主管部门于下季度首月的前</w:t>
      </w:r>
      <w:r>
        <w:rPr>
          <w:rFonts w:ascii="宋体" w:hAnsi="宋体"/>
          <w:kern w:val="0"/>
          <w:szCs w:val="21"/>
        </w:rPr>
        <w:t>3个工作日内将《街乡（镇）管理范围环卫作业基础报表》（见附件1）经盖章后，城六区报送至市垃圾渣土管理处、郊区县</w:t>
      </w:r>
      <w:r>
        <w:rPr>
          <w:rFonts w:hint="eastAsia" w:ascii="宋体" w:hAnsi="宋体"/>
          <w:szCs w:val="21"/>
        </w:rPr>
        <w:t>报送至</w:t>
      </w:r>
      <w:r>
        <w:rPr>
          <w:rFonts w:hint="eastAsia" w:ascii="宋体" w:hAnsi="宋体"/>
          <w:kern w:val="0"/>
          <w:szCs w:val="21"/>
        </w:rPr>
        <w:t>市环境卫生协会。</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市垃圾渣土管理处、市环境卫生协会按季度将月考核结果、专家检查评价意见、作业基础评价情况进行汇总分析，分别形成城六区、郊区县季评价报告，</w:t>
      </w:r>
      <w:r>
        <w:rPr>
          <w:rFonts w:hint="eastAsia" w:ascii="宋体" w:hAnsi="宋体"/>
          <w:szCs w:val="21"/>
        </w:rPr>
        <w:t>于下季度首月的前</w:t>
      </w:r>
      <w:r>
        <w:rPr>
          <w:rFonts w:ascii="宋体" w:hAnsi="宋体"/>
          <w:szCs w:val="21"/>
        </w:rPr>
        <w:t>5</w:t>
      </w:r>
      <w:r>
        <w:rPr>
          <w:rFonts w:hint="eastAsia" w:ascii="宋体" w:hAnsi="宋体"/>
          <w:szCs w:val="21"/>
        </w:rPr>
        <w:t>个工作日内完成并</w:t>
      </w:r>
      <w:r>
        <w:rPr>
          <w:rFonts w:hint="eastAsia" w:ascii="宋体" w:hAnsi="宋体"/>
          <w:kern w:val="0"/>
          <w:szCs w:val="21"/>
        </w:rPr>
        <w:t>上报</w:t>
      </w:r>
      <w:r>
        <w:rPr>
          <w:rFonts w:hint="eastAsia" w:ascii="宋体" w:hAnsi="宋体"/>
          <w:szCs w:val="21"/>
        </w:rPr>
        <w:t>北京市城管委</w:t>
      </w:r>
      <w:r>
        <w:rPr>
          <w:rFonts w:hint="eastAsia" w:ascii="宋体" w:hAnsi="宋体"/>
          <w:kern w:val="0"/>
          <w:szCs w:val="21"/>
        </w:rPr>
        <w:t>。</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（五）整改</w:t>
      </w:r>
    </w:p>
    <w:p>
      <w:pPr>
        <w:adjustRightInd w:val="0"/>
        <w:snapToGrid w:val="0"/>
        <w:spacing w:line="360" w:lineRule="auto"/>
        <w:ind w:firstLine="420" w:firstLineChars="200"/>
        <w:rPr>
          <w:rFonts w:ascii="宋体" w:hAnsi="宋体"/>
          <w:kern w:val="0"/>
          <w:szCs w:val="21"/>
        </w:rPr>
      </w:pPr>
      <w:r>
        <w:rPr>
          <w:rFonts w:hint="eastAsia" w:ascii="宋体" w:hAnsi="宋体"/>
          <w:szCs w:val="21"/>
        </w:rPr>
        <w:t>北京市城管委</w:t>
      </w:r>
      <w:r>
        <w:rPr>
          <w:rFonts w:hint="eastAsia" w:ascii="宋体" w:hAnsi="宋体"/>
          <w:kern w:val="0"/>
          <w:szCs w:val="21"/>
        </w:rPr>
        <w:t>定期组织召开分析通报会。</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被检单位应针对检查考评中发现的问题，制定整改计划，并以书面形式，城六区报市垃圾渣土管理处，郊区报市环卫协会；对未能按期完成整改任务的单位</w:t>
      </w:r>
      <w:r>
        <w:rPr>
          <w:rFonts w:ascii="宋体" w:hAnsi="宋体"/>
          <w:kern w:val="0"/>
          <w:szCs w:val="21"/>
        </w:rPr>
        <w:t>, 市垃圾渣土管理处、市环卫协会</w:t>
      </w:r>
      <w:r>
        <w:rPr>
          <w:rFonts w:hint="eastAsia" w:ascii="宋体" w:hAnsi="宋体"/>
          <w:kern w:val="0"/>
          <w:szCs w:val="21"/>
        </w:rPr>
        <w:t>将下发督办单限期完成，并复查。</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（六）争议与复核</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被检查单位对日检查结果存有异议</w:t>
      </w:r>
      <w:r>
        <w:rPr>
          <w:rFonts w:ascii="宋体" w:hAnsi="宋体"/>
          <w:kern w:val="0"/>
          <w:szCs w:val="21"/>
        </w:rPr>
        <w:t>,可以在公示之后3个工</w:t>
      </w:r>
      <w:r>
        <w:rPr>
          <w:rFonts w:hint="eastAsia" w:ascii="宋体" w:hAnsi="宋体"/>
          <w:kern w:val="0"/>
          <w:szCs w:val="21"/>
        </w:rPr>
        <w:t>作日内，城区向市垃圾渣土管理处、郊区向市环卫协会反映，市垃圾渣土管理处和市环卫协会</w:t>
      </w:r>
      <w:r>
        <w:rPr>
          <w:rFonts w:ascii="宋体" w:hAnsi="宋体"/>
          <w:kern w:val="0"/>
          <w:szCs w:val="21"/>
        </w:rPr>
        <w:t>3个工作日内给予回复；被检查单位对回复结果有异议，可在收到回复后3个工作日内</w:t>
      </w:r>
      <w:r>
        <w:rPr>
          <w:rFonts w:hint="eastAsia" w:ascii="宋体" w:hAnsi="宋体"/>
          <w:kern w:val="0"/>
          <w:szCs w:val="21"/>
        </w:rPr>
        <w:t>向</w:t>
      </w:r>
      <w:r>
        <w:rPr>
          <w:rFonts w:hint="eastAsia" w:ascii="宋体" w:hAnsi="宋体"/>
          <w:szCs w:val="21"/>
        </w:rPr>
        <w:t>北京市城管委</w:t>
      </w:r>
      <w:r>
        <w:rPr>
          <w:rFonts w:hint="eastAsia" w:ascii="宋体" w:hAnsi="宋体"/>
          <w:kern w:val="0"/>
          <w:szCs w:val="21"/>
        </w:rPr>
        <w:t>提请复核。</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被检查单位对考评结果通报存有异议，可在接到通报后</w:t>
      </w:r>
      <w:r>
        <w:rPr>
          <w:rFonts w:ascii="宋体" w:hAnsi="宋体"/>
          <w:kern w:val="0"/>
          <w:szCs w:val="21"/>
        </w:rPr>
        <w:t>5个工作日内向</w:t>
      </w:r>
      <w:r>
        <w:rPr>
          <w:rFonts w:hint="eastAsia" w:ascii="宋体" w:hAnsi="宋体"/>
          <w:szCs w:val="21"/>
        </w:rPr>
        <w:t>北京市城管委</w:t>
      </w:r>
      <w:r>
        <w:rPr>
          <w:rFonts w:hint="eastAsia" w:ascii="宋体" w:hAnsi="宋体"/>
          <w:kern w:val="0"/>
          <w:szCs w:val="21"/>
        </w:rPr>
        <w:t>提请复核。</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（七）存档</w:t>
      </w:r>
    </w:p>
    <w:p>
      <w:pPr>
        <w:adjustRightInd w:val="0"/>
        <w:snapToGrid w:val="0"/>
        <w:spacing w:line="360" w:lineRule="auto"/>
        <w:ind w:firstLine="420" w:firstLineChars="200"/>
        <w:rPr>
          <w:rFonts w:ascii="宋体" w:hAnsi="宋体"/>
          <w:szCs w:val="21"/>
        </w:rPr>
      </w:pPr>
      <w:r>
        <w:rPr>
          <w:rFonts w:hint="eastAsia" w:ascii="宋体" w:hAnsi="宋体"/>
          <w:szCs w:val="21"/>
        </w:rPr>
        <w:t>市垃圾渣土管理处、市环卫协会将每个项目全年的检查考评记录整理后存档保存，保存期为二年，电子记录保存期为五年。</w:t>
      </w:r>
    </w:p>
    <w:p>
      <w:pPr>
        <w:adjustRightInd w:val="0"/>
        <w:snapToGrid w:val="0"/>
        <w:spacing w:line="360" w:lineRule="auto"/>
        <w:ind w:firstLine="422" w:firstLineChars="200"/>
        <w:rPr>
          <w:rFonts w:ascii="宋体" w:hAnsi="宋体"/>
          <w:b/>
          <w:szCs w:val="21"/>
        </w:rPr>
      </w:pPr>
      <w:r>
        <w:rPr>
          <w:rFonts w:hint="eastAsia" w:ascii="宋体" w:hAnsi="宋体"/>
          <w:b/>
          <w:szCs w:val="21"/>
        </w:rPr>
        <w:t>六、年终考评总结</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市垃圾渣土管理处、市环卫协会汇总全年检查考核和评价结果，分别形成城六区、郊区报告，上报</w:t>
      </w:r>
      <w:r>
        <w:rPr>
          <w:rFonts w:hint="eastAsia" w:ascii="宋体" w:hAnsi="宋体"/>
          <w:szCs w:val="21"/>
        </w:rPr>
        <w:t>北京市城管委</w:t>
      </w:r>
      <w:r>
        <w:rPr>
          <w:rFonts w:hint="eastAsia" w:ascii="宋体" w:hAnsi="宋体"/>
          <w:kern w:val="0"/>
          <w:szCs w:val="21"/>
        </w:rPr>
        <w:t>，</w:t>
      </w:r>
      <w:r>
        <w:rPr>
          <w:rFonts w:hint="eastAsia" w:ascii="宋体" w:hAnsi="宋体"/>
          <w:szCs w:val="21"/>
        </w:rPr>
        <w:t>北京市城管委</w:t>
      </w:r>
      <w:r>
        <w:rPr>
          <w:rFonts w:hint="eastAsia" w:ascii="宋体" w:hAnsi="宋体"/>
          <w:kern w:val="0"/>
          <w:szCs w:val="21"/>
        </w:rPr>
        <w:t>审核后对外进行通报。</w:t>
      </w:r>
    </w:p>
    <w:p>
      <w:pPr>
        <w:adjustRightInd w:val="0"/>
        <w:snapToGrid w:val="0"/>
        <w:spacing w:line="360" w:lineRule="auto"/>
        <w:ind w:firstLine="422" w:firstLineChars="200"/>
        <w:rPr>
          <w:rFonts w:ascii="宋体" w:hAnsi="宋体"/>
          <w:b/>
          <w:szCs w:val="21"/>
        </w:rPr>
      </w:pPr>
      <w:r>
        <w:rPr>
          <w:rFonts w:hint="eastAsia" w:ascii="宋体" w:hAnsi="宋体"/>
          <w:b/>
          <w:szCs w:val="21"/>
        </w:rPr>
        <w:t>七、监督检查体系的建设</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各区应参照本实施细则制定辖区内街乡</w:t>
      </w:r>
      <w:r>
        <w:rPr>
          <w:rFonts w:ascii="宋体" w:hAnsi="宋体"/>
          <w:kern w:val="0"/>
          <w:szCs w:val="21"/>
        </w:rPr>
        <w:t>(镇)管理范围环境卫生检查考评细则，建立组织机构、定期检查、及时反馈、定期通报、督促整改，建立长效管理机制。</w:t>
      </w:r>
    </w:p>
    <w:p>
      <w:pPr>
        <w:adjustRightInd w:val="0"/>
        <w:snapToGrid w:val="0"/>
        <w:spacing w:line="360" w:lineRule="auto"/>
        <w:ind w:firstLine="420" w:firstLineChars="200"/>
        <w:rPr>
          <w:rFonts w:ascii="宋体" w:hAnsi="宋体"/>
          <w:szCs w:val="21"/>
        </w:rPr>
      </w:pPr>
      <w:r>
        <w:rPr>
          <w:rFonts w:hint="eastAsia" w:ascii="宋体" w:hAnsi="宋体"/>
          <w:szCs w:val="21"/>
        </w:rPr>
        <w:t>八、本细则由市城管委委负责解释。</w:t>
      </w:r>
    </w:p>
    <w:p>
      <w:pPr>
        <w:adjustRightInd w:val="0"/>
        <w:snapToGrid w:val="0"/>
        <w:spacing w:line="360" w:lineRule="auto"/>
        <w:ind w:firstLine="420" w:firstLineChars="200"/>
        <w:rPr>
          <w:rFonts w:ascii="宋体" w:hAnsi="宋体"/>
          <w:szCs w:val="21"/>
        </w:rPr>
      </w:pPr>
      <w:r>
        <w:rPr>
          <w:rFonts w:hint="eastAsia" w:ascii="宋体" w:hAnsi="宋体"/>
          <w:szCs w:val="21"/>
        </w:rPr>
        <w:t>九、本细则自</w:t>
      </w:r>
      <w:r>
        <w:rPr>
          <w:rFonts w:ascii="宋体" w:hAnsi="宋体"/>
          <w:szCs w:val="21"/>
        </w:rPr>
        <w:t>2015年1月1日起执行。</w:t>
      </w:r>
    </w:p>
    <w:p>
      <w:pPr>
        <w:snapToGrid w:val="0"/>
        <w:spacing w:line="560" w:lineRule="exact"/>
        <w:rPr>
          <w:rFonts w:ascii="宋体" w:hAnsi="宋体"/>
          <w:kern w:val="0"/>
          <w:szCs w:val="21"/>
        </w:rPr>
      </w:pPr>
    </w:p>
    <w:p>
      <w:pPr>
        <w:snapToGrid w:val="0"/>
        <w:spacing w:line="560" w:lineRule="exact"/>
        <w:ind w:firstLine="420" w:firstLineChars="200"/>
        <w:rPr>
          <w:rFonts w:ascii="宋体" w:hAnsi="宋体"/>
          <w:kern w:val="0"/>
          <w:szCs w:val="21"/>
        </w:rPr>
      </w:pPr>
      <w:r>
        <w:rPr>
          <w:rFonts w:hint="eastAsia" w:ascii="宋体" w:hAnsi="宋体"/>
          <w:kern w:val="0"/>
          <w:szCs w:val="21"/>
        </w:rPr>
        <w:t>附件</w:t>
      </w:r>
      <w:r>
        <w:rPr>
          <w:rFonts w:ascii="宋体" w:hAnsi="宋体"/>
          <w:kern w:val="0"/>
          <w:szCs w:val="21"/>
        </w:rPr>
        <w:t>1：街乡（镇）范围环境卫生作业基础报表</w:t>
      </w:r>
    </w:p>
    <w:p>
      <w:pPr>
        <w:snapToGrid w:val="0"/>
        <w:spacing w:line="560" w:lineRule="exact"/>
        <w:ind w:firstLine="420" w:firstLineChars="200"/>
        <w:rPr>
          <w:rFonts w:ascii="宋体" w:hAnsi="宋体"/>
          <w:kern w:val="0"/>
          <w:szCs w:val="21"/>
        </w:rPr>
      </w:pPr>
      <w:r>
        <w:rPr>
          <w:rFonts w:hint="eastAsia" w:ascii="宋体" w:hAnsi="宋体"/>
          <w:kern w:val="0"/>
          <w:szCs w:val="21"/>
        </w:rPr>
        <w:t>附件</w:t>
      </w:r>
      <w:r>
        <w:rPr>
          <w:rFonts w:ascii="宋体" w:hAnsi="宋体"/>
          <w:kern w:val="0"/>
          <w:szCs w:val="21"/>
        </w:rPr>
        <w:t>2：街乡（镇）管理范围环境卫生检查考核标准</w:t>
      </w:r>
    </w:p>
    <w:p>
      <w:pPr>
        <w:snapToGrid w:val="0"/>
        <w:spacing w:line="560" w:lineRule="exact"/>
        <w:ind w:firstLine="420" w:firstLineChars="200"/>
        <w:rPr>
          <w:rFonts w:ascii="宋体" w:hAnsi="宋体"/>
          <w:kern w:val="0"/>
          <w:szCs w:val="21"/>
        </w:rPr>
      </w:pPr>
      <w:r>
        <w:rPr>
          <w:rFonts w:hint="eastAsia" w:ascii="宋体" w:hAnsi="宋体"/>
          <w:kern w:val="0"/>
          <w:szCs w:val="21"/>
        </w:rPr>
        <w:t>附件</w:t>
      </w:r>
      <w:r>
        <w:rPr>
          <w:rFonts w:ascii="宋体" w:hAnsi="宋体"/>
          <w:kern w:val="0"/>
          <w:szCs w:val="21"/>
        </w:rPr>
        <w:t>3：街乡（镇）管理范围环境卫生季度专家检查标准</w:t>
      </w:r>
    </w:p>
    <w:p>
      <w:pPr>
        <w:spacing w:line="360" w:lineRule="auto"/>
        <w:jc w:val="center"/>
        <w:outlineLvl w:val="0"/>
        <w:rPr>
          <w:b/>
          <w:sz w:val="36"/>
          <w:szCs w:val="36"/>
        </w:rPr>
      </w:pPr>
    </w:p>
    <w:p>
      <w:pPr>
        <w:pStyle w:val="2"/>
        <w:ind w:firstLine="480"/>
      </w:pPr>
    </w:p>
    <w:p>
      <w:pPr>
        <w:pStyle w:val="2"/>
        <w:ind w:firstLine="480"/>
        <w:sectPr>
          <w:pgSz w:w="11907" w:h="16840"/>
          <w:pgMar w:top="1276" w:right="1134" w:bottom="1418" w:left="1701" w:header="851" w:footer="851" w:gutter="0"/>
          <w:cols w:space="720" w:num="1"/>
          <w:docGrid w:linePitch="462" w:charSpace="0"/>
        </w:sectPr>
      </w:pPr>
    </w:p>
    <w:p>
      <w:pPr>
        <w:rPr>
          <w:rFonts w:ascii="宋体" w:hAnsi="宋体"/>
          <w:kern w:val="0"/>
          <w:szCs w:val="21"/>
        </w:rPr>
      </w:pPr>
      <w:r>
        <w:rPr>
          <w:rFonts w:hint="eastAsia" w:ascii="宋体" w:hAnsi="宋体"/>
          <w:kern w:val="0"/>
          <w:szCs w:val="21"/>
        </w:rPr>
        <w:t>附件1：</w:t>
      </w:r>
    </w:p>
    <w:p>
      <w:pPr>
        <w:jc w:val="center"/>
        <w:rPr>
          <w:rFonts w:ascii="宋体" w:hAnsi="宋体"/>
          <w:b/>
          <w:kern w:val="0"/>
          <w:szCs w:val="21"/>
        </w:rPr>
      </w:pPr>
      <w:r>
        <w:rPr>
          <w:rFonts w:hint="eastAsia" w:ascii="宋体" w:hAnsi="宋体"/>
          <w:b/>
          <w:kern w:val="0"/>
          <w:szCs w:val="21"/>
        </w:rPr>
        <w:t xml:space="preserve">     街乡（镇）范围环境卫生作业基础报表</w:t>
      </w:r>
    </w:p>
    <w:p>
      <w:pPr>
        <w:jc w:val="left"/>
        <w:rPr>
          <w:rFonts w:ascii="宋体" w:hAnsi="宋体"/>
          <w:szCs w:val="21"/>
        </w:rPr>
      </w:pPr>
    </w:p>
    <w:p>
      <w:pPr>
        <w:jc w:val="left"/>
        <w:rPr>
          <w:rFonts w:ascii="宋体" w:hAnsi="宋体"/>
          <w:szCs w:val="21"/>
        </w:rPr>
      </w:pPr>
      <w:r>
        <w:rPr>
          <w:rFonts w:hint="eastAsia" w:ascii="宋体" w:hAnsi="宋体"/>
          <w:szCs w:val="21"/>
        </w:rPr>
        <w:t>区：（盖章）</w:t>
      </w:r>
    </w:p>
    <w:tbl>
      <w:tblPr>
        <w:tblStyle w:val="46"/>
        <w:tblW w:w="15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063"/>
        <w:gridCol w:w="635"/>
        <w:gridCol w:w="2552"/>
        <w:gridCol w:w="850"/>
        <w:gridCol w:w="1276"/>
        <w:gridCol w:w="1559"/>
        <w:gridCol w:w="1752"/>
        <w:gridCol w:w="1191"/>
        <w:gridCol w:w="3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300" w:type="dxa"/>
            <w:vMerge w:val="restart"/>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项目</w:t>
            </w:r>
          </w:p>
        </w:tc>
        <w:tc>
          <w:tcPr>
            <w:tcW w:w="1063" w:type="dxa"/>
            <w:vMerge w:val="restart"/>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类别</w:t>
            </w:r>
          </w:p>
        </w:tc>
        <w:tc>
          <w:tcPr>
            <w:tcW w:w="635" w:type="dxa"/>
            <w:vMerge w:val="restart"/>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序号</w:t>
            </w:r>
          </w:p>
        </w:tc>
        <w:tc>
          <w:tcPr>
            <w:tcW w:w="7989" w:type="dxa"/>
            <w:gridSpan w:val="5"/>
            <w:vAlign w:val="center"/>
          </w:tcPr>
          <w:p>
            <w:pPr>
              <w:widowControl/>
              <w:jc w:val="center"/>
              <w:rPr>
                <w:rFonts w:ascii="宋体" w:hAnsi="宋体" w:cs="宋体"/>
                <w:b/>
                <w:kern w:val="0"/>
                <w:szCs w:val="21"/>
              </w:rPr>
            </w:pPr>
            <w:r>
              <w:rPr>
                <w:rFonts w:hint="eastAsia" w:ascii="宋体" w:hAnsi="宋体" w:cs="宋体"/>
                <w:b/>
                <w:kern w:val="0"/>
                <w:szCs w:val="21"/>
              </w:rPr>
              <w:t>评价内容</w:t>
            </w:r>
          </w:p>
        </w:tc>
        <w:tc>
          <w:tcPr>
            <w:tcW w:w="1191" w:type="dxa"/>
            <w:vMerge w:val="restart"/>
            <w:vAlign w:val="center"/>
          </w:tcPr>
          <w:p>
            <w:pPr>
              <w:widowControl/>
              <w:jc w:val="center"/>
              <w:rPr>
                <w:rFonts w:ascii="宋体" w:hAnsi="宋体" w:cs="宋体"/>
                <w:b/>
                <w:kern w:val="0"/>
                <w:szCs w:val="21"/>
              </w:rPr>
            </w:pPr>
            <w:r>
              <w:rPr>
                <w:rFonts w:hint="eastAsia" w:ascii="宋体" w:hAnsi="宋体" w:cs="宋体"/>
                <w:b/>
                <w:kern w:val="0"/>
                <w:szCs w:val="21"/>
              </w:rPr>
              <w:t>单位</w:t>
            </w:r>
          </w:p>
        </w:tc>
        <w:tc>
          <w:tcPr>
            <w:tcW w:w="3115" w:type="dxa"/>
            <w:vMerge w:val="restart"/>
            <w:vAlign w:val="center"/>
          </w:tcPr>
          <w:p>
            <w:pPr>
              <w:widowControl/>
              <w:jc w:val="center"/>
              <w:rPr>
                <w:rFonts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0" w:type="dxa"/>
            <w:vMerge w:val="continue"/>
            <w:shd w:val="clear" w:color="auto" w:fill="auto"/>
            <w:vAlign w:val="center"/>
          </w:tcPr>
          <w:p>
            <w:pPr>
              <w:jc w:val="center"/>
              <w:rPr>
                <w:rFonts w:ascii="宋体" w:hAnsi="宋体" w:cs="宋体"/>
                <w:b/>
                <w:kern w:val="0"/>
                <w:szCs w:val="21"/>
              </w:rPr>
            </w:pPr>
          </w:p>
        </w:tc>
        <w:tc>
          <w:tcPr>
            <w:tcW w:w="1063" w:type="dxa"/>
            <w:vMerge w:val="continue"/>
            <w:shd w:val="clear" w:color="auto" w:fill="auto"/>
            <w:vAlign w:val="center"/>
          </w:tcPr>
          <w:p>
            <w:pPr>
              <w:jc w:val="center"/>
              <w:rPr>
                <w:rFonts w:ascii="宋体" w:hAnsi="宋体" w:cs="宋体"/>
                <w:b/>
                <w:kern w:val="0"/>
                <w:szCs w:val="21"/>
              </w:rPr>
            </w:pPr>
          </w:p>
        </w:tc>
        <w:tc>
          <w:tcPr>
            <w:tcW w:w="635" w:type="dxa"/>
            <w:vMerge w:val="continue"/>
            <w:shd w:val="clear" w:color="auto" w:fill="auto"/>
            <w:vAlign w:val="center"/>
          </w:tcPr>
          <w:p>
            <w:pPr>
              <w:jc w:val="center"/>
              <w:rPr>
                <w:rFonts w:ascii="宋体" w:hAnsi="宋体" w:cs="宋体"/>
                <w:b/>
                <w:kern w:val="0"/>
                <w:szCs w:val="21"/>
              </w:rPr>
            </w:pPr>
          </w:p>
        </w:tc>
        <w:tc>
          <w:tcPr>
            <w:tcW w:w="2552" w:type="dxa"/>
            <w:vAlign w:val="center"/>
          </w:tcPr>
          <w:p>
            <w:pPr>
              <w:jc w:val="center"/>
              <w:rPr>
                <w:rFonts w:ascii="宋体" w:hAnsi="宋体" w:cs="宋体"/>
                <w:b/>
                <w:kern w:val="0"/>
                <w:szCs w:val="21"/>
              </w:rPr>
            </w:pPr>
            <w:r>
              <w:rPr>
                <w:rFonts w:hint="eastAsia" w:ascii="宋体" w:hAnsi="宋体" w:cs="宋体"/>
                <w:b/>
                <w:kern w:val="0"/>
                <w:szCs w:val="21"/>
              </w:rPr>
              <w:t>内容</w:t>
            </w:r>
          </w:p>
        </w:tc>
        <w:tc>
          <w:tcPr>
            <w:tcW w:w="850" w:type="dxa"/>
            <w:vAlign w:val="center"/>
          </w:tcPr>
          <w:p>
            <w:pPr>
              <w:widowControl/>
              <w:jc w:val="center"/>
              <w:rPr>
                <w:rFonts w:ascii="宋体" w:hAnsi="宋体" w:cs="宋体"/>
                <w:b/>
                <w:kern w:val="0"/>
                <w:szCs w:val="21"/>
              </w:rPr>
            </w:pPr>
            <w:r>
              <w:rPr>
                <w:rFonts w:hint="eastAsia" w:ascii="宋体" w:hAnsi="宋体" w:cs="宋体"/>
                <w:b/>
                <w:kern w:val="0"/>
                <w:szCs w:val="21"/>
              </w:rPr>
              <w:t>总计</w:t>
            </w:r>
          </w:p>
        </w:tc>
        <w:tc>
          <w:tcPr>
            <w:tcW w:w="1276" w:type="dxa"/>
            <w:vAlign w:val="center"/>
          </w:tcPr>
          <w:p>
            <w:pPr>
              <w:widowControl/>
              <w:jc w:val="center"/>
              <w:rPr>
                <w:rFonts w:ascii="宋体" w:hAnsi="宋体" w:cs="宋体"/>
                <w:b/>
                <w:kern w:val="0"/>
                <w:szCs w:val="21"/>
              </w:rPr>
            </w:pPr>
            <w:r>
              <w:rPr>
                <w:rFonts w:hint="eastAsia" w:ascii="宋体" w:hAnsi="宋体" w:cs="宋体"/>
                <w:b/>
                <w:kern w:val="0"/>
                <w:szCs w:val="21"/>
              </w:rPr>
              <w:t>一级清扫保洁城市道路</w:t>
            </w:r>
          </w:p>
        </w:tc>
        <w:tc>
          <w:tcPr>
            <w:tcW w:w="1559" w:type="dxa"/>
            <w:vAlign w:val="center"/>
          </w:tcPr>
          <w:p>
            <w:pPr>
              <w:widowControl/>
              <w:jc w:val="center"/>
              <w:rPr>
                <w:rFonts w:ascii="宋体" w:hAnsi="宋体" w:cs="宋体"/>
                <w:b/>
                <w:kern w:val="0"/>
                <w:szCs w:val="21"/>
              </w:rPr>
            </w:pPr>
            <w:r>
              <w:rPr>
                <w:rFonts w:hint="eastAsia" w:ascii="宋体" w:hAnsi="宋体" w:cs="宋体"/>
                <w:b/>
                <w:kern w:val="0"/>
                <w:szCs w:val="21"/>
              </w:rPr>
              <w:t>二级清扫保洁城市道路</w:t>
            </w:r>
          </w:p>
        </w:tc>
        <w:tc>
          <w:tcPr>
            <w:tcW w:w="1752" w:type="dxa"/>
            <w:vAlign w:val="center"/>
          </w:tcPr>
          <w:p>
            <w:pPr>
              <w:widowControl/>
              <w:jc w:val="center"/>
              <w:rPr>
                <w:rFonts w:ascii="宋体" w:hAnsi="宋体" w:cs="宋体"/>
                <w:b/>
                <w:kern w:val="0"/>
                <w:szCs w:val="21"/>
              </w:rPr>
            </w:pPr>
            <w:r>
              <w:rPr>
                <w:rFonts w:hint="eastAsia" w:ascii="宋体" w:hAnsi="宋体" w:cs="宋体"/>
                <w:b/>
                <w:kern w:val="0"/>
                <w:szCs w:val="21"/>
              </w:rPr>
              <w:t>三级清扫保洁</w:t>
            </w:r>
          </w:p>
          <w:p>
            <w:pPr>
              <w:widowControl/>
              <w:jc w:val="center"/>
              <w:rPr>
                <w:rFonts w:ascii="宋体" w:hAnsi="宋体" w:cs="宋体"/>
                <w:b/>
                <w:kern w:val="0"/>
                <w:szCs w:val="21"/>
              </w:rPr>
            </w:pPr>
            <w:r>
              <w:rPr>
                <w:rFonts w:hint="eastAsia" w:ascii="宋体" w:hAnsi="宋体" w:cs="宋体"/>
                <w:b/>
                <w:kern w:val="0"/>
                <w:szCs w:val="21"/>
              </w:rPr>
              <w:t>城市道路</w:t>
            </w:r>
          </w:p>
        </w:tc>
        <w:tc>
          <w:tcPr>
            <w:tcW w:w="1191" w:type="dxa"/>
            <w:vMerge w:val="continue"/>
            <w:vAlign w:val="center"/>
          </w:tcPr>
          <w:p>
            <w:pPr>
              <w:widowControl/>
              <w:jc w:val="center"/>
              <w:rPr>
                <w:rFonts w:ascii="宋体" w:hAnsi="宋体" w:cs="宋体"/>
                <w:b/>
                <w:kern w:val="0"/>
                <w:szCs w:val="21"/>
              </w:rPr>
            </w:pPr>
          </w:p>
        </w:tc>
        <w:tc>
          <w:tcPr>
            <w:tcW w:w="3115" w:type="dxa"/>
            <w:vMerge w:val="continue"/>
            <w:vAlign w:val="center"/>
          </w:tcPr>
          <w:p>
            <w:pPr>
              <w:widowControl/>
              <w:jc w:val="center"/>
              <w:rPr>
                <w:rFonts w:ascii="宋体" w:hAnsi="宋体" w:cs="宋体"/>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restart"/>
            <w:shd w:val="clear" w:color="auto" w:fill="auto"/>
            <w:vAlign w:val="center"/>
          </w:tcPr>
          <w:p>
            <w:pPr>
              <w:jc w:val="center"/>
              <w:rPr>
                <w:rFonts w:ascii="宋体" w:hAnsi="宋体" w:cs="宋体"/>
                <w:b/>
                <w:kern w:val="0"/>
                <w:szCs w:val="21"/>
              </w:rPr>
            </w:pPr>
            <w:r>
              <w:rPr>
                <w:rFonts w:hint="eastAsia" w:ascii="宋体" w:hAnsi="宋体" w:cs="宋体"/>
                <w:b/>
                <w:kern w:val="0"/>
                <w:szCs w:val="21"/>
              </w:rPr>
              <w:t>城市道路</w:t>
            </w:r>
          </w:p>
        </w:tc>
        <w:tc>
          <w:tcPr>
            <w:tcW w:w="1063" w:type="dxa"/>
            <w:vMerge w:val="restart"/>
            <w:shd w:val="clear" w:color="auto" w:fill="auto"/>
            <w:vAlign w:val="center"/>
          </w:tcPr>
          <w:p>
            <w:pPr>
              <w:jc w:val="center"/>
              <w:rPr>
                <w:rFonts w:ascii="宋体" w:hAnsi="宋体" w:cs="宋体"/>
                <w:kern w:val="0"/>
                <w:szCs w:val="21"/>
              </w:rPr>
            </w:pPr>
            <w:r>
              <w:rPr>
                <w:rFonts w:hint="eastAsia" w:ascii="宋体" w:hAnsi="宋体" w:cs="宋体"/>
                <w:kern w:val="0"/>
                <w:szCs w:val="21"/>
              </w:rPr>
              <w:t>作业能力</w:t>
            </w:r>
          </w:p>
        </w:tc>
        <w:tc>
          <w:tcPr>
            <w:tcW w:w="635"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2552" w:type="dxa"/>
            <w:vAlign w:val="center"/>
          </w:tcPr>
          <w:p>
            <w:pPr>
              <w:widowControl/>
              <w:jc w:val="center"/>
              <w:rPr>
                <w:rFonts w:ascii="宋体" w:hAnsi="宋体" w:cs="宋体"/>
                <w:kern w:val="0"/>
                <w:szCs w:val="21"/>
              </w:rPr>
            </w:pPr>
            <w:r>
              <w:rPr>
                <w:rFonts w:hint="eastAsia" w:ascii="宋体" w:hAnsi="宋体" w:cs="宋体"/>
                <w:kern w:val="0"/>
                <w:szCs w:val="21"/>
              </w:rPr>
              <w:t>人工清扫保洁作业人员</w:t>
            </w:r>
          </w:p>
        </w:tc>
        <w:tc>
          <w:tcPr>
            <w:tcW w:w="850" w:type="dxa"/>
            <w:vAlign w:val="center"/>
          </w:tcPr>
          <w:p>
            <w:pPr>
              <w:widowControl/>
              <w:jc w:val="center"/>
              <w:rPr>
                <w:rFonts w:ascii="宋体" w:hAnsi="宋体" w:cs="宋体"/>
                <w:kern w:val="0"/>
                <w:szCs w:val="21"/>
              </w:rPr>
            </w:pPr>
          </w:p>
        </w:tc>
        <w:tc>
          <w:tcPr>
            <w:tcW w:w="1276"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c>
          <w:tcPr>
            <w:tcW w:w="1752" w:type="dxa"/>
            <w:vAlign w:val="center"/>
          </w:tcPr>
          <w:p>
            <w:pPr>
              <w:widowControl/>
              <w:jc w:val="center"/>
              <w:rPr>
                <w:rFonts w:ascii="宋体" w:hAnsi="宋体" w:cs="宋体"/>
                <w:kern w:val="0"/>
                <w:szCs w:val="21"/>
              </w:rPr>
            </w:pPr>
          </w:p>
        </w:tc>
        <w:tc>
          <w:tcPr>
            <w:tcW w:w="1191" w:type="dxa"/>
            <w:vAlign w:val="center"/>
          </w:tcPr>
          <w:p>
            <w:pPr>
              <w:widowControl/>
              <w:jc w:val="center"/>
              <w:rPr>
                <w:rFonts w:ascii="宋体" w:hAnsi="宋体" w:cs="宋体"/>
                <w:kern w:val="0"/>
                <w:szCs w:val="21"/>
              </w:rPr>
            </w:pPr>
            <w:r>
              <w:rPr>
                <w:rFonts w:hint="eastAsia" w:ascii="宋体" w:hAnsi="宋体" w:cs="宋体"/>
                <w:kern w:val="0"/>
                <w:szCs w:val="21"/>
              </w:rPr>
              <w:t>人</w:t>
            </w:r>
          </w:p>
        </w:tc>
        <w:tc>
          <w:tcPr>
            <w:tcW w:w="3115" w:type="dxa"/>
            <w:vAlign w:val="center"/>
          </w:tcPr>
          <w:p>
            <w:pPr>
              <w:widowControl/>
              <w:jc w:val="center"/>
              <w:rPr>
                <w:rFonts w:ascii="宋体" w:hAnsi="宋体" w:cs="宋体"/>
                <w:kern w:val="0"/>
                <w:szCs w:val="21"/>
              </w:rPr>
            </w:pPr>
            <w:r>
              <w:rPr>
                <w:rFonts w:hint="eastAsia" w:ascii="宋体" w:hAnsi="宋体" w:cs="宋体"/>
                <w:kern w:val="0"/>
                <w:szCs w:val="21"/>
              </w:rPr>
              <w:t>包含环卫中心、街乡镇和社会单位的作业人员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shd w:val="clear" w:color="auto" w:fill="auto"/>
            <w:vAlign w:val="center"/>
          </w:tcPr>
          <w:p>
            <w:pPr>
              <w:widowControl/>
              <w:jc w:val="center"/>
              <w:rPr>
                <w:rFonts w:ascii="宋体" w:hAnsi="宋体" w:cs="宋体"/>
                <w:kern w:val="0"/>
                <w:szCs w:val="21"/>
              </w:rPr>
            </w:pPr>
          </w:p>
        </w:tc>
        <w:tc>
          <w:tcPr>
            <w:tcW w:w="1063" w:type="dxa"/>
            <w:vMerge w:val="continue"/>
            <w:shd w:val="clear" w:color="auto" w:fill="auto"/>
            <w:vAlign w:val="center"/>
          </w:tcPr>
          <w:p>
            <w:pPr>
              <w:widowControl/>
              <w:jc w:val="center"/>
              <w:rPr>
                <w:rFonts w:ascii="宋体" w:hAnsi="宋体" w:cs="宋体"/>
                <w:kern w:val="0"/>
                <w:szCs w:val="21"/>
              </w:rPr>
            </w:pPr>
          </w:p>
        </w:tc>
        <w:tc>
          <w:tcPr>
            <w:tcW w:w="635"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2552" w:type="dxa"/>
            <w:vAlign w:val="center"/>
          </w:tcPr>
          <w:p>
            <w:pPr>
              <w:widowControl/>
              <w:jc w:val="center"/>
              <w:rPr>
                <w:rFonts w:ascii="宋体" w:hAnsi="宋体" w:cs="宋体"/>
                <w:kern w:val="0"/>
                <w:szCs w:val="21"/>
              </w:rPr>
            </w:pPr>
            <w:r>
              <w:rPr>
                <w:rFonts w:hint="eastAsia" w:ascii="宋体" w:hAnsi="宋体" w:cs="宋体"/>
                <w:kern w:val="0"/>
                <w:szCs w:val="21"/>
              </w:rPr>
              <w:t>机械化清扫车</w:t>
            </w:r>
          </w:p>
        </w:tc>
        <w:tc>
          <w:tcPr>
            <w:tcW w:w="850" w:type="dxa"/>
            <w:vAlign w:val="center"/>
          </w:tcPr>
          <w:p>
            <w:pPr>
              <w:widowControl/>
              <w:jc w:val="center"/>
              <w:rPr>
                <w:rFonts w:ascii="宋体" w:hAnsi="宋体" w:cs="宋体"/>
                <w:kern w:val="0"/>
                <w:szCs w:val="21"/>
              </w:rPr>
            </w:pPr>
          </w:p>
        </w:tc>
        <w:tc>
          <w:tcPr>
            <w:tcW w:w="1276"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c>
          <w:tcPr>
            <w:tcW w:w="1752" w:type="dxa"/>
            <w:vAlign w:val="center"/>
          </w:tcPr>
          <w:p>
            <w:pPr>
              <w:widowControl/>
              <w:jc w:val="center"/>
              <w:rPr>
                <w:rFonts w:ascii="宋体" w:hAnsi="宋体" w:cs="宋体"/>
                <w:kern w:val="0"/>
                <w:szCs w:val="21"/>
              </w:rPr>
            </w:pPr>
          </w:p>
        </w:tc>
        <w:tc>
          <w:tcPr>
            <w:tcW w:w="1191" w:type="dxa"/>
            <w:vAlign w:val="center"/>
          </w:tcPr>
          <w:p>
            <w:pPr>
              <w:widowControl/>
              <w:jc w:val="center"/>
              <w:rPr>
                <w:rFonts w:ascii="宋体" w:hAnsi="宋体" w:cs="宋体"/>
                <w:kern w:val="0"/>
                <w:szCs w:val="21"/>
              </w:rPr>
            </w:pPr>
            <w:r>
              <w:rPr>
                <w:rFonts w:hint="eastAsia" w:ascii="宋体" w:hAnsi="宋体" w:cs="宋体"/>
                <w:kern w:val="0"/>
                <w:szCs w:val="21"/>
              </w:rPr>
              <w:t>辆</w:t>
            </w:r>
          </w:p>
        </w:tc>
        <w:tc>
          <w:tcPr>
            <w:tcW w:w="3115" w:type="dxa"/>
            <w:vMerge w:val="restart"/>
            <w:vAlign w:val="center"/>
          </w:tcPr>
          <w:p>
            <w:pPr>
              <w:widowControl/>
              <w:jc w:val="center"/>
              <w:rPr>
                <w:rFonts w:ascii="宋体" w:hAnsi="宋体" w:cs="宋体"/>
                <w:kern w:val="0"/>
                <w:szCs w:val="21"/>
              </w:rPr>
            </w:pPr>
            <w:r>
              <w:rPr>
                <w:rFonts w:hint="eastAsia" w:ascii="宋体" w:hAnsi="宋体" w:cs="宋体"/>
                <w:kern w:val="0"/>
                <w:szCs w:val="21"/>
              </w:rPr>
              <w:t>表格中填写正常使用车辆数量，备注中标注登记在册车辆数量。机械化作业车均包含大、中、小型车辆。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shd w:val="clear" w:color="auto" w:fill="auto"/>
            <w:vAlign w:val="center"/>
          </w:tcPr>
          <w:p>
            <w:pPr>
              <w:widowControl/>
              <w:jc w:val="center"/>
              <w:rPr>
                <w:rFonts w:ascii="宋体" w:hAnsi="宋体" w:cs="宋体"/>
                <w:kern w:val="0"/>
                <w:szCs w:val="21"/>
              </w:rPr>
            </w:pPr>
          </w:p>
        </w:tc>
        <w:tc>
          <w:tcPr>
            <w:tcW w:w="1063" w:type="dxa"/>
            <w:vMerge w:val="continue"/>
            <w:shd w:val="clear" w:color="auto" w:fill="auto"/>
            <w:vAlign w:val="center"/>
          </w:tcPr>
          <w:p>
            <w:pPr>
              <w:widowControl/>
              <w:jc w:val="center"/>
              <w:rPr>
                <w:rFonts w:ascii="宋体" w:hAnsi="宋体" w:cs="宋体"/>
                <w:kern w:val="0"/>
                <w:szCs w:val="21"/>
              </w:rPr>
            </w:pPr>
          </w:p>
        </w:tc>
        <w:tc>
          <w:tcPr>
            <w:tcW w:w="635"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w:t>
            </w:r>
          </w:p>
        </w:tc>
        <w:tc>
          <w:tcPr>
            <w:tcW w:w="2552" w:type="dxa"/>
            <w:vAlign w:val="center"/>
          </w:tcPr>
          <w:p>
            <w:pPr>
              <w:jc w:val="center"/>
              <w:rPr>
                <w:rFonts w:ascii="宋体" w:hAnsi="宋体" w:cs="宋体"/>
                <w:kern w:val="0"/>
                <w:szCs w:val="21"/>
              </w:rPr>
            </w:pPr>
            <w:r>
              <w:rPr>
                <w:rFonts w:hint="eastAsia" w:ascii="宋体" w:hAnsi="宋体" w:cs="宋体"/>
                <w:kern w:val="0"/>
                <w:szCs w:val="21"/>
              </w:rPr>
              <w:t>机械化洗地车</w:t>
            </w:r>
          </w:p>
        </w:tc>
        <w:tc>
          <w:tcPr>
            <w:tcW w:w="850" w:type="dxa"/>
            <w:vAlign w:val="center"/>
          </w:tcPr>
          <w:p>
            <w:pPr>
              <w:widowControl/>
              <w:jc w:val="center"/>
              <w:rPr>
                <w:rFonts w:ascii="宋体" w:hAnsi="宋体" w:cs="宋体"/>
                <w:kern w:val="0"/>
                <w:szCs w:val="21"/>
              </w:rPr>
            </w:pPr>
          </w:p>
        </w:tc>
        <w:tc>
          <w:tcPr>
            <w:tcW w:w="1276" w:type="dxa"/>
            <w:vAlign w:val="center"/>
          </w:tcPr>
          <w:p>
            <w:pPr>
              <w:jc w:val="center"/>
              <w:rPr>
                <w:rFonts w:ascii="宋体" w:hAnsi="宋体" w:cs="宋体"/>
                <w:kern w:val="0"/>
                <w:szCs w:val="21"/>
              </w:rPr>
            </w:pPr>
          </w:p>
        </w:tc>
        <w:tc>
          <w:tcPr>
            <w:tcW w:w="1559" w:type="dxa"/>
            <w:vAlign w:val="center"/>
          </w:tcPr>
          <w:p>
            <w:pPr>
              <w:jc w:val="center"/>
              <w:rPr>
                <w:rFonts w:ascii="宋体" w:hAnsi="宋体" w:cs="宋体"/>
                <w:kern w:val="0"/>
                <w:szCs w:val="21"/>
              </w:rPr>
            </w:pPr>
          </w:p>
        </w:tc>
        <w:tc>
          <w:tcPr>
            <w:tcW w:w="1752" w:type="dxa"/>
            <w:vAlign w:val="center"/>
          </w:tcPr>
          <w:p>
            <w:pPr>
              <w:jc w:val="center"/>
              <w:rPr>
                <w:rFonts w:ascii="宋体" w:hAnsi="宋体" w:cs="宋体"/>
                <w:kern w:val="0"/>
                <w:szCs w:val="21"/>
              </w:rPr>
            </w:pPr>
          </w:p>
        </w:tc>
        <w:tc>
          <w:tcPr>
            <w:tcW w:w="1191" w:type="dxa"/>
            <w:vAlign w:val="center"/>
          </w:tcPr>
          <w:p>
            <w:pPr>
              <w:jc w:val="center"/>
              <w:rPr>
                <w:rFonts w:ascii="宋体" w:hAnsi="宋体" w:cs="宋体"/>
                <w:kern w:val="0"/>
                <w:szCs w:val="21"/>
              </w:rPr>
            </w:pPr>
            <w:r>
              <w:rPr>
                <w:rFonts w:hint="eastAsia" w:ascii="宋体" w:hAnsi="宋体" w:cs="宋体"/>
                <w:kern w:val="0"/>
                <w:szCs w:val="21"/>
              </w:rPr>
              <w:t>辆</w:t>
            </w:r>
          </w:p>
        </w:tc>
        <w:tc>
          <w:tcPr>
            <w:tcW w:w="3115" w:type="dxa"/>
            <w:vMerge w:val="continue"/>
            <w:vAlign w:val="center"/>
          </w:tcPr>
          <w:p>
            <w:pPr>
              <w:widowControl/>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shd w:val="clear" w:color="auto" w:fill="auto"/>
            <w:vAlign w:val="center"/>
          </w:tcPr>
          <w:p>
            <w:pPr>
              <w:widowControl/>
              <w:jc w:val="center"/>
              <w:rPr>
                <w:rFonts w:ascii="宋体" w:hAnsi="宋体" w:cs="宋体"/>
                <w:kern w:val="0"/>
                <w:szCs w:val="21"/>
              </w:rPr>
            </w:pPr>
          </w:p>
        </w:tc>
        <w:tc>
          <w:tcPr>
            <w:tcW w:w="1063" w:type="dxa"/>
            <w:vMerge w:val="continue"/>
            <w:shd w:val="clear" w:color="auto" w:fill="auto"/>
            <w:vAlign w:val="center"/>
          </w:tcPr>
          <w:p>
            <w:pPr>
              <w:widowControl/>
              <w:jc w:val="center"/>
              <w:rPr>
                <w:rFonts w:ascii="宋体" w:hAnsi="宋体" w:cs="宋体"/>
                <w:kern w:val="0"/>
                <w:szCs w:val="21"/>
              </w:rPr>
            </w:pPr>
          </w:p>
        </w:tc>
        <w:tc>
          <w:tcPr>
            <w:tcW w:w="635"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w:t>
            </w:r>
          </w:p>
        </w:tc>
        <w:tc>
          <w:tcPr>
            <w:tcW w:w="2552" w:type="dxa"/>
            <w:vAlign w:val="center"/>
          </w:tcPr>
          <w:p>
            <w:pPr>
              <w:jc w:val="center"/>
              <w:rPr>
                <w:rFonts w:ascii="宋体" w:hAnsi="宋体" w:cs="宋体"/>
                <w:kern w:val="0"/>
                <w:szCs w:val="21"/>
              </w:rPr>
            </w:pPr>
            <w:r>
              <w:rPr>
                <w:rFonts w:hint="eastAsia" w:ascii="宋体" w:hAnsi="宋体" w:cs="宋体"/>
                <w:kern w:val="0"/>
                <w:szCs w:val="21"/>
              </w:rPr>
              <w:t>水车</w:t>
            </w:r>
          </w:p>
        </w:tc>
        <w:tc>
          <w:tcPr>
            <w:tcW w:w="850" w:type="dxa"/>
            <w:vAlign w:val="center"/>
          </w:tcPr>
          <w:p>
            <w:pPr>
              <w:widowControl/>
              <w:jc w:val="center"/>
              <w:rPr>
                <w:rFonts w:ascii="宋体" w:hAnsi="宋体" w:cs="宋体"/>
                <w:kern w:val="0"/>
                <w:szCs w:val="21"/>
              </w:rPr>
            </w:pPr>
          </w:p>
        </w:tc>
        <w:tc>
          <w:tcPr>
            <w:tcW w:w="1276" w:type="dxa"/>
            <w:vAlign w:val="center"/>
          </w:tcPr>
          <w:p>
            <w:pPr>
              <w:jc w:val="center"/>
              <w:rPr>
                <w:rFonts w:ascii="宋体" w:hAnsi="宋体" w:cs="宋体"/>
                <w:kern w:val="0"/>
                <w:szCs w:val="21"/>
              </w:rPr>
            </w:pPr>
          </w:p>
        </w:tc>
        <w:tc>
          <w:tcPr>
            <w:tcW w:w="1559" w:type="dxa"/>
            <w:vAlign w:val="center"/>
          </w:tcPr>
          <w:p>
            <w:pPr>
              <w:jc w:val="center"/>
              <w:rPr>
                <w:rFonts w:ascii="宋体" w:hAnsi="宋体" w:cs="宋体"/>
                <w:kern w:val="0"/>
                <w:szCs w:val="21"/>
              </w:rPr>
            </w:pPr>
          </w:p>
        </w:tc>
        <w:tc>
          <w:tcPr>
            <w:tcW w:w="1752" w:type="dxa"/>
            <w:vAlign w:val="center"/>
          </w:tcPr>
          <w:p>
            <w:pPr>
              <w:jc w:val="center"/>
              <w:rPr>
                <w:rFonts w:ascii="宋体" w:hAnsi="宋体" w:cs="宋体"/>
                <w:kern w:val="0"/>
                <w:szCs w:val="21"/>
              </w:rPr>
            </w:pPr>
          </w:p>
        </w:tc>
        <w:tc>
          <w:tcPr>
            <w:tcW w:w="1191" w:type="dxa"/>
            <w:vAlign w:val="center"/>
          </w:tcPr>
          <w:p>
            <w:pPr>
              <w:jc w:val="center"/>
              <w:rPr>
                <w:rFonts w:ascii="宋体" w:hAnsi="宋体" w:cs="宋体"/>
                <w:kern w:val="0"/>
                <w:szCs w:val="21"/>
              </w:rPr>
            </w:pPr>
            <w:r>
              <w:rPr>
                <w:rFonts w:hint="eastAsia" w:ascii="宋体" w:hAnsi="宋体" w:cs="宋体"/>
                <w:kern w:val="0"/>
                <w:szCs w:val="21"/>
              </w:rPr>
              <w:t>辆</w:t>
            </w:r>
          </w:p>
        </w:tc>
        <w:tc>
          <w:tcPr>
            <w:tcW w:w="3115" w:type="dxa"/>
            <w:vMerge w:val="continue"/>
            <w:vAlign w:val="center"/>
          </w:tcPr>
          <w:p>
            <w:pPr>
              <w:widowControl/>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shd w:val="clear" w:color="auto" w:fill="auto"/>
            <w:vAlign w:val="center"/>
          </w:tcPr>
          <w:p>
            <w:pPr>
              <w:widowControl/>
              <w:jc w:val="center"/>
              <w:rPr>
                <w:rFonts w:ascii="宋体" w:hAnsi="宋体" w:cs="宋体"/>
                <w:kern w:val="0"/>
                <w:szCs w:val="21"/>
              </w:rPr>
            </w:pPr>
          </w:p>
        </w:tc>
        <w:tc>
          <w:tcPr>
            <w:tcW w:w="1063" w:type="dxa"/>
            <w:vMerge w:val="continue"/>
            <w:shd w:val="clear" w:color="auto" w:fill="auto"/>
            <w:vAlign w:val="center"/>
          </w:tcPr>
          <w:p>
            <w:pPr>
              <w:widowControl/>
              <w:jc w:val="center"/>
              <w:rPr>
                <w:rFonts w:ascii="宋体" w:hAnsi="宋体" w:cs="宋体"/>
                <w:kern w:val="0"/>
                <w:szCs w:val="21"/>
              </w:rPr>
            </w:pPr>
          </w:p>
        </w:tc>
        <w:tc>
          <w:tcPr>
            <w:tcW w:w="635"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2552" w:type="dxa"/>
            <w:vAlign w:val="center"/>
          </w:tcPr>
          <w:p>
            <w:pPr>
              <w:jc w:val="center"/>
              <w:rPr>
                <w:rFonts w:ascii="宋体" w:hAnsi="宋体" w:cs="宋体"/>
                <w:kern w:val="0"/>
                <w:szCs w:val="21"/>
              </w:rPr>
            </w:pPr>
            <w:r>
              <w:rPr>
                <w:rFonts w:hint="eastAsia" w:ascii="宋体" w:hAnsi="宋体" w:cs="宋体"/>
                <w:kern w:val="0"/>
                <w:szCs w:val="21"/>
              </w:rPr>
              <w:t>果皮箱</w:t>
            </w:r>
          </w:p>
        </w:tc>
        <w:tc>
          <w:tcPr>
            <w:tcW w:w="850" w:type="dxa"/>
            <w:vAlign w:val="center"/>
          </w:tcPr>
          <w:p>
            <w:pPr>
              <w:widowControl/>
              <w:jc w:val="center"/>
              <w:rPr>
                <w:rFonts w:ascii="宋体" w:hAnsi="宋体" w:cs="宋体"/>
                <w:kern w:val="0"/>
                <w:szCs w:val="21"/>
              </w:rPr>
            </w:pPr>
          </w:p>
        </w:tc>
        <w:tc>
          <w:tcPr>
            <w:tcW w:w="1276" w:type="dxa"/>
            <w:vAlign w:val="center"/>
          </w:tcPr>
          <w:p>
            <w:pPr>
              <w:jc w:val="center"/>
              <w:rPr>
                <w:rFonts w:ascii="宋体" w:hAnsi="宋体" w:cs="宋体"/>
                <w:kern w:val="0"/>
                <w:szCs w:val="21"/>
              </w:rPr>
            </w:pPr>
          </w:p>
        </w:tc>
        <w:tc>
          <w:tcPr>
            <w:tcW w:w="1559" w:type="dxa"/>
            <w:vAlign w:val="center"/>
          </w:tcPr>
          <w:p>
            <w:pPr>
              <w:jc w:val="center"/>
              <w:rPr>
                <w:rFonts w:ascii="宋体" w:hAnsi="宋体" w:cs="宋体"/>
                <w:kern w:val="0"/>
                <w:szCs w:val="21"/>
              </w:rPr>
            </w:pPr>
          </w:p>
        </w:tc>
        <w:tc>
          <w:tcPr>
            <w:tcW w:w="1752" w:type="dxa"/>
            <w:vAlign w:val="center"/>
          </w:tcPr>
          <w:p>
            <w:pPr>
              <w:jc w:val="center"/>
              <w:rPr>
                <w:rFonts w:ascii="宋体" w:hAnsi="宋体" w:cs="宋体"/>
                <w:kern w:val="0"/>
                <w:szCs w:val="21"/>
              </w:rPr>
            </w:pPr>
          </w:p>
        </w:tc>
        <w:tc>
          <w:tcPr>
            <w:tcW w:w="1191" w:type="dxa"/>
            <w:vAlign w:val="center"/>
          </w:tcPr>
          <w:p>
            <w:pPr>
              <w:jc w:val="center"/>
              <w:rPr>
                <w:rFonts w:ascii="宋体" w:hAnsi="宋体" w:cs="宋体"/>
                <w:kern w:val="0"/>
                <w:szCs w:val="21"/>
              </w:rPr>
            </w:pPr>
            <w:r>
              <w:rPr>
                <w:rFonts w:hint="eastAsia" w:ascii="宋体" w:hAnsi="宋体" w:cs="宋体"/>
                <w:kern w:val="0"/>
                <w:szCs w:val="21"/>
              </w:rPr>
              <w:t>组</w:t>
            </w:r>
          </w:p>
        </w:tc>
        <w:tc>
          <w:tcPr>
            <w:tcW w:w="3115" w:type="dxa"/>
            <w:vAlign w:val="center"/>
          </w:tcPr>
          <w:p>
            <w:pPr>
              <w:widowControl/>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shd w:val="clear" w:color="auto" w:fill="auto"/>
            <w:vAlign w:val="center"/>
          </w:tcPr>
          <w:p>
            <w:pPr>
              <w:widowControl/>
              <w:jc w:val="center"/>
              <w:rPr>
                <w:rFonts w:ascii="宋体" w:hAnsi="宋体" w:cs="宋体"/>
                <w:kern w:val="0"/>
                <w:szCs w:val="21"/>
              </w:rPr>
            </w:pPr>
          </w:p>
        </w:tc>
        <w:tc>
          <w:tcPr>
            <w:tcW w:w="1063"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作业量</w:t>
            </w:r>
          </w:p>
        </w:tc>
        <w:tc>
          <w:tcPr>
            <w:tcW w:w="635"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w:t>
            </w:r>
          </w:p>
        </w:tc>
        <w:tc>
          <w:tcPr>
            <w:tcW w:w="2552" w:type="dxa"/>
            <w:vAlign w:val="center"/>
          </w:tcPr>
          <w:p>
            <w:pPr>
              <w:widowControl/>
              <w:jc w:val="center"/>
              <w:rPr>
                <w:rFonts w:ascii="宋体" w:hAnsi="宋体" w:cs="宋体"/>
                <w:kern w:val="0"/>
                <w:szCs w:val="21"/>
              </w:rPr>
            </w:pPr>
            <w:r>
              <w:rPr>
                <w:rFonts w:hint="eastAsia" w:ascii="宋体" w:hAnsi="宋体" w:cs="宋体"/>
                <w:kern w:val="0"/>
                <w:szCs w:val="21"/>
              </w:rPr>
              <w:t>清扫保洁面积</w:t>
            </w:r>
          </w:p>
        </w:tc>
        <w:tc>
          <w:tcPr>
            <w:tcW w:w="850" w:type="dxa"/>
            <w:vAlign w:val="center"/>
          </w:tcPr>
          <w:p>
            <w:pPr>
              <w:widowControl/>
              <w:jc w:val="center"/>
              <w:rPr>
                <w:rFonts w:ascii="宋体" w:hAnsi="宋体" w:cs="宋体"/>
                <w:kern w:val="0"/>
                <w:szCs w:val="21"/>
              </w:rPr>
            </w:pPr>
          </w:p>
        </w:tc>
        <w:tc>
          <w:tcPr>
            <w:tcW w:w="1276"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c>
          <w:tcPr>
            <w:tcW w:w="1752" w:type="dxa"/>
            <w:vAlign w:val="center"/>
          </w:tcPr>
          <w:p>
            <w:pPr>
              <w:widowControl/>
              <w:jc w:val="center"/>
              <w:rPr>
                <w:rFonts w:ascii="宋体" w:hAnsi="宋体" w:cs="宋体"/>
                <w:kern w:val="0"/>
                <w:szCs w:val="21"/>
              </w:rPr>
            </w:pPr>
          </w:p>
        </w:tc>
        <w:tc>
          <w:tcPr>
            <w:tcW w:w="1191" w:type="dxa"/>
            <w:vAlign w:val="center"/>
          </w:tcPr>
          <w:p>
            <w:pPr>
              <w:widowControl/>
              <w:jc w:val="center"/>
              <w:rPr>
                <w:rFonts w:ascii="宋体" w:hAnsi="宋体" w:cs="宋体"/>
                <w:kern w:val="0"/>
                <w:szCs w:val="21"/>
              </w:rPr>
            </w:pPr>
            <w:r>
              <w:rPr>
                <w:rFonts w:hint="eastAsia" w:ascii="宋体" w:hAnsi="宋体" w:cs="宋体"/>
                <w:kern w:val="0"/>
                <w:szCs w:val="21"/>
              </w:rPr>
              <w:t>平米</w:t>
            </w:r>
          </w:p>
        </w:tc>
        <w:tc>
          <w:tcPr>
            <w:tcW w:w="3115" w:type="dxa"/>
            <w:vAlign w:val="center"/>
          </w:tcPr>
          <w:p>
            <w:pPr>
              <w:widowControl/>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shd w:val="clear" w:color="auto" w:fill="auto"/>
            <w:vAlign w:val="center"/>
          </w:tcPr>
          <w:p>
            <w:pPr>
              <w:widowControl/>
              <w:jc w:val="center"/>
              <w:rPr>
                <w:rFonts w:ascii="宋体" w:hAnsi="宋体" w:cs="宋体"/>
                <w:kern w:val="0"/>
                <w:szCs w:val="21"/>
              </w:rPr>
            </w:pPr>
          </w:p>
        </w:tc>
        <w:tc>
          <w:tcPr>
            <w:tcW w:w="1063" w:type="dxa"/>
            <w:vMerge w:val="continue"/>
            <w:shd w:val="clear" w:color="auto" w:fill="auto"/>
            <w:vAlign w:val="center"/>
          </w:tcPr>
          <w:p>
            <w:pPr>
              <w:widowControl/>
              <w:jc w:val="center"/>
              <w:rPr>
                <w:rFonts w:ascii="宋体" w:hAnsi="宋体" w:cs="宋体"/>
                <w:kern w:val="0"/>
                <w:szCs w:val="21"/>
              </w:rPr>
            </w:pPr>
          </w:p>
        </w:tc>
        <w:tc>
          <w:tcPr>
            <w:tcW w:w="635" w:type="dxa"/>
            <w:vMerge w:val="continue"/>
            <w:shd w:val="clear" w:color="auto" w:fill="auto"/>
            <w:vAlign w:val="center"/>
          </w:tcPr>
          <w:p>
            <w:pPr>
              <w:widowControl/>
              <w:jc w:val="center"/>
              <w:rPr>
                <w:rFonts w:ascii="宋体" w:hAnsi="宋体" w:cs="宋体"/>
                <w:kern w:val="0"/>
                <w:szCs w:val="21"/>
              </w:rPr>
            </w:pPr>
          </w:p>
        </w:tc>
        <w:tc>
          <w:tcPr>
            <w:tcW w:w="2552" w:type="dxa"/>
            <w:vAlign w:val="center"/>
          </w:tcPr>
          <w:p>
            <w:pPr>
              <w:widowControl/>
              <w:jc w:val="center"/>
              <w:rPr>
                <w:rFonts w:ascii="宋体" w:hAnsi="宋体" w:cs="宋体"/>
                <w:kern w:val="0"/>
                <w:szCs w:val="21"/>
              </w:rPr>
            </w:pPr>
            <w:r>
              <w:rPr>
                <w:rFonts w:hint="eastAsia" w:ascii="宋体" w:hAnsi="宋体" w:cs="宋体"/>
                <w:kern w:val="0"/>
                <w:szCs w:val="21"/>
              </w:rPr>
              <w:t>清扫保洁作业长度</w:t>
            </w:r>
          </w:p>
        </w:tc>
        <w:tc>
          <w:tcPr>
            <w:tcW w:w="850" w:type="dxa"/>
            <w:vAlign w:val="center"/>
          </w:tcPr>
          <w:p>
            <w:pPr>
              <w:widowControl/>
              <w:jc w:val="center"/>
              <w:rPr>
                <w:rFonts w:ascii="宋体" w:hAnsi="宋体" w:cs="宋体"/>
                <w:kern w:val="0"/>
                <w:szCs w:val="21"/>
              </w:rPr>
            </w:pPr>
          </w:p>
        </w:tc>
        <w:tc>
          <w:tcPr>
            <w:tcW w:w="1276"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c>
          <w:tcPr>
            <w:tcW w:w="1752" w:type="dxa"/>
            <w:vAlign w:val="center"/>
          </w:tcPr>
          <w:p>
            <w:pPr>
              <w:widowControl/>
              <w:jc w:val="center"/>
              <w:rPr>
                <w:rFonts w:ascii="宋体" w:hAnsi="宋体" w:cs="宋体"/>
                <w:kern w:val="0"/>
                <w:szCs w:val="21"/>
              </w:rPr>
            </w:pPr>
          </w:p>
        </w:tc>
        <w:tc>
          <w:tcPr>
            <w:tcW w:w="1191" w:type="dxa"/>
            <w:vAlign w:val="center"/>
          </w:tcPr>
          <w:p>
            <w:pPr>
              <w:widowControl/>
              <w:jc w:val="center"/>
              <w:rPr>
                <w:rFonts w:ascii="宋体" w:hAnsi="宋体" w:cs="宋体"/>
                <w:kern w:val="0"/>
                <w:szCs w:val="21"/>
              </w:rPr>
            </w:pPr>
            <w:r>
              <w:rPr>
                <w:rFonts w:hint="eastAsia" w:ascii="宋体" w:hAnsi="宋体" w:cs="宋体"/>
                <w:kern w:val="0"/>
                <w:szCs w:val="21"/>
              </w:rPr>
              <w:t>米</w:t>
            </w:r>
          </w:p>
        </w:tc>
        <w:tc>
          <w:tcPr>
            <w:tcW w:w="3115" w:type="dxa"/>
            <w:vAlign w:val="center"/>
          </w:tcPr>
          <w:p>
            <w:pPr>
              <w:widowControl/>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shd w:val="clear" w:color="auto" w:fill="auto"/>
            <w:vAlign w:val="center"/>
          </w:tcPr>
          <w:p>
            <w:pPr>
              <w:widowControl/>
              <w:jc w:val="center"/>
              <w:rPr>
                <w:rFonts w:ascii="宋体" w:hAnsi="宋体" w:cs="宋体"/>
                <w:kern w:val="0"/>
                <w:szCs w:val="21"/>
              </w:rPr>
            </w:pPr>
          </w:p>
        </w:tc>
        <w:tc>
          <w:tcPr>
            <w:tcW w:w="1063" w:type="dxa"/>
            <w:vMerge w:val="continue"/>
            <w:shd w:val="clear" w:color="auto" w:fill="auto"/>
            <w:vAlign w:val="center"/>
          </w:tcPr>
          <w:p>
            <w:pPr>
              <w:widowControl/>
              <w:jc w:val="center"/>
              <w:rPr>
                <w:rFonts w:ascii="宋体" w:hAnsi="宋体" w:cs="宋体"/>
                <w:kern w:val="0"/>
                <w:szCs w:val="21"/>
              </w:rPr>
            </w:pPr>
          </w:p>
        </w:tc>
        <w:tc>
          <w:tcPr>
            <w:tcW w:w="635"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w:t>
            </w:r>
          </w:p>
        </w:tc>
        <w:tc>
          <w:tcPr>
            <w:tcW w:w="2552" w:type="dxa"/>
            <w:vAlign w:val="center"/>
          </w:tcPr>
          <w:p>
            <w:pPr>
              <w:widowControl/>
              <w:jc w:val="center"/>
              <w:rPr>
                <w:rFonts w:ascii="宋体" w:hAnsi="宋体" w:cs="宋体"/>
                <w:kern w:val="0"/>
                <w:szCs w:val="21"/>
              </w:rPr>
            </w:pPr>
            <w:r>
              <w:rPr>
                <w:rFonts w:hint="eastAsia" w:ascii="宋体" w:hAnsi="宋体" w:cs="宋体"/>
                <w:kern w:val="0"/>
                <w:szCs w:val="21"/>
              </w:rPr>
              <w:t>专业作业保洁面积</w:t>
            </w:r>
          </w:p>
        </w:tc>
        <w:tc>
          <w:tcPr>
            <w:tcW w:w="850" w:type="dxa"/>
            <w:vAlign w:val="center"/>
          </w:tcPr>
          <w:p>
            <w:pPr>
              <w:widowControl/>
              <w:jc w:val="center"/>
              <w:rPr>
                <w:rFonts w:ascii="宋体" w:hAnsi="宋体" w:cs="宋体"/>
                <w:kern w:val="0"/>
                <w:szCs w:val="21"/>
              </w:rPr>
            </w:pPr>
          </w:p>
        </w:tc>
        <w:tc>
          <w:tcPr>
            <w:tcW w:w="1276"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c>
          <w:tcPr>
            <w:tcW w:w="1752" w:type="dxa"/>
            <w:vAlign w:val="center"/>
          </w:tcPr>
          <w:p>
            <w:pPr>
              <w:widowControl/>
              <w:jc w:val="center"/>
              <w:rPr>
                <w:rFonts w:ascii="宋体" w:hAnsi="宋体" w:cs="宋体"/>
                <w:kern w:val="0"/>
                <w:szCs w:val="21"/>
              </w:rPr>
            </w:pPr>
          </w:p>
        </w:tc>
        <w:tc>
          <w:tcPr>
            <w:tcW w:w="1191" w:type="dxa"/>
            <w:vAlign w:val="center"/>
          </w:tcPr>
          <w:p>
            <w:pPr>
              <w:widowControl/>
              <w:jc w:val="center"/>
              <w:rPr>
                <w:rFonts w:ascii="宋体" w:hAnsi="宋体" w:cs="宋体"/>
                <w:kern w:val="0"/>
                <w:szCs w:val="21"/>
              </w:rPr>
            </w:pPr>
            <w:r>
              <w:rPr>
                <w:rFonts w:hint="eastAsia" w:ascii="宋体" w:hAnsi="宋体" w:cs="宋体"/>
                <w:kern w:val="0"/>
                <w:szCs w:val="21"/>
              </w:rPr>
              <w:t>平米</w:t>
            </w:r>
          </w:p>
        </w:tc>
        <w:tc>
          <w:tcPr>
            <w:tcW w:w="3115" w:type="dxa"/>
            <w:vAlign w:val="center"/>
          </w:tcPr>
          <w:p>
            <w:pPr>
              <w:widowControl/>
              <w:jc w:val="center"/>
              <w:rPr>
                <w:rFonts w:ascii="宋体" w:hAnsi="宋体" w:cs="宋体"/>
                <w:kern w:val="0"/>
                <w:szCs w:val="21"/>
              </w:rPr>
            </w:pPr>
            <w:r>
              <w:rPr>
                <w:rFonts w:hint="eastAsia" w:ascii="宋体" w:hAnsi="宋体" w:cs="宋体"/>
                <w:kern w:val="0"/>
                <w:szCs w:val="21"/>
              </w:rPr>
              <w:t>专业作业指环卫中心及其他取得环卫作业许可资质的企业。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shd w:val="clear" w:color="auto" w:fill="auto"/>
            <w:vAlign w:val="center"/>
          </w:tcPr>
          <w:p>
            <w:pPr>
              <w:widowControl/>
              <w:jc w:val="center"/>
              <w:rPr>
                <w:rFonts w:ascii="宋体" w:hAnsi="宋体" w:cs="宋体"/>
                <w:kern w:val="0"/>
                <w:szCs w:val="21"/>
              </w:rPr>
            </w:pPr>
          </w:p>
        </w:tc>
        <w:tc>
          <w:tcPr>
            <w:tcW w:w="1063" w:type="dxa"/>
            <w:vMerge w:val="continue"/>
            <w:shd w:val="clear" w:color="auto" w:fill="auto"/>
            <w:vAlign w:val="center"/>
          </w:tcPr>
          <w:p>
            <w:pPr>
              <w:jc w:val="center"/>
              <w:rPr>
                <w:rFonts w:ascii="宋体" w:hAnsi="宋体" w:cs="宋体"/>
                <w:kern w:val="0"/>
                <w:szCs w:val="21"/>
              </w:rPr>
            </w:pPr>
          </w:p>
        </w:tc>
        <w:tc>
          <w:tcPr>
            <w:tcW w:w="635"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2552" w:type="dxa"/>
            <w:vAlign w:val="center"/>
          </w:tcPr>
          <w:p>
            <w:pPr>
              <w:widowControl/>
              <w:jc w:val="center"/>
              <w:rPr>
                <w:rFonts w:ascii="宋体" w:hAnsi="宋体" w:cs="宋体"/>
                <w:kern w:val="0"/>
                <w:szCs w:val="21"/>
              </w:rPr>
            </w:pPr>
            <w:r>
              <w:rPr>
                <w:rFonts w:hint="eastAsia" w:ascii="宋体" w:hAnsi="宋体" w:cs="宋体"/>
                <w:kern w:val="0"/>
                <w:szCs w:val="21"/>
              </w:rPr>
              <w:t>机械化作业面积</w:t>
            </w:r>
          </w:p>
        </w:tc>
        <w:tc>
          <w:tcPr>
            <w:tcW w:w="850" w:type="dxa"/>
            <w:vAlign w:val="center"/>
          </w:tcPr>
          <w:p>
            <w:pPr>
              <w:widowControl/>
              <w:jc w:val="center"/>
              <w:rPr>
                <w:rFonts w:ascii="宋体" w:hAnsi="宋体" w:cs="宋体"/>
                <w:kern w:val="0"/>
                <w:szCs w:val="21"/>
              </w:rPr>
            </w:pPr>
          </w:p>
        </w:tc>
        <w:tc>
          <w:tcPr>
            <w:tcW w:w="1276"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c>
          <w:tcPr>
            <w:tcW w:w="1752" w:type="dxa"/>
            <w:vAlign w:val="center"/>
          </w:tcPr>
          <w:p>
            <w:pPr>
              <w:widowControl/>
              <w:jc w:val="center"/>
              <w:rPr>
                <w:rFonts w:ascii="宋体" w:hAnsi="宋体" w:cs="宋体"/>
                <w:kern w:val="0"/>
                <w:szCs w:val="21"/>
              </w:rPr>
            </w:pPr>
          </w:p>
        </w:tc>
        <w:tc>
          <w:tcPr>
            <w:tcW w:w="1191" w:type="dxa"/>
            <w:vAlign w:val="center"/>
          </w:tcPr>
          <w:p>
            <w:pPr>
              <w:widowControl/>
              <w:jc w:val="center"/>
              <w:rPr>
                <w:rFonts w:ascii="宋体" w:hAnsi="宋体" w:cs="宋体"/>
                <w:kern w:val="0"/>
                <w:szCs w:val="21"/>
              </w:rPr>
            </w:pPr>
            <w:r>
              <w:rPr>
                <w:rFonts w:hint="eastAsia" w:ascii="宋体" w:hAnsi="宋体" w:cs="宋体"/>
                <w:kern w:val="0"/>
                <w:szCs w:val="21"/>
              </w:rPr>
              <w:t>平米</w:t>
            </w:r>
          </w:p>
        </w:tc>
        <w:tc>
          <w:tcPr>
            <w:tcW w:w="3115" w:type="dxa"/>
            <w:vAlign w:val="center"/>
          </w:tcPr>
          <w:p>
            <w:pPr>
              <w:widowControl/>
              <w:jc w:val="center"/>
              <w:rPr>
                <w:rFonts w:ascii="宋体" w:hAnsi="宋体" w:cs="宋体"/>
                <w:kern w:val="0"/>
                <w:szCs w:val="21"/>
              </w:rPr>
            </w:pPr>
            <w:r>
              <w:rPr>
                <w:rFonts w:hint="eastAsia" w:ascii="宋体" w:hAnsi="宋体" w:cs="宋体"/>
                <w:kern w:val="0"/>
                <w:szCs w:val="21"/>
              </w:rPr>
              <w:t>使用机械化清扫车、洗地车和水车进行作业的面积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restart"/>
            <w:shd w:val="clear" w:color="auto" w:fill="auto"/>
            <w:vAlign w:val="center"/>
          </w:tcPr>
          <w:p>
            <w:pPr>
              <w:jc w:val="center"/>
              <w:rPr>
                <w:rFonts w:ascii="宋体" w:hAnsi="宋体" w:cs="宋体"/>
                <w:b/>
                <w:kern w:val="0"/>
                <w:szCs w:val="21"/>
              </w:rPr>
            </w:pPr>
            <w:r>
              <w:rPr>
                <w:rFonts w:hint="eastAsia" w:ascii="宋体" w:hAnsi="宋体" w:cs="宋体"/>
                <w:b/>
                <w:kern w:val="0"/>
                <w:szCs w:val="21"/>
              </w:rPr>
              <w:t>项目</w:t>
            </w:r>
          </w:p>
        </w:tc>
        <w:tc>
          <w:tcPr>
            <w:tcW w:w="1063" w:type="dxa"/>
            <w:vMerge w:val="restart"/>
            <w:shd w:val="clear" w:color="auto" w:fill="auto"/>
            <w:vAlign w:val="center"/>
          </w:tcPr>
          <w:p>
            <w:pPr>
              <w:jc w:val="center"/>
              <w:rPr>
                <w:rFonts w:ascii="宋体" w:hAnsi="宋体"/>
                <w:b/>
                <w:szCs w:val="21"/>
              </w:rPr>
            </w:pPr>
            <w:r>
              <w:rPr>
                <w:rFonts w:hint="eastAsia" w:ascii="宋体" w:hAnsi="宋体"/>
                <w:b/>
                <w:szCs w:val="21"/>
              </w:rPr>
              <w:t>类别</w:t>
            </w:r>
          </w:p>
        </w:tc>
        <w:tc>
          <w:tcPr>
            <w:tcW w:w="635" w:type="dxa"/>
            <w:vMerge w:val="restart"/>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序号</w:t>
            </w:r>
          </w:p>
        </w:tc>
        <w:tc>
          <w:tcPr>
            <w:tcW w:w="7989" w:type="dxa"/>
            <w:gridSpan w:val="5"/>
            <w:vAlign w:val="center"/>
          </w:tcPr>
          <w:p>
            <w:pPr>
              <w:widowControl/>
              <w:jc w:val="center"/>
              <w:rPr>
                <w:rFonts w:ascii="宋体" w:hAnsi="宋体" w:cs="宋体"/>
                <w:b/>
                <w:kern w:val="0"/>
                <w:szCs w:val="21"/>
              </w:rPr>
            </w:pPr>
            <w:r>
              <w:rPr>
                <w:rFonts w:hint="eastAsia" w:ascii="宋体" w:hAnsi="宋体" w:cs="宋体"/>
                <w:b/>
                <w:kern w:val="0"/>
                <w:szCs w:val="21"/>
              </w:rPr>
              <w:t>评价内容</w:t>
            </w:r>
          </w:p>
        </w:tc>
        <w:tc>
          <w:tcPr>
            <w:tcW w:w="1191" w:type="dxa"/>
            <w:vMerge w:val="restart"/>
            <w:vAlign w:val="center"/>
          </w:tcPr>
          <w:p>
            <w:pPr>
              <w:jc w:val="center"/>
              <w:rPr>
                <w:rFonts w:ascii="宋体" w:hAnsi="宋体" w:cs="宋体"/>
                <w:b/>
                <w:kern w:val="0"/>
                <w:szCs w:val="21"/>
              </w:rPr>
            </w:pPr>
            <w:r>
              <w:rPr>
                <w:rFonts w:hint="eastAsia" w:ascii="宋体" w:hAnsi="宋体" w:cs="宋体"/>
                <w:b/>
                <w:kern w:val="0"/>
                <w:szCs w:val="21"/>
              </w:rPr>
              <w:t>单位</w:t>
            </w:r>
          </w:p>
        </w:tc>
        <w:tc>
          <w:tcPr>
            <w:tcW w:w="3115" w:type="dxa"/>
            <w:vMerge w:val="restart"/>
            <w:vAlign w:val="center"/>
          </w:tcPr>
          <w:p>
            <w:pPr>
              <w:jc w:val="center"/>
              <w:rPr>
                <w:rFonts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shd w:val="clear" w:color="auto" w:fill="auto"/>
            <w:vAlign w:val="center"/>
          </w:tcPr>
          <w:p>
            <w:pPr>
              <w:jc w:val="center"/>
              <w:rPr>
                <w:rFonts w:ascii="宋体" w:hAnsi="宋体" w:cs="宋体"/>
                <w:kern w:val="0"/>
                <w:szCs w:val="21"/>
              </w:rPr>
            </w:pPr>
          </w:p>
        </w:tc>
        <w:tc>
          <w:tcPr>
            <w:tcW w:w="1063" w:type="dxa"/>
            <w:vMerge w:val="continue"/>
            <w:shd w:val="clear" w:color="auto" w:fill="auto"/>
            <w:vAlign w:val="center"/>
          </w:tcPr>
          <w:p>
            <w:pPr>
              <w:jc w:val="center"/>
              <w:rPr>
                <w:rFonts w:ascii="宋体" w:hAnsi="宋体"/>
                <w:szCs w:val="21"/>
              </w:rPr>
            </w:pPr>
          </w:p>
        </w:tc>
        <w:tc>
          <w:tcPr>
            <w:tcW w:w="635" w:type="dxa"/>
            <w:vMerge w:val="continue"/>
            <w:shd w:val="clear" w:color="auto" w:fill="auto"/>
            <w:vAlign w:val="center"/>
          </w:tcPr>
          <w:p>
            <w:pPr>
              <w:widowControl/>
              <w:jc w:val="center"/>
              <w:rPr>
                <w:rFonts w:ascii="宋体" w:hAnsi="宋体" w:cs="宋体"/>
                <w:kern w:val="0"/>
                <w:szCs w:val="21"/>
              </w:rPr>
            </w:pPr>
          </w:p>
        </w:tc>
        <w:tc>
          <w:tcPr>
            <w:tcW w:w="2552" w:type="dxa"/>
            <w:vAlign w:val="center"/>
          </w:tcPr>
          <w:p>
            <w:pPr>
              <w:jc w:val="center"/>
              <w:rPr>
                <w:rFonts w:ascii="宋体" w:hAnsi="宋体" w:cs="宋体"/>
                <w:b/>
                <w:szCs w:val="21"/>
              </w:rPr>
            </w:pPr>
            <w:r>
              <w:rPr>
                <w:rFonts w:hint="eastAsia" w:ascii="宋体" w:hAnsi="宋体" w:cs="宋体"/>
                <w:b/>
                <w:szCs w:val="21"/>
              </w:rPr>
              <w:t>内容</w:t>
            </w:r>
          </w:p>
        </w:tc>
        <w:tc>
          <w:tcPr>
            <w:tcW w:w="2126" w:type="dxa"/>
            <w:gridSpan w:val="2"/>
            <w:vAlign w:val="center"/>
          </w:tcPr>
          <w:p>
            <w:pPr>
              <w:widowControl/>
              <w:jc w:val="center"/>
              <w:rPr>
                <w:rFonts w:ascii="宋体" w:hAnsi="宋体" w:cs="宋体"/>
                <w:b/>
                <w:kern w:val="0"/>
                <w:szCs w:val="21"/>
              </w:rPr>
            </w:pPr>
            <w:r>
              <w:rPr>
                <w:rFonts w:hint="eastAsia" w:ascii="宋体" w:hAnsi="宋体" w:cs="宋体"/>
                <w:b/>
                <w:kern w:val="0"/>
                <w:szCs w:val="21"/>
              </w:rPr>
              <w:t>总计</w:t>
            </w:r>
          </w:p>
        </w:tc>
        <w:tc>
          <w:tcPr>
            <w:tcW w:w="1559" w:type="dxa"/>
            <w:vAlign w:val="center"/>
          </w:tcPr>
          <w:p>
            <w:pPr>
              <w:widowControl/>
              <w:jc w:val="center"/>
              <w:rPr>
                <w:rFonts w:ascii="宋体" w:hAnsi="宋体" w:cs="宋体"/>
                <w:b/>
                <w:kern w:val="0"/>
                <w:szCs w:val="21"/>
              </w:rPr>
            </w:pPr>
            <w:r>
              <w:rPr>
                <w:rFonts w:hint="eastAsia" w:ascii="宋体" w:hAnsi="宋体" w:cs="宋体"/>
                <w:b/>
                <w:kern w:val="0"/>
                <w:szCs w:val="21"/>
              </w:rPr>
              <w:t>密闭式清洁站</w:t>
            </w:r>
          </w:p>
        </w:tc>
        <w:tc>
          <w:tcPr>
            <w:tcW w:w="1752" w:type="dxa"/>
            <w:vAlign w:val="center"/>
          </w:tcPr>
          <w:p>
            <w:pPr>
              <w:widowControl/>
              <w:jc w:val="center"/>
              <w:rPr>
                <w:rFonts w:ascii="宋体" w:hAnsi="宋体" w:cs="宋体"/>
                <w:b/>
                <w:kern w:val="0"/>
                <w:szCs w:val="21"/>
              </w:rPr>
            </w:pPr>
            <w:r>
              <w:rPr>
                <w:rFonts w:hint="eastAsia" w:ascii="宋体" w:hAnsi="宋体" w:cs="宋体"/>
                <w:b/>
                <w:kern w:val="0"/>
                <w:szCs w:val="21"/>
              </w:rPr>
              <w:t>其他垃圾收集站</w:t>
            </w:r>
          </w:p>
        </w:tc>
        <w:tc>
          <w:tcPr>
            <w:tcW w:w="1191" w:type="dxa"/>
            <w:vMerge w:val="continue"/>
            <w:vAlign w:val="center"/>
          </w:tcPr>
          <w:p>
            <w:pPr>
              <w:widowControl/>
              <w:jc w:val="center"/>
              <w:rPr>
                <w:rFonts w:ascii="宋体" w:hAnsi="宋体" w:cs="宋体"/>
                <w:kern w:val="0"/>
                <w:szCs w:val="21"/>
              </w:rPr>
            </w:pPr>
          </w:p>
        </w:tc>
        <w:tc>
          <w:tcPr>
            <w:tcW w:w="3115" w:type="dxa"/>
            <w:vMerge w:val="continue"/>
            <w:vAlign w:val="center"/>
          </w:tcPr>
          <w:p>
            <w:pPr>
              <w:widowControl/>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restart"/>
            <w:shd w:val="clear" w:color="auto" w:fill="auto"/>
            <w:vAlign w:val="center"/>
          </w:tcPr>
          <w:p>
            <w:pPr>
              <w:jc w:val="center"/>
              <w:rPr>
                <w:rFonts w:ascii="宋体" w:hAnsi="宋体" w:cs="宋体"/>
                <w:b/>
                <w:kern w:val="0"/>
                <w:szCs w:val="21"/>
              </w:rPr>
            </w:pPr>
            <w:r>
              <w:rPr>
                <w:rFonts w:hint="eastAsia" w:ascii="宋体" w:hAnsi="宋体" w:cs="宋体"/>
                <w:b/>
                <w:kern w:val="0"/>
                <w:szCs w:val="21"/>
              </w:rPr>
              <w:t>垃圾收集站</w:t>
            </w:r>
          </w:p>
        </w:tc>
        <w:tc>
          <w:tcPr>
            <w:tcW w:w="1063" w:type="dxa"/>
            <w:shd w:val="clear" w:color="auto" w:fill="auto"/>
            <w:vAlign w:val="center"/>
          </w:tcPr>
          <w:p>
            <w:pPr>
              <w:jc w:val="center"/>
              <w:rPr>
                <w:rFonts w:ascii="宋体" w:hAnsi="宋体"/>
                <w:szCs w:val="21"/>
              </w:rPr>
            </w:pPr>
            <w:r>
              <w:rPr>
                <w:rFonts w:hint="eastAsia" w:ascii="宋体" w:hAnsi="宋体"/>
                <w:szCs w:val="21"/>
              </w:rPr>
              <w:t>设施分布</w:t>
            </w:r>
          </w:p>
        </w:tc>
        <w:tc>
          <w:tcPr>
            <w:tcW w:w="635"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2552" w:type="dxa"/>
            <w:vAlign w:val="center"/>
          </w:tcPr>
          <w:p>
            <w:pPr>
              <w:jc w:val="center"/>
              <w:rPr>
                <w:rFonts w:ascii="宋体" w:hAnsi="宋体"/>
                <w:szCs w:val="21"/>
              </w:rPr>
            </w:pPr>
            <w:r>
              <w:rPr>
                <w:rFonts w:hint="eastAsia" w:ascii="宋体" w:hAnsi="宋体"/>
                <w:szCs w:val="21"/>
              </w:rPr>
              <w:t>保有量</w:t>
            </w:r>
          </w:p>
        </w:tc>
        <w:tc>
          <w:tcPr>
            <w:tcW w:w="2126" w:type="dxa"/>
            <w:gridSpan w:val="2"/>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c>
          <w:tcPr>
            <w:tcW w:w="1752" w:type="dxa"/>
            <w:vAlign w:val="center"/>
          </w:tcPr>
          <w:p>
            <w:pPr>
              <w:widowControl/>
              <w:jc w:val="center"/>
              <w:rPr>
                <w:rFonts w:ascii="宋体" w:hAnsi="宋体" w:cs="宋体"/>
                <w:kern w:val="0"/>
                <w:szCs w:val="21"/>
              </w:rPr>
            </w:pPr>
          </w:p>
        </w:tc>
        <w:tc>
          <w:tcPr>
            <w:tcW w:w="1191" w:type="dxa"/>
            <w:vAlign w:val="center"/>
          </w:tcPr>
          <w:p>
            <w:pPr>
              <w:widowControl/>
              <w:jc w:val="center"/>
              <w:rPr>
                <w:rFonts w:ascii="宋体" w:hAnsi="宋体" w:cs="宋体"/>
                <w:kern w:val="0"/>
                <w:szCs w:val="21"/>
              </w:rPr>
            </w:pPr>
            <w:r>
              <w:rPr>
                <w:rFonts w:hint="eastAsia" w:ascii="宋体" w:hAnsi="宋体" w:cs="宋体"/>
                <w:kern w:val="0"/>
                <w:szCs w:val="21"/>
              </w:rPr>
              <w:t>座</w:t>
            </w:r>
          </w:p>
        </w:tc>
        <w:tc>
          <w:tcPr>
            <w:tcW w:w="3115" w:type="dxa"/>
            <w:vAlign w:val="center"/>
          </w:tcPr>
          <w:p>
            <w:pPr>
              <w:widowControl/>
              <w:jc w:val="center"/>
              <w:rPr>
                <w:rFonts w:ascii="宋体" w:hAnsi="宋体" w:cs="宋体"/>
                <w:kern w:val="0"/>
                <w:szCs w:val="21"/>
              </w:rPr>
            </w:pPr>
            <w:r>
              <w:rPr>
                <w:rFonts w:hint="eastAsia" w:ascii="宋体" w:hAnsi="宋体" w:cs="宋体"/>
                <w:kern w:val="0"/>
                <w:szCs w:val="21"/>
              </w:rPr>
              <w:t>垃圾收集站指垃圾收集设施或位置相对固定的多个垃圾收集容器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shd w:val="clear" w:color="auto" w:fill="auto"/>
            <w:vAlign w:val="center"/>
          </w:tcPr>
          <w:p>
            <w:pPr>
              <w:widowControl/>
              <w:jc w:val="center"/>
              <w:rPr>
                <w:rFonts w:ascii="宋体" w:hAnsi="宋体" w:cs="宋体"/>
                <w:kern w:val="0"/>
                <w:szCs w:val="21"/>
              </w:rPr>
            </w:pPr>
          </w:p>
        </w:tc>
        <w:tc>
          <w:tcPr>
            <w:tcW w:w="1063" w:type="dxa"/>
            <w:shd w:val="clear" w:color="auto" w:fill="auto"/>
            <w:vAlign w:val="center"/>
          </w:tcPr>
          <w:p>
            <w:pPr>
              <w:jc w:val="center"/>
              <w:rPr>
                <w:rFonts w:ascii="宋体" w:hAnsi="宋体" w:cs="宋体"/>
                <w:szCs w:val="21"/>
              </w:rPr>
            </w:pPr>
            <w:r>
              <w:rPr>
                <w:rFonts w:hint="eastAsia" w:ascii="宋体" w:hAnsi="宋体"/>
                <w:szCs w:val="21"/>
              </w:rPr>
              <w:t>作业人员</w:t>
            </w:r>
          </w:p>
        </w:tc>
        <w:tc>
          <w:tcPr>
            <w:tcW w:w="635"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2552" w:type="dxa"/>
            <w:vAlign w:val="center"/>
          </w:tcPr>
          <w:p>
            <w:pPr>
              <w:jc w:val="center"/>
              <w:rPr>
                <w:rFonts w:ascii="宋体" w:hAnsi="宋体" w:cs="宋体"/>
                <w:szCs w:val="21"/>
              </w:rPr>
            </w:pPr>
            <w:r>
              <w:rPr>
                <w:rFonts w:hint="eastAsia" w:ascii="宋体" w:hAnsi="宋体" w:cs="宋体"/>
                <w:szCs w:val="21"/>
              </w:rPr>
              <w:t>服务人员</w:t>
            </w:r>
          </w:p>
        </w:tc>
        <w:tc>
          <w:tcPr>
            <w:tcW w:w="2126" w:type="dxa"/>
            <w:gridSpan w:val="2"/>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c>
          <w:tcPr>
            <w:tcW w:w="1752" w:type="dxa"/>
            <w:vAlign w:val="center"/>
          </w:tcPr>
          <w:p>
            <w:pPr>
              <w:widowControl/>
              <w:jc w:val="center"/>
              <w:rPr>
                <w:rFonts w:ascii="宋体" w:hAnsi="宋体" w:cs="宋体"/>
                <w:kern w:val="0"/>
                <w:szCs w:val="21"/>
              </w:rPr>
            </w:pPr>
          </w:p>
        </w:tc>
        <w:tc>
          <w:tcPr>
            <w:tcW w:w="1191" w:type="dxa"/>
            <w:vAlign w:val="center"/>
          </w:tcPr>
          <w:p>
            <w:pPr>
              <w:widowControl/>
              <w:jc w:val="center"/>
              <w:rPr>
                <w:rFonts w:ascii="宋体" w:hAnsi="宋体" w:cs="宋体"/>
                <w:kern w:val="0"/>
                <w:szCs w:val="21"/>
              </w:rPr>
            </w:pPr>
            <w:r>
              <w:rPr>
                <w:rFonts w:hint="eastAsia" w:ascii="宋体" w:hAnsi="宋体" w:cs="宋体"/>
                <w:kern w:val="0"/>
                <w:szCs w:val="21"/>
              </w:rPr>
              <w:t>人</w:t>
            </w:r>
          </w:p>
        </w:tc>
        <w:tc>
          <w:tcPr>
            <w:tcW w:w="3115" w:type="dxa"/>
            <w:vAlign w:val="center"/>
          </w:tcPr>
          <w:p>
            <w:pPr>
              <w:widowControl/>
              <w:jc w:val="center"/>
              <w:rPr>
                <w:rFonts w:ascii="宋体" w:hAnsi="宋体" w:cs="宋体"/>
                <w:kern w:val="0"/>
                <w:szCs w:val="21"/>
              </w:rPr>
            </w:pPr>
            <w:r>
              <w:rPr>
                <w:rFonts w:hint="eastAsia" w:ascii="宋体" w:hAnsi="宋体" w:cs="宋体"/>
                <w:kern w:val="0"/>
                <w:szCs w:val="21"/>
              </w:rPr>
              <w:t>含安全生产人员和保洁人员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00" w:type="dxa"/>
            <w:vMerge w:val="restart"/>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项目</w:t>
            </w:r>
          </w:p>
        </w:tc>
        <w:tc>
          <w:tcPr>
            <w:tcW w:w="1063" w:type="dxa"/>
            <w:vMerge w:val="restart"/>
            <w:shd w:val="clear" w:color="auto" w:fill="auto"/>
            <w:vAlign w:val="center"/>
          </w:tcPr>
          <w:p>
            <w:pPr>
              <w:jc w:val="center"/>
              <w:rPr>
                <w:rFonts w:ascii="宋体" w:hAnsi="宋体"/>
                <w:b/>
                <w:szCs w:val="21"/>
              </w:rPr>
            </w:pPr>
            <w:r>
              <w:rPr>
                <w:rFonts w:hint="eastAsia" w:ascii="宋体" w:hAnsi="宋体"/>
                <w:b/>
                <w:szCs w:val="21"/>
              </w:rPr>
              <w:t>类别</w:t>
            </w:r>
          </w:p>
        </w:tc>
        <w:tc>
          <w:tcPr>
            <w:tcW w:w="635" w:type="dxa"/>
            <w:vMerge w:val="restart"/>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序号</w:t>
            </w:r>
          </w:p>
        </w:tc>
        <w:tc>
          <w:tcPr>
            <w:tcW w:w="7989" w:type="dxa"/>
            <w:gridSpan w:val="5"/>
            <w:vAlign w:val="center"/>
          </w:tcPr>
          <w:p>
            <w:pPr>
              <w:widowControl/>
              <w:jc w:val="center"/>
              <w:rPr>
                <w:rFonts w:ascii="宋体" w:hAnsi="宋体" w:cs="宋体"/>
                <w:b/>
                <w:kern w:val="0"/>
                <w:szCs w:val="21"/>
              </w:rPr>
            </w:pPr>
            <w:r>
              <w:rPr>
                <w:rFonts w:hint="eastAsia" w:ascii="宋体" w:hAnsi="宋体" w:cs="宋体"/>
                <w:b/>
                <w:kern w:val="0"/>
                <w:szCs w:val="21"/>
              </w:rPr>
              <w:t>评价内容</w:t>
            </w:r>
          </w:p>
        </w:tc>
        <w:tc>
          <w:tcPr>
            <w:tcW w:w="1191" w:type="dxa"/>
            <w:vMerge w:val="restart"/>
            <w:vAlign w:val="center"/>
          </w:tcPr>
          <w:p>
            <w:pPr>
              <w:widowControl/>
              <w:jc w:val="center"/>
              <w:rPr>
                <w:rFonts w:ascii="宋体" w:hAnsi="宋体" w:cs="宋体"/>
                <w:b/>
                <w:kern w:val="0"/>
                <w:szCs w:val="21"/>
              </w:rPr>
            </w:pPr>
            <w:r>
              <w:rPr>
                <w:rFonts w:hint="eastAsia" w:ascii="宋体" w:hAnsi="宋体" w:cs="宋体"/>
                <w:b/>
                <w:kern w:val="0"/>
                <w:szCs w:val="21"/>
              </w:rPr>
              <w:t>单位</w:t>
            </w:r>
          </w:p>
        </w:tc>
        <w:tc>
          <w:tcPr>
            <w:tcW w:w="3115" w:type="dxa"/>
            <w:vMerge w:val="restart"/>
            <w:vAlign w:val="center"/>
          </w:tcPr>
          <w:p>
            <w:pPr>
              <w:widowControl/>
              <w:jc w:val="center"/>
              <w:rPr>
                <w:rFonts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00" w:type="dxa"/>
            <w:vMerge w:val="continue"/>
            <w:shd w:val="clear" w:color="auto" w:fill="auto"/>
            <w:vAlign w:val="center"/>
          </w:tcPr>
          <w:p>
            <w:pPr>
              <w:widowControl/>
              <w:jc w:val="center"/>
              <w:rPr>
                <w:rFonts w:ascii="宋体" w:hAnsi="宋体" w:cs="宋体"/>
                <w:kern w:val="0"/>
                <w:szCs w:val="21"/>
              </w:rPr>
            </w:pPr>
          </w:p>
        </w:tc>
        <w:tc>
          <w:tcPr>
            <w:tcW w:w="1063" w:type="dxa"/>
            <w:vMerge w:val="continue"/>
            <w:shd w:val="clear" w:color="auto" w:fill="auto"/>
            <w:vAlign w:val="center"/>
          </w:tcPr>
          <w:p>
            <w:pPr>
              <w:jc w:val="center"/>
              <w:rPr>
                <w:rFonts w:ascii="宋体" w:hAnsi="宋体"/>
                <w:szCs w:val="21"/>
              </w:rPr>
            </w:pPr>
          </w:p>
        </w:tc>
        <w:tc>
          <w:tcPr>
            <w:tcW w:w="635" w:type="dxa"/>
            <w:vMerge w:val="continue"/>
            <w:shd w:val="clear" w:color="auto" w:fill="auto"/>
            <w:vAlign w:val="center"/>
          </w:tcPr>
          <w:p>
            <w:pPr>
              <w:widowControl/>
              <w:jc w:val="center"/>
              <w:rPr>
                <w:rFonts w:ascii="宋体" w:hAnsi="宋体" w:cs="宋体"/>
                <w:kern w:val="0"/>
                <w:szCs w:val="21"/>
              </w:rPr>
            </w:pPr>
          </w:p>
        </w:tc>
        <w:tc>
          <w:tcPr>
            <w:tcW w:w="2552" w:type="dxa"/>
            <w:vAlign w:val="center"/>
          </w:tcPr>
          <w:p>
            <w:pPr>
              <w:jc w:val="center"/>
              <w:rPr>
                <w:rFonts w:ascii="宋体" w:hAnsi="宋体" w:cs="宋体"/>
                <w:b/>
                <w:szCs w:val="21"/>
              </w:rPr>
            </w:pPr>
            <w:r>
              <w:rPr>
                <w:rFonts w:hint="eastAsia" w:ascii="宋体" w:hAnsi="宋体" w:cs="宋体"/>
                <w:b/>
                <w:szCs w:val="21"/>
              </w:rPr>
              <w:t>内容</w:t>
            </w:r>
          </w:p>
        </w:tc>
        <w:tc>
          <w:tcPr>
            <w:tcW w:w="850" w:type="dxa"/>
            <w:vAlign w:val="center"/>
          </w:tcPr>
          <w:p>
            <w:pPr>
              <w:widowControl/>
              <w:jc w:val="center"/>
              <w:rPr>
                <w:rFonts w:ascii="宋体" w:hAnsi="宋体" w:cs="宋体"/>
                <w:b/>
                <w:szCs w:val="21"/>
              </w:rPr>
            </w:pPr>
            <w:r>
              <w:rPr>
                <w:rFonts w:hint="eastAsia" w:ascii="宋体" w:hAnsi="宋体" w:cs="宋体"/>
                <w:b/>
                <w:szCs w:val="21"/>
              </w:rPr>
              <w:t>总计</w:t>
            </w:r>
          </w:p>
        </w:tc>
        <w:tc>
          <w:tcPr>
            <w:tcW w:w="1276" w:type="dxa"/>
            <w:vAlign w:val="center"/>
          </w:tcPr>
          <w:p>
            <w:pPr>
              <w:widowControl/>
              <w:jc w:val="center"/>
              <w:rPr>
                <w:rFonts w:ascii="宋体" w:hAnsi="宋体" w:cs="宋体"/>
                <w:b/>
                <w:kern w:val="0"/>
                <w:szCs w:val="21"/>
              </w:rPr>
            </w:pPr>
            <w:r>
              <w:rPr>
                <w:rFonts w:hint="eastAsia" w:ascii="宋体" w:hAnsi="宋体" w:cs="宋体"/>
                <w:b/>
                <w:kern w:val="0"/>
                <w:szCs w:val="21"/>
              </w:rPr>
              <w:t>二类及以上</w:t>
            </w:r>
          </w:p>
        </w:tc>
        <w:tc>
          <w:tcPr>
            <w:tcW w:w="1559" w:type="dxa"/>
            <w:vAlign w:val="center"/>
          </w:tcPr>
          <w:p>
            <w:pPr>
              <w:widowControl/>
              <w:jc w:val="center"/>
              <w:rPr>
                <w:rFonts w:ascii="宋体" w:hAnsi="宋体" w:cs="宋体"/>
                <w:b/>
                <w:kern w:val="0"/>
                <w:szCs w:val="21"/>
              </w:rPr>
            </w:pPr>
            <w:r>
              <w:rPr>
                <w:rFonts w:hint="eastAsia" w:ascii="宋体" w:hAnsi="宋体" w:cs="宋体"/>
                <w:b/>
                <w:kern w:val="0"/>
                <w:szCs w:val="21"/>
              </w:rPr>
              <w:t>三类</w:t>
            </w:r>
          </w:p>
        </w:tc>
        <w:tc>
          <w:tcPr>
            <w:tcW w:w="1752" w:type="dxa"/>
            <w:vAlign w:val="center"/>
          </w:tcPr>
          <w:p>
            <w:pPr>
              <w:widowControl/>
              <w:jc w:val="center"/>
              <w:rPr>
                <w:rFonts w:ascii="宋体" w:hAnsi="宋体" w:cs="宋体"/>
                <w:b/>
                <w:kern w:val="0"/>
                <w:szCs w:val="21"/>
              </w:rPr>
            </w:pPr>
            <w:r>
              <w:rPr>
                <w:rFonts w:hint="eastAsia" w:ascii="宋体" w:hAnsi="宋体" w:cs="宋体"/>
                <w:b/>
                <w:kern w:val="0"/>
                <w:szCs w:val="21"/>
              </w:rPr>
              <w:t>其他</w:t>
            </w:r>
          </w:p>
        </w:tc>
        <w:tc>
          <w:tcPr>
            <w:tcW w:w="1191" w:type="dxa"/>
            <w:vMerge w:val="continue"/>
            <w:vAlign w:val="center"/>
          </w:tcPr>
          <w:p>
            <w:pPr>
              <w:widowControl/>
              <w:jc w:val="center"/>
              <w:rPr>
                <w:rFonts w:ascii="宋体" w:hAnsi="宋体" w:cs="宋体"/>
                <w:kern w:val="0"/>
                <w:szCs w:val="21"/>
              </w:rPr>
            </w:pPr>
          </w:p>
        </w:tc>
        <w:tc>
          <w:tcPr>
            <w:tcW w:w="3115" w:type="dxa"/>
            <w:vMerge w:val="continue"/>
            <w:vAlign w:val="center"/>
          </w:tcPr>
          <w:p>
            <w:pPr>
              <w:widowControl/>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restart"/>
            <w:shd w:val="clear" w:color="auto" w:fill="auto"/>
            <w:vAlign w:val="center"/>
          </w:tcPr>
          <w:p>
            <w:pPr>
              <w:widowControl/>
              <w:jc w:val="center"/>
              <w:rPr>
                <w:rFonts w:ascii="宋体" w:hAnsi="宋体" w:cs="宋体"/>
                <w:kern w:val="0"/>
                <w:szCs w:val="21"/>
              </w:rPr>
            </w:pPr>
            <w:r>
              <w:rPr>
                <w:rFonts w:hint="eastAsia" w:ascii="宋体" w:hAnsi="宋体" w:cs="宋体"/>
                <w:b/>
                <w:kern w:val="0"/>
                <w:szCs w:val="21"/>
              </w:rPr>
              <w:t>公共厕所</w:t>
            </w:r>
          </w:p>
        </w:tc>
        <w:tc>
          <w:tcPr>
            <w:tcW w:w="1063" w:type="dxa"/>
            <w:shd w:val="clear" w:color="auto" w:fill="auto"/>
            <w:vAlign w:val="center"/>
          </w:tcPr>
          <w:p>
            <w:pPr>
              <w:jc w:val="center"/>
              <w:rPr>
                <w:rFonts w:ascii="宋体" w:hAnsi="宋体" w:cs="宋体"/>
                <w:szCs w:val="21"/>
              </w:rPr>
            </w:pPr>
            <w:r>
              <w:rPr>
                <w:rFonts w:hint="eastAsia" w:ascii="宋体" w:hAnsi="宋体"/>
                <w:szCs w:val="21"/>
              </w:rPr>
              <w:t>设施分布</w:t>
            </w:r>
          </w:p>
        </w:tc>
        <w:tc>
          <w:tcPr>
            <w:tcW w:w="635"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w:t>
            </w:r>
          </w:p>
        </w:tc>
        <w:tc>
          <w:tcPr>
            <w:tcW w:w="2552" w:type="dxa"/>
            <w:vAlign w:val="center"/>
          </w:tcPr>
          <w:p>
            <w:pPr>
              <w:jc w:val="center"/>
              <w:rPr>
                <w:rFonts w:ascii="宋体" w:hAnsi="宋体" w:cs="宋体"/>
                <w:szCs w:val="21"/>
              </w:rPr>
            </w:pPr>
            <w:r>
              <w:rPr>
                <w:rFonts w:hint="eastAsia" w:ascii="宋体" w:hAnsi="宋体"/>
                <w:szCs w:val="21"/>
              </w:rPr>
              <w:t>保有量</w:t>
            </w:r>
          </w:p>
        </w:tc>
        <w:tc>
          <w:tcPr>
            <w:tcW w:w="850" w:type="dxa"/>
            <w:vAlign w:val="center"/>
          </w:tcPr>
          <w:p>
            <w:pPr>
              <w:widowControl/>
              <w:jc w:val="center"/>
              <w:rPr>
                <w:rFonts w:ascii="宋体" w:hAnsi="宋体" w:cs="宋体"/>
                <w:kern w:val="0"/>
                <w:szCs w:val="21"/>
              </w:rPr>
            </w:pPr>
          </w:p>
        </w:tc>
        <w:tc>
          <w:tcPr>
            <w:tcW w:w="1276" w:type="dxa"/>
            <w:vAlign w:val="center"/>
          </w:tcPr>
          <w:p>
            <w:pPr>
              <w:jc w:val="center"/>
              <w:rPr>
                <w:rFonts w:ascii="宋体" w:hAnsi="宋体" w:cs="宋体"/>
                <w:kern w:val="0"/>
                <w:szCs w:val="21"/>
              </w:rPr>
            </w:pPr>
          </w:p>
        </w:tc>
        <w:tc>
          <w:tcPr>
            <w:tcW w:w="1559" w:type="dxa"/>
            <w:vAlign w:val="center"/>
          </w:tcPr>
          <w:p>
            <w:pPr>
              <w:jc w:val="center"/>
              <w:rPr>
                <w:rFonts w:ascii="宋体" w:hAnsi="宋体" w:cs="宋体"/>
                <w:kern w:val="0"/>
                <w:szCs w:val="21"/>
              </w:rPr>
            </w:pPr>
          </w:p>
        </w:tc>
        <w:tc>
          <w:tcPr>
            <w:tcW w:w="1752" w:type="dxa"/>
            <w:vAlign w:val="center"/>
          </w:tcPr>
          <w:p>
            <w:pPr>
              <w:jc w:val="center"/>
              <w:rPr>
                <w:rFonts w:ascii="宋体" w:hAnsi="宋体" w:cs="宋体"/>
                <w:kern w:val="0"/>
                <w:szCs w:val="21"/>
              </w:rPr>
            </w:pPr>
          </w:p>
        </w:tc>
        <w:tc>
          <w:tcPr>
            <w:tcW w:w="1191" w:type="dxa"/>
            <w:vAlign w:val="center"/>
          </w:tcPr>
          <w:p>
            <w:pPr>
              <w:jc w:val="center"/>
              <w:rPr>
                <w:rFonts w:ascii="宋体" w:hAnsi="宋体"/>
                <w:szCs w:val="21"/>
              </w:rPr>
            </w:pPr>
            <w:r>
              <w:rPr>
                <w:rFonts w:hint="eastAsia" w:ascii="宋体" w:hAnsi="宋体" w:cs="宋体"/>
                <w:kern w:val="0"/>
                <w:szCs w:val="21"/>
              </w:rPr>
              <w:t>座</w:t>
            </w:r>
          </w:p>
        </w:tc>
        <w:tc>
          <w:tcPr>
            <w:tcW w:w="3115" w:type="dxa"/>
            <w:vAlign w:val="center"/>
          </w:tcPr>
          <w:p>
            <w:pPr>
              <w:widowControl/>
              <w:jc w:val="center"/>
              <w:rPr>
                <w:rFonts w:ascii="宋体" w:hAnsi="宋体" w:cs="宋体"/>
                <w:kern w:val="0"/>
                <w:szCs w:val="21"/>
              </w:rPr>
            </w:pPr>
            <w:r>
              <w:rPr>
                <w:rFonts w:hint="eastAsia" w:ascii="宋体" w:hAnsi="宋体" w:cs="宋体"/>
                <w:kern w:val="0"/>
                <w:szCs w:val="21"/>
              </w:rPr>
              <w:t>含街乡镇范围内所有公共厕所及社会单位产权但用于公共服务的公共厕所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shd w:val="clear" w:color="auto" w:fill="auto"/>
            <w:vAlign w:val="center"/>
          </w:tcPr>
          <w:p>
            <w:pPr>
              <w:widowControl/>
              <w:jc w:val="center"/>
              <w:rPr>
                <w:rFonts w:ascii="宋体" w:hAnsi="宋体" w:cs="宋体"/>
                <w:kern w:val="0"/>
                <w:szCs w:val="21"/>
              </w:rPr>
            </w:pPr>
          </w:p>
        </w:tc>
        <w:tc>
          <w:tcPr>
            <w:tcW w:w="1063" w:type="dxa"/>
            <w:shd w:val="clear" w:color="auto" w:fill="auto"/>
            <w:vAlign w:val="center"/>
          </w:tcPr>
          <w:p>
            <w:pPr>
              <w:jc w:val="center"/>
              <w:rPr>
                <w:rFonts w:ascii="宋体" w:hAnsi="宋体" w:cs="宋体"/>
                <w:szCs w:val="21"/>
              </w:rPr>
            </w:pPr>
            <w:r>
              <w:rPr>
                <w:rFonts w:hint="eastAsia" w:ascii="宋体" w:hAnsi="宋体"/>
                <w:szCs w:val="21"/>
              </w:rPr>
              <w:t>作业人员</w:t>
            </w:r>
          </w:p>
        </w:tc>
        <w:tc>
          <w:tcPr>
            <w:tcW w:w="635"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2552" w:type="dxa"/>
            <w:vAlign w:val="center"/>
          </w:tcPr>
          <w:p>
            <w:pPr>
              <w:jc w:val="center"/>
              <w:rPr>
                <w:rFonts w:ascii="宋体" w:hAnsi="宋体"/>
                <w:szCs w:val="21"/>
              </w:rPr>
            </w:pPr>
            <w:r>
              <w:rPr>
                <w:rFonts w:hint="eastAsia" w:ascii="宋体" w:hAnsi="宋体"/>
                <w:szCs w:val="21"/>
              </w:rPr>
              <w:t>服务人员</w:t>
            </w:r>
          </w:p>
        </w:tc>
        <w:tc>
          <w:tcPr>
            <w:tcW w:w="850" w:type="dxa"/>
            <w:vAlign w:val="center"/>
          </w:tcPr>
          <w:p>
            <w:pPr>
              <w:widowControl/>
              <w:jc w:val="center"/>
              <w:rPr>
                <w:rFonts w:ascii="宋体" w:hAnsi="宋体" w:cs="宋体"/>
                <w:kern w:val="0"/>
                <w:szCs w:val="21"/>
              </w:rPr>
            </w:pPr>
          </w:p>
        </w:tc>
        <w:tc>
          <w:tcPr>
            <w:tcW w:w="1276"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c>
          <w:tcPr>
            <w:tcW w:w="1752" w:type="dxa"/>
            <w:vAlign w:val="center"/>
          </w:tcPr>
          <w:p>
            <w:pPr>
              <w:widowControl/>
              <w:jc w:val="center"/>
              <w:rPr>
                <w:rFonts w:ascii="宋体" w:hAnsi="宋体" w:cs="宋体"/>
                <w:kern w:val="0"/>
                <w:szCs w:val="21"/>
              </w:rPr>
            </w:pPr>
          </w:p>
        </w:tc>
        <w:tc>
          <w:tcPr>
            <w:tcW w:w="1191" w:type="dxa"/>
            <w:vAlign w:val="center"/>
          </w:tcPr>
          <w:p>
            <w:pPr>
              <w:widowControl/>
              <w:jc w:val="center"/>
              <w:rPr>
                <w:rFonts w:ascii="宋体" w:hAnsi="宋体" w:cs="宋体"/>
                <w:kern w:val="0"/>
                <w:szCs w:val="21"/>
              </w:rPr>
            </w:pPr>
            <w:r>
              <w:rPr>
                <w:rFonts w:hint="eastAsia" w:ascii="宋体" w:hAnsi="宋体" w:cs="宋体"/>
                <w:kern w:val="0"/>
                <w:szCs w:val="21"/>
              </w:rPr>
              <w:t>人</w:t>
            </w:r>
          </w:p>
        </w:tc>
        <w:tc>
          <w:tcPr>
            <w:tcW w:w="3115" w:type="dxa"/>
            <w:vAlign w:val="center"/>
          </w:tcPr>
          <w:p>
            <w:pPr>
              <w:widowControl/>
              <w:jc w:val="center"/>
              <w:rPr>
                <w:rFonts w:ascii="宋体" w:hAnsi="宋体" w:cs="宋体"/>
                <w:kern w:val="0"/>
                <w:szCs w:val="21"/>
              </w:rPr>
            </w:pPr>
            <w:r>
              <w:rPr>
                <w:rFonts w:hint="eastAsia" w:ascii="宋体" w:hAnsi="宋体" w:cs="宋体"/>
                <w:kern w:val="0"/>
                <w:szCs w:val="21"/>
              </w:rPr>
              <w:t>含安全生产人员和保洁人员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restart"/>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项目</w:t>
            </w:r>
          </w:p>
        </w:tc>
        <w:tc>
          <w:tcPr>
            <w:tcW w:w="1063" w:type="dxa"/>
            <w:vMerge w:val="restart"/>
            <w:shd w:val="clear" w:color="auto" w:fill="auto"/>
            <w:vAlign w:val="center"/>
          </w:tcPr>
          <w:p>
            <w:pPr>
              <w:jc w:val="center"/>
              <w:rPr>
                <w:rFonts w:ascii="宋体" w:hAnsi="宋体"/>
                <w:b/>
                <w:szCs w:val="21"/>
              </w:rPr>
            </w:pPr>
            <w:r>
              <w:rPr>
                <w:rFonts w:hint="eastAsia" w:ascii="宋体" w:hAnsi="宋体"/>
                <w:b/>
                <w:szCs w:val="21"/>
              </w:rPr>
              <w:t>类别</w:t>
            </w:r>
          </w:p>
        </w:tc>
        <w:tc>
          <w:tcPr>
            <w:tcW w:w="635" w:type="dxa"/>
            <w:vMerge w:val="restart"/>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序号</w:t>
            </w:r>
          </w:p>
        </w:tc>
        <w:tc>
          <w:tcPr>
            <w:tcW w:w="7989" w:type="dxa"/>
            <w:gridSpan w:val="5"/>
            <w:vAlign w:val="center"/>
          </w:tcPr>
          <w:p>
            <w:pPr>
              <w:widowControl/>
              <w:jc w:val="center"/>
              <w:rPr>
                <w:rFonts w:ascii="宋体" w:hAnsi="宋体" w:cs="宋体"/>
                <w:b/>
                <w:kern w:val="0"/>
                <w:szCs w:val="21"/>
              </w:rPr>
            </w:pPr>
            <w:r>
              <w:rPr>
                <w:rFonts w:hint="eastAsia" w:ascii="宋体" w:hAnsi="宋体" w:cs="宋体"/>
                <w:b/>
                <w:kern w:val="0"/>
                <w:szCs w:val="21"/>
              </w:rPr>
              <w:t>评价内容</w:t>
            </w:r>
          </w:p>
        </w:tc>
        <w:tc>
          <w:tcPr>
            <w:tcW w:w="1191" w:type="dxa"/>
            <w:vMerge w:val="restart"/>
            <w:vAlign w:val="center"/>
          </w:tcPr>
          <w:p>
            <w:pPr>
              <w:widowControl/>
              <w:jc w:val="center"/>
              <w:rPr>
                <w:rFonts w:ascii="宋体" w:hAnsi="宋体" w:cs="宋体"/>
                <w:b/>
                <w:kern w:val="0"/>
                <w:szCs w:val="21"/>
              </w:rPr>
            </w:pPr>
            <w:r>
              <w:rPr>
                <w:rFonts w:hint="eastAsia" w:ascii="宋体" w:hAnsi="宋体" w:cs="宋体"/>
                <w:b/>
                <w:kern w:val="0"/>
                <w:szCs w:val="21"/>
              </w:rPr>
              <w:t>内容</w:t>
            </w:r>
          </w:p>
        </w:tc>
        <w:tc>
          <w:tcPr>
            <w:tcW w:w="3115" w:type="dxa"/>
            <w:vMerge w:val="restart"/>
            <w:vAlign w:val="center"/>
          </w:tcPr>
          <w:p>
            <w:pPr>
              <w:widowControl/>
              <w:jc w:val="center"/>
              <w:rPr>
                <w:rFonts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shd w:val="clear" w:color="auto" w:fill="auto"/>
            <w:vAlign w:val="center"/>
          </w:tcPr>
          <w:p>
            <w:pPr>
              <w:widowControl/>
              <w:jc w:val="center"/>
              <w:rPr>
                <w:rFonts w:ascii="宋体" w:hAnsi="宋体" w:cs="宋体"/>
                <w:kern w:val="0"/>
                <w:szCs w:val="21"/>
              </w:rPr>
            </w:pPr>
          </w:p>
        </w:tc>
        <w:tc>
          <w:tcPr>
            <w:tcW w:w="1063" w:type="dxa"/>
            <w:vMerge w:val="continue"/>
            <w:shd w:val="clear" w:color="auto" w:fill="auto"/>
            <w:vAlign w:val="center"/>
          </w:tcPr>
          <w:p>
            <w:pPr>
              <w:jc w:val="center"/>
              <w:rPr>
                <w:rFonts w:ascii="宋体" w:hAnsi="宋体"/>
                <w:szCs w:val="21"/>
              </w:rPr>
            </w:pPr>
          </w:p>
        </w:tc>
        <w:tc>
          <w:tcPr>
            <w:tcW w:w="635" w:type="dxa"/>
            <w:vMerge w:val="continue"/>
            <w:shd w:val="clear" w:color="auto" w:fill="auto"/>
            <w:vAlign w:val="center"/>
          </w:tcPr>
          <w:p>
            <w:pPr>
              <w:widowControl/>
              <w:jc w:val="center"/>
              <w:rPr>
                <w:rFonts w:ascii="宋体" w:hAnsi="宋体" w:cs="宋体"/>
                <w:kern w:val="0"/>
                <w:szCs w:val="21"/>
              </w:rPr>
            </w:pPr>
          </w:p>
        </w:tc>
        <w:tc>
          <w:tcPr>
            <w:tcW w:w="2552" w:type="dxa"/>
            <w:vAlign w:val="center"/>
          </w:tcPr>
          <w:p>
            <w:pPr>
              <w:jc w:val="center"/>
              <w:rPr>
                <w:rFonts w:ascii="宋体" w:hAnsi="宋体"/>
                <w:b/>
                <w:szCs w:val="21"/>
              </w:rPr>
            </w:pPr>
            <w:r>
              <w:rPr>
                <w:rFonts w:hint="eastAsia" w:ascii="宋体" w:hAnsi="宋体"/>
                <w:b/>
                <w:szCs w:val="21"/>
              </w:rPr>
              <w:t>内容</w:t>
            </w:r>
          </w:p>
        </w:tc>
        <w:tc>
          <w:tcPr>
            <w:tcW w:w="2126" w:type="dxa"/>
            <w:gridSpan w:val="2"/>
            <w:vAlign w:val="center"/>
          </w:tcPr>
          <w:p>
            <w:pPr>
              <w:widowControl/>
              <w:jc w:val="center"/>
              <w:rPr>
                <w:rFonts w:ascii="宋体" w:hAnsi="宋体" w:cs="宋体"/>
                <w:b/>
                <w:kern w:val="0"/>
                <w:szCs w:val="21"/>
              </w:rPr>
            </w:pPr>
            <w:r>
              <w:rPr>
                <w:rFonts w:hint="eastAsia" w:ascii="宋体" w:hAnsi="宋体" w:cs="宋体"/>
                <w:b/>
                <w:kern w:val="0"/>
                <w:szCs w:val="21"/>
              </w:rPr>
              <w:t>总计</w:t>
            </w:r>
          </w:p>
        </w:tc>
        <w:tc>
          <w:tcPr>
            <w:tcW w:w="1559" w:type="dxa"/>
            <w:vAlign w:val="center"/>
          </w:tcPr>
          <w:p>
            <w:pPr>
              <w:widowControl/>
              <w:jc w:val="center"/>
              <w:rPr>
                <w:rFonts w:ascii="宋体" w:hAnsi="宋体" w:cs="宋体"/>
                <w:b/>
                <w:kern w:val="0"/>
                <w:szCs w:val="21"/>
              </w:rPr>
            </w:pPr>
            <w:r>
              <w:rPr>
                <w:rFonts w:hint="eastAsia" w:ascii="宋体" w:hAnsi="宋体" w:cs="宋体"/>
                <w:b/>
                <w:kern w:val="0"/>
                <w:szCs w:val="21"/>
              </w:rPr>
              <w:t>重点地区</w:t>
            </w:r>
          </w:p>
        </w:tc>
        <w:tc>
          <w:tcPr>
            <w:tcW w:w="1752" w:type="dxa"/>
            <w:vAlign w:val="center"/>
          </w:tcPr>
          <w:p>
            <w:pPr>
              <w:widowControl/>
              <w:jc w:val="center"/>
              <w:rPr>
                <w:rFonts w:ascii="宋体" w:hAnsi="宋体" w:cs="宋体"/>
                <w:b/>
                <w:kern w:val="0"/>
                <w:szCs w:val="21"/>
              </w:rPr>
            </w:pPr>
            <w:r>
              <w:rPr>
                <w:rFonts w:hint="eastAsia" w:ascii="宋体" w:hAnsi="宋体" w:cs="宋体"/>
                <w:b/>
                <w:kern w:val="0"/>
                <w:szCs w:val="21"/>
              </w:rPr>
              <w:t>一般地区</w:t>
            </w:r>
          </w:p>
        </w:tc>
        <w:tc>
          <w:tcPr>
            <w:tcW w:w="1191" w:type="dxa"/>
            <w:vMerge w:val="continue"/>
            <w:vAlign w:val="center"/>
          </w:tcPr>
          <w:p>
            <w:pPr>
              <w:widowControl/>
              <w:jc w:val="center"/>
              <w:rPr>
                <w:rFonts w:ascii="宋体" w:hAnsi="宋体" w:cs="宋体"/>
                <w:kern w:val="0"/>
                <w:szCs w:val="21"/>
              </w:rPr>
            </w:pPr>
          </w:p>
        </w:tc>
        <w:tc>
          <w:tcPr>
            <w:tcW w:w="3115" w:type="dxa"/>
            <w:vMerge w:val="continue"/>
            <w:vAlign w:val="center"/>
          </w:tcPr>
          <w:p>
            <w:pPr>
              <w:widowControl/>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restart"/>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清除非法</w:t>
            </w:r>
          </w:p>
          <w:p>
            <w:pPr>
              <w:widowControl/>
              <w:jc w:val="center"/>
              <w:rPr>
                <w:rFonts w:ascii="宋体" w:hAnsi="宋体" w:cs="宋体"/>
                <w:kern w:val="0"/>
                <w:szCs w:val="21"/>
              </w:rPr>
            </w:pPr>
            <w:r>
              <w:rPr>
                <w:rFonts w:hint="eastAsia" w:ascii="宋体" w:hAnsi="宋体" w:cs="宋体"/>
                <w:b/>
                <w:kern w:val="0"/>
                <w:szCs w:val="21"/>
              </w:rPr>
              <w:t>宣传广告</w:t>
            </w:r>
          </w:p>
        </w:tc>
        <w:tc>
          <w:tcPr>
            <w:tcW w:w="1063" w:type="dxa"/>
            <w:vMerge w:val="restart"/>
            <w:shd w:val="clear" w:color="auto" w:fill="auto"/>
            <w:vAlign w:val="center"/>
          </w:tcPr>
          <w:p>
            <w:pPr>
              <w:jc w:val="center"/>
              <w:rPr>
                <w:rFonts w:ascii="宋体" w:hAnsi="宋体"/>
                <w:szCs w:val="21"/>
              </w:rPr>
            </w:pPr>
            <w:r>
              <w:rPr>
                <w:rFonts w:hint="eastAsia" w:ascii="宋体" w:hAnsi="宋体"/>
                <w:szCs w:val="21"/>
              </w:rPr>
              <w:t>作业能力</w:t>
            </w:r>
          </w:p>
        </w:tc>
        <w:tc>
          <w:tcPr>
            <w:tcW w:w="635"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13</w:t>
            </w:r>
          </w:p>
        </w:tc>
        <w:tc>
          <w:tcPr>
            <w:tcW w:w="2552" w:type="dxa"/>
            <w:vAlign w:val="center"/>
          </w:tcPr>
          <w:p>
            <w:pPr>
              <w:jc w:val="center"/>
              <w:rPr>
                <w:rFonts w:ascii="宋体" w:hAnsi="宋体"/>
                <w:szCs w:val="21"/>
              </w:rPr>
            </w:pPr>
            <w:r>
              <w:rPr>
                <w:rFonts w:hint="eastAsia" w:ascii="宋体" w:hAnsi="宋体"/>
                <w:szCs w:val="21"/>
              </w:rPr>
              <w:t>人工作业人员</w:t>
            </w:r>
          </w:p>
        </w:tc>
        <w:tc>
          <w:tcPr>
            <w:tcW w:w="2126" w:type="dxa"/>
            <w:gridSpan w:val="2"/>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c>
          <w:tcPr>
            <w:tcW w:w="1752" w:type="dxa"/>
            <w:vAlign w:val="center"/>
          </w:tcPr>
          <w:p>
            <w:pPr>
              <w:widowControl/>
              <w:jc w:val="center"/>
              <w:rPr>
                <w:rFonts w:ascii="宋体" w:hAnsi="宋体" w:cs="宋体"/>
                <w:kern w:val="0"/>
                <w:szCs w:val="21"/>
              </w:rPr>
            </w:pPr>
          </w:p>
        </w:tc>
        <w:tc>
          <w:tcPr>
            <w:tcW w:w="1191" w:type="dxa"/>
            <w:vAlign w:val="center"/>
          </w:tcPr>
          <w:p>
            <w:pPr>
              <w:widowControl/>
              <w:jc w:val="center"/>
              <w:rPr>
                <w:rFonts w:ascii="宋体" w:hAnsi="宋体" w:cs="宋体"/>
                <w:kern w:val="0"/>
                <w:szCs w:val="21"/>
              </w:rPr>
            </w:pPr>
            <w:r>
              <w:rPr>
                <w:rFonts w:hint="eastAsia" w:ascii="宋体" w:hAnsi="宋体" w:cs="宋体"/>
                <w:kern w:val="0"/>
                <w:szCs w:val="21"/>
              </w:rPr>
              <w:t>人</w:t>
            </w:r>
          </w:p>
        </w:tc>
        <w:tc>
          <w:tcPr>
            <w:tcW w:w="3115" w:type="dxa"/>
            <w:vAlign w:val="center"/>
          </w:tcPr>
          <w:p>
            <w:pPr>
              <w:widowControl/>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shd w:val="clear" w:color="auto" w:fill="auto"/>
            <w:vAlign w:val="center"/>
          </w:tcPr>
          <w:p>
            <w:pPr>
              <w:widowControl/>
              <w:jc w:val="center"/>
              <w:rPr>
                <w:rFonts w:ascii="宋体" w:hAnsi="宋体" w:cs="宋体"/>
                <w:kern w:val="0"/>
                <w:szCs w:val="21"/>
              </w:rPr>
            </w:pPr>
          </w:p>
        </w:tc>
        <w:tc>
          <w:tcPr>
            <w:tcW w:w="1063" w:type="dxa"/>
            <w:vMerge w:val="continue"/>
            <w:shd w:val="clear" w:color="auto" w:fill="auto"/>
            <w:vAlign w:val="center"/>
          </w:tcPr>
          <w:p>
            <w:pPr>
              <w:jc w:val="center"/>
              <w:rPr>
                <w:rFonts w:ascii="宋体" w:hAnsi="宋体"/>
                <w:szCs w:val="21"/>
              </w:rPr>
            </w:pPr>
          </w:p>
        </w:tc>
        <w:tc>
          <w:tcPr>
            <w:tcW w:w="635"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14</w:t>
            </w:r>
          </w:p>
        </w:tc>
        <w:tc>
          <w:tcPr>
            <w:tcW w:w="2552" w:type="dxa"/>
            <w:vAlign w:val="center"/>
          </w:tcPr>
          <w:p>
            <w:pPr>
              <w:jc w:val="center"/>
              <w:rPr>
                <w:rFonts w:ascii="宋体" w:hAnsi="宋体"/>
                <w:szCs w:val="21"/>
              </w:rPr>
            </w:pPr>
            <w:r>
              <w:rPr>
                <w:rFonts w:hint="eastAsia" w:ascii="宋体" w:hAnsi="宋体"/>
                <w:szCs w:val="21"/>
              </w:rPr>
              <w:t>机械作业车辆</w:t>
            </w:r>
          </w:p>
        </w:tc>
        <w:tc>
          <w:tcPr>
            <w:tcW w:w="2126" w:type="dxa"/>
            <w:gridSpan w:val="2"/>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c>
          <w:tcPr>
            <w:tcW w:w="1752" w:type="dxa"/>
            <w:vAlign w:val="center"/>
          </w:tcPr>
          <w:p>
            <w:pPr>
              <w:widowControl/>
              <w:jc w:val="center"/>
              <w:rPr>
                <w:rFonts w:ascii="宋体" w:hAnsi="宋体" w:cs="宋体"/>
                <w:kern w:val="0"/>
                <w:szCs w:val="21"/>
              </w:rPr>
            </w:pPr>
          </w:p>
        </w:tc>
        <w:tc>
          <w:tcPr>
            <w:tcW w:w="1191" w:type="dxa"/>
            <w:vAlign w:val="center"/>
          </w:tcPr>
          <w:p>
            <w:pPr>
              <w:widowControl/>
              <w:jc w:val="center"/>
              <w:rPr>
                <w:rFonts w:ascii="宋体" w:hAnsi="宋体" w:cs="宋体"/>
                <w:kern w:val="0"/>
                <w:szCs w:val="21"/>
              </w:rPr>
            </w:pPr>
            <w:r>
              <w:rPr>
                <w:rFonts w:hint="eastAsia" w:ascii="宋体" w:hAnsi="宋体" w:cs="宋体"/>
                <w:kern w:val="0"/>
                <w:szCs w:val="21"/>
              </w:rPr>
              <w:t>辆</w:t>
            </w:r>
          </w:p>
        </w:tc>
        <w:tc>
          <w:tcPr>
            <w:tcW w:w="3115" w:type="dxa"/>
            <w:vAlign w:val="center"/>
          </w:tcPr>
          <w:p>
            <w:pPr>
              <w:widowControl/>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shd w:val="clear" w:color="auto" w:fill="auto"/>
            <w:vAlign w:val="center"/>
          </w:tcPr>
          <w:p>
            <w:pPr>
              <w:widowControl/>
              <w:jc w:val="center"/>
              <w:rPr>
                <w:rFonts w:ascii="宋体" w:hAnsi="宋体" w:cs="宋体"/>
                <w:kern w:val="0"/>
                <w:szCs w:val="21"/>
              </w:rPr>
            </w:pPr>
          </w:p>
        </w:tc>
        <w:tc>
          <w:tcPr>
            <w:tcW w:w="1063" w:type="dxa"/>
            <w:shd w:val="clear" w:color="auto" w:fill="auto"/>
            <w:vAlign w:val="center"/>
          </w:tcPr>
          <w:p>
            <w:pPr>
              <w:jc w:val="center"/>
              <w:rPr>
                <w:rFonts w:ascii="宋体" w:hAnsi="宋体"/>
                <w:szCs w:val="21"/>
              </w:rPr>
            </w:pPr>
            <w:r>
              <w:rPr>
                <w:rFonts w:hint="eastAsia" w:ascii="宋体" w:hAnsi="宋体"/>
                <w:szCs w:val="21"/>
              </w:rPr>
              <w:t>作业量</w:t>
            </w:r>
          </w:p>
        </w:tc>
        <w:tc>
          <w:tcPr>
            <w:tcW w:w="635"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2552" w:type="dxa"/>
            <w:vAlign w:val="center"/>
          </w:tcPr>
          <w:p>
            <w:pPr>
              <w:jc w:val="center"/>
              <w:rPr>
                <w:rFonts w:ascii="宋体" w:hAnsi="宋体"/>
                <w:szCs w:val="21"/>
              </w:rPr>
            </w:pPr>
            <w:r>
              <w:rPr>
                <w:rFonts w:hint="eastAsia" w:ascii="宋体" w:hAnsi="宋体"/>
                <w:szCs w:val="21"/>
              </w:rPr>
              <w:t>专业清除路段长度</w:t>
            </w:r>
          </w:p>
        </w:tc>
        <w:tc>
          <w:tcPr>
            <w:tcW w:w="2126" w:type="dxa"/>
            <w:gridSpan w:val="2"/>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c>
          <w:tcPr>
            <w:tcW w:w="1752" w:type="dxa"/>
            <w:vAlign w:val="center"/>
          </w:tcPr>
          <w:p>
            <w:pPr>
              <w:widowControl/>
              <w:jc w:val="center"/>
              <w:rPr>
                <w:rFonts w:ascii="宋体" w:hAnsi="宋体" w:cs="宋体"/>
                <w:kern w:val="0"/>
                <w:szCs w:val="21"/>
              </w:rPr>
            </w:pPr>
          </w:p>
        </w:tc>
        <w:tc>
          <w:tcPr>
            <w:tcW w:w="1191" w:type="dxa"/>
            <w:vAlign w:val="center"/>
          </w:tcPr>
          <w:p>
            <w:pPr>
              <w:widowControl/>
              <w:jc w:val="center"/>
              <w:rPr>
                <w:rFonts w:ascii="宋体" w:hAnsi="宋体" w:cs="宋体"/>
                <w:kern w:val="0"/>
                <w:szCs w:val="21"/>
              </w:rPr>
            </w:pPr>
            <w:r>
              <w:rPr>
                <w:rFonts w:hint="eastAsia" w:ascii="宋体" w:hAnsi="宋体" w:cs="宋体"/>
                <w:kern w:val="0"/>
                <w:szCs w:val="21"/>
              </w:rPr>
              <w:t>千米</w:t>
            </w:r>
          </w:p>
        </w:tc>
        <w:tc>
          <w:tcPr>
            <w:tcW w:w="3115" w:type="dxa"/>
            <w:vAlign w:val="center"/>
          </w:tcPr>
          <w:p>
            <w:pPr>
              <w:widowControl/>
              <w:jc w:val="center"/>
              <w:rPr>
                <w:rFonts w:ascii="宋体" w:hAnsi="宋体" w:cs="宋体"/>
                <w:kern w:val="0"/>
                <w:szCs w:val="21"/>
              </w:rPr>
            </w:pPr>
          </w:p>
        </w:tc>
      </w:tr>
    </w:tbl>
    <w:p>
      <w:pPr>
        <w:rPr>
          <w:rFonts w:ascii="宋体" w:hAnsi="宋体"/>
          <w:szCs w:val="21"/>
        </w:rPr>
      </w:pPr>
      <w:r>
        <w:rPr>
          <w:rFonts w:hint="eastAsia" w:ascii="宋体" w:hAnsi="宋体"/>
          <w:szCs w:val="21"/>
        </w:rPr>
        <w:t>主管领导：            联系人：           联系电话：            填表时间：   年   月   日</w:t>
      </w:r>
    </w:p>
    <w:p>
      <w:pPr>
        <w:rPr>
          <w:rFonts w:ascii="宋体" w:hAnsi="宋体"/>
          <w:szCs w:val="21"/>
        </w:rPr>
      </w:pPr>
    </w:p>
    <w:p>
      <w:pPr>
        <w:spacing w:line="460" w:lineRule="exact"/>
        <w:rPr>
          <w:rFonts w:ascii="宋体" w:hAnsi="宋体"/>
          <w:szCs w:val="21"/>
        </w:rPr>
        <w:sectPr>
          <w:pgSz w:w="16838" w:h="11906" w:orient="landscape"/>
          <w:pgMar w:top="1701" w:right="1361" w:bottom="1797" w:left="1440" w:header="851" w:footer="992" w:gutter="0"/>
          <w:cols w:space="425" w:num="1"/>
          <w:docGrid w:linePitch="312" w:charSpace="0"/>
        </w:sectPr>
      </w:pPr>
    </w:p>
    <w:p>
      <w:pPr>
        <w:spacing w:line="460" w:lineRule="exact"/>
        <w:rPr>
          <w:rFonts w:ascii="宋体" w:hAnsi="宋体"/>
          <w:szCs w:val="21"/>
        </w:rPr>
      </w:pPr>
      <w:r>
        <w:rPr>
          <w:rFonts w:hint="eastAsia" w:ascii="宋体" w:hAnsi="宋体"/>
          <w:szCs w:val="21"/>
        </w:rPr>
        <w:t>附件2：</w:t>
      </w:r>
    </w:p>
    <w:p>
      <w:pPr>
        <w:jc w:val="center"/>
        <w:rPr>
          <w:rFonts w:ascii="宋体" w:hAnsi="宋体"/>
          <w:b/>
          <w:szCs w:val="21"/>
        </w:rPr>
      </w:pPr>
      <w:r>
        <w:rPr>
          <w:rFonts w:hint="eastAsia" w:ascii="宋体" w:hAnsi="宋体"/>
          <w:b/>
          <w:szCs w:val="21"/>
        </w:rPr>
        <w:t>街乡(镇)管理范围环境卫生检查考核标准</w:t>
      </w:r>
    </w:p>
    <w:p>
      <w:pPr>
        <w:jc w:val="center"/>
        <w:rPr>
          <w:rFonts w:ascii="宋体" w:hAnsi="宋体"/>
          <w:b/>
          <w:szCs w:val="21"/>
        </w:rPr>
      </w:pPr>
    </w:p>
    <w:p>
      <w:pPr>
        <w:jc w:val="center"/>
        <w:rPr>
          <w:rFonts w:ascii="宋体" w:hAnsi="宋体"/>
          <w:b/>
          <w:szCs w:val="21"/>
        </w:rPr>
      </w:pPr>
      <w:r>
        <w:rPr>
          <w:rFonts w:hint="eastAsia" w:ascii="宋体" w:hAnsi="宋体"/>
          <w:b/>
          <w:szCs w:val="21"/>
        </w:rPr>
        <w:t>（一）背街小巷检查考核标准</w:t>
      </w:r>
    </w:p>
    <w:p>
      <w:pPr>
        <w:jc w:val="center"/>
        <w:rPr>
          <w:rFonts w:ascii="宋体" w:hAnsi="宋体"/>
          <w:szCs w:val="21"/>
        </w:rPr>
      </w:pPr>
    </w:p>
    <w:tbl>
      <w:tblPr>
        <w:tblStyle w:val="46"/>
        <w:tblW w:w="14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560"/>
        <w:gridCol w:w="708"/>
        <w:gridCol w:w="993"/>
        <w:gridCol w:w="2622"/>
        <w:gridCol w:w="1134"/>
        <w:gridCol w:w="6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351" w:type="dxa"/>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一级</w:t>
            </w:r>
          </w:p>
        </w:tc>
        <w:tc>
          <w:tcPr>
            <w:tcW w:w="1560" w:type="dxa"/>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二级</w:t>
            </w:r>
          </w:p>
        </w:tc>
        <w:tc>
          <w:tcPr>
            <w:tcW w:w="708" w:type="dxa"/>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序号</w:t>
            </w:r>
          </w:p>
        </w:tc>
        <w:tc>
          <w:tcPr>
            <w:tcW w:w="3615" w:type="dxa"/>
            <w:gridSpan w:val="2"/>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三级</w:t>
            </w:r>
          </w:p>
        </w:tc>
        <w:tc>
          <w:tcPr>
            <w:tcW w:w="1134" w:type="dxa"/>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检查</w:t>
            </w:r>
            <w:r>
              <w:rPr>
                <w:rFonts w:hint="eastAsia" w:ascii="宋体" w:hAnsi="宋体" w:cs="宋体"/>
                <w:b/>
                <w:kern w:val="0"/>
                <w:szCs w:val="21"/>
              </w:rPr>
              <w:br w:type="textWrapping"/>
            </w:r>
            <w:r>
              <w:rPr>
                <w:rFonts w:hint="eastAsia" w:ascii="宋体" w:hAnsi="宋体" w:cs="宋体"/>
                <w:b/>
                <w:kern w:val="0"/>
                <w:szCs w:val="21"/>
              </w:rPr>
              <w:t>周期</w:t>
            </w:r>
          </w:p>
        </w:tc>
        <w:tc>
          <w:tcPr>
            <w:tcW w:w="6450" w:type="dxa"/>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条文说明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351"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管理与服务</w:t>
            </w:r>
          </w:p>
          <w:p>
            <w:pPr>
              <w:widowControl/>
              <w:jc w:val="center"/>
              <w:rPr>
                <w:rFonts w:ascii="宋体" w:hAnsi="宋体" w:cs="宋体"/>
                <w:kern w:val="0"/>
                <w:szCs w:val="21"/>
              </w:rPr>
            </w:pPr>
            <w:r>
              <w:rPr>
                <w:rFonts w:hint="eastAsia" w:ascii="宋体" w:hAnsi="宋体" w:cs="宋体"/>
                <w:kern w:val="0"/>
                <w:szCs w:val="21"/>
              </w:rPr>
              <w:t>(0.30)</w:t>
            </w:r>
          </w:p>
        </w:tc>
        <w:tc>
          <w:tcPr>
            <w:tcW w:w="1560"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xml:space="preserve"> 作业管理</w:t>
            </w:r>
          </w:p>
          <w:p>
            <w:pPr>
              <w:widowControl/>
              <w:jc w:val="center"/>
              <w:rPr>
                <w:rFonts w:ascii="宋体" w:hAnsi="宋体" w:cs="宋体"/>
                <w:kern w:val="0"/>
                <w:szCs w:val="21"/>
              </w:rPr>
            </w:pPr>
            <w:r>
              <w:rPr>
                <w:rFonts w:hint="eastAsia" w:ascii="宋体" w:hAnsi="宋体" w:cs="宋体"/>
                <w:kern w:val="0"/>
                <w:szCs w:val="21"/>
              </w:rPr>
              <w:t>（0.30）</w:t>
            </w: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作业范围明确,各类台账精细、清晰、准确</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月</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责任区明确，建立健全各类基础管理和作业台账，包括背街小巷、公共厕所、果皮箱和垃圾收集站点等。每发现一处次不符合扣2.0分。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351" w:type="dxa"/>
            <w:vMerge w:val="continue"/>
            <w:shd w:val="clear" w:color="auto" w:fill="auto"/>
            <w:vAlign w:val="center"/>
          </w:tcPr>
          <w:p>
            <w:pPr>
              <w:widowControl/>
              <w:jc w:val="center"/>
              <w:rPr>
                <w:rFonts w:ascii="宋体" w:hAnsi="宋体" w:cs="宋体"/>
                <w:kern w:val="0"/>
                <w:szCs w:val="21"/>
              </w:rPr>
            </w:pPr>
          </w:p>
        </w:tc>
        <w:tc>
          <w:tcPr>
            <w:tcW w:w="1560" w:type="dxa"/>
            <w:vMerge w:val="continue"/>
            <w:shd w:val="clear" w:color="auto" w:fill="auto"/>
            <w:vAlign w:val="center"/>
          </w:tcPr>
          <w:p>
            <w:pPr>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建立其它各类垃圾管理和作业体系</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月</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建立大件垃圾、装修垃圾等其它垃圾的管理和作业台账，做到定时定点收集。每发现一处次不符合扣1.0分。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351" w:type="dxa"/>
            <w:vMerge w:val="continue"/>
            <w:shd w:val="clear" w:color="auto" w:fill="auto"/>
            <w:vAlign w:val="center"/>
          </w:tcPr>
          <w:p>
            <w:pPr>
              <w:widowControl/>
              <w:jc w:val="center"/>
              <w:rPr>
                <w:rFonts w:ascii="宋体" w:hAnsi="宋体" w:cs="宋体"/>
                <w:kern w:val="0"/>
                <w:szCs w:val="21"/>
              </w:rPr>
            </w:pPr>
          </w:p>
        </w:tc>
        <w:tc>
          <w:tcPr>
            <w:tcW w:w="1560" w:type="dxa"/>
            <w:vMerge w:val="restart"/>
            <w:shd w:val="clear" w:color="auto" w:fill="auto"/>
            <w:vAlign w:val="center"/>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r>
              <w:rPr>
                <w:rFonts w:hint="eastAsia" w:ascii="宋体" w:hAnsi="宋体" w:cs="宋体"/>
                <w:kern w:val="0"/>
                <w:szCs w:val="21"/>
              </w:rPr>
              <w:t>作业基础</w:t>
            </w:r>
          </w:p>
          <w:p>
            <w:pPr>
              <w:jc w:val="center"/>
              <w:rPr>
                <w:rFonts w:ascii="宋体" w:hAnsi="宋体" w:cs="宋体"/>
                <w:kern w:val="0"/>
                <w:szCs w:val="21"/>
              </w:rPr>
            </w:pPr>
            <w:r>
              <w:rPr>
                <w:rFonts w:hint="eastAsia" w:ascii="宋体" w:hAnsi="宋体" w:cs="宋体"/>
                <w:kern w:val="0"/>
                <w:szCs w:val="21"/>
              </w:rPr>
              <w:t>（0.40）</w:t>
            </w: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作业队伍专业化</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月</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环卫中心作业或取得环卫作业资质。每发现一处次不符合扣3.0分。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351" w:type="dxa"/>
            <w:vMerge w:val="continue"/>
            <w:shd w:val="clear" w:color="auto" w:fill="auto"/>
            <w:vAlign w:val="center"/>
          </w:tcPr>
          <w:p>
            <w:pPr>
              <w:widowControl/>
              <w:jc w:val="center"/>
              <w:rPr>
                <w:rFonts w:ascii="宋体" w:hAnsi="宋体" w:cs="宋体"/>
                <w:kern w:val="0"/>
                <w:szCs w:val="21"/>
              </w:rPr>
            </w:pPr>
          </w:p>
        </w:tc>
        <w:tc>
          <w:tcPr>
            <w:tcW w:w="1560" w:type="dxa"/>
            <w:vMerge w:val="continue"/>
            <w:shd w:val="clear" w:color="auto" w:fill="auto"/>
            <w:vAlign w:val="center"/>
          </w:tcPr>
          <w:p>
            <w:pPr>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统一着装,佩戴胸卡，不从事与工作无关的事情，积极配合各级检查监督</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作业人员应按时上岗，统一着装，佩戴胸卡，不从事与工作无关的事情，文明礼貌，积极配合检查人员的工作。每发现一处次不符合扣0.5分。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continue"/>
            <w:vAlign w:val="center"/>
          </w:tcPr>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机动车、人工保洁车车容,机械设备运行正常</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保洁作业及垃圾收集车辆无锈蚀、无破损。每发现一处次不符合扣0.5分。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continue"/>
            <w:vAlign w:val="center"/>
          </w:tcPr>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垃圾收集设施完好</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垃圾收集设施完好、无破损。（应公示清运时间、清运单位、管理单位、专职管理人员、监督电话）每发现一处次不符合扣0.5分。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continue"/>
            <w:vAlign w:val="center"/>
          </w:tcPr>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废物箱(果皮箱)完好、充足</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废物箱(果皮箱)无破损、无锈蚀。按标准配置且数量充足。每发现一处次不符合扣0.5分。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continue"/>
            <w:vAlign w:val="center"/>
          </w:tcPr>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厕所外观、标识牌、厕内设施完好</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厕所内外立面、标识牌、门窗玻璃等设施无破损。每发现一处次不符合扣0.5分。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作业规范</w:t>
            </w:r>
          </w:p>
          <w:p>
            <w:pPr>
              <w:widowControl/>
              <w:jc w:val="center"/>
              <w:rPr>
                <w:rFonts w:ascii="宋体" w:hAnsi="宋体" w:cs="宋体"/>
                <w:kern w:val="0"/>
                <w:szCs w:val="21"/>
              </w:rPr>
            </w:pPr>
            <w:r>
              <w:rPr>
                <w:rFonts w:hint="eastAsia" w:ascii="宋体" w:hAnsi="宋体" w:cs="宋体"/>
                <w:kern w:val="0"/>
                <w:szCs w:val="21"/>
              </w:rPr>
              <w:t>（0.30）</w:t>
            </w: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99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清扫</w:t>
            </w:r>
          </w:p>
          <w:p>
            <w:pPr>
              <w:widowControl/>
              <w:jc w:val="center"/>
              <w:rPr>
                <w:rFonts w:ascii="宋体" w:hAnsi="宋体" w:cs="宋体"/>
                <w:kern w:val="0"/>
                <w:szCs w:val="21"/>
              </w:rPr>
            </w:pPr>
            <w:r>
              <w:rPr>
                <w:rFonts w:hint="eastAsia" w:ascii="宋体" w:hAnsi="宋体" w:cs="宋体"/>
                <w:kern w:val="0"/>
                <w:szCs w:val="21"/>
              </w:rPr>
              <w:t>保洁</w:t>
            </w:r>
          </w:p>
        </w:tc>
        <w:tc>
          <w:tcPr>
            <w:tcW w:w="262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清扫保洁作业时间符合要求</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街巷清扫作业每日6时（冬季7：00）前完成。白天保洁作业时间6时到21时。每发现一处次不符合扣0.5分。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continue"/>
            <w:vAlign w:val="center"/>
          </w:tcPr>
          <w:p>
            <w:pPr>
              <w:widowControl/>
              <w:jc w:val="center"/>
              <w:rPr>
                <w:rFonts w:ascii="宋体" w:hAnsi="宋体" w:cs="宋体"/>
                <w:kern w:val="0"/>
                <w:szCs w:val="21"/>
              </w:rPr>
            </w:pPr>
          </w:p>
        </w:tc>
        <w:tc>
          <w:tcPr>
            <w:tcW w:w="708" w:type="dxa"/>
            <w:vAlign w:val="center"/>
          </w:tcPr>
          <w:p>
            <w:pPr>
              <w:widowControl/>
              <w:jc w:val="center"/>
              <w:rPr>
                <w:rFonts w:ascii="宋体" w:hAnsi="宋体" w:cs="宋体"/>
                <w:kern w:val="0"/>
                <w:szCs w:val="21"/>
              </w:rPr>
            </w:pPr>
            <w:r>
              <w:rPr>
                <w:rFonts w:hint="eastAsia" w:ascii="宋体" w:hAnsi="宋体" w:cs="宋体"/>
                <w:kern w:val="0"/>
                <w:szCs w:val="21"/>
              </w:rPr>
              <w:t>10</w:t>
            </w:r>
          </w:p>
        </w:tc>
        <w:tc>
          <w:tcPr>
            <w:tcW w:w="993" w:type="dxa"/>
            <w:vAlign w:val="center"/>
          </w:tcPr>
          <w:p>
            <w:pPr>
              <w:widowControl/>
              <w:jc w:val="center"/>
              <w:rPr>
                <w:rFonts w:ascii="宋体" w:hAnsi="宋体" w:cs="宋体"/>
                <w:kern w:val="0"/>
                <w:szCs w:val="21"/>
              </w:rPr>
            </w:pPr>
            <w:r>
              <w:rPr>
                <w:rFonts w:hint="eastAsia" w:ascii="宋体" w:hAnsi="宋体" w:cs="宋体"/>
                <w:kern w:val="0"/>
                <w:szCs w:val="21"/>
              </w:rPr>
              <w:t>垃圾渣土收运作业</w:t>
            </w:r>
          </w:p>
        </w:tc>
        <w:tc>
          <w:tcPr>
            <w:tcW w:w="262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大件垃圾和房屋修缮、装修等建筑垃圾、渣土等废弃物符合要求</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应单独堆放和清运、处置，装修垃圾要袋装密闭，不得混入生活垃圾中，及时清运。每发现一处次不符合扣0.5分。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continue"/>
            <w:vAlign w:val="center"/>
          </w:tcPr>
          <w:p>
            <w:pPr>
              <w:widowControl/>
              <w:jc w:val="center"/>
              <w:rPr>
                <w:rFonts w:ascii="宋体" w:hAnsi="宋体" w:cs="宋体"/>
                <w:kern w:val="0"/>
                <w:szCs w:val="21"/>
              </w:rPr>
            </w:pPr>
          </w:p>
        </w:tc>
        <w:tc>
          <w:tcPr>
            <w:tcW w:w="708" w:type="dxa"/>
            <w:vAlign w:val="center"/>
          </w:tcPr>
          <w:p>
            <w:pPr>
              <w:widowControl/>
              <w:jc w:val="center"/>
              <w:rPr>
                <w:rFonts w:ascii="宋体" w:hAnsi="宋体" w:cs="宋体"/>
                <w:kern w:val="0"/>
                <w:szCs w:val="21"/>
              </w:rPr>
            </w:pPr>
            <w:r>
              <w:rPr>
                <w:rFonts w:hint="eastAsia" w:ascii="宋体" w:hAnsi="宋体" w:cs="宋体"/>
                <w:kern w:val="0"/>
                <w:szCs w:val="21"/>
              </w:rPr>
              <w:t>11</w:t>
            </w:r>
          </w:p>
        </w:tc>
        <w:tc>
          <w:tcPr>
            <w:tcW w:w="993" w:type="dxa"/>
            <w:vAlign w:val="center"/>
          </w:tcPr>
          <w:p>
            <w:pPr>
              <w:widowControl/>
              <w:jc w:val="center"/>
              <w:rPr>
                <w:rFonts w:ascii="宋体" w:hAnsi="宋体" w:cs="宋体"/>
                <w:kern w:val="0"/>
                <w:szCs w:val="21"/>
              </w:rPr>
            </w:pPr>
            <w:r>
              <w:rPr>
                <w:rFonts w:hint="eastAsia" w:ascii="宋体" w:hAnsi="宋体" w:cs="宋体"/>
                <w:kern w:val="0"/>
                <w:szCs w:val="21"/>
              </w:rPr>
              <w:t>非法宣传品</w:t>
            </w:r>
          </w:p>
        </w:tc>
        <w:tc>
          <w:tcPr>
            <w:tcW w:w="262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清除非法宣传品符合要求</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清除建（构）筑物表面非法宣传品要符合工艺要求，不允许覆盖，喷涂时与原构、建物表面颜色相协调。每发现一处次不符合扣0.5分。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continue"/>
            <w:vAlign w:val="center"/>
          </w:tcPr>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按规定扫雪铲冰</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351" w:type="dxa"/>
            <w:vMerge w:val="restart"/>
            <w:shd w:val="clear" w:color="auto" w:fill="auto"/>
            <w:vAlign w:val="center"/>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r>
              <w:rPr>
                <w:rFonts w:hint="eastAsia" w:ascii="宋体" w:hAnsi="宋体" w:cs="宋体"/>
                <w:kern w:val="0"/>
                <w:szCs w:val="21"/>
              </w:rPr>
              <w:t>环境保护</w:t>
            </w:r>
          </w:p>
          <w:p>
            <w:pPr>
              <w:widowControl/>
              <w:jc w:val="center"/>
              <w:rPr>
                <w:rFonts w:ascii="宋体" w:hAnsi="宋体" w:cs="宋体"/>
                <w:kern w:val="0"/>
                <w:szCs w:val="21"/>
              </w:rPr>
            </w:pPr>
            <w:r>
              <w:rPr>
                <w:rFonts w:hint="eastAsia" w:ascii="宋体" w:hAnsi="宋体" w:cs="宋体"/>
                <w:kern w:val="0"/>
                <w:szCs w:val="21"/>
              </w:rPr>
              <w:t>(0.60)</w:t>
            </w:r>
          </w:p>
          <w:p>
            <w:pPr>
              <w:widowControl/>
              <w:jc w:val="center"/>
              <w:rPr>
                <w:rFonts w:ascii="宋体" w:hAnsi="宋体" w:cs="宋体"/>
                <w:kern w:val="0"/>
                <w:szCs w:val="21"/>
              </w:rPr>
            </w:pPr>
          </w:p>
        </w:tc>
        <w:tc>
          <w:tcPr>
            <w:tcW w:w="1560" w:type="dxa"/>
            <w:vMerge w:val="restart"/>
            <w:shd w:val="clear" w:color="auto" w:fill="auto"/>
            <w:vAlign w:val="center"/>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r>
              <w:rPr>
                <w:rFonts w:hint="eastAsia" w:ascii="宋体" w:hAnsi="宋体" w:cs="宋体"/>
                <w:kern w:val="0"/>
                <w:szCs w:val="21"/>
              </w:rPr>
              <w:t>环境卫生</w:t>
            </w:r>
            <w:r>
              <w:rPr>
                <w:rFonts w:hint="eastAsia" w:ascii="宋体" w:hAnsi="宋体" w:cs="宋体"/>
                <w:kern w:val="0"/>
                <w:szCs w:val="21"/>
              </w:rPr>
              <w:br w:type="textWrapping"/>
            </w:r>
            <w:r>
              <w:rPr>
                <w:rFonts w:hint="eastAsia" w:ascii="宋体" w:hAnsi="宋体" w:cs="宋体"/>
                <w:kern w:val="0"/>
                <w:szCs w:val="21"/>
              </w:rPr>
              <w:t>(0.80)</w:t>
            </w:r>
          </w:p>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13</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背街小巷环境卫生干净整洁</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路面、沟渠、树坑、花池、绿地等无废弃物、雨水口无污物、污垢等杂物，路面无大面积污渍和积留污水，冬季无结冰。每发现一处次不符合扣0.5分。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51" w:type="dxa"/>
            <w:vMerge w:val="continue"/>
            <w:shd w:val="clear" w:color="auto" w:fill="auto"/>
            <w:vAlign w:val="center"/>
          </w:tcPr>
          <w:p>
            <w:pPr>
              <w:widowControl/>
              <w:jc w:val="center"/>
              <w:rPr>
                <w:rFonts w:ascii="宋体" w:hAnsi="宋体" w:cs="宋体"/>
                <w:kern w:val="0"/>
                <w:szCs w:val="21"/>
              </w:rPr>
            </w:pPr>
          </w:p>
        </w:tc>
        <w:tc>
          <w:tcPr>
            <w:tcW w:w="1560" w:type="dxa"/>
            <w:vMerge w:val="continue"/>
            <w:shd w:val="clear" w:color="auto" w:fill="auto"/>
            <w:vAlign w:val="center"/>
          </w:tcPr>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14</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垃圾收集设施周围干净整洁</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垃圾收集设施周围干净整洁、无暴露垃圾、无散落垃圾、无垃圾满冒，垃圾收集设施周围无积水、无蚊蝇。每发现一处次不符合扣1.0分。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51" w:type="dxa"/>
            <w:vMerge w:val="continue"/>
            <w:shd w:val="clear" w:color="auto" w:fill="auto"/>
            <w:vAlign w:val="center"/>
          </w:tcPr>
          <w:p>
            <w:pPr>
              <w:widowControl/>
              <w:jc w:val="center"/>
              <w:rPr>
                <w:rFonts w:ascii="宋体" w:hAnsi="宋体" w:cs="宋体"/>
                <w:kern w:val="0"/>
                <w:szCs w:val="21"/>
              </w:rPr>
            </w:pPr>
          </w:p>
        </w:tc>
        <w:tc>
          <w:tcPr>
            <w:tcW w:w="1560" w:type="dxa"/>
            <w:vMerge w:val="continue"/>
            <w:shd w:val="clear" w:color="auto" w:fill="auto"/>
            <w:vAlign w:val="center"/>
          </w:tcPr>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废物箱(果皮箱)整洁</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废物箱（果皮箱）及周边干净整洁、无乱张贴无乱写乱画，及时清掏，垃圾无满冒。 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continue"/>
            <w:vAlign w:val="center"/>
          </w:tcPr>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16</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机动车、人工保洁车干净整洁</w:t>
            </w:r>
          </w:p>
        </w:tc>
        <w:tc>
          <w:tcPr>
            <w:tcW w:w="1134" w:type="dxa"/>
            <w:shd w:val="clear" w:color="auto" w:fill="auto"/>
            <w:vAlign w:val="center"/>
          </w:tcPr>
          <w:p>
            <w:pPr>
              <w:widowControl/>
              <w:jc w:val="center"/>
              <w:rPr>
                <w:rFonts w:ascii="宋体" w:hAnsi="宋体" w:cs="宋体"/>
                <w:kern w:val="0"/>
                <w:szCs w:val="21"/>
              </w:rPr>
            </w:pP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机动车、人工保洁车外表干净整洁、无污渍。每发现一处次不符合扣1.0分。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continue"/>
            <w:vAlign w:val="center"/>
          </w:tcPr>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17</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厕所及周围区域环境整洁</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大便器内无积存物，小便器内无积尿、无水锈、无尿垢、无污物；无蚊蝇；纸篓不溢满，地面、蹲台洁净；屋顶及周边无乱堆杂物。每发现一处次不符合扣1.0分。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continue"/>
            <w:vAlign w:val="center"/>
          </w:tcPr>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18</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背街小巷无暴露垃圾</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路面无大面积的暴露垃圾、大件垃圾和房屋修缮、装修等建筑垃圾、渣土堆放等。每发现一处次不符合扣2.0分。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环境影响</w:t>
            </w:r>
            <w:r>
              <w:rPr>
                <w:rFonts w:hint="eastAsia" w:ascii="宋体" w:hAnsi="宋体" w:cs="宋体"/>
                <w:kern w:val="0"/>
                <w:szCs w:val="21"/>
              </w:rPr>
              <w:br w:type="textWrapping"/>
            </w:r>
            <w:r>
              <w:rPr>
                <w:rFonts w:hint="eastAsia" w:ascii="宋体" w:hAnsi="宋体" w:cs="宋体"/>
                <w:kern w:val="0"/>
                <w:szCs w:val="21"/>
              </w:rPr>
              <w:t>(0.20)</w:t>
            </w: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19</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无乱张贴、无乱涂写、无乱刻画</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责任区内构、建物无乱张贴、无乱涂写、无乱刻画。 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continue"/>
            <w:vAlign w:val="center"/>
          </w:tcPr>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不焚烧垃圾、树叶等杂物</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continue"/>
            <w:vAlign w:val="center"/>
          </w:tcPr>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21</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清扫保洁作业不产生扬尘</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continue"/>
            <w:vAlign w:val="center"/>
          </w:tcPr>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22</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无白色污染</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大风、大雨天气后要及时清扫街乡(镇)管理范围、绿地和清除树挂和白色污染。每发现一处次不符合扣0.5分。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continue"/>
            <w:vAlign w:val="center"/>
          </w:tcPr>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23</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垃圾收集作业无垃圾、渗沥液遗洒</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continue"/>
            <w:vAlign w:val="center"/>
          </w:tcPr>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24</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无臭味</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责任区范围内等无异味。每发现一处次不符合扣0.5分。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351"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安全与应急</w:t>
            </w:r>
            <w:r>
              <w:rPr>
                <w:rFonts w:hint="eastAsia" w:ascii="宋体" w:hAnsi="宋体" w:cs="宋体"/>
                <w:kern w:val="0"/>
                <w:szCs w:val="21"/>
              </w:rPr>
              <w:br w:type="textWrapping"/>
            </w:r>
            <w:r>
              <w:rPr>
                <w:rFonts w:hint="eastAsia" w:ascii="宋体" w:hAnsi="宋体" w:cs="宋体"/>
                <w:kern w:val="0"/>
                <w:szCs w:val="21"/>
              </w:rPr>
              <w:t>(0.10)</w:t>
            </w:r>
          </w:p>
        </w:tc>
        <w:tc>
          <w:tcPr>
            <w:tcW w:w="1560"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安全生产</w:t>
            </w:r>
            <w:r>
              <w:rPr>
                <w:rFonts w:hint="eastAsia" w:ascii="宋体" w:hAnsi="宋体" w:cs="宋体"/>
                <w:kern w:val="0"/>
                <w:szCs w:val="21"/>
              </w:rPr>
              <w:br w:type="textWrapping"/>
            </w:r>
            <w:r>
              <w:rPr>
                <w:rFonts w:hint="eastAsia" w:ascii="宋体" w:hAnsi="宋体" w:cs="宋体"/>
                <w:kern w:val="0"/>
                <w:szCs w:val="21"/>
              </w:rPr>
              <w:t>(0.50)</w:t>
            </w: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25</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按规定使用安全警示标志</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机扫车警示标志齐全，作业时要开启警示标志，按规定使用。每发现一处次不符合扣0.5分。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351" w:type="dxa"/>
            <w:vMerge w:val="continue"/>
            <w:vAlign w:val="center"/>
          </w:tcPr>
          <w:p>
            <w:pPr>
              <w:widowControl/>
              <w:jc w:val="center"/>
              <w:rPr>
                <w:rFonts w:ascii="宋体" w:hAnsi="宋体" w:cs="宋体"/>
                <w:kern w:val="0"/>
                <w:szCs w:val="21"/>
              </w:rPr>
            </w:pPr>
          </w:p>
        </w:tc>
        <w:tc>
          <w:tcPr>
            <w:tcW w:w="1560" w:type="dxa"/>
            <w:vMerge w:val="continue"/>
            <w:vAlign w:val="center"/>
          </w:tcPr>
          <w:p>
            <w:pPr>
              <w:widowControl/>
              <w:jc w:val="center"/>
              <w:rPr>
                <w:rFonts w:ascii="宋体" w:hAnsi="宋体" w:cs="宋体"/>
                <w:kern w:val="0"/>
                <w:szCs w:val="21"/>
              </w:rPr>
            </w:pP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26</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路面作业人员按要求穿着有警示标识的服装</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操作人员路面作业时，要统一穿着有警示标识的服装，摆放警示牌，确保安全。每发现一处次不符合扣0.5分。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51" w:type="dxa"/>
            <w:vMerge w:val="continue"/>
            <w:vAlign w:val="center"/>
          </w:tcPr>
          <w:p>
            <w:pPr>
              <w:widowControl/>
              <w:jc w:val="center"/>
              <w:rPr>
                <w:rFonts w:ascii="宋体" w:hAnsi="宋体" w:cs="宋体"/>
                <w:kern w:val="0"/>
                <w:szCs w:val="21"/>
              </w:rPr>
            </w:pPr>
          </w:p>
        </w:tc>
        <w:tc>
          <w:tcPr>
            <w:tcW w:w="1560"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应急处置</w:t>
            </w:r>
            <w:r>
              <w:rPr>
                <w:rFonts w:hint="eastAsia" w:ascii="宋体" w:hAnsi="宋体" w:cs="宋体"/>
                <w:kern w:val="0"/>
                <w:szCs w:val="21"/>
              </w:rPr>
              <w:br w:type="textWrapping"/>
            </w:r>
            <w:r>
              <w:rPr>
                <w:rFonts w:hint="eastAsia" w:ascii="宋体" w:hAnsi="宋体" w:cs="宋体"/>
                <w:kern w:val="0"/>
                <w:szCs w:val="21"/>
              </w:rPr>
              <w:t>(0.50)</w:t>
            </w:r>
          </w:p>
        </w:tc>
        <w:tc>
          <w:tcPr>
            <w:tcW w:w="70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27</w:t>
            </w:r>
          </w:p>
        </w:tc>
        <w:tc>
          <w:tcPr>
            <w:tcW w:w="3615" w:type="dxa"/>
            <w:gridSpan w:val="2"/>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遇环境卫生突发事件启动应急预案,及时处置</w:t>
            </w:r>
          </w:p>
        </w:tc>
        <w:tc>
          <w:tcPr>
            <w:tcW w:w="113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450"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遇突发事件，应启动应急预案,及时处置，及时记录。记录内容包括时间、地点、状况、原因、处理结果等信息；（突发事件包括：大面积遗撒或积水结冰、安全事故、自然灾害和影响道路正常通行的有关环境卫生其他事件等。）每发现一处次不符合扣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818" w:type="dxa"/>
            <w:gridSpan w:val="7"/>
            <w:vAlign w:val="center"/>
          </w:tcPr>
          <w:p>
            <w:pPr>
              <w:widowControl/>
              <w:jc w:val="left"/>
              <w:rPr>
                <w:rFonts w:ascii="宋体" w:hAnsi="宋体" w:cs="宋体"/>
                <w:kern w:val="0"/>
                <w:szCs w:val="21"/>
              </w:rPr>
            </w:pPr>
            <w:r>
              <w:rPr>
                <w:rFonts w:hint="eastAsia" w:ascii="宋体" w:hAnsi="宋体" w:cs="宋体"/>
                <w:kern w:val="0"/>
                <w:szCs w:val="21"/>
              </w:rPr>
              <w:t xml:space="preserve">标准说明： </w:t>
            </w:r>
            <w:r>
              <w:rPr>
                <w:rFonts w:hint="eastAsia" w:ascii="宋体" w:hAnsi="宋体" w:cs="宋体"/>
                <w:kern w:val="0"/>
                <w:szCs w:val="21"/>
              </w:rPr>
              <w:br w:type="textWrapping"/>
            </w:r>
            <w:r>
              <w:rPr>
                <w:rFonts w:hint="eastAsia" w:ascii="宋体" w:hAnsi="宋体" w:cs="宋体"/>
                <w:kern w:val="0"/>
                <w:szCs w:val="21"/>
              </w:rPr>
              <w:t>1、 一旦发生严重违背生产运行管理要求，造成恶劣影响（指被媒体点名、居民反映强烈或领导批示）的事件，则2级指标“作业规范”1项为零分。</w:t>
            </w:r>
            <w:r>
              <w:rPr>
                <w:rFonts w:hint="eastAsia" w:ascii="宋体" w:hAnsi="宋体" w:cs="宋体"/>
                <w:kern w:val="0"/>
                <w:szCs w:val="21"/>
              </w:rPr>
              <w:br w:type="textWrapping"/>
            </w:r>
            <w:r>
              <w:rPr>
                <w:rFonts w:hint="eastAsia" w:ascii="宋体" w:hAnsi="宋体" w:cs="宋体"/>
                <w:kern w:val="0"/>
                <w:szCs w:val="21"/>
              </w:rPr>
              <w:t>2、 一旦发生环境污染等恶劣影响事件（指领导批示、居民反映强烈或被媒体点名，经核实对环境造成影响），则2级指标“环境影响”1项为零分。</w:t>
            </w:r>
            <w:r>
              <w:rPr>
                <w:rFonts w:hint="eastAsia" w:ascii="宋体" w:hAnsi="宋体" w:cs="宋体"/>
                <w:kern w:val="0"/>
                <w:szCs w:val="21"/>
              </w:rPr>
              <w:br w:type="textWrapping"/>
            </w:r>
            <w:r>
              <w:rPr>
                <w:rFonts w:hint="eastAsia" w:ascii="宋体" w:hAnsi="宋体" w:cs="宋体"/>
                <w:kern w:val="0"/>
                <w:szCs w:val="21"/>
              </w:rPr>
              <w:t>3、 一旦发生一般以上有责任工伤、火灾、爆炸等安全事故，反馈信息不及时，则2级指标“应急处置”1项为零分。</w:t>
            </w:r>
            <w:r>
              <w:rPr>
                <w:rFonts w:hint="eastAsia" w:ascii="宋体" w:hAnsi="宋体" w:cs="宋体"/>
                <w:kern w:val="0"/>
                <w:szCs w:val="21"/>
              </w:rPr>
              <w:br w:type="textWrapping"/>
            </w:r>
            <w:r>
              <w:rPr>
                <w:rFonts w:hint="eastAsia" w:ascii="宋体" w:hAnsi="宋体" w:cs="宋体"/>
                <w:kern w:val="0"/>
                <w:szCs w:val="21"/>
              </w:rPr>
              <w:t>4、括号中数据为各层级的权重。</w:t>
            </w:r>
          </w:p>
        </w:tc>
      </w:tr>
    </w:tbl>
    <w:p>
      <w:pPr>
        <w:jc w:val="center"/>
        <w:rPr>
          <w:rFonts w:ascii="宋体" w:hAnsi="宋体"/>
          <w:b/>
          <w:szCs w:val="21"/>
        </w:rPr>
      </w:pPr>
      <w:r>
        <w:rPr>
          <w:rFonts w:ascii="宋体" w:hAnsi="宋体"/>
          <w:szCs w:val="21"/>
        </w:rPr>
        <w:br w:type="page"/>
      </w:r>
      <w:r>
        <w:rPr>
          <w:rFonts w:hint="eastAsia" w:ascii="宋体" w:hAnsi="宋体"/>
          <w:b/>
          <w:szCs w:val="21"/>
        </w:rPr>
        <w:t>（二）门前及其他责任区检查考核标准</w:t>
      </w:r>
    </w:p>
    <w:p>
      <w:pPr>
        <w:jc w:val="center"/>
        <w:rPr>
          <w:rFonts w:ascii="宋体" w:hAnsi="宋体"/>
          <w:szCs w:val="21"/>
        </w:rPr>
      </w:pPr>
    </w:p>
    <w:tbl>
      <w:tblPr>
        <w:tblStyle w:val="46"/>
        <w:tblW w:w="15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476"/>
        <w:gridCol w:w="952"/>
        <w:gridCol w:w="4597"/>
        <w:gridCol w:w="713"/>
        <w:gridCol w:w="6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476" w:type="dxa"/>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一级</w:t>
            </w:r>
          </w:p>
        </w:tc>
        <w:tc>
          <w:tcPr>
            <w:tcW w:w="1476" w:type="dxa"/>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二级</w:t>
            </w:r>
          </w:p>
        </w:tc>
        <w:tc>
          <w:tcPr>
            <w:tcW w:w="952" w:type="dxa"/>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4597" w:type="dxa"/>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三级</w:t>
            </w:r>
          </w:p>
        </w:tc>
        <w:tc>
          <w:tcPr>
            <w:tcW w:w="713" w:type="dxa"/>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检查周期</w:t>
            </w:r>
          </w:p>
        </w:tc>
        <w:tc>
          <w:tcPr>
            <w:tcW w:w="6179" w:type="dxa"/>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条文说明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1476"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管理与服务</w:t>
            </w:r>
          </w:p>
          <w:p>
            <w:pPr>
              <w:widowControl/>
              <w:jc w:val="center"/>
              <w:rPr>
                <w:rFonts w:ascii="宋体" w:hAnsi="宋体" w:cs="宋体"/>
                <w:kern w:val="0"/>
                <w:szCs w:val="21"/>
              </w:rPr>
            </w:pPr>
            <w:r>
              <w:rPr>
                <w:rFonts w:hint="eastAsia" w:ascii="宋体" w:hAnsi="宋体" w:cs="宋体"/>
                <w:kern w:val="0"/>
                <w:szCs w:val="21"/>
              </w:rPr>
              <w:t>（0.30）</w:t>
            </w:r>
          </w:p>
          <w:p>
            <w:pPr>
              <w:widowControl/>
              <w:jc w:val="center"/>
              <w:rPr>
                <w:rFonts w:ascii="宋体" w:hAnsi="宋体" w:cs="宋体"/>
                <w:kern w:val="0"/>
                <w:szCs w:val="21"/>
              </w:rPr>
            </w:pPr>
          </w:p>
        </w:tc>
        <w:tc>
          <w:tcPr>
            <w:tcW w:w="1476"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作业</w:t>
            </w:r>
          </w:p>
          <w:p>
            <w:pPr>
              <w:widowControl/>
              <w:jc w:val="center"/>
              <w:rPr>
                <w:rFonts w:ascii="宋体" w:hAnsi="宋体" w:cs="宋体"/>
                <w:kern w:val="0"/>
                <w:szCs w:val="21"/>
              </w:rPr>
            </w:pPr>
            <w:r>
              <w:rPr>
                <w:rFonts w:hint="eastAsia" w:ascii="宋体" w:hAnsi="宋体" w:cs="宋体"/>
                <w:kern w:val="0"/>
                <w:szCs w:val="21"/>
              </w:rPr>
              <w:t>管理</w:t>
            </w:r>
          </w:p>
          <w:p>
            <w:pPr>
              <w:widowControl/>
              <w:jc w:val="center"/>
              <w:rPr>
                <w:rFonts w:ascii="宋体" w:hAnsi="宋体" w:cs="宋体"/>
                <w:kern w:val="0"/>
                <w:szCs w:val="21"/>
              </w:rPr>
            </w:pPr>
            <w:r>
              <w:rPr>
                <w:rFonts w:hint="eastAsia" w:ascii="宋体" w:hAnsi="宋体" w:cs="宋体"/>
                <w:kern w:val="0"/>
                <w:szCs w:val="21"/>
              </w:rPr>
              <w:t>（0.30）</w:t>
            </w:r>
          </w:p>
          <w:p>
            <w:pPr>
              <w:widowControl/>
              <w:jc w:val="center"/>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有门前卫生责任区责任书</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月</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签订环境卫生责任书，有明确责任范围和责任标准。 每发现一处次不符合扣2.0分。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476" w:type="dxa"/>
            <w:vMerge w:val="continue"/>
            <w:vAlign w:val="center"/>
          </w:tcPr>
          <w:p>
            <w:pPr>
              <w:widowControl/>
              <w:jc w:val="left"/>
              <w:rPr>
                <w:rFonts w:ascii="宋体" w:hAnsi="宋体" w:cs="宋体"/>
                <w:kern w:val="0"/>
                <w:szCs w:val="21"/>
              </w:rPr>
            </w:pPr>
          </w:p>
        </w:tc>
        <w:tc>
          <w:tcPr>
            <w:tcW w:w="1476"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设备设施</w:t>
            </w:r>
          </w:p>
          <w:p>
            <w:pPr>
              <w:widowControl/>
              <w:jc w:val="center"/>
              <w:rPr>
                <w:rFonts w:ascii="宋体" w:hAnsi="宋体" w:cs="宋体"/>
                <w:kern w:val="0"/>
                <w:szCs w:val="21"/>
              </w:rPr>
            </w:pPr>
            <w:r>
              <w:rPr>
                <w:rFonts w:hint="eastAsia" w:ascii="宋体" w:hAnsi="宋体" w:cs="宋体"/>
                <w:kern w:val="0"/>
                <w:szCs w:val="21"/>
              </w:rPr>
              <w:t>（0.40）</w:t>
            </w:r>
          </w:p>
          <w:p>
            <w:pPr>
              <w:widowControl/>
              <w:jc w:val="center"/>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垃圾收集容器按标准配置且完好</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责任区范围内的果皮箱、垃圾收集容器等应保持完好、数量充足且满足需求、无破损。每发现一处次不符合扣1.0分。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476" w:type="dxa"/>
            <w:vMerge w:val="continue"/>
            <w:vAlign w:val="center"/>
          </w:tcPr>
          <w:p>
            <w:pPr>
              <w:widowControl/>
              <w:jc w:val="left"/>
              <w:rPr>
                <w:rFonts w:ascii="宋体" w:hAnsi="宋体" w:cs="宋体"/>
                <w:kern w:val="0"/>
                <w:szCs w:val="21"/>
              </w:rPr>
            </w:pPr>
          </w:p>
        </w:tc>
        <w:tc>
          <w:tcPr>
            <w:tcW w:w="1476" w:type="dxa"/>
            <w:vMerge w:val="continue"/>
            <w:vAlign w:val="center"/>
          </w:tcPr>
          <w:p>
            <w:pPr>
              <w:widowControl/>
              <w:jc w:val="left"/>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保洁作业车及垃圾收集车车容完好，工作状况良好，</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保洁作业及垃圾收集运车辆干净完好，无破损。每发现一处次不符合扣1.0分。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476" w:type="dxa"/>
            <w:vMerge w:val="continue"/>
            <w:vAlign w:val="center"/>
          </w:tcPr>
          <w:p>
            <w:pPr>
              <w:widowControl/>
              <w:jc w:val="left"/>
              <w:rPr>
                <w:rFonts w:ascii="宋体" w:hAnsi="宋体" w:cs="宋体"/>
                <w:kern w:val="0"/>
                <w:szCs w:val="21"/>
              </w:rPr>
            </w:pPr>
          </w:p>
        </w:tc>
        <w:tc>
          <w:tcPr>
            <w:tcW w:w="1476"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作业规范</w:t>
            </w:r>
          </w:p>
          <w:p>
            <w:pPr>
              <w:widowControl/>
              <w:jc w:val="center"/>
              <w:rPr>
                <w:rFonts w:ascii="宋体" w:hAnsi="宋体" w:cs="宋体"/>
                <w:kern w:val="0"/>
                <w:szCs w:val="21"/>
              </w:rPr>
            </w:pPr>
            <w:r>
              <w:rPr>
                <w:rFonts w:hint="eastAsia" w:ascii="宋体" w:hAnsi="宋体" w:cs="宋体"/>
                <w:kern w:val="0"/>
                <w:szCs w:val="21"/>
              </w:rPr>
              <w:t>（0.30）</w:t>
            </w:r>
          </w:p>
          <w:p>
            <w:pPr>
              <w:widowControl/>
              <w:jc w:val="center"/>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清扫保洁作业时间符合要求</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清扫作业每日6时（冬季7：00）前完成。白天保洁作业时间6时到21时。每发现一处次不符合扣0.5分。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476" w:type="dxa"/>
            <w:vMerge w:val="continue"/>
            <w:vAlign w:val="center"/>
          </w:tcPr>
          <w:p>
            <w:pPr>
              <w:widowControl/>
              <w:jc w:val="left"/>
              <w:rPr>
                <w:rFonts w:ascii="宋体" w:hAnsi="宋体" w:cs="宋体"/>
                <w:kern w:val="0"/>
                <w:szCs w:val="21"/>
              </w:rPr>
            </w:pPr>
          </w:p>
        </w:tc>
        <w:tc>
          <w:tcPr>
            <w:tcW w:w="1476" w:type="dxa"/>
            <w:vMerge w:val="continue"/>
            <w:shd w:val="clear" w:color="auto" w:fill="auto"/>
            <w:vAlign w:val="center"/>
          </w:tcPr>
          <w:p>
            <w:pPr>
              <w:widowControl/>
              <w:jc w:val="center"/>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及时清除、清运责任区内的废弃物等</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责任区范围内的垃圾随时清除和清运，垃圾容器不得满冒。每发现一处次不符合扣1.0分。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476" w:type="dxa"/>
            <w:vMerge w:val="continue"/>
            <w:vAlign w:val="center"/>
          </w:tcPr>
          <w:p>
            <w:pPr>
              <w:widowControl/>
              <w:jc w:val="left"/>
              <w:rPr>
                <w:rFonts w:ascii="宋体" w:hAnsi="宋体" w:cs="宋体"/>
                <w:kern w:val="0"/>
                <w:szCs w:val="21"/>
              </w:rPr>
            </w:pPr>
          </w:p>
        </w:tc>
        <w:tc>
          <w:tcPr>
            <w:tcW w:w="1476" w:type="dxa"/>
            <w:vMerge w:val="continue"/>
            <w:vAlign w:val="center"/>
          </w:tcPr>
          <w:p>
            <w:pPr>
              <w:widowControl/>
              <w:jc w:val="left"/>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按照规定扫雪铲冰</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476"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环境保护</w:t>
            </w:r>
          </w:p>
          <w:p>
            <w:pPr>
              <w:widowControl/>
              <w:jc w:val="center"/>
              <w:rPr>
                <w:rFonts w:ascii="宋体" w:hAnsi="宋体" w:cs="宋体"/>
                <w:kern w:val="0"/>
                <w:szCs w:val="21"/>
              </w:rPr>
            </w:pPr>
            <w:r>
              <w:rPr>
                <w:rFonts w:hint="eastAsia" w:ascii="宋体" w:hAnsi="宋体" w:cs="宋体"/>
                <w:kern w:val="0"/>
                <w:szCs w:val="21"/>
              </w:rPr>
              <w:t>（0.60）</w:t>
            </w:r>
          </w:p>
        </w:tc>
        <w:tc>
          <w:tcPr>
            <w:tcW w:w="1476"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环境卫生</w:t>
            </w:r>
          </w:p>
          <w:p>
            <w:pPr>
              <w:widowControl/>
              <w:jc w:val="center"/>
              <w:rPr>
                <w:rFonts w:ascii="宋体" w:hAnsi="宋体" w:cs="宋体"/>
                <w:kern w:val="0"/>
                <w:szCs w:val="21"/>
              </w:rPr>
            </w:pPr>
            <w:r>
              <w:rPr>
                <w:rFonts w:hint="eastAsia" w:ascii="宋体" w:hAnsi="宋体" w:cs="宋体"/>
                <w:kern w:val="0"/>
                <w:szCs w:val="21"/>
              </w:rPr>
              <w:t>（0.80）</w:t>
            </w:r>
          </w:p>
          <w:p>
            <w:pPr>
              <w:widowControl/>
              <w:jc w:val="center"/>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门前卫生责任区环境整洁</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责任区内无暴露垃圾、无废弃物；无积水、无积冰、无污迹；无蚊蝇；无堆物、堆料等。每发现一处次不符合扣1.5分。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476" w:type="dxa"/>
            <w:vMerge w:val="continue"/>
            <w:vAlign w:val="center"/>
          </w:tcPr>
          <w:p>
            <w:pPr>
              <w:jc w:val="left"/>
              <w:rPr>
                <w:rFonts w:ascii="宋体" w:hAnsi="宋体" w:cs="宋体"/>
                <w:kern w:val="0"/>
                <w:szCs w:val="21"/>
              </w:rPr>
            </w:pPr>
          </w:p>
        </w:tc>
        <w:tc>
          <w:tcPr>
            <w:tcW w:w="1476" w:type="dxa"/>
            <w:vMerge w:val="continue"/>
            <w:vAlign w:val="center"/>
          </w:tcPr>
          <w:p>
            <w:pPr>
              <w:widowControl/>
              <w:jc w:val="left"/>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废旧物资回收站及周围管理范围环境整洁</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责任区内无暴露垃圾、无废弃物；无积水、无积冰、无污迹；无蚊蝇；无堆物、堆料等。每发现一处次不符合扣2.0分。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476" w:type="dxa"/>
            <w:vMerge w:val="continue"/>
            <w:vAlign w:val="center"/>
          </w:tcPr>
          <w:p>
            <w:pPr>
              <w:jc w:val="left"/>
              <w:rPr>
                <w:rFonts w:ascii="宋体" w:hAnsi="宋体" w:cs="宋体"/>
                <w:kern w:val="0"/>
                <w:szCs w:val="21"/>
              </w:rPr>
            </w:pPr>
          </w:p>
        </w:tc>
        <w:tc>
          <w:tcPr>
            <w:tcW w:w="1476" w:type="dxa"/>
            <w:vMerge w:val="continue"/>
            <w:vAlign w:val="center"/>
          </w:tcPr>
          <w:p>
            <w:pPr>
              <w:widowControl/>
              <w:jc w:val="left"/>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交通枢纽管理范围内环境整洁</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vMerge w:val="restart"/>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责任区内无暴露垃圾、无废弃物；无积水、无积冰、无污迹；无蚊蝇；无堆物、堆料等。每发现一处次不符合扣1.0分。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76" w:type="dxa"/>
            <w:vMerge w:val="continue"/>
            <w:vAlign w:val="center"/>
          </w:tcPr>
          <w:p>
            <w:pPr>
              <w:jc w:val="left"/>
              <w:rPr>
                <w:rFonts w:ascii="宋体" w:hAnsi="宋体" w:cs="宋体"/>
                <w:kern w:val="0"/>
                <w:szCs w:val="21"/>
              </w:rPr>
            </w:pPr>
          </w:p>
        </w:tc>
        <w:tc>
          <w:tcPr>
            <w:tcW w:w="1476" w:type="dxa"/>
            <w:vMerge w:val="continue"/>
            <w:vAlign w:val="center"/>
          </w:tcPr>
          <w:p>
            <w:pPr>
              <w:widowControl/>
              <w:jc w:val="left"/>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停车场管理范围内环境整洁</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vMerge w:val="continue"/>
            <w:shd w:val="clear" w:color="auto" w:fill="auto"/>
            <w:vAlign w:val="center"/>
          </w:tcPr>
          <w:p>
            <w:pPr>
              <w:widowControl/>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76" w:type="dxa"/>
            <w:vMerge w:val="continue"/>
            <w:vAlign w:val="center"/>
          </w:tcPr>
          <w:p>
            <w:pPr>
              <w:jc w:val="left"/>
              <w:rPr>
                <w:rFonts w:ascii="宋体" w:hAnsi="宋体" w:cs="宋体"/>
                <w:kern w:val="0"/>
                <w:szCs w:val="21"/>
              </w:rPr>
            </w:pPr>
          </w:p>
        </w:tc>
        <w:tc>
          <w:tcPr>
            <w:tcW w:w="1476" w:type="dxa"/>
            <w:vMerge w:val="continue"/>
            <w:vAlign w:val="center"/>
          </w:tcPr>
          <w:p>
            <w:pPr>
              <w:widowControl/>
              <w:jc w:val="left"/>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农贸市场周围管理范围环境整洁</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vMerge w:val="continue"/>
            <w:shd w:val="clear" w:color="auto" w:fill="auto"/>
            <w:vAlign w:val="center"/>
          </w:tcPr>
          <w:p>
            <w:pPr>
              <w:widowControl/>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476" w:type="dxa"/>
            <w:vMerge w:val="continue"/>
            <w:vAlign w:val="center"/>
          </w:tcPr>
          <w:p>
            <w:pPr>
              <w:jc w:val="left"/>
              <w:rPr>
                <w:rFonts w:ascii="宋体" w:hAnsi="宋体" w:cs="宋体"/>
                <w:kern w:val="0"/>
                <w:szCs w:val="21"/>
              </w:rPr>
            </w:pPr>
          </w:p>
        </w:tc>
        <w:tc>
          <w:tcPr>
            <w:tcW w:w="1476" w:type="dxa"/>
            <w:vMerge w:val="continue"/>
            <w:vAlign w:val="center"/>
          </w:tcPr>
          <w:p>
            <w:pPr>
              <w:widowControl/>
              <w:jc w:val="left"/>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拆改建地区环境整洁</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vMerge w:val="continue"/>
            <w:shd w:val="clear" w:color="auto" w:fill="auto"/>
            <w:vAlign w:val="center"/>
          </w:tcPr>
          <w:p>
            <w:pPr>
              <w:widowControl/>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476" w:type="dxa"/>
            <w:vMerge w:val="continue"/>
            <w:vAlign w:val="center"/>
          </w:tcPr>
          <w:p>
            <w:pPr>
              <w:jc w:val="left"/>
              <w:rPr>
                <w:rFonts w:ascii="宋体" w:hAnsi="宋体" w:cs="宋体"/>
                <w:kern w:val="0"/>
                <w:szCs w:val="21"/>
              </w:rPr>
            </w:pPr>
          </w:p>
        </w:tc>
        <w:tc>
          <w:tcPr>
            <w:tcW w:w="1476" w:type="dxa"/>
            <w:vMerge w:val="continue"/>
            <w:vAlign w:val="center"/>
          </w:tcPr>
          <w:p>
            <w:pPr>
              <w:widowControl/>
              <w:jc w:val="left"/>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13</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其他责任区环境整洁</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vMerge w:val="continue"/>
            <w:shd w:val="clear" w:color="auto" w:fill="auto"/>
            <w:vAlign w:val="center"/>
          </w:tcPr>
          <w:p>
            <w:pPr>
              <w:widowControl/>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476" w:type="dxa"/>
            <w:vMerge w:val="continue"/>
            <w:vAlign w:val="center"/>
          </w:tcPr>
          <w:p>
            <w:pPr>
              <w:widowControl/>
              <w:jc w:val="left"/>
              <w:rPr>
                <w:rFonts w:ascii="宋体" w:hAnsi="宋体" w:cs="宋体"/>
                <w:kern w:val="0"/>
                <w:szCs w:val="21"/>
              </w:rPr>
            </w:pPr>
          </w:p>
        </w:tc>
        <w:tc>
          <w:tcPr>
            <w:tcW w:w="1476" w:type="dxa"/>
            <w:vMerge w:val="restart"/>
            <w:vAlign w:val="center"/>
          </w:tcPr>
          <w:p>
            <w:pPr>
              <w:widowControl/>
              <w:jc w:val="center"/>
              <w:rPr>
                <w:rFonts w:ascii="宋体" w:hAnsi="宋体" w:cs="宋体"/>
                <w:kern w:val="0"/>
                <w:szCs w:val="21"/>
              </w:rPr>
            </w:pPr>
            <w:r>
              <w:rPr>
                <w:rFonts w:hint="eastAsia" w:ascii="宋体" w:hAnsi="宋体" w:cs="宋体"/>
                <w:kern w:val="0"/>
                <w:szCs w:val="21"/>
              </w:rPr>
              <w:t>环境影响</w:t>
            </w:r>
          </w:p>
          <w:p>
            <w:pPr>
              <w:widowControl/>
              <w:jc w:val="center"/>
              <w:rPr>
                <w:rFonts w:ascii="宋体" w:hAnsi="宋体" w:cs="宋体"/>
                <w:kern w:val="0"/>
                <w:szCs w:val="21"/>
              </w:rPr>
            </w:pPr>
            <w:r>
              <w:rPr>
                <w:rFonts w:hint="eastAsia" w:ascii="宋体" w:hAnsi="宋体" w:cs="宋体"/>
                <w:kern w:val="0"/>
                <w:szCs w:val="21"/>
              </w:rPr>
              <w:t>（0.20）</w:t>
            </w:r>
          </w:p>
          <w:p>
            <w:pPr>
              <w:widowControl/>
              <w:jc w:val="center"/>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14</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无乱张贴、无乱涂写、无乱刻画</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责任区内构、建物无乱张贴、无乱涂写、无乱刻画。每发现一处次不符合扣1.0分。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476" w:type="dxa"/>
            <w:vMerge w:val="continue"/>
            <w:vAlign w:val="center"/>
          </w:tcPr>
          <w:p>
            <w:pPr>
              <w:widowControl/>
              <w:jc w:val="left"/>
              <w:rPr>
                <w:rFonts w:ascii="宋体" w:hAnsi="宋体" w:cs="宋体"/>
                <w:kern w:val="0"/>
                <w:szCs w:val="21"/>
              </w:rPr>
            </w:pPr>
          </w:p>
        </w:tc>
        <w:tc>
          <w:tcPr>
            <w:tcW w:w="1476" w:type="dxa"/>
            <w:vMerge w:val="continue"/>
            <w:vAlign w:val="center"/>
          </w:tcPr>
          <w:p>
            <w:pPr>
              <w:widowControl/>
              <w:jc w:val="left"/>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不焚烧垃圾、树叶等杂物</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476" w:type="dxa"/>
            <w:vMerge w:val="continue"/>
            <w:vAlign w:val="center"/>
          </w:tcPr>
          <w:p>
            <w:pPr>
              <w:widowControl/>
              <w:jc w:val="left"/>
              <w:rPr>
                <w:rFonts w:ascii="宋体" w:hAnsi="宋体" w:cs="宋体"/>
                <w:kern w:val="0"/>
                <w:szCs w:val="21"/>
              </w:rPr>
            </w:pPr>
          </w:p>
        </w:tc>
        <w:tc>
          <w:tcPr>
            <w:tcW w:w="1476" w:type="dxa"/>
            <w:vMerge w:val="continue"/>
            <w:vAlign w:val="center"/>
          </w:tcPr>
          <w:p>
            <w:pPr>
              <w:widowControl/>
              <w:jc w:val="left"/>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16</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作业时不产生扬尘</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76" w:type="dxa"/>
            <w:vMerge w:val="continue"/>
            <w:vAlign w:val="center"/>
          </w:tcPr>
          <w:p>
            <w:pPr>
              <w:widowControl/>
              <w:jc w:val="left"/>
              <w:rPr>
                <w:rFonts w:ascii="宋体" w:hAnsi="宋体" w:cs="宋体"/>
                <w:kern w:val="0"/>
                <w:szCs w:val="21"/>
              </w:rPr>
            </w:pPr>
          </w:p>
        </w:tc>
        <w:tc>
          <w:tcPr>
            <w:tcW w:w="1476" w:type="dxa"/>
            <w:vMerge w:val="continue"/>
            <w:vAlign w:val="center"/>
          </w:tcPr>
          <w:p>
            <w:pPr>
              <w:widowControl/>
              <w:jc w:val="left"/>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17</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xml:space="preserve">无白色污染 </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责任区范围内无树挂和白色污染。每发现一处次不符合扣0.5分。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476" w:type="dxa"/>
            <w:vMerge w:val="continue"/>
            <w:vAlign w:val="center"/>
          </w:tcPr>
          <w:p>
            <w:pPr>
              <w:widowControl/>
              <w:jc w:val="left"/>
              <w:rPr>
                <w:rFonts w:ascii="宋体" w:hAnsi="宋体" w:cs="宋体"/>
                <w:kern w:val="0"/>
                <w:szCs w:val="21"/>
              </w:rPr>
            </w:pPr>
          </w:p>
        </w:tc>
        <w:tc>
          <w:tcPr>
            <w:tcW w:w="1476" w:type="dxa"/>
            <w:vMerge w:val="continue"/>
            <w:vAlign w:val="center"/>
          </w:tcPr>
          <w:p>
            <w:pPr>
              <w:widowControl/>
              <w:jc w:val="left"/>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18</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xml:space="preserve">垃圾收集作业无垃圾、渗沥液遗洒 </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476" w:type="dxa"/>
            <w:vMerge w:val="continue"/>
            <w:vAlign w:val="center"/>
          </w:tcPr>
          <w:p>
            <w:pPr>
              <w:widowControl/>
              <w:jc w:val="left"/>
              <w:rPr>
                <w:rFonts w:ascii="宋体" w:hAnsi="宋体" w:cs="宋体"/>
                <w:kern w:val="0"/>
                <w:szCs w:val="21"/>
              </w:rPr>
            </w:pPr>
          </w:p>
        </w:tc>
        <w:tc>
          <w:tcPr>
            <w:tcW w:w="1476" w:type="dxa"/>
            <w:vMerge w:val="continue"/>
            <w:vAlign w:val="center"/>
          </w:tcPr>
          <w:p>
            <w:pPr>
              <w:widowControl/>
              <w:jc w:val="left"/>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19</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xml:space="preserve">无臭味 </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责任区范围内等无异味。每发现一处次不符合扣0.5分。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476" w:type="dxa"/>
            <w:vMerge w:val="restart"/>
            <w:vAlign w:val="center"/>
          </w:tcPr>
          <w:p>
            <w:pPr>
              <w:widowControl/>
              <w:jc w:val="center"/>
              <w:rPr>
                <w:rFonts w:ascii="宋体" w:hAnsi="宋体" w:cs="宋体"/>
                <w:kern w:val="0"/>
                <w:szCs w:val="21"/>
              </w:rPr>
            </w:pPr>
            <w:r>
              <w:rPr>
                <w:rFonts w:hint="eastAsia" w:ascii="宋体" w:hAnsi="宋体" w:cs="宋体"/>
                <w:kern w:val="0"/>
                <w:szCs w:val="21"/>
              </w:rPr>
              <w:t>安全与应急</w:t>
            </w:r>
            <w:r>
              <w:rPr>
                <w:rFonts w:hint="eastAsia" w:ascii="宋体" w:hAnsi="宋体" w:cs="宋体"/>
                <w:kern w:val="0"/>
                <w:szCs w:val="21"/>
              </w:rPr>
              <w:br w:type="textWrapping"/>
            </w:r>
            <w:r>
              <w:rPr>
                <w:rFonts w:hint="eastAsia" w:ascii="宋体" w:hAnsi="宋体" w:cs="宋体"/>
                <w:kern w:val="0"/>
                <w:szCs w:val="21"/>
              </w:rPr>
              <w:t>(0.10)</w:t>
            </w:r>
          </w:p>
        </w:tc>
        <w:tc>
          <w:tcPr>
            <w:tcW w:w="1476" w:type="dxa"/>
            <w:vMerge w:val="restart"/>
            <w:vAlign w:val="center"/>
          </w:tcPr>
          <w:p>
            <w:pPr>
              <w:widowControl/>
              <w:jc w:val="center"/>
              <w:rPr>
                <w:rFonts w:ascii="宋体" w:hAnsi="宋体" w:cs="宋体"/>
                <w:kern w:val="0"/>
                <w:szCs w:val="21"/>
              </w:rPr>
            </w:pPr>
            <w:r>
              <w:rPr>
                <w:rFonts w:hint="eastAsia" w:ascii="宋体" w:hAnsi="宋体" w:cs="宋体"/>
                <w:kern w:val="0"/>
                <w:szCs w:val="21"/>
              </w:rPr>
              <w:t>安全生产</w:t>
            </w:r>
            <w:r>
              <w:rPr>
                <w:rFonts w:hint="eastAsia" w:ascii="宋体" w:hAnsi="宋体" w:cs="宋体"/>
                <w:kern w:val="0"/>
                <w:szCs w:val="21"/>
              </w:rPr>
              <w:br w:type="textWrapping"/>
            </w:r>
            <w:r>
              <w:rPr>
                <w:rFonts w:hint="eastAsia" w:ascii="宋体" w:hAnsi="宋体" w:cs="宋体"/>
                <w:kern w:val="0"/>
                <w:szCs w:val="21"/>
              </w:rPr>
              <w:t>(0.50)</w:t>
            </w: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按规定使用安全警示标志</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作业车辆警示标志齐全，作业时要开启警示标志，按规定使用。每发现一处次不符合扣0.5分。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476" w:type="dxa"/>
            <w:vMerge w:val="continue"/>
            <w:vAlign w:val="center"/>
          </w:tcPr>
          <w:p>
            <w:pPr>
              <w:widowControl/>
              <w:jc w:val="left"/>
              <w:rPr>
                <w:rFonts w:ascii="宋体" w:hAnsi="宋体" w:cs="宋体"/>
                <w:kern w:val="0"/>
                <w:szCs w:val="21"/>
              </w:rPr>
            </w:pPr>
          </w:p>
        </w:tc>
        <w:tc>
          <w:tcPr>
            <w:tcW w:w="1476" w:type="dxa"/>
            <w:vMerge w:val="continue"/>
            <w:vAlign w:val="center"/>
          </w:tcPr>
          <w:p>
            <w:pPr>
              <w:widowControl/>
              <w:jc w:val="left"/>
              <w:rPr>
                <w:rFonts w:ascii="宋体" w:hAnsi="宋体" w:cs="宋体"/>
                <w:kern w:val="0"/>
                <w:szCs w:val="21"/>
              </w:rPr>
            </w:pP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21</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路面作业人员按要求穿着有警示标识的服装</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路面作业人员路面作业时，要统一穿着有警示标识的服装，摆放警示牌，确保安全。每发现一处次不符合扣0.5分。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1476" w:type="dxa"/>
            <w:vMerge w:val="continue"/>
            <w:vAlign w:val="center"/>
          </w:tcPr>
          <w:p>
            <w:pPr>
              <w:widowControl/>
              <w:jc w:val="left"/>
              <w:rPr>
                <w:rFonts w:ascii="宋体" w:hAnsi="宋体" w:cs="宋体"/>
                <w:kern w:val="0"/>
                <w:szCs w:val="21"/>
              </w:rPr>
            </w:pPr>
          </w:p>
        </w:tc>
        <w:tc>
          <w:tcPr>
            <w:tcW w:w="1476" w:type="dxa"/>
            <w:vAlign w:val="center"/>
          </w:tcPr>
          <w:p>
            <w:pPr>
              <w:widowControl/>
              <w:jc w:val="center"/>
              <w:rPr>
                <w:rFonts w:ascii="宋体" w:hAnsi="宋体" w:cs="宋体"/>
                <w:kern w:val="0"/>
                <w:szCs w:val="21"/>
              </w:rPr>
            </w:pPr>
            <w:r>
              <w:rPr>
                <w:rFonts w:hint="eastAsia" w:ascii="宋体" w:hAnsi="宋体" w:cs="宋体"/>
                <w:kern w:val="0"/>
                <w:szCs w:val="21"/>
              </w:rPr>
              <w:t>应急处置</w:t>
            </w:r>
            <w:r>
              <w:rPr>
                <w:rFonts w:hint="eastAsia" w:ascii="宋体" w:hAnsi="宋体" w:cs="宋体"/>
                <w:kern w:val="0"/>
                <w:szCs w:val="21"/>
              </w:rPr>
              <w:br w:type="textWrapping"/>
            </w:r>
            <w:r>
              <w:rPr>
                <w:rFonts w:hint="eastAsia" w:ascii="宋体" w:hAnsi="宋体" w:cs="宋体"/>
                <w:kern w:val="0"/>
                <w:szCs w:val="21"/>
              </w:rPr>
              <w:t>(0.50)</w:t>
            </w:r>
          </w:p>
        </w:tc>
        <w:tc>
          <w:tcPr>
            <w:tcW w:w="95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22</w:t>
            </w:r>
          </w:p>
        </w:tc>
        <w:tc>
          <w:tcPr>
            <w:tcW w:w="4597"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遇环境卫生突发事件启动应急预案,及时处置</w:t>
            </w:r>
          </w:p>
        </w:tc>
        <w:tc>
          <w:tcPr>
            <w:tcW w:w="7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6179"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遇突发事件，应启动应急预案,及时处置，及时记录。记录内容包括时间、地点、状况、原因、处理结果等信息；（突发事件包括：大面积遗撒或积水结冰、安全事故、自然灾害和影响道路正常通行的有关环境卫生其他事件等。）每发现一处次不符合扣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5393" w:type="dxa"/>
            <w:gridSpan w:val="6"/>
            <w:vAlign w:val="center"/>
          </w:tcPr>
          <w:p>
            <w:pPr>
              <w:widowControl/>
              <w:jc w:val="left"/>
              <w:rPr>
                <w:rFonts w:ascii="宋体" w:hAnsi="宋体" w:cs="宋体"/>
                <w:kern w:val="0"/>
                <w:szCs w:val="21"/>
              </w:rPr>
            </w:pPr>
            <w:r>
              <w:rPr>
                <w:rFonts w:hint="eastAsia" w:ascii="宋体" w:hAnsi="宋体" w:cs="宋体"/>
                <w:kern w:val="0"/>
                <w:szCs w:val="21"/>
              </w:rPr>
              <w:t xml:space="preserve">标准说明： </w:t>
            </w:r>
            <w:r>
              <w:rPr>
                <w:rFonts w:hint="eastAsia" w:ascii="宋体" w:hAnsi="宋体" w:cs="宋体"/>
                <w:kern w:val="0"/>
                <w:szCs w:val="21"/>
              </w:rPr>
              <w:br w:type="textWrapping"/>
            </w:r>
            <w:r>
              <w:rPr>
                <w:rFonts w:hint="eastAsia" w:ascii="宋体" w:hAnsi="宋体" w:cs="宋体"/>
                <w:kern w:val="0"/>
                <w:szCs w:val="21"/>
              </w:rPr>
              <w:t>1、 一旦发生严重违背生产运行管理要求，造成恶劣影响（指被媒体点名、居民反映强烈或领导批示）的事件，则2级指标“作业规范”1项为零分。</w:t>
            </w:r>
            <w:r>
              <w:rPr>
                <w:rFonts w:hint="eastAsia" w:ascii="宋体" w:hAnsi="宋体" w:cs="宋体"/>
                <w:kern w:val="0"/>
                <w:szCs w:val="21"/>
              </w:rPr>
              <w:br w:type="textWrapping"/>
            </w:r>
            <w:r>
              <w:rPr>
                <w:rFonts w:hint="eastAsia" w:ascii="宋体" w:hAnsi="宋体" w:cs="宋体"/>
                <w:kern w:val="0"/>
                <w:szCs w:val="21"/>
              </w:rPr>
              <w:t>2、 一旦发生环境污染等恶劣影响事件（指领导批示、居民反映强烈或被媒体点名，经核实对环境造成影响），则2级指标“环境影响”1项为零分。</w:t>
            </w:r>
            <w:r>
              <w:rPr>
                <w:rFonts w:hint="eastAsia" w:ascii="宋体" w:hAnsi="宋体" w:cs="宋体"/>
                <w:kern w:val="0"/>
                <w:szCs w:val="21"/>
              </w:rPr>
              <w:br w:type="textWrapping"/>
            </w:r>
            <w:r>
              <w:rPr>
                <w:rFonts w:hint="eastAsia" w:ascii="宋体" w:hAnsi="宋体" w:cs="宋体"/>
                <w:kern w:val="0"/>
                <w:szCs w:val="21"/>
              </w:rPr>
              <w:t>3、 一旦发生一般以上有责任工伤、火灾、爆炸等安全事故，反馈信息不及时，则2级指标“应急处置”1项为零分。</w:t>
            </w:r>
            <w:r>
              <w:rPr>
                <w:rFonts w:hint="eastAsia" w:ascii="宋体" w:hAnsi="宋体" w:cs="宋体"/>
                <w:kern w:val="0"/>
                <w:szCs w:val="21"/>
              </w:rPr>
              <w:br w:type="textWrapping"/>
            </w:r>
            <w:r>
              <w:rPr>
                <w:rFonts w:hint="eastAsia" w:ascii="宋体" w:hAnsi="宋体" w:cs="宋体"/>
                <w:kern w:val="0"/>
                <w:szCs w:val="21"/>
              </w:rPr>
              <w:t>4、括号中数据为各层级的权重。</w:t>
            </w:r>
          </w:p>
        </w:tc>
      </w:tr>
    </w:tbl>
    <w:p>
      <w:pPr>
        <w:spacing w:line="300" w:lineRule="exact"/>
        <w:jc w:val="center"/>
        <w:rPr>
          <w:rFonts w:ascii="宋体" w:hAnsi="宋体"/>
          <w:szCs w:val="21"/>
        </w:rPr>
      </w:pPr>
    </w:p>
    <w:p>
      <w:pPr>
        <w:spacing w:line="460" w:lineRule="exact"/>
        <w:rPr>
          <w:rFonts w:ascii="宋体" w:hAnsi="宋体"/>
          <w:szCs w:val="21"/>
        </w:rPr>
      </w:pPr>
      <w:r>
        <w:rPr>
          <w:rFonts w:ascii="宋体" w:hAnsi="宋体"/>
          <w:szCs w:val="21"/>
        </w:rPr>
        <w:br w:type="page"/>
      </w:r>
      <w:r>
        <w:rPr>
          <w:rFonts w:hint="eastAsia" w:ascii="宋体" w:hAnsi="宋体"/>
          <w:szCs w:val="21"/>
        </w:rPr>
        <w:t>附件3：</w:t>
      </w:r>
    </w:p>
    <w:p>
      <w:pPr>
        <w:jc w:val="center"/>
        <w:rPr>
          <w:rFonts w:ascii="宋体" w:hAnsi="宋体"/>
          <w:b/>
          <w:szCs w:val="21"/>
        </w:rPr>
      </w:pPr>
      <w:r>
        <w:rPr>
          <w:rFonts w:hint="eastAsia" w:ascii="宋体" w:hAnsi="宋体"/>
          <w:b/>
          <w:szCs w:val="21"/>
        </w:rPr>
        <w:t>街乡(镇)管理范围环境卫生季度专家检查标准</w:t>
      </w:r>
    </w:p>
    <w:p>
      <w:pPr>
        <w:jc w:val="center"/>
        <w:rPr>
          <w:rFonts w:ascii="宋体" w:hAnsi="宋体"/>
          <w:szCs w:val="21"/>
        </w:rPr>
      </w:pPr>
    </w:p>
    <w:tbl>
      <w:tblPr>
        <w:tblStyle w:val="46"/>
        <w:tblW w:w="15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709"/>
        <w:gridCol w:w="4144"/>
        <w:gridCol w:w="9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66" w:type="dxa"/>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项目</w:t>
            </w:r>
          </w:p>
        </w:tc>
        <w:tc>
          <w:tcPr>
            <w:tcW w:w="709" w:type="dxa"/>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4144" w:type="dxa"/>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考评指标</w:t>
            </w:r>
          </w:p>
        </w:tc>
        <w:tc>
          <w:tcPr>
            <w:tcW w:w="9202" w:type="dxa"/>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166"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作业</w:t>
            </w:r>
          </w:p>
          <w:p>
            <w:pPr>
              <w:widowControl/>
              <w:jc w:val="center"/>
              <w:rPr>
                <w:rFonts w:ascii="宋体" w:hAnsi="宋体" w:cs="宋体"/>
                <w:kern w:val="0"/>
                <w:szCs w:val="21"/>
              </w:rPr>
            </w:pPr>
            <w:r>
              <w:rPr>
                <w:rFonts w:hint="eastAsia" w:ascii="宋体" w:hAnsi="宋体" w:cs="宋体"/>
                <w:kern w:val="0"/>
                <w:szCs w:val="21"/>
              </w:rPr>
              <w:t>管理</w:t>
            </w:r>
          </w:p>
          <w:p>
            <w:pPr>
              <w:widowControl/>
              <w:jc w:val="center"/>
              <w:rPr>
                <w:rFonts w:ascii="宋体" w:hAnsi="宋体" w:cs="宋体"/>
                <w:kern w:val="0"/>
                <w:szCs w:val="21"/>
              </w:rPr>
            </w:pPr>
            <w:r>
              <w:rPr>
                <w:rFonts w:hint="eastAsia" w:ascii="宋体" w:hAnsi="宋体" w:cs="宋体"/>
                <w:kern w:val="0"/>
                <w:szCs w:val="21"/>
              </w:rPr>
              <w:t>（10）</w:t>
            </w: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作业范围明确,各类台账精细、清晰、准确</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责任区明确，建立健全各类基础管理和作业台账，包括背街小巷、公共厕所、果皮箱和垃圾收集站点等。每发现一处次不符合扣2.0分。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166" w:type="dxa"/>
            <w:vMerge w:val="continue"/>
            <w:shd w:val="clear" w:color="auto" w:fill="auto"/>
            <w:vAlign w:val="center"/>
          </w:tcPr>
          <w:p>
            <w:pPr>
              <w:widowControl/>
              <w:jc w:val="center"/>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建立其它各类垃圾管理和作业体系</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建立大件垃圾、装修垃圾等其它垃圾的管理和作业台账，做到定时定点收集。每发现一处次不符合扣1.0分。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66" w:type="dxa"/>
            <w:vMerge w:val="continue"/>
            <w:shd w:val="clear" w:color="auto" w:fill="auto"/>
            <w:vAlign w:val="center"/>
          </w:tcPr>
          <w:p>
            <w:pPr>
              <w:widowControl/>
              <w:jc w:val="center"/>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有门前卫生责任区责任书</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签订环境卫生责任书，有明确责任范围和责任标准。每发现一处次不符合扣2.0分。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66"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作业基础</w:t>
            </w:r>
          </w:p>
          <w:p>
            <w:pPr>
              <w:jc w:val="center"/>
              <w:rPr>
                <w:rFonts w:ascii="宋体" w:hAnsi="宋体" w:cs="宋体"/>
                <w:kern w:val="0"/>
                <w:szCs w:val="21"/>
              </w:rPr>
            </w:pPr>
            <w:r>
              <w:rPr>
                <w:rFonts w:hint="eastAsia" w:ascii="宋体" w:hAnsi="宋体" w:cs="宋体"/>
                <w:kern w:val="0"/>
                <w:szCs w:val="21"/>
              </w:rPr>
              <w:t>（25）</w:t>
            </w: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作业队伍专业化，作业人员规范化</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环卫中心或取得环卫作业资质。每发现一处次不符合扣3.0分。作业人员应按时上岗，统一着装，佩戴胸卡，不从事与工作无关的事情。每发现一处次不符合扣1</w:t>
            </w:r>
            <w:r>
              <w:rPr>
                <w:rFonts w:ascii="宋体" w:hAnsi="宋体" w:cs="宋体"/>
                <w:kern w:val="0"/>
                <w:szCs w:val="21"/>
              </w:rPr>
              <w:t>.0</w:t>
            </w:r>
            <w:r>
              <w:rPr>
                <w:rFonts w:hint="eastAsia" w:ascii="宋体" w:hAnsi="宋体" w:cs="宋体"/>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shd w:val="clear" w:color="auto" w:fill="auto"/>
            <w:vAlign w:val="center"/>
          </w:tcPr>
          <w:p>
            <w:pPr>
              <w:jc w:val="center"/>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xml:space="preserve">垃圾收集容器(果皮箱)充足 </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按标准配置且数量充足。每发现一处次不符合扣1.0分。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166" w:type="dxa"/>
            <w:vMerge w:val="continue"/>
            <w:shd w:val="clear" w:color="auto" w:fill="auto"/>
            <w:vAlign w:val="center"/>
          </w:tcPr>
          <w:p>
            <w:pPr>
              <w:widowControl/>
              <w:jc w:val="center"/>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垃圾收集容器（果皮箱）完好</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垃圾收集容器（果皮箱）等应保持完好、无破损。每发现一处次不符合扣0.5分。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166" w:type="dxa"/>
            <w:vMerge w:val="continue"/>
            <w:vAlign w:val="center"/>
          </w:tcPr>
          <w:p>
            <w:pPr>
              <w:widowControl/>
              <w:jc w:val="left"/>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保洁作业车及垃圾收集车车容完好，工作状况良好</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保洁作业及垃圾收集运车辆完好，无破损。每次扣1.0分。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66" w:type="dxa"/>
            <w:vMerge w:val="continue"/>
            <w:vAlign w:val="center"/>
          </w:tcPr>
          <w:p>
            <w:pPr>
              <w:widowControl/>
              <w:jc w:val="left"/>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垃圾收集设施完好</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垃圾收集设施完好、无破损；有站名牌，公示清运时间、清运单位、管理单位、专职管理人员、监督电话。每发现一处次不符合扣1.0分。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66" w:type="dxa"/>
            <w:vMerge w:val="continue"/>
            <w:vAlign w:val="center"/>
          </w:tcPr>
          <w:p>
            <w:pPr>
              <w:widowControl/>
              <w:jc w:val="left"/>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厕所外观、标识牌、厕内设施完好</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厕所内外立面、标识牌无破损，无污迹；门窗玻璃等设施无破损。每发现一处次不符合扣1.0分。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66"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作业规范</w:t>
            </w:r>
          </w:p>
          <w:p>
            <w:pPr>
              <w:widowControl/>
              <w:jc w:val="center"/>
              <w:rPr>
                <w:rFonts w:ascii="宋体" w:hAnsi="宋体" w:cs="宋体"/>
                <w:kern w:val="0"/>
                <w:szCs w:val="21"/>
              </w:rPr>
            </w:pPr>
            <w:r>
              <w:rPr>
                <w:rFonts w:hint="eastAsia" w:ascii="宋体" w:hAnsi="宋体" w:cs="宋体"/>
                <w:kern w:val="0"/>
                <w:szCs w:val="21"/>
              </w:rPr>
              <w:t>（10）</w:t>
            </w: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清扫保洁作业时间符合要求</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清扫作业每日6时（冬季7：00）前完成。白天保洁作业时间6时到21时。每发现一处次不符合扣0.5分。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66" w:type="dxa"/>
            <w:vMerge w:val="continue"/>
            <w:shd w:val="clear" w:color="auto" w:fill="auto"/>
            <w:vAlign w:val="center"/>
          </w:tcPr>
          <w:p>
            <w:pPr>
              <w:widowControl/>
              <w:jc w:val="center"/>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大件垃圾和房屋修缮、装修等建筑垃圾、渣土等废弃物符合要求</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应单独堆放和清运、处置，装修垃圾要袋装密闭，不得混入生活垃圾中，及时清运。每发现一处次不符合扣0.5分。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66" w:type="dxa"/>
            <w:vMerge w:val="continue"/>
            <w:shd w:val="clear" w:color="auto" w:fill="auto"/>
            <w:vAlign w:val="center"/>
          </w:tcPr>
          <w:p>
            <w:pPr>
              <w:widowControl/>
              <w:jc w:val="center"/>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清除非法宣传品符合要求</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清除建（构）筑物表面非法宣传品要符合工艺要求，不允许覆盖，喷涂时与原构、建物表面颜色相协调。每发现一处次不符合扣0.5分。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166" w:type="dxa"/>
            <w:vMerge w:val="continue"/>
            <w:vAlign w:val="center"/>
          </w:tcPr>
          <w:p>
            <w:pPr>
              <w:widowControl/>
              <w:jc w:val="left"/>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13</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按照规定扫雪铲冰</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66"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环境卫生</w:t>
            </w:r>
          </w:p>
          <w:p>
            <w:pPr>
              <w:widowControl/>
              <w:jc w:val="center"/>
              <w:rPr>
                <w:rFonts w:ascii="宋体" w:hAnsi="宋体" w:cs="宋体"/>
                <w:kern w:val="0"/>
                <w:szCs w:val="21"/>
              </w:rPr>
            </w:pPr>
            <w:r>
              <w:rPr>
                <w:rFonts w:hint="eastAsia" w:ascii="宋体" w:hAnsi="宋体" w:cs="宋体"/>
                <w:kern w:val="0"/>
                <w:szCs w:val="21"/>
              </w:rPr>
              <w:t>（40）</w:t>
            </w: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14</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门前卫生责任区环境整洁</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责任区内无暴露垃圾、无废弃物；无积水、无积冰、无污迹；无蚊蝇；无堆物、堆料等。每发现一处次不符合扣2.0分。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66" w:type="dxa"/>
            <w:vMerge w:val="continue"/>
            <w:shd w:val="clear" w:color="auto" w:fill="auto"/>
            <w:vAlign w:val="center"/>
          </w:tcPr>
          <w:p>
            <w:pPr>
              <w:widowControl/>
              <w:jc w:val="center"/>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背街小巷环境卫生干净整洁</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路面、沟渠、树坑、花池、绿地等无废弃物、雨水口无污物、污垢等杂物，路面无大面积污渍和积留污水，冬季无结冰。每发现一处次不符合扣1.0分。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66" w:type="dxa"/>
            <w:vMerge w:val="continue"/>
            <w:shd w:val="clear" w:color="auto" w:fill="auto"/>
            <w:vAlign w:val="center"/>
          </w:tcPr>
          <w:p>
            <w:pPr>
              <w:widowControl/>
              <w:jc w:val="center"/>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16</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背街小巷无暴露垃圾</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路面无大面积的暴露垃圾、大件垃圾和房屋修缮、装修等建筑垃圾、渣土堆放等。每发现一处次不符合扣2.0分。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66" w:type="dxa"/>
            <w:vMerge w:val="continue"/>
            <w:shd w:val="clear" w:color="auto" w:fill="auto"/>
            <w:vAlign w:val="center"/>
          </w:tcPr>
          <w:p>
            <w:pPr>
              <w:widowControl/>
              <w:jc w:val="center"/>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17</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垃圾收集设施周围干净整洁</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垃圾收集设施周围干净整洁、无暴露垃圾、无散落垃圾、无垃圾满冒，垃圾收集设施周围无积水；无蚊蝇。每发现一处次不符合扣2.0分。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66" w:type="dxa"/>
            <w:vMerge w:val="continue"/>
            <w:vAlign w:val="center"/>
          </w:tcPr>
          <w:p>
            <w:pPr>
              <w:widowControl/>
              <w:jc w:val="left"/>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18</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废旧物资回收站及周围管理范围环境整洁</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责任区内无暴露垃圾、无废弃物；无积水、无积冰、无污迹；无蚊蝇；无堆物、堆料等。每发现一处次不符合扣2.0分。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66" w:type="dxa"/>
            <w:vMerge w:val="continue"/>
            <w:vAlign w:val="center"/>
          </w:tcPr>
          <w:p>
            <w:pPr>
              <w:widowControl/>
              <w:jc w:val="left"/>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19</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交通枢纽、停车场、农贸市、场拆改建地区管理范围内环境及其他责任区环境整洁</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责任区内无暴露垃圾、无废弃物；无积水、无积冰、无污迹；无蚊蝇；无堆物、堆料等。每发现一处次不符合扣1.0分。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66" w:type="dxa"/>
            <w:vMerge w:val="restart"/>
            <w:vAlign w:val="center"/>
          </w:tcPr>
          <w:p>
            <w:pPr>
              <w:widowControl/>
              <w:jc w:val="center"/>
              <w:rPr>
                <w:rFonts w:ascii="宋体" w:hAnsi="宋体" w:cs="宋体"/>
                <w:kern w:val="0"/>
                <w:szCs w:val="21"/>
              </w:rPr>
            </w:pPr>
            <w:r>
              <w:rPr>
                <w:rFonts w:hint="eastAsia" w:ascii="宋体" w:hAnsi="宋体" w:cs="宋体"/>
                <w:kern w:val="0"/>
                <w:szCs w:val="21"/>
              </w:rPr>
              <w:t>环境影响</w:t>
            </w:r>
          </w:p>
          <w:p>
            <w:pPr>
              <w:widowControl/>
              <w:jc w:val="center"/>
              <w:rPr>
                <w:rFonts w:ascii="宋体" w:hAnsi="宋体" w:cs="宋体"/>
                <w:kern w:val="0"/>
                <w:szCs w:val="21"/>
              </w:rPr>
            </w:pPr>
            <w:r>
              <w:rPr>
                <w:rFonts w:hint="eastAsia" w:ascii="宋体" w:hAnsi="宋体" w:cs="宋体"/>
                <w:kern w:val="0"/>
                <w:szCs w:val="21"/>
              </w:rPr>
              <w:t>（10）</w:t>
            </w: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无乱张贴、无乱涂写、无乱刻画</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责任区内构、建物无乱张贴、无乱涂写、无乱刻画。每发现一处次不符合扣1.0分。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66" w:type="dxa"/>
            <w:vMerge w:val="continue"/>
            <w:vAlign w:val="center"/>
          </w:tcPr>
          <w:p>
            <w:pPr>
              <w:widowControl/>
              <w:jc w:val="left"/>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21</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不焚烧垃圾、树叶等杂物</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166" w:type="dxa"/>
            <w:vMerge w:val="continue"/>
            <w:vAlign w:val="center"/>
          </w:tcPr>
          <w:p>
            <w:pPr>
              <w:widowControl/>
              <w:jc w:val="left"/>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22</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作业时不产生扬尘</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66" w:type="dxa"/>
            <w:vMerge w:val="continue"/>
            <w:vAlign w:val="center"/>
          </w:tcPr>
          <w:p>
            <w:pPr>
              <w:widowControl/>
              <w:jc w:val="left"/>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23</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xml:space="preserve">无白色污染 </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责任区范围内无树挂和白色污染。每发现一处次不符合扣0.5分。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66" w:type="dxa"/>
            <w:vMerge w:val="continue"/>
            <w:vAlign w:val="center"/>
          </w:tcPr>
          <w:p>
            <w:pPr>
              <w:widowControl/>
              <w:jc w:val="left"/>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24</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xml:space="preserve">垃圾收集作业无垃圾、渗沥液遗洒 </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66" w:type="dxa"/>
            <w:vMerge w:val="continue"/>
            <w:vAlign w:val="center"/>
          </w:tcPr>
          <w:p>
            <w:pPr>
              <w:widowControl/>
              <w:jc w:val="left"/>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25</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xml:space="preserve">无臭味 </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责任区范围内等无异味。每发现一处次不符合扣0.5分。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66" w:type="dxa"/>
            <w:vMerge w:val="restart"/>
            <w:vAlign w:val="center"/>
          </w:tcPr>
          <w:p>
            <w:pPr>
              <w:widowControl/>
              <w:jc w:val="center"/>
              <w:rPr>
                <w:rFonts w:ascii="宋体" w:hAnsi="宋体" w:cs="宋体"/>
                <w:kern w:val="0"/>
                <w:szCs w:val="21"/>
              </w:rPr>
            </w:pPr>
            <w:r>
              <w:rPr>
                <w:rFonts w:hint="eastAsia" w:ascii="宋体" w:hAnsi="宋体" w:cs="宋体"/>
                <w:kern w:val="0"/>
                <w:szCs w:val="21"/>
              </w:rPr>
              <w:t>安全生产</w:t>
            </w:r>
            <w:r>
              <w:rPr>
                <w:rFonts w:hint="eastAsia" w:ascii="宋体" w:hAnsi="宋体" w:cs="宋体"/>
                <w:kern w:val="0"/>
                <w:szCs w:val="21"/>
              </w:rPr>
              <w:br w:type="textWrapping"/>
            </w:r>
            <w:r>
              <w:rPr>
                <w:rFonts w:hint="eastAsia" w:ascii="宋体" w:hAnsi="宋体" w:cs="宋体"/>
                <w:kern w:val="0"/>
                <w:szCs w:val="21"/>
              </w:rPr>
              <w:t>(5)</w:t>
            </w: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26</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按规定使用安全警示标志</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机动作业车辆警示标志齐全，作业时要开启警示标志，按规定使用。每发现一处次不符合扣1分。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66" w:type="dxa"/>
            <w:vMerge w:val="continue"/>
            <w:vAlign w:val="center"/>
          </w:tcPr>
          <w:p>
            <w:pPr>
              <w:widowControl/>
              <w:jc w:val="left"/>
              <w:rPr>
                <w:rFonts w:ascii="宋体" w:hAnsi="宋体" w:cs="宋体"/>
                <w:kern w:val="0"/>
                <w:szCs w:val="21"/>
              </w:rPr>
            </w:pPr>
          </w:p>
        </w:tc>
        <w:tc>
          <w:tcPr>
            <w:tcW w:w="709"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27</w:t>
            </w:r>
          </w:p>
        </w:tc>
        <w:tc>
          <w:tcPr>
            <w:tcW w:w="4144"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路面作业人员按要求穿着有警示标识的服装</w:t>
            </w:r>
          </w:p>
        </w:tc>
        <w:tc>
          <w:tcPr>
            <w:tcW w:w="9202"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操作人员路面作业时，要统一穿着有警示标识的服装，确保安全。每发现一处次不符合扣1分。</w:t>
            </w:r>
          </w:p>
        </w:tc>
      </w:tr>
    </w:tbl>
    <w:p>
      <w:pPr>
        <w:spacing w:line="300" w:lineRule="exact"/>
        <w:jc w:val="center"/>
        <w:rPr>
          <w:rFonts w:ascii="黑体" w:eastAsia="黑体"/>
          <w:sz w:val="36"/>
          <w:szCs w:val="36"/>
        </w:rPr>
        <w:sectPr>
          <w:pgSz w:w="16838" w:h="11906" w:orient="landscape"/>
          <w:pgMar w:top="1701" w:right="1361" w:bottom="1797" w:left="1440" w:header="851" w:footer="992" w:gutter="0"/>
          <w:cols w:space="425" w:num="1"/>
          <w:docGrid w:linePitch="312" w:charSpace="0"/>
        </w:sectPr>
      </w:pPr>
    </w:p>
    <w:p>
      <w:pPr>
        <w:spacing w:line="360" w:lineRule="auto"/>
        <w:jc w:val="left"/>
        <w:rPr>
          <w:b/>
          <w:szCs w:val="21"/>
        </w:rPr>
      </w:pPr>
      <w:r>
        <w:rPr>
          <w:rFonts w:hint="eastAsia"/>
          <w:b/>
          <w:szCs w:val="21"/>
        </w:rPr>
        <w:t>合同附件6：</w:t>
      </w:r>
    </w:p>
    <w:p>
      <w:pPr>
        <w:spacing w:line="360" w:lineRule="auto"/>
        <w:ind w:firstLine="843" w:firstLineChars="400"/>
        <w:rPr>
          <w:rFonts w:ascii="宋体" w:hAnsi="宋体"/>
          <w:b/>
          <w:szCs w:val="21"/>
        </w:rPr>
      </w:pPr>
      <w:r>
        <w:rPr>
          <w:rFonts w:ascii="宋体" w:hAnsi="宋体"/>
          <w:b/>
          <w:szCs w:val="21"/>
        </w:rPr>
        <w:t xml:space="preserve">北京市市政管理委员会清除非法张贴宣传品、广告作业质量标准（试行） </w:t>
      </w:r>
    </w:p>
    <w:p>
      <w:pPr>
        <w:spacing w:line="360" w:lineRule="auto"/>
        <w:ind w:firstLine="420" w:firstLineChars="200"/>
        <w:rPr>
          <w:rFonts w:ascii="宋体" w:hAnsi="宋体"/>
          <w:szCs w:val="21"/>
        </w:rPr>
      </w:pPr>
      <w:r>
        <w:rPr>
          <w:rFonts w:ascii="宋体" w:hAnsi="宋体"/>
          <w:szCs w:val="21"/>
        </w:rPr>
        <w:t xml:space="preserve">一、为了建设清洁、优美、文明的现代化国际大都市，提高对非法张贴宣传品、广告的清除作业质量，根据本市《北京市市容环境卫生条例》的有关规定，制定本标准。 </w:t>
      </w:r>
      <w:r>
        <w:rPr>
          <w:rFonts w:ascii="宋体" w:hAnsi="宋体"/>
          <w:szCs w:val="21"/>
        </w:rPr>
        <w:br w:type="textWrapping"/>
      </w:r>
      <w:r>
        <w:rPr>
          <w:rFonts w:ascii="宋体" w:hAnsi="宋体"/>
          <w:szCs w:val="21"/>
        </w:rPr>
        <w:t xml:space="preserve">本标准适用于城市道路和建筑物、构筑物、立交桥、人行过街天桥、公共设施上的非法张贴宣传品、广告。 </w:t>
      </w:r>
    </w:p>
    <w:p>
      <w:pPr>
        <w:spacing w:line="360" w:lineRule="auto"/>
        <w:ind w:firstLine="420" w:firstLineChars="200"/>
        <w:rPr>
          <w:rFonts w:ascii="宋体" w:hAnsi="宋体"/>
          <w:szCs w:val="21"/>
        </w:rPr>
      </w:pPr>
      <w:r>
        <w:rPr>
          <w:rFonts w:ascii="宋体" w:hAnsi="宋体"/>
          <w:szCs w:val="21"/>
        </w:rPr>
        <w:t xml:space="preserve">二、清除非法张贴宣传品、广告的作业区可分为重点保洁区和一般保洁区，重点保洁区的非法张贴宣传品、广告的停留时间不得超过24小时，一般保洁区的非法张贴宣传品、广告的停留时间不得超过48小时。 </w:t>
      </w:r>
    </w:p>
    <w:p>
      <w:pPr>
        <w:spacing w:line="360" w:lineRule="auto"/>
        <w:ind w:firstLine="420" w:firstLineChars="200"/>
        <w:rPr>
          <w:rFonts w:ascii="宋体" w:hAnsi="宋体"/>
          <w:szCs w:val="21"/>
        </w:rPr>
      </w:pPr>
      <w:r>
        <w:rPr>
          <w:rFonts w:ascii="宋体" w:hAnsi="宋体"/>
          <w:szCs w:val="21"/>
        </w:rPr>
        <w:t>三、冲刷车清除作业标准：</w:t>
      </w:r>
    </w:p>
    <w:p>
      <w:pPr>
        <w:spacing w:line="360" w:lineRule="auto"/>
        <w:ind w:firstLine="420" w:firstLineChars="200"/>
        <w:rPr>
          <w:rFonts w:ascii="宋体" w:hAnsi="宋体"/>
          <w:szCs w:val="21"/>
        </w:rPr>
      </w:pPr>
      <w:r>
        <w:rPr>
          <w:rFonts w:ascii="宋体" w:hAnsi="宋体"/>
          <w:szCs w:val="21"/>
        </w:rPr>
        <w:t xml:space="preserve">1、作业人员统一穿着反光背心，作业时靠路牙20公分距离处找准位置停车，同时开启双闪警示灯和黄色警示灯。 </w:t>
      </w:r>
    </w:p>
    <w:p>
      <w:pPr>
        <w:spacing w:line="360" w:lineRule="auto"/>
        <w:ind w:firstLine="420" w:firstLineChars="200"/>
        <w:rPr>
          <w:rFonts w:ascii="宋体" w:hAnsi="宋体"/>
          <w:szCs w:val="21"/>
        </w:rPr>
      </w:pPr>
      <w:r>
        <w:rPr>
          <w:rFonts w:ascii="宋体" w:hAnsi="宋体"/>
          <w:szCs w:val="21"/>
        </w:rPr>
        <w:t xml:space="preserve">2、清除作业时高压水枪口距清除物距离为150—200mm，清刷平面时，枪口与平面保持45度角。 </w:t>
      </w:r>
    </w:p>
    <w:p>
      <w:pPr>
        <w:spacing w:line="360" w:lineRule="auto"/>
        <w:ind w:firstLine="420" w:firstLineChars="200"/>
        <w:rPr>
          <w:rFonts w:ascii="宋体" w:hAnsi="宋体"/>
          <w:szCs w:val="21"/>
        </w:rPr>
      </w:pPr>
      <w:r>
        <w:rPr>
          <w:rFonts w:ascii="宋体" w:hAnsi="宋体"/>
          <w:szCs w:val="21"/>
        </w:rPr>
        <w:t xml:space="preserve">3、清除作业时要保持旋转枪头有足够冲刷压力，低于180kg/cm2时，须及时更换。 </w:t>
      </w:r>
    </w:p>
    <w:p>
      <w:pPr>
        <w:spacing w:line="360" w:lineRule="auto"/>
        <w:ind w:firstLine="420" w:firstLineChars="200"/>
        <w:rPr>
          <w:rFonts w:ascii="宋体" w:hAnsi="宋体"/>
          <w:szCs w:val="21"/>
        </w:rPr>
      </w:pPr>
      <w:r>
        <w:rPr>
          <w:rFonts w:ascii="宋体" w:hAnsi="宋体"/>
          <w:szCs w:val="21"/>
        </w:rPr>
        <w:t xml:space="preserve">4、清除作业中，减少对交通影响，及时疏导行人，除非法张贴的宣传品、广告外，旋转枪头禁止指向任何物体。 </w:t>
      </w:r>
    </w:p>
    <w:p>
      <w:pPr>
        <w:spacing w:line="360" w:lineRule="auto"/>
        <w:ind w:firstLine="420" w:firstLineChars="200"/>
        <w:rPr>
          <w:rFonts w:ascii="宋体" w:hAnsi="宋体"/>
          <w:szCs w:val="21"/>
        </w:rPr>
      </w:pPr>
      <w:r>
        <w:rPr>
          <w:rFonts w:ascii="宋体" w:hAnsi="宋体"/>
          <w:szCs w:val="21"/>
        </w:rPr>
        <w:t xml:space="preserve">5、冲刷车在补充储罐水时，要在指定上水点加水，加水时要及时设置专用防护设施，保持上水井内清洁，禁止将上水工具存放在井内，加水后盖好井盖。 </w:t>
      </w:r>
    </w:p>
    <w:p>
      <w:pPr>
        <w:spacing w:line="360" w:lineRule="auto"/>
        <w:ind w:firstLine="420" w:firstLineChars="200"/>
        <w:rPr>
          <w:rFonts w:ascii="宋体" w:hAnsi="宋体"/>
          <w:szCs w:val="21"/>
        </w:rPr>
      </w:pPr>
      <w:r>
        <w:rPr>
          <w:rFonts w:ascii="宋体" w:hAnsi="宋体"/>
          <w:szCs w:val="21"/>
        </w:rPr>
        <w:t xml:space="preserve">6、清除过街天桥上非法张贴宣传品、广告作业时，桥面、台阶不得积水。 </w:t>
      </w:r>
    </w:p>
    <w:p>
      <w:pPr>
        <w:spacing w:line="360" w:lineRule="auto"/>
        <w:ind w:firstLine="420" w:firstLineChars="200"/>
        <w:rPr>
          <w:rFonts w:ascii="宋体" w:hAnsi="宋体"/>
          <w:szCs w:val="21"/>
        </w:rPr>
      </w:pPr>
      <w:r>
        <w:rPr>
          <w:rFonts w:ascii="宋体" w:hAnsi="宋体"/>
          <w:szCs w:val="21"/>
        </w:rPr>
        <w:t xml:space="preserve">7、清除作业完毕后，建筑物、构筑物表面应干净整洁，不留花斑，不留死角，及时清除落地纸屑，保持地面整洁。冬季清除非法张贴宣传品、广告作业完成后，桥面台阶地面不得结冰。 </w:t>
      </w:r>
    </w:p>
    <w:p>
      <w:pPr>
        <w:spacing w:line="360" w:lineRule="auto"/>
        <w:ind w:firstLine="420" w:firstLineChars="200"/>
        <w:rPr>
          <w:rFonts w:ascii="宋体" w:hAnsi="宋体"/>
          <w:szCs w:val="21"/>
        </w:rPr>
      </w:pPr>
      <w:r>
        <w:rPr>
          <w:rFonts w:ascii="宋体" w:hAnsi="宋体"/>
          <w:szCs w:val="21"/>
        </w:rPr>
        <w:t xml:space="preserve">8、对人行过街天桥、立交桥、隔音板进行清除作业时，要在作业区周边放置反光信号锥筒明示作业区域，方可进行清除作业。 </w:t>
      </w:r>
    </w:p>
    <w:p>
      <w:pPr>
        <w:spacing w:line="360" w:lineRule="auto"/>
        <w:ind w:firstLine="420" w:firstLineChars="200"/>
        <w:rPr>
          <w:rFonts w:ascii="宋体" w:hAnsi="宋体"/>
          <w:szCs w:val="21"/>
        </w:rPr>
      </w:pPr>
      <w:r>
        <w:rPr>
          <w:rFonts w:ascii="宋体" w:hAnsi="宋体"/>
          <w:szCs w:val="21"/>
        </w:rPr>
        <w:t xml:space="preserve">四、人工清除作业标准： </w:t>
      </w:r>
    </w:p>
    <w:p>
      <w:pPr>
        <w:spacing w:line="360" w:lineRule="auto"/>
        <w:ind w:firstLine="420" w:firstLineChars="200"/>
        <w:rPr>
          <w:rFonts w:ascii="宋体" w:hAnsi="宋体"/>
          <w:szCs w:val="21"/>
        </w:rPr>
      </w:pPr>
      <w:r>
        <w:rPr>
          <w:rFonts w:ascii="宋体" w:hAnsi="宋体"/>
          <w:szCs w:val="21"/>
        </w:rPr>
        <w:t xml:space="preserve">作业时做到不损坏建筑物、构筑物的表面，清除后建筑物、构筑物的表面干净整洁，并及时清理落地纸屑。 </w:t>
      </w:r>
    </w:p>
    <w:p>
      <w:pPr>
        <w:spacing w:line="360" w:lineRule="auto"/>
        <w:ind w:firstLine="420" w:firstLineChars="200"/>
        <w:rPr>
          <w:rFonts w:ascii="宋体" w:hAnsi="宋体"/>
          <w:szCs w:val="21"/>
        </w:rPr>
      </w:pPr>
      <w:r>
        <w:rPr>
          <w:rFonts w:ascii="宋体" w:hAnsi="宋体"/>
          <w:szCs w:val="21"/>
        </w:rPr>
        <w:t xml:space="preserve">五、清除非法张贴宣传品、广告时，要注意被张贴的建筑物、构筑物表面材质，严禁损坏建筑物、构筑物表面。 </w:t>
      </w:r>
    </w:p>
    <w:p>
      <w:pPr>
        <w:spacing w:line="360" w:lineRule="auto"/>
        <w:ind w:firstLine="420" w:firstLineChars="200"/>
        <w:rPr>
          <w:rFonts w:ascii="宋体" w:hAnsi="宋体"/>
          <w:szCs w:val="21"/>
        </w:rPr>
      </w:pPr>
      <w:r>
        <w:rPr>
          <w:rFonts w:ascii="宋体" w:hAnsi="宋体"/>
          <w:szCs w:val="21"/>
        </w:rPr>
        <w:t xml:space="preserve">六、严禁用水清除变电柜、变压器等危险物上的非法张贴宣传品、广告。 </w:t>
      </w:r>
    </w:p>
    <w:p>
      <w:pPr>
        <w:spacing w:line="360" w:lineRule="auto"/>
        <w:ind w:firstLine="420" w:firstLineChars="200"/>
        <w:rPr>
          <w:rFonts w:ascii="宋体" w:hAnsi="宋体"/>
          <w:szCs w:val="21"/>
        </w:rPr>
      </w:pPr>
      <w:r>
        <w:rPr>
          <w:rFonts w:ascii="宋体" w:hAnsi="宋体"/>
          <w:szCs w:val="21"/>
        </w:rPr>
        <w:t>七、认真完成上级及主管部门下达的临时性清除任务。接到临时性清除作业指令后，在规定时间内到达现场作业。</w:t>
      </w:r>
    </w:p>
    <w:p>
      <w:pPr>
        <w:spacing w:line="360" w:lineRule="auto"/>
        <w:jc w:val="left"/>
        <w:rPr>
          <w:szCs w:val="21"/>
        </w:rPr>
        <w:sectPr>
          <w:pgSz w:w="11906" w:h="16838"/>
          <w:pgMar w:top="1440" w:right="1701" w:bottom="1361" w:left="1797" w:header="851" w:footer="992" w:gutter="0"/>
          <w:cols w:space="425" w:num="1"/>
          <w:docGrid w:linePitch="312" w:charSpace="0"/>
        </w:sectPr>
      </w:pPr>
    </w:p>
    <w:p>
      <w:pPr>
        <w:spacing w:line="360" w:lineRule="auto"/>
        <w:jc w:val="left"/>
        <w:rPr>
          <w:b/>
          <w:szCs w:val="21"/>
        </w:rPr>
      </w:pPr>
      <w:r>
        <w:rPr>
          <w:rFonts w:hint="eastAsia"/>
          <w:b/>
          <w:szCs w:val="21"/>
        </w:rPr>
        <w:t>合同附件7：</w:t>
      </w:r>
    </w:p>
    <w:p>
      <w:pPr>
        <w:spacing w:line="360" w:lineRule="auto"/>
        <w:ind w:firstLine="422" w:firstLineChars="200"/>
        <w:jc w:val="center"/>
        <w:rPr>
          <w:b/>
          <w:szCs w:val="21"/>
        </w:rPr>
      </w:pPr>
      <w:r>
        <w:rPr>
          <w:rFonts w:hint="eastAsia"/>
          <w:b/>
          <w:szCs w:val="21"/>
        </w:rPr>
        <w:t>石景山区街道办事处市容环境综合管理检查考评办法（试行）</w:t>
      </w:r>
    </w:p>
    <w:p>
      <w:pPr>
        <w:adjustRightInd w:val="0"/>
        <w:snapToGrid w:val="0"/>
        <w:spacing w:line="360" w:lineRule="auto"/>
        <w:ind w:firstLine="420" w:firstLineChars="200"/>
        <w:rPr>
          <w:rFonts w:ascii="宋体" w:hAnsi="宋体"/>
          <w:b/>
          <w:szCs w:val="21"/>
        </w:rPr>
      </w:pPr>
      <w:r>
        <w:rPr>
          <w:rFonts w:hint="eastAsia" w:ascii="宋体" w:hAnsi="宋体"/>
          <w:szCs w:val="21"/>
        </w:rPr>
        <w:t>为落实《北京市市容环境卫生条例》、《北京市街乡</w:t>
      </w:r>
      <w:r>
        <w:rPr>
          <w:rFonts w:ascii="宋体" w:hAnsi="宋体"/>
          <w:szCs w:val="21"/>
        </w:rPr>
        <w:t>(镇)管理范围环境卫生检查考评实施细则》、《北京市建筑垃圾综合管理考核评价办法》、《石景山区环境卫生管理办法（试行）》，提升各街道办事处环境卫生作业质量，提高建筑垃圾综合管理水平，完善街道办事处精细化资金监管机制，结合我区实际，制定本办法。</w:t>
      </w:r>
    </w:p>
    <w:p>
      <w:pPr>
        <w:adjustRightInd w:val="0"/>
        <w:snapToGrid w:val="0"/>
        <w:spacing w:line="360" w:lineRule="auto"/>
        <w:ind w:firstLine="422" w:firstLineChars="200"/>
        <w:rPr>
          <w:rFonts w:ascii="宋体" w:hAnsi="宋体"/>
          <w:b/>
          <w:szCs w:val="21"/>
        </w:rPr>
      </w:pPr>
      <w:r>
        <w:rPr>
          <w:rFonts w:hint="eastAsia" w:ascii="宋体" w:hAnsi="宋体"/>
          <w:b/>
          <w:szCs w:val="21"/>
        </w:rPr>
        <w:t>一、考评检查主体</w:t>
      </w:r>
    </w:p>
    <w:p>
      <w:pPr>
        <w:adjustRightInd w:val="0"/>
        <w:snapToGrid w:val="0"/>
        <w:spacing w:line="360" w:lineRule="auto"/>
        <w:ind w:firstLine="420" w:firstLineChars="200"/>
        <w:rPr>
          <w:rFonts w:ascii="宋体" w:hAnsi="宋体"/>
          <w:szCs w:val="21"/>
        </w:rPr>
      </w:pPr>
      <w:r>
        <w:rPr>
          <w:rFonts w:hint="eastAsia" w:ascii="宋体" w:hAnsi="宋体"/>
          <w:szCs w:val="21"/>
        </w:rPr>
        <w:t>在区政府领导下，区城市管理委员会作为检查考评的主体，负责组织开展各街道办事处环境卫生作业、建筑垃圾综合管理、落实属地责任和精细化资金使用情况检查考评工作。</w:t>
      </w:r>
    </w:p>
    <w:p>
      <w:pPr>
        <w:adjustRightInd w:val="0"/>
        <w:snapToGrid w:val="0"/>
        <w:spacing w:line="360" w:lineRule="auto"/>
        <w:ind w:firstLine="422" w:firstLineChars="200"/>
        <w:rPr>
          <w:rFonts w:ascii="宋体" w:hAnsi="宋体"/>
          <w:b/>
          <w:szCs w:val="21"/>
        </w:rPr>
      </w:pPr>
      <w:r>
        <w:rPr>
          <w:rFonts w:hint="eastAsia" w:ascii="宋体" w:hAnsi="宋体"/>
          <w:b/>
          <w:szCs w:val="21"/>
        </w:rPr>
        <w:t>二、考评检查对象</w:t>
      </w:r>
    </w:p>
    <w:p>
      <w:pPr>
        <w:adjustRightInd w:val="0"/>
        <w:snapToGrid w:val="0"/>
        <w:spacing w:line="360" w:lineRule="auto"/>
        <w:ind w:firstLine="420" w:firstLineChars="200"/>
        <w:rPr>
          <w:rFonts w:ascii="宋体" w:hAnsi="宋体"/>
          <w:szCs w:val="21"/>
        </w:rPr>
      </w:pPr>
      <w:r>
        <w:rPr>
          <w:rFonts w:hint="eastAsia" w:ascii="宋体" w:hAnsi="宋体"/>
          <w:szCs w:val="21"/>
        </w:rPr>
        <w:t>各街道办事处管理范围环境卫生工作。</w:t>
      </w:r>
    </w:p>
    <w:p>
      <w:pPr>
        <w:adjustRightInd w:val="0"/>
        <w:snapToGrid w:val="0"/>
        <w:spacing w:line="360" w:lineRule="auto"/>
        <w:ind w:firstLine="422" w:firstLineChars="200"/>
        <w:rPr>
          <w:rFonts w:ascii="宋体" w:hAnsi="宋体"/>
          <w:b/>
          <w:szCs w:val="21"/>
        </w:rPr>
      </w:pPr>
      <w:r>
        <w:rPr>
          <w:rFonts w:hint="eastAsia" w:ascii="宋体" w:hAnsi="宋体"/>
          <w:b/>
          <w:szCs w:val="21"/>
        </w:rPr>
        <w:t>三、考评检查内容</w:t>
      </w:r>
    </w:p>
    <w:p>
      <w:pPr>
        <w:adjustRightInd w:val="0"/>
        <w:snapToGrid w:val="0"/>
        <w:spacing w:line="360" w:lineRule="auto"/>
        <w:ind w:firstLine="420" w:firstLineChars="200"/>
        <w:rPr>
          <w:rFonts w:ascii="宋体" w:hAnsi="宋体"/>
          <w:szCs w:val="21"/>
        </w:rPr>
      </w:pPr>
      <w:r>
        <w:rPr>
          <w:rFonts w:hint="eastAsia" w:ascii="宋体" w:hAnsi="宋体"/>
          <w:szCs w:val="21"/>
        </w:rPr>
        <w:t>包括落实市区督办、背街小巷、门前三包及其他责任区、建筑垃圾综合管理和属地管理五部分。</w:t>
      </w:r>
    </w:p>
    <w:p>
      <w:pPr>
        <w:adjustRightInd w:val="0"/>
        <w:snapToGrid w:val="0"/>
        <w:spacing w:line="360" w:lineRule="auto"/>
        <w:ind w:firstLine="420" w:firstLineChars="200"/>
        <w:rPr>
          <w:rFonts w:ascii="宋体" w:hAnsi="宋体"/>
          <w:szCs w:val="21"/>
        </w:rPr>
      </w:pPr>
      <w:r>
        <w:rPr>
          <w:rFonts w:hint="eastAsia" w:ascii="宋体" w:hAnsi="宋体"/>
          <w:szCs w:val="21"/>
        </w:rPr>
        <w:t>市区督办：市级检查、市区领导批示、媒体曝光、群众信访情况；</w:t>
      </w:r>
    </w:p>
    <w:p>
      <w:pPr>
        <w:adjustRightInd w:val="0"/>
        <w:snapToGrid w:val="0"/>
        <w:spacing w:line="360" w:lineRule="auto"/>
        <w:ind w:firstLine="420" w:firstLineChars="200"/>
        <w:rPr>
          <w:rFonts w:ascii="宋体" w:hAnsi="宋体"/>
          <w:szCs w:val="21"/>
        </w:rPr>
      </w:pPr>
      <w:r>
        <w:rPr>
          <w:rFonts w:hint="eastAsia" w:ascii="宋体" w:hAnsi="宋体"/>
          <w:szCs w:val="21"/>
        </w:rPr>
        <w:t>背街小巷：街巷胡同和代管的无物业老旧小区的保洁作业、垃圾收运、小广告清理、脏乱死角清理整治、扫雪铲冰、雨中清理雨水口、雨后推水、生活垃圾收运设施设备的更新和维护、社会产权公厕、应急保障等。</w:t>
      </w:r>
    </w:p>
    <w:p>
      <w:pPr>
        <w:adjustRightInd w:val="0"/>
        <w:snapToGrid w:val="0"/>
        <w:spacing w:line="360" w:lineRule="auto"/>
        <w:ind w:firstLine="420" w:firstLineChars="200"/>
        <w:rPr>
          <w:rFonts w:ascii="宋体" w:hAnsi="宋体"/>
          <w:szCs w:val="21"/>
        </w:rPr>
      </w:pPr>
      <w:r>
        <w:rPr>
          <w:rFonts w:hint="eastAsia" w:ascii="宋体" w:hAnsi="宋体"/>
          <w:szCs w:val="21"/>
        </w:rPr>
        <w:t>门前三包及其他责任区：门前三包责任书签订及公示、责任区保洁、果皮箱和垃圾收集容器的设置、维护、更新；废旧物资回收站、交通枢纽、停车场、农贸市场、拆改建地区等及周围管理范围环境卫生；扫雪铲冰。</w:t>
      </w:r>
    </w:p>
    <w:p>
      <w:pPr>
        <w:adjustRightInd w:val="0"/>
        <w:snapToGrid w:val="0"/>
        <w:spacing w:line="360" w:lineRule="auto"/>
        <w:ind w:firstLine="420" w:firstLineChars="200"/>
        <w:rPr>
          <w:rFonts w:ascii="宋体" w:hAnsi="宋体"/>
          <w:szCs w:val="21"/>
        </w:rPr>
      </w:pPr>
      <w:r>
        <w:rPr>
          <w:rFonts w:hint="eastAsia" w:ascii="宋体" w:hAnsi="宋体"/>
          <w:szCs w:val="21"/>
        </w:rPr>
        <w:t>建筑垃圾综合管理：建筑垃圾消纳证公示、达标车辆使用，运输行为规范、车轮冲洗设施设置利用、工地门前道路干净整洁、乱倒乱卸、非正规消纳场查处等。</w:t>
      </w:r>
    </w:p>
    <w:p>
      <w:pPr>
        <w:adjustRightInd w:val="0"/>
        <w:snapToGrid w:val="0"/>
        <w:spacing w:line="360" w:lineRule="auto"/>
        <w:ind w:firstLine="420" w:firstLineChars="200"/>
        <w:rPr>
          <w:rFonts w:ascii="宋体" w:hAnsi="宋体"/>
          <w:b/>
          <w:szCs w:val="21"/>
        </w:rPr>
      </w:pPr>
      <w:r>
        <w:rPr>
          <w:rFonts w:hint="eastAsia" w:ascii="宋体" w:hAnsi="宋体"/>
          <w:szCs w:val="21"/>
        </w:rPr>
        <w:t>属地管理：自查体系建立情况、作业基础、作业定额、作业安排、作业计划、建设工地台账、日常检查记录、信息数据报送、应急处置、问题反馈。</w:t>
      </w:r>
    </w:p>
    <w:p>
      <w:pPr>
        <w:adjustRightInd w:val="0"/>
        <w:snapToGrid w:val="0"/>
        <w:spacing w:line="360" w:lineRule="auto"/>
        <w:ind w:firstLine="422" w:firstLineChars="200"/>
        <w:rPr>
          <w:rFonts w:ascii="宋体" w:hAnsi="宋体"/>
          <w:b/>
          <w:szCs w:val="21"/>
        </w:rPr>
      </w:pPr>
      <w:r>
        <w:rPr>
          <w:rFonts w:hint="eastAsia" w:ascii="宋体" w:hAnsi="宋体"/>
          <w:b/>
          <w:szCs w:val="21"/>
        </w:rPr>
        <w:t>四、考评检查原则</w:t>
      </w:r>
    </w:p>
    <w:p>
      <w:pPr>
        <w:adjustRightInd w:val="0"/>
        <w:snapToGrid w:val="0"/>
        <w:spacing w:line="360" w:lineRule="auto"/>
        <w:ind w:firstLine="420" w:firstLineChars="200"/>
        <w:rPr>
          <w:rFonts w:ascii="宋体" w:hAnsi="宋体"/>
          <w:szCs w:val="21"/>
        </w:rPr>
      </w:pPr>
      <w:r>
        <w:rPr>
          <w:rFonts w:hint="eastAsia" w:ascii="宋体" w:hAnsi="宋体"/>
          <w:szCs w:val="21"/>
        </w:rPr>
        <w:t>严格按照相关的法律法规、标准规范，遵循“公平、公正、公开”原则实施。考评注重环境卫生作业质量及过程控制、门前三包及其他责任区的日常管理、建设工地的日常管理和落实属地责任，反映各街道办事处的综合管理水平和作业质量。</w:t>
      </w:r>
    </w:p>
    <w:p>
      <w:pPr>
        <w:adjustRightInd w:val="0"/>
        <w:snapToGrid w:val="0"/>
        <w:spacing w:line="360" w:lineRule="auto"/>
        <w:ind w:firstLine="422" w:firstLineChars="200"/>
        <w:rPr>
          <w:rFonts w:ascii="宋体" w:hAnsi="宋体"/>
          <w:b/>
          <w:szCs w:val="21"/>
        </w:rPr>
      </w:pPr>
      <w:r>
        <w:rPr>
          <w:rFonts w:hint="eastAsia" w:ascii="宋体" w:hAnsi="宋体"/>
          <w:b/>
          <w:szCs w:val="21"/>
        </w:rPr>
        <w:t>五、考评检查形式</w:t>
      </w:r>
    </w:p>
    <w:p>
      <w:pPr>
        <w:adjustRightInd w:val="0"/>
        <w:snapToGrid w:val="0"/>
        <w:spacing w:line="360" w:lineRule="auto"/>
        <w:ind w:firstLine="420" w:firstLineChars="200"/>
        <w:rPr>
          <w:rFonts w:ascii="宋体" w:hAnsi="宋体"/>
          <w:szCs w:val="21"/>
        </w:rPr>
      </w:pPr>
      <w:r>
        <w:rPr>
          <w:rFonts w:hint="eastAsia" w:ascii="宋体" w:hAnsi="宋体"/>
          <w:szCs w:val="21"/>
        </w:rPr>
        <w:t>实行日检查、月通报、季考核、年汇总。区城市综合管理委员会采取日检查方式，在各街道办事处管理范围内，每日对市区督办、背街小巷、门前三包及其他责任区、建筑垃圾综合管理和属地管理五部分内容抽样实施现场检查；每月将现场检查结果统计进行考核；每季度综合月考核结果进行评价；年终对全年工作进行总评。</w:t>
      </w:r>
    </w:p>
    <w:p>
      <w:pPr>
        <w:adjustRightInd w:val="0"/>
        <w:snapToGrid w:val="0"/>
        <w:spacing w:line="360" w:lineRule="auto"/>
        <w:ind w:firstLine="420" w:firstLineChars="200"/>
        <w:rPr>
          <w:rFonts w:ascii="宋体" w:hAnsi="宋体"/>
          <w:szCs w:val="21"/>
        </w:rPr>
      </w:pPr>
      <w:r>
        <w:rPr>
          <w:rFonts w:hint="eastAsia" w:ascii="宋体" w:hAnsi="宋体"/>
          <w:szCs w:val="21"/>
        </w:rPr>
        <w:t>各街道办事处应建立自查体系，对辖区内街巷胡同、代管的无物业老旧小区的环境卫生作业、垃圾收运、门前三包责任落实情况、建设工地管理情况进行自查。</w:t>
      </w:r>
    </w:p>
    <w:p>
      <w:pPr>
        <w:adjustRightInd w:val="0"/>
        <w:snapToGrid w:val="0"/>
        <w:spacing w:line="360" w:lineRule="auto"/>
        <w:ind w:firstLine="422" w:firstLineChars="200"/>
        <w:rPr>
          <w:rFonts w:ascii="宋体" w:hAnsi="宋体"/>
          <w:b/>
          <w:szCs w:val="21"/>
        </w:rPr>
      </w:pPr>
      <w:r>
        <w:rPr>
          <w:rFonts w:hint="eastAsia" w:ascii="宋体" w:hAnsi="宋体"/>
          <w:b/>
          <w:szCs w:val="21"/>
        </w:rPr>
        <w:t>六、月通报</w:t>
      </w:r>
    </w:p>
    <w:p>
      <w:pPr>
        <w:adjustRightInd w:val="0"/>
        <w:snapToGrid w:val="0"/>
        <w:spacing w:line="360" w:lineRule="auto"/>
        <w:ind w:firstLine="420" w:firstLineChars="200"/>
        <w:rPr>
          <w:rFonts w:ascii="宋体" w:hAnsi="宋体"/>
          <w:szCs w:val="21"/>
        </w:rPr>
      </w:pPr>
      <w:r>
        <w:rPr>
          <w:rFonts w:hint="eastAsia" w:ascii="宋体" w:hAnsi="宋体"/>
          <w:szCs w:val="21"/>
        </w:rPr>
        <w:t>⒈通报内容：市区督办、背街小巷、门前三包及其他责任区、建筑垃圾综合管理和属地管理等考核结果，包括分值、存在问题和工作建议等。</w:t>
      </w:r>
    </w:p>
    <w:p>
      <w:pPr>
        <w:adjustRightInd w:val="0"/>
        <w:snapToGrid w:val="0"/>
        <w:spacing w:line="360" w:lineRule="auto"/>
        <w:ind w:firstLine="420" w:firstLineChars="200"/>
        <w:rPr>
          <w:rFonts w:ascii="宋体" w:hAnsi="宋体"/>
          <w:szCs w:val="21"/>
        </w:rPr>
      </w:pPr>
      <w:r>
        <w:rPr>
          <w:rFonts w:hint="eastAsia" w:ascii="宋体" w:hAnsi="宋体"/>
          <w:szCs w:val="21"/>
        </w:rPr>
        <w:t>⒉通报周期：以自然月为周期。</w:t>
      </w:r>
    </w:p>
    <w:p>
      <w:pPr>
        <w:adjustRightInd w:val="0"/>
        <w:snapToGrid w:val="0"/>
        <w:spacing w:line="360" w:lineRule="auto"/>
        <w:ind w:firstLine="422" w:firstLineChars="200"/>
        <w:rPr>
          <w:rFonts w:ascii="宋体" w:hAnsi="宋体"/>
          <w:b/>
          <w:szCs w:val="21"/>
        </w:rPr>
      </w:pPr>
      <w:r>
        <w:rPr>
          <w:rFonts w:hint="eastAsia" w:ascii="宋体" w:hAnsi="宋体"/>
          <w:b/>
          <w:szCs w:val="21"/>
        </w:rPr>
        <w:t>七、季评价</w:t>
      </w:r>
    </w:p>
    <w:p>
      <w:pPr>
        <w:adjustRightInd w:val="0"/>
        <w:snapToGrid w:val="0"/>
        <w:spacing w:line="360" w:lineRule="auto"/>
        <w:ind w:firstLine="420" w:firstLineChars="200"/>
        <w:rPr>
          <w:rFonts w:ascii="宋体" w:hAnsi="宋体"/>
          <w:szCs w:val="21"/>
        </w:rPr>
      </w:pPr>
      <w:r>
        <w:rPr>
          <w:rFonts w:hint="eastAsia" w:ascii="宋体" w:hAnsi="宋体"/>
          <w:szCs w:val="21"/>
        </w:rPr>
        <w:t>以自然季度为一个周期，对各街道办事处月考核结果进行汇总评价。</w:t>
      </w:r>
    </w:p>
    <w:p>
      <w:pPr>
        <w:adjustRightInd w:val="0"/>
        <w:snapToGrid w:val="0"/>
        <w:spacing w:line="360" w:lineRule="auto"/>
        <w:ind w:firstLine="422" w:firstLineChars="200"/>
        <w:rPr>
          <w:rFonts w:ascii="宋体" w:hAnsi="宋体"/>
          <w:b/>
          <w:szCs w:val="21"/>
        </w:rPr>
      </w:pPr>
      <w:r>
        <w:rPr>
          <w:rFonts w:hint="eastAsia" w:ascii="宋体" w:hAnsi="宋体"/>
          <w:b/>
          <w:szCs w:val="21"/>
        </w:rPr>
        <w:t>八、年汇总</w:t>
      </w:r>
    </w:p>
    <w:p>
      <w:pPr>
        <w:adjustRightInd w:val="0"/>
        <w:snapToGrid w:val="0"/>
        <w:spacing w:line="360" w:lineRule="auto"/>
        <w:ind w:firstLine="420" w:firstLineChars="200"/>
        <w:rPr>
          <w:rFonts w:ascii="宋体" w:hAnsi="宋体"/>
          <w:szCs w:val="21"/>
        </w:rPr>
      </w:pPr>
      <w:r>
        <w:rPr>
          <w:rFonts w:hint="eastAsia" w:ascii="宋体" w:hAnsi="宋体"/>
          <w:szCs w:val="21"/>
        </w:rPr>
        <w:t>区城市综合管理委员会对各街道办事处考核情况年度汇总。</w:t>
      </w:r>
    </w:p>
    <w:p>
      <w:pPr>
        <w:adjustRightInd w:val="0"/>
        <w:snapToGrid w:val="0"/>
        <w:spacing w:line="360" w:lineRule="auto"/>
        <w:ind w:firstLine="422" w:firstLineChars="200"/>
        <w:rPr>
          <w:rFonts w:ascii="宋体" w:hAnsi="宋体"/>
          <w:b/>
          <w:szCs w:val="21"/>
        </w:rPr>
      </w:pPr>
      <w:r>
        <w:rPr>
          <w:rFonts w:hint="eastAsia" w:ascii="宋体" w:hAnsi="宋体"/>
          <w:b/>
          <w:szCs w:val="21"/>
        </w:rPr>
        <w:t>九、考评检查程序</w:t>
      </w:r>
    </w:p>
    <w:p>
      <w:pPr>
        <w:adjustRightInd w:val="0"/>
        <w:snapToGrid w:val="0"/>
        <w:spacing w:line="360" w:lineRule="auto"/>
        <w:ind w:firstLine="420" w:firstLineChars="200"/>
        <w:rPr>
          <w:rFonts w:ascii="宋体" w:hAnsi="宋体"/>
          <w:szCs w:val="21"/>
        </w:rPr>
      </w:pPr>
      <w:r>
        <w:rPr>
          <w:rFonts w:hint="eastAsia" w:ascii="宋体" w:hAnsi="宋体"/>
          <w:szCs w:val="21"/>
        </w:rPr>
        <w:t>㈠岗前培训</w:t>
      </w:r>
    </w:p>
    <w:p>
      <w:pPr>
        <w:adjustRightInd w:val="0"/>
        <w:snapToGrid w:val="0"/>
        <w:spacing w:line="360" w:lineRule="auto"/>
        <w:ind w:firstLine="420" w:firstLineChars="200"/>
        <w:rPr>
          <w:rFonts w:ascii="宋体" w:hAnsi="宋体"/>
          <w:szCs w:val="21"/>
        </w:rPr>
      </w:pPr>
      <w:r>
        <w:rPr>
          <w:rFonts w:hint="eastAsia" w:ascii="宋体" w:hAnsi="宋体"/>
          <w:szCs w:val="21"/>
        </w:rPr>
        <w:t>为更好的实施检查考评工作，区城市管理委员会组织负责检查考评人员进行系统培训，经考核合格后，方能参与检查考评工作；同时组织被检查单位相关人员的业务知识培训。</w:t>
      </w:r>
    </w:p>
    <w:p>
      <w:pPr>
        <w:adjustRightInd w:val="0"/>
        <w:snapToGrid w:val="0"/>
        <w:spacing w:line="360" w:lineRule="auto"/>
        <w:ind w:firstLine="420" w:firstLineChars="200"/>
        <w:rPr>
          <w:rFonts w:ascii="宋体" w:hAnsi="宋体"/>
          <w:szCs w:val="21"/>
        </w:rPr>
      </w:pPr>
      <w:r>
        <w:rPr>
          <w:rFonts w:hint="eastAsia" w:ascii="宋体" w:hAnsi="宋体"/>
          <w:szCs w:val="21"/>
        </w:rPr>
        <w:t>㈡实施检查</w:t>
      </w:r>
    </w:p>
    <w:p>
      <w:pPr>
        <w:adjustRightInd w:val="0"/>
        <w:snapToGrid w:val="0"/>
        <w:spacing w:line="360" w:lineRule="auto"/>
        <w:ind w:firstLine="420" w:firstLineChars="200"/>
        <w:rPr>
          <w:rFonts w:ascii="宋体" w:hAnsi="宋体"/>
          <w:szCs w:val="21"/>
        </w:rPr>
      </w:pPr>
      <w:r>
        <w:rPr>
          <w:rFonts w:hint="eastAsia" w:ascii="宋体" w:hAnsi="宋体"/>
          <w:szCs w:val="21"/>
        </w:rPr>
        <w:t>现场检查人员不少于</w:t>
      </w:r>
      <w:r>
        <w:rPr>
          <w:rFonts w:ascii="宋体" w:hAnsi="宋体"/>
          <w:szCs w:val="21"/>
        </w:rPr>
        <w:t>2人。检查人员对检查项目采取观察作业情况、抽查作业人员到岗情况、听取介绍和问询岗位人员、查阅相关运行资料和自查记录等方式进行检查、记录，对存在的问题进行说明、拍照或摄像。</w:t>
      </w:r>
    </w:p>
    <w:p>
      <w:pPr>
        <w:adjustRightInd w:val="0"/>
        <w:snapToGrid w:val="0"/>
        <w:spacing w:line="360" w:lineRule="auto"/>
        <w:ind w:firstLine="420" w:firstLineChars="200"/>
        <w:rPr>
          <w:rFonts w:ascii="宋体" w:hAnsi="宋体"/>
          <w:szCs w:val="21"/>
        </w:rPr>
      </w:pPr>
      <w:r>
        <w:rPr>
          <w:rFonts w:hint="eastAsia" w:ascii="宋体" w:hAnsi="宋体"/>
          <w:szCs w:val="21"/>
        </w:rPr>
        <w:t>㈢复查</w:t>
      </w:r>
    </w:p>
    <w:p>
      <w:pPr>
        <w:adjustRightInd w:val="0"/>
        <w:snapToGrid w:val="0"/>
        <w:spacing w:line="360" w:lineRule="auto"/>
        <w:ind w:firstLine="420" w:firstLineChars="200"/>
        <w:rPr>
          <w:rFonts w:ascii="宋体" w:hAnsi="宋体"/>
          <w:szCs w:val="21"/>
        </w:rPr>
      </w:pPr>
      <w:r>
        <w:rPr>
          <w:rFonts w:hint="eastAsia" w:ascii="宋体" w:hAnsi="宋体"/>
          <w:szCs w:val="21"/>
        </w:rPr>
        <w:t>检查中出现较为突出的问题，视情况复查，复查结果纳入复查当日检查结果。</w:t>
      </w:r>
    </w:p>
    <w:p>
      <w:pPr>
        <w:adjustRightInd w:val="0"/>
        <w:snapToGrid w:val="0"/>
        <w:spacing w:line="360" w:lineRule="auto"/>
        <w:ind w:firstLine="422" w:firstLineChars="200"/>
        <w:rPr>
          <w:rFonts w:ascii="宋体" w:hAnsi="宋体"/>
          <w:b/>
          <w:szCs w:val="21"/>
        </w:rPr>
      </w:pPr>
      <w:r>
        <w:rPr>
          <w:rFonts w:hint="eastAsia" w:ascii="宋体" w:hAnsi="宋体"/>
          <w:b/>
          <w:szCs w:val="21"/>
        </w:rPr>
        <w:t>十、考评检查评分</w:t>
      </w:r>
    </w:p>
    <w:p>
      <w:pPr>
        <w:adjustRightInd w:val="0"/>
        <w:snapToGrid w:val="0"/>
        <w:spacing w:line="360" w:lineRule="auto"/>
        <w:ind w:firstLine="420" w:firstLineChars="200"/>
        <w:rPr>
          <w:rFonts w:ascii="宋体" w:hAnsi="宋体"/>
          <w:szCs w:val="21"/>
        </w:rPr>
      </w:pPr>
      <w:r>
        <w:rPr>
          <w:rFonts w:hint="eastAsia" w:ascii="宋体" w:hAnsi="宋体"/>
          <w:szCs w:val="21"/>
        </w:rPr>
        <w:t>评分由市区督办、背街小巷、门前三包及其他责任区、建筑垃圾综合管理和属地管理五项组成，各项均采用百分制计分，由单项分值和权重计算得出总分值，五项权重分别为</w:t>
      </w:r>
      <w:r>
        <w:rPr>
          <w:rFonts w:ascii="宋体" w:hAnsi="宋体"/>
          <w:szCs w:val="21"/>
        </w:rPr>
        <w:t>15%、30%、25%、20%、10%，总计100分。未按规定时限进行整改的问题纳入属地管理部分考核。背街小巷、门前三包及其他责任区、属地管理三项实行分层级计分制；市区督办、建筑垃圾综合管理两项实行直接扣分制。扣分标准详见附件。</w:t>
      </w:r>
    </w:p>
    <w:p>
      <w:pPr>
        <w:adjustRightInd w:val="0"/>
        <w:snapToGrid w:val="0"/>
        <w:spacing w:line="360" w:lineRule="auto"/>
        <w:ind w:firstLine="420" w:firstLineChars="200"/>
        <w:rPr>
          <w:rFonts w:ascii="宋体" w:hAnsi="宋体"/>
          <w:szCs w:val="21"/>
        </w:rPr>
      </w:pPr>
      <w:r>
        <w:rPr>
          <w:rFonts w:hint="eastAsia" w:ascii="宋体" w:hAnsi="宋体"/>
          <w:szCs w:val="21"/>
        </w:rPr>
        <w:t>市区督办</w:t>
      </w:r>
      <w:r>
        <w:rPr>
          <w:rFonts w:ascii="宋体" w:hAnsi="宋体"/>
          <w:szCs w:val="21"/>
        </w:rPr>
        <w:tab/>
      </w:r>
      <w:r>
        <w:rPr>
          <w:rFonts w:hint="eastAsia" w:ascii="宋体" w:hAnsi="宋体"/>
          <w:szCs w:val="21"/>
        </w:rPr>
        <w:t>背街小巷</w:t>
      </w:r>
      <w:r>
        <w:rPr>
          <w:rFonts w:ascii="宋体" w:hAnsi="宋体"/>
          <w:szCs w:val="21"/>
        </w:rPr>
        <w:tab/>
      </w:r>
      <w:r>
        <w:rPr>
          <w:rFonts w:hint="eastAsia" w:ascii="宋体" w:hAnsi="宋体"/>
          <w:szCs w:val="21"/>
        </w:rPr>
        <w:t>门前三包及</w:t>
      </w:r>
    </w:p>
    <w:p>
      <w:pPr>
        <w:adjustRightInd w:val="0"/>
        <w:snapToGrid w:val="0"/>
        <w:spacing w:line="360" w:lineRule="auto"/>
        <w:ind w:firstLine="420" w:firstLineChars="200"/>
        <w:rPr>
          <w:rFonts w:ascii="宋体" w:hAnsi="宋体"/>
          <w:szCs w:val="21"/>
        </w:rPr>
      </w:pPr>
      <w:r>
        <w:rPr>
          <w:rFonts w:hint="eastAsia" w:ascii="宋体" w:hAnsi="宋体"/>
          <w:szCs w:val="21"/>
        </w:rPr>
        <w:t>其他责任区</w:t>
      </w:r>
      <w:r>
        <w:rPr>
          <w:rFonts w:ascii="宋体" w:hAnsi="宋体"/>
          <w:szCs w:val="21"/>
        </w:rPr>
        <w:tab/>
      </w:r>
      <w:r>
        <w:rPr>
          <w:rFonts w:hint="eastAsia" w:ascii="宋体" w:hAnsi="宋体"/>
          <w:szCs w:val="21"/>
        </w:rPr>
        <w:t>建筑垃圾</w:t>
      </w:r>
    </w:p>
    <w:p>
      <w:pPr>
        <w:adjustRightInd w:val="0"/>
        <w:snapToGrid w:val="0"/>
        <w:spacing w:line="360" w:lineRule="auto"/>
        <w:ind w:firstLine="420" w:firstLineChars="200"/>
        <w:rPr>
          <w:rFonts w:ascii="宋体" w:hAnsi="宋体"/>
          <w:szCs w:val="21"/>
        </w:rPr>
      </w:pPr>
      <w:r>
        <w:rPr>
          <w:rFonts w:hint="eastAsia" w:ascii="宋体" w:hAnsi="宋体"/>
          <w:szCs w:val="21"/>
        </w:rPr>
        <w:t>综合管理</w:t>
      </w:r>
      <w:r>
        <w:rPr>
          <w:rFonts w:ascii="宋体" w:hAnsi="宋体"/>
          <w:szCs w:val="21"/>
        </w:rPr>
        <w:tab/>
      </w:r>
      <w:r>
        <w:rPr>
          <w:rFonts w:hint="eastAsia" w:ascii="宋体" w:hAnsi="宋体"/>
          <w:szCs w:val="21"/>
        </w:rPr>
        <w:t>属地管理</w:t>
      </w:r>
    </w:p>
    <w:p>
      <w:pPr>
        <w:adjustRightInd w:val="0"/>
        <w:snapToGrid w:val="0"/>
        <w:spacing w:line="360" w:lineRule="auto"/>
        <w:ind w:firstLine="420" w:firstLineChars="200"/>
        <w:rPr>
          <w:rFonts w:ascii="宋体" w:hAnsi="宋体"/>
          <w:szCs w:val="21"/>
        </w:rPr>
      </w:pPr>
      <w:r>
        <w:rPr>
          <w:rFonts w:ascii="宋体" w:hAnsi="宋体"/>
          <w:szCs w:val="21"/>
        </w:rPr>
        <w:t>15%</w:t>
      </w:r>
      <w:r>
        <w:rPr>
          <w:rFonts w:ascii="宋体" w:hAnsi="宋体"/>
          <w:szCs w:val="21"/>
        </w:rPr>
        <w:tab/>
      </w:r>
      <w:r>
        <w:rPr>
          <w:rFonts w:ascii="宋体" w:hAnsi="宋体"/>
          <w:szCs w:val="21"/>
        </w:rPr>
        <w:t>30%</w:t>
      </w:r>
      <w:r>
        <w:rPr>
          <w:rFonts w:ascii="宋体" w:hAnsi="宋体"/>
          <w:szCs w:val="21"/>
        </w:rPr>
        <w:tab/>
      </w:r>
      <w:r>
        <w:rPr>
          <w:rFonts w:ascii="宋体" w:hAnsi="宋体"/>
          <w:szCs w:val="21"/>
        </w:rPr>
        <w:t>25%</w:t>
      </w:r>
      <w:r>
        <w:rPr>
          <w:rFonts w:ascii="宋体" w:hAnsi="宋体"/>
          <w:szCs w:val="21"/>
        </w:rPr>
        <w:tab/>
      </w:r>
      <w:r>
        <w:rPr>
          <w:rFonts w:ascii="宋体" w:hAnsi="宋体"/>
          <w:szCs w:val="21"/>
        </w:rPr>
        <w:t>20%</w:t>
      </w:r>
      <w:r>
        <w:rPr>
          <w:rFonts w:ascii="宋体" w:hAnsi="宋体"/>
          <w:szCs w:val="21"/>
        </w:rPr>
        <w:tab/>
      </w:r>
      <w:r>
        <w:rPr>
          <w:rFonts w:ascii="宋体" w:hAnsi="宋体"/>
          <w:szCs w:val="21"/>
        </w:rPr>
        <w:t>10%</w:t>
      </w:r>
    </w:p>
    <w:p>
      <w:pPr>
        <w:adjustRightInd w:val="0"/>
        <w:snapToGrid w:val="0"/>
        <w:spacing w:line="360" w:lineRule="auto"/>
        <w:ind w:firstLine="420" w:firstLineChars="200"/>
        <w:rPr>
          <w:rFonts w:ascii="宋体" w:hAnsi="宋体"/>
          <w:szCs w:val="21"/>
        </w:rPr>
      </w:pPr>
      <w:r>
        <w:rPr>
          <w:rFonts w:hint="eastAsia" w:ascii="宋体" w:hAnsi="宋体"/>
          <w:szCs w:val="21"/>
        </w:rPr>
        <w:t>总分值</w:t>
      </w:r>
      <w:r>
        <w:rPr>
          <w:rFonts w:ascii="宋体" w:hAnsi="宋体"/>
          <w:szCs w:val="21"/>
        </w:rPr>
        <w:t>=</w:t>
      </w:r>
      <w:r>
        <w:rPr>
          <w:rFonts w:hint="eastAsia" w:ascii="宋体" w:hAnsi="宋体"/>
          <w:szCs w:val="21"/>
        </w:rPr>
        <w:t>市区督办×权重（</w:t>
      </w:r>
      <w:r>
        <w:rPr>
          <w:rFonts w:ascii="宋体" w:hAnsi="宋体"/>
          <w:szCs w:val="21"/>
        </w:rPr>
        <w:t>15%</w:t>
      </w:r>
      <w:r>
        <w:rPr>
          <w:rFonts w:hint="eastAsia" w:ascii="宋体" w:hAnsi="宋体"/>
          <w:szCs w:val="21"/>
        </w:rPr>
        <w:t>）</w:t>
      </w:r>
      <w:r>
        <w:rPr>
          <w:rFonts w:ascii="宋体" w:hAnsi="宋体"/>
          <w:szCs w:val="21"/>
        </w:rPr>
        <w:t>+</w:t>
      </w:r>
      <w:r>
        <w:rPr>
          <w:rFonts w:hint="eastAsia" w:ascii="宋体" w:hAnsi="宋体"/>
          <w:szCs w:val="21"/>
        </w:rPr>
        <w:t>背街小巷×权重（</w:t>
      </w:r>
      <w:r>
        <w:rPr>
          <w:rFonts w:ascii="宋体" w:hAnsi="宋体"/>
          <w:szCs w:val="21"/>
        </w:rPr>
        <w:t>30%</w:t>
      </w:r>
      <w:r>
        <w:rPr>
          <w:rFonts w:hint="eastAsia" w:ascii="宋体" w:hAnsi="宋体"/>
          <w:szCs w:val="21"/>
        </w:rPr>
        <w:t>）＋门前三包及其他责任区×权重（</w:t>
      </w:r>
      <w:r>
        <w:rPr>
          <w:rFonts w:ascii="宋体" w:hAnsi="宋体"/>
          <w:szCs w:val="21"/>
        </w:rPr>
        <w:t>25%</w:t>
      </w:r>
      <w:r>
        <w:rPr>
          <w:rFonts w:hint="eastAsia" w:ascii="宋体" w:hAnsi="宋体"/>
          <w:szCs w:val="21"/>
        </w:rPr>
        <w:t>）</w:t>
      </w:r>
      <w:r>
        <w:rPr>
          <w:rFonts w:ascii="宋体" w:hAnsi="宋体"/>
          <w:szCs w:val="21"/>
        </w:rPr>
        <w:t>+</w:t>
      </w:r>
      <w:r>
        <w:rPr>
          <w:rFonts w:hint="eastAsia" w:ascii="宋体" w:hAnsi="宋体"/>
          <w:szCs w:val="21"/>
        </w:rPr>
        <w:t>建筑垃圾综合管理×权重（</w:t>
      </w:r>
      <w:r>
        <w:rPr>
          <w:rFonts w:ascii="宋体" w:hAnsi="宋体"/>
          <w:szCs w:val="21"/>
        </w:rPr>
        <w:t>20%</w:t>
      </w:r>
      <w:r>
        <w:rPr>
          <w:rFonts w:hint="eastAsia" w:ascii="宋体" w:hAnsi="宋体"/>
          <w:szCs w:val="21"/>
        </w:rPr>
        <w:t>）</w:t>
      </w:r>
      <w:r>
        <w:rPr>
          <w:rFonts w:ascii="宋体" w:hAnsi="宋体"/>
          <w:szCs w:val="21"/>
        </w:rPr>
        <w:t>+</w:t>
      </w:r>
      <w:r>
        <w:rPr>
          <w:rFonts w:hint="eastAsia" w:ascii="宋体" w:hAnsi="宋体"/>
          <w:szCs w:val="21"/>
        </w:rPr>
        <w:t>属地管理×权重（</w:t>
      </w:r>
      <w:r>
        <w:rPr>
          <w:rFonts w:ascii="宋体" w:hAnsi="宋体"/>
          <w:szCs w:val="21"/>
        </w:rPr>
        <w:t>10%</w:t>
      </w:r>
      <w:r>
        <w:rPr>
          <w:rFonts w:hint="eastAsia" w:ascii="宋体" w:hAnsi="宋体"/>
          <w:szCs w:val="21"/>
        </w:rPr>
        <w:t>）</w:t>
      </w:r>
    </w:p>
    <w:p>
      <w:pPr>
        <w:adjustRightInd w:val="0"/>
        <w:snapToGrid w:val="0"/>
        <w:spacing w:line="360" w:lineRule="auto"/>
        <w:ind w:firstLine="420" w:firstLineChars="200"/>
        <w:rPr>
          <w:rFonts w:ascii="宋体" w:hAnsi="宋体"/>
          <w:szCs w:val="21"/>
        </w:rPr>
      </w:pPr>
      <w:r>
        <w:rPr>
          <w:rFonts w:hint="eastAsia" w:ascii="宋体" w:hAnsi="宋体"/>
          <w:szCs w:val="21"/>
        </w:rPr>
        <w:t>背街小巷、门前三包及其他责任区、属地管理三项计分方法：</w:t>
      </w:r>
    </w:p>
    <w:p>
      <w:pPr>
        <w:adjustRightInd w:val="0"/>
        <w:snapToGrid w:val="0"/>
        <w:spacing w:line="360" w:lineRule="auto"/>
        <w:ind w:firstLine="420" w:firstLineChars="200"/>
        <w:rPr>
          <w:rFonts w:ascii="宋体" w:hAnsi="宋体"/>
          <w:szCs w:val="21"/>
        </w:rPr>
      </w:pPr>
      <w:r>
        <w:rPr>
          <w:rFonts w:hint="eastAsia" w:ascii="宋体" w:hAnsi="宋体"/>
          <w:szCs w:val="21"/>
        </w:rPr>
        <w:t>采取分层级计分方式，每项考核内容分三个部分，每部分包括三个层级，第一及第二层级采用百分制按权重计分，第三层级采用固定分值按项次累计计分。由第三层级向上逐级计算，最终得出总分值。检查考核不合格时扣除该问题相应分值，按检查项次累计计分，扣分分值不超过该问题所属第二层级条目分值。（扣分分值</w:t>
      </w:r>
      <w:r>
        <w:rPr>
          <w:rFonts w:ascii="宋体" w:hAnsi="宋体"/>
          <w:szCs w:val="21"/>
        </w:rPr>
        <w:t>=</w:t>
      </w:r>
      <w:r>
        <w:rPr>
          <w:rFonts w:hint="eastAsia" w:ascii="宋体" w:hAnsi="宋体"/>
          <w:szCs w:val="21"/>
        </w:rPr>
        <w:t>问题分值</w:t>
      </w:r>
      <w:r>
        <w:rPr>
          <w:rFonts w:ascii="宋体" w:hAnsi="宋体"/>
          <w:szCs w:val="21"/>
        </w:rPr>
        <w:t>*</w:t>
      </w:r>
      <w:r>
        <w:rPr>
          <w:rFonts w:hint="eastAsia" w:ascii="宋体" w:hAnsi="宋体"/>
          <w:szCs w:val="21"/>
        </w:rPr>
        <w:t>不合格项次）</w:t>
      </w:r>
    </w:p>
    <w:p>
      <w:pPr>
        <w:adjustRightInd w:val="0"/>
        <w:snapToGrid w:val="0"/>
        <w:spacing w:line="360" w:lineRule="auto"/>
        <w:ind w:firstLine="420" w:firstLineChars="200"/>
        <w:rPr>
          <w:rFonts w:ascii="宋体" w:hAnsi="宋体"/>
          <w:szCs w:val="21"/>
        </w:rPr>
      </w:pPr>
      <w:r>
        <w:rPr>
          <w:rFonts w:hint="eastAsia" w:ascii="宋体" w:hAnsi="宋体"/>
          <w:szCs w:val="21"/>
        </w:rPr>
        <w:t>市区督办、建筑垃圾综合管理两项计分方法：</w:t>
      </w:r>
    </w:p>
    <w:p>
      <w:pPr>
        <w:adjustRightInd w:val="0"/>
        <w:snapToGrid w:val="0"/>
        <w:spacing w:line="360" w:lineRule="auto"/>
        <w:ind w:firstLine="420" w:firstLineChars="200"/>
        <w:rPr>
          <w:rFonts w:ascii="宋体" w:hAnsi="宋体"/>
          <w:szCs w:val="21"/>
        </w:rPr>
      </w:pPr>
      <w:r>
        <w:rPr>
          <w:rFonts w:hint="eastAsia" w:ascii="宋体" w:hAnsi="宋体"/>
          <w:szCs w:val="21"/>
        </w:rPr>
        <w:t>采取直接扣分方式，检查考核不合格时直接扣除该问题相应的分值，扣完为止。</w:t>
      </w:r>
    </w:p>
    <w:p>
      <w:pPr>
        <w:adjustRightInd w:val="0"/>
        <w:snapToGrid w:val="0"/>
        <w:spacing w:line="360" w:lineRule="auto"/>
        <w:ind w:firstLine="420" w:firstLineChars="200"/>
        <w:rPr>
          <w:rFonts w:ascii="宋体" w:hAnsi="宋体"/>
          <w:szCs w:val="21"/>
        </w:rPr>
      </w:pPr>
      <w:r>
        <w:rPr>
          <w:rFonts w:hint="eastAsia" w:ascii="宋体" w:hAnsi="宋体"/>
          <w:szCs w:val="21"/>
        </w:rPr>
        <w:t>其中市区督办、背街小巷、门前三包及其他责任区、属地管理每扣除总分</w:t>
      </w:r>
      <w:r>
        <w:rPr>
          <w:rFonts w:ascii="宋体" w:hAnsi="宋体"/>
          <w:szCs w:val="21"/>
        </w:rPr>
        <w:t>1</w:t>
      </w:r>
      <w:r>
        <w:rPr>
          <w:rFonts w:hint="eastAsia" w:ascii="宋体" w:hAnsi="宋体"/>
          <w:szCs w:val="21"/>
        </w:rPr>
        <w:t>分，扣除街道保洁作业经费的</w:t>
      </w:r>
      <w:r>
        <w:rPr>
          <w:rFonts w:ascii="宋体" w:hAnsi="宋体"/>
          <w:szCs w:val="21"/>
        </w:rPr>
        <w:t>0.5%</w:t>
      </w:r>
      <w:r>
        <w:rPr>
          <w:rFonts w:hint="eastAsia" w:ascii="宋体" w:hAnsi="宋体"/>
          <w:szCs w:val="21"/>
        </w:rPr>
        <w:t>（以精细化资金预算扣除</w:t>
      </w:r>
      <w:r>
        <w:rPr>
          <w:rFonts w:ascii="宋体" w:hAnsi="宋体"/>
          <w:szCs w:val="21"/>
        </w:rPr>
        <w:t>10%</w:t>
      </w:r>
      <w:r>
        <w:rPr>
          <w:rFonts w:hint="eastAsia" w:ascii="宋体" w:hAnsi="宋体"/>
          <w:szCs w:val="21"/>
        </w:rPr>
        <w:t>预留应急资金后的金额为准），扣除的保洁作业经费按季度核算，由区财政局年底兑现。</w:t>
      </w:r>
    </w:p>
    <w:p>
      <w:pPr>
        <w:adjustRightInd w:val="0"/>
        <w:snapToGrid w:val="0"/>
        <w:spacing w:line="360" w:lineRule="auto"/>
        <w:ind w:firstLine="422" w:firstLineChars="200"/>
        <w:rPr>
          <w:rFonts w:ascii="宋体" w:hAnsi="宋体"/>
          <w:b/>
          <w:szCs w:val="21"/>
        </w:rPr>
      </w:pPr>
      <w:r>
        <w:rPr>
          <w:rFonts w:hint="eastAsia" w:ascii="宋体" w:hAnsi="宋体"/>
          <w:b/>
          <w:szCs w:val="21"/>
        </w:rPr>
        <w:t>十一、考评结果运用</w:t>
      </w:r>
    </w:p>
    <w:p>
      <w:pPr>
        <w:adjustRightInd w:val="0"/>
        <w:snapToGrid w:val="0"/>
        <w:spacing w:line="360" w:lineRule="auto"/>
        <w:ind w:firstLine="420" w:firstLineChars="200"/>
        <w:rPr>
          <w:rFonts w:ascii="宋体" w:hAnsi="宋体"/>
          <w:szCs w:val="21"/>
        </w:rPr>
      </w:pPr>
      <w:r>
        <w:rPr>
          <w:rFonts w:ascii="宋体" w:hAnsi="宋体"/>
          <w:szCs w:val="21"/>
        </w:rPr>
        <w:t>1.</w:t>
      </w:r>
      <w:r>
        <w:rPr>
          <w:rFonts w:hint="eastAsia" w:ascii="宋体" w:hAnsi="宋体"/>
          <w:szCs w:val="21"/>
        </w:rPr>
        <w:t>通过考评评分对各街道办事处进行综合排名，连续</w:t>
      </w:r>
      <w:r>
        <w:rPr>
          <w:rFonts w:ascii="宋体" w:hAnsi="宋体"/>
          <w:szCs w:val="21"/>
        </w:rPr>
        <w:t>2</w:t>
      </w:r>
      <w:r>
        <w:rPr>
          <w:rFonts w:hint="eastAsia" w:ascii="宋体" w:hAnsi="宋体"/>
          <w:szCs w:val="21"/>
        </w:rPr>
        <w:t>个月评分最后一名的，街道应对保洁作业单位进行告诫</w:t>
      </w:r>
      <w:r>
        <w:rPr>
          <w:rFonts w:ascii="宋体" w:hAnsi="宋体"/>
          <w:szCs w:val="21"/>
        </w:rPr>
        <w:t>;2016</w:t>
      </w:r>
      <w:r>
        <w:rPr>
          <w:rFonts w:hint="eastAsia" w:ascii="宋体" w:hAnsi="宋体"/>
          <w:szCs w:val="21"/>
        </w:rPr>
        <w:t>起实行退出机制，即年度综合排名最后的，街道与保洁作业单位解除合同，且两年内该保洁作业单位不得在我区从事任何形式的环境卫生保洁作业服务。</w:t>
      </w:r>
    </w:p>
    <w:p>
      <w:pPr>
        <w:adjustRightInd w:val="0"/>
        <w:snapToGrid w:val="0"/>
        <w:spacing w:line="360" w:lineRule="auto"/>
        <w:ind w:firstLine="420" w:firstLineChars="200"/>
        <w:rPr>
          <w:rFonts w:ascii="宋体" w:hAnsi="宋体"/>
          <w:szCs w:val="21"/>
        </w:rPr>
      </w:pPr>
      <w:r>
        <w:rPr>
          <w:rFonts w:ascii="宋体" w:hAnsi="宋体"/>
          <w:szCs w:val="21"/>
        </w:rPr>
        <w:t>2.</w:t>
      </w:r>
      <w:r>
        <w:rPr>
          <w:rFonts w:hint="eastAsia" w:ascii="宋体" w:hAnsi="宋体"/>
          <w:szCs w:val="21"/>
        </w:rPr>
        <w:t>各街道办事处考评结果纳入全区城市管理综合考核。</w:t>
      </w:r>
    </w:p>
    <w:p>
      <w:pPr>
        <w:adjustRightInd w:val="0"/>
        <w:snapToGrid w:val="0"/>
        <w:spacing w:line="360" w:lineRule="auto"/>
        <w:ind w:firstLine="422" w:firstLineChars="200"/>
        <w:rPr>
          <w:rFonts w:ascii="宋体" w:hAnsi="宋体"/>
          <w:b/>
          <w:szCs w:val="21"/>
        </w:rPr>
      </w:pPr>
      <w:r>
        <w:rPr>
          <w:rFonts w:hint="eastAsia" w:ascii="宋体" w:hAnsi="宋体"/>
          <w:b/>
          <w:szCs w:val="21"/>
        </w:rPr>
        <w:t>十二、结果公布形式</w:t>
      </w:r>
    </w:p>
    <w:p>
      <w:pPr>
        <w:adjustRightInd w:val="0"/>
        <w:snapToGrid w:val="0"/>
        <w:spacing w:line="360" w:lineRule="auto"/>
        <w:ind w:firstLine="420" w:firstLineChars="200"/>
        <w:rPr>
          <w:rFonts w:ascii="宋体" w:hAnsi="宋体"/>
          <w:szCs w:val="21"/>
        </w:rPr>
      </w:pPr>
      <w:r>
        <w:rPr>
          <w:rFonts w:ascii="宋体" w:hAnsi="宋体"/>
          <w:szCs w:val="21"/>
        </w:rPr>
        <w:t>1.</w:t>
      </w:r>
      <w:r>
        <w:rPr>
          <w:rFonts w:hint="eastAsia" w:ascii="宋体" w:hAnsi="宋体"/>
          <w:szCs w:val="21"/>
        </w:rPr>
        <w:t>市区督办以转办单形式通过政务网发至各街道办事处办公室，限期整改。</w:t>
      </w:r>
    </w:p>
    <w:p>
      <w:pPr>
        <w:adjustRightInd w:val="0"/>
        <w:snapToGrid w:val="0"/>
        <w:spacing w:line="360" w:lineRule="auto"/>
        <w:ind w:firstLine="420" w:firstLineChars="200"/>
        <w:rPr>
          <w:rFonts w:ascii="宋体" w:hAnsi="宋体"/>
          <w:szCs w:val="21"/>
        </w:rPr>
      </w:pPr>
      <w:r>
        <w:rPr>
          <w:rFonts w:ascii="宋体" w:hAnsi="宋体"/>
          <w:szCs w:val="21"/>
        </w:rPr>
        <w:t>2.</w:t>
      </w:r>
      <w:r>
        <w:rPr>
          <w:rFonts w:hint="eastAsia" w:ascii="宋体" w:hAnsi="宋体"/>
          <w:szCs w:val="21"/>
        </w:rPr>
        <w:t>日检查结果于次日</w:t>
      </w:r>
      <w:r>
        <w:rPr>
          <w:rFonts w:ascii="宋体" w:hAnsi="宋体"/>
          <w:szCs w:val="21"/>
        </w:rPr>
        <w:t>9</w:t>
      </w:r>
      <w:r>
        <w:rPr>
          <w:rFonts w:hint="eastAsia" w:ascii="宋体" w:hAnsi="宋体"/>
          <w:szCs w:val="21"/>
        </w:rPr>
        <w:t>时前在区政务网公示，并以转办单形式通过政务网发至各街道办事处办公室，限期整改。</w:t>
      </w:r>
    </w:p>
    <w:p>
      <w:pPr>
        <w:adjustRightInd w:val="0"/>
        <w:snapToGrid w:val="0"/>
        <w:spacing w:line="360" w:lineRule="auto"/>
        <w:ind w:firstLine="420" w:firstLineChars="200"/>
        <w:rPr>
          <w:rFonts w:ascii="宋体" w:hAnsi="宋体"/>
          <w:szCs w:val="21"/>
        </w:rPr>
      </w:pPr>
      <w:r>
        <w:rPr>
          <w:rFonts w:ascii="宋体" w:hAnsi="宋体"/>
          <w:szCs w:val="21"/>
        </w:rPr>
        <w:t>3.</w:t>
      </w:r>
      <w:r>
        <w:rPr>
          <w:rFonts w:hint="eastAsia" w:ascii="宋体" w:hAnsi="宋体"/>
          <w:szCs w:val="21"/>
        </w:rPr>
        <w:t>月通报结果区城市综合管理委员会对日检查结果进行汇总，形成月通报，于次月</w:t>
      </w:r>
      <w:r>
        <w:rPr>
          <w:rFonts w:ascii="宋体" w:hAnsi="宋体"/>
          <w:szCs w:val="21"/>
        </w:rPr>
        <w:t>10</w:t>
      </w:r>
      <w:r>
        <w:rPr>
          <w:rFonts w:hint="eastAsia" w:ascii="宋体" w:hAnsi="宋体"/>
          <w:szCs w:val="21"/>
        </w:rPr>
        <w:t>个工作日内完成，发各街道办事处。</w:t>
      </w:r>
    </w:p>
    <w:p>
      <w:pPr>
        <w:adjustRightInd w:val="0"/>
        <w:snapToGrid w:val="0"/>
        <w:spacing w:line="360" w:lineRule="auto"/>
        <w:ind w:firstLine="420" w:firstLineChars="200"/>
        <w:rPr>
          <w:rFonts w:ascii="宋体" w:hAnsi="宋体"/>
          <w:szCs w:val="21"/>
        </w:rPr>
      </w:pPr>
      <w:r>
        <w:rPr>
          <w:rFonts w:ascii="宋体" w:hAnsi="宋体"/>
          <w:szCs w:val="21"/>
        </w:rPr>
        <w:t>4.</w:t>
      </w:r>
      <w:r>
        <w:rPr>
          <w:rFonts w:hint="eastAsia" w:ascii="宋体" w:hAnsi="宋体"/>
          <w:szCs w:val="21"/>
        </w:rPr>
        <w:t>季评价结果区城市综合管理委员会对月考核结果进行汇总，形成评价后，上报区政府，并在区长办公会上通报。</w:t>
      </w:r>
    </w:p>
    <w:p>
      <w:pPr>
        <w:adjustRightInd w:val="0"/>
        <w:snapToGrid w:val="0"/>
        <w:spacing w:line="360" w:lineRule="auto"/>
        <w:ind w:firstLine="420" w:firstLineChars="200"/>
        <w:rPr>
          <w:rFonts w:ascii="宋体" w:hAnsi="宋体"/>
          <w:szCs w:val="21"/>
        </w:rPr>
      </w:pPr>
      <w:r>
        <w:rPr>
          <w:rFonts w:ascii="宋体" w:hAnsi="宋体"/>
          <w:szCs w:val="21"/>
        </w:rPr>
        <w:t>5.</w:t>
      </w:r>
      <w:r>
        <w:rPr>
          <w:rFonts w:hint="eastAsia" w:ascii="宋体" w:hAnsi="宋体"/>
          <w:szCs w:val="21"/>
        </w:rPr>
        <w:t>年汇总结果对年度综合评分前三名的街道办事处给予奖励。考核结果奖励与当年精细管理美化市容资金挂钩。第一名奖励</w:t>
      </w:r>
      <w:r>
        <w:rPr>
          <w:rFonts w:ascii="宋体" w:hAnsi="宋体"/>
          <w:szCs w:val="21"/>
        </w:rPr>
        <w:t>50</w:t>
      </w:r>
      <w:r>
        <w:rPr>
          <w:rFonts w:hint="eastAsia" w:ascii="宋体" w:hAnsi="宋体"/>
          <w:szCs w:val="21"/>
        </w:rPr>
        <w:t>万元，第二名奖励</w:t>
      </w:r>
      <w:r>
        <w:rPr>
          <w:rFonts w:ascii="宋体" w:hAnsi="宋体"/>
          <w:szCs w:val="21"/>
        </w:rPr>
        <w:t>30</w:t>
      </w:r>
      <w:r>
        <w:rPr>
          <w:rFonts w:hint="eastAsia" w:ascii="宋体" w:hAnsi="宋体"/>
          <w:szCs w:val="21"/>
        </w:rPr>
        <w:t>万元，第三名奖励</w:t>
      </w:r>
      <w:r>
        <w:rPr>
          <w:rFonts w:ascii="宋体" w:hAnsi="宋体"/>
          <w:szCs w:val="21"/>
        </w:rPr>
        <w:t>10</w:t>
      </w:r>
      <w:r>
        <w:rPr>
          <w:rFonts w:hint="eastAsia" w:ascii="宋体" w:hAnsi="宋体"/>
          <w:szCs w:val="21"/>
        </w:rPr>
        <w:t>万元。奖励资金主要用于各街道办事处次年的环境建设和环境整治等相关工作。</w:t>
      </w:r>
    </w:p>
    <w:p>
      <w:pPr>
        <w:adjustRightInd w:val="0"/>
        <w:snapToGrid w:val="0"/>
        <w:spacing w:line="360" w:lineRule="auto"/>
        <w:ind w:firstLine="420" w:firstLineChars="200"/>
        <w:rPr>
          <w:rFonts w:ascii="宋体" w:hAnsi="宋体"/>
          <w:szCs w:val="21"/>
        </w:rPr>
      </w:pPr>
      <w:r>
        <w:rPr>
          <w:rFonts w:ascii="宋体" w:hAnsi="宋体"/>
          <w:szCs w:val="21"/>
        </w:rPr>
        <w:t>6.</w:t>
      </w:r>
      <w:r>
        <w:rPr>
          <w:rFonts w:hint="eastAsia" w:ascii="宋体" w:hAnsi="宋体"/>
          <w:szCs w:val="21"/>
        </w:rPr>
        <w:t>争议与复核</w:t>
      </w:r>
    </w:p>
    <w:p>
      <w:pPr>
        <w:adjustRightInd w:val="0"/>
        <w:snapToGrid w:val="0"/>
        <w:spacing w:line="360" w:lineRule="auto"/>
        <w:ind w:firstLine="420" w:firstLineChars="200"/>
        <w:rPr>
          <w:rFonts w:ascii="宋体" w:hAnsi="宋体"/>
          <w:szCs w:val="21"/>
        </w:rPr>
      </w:pPr>
      <w:r>
        <w:rPr>
          <w:rFonts w:hint="eastAsia" w:ascii="宋体" w:hAnsi="宋体"/>
          <w:szCs w:val="21"/>
        </w:rPr>
        <w:t>各街道办事处对日检查、月通报结果存有异议</w:t>
      </w:r>
      <w:r>
        <w:rPr>
          <w:rFonts w:ascii="宋体" w:hAnsi="宋体"/>
          <w:szCs w:val="21"/>
        </w:rPr>
        <w:t>,</w:t>
      </w:r>
      <w:r>
        <w:rPr>
          <w:rFonts w:hint="eastAsia" w:ascii="宋体" w:hAnsi="宋体"/>
          <w:szCs w:val="21"/>
        </w:rPr>
        <w:t>可以在公布之后的第</w:t>
      </w:r>
      <w:r>
        <w:rPr>
          <w:rFonts w:ascii="宋体" w:hAnsi="宋体"/>
          <w:szCs w:val="21"/>
        </w:rPr>
        <w:t>2</w:t>
      </w:r>
      <w:r>
        <w:rPr>
          <w:rFonts w:hint="eastAsia" w:ascii="宋体" w:hAnsi="宋体"/>
          <w:szCs w:val="21"/>
        </w:rPr>
        <w:t>个工作日内提出复核申请。</w:t>
      </w:r>
    </w:p>
    <w:p>
      <w:pPr>
        <w:adjustRightInd w:val="0"/>
        <w:snapToGrid w:val="0"/>
        <w:spacing w:line="360" w:lineRule="auto"/>
        <w:ind w:firstLine="420" w:firstLineChars="200"/>
        <w:rPr>
          <w:rFonts w:ascii="宋体" w:hAnsi="宋体"/>
          <w:szCs w:val="21"/>
        </w:rPr>
      </w:pPr>
      <w:r>
        <w:rPr>
          <w:rFonts w:ascii="宋体" w:hAnsi="宋体"/>
          <w:szCs w:val="21"/>
        </w:rPr>
        <w:t>7.</w:t>
      </w:r>
      <w:r>
        <w:rPr>
          <w:rFonts w:hint="eastAsia" w:ascii="宋体" w:hAnsi="宋体"/>
          <w:szCs w:val="21"/>
        </w:rPr>
        <w:t>存档</w:t>
      </w:r>
    </w:p>
    <w:p>
      <w:pPr>
        <w:adjustRightInd w:val="0"/>
        <w:snapToGrid w:val="0"/>
        <w:spacing w:line="360" w:lineRule="auto"/>
        <w:ind w:firstLine="420" w:firstLineChars="200"/>
        <w:rPr>
          <w:rFonts w:ascii="宋体" w:hAnsi="宋体"/>
          <w:szCs w:val="21"/>
        </w:rPr>
      </w:pPr>
      <w:r>
        <w:rPr>
          <w:rFonts w:hint="eastAsia" w:ascii="宋体" w:hAnsi="宋体"/>
          <w:szCs w:val="21"/>
        </w:rPr>
        <w:t>每个项目全年的检查考评记录整理后存档保存，保存期为二年，电子记录保存期为五年。</w:t>
      </w:r>
    </w:p>
    <w:p>
      <w:pPr>
        <w:adjustRightInd w:val="0"/>
        <w:snapToGrid w:val="0"/>
        <w:spacing w:line="360" w:lineRule="auto"/>
        <w:ind w:firstLine="422" w:firstLineChars="200"/>
        <w:rPr>
          <w:rFonts w:ascii="宋体" w:hAnsi="宋体"/>
          <w:b/>
          <w:szCs w:val="21"/>
        </w:rPr>
        <w:sectPr>
          <w:pgSz w:w="11906" w:h="16838"/>
          <w:pgMar w:top="1440" w:right="1701" w:bottom="1361" w:left="1797" w:header="851" w:footer="992" w:gutter="0"/>
          <w:cols w:space="425" w:num="1"/>
          <w:docGrid w:linePitch="312" w:charSpace="0"/>
        </w:sectPr>
      </w:pPr>
      <w:r>
        <w:rPr>
          <w:rFonts w:hint="eastAsia" w:ascii="宋体" w:hAnsi="宋体"/>
          <w:b/>
          <w:szCs w:val="21"/>
        </w:rPr>
        <w:t>十三、本办法由区城市综合管理委员会负责解释。</w:t>
      </w:r>
    </w:p>
    <w:tbl>
      <w:tblPr>
        <w:tblStyle w:val="46"/>
        <w:tblW w:w="9560" w:type="dxa"/>
        <w:jc w:val="center"/>
        <w:tblLayout w:type="fixed"/>
        <w:tblCellMar>
          <w:top w:w="0" w:type="dxa"/>
          <w:left w:w="108" w:type="dxa"/>
          <w:bottom w:w="0" w:type="dxa"/>
          <w:right w:w="108" w:type="dxa"/>
        </w:tblCellMar>
      </w:tblPr>
      <w:tblGrid>
        <w:gridCol w:w="680"/>
        <w:gridCol w:w="1280"/>
        <w:gridCol w:w="1520"/>
        <w:gridCol w:w="6080"/>
      </w:tblGrid>
      <w:tr>
        <w:tblPrEx>
          <w:tblCellMar>
            <w:top w:w="0" w:type="dxa"/>
            <w:left w:w="108" w:type="dxa"/>
            <w:bottom w:w="0" w:type="dxa"/>
            <w:right w:w="108" w:type="dxa"/>
          </w:tblCellMar>
        </w:tblPrEx>
        <w:trPr>
          <w:trHeight w:val="570" w:hRule="atLeast"/>
          <w:jc w:val="center"/>
        </w:trPr>
        <w:tc>
          <w:tcPr>
            <w:tcW w:w="9560" w:type="dxa"/>
            <w:gridSpan w:val="4"/>
            <w:tcBorders>
              <w:top w:val="nil"/>
              <w:left w:val="nil"/>
              <w:bottom w:val="nil"/>
              <w:right w:val="nil"/>
            </w:tcBorders>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石景山区市区督办检查评分标准</w:t>
            </w:r>
          </w:p>
        </w:tc>
      </w:tr>
      <w:tr>
        <w:tblPrEx>
          <w:tblCellMar>
            <w:top w:w="0" w:type="dxa"/>
            <w:left w:w="108" w:type="dxa"/>
            <w:bottom w:w="0" w:type="dxa"/>
            <w:right w:w="108" w:type="dxa"/>
          </w:tblCellMar>
        </w:tblPrEx>
        <w:trPr>
          <w:trHeight w:val="435" w:hRule="atLeast"/>
          <w:jc w:val="center"/>
        </w:trPr>
        <w:tc>
          <w:tcPr>
            <w:tcW w:w="68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128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考评指标</w:t>
            </w:r>
          </w:p>
        </w:tc>
        <w:tc>
          <w:tcPr>
            <w:tcW w:w="152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考评内容</w:t>
            </w:r>
          </w:p>
        </w:tc>
        <w:tc>
          <w:tcPr>
            <w:tcW w:w="608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评分标准</w:t>
            </w:r>
          </w:p>
        </w:tc>
      </w:tr>
      <w:tr>
        <w:tblPrEx>
          <w:tblCellMar>
            <w:top w:w="0" w:type="dxa"/>
            <w:left w:w="108" w:type="dxa"/>
            <w:bottom w:w="0" w:type="dxa"/>
            <w:right w:w="108" w:type="dxa"/>
          </w:tblCellMar>
        </w:tblPrEx>
        <w:trPr>
          <w:trHeight w:val="465" w:hRule="atLeast"/>
          <w:jc w:val="center"/>
        </w:trPr>
        <w:tc>
          <w:tcPr>
            <w:tcW w:w="6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ascii="宋体" w:hAnsi="宋体" w:cs="宋体"/>
                <w:kern w:val="0"/>
                <w:szCs w:val="21"/>
              </w:rPr>
              <w:t>1</w:t>
            </w:r>
          </w:p>
        </w:tc>
        <w:tc>
          <w:tcPr>
            <w:tcW w:w="12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市级检查</w:t>
            </w:r>
            <w:r>
              <w:rPr>
                <w:rFonts w:ascii="宋体" w:hAnsi="宋体" w:cs="宋体"/>
                <w:kern w:val="0"/>
                <w:szCs w:val="21"/>
              </w:rPr>
              <w:br w:type="textWrapping"/>
            </w:r>
            <w:r>
              <w:rPr>
                <w:rFonts w:hint="eastAsia" w:ascii="宋体" w:hAnsi="宋体" w:cs="宋体"/>
                <w:kern w:val="0"/>
                <w:szCs w:val="21"/>
              </w:rPr>
              <w:t>（</w:t>
            </w:r>
            <w:r>
              <w:rPr>
                <w:rFonts w:ascii="宋体" w:hAnsi="宋体" w:cs="宋体"/>
                <w:kern w:val="0"/>
                <w:szCs w:val="21"/>
              </w:rPr>
              <w:t>30分）</w:t>
            </w:r>
          </w:p>
        </w:tc>
        <w:tc>
          <w:tcPr>
            <w:tcW w:w="152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背街小巷</w:t>
            </w:r>
          </w:p>
        </w:tc>
        <w:tc>
          <w:tcPr>
            <w:tcW w:w="60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北京市垃圾渣土管理处对各街道办事处市容环境卫生问题公示，一次扣</w:t>
            </w:r>
            <w:r>
              <w:rPr>
                <w:rFonts w:ascii="宋体" w:hAnsi="宋体" w:cs="宋体"/>
                <w:kern w:val="0"/>
                <w:szCs w:val="21"/>
              </w:rPr>
              <w:t>1分，扣完为止。</w:t>
            </w:r>
          </w:p>
        </w:tc>
      </w:tr>
      <w:tr>
        <w:tblPrEx>
          <w:tblCellMar>
            <w:top w:w="0" w:type="dxa"/>
            <w:left w:w="108" w:type="dxa"/>
            <w:bottom w:w="0" w:type="dxa"/>
            <w:right w:w="108" w:type="dxa"/>
          </w:tblCellMar>
        </w:tblPrEx>
        <w:trPr>
          <w:trHeight w:val="630" w:hRule="atLeast"/>
          <w:jc w:val="center"/>
        </w:trPr>
        <w:tc>
          <w:tcPr>
            <w:tcW w:w="6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12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152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门前三包及其他责任区</w:t>
            </w:r>
          </w:p>
        </w:tc>
        <w:tc>
          <w:tcPr>
            <w:tcW w:w="6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630" w:hRule="atLeast"/>
          <w:jc w:val="center"/>
        </w:trPr>
        <w:tc>
          <w:tcPr>
            <w:tcW w:w="6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12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152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建筑垃圾</w:t>
            </w:r>
            <w:r>
              <w:rPr>
                <w:rFonts w:ascii="宋体" w:hAnsi="宋体" w:cs="宋体"/>
                <w:kern w:val="0"/>
                <w:szCs w:val="21"/>
              </w:rPr>
              <w:br w:type="textWrapping"/>
            </w:r>
            <w:r>
              <w:rPr>
                <w:rFonts w:hint="eastAsia" w:ascii="宋体" w:hAnsi="宋体" w:cs="宋体"/>
                <w:kern w:val="0"/>
                <w:szCs w:val="21"/>
              </w:rPr>
              <w:t>综合管理</w:t>
            </w:r>
          </w:p>
        </w:tc>
        <w:tc>
          <w:tcPr>
            <w:tcW w:w="6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465" w:hRule="atLeast"/>
          <w:jc w:val="center"/>
        </w:trPr>
        <w:tc>
          <w:tcPr>
            <w:tcW w:w="6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ascii="宋体" w:hAnsi="宋体" w:cs="宋体"/>
                <w:kern w:val="0"/>
                <w:szCs w:val="21"/>
              </w:rPr>
              <w:t>2</w:t>
            </w:r>
          </w:p>
        </w:tc>
        <w:tc>
          <w:tcPr>
            <w:tcW w:w="12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市区领导批示</w:t>
            </w:r>
            <w:r>
              <w:rPr>
                <w:rFonts w:ascii="宋体" w:hAnsi="宋体" w:cs="宋体"/>
                <w:kern w:val="0"/>
                <w:szCs w:val="21"/>
              </w:rPr>
              <w:br w:type="textWrapping"/>
            </w:r>
            <w:r>
              <w:rPr>
                <w:rFonts w:hint="eastAsia" w:ascii="宋体" w:hAnsi="宋体" w:cs="宋体"/>
                <w:kern w:val="0"/>
                <w:szCs w:val="21"/>
              </w:rPr>
              <w:t>（</w:t>
            </w:r>
            <w:r>
              <w:rPr>
                <w:rFonts w:ascii="宋体" w:hAnsi="宋体" w:cs="宋体"/>
                <w:kern w:val="0"/>
                <w:szCs w:val="21"/>
              </w:rPr>
              <w:t>20分）</w:t>
            </w:r>
          </w:p>
        </w:tc>
        <w:tc>
          <w:tcPr>
            <w:tcW w:w="152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背街小巷</w:t>
            </w:r>
          </w:p>
        </w:tc>
        <w:tc>
          <w:tcPr>
            <w:tcW w:w="60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市区领导对各街道办事处管理范围环境卫生存在问题的批示，一次扣</w:t>
            </w:r>
            <w:r>
              <w:rPr>
                <w:rFonts w:ascii="宋体" w:hAnsi="宋体" w:cs="宋体"/>
                <w:kern w:val="0"/>
                <w:szCs w:val="21"/>
              </w:rPr>
              <w:t>2分扣完为止。</w:t>
            </w:r>
          </w:p>
        </w:tc>
      </w:tr>
      <w:tr>
        <w:tblPrEx>
          <w:tblCellMar>
            <w:top w:w="0" w:type="dxa"/>
            <w:left w:w="108" w:type="dxa"/>
            <w:bottom w:w="0" w:type="dxa"/>
            <w:right w:w="108" w:type="dxa"/>
          </w:tblCellMar>
        </w:tblPrEx>
        <w:trPr>
          <w:trHeight w:val="630" w:hRule="atLeast"/>
          <w:jc w:val="center"/>
        </w:trPr>
        <w:tc>
          <w:tcPr>
            <w:tcW w:w="6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12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152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门前三包及其他责任区</w:t>
            </w:r>
          </w:p>
        </w:tc>
        <w:tc>
          <w:tcPr>
            <w:tcW w:w="6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630" w:hRule="atLeast"/>
          <w:jc w:val="center"/>
        </w:trPr>
        <w:tc>
          <w:tcPr>
            <w:tcW w:w="6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12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152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建筑垃圾</w:t>
            </w:r>
            <w:r>
              <w:rPr>
                <w:rFonts w:ascii="宋体" w:hAnsi="宋体" w:cs="宋体"/>
                <w:kern w:val="0"/>
                <w:szCs w:val="21"/>
              </w:rPr>
              <w:br w:type="textWrapping"/>
            </w:r>
            <w:r>
              <w:rPr>
                <w:rFonts w:hint="eastAsia" w:ascii="宋体" w:hAnsi="宋体" w:cs="宋体"/>
                <w:kern w:val="0"/>
                <w:szCs w:val="21"/>
              </w:rPr>
              <w:t>综合管理</w:t>
            </w:r>
          </w:p>
        </w:tc>
        <w:tc>
          <w:tcPr>
            <w:tcW w:w="6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465" w:hRule="atLeast"/>
          <w:jc w:val="center"/>
        </w:trPr>
        <w:tc>
          <w:tcPr>
            <w:tcW w:w="6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ascii="宋体" w:hAnsi="宋体" w:cs="宋体"/>
                <w:kern w:val="0"/>
                <w:szCs w:val="21"/>
              </w:rPr>
              <w:t>3</w:t>
            </w:r>
          </w:p>
        </w:tc>
        <w:tc>
          <w:tcPr>
            <w:tcW w:w="12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媒体曝光</w:t>
            </w:r>
            <w:r>
              <w:rPr>
                <w:rFonts w:ascii="宋体" w:hAnsi="宋体" w:cs="宋体"/>
                <w:kern w:val="0"/>
                <w:szCs w:val="21"/>
              </w:rPr>
              <w:br w:type="textWrapping"/>
            </w:r>
            <w:r>
              <w:rPr>
                <w:rFonts w:hint="eastAsia" w:ascii="宋体" w:hAnsi="宋体" w:cs="宋体"/>
                <w:kern w:val="0"/>
                <w:szCs w:val="21"/>
              </w:rPr>
              <w:t>（</w:t>
            </w:r>
            <w:r>
              <w:rPr>
                <w:rFonts w:ascii="宋体" w:hAnsi="宋体" w:cs="宋体"/>
                <w:kern w:val="0"/>
                <w:szCs w:val="21"/>
              </w:rPr>
              <w:t>20分）</w:t>
            </w:r>
          </w:p>
        </w:tc>
        <w:tc>
          <w:tcPr>
            <w:tcW w:w="152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背街小巷</w:t>
            </w:r>
          </w:p>
        </w:tc>
        <w:tc>
          <w:tcPr>
            <w:tcW w:w="60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被市区主要媒体、城市管理热线等曝光，一次扣</w:t>
            </w:r>
            <w:r>
              <w:rPr>
                <w:rFonts w:ascii="宋体" w:hAnsi="宋体" w:cs="宋体"/>
                <w:kern w:val="0"/>
                <w:szCs w:val="21"/>
              </w:rPr>
              <w:t>1分，扣完为止。</w:t>
            </w:r>
          </w:p>
        </w:tc>
      </w:tr>
      <w:tr>
        <w:tblPrEx>
          <w:tblCellMar>
            <w:top w:w="0" w:type="dxa"/>
            <w:left w:w="108" w:type="dxa"/>
            <w:bottom w:w="0" w:type="dxa"/>
            <w:right w:w="108" w:type="dxa"/>
          </w:tblCellMar>
        </w:tblPrEx>
        <w:trPr>
          <w:trHeight w:val="630" w:hRule="atLeast"/>
          <w:jc w:val="center"/>
        </w:trPr>
        <w:tc>
          <w:tcPr>
            <w:tcW w:w="6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12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152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门前三包及其他责任区</w:t>
            </w:r>
          </w:p>
        </w:tc>
        <w:tc>
          <w:tcPr>
            <w:tcW w:w="6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630" w:hRule="atLeast"/>
          <w:jc w:val="center"/>
        </w:trPr>
        <w:tc>
          <w:tcPr>
            <w:tcW w:w="6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12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152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建筑垃圾</w:t>
            </w:r>
            <w:r>
              <w:rPr>
                <w:rFonts w:ascii="宋体" w:hAnsi="宋体" w:cs="宋体"/>
                <w:kern w:val="0"/>
                <w:szCs w:val="21"/>
              </w:rPr>
              <w:br w:type="textWrapping"/>
            </w:r>
            <w:r>
              <w:rPr>
                <w:rFonts w:hint="eastAsia" w:ascii="宋体" w:hAnsi="宋体" w:cs="宋体"/>
                <w:kern w:val="0"/>
                <w:szCs w:val="21"/>
              </w:rPr>
              <w:t>综合管理</w:t>
            </w:r>
          </w:p>
        </w:tc>
        <w:tc>
          <w:tcPr>
            <w:tcW w:w="6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465" w:hRule="atLeast"/>
          <w:jc w:val="center"/>
        </w:trPr>
        <w:tc>
          <w:tcPr>
            <w:tcW w:w="6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ascii="宋体" w:hAnsi="宋体" w:cs="宋体"/>
                <w:kern w:val="0"/>
                <w:szCs w:val="21"/>
              </w:rPr>
              <w:t>4</w:t>
            </w:r>
          </w:p>
        </w:tc>
        <w:tc>
          <w:tcPr>
            <w:tcW w:w="12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群众信访</w:t>
            </w:r>
            <w:r>
              <w:rPr>
                <w:rFonts w:ascii="宋体" w:hAnsi="宋体" w:cs="宋体"/>
                <w:kern w:val="0"/>
                <w:szCs w:val="21"/>
              </w:rPr>
              <w:br w:type="textWrapping"/>
            </w:r>
            <w:r>
              <w:rPr>
                <w:rFonts w:hint="eastAsia" w:ascii="宋体" w:hAnsi="宋体" w:cs="宋体"/>
                <w:kern w:val="0"/>
                <w:szCs w:val="21"/>
              </w:rPr>
              <w:t>（</w:t>
            </w:r>
            <w:r>
              <w:rPr>
                <w:rFonts w:ascii="宋体" w:hAnsi="宋体" w:cs="宋体"/>
                <w:kern w:val="0"/>
                <w:szCs w:val="21"/>
              </w:rPr>
              <w:t>30分）</w:t>
            </w:r>
          </w:p>
        </w:tc>
        <w:tc>
          <w:tcPr>
            <w:tcW w:w="152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背街小巷</w:t>
            </w:r>
          </w:p>
        </w:tc>
        <w:tc>
          <w:tcPr>
            <w:tcW w:w="60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群众来信、来电、微博等反映的环境卫生问题、建筑垃圾综合管理问题，一次</w:t>
            </w:r>
            <w:r>
              <w:rPr>
                <w:rFonts w:ascii="宋体" w:hAnsi="宋体" w:cs="宋体"/>
                <w:kern w:val="0"/>
                <w:szCs w:val="21"/>
              </w:rPr>
              <w:t>1分，扣完为止。</w:t>
            </w:r>
          </w:p>
        </w:tc>
      </w:tr>
      <w:tr>
        <w:tblPrEx>
          <w:tblCellMar>
            <w:top w:w="0" w:type="dxa"/>
            <w:left w:w="108" w:type="dxa"/>
            <w:bottom w:w="0" w:type="dxa"/>
            <w:right w:w="108" w:type="dxa"/>
          </w:tblCellMar>
        </w:tblPrEx>
        <w:trPr>
          <w:trHeight w:val="630" w:hRule="atLeast"/>
          <w:jc w:val="center"/>
        </w:trPr>
        <w:tc>
          <w:tcPr>
            <w:tcW w:w="6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12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152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门前三包及其他责任区</w:t>
            </w:r>
          </w:p>
        </w:tc>
        <w:tc>
          <w:tcPr>
            <w:tcW w:w="6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630" w:hRule="atLeast"/>
          <w:jc w:val="center"/>
        </w:trPr>
        <w:tc>
          <w:tcPr>
            <w:tcW w:w="6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12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152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建筑垃圾</w:t>
            </w:r>
            <w:r>
              <w:rPr>
                <w:rFonts w:ascii="宋体" w:hAnsi="宋体" w:cs="宋体"/>
                <w:kern w:val="0"/>
                <w:szCs w:val="21"/>
              </w:rPr>
              <w:br w:type="textWrapping"/>
            </w:r>
            <w:r>
              <w:rPr>
                <w:rFonts w:hint="eastAsia" w:ascii="宋体" w:hAnsi="宋体" w:cs="宋体"/>
                <w:kern w:val="0"/>
                <w:szCs w:val="21"/>
              </w:rPr>
              <w:t>综合管理</w:t>
            </w:r>
          </w:p>
        </w:tc>
        <w:tc>
          <w:tcPr>
            <w:tcW w:w="6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405" w:hRule="atLeast"/>
          <w:jc w:val="center"/>
        </w:trPr>
        <w:tc>
          <w:tcPr>
            <w:tcW w:w="68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备注</w:t>
            </w:r>
          </w:p>
        </w:tc>
        <w:tc>
          <w:tcPr>
            <w:tcW w:w="8880" w:type="dxa"/>
            <w:gridSpan w:val="3"/>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ascii="宋体" w:hAnsi="宋体" w:cs="宋体"/>
                <w:kern w:val="0"/>
                <w:szCs w:val="21"/>
              </w:rPr>
              <w:t xml:space="preserve">1.满分100分；同一时间、同一问题不重复扣分 </w:t>
            </w:r>
            <w:r>
              <w:rPr>
                <w:rFonts w:hint="eastAsia" w:ascii="宋体" w:hAnsi="宋体" w:cs="宋体"/>
                <w:kern w:val="0"/>
                <w:szCs w:val="21"/>
              </w:rPr>
              <w:t>。</w:t>
            </w:r>
          </w:p>
        </w:tc>
      </w:tr>
      <w:tr>
        <w:tblPrEx>
          <w:tblCellMar>
            <w:top w:w="0" w:type="dxa"/>
            <w:left w:w="108" w:type="dxa"/>
            <w:bottom w:w="0" w:type="dxa"/>
            <w:right w:w="108" w:type="dxa"/>
          </w:tblCellMar>
        </w:tblPrEx>
        <w:trPr>
          <w:trHeight w:val="405" w:hRule="atLeast"/>
          <w:jc w:val="center"/>
        </w:trPr>
        <w:tc>
          <w:tcPr>
            <w:tcW w:w="6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8880" w:type="dxa"/>
            <w:gridSpan w:val="3"/>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ascii="宋体" w:hAnsi="宋体" w:cs="宋体"/>
                <w:kern w:val="0"/>
                <w:szCs w:val="21"/>
              </w:rPr>
              <w:t>2.暴露垃圾纳入背街小巷项目内考核。</w:t>
            </w:r>
          </w:p>
        </w:tc>
      </w:tr>
      <w:tr>
        <w:tblPrEx>
          <w:tblCellMar>
            <w:top w:w="0" w:type="dxa"/>
            <w:left w:w="108" w:type="dxa"/>
            <w:bottom w:w="0" w:type="dxa"/>
            <w:right w:w="108" w:type="dxa"/>
          </w:tblCellMar>
        </w:tblPrEx>
        <w:trPr>
          <w:trHeight w:val="405" w:hRule="atLeast"/>
          <w:jc w:val="center"/>
        </w:trPr>
        <w:tc>
          <w:tcPr>
            <w:tcW w:w="6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8880" w:type="dxa"/>
            <w:gridSpan w:val="3"/>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ascii="宋体" w:hAnsi="宋体" w:cs="宋体"/>
                <w:kern w:val="0"/>
                <w:szCs w:val="21"/>
              </w:rPr>
              <w:t>3.乱倒垃圾渣土纳入建筑垃圾综合管理项目考核。</w:t>
            </w:r>
          </w:p>
        </w:tc>
      </w:tr>
    </w:tbl>
    <w:p>
      <w:pPr>
        <w:spacing w:line="360" w:lineRule="auto"/>
        <w:ind w:firstLine="420" w:firstLineChars="200"/>
        <w:jc w:val="left"/>
        <w:rPr>
          <w:szCs w:val="21"/>
        </w:rPr>
        <w:sectPr>
          <w:pgSz w:w="11906" w:h="16838"/>
          <w:pgMar w:top="1440" w:right="1701" w:bottom="1361" w:left="1797" w:header="851" w:footer="992" w:gutter="0"/>
          <w:cols w:space="425" w:num="1"/>
          <w:docGrid w:linePitch="312" w:charSpace="0"/>
        </w:sectPr>
      </w:pPr>
    </w:p>
    <w:tbl>
      <w:tblPr>
        <w:tblStyle w:val="46"/>
        <w:tblW w:w="9885" w:type="dxa"/>
        <w:jc w:val="center"/>
        <w:tblLayout w:type="fixed"/>
        <w:tblCellMar>
          <w:top w:w="0" w:type="dxa"/>
          <w:left w:w="108" w:type="dxa"/>
          <w:bottom w:w="0" w:type="dxa"/>
          <w:right w:w="108" w:type="dxa"/>
        </w:tblCellMar>
      </w:tblPr>
      <w:tblGrid>
        <w:gridCol w:w="952"/>
        <w:gridCol w:w="951"/>
        <w:gridCol w:w="427"/>
        <w:gridCol w:w="797"/>
        <w:gridCol w:w="2112"/>
        <w:gridCol w:w="836"/>
        <w:gridCol w:w="3810"/>
      </w:tblGrid>
      <w:tr>
        <w:tblPrEx>
          <w:tblCellMar>
            <w:top w:w="0" w:type="dxa"/>
            <w:left w:w="108" w:type="dxa"/>
            <w:bottom w:w="0" w:type="dxa"/>
            <w:right w:w="108" w:type="dxa"/>
          </w:tblCellMar>
        </w:tblPrEx>
        <w:trPr>
          <w:trHeight w:val="630" w:hRule="atLeast"/>
          <w:jc w:val="center"/>
        </w:trPr>
        <w:tc>
          <w:tcPr>
            <w:tcW w:w="9885" w:type="dxa"/>
            <w:gridSpan w:val="7"/>
            <w:tcBorders>
              <w:top w:val="nil"/>
              <w:left w:val="nil"/>
              <w:bottom w:val="nil"/>
              <w:right w:val="nil"/>
            </w:tcBorders>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石景山区背街小巷检查考核评分标准</w:t>
            </w:r>
          </w:p>
        </w:tc>
      </w:tr>
      <w:tr>
        <w:tblPrEx>
          <w:tblCellMar>
            <w:top w:w="0" w:type="dxa"/>
            <w:left w:w="108" w:type="dxa"/>
            <w:bottom w:w="0" w:type="dxa"/>
            <w:right w:w="108" w:type="dxa"/>
          </w:tblCellMar>
        </w:tblPrEx>
        <w:trPr>
          <w:trHeight w:val="486" w:hRule="atLeast"/>
          <w:jc w:val="center"/>
        </w:trPr>
        <w:tc>
          <w:tcPr>
            <w:tcW w:w="952"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一级</w:t>
            </w:r>
          </w:p>
        </w:tc>
        <w:tc>
          <w:tcPr>
            <w:tcW w:w="951"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二级</w:t>
            </w:r>
          </w:p>
        </w:tc>
        <w:tc>
          <w:tcPr>
            <w:tcW w:w="427"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2909"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三级</w:t>
            </w:r>
          </w:p>
        </w:tc>
        <w:tc>
          <w:tcPr>
            <w:tcW w:w="83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检查</w:t>
            </w:r>
            <w:r>
              <w:rPr>
                <w:rFonts w:hint="eastAsia" w:ascii="宋体" w:hAnsi="宋体" w:cs="宋体"/>
                <w:b/>
                <w:bCs/>
                <w:kern w:val="0"/>
                <w:szCs w:val="21"/>
              </w:rPr>
              <w:br w:type="textWrapping"/>
            </w:r>
            <w:r>
              <w:rPr>
                <w:rFonts w:hint="eastAsia" w:ascii="宋体" w:hAnsi="宋体" w:cs="宋体"/>
                <w:b/>
                <w:bCs/>
                <w:kern w:val="0"/>
                <w:szCs w:val="21"/>
              </w:rPr>
              <w:t>周期</w:t>
            </w:r>
          </w:p>
        </w:tc>
        <w:tc>
          <w:tcPr>
            <w:tcW w:w="381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条文说明</w:t>
            </w:r>
          </w:p>
        </w:tc>
      </w:tr>
      <w:tr>
        <w:tblPrEx>
          <w:tblCellMar>
            <w:top w:w="0" w:type="dxa"/>
            <w:left w:w="108" w:type="dxa"/>
            <w:bottom w:w="0" w:type="dxa"/>
            <w:right w:w="108" w:type="dxa"/>
          </w:tblCellMar>
        </w:tblPrEx>
        <w:trPr>
          <w:trHeight w:val="405" w:hRule="atLeast"/>
          <w:jc w:val="center"/>
        </w:trPr>
        <w:tc>
          <w:tcPr>
            <w:tcW w:w="952"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管理与</w:t>
            </w:r>
            <w:r>
              <w:rPr>
                <w:rFonts w:hint="eastAsia" w:ascii="宋体" w:hAnsi="宋体" w:cs="宋体"/>
                <w:kern w:val="0"/>
                <w:szCs w:val="21"/>
              </w:rPr>
              <w:br w:type="textWrapping"/>
            </w:r>
            <w:r>
              <w:rPr>
                <w:rFonts w:hint="eastAsia" w:ascii="宋体" w:hAnsi="宋体" w:cs="宋体"/>
                <w:kern w:val="0"/>
                <w:szCs w:val="21"/>
              </w:rPr>
              <w:t>服务（0.3）</w:t>
            </w:r>
          </w:p>
        </w:tc>
        <w:tc>
          <w:tcPr>
            <w:tcW w:w="951"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作业</w:t>
            </w:r>
            <w:r>
              <w:rPr>
                <w:rFonts w:hint="eastAsia" w:ascii="宋体" w:hAnsi="宋体" w:cs="宋体"/>
                <w:kern w:val="0"/>
                <w:szCs w:val="21"/>
              </w:rPr>
              <w:br w:type="textWrapping"/>
            </w:r>
            <w:r>
              <w:rPr>
                <w:rFonts w:hint="eastAsia" w:ascii="宋体" w:hAnsi="宋体" w:cs="宋体"/>
                <w:kern w:val="0"/>
                <w:szCs w:val="21"/>
              </w:rPr>
              <w:t>管理（0.3）</w:t>
            </w:r>
          </w:p>
        </w:tc>
        <w:tc>
          <w:tcPr>
            <w:tcW w:w="42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2909"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作业范围明确,各类台账精细、清晰、准确</w:t>
            </w:r>
          </w:p>
        </w:tc>
        <w:tc>
          <w:tcPr>
            <w:tcW w:w="8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责任区明确，建立健全各类基础管理和作业台账，包括背街小巷、公共厕所、果皮箱和垃圾收集站点等。每发现一处次不符合扣2.0分。</w:t>
            </w:r>
          </w:p>
        </w:tc>
      </w:tr>
      <w:tr>
        <w:tblPrEx>
          <w:tblCellMar>
            <w:top w:w="0" w:type="dxa"/>
            <w:left w:w="108" w:type="dxa"/>
            <w:bottom w:w="0" w:type="dxa"/>
            <w:right w:w="108" w:type="dxa"/>
          </w:tblCellMar>
        </w:tblPrEx>
        <w:trPr>
          <w:trHeight w:val="405"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2909"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3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381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690"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建立其它各类垃圾管理和作业体系</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建立大件垃圾、装修垃圾等其它垃圾的管理和作业台账，做到定时定点收集。每发现一处次不符合扣1.0分。</w:t>
            </w:r>
          </w:p>
        </w:tc>
      </w:tr>
      <w:tr>
        <w:tblPrEx>
          <w:tblCellMar>
            <w:top w:w="0" w:type="dxa"/>
            <w:left w:w="108" w:type="dxa"/>
            <w:bottom w:w="0" w:type="dxa"/>
            <w:right w:w="108" w:type="dxa"/>
          </w:tblCellMar>
        </w:tblPrEx>
        <w:trPr>
          <w:trHeight w:val="525"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作业</w:t>
            </w:r>
            <w:r>
              <w:rPr>
                <w:rFonts w:hint="eastAsia" w:ascii="宋体" w:hAnsi="宋体" w:cs="宋体"/>
                <w:kern w:val="0"/>
                <w:szCs w:val="21"/>
              </w:rPr>
              <w:br w:type="textWrapping"/>
            </w:r>
            <w:r>
              <w:rPr>
                <w:rFonts w:hint="eastAsia" w:ascii="宋体" w:hAnsi="宋体" w:cs="宋体"/>
                <w:kern w:val="0"/>
                <w:szCs w:val="21"/>
              </w:rPr>
              <w:t>基础（0.4）</w:t>
            </w: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作业队伍专业化</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环卫中心作业或取得环卫作业资质。每发现一处次不符合扣3.0分。</w:t>
            </w:r>
          </w:p>
        </w:tc>
      </w:tr>
      <w:tr>
        <w:tblPrEx>
          <w:tblCellMar>
            <w:top w:w="0" w:type="dxa"/>
            <w:left w:w="108" w:type="dxa"/>
            <w:bottom w:w="0" w:type="dxa"/>
            <w:right w:w="108" w:type="dxa"/>
          </w:tblCellMar>
        </w:tblPrEx>
        <w:trPr>
          <w:trHeight w:val="915"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统一着装,佩戴胸卡，不从事与工作无关的事情，积极配合各级检查监督</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作业人员应按时上岗，统一着装，佩戴胸卡，不从事与工作无关的事情，文明礼貌，积极配合检查人员的工作。每发现一处次不符合扣0.5分。</w:t>
            </w:r>
          </w:p>
        </w:tc>
      </w:tr>
      <w:tr>
        <w:tblPrEx>
          <w:tblCellMar>
            <w:top w:w="0" w:type="dxa"/>
            <w:left w:w="108" w:type="dxa"/>
            <w:bottom w:w="0" w:type="dxa"/>
            <w:right w:w="108" w:type="dxa"/>
          </w:tblCellMar>
        </w:tblPrEx>
        <w:trPr>
          <w:trHeight w:val="735"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机动车、人工保洁车车容、机械设备运行正常</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保洁作业及垃圾收集车辆无锈蚀、无破损。每发现一处次不符合扣0.5分。</w:t>
            </w:r>
          </w:p>
        </w:tc>
      </w:tr>
      <w:tr>
        <w:tblPrEx>
          <w:tblCellMar>
            <w:top w:w="0" w:type="dxa"/>
            <w:left w:w="108" w:type="dxa"/>
            <w:bottom w:w="0" w:type="dxa"/>
            <w:right w:w="108" w:type="dxa"/>
          </w:tblCellMar>
        </w:tblPrEx>
        <w:trPr>
          <w:trHeight w:val="735"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垃圾收集设施完好</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垃圾收集设施完好、无破损。（应公示清运时间、清运单位、管理单位、专职管理人员、监督电话）每发现一处次不符合扣0.5分。</w:t>
            </w:r>
          </w:p>
        </w:tc>
      </w:tr>
      <w:tr>
        <w:tblPrEx>
          <w:tblCellMar>
            <w:top w:w="0" w:type="dxa"/>
            <w:left w:w="108" w:type="dxa"/>
            <w:bottom w:w="0" w:type="dxa"/>
            <w:right w:w="108" w:type="dxa"/>
          </w:tblCellMar>
        </w:tblPrEx>
        <w:trPr>
          <w:trHeight w:val="595"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废物箱(果皮箱)完好、充足</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废物箱(果皮箱)无破损、无锈蚀。按标准配置且数量充足。每发现一处次不符合扣0.5分。</w:t>
            </w:r>
          </w:p>
        </w:tc>
      </w:tr>
      <w:tr>
        <w:tblPrEx>
          <w:tblCellMar>
            <w:top w:w="0" w:type="dxa"/>
            <w:left w:w="108" w:type="dxa"/>
            <w:bottom w:w="0" w:type="dxa"/>
            <w:right w:w="108" w:type="dxa"/>
          </w:tblCellMar>
        </w:tblPrEx>
        <w:trPr>
          <w:trHeight w:val="675"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厕所外观、标识牌、厕内设施完好</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厕所内外立面、标识牌、门窗玻璃等设施无破损。每发现一处次不符合扣0.5分。</w:t>
            </w:r>
          </w:p>
        </w:tc>
      </w:tr>
      <w:tr>
        <w:tblPrEx>
          <w:tblCellMar>
            <w:top w:w="0" w:type="dxa"/>
            <w:left w:w="108" w:type="dxa"/>
            <w:bottom w:w="0" w:type="dxa"/>
            <w:right w:w="108" w:type="dxa"/>
          </w:tblCellMar>
        </w:tblPrEx>
        <w:trPr>
          <w:trHeight w:val="315" w:hRule="atLeast"/>
          <w:jc w:val="center"/>
        </w:trPr>
        <w:tc>
          <w:tcPr>
            <w:tcW w:w="952"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951"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作业</w:t>
            </w:r>
            <w:r>
              <w:rPr>
                <w:rFonts w:hint="eastAsia" w:ascii="宋体" w:hAnsi="宋体" w:cs="宋体"/>
                <w:kern w:val="0"/>
                <w:szCs w:val="21"/>
              </w:rPr>
              <w:br w:type="textWrapping"/>
            </w:r>
            <w:r>
              <w:rPr>
                <w:rFonts w:hint="eastAsia" w:ascii="宋体" w:hAnsi="宋体" w:cs="宋体"/>
                <w:kern w:val="0"/>
                <w:szCs w:val="21"/>
              </w:rPr>
              <w:t>规范（0.3）</w:t>
            </w:r>
          </w:p>
        </w:tc>
        <w:tc>
          <w:tcPr>
            <w:tcW w:w="42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797"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清扫</w:t>
            </w:r>
            <w:r>
              <w:rPr>
                <w:rFonts w:hint="eastAsia" w:ascii="宋体" w:hAnsi="宋体" w:cs="宋体"/>
                <w:kern w:val="0"/>
                <w:szCs w:val="21"/>
              </w:rPr>
              <w:br w:type="textWrapping"/>
            </w:r>
            <w:r>
              <w:rPr>
                <w:rFonts w:hint="eastAsia" w:ascii="宋体" w:hAnsi="宋体" w:cs="宋体"/>
                <w:kern w:val="0"/>
                <w:szCs w:val="21"/>
              </w:rPr>
              <w:t>保洁</w:t>
            </w:r>
          </w:p>
        </w:tc>
        <w:tc>
          <w:tcPr>
            <w:tcW w:w="2112"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清扫保洁作业时间符合要求</w:t>
            </w:r>
          </w:p>
        </w:tc>
        <w:tc>
          <w:tcPr>
            <w:tcW w:w="8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街巷清扫作业每日6时（冬季7：00）前完成。白天保洁作业时间6时到21时。每发现一处次不符合扣0.5分。</w:t>
            </w:r>
          </w:p>
        </w:tc>
      </w:tr>
      <w:tr>
        <w:tblPrEx>
          <w:tblCellMar>
            <w:top w:w="0" w:type="dxa"/>
            <w:left w:w="108" w:type="dxa"/>
            <w:bottom w:w="0" w:type="dxa"/>
            <w:right w:w="108" w:type="dxa"/>
          </w:tblCellMar>
        </w:tblPrEx>
        <w:trPr>
          <w:trHeight w:val="315"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797"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211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3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381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985"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97"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垃圾渣土收运作业</w:t>
            </w:r>
          </w:p>
        </w:tc>
        <w:tc>
          <w:tcPr>
            <w:tcW w:w="2112"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大件垃圾和房屋修缮、装修等建筑垃圾、渣土等废弃物符合要求</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应单独堆放和清运、处置，装修垃圾要袋装密闭，不得混入生活垃圾中，及时清运。每发现一处次不符合扣0.5分。</w:t>
            </w:r>
          </w:p>
        </w:tc>
      </w:tr>
      <w:tr>
        <w:tblPrEx>
          <w:tblCellMar>
            <w:top w:w="0" w:type="dxa"/>
            <w:left w:w="108" w:type="dxa"/>
            <w:bottom w:w="0" w:type="dxa"/>
            <w:right w:w="108" w:type="dxa"/>
          </w:tblCellMar>
        </w:tblPrEx>
        <w:trPr>
          <w:trHeight w:val="810"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w:t>
            </w:r>
          </w:p>
        </w:tc>
        <w:tc>
          <w:tcPr>
            <w:tcW w:w="797"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非法</w:t>
            </w:r>
            <w:r>
              <w:rPr>
                <w:rFonts w:hint="eastAsia" w:ascii="宋体" w:hAnsi="宋体" w:cs="宋体"/>
                <w:kern w:val="0"/>
                <w:szCs w:val="21"/>
              </w:rPr>
              <w:br w:type="textWrapping"/>
            </w:r>
            <w:r>
              <w:rPr>
                <w:rFonts w:hint="eastAsia" w:ascii="宋体" w:hAnsi="宋体" w:cs="宋体"/>
                <w:kern w:val="0"/>
                <w:szCs w:val="21"/>
              </w:rPr>
              <w:t>宣传品</w:t>
            </w:r>
          </w:p>
        </w:tc>
        <w:tc>
          <w:tcPr>
            <w:tcW w:w="2112"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清除非法宣传品符合要求</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清除建（构）筑物表面非法宣传品要符合工艺要求，不允许覆盖，喷涂时与原构、建物表面颜色相协调。每发现一处次不符合扣0.5分。</w:t>
            </w:r>
          </w:p>
        </w:tc>
      </w:tr>
      <w:tr>
        <w:tblPrEx>
          <w:tblCellMar>
            <w:top w:w="0" w:type="dxa"/>
            <w:left w:w="108" w:type="dxa"/>
            <w:bottom w:w="0" w:type="dxa"/>
            <w:right w:w="108" w:type="dxa"/>
          </w:tblCellMar>
        </w:tblPrEx>
        <w:trPr>
          <w:trHeight w:val="285"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按规定扫雪铲冰</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每发现一处次不符合扣1.0分。</w:t>
            </w:r>
          </w:p>
        </w:tc>
      </w:tr>
      <w:tr>
        <w:tblPrEx>
          <w:tblCellMar>
            <w:top w:w="0" w:type="dxa"/>
            <w:left w:w="108" w:type="dxa"/>
            <w:bottom w:w="0" w:type="dxa"/>
            <w:right w:w="108" w:type="dxa"/>
          </w:tblCellMar>
        </w:tblPrEx>
        <w:trPr>
          <w:trHeight w:val="990" w:hRule="atLeast"/>
          <w:jc w:val="center"/>
        </w:trPr>
        <w:tc>
          <w:tcPr>
            <w:tcW w:w="952"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环境</w:t>
            </w:r>
            <w:r>
              <w:rPr>
                <w:rFonts w:hint="eastAsia" w:ascii="宋体" w:hAnsi="宋体" w:cs="宋体"/>
                <w:kern w:val="0"/>
                <w:szCs w:val="21"/>
              </w:rPr>
              <w:br w:type="textWrapping"/>
            </w:r>
            <w:r>
              <w:rPr>
                <w:rFonts w:hint="eastAsia" w:ascii="宋体" w:hAnsi="宋体" w:cs="宋体"/>
                <w:kern w:val="0"/>
                <w:szCs w:val="21"/>
              </w:rPr>
              <w:t>保护（0.6）</w:t>
            </w:r>
          </w:p>
        </w:tc>
        <w:tc>
          <w:tcPr>
            <w:tcW w:w="951"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环境</w:t>
            </w:r>
            <w:r>
              <w:rPr>
                <w:rFonts w:hint="eastAsia" w:ascii="宋体" w:hAnsi="宋体" w:cs="宋体"/>
                <w:kern w:val="0"/>
                <w:szCs w:val="21"/>
              </w:rPr>
              <w:br w:type="textWrapping"/>
            </w:r>
            <w:r>
              <w:rPr>
                <w:rFonts w:hint="eastAsia" w:ascii="宋体" w:hAnsi="宋体" w:cs="宋体"/>
                <w:kern w:val="0"/>
                <w:szCs w:val="21"/>
              </w:rPr>
              <w:t>卫生（0.8）</w:t>
            </w: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13</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背街小巷环境卫生干净整洁</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路面、沟渠、树坑、花池、绿地等无废弃物、雨水口无污物、污垢等杂物，路面无大面积污渍和积留污水，冬季无结冰。每发现一处次不符合扣0.5分。</w:t>
            </w:r>
          </w:p>
        </w:tc>
      </w:tr>
      <w:tr>
        <w:tblPrEx>
          <w:tblCellMar>
            <w:top w:w="0" w:type="dxa"/>
            <w:left w:w="108" w:type="dxa"/>
            <w:bottom w:w="0" w:type="dxa"/>
            <w:right w:w="108" w:type="dxa"/>
          </w:tblCellMar>
        </w:tblPrEx>
        <w:trPr>
          <w:trHeight w:val="900"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14</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垃圾收集设施周围干净整洁</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垃圾收集设施周围干净整洁、无暴露垃圾、无散落垃圾、无垃圾满冒，垃圾收集设施周围无积水、无蚊蝇。每发现一处次不符合扣1.0分。</w:t>
            </w:r>
          </w:p>
        </w:tc>
      </w:tr>
      <w:tr>
        <w:tblPrEx>
          <w:tblCellMar>
            <w:top w:w="0" w:type="dxa"/>
            <w:left w:w="108" w:type="dxa"/>
            <w:bottom w:w="0" w:type="dxa"/>
            <w:right w:w="108" w:type="dxa"/>
          </w:tblCellMar>
        </w:tblPrEx>
        <w:trPr>
          <w:trHeight w:val="1135"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废物箱(果皮箱)整洁</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废物箱（果皮箱）及周边干净整洁、无乱张贴无乱写乱画，及时清掏，垃圾无满冒。 每发现一处次不符合扣1.0分。</w:t>
            </w:r>
          </w:p>
        </w:tc>
      </w:tr>
      <w:tr>
        <w:tblPrEx>
          <w:tblCellMar>
            <w:top w:w="0" w:type="dxa"/>
            <w:left w:w="108" w:type="dxa"/>
            <w:bottom w:w="0" w:type="dxa"/>
            <w:right w:w="108" w:type="dxa"/>
          </w:tblCellMar>
        </w:tblPrEx>
        <w:trPr>
          <w:trHeight w:val="880"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16</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机动车、人工保洁车干净整洁</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机动车、人工保洁车外表干净整洁、无污渍。每发现一处次不符合扣1.0分。</w:t>
            </w:r>
          </w:p>
        </w:tc>
      </w:tr>
      <w:tr>
        <w:tblPrEx>
          <w:tblCellMar>
            <w:top w:w="0" w:type="dxa"/>
            <w:left w:w="108" w:type="dxa"/>
            <w:bottom w:w="0" w:type="dxa"/>
            <w:right w:w="108" w:type="dxa"/>
          </w:tblCellMar>
        </w:tblPrEx>
        <w:trPr>
          <w:trHeight w:val="990"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17</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厕所及周围区域环境整洁</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大便器内无积存物，小便器内无积尿、无水锈、无尿垢、无污物；无蚊蝇；纸篓不溢满，地面、蹲台洁净；屋顶及周边无乱堆杂物。每发现一处次不符合扣1.0分。</w:t>
            </w:r>
          </w:p>
        </w:tc>
      </w:tr>
      <w:tr>
        <w:tblPrEx>
          <w:tblCellMar>
            <w:top w:w="0" w:type="dxa"/>
            <w:left w:w="108" w:type="dxa"/>
            <w:bottom w:w="0" w:type="dxa"/>
            <w:right w:w="108" w:type="dxa"/>
          </w:tblCellMar>
        </w:tblPrEx>
        <w:trPr>
          <w:trHeight w:val="885"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18</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背街小巷无暴露垃圾</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路面无大面积的暴露垃圾、大件垃圾和房屋修缮、装修等建筑垃圾、渣土堆放等。每发现一处次不符合扣2.0分。</w:t>
            </w:r>
          </w:p>
        </w:tc>
      </w:tr>
      <w:tr>
        <w:tblPrEx>
          <w:tblCellMar>
            <w:top w:w="0" w:type="dxa"/>
            <w:left w:w="108" w:type="dxa"/>
            <w:bottom w:w="0" w:type="dxa"/>
            <w:right w:w="108" w:type="dxa"/>
          </w:tblCellMar>
        </w:tblPrEx>
        <w:trPr>
          <w:trHeight w:val="750" w:hRule="atLeast"/>
          <w:jc w:val="center"/>
        </w:trPr>
        <w:tc>
          <w:tcPr>
            <w:tcW w:w="952"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951"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环境</w:t>
            </w:r>
            <w:r>
              <w:rPr>
                <w:rFonts w:hint="eastAsia" w:ascii="宋体" w:hAnsi="宋体" w:cs="宋体"/>
                <w:kern w:val="0"/>
                <w:szCs w:val="21"/>
              </w:rPr>
              <w:br w:type="textWrapping"/>
            </w:r>
            <w:r>
              <w:rPr>
                <w:rFonts w:hint="eastAsia" w:ascii="宋体" w:hAnsi="宋体" w:cs="宋体"/>
                <w:kern w:val="0"/>
                <w:szCs w:val="21"/>
              </w:rPr>
              <w:t>影响（0.2）</w:t>
            </w: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19</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无乱张贴、无乱涂写、无乱刻画</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责任区内构、建物无乱张贴、无乱涂写、无乱刻画。 每发现一处次不符合扣1.0分。</w:t>
            </w:r>
          </w:p>
        </w:tc>
      </w:tr>
      <w:tr>
        <w:tblPrEx>
          <w:tblCellMar>
            <w:top w:w="0" w:type="dxa"/>
            <w:left w:w="108" w:type="dxa"/>
            <w:bottom w:w="0" w:type="dxa"/>
            <w:right w:w="108" w:type="dxa"/>
          </w:tblCellMar>
        </w:tblPrEx>
        <w:trPr>
          <w:trHeight w:val="542"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不焚烧垃圾、树叶等杂物</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每发现一处次不符合扣0.5分。</w:t>
            </w:r>
          </w:p>
        </w:tc>
      </w:tr>
      <w:tr>
        <w:tblPrEx>
          <w:tblCellMar>
            <w:top w:w="0" w:type="dxa"/>
            <w:left w:w="108" w:type="dxa"/>
            <w:bottom w:w="0" w:type="dxa"/>
            <w:right w:w="108" w:type="dxa"/>
          </w:tblCellMar>
        </w:tblPrEx>
        <w:trPr>
          <w:trHeight w:val="618"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21</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清扫保洁作业不产生扬尘</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每发现一处次不符合扣0.5分。</w:t>
            </w:r>
          </w:p>
        </w:tc>
      </w:tr>
      <w:tr>
        <w:tblPrEx>
          <w:tblCellMar>
            <w:top w:w="0" w:type="dxa"/>
            <w:left w:w="108" w:type="dxa"/>
            <w:bottom w:w="0" w:type="dxa"/>
            <w:right w:w="108" w:type="dxa"/>
          </w:tblCellMar>
        </w:tblPrEx>
        <w:trPr>
          <w:trHeight w:val="1078"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22</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无白色污染</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大风、大雨天气后要及时清扫街乡(镇)管理范围、绿地和清除树挂和白色污染。每发现一处次不符合扣0.5分。</w:t>
            </w:r>
          </w:p>
        </w:tc>
      </w:tr>
      <w:tr>
        <w:tblPrEx>
          <w:tblCellMar>
            <w:top w:w="0" w:type="dxa"/>
            <w:left w:w="108" w:type="dxa"/>
            <w:bottom w:w="0" w:type="dxa"/>
            <w:right w:w="108" w:type="dxa"/>
          </w:tblCellMar>
        </w:tblPrEx>
        <w:trPr>
          <w:trHeight w:val="525"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23</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垃圾收集作业无垃圾、渗沥液遗洒</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每发现一处次不符合扣0.5分。</w:t>
            </w:r>
          </w:p>
        </w:tc>
      </w:tr>
      <w:tr>
        <w:tblPrEx>
          <w:tblCellMar>
            <w:top w:w="0" w:type="dxa"/>
            <w:left w:w="108" w:type="dxa"/>
            <w:bottom w:w="0" w:type="dxa"/>
            <w:right w:w="108" w:type="dxa"/>
          </w:tblCellMar>
        </w:tblPrEx>
        <w:trPr>
          <w:trHeight w:val="888" w:hRule="atLeast"/>
          <w:jc w:val="center"/>
        </w:trPr>
        <w:tc>
          <w:tcPr>
            <w:tcW w:w="95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24</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无臭味</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责任区范围内等无异味。每发现一处次不符合扣0.5分。</w:t>
            </w:r>
          </w:p>
        </w:tc>
      </w:tr>
      <w:tr>
        <w:tblPrEx>
          <w:tblCellMar>
            <w:top w:w="0" w:type="dxa"/>
            <w:left w:w="108" w:type="dxa"/>
            <w:bottom w:w="0" w:type="dxa"/>
            <w:right w:w="108" w:type="dxa"/>
          </w:tblCellMar>
        </w:tblPrEx>
        <w:trPr>
          <w:trHeight w:val="1096" w:hRule="atLeast"/>
          <w:jc w:val="center"/>
        </w:trPr>
        <w:tc>
          <w:tcPr>
            <w:tcW w:w="95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安全与</w:t>
            </w:r>
            <w:r>
              <w:rPr>
                <w:rFonts w:hint="eastAsia" w:ascii="宋体" w:hAnsi="宋体" w:cs="宋体"/>
                <w:kern w:val="0"/>
                <w:szCs w:val="21"/>
              </w:rPr>
              <w:br w:type="textWrapping"/>
            </w:r>
            <w:r>
              <w:rPr>
                <w:rFonts w:hint="eastAsia" w:ascii="宋体" w:hAnsi="宋体" w:cs="宋体"/>
                <w:kern w:val="0"/>
                <w:szCs w:val="21"/>
              </w:rPr>
              <w:t>应急（0.1）</w:t>
            </w:r>
          </w:p>
        </w:tc>
        <w:tc>
          <w:tcPr>
            <w:tcW w:w="951"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安全</w:t>
            </w:r>
            <w:r>
              <w:rPr>
                <w:rFonts w:hint="eastAsia" w:ascii="宋体" w:hAnsi="宋体" w:cs="宋体"/>
                <w:kern w:val="0"/>
                <w:szCs w:val="21"/>
              </w:rPr>
              <w:br w:type="textWrapping"/>
            </w:r>
            <w:r>
              <w:rPr>
                <w:rFonts w:hint="eastAsia" w:ascii="宋体" w:hAnsi="宋体" w:cs="宋体"/>
                <w:kern w:val="0"/>
                <w:szCs w:val="21"/>
              </w:rPr>
              <w:t>生产（0.5）</w:t>
            </w: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25</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按规定使用安全警示标志</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机扫车警示标志齐全，作业时要开启警示标志，按规定使用。每发现一处次不符合扣0.5分。</w:t>
            </w:r>
          </w:p>
        </w:tc>
      </w:tr>
      <w:tr>
        <w:tblPrEx>
          <w:tblCellMar>
            <w:top w:w="0" w:type="dxa"/>
            <w:left w:w="108" w:type="dxa"/>
            <w:bottom w:w="0" w:type="dxa"/>
            <w:right w:w="108" w:type="dxa"/>
          </w:tblCellMar>
        </w:tblPrEx>
        <w:trPr>
          <w:trHeight w:val="1137" w:hRule="atLeast"/>
          <w:jc w:val="center"/>
        </w:trPr>
        <w:tc>
          <w:tcPr>
            <w:tcW w:w="95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9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26</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路面作业人员按要求穿着有警示标识的服装</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操作人员路面作业时，要统一穿着有警示标识的服装，摆放警示牌，确保安全。每发现一处次不符合扣0.5分。</w:t>
            </w:r>
          </w:p>
        </w:tc>
      </w:tr>
      <w:tr>
        <w:tblPrEx>
          <w:tblCellMar>
            <w:top w:w="0" w:type="dxa"/>
            <w:left w:w="108" w:type="dxa"/>
            <w:bottom w:w="0" w:type="dxa"/>
            <w:right w:w="108" w:type="dxa"/>
          </w:tblCellMar>
        </w:tblPrEx>
        <w:trPr>
          <w:trHeight w:val="406" w:hRule="atLeast"/>
          <w:jc w:val="center"/>
        </w:trPr>
        <w:tc>
          <w:tcPr>
            <w:tcW w:w="95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951"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应急</w:t>
            </w:r>
            <w:r>
              <w:rPr>
                <w:rFonts w:hint="eastAsia" w:ascii="宋体" w:hAnsi="宋体" w:cs="宋体"/>
                <w:kern w:val="0"/>
                <w:szCs w:val="21"/>
              </w:rPr>
              <w:br w:type="textWrapping"/>
            </w:r>
            <w:r>
              <w:rPr>
                <w:rFonts w:hint="eastAsia" w:ascii="宋体" w:hAnsi="宋体" w:cs="宋体"/>
                <w:kern w:val="0"/>
                <w:szCs w:val="21"/>
              </w:rPr>
              <w:t>处置（0.5）</w:t>
            </w:r>
          </w:p>
        </w:tc>
        <w:tc>
          <w:tcPr>
            <w:tcW w:w="42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27</w:t>
            </w:r>
          </w:p>
        </w:tc>
        <w:tc>
          <w:tcPr>
            <w:tcW w:w="2909" w:type="dxa"/>
            <w:gridSpan w:val="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遇环境卫生突发事件启动应急预案,及时处置</w:t>
            </w:r>
          </w:p>
        </w:tc>
        <w:tc>
          <w:tcPr>
            <w:tcW w:w="8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81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遇突发事件，应启动应急预案,及时处置，及时记录。记录内容包括时间、地点、状况、原因、处理结果等信息；（突发事件包括：大面积遗撒或积水结冰、安全事故、自然灾害和影响道路正常通行的有关环境卫生其他事件等。）每发现一处次不符合扣4.0分。</w:t>
            </w:r>
          </w:p>
        </w:tc>
      </w:tr>
      <w:tr>
        <w:tblPrEx>
          <w:tblCellMar>
            <w:top w:w="0" w:type="dxa"/>
            <w:left w:w="108" w:type="dxa"/>
            <w:bottom w:w="0" w:type="dxa"/>
            <w:right w:w="108" w:type="dxa"/>
          </w:tblCellMar>
        </w:tblPrEx>
        <w:trPr>
          <w:trHeight w:val="525" w:hRule="atLeast"/>
          <w:jc w:val="center"/>
        </w:trPr>
        <w:tc>
          <w:tcPr>
            <w:tcW w:w="9885" w:type="dxa"/>
            <w:gridSpan w:val="7"/>
            <w:tcBorders>
              <w:top w:val="nil"/>
              <w:left w:val="nil"/>
              <w:bottom w:val="nil"/>
              <w:right w:val="nil"/>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标准说明：</w:t>
            </w:r>
          </w:p>
        </w:tc>
      </w:tr>
      <w:tr>
        <w:tblPrEx>
          <w:tblCellMar>
            <w:top w:w="0" w:type="dxa"/>
            <w:left w:w="108" w:type="dxa"/>
            <w:bottom w:w="0" w:type="dxa"/>
            <w:right w:w="108" w:type="dxa"/>
          </w:tblCellMar>
        </w:tblPrEx>
        <w:trPr>
          <w:trHeight w:val="525" w:hRule="atLeast"/>
          <w:jc w:val="center"/>
        </w:trPr>
        <w:tc>
          <w:tcPr>
            <w:tcW w:w="9885" w:type="dxa"/>
            <w:gridSpan w:val="7"/>
            <w:tcBorders>
              <w:top w:val="nil"/>
              <w:left w:val="nil"/>
              <w:bottom w:val="nil"/>
              <w:right w:val="nil"/>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1. 一旦发生严重违背生产运行管理要求，造成恶劣影响（指被媒体点名、居民反映强烈或领导批示）的事件，则2级指标“作业规范”1项为零分。</w:t>
            </w:r>
          </w:p>
        </w:tc>
      </w:tr>
      <w:tr>
        <w:tblPrEx>
          <w:tblCellMar>
            <w:top w:w="0" w:type="dxa"/>
            <w:left w:w="108" w:type="dxa"/>
            <w:bottom w:w="0" w:type="dxa"/>
            <w:right w:w="108" w:type="dxa"/>
          </w:tblCellMar>
        </w:tblPrEx>
        <w:trPr>
          <w:trHeight w:val="525" w:hRule="atLeast"/>
          <w:jc w:val="center"/>
        </w:trPr>
        <w:tc>
          <w:tcPr>
            <w:tcW w:w="9885" w:type="dxa"/>
            <w:gridSpan w:val="7"/>
            <w:tcBorders>
              <w:top w:val="nil"/>
              <w:left w:val="nil"/>
              <w:bottom w:val="nil"/>
              <w:right w:val="nil"/>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2. 一旦发生环境污染等恶劣影响事件（指领导批示、居民反映强烈或被媒体点名，经核实对环境造成影响），则2级指标“环境影响”1项为零分。</w:t>
            </w:r>
          </w:p>
        </w:tc>
      </w:tr>
      <w:tr>
        <w:tblPrEx>
          <w:tblCellMar>
            <w:top w:w="0" w:type="dxa"/>
            <w:left w:w="108" w:type="dxa"/>
            <w:bottom w:w="0" w:type="dxa"/>
            <w:right w:w="108" w:type="dxa"/>
          </w:tblCellMar>
        </w:tblPrEx>
        <w:trPr>
          <w:trHeight w:val="525" w:hRule="atLeast"/>
          <w:jc w:val="center"/>
        </w:trPr>
        <w:tc>
          <w:tcPr>
            <w:tcW w:w="9885" w:type="dxa"/>
            <w:gridSpan w:val="7"/>
            <w:tcBorders>
              <w:top w:val="nil"/>
              <w:left w:val="nil"/>
              <w:bottom w:val="nil"/>
              <w:right w:val="nil"/>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3. 一旦发生一般以上有责任工伤、火灾、爆炸等安全事故，反馈信息不及时，则2级指标“应急处置”1项为零分。</w:t>
            </w:r>
          </w:p>
        </w:tc>
      </w:tr>
      <w:tr>
        <w:tblPrEx>
          <w:tblCellMar>
            <w:top w:w="0" w:type="dxa"/>
            <w:left w:w="108" w:type="dxa"/>
            <w:bottom w:w="0" w:type="dxa"/>
            <w:right w:w="108" w:type="dxa"/>
          </w:tblCellMar>
        </w:tblPrEx>
        <w:trPr>
          <w:trHeight w:val="525" w:hRule="atLeast"/>
          <w:jc w:val="center"/>
        </w:trPr>
        <w:tc>
          <w:tcPr>
            <w:tcW w:w="9885" w:type="dxa"/>
            <w:gridSpan w:val="7"/>
            <w:tcBorders>
              <w:top w:val="nil"/>
              <w:left w:val="nil"/>
              <w:bottom w:val="nil"/>
              <w:right w:val="nil"/>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4.括号中数据为各层级的权重。</w:t>
            </w:r>
          </w:p>
        </w:tc>
      </w:tr>
    </w:tbl>
    <w:p>
      <w:pPr>
        <w:widowControl/>
        <w:jc w:val="left"/>
        <w:rPr>
          <w:rFonts w:ascii="宋体" w:hAnsi="宋体" w:cs="宋体"/>
          <w:kern w:val="0"/>
          <w:szCs w:val="21"/>
        </w:rPr>
        <w:sectPr>
          <w:pgSz w:w="11906" w:h="16838"/>
          <w:pgMar w:top="1440" w:right="1701" w:bottom="1361" w:left="1797" w:header="851" w:footer="992" w:gutter="0"/>
          <w:cols w:space="425" w:num="1"/>
          <w:docGrid w:linePitch="312" w:charSpace="0"/>
        </w:sectPr>
      </w:pPr>
    </w:p>
    <w:tbl>
      <w:tblPr>
        <w:tblStyle w:val="46"/>
        <w:tblW w:w="11376" w:type="dxa"/>
        <w:jc w:val="center"/>
        <w:tblLayout w:type="fixed"/>
        <w:tblCellMar>
          <w:top w:w="0" w:type="dxa"/>
          <w:left w:w="108" w:type="dxa"/>
          <w:bottom w:w="0" w:type="dxa"/>
          <w:right w:w="108" w:type="dxa"/>
        </w:tblCellMar>
      </w:tblPr>
      <w:tblGrid>
        <w:gridCol w:w="11376"/>
      </w:tblGrid>
      <w:tr>
        <w:tblPrEx>
          <w:tblCellMar>
            <w:top w:w="0" w:type="dxa"/>
            <w:left w:w="108" w:type="dxa"/>
            <w:bottom w:w="0" w:type="dxa"/>
            <w:right w:w="108" w:type="dxa"/>
          </w:tblCellMar>
        </w:tblPrEx>
        <w:trPr>
          <w:trHeight w:val="525" w:hRule="atLeast"/>
          <w:jc w:val="center"/>
        </w:trPr>
        <w:tc>
          <w:tcPr>
            <w:tcW w:w="11376" w:type="dxa"/>
            <w:tcBorders>
              <w:top w:val="nil"/>
              <w:left w:val="nil"/>
              <w:bottom w:val="nil"/>
              <w:right w:val="nil"/>
            </w:tcBorders>
            <w:shd w:val="clear" w:color="auto" w:fill="auto"/>
            <w:vAlign w:val="center"/>
          </w:tcPr>
          <w:tbl>
            <w:tblPr>
              <w:tblStyle w:val="46"/>
              <w:tblW w:w="9781" w:type="dxa"/>
              <w:tblInd w:w="809" w:type="dxa"/>
              <w:tblLayout w:type="fixed"/>
              <w:tblCellMar>
                <w:top w:w="0" w:type="dxa"/>
                <w:left w:w="108" w:type="dxa"/>
                <w:bottom w:w="0" w:type="dxa"/>
                <w:right w:w="108" w:type="dxa"/>
              </w:tblCellMar>
            </w:tblPr>
            <w:tblGrid>
              <w:gridCol w:w="851"/>
              <w:gridCol w:w="850"/>
              <w:gridCol w:w="556"/>
              <w:gridCol w:w="3130"/>
              <w:gridCol w:w="654"/>
              <w:gridCol w:w="3740"/>
            </w:tblGrid>
            <w:tr>
              <w:tblPrEx>
                <w:tblCellMar>
                  <w:top w:w="0" w:type="dxa"/>
                  <w:left w:w="108" w:type="dxa"/>
                  <w:bottom w:w="0" w:type="dxa"/>
                  <w:right w:w="108" w:type="dxa"/>
                </w:tblCellMar>
              </w:tblPrEx>
              <w:trPr>
                <w:trHeight w:val="540" w:hRule="atLeast"/>
              </w:trPr>
              <w:tc>
                <w:tcPr>
                  <w:tcW w:w="9781" w:type="dxa"/>
                  <w:gridSpan w:val="6"/>
                  <w:tcBorders>
                    <w:top w:val="nil"/>
                    <w:left w:val="nil"/>
                    <w:bottom w:val="nil"/>
                    <w:right w:val="nil"/>
                  </w:tcBorders>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石景山区门前三包及其他责任区检查考核评分标准</w:t>
                  </w:r>
                </w:p>
              </w:tc>
            </w:tr>
            <w:tr>
              <w:tblPrEx>
                <w:tblCellMar>
                  <w:top w:w="0" w:type="dxa"/>
                  <w:left w:w="108" w:type="dxa"/>
                  <w:bottom w:w="0" w:type="dxa"/>
                  <w:right w:w="108" w:type="dxa"/>
                </w:tblCellMar>
              </w:tblPrEx>
              <w:trPr>
                <w:trHeight w:val="672" w:hRule="atLeast"/>
              </w:trPr>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一级</w:t>
                  </w:r>
                </w:p>
              </w:tc>
              <w:tc>
                <w:tcPr>
                  <w:tcW w:w="85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二级</w:t>
                  </w:r>
                </w:p>
              </w:tc>
              <w:tc>
                <w:tcPr>
                  <w:tcW w:w="55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313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三级</w:t>
                  </w:r>
                </w:p>
              </w:tc>
              <w:tc>
                <w:tcPr>
                  <w:tcW w:w="654"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检查</w:t>
                  </w:r>
                  <w:r>
                    <w:rPr>
                      <w:rFonts w:hint="eastAsia" w:ascii="宋体" w:hAnsi="宋体" w:cs="宋体"/>
                      <w:b/>
                      <w:bCs/>
                      <w:kern w:val="0"/>
                      <w:szCs w:val="21"/>
                    </w:rPr>
                    <w:br w:type="textWrapping"/>
                  </w:r>
                  <w:r>
                    <w:rPr>
                      <w:rFonts w:hint="eastAsia" w:ascii="宋体" w:hAnsi="宋体" w:cs="宋体"/>
                      <w:b/>
                      <w:bCs/>
                      <w:kern w:val="0"/>
                      <w:szCs w:val="21"/>
                    </w:rPr>
                    <w:t>周期</w:t>
                  </w:r>
                </w:p>
              </w:tc>
              <w:tc>
                <w:tcPr>
                  <w:tcW w:w="374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条文说明</w:t>
                  </w:r>
                </w:p>
              </w:tc>
            </w:tr>
            <w:tr>
              <w:tblPrEx>
                <w:tblCellMar>
                  <w:top w:w="0" w:type="dxa"/>
                  <w:left w:w="108" w:type="dxa"/>
                  <w:bottom w:w="0" w:type="dxa"/>
                  <w:right w:w="108" w:type="dxa"/>
                </w:tblCellMar>
              </w:tblPrEx>
              <w:trPr>
                <w:trHeight w:val="945" w:hRule="atLeast"/>
              </w:trPr>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管理与</w:t>
                  </w:r>
                  <w:r>
                    <w:rPr>
                      <w:rFonts w:hint="eastAsia" w:ascii="宋体" w:hAnsi="宋体" w:cs="宋体"/>
                      <w:kern w:val="0"/>
                      <w:szCs w:val="21"/>
                    </w:rPr>
                    <w:br w:type="textWrapping"/>
                  </w:r>
                  <w:r>
                    <w:rPr>
                      <w:rFonts w:hint="eastAsia" w:ascii="宋体" w:hAnsi="宋体" w:cs="宋体"/>
                      <w:kern w:val="0"/>
                      <w:szCs w:val="21"/>
                    </w:rPr>
                    <w:t>服务（0.3）</w:t>
                  </w:r>
                </w:p>
              </w:tc>
              <w:tc>
                <w:tcPr>
                  <w:tcW w:w="85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作业</w:t>
                  </w:r>
                  <w:r>
                    <w:rPr>
                      <w:rFonts w:hint="eastAsia" w:ascii="宋体" w:hAnsi="宋体" w:cs="宋体"/>
                      <w:kern w:val="0"/>
                      <w:szCs w:val="21"/>
                    </w:rPr>
                    <w:br w:type="textWrapping"/>
                  </w:r>
                  <w:r>
                    <w:rPr>
                      <w:rFonts w:hint="eastAsia" w:ascii="宋体" w:hAnsi="宋体" w:cs="宋体"/>
                      <w:kern w:val="0"/>
                      <w:szCs w:val="21"/>
                    </w:rPr>
                    <w:t>管理（0.3）</w:t>
                  </w: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有门前卫生责任区责任书（牌）</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签订环境卫生责任书（牌），有明确责任范围和责任标准。 每发现一处次不符合扣2.0分。</w:t>
                  </w:r>
                </w:p>
              </w:tc>
            </w:tr>
            <w:tr>
              <w:tblPrEx>
                <w:tblCellMar>
                  <w:top w:w="0" w:type="dxa"/>
                  <w:left w:w="108" w:type="dxa"/>
                  <w:bottom w:w="0" w:type="dxa"/>
                  <w:right w:w="108" w:type="dxa"/>
                </w:tblCellMar>
              </w:tblPrEx>
              <w:trPr>
                <w:trHeight w:val="720"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设备</w:t>
                  </w:r>
                  <w:r>
                    <w:rPr>
                      <w:rFonts w:hint="eastAsia" w:ascii="宋体" w:hAnsi="宋体" w:cs="宋体"/>
                      <w:kern w:val="0"/>
                      <w:szCs w:val="21"/>
                    </w:rPr>
                    <w:br w:type="textWrapping"/>
                  </w:r>
                  <w:r>
                    <w:rPr>
                      <w:rFonts w:hint="eastAsia" w:ascii="宋体" w:hAnsi="宋体" w:cs="宋体"/>
                      <w:kern w:val="0"/>
                      <w:szCs w:val="21"/>
                    </w:rPr>
                    <w:t>设施（0.4）</w:t>
                  </w: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垃圾收集容器按标准配置且完好</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责任区范围内的果皮箱、垃圾收集容器等应保持完好、数量充足且满足需求、无破损。每发现一处次不符合扣1.0分。</w:t>
                  </w:r>
                </w:p>
              </w:tc>
            </w:tr>
            <w:tr>
              <w:tblPrEx>
                <w:tblCellMar>
                  <w:top w:w="0" w:type="dxa"/>
                  <w:left w:w="108" w:type="dxa"/>
                  <w:bottom w:w="0" w:type="dxa"/>
                  <w:right w:w="108" w:type="dxa"/>
                </w:tblCellMar>
              </w:tblPrEx>
              <w:trPr>
                <w:trHeight w:val="672"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xml:space="preserve">保洁作业车及垃圾收集车车容完好，工作状况良好。 </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保洁作业及垃圾收集运车辆干净完好，无破损。每发现一处次不符合扣1.0分。</w:t>
                  </w:r>
                </w:p>
              </w:tc>
            </w:tr>
            <w:tr>
              <w:tblPrEx>
                <w:tblCellMar>
                  <w:top w:w="0" w:type="dxa"/>
                  <w:left w:w="108" w:type="dxa"/>
                  <w:bottom w:w="0" w:type="dxa"/>
                  <w:right w:w="108" w:type="dxa"/>
                </w:tblCellMar>
              </w:tblPrEx>
              <w:trPr>
                <w:trHeight w:val="375"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作业</w:t>
                  </w:r>
                </w:p>
                <w:p>
                  <w:pPr>
                    <w:widowControl/>
                    <w:jc w:val="center"/>
                    <w:rPr>
                      <w:rFonts w:ascii="宋体" w:hAnsi="宋体" w:cs="宋体"/>
                      <w:kern w:val="0"/>
                      <w:szCs w:val="21"/>
                    </w:rPr>
                  </w:pPr>
                  <w:r>
                    <w:rPr>
                      <w:rFonts w:hint="eastAsia" w:ascii="宋体" w:hAnsi="宋体" w:cs="宋体"/>
                      <w:kern w:val="0"/>
                      <w:szCs w:val="21"/>
                    </w:rPr>
                    <w:t>规范（0.3）</w:t>
                  </w:r>
                </w:p>
              </w:tc>
              <w:tc>
                <w:tcPr>
                  <w:tcW w:w="5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w:t>
                  </w:r>
                </w:p>
              </w:tc>
              <w:tc>
                <w:tcPr>
                  <w:tcW w:w="3130"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清扫保洁作业时间符合要求</w:t>
                  </w:r>
                </w:p>
              </w:tc>
              <w:tc>
                <w:tcPr>
                  <w:tcW w:w="654"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清扫作业每日6时（冬季7：00）前完成。白天保洁作业时间6时到21时。每发现一处次不符合扣0.5分。</w:t>
                  </w:r>
                </w:p>
              </w:tc>
            </w:tr>
            <w:tr>
              <w:tblPrEx>
                <w:tblCellMar>
                  <w:top w:w="0" w:type="dxa"/>
                  <w:left w:w="108" w:type="dxa"/>
                  <w:bottom w:w="0" w:type="dxa"/>
                  <w:right w:w="108" w:type="dxa"/>
                </w:tblCellMar>
              </w:tblPrEx>
              <w:trPr>
                <w:trHeight w:val="375"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55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313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654"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374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672"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及时清除、清运责任区内的废弃物等</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责任区范围内的垃圾随时清除和清运，垃圾容器不得满冒。每发现一处次不符合扣1.0分。</w:t>
                  </w:r>
                </w:p>
              </w:tc>
            </w:tr>
            <w:tr>
              <w:tblPrEx>
                <w:tblCellMar>
                  <w:top w:w="0" w:type="dxa"/>
                  <w:left w:w="108" w:type="dxa"/>
                  <w:bottom w:w="0" w:type="dxa"/>
                  <w:right w:w="108" w:type="dxa"/>
                </w:tblCellMar>
              </w:tblPrEx>
              <w:trPr>
                <w:trHeight w:val="465"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按照规定扫雪铲冰</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每发现一处次不符合扣1.0分。</w:t>
                  </w:r>
                </w:p>
              </w:tc>
            </w:tr>
            <w:tr>
              <w:tblPrEx>
                <w:tblCellMar>
                  <w:top w:w="0" w:type="dxa"/>
                  <w:left w:w="108" w:type="dxa"/>
                  <w:bottom w:w="0" w:type="dxa"/>
                  <w:right w:w="108" w:type="dxa"/>
                </w:tblCellMar>
              </w:tblPrEx>
              <w:trPr>
                <w:trHeight w:val="615" w:hRule="atLeast"/>
              </w:trPr>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环境</w:t>
                  </w:r>
                  <w:r>
                    <w:rPr>
                      <w:rFonts w:hint="eastAsia" w:ascii="宋体" w:hAnsi="宋体" w:cs="宋体"/>
                      <w:kern w:val="0"/>
                      <w:szCs w:val="21"/>
                    </w:rPr>
                    <w:br w:type="textWrapping"/>
                  </w:r>
                  <w:r>
                    <w:rPr>
                      <w:rFonts w:hint="eastAsia" w:ascii="宋体" w:hAnsi="宋体" w:cs="宋体"/>
                      <w:kern w:val="0"/>
                      <w:szCs w:val="21"/>
                    </w:rPr>
                    <w:t>保护</w:t>
                  </w:r>
                  <w:r>
                    <w:rPr>
                      <w:rFonts w:hint="eastAsia" w:ascii="宋体" w:hAnsi="宋体" w:cs="宋体"/>
                      <w:kern w:val="0"/>
                      <w:szCs w:val="21"/>
                    </w:rPr>
                    <w:br w:type="textWrapping"/>
                  </w:r>
                  <w:r>
                    <w:rPr>
                      <w:rFonts w:hint="eastAsia" w:ascii="宋体" w:hAnsi="宋体" w:cs="宋体"/>
                      <w:kern w:val="0"/>
                      <w:szCs w:val="21"/>
                    </w:rPr>
                    <w:t>（0.6）</w:t>
                  </w:r>
                </w:p>
              </w:tc>
              <w:tc>
                <w:tcPr>
                  <w:tcW w:w="850"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环境</w:t>
                  </w:r>
                  <w:r>
                    <w:rPr>
                      <w:rFonts w:hint="eastAsia" w:ascii="宋体" w:hAnsi="宋体" w:cs="宋体"/>
                      <w:kern w:val="0"/>
                      <w:szCs w:val="21"/>
                    </w:rPr>
                    <w:br w:type="textWrapping"/>
                  </w:r>
                  <w:r>
                    <w:rPr>
                      <w:rFonts w:hint="eastAsia" w:ascii="宋体" w:hAnsi="宋体" w:cs="宋体"/>
                      <w:kern w:val="0"/>
                      <w:szCs w:val="21"/>
                    </w:rPr>
                    <w:t>卫生（0.8）</w:t>
                  </w: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门前卫生责任区环境整洁</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责任区内无暴露垃圾、无废弃物；无积水、无积冰、无污迹；无蚊蝇；无堆物、堆料等。每发现一处次不符合扣1.5分。</w:t>
                  </w:r>
                </w:p>
              </w:tc>
            </w:tr>
            <w:tr>
              <w:tblPrEx>
                <w:tblCellMar>
                  <w:top w:w="0" w:type="dxa"/>
                  <w:left w:w="108" w:type="dxa"/>
                  <w:bottom w:w="0" w:type="dxa"/>
                  <w:right w:w="108" w:type="dxa"/>
                </w:tblCellMar>
              </w:tblPrEx>
              <w:trPr>
                <w:trHeight w:val="900"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废旧物资回收站及周围管理范围环境整洁</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责任区内无暴露垃圾、无废弃物；无积水、无积冰、无污迹；无蚊蝇；无堆物、堆料等。每发现一处次不符合扣2.0分。</w:t>
                  </w:r>
                </w:p>
              </w:tc>
            </w:tr>
            <w:tr>
              <w:tblPrEx>
                <w:tblCellMar>
                  <w:top w:w="0" w:type="dxa"/>
                  <w:left w:w="108" w:type="dxa"/>
                  <w:bottom w:w="0" w:type="dxa"/>
                  <w:right w:w="108" w:type="dxa"/>
                </w:tblCellMar>
              </w:tblPrEx>
              <w:trPr>
                <w:trHeight w:val="420"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交通枢纽管理范围内环境整洁</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责任区内无暴露垃圾、无废弃物；无积水、无积冰、无污迹；无蚊蝇；无堆物、堆料等。每发现一处次不符合扣1.0分。</w:t>
                  </w:r>
                </w:p>
              </w:tc>
            </w:tr>
            <w:tr>
              <w:tblPrEx>
                <w:tblCellMar>
                  <w:top w:w="0" w:type="dxa"/>
                  <w:left w:w="108" w:type="dxa"/>
                  <w:bottom w:w="0" w:type="dxa"/>
                  <w:right w:w="108" w:type="dxa"/>
                </w:tblCellMar>
              </w:tblPrEx>
              <w:trPr>
                <w:trHeight w:val="420"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停车场管理范围内环境整洁</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420"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农贸市场周围管理范围环境整洁</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420"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拆改建地区环境整洁</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420"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13</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其他责任区环境整洁</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672" w:hRule="atLeast"/>
              </w:trPr>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850"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环境影响（0.2）</w:t>
                  </w: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14</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无乱张贴、无乱涂写、无乱刻画</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责任区内构、建物无乱张贴、无乱涂写、无乱刻画。每发现一处次不符合扣1.0分。</w:t>
                  </w:r>
                </w:p>
              </w:tc>
            </w:tr>
            <w:tr>
              <w:tblPrEx>
                <w:tblCellMar>
                  <w:top w:w="0" w:type="dxa"/>
                  <w:left w:w="108" w:type="dxa"/>
                  <w:bottom w:w="0" w:type="dxa"/>
                  <w:right w:w="108" w:type="dxa"/>
                </w:tblCellMar>
              </w:tblPrEx>
              <w:trPr>
                <w:trHeight w:val="480"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不焚烧垃圾、树叶等杂物</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每发现一处次不符合扣0.5分。</w:t>
                  </w:r>
                </w:p>
              </w:tc>
            </w:tr>
            <w:tr>
              <w:tblPrEx>
                <w:tblCellMar>
                  <w:top w:w="0" w:type="dxa"/>
                  <w:left w:w="108" w:type="dxa"/>
                  <w:bottom w:w="0" w:type="dxa"/>
                  <w:right w:w="108" w:type="dxa"/>
                </w:tblCellMar>
              </w:tblPrEx>
              <w:trPr>
                <w:trHeight w:val="480"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16</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作业时不产生扬尘</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每发现一处次不符合扣0.5分。</w:t>
                  </w:r>
                </w:p>
              </w:tc>
            </w:tr>
            <w:tr>
              <w:tblPrEx>
                <w:tblCellMar>
                  <w:top w:w="0" w:type="dxa"/>
                  <w:left w:w="108" w:type="dxa"/>
                  <w:bottom w:w="0" w:type="dxa"/>
                  <w:right w:w="108" w:type="dxa"/>
                </w:tblCellMar>
              </w:tblPrEx>
              <w:trPr>
                <w:trHeight w:val="585"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17</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xml:space="preserve">无白色污染 </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责任区范围内无树挂和白色污染。每发现一处次不符合扣0.5分。</w:t>
                  </w:r>
                </w:p>
              </w:tc>
            </w:tr>
            <w:tr>
              <w:tblPrEx>
                <w:tblCellMar>
                  <w:top w:w="0" w:type="dxa"/>
                  <w:left w:w="108" w:type="dxa"/>
                  <w:bottom w:w="0" w:type="dxa"/>
                  <w:right w:w="108" w:type="dxa"/>
                </w:tblCellMar>
              </w:tblPrEx>
              <w:trPr>
                <w:trHeight w:val="480"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18</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xml:space="preserve">垃圾收集作业无垃圾、渗沥液遗洒 </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每发现一处次不符合扣0.5分。</w:t>
                  </w:r>
                </w:p>
              </w:tc>
            </w:tr>
            <w:tr>
              <w:tblPrEx>
                <w:tblCellMar>
                  <w:top w:w="0" w:type="dxa"/>
                  <w:left w:w="108" w:type="dxa"/>
                  <w:bottom w:w="0" w:type="dxa"/>
                  <w:right w:w="108" w:type="dxa"/>
                </w:tblCellMar>
              </w:tblPrEx>
              <w:trPr>
                <w:trHeight w:val="480"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19</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xml:space="preserve">无臭味 </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责任区范围内等无异味。每发现一处次不符合扣0.5分。</w:t>
                  </w:r>
                </w:p>
              </w:tc>
            </w:tr>
            <w:tr>
              <w:tblPrEx>
                <w:tblCellMar>
                  <w:top w:w="0" w:type="dxa"/>
                  <w:left w:w="108" w:type="dxa"/>
                  <w:bottom w:w="0" w:type="dxa"/>
                  <w:right w:w="108" w:type="dxa"/>
                </w:tblCellMar>
              </w:tblPrEx>
              <w:trPr>
                <w:trHeight w:val="780" w:hRule="atLeast"/>
              </w:trPr>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安全与应急（0.1）</w:t>
                  </w:r>
                </w:p>
              </w:tc>
              <w:tc>
                <w:tcPr>
                  <w:tcW w:w="850"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安全</w:t>
                  </w:r>
                  <w:r>
                    <w:rPr>
                      <w:rFonts w:hint="eastAsia" w:ascii="宋体" w:hAnsi="宋体" w:cs="宋体"/>
                      <w:kern w:val="0"/>
                      <w:szCs w:val="21"/>
                    </w:rPr>
                    <w:br w:type="textWrapping"/>
                  </w:r>
                  <w:r>
                    <w:rPr>
                      <w:rFonts w:hint="eastAsia" w:ascii="宋体" w:hAnsi="宋体" w:cs="宋体"/>
                      <w:kern w:val="0"/>
                      <w:szCs w:val="21"/>
                    </w:rPr>
                    <w:t>生产（0.5）</w:t>
                  </w: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按规定使用安全警示标志</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作业车辆警示标志齐全，作业时要开启警示标志，按规定使用。每发现一处次不符合扣0.5分。</w:t>
                  </w:r>
                </w:p>
              </w:tc>
            </w:tr>
            <w:tr>
              <w:tblPrEx>
                <w:tblCellMar>
                  <w:top w:w="0" w:type="dxa"/>
                  <w:left w:w="108" w:type="dxa"/>
                  <w:bottom w:w="0" w:type="dxa"/>
                  <w:right w:w="108" w:type="dxa"/>
                </w:tblCellMar>
              </w:tblPrEx>
              <w:trPr>
                <w:trHeight w:val="672"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21</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路面作业人员按要求穿着有警示标识的服装</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路面作业人员路面作业时，要统一穿着有警示标识的服装，摆放警示牌，确保安全。每发现一处次不符合扣0.5分。</w:t>
                  </w:r>
                </w:p>
              </w:tc>
            </w:tr>
            <w:tr>
              <w:tblPrEx>
                <w:tblCellMar>
                  <w:top w:w="0" w:type="dxa"/>
                  <w:left w:w="108" w:type="dxa"/>
                  <w:bottom w:w="0" w:type="dxa"/>
                  <w:right w:w="108" w:type="dxa"/>
                </w:tblCellMar>
              </w:tblPrEx>
              <w:trPr>
                <w:trHeight w:val="1560" w:hRule="atLeast"/>
              </w:trPr>
              <w:tc>
                <w:tcPr>
                  <w:tcW w:w="85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85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应急</w:t>
                  </w:r>
                  <w:r>
                    <w:rPr>
                      <w:rFonts w:hint="eastAsia" w:ascii="宋体" w:hAnsi="宋体" w:cs="宋体"/>
                      <w:kern w:val="0"/>
                      <w:szCs w:val="21"/>
                    </w:rPr>
                    <w:br w:type="textWrapping"/>
                  </w:r>
                  <w:r>
                    <w:rPr>
                      <w:rFonts w:hint="eastAsia" w:ascii="宋体" w:hAnsi="宋体" w:cs="宋体"/>
                      <w:kern w:val="0"/>
                      <w:szCs w:val="21"/>
                    </w:rPr>
                    <w:t>处置（0.5）</w:t>
                  </w:r>
                </w:p>
              </w:tc>
              <w:tc>
                <w:tcPr>
                  <w:tcW w:w="5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22</w:t>
                  </w:r>
                </w:p>
              </w:tc>
              <w:tc>
                <w:tcPr>
                  <w:tcW w:w="313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遇环境卫生突发事件启动应急预案,及时处置</w:t>
                  </w:r>
                </w:p>
              </w:tc>
              <w:tc>
                <w:tcPr>
                  <w:tcW w:w="65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374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遇突发事件，应启动应急预案,及时处置，及时记录。记录内容包括时间、地点、状况、原因、处理结果等信息；（突发事件包括：大面积遗撒或积水结冰、安全事故、自然灾害和影响道路正常通行的有关环境卫生其他事件等。）每发现一处次不符合扣4.0分。</w:t>
                  </w:r>
                </w:p>
              </w:tc>
            </w:tr>
            <w:tr>
              <w:tblPrEx>
                <w:tblCellMar>
                  <w:top w:w="0" w:type="dxa"/>
                  <w:left w:w="108" w:type="dxa"/>
                  <w:bottom w:w="0" w:type="dxa"/>
                  <w:right w:w="108" w:type="dxa"/>
                </w:tblCellMar>
              </w:tblPrEx>
              <w:trPr>
                <w:trHeight w:val="360" w:hRule="atLeast"/>
              </w:trPr>
              <w:tc>
                <w:tcPr>
                  <w:tcW w:w="9781" w:type="dxa"/>
                  <w:gridSpan w:val="6"/>
                  <w:tcBorders>
                    <w:top w:val="single" w:color="auto" w:sz="8" w:space="0"/>
                    <w:left w:val="nil"/>
                    <w:bottom w:val="nil"/>
                    <w:right w:val="nil"/>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标准说明：</w:t>
                  </w:r>
                </w:p>
              </w:tc>
            </w:tr>
            <w:tr>
              <w:tblPrEx>
                <w:tblCellMar>
                  <w:top w:w="0" w:type="dxa"/>
                  <w:left w:w="108" w:type="dxa"/>
                  <w:bottom w:w="0" w:type="dxa"/>
                  <w:right w:w="108" w:type="dxa"/>
                </w:tblCellMar>
              </w:tblPrEx>
              <w:trPr>
                <w:trHeight w:val="360" w:hRule="atLeast"/>
              </w:trPr>
              <w:tc>
                <w:tcPr>
                  <w:tcW w:w="9781" w:type="dxa"/>
                  <w:gridSpan w:val="6"/>
                  <w:tcBorders>
                    <w:top w:val="nil"/>
                    <w:left w:val="nil"/>
                    <w:bottom w:val="nil"/>
                    <w:right w:val="nil"/>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1. 一旦发生严重违背生产运行管理要求，造成恶劣影响（指被媒体点名、居民反映强烈或领导批示）的事件，则2级指标“作业规范”1项为零分。</w:t>
                  </w:r>
                </w:p>
              </w:tc>
            </w:tr>
            <w:tr>
              <w:tblPrEx>
                <w:tblCellMar>
                  <w:top w:w="0" w:type="dxa"/>
                  <w:left w:w="108" w:type="dxa"/>
                  <w:bottom w:w="0" w:type="dxa"/>
                  <w:right w:w="108" w:type="dxa"/>
                </w:tblCellMar>
              </w:tblPrEx>
              <w:trPr>
                <w:trHeight w:val="360" w:hRule="atLeast"/>
              </w:trPr>
              <w:tc>
                <w:tcPr>
                  <w:tcW w:w="9781" w:type="dxa"/>
                  <w:gridSpan w:val="6"/>
                  <w:tcBorders>
                    <w:top w:val="nil"/>
                    <w:left w:val="nil"/>
                    <w:bottom w:val="nil"/>
                    <w:right w:val="nil"/>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2. 一旦发生环境污染等恶劣影响事件（指领导批示、居民反映强烈或被媒体点名，经核实对环境造成影响），则2级指标“环境影响”1项为零分。</w:t>
                  </w:r>
                </w:p>
              </w:tc>
            </w:tr>
            <w:tr>
              <w:tblPrEx>
                <w:tblCellMar>
                  <w:top w:w="0" w:type="dxa"/>
                  <w:left w:w="108" w:type="dxa"/>
                  <w:bottom w:w="0" w:type="dxa"/>
                  <w:right w:w="108" w:type="dxa"/>
                </w:tblCellMar>
              </w:tblPrEx>
              <w:trPr>
                <w:trHeight w:val="360" w:hRule="atLeast"/>
              </w:trPr>
              <w:tc>
                <w:tcPr>
                  <w:tcW w:w="9781" w:type="dxa"/>
                  <w:gridSpan w:val="6"/>
                  <w:tcBorders>
                    <w:top w:val="nil"/>
                    <w:left w:val="nil"/>
                    <w:bottom w:val="nil"/>
                    <w:right w:val="nil"/>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3. 一旦发生一般以上有责任工伤、火灾、爆炸等安全事故，反馈信息不及时，则2级指标“应急处置”1项为零分。</w:t>
                  </w:r>
                </w:p>
              </w:tc>
            </w:tr>
            <w:tr>
              <w:tblPrEx>
                <w:tblCellMar>
                  <w:top w:w="0" w:type="dxa"/>
                  <w:left w:w="108" w:type="dxa"/>
                  <w:bottom w:w="0" w:type="dxa"/>
                  <w:right w:w="108" w:type="dxa"/>
                </w:tblCellMar>
              </w:tblPrEx>
              <w:trPr>
                <w:trHeight w:val="360" w:hRule="atLeast"/>
              </w:trPr>
              <w:tc>
                <w:tcPr>
                  <w:tcW w:w="9781" w:type="dxa"/>
                  <w:gridSpan w:val="6"/>
                  <w:tcBorders>
                    <w:top w:val="nil"/>
                    <w:left w:val="nil"/>
                    <w:bottom w:val="nil"/>
                    <w:right w:val="nil"/>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4.括号中数据为各层级的权重。</w:t>
                  </w:r>
                </w:p>
                <w:p>
                  <w:pPr>
                    <w:pStyle w:val="313"/>
                    <w:widowControl/>
                    <w:ind w:left="360" w:firstLine="0" w:firstLineChars="0"/>
                    <w:jc w:val="left"/>
                    <w:rPr>
                      <w:rFonts w:ascii="宋体" w:hAnsi="宋体" w:cs="宋体"/>
                      <w:kern w:val="0"/>
                      <w:szCs w:val="21"/>
                    </w:rPr>
                  </w:pPr>
                </w:p>
                <w:p>
                  <w:pPr>
                    <w:pStyle w:val="313"/>
                    <w:widowControl/>
                    <w:ind w:left="360" w:firstLine="0" w:firstLineChars="0"/>
                    <w:jc w:val="left"/>
                    <w:rPr>
                      <w:rFonts w:ascii="宋体" w:hAnsi="宋体" w:cs="宋体"/>
                      <w:kern w:val="0"/>
                      <w:szCs w:val="21"/>
                    </w:rPr>
                  </w:pPr>
                </w:p>
                <w:p>
                  <w:pPr>
                    <w:pStyle w:val="313"/>
                    <w:widowControl/>
                    <w:ind w:left="360" w:firstLine="0" w:firstLineChars="0"/>
                    <w:jc w:val="left"/>
                    <w:rPr>
                      <w:rFonts w:ascii="宋体" w:hAnsi="宋体" w:cs="宋体"/>
                      <w:kern w:val="0"/>
                      <w:szCs w:val="21"/>
                    </w:rPr>
                  </w:pPr>
                </w:p>
              </w:tc>
            </w:tr>
          </w:tbl>
          <w:p>
            <w:pPr>
              <w:widowControl/>
              <w:jc w:val="left"/>
              <w:rPr>
                <w:rFonts w:ascii="宋体" w:hAnsi="宋体" w:cs="宋体"/>
                <w:kern w:val="0"/>
                <w:szCs w:val="21"/>
              </w:rPr>
            </w:pPr>
          </w:p>
        </w:tc>
      </w:tr>
    </w:tbl>
    <w:p>
      <w:pPr>
        <w:spacing w:line="360" w:lineRule="auto"/>
        <w:ind w:firstLine="420" w:firstLineChars="200"/>
        <w:jc w:val="left"/>
        <w:rPr>
          <w:szCs w:val="21"/>
        </w:rPr>
      </w:pPr>
    </w:p>
    <w:p>
      <w:pPr>
        <w:spacing w:line="360" w:lineRule="auto"/>
        <w:ind w:firstLine="420" w:firstLineChars="200"/>
        <w:jc w:val="left"/>
        <w:rPr>
          <w:szCs w:val="21"/>
        </w:rPr>
        <w:sectPr>
          <w:pgSz w:w="11906" w:h="16838"/>
          <w:pgMar w:top="1440" w:right="1701" w:bottom="1361" w:left="1797" w:header="851" w:footer="992" w:gutter="0"/>
          <w:cols w:space="425" w:num="1"/>
          <w:docGrid w:linePitch="312" w:charSpace="0"/>
        </w:sectPr>
      </w:pPr>
    </w:p>
    <w:tbl>
      <w:tblPr>
        <w:tblStyle w:val="46"/>
        <w:tblW w:w="9640" w:type="dxa"/>
        <w:tblInd w:w="-318" w:type="dxa"/>
        <w:tblLayout w:type="fixed"/>
        <w:tblCellMar>
          <w:top w:w="0" w:type="dxa"/>
          <w:left w:w="108" w:type="dxa"/>
          <w:bottom w:w="0" w:type="dxa"/>
          <w:right w:w="108" w:type="dxa"/>
        </w:tblCellMar>
      </w:tblPr>
      <w:tblGrid>
        <w:gridCol w:w="852"/>
        <w:gridCol w:w="992"/>
        <w:gridCol w:w="567"/>
        <w:gridCol w:w="1134"/>
        <w:gridCol w:w="709"/>
        <w:gridCol w:w="5386"/>
      </w:tblGrid>
      <w:tr>
        <w:tblPrEx>
          <w:tblCellMar>
            <w:top w:w="0" w:type="dxa"/>
            <w:left w:w="108" w:type="dxa"/>
            <w:bottom w:w="0" w:type="dxa"/>
            <w:right w:w="108" w:type="dxa"/>
          </w:tblCellMar>
        </w:tblPrEx>
        <w:trPr>
          <w:trHeight w:val="615" w:hRule="atLeast"/>
        </w:trPr>
        <w:tc>
          <w:tcPr>
            <w:tcW w:w="9640" w:type="dxa"/>
            <w:gridSpan w:val="6"/>
            <w:tcBorders>
              <w:top w:val="nil"/>
              <w:left w:val="nil"/>
              <w:bottom w:val="nil"/>
              <w:right w:val="nil"/>
            </w:tcBorders>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石景山区属地环境卫生管理检查考核评分标准</w:t>
            </w:r>
          </w:p>
        </w:tc>
      </w:tr>
      <w:tr>
        <w:tblPrEx>
          <w:tblCellMar>
            <w:top w:w="0" w:type="dxa"/>
            <w:left w:w="108" w:type="dxa"/>
            <w:bottom w:w="0" w:type="dxa"/>
            <w:right w:w="108" w:type="dxa"/>
          </w:tblCellMar>
        </w:tblPrEx>
        <w:trPr>
          <w:trHeight w:val="319" w:hRule="atLeast"/>
        </w:trPr>
        <w:tc>
          <w:tcPr>
            <w:tcW w:w="85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一级</w:t>
            </w:r>
          </w:p>
        </w:tc>
        <w:tc>
          <w:tcPr>
            <w:tcW w:w="99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二级</w:t>
            </w:r>
          </w:p>
        </w:tc>
        <w:tc>
          <w:tcPr>
            <w:tcW w:w="56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113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三级</w:t>
            </w:r>
          </w:p>
        </w:tc>
        <w:tc>
          <w:tcPr>
            <w:tcW w:w="709" w:type="dxa"/>
            <w:tcBorders>
              <w:top w:val="single" w:color="auto" w:sz="8" w:space="0"/>
              <w:left w:val="nil"/>
              <w:bottom w:val="nil"/>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检查</w:t>
            </w:r>
          </w:p>
        </w:tc>
        <w:tc>
          <w:tcPr>
            <w:tcW w:w="5386"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条文说明</w:t>
            </w:r>
          </w:p>
        </w:tc>
      </w:tr>
      <w:tr>
        <w:tblPrEx>
          <w:tblCellMar>
            <w:top w:w="0" w:type="dxa"/>
            <w:left w:w="108" w:type="dxa"/>
            <w:bottom w:w="0" w:type="dxa"/>
            <w:right w:w="108" w:type="dxa"/>
          </w:tblCellMar>
        </w:tblPrEx>
        <w:trPr>
          <w:trHeight w:val="319" w:hRule="atLeast"/>
        </w:trPr>
        <w:tc>
          <w:tcPr>
            <w:tcW w:w="852"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宋体" w:hAnsi="宋体" w:cs="宋体"/>
                <w:b/>
                <w:bCs/>
                <w:kern w:val="0"/>
                <w:szCs w:val="21"/>
              </w:rPr>
            </w:pPr>
          </w:p>
        </w:tc>
        <w:tc>
          <w:tcPr>
            <w:tcW w:w="992"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宋体" w:hAnsi="宋体" w:cs="宋体"/>
                <w:b/>
                <w:bCs/>
                <w:kern w:val="0"/>
                <w:szCs w:val="21"/>
              </w:rPr>
            </w:pPr>
          </w:p>
        </w:tc>
        <w:tc>
          <w:tcPr>
            <w:tcW w:w="567"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宋体" w:hAnsi="宋体" w:cs="宋体"/>
                <w:b/>
                <w:bCs/>
                <w:kern w:val="0"/>
                <w:szCs w:val="21"/>
              </w:rPr>
            </w:pPr>
          </w:p>
        </w:tc>
        <w:tc>
          <w:tcPr>
            <w:tcW w:w="1134"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宋体" w:hAnsi="宋体" w:cs="宋体"/>
                <w:b/>
                <w:bCs/>
                <w:kern w:val="0"/>
                <w:szCs w:val="21"/>
              </w:rPr>
            </w:pP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周期</w:t>
            </w:r>
          </w:p>
        </w:tc>
        <w:tc>
          <w:tcPr>
            <w:tcW w:w="5386"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宋体" w:hAnsi="宋体" w:cs="宋体"/>
                <w:b/>
                <w:bCs/>
                <w:kern w:val="0"/>
                <w:szCs w:val="21"/>
              </w:rPr>
            </w:pPr>
          </w:p>
        </w:tc>
      </w:tr>
      <w:tr>
        <w:tblPrEx>
          <w:tblCellMar>
            <w:top w:w="0" w:type="dxa"/>
            <w:left w:w="108" w:type="dxa"/>
            <w:bottom w:w="0" w:type="dxa"/>
            <w:right w:w="108" w:type="dxa"/>
          </w:tblCellMar>
        </w:tblPrEx>
        <w:trPr>
          <w:trHeight w:val="615" w:hRule="atLeast"/>
        </w:trPr>
        <w:tc>
          <w:tcPr>
            <w:tcW w:w="85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行业</w:t>
            </w:r>
          </w:p>
          <w:p>
            <w:pPr>
              <w:widowControl/>
              <w:jc w:val="center"/>
              <w:rPr>
                <w:rFonts w:ascii="宋体" w:hAnsi="宋体" w:cs="宋体"/>
                <w:kern w:val="0"/>
                <w:szCs w:val="21"/>
              </w:rPr>
            </w:pPr>
            <w:r>
              <w:rPr>
                <w:rFonts w:hint="eastAsia" w:ascii="宋体" w:hAnsi="宋体" w:cs="宋体"/>
                <w:kern w:val="0"/>
                <w:szCs w:val="21"/>
              </w:rPr>
              <w:t>管理</w:t>
            </w:r>
            <w:r>
              <w:rPr>
                <w:rFonts w:hint="eastAsia" w:ascii="宋体" w:hAnsi="宋体" w:cs="宋体"/>
                <w:kern w:val="0"/>
                <w:szCs w:val="21"/>
              </w:rPr>
              <w:br w:type="textWrapping"/>
            </w:r>
            <w:r>
              <w:rPr>
                <w:rFonts w:hint="eastAsia" w:ascii="宋体" w:hAnsi="宋体" w:cs="宋体"/>
                <w:kern w:val="0"/>
                <w:szCs w:val="21"/>
              </w:rPr>
              <w:t>（0.5）</w:t>
            </w:r>
          </w:p>
        </w:tc>
        <w:tc>
          <w:tcPr>
            <w:tcW w:w="99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基础管理情况</w:t>
            </w:r>
            <w:r>
              <w:rPr>
                <w:rFonts w:hint="eastAsia" w:ascii="宋体" w:hAnsi="宋体" w:cs="宋体"/>
                <w:kern w:val="0"/>
                <w:szCs w:val="21"/>
              </w:rPr>
              <w:br w:type="textWrapping"/>
            </w:r>
            <w:r>
              <w:rPr>
                <w:rFonts w:hint="eastAsia" w:ascii="宋体" w:hAnsi="宋体" w:cs="宋体"/>
                <w:kern w:val="0"/>
                <w:szCs w:val="21"/>
              </w:rPr>
              <w:t>（0.5）</w:t>
            </w:r>
          </w:p>
        </w:tc>
        <w:tc>
          <w:tcPr>
            <w:tcW w:w="56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建立行业管理台账</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5386" w:type="dxa"/>
            <w:tcBorders>
              <w:top w:val="nil"/>
              <w:left w:val="nil"/>
              <w:bottom w:val="single" w:color="auto" w:sz="8" w:space="0"/>
              <w:right w:val="single" w:color="auto" w:sz="8" w:space="0"/>
            </w:tcBorders>
            <w:shd w:val="clear" w:color="auto" w:fill="auto"/>
            <w:vAlign w:val="center"/>
          </w:tcPr>
          <w:p>
            <w:pPr>
              <w:widowControl/>
              <w:rPr>
                <w:rFonts w:ascii="宋体" w:hAnsi="宋体" w:cs="宋体"/>
                <w:kern w:val="0"/>
                <w:szCs w:val="21"/>
              </w:rPr>
            </w:pPr>
            <w:r>
              <w:rPr>
                <w:rFonts w:hint="eastAsia" w:ascii="宋体" w:hAnsi="宋体" w:cs="宋体"/>
                <w:kern w:val="0"/>
                <w:szCs w:val="21"/>
              </w:rPr>
              <w:t>具备作业、管理、问题、建设工地等各项基础台账，台账内容完整、准确，台账更新信息及时报送，报送格式符合相关要求。</w:t>
            </w:r>
            <w:r>
              <w:rPr>
                <w:rFonts w:hint="eastAsia" w:ascii="宋体" w:hAnsi="宋体" w:cs="宋体"/>
                <w:b/>
                <w:bCs/>
                <w:kern w:val="0"/>
                <w:szCs w:val="21"/>
              </w:rPr>
              <w:t>每发现一处次不符合扣3分。</w:t>
            </w:r>
          </w:p>
        </w:tc>
      </w:tr>
      <w:tr>
        <w:tblPrEx>
          <w:tblCellMar>
            <w:top w:w="0" w:type="dxa"/>
            <w:left w:w="108" w:type="dxa"/>
            <w:bottom w:w="0" w:type="dxa"/>
            <w:right w:w="108" w:type="dxa"/>
          </w:tblCellMar>
        </w:tblPrEx>
        <w:trPr>
          <w:trHeight w:val="615" w:hRule="atLeast"/>
        </w:trPr>
        <w:tc>
          <w:tcPr>
            <w:tcW w:w="85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99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56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信息管理</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月</w:t>
            </w:r>
          </w:p>
        </w:tc>
        <w:tc>
          <w:tcPr>
            <w:tcW w:w="5386" w:type="dxa"/>
            <w:tcBorders>
              <w:top w:val="nil"/>
              <w:left w:val="nil"/>
              <w:bottom w:val="single" w:color="auto" w:sz="8" w:space="0"/>
              <w:right w:val="single" w:color="auto" w:sz="8" w:space="0"/>
            </w:tcBorders>
            <w:shd w:val="clear" w:color="auto" w:fill="auto"/>
            <w:vAlign w:val="center"/>
          </w:tcPr>
          <w:p>
            <w:pPr>
              <w:widowControl/>
              <w:rPr>
                <w:rFonts w:ascii="宋体" w:hAnsi="宋体" w:cs="宋体"/>
                <w:kern w:val="0"/>
                <w:szCs w:val="21"/>
              </w:rPr>
            </w:pPr>
            <w:r>
              <w:rPr>
                <w:rFonts w:hint="eastAsia" w:ascii="宋体" w:hAnsi="宋体" w:cs="宋体"/>
                <w:kern w:val="0"/>
                <w:szCs w:val="21"/>
              </w:rPr>
              <w:t>及时报送重点工作的实时信息，内容丰富，语言准确，逻辑清晰，每月不少于2篇，(含市容环境管理、建筑垃圾综合管理）。</w:t>
            </w:r>
            <w:r>
              <w:rPr>
                <w:rFonts w:hint="eastAsia" w:ascii="宋体" w:hAnsi="宋体" w:cs="宋体"/>
                <w:b/>
                <w:bCs/>
                <w:kern w:val="0"/>
                <w:szCs w:val="21"/>
              </w:rPr>
              <w:t>未报送扣3分，质量不符合要求扣2分。</w:t>
            </w:r>
          </w:p>
        </w:tc>
      </w:tr>
      <w:tr>
        <w:tblPrEx>
          <w:tblCellMar>
            <w:top w:w="0" w:type="dxa"/>
            <w:left w:w="108" w:type="dxa"/>
            <w:bottom w:w="0" w:type="dxa"/>
            <w:right w:w="108" w:type="dxa"/>
          </w:tblCellMar>
        </w:tblPrEx>
        <w:trPr>
          <w:trHeight w:val="630" w:hRule="atLeast"/>
        </w:trPr>
        <w:tc>
          <w:tcPr>
            <w:tcW w:w="85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99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56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及时报送</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5386" w:type="dxa"/>
            <w:tcBorders>
              <w:top w:val="nil"/>
              <w:left w:val="nil"/>
              <w:bottom w:val="single" w:color="auto" w:sz="8" w:space="0"/>
              <w:right w:val="single" w:color="auto" w:sz="8" w:space="0"/>
            </w:tcBorders>
            <w:shd w:val="clear" w:color="auto" w:fill="auto"/>
            <w:vAlign w:val="center"/>
          </w:tcPr>
          <w:p>
            <w:pPr>
              <w:widowControl/>
              <w:rPr>
                <w:rFonts w:ascii="宋体" w:hAnsi="宋体" w:cs="宋体"/>
                <w:kern w:val="0"/>
                <w:szCs w:val="21"/>
              </w:rPr>
            </w:pPr>
            <w:r>
              <w:rPr>
                <w:rFonts w:hint="eastAsia" w:ascii="宋体" w:hAnsi="宋体" w:cs="宋体"/>
                <w:kern w:val="0"/>
                <w:szCs w:val="21"/>
              </w:rPr>
              <w:t>按照相关报送要求报送各类报表，内容真实、准确，与实际情况相符。</w:t>
            </w:r>
            <w:r>
              <w:rPr>
                <w:rFonts w:hint="eastAsia" w:ascii="宋体" w:hAnsi="宋体" w:cs="宋体"/>
                <w:b/>
                <w:bCs/>
                <w:kern w:val="0"/>
                <w:szCs w:val="21"/>
              </w:rPr>
              <w:t>每发现一处次不符合扣3分。</w:t>
            </w:r>
          </w:p>
        </w:tc>
      </w:tr>
      <w:tr>
        <w:tblPrEx>
          <w:tblCellMar>
            <w:top w:w="0" w:type="dxa"/>
            <w:left w:w="108" w:type="dxa"/>
            <w:bottom w:w="0" w:type="dxa"/>
            <w:right w:w="108" w:type="dxa"/>
          </w:tblCellMar>
        </w:tblPrEx>
        <w:trPr>
          <w:trHeight w:val="615" w:hRule="atLeast"/>
        </w:trPr>
        <w:tc>
          <w:tcPr>
            <w:tcW w:w="85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99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56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工作任务按规定完成</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5386" w:type="dxa"/>
            <w:tcBorders>
              <w:top w:val="nil"/>
              <w:left w:val="nil"/>
              <w:bottom w:val="single" w:color="auto" w:sz="8" w:space="0"/>
              <w:right w:val="single" w:color="auto" w:sz="8" w:space="0"/>
            </w:tcBorders>
            <w:shd w:val="clear" w:color="auto" w:fill="auto"/>
            <w:vAlign w:val="center"/>
          </w:tcPr>
          <w:p>
            <w:pPr>
              <w:widowControl/>
              <w:rPr>
                <w:rFonts w:ascii="宋体" w:hAnsi="宋体" w:cs="宋体"/>
                <w:kern w:val="0"/>
                <w:szCs w:val="21"/>
              </w:rPr>
            </w:pPr>
            <w:r>
              <w:rPr>
                <w:rFonts w:hint="eastAsia" w:ascii="宋体" w:hAnsi="宋体" w:cs="宋体"/>
                <w:kern w:val="0"/>
                <w:szCs w:val="21"/>
              </w:rPr>
              <w:t>指市级环卫行业主管部门要求的重要的或有时限要求的工作。</w:t>
            </w:r>
            <w:r>
              <w:rPr>
                <w:rFonts w:hint="eastAsia" w:ascii="宋体" w:hAnsi="宋体" w:cs="宋体"/>
                <w:b/>
                <w:bCs/>
                <w:kern w:val="0"/>
                <w:szCs w:val="21"/>
              </w:rPr>
              <w:t>每发现一处次不符合扣3分。</w:t>
            </w:r>
          </w:p>
        </w:tc>
      </w:tr>
      <w:tr>
        <w:tblPrEx>
          <w:tblCellMar>
            <w:top w:w="0" w:type="dxa"/>
            <w:left w:w="108" w:type="dxa"/>
            <w:bottom w:w="0" w:type="dxa"/>
            <w:right w:w="108" w:type="dxa"/>
          </w:tblCellMar>
        </w:tblPrEx>
        <w:trPr>
          <w:trHeight w:val="585" w:hRule="atLeast"/>
        </w:trPr>
        <w:tc>
          <w:tcPr>
            <w:tcW w:w="85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99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自查</w:t>
            </w:r>
          </w:p>
          <w:p>
            <w:pPr>
              <w:widowControl/>
              <w:jc w:val="center"/>
              <w:rPr>
                <w:rFonts w:ascii="宋体" w:hAnsi="宋体" w:cs="宋体"/>
                <w:kern w:val="0"/>
                <w:szCs w:val="21"/>
              </w:rPr>
            </w:pPr>
            <w:r>
              <w:rPr>
                <w:rFonts w:hint="eastAsia" w:ascii="宋体" w:hAnsi="宋体" w:cs="宋体"/>
                <w:kern w:val="0"/>
                <w:szCs w:val="21"/>
              </w:rPr>
              <w:t>情况</w:t>
            </w:r>
            <w:r>
              <w:rPr>
                <w:rFonts w:hint="eastAsia" w:ascii="宋体" w:hAnsi="宋体" w:cs="宋体"/>
                <w:kern w:val="0"/>
                <w:szCs w:val="21"/>
              </w:rPr>
              <w:br w:type="textWrapping"/>
            </w:r>
            <w:r>
              <w:rPr>
                <w:rFonts w:hint="eastAsia" w:ascii="宋体" w:hAnsi="宋体" w:cs="宋体"/>
                <w:kern w:val="0"/>
                <w:szCs w:val="21"/>
              </w:rPr>
              <w:t>（0.3）</w:t>
            </w:r>
          </w:p>
        </w:tc>
        <w:tc>
          <w:tcPr>
            <w:tcW w:w="56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具备完善自查体系</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月</w:t>
            </w:r>
          </w:p>
        </w:tc>
        <w:tc>
          <w:tcPr>
            <w:tcW w:w="5386" w:type="dxa"/>
            <w:tcBorders>
              <w:top w:val="nil"/>
              <w:left w:val="nil"/>
              <w:bottom w:val="single" w:color="auto" w:sz="8" w:space="0"/>
              <w:right w:val="single" w:color="auto" w:sz="8" w:space="0"/>
            </w:tcBorders>
            <w:shd w:val="clear" w:color="auto" w:fill="auto"/>
            <w:vAlign w:val="center"/>
          </w:tcPr>
          <w:p>
            <w:pPr>
              <w:widowControl/>
              <w:rPr>
                <w:rFonts w:ascii="宋体" w:hAnsi="宋体" w:cs="宋体"/>
                <w:kern w:val="0"/>
                <w:szCs w:val="21"/>
              </w:rPr>
            </w:pPr>
            <w:r>
              <w:rPr>
                <w:rFonts w:hint="eastAsia" w:ascii="宋体" w:hAnsi="宋体" w:cs="宋体"/>
                <w:kern w:val="0"/>
                <w:szCs w:val="21"/>
              </w:rPr>
              <w:t>具备检查队伍、检查办法、检查标准、检查规范、检查记录、问题反馈途径等，资料真实、准确、齐全。</w:t>
            </w:r>
            <w:r>
              <w:rPr>
                <w:rFonts w:hint="eastAsia" w:ascii="宋体" w:hAnsi="宋体" w:cs="宋体"/>
                <w:b/>
                <w:bCs/>
                <w:kern w:val="0"/>
                <w:szCs w:val="21"/>
              </w:rPr>
              <w:t>每发现一处次不符合扣4分。</w:t>
            </w:r>
          </w:p>
        </w:tc>
      </w:tr>
      <w:tr>
        <w:tblPrEx>
          <w:tblCellMar>
            <w:top w:w="0" w:type="dxa"/>
            <w:left w:w="108" w:type="dxa"/>
            <w:bottom w:w="0" w:type="dxa"/>
            <w:right w:w="108" w:type="dxa"/>
          </w:tblCellMar>
        </w:tblPrEx>
        <w:trPr>
          <w:trHeight w:val="900" w:hRule="atLeast"/>
        </w:trPr>
        <w:tc>
          <w:tcPr>
            <w:tcW w:w="85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99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56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开展自查</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5386" w:type="dxa"/>
            <w:tcBorders>
              <w:top w:val="nil"/>
              <w:left w:val="nil"/>
              <w:bottom w:val="single" w:color="auto" w:sz="8" w:space="0"/>
              <w:right w:val="single" w:color="auto" w:sz="8" w:space="0"/>
            </w:tcBorders>
            <w:shd w:val="clear" w:color="auto" w:fill="auto"/>
            <w:vAlign w:val="center"/>
          </w:tcPr>
          <w:p>
            <w:pPr>
              <w:widowControl/>
              <w:rPr>
                <w:rFonts w:ascii="宋体" w:hAnsi="宋体" w:cs="宋体"/>
                <w:kern w:val="0"/>
                <w:szCs w:val="21"/>
              </w:rPr>
            </w:pPr>
            <w:r>
              <w:rPr>
                <w:rFonts w:hint="eastAsia" w:ascii="宋体" w:hAnsi="宋体" w:cs="宋体"/>
                <w:kern w:val="0"/>
                <w:szCs w:val="21"/>
              </w:rPr>
              <w:t>针对各作业项目、建设工地、门前三包及其他责任区开展相应检查, 检查项目全覆盖，检查结果及时通报，资料真实、准确、齐全。每月最少开展一次建筑垃圾综合管理专项执法，</w:t>
            </w:r>
            <w:r>
              <w:rPr>
                <w:rFonts w:hint="eastAsia" w:ascii="宋体" w:hAnsi="宋体" w:cs="宋体"/>
                <w:b/>
                <w:bCs/>
                <w:kern w:val="0"/>
                <w:szCs w:val="21"/>
              </w:rPr>
              <w:t>每发现一处次不符合扣3分。</w:t>
            </w:r>
          </w:p>
        </w:tc>
      </w:tr>
      <w:tr>
        <w:tblPrEx>
          <w:tblCellMar>
            <w:top w:w="0" w:type="dxa"/>
            <w:left w:w="108" w:type="dxa"/>
            <w:bottom w:w="0" w:type="dxa"/>
            <w:right w:w="108" w:type="dxa"/>
          </w:tblCellMar>
        </w:tblPrEx>
        <w:trPr>
          <w:trHeight w:val="690" w:hRule="atLeast"/>
        </w:trPr>
        <w:tc>
          <w:tcPr>
            <w:tcW w:w="85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99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问题整改反馈情况</w:t>
            </w:r>
            <w:r>
              <w:rPr>
                <w:rFonts w:hint="eastAsia" w:ascii="宋体" w:hAnsi="宋体" w:cs="宋体"/>
                <w:kern w:val="0"/>
                <w:szCs w:val="21"/>
              </w:rPr>
              <w:br w:type="textWrapping"/>
            </w:r>
            <w:r>
              <w:rPr>
                <w:rFonts w:hint="eastAsia" w:ascii="宋体" w:hAnsi="宋体" w:cs="宋体"/>
                <w:kern w:val="0"/>
                <w:szCs w:val="21"/>
              </w:rPr>
              <w:t>（0.2）</w:t>
            </w:r>
          </w:p>
        </w:tc>
        <w:tc>
          <w:tcPr>
            <w:tcW w:w="56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具备问题整改反馈体系</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5386" w:type="dxa"/>
            <w:tcBorders>
              <w:top w:val="nil"/>
              <w:left w:val="nil"/>
              <w:bottom w:val="single" w:color="auto" w:sz="8" w:space="0"/>
              <w:right w:val="single" w:color="auto" w:sz="8" w:space="0"/>
            </w:tcBorders>
            <w:shd w:val="clear" w:color="auto" w:fill="auto"/>
            <w:vAlign w:val="center"/>
          </w:tcPr>
          <w:p>
            <w:pPr>
              <w:widowControl/>
              <w:rPr>
                <w:rFonts w:ascii="宋体" w:hAnsi="宋体" w:cs="宋体"/>
                <w:kern w:val="0"/>
                <w:szCs w:val="21"/>
              </w:rPr>
            </w:pPr>
            <w:r>
              <w:rPr>
                <w:rFonts w:hint="eastAsia" w:ascii="宋体" w:hAnsi="宋体" w:cs="宋体"/>
                <w:kern w:val="0"/>
                <w:szCs w:val="21"/>
              </w:rPr>
              <w:t>具备问题收集渠道，确定不同问题的处理方式。资料真实、准确、齐全。</w:t>
            </w:r>
            <w:r>
              <w:rPr>
                <w:rFonts w:hint="eastAsia" w:ascii="宋体" w:hAnsi="宋体" w:cs="宋体"/>
                <w:b/>
                <w:bCs/>
                <w:kern w:val="0"/>
                <w:szCs w:val="21"/>
              </w:rPr>
              <w:t>每发现一处次不符合扣3分。</w:t>
            </w:r>
          </w:p>
        </w:tc>
      </w:tr>
      <w:tr>
        <w:tblPrEx>
          <w:tblCellMar>
            <w:top w:w="0" w:type="dxa"/>
            <w:left w:w="108" w:type="dxa"/>
            <w:bottom w:w="0" w:type="dxa"/>
            <w:right w:w="108" w:type="dxa"/>
          </w:tblCellMar>
        </w:tblPrEx>
        <w:trPr>
          <w:trHeight w:val="615" w:hRule="atLeast"/>
        </w:trPr>
        <w:tc>
          <w:tcPr>
            <w:tcW w:w="85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99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56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问题整改反馈</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5386" w:type="dxa"/>
            <w:tcBorders>
              <w:top w:val="nil"/>
              <w:left w:val="nil"/>
              <w:bottom w:val="single" w:color="auto" w:sz="8" w:space="0"/>
              <w:right w:val="single" w:color="auto" w:sz="8" w:space="0"/>
            </w:tcBorders>
            <w:shd w:val="clear" w:color="auto" w:fill="auto"/>
            <w:vAlign w:val="center"/>
          </w:tcPr>
          <w:p>
            <w:pPr>
              <w:widowControl/>
              <w:rPr>
                <w:rFonts w:ascii="宋体" w:hAnsi="宋体" w:cs="宋体"/>
                <w:kern w:val="0"/>
                <w:szCs w:val="21"/>
              </w:rPr>
            </w:pPr>
            <w:r>
              <w:rPr>
                <w:rFonts w:hint="eastAsia" w:ascii="宋体" w:hAnsi="宋体" w:cs="宋体"/>
                <w:kern w:val="0"/>
                <w:szCs w:val="21"/>
              </w:rPr>
              <w:t>发生的问题能够及时处理。</w:t>
            </w:r>
            <w:r>
              <w:rPr>
                <w:rFonts w:hint="eastAsia" w:ascii="宋体" w:hAnsi="宋体" w:cs="宋体"/>
                <w:b/>
                <w:bCs/>
                <w:kern w:val="0"/>
                <w:szCs w:val="21"/>
              </w:rPr>
              <w:t>每发现一处次不符合扣2分。</w:t>
            </w:r>
          </w:p>
        </w:tc>
      </w:tr>
      <w:tr>
        <w:tblPrEx>
          <w:tblCellMar>
            <w:top w:w="0" w:type="dxa"/>
            <w:left w:w="108" w:type="dxa"/>
            <w:bottom w:w="0" w:type="dxa"/>
            <w:right w:w="108" w:type="dxa"/>
          </w:tblCellMar>
        </w:tblPrEx>
        <w:trPr>
          <w:trHeight w:val="615" w:hRule="atLeast"/>
        </w:trPr>
        <w:tc>
          <w:tcPr>
            <w:tcW w:w="85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检查</w:t>
            </w:r>
          </w:p>
          <w:p>
            <w:pPr>
              <w:widowControl/>
              <w:jc w:val="center"/>
              <w:rPr>
                <w:rFonts w:ascii="宋体" w:hAnsi="宋体" w:cs="宋体"/>
                <w:kern w:val="0"/>
                <w:szCs w:val="21"/>
              </w:rPr>
            </w:pPr>
            <w:r>
              <w:rPr>
                <w:rFonts w:hint="eastAsia" w:ascii="宋体" w:hAnsi="宋体" w:cs="宋体"/>
                <w:kern w:val="0"/>
                <w:szCs w:val="21"/>
              </w:rPr>
              <w:t>情况</w:t>
            </w:r>
            <w:r>
              <w:rPr>
                <w:rFonts w:hint="eastAsia" w:ascii="宋体" w:hAnsi="宋体" w:cs="宋体"/>
                <w:kern w:val="0"/>
                <w:szCs w:val="21"/>
              </w:rPr>
              <w:br w:type="textWrapping"/>
            </w:r>
            <w:r>
              <w:rPr>
                <w:rFonts w:hint="eastAsia" w:ascii="宋体" w:hAnsi="宋体" w:cs="宋体"/>
                <w:kern w:val="0"/>
                <w:szCs w:val="21"/>
              </w:rPr>
              <w:t>（0.5）</w:t>
            </w:r>
          </w:p>
        </w:tc>
        <w:tc>
          <w:tcPr>
            <w:tcW w:w="99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现场检查情况</w:t>
            </w:r>
            <w:r>
              <w:rPr>
                <w:rFonts w:hint="eastAsia" w:ascii="宋体" w:hAnsi="宋体" w:cs="宋体"/>
                <w:kern w:val="0"/>
                <w:szCs w:val="21"/>
              </w:rPr>
              <w:br w:type="textWrapping"/>
            </w:r>
            <w:r>
              <w:rPr>
                <w:rFonts w:hint="eastAsia" w:ascii="宋体" w:hAnsi="宋体" w:cs="宋体"/>
                <w:kern w:val="0"/>
                <w:szCs w:val="21"/>
              </w:rPr>
              <w:t>（1.0）</w:t>
            </w:r>
          </w:p>
        </w:tc>
        <w:tc>
          <w:tcPr>
            <w:tcW w:w="56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责任落实</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5386" w:type="dxa"/>
            <w:tcBorders>
              <w:top w:val="nil"/>
              <w:left w:val="nil"/>
              <w:bottom w:val="single" w:color="auto" w:sz="8" w:space="0"/>
              <w:right w:val="single" w:color="auto" w:sz="8" w:space="0"/>
            </w:tcBorders>
            <w:shd w:val="clear" w:color="auto" w:fill="auto"/>
            <w:vAlign w:val="center"/>
          </w:tcPr>
          <w:p>
            <w:pPr>
              <w:widowControl/>
              <w:rPr>
                <w:rFonts w:ascii="宋体" w:hAnsi="宋体" w:cs="宋体"/>
                <w:kern w:val="0"/>
                <w:szCs w:val="21"/>
              </w:rPr>
            </w:pPr>
            <w:r>
              <w:rPr>
                <w:rFonts w:hint="eastAsia" w:ascii="宋体" w:hAnsi="宋体" w:cs="宋体"/>
                <w:kern w:val="0"/>
                <w:szCs w:val="21"/>
              </w:rPr>
              <w:t>责任区之间、区域交接处等责任明确，无长时间存在或同一点位一直存在的问题死角。</w:t>
            </w:r>
            <w:r>
              <w:rPr>
                <w:rFonts w:hint="eastAsia" w:ascii="宋体" w:hAnsi="宋体" w:cs="宋体"/>
                <w:b/>
                <w:bCs/>
                <w:kern w:val="0"/>
                <w:szCs w:val="21"/>
              </w:rPr>
              <w:t>每发现一处次不符合扣5分。</w:t>
            </w:r>
          </w:p>
        </w:tc>
      </w:tr>
      <w:tr>
        <w:tblPrEx>
          <w:tblCellMar>
            <w:top w:w="0" w:type="dxa"/>
            <w:left w:w="108" w:type="dxa"/>
            <w:bottom w:w="0" w:type="dxa"/>
            <w:right w:w="108" w:type="dxa"/>
          </w:tblCellMar>
        </w:tblPrEx>
        <w:trPr>
          <w:trHeight w:val="615" w:hRule="atLeast"/>
        </w:trPr>
        <w:tc>
          <w:tcPr>
            <w:tcW w:w="85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99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56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环境卫生责任书签订</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5386" w:type="dxa"/>
            <w:tcBorders>
              <w:top w:val="nil"/>
              <w:left w:val="nil"/>
              <w:bottom w:val="single" w:color="auto" w:sz="8" w:space="0"/>
              <w:right w:val="single" w:color="auto" w:sz="8" w:space="0"/>
            </w:tcBorders>
            <w:shd w:val="clear" w:color="auto" w:fill="auto"/>
            <w:vAlign w:val="center"/>
          </w:tcPr>
          <w:p>
            <w:pPr>
              <w:widowControl/>
              <w:rPr>
                <w:rFonts w:ascii="宋体" w:hAnsi="宋体" w:cs="宋体"/>
                <w:kern w:val="0"/>
                <w:szCs w:val="21"/>
              </w:rPr>
            </w:pPr>
            <w:r>
              <w:rPr>
                <w:rFonts w:hint="eastAsia" w:ascii="宋体" w:hAnsi="宋体" w:cs="宋体"/>
                <w:kern w:val="0"/>
                <w:szCs w:val="21"/>
              </w:rPr>
              <w:t>组织管理环境卫生责任书签订落实。</w:t>
            </w:r>
            <w:r>
              <w:rPr>
                <w:rFonts w:hint="eastAsia" w:ascii="宋体" w:hAnsi="宋体" w:cs="宋体"/>
                <w:b/>
                <w:bCs/>
                <w:kern w:val="0"/>
                <w:szCs w:val="21"/>
              </w:rPr>
              <w:t>每发现一处次不符合扣2分。</w:t>
            </w:r>
          </w:p>
        </w:tc>
      </w:tr>
      <w:tr>
        <w:tblPrEx>
          <w:tblCellMar>
            <w:top w:w="0" w:type="dxa"/>
            <w:left w:w="108" w:type="dxa"/>
            <w:bottom w:w="0" w:type="dxa"/>
            <w:right w:w="108" w:type="dxa"/>
          </w:tblCellMar>
        </w:tblPrEx>
        <w:trPr>
          <w:trHeight w:val="615" w:hRule="atLeast"/>
        </w:trPr>
        <w:tc>
          <w:tcPr>
            <w:tcW w:w="85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99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56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环卫作业体系运转有效</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5386" w:type="dxa"/>
            <w:tcBorders>
              <w:top w:val="nil"/>
              <w:left w:val="nil"/>
              <w:bottom w:val="single" w:color="auto" w:sz="8" w:space="0"/>
              <w:right w:val="single" w:color="auto" w:sz="8" w:space="0"/>
            </w:tcBorders>
            <w:shd w:val="clear" w:color="auto" w:fill="auto"/>
            <w:vAlign w:val="center"/>
          </w:tcPr>
          <w:p>
            <w:pPr>
              <w:widowControl/>
              <w:rPr>
                <w:rFonts w:ascii="宋体" w:hAnsi="宋体" w:cs="宋体"/>
                <w:kern w:val="0"/>
                <w:szCs w:val="21"/>
              </w:rPr>
            </w:pPr>
            <w:r>
              <w:rPr>
                <w:rFonts w:hint="eastAsia" w:ascii="宋体" w:hAnsi="宋体" w:cs="宋体"/>
                <w:kern w:val="0"/>
                <w:szCs w:val="21"/>
              </w:rPr>
              <w:t>生活垃圾、大件垃圾、废旧家电、装修垃圾等要定点、定时清理，具备规范的作业体系。</w:t>
            </w:r>
            <w:r>
              <w:rPr>
                <w:rFonts w:hint="eastAsia" w:ascii="宋体" w:hAnsi="宋体" w:cs="宋体"/>
                <w:b/>
                <w:bCs/>
                <w:kern w:val="0"/>
                <w:szCs w:val="21"/>
              </w:rPr>
              <w:t>每发现有以上垃圾积存、暴露一处次扣3分。</w:t>
            </w:r>
          </w:p>
        </w:tc>
      </w:tr>
      <w:tr>
        <w:tblPrEx>
          <w:tblCellMar>
            <w:top w:w="0" w:type="dxa"/>
            <w:left w:w="108" w:type="dxa"/>
            <w:bottom w:w="0" w:type="dxa"/>
            <w:right w:w="108" w:type="dxa"/>
          </w:tblCellMar>
        </w:tblPrEx>
        <w:trPr>
          <w:trHeight w:val="615" w:hRule="atLeast"/>
        </w:trPr>
        <w:tc>
          <w:tcPr>
            <w:tcW w:w="85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99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56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环境秩序问题</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5386" w:type="dxa"/>
            <w:tcBorders>
              <w:top w:val="nil"/>
              <w:left w:val="nil"/>
              <w:bottom w:val="single" w:color="auto" w:sz="8" w:space="0"/>
              <w:right w:val="single" w:color="auto" w:sz="8" w:space="0"/>
            </w:tcBorders>
            <w:shd w:val="clear" w:color="auto" w:fill="auto"/>
            <w:vAlign w:val="center"/>
          </w:tcPr>
          <w:p>
            <w:pPr>
              <w:widowControl/>
              <w:rPr>
                <w:rFonts w:ascii="宋体" w:hAnsi="宋体" w:cs="宋体"/>
                <w:kern w:val="0"/>
                <w:szCs w:val="21"/>
              </w:rPr>
            </w:pPr>
            <w:r>
              <w:rPr>
                <w:rFonts w:hint="eastAsia" w:ascii="宋体" w:hAnsi="宋体" w:cs="宋体"/>
                <w:kern w:val="0"/>
                <w:szCs w:val="21"/>
              </w:rPr>
              <w:t>占道经营、乱设摊点、乱涂乱画乱张贴、乱停乱放、道路遗撒等影响环境卫生作业，造成环境卫生脏乱差。</w:t>
            </w:r>
            <w:r>
              <w:rPr>
                <w:rFonts w:hint="eastAsia" w:ascii="宋体" w:hAnsi="宋体" w:cs="宋体"/>
                <w:b/>
                <w:bCs/>
                <w:kern w:val="0"/>
                <w:szCs w:val="21"/>
              </w:rPr>
              <w:t>每发现一处次不符合扣3分。</w:t>
            </w:r>
          </w:p>
        </w:tc>
      </w:tr>
      <w:tr>
        <w:tblPrEx>
          <w:tblCellMar>
            <w:top w:w="0" w:type="dxa"/>
            <w:left w:w="108" w:type="dxa"/>
            <w:bottom w:w="0" w:type="dxa"/>
            <w:right w:w="108" w:type="dxa"/>
          </w:tblCellMar>
        </w:tblPrEx>
        <w:trPr>
          <w:trHeight w:val="615" w:hRule="atLeast"/>
        </w:trPr>
        <w:tc>
          <w:tcPr>
            <w:tcW w:w="85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992"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kern w:val="0"/>
                <w:szCs w:val="21"/>
              </w:rPr>
            </w:pPr>
          </w:p>
        </w:tc>
        <w:tc>
          <w:tcPr>
            <w:tcW w:w="56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13</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其他突出问题</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日</w:t>
            </w:r>
          </w:p>
        </w:tc>
        <w:tc>
          <w:tcPr>
            <w:tcW w:w="5386" w:type="dxa"/>
            <w:tcBorders>
              <w:top w:val="nil"/>
              <w:left w:val="nil"/>
              <w:bottom w:val="single" w:color="auto" w:sz="8" w:space="0"/>
              <w:right w:val="single" w:color="auto" w:sz="8" w:space="0"/>
            </w:tcBorders>
            <w:shd w:val="clear" w:color="auto" w:fill="auto"/>
            <w:vAlign w:val="center"/>
          </w:tcPr>
          <w:p>
            <w:pPr>
              <w:widowControl/>
              <w:rPr>
                <w:rFonts w:ascii="宋体" w:hAnsi="宋体" w:cs="宋体"/>
                <w:b/>
                <w:bCs/>
                <w:kern w:val="0"/>
                <w:szCs w:val="21"/>
              </w:rPr>
            </w:pPr>
            <w:r>
              <w:rPr>
                <w:rFonts w:hint="eastAsia" w:ascii="宋体" w:hAnsi="宋体" w:cs="宋体"/>
                <w:b/>
                <w:bCs/>
                <w:kern w:val="0"/>
                <w:szCs w:val="21"/>
              </w:rPr>
              <w:t>每发现一处次不符合扣3分。</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entury Gothic">
    <w:panose1 w:val="020B0502020202020204"/>
    <w:charset w:val="00"/>
    <w:family w:val="swiss"/>
    <w:pitch w:val="default"/>
    <w:sig w:usb0="00000287" w:usb1="00000000" w:usb2="00000000" w:usb3="00000000" w:csb0="2000009F" w:csb1="DFD7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81BDB"/>
    <w:multiLevelType w:val="singleLevel"/>
    <w:tmpl w:val="8AE81BDB"/>
    <w:lvl w:ilvl="0" w:tentative="0">
      <w:start w:val="2"/>
      <w:numFmt w:val="decimal"/>
      <w:suff w:val="nothing"/>
      <w:lvlText w:val="%1．"/>
      <w:lvlJc w:val="left"/>
    </w:lvl>
  </w:abstractNum>
  <w:abstractNum w:abstractNumId="1">
    <w:nsid w:val="ECAD2BC9"/>
    <w:multiLevelType w:val="singleLevel"/>
    <w:tmpl w:val="ECAD2BC9"/>
    <w:lvl w:ilvl="0" w:tentative="0">
      <w:start w:val="1"/>
      <w:numFmt w:val="decimal"/>
      <w:suff w:val="nothing"/>
      <w:lvlText w:val="%1）"/>
      <w:lvlJc w:val="left"/>
    </w:lvl>
  </w:abstractNum>
  <w:abstractNum w:abstractNumId="2">
    <w:nsid w:val="00000001"/>
    <w:multiLevelType w:val="singleLevel"/>
    <w:tmpl w:val="00000001"/>
    <w:lvl w:ilvl="0" w:tentative="0">
      <w:start w:val="1"/>
      <w:numFmt w:val="bullet"/>
      <w:pStyle w:val="18"/>
      <w:lvlText w:val=""/>
      <w:lvlJc w:val="left"/>
      <w:pPr>
        <w:tabs>
          <w:tab w:val="left" w:pos="1200"/>
        </w:tabs>
        <w:ind w:left="1200" w:hanging="360"/>
      </w:pPr>
      <w:rPr>
        <w:rFonts w:hint="default" w:ascii="Wingdings" w:hAnsi="Wingdings"/>
      </w:rPr>
    </w:lvl>
  </w:abstractNum>
  <w:abstractNum w:abstractNumId="3">
    <w:nsid w:val="0000000A"/>
    <w:multiLevelType w:val="multilevel"/>
    <w:tmpl w:val="0000000A"/>
    <w:lvl w:ilvl="0" w:tentative="0">
      <w:start w:val="1"/>
      <w:numFmt w:val="decimal"/>
      <w:pStyle w:val="131"/>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D"/>
    <w:multiLevelType w:val="multilevel"/>
    <w:tmpl w:val="0000000D"/>
    <w:lvl w:ilvl="0" w:tentative="0">
      <w:start w:val="1"/>
      <w:numFmt w:val="lowerLetter"/>
      <w:pStyle w:val="203"/>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5">
    <w:nsid w:val="00000013"/>
    <w:multiLevelType w:val="singleLevel"/>
    <w:tmpl w:val="00000013"/>
    <w:lvl w:ilvl="0" w:tentative="0">
      <w:start w:val="1"/>
      <w:numFmt w:val="decimal"/>
      <w:pStyle w:val="175"/>
      <w:lvlText w:val="%1."/>
      <w:lvlJc w:val="left"/>
      <w:pPr>
        <w:tabs>
          <w:tab w:val="left" w:pos="360"/>
        </w:tabs>
        <w:ind w:left="360" w:hanging="360"/>
      </w:pPr>
      <w:rPr>
        <w:rFonts w:hint="default"/>
      </w:rPr>
    </w:lvl>
  </w:abstractNum>
  <w:abstractNum w:abstractNumId="6">
    <w:nsid w:val="00000014"/>
    <w:multiLevelType w:val="multilevel"/>
    <w:tmpl w:val="00000014"/>
    <w:lvl w:ilvl="0" w:tentative="0">
      <w:start w:val="1"/>
      <w:numFmt w:val="decimal"/>
      <w:pStyle w:val="273"/>
      <w:lvlText w:val="%1、"/>
      <w:lvlJc w:val="left"/>
      <w:pPr>
        <w:tabs>
          <w:tab w:val="left" w:pos="648"/>
        </w:tabs>
        <w:ind w:left="648" w:hanging="360"/>
      </w:pPr>
      <w:rPr>
        <w:rFonts w:hint="default"/>
      </w:rPr>
    </w:lvl>
    <w:lvl w:ilvl="1" w:tentative="0">
      <w:start w:val="1"/>
      <w:numFmt w:val="lowerLetter"/>
      <w:lvlText w:val="%2)"/>
      <w:lvlJc w:val="left"/>
      <w:pPr>
        <w:tabs>
          <w:tab w:val="left" w:pos="1128"/>
        </w:tabs>
        <w:ind w:left="1128" w:hanging="420"/>
      </w:pPr>
    </w:lvl>
    <w:lvl w:ilvl="2" w:tentative="0">
      <w:start w:val="1"/>
      <w:numFmt w:val="lowerRoman"/>
      <w:lvlText w:val="%3."/>
      <w:lvlJc w:val="right"/>
      <w:pPr>
        <w:tabs>
          <w:tab w:val="left" w:pos="1548"/>
        </w:tabs>
        <w:ind w:left="1548" w:hanging="420"/>
      </w:pPr>
    </w:lvl>
    <w:lvl w:ilvl="3" w:tentative="0">
      <w:start w:val="1"/>
      <w:numFmt w:val="decimal"/>
      <w:lvlText w:val="%4."/>
      <w:lvlJc w:val="left"/>
      <w:pPr>
        <w:tabs>
          <w:tab w:val="left" w:pos="1968"/>
        </w:tabs>
        <w:ind w:left="1968" w:hanging="420"/>
      </w:pPr>
    </w:lvl>
    <w:lvl w:ilvl="4" w:tentative="0">
      <w:start w:val="1"/>
      <w:numFmt w:val="lowerLetter"/>
      <w:lvlText w:val="%5)"/>
      <w:lvlJc w:val="left"/>
      <w:pPr>
        <w:tabs>
          <w:tab w:val="left" w:pos="2388"/>
        </w:tabs>
        <w:ind w:left="2388" w:hanging="420"/>
      </w:pPr>
    </w:lvl>
    <w:lvl w:ilvl="5" w:tentative="0">
      <w:start w:val="1"/>
      <w:numFmt w:val="lowerRoman"/>
      <w:lvlText w:val="%6."/>
      <w:lvlJc w:val="right"/>
      <w:pPr>
        <w:tabs>
          <w:tab w:val="left" w:pos="2808"/>
        </w:tabs>
        <w:ind w:left="2808" w:hanging="420"/>
      </w:pPr>
    </w:lvl>
    <w:lvl w:ilvl="6" w:tentative="0">
      <w:start w:val="1"/>
      <w:numFmt w:val="decimal"/>
      <w:lvlText w:val="%7."/>
      <w:lvlJc w:val="left"/>
      <w:pPr>
        <w:tabs>
          <w:tab w:val="left" w:pos="3228"/>
        </w:tabs>
        <w:ind w:left="3228" w:hanging="420"/>
      </w:pPr>
    </w:lvl>
    <w:lvl w:ilvl="7" w:tentative="0">
      <w:start w:val="1"/>
      <w:numFmt w:val="lowerLetter"/>
      <w:lvlText w:val="%8)"/>
      <w:lvlJc w:val="left"/>
      <w:pPr>
        <w:tabs>
          <w:tab w:val="left" w:pos="3648"/>
        </w:tabs>
        <w:ind w:left="3648" w:hanging="420"/>
      </w:pPr>
    </w:lvl>
    <w:lvl w:ilvl="8" w:tentative="0">
      <w:start w:val="1"/>
      <w:numFmt w:val="lowerRoman"/>
      <w:lvlText w:val="%9."/>
      <w:lvlJc w:val="right"/>
      <w:pPr>
        <w:tabs>
          <w:tab w:val="left" w:pos="4068"/>
        </w:tabs>
        <w:ind w:left="4068" w:hanging="420"/>
      </w:pPr>
    </w:lvl>
  </w:abstractNum>
  <w:abstractNum w:abstractNumId="7">
    <w:nsid w:val="00000026"/>
    <w:multiLevelType w:val="multilevel"/>
    <w:tmpl w:val="00000026"/>
    <w:lvl w:ilvl="0" w:tentative="0">
      <w:start w:val="1"/>
      <w:numFmt w:val="decimal"/>
      <w:pStyle w:val="125"/>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24"/>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61"/>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60"/>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68"/>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81"/>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45"/>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8">
    <w:nsid w:val="0000002F"/>
    <w:multiLevelType w:val="multilevel"/>
    <w:tmpl w:val="0000002F"/>
    <w:lvl w:ilvl="0" w:tentative="0">
      <w:start w:val="1"/>
      <w:numFmt w:val="decimal"/>
      <w:pStyle w:val="130"/>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E230849"/>
    <w:multiLevelType w:val="multilevel"/>
    <w:tmpl w:val="0E230849"/>
    <w:lvl w:ilvl="0" w:tentative="0">
      <w:start w:val="1"/>
      <w:numFmt w:val="decimal"/>
      <w:pStyle w:val="228"/>
      <w:lvlText w:val="%1"/>
      <w:lvlJc w:val="left"/>
      <w:pPr>
        <w:ind w:left="680" w:hanging="680"/>
      </w:pPr>
      <w:rPr>
        <w:rFonts w:hint="eastAsia" w:ascii="宋体" w:hAnsi="宋体" w:eastAsia="宋体"/>
      </w:rPr>
    </w:lvl>
    <w:lvl w:ilvl="1" w:tentative="0">
      <w:start w:val="1"/>
      <w:numFmt w:val="decimal"/>
      <w:pStyle w:val="229"/>
      <w:lvlText w:val="%1.%2"/>
      <w:lvlJc w:val="left"/>
      <w:pPr>
        <w:ind w:left="851" w:hanging="851"/>
      </w:pPr>
      <w:rPr>
        <w:rFonts w:hint="eastAsia" w:ascii="宋体" w:hAnsi="宋体" w:eastAsia="宋体"/>
        <w:color w:val="auto"/>
      </w:rPr>
    </w:lvl>
    <w:lvl w:ilvl="2" w:tentative="0">
      <w:start w:val="1"/>
      <w:numFmt w:val="decimal"/>
      <w:pStyle w:val="230"/>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num w:numId="1">
    <w:abstractNumId w:val="2"/>
  </w:num>
  <w:num w:numId="2">
    <w:abstractNumId w:val="7"/>
  </w:num>
  <w:num w:numId="3">
    <w:abstractNumId w:val="8"/>
  </w:num>
  <w:num w:numId="4">
    <w:abstractNumId w:val="3"/>
  </w:num>
  <w:num w:numId="5">
    <w:abstractNumId w:val="5"/>
  </w:num>
  <w:num w:numId="6">
    <w:abstractNumId w:val="4"/>
  </w:num>
  <w:num w:numId="7">
    <w:abstractNumId w:val="9"/>
  </w:num>
  <w:num w:numId="8">
    <w:abstractNumId w:val="6"/>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VmMGNlZDU0YmQ3MGQ4OWE5ODkyZGNkZDVhMWFhNzYifQ=="/>
  </w:docVars>
  <w:rsids>
    <w:rsidRoot w:val="00FF3C70"/>
    <w:rsid w:val="00053599"/>
    <w:rsid w:val="000B015F"/>
    <w:rsid w:val="000B7D8F"/>
    <w:rsid w:val="000E38A1"/>
    <w:rsid w:val="00281F16"/>
    <w:rsid w:val="00455BE0"/>
    <w:rsid w:val="00552A92"/>
    <w:rsid w:val="00565FC1"/>
    <w:rsid w:val="00577B5F"/>
    <w:rsid w:val="0067042B"/>
    <w:rsid w:val="006B4C37"/>
    <w:rsid w:val="00821965"/>
    <w:rsid w:val="00870C42"/>
    <w:rsid w:val="0096162C"/>
    <w:rsid w:val="00975B76"/>
    <w:rsid w:val="009B2E35"/>
    <w:rsid w:val="00B550F2"/>
    <w:rsid w:val="00CB457D"/>
    <w:rsid w:val="00EA15D3"/>
    <w:rsid w:val="00EF5C49"/>
    <w:rsid w:val="00F44D3D"/>
    <w:rsid w:val="00FF3C70"/>
    <w:rsid w:val="1E6D52D5"/>
    <w:rsid w:val="28870638"/>
    <w:rsid w:val="2D8C3894"/>
    <w:rsid w:val="54B1567F"/>
    <w:rsid w:val="5A446E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2"/>
    <w:qFormat/>
    <w:uiPriority w:val="0"/>
    <w:pPr>
      <w:keepNext/>
      <w:keepLines/>
      <w:spacing w:before="480" w:after="80"/>
      <w:outlineLvl w:val="0"/>
    </w:pPr>
    <w:rPr>
      <w:rFonts w:asciiTheme="majorHAnsi" w:hAnsiTheme="majorHAnsi" w:eastAsiaTheme="majorEastAsia" w:cstheme="majorBidi"/>
      <w:color w:val="2E75B5" w:themeColor="accent1" w:themeShade="BF"/>
      <w:sz w:val="48"/>
      <w:szCs w:val="48"/>
    </w:rPr>
  </w:style>
  <w:style w:type="paragraph" w:styleId="4">
    <w:name w:val="heading 2"/>
    <w:basedOn w:val="1"/>
    <w:next w:val="1"/>
    <w:link w:val="61"/>
    <w:qFormat/>
    <w:uiPriority w:val="0"/>
    <w:pPr>
      <w:keepNext/>
      <w:keepLines/>
      <w:spacing w:before="260" w:after="260" w:line="413" w:lineRule="auto"/>
      <w:jc w:val="center"/>
      <w:outlineLvl w:val="1"/>
    </w:pPr>
    <w:rPr>
      <w:rFonts w:ascii="Arial" w:hAnsi="Arial" w:cstheme="majorBidi"/>
      <w:sz w:val="32"/>
    </w:rPr>
  </w:style>
  <w:style w:type="paragraph" w:styleId="5">
    <w:name w:val="heading 3"/>
    <w:basedOn w:val="1"/>
    <w:next w:val="1"/>
    <w:link w:val="73"/>
    <w:unhideWhenUsed/>
    <w:qFormat/>
    <w:uiPriority w:val="0"/>
    <w:pPr>
      <w:keepNext/>
      <w:keepLines/>
      <w:spacing w:before="160" w:after="80"/>
      <w:outlineLvl w:val="2"/>
    </w:pPr>
    <w:rPr>
      <w:rFonts w:asciiTheme="majorHAnsi" w:hAnsiTheme="majorHAnsi" w:eastAsiaTheme="majorEastAsia" w:cstheme="majorBidi"/>
      <w:color w:val="2E75B5" w:themeColor="accent1" w:themeShade="BF"/>
      <w:sz w:val="32"/>
      <w:szCs w:val="32"/>
    </w:rPr>
  </w:style>
  <w:style w:type="paragraph" w:styleId="6">
    <w:name w:val="heading 4"/>
    <w:basedOn w:val="1"/>
    <w:next w:val="1"/>
    <w:link w:val="74"/>
    <w:unhideWhenUsed/>
    <w:qFormat/>
    <w:uiPriority w:val="0"/>
    <w:pPr>
      <w:keepNext/>
      <w:keepLines/>
      <w:spacing w:before="80" w:after="40"/>
      <w:outlineLvl w:val="3"/>
    </w:pPr>
    <w:rPr>
      <w:rFonts w:asciiTheme="minorHAnsi" w:hAnsiTheme="minorHAnsi" w:eastAsiaTheme="minorEastAsia" w:cstheme="majorBidi"/>
      <w:color w:val="2E75B5" w:themeColor="accent1" w:themeShade="BF"/>
      <w:sz w:val="28"/>
      <w:szCs w:val="28"/>
    </w:rPr>
  </w:style>
  <w:style w:type="paragraph" w:styleId="7">
    <w:name w:val="heading 5"/>
    <w:basedOn w:val="1"/>
    <w:next w:val="1"/>
    <w:link w:val="75"/>
    <w:unhideWhenUsed/>
    <w:qFormat/>
    <w:uiPriority w:val="0"/>
    <w:pPr>
      <w:keepNext/>
      <w:keepLines/>
      <w:spacing w:before="80" w:after="40"/>
      <w:outlineLvl w:val="4"/>
    </w:pPr>
    <w:rPr>
      <w:rFonts w:asciiTheme="minorHAnsi" w:hAnsiTheme="minorHAnsi" w:eastAsiaTheme="minorEastAsia" w:cstheme="majorBidi"/>
      <w:color w:val="2E75B5" w:themeColor="accent1" w:themeShade="BF"/>
      <w:sz w:val="24"/>
    </w:rPr>
  </w:style>
  <w:style w:type="paragraph" w:styleId="8">
    <w:name w:val="heading 6"/>
    <w:basedOn w:val="1"/>
    <w:next w:val="1"/>
    <w:link w:val="76"/>
    <w:unhideWhenUsed/>
    <w:qFormat/>
    <w:uiPriority w:val="0"/>
    <w:pPr>
      <w:keepNext/>
      <w:keepLines/>
      <w:spacing w:before="40"/>
      <w:outlineLvl w:val="5"/>
    </w:pPr>
    <w:rPr>
      <w:rFonts w:asciiTheme="minorHAnsi" w:hAnsiTheme="minorHAnsi" w:eastAsiaTheme="minorEastAsia" w:cstheme="majorBidi"/>
      <w:b/>
      <w:bCs/>
      <w:color w:val="2E75B5" w:themeColor="accent1" w:themeShade="BF"/>
    </w:rPr>
  </w:style>
  <w:style w:type="paragraph" w:styleId="9">
    <w:name w:val="heading 7"/>
    <w:basedOn w:val="1"/>
    <w:next w:val="1"/>
    <w:link w:val="77"/>
    <w:unhideWhenUsed/>
    <w:qFormat/>
    <w:uiPriority w:val="0"/>
    <w:pPr>
      <w:keepNext/>
      <w:keepLines/>
      <w:spacing w:before="40"/>
      <w:outlineLvl w:val="6"/>
    </w:pPr>
    <w:rPr>
      <w:rFonts w:asciiTheme="minorHAnsi" w:hAnsiTheme="minorHAnsi" w:eastAsiaTheme="minorEastAsia" w:cstheme="majorBidi"/>
      <w:b/>
      <w:bCs/>
      <w:color w:val="585858" w:themeColor="text1" w:themeTint="A6"/>
    </w:rPr>
  </w:style>
  <w:style w:type="paragraph" w:styleId="10">
    <w:name w:val="heading 8"/>
    <w:basedOn w:val="1"/>
    <w:next w:val="1"/>
    <w:link w:val="78"/>
    <w:unhideWhenUsed/>
    <w:qFormat/>
    <w:uiPriority w:val="0"/>
    <w:pPr>
      <w:keepNext/>
      <w:keepLines/>
      <w:outlineLvl w:val="7"/>
    </w:pPr>
    <w:rPr>
      <w:rFonts w:asciiTheme="minorHAnsi" w:hAnsiTheme="minorHAnsi" w:eastAsiaTheme="minorEastAsia" w:cstheme="majorBidi"/>
      <w:color w:val="585858" w:themeColor="text1" w:themeTint="A6"/>
    </w:rPr>
  </w:style>
  <w:style w:type="paragraph" w:styleId="11">
    <w:name w:val="heading 9"/>
    <w:basedOn w:val="1"/>
    <w:next w:val="1"/>
    <w:link w:val="79"/>
    <w:unhideWhenUsed/>
    <w:qFormat/>
    <w:uiPriority w:val="0"/>
    <w:pPr>
      <w:keepNext/>
      <w:keepLines/>
      <w:outlineLvl w:val="8"/>
    </w:pPr>
    <w:rPr>
      <w:rFonts w:asciiTheme="minorHAnsi" w:hAnsiTheme="minorHAnsi" w:eastAsiaTheme="majorEastAsia" w:cstheme="majorBidi"/>
      <w:color w:val="585858" w:themeColor="text1" w:themeTint="A6"/>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64"/>
    <w:qFormat/>
    <w:uiPriority w:val="0"/>
    <w:pPr>
      <w:ind w:firstLine="420"/>
    </w:p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88"/>
    <w:qFormat/>
    <w:uiPriority w:val="0"/>
    <w:pPr>
      <w:shd w:val="clear" w:color="auto" w:fill="000080"/>
    </w:pPr>
  </w:style>
  <w:style w:type="paragraph" w:styleId="15">
    <w:name w:val="toa heading"/>
    <w:basedOn w:val="1"/>
    <w:next w:val="1"/>
    <w:qFormat/>
    <w:uiPriority w:val="0"/>
    <w:pPr>
      <w:spacing w:before="120"/>
    </w:pPr>
    <w:rPr>
      <w:rFonts w:ascii="Arial" w:hAnsi="Arial"/>
      <w:b/>
      <w:bCs/>
    </w:rPr>
  </w:style>
  <w:style w:type="paragraph" w:styleId="16">
    <w:name w:val="annotation text"/>
    <w:basedOn w:val="1"/>
    <w:link w:val="90"/>
    <w:qFormat/>
    <w:uiPriority w:val="0"/>
    <w:pPr>
      <w:jc w:val="left"/>
    </w:pPr>
  </w:style>
  <w:style w:type="paragraph" w:styleId="17">
    <w:name w:val="Body Text 3"/>
    <w:basedOn w:val="1"/>
    <w:link w:val="91"/>
    <w:qFormat/>
    <w:uiPriority w:val="0"/>
    <w:pPr>
      <w:spacing w:after="120"/>
    </w:pPr>
    <w:rPr>
      <w:sz w:val="16"/>
      <w:szCs w:val="16"/>
    </w:rPr>
  </w:style>
  <w:style w:type="paragraph" w:styleId="18">
    <w:name w:val="List Bullet 3"/>
    <w:basedOn w:val="1"/>
    <w:qFormat/>
    <w:uiPriority w:val="0"/>
    <w:pPr>
      <w:numPr>
        <w:ilvl w:val="0"/>
        <w:numId w:val="1"/>
      </w:numPr>
    </w:pPr>
  </w:style>
  <w:style w:type="paragraph" w:styleId="19">
    <w:name w:val="Body Text"/>
    <w:basedOn w:val="1"/>
    <w:link w:val="67"/>
    <w:qFormat/>
    <w:uiPriority w:val="0"/>
    <w:pPr>
      <w:tabs>
        <w:tab w:val="left" w:pos="567"/>
      </w:tabs>
      <w:spacing w:before="120" w:line="22" w:lineRule="atLeast"/>
    </w:pPr>
    <w:rPr>
      <w:rFonts w:ascii="宋体" w:hAnsi="宋体"/>
      <w:sz w:val="24"/>
    </w:rPr>
  </w:style>
  <w:style w:type="paragraph" w:styleId="20">
    <w:name w:val="Body Text Indent"/>
    <w:basedOn w:val="1"/>
    <w:link w:val="68"/>
    <w:unhideWhenUsed/>
    <w:qFormat/>
    <w:uiPriority w:val="0"/>
    <w:pPr>
      <w:spacing w:after="120"/>
      <w:ind w:left="420" w:leftChars="200"/>
    </w:pPr>
  </w:style>
  <w:style w:type="paragraph" w:styleId="21">
    <w:name w:val="List 2"/>
    <w:basedOn w:val="1"/>
    <w:qFormat/>
    <w:uiPriority w:val="0"/>
    <w:pPr>
      <w:spacing w:line="360" w:lineRule="auto"/>
      <w:ind w:left="100" w:leftChars="200" w:hanging="200" w:hangingChars="200"/>
    </w:pPr>
  </w:style>
  <w:style w:type="paragraph" w:styleId="22">
    <w:name w:val="Block Text"/>
    <w:basedOn w:val="1"/>
    <w:qFormat/>
    <w:uiPriority w:val="0"/>
    <w:pPr>
      <w:widowControl/>
      <w:ind w:left="480" w:right="-341" w:firstLine="513"/>
    </w:pPr>
    <w:rPr>
      <w:kern w:val="0"/>
      <w:sz w:val="24"/>
      <w:szCs w:val="20"/>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70"/>
    <w:qFormat/>
    <w:uiPriority w:val="0"/>
    <w:rPr>
      <w:rFonts w:hint="eastAsia" w:ascii="宋体" w:hAnsi="Courier New"/>
    </w:rPr>
  </w:style>
  <w:style w:type="paragraph" w:styleId="26">
    <w:name w:val="toc 8"/>
    <w:basedOn w:val="1"/>
    <w:next w:val="1"/>
    <w:qFormat/>
    <w:uiPriority w:val="0"/>
    <w:pPr>
      <w:ind w:left="2940" w:leftChars="1400"/>
    </w:pPr>
  </w:style>
  <w:style w:type="paragraph" w:styleId="27">
    <w:name w:val="Date"/>
    <w:basedOn w:val="1"/>
    <w:next w:val="1"/>
    <w:link w:val="93"/>
    <w:qFormat/>
    <w:uiPriority w:val="0"/>
    <w:pPr>
      <w:ind w:left="100" w:leftChars="2500"/>
    </w:pPr>
    <w:rPr>
      <w:rFonts w:ascii="仿宋_GB2312" w:hAnsi="宋体" w:eastAsia="仿宋_GB2312"/>
      <w:color w:val="000000"/>
      <w:sz w:val="24"/>
    </w:rPr>
  </w:style>
  <w:style w:type="paragraph" w:styleId="28">
    <w:name w:val="Body Text Indent 2"/>
    <w:basedOn w:val="1"/>
    <w:link w:val="94"/>
    <w:qFormat/>
    <w:uiPriority w:val="0"/>
    <w:pPr>
      <w:ind w:firstLine="480" w:firstLineChars="200"/>
    </w:pPr>
    <w:rPr>
      <w:rFonts w:ascii="仿宋_GB2312" w:eastAsia="仿宋_GB2312"/>
      <w:sz w:val="24"/>
    </w:rPr>
  </w:style>
  <w:style w:type="paragraph" w:styleId="29">
    <w:name w:val="Balloon Text"/>
    <w:basedOn w:val="1"/>
    <w:link w:val="95"/>
    <w:qFormat/>
    <w:uiPriority w:val="99"/>
    <w:rPr>
      <w:sz w:val="18"/>
      <w:szCs w:val="18"/>
    </w:rPr>
  </w:style>
  <w:style w:type="paragraph" w:styleId="30">
    <w:name w:val="footer"/>
    <w:basedOn w:val="1"/>
    <w:link w:val="66"/>
    <w:qFormat/>
    <w:uiPriority w:val="99"/>
    <w:pPr>
      <w:tabs>
        <w:tab w:val="center" w:pos="4153"/>
        <w:tab w:val="right" w:pos="8306"/>
      </w:tabs>
      <w:autoSpaceDE w:val="0"/>
      <w:autoSpaceDN w:val="0"/>
      <w:adjustRightInd w:val="0"/>
      <w:snapToGrid w:val="0"/>
      <w:jc w:val="left"/>
    </w:pPr>
    <w:rPr>
      <w:rFonts w:ascii="宋体"/>
      <w:kern w:val="0"/>
      <w:sz w:val="18"/>
    </w:rPr>
  </w:style>
  <w:style w:type="paragraph" w:styleId="31">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32">
    <w:name w:val="Signature"/>
    <w:basedOn w:val="1"/>
    <w:link w:val="96"/>
    <w:qFormat/>
    <w:uiPriority w:val="0"/>
    <w:pPr>
      <w:adjustRightInd w:val="0"/>
      <w:spacing w:after="600" w:line="312" w:lineRule="atLeast"/>
      <w:jc w:val="center"/>
      <w:textAlignment w:val="baseline"/>
    </w:pPr>
    <w:rPr>
      <w:rFonts w:eastAsia="仿宋_GB2312"/>
      <w:kern w:val="0"/>
      <w:sz w:val="24"/>
      <w:szCs w:val="20"/>
      <w:lang w:val="zh-CN"/>
    </w:rPr>
  </w:style>
  <w:style w:type="paragraph" w:styleId="33">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4">
    <w:name w:val="toc 4"/>
    <w:basedOn w:val="1"/>
    <w:next w:val="1"/>
    <w:qFormat/>
    <w:uiPriority w:val="0"/>
    <w:pPr>
      <w:ind w:left="1260" w:leftChars="600"/>
    </w:pPr>
  </w:style>
  <w:style w:type="paragraph" w:styleId="35">
    <w:name w:val="Subtitle"/>
    <w:basedOn w:val="1"/>
    <w:next w:val="1"/>
    <w:link w:val="81"/>
    <w:qFormat/>
    <w:uiPriority w:val="0"/>
    <w:pPr>
      <w:spacing w:after="160"/>
      <w:jc w:val="center"/>
    </w:pPr>
    <w:rPr>
      <w:rFonts w:asciiTheme="majorHAnsi" w:hAnsiTheme="majorHAnsi" w:eastAsiaTheme="majorEastAsia" w:cstheme="majorBidi"/>
      <w:color w:val="585858" w:themeColor="text1" w:themeTint="A6"/>
      <w:spacing w:val="15"/>
      <w:sz w:val="28"/>
      <w:szCs w:val="28"/>
    </w:rPr>
  </w:style>
  <w:style w:type="paragraph" w:styleId="36">
    <w:name w:val="toc 6"/>
    <w:basedOn w:val="1"/>
    <w:next w:val="1"/>
    <w:qFormat/>
    <w:uiPriority w:val="0"/>
    <w:pPr>
      <w:ind w:left="2100" w:leftChars="1000"/>
    </w:pPr>
  </w:style>
  <w:style w:type="paragraph" w:styleId="37">
    <w:name w:val="Body Text Indent 3"/>
    <w:basedOn w:val="1"/>
    <w:link w:val="97"/>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8">
    <w:name w:val="toc 2"/>
    <w:basedOn w:val="1"/>
    <w:next w:val="1"/>
    <w:qFormat/>
    <w:uiPriority w:val="39"/>
    <w:pPr>
      <w:tabs>
        <w:tab w:val="right" w:leader="dot" w:pos="8937"/>
      </w:tabs>
      <w:spacing w:line="312" w:lineRule="auto"/>
      <w:ind w:left="420" w:leftChars="200"/>
    </w:pPr>
  </w:style>
  <w:style w:type="paragraph" w:styleId="39">
    <w:name w:val="toc 9"/>
    <w:basedOn w:val="1"/>
    <w:next w:val="1"/>
    <w:qFormat/>
    <w:uiPriority w:val="0"/>
    <w:pPr>
      <w:ind w:left="3360" w:leftChars="1600"/>
    </w:pPr>
  </w:style>
  <w:style w:type="paragraph" w:styleId="40">
    <w:name w:val="HTML Preformatted"/>
    <w:basedOn w:val="1"/>
    <w:link w:val="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2">
    <w:name w:val="index 1"/>
    <w:basedOn w:val="1"/>
    <w:next w:val="1"/>
    <w:qFormat/>
    <w:uiPriority w:val="0"/>
    <w:rPr>
      <w:szCs w:val="20"/>
    </w:rPr>
  </w:style>
  <w:style w:type="paragraph" w:styleId="43">
    <w:name w:val="Title"/>
    <w:basedOn w:val="1"/>
    <w:next w:val="1"/>
    <w:link w:val="80"/>
    <w:qFormat/>
    <w:uiPriority w:val="0"/>
    <w:pPr>
      <w:spacing w:after="80"/>
      <w:contextualSpacing/>
      <w:jc w:val="center"/>
    </w:pPr>
    <w:rPr>
      <w:rFonts w:asciiTheme="majorHAnsi" w:hAnsiTheme="majorHAnsi" w:eastAsiaTheme="majorEastAsia" w:cstheme="majorBidi"/>
      <w:spacing w:val="-10"/>
      <w:kern w:val="28"/>
      <w:sz w:val="56"/>
      <w:szCs w:val="56"/>
    </w:rPr>
  </w:style>
  <w:style w:type="paragraph" w:styleId="44">
    <w:name w:val="annotation subject"/>
    <w:basedOn w:val="16"/>
    <w:next w:val="16"/>
    <w:link w:val="99"/>
    <w:qFormat/>
    <w:uiPriority w:val="0"/>
    <w:rPr>
      <w:b/>
      <w:bCs/>
    </w:rPr>
  </w:style>
  <w:style w:type="paragraph" w:styleId="45">
    <w:name w:val="Body Text First Indent 2"/>
    <w:basedOn w:val="20"/>
    <w:link w:val="69"/>
    <w:qFormat/>
    <w:uiPriority w:val="0"/>
    <w:pPr>
      <w:spacing w:after="0"/>
      <w:ind w:left="0" w:leftChars="0" w:firstLine="200" w:firstLineChars="200"/>
    </w:pPr>
  </w:style>
  <w:style w:type="table" w:styleId="47">
    <w:name w:val="Table Grid"/>
    <w:basedOn w:val="46"/>
    <w:qFormat/>
    <w:uiPriority w:val="0"/>
    <w:rPr>
      <w:rFonts w:ascii="Times New Roman" w:hAnsi="Times New Roman" w:eastAsia="宋体" w:cs="Times New Roman"/>
      <w:kern w:val="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48">
    <w:name w:val="Medium Grid 1 Accent 2"/>
    <w:basedOn w:val="46"/>
    <w:qFormat/>
    <w:uiPriority w:val="0"/>
    <w:rPr>
      <w:rFonts w:ascii="Times New Roman" w:hAnsi="Times New Roman" w:eastAsia="宋体" w:cs="Times New Roman"/>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0">
    <w:name w:val="Strong"/>
    <w:qFormat/>
    <w:uiPriority w:val="0"/>
    <w:rPr>
      <w:b/>
      <w:bCs/>
    </w:rPr>
  </w:style>
  <w:style w:type="character" w:styleId="51">
    <w:name w:val="page number"/>
    <w:qFormat/>
    <w:uiPriority w:val="0"/>
  </w:style>
  <w:style w:type="character" w:styleId="52">
    <w:name w:val="FollowedHyperlink"/>
    <w:qFormat/>
    <w:uiPriority w:val="0"/>
    <w:rPr>
      <w:color w:val="800080"/>
      <w:u w:val="single"/>
    </w:rPr>
  </w:style>
  <w:style w:type="character" w:styleId="53">
    <w:name w:val="Emphasis"/>
    <w:qFormat/>
    <w:uiPriority w:val="0"/>
    <w:rPr>
      <w:color w:val="CC0033"/>
    </w:rPr>
  </w:style>
  <w:style w:type="character" w:styleId="54">
    <w:name w:val="Hyperlink"/>
    <w:qFormat/>
    <w:uiPriority w:val="99"/>
    <w:rPr>
      <w:color w:val="0000FF"/>
      <w:u w:val="single"/>
    </w:rPr>
  </w:style>
  <w:style w:type="character" w:styleId="55">
    <w:name w:val="annotation reference"/>
    <w:qFormat/>
    <w:uiPriority w:val="99"/>
    <w:rPr>
      <w:sz w:val="21"/>
      <w:szCs w:val="21"/>
    </w:rPr>
  </w:style>
  <w:style w:type="character" w:styleId="56">
    <w:name w:val="HTML Cite"/>
    <w:qFormat/>
    <w:uiPriority w:val="0"/>
    <w:rPr>
      <w:i/>
      <w:iCs/>
    </w:rPr>
  </w:style>
  <w:style w:type="paragraph" w:customStyle="1" w:styleId="57">
    <w:name w:val="*正文"/>
    <w:basedOn w:val="1"/>
    <w:link w:val="312"/>
    <w:qFormat/>
    <w:uiPriority w:val="0"/>
    <w:pPr>
      <w:spacing w:line="360" w:lineRule="auto"/>
      <w:ind w:firstLine="200" w:firstLineChars="200"/>
    </w:pPr>
    <w:rPr>
      <w:sz w:val="24"/>
      <w:szCs w:val="22"/>
    </w:rPr>
  </w:style>
  <w:style w:type="paragraph" w:customStyle="1" w:styleId="58">
    <w:name w:val="样式 小四"/>
    <w:qFormat/>
    <w:uiPriority w:val="0"/>
    <w:pPr>
      <w:widowControl w:val="0"/>
      <w:adjustRightInd w:val="0"/>
      <w:spacing w:line="360" w:lineRule="atLeast"/>
      <w:textAlignment w:val="baseline"/>
    </w:pPr>
    <w:rPr>
      <w:rFonts w:ascii="Calibri" w:hAnsi="Calibri" w:eastAsia="宋体" w:cs="Arial"/>
      <w:kern w:val="2"/>
      <w:sz w:val="24"/>
      <w:szCs w:val="22"/>
      <w:lang w:val="en-US" w:eastAsia="zh-CN" w:bidi="ar-SA"/>
    </w:rPr>
  </w:style>
  <w:style w:type="paragraph" w:customStyle="1" w:styleId="59">
    <w:name w:val="111"/>
    <w:basedOn w:val="60"/>
    <w:qFormat/>
    <w:uiPriority w:val="0"/>
    <w:pPr>
      <w:tabs>
        <w:tab w:val="left" w:pos="567"/>
      </w:tabs>
      <w:spacing w:line="360" w:lineRule="auto"/>
      <w:jc w:val="center"/>
    </w:pPr>
    <w:rPr>
      <w:b/>
      <w:bCs/>
      <w:sz w:val="28"/>
      <w:szCs w:val="28"/>
    </w:rPr>
  </w:style>
  <w:style w:type="paragraph" w:customStyle="1" w:styleId="60">
    <w:name w:val="样式 标题 2 + 宋体 五号 行距: 单倍行距"/>
    <w:basedOn w:val="4"/>
    <w:qFormat/>
    <w:uiPriority w:val="0"/>
    <w:pPr>
      <w:tabs>
        <w:tab w:val="left" w:pos="567"/>
      </w:tabs>
      <w:adjustRightInd w:val="0"/>
      <w:spacing w:line="240" w:lineRule="auto"/>
      <w:jc w:val="left"/>
      <w:textAlignment w:val="baseline"/>
    </w:pPr>
    <w:rPr>
      <w:rFonts w:ascii="宋体" w:hAnsi="宋体" w:cs="Times New Roman"/>
      <w:sz w:val="21"/>
    </w:rPr>
  </w:style>
  <w:style w:type="character" w:customStyle="1" w:styleId="61">
    <w:name w:val="标题 2 Char1"/>
    <w:basedOn w:val="49"/>
    <w:link w:val="4"/>
    <w:qFormat/>
    <w:uiPriority w:val="0"/>
    <w:rPr>
      <w:rFonts w:ascii="Arial" w:hAnsi="Arial" w:eastAsia="宋体" w:cstheme="majorBidi"/>
      <w:kern w:val="2"/>
      <w:sz w:val="32"/>
    </w:rPr>
  </w:style>
  <w:style w:type="paragraph" w:customStyle="1" w:styleId="62">
    <w:name w:val="Char Char Char1"/>
    <w:basedOn w:val="1"/>
    <w:qFormat/>
    <w:uiPriority w:val="0"/>
    <w:pPr>
      <w:tabs>
        <w:tab w:val="right" w:pos="-2120"/>
      </w:tabs>
      <w:snapToGrid w:val="0"/>
    </w:pPr>
    <w:rPr>
      <w:rFonts w:ascii="Tahoma" w:hAnsi="Tahoma"/>
      <w:spacing w:val="6"/>
      <w:sz w:val="24"/>
    </w:rPr>
  </w:style>
  <w:style w:type="paragraph" w:customStyle="1" w:styleId="63">
    <w:name w:val="Table Paragraph"/>
    <w:basedOn w:val="1"/>
    <w:qFormat/>
    <w:uiPriority w:val="1"/>
    <w:rPr>
      <w:rFonts w:ascii="宋体" w:hAnsi="宋体" w:cs="宋体"/>
      <w:lang w:val="zh-CN" w:bidi="zh-CN"/>
    </w:rPr>
  </w:style>
  <w:style w:type="character" w:customStyle="1" w:styleId="64">
    <w:name w:val="正文缩进 Char1"/>
    <w:link w:val="2"/>
    <w:qFormat/>
    <w:uiPriority w:val="0"/>
    <w:rPr>
      <w:rFonts w:ascii="Calibri" w:hAnsi="Calibri" w:eastAsia="宋体" w:cs="Times New Roman"/>
      <w:kern w:val="2"/>
      <w:sz w:val="21"/>
    </w:rPr>
  </w:style>
  <w:style w:type="character" w:customStyle="1" w:styleId="65">
    <w:name w:val="页眉 Char1"/>
    <w:basedOn w:val="49"/>
    <w:link w:val="31"/>
    <w:qFormat/>
    <w:uiPriority w:val="0"/>
    <w:rPr>
      <w:rFonts w:ascii="Calibri" w:hAnsi="Calibri" w:eastAsia="宋体" w:cs="Times New Roman"/>
      <w:kern w:val="2"/>
      <w:sz w:val="18"/>
      <w:szCs w:val="18"/>
    </w:rPr>
  </w:style>
  <w:style w:type="character" w:customStyle="1" w:styleId="66">
    <w:name w:val="页脚 Char1"/>
    <w:basedOn w:val="49"/>
    <w:link w:val="30"/>
    <w:qFormat/>
    <w:uiPriority w:val="0"/>
    <w:rPr>
      <w:rFonts w:ascii="宋体" w:hAnsi="Calibri" w:eastAsia="宋体" w:cs="Times New Roman"/>
      <w:sz w:val="18"/>
    </w:rPr>
  </w:style>
  <w:style w:type="character" w:customStyle="1" w:styleId="67">
    <w:name w:val="正文文本 Char"/>
    <w:basedOn w:val="49"/>
    <w:link w:val="19"/>
    <w:qFormat/>
    <w:uiPriority w:val="0"/>
    <w:rPr>
      <w:rFonts w:ascii="宋体" w:hAnsi="宋体" w:eastAsia="宋体" w:cs="Times New Roman"/>
      <w:kern w:val="2"/>
      <w:sz w:val="24"/>
    </w:rPr>
  </w:style>
  <w:style w:type="character" w:customStyle="1" w:styleId="68">
    <w:name w:val="正文文本缩进 Char2"/>
    <w:basedOn w:val="49"/>
    <w:link w:val="20"/>
    <w:qFormat/>
    <w:uiPriority w:val="0"/>
    <w:rPr>
      <w:rFonts w:ascii="Calibri" w:hAnsi="Calibri" w:eastAsia="宋体" w:cs="Times New Roman"/>
      <w:kern w:val="2"/>
      <w:sz w:val="21"/>
    </w:rPr>
  </w:style>
  <w:style w:type="character" w:customStyle="1" w:styleId="69">
    <w:name w:val="正文首行缩进 2 Char"/>
    <w:basedOn w:val="68"/>
    <w:link w:val="45"/>
    <w:qFormat/>
    <w:uiPriority w:val="0"/>
    <w:rPr>
      <w:rFonts w:ascii="Times New Roman" w:hAnsi="Times New Roman" w:eastAsia="宋体" w:cs="Times New Roman"/>
      <w:kern w:val="2"/>
      <w:sz w:val="21"/>
    </w:rPr>
  </w:style>
  <w:style w:type="character" w:customStyle="1" w:styleId="70">
    <w:name w:val="纯文本 Char"/>
    <w:basedOn w:val="49"/>
    <w:link w:val="25"/>
    <w:qFormat/>
    <w:uiPriority w:val="99"/>
    <w:rPr>
      <w:rFonts w:ascii="宋体" w:hAnsi="Courier New" w:eastAsia="宋体" w:cs="Times New Roman"/>
      <w:kern w:val="2"/>
      <w:sz w:val="21"/>
    </w:rPr>
  </w:style>
  <w:style w:type="paragraph" w:styleId="71">
    <w:name w:val="List Paragraph"/>
    <w:basedOn w:val="1"/>
    <w:link w:val="117"/>
    <w:qFormat/>
    <w:uiPriority w:val="0"/>
    <w:pPr>
      <w:ind w:firstLine="420" w:firstLineChars="200"/>
    </w:pPr>
  </w:style>
  <w:style w:type="character" w:customStyle="1" w:styleId="72">
    <w:name w:val="标题 1 Char"/>
    <w:basedOn w:val="49"/>
    <w:link w:val="3"/>
    <w:qFormat/>
    <w:uiPriority w:val="0"/>
    <w:rPr>
      <w:rFonts w:asciiTheme="majorHAnsi" w:hAnsiTheme="majorHAnsi" w:eastAsiaTheme="majorEastAsia" w:cstheme="majorBidi"/>
      <w:color w:val="2E75B5" w:themeColor="accent1" w:themeShade="BF"/>
      <w:sz w:val="48"/>
      <w:szCs w:val="48"/>
    </w:rPr>
  </w:style>
  <w:style w:type="character" w:customStyle="1" w:styleId="73">
    <w:name w:val="标题 3 Char1"/>
    <w:basedOn w:val="49"/>
    <w:link w:val="5"/>
    <w:qFormat/>
    <w:uiPriority w:val="0"/>
    <w:rPr>
      <w:rFonts w:asciiTheme="majorHAnsi" w:hAnsiTheme="majorHAnsi" w:eastAsiaTheme="majorEastAsia" w:cstheme="majorBidi"/>
      <w:color w:val="2E75B5" w:themeColor="accent1" w:themeShade="BF"/>
      <w:sz w:val="32"/>
      <w:szCs w:val="32"/>
    </w:rPr>
  </w:style>
  <w:style w:type="character" w:customStyle="1" w:styleId="74">
    <w:name w:val="标题 4 Char"/>
    <w:basedOn w:val="49"/>
    <w:link w:val="6"/>
    <w:qFormat/>
    <w:uiPriority w:val="0"/>
    <w:rPr>
      <w:rFonts w:cstheme="majorBidi"/>
      <w:color w:val="2E75B5" w:themeColor="accent1" w:themeShade="BF"/>
      <w:sz w:val="28"/>
      <w:szCs w:val="28"/>
    </w:rPr>
  </w:style>
  <w:style w:type="character" w:customStyle="1" w:styleId="75">
    <w:name w:val="标题 5 Char"/>
    <w:basedOn w:val="49"/>
    <w:link w:val="7"/>
    <w:qFormat/>
    <w:uiPriority w:val="0"/>
    <w:rPr>
      <w:rFonts w:cstheme="majorBidi"/>
      <w:color w:val="2E75B5" w:themeColor="accent1" w:themeShade="BF"/>
      <w:sz w:val="24"/>
      <w:szCs w:val="24"/>
    </w:rPr>
  </w:style>
  <w:style w:type="character" w:customStyle="1" w:styleId="76">
    <w:name w:val="标题 6 Char"/>
    <w:basedOn w:val="49"/>
    <w:link w:val="8"/>
    <w:qFormat/>
    <w:uiPriority w:val="0"/>
    <w:rPr>
      <w:rFonts w:cstheme="majorBidi"/>
      <w:b/>
      <w:bCs/>
      <w:color w:val="2E75B5" w:themeColor="accent1" w:themeShade="BF"/>
      <w:sz w:val="21"/>
    </w:rPr>
  </w:style>
  <w:style w:type="character" w:customStyle="1" w:styleId="77">
    <w:name w:val="标题 7 Char"/>
    <w:basedOn w:val="49"/>
    <w:link w:val="9"/>
    <w:qFormat/>
    <w:uiPriority w:val="0"/>
    <w:rPr>
      <w:rFonts w:cstheme="majorBidi"/>
      <w:b/>
      <w:bCs/>
      <w:color w:val="585858" w:themeColor="text1" w:themeTint="A6"/>
      <w:sz w:val="21"/>
    </w:rPr>
  </w:style>
  <w:style w:type="character" w:customStyle="1" w:styleId="78">
    <w:name w:val="标题 8 Char"/>
    <w:basedOn w:val="49"/>
    <w:link w:val="10"/>
    <w:qFormat/>
    <w:uiPriority w:val="0"/>
    <w:rPr>
      <w:rFonts w:cstheme="majorBidi"/>
      <w:color w:val="585858" w:themeColor="text1" w:themeTint="A6"/>
      <w:sz w:val="21"/>
    </w:rPr>
  </w:style>
  <w:style w:type="character" w:customStyle="1" w:styleId="79">
    <w:name w:val="标题 9 Char"/>
    <w:basedOn w:val="49"/>
    <w:link w:val="11"/>
    <w:qFormat/>
    <w:uiPriority w:val="0"/>
    <w:rPr>
      <w:rFonts w:eastAsiaTheme="majorEastAsia" w:cstheme="majorBidi"/>
      <w:color w:val="585858" w:themeColor="text1" w:themeTint="A6"/>
      <w:sz w:val="21"/>
    </w:rPr>
  </w:style>
  <w:style w:type="character" w:customStyle="1" w:styleId="80">
    <w:name w:val="标题 Char1"/>
    <w:basedOn w:val="49"/>
    <w:link w:val="43"/>
    <w:qFormat/>
    <w:uiPriority w:val="0"/>
    <w:rPr>
      <w:rFonts w:asciiTheme="majorHAnsi" w:hAnsiTheme="majorHAnsi" w:eastAsiaTheme="majorEastAsia" w:cstheme="majorBidi"/>
      <w:spacing w:val="-10"/>
      <w:kern w:val="28"/>
      <w:sz w:val="56"/>
      <w:szCs w:val="56"/>
    </w:rPr>
  </w:style>
  <w:style w:type="character" w:customStyle="1" w:styleId="81">
    <w:name w:val="副标题 Char"/>
    <w:basedOn w:val="49"/>
    <w:link w:val="35"/>
    <w:qFormat/>
    <w:uiPriority w:val="0"/>
    <w:rPr>
      <w:rFonts w:asciiTheme="majorHAnsi" w:hAnsiTheme="majorHAnsi" w:eastAsiaTheme="majorEastAsia" w:cstheme="majorBidi"/>
      <w:color w:val="585858" w:themeColor="text1" w:themeTint="A6"/>
      <w:spacing w:val="15"/>
      <w:sz w:val="28"/>
      <w:szCs w:val="28"/>
    </w:rPr>
  </w:style>
  <w:style w:type="paragraph" w:styleId="82">
    <w:name w:val="Quote"/>
    <w:basedOn w:val="1"/>
    <w:next w:val="1"/>
    <w:link w:val="83"/>
    <w:qFormat/>
    <w:uiPriority w:val="29"/>
    <w:pPr>
      <w:spacing w:before="160" w:after="160"/>
      <w:jc w:val="center"/>
    </w:pPr>
    <w:rPr>
      <w:i/>
      <w:iCs/>
      <w:color w:val="3F3F3F" w:themeColor="text1" w:themeTint="BF"/>
    </w:rPr>
  </w:style>
  <w:style w:type="character" w:customStyle="1" w:styleId="83">
    <w:name w:val="引用 Char"/>
    <w:basedOn w:val="49"/>
    <w:link w:val="82"/>
    <w:qFormat/>
    <w:uiPriority w:val="29"/>
    <w:rPr>
      <w:rFonts w:ascii="Calibri" w:hAnsi="Calibri" w:eastAsia="宋体"/>
      <w:i/>
      <w:iCs/>
      <w:color w:val="3F3F3F" w:themeColor="text1" w:themeTint="BF"/>
      <w:sz w:val="21"/>
    </w:rPr>
  </w:style>
  <w:style w:type="character" w:customStyle="1" w:styleId="84">
    <w:name w:val="Intense Emphasis"/>
    <w:basedOn w:val="49"/>
    <w:qFormat/>
    <w:uiPriority w:val="21"/>
    <w:rPr>
      <w:i/>
      <w:iCs/>
      <w:color w:val="2E75B5" w:themeColor="accent1" w:themeShade="BF"/>
    </w:rPr>
  </w:style>
  <w:style w:type="paragraph" w:styleId="85">
    <w:name w:val="Intense Quote"/>
    <w:basedOn w:val="1"/>
    <w:next w:val="1"/>
    <w:link w:val="86"/>
    <w:qFormat/>
    <w:uiPriority w:val="30"/>
    <w:pPr>
      <w:pBdr>
        <w:top w:val="single" w:color="2E75B5" w:themeColor="accent1" w:themeShade="BF" w:sz="4" w:space="10"/>
        <w:bottom w:val="single" w:color="2E75B5" w:themeColor="accent1" w:themeShade="BF" w:sz="4" w:space="10"/>
      </w:pBdr>
      <w:spacing w:before="360" w:after="360"/>
      <w:ind w:left="864" w:right="864"/>
      <w:jc w:val="center"/>
    </w:pPr>
    <w:rPr>
      <w:i/>
      <w:iCs/>
      <w:color w:val="2E75B5" w:themeColor="accent1" w:themeShade="BF"/>
    </w:rPr>
  </w:style>
  <w:style w:type="character" w:customStyle="1" w:styleId="86">
    <w:name w:val="明显引用 Char"/>
    <w:basedOn w:val="49"/>
    <w:link w:val="85"/>
    <w:qFormat/>
    <w:uiPriority w:val="30"/>
    <w:rPr>
      <w:rFonts w:ascii="Calibri" w:hAnsi="Calibri" w:eastAsia="宋体"/>
      <w:i/>
      <w:iCs/>
      <w:color w:val="2E75B5" w:themeColor="accent1" w:themeShade="BF"/>
      <w:sz w:val="21"/>
    </w:rPr>
  </w:style>
  <w:style w:type="character" w:customStyle="1" w:styleId="87">
    <w:name w:val="Intense Reference"/>
    <w:basedOn w:val="49"/>
    <w:qFormat/>
    <w:uiPriority w:val="32"/>
    <w:rPr>
      <w:b/>
      <w:bCs/>
      <w:smallCaps/>
      <w:color w:val="2E75B5" w:themeColor="accent1" w:themeShade="BF"/>
      <w:spacing w:val="5"/>
    </w:rPr>
  </w:style>
  <w:style w:type="character" w:customStyle="1" w:styleId="88">
    <w:name w:val="文档结构图 Char"/>
    <w:basedOn w:val="49"/>
    <w:link w:val="14"/>
    <w:qFormat/>
    <w:uiPriority w:val="0"/>
    <w:rPr>
      <w:rFonts w:ascii="Times New Roman" w:hAnsi="Times New Roman" w:eastAsia="宋体" w:cs="Times New Roman"/>
      <w:sz w:val="21"/>
      <w:szCs w:val="24"/>
      <w:shd w:val="clear" w:color="auto" w:fill="000080"/>
    </w:rPr>
  </w:style>
  <w:style w:type="character" w:customStyle="1" w:styleId="89">
    <w:name w:val="批注文字 字符"/>
    <w:basedOn w:val="49"/>
    <w:qFormat/>
    <w:uiPriority w:val="99"/>
    <w:rPr>
      <w:rFonts w:ascii="Times New Roman" w:hAnsi="Times New Roman" w:eastAsia="宋体" w:cs="Times New Roman"/>
      <w:sz w:val="21"/>
      <w:szCs w:val="24"/>
    </w:rPr>
  </w:style>
  <w:style w:type="character" w:customStyle="1" w:styleId="90">
    <w:name w:val="批注文字 Char1"/>
    <w:link w:val="16"/>
    <w:qFormat/>
    <w:uiPriority w:val="99"/>
    <w:rPr>
      <w:rFonts w:ascii="Times New Roman" w:hAnsi="Times New Roman" w:eastAsia="宋体" w:cs="Times New Roman"/>
      <w:sz w:val="21"/>
      <w:szCs w:val="24"/>
    </w:rPr>
  </w:style>
  <w:style w:type="character" w:customStyle="1" w:styleId="91">
    <w:name w:val="正文文本 3 Char"/>
    <w:basedOn w:val="49"/>
    <w:link w:val="17"/>
    <w:qFormat/>
    <w:uiPriority w:val="0"/>
    <w:rPr>
      <w:rFonts w:ascii="Times New Roman" w:hAnsi="Times New Roman" w:eastAsia="宋体" w:cs="Times New Roman"/>
      <w:sz w:val="16"/>
      <w:szCs w:val="16"/>
    </w:rPr>
  </w:style>
  <w:style w:type="character" w:customStyle="1" w:styleId="92">
    <w:name w:val="纯文本 字符2"/>
    <w:qFormat/>
    <w:uiPriority w:val="0"/>
    <w:rPr>
      <w:rFonts w:hint="eastAsia" w:ascii="宋体" w:hAnsi="Courier New" w:eastAsia="宋体" w:cs="宋体"/>
      <w:kern w:val="2"/>
      <w:sz w:val="21"/>
    </w:rPr>
  </w:style>
  <w:style w:type="character" w:customStyle="1" w:styleId="93">
    <w:name w:val="日期 Char"/>
    <w:basedOn w:val="49"/>
    <w:link w:val="27"/>
    <w:qFormat/>
    <w:uiPriority w:val="0"/>
    <w:rPr>
      <w:rFonts w:ascii="仿宋_GB2312" w:hAnsi="宋体" w:eastAsia="仿宋_GB2312" w:cs="Times New Roman"/>
      <w:color w:val="000000"/>
      <w:sz w:val="24"/>
      <w:szCs w:val="24"/>
    </w:rPr>
  </w:style>
  <w:style w:type="character" w:customStyle="1" w:styleId="94">
    <w:name w:val="正文文本缩进 2 Char"/>
    <w:basedOn w:val="49"/>
    <w:link w:val="28"/>
    <w:qFormat/>
    <w:uiPriority w:val="0"/>
    <w:rPr>
      <w:rFonts w:ascii="仿宋_GB2312" w:hAnsi="Times New Roman" w:eastAsia="仿宋_GB2312" w:cs="Times New Roman"/>
      <w:sz w:val="24"/>
      <w:szCs w:val="24"/>
    </w:rPr>
  </w:style>
  <w:style w:type="character" w:customStyle="1" w:styleId="95">
    <w:name w:val="批注框文本 Char"/>
    <w:basedOn w:val="49"/>
    <w:link w:val="29"/>
    <w:qFormat/>
    <w:uiPriority w:val="99"/>
    <w:rPr>
      <w:rFonts w:ascii="Times New Roman" w:hAnsi="Times New Roman" w:eastAsia="宋体" w:cs="Times New Roman"/>
      <w:sz w:val="18"/>
      <w:szCs w:val="18"/>
    </w:rPr>
  </w:style>
  <w:style w:type="character" w:customStyle="1" w:styleId="96">
    <w:name w:val="签名 Char"/>
    <w:basedOn w:val="49"/>
    <w:link w:val="32"/>
    <w:qFormat/>
    <w:uiPriority w:val="0"/>
    <w:rPr>
      <w:rFonts w:ascii="Times New Roman" w:hAnsi="Times New Roman" w:eastAsia="仿宋_GB2312" w:cs="Times New Roman"/>
      <w:kern w:val="0"/>
      <w:sz w:val="24"/>
      <w:lang w:val="zh-CN"/>
    </w:rPr>
  </w:style>
  <w:style w:type="character" w:customStyle="1" w:styleId="97">
    <w:name w:val="正文文本缩进 3 Char"/>
    <w:basedOn w:val="49"/>
    <w:link w:val="37"/>
    <w:qFormat/>
    <w:uiPriority w:val="0"/>
    <w:rPr>
      <w:rFonts w:ascii="宋体" w:hAnsi="Times New Roman" w:eastAsia="宋体" w:cs="Times New Roman"/>
      <w:kern w:val="0"/>
      <w:sz w:val="24"/>
    </w:rPr>
  </w:style>
  <w:style w:type="character" w:customStyle="1" w:styleId="98">
    <w:name w:val="HTML 预设格式 Char"/>
    <w:basedOn w:val="49"/>
    <w:link w:val="40"/>
    <w:qFormat/>
    <w:uiPriority w:val="0"/>
    <w:rPr>
      <w:rFonts w:ascii="宋体" w:hAnsi="宋体" w:eastAsia="宋体" w:cs="宋体"/>
      <w:kern w:val="0"/>
      <w:sz w:val="24"/>
      <w:szCs w:val="24"/>
    </w:rPr>
  </w:style>
  <w:style w:type="character" w:customStyle="1" w:styleId="99">
    <w:name w:val="批注主题 Char"/>
    <w:basedOn w:val="89"/>
    <w:link w:val="44"/>
    <w:qFormat/>
    <w:uiPriority w:val="0"/>
    <w:rPr>
      <w:rFonts w:ascii="Times New Roman" w:hAnsi="Times New Roman" w:eastAsia="宋体" w:cs="Times New Roman"/>
      <w:b/>
      <w:bCs/>
      <w:sz w:val="21"/>
      <w:szCs w:val="24"/>
    </w:rPr>
  </w:style>
  <w:style w:type="character" w:customStyle="1" w:styleId="100">
    <w:name w:val="标题 2 Char"/>
    <w:qFormat/>
    <w:uiPriority w:val="0"/>
    <w:rPr>
      <w:rFonts w:ascii="Arial" w:hAnsi="Arial" w:eastAsia="黑体"/>
      <w:b/>
      <w:sz w:val="30"/>
      <w:lang w:val="en-US" w:eastAsia="zh-CN" w:bidi="ar-SA"/>
    </w:rPr>
  </w:style>
  <w:style w:type="character" w:customStyle="1" w:styleId="101">
    <w:name w:val="标题 3 Char"/>
    <w:qFormat/>
    <w:uiPriority w:val="0"/>
    <w:rPr>
      <w:rFonts w:ascii="宋体" w:eastAsia="宋体"/>
      <w:b/>
      <w:sz w:val="24"/>
      <w:u w:val="single"/>
      <w:lang w:val="en-US" w:eastAsia="zh-CN" w:bidi="ar-SA"/>
    </w:rPr>
  </w:style>
  <w:style w:type="paragraph" w:customStyle="1" w:styleId="102">
    <w:name w:val="Default"/>
    <w:next w:val="1"/>
    <w:qFormat/>
    <w:uiPriority w:val="0"/>
    <w:pPr>
      <w:widowControl w:val="0"/>
      <w:autoSpaceDE w:val="0"/>
      <w:autoSpaceDN w:val="0"/>
      <w:adjustRightInd w:val="0"/>
    </w:pPr>
    <w:rPr>
      <w:rFonts w:ascii="Symbol" w:hAnsi="Symbol" w:eastAsia="宋体" w:cs="Symbol"/>
      <w:color w:val="000000"/>
      <w:kern w:val="0"/>
      <w:sz w:val="24"/>
      <w:szCs w:val="24"/>
      <w:lang w:val="en-US" w:eastAsia="zh-CN" w:bidi="ar-SA"/>
    </w:rPr>
  </w:style>
  <w:style w:type="character" w:customStyle="1" w:styleId="103">
    <w:name w:val="c21"/>
    <w:qFormat/>
    <w:uiPriority w:val="0"/>
    <w:rPr>
      <w:rFonts w:hint="default" w:ascii="ˎ̥" w:hAnsi="ˎ̥"/>
      <w:color w:val="000000"/>
      <w:sz w:val="20"/>
      <w:szCs w:val="20"/>
      <w:u w:val="none"/>
    </w:rPr>
  </w:style>
  <w:style w:type="character" w:customStyle="1" w:styleId="104">
    <w:name w:val="title4"/>
    <w:qFormat/>
    <w:uiPriority w:val="0"/>
    <w:rPr>
      <w:b/>
      <w:bCs/>
      <w:color w:val="1D87B3"/>
      <w:sz w:val="15"/>
      <w:szCs w:val="15"/>
    </w:rPr>
  </w:style>
  <w:style w:type="character" w:customStyle="1" w:styleId="105">
    <w:name w:val="标题 2 Char Char"/>
    <w:qFormat/>
    <w:uiPriority w:val="0"/>
    <w:rPr>
      <w:rFonts w:ascii="Arial" w:hAnsi="Arial" w:eastAsia="黑体"/>
      <w:b/>
      <w:bCs/>
      <w:kern w:val="2"/>
      <w:sz w:val="32"/>
      <w:szCs w:val="32"/>
      <w:lang w:val="en-US" w:eastAsia="zh-CN" w:bidi="ar-SA"/>
    </w:rPr>
  </w:style>
  <w:style w:type="character" w:customStyle="1" w:styleId="106">
    <w:name w:val="black1"/>
    <w:qFormat/>
    <w:uiPriority w:val="0"/>
    <w:rPr>
      <w:color w:val="000000"/>
    </w:rPr>
  </w:style>
  <w:style w:type="character" w:customStyle="1" w:styleId="107">
    <w:name w:val="street-address"/>
    <w:qFormat/>
    <w:uiPriority w:val="0"/>
  </w:style>
  <w:style w:type="character" w:customStyle="1" w:styleId="108">
    <w:name w:val="locality"/>
    <w:qFormat/>
    <w:uiPriority w:val="0"/>
  </w:style>
  <w:style w:type="character" w:customStyle="1" w:styleId="109">
    <w:name w:val="正文文本缩进 Char1"/>
    <w:link w:val="110"/>
    <w:qFormat/>
    <w:uiPriority w:val="0"/>
    <w:rPr>
      <w:rFonts w:ascii="宋体" w:hAnsi="宋体" w:eastAsia="宋体"/>
      <w:sz w:val="24"/>
      <w:szCs w:val="24"/>
    </w:rPr>
  </w:style>
  <w:style w:type="paragraph" w:customStyle="1" w:styleId="110">
    <w:name w:val="正文文本缩进1"/>
    <w:basedOn w:val="1"/>
    <w:link w:val="109"/>
    <w:qFormat/>
    <w:uiPriority w:val="0"/>
    <w:pPr>
      <w:spacing w:line="480" w:lineRule="exact"/>
      <w:ind w:firstLine="480" w:firstLineChars="200"/>
    </w:pPr>
    <w:rPr>
      <w:rFonts w:ascii="宋体" w:hAnsi="宋体" w:cstheme="minorBidi"/>
      <w:sz w:val="24"/>
    </w:rPr>
  </w:style>
  <w:style w:type="character" w:customStyle="1" w:styleId="111">
    <w:name w:val="Char Char11"/>
    <w:qFormat/>
    <w:uiPriority w:val="0"/>
    <w:rPr>
      <w:rFonts w:ascii="宋体" w:eastAsia="宋体"/>
      <w:b/>
      <w:sz w:val="24"/>
      <w:u w:val="single"/>
      <w:lang w:val="en-US" w:eastAsia="zh-CN" w:bidi="ar-SA"/>
    </w:rPr>
  </w:style>
  <w:style w:type="character" w:customStyle="1" w:styleId="112">
    <w:name w:val="txt"/>
    <w:qFormat/>
    <w:uiPriority w:val="0"/>
  </w:style>
  <w:style w:type="character" w:customStyle="1" w:styleId="113">
    <w:name w:val="正文缩进 Char Char"/>
    <w:link w:val="114"/>
    <w:qFormat/>
    <w:uiPriority w:val="0"/>
    <w:rPr>
      <w:rFonts w:ascii="宋体" w:eastAsia="宋体"/>
      <w:snapToGrid w:val="0"/>
      <w:color w:val="000000"/>
      <w:kern w:val="28"/>
      <w:sz w:val="28"/>
    </w:rPr>
  </w:style>
  <w:style w:type="paragraph" w:customStyle="1" w:styleId="114">
    <w:name w:val="正文缩进1"/>
    <w:basedOn w:val="1"/>
    <w:link w:val="113"/>
    <w:qFormat/>
    <w:uiPriority w:val="0"/>
    <w:pPr>
      <w:widowControl/>
      <w:adjustRightInd w:val="0"/>
      <w:snapToGrid w:val="0"/>
      <w:spacing w:line="480" w:lineRule="exact"/>
      <w:ind w:firstLine="567"/>
    </w:pPr>
    <w:rPr>
      <w:rFonts w:ascii="宋体" w:hAnsiTheme="minorHAnsi" w:cstheme="minorBidi"/>
      <w:snapToGrid w:val="0"/>
      <w:color w:val="000000"/>
      <w:kern w:val="28"/>
      <w:sz w:val="28"/>
      <w:szCs w:val="20"/>
    </w:rPr>
  </w:style>
  <w:style w:type="character" w:customStyle="1" w:styleId="115">
    <w:name w:val="普通文字1 Char1"/>
    <w:qFormat/>
    <w:uiPriority w:val="0"/>
    <w:rPr>
      <w:rFonts w:ascii="宋体" w:hAnsi="Courier New" w:eastAsia="宋体"/>
      <w:kern w:val="2"/>
      <w:sz w:val="21"/>
      <w:lang w:val="en-US" w:eastAsia="zh-CN" w:bidi="ar-SA"/>
    </w:rPr>
  </w:style>
  <w:style w:type="character" w:customStyle="1" w:styleId="116">
    <w:name w:val="chanpin1"/>
    <w:qFormat/>
    <w:uiPriority w:val="0"/>
    <w:rPr>
      <w:rFonts w:hint="default" w:ascii="ˎ̥" w:hAnsi="ˎ̥"/>
      <w:color w:val="000000"/>
      <w:sz w:val="20"/>
      <w:szCs w:val="20"/>
      <w:u w:val="none"/>
    </w:rPr>
  </w:style>
  <w:style w:type="character" w:customStyle="1" w:styleId="117">
    <w:name w:val="列出段落 Char1"/>
    <w:link w:val="71"/>
    <w:qFormat/>
    <w:uiPriority w:val="0"/>
    <w:rPr>
      <w:rFonts w:ascii="Calibri" w:hAnsi="Calibri" w:eastAsia="宋体" w:cs="Times New Roman"/>
      <w:sz w:val="21"/>
    </w:rPr>
  </w:style>
  <w:style w:type="character" w:customStyle="1" w:styleId="118">
    <w:name w:val="标题 3 Char Char"/>
    <w:qFormat/>
    <w:uiPriority w:val="0"/>
    <w:rPr>
      <w:rFonts w:eastAsia="宋体"/>
      <w:b/>
      <w:bCs/>
      <w:kern w:val="2"/>
      <w:sz w:val="32"/>
      <w:szCs w:val="32"/>
      <w:lang w:val="en-US" w:eastAsia="zh-CN" w:bidi="ar-SA"/>
    </w:rPr>
  </w:style>
  <w:style w:type="character" w:customStyle="1" w:styleId="119">
    <w:name w:val="段1 Char"/>
    <w:qFormat/>
    <w:uiPriority w:val="0"/>
    <w:rPr>
      <w:rFonts w:ascii="宋体" w:eastAsia="宋体"/>
      <w:sz w:val="24"/>
      <w:lang w:val="en-US" w:eastAsia="zh-CN" w:bidi="ar-SA"/>
    </w:rPr>
  </w:style>
  <w:style w:type="character" w:customStyle="1" w:styleId="120">
    <w:name w:val="chanpin拷贝"/>
    <w:qFormat/>
    <w:uiPriority w:val="0"/>
  </w:style>
  <w:style w:type="character" w:customStyle="1" w:styleId="121">
    <w:name w:val="纯文本 Char1"/>
    <w:qFormat/>
    <w:uiPriority w:val="0"/>
    <w:rPr>
      <w:rFonts w:ascii="宋体" w:hAnsi="Courier New" w:eastAsia="宋体"/>
      <w:kern w:val="2"/>
      <w:sz w:val="21"/>
      <w:lang w:val="en-US" w:eastAsia="zh-CN" w:bidi="ar-SA"/>
    </w:rPr>
  </w:style>
  <w:style w:type="character" w:customStyle="1" w:styleId="122">
    <w:name w:val="apple-style-span"/>
    <w:qFormat/>
    <w:uiPriority w:val="0"/>
    <w:rPr>
      <w:rFonts w:cs="Times New Roman"/>
    </w:rPr>
  </w:style>
  <w:style w:type="paragraph" w:customStyle="1" w:styleId="123">
    <w:name w:val="二级条标题"/>
    <w:basedOn w:val="124"/>
    <w:next w:val="1"/>
    <w:qFormat/>
    <w:uiPriority w:val="0"/>
    <w:pPr>
      <w:numPr>
        <w:ilvl w:val="0"/>
        <w:numId w:val="0"/>
      </w:numPr>
      <w:tabs>
        <w:tab w:val="left" w:pos="360"/>
        <w:tab w:val="left" w:pos="840"/>
      </w:tabs>
      <w:ind w:hanging="840"/>
      <w:outlineLvl w:val="2"/>
    </w:pPr>
    <w:rPr>
      <w:rFonts w:ascii="宋体" w:eastAsia="宋体"/>
      <w:b w:val="0"/>
    </w:rPr>
  </w:style>
  <w:style w:type="paragraph" w:customStyle="1" w:styleId="124">
    <w:name w:val="一级条标题"/>
    <w:basedOn w:val="125"/>
    <w:next w:val="1"/>
    <w:qFormat/>
    <w:uiPriority w:val="0"/>
    <w:pPr>
      <w:numPr>
        <w:ilvl w:val="1"/>
      </w:numPr>
      <w:tabs>
        <w:tab w:val="left" w:pos="360"/>
        <w:tab w:val="left" w:pos="840"/>
      </w:tabs>
      <w:ind w:left="0" w:hanging="840"/>
      <w:outlineLvl w:val="1"/>
    </w:pPr>
  </w:style>
  <w:style w:type="paragraph" w:customStyle="1" w:styleId="125">
    <w:name w:val="章标题"/>
    <w:next w:val="1"/>
    <w:qFormat/>
    <w:uiPriority w:val="0"/>
    <w:pPr>
      <w:numPr>
        <w:ilvl w:val="0"/>
        <w:numId w:val="2"/>
      </w:numPr>
      <w:spacing w:beforeLines="50" w:afterLines="50" w:line="460" w:lineRule="exact"/>
      <w:ind w:left="0"/>
      <w:jc w:val="both"/>
      <w:outlineLvl w:val="0"/>
    </w:pPr>
    <w:rPr>
      <w:rFonts w:ascii="黑体" w:hAnsi="Times New Roman" w:eastAsia="黑体" w:cs="Times New Roman"/>
      <w:b/>
      <w:kern w:val="0"/>
      <w:sz w:val="28"/>
      <w:lang w:val="en-US" w:eastAsia="zh-CN" w:bidi="ar-SA"/>
    </w:rPr>
  </w:style>
  <w:style w:type="paragraph" w:customStyle="1" w:styleId="126">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27">
    <w:name w:val="字元 字元"/>
    <w:basedOn w:val="1"/>
    <w:qFormat/>
    <w:uiPriority w:val="0"/>
    <w:rPr>
      <w:rFonts w:ascii="Tahoma" w:hAnsi="Tahoma"/>
      <w:sz w:val="24"/>
      <w:szCs w:val="20"/>
    </w:rPr>
  </w:style>
  <w:style w:type="paragraph" w:customStyle="1" w:styleId="128">
    <w:name w:val="Char3 Char Char Char"/>
    <w:basedOn w:val="1"/>
    <w:qFormat/>
    <w:uiPriority w:val="0"/>
    <w:rPr>
      <w:rFonts w:ascii="Tahoma" w:hAnsi="Tahoma"/>
      <w:sz w:val="24"/>
      <w:szCs w:val="20"/>
    </w:rPr>
  </w:style>
  <w:style w:type="paragraph" w:customStyle="1" w:styleId="129">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30">
    <w:name w:val="项目编号2"/>
    <w:basedOn w:val="131"/>
    <w:qFormat/>
    <w:uiPriority w:val="0"/>
    <w:pPr>
      <w:numPr>
        <w:numId w:val="3"/>
      </w:numPr>
    </w:pPr>
  </w:style>
  <w:style w:type="paragraph" w:customStyle="1" w:styleId="131">
    <w:name w:val="项目编号1"/>
    <w:basedOn w:val="1"/>
    <w:qFormat/>
    <w:uiPriority w:val="0"/>
    <w:pPr>
      <w:numPr>
        <w:ilvl w:val="0"/>
        <w:numId w:val="4"/>
      </w:numPr>
      <w:spacing w:before="100" w:beforeAutospacing="1" w:after="100" w:afterAutospacing="1" w:line="360" w:lineRule="auto"/>
    </w:pPr>
    <w:rPr>
      <w:sz w:val="24"/>
    </w:rPr>
  </w:style>
  <w:style w:type="paragraph" w:customStyle="1" w:styleId="132">
    <w:name w:val="图中文字"/>
    <w:basedOn w:val="1"/>
    <w:qFormat/>
    <w:uiPriority w:val="0"/>
    <w:pPr>
      <w:adjustRightInd w:val="0"/>
      <w:snapToGrid w:val="0"/>
      <w:spacing w:line="0" w:lineRule="atLeast"/>
      <w:jc w:val="center"/>
    </w:pPr>
    <w:rPr>
      <w:sz w:val="24"/>
      <w:szCs w:val="20"/>
    </w:rPr>
  </w:style>
  <w:style w:type="paragraph" w:customStyle="1" w:styleId="133">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3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35">
    <w:name w:val="Char2"/>
    <w:basedOn w:val="1"/>
    <w:qFormat/>
    <w:uiPriority w:val="0"/>
    <w:rPr>
      <w:rFonts w:ascii="Tahoma" w:hAnsi="Tahoma"/>
      <w:sz w:val="24"/>
      <w:szCs w:val="20"/>
    </w:rPr>
  </w:style>
  <w:style w:type="paragraph" w:customStyle="1" w:styleId="136">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7">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8">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39">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0">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141">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4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43">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4">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45">
    <w:name w:val="正文列项_数字"/>
    <w:basedOn w:val="1"/>
    <w:qFormat/>
    <w:uiPriority w:val="0"/>
    <w:pPr>
      <w:numPr>
        <w:ilvl w:val="7"/>
        <w:numId w:val="2"/>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46">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7">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8">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49">
    <w:name w:val="font8"/>
    <w:basedOn w:val="1"/>
    <w:qFormat/>
    <w:uiPriority w:val="0"/>
    <w:pPr>
      <w:widowControl/>
      <w:spacing w:before="100" w:beforeAutospacing="1" w:after="100" w:afterAutospacing="1"/>
      <w:jc w:val="left"/>
    </w:pPr>
    <w:rPr>
      <w:kern w:val="0"/>
      <w:sz w:val="36"/>
      <w:szCs w:val="36"/>
    </w:rPr>
  </w:style>
  <w:style w:type="paragraph" w:customStyle="1" w:styleId="150">
    <w:name w:val="Char"/>
    <w:basedOn w:val="1"/>
    <w:qFormat/>
    <w:uiPriority w:val="0"/>
    <w:pPr>
      <w:tabs>
        <w:tab w:val="left" w:pos="360"/>
      </w:tabs>
    </w:pPr>
    <w:rPr>
      <w:sz w:val="24"/>
    </w:rPr>
  </w:style>
  <w:style w:type="paragraph" w:customStyle="1" w:styleId="151">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52">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3">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4">
    <w:name w:val="Char Char1"/>
    <w:basedOn w:val="14"/>
    <w:qFormat/>
    <w:uiPriority w:val="0"/>
    <w:rPr>
      <w:rFonts w:ascii="Tahoma" w:hAnsi="Tahoma"/>
      <w:sz w:val="24"/>
    </w:rPr>
  </w:style>
  <w:style w:type="paragraph" w:customStyle="1" w:styleId="155">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5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57">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58">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59">
    <w:name w:val="Char1 Char Char Char1"/>
    <w:basedOn w:val="1"/>
    <w:qFormat/>
    <w:uiPriority w:val="0"/>
    <w:rPr>
      <w:rFonts w:ascii="Tahoma" w:hAnsi="Tahoma" w:cs="仿宋_GB2312"/>
      <w:sz w:val="24"/>
      <w:szCs w:val="28"/>
    </w:rPr>
  </w:style>
  <w:style w:type="paragraph" w:customStyle="1" w:styleId="160">
    <w:name w:val="四级条标题"/>
    <w:basedOn w:val="161"/>
    <w:next w:val="1"/>
    <w:qFormat/>
    <w:uiPriority w:val="0"/>
    <w:pPr>
      <w:numPr>
        <w:ilvl w:val="4"/>
      </w:numPr>
      <w:tabs>
        <w:tab w:val="left" w:pos="360"/>
        <w:tab w:val="left" w:pos="840"/>
      </w:tabs>
      <w:ind w:left="0" w:hanging="840"/>
      <w:outlineLvl w:val="4"/>
    </w:pPr>
  </w:style>
  <w:style w:type="paragraph" w:customStyle="1" w:styleId="161">
    <w:name w:val="三级条标题"/>
    <w:basedOn w:val="123"/>
    <w:next w:val="1"/>
    <w:qFormat/>
    <w:uiPriority w:val="0"/>
    <w:pPr>
      <w:numPr>
        <w:ilvl w:val="3"/>
        <w:numId w:val="2"/>
      </w:numPr>
      <w:ind w:left="0" w:hanging="840"/>
      <w:outlineLvl w:val="3"/>
    </w:pPr>
  </w:style>
  <w:style w:type="paragraph" w:customStyle="1" w:styleId="162">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63">
    <w:name w:val="List Paragraph1"/>
    <w:basedOn w:val="1"/>
    <w:qFormat/>
    <w:uiPriority w:val="0"/>
    <w:pPr>
      <w:ind w:firstLine="420" w:firstLineChars="200"/>
    </w:pPr>
    <w:rPr>
      <w:rFonts w:ascii="Calibri" w:hAnsi="Calibri"/>
      <w:szCs w:val="22"/>
    </w:rPr>
  </w:style>
  <w:style w:type="paragraph" w:customStyle="1" w:styleId="164">
    <w:name w:val="项目符号1"/>
    <w:basedOn w:val="165"/>
    <w:qFormat/>
    <w:uiPriority w:val="0"/>
    <w:pPr>
      <w:ind w:left="-25" w:firstLine="0"/>
    </w:pPr>
  </w:style>
  <w:style w:type="paragraph" w:customStyle="1" w:styleId="165">
    <w:name w:val="正文文本样式"/>
    <w:basedOn w:val="1"/>
    <w:qFormat/>
    <w:uiPriority w:val="0"/>
    <w:pPr>
      <w:spacing w:line="360" w:lineRule="auto"/>
      <w:ind w:firstLine="482"/>
    </w:pPr>
    <w:rPr>
      <w:rFonts w:cs="宋体"/>
      <w:sz w:val="24"/>
      <w:szCs w:val="20"/>
    </w:rPr>
  </w:style>
  <w:style w:type="paragraph" w:customStyle="1" w:styleId="16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6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68">
    <w:name w:val="五级条标题"/>
    <w:basedOn w:val="160"/>
    <w:next w:val="1"/>
    <w:qFormat/>
    <w:uiPriority w:val="0"/>
    <w:pPr>
      <w:numPr>
        <w:ilvl w:val="5"/>
      </w:numPr>
      <w:ind w:left="0" w:hanging="840"/>
      <w:outlineLvl w:val="5"/>
    </w:pPr>
  </w:style>
  <w:style w:type="paragraph" w:customStyle="1" w:styleId="169">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70">
    <w:name w:val="文档正文"/>
    <w:basedOn w:val="1"/>
    <w:qFormat/>
    <w:uiPriority w:val="0"/>
    <w:pPr>
      <w:snapToGrid w:val="0"/>
      <w:spacing w:before="120" w:after="120" w:line="180" w:lineRule="auto"/>
    </w:pPr>
    <w:rPr>
      <w:rFonts w:ascii="Arial" w:hAnsi="Arial"/>
      <w:szCs w:val="20"/>
    </w:rPr>
  </w:style>
  <w:style w:type="paragraph" w:customStyle="1" w:styleId="171">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7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73">
    <w:name w:val="Char Char Char1 Char"/>
    <w:basedOn w:val="1"/>
    <w:qFormat/>
    <w:uiPriority w:val="0"/>
    <w:rPr>
      <w:rFonts w:ascii="Tahoma" w:hAnsi="Tahoma"/>
      <w:sz w:val="24"/>
      <w:szCs w:val="20"/>
    </w:rPr>
  </w:style>
  <w:style w:type="paragraph" w:customStyle="1" w:styleId="174">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75">
    <w:name w:val="1名"/>
    <w:basedOn w:val="1"/>
    <w:qFormat/>
    <w:uiPriority w:val="0"/>
    <w:pPr>
      <w:numPr>
        <w:ilvl w:val="0"/>
        <w:numId w:val="5"/>
      </w:numPr>
      <w:spacing w:before="120"/>
    </w:pPr>
    <w:rPr>
      <w:rFonts w:ascii="宋体"/>
      <w:sz w:val="28"/>
      <w:szCs w:val="20"/>
    </w:rPr>
  </w:style>
  <w:style w:type="paragraph" w:customStyle="1" w:styleId="176">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77">
    <w:name w:val="Char Char Char1 Char1"/>
    <w:basedOn w:val="1"/>
    <w:qFormat/>
    <w:uiPriority w:val="0"/>
    <w:rPr>
      <w:rFonts w:ascii="Tahoma" w:hAnsi="Tahoma"/>
      <w:sz w:val="24"/>
      <w:szCs w:val="20"/>
    </w:rPr>
  </w:style>
  <w:style w:type="paragraph" w:customStyle="1" w:styleId="178">
    <w:name w:val="Char Char Char Char Char Char Char Char Char Char"/>
    <w:basedOn w:val="1"/>
    <w:qFormat/>
    <w:uiPriority w:val="0"/>
  </w:style>
  <w:style w:type="paragraph" w:customStyle="1" w:styleId="179">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80">
    <w:name w:val="Char1"/>
    <w:basedOn w:val="1"/>
    <w:qFormat/>
    <w:uiPriority w:val="0"/>
    <w:pPr>
      <w:tabs>
        <w:tab w:val="left" w:pos="360"/>
      </w:tabs>
    </w:pPr>
    <w:rPr>
      <w:sz w:val="24"/>
    </w:rPr>
  </w:style>
  <w:style w:type="paragraph" w:customStyle="1" w:styleId="181">
    <w:name w:val="正文列项_字母"/>
    <w:basedOn w:val="1"/>
    <w:qFormat/>
    <w:uiPriority w:val="0"/>
    <w:pPr>
      <w:numPr>
        <w:ilvl w:val="6"/>
        <w:numId w:val="2"/>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8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83">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4">
    <w:name w:val="默认段落字体 Para Char Char Char Char"/>
    <w:basedOn w:val="1"/>
    <w:qFormat/>
    <w:uiPriority w:val="0"/>
    <w:rPr>
      <w:rFonts w:ascii="Arial" w:hAnsi="Arial" w:cs="Arial"/>
      <w:szCs w:val="21"/>
    </w:rPr>
  </w:style>
  <w:style w:type="paragraph" w:customStyle="1" w:styleId="18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86">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87">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88">
    <w:name w:val="Char Char Char"/>
    <w:basedOn w:val="1"/>
    <w:qFormat/>
    <w:uiPriority w:val="0"/>
    <w:rPr>
      <w:rFonts w:ascii="Tahoma" w:hAnsi="Tahoma"/>
      <w:sz w:val="24"/>
      <w:szCs w:val="20"/>
    </w:rPr>
  </w:style>
  <w:style w:type="paragraph" w:customStyle="1" w:styleId="189">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90">
    <w:name w:val="缺省文本"/>
    <w:basedOn w:val="1"/>
    <w:qFormat/>
    <w:uiPriority w:val="0"/>
    <w:pPr>
      <w:autoSpaceDE w:val="0"/>
      <w:autoSpaceDN w:val="0"/>
      <w:adjustRightInd w:val="0"/>
      <w:jc w:val="left"/>
    </w:pPr>
    <w:rPr>
      <w:kern w:val="0"/>
      <w:sz w:val="24"/>
    </w:rPr>
  </w:style>
  <w:style w:type="paragraph" w:customStyle="1" w:styleId="191">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92">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93">
    <w:name w:val="样式2"/>
    <w:basedOn w:val="42"/>
    <w:qFormat/>
    <w:uiPriority w:val="0"/>
    <w:pPr>
      <w:spacing w:line="360" w:lineRule="auto"/>
      <w:jc w:val="center"/>
    </w:pPr>
    <w:rPr>
      <w:sz w:val="24"/>
    </w:rPr>
  </w:style>
  <w:style w:type="paragraph" w:customStyle="1" w:styleId="19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95">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96">
    <w:name w:val="正文 + 楷体_GB2312"/>
    <w:basedOn w:val="1"/>
    <w:qFormat/>
    <w:uiPriority w:val="0"/>
    <w:pPr>
      <w:widowControl/>
      <w:jc w:val="left"/>
    </w:pPr>
    <w:rPr>
      <w:rFonts w:ascii="楷体_GB2312" w:eastAsia="楷体_GB2312" w:cs="Arial"/>
      <w:kern w:val="0"/>
      <w:sz w:val="24"/>
    </w:rPr>
  </w:style>
  <w:style w:type="paragraph" w:customStyle="1" w:styleId="19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98">
    <w:name w:val="1 Char Char Char Char"/>
    <w:basedOn w:val="1"/>
    <w:qFormat/>
    <w:uiPriority w:val="0"/>
    <w:rPr>
      <w:rFonts w:ascii="Tahoma" w:hAnsi="Tahoma"/>
      <w:sz w:val="24"/>
      <w:szCs w:val="20"/>
    </w:rPr>
  </w:style>
  <w:style w:type="paragraph" w:customStyle="1" w:styleId="199">
    <w:name w:val="列出段落1"/>
    <w:basedOn w:val="1"/>
    <w:qFormat/>
    <w:uiPriority w:val="0"/>
    <w:pPr>
      <w:ind w:firstLine="420" w:firstLineChars="200"/>
    </w:pPr>
    <w:rPr>
      <w:rFonts w:ascii="Calibri" w:hAnsi="Calibri"/>
      <w:szCs w:val="22"/>
    </w:rPr>
  </w:style>
  <w:style w:type="paragraph" w:customStyle="1" w:styleId="200">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201">
    <w:name w:val="字元 字元1"/>
    <w:basedOn w:val="1"/>
    <w:qFormat/>
    <w:uiPriority w:val="0"/>
    <w:rPr>
      <w:rFonts w:ascii="Tahoma" w:hAnsi="Tahoma"/>
      <w:sz w:val="24"/>
      <w:szCs w:val="20"/>
    </w:rPr>
  </w:style>
  <w:style w:type="paragraph" w:customStyle="1" w:styleId="202">
    <w:name w:val="_Style 160"/>
    <w:qFormat/>
    <w:uiPriority w:val="0"/>
    <w:rPr>
      <w:rFonts w:ascii="Times New Roman" w:hAnsi="Times New Roman" w:eastAsia="宋体" w:cs="Times New Roman"/>
      <w:kern w:val="2"/>
      <w:sz w:val="21"/>
      <w:szCs w:val="24"/>
      <w:lang w:val="en-US" w:eastAsia="zh-CN" w:bidi="ar-SA"/>
    </w:rPr>
  </w:style>
  <w:style w:type="paragraph" w:customStyle="1" w:styleId="203">
    <w:name w:val="项目编号3"/>
    <w:basedOn w:val="165"/>
    <w:qFormat/>
    <w:uiPriority w:val="0"/>
    <w:pPr>
      <w:numPr>
        <w:ilvl w:val="0"/>
        <w:numId w:val="6"/>
      </w:numPr>
    </w:pPr>
  </w:style>
  <w:style w:type="paragraph" w:customStyle="1" w:styleId="204">
    <w:name w:val="Char21"/>
    <w:basedOn w:val="1"/>
    <w:qFormat/>
    <w:uiPriority w:val="0"/>
    <w:rPr>
      <w:rFonts w:ascii="Tahoma" w:hAnsi="Tahoma"/>
      <w:sz w:val="24"/>
      <w:szCs w:val="20"/>
    </w:rPr>
  </w:style>
  <w:style w:type="paragraph" w:customStyle="1" w:styleId="205">
    <w:name w:val="表格文字"/>
    <w:basedOn w:val="20"/>
    <w:qFormat/>
    <w:uiPriority w:val="0"/>
    <w:pPr>
      <w:spacing w:before="20" w:after="20"/>
      <w:ind w:left="0" w:leftChars="0"/>
    </w:pPr>
    <w:rPr>
      <w:rFonts w:ascii="Century Gothic" w:hAnsi="Century Gothic"/>
      <w:sz w:val="20"/>
    </w:rPr>
  </w:style>
  <w:style w:type="paragraph" w:customStyle="1" w:styleId="206">
    <w:name w:val="Char Char Char Char Char Char Char Char Char Char1"/>
    <w:basedOn w:val="1"/>
    <w:qFormat/>
    <w:uiPriority w:val="0"/>
    <w:rPr>
      <w:rFonts w:ascii="宋体" w:hAnsi="宋体" w:cs="Courier New"/>
      <w:sz w:val="32"/>
      <w:szCs w:val="32"/>
    </w:rPr>
  </w:style>
  <w:style w:type="paragraph" w:customStyle="1" w:styleId="207">
    <w:name w:val="正文文本样式 加粗"/>
    <w:basedOn w:val="165"/>
    <w:qFormat/>
    <w:uiPriority w:val="0"/>
    <w:rPr>
      <w:b/>
    </w:rPr>
  </w:style>
  <w:style w:type="paragraph" w:customStyle="1" w:styleId="208">
    <w:name w:val="Char2 Char Char Char Char Char Char"/>
    <w:basedOn w:val="1"/>
    <w:qFormat/>
    <w:uiPriority w:val="0"/>
    <w:pPr>
      <w:widowControl/>
      <w:spacing w:line="400" w:lineRule="exact"/>
      <w:jc w:val="center"/>
    </w:pPr>
  </w:style>
  <w:style w:type="paragraph" w:customStyle="1" w:styleId="209">
    <w:name w:val="Char Char4"/>
    <w:basedOn w:val="1"/>
    <w:qFormat/>
    <w:uiPriority w:val="0"/>
    <w:pPr>
      <w:widowControl/>
      <w:spacing w:line="400" w:lineRule="exact"/>
      <w:jc w:val="center"/>
    </w:pPr>
  </w:style>
  <w:style w:type="paragraph" w:customStyle="1" w:styleId="210">
    <w:name w:val="Char3 Char Char Char1"/>
    <w:basedOn w:val="1"/>
    <w:qFormat/>
    <w:uiPriority w:val="0"/>
    <w:rPr>
      <w:rFonts w:ascii="Tahoma" w:hAnsi="Tahoma"/>
      <w:sz w:val="24"/>
      <w:szCs w:val="20"/>
    </w:rPr>
  </w:style>
  <w:style w:type="paragraph" w:styleId="211">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2">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213">
    <w:name w:val="中等深浅网格 1 - 强调文字颜色 2 Char"/>
    <w:link w:val="214"/>
    <w:qFormat/>
    <w:uiPriority w:val="0"/>
    <w:rPr>
      <w:sz w:val="21"/>
      <w:szCs w:val="24"/>
      <w:lang w:val="zh-CN"/>
    </w:rPr>
  </w:style>
  <w:style w:type="paragraph" w:customStyle="1" w:styleId="214">
    <w:name w:val="1"/>
    <w:link w:val="213"/>
    <w:qFormat/>
    <w:uiPriority w:val="0"/>
    <w:rPr>
      <w:rFonts w:asciiTheme="minorHAnsi" w:hAnsiTheme="minorHAnsi" w:eastAsiaTheme="minorEastAsia" w:cstheme="minorBidi"/>
      <w:kern w:val="2"/>
      <w:sz w:val="21"/>
      <w:szCs w:val="24"/>
      <w:lang w:val="zh-CN" w:eastAsia="zh-CN" w:bidi="ar-SA"/>
    </w:rPr>
  </w:style>
  <w:style w:type="paragraph" w:customStyle="1" w:styleId="215">
    <w:name w:val="图文"/>
    <w:basedOn w:val="1"/>
    <w:qFormat/>
    <w:uiPriority w:val="0"/>
    <w:pPr>
      <w:adjustRightInd w:val="0"/>
      <w:snapToGrid w:val="0"/>
      <w:spacing w:after="50" w:line="360" w:lineRule="auto"/>
    </w:pPr>
    <w:rPr>
      <w:sz w:val="24"/>
    </w:rPr>
  </w:style>
  <w:style w:type="paragraph" w:customStyle="1" w:styleId="216">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217">
    <w:name w:val="正文表格"/>
    <w:basedOn w:val="1"/>
    <w:link w:val="218"/>
    <w:qFormat/>
    <w:uiPriority w:val="0"/>
    <w:pPr>
      <w:adjustRightInd w:val="0"/>
      <w:snapToGrid w:val="0"/>
      <w:jc w:val="left"/>
    </w:pPr>
    <w:rPr>
      <w:rFonts w:ascii="宋体" w:hAnsi="宋体"/>
      <w:color w:val="000000"/>
      <w:szCs w:val="21"/>
    </w:rPr>
  </w:style>
  <w:style w:type="character" w:customStyle="1" w:styleId="218">
    <w:name w:val="正文表格 Char"/>
    <w:link w:val="217"/>
    <w:qFormat/>
    <w:uiPriority w:val="0"/>
    <w:rPr>
      <w:rFonts w:ascii="宋体" w:hAnsi="宋体" w:eastAsia="宋体" w:cs="Times New Roman"/>
      <w:color w:val="000000"/>
      <w:sz w:val="21"/>
      <w:szCs w:val="21"/>
    </w:rPr>
  </w:style>
  <w:style w:type="paragraph" w:customStyle="1" w:styleId="219">
    <w:name w:val="正文重点"/>
    <w:basedOn w:val="1"/>
    <w:link w:val="220"/>
    <w:qFormat/>
    <w:uiPriority w:val="0"/>
    <w:pPr>
      <w:adjustRightInd w:val="0"/>
      <w:spacing w:line="360" w:lineRule="auto"/>
      <w:ind w:firstLine="482" w:firstLineChars="200"/>
      <w:jc w:val="left"/>
      <w:textAlignment w:val="baseline"/>
    </w:pPr>
    <w:rPr>
      <w:b/>
      <w:kern w:val="0"/>
      <w:sz w:val="24"/>
      <w:szCs w:val="20"/>
    </w:rPr>
  </w:style>
  <w:style w:type="character" w:customStyle="1" w:styleId="220">
    <w:name w:val="正文重点 Char"/>
    <w:link w:val="219"/>
    <w:qFormat/>
    <w:uiPriority w:val="0"/>
    <w:rPr>
      <w:rFonts w:ascii="Times New Roman" w:hAnsi="Times New Roman" w:eastAsia="宋体" w:cs="Times New Roman"/>
      <w:b/>
      <w:kern w:val="0"/>
      <w:sz w:val="24"/>
    </w:rPr>
  </w:style>
  <w:style w:type="paragraph" w:customStyle="1" w:styleId="221">
    <w:name w:val="标题1-附件"/>
    <w:basedOn w:val="3"/>
    <w:qFormat/>
    <w:uiPriority w:val="0"/>
    <w:pPr>
      <w:autoSpaceDE w:val="0"/>
      <w:autoSpaceDN w:val="0"/>
      <w:adjustRightInd w:val="0"/>
      <w:spacing w:before="240" w:after="120" w:line="300" w:lineRule="auto"/>
      <w:jc w:val="left"/>
    </w:pPr>
    <w:rPr>
      <w:rFonts w:ascii="宋体" w:hAnsi="Times New Roman" w:eastAsia="宋体" w:cs="Times New Roman"/>
      <w:b/>
      <w:color w:val="auto"/>
      <w:kern w:val="44"/>
      <w:sz w:val="24"/>
      <w:szCs w:val="24"/>
    </w:rPr>
  </w:style>
  <w:style w:type="paragraph" w:customStyle="1" w:styleId="222">
    <w:name w:val="正文小标题"/>
    <w:basedOn w:val="1"/>
    <w:next w:val="2"/>
    <w:link w:val="223"/>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223">
    <w:name w:val="正文小标题 Char"/>
    <w:link w:val="222"/>
    <w:qFormat/>
    <w:uiPriority w:val="0"/>
    <w:rPr>
      <w:rFonts w:ascii="宋体" w:hAnsi="宋体" w:eastAsia="宋体" w:cs="Times New Roman"/>
      <w:b/>
      <w:i/>
      <w:color w:val="FF0000"/>
      <w:sz w:val="24"/>
    </w:rPr>
  </w:style>
  <w:style w:type="paragraph" w:customStyle="1" w:styleId="224">
    <w:name w:val="正文大标题"/>
    <w:basedOn w:val="222"/>
    <w:next w:val="2"/>
    <w:link w:val="225"/>
    <w:qFormat/>
    <w:uiPriority w:val="0"/>
    <w:pPr>
      <w:jc w:val="center"/>
    </w:pPr>
    <w:rPr>
      <w:i w:val="0"/>
      <w:color w:val="000000"/>
      <w:sz w:val="28"/>
      <w:szCs w:val="21"/>
    </w:rPr>
  </w:style>
  <w:style w:type="character" w:customStyle="1" w:styleId="225">
    <w:name w:val="正文大标题 Char"/>
    <w:link w:val="224"/>
    <w:qFormat/>
    <w:uiPriority w:val="0"/>
    <w:rPr>
      <w:rFonts w:ascii="宋体" w:hAnsi="宋体" w:eastAsia="宋体" w:cs="Times New Roman"/>
      <w:b/>
      <w:color w:val="000000"/>
      <w:sz w:val="28"/>
      <w:szCs w:val="21"/>
    </w:rPr>
  </w:style>
  <w:style w:type="paragraph" w:customStyle="1" w:styleId="226">
    <w:name w:val="注释"/>
    <w:basedOn w:val="1"/>
    <w:link w:val="227"/>
    <w:qFormat/>
    <w:uiPriority w:val="0"/>
    <w:pPr>
      <w:adjustRightInd w:val="0"/>
      <w:snapToGrid w:val="0"/>
      <w:ind w:left="420" w:hanging="420" w:hangingChars="200"/>
      <w:jc w:val="left"/>
    </w:pPr>
    <w:rPr>
      <w:rFonts w:ascii="宋体" w:hAnsi="宋体"/>
      <w:szCs w:val="21"/>
    </w:rPr>
  </w:style>
  <w:style w:type="character" w:customStyle="1" w:styleId="227">
    <w:name w:val="注释 Char"/>
    <w:link w:val="226"/>
    <w:qFormat/>
    <w:uiPriority w:val="0"/>
    <w:rPr>
      <w:rFonts w:ascii="宋体" w:hAnsi="宋体" w:eastAsia="宋体" w:cs="Times New Roman"/>
      <w:sz w:val="21"/>
      <w:szCs w:val="21"/>
    </w:rPr>
  </w:style>
  <w:style w:type="paragraph" w:customStyle="1" w:styleId="228">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229">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230">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paragraph" w:customStyle="1" w:styleId="231">
    <w:name w:val="表格1"/>
    <w:basedOn w:val="1"/>
    <w:qFormat/>
    <w:uiPriority w:val="0"/>
    <w:pPr>
      <w:ind w:firstLine="480" w:firstLineChars="200"/>
      <w:jc w:val="center"/>
    </w:pPr>
    <w:rPr>
      <w:sz w:val="24"/>
      <w:szCs w:val="20"/>
    </w:rPr>
  </w:style>
  <w:style w:type="character" w:customStyle="1" w:styleId="232">
    <w:name w:val="纯文本 字符1"/>
    <w:qFormat/>
    <w:uiPriority w:val="0"/>
    <w:rPr>
      <w:rFonts w:ascii="宋体" w:hAnsi="Courier New"/>
    </w:rPr>
  </w:style>
  <w:style w:type="character" w:customStyle="1" w:styleId="233">
    <w:name w:val="bjh-p"/>
    <w:qFormat/>
    <w:uiPriority w:val="0"/>
  </w:style>
  <w:style w:type="paragraph" w:customStyle="1" w:styleId="234">
    <w:name w:val="无标题条"/>
    <w:next w:val="1"/>
    <w:qFormat/>
    <w:uiPriority w:val="0"/>
    <w:pPr>
      <w:jc w:val="both"/>
    </w:pPr>
    <w:rPr>
      <w:rFonts w:ascii="Times New Roman" w:hAnsi="Times New Roman" w:eastAsia="宋体" w:cs="Times New Roman"/>
      <w:kern w:val="0"/>
      <w:sz w:val="21"/>
      <w:lang w:val="en-US" w:eastAsia="zh-CN" w:bidi="ar-SA"/>
    </w:rPr>
  </w:style>
  <w:style w:type="character" w:customStyle="1" w:styleId="235">
    <w:name w:val="正文格式 Char"/>
    <w:link w:val="236"/>
    <w:qFormat/>
    <w:locked/>
    <w:uiPriority w:val="0"/>
    <w:rPr>
      <w:rFonts w:ascii="宋体" w:hAnsi="宋体"/>
      <w:sz w:val="24"/>
      <w:szCs w:val="24"/>
      <w:lang w:val="en-GB"/>
    </w:rPr>
  </w:style>
  <w:style w:type="paragraph" w:customStyle="1" w:styleId="236">
    <w:name w:val="正文格式"/>
    <w:basedOn w:val="1"/>
    <w:link w:val="235"/>
    <w:qFormat/>
    <w:uiPriority w:val="0"/>
    <w:pPr>
      <w:spacing w:beforeLines="50" w:line="360" w:lineRule="auto"/>
      <w:ind w:firstLine="480" w:firstLineChars="200"/>
    </w:pPr>
    <w:rPr>
      <w:rFonts w:ascii="宋体" w:hAnsi="宋体" w:eastAsiaTheme="minorEastAsia" w:cstheme="minorBidi"/>
      <w:sz w:val="24"/>
      <w:lang w:val="en-GB"/>
    </w:rPr>
  </w:style>
  <w:style w:type="character" w:customStyle="1" w:styleId="237">
    <w:name w:val="正文缩进 Char"/>
    <w:qFormat/>
    <w:uiPriority w:val="0"/>
    <w:rPr>
      <w:rFonts w:ascii="宋体" w:eastAsia="宋体"/>
      <w:kern w:val="2"/>
      <w:sz w:val="24"/>
      <w:szCs w:val="24"/>
      <w:lang w:val="en-US" w:eastAsia="zh-CN" w:bidi="ar-SA"/>
    </w:rPr>
  </w:style>
  <w:style w:type="character" w:customStyle="1" w:styleId="238">
    <w:name w:val="Char Char111"/>
    <w:qFormat/>
    <w:uiPriority w:val="0"/>
    <w:rPr>
      <w:rFonts w:ascii="宋体" w:eastAsia="宋体"/>
      <w:b/>
      <w:sz w:val="24"/>
      <w:u w:val="single"/>
      <w:lang w:val="en-US" w:eastAsia="zh-CN" w:bidi="ar-SA"/>
    </w:rPr>
  </w:style>
  <w:style w:type="character" w:customStyle="1" w:styleId="239">
    <w:name w:val="正文文本缩进 Char"/>
    <w:qFormat/>
    <w:uiPriority w:val="0"/>
    <w:rPr>
      <w:rFonts w:eastAsia="宋体"/>
      <w:kern w:val="2"/>
      <w:sz w:val="24"/>
      <w:szCs w:val="24"/>
      <w:lang w:val="en-US" w:eastAsia="zh-CN" w:bidi="ar-SA"/>
    </w:rPr>
  </w:style>
  <w:style w:type="character" w:customStyle="1" w:styleId="240">
    <w:name w:val="列出段落 Char"/>
    <w:qFormat/>
    <w:uiPriority w:val="0"/>
    <w:rPr>
      <w:rFonts w:ascii="Calibri" w:hAnsi="Calibri" w:eastAsia="宋体"/>
      <w:kern w:val="2"/>
      <w:sz w:val="21"/>
      <w:szCs w:val="22"/>
      <w:lang w:val="en-US" w:eastAsia="zh-CN" w:bidi="ar-SA"/>
    </w:rPr>
  </w:style>
  <w:style w:type="character" w:customStyle="1" w:styleId="241">
    <w:name w:val="页眉 Char"/>
    <w:qFormat/>
    <w:uiPriority w:val="99"/>
    <w:rPr>
      <w:rFonts w:eastAsia="宋体"/>
      <w:kern w:val="2"/>
      <w:sz w:val="18"/>
      <w:szCs w:val="18"/>
      <w:lang w:val="en-US" w:eastAsia="zh-CN" w:bidi="ar-SA"/>
    </w:rPr>
  </w:style>
  <w:style w:type="paragraph" w:customStyle="1" w:styleId="242">
    <w:name w:val="字元 字元2"/>
    <w:basedOn w:val="1"/>
    <w:qFormat/>
    <w:uiPriority w:val="0"/>
    <w:rPr>
      <w:rFonts w:ascii="Tahoma" w:hAnsi="Tahoma"/>
      <w:sz w:val="24"/>
      <w:szCs w:val="20"/>
    </w:rPr>
  </w:style>
  <w:style w:type="paragraph" w:customStyle="1" w:styleId="243">
    <w:name w:val="Char3 Char Char Char2"/>
    <w:basedOn w:val="1"/>
    <w:qFormat/>
    <w:uiPriority w:val="0"/>
    <w:rPr>
      <w:rFonts w:ascii="Tahoma" w:hAnsi="Tahoma"/>
      <w:sz w:val="24"/>
      <w:szCs w:val="20"/>
    </w:rPr>
  </w:style>
  <w:style w:type="paragraph" w:customStyle="1" w:styleId="244">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45">
    <w:name w:val="Char3"/>
    <w:basedOn w:val="1"/>
    <w:qFormat/>
    <w:uiPriority w:val="0"/>
    <w:pPr>
      <w:tabs>
        <w:tab w:val="left" w:pos="360"/>
      </w:tabs>
    </w:pPr>
    <w:rPr>
      <w:sz w:val="24"/>
    </w:rPr>
  </w:style>
  <w:style w:type="paragraph" w:customStyle="1" w:styleId="246">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47">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8">
    <w:name w:val="列出段落2"/>
    <w:basedOn w:val="1"/>
    <w:qFormat/>
    <w:uiPriority w:val="0"/>
    <w:pPr>
      <w:ind w:firstLine="420" w:firstLineChars="200"/>
    </w:pPr>
    <w:rPr>
      <w:rFonts w:ascii="Calibri" w:hAnsi="Calibri"/>
      <w:szCs w:val="22"/>
    </w:rPr>
  </w:style>
  <w:style w:type="paragraph" w:customStyle="1" w:styleId="249">
    <w:name w:val="Char Char Char1 Char2"/>
    <w:basedOn w:val="1"/>
    <w:qFormat/>
    <w:uiPriority w:val="0"/>
    <w:rPr>
      <w:rFonts w:ascii="Tahoma" w:hAnsi="Tahoma"/>
      <w:sz w:val="24"/>
      <w:szCs w:val="20"/>
    </w:rPr>
  </w:style>
  <w:style w:type="paragraph" w:customStyle="1" w:styleId="250">
    <w:name w:val="Char Char Char2"/>
    <w:basedOn w:val="1"/>
    <w:qFormat/>
    <w:uiPriority w:val="0"/>
    <w:rPr>
      <w:rFonts w:ascii="Tahoma" w:hAnsi="Tahoma"/>
      <w:sz w:val="24"/>
      <w:szCs w:val="20"/>
    </w:rPr>
  </w:style>
  <w:style w:type="paragraph" w:customStyle="1" w:styleId="251">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52">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53">
    <w:name w:val="修订1"/>
    <w:qFormat/>
    <w:uiPriority w:val="0"/>
    <w:rPr>
      <w:rFonts w:ascii="Times New Roman" w:hAnsi="Times New Roman" w:eastAsia="宋体" w:cs="Times New Roman"/>
      <w:kern w:val="2"/>
      <w:sz w:val="21"/>
      <w:szCs w:val="24"/>
      <w:lang w:val="en-US" w:eastAsia="zh-CN" w:bidi="ar-SA"/>
    </w:rPr>
  </w:style>
  <w:style w:type="paragraph" w:customStyle="1" w:styleId="254">
    <w:name w:val="Char22"/>
    <w:basedOn w:val="1"/>
    <w:qFormat/>
    <w:uiPriority w:val="0"/>
    <w:rPr>
      <w:rFonts w:ascii="Tahoma" w:hAnsi="Tahoma"/>
      <w:sz w:val="24"/>
      <w:szCs w:val="20"/>
    </w:rPr>
  </w:style>
  <w:style w:type="paragraph" w:customStyle="1" w:styleId="255">
    <w:name w:val="Char Char Char Char Char Char Char Char Char Char2"/>
    <w:basedOn w:val="1"/>
    <w:qFormat/>
    <w:uiPriority w:val="0"/>
    <w:rPr>
      <w:rFonts w:ascii="宋体" w:hAnsi="宋体" w:cs="Courier New"/>
      <w:sz w:val="32"/>
      <w:szCs w:val="32"/>
    </w:rPr>
  </w:style>
  <w:style w:type="paragraph" w:customStyle="1" w:styleId="256">
    <w:name w:val="Char2 Char Char Char Char Char Char1"/>
    <w:basedOn w:val="1"/>
    <w:qFormat/>
    <w:uiPriority w:val="0"/>
    <w:pPr>
      <w:widowControl/>
      <w:spacing w:line="400" w:lineRule="exact"/>
      <w:jc w:val="center"/>
    </w:pPr>
  </w:style>
  <w:style w:type="character" w:customStyle="1" w:styleId="257">
    <w:name w:val="页脚 Char"/>
    <w:qFormat/>
    <w:uiPriority w:val="0"/>
    <w:rPr>
      <w:rFonts w:ascii="宋体" w:eastAsia="宋体"/>
      <w:sz w:val="18"/>
      <w:lang w:val="en-US" w:eastAsia="zh-CN" w:bidi="ar-SA"/>
    </w:rPr>
  </w:style>
  <w:style w:type="paragraph" w:customStyle="1" w:styleId="258">
    <w:name w:val="Char Char41"/>
    <w:basedOn w:val="1"/>
    <w:qFormat/>
    <w:uiPriority w:val="0"/>
    <w:pPr>
      <w:widowControl/>
      <w:spacing w:line="400" w:lineRule="exact"/>
      <w:jc w:val="center"/>
    </w:pPr>
  </w:style>
  <w:style w:type="character" w:customStyle="1" w:styleId="259">
    <w:name w:val="批注文字 Char"/>
    <w:qFormat/>
    <w:uiPriority w:val="0"/>
    <w:rPr>
      <w:kern w:val="2"/>
      <w:sz w:val="21"/>
      <w:szCs w:val="24"/>
    </w:rPr>
  </w:style>
  <w:style w:type="character" w:customStyle="1" w:styleId="260">
    <w:name w:val="标题 Char"/>
    <w:qFormat/>
    <w:uiPriority w:val="0"/>
    <w:rPr>
      <w:b/>
      <w:kern w:val="2"/>
      <w:sz w:val="32"/>
    </w:rPr>
  </w:style>
  <w:style w:type="paragraph" w:customStyle="1" w:styleId="261">
    <w:name w:val="图例"/>
    <w:basedOn w:val="1"/>
    <w:qFormat/>
    <w:uiPriority w:val="0"/>
    <w:pPr>
      <w:spacing w:before="120" w:after="120" w:line="360" w:lineRule="auto"/>
      <w:jc w:val="center"/>
    </w:pPr>
    <w:rPr>
      <w:rFonts w:eastAsia="仿宋_GB2312"/>
      <w:b/>
      <w:sz w:val="24"/>
      <w:szCs w:val="20"/>
    </w:rPr>
  </w:style>
  <w:style w:type="table" w:customStyle="1" w:styleId="262">
    <w:name w:val="Table Normal"/>
    <w:unhideWhenUsed/>
    <w:qFormat/>
    <w:uiPriority w:val="2"/>
    <w:pPr>
      <w:widowControl w:val="0"/>
      <w:autoSpaceDE w:val="0"/>
      <w:autoSpaceDN w:val="0"/>
    </w:pPr>
    <w:rPr>
      <w:rFonts w:ascii="Calibri" w:hAnsi="Calibri" w:eastAsia="宋体" w:cs="Times New Roman"/>
      <w:kern w:val="0"/>
      <w:sz w:val="22"/>
      <w:szCs w:val="22"/>
      <w:lang w:eastAsia="en-US"/>
    </w:rPr>
    <w:tblPr>
      <w:tblCellMar>
        <w:top w:w="0" w:type="dxa"/>
        <w:left w:w="0" w:type="dxa"/>
        <w:bottom w:w="0" w:type="dxa"/>
        <w:right w:w="0" w:type="dxa"/>
      </w:tblCellMar>
    </w:tblPr>
  </w:style>
  <w:style w:type="paragraph" w:customStyle="1" w:styleId="263">
    <w:name w:val="+正文"/>
    <w:basedOn w:val="1"/>
    <w:link w:val="264"/>
    <w:qFormat/>
    <w:uiPriority w:val="0"/>
    <w:pPr>
      <w:spacing w:line="360" w:lineRule="auto"/>
      <w:ind w:firstLine="200" w:firstLineChars="200"/>
    </w:pPr>
    <w:rPr>
      <w:rFonts w:ascii="Calibri" w:hAnsi="Calibri"/>
      <w:kern w:val="0"/>
      <w:sz w:val="24"/>
      <w:szCs w:val="28"/>
    </w:rPr>
  </w:style>
  <w:style w:type="character" w:customStyle="1" w:styleId="264">
    <w:name w:val="+正文 Char4"/>
    <w:link w:val="263"/>
    <w:qFormat/>
    <w:uiPriority w:val="0"/>
    <w:rPr>
      <w:rFonts w:ascii="Calibri" w:hAnsi="Calibri" w:eastAsia="宋体" w:cs="Times New Roman"/>
      <w:kern w:val="0"/>
      <w:sz w:val="24"/>
      <w:szCs w:val="28"/>
    </w:rPr>
  </w:style>
  <w:style w:type="character" w:customStyle="1" w:styleId="265">
    <w:name w:val="标准文本 Char Char"/>
    <w:link w:val="266"/>
    <w:qFormat/>
    <w:uiPriority w:val="0"/>
    <w:rPr>
      <w:rFonts w:cs="宋体"/>
      <w:sz w:val="24"/>
    </w:rPr>
  </w:style>
  <w:style w:type="paragraph" w:customStyle="1" w:styleId="266">
    <w:name w:val="标准文本"/>
    <w:basedOn w:val="1"/>
    <w:link w:val="265"/>
    <w:qFormat/>
    <w:uiPriority w:val="0"/>
    <w:pPr>
      <w:spacing w:line="360" w:lineRule="auto"/>
      <w:ind w:firstLine="480" w:firstLineChars="200"/>
    </w:pPr>
    <w:rPr>
      <w:rFonts w:cs="宋体" w:asciiTheme="minorHAnsi" w:hAnsiTheme="minorHAnsi" w:eastAsiaTheme="minorEastAsia"/>
      <w:sz w:val="24"/>
      <w:szCs w:val="20"/>
    </w:rPr>
  </w:style>
  <w:style w:type="paragraph" w:customStyle="1" w:styleId="267">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268">
    <w:name w:val="Table Text"/>
    <w:basedOn w:val="1"/>
    <w:semiHidden/>
    <w:qFormat/>
    <w:uiPriority w:val="0"/>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paragraph" w:customStyle="1" w:styleId="269">
    <w:name w:val="_Style 4"/>
    <w:basedOn w:val="1"/>
    <w:qFormat/>
    <w:uiPriority w:val="34"/>
    <w:pPr>
      <w:ind w:firstLine="420" w:firstLineChars="200"/>
    </w:pPr>
    <w:rPr>
      <w:szCs w:val="20"/>
    </w:rPr>
  </w:style>
  <w:style w:type="paragraph" w:customStyle="1" w:styleId="270">
    <w:name w:val="列出段落21"/>
    <w:basedOn w:val="1"/>
    <w:qFormat/>
    <w:uiPriority w:val="34"/>
    <w:pPr>
      <w:spacing w:line="360" w:lineRule="auto"/>
      <w:ind w:firstLine="420" w:firstLineChars="200"/>
    </w:pPr>
    <w:rPr>
      <w:sz w:val="24"/>
      <w:szCs w:val="20"/>
    </w:rPr>
  </w:style>
  <w:style w:type="paragraph" w:customStyle="1" w:styleId="271">
    <w:name w:val="样式1"/>
    <w:basedOn w:val="4"/>
    <w:link w:val="272"/>
    <w:qFormat/>
    <w:uiPriority w:val="99"/>
    <w:pPr>
      <w:spacing w:line="360" w:lineRule="exact"/>
      <w:ind w:firstLine="480" w:firstLineChars="200"/>
      <w:jc w:val="both"/>
    </w:pPr>
    <w:rPr>
      <w:rFonts w:ascii="宋体" w:hAnsi="宋体" w:cs="Times New Roman"/>
      <w:color w:val="000000"/>
      <w:sz w:val="24"/>
    </w:rPr>
  </w:style>
  <w:style w:type="character" w:customStyle="1" w:styleId="272">
    <w:name w:val="样式1 Char Char"/>
    <w:link w:val="271"/>
    <w:qFormat/>
    <w:locked/>
    <w:uiPriority w:val="99"/>
    <w:rPr>
      <w:rFonts w:ascii="宋体" w:hAnsi="宋体" w:eastAsia="宋体" w:cs="Times New Roman"/>
      <w:color w:val="000000"/>
      <w:sz w:val="24"/>
    </w:rPr>
  </w:style>
  <w:style w:type="paragraph" w:customStyle="1" w:styleId="273">
    <w:name w:val="Char Char1 Char Char Char Char Char Char Char Char Char"/>
    <w:basedOn w:val="1"/>
    <w:qFormat/>
    <w:uiPriority w:val="0"/>
    <w:pPr>
      <w:widowControl/>
      <w:numPr>
        <w:ilvl w:val="0"/>
        <w:numId w:val="8"/>
      </w:numPr>
      <w:spacing w:after="160" w:line="240" w:lineRule="exact"/>
      <w:jc w:val="left"/>
    </w:pPr>
    <w:rPr>
      <w:rFonts w:ascii="Verdana" w:hAnsi="Verdana" w:eastAsia="仿宋_GB2312"/>
      <w:b/>
      <w:kern w:val="0"/>
      <w:sz w:val="24"/>
      <w:lang w:eastAsia="en-US"/>
    </w:rPr>
  </w:style>
  <w:style w:type="paragraph" w:customStyle="1" w:styleId="274">
    <w:name w:val="正文样式"/>
    <w:basedOn w:val="1"/>
    <w:qFormat/>
    <w:uiPriority w:val="7"/>
    <w:pPr>
      <w:spacing w:line="360" w:lineRule="auto"/>
      <w:ind w:firstLine="480" w:firstLineChars="200"/>
    </w:pPr>
    <w:rPr>
      <w:sz w:val="24"/>
    </w:rPr>
  </w:style>
  <w:style w:type="paragraph" w:customStyle="1" w:styleId="275">
    <w:name w:val="目录 11"/>
    <w:next w:val="1"/>
    <w:qFormat/>
    <w:uiPriority w:val="0"/>
    <w:pPr>
      <w:wordWrap w:val="0"/>
      <w:jc w:val="both"/>
    </w:pPr>
    <w:rPr>
      <w:rFonts w:ascii="Times New Roman" w:hAnsi="Times New Roman" w:eastAsia="宋体" w:cs="Times New Roman"/>
      <w:kern w:val="0"/>
      <w:sz w:val="21"/>
      <w:szCs w:val="22"/>
      <w:lang w:val="en-US" w:eastAsia="zh-CN" w:bidi="ar-SA"/>
    </w:rPr>
  </w:style>
  <w:style w:type="paragraph" w:customStyle="1" w:styleId="276">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77">
    <w:name w:val="font0"/>
    <w:basedOn w:val="1"/>
    <w:qFormat/>
    <w:uiPriority w:val="0"/>
    <w:pPr>
      <w:widowControl/>
      <w:spacing w:before="100" w:beforeAutospacing="1" w:after="100" w:afterAutospacing="1"/>
      <w:jc w:val="left"/>
    </w:pPr>
    <w:rPr>
      <w:rFonts w:ascii="宋体" w:hAnsi="宋体" w:cs="宋体"/>
      <w:kern w:val="0"/>
      <w:sz w:val="24"/>
    </w:rPr>
  </w:style>
  <w:style w:type="paragraph" w:customStyle="1" w:styleId="278">
    <w:name w:val="xl84"/>
    <w:basedOn w:val="1"/>
    <w:qFormat/>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279">
    <w:name w:val="xl85"/>
    <w:basedOn w:val="1"/>
    <w:qFormat/>
    <w:uiPriority w:val="0"/>
    <w:pPr>
      <w:widowControl/>
      <w:spacing w:before="100" w:beforeAutospacing="1" w:after="100" w:afterAutospacing="1"/>
      <w:jc w:val="center"/>
      <w:textAlignment w:val="center"/>
    </w:pPr>
    <w:rPr>
      <w:rFonts w:ascii="宋体" w:hAnsi="宋体" w:cs="宋体"/>
      <w:color w:val="FF0000"/>
      <w:kern w:val="0"/>
      <w:sz w:val="24"/>
    </w:rPr>
  </w:style>
  <w:style w:type="paragraph" w:customStyle="1" w:styleId="280">
    <w:name w:val="xl86"/>
    <w:basedOn w:val="1"/>
    <w:qFormat/>
    <w:uiPriority w:val="0"/>
    <w:pPr>
      <w:widowControl/>
      <w:spacing w:before="100" w:beforeAutospacing="1" w:after="100" w:afterAutospacing="1"/>
      <w:jc w:val="center"/>
      <w:textAlignment w:val="center"/>
    </w:pPr>
    <w:rPr>
      <w:kern w:val="0"/>
      <w:sz w:val="24"/>
    </w:rPr>
  </w:style>
  <w:style w:type="paragraph" w:customStyle="1" w:styleId="281">
    <w:name w:val="xl87"/>
    <w:basedOn w:val="1"/>
    <w:qFormat/>
    <w:uiPriority w:val="0"/>
    <w:pPr>
      <w:widowControl/>
      <w:spacing w:before="100" w:beforeAutospacing="1" w:after="100" w:afterAutospacing="1"/>
      <w:jc w:val="center"/>
      <w:textAlignment w:val="center"/>
    </w:pPr>
    <w:rPr>
      <w:rFonts w:ascii="新宋体" w:hAnsi="新宋体" w:eastAsia="新宋体" w:cs="宋体"/>
      <w:kern w:val="0"/>
      <w:sz w:val="24"/>
    </w:rPr>
  </w:style>
  <w:style w:type="paragraph" w:customStyle="1" w:styleId="282">
    <w:name w:val="xl8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kern w:val="0"/>
      <w:sz w:val="24"/>
    </w:rPr>
  </w:style>
  <w:style w:type="paragraph" w:customStyle="1" w:styleId="283">
    <w:name w:val="xl8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新宋体" w:hAnsi="新宋体" w:eastAsia="新宋体" w:cs="宋体"/>
      <w:b/>
      <w:bCs/>
      <w:kern w:val="0"/>
      <w:sz w:val="24"/>
    </w:rPr>
  </w:style>
  <w:style w:type="paragraph" w:customStyle="1" w:styleId="284">
    <w:name w:val="xl9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kern w:val="0"/>
      <w:sz w:val="24"/>
    </w:rPr>
  </w:style>
  <w:style w:type="paragraph" w:customStyle="1" w:styleId="285">
    <w:name w:val="xl9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新宋体" w:hAnsi="新宋体" w:eastAsia="新宋体" w:cs="宋体"/>
      <w:kern w:val="0"/>
      <w:sz w:val="24"/>
    </w:rPr>
  </w:style>
  <w:style w:type="paragraph" w:customStyle="1" w:styleId="286">
    <w:name w:val="xl9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24"/>
    </w:rPr>
  </w:style>
  <w:style w:type="paragraph" w:customStyle="1" w:styleId="287">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88">
    <w:name w:val="xl94"/>
    <w:basedOn w:val="1"/>
    <w:qFormat/>
    <w:uiPriority w:val="0"/>
    <w:pPr>
      <w:widowControl/>
      <w:pBdr>
        <w:top w:val="single" w:color="000000" w:sz="4" w:space="0"/>
        <w:left w:val="single" w:color="000000" w:sz="4" w:space="0"/>
        <w:bottom w:val="single" w:color="000000" w:sz="4" w:space="0"/>
        <w:right w:val="single" w:color="000000" w:sz="4" w:space="0"/>
      </w:pBdr>
      <w:shd w:val="clear" w:color="FFFFCC" w:fill="FFFFFF"/>
      <w:spacing w:before="100" w:beforeAutospacing="1" w:after="100" w:afterAutospacing="1"/>
      <w:jc w:val="center"/>
      <w:textAlignment w:val="center"/>
    </w:pPr>
    <w:rPr>
      <w:rFonts w:ascii="宋体" w:hAnsi="宋体" w:cs="宋体"/>
      <w:color w:val="000000"/>
      <w:kern w:val="0"/>
      <w:sz w:val="24"/>
    </w:rPr>
  </w:style>
  <w:style w:type="paragraph" w:customStyle="1" w:styleId="289">
    <w:name w:val="xl9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新宋体" w:hAnsi="新宋体" w:eastAsia="新宋体" w:cs="宋体"/>
      <w:color w:val="000000"/>
      <w:kern w:val="0"/>
      <w:sz w:val="24"/>
    </w:rPr>
  </w:style>
  <w:style w:type="paragraph" w:customStyle="1" w:styleId="290">
    <w:name w:val="xl9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29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24"/>
    </w:rPr>
  </w:style>
  <w:style w:type="paragraph" w:customStyle="1" w:styleId="292">
    <w:name w:val="xl98"/>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新宋体" w:hAnsi="新宋体" w:eastAsia="新宋体" w:cs="宋体"/>
      <w:kern w:val="0"/>
      <w:sz w:val="24"/>
    </w:rPr>
  </w:style>
  <w:style w:type="paragraph" w:customStyle="1" w:styleId="293">
    <w:name w:val="xl99"/>
    <w:basedOn w:val="1"/>
    <w:qFormat/>
    <w:uiPriority w:val="0"/>
    <w:pPr>
      <w:widowControl/>
      <w:pBdr>
        <w:top w:val="single" w:color="000000" w:sz="4" w:space="0"/>
        <w:left w:val="single" w:color="000000" w:sz="4" w:space="0"/>
        <w:right w:val="single" w:color="000000" w:sz="4" w:space="0"/>
      </w:pBdr>
      <w:shd w:val="clear" w:color="FFFFCC" w:fill="FFFFFF"/>
      <w:spacing w:before="100" w:beforeAutospacing="1" w:after="100" w:afterAutospacing="1"/>
      <w:jc w:val="center"/>
      <w:textAlignment w:val="center"/>
    </w:pPr>
    <w:rPr>
      <w:rFonts w:ascii="宋体" w:hAnsi="宋体" w:cs="宋体"/>
      <w:color w:val="000000"/>
      <w:kern w:val="0"/>
      <w:sz w:val="24"/>
    </w:rPr>
  </w:style>
  <w:style w:type="paragraph" w:customStyle="1" w:styleId="294">
    <w:name w:val="xl100"/>
    <w:basedOn w:val="1"/>
    <w:qFormat/>
    <w:uiPriority w:val="0"/>
    <w:pPr>
      <w:widowControl/>
      <w:pBdr>
        <w:top w:val="single" w:color="000000" w:sz="4" w:space="0"/>
        <w:left w:val="single" w:color="000000" w:sz="4" w:space="0"/>
        <w:bottom w:val="single" w:color="000000" w:sz="4" w:space="0"/>
        <w:right w:val="single" w:color="000000" w:sz="4" w:space="0"/>
      </w:pBdr>
      <w:shd w:val="clear" w:color="FFFFCC" w:fill="FFFFFF"/>
      <w:spacing w:before="100" w:beforeAutospacing="1" w:after="100" w:afterAutospacing="1"/>
      <w:jc w:val="center"/>
      <w:textAlignment w:val="center"/>
    </w:pPr>
    <w:rPr>
      <w:rFonts w:ascii="宋体" w:hAnsi="宋体" w:cs="宋体"/>
      <w:kern w:val="0"/>
      <w:sz w:val="24"/>
    </w:rPr>
  </w:style>
  <w:style w:type="paragraph" w:customStyle="1" w:styleId="295">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4"/>
    </w:rPr>
  </w:style>
  <w:style w:type="paragraph" w:customStyle="1" w:styleId="296">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297">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298">
    <w:name w:val="xl10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新宋体" w:hAnsi="新宋体" w:eastAsia="新宋体" w:cs="宋体"/>
      <w:color w:val="000000"/>
      <w:kern w:val="0"/>
      <w:sz w:val="24"/>
    </w:rPr>
  </w:style>
  <w:style w:type="paragraph" w:customStyle="1" w:styleId="299">
    <w:name w:val="xl105"/>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新宋体" w:hAnsi="新宋体" w:eastAsia="新宋体" w:cs="宋体"/>
      <w:kern w:val="0"/>
      <w:sz w:val="24"/>
    </w:rPr>
  </w:style>
  <w:style w:type="paragraph" w:customStyle="1" w:styleId="300">
    <w:name w:val="xl106"/>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24"/>
    </w:rPr>
  </w:style>
  <w:style w:type="paragraph" w:customStyle="1" w:styleId="301">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02">
    <w:name w:val="xl10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24"/>
    </w:rPr>
  </w:style>
  <w:style w:type="paragraph" w:customStyle="1" w:styleId="303">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04">
    <w:name w:val="xl110"/>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color w:val="000000"/>
      <w:kern w:val="0"/>
      <w:sz w:val="24"/>
    </w:rPr>
  </w:style>
  <w:style w:type="paragraph" w:customStyle="1" w:styleId="305">
    <w:name w:val="xl11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06">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4"/>
    </w:rPr>
  </w:style>
  <w:style w:type="paragraph" w:customStyle="1" w:styleId="307">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color w:val="000000"/>
      <w:kern w:val="0"/>
      <w:sz w:val="24"/>
    </w:rPr>
  </w:style>
  <w:style w:type="paragraph" w:customStyle="1" w:styleId="308">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color w:val="FF0000"/>
      <w:kern w:val="0"/>
      <w:sz w:val="24"/>
    </w:rPr>
  </w:style>
  <w:style w:type="paragraph" w:customStyle="1" w:styleId="309">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color w:val="000000"/>
      <w:kern w:val="0"/>
      <w:sz w:val="24"/>
    </w:rPr>
  </w:style>
  <w:style w:type="paragraph" w:customStyle="1" w:styleId="310">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color w:val="FF0000"/>
      <w:kern w:val="0"/>
      <w:sz w:val="24"/>
    </w:rPr>
  </w:style>
  <w:style w:type="paragraph" w:customStyle="1" w:styleId="311">
    <w:name w:val="xl1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color w:val="FF0000"/>
      <w:kern w:val="0"/>
      <w:sz w:val="24"/>
    </w:rPr>
  </w:style>
  <w:style w:type="character" w:customStyle="1" w:styleId="312">
    <w:name w:val="*正文 Char"/>
    <w:link w:val="57"/>
    <w:qFormat/>
    <w:uiPriority w:val="0"/>
    <w:rPr>
      <w:rFonts w:ascii="Calibri" w:hAnsi="Calibri" w:eastAsia="宋体" w:cs="Times New Roman"/>
      <w:sz w:val="24"/>
      <w:szCs w:val="22"/>
    </w:rPr>
  </w:style>
  <w:style w:type="paragraph" w:customStyle="1" w:styleId="313">
    <w:name w:val="列表段落1"/>
    <w:basedOn w:val="1"/>
    <w:qFormat/>
    <w:uiPriority w:val="34"/>
    <w:pPr>
      <w:ind w:firstLine="420" w:firstLineChars="200"/>
    </w:pPr>
    <w:rPr>
      <w:rFonts w:ascii="Calibri" w:hAnsi="Calibri"/>
      <w:szCs w:val="22"/>
    </w:rPr>
  </w:style>
  <w:style w:type="character" w:customStyle="1" w:styleId="314">
    <w:name w:val="正文缩进 字符2"/>
    <w:qFormat/>
    <w:uiPriority w:val="0"/>
    <w:rPr>
      <w:rFonts w:ascii="宋体" w:eastAsia="宋体"/>
      <w:kern w:val="2"/>
      <w:sz w:val="24"/>
      <w:szCs w:val="24"/>
      <w:lang w:val="en-US" w:eastAsia="zh-CN" w:bidi="ar-SA"/>
    </w:rPr>
  </w:style>
  <w:style w:type="character" w:customStyle="1" w:styleId="315">
    <w:name w:val="列表段落 字符1"/>
    <w:qFormat/>
    <w:uiPriority w:val="34"/>
    <w:rPr>
      <w:rFonts w:ascii="Calibri" w:hAnsi="Calibri" w:eastAsia="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EEE852-F4E9-457D-826F-AA89303B796D}">
  <ds:schemaRefs/>
</ds:datastoreItem>
</file>

<file path=docProps/app.xml><?xml version="1.0" encoding="utf-8"?>
<Properties xmlns="http://schemas.openxmlformats.org/officeDocument/2006/extended-properties" xmlns:vt="http://schemas.openxmlformats.org/officeDocument/2006/docPropsVTypes">
  <Template>Normal.dotm</Template>
  <Company>family</Company>
  <Pages>58</Pages>
  <Words>27130</Words>
  <Characters>29150</Characters>
  <Lines>226</Lines>
  <Paragraphs>63</Paragraphs>
  <TotalTime>61</TotalTime>
  <ScaleCrop>false</ScaleCrop>
  <LinksUpToDate>false</LinksUpToDate>
  <CharactersWithSpaces>29776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2024-07-05T01:09:00Z</dcterms:created>
  <dc:creator>安妮 吕</dc:creator>
  <cp:lastModifiedBy>李燕平</cp:lastModifiedBy>
  <cp:lastPrinted>2024-07-09T06:19:48Z</cp:lastPrinted>
  <dcterms:modified xsi:type="dcterms:W3CDTF">2024-07-09T07:56:09Z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BCF3A51D530446FB80D5582B60FDBF38_12</vt:lpwstr>
  </property>
</Properties>
</file>