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11011524210200018554-XM001 </w:t>
      </w:r>
    </w:p>
    <w:p>
      <w:pPr>
        <w:adjustRightInd w:val="0"/>
        <w:spacing w:line="240" w:lineRule="auto"/>
        <w:ind w:left="0" w:leftChars="0" w:firstLine="560" w:firstLineChars="200"/>
        <w:jc w:val="left"/>
        <w:textAlignment w:val="baseline"/>
        <w:rPr>
          <w:rFonts w:hint="eastAsia" w:ascii="仿宋" w:hAnsi="仿宋" w:eastAsia="仿宋"/>
          <w:spacing w:val="-20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pacing w:val="-20"/>
          <w:sz w:val="28"/>
          <w:szCs w:val="28"/>
        </w:rPr>
        <w:t>2024年新建校开办-北京师范大学附属实验中学大兴分校（设备购置）项目</w:t>
      </w:r>
    </w:p>
    <w:p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7.26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4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更正事项：☑采购公告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将“三、技术参数要求（技术指标包括性能、规格、材质等，但不能指定品牌）、服务要求”第一包内容中“显示器：≥23.8英寸 IPS（LED背光），≥99%sRGB色域，≥95Hz刷新率”，变更为“#显示器：≥23.8英寸 IPS（LED背光），≥99%sRGB色域，≥60Hz刷新率”，（公开招标公告附件中，相关技术参数同步更正</w:t>
      </w:r>
      <w:bookmarkStart w:id="31" w:name="_GoBack"/>
      <w:bookmarkEnd w:id="3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）下附对比表：</w:t>
      </w:r>
    </w:p>
    <w:p>
      <w:pPr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原招标文件内容：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第四章采购需求中三、技术参数要求（技术指标包括性能、规格、材质等，但不能指定品牌）、服务要求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第一包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tbl>
      <w:tblPr>
        <w:tblStyle w:val="14"/>
        <w:tblW w:w="94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33"/>
        <w:gridCol w:w="4700"/>
        <w:gridCol w:w="1366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设计终端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处理器：i7十三代及以上，最大睿频频率≥4.9GHz，核心数≥10个，线程数≥12；三级缓存≥20MB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内存：≥16GB DDR5；系统最大支持≥64GB；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硬盘：固态硬盘容量≥1TB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#显示器：≥23.8英寸 IPS（LED背光），≥99%sRGB色域，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≥95Hz刷新率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#接口：≥4个USB接口(其中至少2个USB 3.2 G2接口、包含一个TYPEC)、≥1个音频输入输出接口、≥1个HDMI视频输出接口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#声卡：集成声卡，带AI降噪功能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主机：一体台式机，可俯仰底座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#产品可靠性：具有产品可靠性检验证书，MTBF不小于100万小时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#售后服务：要求出具所投产品原厂商3年上门售后服务承诺函。要求提供所投产品原厂400免费技术支持电话；投标电脑品牌在当地设有专业维修站。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#管理软件功能：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1、支持多硬盘的统一部署和保护还原。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2、支持分区每次、每天、每周、每月、手动等多种还原方式。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含：操作系统 WINDOWS正版操作系统及office办公软件（教育版）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计算机（含系统）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处理器：i5十三代及以上，最大睿频频率≥4.6GHz，核心数≥8个，线程数≥12；三级缓存≥10MB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内存：≥8GB DDR5；系统最大支持≥64GB；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硬盘：固态硬盘容量≥512B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显示器：≥23.8英寸 IPS（LED背光），≥99%sRGB色域，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≥95Hz刷新率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接口：≥4个USB接口(其中至少2个USB 3.2 G2接口、包含一个TYPEC)、≥1个音频输入输出接口、≥1个HDMI视频输出接口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主机：一体台式机，可俯仰底座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产品可靠性：具有产品可靠性检验证书，MTBF不小于100万小时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售后服务：要求出具所投产品原厂商3年上门售后服务承诺函。要求提供所投产品原厂400免费技术支持电话；投标电脑品牌在当地设有专业维修站。管理软件功能：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2、支持多硬盘的统一部署和保护还原。支持分区每次、每天、每周、每月、手动等多种还原方式。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含：操作系统 WINDOWS正版操作系统及office办公软件（教育版）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处理器：i5十三代及以上，最大睿频频率≥4.6GHz，核心数≥8个，线程数≥12；三级缓存≥10MB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内存：≥8GB DDR5；系统最大支持≥64GB；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硬盘：固态硬盘容量≥512B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显示器：≥23.8英寸 IPS（LED背光），≥99%sRGB色域，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≥95Hz刷新率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接口：≥4个USB接口(其中至少2个USB 3.2 G2接口、包含一个TYPEC)、≥1个音频输入输出接口、≥1个HDMI视频输出接口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主机：一体台式机，可俯仰底座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产品可靠性：具有产品可靠性检验证书，MTBF不小于100万小时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售后服务：要求出具所投产品原厂商3年上门售后服务承诺函。要求提供所投产品原厂400免费技术支持电话；投标电脑品牌在当地设有专业维修站。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管理软件功能：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、支持多硬盘的统一部署和保护还原。支持分区每次、每天、每周、每月、手动等多种还原方式。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</w:tbl>
    <w:p>
      <w:pPr>
        <w:widowControl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现变更招标文件第四章采购需求中三、技术参数要求（技术指标包括性能、规格、材质等，但不能指定品牌）、服务要求</w:t>
      </w:r>
    </w:p>
    <w:p>
      <w:pPr>
        <w:widowControl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第一包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</w:rPr>
        <w:tab/>
      </w:r>
    </w:p>
    <w:tbl>
      <w:tblPr>
        <w:tblStyle w:val="14"/>
        <w:tblW w:w="94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33"/>
        <w:gridCol w:w="4700"/>
        <w:gridCol w:w="1366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设计终端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处理器：i7十三代及以上，最大睿频频率≥4.9GHz，核心数≥10个，线程数≥12；三级缓存≥20MB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内存：≥16GB DDR5；系统最大支持≥64GB；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硬盘：固态硬盘容量≥1TB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#显示器：≥23.8英寸 IPS（LED背光），≥99%sRGB色域，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≥60Hz刷新率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#接口：≥4个USB接口(其中至少2个USB 3.2 G2接口、包含一个TYPEC)、≥1个音频输入输出接口、≥1个HDMI视频输出接口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#声卡：集成声卡，带AI降噪功能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主机：一体台式机，可俯仰底座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#产品可靠性：具有产品可靠性检验证书，MTBF不小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于100万小时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#售后服务：要求出具所投产品原厂商3年上门售后服务承诺函。要求提供所投产品原厂400免费技术支持电话；投标电脑品牌在当地设有专业维修站。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#管理软件功能：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1、支持多硬盘的统一部署和保护还原。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2、支持分区每次、每天、每周、每月、手动等多种还原方式。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含：操作系统 WINDOWS正版操作系统及office办公软件（教育版）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计算机（含系统）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处理器：i5十三代及以上，最大睿频频率≥4.6GHz，核心数≥8个，线程数≥12；三级缓存≥10MB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内存：≥8GB DDR5；系统最大支持≥64GB；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硬盘：固态硬盘容量≥512B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显示器：≥23.8英寸 IPS（LED背光），≥99%sRGB色域，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Hz刷新率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接口：≥4个USB接口(其中至少2个USB 3.2 G2接口、包含一个TYPEC)、≥1个音频输入输出接口、≥1个HDMI视频输出接口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主机：一体台式机，可俯仰底座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#产品可靠性：具有产品可靠性检验证书，MTBF不小于100万小时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#售后服务：要求出具所投产品原厂商3年上门售后服务承诺函。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要求提供所投产品原厂400免费技术支持电话；投标电脑品牌在当地设有专业维修站。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#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管理软件功能：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2、支持多硬盘的统一部署和保护还原。支持分区每次、每天、每周、每月、手动等多种还原方式。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含：操作系统 WINDOWS正版操作系统及office办公软件（教育版）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处理器：i5十三代及以上，最大睿频频率≥4.6GHz，核心数≥8个，线程数≥12；三级缓存≥10MB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内存：≥8GB DDR5；系统最大支持≥64GB；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硬盘：固态硬盘容量≥512B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显示器：≥23.8英寸 IPS（LED背光），≥99%sRGB色域，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≥60Hz刷新率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接口：≥4个USB接口(其中至少2个USB 3.2 G2接口、包含一个TYPEC)、≥1个音频输入输出接口、≥1个HDMI视频输出接口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主机：一体台式机，可俯仰底座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#产品可靠性：具有产品可靠性检验证书，MTBF不小于100万小时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#售后服务：要求出具所投产品原厂商3年上门售后服务承诺函。要求提供所投产品原厂400免费技术支持电话；投标电脑品牌在当地设有专业维修站。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#管理软件功能：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、支持多硬盘的统一部署和保护还原。支持分区每次、每天、每周、每月、手动等多种还原方式。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将招标文件第4页中“投标时间：2024年8月20日上午9:00至9:30（北京时间）”更正为“投标时间：2024年8月28日上午9:00至9:30（北京时间）”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北京时间）。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2024年8月28日上午9:30（北京时间）”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投标人应在开标之日2024年8月20日上午9点30分（北京时间）前，在北京市政府采购电子交易平台(http://zbcg-bjzc.zhongcy.com/bjczj-portal-site/index.html#/home)登陆，在线上传电子版投标文件，文件格式为TBJ格式的加密文件。未在线上上传电子版《投标文件》的，将视为投标无效。”更正为“投标人应在开标之日2024年8月28日上午9点30分（北京时间）前，在北京市政府采购电子交易平台(http://zbcg-bjzc.zhongcy.com/bjczj-portal-site/index.html#/home)登陆，在线上传电子版投标文件，文件格式为TBJ格式的加密文件。未在线上上传电子版《投标文件》的，将视为投标无效。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在202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上午9点30分（北京时间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开标当日”更正为“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在202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8月28日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上午9点30分（北京时间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开标当日”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上午9:30”更正为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8月28日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将招标文件第6页中“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8月20日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8月28日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将招标文件第6页中“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开标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8月20日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”更正为“开标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8月28日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（北京时间）前递交投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标文件。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（北京时间）前递交投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标文件。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</w:p>
    <w:p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提交投标文件截止时间：202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日上午9:3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0（北京时间）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更正为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提交投标文件截止时间：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日上午9:30（北京时间）”</w:t>
      </w:r>
    </w:p>
    <w:p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日上午9:30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投标人应在开标之日2024年8月20日上午9:30（北京时间）前，在北京市政府采购电子交易平台(http://zbcg-bjzc.zhongcy.com/bjczj-portal-site/index.html#/home)登陆政府采购系统，在线上传电子版投标文件，文件格式为TBJ格式的加密文件。未在线上上传电子版《投标文件》的，将视为投标无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改为“投标人应在开标之日2024年8月28日上午9:30（北京时间）前，在北京市政府采购电子交易平台(http://zbcg-bjzc.zhongcy.com/bjczj-portal-site/index.html#/home)登陆政府采购系统，在线上传电子版投标文件，文件格式为TBJ格式的加密文件。未在线上上传电子版《投标文件》的，将视为投标无效。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投标人需在2024年8月20日上午9:30（北京时间）开标当日，由投标单位法人或授权人参加开标会（地点：北京市大兴区公共资源交易分中心三层）。”更正为“投标人需在2024年8月28日上午9:30（北京时间）开标当日，由投标单位法人或授权人参加开标会（地点：北京市大兴区公共资源交易分中心三层）。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4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107"/>
      <w:bookmarkStart w:id="17" w:name="_Toc35393818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称：北京师范大学附属实验中学大兴分校</w:t>
      </w:r>
    </w:p>
    <w:p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址：北京市大兴区庞各庄镇西义堂村北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联系方式：010-89287415-8018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35393819"/>
      <w:bookmarkStart w:id="21" w:name="_Toc28359031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3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3"/>
    </w:p>
    <w:p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Hlk44403401"/>
      <w:bookmarkStart w:id="25" w:name="_Toc28359032"/>
      <w:bookmarkStart w:id="26" w:name="_Toc28359109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3转206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820"/>
      <w:bookmarkStart w:id="28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赵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010-69231333转206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>
      <w:pPr>
        <w:pStyle w:val="4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9" w:name="_Toc35393652"/>
      <w:bookmarkStart w:id="30" w:name="_Toc35393821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9"/>
      <w:bookmarkEnd w:id="3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5384A7"/>
    <w:multiLevelType w:val="singleLevel"/>
    <w:tmpl w:val="CA5384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3C63891"/>
    <w:rsid w:val="04847067"/>
    <w:rsid w:val="04DB45E3"/>
    <w:rsid w:val="08632EDD"/>
    <w:rsid w:val="0B3A745C"/>
    <w:rsid w:val="0D70579D"/>
    <w:rsid w:val="0FCF5D0D"/>
    <w:rsid w:val="140D5D0B"/>
    <w:rsid w:val="156166A3"/>
    <w:rsid w:val="169332C6"/>
    <w:rsid w:val="185823DC"/>
    <w:rsid w:val="186739D7"/>
    <w:rsid w:val="18816488"/>
    <w:rsid w:val="18FB0F07"/>
    <w:rsid w:val="1D942A94"/>
    <w:rsid w:val="227E692E"/>
    <w:rsid w:val="242877DE"/>
    <w:rsid w:val="253F647A"/>
    <w:rsid w:val="25C42FA6"/>
    <w:rsid w:val="2BC12D0D"/>
    <w:rsid w:val="2C906710"/>
    <w:rsid w:val="2D98136A"/>
    <w:rsid w:val="2F8B572C"/>
    <w:rsid w:val="33C63891"/>
    <w:rsid w:val="346A5498"/>
    <w:rsid w:val="348148DE"/>
    <w:rsid w:val="34BC6A58"/>
    <w:rsid w:val="3760655D"/>
    <w:rsid w:val="37DE7353"/>
    <w:rsid w:val="38F40604"/>
    <w:rsid w:val="3B962FD9"/>
    <w:rsid w:val="3F3F333C"/>
    <w:rsid w:val="3F912CFE"/>
    <w:rsid w:val="406E0E22"/>
    <w:rsid w:val="410812EB"/>
    <w:rsid w:val="4867672C"/>
    <w:rsid w:val="490B7830"/>
    <w:rsid w:val="4C937875"/>
    <w:rsid w:val="4F8E0BC1"/>
    <w:rsid w:val="50BF08A0"/>
    <w:rsid w:val="564E41B8"/>
    <w:rsid w:val="59C725A6"/>
    <w:rsid w:val="5A734003"/>
    <w:rsid w:val="69C222C6"/>
    <w:rsid w:val="6A4E019A"/>
    <w:rsid w:val="6AF64881"/>
    <w:rsid w:val="6CBD3D5C"/>
    <w:rsid w:val="700248FE"/>
    <w:rsid w:val="71FA09D9"/>
    <w:rsid w:val="7402385F"/>
    <w:rsid w:val="749200DB"/>
    <w:rsid w:val="7F1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19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1321</Words>
  <Characters>1593</Characters>
  <Lines>0</Lines>
  <Paragraphs>0</Paragraphs>
  <TotalTime>3</TotalTime>
  <ScaleCrop>false</ScaleCrop>
  <LinksUpToDate>false</LinksUpToDate>
  <CharactersWithSpaces>1632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解艳侠</cp:lastModifiedBy>
  <dcterms:modified xsi:type="dcterms:W3CDTF">2024-08-12T01:39:59Z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285A336AD876402590F9986A7508280F_13</vt:lpwstr>
  </property>
</Properties>
</file>