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24"/>
          <w:szCs w:val="24"/>
          <w:u w:val="single"/>
        </w:rPr>
      </w:pPr>
    </w:p>
    <w:p>
      <w:pPr>
        <w:spacing w:line="360" w:lineRule="auto"/>
        <w:jc w:val="center"/>
        <w:rPr>
          <w:rFonts w:ascii="宋体" w:hAnsi="宋体" w:cs="宋体"/>
          <w:b/>
          <w:color w:val="000000"/>
          <w:sz w:val="44"/>
          <w:szCs w:val="44"/>
        </w:rPr>
      </w:pPr>
    </w:p>
    <w:p>
      <w:pPr>
        <w:spacing w:line="360" w:lineRule="auto"/>
        <w:jc w:val="center"/>
        <w:rPr>
          <w:rFonts w:hint="eastAsia" w:ascii="宋体" w:hAnsi="宋体" w:eastAsia="宋体" w:cs="宋体"/>
          <w:b/>
          <w:color w:val="000000"/>
          <w:sz w:val="44"/>
          <w:szCs w:val="44"/>
          <w:lang w:eastAsia="zh-CN"/>
        </w:rPr>
      </w:pPr>
      <w:r>
        <w:rPr>
          <w:rFonts w:hint="eastAsia" w:ascii="宋体" w:hAnsi="宋体" w:cs="宋体"/>
          <w:b/>
          <w:color w:val="000000"/>
          <w:sz w:val="44"/>
          <w:szCs w:val="44"/>
          <w:lang w:eastAsia="zh-CN"/>
        </w:rPr>
        <w:t>北京地铁无损检测服务</w:t>
      </w: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招 标 文 件</w:t>
      </w:r>
    </w:p>
    <w:p>
      <w:pPr>
        <w:spacing w:line="360" w:lineRule="auto"/>
        <w:jc w:val="center"/>
        <w:rPr>
          <w:rFonts w:ascii="宋体" w:hAnsi="宋体" w:cs="宋体"/>
          <w:b/>
          <w:sz w:val="32"/>
          <w:szCs w:val="32"/>
        </w:rPr>
      </w:pPr>
      <w:r>
        <w:rPr>
          <w:rFonts w:hint="eastAsia" w:ascii="宋体" w:hAnsi="宋体" w:cs="宋体"/>
          <w:b/>
          <w:sz w:val="32"/>
          <w:szCs w:val="32"/>
        </w:rPr>
        <w:t>招标编号：</w:t>
      </w:r>
      <w:r>
        <w:rPr>
          <w:rFonts w:hint="eastAsia" w:ascii="宋体" w:hAnsi="宋体" w:cs="宋体"/>
          <w:b/>
          <w:sz w:val="32"/>
          <w:szCs w:val="32"/>
        </w:rPr>
        <w:fldChar w:fldCharType="begin"/>
      </w:r>
      <w:r>
        <w:rPr>
          <w:rFonts w:hint="eastAsia" w:ascii="宋体" w:hAnsi="宋体" w:cs="宋体"/>
          <w:b/>
          <w:sz w:val="32"/>
          <w:szCs w:val="32"/>
        </w:rPr>
        <w:instrText xml:space="preserve"> HYPERLINK "http://192.168.0.56/r/w?sid=5de570ef-ec8e-41f5-a021-33617f02d790&amp;cmd=CLIENT_DW_PORTAL&amp;processGroupId=obj_48fab6b6e15e47cd9d550fab6f5d3db0&amp;appId=com.actionsoft.apps.pmo.pm" </w:instrText>
      </w:r>
      <w:r>
        <w:rPr>
          <w:rFonts w:hint="eastAsia" w:ascii="宋体" w:hAnsi="宋体" w:cs="宋体"/>
          <w:b/>
          <w:sz w:val="32"/>
          <w:szCs w:val="32"/>
        </w:rPr>
        <w:fldChar w:fldCharType="separate"/>
      </w:r>
      <w:r>
        <w:rPr>
          <w:rFonts w:hint="eastAsia" w:ascii="宋体" w:hAnsi="宋体" w:cs="宋体"/>
          <w:b/>
          <w:sz w:val="32"/>
          <w:szCs w:val="32"/>
          <w:lang w:eastAsia="zh-CN"/>
        </w:rPr>
        <w:t>20240735517</w:t>
      </w:r>
      <w:r>
        <w:rPr>
          <w:rFonts w:hint="eastAsia" w:ascii="宋体" w:hAnsi="宋体" w:cs="宋体"/>
          <w:b/>
          <w:sz w:val="32"/>
          <w:szCs w:val="32"/>
        </w:rPr>
        <w:fldChar w:fldCharType="end"/>
      </w:r>
    </w:p>
    <w:p>
      <w:pPr>
        <w:spacing w:line="360" w:lineRule="auto"/>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32"/>
          <w:szCs w:val="32"/>
        </w:rPr>
      </w:pPr>
    </w:p>
    <w:p>
      <w:pPr>
        <w:spacing w:line="360" w:lineRule="auto"/>
        <w:ind w:firstLine="803" w:firstLineChars="250"/>
        <w:rPr>
          <w:rFonts w:hint="eastAsia" w:ascii="宋体" w:hAnsi="宋体" w:eastAsia="宋体" w:cs="宋体"/>
          <w:b/>
          <w:color w:val="000000"/>
          <w:sz w:val="32"/>
          <w:szCs w:val="32"/>
          <w:u w:val="single"/>
          <w:lang w:eastAsia="zh-CN"/>
        </w:rPr>
      </w:pPr>
      <w:r>
        <w:rPr>
          <w:rFonts w:hint="eastAsia" w:ascii="宋体" w:hAnsi="宋体" w:cs="宋体"/>
          <w:b/>
          <w:color w:val="000000"/>
          <w:sz w:val="32"/>
          <w:szCs w:val="32"/>
        </w:rPr>
        <w:t>采   购   人：</w:t>
      </w:r>
      <w:r>
        <w:rPr>
          <w:rFonts w:hint="eastAsia" w:ascii="宋体" w:hAnsi="宋体" w:cs="宋体"/>
          <w:b/>
          <w:color w:val="000000"/>
          <w:sz w:val="32"/>
          <w:szCs w:val="32"/>
          <w:lang w:eastAsia="zh-CN"/>
        </w:rPr>
        <w:t>北京市特种设备检验检测研究院</w:t>
      </w:r>
    </w:p>
    <w:p>
      <w:pPr>
        <w:spacing w:line="360" w:lineRule="auto"/>
        <w:ind w:right="315" w:rightChars="150" w:firstLine="803" w:firstLineChars="250"/>
        <w:rPr>
          <w:rFonts w:ascii="宋体" w:hAnsi="宋体" w:cs="宋体"/>
          <w:b/>
          <w:color w:val="000000"/>
          <w:sz w:val="32"/>
          <w:szCs w:val="32"/>
        </w:rPr>
      </w:pPr>
      <w:r>
        <w:rPr>
          <w:rFonts w:hint="eastAsia" w:ascii="宋体" w:hAnsi="宋体" w:cs="宋体"/>
          <w:b/>
          <w:color w:val="000000"/>
          <w:sz w:val="32"/>
          <w:szCs w:val="32"/>
        </w:rPr>
        <w:t>采购代理机构：北京市京发招标有限公司</w:t>
      </w:r>
    </w:p>
    <w:p>
      <w:pPr>
        <w:spacing w:line="360" w:lineRule="auto"/>
        <w:jc w:val="center"/>
        <w:rPr>
          <w:rFonts w:ascii="宋体" w:hAnsi="宋体" w:cs="宋体"/>
          <w:b/>
          <w:color w:val="000000"/>
          <w:sz w:val="30"/>
          <w:szCs w:val="30"/>
        </w:rPr>
      </w:pPr>
    </w:p>
    <w:p>
      <w:pPr>
        <w:spacing w:line="360" w:lineRule="auto"/>
        <w:jc w:val="center"/>
        <w:rPr>
          <w:rFonts w:ascii="宋体" w:hAnsi="宋体" w:cs="宋体"/>
          <w:b/>
          <w:color w:val="000000"/>
          <w:sz w:val="30"/>
          <w:szCs w:val="30"/>
        </w:rPr>
      </w:pPr>
    </w:p>
    <w:p>
      <w:pPr>
        <w:spacing w:line="360" w:lineRule="auto"/>
        <w:jc w:val="center"/>
        <w:rPr>
          <w:rFonts w:ascii="宋体" w:hAnsi="宋体" w:cs="宋体"/>
          <w:b/>
          <w:color w:val="000000"/>
          <w:sz w:val="30"/>
          <w:szCs w:val="30"/>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
          <w:color w:val="000000"/>
          <w:sz w:val="30"/>
          <w:szCs w:val="30"/>
        </w:rPr>
        <w:t>二〇二四年</w:t>
      </w:r>
      <w:r>
        <w:rPr>
          <w:rFonts w:hint="eastAsia" w:ascii="宋体" w:hAnsi="宋体" w:cs="宋体"/>
          <w:b/>
          <w:color w:val="000000"/>
          <w:sz w:val="30"/>
          <w:szCs w:val="30"/>
          <w:lang w:val="en-US" w:eastAsia="zh-CN"/>
        </w:rPr>
        <w:t>八</w:t>
      </w:r>
      <w:r>
        <w:rPr>
          <w:rFonts w:hint="eastAsia" w:ascii="宋体" w:hAnsi="宋体" w:cs="宋体"/>
          <w:b/>
          <w:color w:val="000000"/>
          <w:sz w:val="30"/>
          <w:szCs w:val="30"/>
        </w:rPr>
        <w:t>月</w:t>
      </w:r>
    </w:p>
    <w:p>
      <w:pPr>
        <w:widowControl/>
        <w:spacing w:line="360" w:lineRule="auto"/>
        <w:jc w:val="center"/>
        <w:rPr>
          <w:rFonts w:ascii="宋体" w:hAnsi="宋体" w:cs="宋体"/>
          <w:b/>
          <w:color w:val="000000"/>
          <w:sz w:val="24"/>
          <w:szCs w:val="24"/>
          <w:lang w:val="zh-CN"/>
        </w:rPr>
      </w:pPr>
      <w:r>
        <w:rPr>
          <w:rFonts w:hint="eastAsia" w:ascii="宋体" w:hAnsi="宋体" w:cs="宋体"/>
          <w:b/>
          <w:color w:val="000000"/>
          <w:sz w:val="24"/>
          <w:szCs w:val="24"/>
          <w:lang w:val="zh-CN"/>
        </w:rPr>
        <w:t>目  录</w:t>
      </w:r>
    </w:p>
    <w:p>
      <w:pPr>
        <w:pStyle w:val="31"/>
        <w:rPr>
          <w:rFonts w:ascii="Calibri" w:hAnsi="Calibri"/>
          <w:szCs w:val="22"/>
        </w:rPr>
      </w:pPr>
      <w:r>
        <w:rPr>
          <w:rFonts w:hint="eastAsia" w:ascii="宋体" w:hAnsi="宋体" w:cs="宋体"/>
          <w:color w:val="000000"/>
          <w:szCs w:val="21"/>
        </w:rPr>
        <w:fldChar w:fldCharType="begin"/>
      </w:r>
      <w:r>
        <w:rPr>
          <w:rFonts w:hint="eastAsia" w:ascii="宋体" w:hAnsi="宋体" w:cs="宋体"/>
          <w:color w:val="000000"/>
          <w:szCs w:val="21"/>
        </w:rPr>
        <w:instrText xml:space="preserve"> TOC \o "1-3" \h \z \u </w:instrText>
      </w:r>
      <w:r>
        <w:rPr>
          <w:rFonts w:hint="eastAsia" w:ascii="宋体" w:hAnsi="宋体" w:cs="宋体"/>
          <w:color w:val="000000"/>
          <w:szCs w:val="21"/>
        </w:rPr>
        <w:fldChar w:fldCharType="separate"/>
      </w:r>
      <w:r>
        <w:fldChar w:fldCharType="begin"/>
      </w:r>
      <w:r>
        <w:instrText xml:space="preserve"> HYPERLINK \l "_Toc100786133" </w:instrText>
      </w:r>
      <w:r>
        <w:fldChar w:fldCharType="separate"/>
      </w:r>
      <w:r>
        <w:rPr>
          <w:rStyle w:val="55"/>
          <w:rFonts w:hint="eastAsia" w:ascii="宋体" w:hAnsi="宋体" w:cs="宋体"/>
        </w:rPr>
        <w:t>第一章投标邀请</w:t>
      </w:r>
      <w:r>
        <w:tab/>
      </w:r>
      <w:r>
        <w:fldChar w:fldCharType="begin"/>
      </w:r>
      <w:r>
        <w:instrText xml:space="preserve"> PAGEREF _Toc100786133 \h </w:instrText>
      </w:r>
      <w:r>
        <w:fldChar w:fldCharType="separate"/>
      </w:r>
      <w:r>
        <w:t>1</w:t>
      </w:r>
      <w:r>
        <w:fldChar w:fldCharType="end"/>
      </w:r>
      <w:r>
        <w:fldChar w:fldCharType="end"/>
      </w:r>
    </w:p>
    <w:p>
      <w:pPr>
        <w:pStyle w:val="31"/>
        <w:rPr>
          <w:rFonts w:ascii="Calibri" w:hAnsi="Calibri"/>
          <w:szCs w:val="22"/>
        </w:rPr>
      </w:pPr>
      <w:r>
        <w:fldChar w:fldCharType="begin"/>
      </w:r>
      <w:r>
        <w:instrText xml:space="preserve"> HYPERLINK \l "_Toc100786134" </w:instrText>
      </w:r>
      <w:r>
        <w:fldChar w:fldCharType="separate"/>
      </w:r>
      <w:r>
        <w:rPr>
          <w:rStyle w:val="55"/>
          <w:rFonts w:hint="eastAsia" w:ascii="宋体" w:hAnsi="宋体" w:cs="宋体"/>
        </w:rPr>
        <w:t>第二章投标人须知</w:t>
      </w:r>
      <w:r>
        <w:tab/>
      </w:r>
      <w:r>
        <w:fldChar w:fldCharType="begin"/>
      </w:r>
      <w:r>
        <w:instrText xml:space="preserve"> PAGEREF _Toc100786134 \h </w:instrText>
      </w:r>
      <w:r>
        <w:fldChar w:fldCharType="separate"/>
      </w:r>
      <w:r>
        <w:t>5</w:t>
      </w:r>
      <w:r>
        <w:fldChar w:fldCharType="end"/>
      </w:r>
      <w:r>
        <w:fldChar w:fldCharType="end"/>
      </w:r>
    </w:p>
    <w:p>
      <w:pPr>
        <w:pStyle w:val="31"/>
        <w:rPr>
          <w:rFonts w:ascii="Calibri" w:hAnsi="Calibri"/>
          <w:szCs w:val="22"/>
        </w:rPr>
      </w:pPr>
      <w:r>
        <w:fldChar w:fldCharType="begin"/>
      </w:r>
      <w:r>
        <w:instrText xml:space="preserve"> HYPERLINK \l "_Toc100786135" </w:instrText>
      </w:r>
      <w:r>
        <w:fldChar w:fldCharType="separate"/>
      </w:r>
      <w:r>
        <w:rPr>
          <w:rStyle w:val="55"/>
          <w:rFonts w:hint="eastAsia" w:ascii="宋体" w:hAnsi="宋体" w:cs="宋体"/>
        </w:rPr>
        <w:t>投标人须知资料表</w:t>
      </w:r>
      <w:r>
        <w:tab/>
      </w:r>
      <w:r>
        <w:fldChar w:fldCharType="begin"/>
      </w:r>
      <w:r>
        <w:instrText xml:space="preserve"> PAGEREF _Toc100786135 \h </w:instrText>
      </w:r>
      <w:r>
        <w:fldChar w:fldCharType="separate"/>
      </w:r>
      <w:r>
        <w:t>5</w:t>
      </w:r>
      <w:r>
        <w:fldChar w:fldCharType="end"/>
      </w:r>
      <w:r>
        <w:fldChar w:fldCharType="end"/>
      </w:r>
    </w:p>
    <w:p>
      <w:pPr>
        <w:pStyle w:val="31"/>
        <w:rPr>
          <w:rFonts w:ascii="Calibri" w:hAnsi="Calibri"/>
          <w:szCs w:val="22"/>
        </w:rPr>
      </w:pPr>
      <w:r>
        <w:fldChar w:fldCharType="begin"/>
      </w:r>
      <w:r>
        <w:instrText xml:space="preserve"> HYPERLINK \l "_Toc100786136" </w:instrText>
      </w:r>
      <w:r>
        <w:fldChar w:fldCharType="separate"/>
      </w:r>
      <w:r>
        <w:rPr>
          <w:rStyle w:val="55"/>
          <w:rFonts w:hint="eastAsia" w:ascii="宋体" w:hAnsi="宋体" w:cs="宋体"/>
        </w:rPr>
        <w:t>投标人须知</w:t>
      </w:r>
      <w:r>
        <w:tab/>
      </w:r>
      <w:r>
        <w:fldChar w:fldCharType="begin"/>
      </w:r>
      <w:r>
        <w:instrText xml:space="preserve"> PAGEREF _Toc100786136 \h </w:instrText>
      </w:r>
      <w:r>
        <w:fldChar w:fldCharType="separate"/>
      </w:r>
      <w:r>
        <w:t>10</w:t>
      </w:r>
      <w:r>
        <w:fldChar w:fldCharType="end"/>
      </w:r>
      <w:r>
        <w:fldChar w:fldCharType="end"/>
      </w:r>
    </w:p>
    <w:p>
      <w:pPr>
        <w:pStyle w:val="31"/>
        <w:rPr>
          <w:rFonts w:ascii="Calibri" w:hAnsi="Calibri"/>
          <w:szCs w:val="22"/>
        </w:rPr>
      </w:pPr>
      <w:r>
        <w:fldChar w:fldCharType="begin"/>
      </w:r>
      <w:r>
        <w:instrText xml:space="preserve"> HYPERLINK \l "_Toc100786137" </w:instrText>
      </w:r>
      <w:r>
        <w:fldChar w:fldCharType="separate"/>
      </w:r>
      <w:r>
        <w:rPr>
          <w:rStyle w:val="55"/>
          <w:rFonts w:hint="eastAsia" w:ascii="宋体" w:hAnsi="宋体" w:cs="宋体"/>
        </w:rPr>
        <w:t>（一）说明</w:t>
      </w:r>
      <w:r>
        <w:tab/>
      </w:r>
      <w:r>
        <w:fldChar w:fldCharType="begin"/>
      </w:r>
      <w:r>
        <w:instrText xml:space="preserve"> PAGEREF _Toc100786137 \h </w:instrText>
      </w:r>
      <w:r>
        <w:fldChar w:fldCharType="separate"/>
      </w:r>
      <w:r>
        <w:t>10</w:t>
      </w:r>
      <w:r>
        <w:fldChar w:fldCharType="end"/>
      </w:r>
      <w:r>
        <w:fldChar w:fldCharType="end"/>
      </w:r>
    </w:p>
    <w:p>
      <w:pPr>
        <w:pStyle w:val="31"/>
        <w:rPr>
          <w:rFonts w:ascii="Calibri" w:hAnsi="Calibri"/>
          <w:szCs w:val="22"/>
        </w:rPr>
      </w:pPr>
      <w:r>
        <w:fldChar w:fldCharType="begin"/>
      </w:r>
      <w:r>
        <w:instrText xml:space="preserve"> HYPERLINK \l "_Toc100786138" </w:instrText>
      </w:r>
      <w:r>
        <w:fldChar w:fldCharType="separate"/>
      </w:r>
      <w:r>
        <w:rPr>
          <w:rStyle w:val="55"/>
          <w:rFonts w:hint="eastAsia" w:ascii="宋体" w:hAnsi="宋体" w:cs="宋体"/>
        </w:rPr>
        <w:t>（二）招标文件</w:t>
      </w:r>
      <w:r>
        <w:tab/>
      </w:r>
      <w:r>
        <w:fldChar w:fldCharType="begin"/>
      </w:r>
      <w:r>
        <w:instrText xml:space="preserve"> PAGEREF _Toc100786138 \h </w:instrText>
      </w:r>
      <w:r>
        <w:fldChar w:fldCharType="separate"/>
      </w:r>
      <w:r>
        <w:t>13</w:t>
      </w:r>
      <w:r>
        <w:fldChar w:fldCharType="end"/>
      </w:r>
      <w:r>
        <w:fldChar w:fldCharType="end"/>
      </w:r>
    </w:p>
    <w:p>
      <w:pPr>
        <w:pStyle w:val="31"/>
        <w:rPr>
          <w:rFonts w:ascii="Calibri" w:hAnsi="Calibri"/>
          <w:szCs w:val="22"/>
        </w:rPr>
      </w:pPr>
      <w:r>
        <w:fldChar w:fldCharType="begin"/>
      </w:r>
      <w:r>
        <w:instrText xml:space="preserve"> HYPERLINK \l "_Toc100786139" </w:instrText>
      </w:r>
      <w:r>
        <w:fldChar w:fldCharType="separate"/>
      </w:r>
      <w:r>
        <w:rPr>
          <w:rStyle w:val="55"/>
          <w:rFonts w:hint="eastAsia" w:ascii="宋体" w:hAnsi="宋体" w:cs="宋体"/>
        </w:rPr>
        <w:t>（三）投标文件的编制</w:t>
      </w:r>
      <w:r>
        <w:tab/>
      </w:r>
      <w:r>
        <w:fldChar w:fldCharType="begin"/>
      </w:r>
      <w:r>
        <w:instrText xml:space="preserve"> PAGEREF _Toc100786139 \h </w:instrText>
      </w:r>
      <w:r>
        <w:fldChar w:fldCharType="separate"/>
      </w:r>
      <w:r>
        <w:t>14</w:t>
      </w:r>
      <w:r>
        <w:fldChar w:fldCharType="end"/>
      </w:r>
      <w:r>
        <w:fldChar w:fldCharType="end"/>
      </w:r>
    </w:p>
    <w:p>
      <w:pPr>
        <w:pStyle w:val="31"/>
        <w:rPr>
          <w:rFonts w:ascii="Calibri" w:hAnsi="Calibri"/>
          <w:szCs w:val="22"/>
        </w:rPr>
      </w:pPr>
      <w:r>
        <w:fldChar w:fldCharType="begin"/>
      </w:r>
      <w:r>
        <w:instrText xml:space="preserve"> HYPERLINK \l "_Toc100786140" </w:instrText>
      </w:r>
      <w:r>
        <w:fldChar w:fldCharType="separate"/>
      </w:r>
      <w:r>
        <w:rPr>
          <w:rStyle w:val="55"/>
          <w:rFonts w:hint="eastAsia" w:ascii="宋体" w:hAnsi="宋体" w:cs="宋体"/>
        </w:rPr>
        <w:t>（四）投标文件的提交</w:t>
      </w:r>
      <w:r>
        <w:tab/>
      </w:r>
      <w:r>
        <w:fldChar w:fldCharType="begin"/>
      </w:r>
      <w:r>
        <w:instrText xml:space="preserve"> PAGEREF _Toc100786140 \h </w:instrText>
      </w:r>
      <w:r>
        <w:fldChar w:fldCharType="separate"/>
      </w:r>
      <w:r>
        <w:t>18</w:t>
      </w:r>
      <w:r>
        <w:fldChar w:fldCharType="end"/>
      </w:r>
      <w:r>
        <w:fldChar w:fldCharType="end"/>
      </w:r>
    </w:p>
    <w:p>
      <w:pPr>
        <w:pStyle w:val="31"/>
        <w:rPr>
          <w:rFonts w:ascii="Calibri" w:hAnsi="Calibri"/>
          <w:szCs w:val="22"/>
        </w:rPr>
      </w:pPr>
      <w:r>
        <w:fldChar w:fldCharType="begin"/>
      </w:r>
      <w:r>
        <w:instrText xml:space="preserve"> HYPERLINK \l "_Toc100786141" </w:instrText>
      </w:r>
      <w:r>
        <w:fldChar w:fldCharType="separate"/>
      </w:r>
      <w:r>
        <w:rPr>
          <w:rStyle w:val="55"/>
          <w:rFonts w:hint="eastAsia" w:ascii="宋体" w:hAnsi="宋体" w:cs="宋体"/>
        </w:rPr>
        <w:t>（五）开标</w:t>
      </w:r>
      <w:r>
        <w:tab/>
      </w:r>
      <w:r>
        <w:fldChar w:fldCharType="begin"/>
      </w:r>
      <w:r>
        <w:instrText xml:space="preserve"> PAGEREF _Toc100786141 \h </w:instrText>
      </w:r>
      <w:r>
        <w:fldChar w:fldCharType="separate"/>
      </w:r>
      <w:r>
        <w:t>20</w:t>
      </w:r>
      <w:r>
        <w:fldChar w:fldCharType="end"/>
      </w:r>
      <w:r>
        <w:fldChar w:fldCharType="end"/>
      </w:r>
    </w:p>
    <w:p>
      <w:pPr>
        <w:pStyle w:val="31"/>
        <w:rPr>
          <w:rFonts w:ascii="Calibri" w:hAnsi="Calibri"/>
          <w:szCs w:val="22"/>
        </w:rPr>
      </w:pPr>
      <w:r>
        <w:fldChar w:fldCharType="begin"/>
      </w:r>
      <w:r>
        <w:instrText xml:space="preserve"> HYPERLINK \l "_Toc100786142" </w:instrText>
      </w:r>
      <w:r>
        <w:fldChar w:fldCharType="separate"/>
      </w:r>
      <w:r>
        <w:rPr>
          <w:rStyle w:val="55"/>
          <w:rFonts w:hint="eastAsia" w:ascii="宋体" w:hAnsi="宋体" w:cs="宋体"/>
        </w:rPr>
        <w:t>（六）资格审查和评标</w:t>
      </w:r>
      <w:r>
        <w:tab/>
      </w:r>
      <w:r>
        <w:fldChar w:fldCharType="begin"/>
      </w:r>
      <w:r>
        <w:instrText xml:space="preserve"> PAGEREF _Toc100786142 \h </w:instrText>
      </w:r>
      <w:r>
        <w:fldChar w:fldCharType="separate"/>
      </w:r>
      <w:r>
        <w:t>21</w:t>
      </w:r>
      <w:r>
        <w:fldChar w:fldCharType="end"/>
      </w:r>
      <w:r>
        <w:fldChar w:fldCharType="end"/>
      </w:r>
    </w:p>
    <w:p>
      <w:pPr>
        <w:pStyle w:val="31"/>
        <w:rPr>
          <w:rFonts w:ascii="Calibri" w:hAnsi="Calibri"/>
          <w:szCs w:val="22"/>
        </w:rPr>
      </w:pPr>
      <w:r>
        <w:fldChar w:fldCharType="begin"/>
      </w:r>
      <w:r>
        <w:instrText xml:space="preserve"> HYPERLINK \l "_Toc100786143" </w:instrText>
      </w:r>
      <w:r>
        <w:fldChar w:fldCharType="separate"/>
      </w:r>
      <w:r>
        <w:rPr>
          <w:rStyle w:val="55"/>
          <w:rFonts w:hint="eastAsia" w:ascii="宋体" w:hAnsi="宋体" w:cs="宋体"/>
        </w:rPr>
        <w:t>（七）确定中标</w:t>
      </w:r>
      <w:r>
        <w:tab/>
      </w:r>
      <w:r>
        <w:fldChar w:fldCharType="begin"/>
      </w:r>
      <w:r>
        <w:instrText xml:space="preserve"> PAGEREF _Toc100786143 \h </w:instrText>
      </w:r>
      <w:r>
        <w:fldChar w:fldCharType="separate"/>
      </w:r>
      <w:r>
        <w:t>22</w:t>
      </w:r>
      <w:r>
        <w:fldChar w:fldCharType="end"/>
      </w:r>
      <w:r>
        <w:fldChar w:fldCharType="end"/>
      </w:r>
    </w:p>
    <w:p>
      <w:pPr>
        <w:pStyle w:val="31"/>
        <w:rPr>
          <w:rFonts w:ascii="Calibri" w:hAnsi="Calibri"/>
          <w:szCs w:val="22"/>
        </w:rPr>
      </w:pPr>
      <w:r>
        <w:fldChar w:fldCharType="begin"/>
      </w:r>
      <w:r>
        <w:instrText xml:space="preserve"> HYPERLINK \l "_Toc100786144" </w:instrText>
      </w:r>
      <w:r>
        <w:fldChar w:fldCharType="separate"/>
      </w:r>
      <w:r>
        <w:rPr>
          <w:rStyle w:val="55"/>
          <w:rFonts w:hint="eastAsia" w:ascii="宋体" w:hAnsi="宋体" w:cs="宋体"/>
        </w:rPr>
        <w:t>（八）纪律和监督</w:t>
      </w:r>
      <w:r>
        <w:tab/>
      </w:r>
      <w:r>
        <w:fldChar w:fldCharType="begin"/>
      </w:r>
      <w:r>
        <w:instrText xml:space="preserve"> PAGEREF _Toc100786144 \h </w:instrText>
      </w:r>
      <w:r>
        <w:fldChar w:fldCharType="separate"/>
      </w:r>
      <w:r>
        <w:t>25</w:t>
      </w:r>
      <w:r>
        <w:fldChar w:fldCharType="end"/>
      </w:r>
      <w:r>
        <w:fldChar w:fldCharType="end"/>
      </w:r>
    </w:p>
    <w:p>
      <w:pPr>
        <w:pStyle w:val="31"/>
        <w:rPr>
          <w:rFonts w:ascii="Calibri" w:hAnsi="Calibri"/>
          <w:szCs w:val="22"/>
        </w:rPr>
      </w:pPr>
      <w:r>
        <w:fldChar w:fldCharType="begin"/>
      </w:r>
      <w:r>
        <w:instrText xml:space="preserve"> HYPERLINK \l "_Toc100786145" </w:instrText>
      </w:r>
      <w:r>
        <w:fldChar w:fldCharType="separate"/>
      </w:r>
      <w:r>
        <w:rPr>
          <w:rStyle w:val="55"/>
          <w:rFonts w:hint="eastAsia" w:ascii="宋体" w:hAnsi="宋体" w:cs="宋体"/>
        </w:rPr>
        <w:t>第三章拟定签订的合同文本</w:t>
      </w:r>
      <w:r>
        <w:tab/>
      </w:r>
      <w:r>
        <w:fldChar w:fldCharType="begin"/>
      </w:r>
      <w:r>
        <w:instrText xml:space="preserve"> PAGEREF _Toc100786145 \h </w:instrText>
      </w:r>
      <w:r>
        <w:fldChar w:fldCharType="separate"/>
      </w:r>
      <w:r>
        <w:t>26</w:t>
      </w:r>
      <w:r>
        <w:fldChar w:fldCharType="end"/>
      </w:r>
      <w:r>
        <w:fldChar w:fldCharType="end"/>
      </w:r>
    </w:p>
    <w:p>
      <w:pPr>
        <w:pStyle w:val="31"/>
        <w:rPr>
          <w:rFonts w:ascii="Calibri" w:hAnsi="Calibri"/>
          <w:szCs w:val="22"/>
        </w:rPr>
      </w:pPr>
      <w:r>
        <w:fldChar w:fldCharType="begin"/>
      </w:r>
      <w:r>
        <w:instrText xml:space="preserve"> HYPERLINK \l "_Toc100786146" </w:instrText>
      </w:r>
      <w:r>
        <w:fldChar w:fldCharType="separate"/>
      </w:r>
      <w:r>
        <w:rPr>
          <w:rStyle w:val="55"/>
          <w:rFonts w:hint="eastAsia" w:ascii="宋体" w:hAnsi="宋体" w:cs="宋体"/>
        </w:rPr>
        <w:t>第四章投标文件格式</w:t>
      </w:r>
      <w:r>
        <w:tab/>
      </w:r>
      <w:r>
        <w:fldChar w:fldCharType="begin"/>
      </w:r>
      <w:r>
        <w:instrText xml:space="preserve"> PAGEREF _Toc100786146 \h </w:instrText>
      </w:r>
      <w:r>
        <w:fldChar w:fldCharType="separate"/>
      </w:r>
      <w:r>
        <w:t>27</w:t>
      </w:r>
      <w:r>
        <w:fldChar w:fldCharType="end"/>
      </w:r>
      <w:r>
        <w:fldChar w:fldCharType="end"/>
      </w:r>
    </w:p>
    <w:p>
      <w:pPr>
        <w:pStyle w:val="31"/>
        <w:rPr>
          <w:rFonts w:ascii="Calibri" w:hAnsi="Calibri"/>
          <w:szCs w:val="22"/>
        </w:rPr>
      </w:pPr>
      <w:r>
        <w:fldChar w:fldCharType="begin"/>
      </w:r>
      <w:r>
        <w:instrText xml:space="preserve"> HYPERLINK \l "_Toc100786147" </w:instrText>
      </w:r>
      <w:r>
        <w:fldChar w:fldCharType="separate"/>
      </w:r>
      <w:r>
        <w:rPr>
          <w:rStyle w:val="55"/>
          <w:rFonts w:hint="eastAsia" w:ascii="宋体" w:hAnsi="宋体" w:cs="宋体"/>
        </w:rPr>
        <w:t>附件</w:t>
      </w:r>
      <w:r>
        <w:rPr>
          <w:rStyle w:val="55"/>
          <w:rFonts w:ascii="宋体" w:hAnsi="宋体" w:cs="宋体"/>
        </w:rPr>
        <w:t xml:space="preserve">1  </w:t>
      </w:r>
      <w:r>
        <w:rPr>
          <w:rStyle w:val="55"/>
          <w:rFonts w:hint="eastAsia" w:ascii="宋体" w:hAnsi="宋体" w:cs="宋体"/>
        </w:rPr>
        <w:t>投标函（实质性格式）</w:t>
      </w:r>
      <w:r>
        <w:tab/>
      </w:r>
      <w:r>
        <w:fldChar w:fldCharType="begin"/>
      </w:r>
      <w:r>
        <w:instrText xml:space="preserve"> PAGEREF _Toc100786147 \h </w:instrText>
      </w:r>
      <w:r>
        <w:fldChar w:fldCharType="separate"/>
      </w:r>
      <w:r>
        <w:t>45</w:t>
      </w:r>
      <w:r>
        <w:fldChar w:fldCharType="end"/>
      </w:r>
      <w:r>
        <w:fldChar w:fldCharType="end"/>
      </w:r>
    </w:p>
    <w:p>
      <w:pPr>
        <w:pStyle w:val="31"/>
        <w:rPr>
          <w:rFonts w:ascii="Calibri" w:hAnsi="Calibri"/>
          <w:szCs w:val="22"/>
        </w:rPr>
      </w:pPr>
      <w:r>
        <w:fldChar w:fldCharType="begin"/>
      </w:r>
      <w:r>
        <w:instrText xml:space="preserve"> HYPERLINK \l "_Toc100786148" </w:instrText>
      </w:r>
      <w:r>
        <w:fldChar w:fldCharType="separate"/>
      </w:r>
      <w:r>
        <w:rPr>
          <w:rStyle w:val="55"/>
          <w:rFonts w:hint="eastAsia" w:ascii="宋体" w:hAnsi="宋体" w:cs="宋体"/>
        </w:rPr>
        <w:t>附件</w:t>
      </w:r>
      <w:r>
        <w:rPr>
          <w:rStyle w:val="55"/>
          <w:rFonts w:ascii="宋体" w:hAnsi="宋体" w:cs="宋体"/>
        </w:rPr>
        <w:t xml:space="preserve">2  </w:t>
      </w:r>
      <w:r>
        <w:rPr>
          <w:rStyle w:val="55"/>
          <w:rFonts w:hint="eastAsia" w:ascii="宋体" w:hAnsi="宋体" w:cs="宋体"/>
        </w:rPr>
        <w:t>开标一览表（实质性格式）</w:t>
      </w:r>
      <w:r>
        <w:tab/>
      </w:r>
      <w:r>
        <w:fldChar w:fldCharType="begin"/>
      </w:r>
      <w:r>
        <w:instrText xml:space="preserve"> PAGEREF _Toc100786148 \h </w:instrText>
      </w:r>
      <w:r>
        <w:fldChar w:fldCharType="separate"/>
      </w:r>
      <w:r>
        <w:t>47</w:t>
      </w:r>
      <w:r>
        <w:fldChar w:fldCharType="end"/>
      </w:r>
      <w:r>
        <w:fldChar w:fldCharType="end"/>
      </w:r>
    </w:p>
    <w:p>
      <w:pPr>
        <w:pStyle w:val="31"/>
        <w:rPr>
          <w:rFonts w:ascii="Calibri" w:hAnsi="Calibri"/>
          <w:szCs w:val="22"/>
        </w:rPr>
      </w:pPr>
      <w:r>
        <w:fldChar w:fldCharType="begin"/>
      </w:r>
      <w:r>
        <w:instrText xml:space="preserve"> HYPERLINK \l "_Toc100786149" </w:instrText>
      </w:r>
      <w:r>
        <w:fldChar w:fldCharType="separate"/>
      </w:r>
      <w:r>
        <w:rPr>
          <w:rStyle w:val="55"/>
          <w:rFonts w:hint="eastAsia" w:ascii="宋体" w:hAnsi="宋体" w:cs="宋体"/>
        </w:rPr>
        <w:t>附件</w:t>
      </w:r>
      <w:r>
        <w:rPr>
          <w:rStyle w:val="55"/>
          <w:rFonts w:ascii="宋体" w:hAnsi="宋体" w:cs="宋体"/>
        </w:rPr>
        <w:t xml:space="preserve">3  </w:t>
      </w:r>
      <w:r>
        <w:rPr>
          <w:rStyle w:val="55"/>
          <w:rFonts w:hint="eastAsia" w:ascii="宋体" w:hAnsi="宋体" w:cs="宋体"/>
        </w:rPr>
        <w:t>投标分项报价表</w:t>
      </w:r>
      <w:r>
        <w:tab/>
      </w:r>
      <w:r>
        <w:fldChar w:fldCharType="begin"/>
      </w:r>
      <w:r>
        <w:instrText xml:space="preserve"> PAGEREF _Toc100786149 \h </w:instrText>
      </w:r>
      <w:r>
        <w:fldChar w:fldCharType="separate"/>
      </w:r>
      <w:r>
        <w:t>48</w:t>
      </w:r>
      <w:r>
        <w:fldChar w:fldCharType="end"/>
      </w:r>
      <w:r>
        <w:fldChar w:fldCharType="end"/>
      </w:r>
    </w:p>
    <w:p>
      <w:pPr>
        <w:pStyle w:val="31"/>
        <w:rPr>
          <w:rFonts w:ascii="Calibri" w:hAnsi="Calibri"/>
          <w:szCs w:val="22"/>
        </w:rPr>
      </w:pPr>
      <w:r>
        <w:fldChar w:fldCharType="begin"/>
      </w:r>
      <w:r>
        <w:instrText xml:space="preserve"> HYPERLINK \l "_Toc100786150" </w:instrText>
      </w:r>
      <w:r>
        <w:fldChar w:fldCharType="separate"/>
      </w:r>
      <w:r>
        <w:rPr>
          <w:rStyle w:val="55"/>
          <w:rFonts w:hint="eastAsia" w:ascii="宋体" w:hAnsi="宋体" w:cs="宋体"/>
        </w:rPr>
        <w:t>附件</w:t>
      </w:r>
      <w:r>
        <w:rPr>
          <w:rStyle w:val="55"/>
          <w:rFonts w:ascii="宋体" w:hAnsi="宋体" w:cs="宋体"/>
        </w:rPr>
        <w:t xml:space="preserve">4  </w:t>
      </w:r>
      <w:r>
        <w:rPr>
          <w:rStyle w:val="55"/>
          <w:rFonts w:hint="eastAsia" w:ascii="宋体" w:hAnsi="宋体" w:cs="宋体"/>
        </w:rPr>
        <w:t>采购需求偏离表（实质性格式）</w:t>
      </w:r>
      <w:r>
        <w:tab/>
      </w:r>
      <w:r>
        <w:fldChar w:fldCharType="begin"/>
      </w:r>
      <w:r>
        <w:instrText xml:space="preserve"> PAGEREF _Toc100786150 \h </w:instrText>
      </w:r>
      <w:r>
        <w:fldChar w:fldCharType="separate"/>
      </w:r>
      <w:r>
        <w:t>49</w:t>
      </w:r>
      <w:r>
        <w:fldChar w:fldCharType="end"/>
      </w:r>
      <w:r>
        <w:fldChar w:fldCharType="end"/>
      </w:r>
    </w:p>
    <w:p>
      <w:pPr>
        <w:pStyle w:val="31"/>
        <w:rPr>
          <w:rFonts w:ascii="Calibri" w:hAnsi="Calibri"/>
          <w:szCs w:val="22"/>
        </w:rPr>
      </w:pPr>
      <w:r>
        <w:fldChar w:fldCharType="begin"/>
      </w:r>
      <w:r>
        <w:instrText xml:space="preserve"> HYPERLINK \l "_Toc100786151" </w:instrText>
      </w:r>
      <w:r>
        <w:fldChar w:fldCharType="separate"/>
      </w:r>
      <w:r>
        <w:rPr>
          <w:rStyle w:val="55"/>
          <w:rFonts w:hint="eastAsia" w:ascii="宋体" w:hAnsi="宋体" w:cs="宋体"/>
        </w:rPr>
        <w:t>附件</w:t>
      </w:r>
      <w:r>
        <w:rPr>
          <w:rStyle w:val="55"/>
          <w:rFonts w:ascii="宋体" w:hAnsi="宋体" w:cs="宋体"/>
        </w:rPr>
        <w:t xml:space="preserve">5  </w:t>
      </w:r>
      <w:r>
        <w:rPr>
          <w:rStyle w:val="55"/>
          <w:rFonts w:hint="eastAsia" w:ascii="宋体" w:hAnsi="宋体" w:cs="宋体"/>
        </w:rPr>
        <w:t>合同条款偏离表（实质性格式）</w:t>
      </w:r>
      <w:r>
        <w:tab/>
      </w:r>
      <w:r>
        <w:fldChar w:fldCharType="begin"/>
      </w:r>
      <w:r>
        <w:instrText xml:space="preserve"> PAGEREF _Toc100786151 \h </w:instrText>
      </w:r>
      <w:r>
        <w:fldChar w:fldCharType="separate"/>
      </w:r>
      <w:r>
        <w:t>50</w:t>
      </w:r>
      <w:r>
        <w:fldChar w:fldCharType="end"/>
      </w:r>
      <w:r>
        <w:fldChar w:fldCharType="end"/>
      </w:r>
    </w:p>
    <w:p>
      <w:pPr>
        <w:pStyle w:val="31"/>
        <w:rPr>
          <w:rFonts w:ascii="Calibri" w:hAnsi="Calibri"/>
          <w:szCs w:val="22"/>
        </w:rPr>
      </w:pPr>
      <w:r>
        <w:fldChar w:fldCharType="begin"/>
      </w:r>
      <w:r>
        <w:instrText xml:space="preserve"> HYPERLINK \l "_Toc100786152" </w:instrText>
      </w:r>
      <w:r>
        <w:fldChar w:fldCharType="separate"/>
      </w:r>
      <w:r>
        <w:rPr>
          <w:rStyle w:val="55"/>
          <w:rFonts w:hint="eastAsia" w:ascii="宋体" w:hAnsi="宋体" w:cs="宋体"/>
        </w:rPr>
        <w:t>附件</w:t>
      </w:r>
      <w:r>
        <w:rPr>
          <w:rStyle w:val="55"/>
          <w:rFonts w:ascii="宋体" w:hAnsi="宋体" w:cs="宋体"/>
        </w:rPr>
        <w:t xml:space="preserve">6  </w:t>
      </w:r>
      <w:r>
        <w:rPr>
          <w:rStyle w:val="55"/>
          <w:rFonts w:hint="eastAsia" w:ascii="宋体" w:hAnsi="宋体" w:cs="宋体"/>
        </w:rPr>
        <w:t>证明文件</w:t>
      </w:r>
      <w:r>
        <w:tab/>
      </w:r>
      <w:r>
        <w:fldChar w:fldCharType="begin"/>
      </w:r>
      <w:r>
        <w:instrText xml:space="preserve"> PAGEREF _Toc100786152 \h </w:instrText>
      </w:r>
      <w:r>
        <w:fldChar w:fldCharType="separate"/>
      </w:r>
      <w:r>
        <w:t>51</w:t>
      </w:r>
      <w:r>
        <w:fldChar w:fldCharType="end"/>
      </w:r>
      <w:r>
        <w:fldChar w:fldCharType="end"/>
      </w:r>
    </w:p>
    <w:p>
      <w:pPr>
        <w:pStyle w:val="31"/>
        <w:rPr>
          <w:rFonts w:ascii="Calibri" w:hAnsi="Calibri"/>
          <w:szCs w:val="22"/>
        </w:rPr>
      </w:pPr>
      <w:r>
        <w:fldChar w:fldCharType="begin"/>
      </w:r>
      <w:r>
        <w:instrText xml:space="preserve"> HYPERLINK \l "_Toc100786166" </w:instrText>
      </w:r>
      <w:r>
        <w:fldChar w:fldCharType="separate"/>
      </w:r>
      <w:r>
        <w:rPr>
          <w:rStyle w:val="55"/>
          <w:rFonts w:hint="eastAsia" w:ascii="宋体" w:hAnsi="宋体" w:cs="宋体"/>
        </w:rPr>
        <w:t>附件</w:t>
      </w:r>
      <w:r>
        <w:rPr>
          <w:rStyle w:val="55"/>
          <w:rFonts w:ascii="宋体" w:hAnsi="宋体" w:cs="宋体"/>
        </w:rPr>
        <w:t xml:space="preserve">7  </w:t>
      </w:r>
      <w:r>
        <w:rPr>
          <w:rStyle w:val="55"/>
          <w:rFonts w:hint="eastAsia" w:ascii="宋体" w:hAnsi="宋体" w:cs="宋体"/>
        </w:rPr>
        <w:t>政府采购投标担保函（实质性格式）</w:t>
      </w:r>
      <w:r>
        <w:tab/>
      </w:r>
      <w:r>
        <w:fldChar w:fldCharType="begin"/>
      </w:r>
      <w:r>
        <w:instrText xml:space="preserve"> PAGEREF _Toc100786166 \h </w:instrText>
      </w:r>
      <w:r>
        <w:fldChar w:fldCharType="separate"/>
      </w:r>
      <w:r>
        <w:t>68</w:t>
      </w:r>
      <w:r>
        <w:fldChar w:fldCharType="end"/>
      </w:r>
      <w:r>
        <w:fldChar w:fldCharType="end"/>
      </w:r>
    </w:p>
    <w:p>
      <w:pPr>
        <w:pStyle w:val="31"/>
        <w:rPr>
          <w:rFonts w:ascii="Calibri" w:hAnsi="Calibri"/>
          <w:szCs w:val="22"/>
        </w:rPr>
      </w:pPr>
      <w:r>
        <w:fldChar w:fldCharType="begin"/>
      </w:r>
      <w:r>
        <w:instrText xml:space="preserve"> HYPERLINK \l "_Toc100786167" </w:instrText>
      </w:r>
      <w:r>
        <w:fldChar w:fldCharType="separate"/>
      </w:r>
      <w:r>
        <w:rPr>
          <w:rStyle w:val="55"/>
          <w:rFonts w:hint="eastAsia" w:ascii="宋体" w:hAnsi="宋体" w:cs="宋体"/>
        </w:rPr>
        <w:t>附件</w:t>
      </w:r>
      <w:r>
        <w:rPr>
          <w:rStyle w:val="55"/>
          <w:rFonts w:ascii="宋体" w:hAnsi="宋体" w:cs="宋体"/>
        </w:rPr>
        <w:t xml:space="preserve">8  </w:t>
      </w:r>
      <w:r>
        <w:rPr>
          <w:rStyle w:val="55"/>
          <w:rFonts w:hint="eastAsia" w:ascii="宋体" w:hAnsi="宋体" w:cs="宋体"/>
        </w:rPr>
        <w:t>履约保证金保函格式（中标后开具）（本项目不适用）</w:t>
      </w:r>
      <w:r>
        <w:tab/>
      </w:r>
      <w:r>
        <w:fldChar w:fldCharType="begin"/>
      </w:r>
      <w:r>
        <w:instrText xml:space="preserve"> PAGEREF _Toc100786167 \h </w:instrText>
      </w:r>
      <w:r>
        <w:fldChar w:fldCharType="separate"/>
      </w:r>
      <w:r>
        <w:t>70</w:t>
      </w:r>
      <w:r>
        <w:fldChar w:fldCharType="end"/>
      </w:r>
      <w:r>
        <w:fldChar w:fldCharType="end"/>
      </w:r>
    </w:p>
    <w:p>
      <w:pPr>
        <w:pStyle w:val="31"/>
        <w:rPr>
          <w:rFonts w:ascii="Calibri" w:hAnsi="Calibri"/>
          <w:szCs w:val="22"/>
        </w:rPr>
      </w:pPr>
      <w:r>
        <w:fldChar w:fldCharType="begin"/>
      </w:r>
      <w:r>
        <w:instrText xml:space="preserve"> HYPERLINK \l "_Toc100786168" </w:instrText>
      </w:r>
      <w:r>
        <w:fldChar w:fldCharType="separate"/>
      </w:r>
      <w:r>
        <w:rPr>
          <w:rStyle w:val="55"/>
          <w:rFonts w:hint="eastAsia" w:ascii="宋体" w:hAnsi="宋体" w:cs="宋体"/>
        </w:rPr>
        <w:t>附件</w:t>
      </w:r>
      <w:r>
        <w:rPr>
          <w:rStyle w:val="55"/>
          <w:rFonts w:ascii="宋体" w:hAnsi="宋体" w:cs="宋体"/>
        </w:rPr>
        <w:t xml:space="preserve">9  </w:t>
      </w:r>
      <w:r>
        <w:rPr>
          <w:rStyle w:val="55"/>
          <w:rFonts w:hint="eastAsia" w:ascii="宋体" w:hAnsi="宋体" w:cs="宋体"/>
        </w:rPr>
        <w:t>节能产品、环境标志产品的证明材料（如有）</w:t>
      </w:r>
      <w:r>
        <w:tab/>
      </w:r>
      <w:r>
        <w:fldChar w:fldCharType="begin"/>
      </w:r>
      <w:r>
        <w:instrText xml:space="preserve"> PAGEREF _Toc100786168 \h </w:instrText>
      </w:r>
      <w:r>
        <w:fldChar w:fldCharType="separate"/>
      </w:r>
      <w:r>
        <w:t>72</w:t>
      </w:r>
      <w:r>
        <w:fldChar w:fldCharType="end"/>
      </w:r>
      <w:r>
        <w:fldChar w:fldCharType="end"/>
      </w:r>
    </w:p>
    <w:p>
      <w:pPr>
        <w:pStyle w:val="31"/>
        <w:rPr>
          <w:rFonts w:ascii="Calibri" w:hAnsi="Calibri"/>
          <w:szCs w:val="22"/>
        </w:rPr>
      </w:pPr>
      <w:r>
        <w:fldChar w:fldCharType="begin"/>
      </w:r>
      <w:r>
        <w:instrText xml:space="preserve"> HYPERLINK \l "_Toc100786169" </w:instrText>
      </w:r>
      <w:r>
        <w:fldChar w:fldCharType="separate"/>
      </w:r>
      <w:r>
        <w:rPr>
          <w:rStyle w:val="55"/>
          <w:rFonts w:hint="eastAsia" w:ascii="宋体" w:hAnsi="宋体" w:cs="宋体"/>
        </w:rPr>
        <w:t>附件</w:t>
      </w:r>
      <w:r>
        <w:rPr>
          <w:rStyle w:val="55"/>
          <w:rFonts w:ascii="宋体" w:hAnsi="宋体" w:cs="宋体"/>
        </w:rPr>
        <w:t xml:space="preserve">10  </w:t>
      </w:r>
      <w:r>
        <w:rPr>
          <w:rStyle w:val="55"/>
          <w:rFonts w:hint="eastAsia" w:ascii="宋体" w:hAnsi="宋体" w:cs="宋体"/>
        </w:rPr>
        <w:t>业绩证明材料</w:t>
      </w:r>
      <w:r>
        <w:tab/>
      </w:r>
      <w:r>
        <w:fldChar w:fldCharType="begin"/>
      </w:r>
      <w:r>
        <w:instrText xml:space="preserve"> PAGEREF _Toc100786169 \h </w:instrText>
      </w:r>
      <w:r>
        <w:fldChar w:fldCharType="separate"/>
      </w:r>
      <w:r>
        <w:t>73</w:t>
      </w:r>
      <w:r>
        <w:fldChar w:fldCharType="end"/>
      </w:r>
      <w:r>
        <w:fldChar w:fldCharType="end"/>
      </w:r>
    </w:p>
    <w:p>
      <w:pPr>
        <w:pStyle w:val="31"/>
        <w:rPr>
          <w:rFonts w:ascii="Calibri" w:hAnsi="Calibri"/>
          <w:szCs w:val="22"/>
        </w:rPr>
      </w:pPr>
      <w:r>
        <w:fldChar w:fldCharType="begin"/>
      </w:r>
      <w:r>
        <w:instrText xml:space="preserve"> HYPERLINK \l "_Toc100786170" </w:instrText>
      </w:r>
      <w:r>
        <w:fldChar w:fldCharType="separate"/>
      </w:r>
      <w:r>
        <w:rPr>
          <w:rStyle w:val="55"/>
          <w:rFonts w:hint="eastAsia" w:ascii="宋体" w:hAnsi="宋体" w:cs="宋体"/>
        </w:rPr>
        <w:t>附件</w:t>
      </w:r>
      <w:r>
        <w:rPr>
          <w:rStyle w:val="55"/>
          <w:rFonts w:ascii="宋体" w:hAnsi="宋体" w:cs="宋体"/>
        </w:rPr>
        <w:t xml:space="preserve">11  </w:t>
      </w:r>
      <w:r>
        <w:rPr>
          <w:rStyle w:val="55"/>
          <w:rFonts w:hint="eastAsia" w:ascii="宋体" w:hAnsi="宋体" w:cs="宋体"/>
        </w:rPr>
        <w:t>拟投入本项目的项目组人员配备情况</w:t>
      </w:r>
      <w:r>
        <w:tab/>
      </w:r>
      <w:r>
        <w:fldChar w:fldCharType="begin"/>
      </w:r>
      <w:r>
        <w:instrText xml:space="preserve"> PAGEREF _Toc100786170 \h </w:instrText>
      </w:r>
      <w:r>
        <w:fldChar w:fldCharType="separate"/>
      </w:r>
      <w:r>
        <w:t>74</w:t>
      </w:r>
      <w:r>
        <w:fldChar w:fldCharType="end"/>
      </w:r>
      <w:r>
        <w:fldChar w:fldCharType="end"/>
      </w:r>
    </w:p>
    <w:p>
      <w:pPr>
        <w:pStyle w:val="31"/>
        <w:rPr>
          <w:rFonts w:ascii="Calibri" w:hAnsi="Calibri"/>
          <w:szCs w:val="22"/>
        </w:rPr>
      </w:pPr>
      <w:r>
        <w:fldChar w:fldCharType="begin"/>
      </w:r>
      <w:r>
        <w:instrText xml:space="preserve"> HYPERLINK \l "_Toc100786171" </w:instrText>
      </w:r>
      <w:r>
        <w:fldChar w:fldCharType="separate"/>
      </w:r>
      <w:r>
        <w:rPr>
          <w:rStyle w:val="55"/>
          <w:rFonts w:hint="eastAsia" w:ascii="宋体" w:hAnsi="宋体" w:cs="宋体"/>
          <w:bCs/>
        </w:rPr>
        <w:t>附件</w:t>
      </w:r>
      <w:r>
        <w:rPr>
          <w:rStyle w:val="55"/>
          <w:rFonts w:ascii="宋体" w:hAnsi="宋体" w:cs="宋体"/>
          <w:bCs/>
        </w:rPr>
        <w:t xml:space="preserve">12  </w:t>
      </w:r>
      <w:r>
        <w:rPr>
          <w:rStyle w:val="55"/>
          <w:rFonts w:hint="eastAsia" w:ascii="宋体" w:hAnsi="宋体" w:cs="宋体"/>
          <w:bCs/>
        </w:rPr>
        <w:t>服务方案</w:t>
      </w:r>
      <w:r>
        <w:tab/>
      </w:r>
      <w:r>
        <w:fldChar w:fldCharType="begin"/>
      </w:r>
      <w:r>
        <w:instrText xml:space="preserve"> PAGEREF _Toc100786171 \h </w:instrText>
      </w:r>
      <w:r>
        <w:fldChar w:fldCharType="separate"/>
      </w:r>
      <w:r>
        <w:t>76</w:t>
      </w:r>
      <w:r>
        <w:fldChar w:fldCharType="end"/>
      </w:r>
      <w:r>
        <w:fldChar w:fldCharType="end"/>
      </w:r>
    </w:p>
    <w:p>
      <w:pPr>
        <w:pStyle w:val="31"/>
        <w:rPr>
          <w:rFonts w:ascii="Calibri" w:hAnsi="Calibri"/>
          <w:szCs w:val="22"/>
        </w:rPr>
      </w:pPr>
      <w:r>
        <w:fldChar w:fldCharType="begin"/>
      </w:r>
      <w:r>
        <w:instrText xml:space="preserve"> HYPERLINK \l "_Toc100786172" </w:instrText>
      </w:r>
      <w:r>
        <w:fldChar w:fldCharType="separate"/>
      </w:r>
      <w:r>
        <w:rPr>
          <w:rStyle w:val="55"/>
          <w:rFonts w:hint="eastAsia" w:ascii="宋体" w:hAnsi="宋体" w:cs="宋体"/>
          <w:bCs/>
        </w:rPr>
        <w:t>附件</w:t>
      </w:r>
      <w:r>
        <w:rPr>
          <w:rStyle w:val="55"/>
          <w:rFonts w:ascii="宋体" w:hAnsi="宋体" w:cs="宋体"/>
          <w:bCs/>
        </w:rPr>
        <w:t xml:space="preserve">13  </w:t>
      </w:r>
      <w:r>
        <w:rPr>
          <w:rStyle w:val="55"/>
          <w:rFonts w:hint="eastAsia" w:ascii="宋体" w:hAnsi="宋体" w:cs="宋体"/>
          <w:bCs/>
        </w:rPr>
        <w:t>具备履行合同所必需的设备和专业技术能力的证明材料</w:t>
      </w:r>
      <w:r>
        <w:tab/>
      </w:r>
      <w:r>
        <w:fldChar w:fldCharType="begin"/>
      </w:r>
      <w:r>
        <w:instrText xml:space="preserve"> PAGEREF _Toc100786172 \h </w:instrText>
      </w:r>
      <w:r>
        <w:fldChar w:fldCharType="separate"/>
      </w:r>
      <w:r>
        <w:t>77</w:t>
      </w:r>
      <w:r>
        <w:fldChar w:fldCharType="end"/>
      </w:r>
      <w:r>
        <w:fldChar w:fldCharType="end"/>
      </w:r>
    </w:p>
    <w:p>
      <w:pPr>
        <w:pStyle w:val="31"/>
        <w:rPr>
          <w:rFonts w:ascii="Calibri" w:hAnsi="Calibri"/>
          <w:szCs w:val="22"/>
        </w:rPr>
      </w:pPr>
      <w:r>
        <w:fldChar w:fldCharType="begin"/>
      </w:r>
      <w:r>
        <w:instrText xml:space="preserve"> HYPERLINK \l "_Toc100786173" </w:instrText>
      </w:r>
      <w:r>
        <w:fldChar w:fldCharType="separate"/>
      </w:r>
      <w:r>
        <w:rPr>
          <w:rStyle w:val="55"/>
          <w:rFonts w:hint="eastAsia" w:ascii="宋体" w:hAnsi="宋体" w:cs="宋体"/>
          <w:bCs/>
        </w:rPr>
        <w:t>附件</w:t>
      </w:r>
      <w:r>
        <w:rPr>
          <w:rStyle w:val="55"/>
          <w:rFonts w:ascii="宋体" w:hAnsi="宋体" w:cs="宋体"/>
          <w:bCs/>
        </w:rPr>
        <w:t xml:space="preserve">14  </w:t>
      </w:r>
      <w:r>
        <w:rPr>
          <w:rStyle w:val="55"/>
          <w:rFonts w:hint="eastAsia" w:ascii="宋体" w:hAnsi="宋体" w:cs="宋体"/>
          <w:bCs/>
        </w:rPr>
        <w:t>招标文件要求提供的其他资料</w:t>
      </w:r>
      <w:r>
        <w:tab/>
      </w:r>
      <w:r>
        <w:fldChar w:fldCharType="begin"/>
      </w:r>
      <w:r>
        <w:instrText xml:space="preserve"> PAGEREF _Toc100786173 \h </w:instrText>
      </w:r>
      <w:r>
        <w:fldChar w:fldCharType="separate"/>
      </w:r>
      <w:r>
        <w:t>78</w:t>
      </w:r>
      <w:r>
        <w:fldChar w:fldCharType="end"/>
      </w:r>
      <w:r>
        <w:fldChar w:fldCharType="end"/>
      </w:r>
    </w:p>
    <w:p>
      <w:pPr>
        <w:pStyle w:val="31"/>
        <w:rPr>
          <w:rFonts w:ascii="Calibri" w:hAnsi="Calibri"/>
          <w:szCs w:val="22"/>
        </w:rPr>
      </w:pPr>
      <w:r>
        <w:fldChar w:fldCharType="begin"/>
      </w:r>
      <w:r>
        <w:instrText xml:space="preserve"> HYPERLINK \l "_Toc100786174" </w:instrText>
      </w:r>
      <w:r>
        <w:fldChar w:fldCharType="separate"/>
      </w:r>
      <w:r>
        <w:rPr>
          <w:rStyle w:val="55"/>
          <w:rFonts w:hint="eastAsia" w:ascii="宋体" w:hAnsi="宋体" w:cs="宋体"/>
          <w:bCs/>
        </w:rPr>
        <w:t>附件</w:t>
      </w:r>
      <w:r>
        <w:rPr>
          <w:rStyle w:val="55"/>
          <w:rFonts w:ascii="宋体" w:hAnsi="宋体" w:cs="宋体"/>
          <w:bCs/>
        </w:rPr>
        <w:t xml:space="preserve">15  </w:t>
      </w:r>
      <w:r>
        <w:rPr>
          <w:rStyle w:val="55"/>
          <w:rFonts w:hint="eastAsia" w:ascii="宋体" w:hAnsi="宋体" w:cs="宋体"/>
          <w:bCs/>
        </w:rPr>
        <w:t>投标人认为有必要提交的其他文件</w:t>
      </w:r>
      <w:r>
        <w:tab/>
      </w:r>
      <w:r>
        <w:fldChar w:fldCharType="begin"/>
      </w:r>
      <w:r>
        <w:instrText xml:space="preserve"> PAGEREF _Toc100786174 \h </w:instrText>
      </w:r>
      <w:r>
        <w:fldChar w:fldCharType="separate"/>
      </w:r>
      <w:r>
        <w:t>79</w:t>
      </w:r>
      <w:r>
        <w:fldChar w:fldCharType="end"/>
      </w:r>
      <w:r>
        <w:fldChar w:fldCharType="end"/>
      </w:r>
    </w:p>
    <w:p>
      <w:pPr>
        <w:pStyle w:val="31"/>
        <w:rPr>
          <w:rFonts w:ascii="Calibri" w:hAnsi="Calibri"/>
          <w:szCs w:val="22"/>
        </w:rPr>
      </w:pPr>
      <w:r>
        <w:fldChar w:fldCharType="begin"/>
      </w:r>
      <w:r>
        <w:instrText xml:space="preserve"> HYPERLINK \l "_Toc100786175" </w:instrText>
      </w:r>
      <w:r>
        <w:fldChar w:fldCharType="separate"/>
      </w:r>
      <w:r>
        <w:rPr>
          <w:rStyle w:val="55"/>
          <w:rFonts w:hint="eastAsia" w:ascii="宋体" w:hAnsi="宋体" w:cs="宋体"/>
        </w:rPr>
        <w:t>第五章资格审查</w:t>
      </w:r>
      <w:r>
        <w:tab/>
      </w:r>
      <w:r>
        <w:fldChar w:fldCharType="begin"/>
      </w:r>
      <w:r>
        <w:instrText xml:space="preserve"> PAGEREF _Toc100786175 \h </w:instrText>
      </w:r>
      <w:r>
        <w:fldChar w:fldCharType="separate"/>
      </w:r>
      <w:r>
        <w:t>80</w:t>
      </w:r>
      <w:r>
        <w:fldChar w:fldCharType="end"/>
      </w:r>
      <w:r>
        <w:fldChar w:fldCharType="end"/>
      </w:r>
    </w:p>
    <w:p>
      <w:pPr>
        <w:pStyle w:val="31"/>
        <w:rPr>
          <w:rFonts w:ascii="Calibri" w:hAnsi="Calibri"/>
          <w:szCs w:val="22"/>
        </w:rPr>
      </w:pPr>
      <w:r>
        <w:fldChar w:fldCharType="begin"/>
      </w:r>
      <w:r>
        <w:instrText xml:space="preserve"> HYPERLINK \l "_Toc100786182" </w:instrText>
      </w:r>
      <w:r>
        <w:fldChar w:fldCharType="separate"/>
      </w:r>
      <w:r>
        <w:rPr>
          <w:rStyle w:val="55"/>
          <w:rFonts w:hint="eastAsia" w:ascii="宋体" w:hAnsi="宋体" w:cs="宋体"/>
        </w:rPr>
        <w:t>第六章评标程序、评标方法和评标标准</w:t>
      </w:r>
      <w:r>
        <w:tab/>
      </w:r>
      <w:r>
        <w:fldChar w:fldCharType="begin"/>
      </w:r>
      <w:r>
        <w:instrText xml:space="preserve"> PAGEREF _Toc100786182 \h </w:instrText>
      </w:r>
      <w:r>
        <w:fldChar w:fldCharType="separate"/>
      </w:r>
      <w:r>
        <w:t>83</w:t>
      </w:r>
      <w:r>
        <w:fldChar w:fldCharType="end"/>
      </w:r>
      <w:r>
        <w:fldChar w:fldCharType="end"/>
      </w:r>
    </w:p>
    <w:p>
      <w:pPr>
        <w:pStyle w:val="31"/>
        <w:rPr>
          <w:rFonts w:ascii="Calibri" w:hAnsi="Calibri"/>
          <w:szCs w:val="22"/>
        </w:rPr>
      </w:pPr>
      <w:r>
        <w:fldChar w:fldCharType="begin"/>
      </w:r>
      <w:r>
        <w:instrText xml:space="preserve"> HYPERLINK \l "_Toc100786195" </w:instrText>
      </w:r>
      <w:r>
        <w:fldChar w:fldCharType="separate"/>
      </w:r>
      <w:r>
        <w:rPr>
          <w:rStyle w:val="55"/>
          <w:rFonts w:hint="eastAsia" w:ascii="宋体" w:hAnsi="宋体" w:cs="宋体"/>
        </w:rPr>
        <w:t>第七章采购需求</w:t>
      </w:r>
      <w:r>
        <w:tab/>
      </w:r>
      <w:r>
        <w:fldChar w:fldCharType="begin"/>
      </w:r>
      <w:r>
        <w:instrText xml:space="preserve"> PAGEREF _Toc100786195 \h </w:instrText>
      </w:r>
      <w:r>
        <w:fldChar w:fldCharType="separate"/>
      </w:r>
      <w:r>
        <w:t>92</w:t>
      </w:r>
      <w:r>
        <w:fldChar w:fldCharType="end"/>
      </w:r>
      <w:r>
        <w:fldChar w:fldCharType="end"/>
      </w:r>
    </w:p>
    <w:p>
      <w:pPr>
        <w:spacing w:line="360" w:lineRule="auto"/>
        <w:jc w:val="left"/>
        <w:rPr>
          <w:rFonts w:ascii="宋体" w:hAnsi="宋体" w:cs="宋体"/>
          <w:color w:val="000000"/>
          <w:sz w:val="24"/>
          <w:szCs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宋体" w:hAnsi="宋体" w:cs="宋体"/>
          <w:color w:val="000000"/>
          <w:szCs w:val="21"/>
        </w:rPr>
        <w:fldChar w:fldCharType="end"/>
      </w:r>
      <w:bookmarkStart w:id="0" w:name="_Toc486431294"/>
      <w:bookmarkStart w:id="1" w:name="_Toc327274368"/>
      <w:bookmarkStart w:id="2" w:name="_Toc8323"/>
      <w:bookmarkStart w:id="3" w:name="_Toc15879"/>
      <w:bookmarkStart w:id="4" w:name="_Toc447223721"/>
      <w:bookmarkStart w:id="5" w:name="_Toc407175235"/>
      <w:bookmarkStart w:id="6" w:name="_Toc327277724"/>
      <w:bookmarkStart w:id="7" w:name="_Toc486431020"/>
      <w:bookmarkStart w:id="8" w:name="_Toc407140553"/>
      <w:bookmarkStart w:id="9" w:name="_Toc327274444"/>
      <w:bookmarkStart w:id="10" w:name="_Toc29192"/>
    </w:p>
    <w:p>
      <w:pPr>
        <w:pStyle w:val="44"/>
        <w:spacing w:line="360" w:lineRule="auto"/>
        <w:rPr>
          <w:rFonts w:ascii="宋体" w:hAnsi="宋体" w:eastAsia="宋体" w:cs="宋体"/>
          <w:color w:val="000000"/>
          <w:sz w:val="24"/>
          <w:szCs w:val="24"/>
        </w:rPr>
      </w:pPr>
      <w:bookmarkStart w:id="11" w:name="_Toc100786133"/>
      <w:r>
        <w:rPr>
          <w:rFonts w:hint="eastAsia" w:ascii="宋体" w:hAnsi="宋体" w:eastAsia="宋体" w:cs="宋体"/>
          <w:color w:val="000000"/>
          <w:sz w:val="30"/>
          <w:szCs w:val="30"/>
        </w:rPr>
        <w:t>第一章  投标邀请</w:t>
      </w:r>
      <w:bookmarkEnd w:id="11"/>
    </w:p>
    <w:bookmarkEnd w:id="0"/>
    <w:bookmarkEnd w:id="1"/>
    <w:bookmarkEnd w:id="2"/>
    <w:bookmarkEnd w:id="3"/>
    <w:bookmarkEnd w:id="4"/>
    <w:bookmarkEnd w:id="5"/>
    <w:bookmarkEnd w:id="6"/>
    <w:bookmarkEnd w:id="7"/>
    <w:bookmarkEnd w:id="8"/>
    <w:bookmarkEnd w:id="9"/>
    <w:bookmarkEnd w:id="10"/>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项目概况</w:t>
      </w:r>
    </w:p>
    <w:p>
      <w:pPr>
        <w:spacing w:line="360" w:lineRule="auto"/>
        <w:ind w:firstLine="460" w:firstLineChars="192"/>
        <w:rPr>
          <w:rFonts w:ascii="宋体" w:hAnsi="宋体" w:cs="宋体"/>
          <w:sz w:val="24"/>
          <w:szCs w:val="24"/>
          <w:highlight w:val="none"/>
          <w:u w:val="single"/>
        </w:rPr>
      </w:pPr>
      <w:r>
        <w:rPr>
          <w:rFonts w:hint="eastAsia" w:ascii="宋体" w:hAnsi="宋体" w:cs="宋体"/>
          <w:color w:val="000000"/>
          <w:sz w:val="24"/>
          <w:szCs w:val="24"/>
          <w:u w:val="single"/>
          <w:lang w:eastAsia="zh-CN"/>
        </w:rPr>
        <w:t>北京地铁无损检测服务</w:t>
      </w:r>
      <w:r>
        <w:rPr>
          <w:rFonts w:hint="eastAsia" w:ascii="宋体" w:hAnsi="宋体" w:cs="宋体"/>
          <w:color w:val="000000"/>
          <w:sz w:val="24"/>
          <w:szCs w:val="24"/>
        </w:rPr>
        <w:t>招标项目的潜</w:t>
      </w:r>
      <w:r>
        <w:rPr>
          <w:rFonts w:hint="eastAsia" w:ascii="宋体" w:hAnsi="宋体" w:cs="宋体"/>
          <w:color w:val="000000"/>
          <w:sz w:val="24"/>
          <w:szCs w:val="24"/>
          <w:highlight w:val="none"/>
        </w:rPr>
        <w:t>在投标人应在</w:t>
      </w:r>
      <w:r>
        <w:rPr>
          <w:rFonts w:hint="eastAsia" w:ascii="宋体" w:hAnsi="宋体" w:cs="宋体"/>
          <w:color w:val="000000"/>
          <w:sz w:val="24"/>
          <w:szCs w:val="24"/>
          <w:highlight w:val="none"/>
          <w:u w:val="single"/>
        </w:rPr>
        <w:t>北京市</w:t>
      </w:r>
      <w:r>
        <w:rPr>
          <w:rFonts w:hint="eastAsia" w:ascii="宋体" w:hAnsi="宋体" w:cs="宋体"/>
          <w:sz w:val="24"/>
          <w:szCs w:val="24"/>
          <w:highlight w:val="none"/>
          <w:u w:val="single"/>
        </w:rPr>
        <w:t>政府采购电子交易平台</w:t>
      </w:r>
      <w:r>
        <w:rPr>
          <w:rFonts w:hint="eastAsia" w:ascii="宋体" w:hAnsi="宋体" w:cs="宋体"/>
          <w:sz w:val="24"/>
          <w:szCs w:val="24"/>
          <w:highlight w:val="none"/>
        </w:rPr>
        <w:t>获取招标文件，并于</w:t>
      </w:r>
      <w:r>
        <w:rPr>
          <w:rFonts w:hint="eastAsia" w:ascii="宋体" w:hAnsi="宋体" w:cs="宋体"/>
          <w:sz w:val="24"/>
          <w:szCs w:val="24"/>
          <w:highlight w:val="none"/>
          <w:u w:val="single"/>
        </w:rPr>
        <w:t>2024年</w:t>
      </w:r>
      <w:r>
        <w:rPr>
          <w:rFonts w:hint="eastAsia" w:ascii="宋体" w:hAnsi="宋体" w:cs="宋体"/>
          <w:sz w:val="24"/>
          <w:szCs w:val="24"/>
          <w:highlight w:val="none"/>
          <w:u w:val="single"/>
          <w:lang w:val="en-US" w:eastAsia="zh-CN"/>
        </w:rPr>
        <w:t>8</w:t>
      </w:r>
      <w:r>
        <w:rPr>
          <w:rFonts w:hint="eastAsia" w:ascii="宋体" w:hAnsi="宋体" w:cs="宋体"/>
          <w:sz w:val="24"/>
          <w:szCs w:val="24"/>
          <w:highlight w:val="none"/>
          <w:u w:val="single"/>
        </w:rPr>
        <w:t>月</w:t>
      </w:r>
      <w:r>
        <w:rPr>
          <w:rFonts w:hint="eastAsia" w:ascii="宋体" w:hAnsi="宋体" w:cs="宋体"/>
          <w:sz w:val="24"/>
          <w:szCs w:val="24"/>
          <w:highlight w:val="none"/>
          <w:u w:val="single"/>
          <w:lang w:val="en-US" w:eastAsia="zh-CN"/>
        </w:rPr>
        <w:t>28</w:t>
      </w:r>
      <w:r>
        <w:rPr>
          <w:rFonts w:hint="eastAsia" w:ascii="宋体" w:hAnsi="宋体" w:cs="宋体"/>
          <w:sz w:val="24"/>
          <w:szCs w:val="24"/>
          <w:highlight w:val="none"/>
          <w:u w:val="single"/>
        </w:rPr>
        <w:t>日上午9点30分（北京时间）前递交投标文件。</w:t>
      </w:r>
    </w:p>
    <w:p>
      <w:pPr>
        <w:spacing w:line="360" w:lineRule="auto"/>
        <w:ind w:firstLine="463" w:firstLineChars="192"/>
        <w:rPr>
          <w:rFonts w:ascii="宋体" w:hAnsi="宋体" w:cs="宋体"/>
          <w:b/>
          <w:sz w:val="24"/>
          <w:szCs w:val="24"/>
          <w:highlight w:val="none"/>
        </w:rPr>
      </w:pPr>
      <w:r>
        <w:rPr>
          <w:rFonts w:hint="eastAsia" w:ascii="宋体" w:hAnsi="宋体" w:cs="宋体"/>
          <w:b/>
          <w:sz w:val="24"/>
          <w:szCs w:val="24"/>
          <w:highlight w:val="none"/>
        </w:rPr>
        <w:t>一、项目基本情况</w:t>
      </w:r>
    </w:p>
    <w:p>
      <w:pPr>
        <w:spacing w:line="360" w:lineRule="auto"/>
        <w:ind w:firstLine="460" w:firstLineChars="192"/>
        <w:rPr>
          <w:rFonts w:ascii="宋体" w:hAnsi="宋体" w:cs="宋体"/>
          <w:sz w:val="24"/>
          <w:szCs w:val="24"/>
          <w:highlight w:val="none"/>
        </w:rPr>
      </w:pPr>
      <w:r>
        <w:rPr>
          <w:rFonts w:hint="eastAsia" w:ascii="宋体" w:hAnsi="宋体" w:cs="宋体"/>
          <w:sz w:val="24"/>
          <w:szCs w:val="24"/>
          <w:highlight w:val="none"/>
        </w:rPr>
        <w:t>项目编号：</w:t>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HYPERLINK "http://192.168.0.56/r/w?sid=5de570ef-ec8e-41f5-a021-33617f02d790&amp;cmd=CLIENT_DW_PORTAL&amp;processGroupId=obj_48fab6b6e15e47cd9d550fab6f5d3db0&amp;appId=com.actionsoft.apps.pmo.pm" </w:instrText>
      </w:r>
      <w:r>
        <w:rPr>
          <w:rFonts w:hint="eastAsia" w:ascii="宋体" w:hAnsi="宋体" w:cs="宋体"/>
          <w:sz w:val="24"/>
          <w:szCs w:val="24"/>
          <w:highlight w:val="none"/>
        </w:rPr>
        <w:fldChar w:fldCharType="separate"/>
      </w:r>
      <w:r>
        <w:rPr>
          <w:rFonts w:hint="eastAsia" w:ascii="宋体" w:hAnsi="宋体" w:cs="宋体"/>
          <w:sz w:val="24"/>
          <w:szCs w:val="24"/>
          <w:highlight w:val="none"/>
          <w:lang w:eastAsia="zh-CN"/>
        </w:rPr>
        <w:t>20240735517</w:t>
      </w:r>
      <w:r>
        <w:rPr>
          <w:rFonts w:hint="eastAsia" w:ascii="宋体" w:hAnsi="宋体" w:cs="宋体"/>
          <w:sz w:val="24"/>
          <w:szCs w:val="24"/>
          <w:highlight w:val="none"/>
        </w:rPr>
        <w:fldChar w:fldCharType="end"/>
      </w:r>
    </w:p>
    <w:p>
      <w:pPr>
        <w:spacing w:line="360" w:lineRule="auto"/>
        <w:ind w:firstLine="460" w:firstLineChars="192"/>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项目名称：</w:t>
      </w:r>
      <w:r>
        <w:rPr>
          <w:rFonts w:hint="eastAsia" w:ascii="宋体" w:hAnsi="宋体" w:cs="宋体"/>
          <w:color w:val="000000"/>
          <w:sz w:val="24"/>
          <w:szCs w:val="24"/>
          <w:highlight w:val="none"/>
          <w:lang w:eastAsia="zh-CN"/>
        </w:rPr>
        <w:t>北京地铁无损检测服务</w:t>
      </w:r>
    </w:p>
    <w:p>
      <w:pPr>
        <w:spacing w:line="360" w:lineRule="auto"/>
        <w:ind w:firstLine="460" w:firstLineChars="192"/>
        <w:rPr>
          <w:rFonts w:ascii="宋体" w:hAnsi="宋体" w:cs="宋体"/>
          <w:color w:val="000000"/>
          <w:sz w:val="24"/>
          <w:szCs w:val="24"/>
          <w:highlight w:val="none"/>
        </w:rPr>
      </w:pPr>
      <w:r>
        <w:rPr>
          <w:rFonts w:hint="eastAsia" w:ascii="宋体" w:hAnsi="宋体" w:cs="宋体"/>
          <w:color w:val="000000"/>
          <w:sz w:val="24"/>
          <w:szCs w:val="24"/>
          <w:highlight w:val="none"/>
        </w:rPr>
        <w:t>预算金额：本项目预算为</w:t>
      </w:r>
      <w:r>
        <w:rPr>
          <w:rFonts w:hint="eastAsia" w:ascii="宋体" w:hAnsi="宋体" w:cs="宋体"/>
          <w:color w:val="000000"/>
          <w:sz w:val="24"/>
          <w:szCs w:val="24"/>
          <w:highlight w:val="none"/>
          <w:lang w:eastAsia="zh-CN"/>
        </w:rPr>
        <w:t>180.9</w:t>
      </w:r>
      <w:r>
        <w:rPr>
          <w:rFonts w:hint="eastAsia" w:ascii="宋体" w:hAnsi="宋体" w:cs="宋体"/>
          <w:color w:val="000000"/>
          <w:sz w:val="24"/>
          <w:szCs w:val="24"/>
          <w:highlight w:val="none"/>
        </w:rPr>
        <w:t>万元。</w:t>
      </w:r>
    </w:p>
    <w:p>
      <w:pPr>
        <w:spacing w:line="360" w:lineRule="auto"/>
        <w:ind w:firstLine="460" w:firstLineChars="192"/>
        <w:rPr>
          <w:rFonts w:ascii="宋体" w:hAnsi="宋体" w:cs="宋体"/>
          <w:color w:val="000000"/>
          <w:sz w:val="24"/>
          <w:szCs w:val="24"/>
          <w:highlight w:val="none"/>
        </w:rPr>
      </w:pPr>
      <w:r>
        <w:rPr>
          <w:rFonts w:hint="eastAsia" w:ascii="宋体" w:hAnsi="宋体" w:cs="宋体"/>
          <w:color w:val="000000"/>
          <w:sz w:val="24"/>
          <w:szCs w:val="24"/>
          <w:highlight w:val="none"/>
        </w:rPr>
        <w:t>最高限价：</w:t>
      </w:r>
      <w:r>
        <w:rPr>
          <w:rFonts w:hint="eastAsia" w:ascii="宋体" w:hAnsi="宋体" w:cs="宋体"/>
          <w:color w:val="000000"/>
          <w:sz w:val="24"/>
          <w:szCs w:val="24"/>
          <w:highlight w:val="none"/>
          <w:lang w:eastAsia="zh-CN"/>
        </w:rPr>
        <w:t>180.9</w:t>
      </w:r>
      <w:r>
        <w:rPr>
          <w:rFonts w:hint="eastAsia" w:ascii="宋体" w:hAnsi="宋体" w:cs="宋体"/>
          <w:color w:val="000000"/>
          <w:sz w:val="24"/>
          <w:szCs w:val="24"/>
          <w:highlight w:val="none"/>
        </w:rPr>
        <w:t>万元。</w:t>
      </w:r>
    </w:p>
    <w:p>
      <w:pPr>
        <w:spacing w:line="360" w:lineRule="auto"/>
        <w:ind w:firstLine="460" w:firstLineChars="192"/>
        <w:rPr>
          <w:rFonts w:hint="eastAsia" w:ascii="宋体" w:hAnsi="宋体" w:cs="宋体"/>
          <w:color w:val="000000"/>
          <w:sz w:val="24"/>
          <w:szCs w:val="24"/>
          <w:highlight w:val="none"/>
        </w:rPr>
      </w:pPr>
      <w:r>
        <w:rPr>
          <w:rFonts w:hint="eastAsia" w:ascii="宋体" w:hAnsi="宋体" w:cs="宋体"/>
          <w:color w:val="000000"/>
          <w:sz w:val="24"/>
          <w:szCs w:val="24"/>
          <w:highlight w:val="none"/>
        </w:rPr>
        <w:t>项目</w:t>
      </w:r>
      <w:r>
        <w:rPr>
          <w:rFonts w:hint="eastAsia" w:ascii="宋体" w:hAnsi="宋体" w:cs="宋体"/>
          <w:color w:val="000000"/>
          <w:sz w:val="24"/>
          <w:szCs w:val="24"/>
          <w:highlight w:val="none"/>
          <w:lang w:val="en-US" w:eastAsia="zh-CN"/>
        </w:rPr>
        <w:t>概况</w:t>
      </w:r>
      <w:r>
        <w:rPr>
          <w:rFonts w:hint="eastAsia" w:ascii="宋体" w:hAnsi="宋体" w:cs="宋体"/>
          <w:color w:val="000000"/>
          <w:sz w:val="24"/>
          <w:szCs w:val="24"/>
          <w:highlight w:val="none"/>
        </w:rPr>
        <w:t>：北京地铁地车站设置了空调系统，空调冷源使用冷水机组，冷水机组蒸发器、冷凝器一般均为压力容器。根据TSG21-2016《固定式压力容器安全技术监察规程》要求，压力容器首检、定检时需要做无损检测，无损检测包括容器保温拆除及恢复，焊缝打磨、表面打磨及打磨面防腐；也包括端盖的拆卸、恢复安装、密封垫圈更换及其内表面除锈。</w:t>
      </w:r>
      <w:r>
        <w:rPr>
          <w:rFonts w:hint="eastAsia" w:ascii="宋体" w:hAnsi="宋体" w:cs="宋体"/>
          <w:color w:val="000000"/>
          <w:sz w:val="24"/>
          <w:szCs w:val="24"/>
          <w:highlight w:val="none"/>
          <w:lang w:val="en-US" w:eastAsia="zh-CN"/>
        </w:rPr>
        <w:t>在</w:t>
      </w:r>
      <w:r>
        <w:rPr>
          <w:rFonts w:hint="eastAsia" w:ascii="宋体" w:hAnsi="宋体" w:cs="宋体"/>
          <w:color w:val="000000"/>
          <w:sz w:val="24"/>
          <w:szCs w:val="24"/>
          <w:highlight w:val="none"/>
        </w:rPr>
        <w:t>对于达到设计使用年限的压力容器（未规定设计使用年限，但是使用超过20年的压力容器视为达到设计使用年限）</w:t>
      </w:r>
      <w:r>
        <w:rPr>
          <w:rFonts w:hint="eastAsia" w:ascii="宋体" w:hAnsi="宋体" w:cs="宋体"/>
          <w:color w:val="000000"/>
          <w:sz w:val="24"/>
          <w:szCs w:val="24"/>
          <w:highlight w:val="none"/>
          <w:lang w:val="en-US" w:eastAsia="zh-CN"/>
        </w:rPr>
        <w:t>进行安全评估时</w:t>
      </w:r>
      <w:r>
        <w:rPr>
          <w:rFonts w:hint="eastAsia" w:ascii="宋体" w:hAnsi="宋体" w:cs="宋体"/>
          <w:color w:val="000000"/>
          <w:sz w:val="24"/>
          <w:szCs w:val="24"/>
          <w:highlight w:val="none"/>
        </w:rPr>
        <w:t>，</w:t>
      </w:r>
      <w:r>
        <w:rPr>
          <w:rFonts w:hint="eastAsia" w:ascii="宋体" w:hAnsi="宋体" w:cs="宋体"/>
          <w:color w:val="000000"/>
          <w:sz w:val="24"/>
          <w:szCs w:val="24"/>
          <w:highlight w:val="none"/>
          <w:lang w:val="en-US" w:eastAsia="zh-CN"/>
        </w:rPr>
        <w:t>也需要进行无损检测</w:t>
      </w:r>
      <w:r>
        <w:rPr>
          <w:rFonts w:hint="eastAsia" w:ascii="宋体" w:hAnsi="宋体" w:cs="宋体"/>
          <w:color w:val="000000"/>
          <w:sz w:val="24"/>
          <w:szCs w:val="24"/>
          <w:highlight w:val="none"/>
        </w:rPr>
        <w:t>。</w:t>
      </w:r>
    </w:p>
    <w:p>
      <w:pPr>
        <w:pStyle w:val="47"/>
      </w:pPr>
      <w:r>
        <w:rPr>
          <w:rFonts w:hint="eastAsia"/>
        </w:rPr>
        <w:t>本项目为</w:t>
      </w:r>
      <w:r>
        <w:rPr>
          <w:rFonts w:hint="eastAsia"/>
          <w:highlight w:val="none"/>
        </w:rPr>
        <w:t>北京地铁压力容器无损检测</w:t>
      </w:r>
      <w:r>
        <w:rPr>
          <w:rFonts w:hint="eastAsia"/>
        </w:rPr>
        <w:t>及超设计使用年限的压力容器检验的无损检测，涉及北京地铁1-八通线、5号线、6号线、7号线、8号线、9号线、10号线、13号线、15号线、亦庄线、昌平线车站。</w:t>
      </w:r>
    </w:p>
    <w:p>
      <w:pPr>
        <w:spacing w:line="360" w:lineRule="auto"/>
        <w:ind w:firstLine="480" w:firstLineChars="200"/>
        <w:rPr>
          <w:rFonts w:ascii="宋体" w:hAnsi="宋体" w:cs="宋体"/>
          <w:color w:val="000000"/>
          <w:sz w:val="24"/>
          <w:szCs w:val="24"/>
          <w:highlight w:val="none"/>
        </w:rPr>
      </w:pPr>
      <w:r>
        <w:rPr>
          <w:rFonts w:hint="eastAsia" w:ascii="宋体" w:hAnsi="宋体" w:cs="宋体"/>
          <w:color w:val="000000"/>
          <w:sz w:val="24"/>
          <w:szCs w:val="24"/>
          <w:highlight w:val="none"/>
        </w:rPr>
        <w:t>合同履行期限：</w:t>
      </w:r>
      <w:r>
        <w:rPr>
          <w:rFonts w:hint="eastAsia" w:ascii="宋体" w:hAnsi="宋体" w:cs="宋体"/>
          <w:sz w:val="24"/>
          <w:szCs w:val="24"/>
          <w:highlight w:val="none"/>
        </w:rPr>
        <w:t>自合同签订之日起至2024年12月31日止。</w:t>
      </w:r>
    </w:p>
    <w:p>
      <w:pPr>
        <w:spacing w:line="360" w:lineRule="auto"/>
        <w:ind w:firstLine="460" w:firstLineChars="192"/>
        <w:rPr>
          <w:rFonts w:ascii="宋体" w:hAnsi="宋体" w:cs="宋体"/>
          <w:color w:val="000000"/>
          <w:sz w:val="24"/>
          <w:szCs w:val="24"/>
          <w:highlight w:val="none"/>
        </w:rPr>
      </w:pPr>
      <w:r>
        <w:rPr>
          <w:rFonts w:hint="eastAsia" w:ascii="宋体" w:hAnsi="宋体" w:cs="宋体"/>
          <w:color w:val="000000"/>
          <w:sz w:val="24"/>
          <w:szCs w:val="24"/>
          <w:highlight w:val="none"/>
        </w:rPr>
        <w:t>本项目不接受联合体投标。</w:t>
      </w:r>
    </w:p>
    <w:p>
      <w:pPr>
        <w:spacing w:line="360" w:lineRule="auto"/>
        <w:ind w:firstLine="463" w:firstLineChars="192"/>
        <w:rPr>
          <w:rFonts w:ascii="宋体" w:hAnsi="宋体" w:cs="宋体"/>
          <w:b/>
          <w:color w:val="000000"/>
          <w:sz w:val="24"/>
          <w:szCs w:val="24"/>
          <w:highlight w:val="none"/>
        </w:rPr>
      </w:pPr>
      <w:r>
        <w:rPr>
          <w:rFonts w:hint="eastAsia" w:ascii="宋体" w:hAnsi="宋体" w:cs="宋体"/>
          <w:b/>
          <w:color w:val="000000"/>
          <w:sz w:val="24"/>
          <w:szCs w:val="24"/>
          <w:highlight w:val="none"/>
        </w:rPr>
        <w:t>二、申请人的资格要求：</w:t>
      </w:r>
    </w:p>
    <w:p>
      <w:pPr>
        <w:spacing w:line="360" w:lineRule="auto"/>
        <w:ind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1.满足《中华人民共和国政府采购法》第二十二条规定；</w:t>
      </w:r>
    </w:p>
    <w:p>
      <w:pPr>
        <w:spacing w:line="360" w:lineRule="auto"/>
        <w:ind w:firstLine="460" w:firstLineChars="192"/>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.落实政府采购政策需满足的资格要求：本</w:t>
      </w:r>
      <w:r>
        <w:rPr>
          <w:rFonts w:ascii="宋体" w:hAnsi="宋体"/>
          <w:color w:val="auto"/>
          <w:sz w:val="24"/>
          <w:highlight w:val="none"/>
        </w:rPr>
        <w:t>项目专门面向</w:t>
      </w:r>
      <w:r>
        <w:rPr>
          <w:rFonts w:hint="eastAsia" w:ascii="宋体" w:hAnsi="宋体"/>
          <w:color w:val="auto"/>
          <w:sz w:val="24"/>
          <w:highlight w:val="none"/>
          <w:lang w:val="en-US" w:eastAsia="zh-CN"/>
        </w:rPr>
        <w:t>小微</w:t>
      </w:r>
      <w:r>
        <w:rPr>
          <w:rFonts w:ascii="宋体" w:hAnsi="宋体"/>
          <w:color w:val="auto"/>
          <w:sz w:val="24"/>
          <w:highlight w:val="none"/>
        </w:rPr>
        <w:t>企业采购。</w:t>
      </w:r>
    </w:p>
    <w:p>
      <w:pPr>
        <w:spacing w:line="360" w:lineRule="auto"/>
        <w:ind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3.本项目的特定资格要求：</w:t>
      </w:r>
    </w:p>
    <w:p>
      <w:pPr>
        <w:spacing w:line="360" w:lineRule="auto"/>
        <w:ind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1）供应商须具有在有效期内的《</w:t>
      </w:r>
      <w:r>
        <w:rPr>
          <w:rFonts w:hint="eastAsia" w:ascii="宋体" w:hAnsi="宋体" w:cs="宋体"/>
          <w:color w:val="auto"/>
          <w:sz w:val="24"/>
          <w:szCs w:val="24"/>
          <w:highlight w:val="none"/>
          <w:lang w:val="en-US" w:eastAsia="zh-CN"/>
        </w:rPr>
        <w:t>中华人民共和国特种设备检验检测机构核准证（无损检测机构）</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证书</w:t>
      </w:r>
      <w:r>
        <w:rPr>
          <w:rFonts w:hint="eastAsia" w:ascii="宋体" w:hAnsi="宋体" w:cs="宋体"/>
          <w:color w:val="auto"/>
          <w:sz w:val="24"/>
          <w:szCs w:val="24"/>
          <w:highlight w:val="none"/>
        </w:rPr>
        <w:t>；</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2）供应商不得存在下列情形之一：</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（1）单位负责人为同一人或者存在直接控股、管理关系的不同供应商，不得参加同一合同项下的政府采购活动；</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（2）除单一来源采购项目外，为采购项目提供整体设计、规范编制或者项目管理、监理、检测等服务的供应商，不得再参加该采购项目的其他采购活动。</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3）供应商不能被列入</w:t>
      </w:r>
      <w:r>
        <w:rPr>
          <w:rFonts w:hint="eastAsia" w:ascii="宋体" w:hAnsi="宋体" w:cs="宋体"/>
          <w:color w:val="000000"/>
          <w:sz w:val="24"/>
          <w:szCs w:val="24"/>
          <w:highlight w:val="none"/>
        </w:rPr>
        <w:t>“信用中国”网站</w:t>
      </w:r>
      <w:r>
        <w:rPr>
          <w:rFonts w:hint="eastAsia" w:ascii="宋体" w:hAnsi="宋体" w:cs="宋体"/>
          <w:color w:val="000000"/>
          <w:sz w:val="24"/>
          <w:szCs w:val="24"/>
        </w:rPr>
        <w:t>（www.creditchina.gov.cn）失信被执行人、重大税收违法案件当事人名单和中国政府采购网（www.ccgp.gov.cn）政府采购严重违法失信行为记录名单。否则其投标将被拒绝；</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 xml:space="preserve">本项目是否接受分支机构参与投标：□是   ■否； </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本项目是否属于政府购买服务：</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■否</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□是，公益一类事业单位、使用事业编制且由财政拨款保障的群团组织，不得作为承接主体</w:t>
      </w:r>
      <w:r>
        <w:rPr>
          <w:rFonts w:hint="eastAsia" w:ascii="宋体" w:hAnsi="宋体" w:cs="宋体"/>
          <w:color w:val="000000"/>
          <w:sz w:val="24"/>
          <w:szCs w:val="24"/>
        </w:rPr>
        <w:t>。</w:t>
      </w:r>
    </w:p>
    <w:p>
      <w:pPr>
        <w:spacing w:line="360" w:lineRule="auto"/>
        <w:ind w:firstLine="463" w:firstLineChars="192"/>
        <w:rPr>
          <w:rFonts w:ascii="宋体" w:hAnsi="宋体" w:cs="宋体"/>
          <w:b/>
          <w:color w:val="000000"/>
          <w:sz w:val="24"/>
          <w:szCs w:val="24"/>
        </w:rPr>
      </w:pPr>
      <w:r>
        <w:rPr>
          <w:rFonts w:hint="eastAsia" w:ascii="宋体" w:hAnsi="宋体" w:cs="宋体"/>
          <w:b/>
          <w:color w:val="000000"/>
          <w:sz w:val="24"/>
          <w:szCs w:val="24"/>
        </w:rPr>
        <w:t>三、获取招标文件：</w:t>
      </w:r>
    </w:p>
    <w:p>
      <w:pPr>
        <w:spacing w:line="360" w:lineRule="auto"/>
        <w:ind w:firstLine="460" w:firstLineChars="192"/>
        <w:rPr>
          <w:rFonts w:ascii="宋体" w:hAnsi="宋体" w:cs="宋体"/>
          <w:sz w:val="24"/>
          <w:szCs w:val="24"/>
        </w:rPr>
      </w:pPr>
      <w:r>
        <w:rPr>
          <w:rFonts w:ascii="宋体" w:hAnsi="宋体" w:cs="宋体"/>
          <w:sz w:val="24"/>
          <w:szCs w:val="24"/>
        </w:rPr>
        <w:t>1.时间：</w:t>
      </w:r>
      <w:r>
        <w:rPr>
          <w:rFonts w:hint="eastAsia" w:ascii="宋体" w:hAnsi="宋体" w:cs="宋体"/>
          <w:sz w:val="24"/>
          <w:szCs w:val="24"/>
          <w:u w:val="single"/>
        </w:rPr>
        <w:t>2024年</w:t>
      </w:r>
      <w:r>
        <w:rPr>
          <w:rFonts w:hint="eastAsia" w:ascii="宋体" w:hAnsi="宋体" w:cs="宋体"/>
          <w:sz w:val="24"/>
          <w:szCs w:val="24"/>
          <w:u w:val="single"/>
          <w:lang w:val="en-US" w:eastAsia="zh-CN"/>
        </w:rPr>
        <w:t>8</w:t>
      </w:r>
      <w:r>
        <w:rPr>
          <w:rFonts w:hint="eastAsia" w:ascii="宋体" w:hAnsi="宋体" w:cs="宋体"/>
          <w:sz w:val="24"/>
          <w:szCs w:val="24"/>
          <w:u w:val="single"/>
        </w:rPr>
        <w:t>月</w:t>
      </w:r>
      <w:r>
        <w:rPr>
          <w:rFonts w:hint="eastAsia" w:ascii="宋体" w:hAnsi="宋体" w:cs="宋体"/>
          <w:sz w:val="24"/>
          <w:szCs w:val="24"/>
          <w:u w:val="single"/>
          <w:lang w:val="en-US" w:eastAsia="zh-CN"/>
        </w:rPr>
        <w:t>8</w:t>
      </w:r>
      <w:r>
        <w:rPr>
          <w:rFonts w:hint="eastAsia" w:ascii="宋体" w:hAnsi="宋体" w:cs="宋体"/>
          <w:sz w:val="24"/>
          <w:szCs w:val="24"/>
          <w:u w:val="single"/>
        </w:rPr>
        <w:t>日</w:t>
      </w:r>
      <w:r>
        <w:rPr>
          <w:rFonts w:ascii="宋体" w:hAnsi="宋体" w:cs="宋体"/>
          <w:sz w:val="24"/>
          <w:szCs w:val="24"/>
        </w:rPr>
        <w:t>至</w:t>
      </w:r>
      <w:r>
        <w:rPr>
          <w:rFonts w:hint="eastAsia" w:ascii="宋体" w:hAnsi="宋体" w:cs="宋体"/>
          <w:sz w:val="24"/>
          <w:szCs w:val="24"/>
          <w:u w:val="single"/>
        </w:rPr>
        <w:t>2024年</w:t>
      </w:r>
      <w:r>
        <w:rPr>
          <w:rFonts w:hint="eastAsia" w:ascii="宋体" w:hAnsi="宋体" w:cs="宋体"/>
          <w:sz w:val="24"/>
          <w:szCs w:val="24"/>
          <w:u w:val="single"/>
          <w:lang w:val="en-US" w:eastAsia="zh-CN"/>
        </w:rPr>
        <w:t>8</w:t>
      </w:r>
      <w:r>
        <w:rPr>
          <w:rFonts w:hint="eastAsia" w:ascii="宋体" w:hAnsi="宋体" w:cs="宋体"/>
          <w:sz w:val="24"/>
          <w:szCs w:val="24"/>
          <w:u w:val="single"/>
        </w:rPr>
        <w:t>月</w:t>
      </w:r>
      <w:r>
        <w:rPr>
          <w:rFonts w:hint="eastAsia" w:ascii="宋体" w:hAnsi="宋体" w:cs="宋体"/>
          <w:sz w:val="24"/>
          <w:szCs w:val="24"/>
          <w:u w:val="single"/>
          <w:lang w:val="en-US" w:eastAsia="zh-CN"/>
        </w:rPr>
        <w:t>14</w:t>
      </w:r>
      <w:r>
        <w:rPr>
          <w:rFonts w:hint="eastAsia" w:ascii="宋体" w:hAnsi="宋体" w:cs="宋体"/>
          <w:sz w:val="24"/>
          <w:szCs w:val="24"/>
          <w:u w:val="single"/>
        </w:rPr>
        <w:t>日</w:t>
      </w:r>
      <w:r>
        <w:rPr>
          <w:rFonts w:ascii="宋体" w:hAnsi="宋体" w:cs="宋体"/>
          <w:sz w:val="24"/>
          <w:szCs w:val="24"/>
        </w:rPr>
        <w:t>。</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2.地点：北京市政府采购电子交易平台</w:t>
      </w:r>
      <w:r>
        <w:rPr>
          <w:rFonts w:hint="eastAsia" w:ascii="宋体" w:hAnsi="宋体" w:cs="宋体"/>
          <w:color w:val="000000"/>
          <w:sz w:val="24"/>
          <w:szCs w:val="24"/>
        </w:rPr>
        <w:t>。</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3.方式：供应商持CA数字认证证书登录北京市政府采购电子交易平台（http://zbcg-bjzc.zhongcy.com/bjczj-portal-site/index.html#/home）获取电子版招标文件。</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4.售价：0元。</w:t>
      </w:r>
    </w:p>
    <w:p>
      <w:pPr>
        <w:spacing w:line="360" w:lineRule="auto"/>
        <w:ind w:firstLine="463" w:firstLineChars="192"/>
        <w:rPr>
          <w:rFonts w:ascii="宋体" w:hAnsi="宋体" w:cs="宋体"/>
          <w:b/>
          <w:sz w:val="24"/>
          <w:szCs w:val="24"/>
        </w:rPr>
      </w:pPr>
      <w:r>
        <w:rPr>
          <w:rFonts w:hint="eastAsia" w:ascii="宋体" w:hAnsi="宋体" w:cs="宋体"/>
          <w:b/>
          <w:sz w:val="24"/>
          <w:szCs w:val="24"/>
        </w:rPr>
        <w:t>四、提交投标文件截止时间、开标时间和地点：</w:t>
      </w:r>
    </w:p>
    <w:p>
      <w:pPr>
        <w:spacing w:line="360" w:lineRule="auto"/>
        <w:ind w:firstLine="460" w:firstLineChars="192"/>
        <w:rPr>
          <w:rFonts w:ascii="宋体" w:hAnsi="宋体" w:cs="宋体"/>
          <w:bCs/>
          <w:sz w:val="24"/>
          <w:szCs w:val="24"/>
          <w:u w:val="single"/>
        </w:rPr>
      </w:pPr>
      <w:r>
        <w:rPr>
          <w:rFonts w:ascii="宋体" w:hAnsi="宋体"/>
          <w:sz w:val="24"/>
        </w:rPr>
        <w:t>投标截止时间、开标时间：</w:t>
      </w:r>
      <w:r>
        <w:rPr>
          <w:rFonts w:hint="eastAsia" w:ascii="宋体" w:hAnsi="宋体" w:cs="宋体"/>
          <w:sz w:val="24"/>
          <w:szCs w:val="24"/>
          <w:u w:val="single"/>
        </w:rPr>
        <w:t>2024年</w:t>
      </w:r>
      <w:r>
        <w:rPr>
          <w:rFonts w:hint="eastAsia" w:ascii="宋体" w:hAnsi="宋体" w:cs="宋体"/>
          <w:sz w:val="24"/>
          <w:szCs w:val="24"/>
          <w:u w:val="single"/>
          <w:lang w:val="en-US" w:eastAsia="zh-CN"/>
        </w:rPr>
        <w:t>8</w:t>
      </w:r>
      <w:r>
        <w:rPr>
          <w:rFonts w:hint="eastAsia" w:ascii="宋体" w:hAnsi="宋体" w:cs="宋体"/>
          <w:sz w:val="24"/>
          <w:szCs w:val="24"/>
          <w:u w:val="single"/>
        </w:rPr>
        <w:t>月</w:t>
      </w:r>
      <w:r>
        <w:rPr>
          <w:rFonts w:hint="eastAsia" w:ascii="宋体" w:hAnsi="宋体" w:cs="宋体"/>
          <w:sz w:val="24"/>
          <w:szCs w:val="24"/>
          <w:u w:val="single"/>
          <w:lang w:val="en-US" w:eastAsia="zh-CN"/>
        </w:rPr>
        <w:t>28</w:t>
      </w:r>
      <w:r>
        <w:rPr>
          <w:rFonts w:hint="eastAsia" w:ascii="宋体" w:hAnsi="宋体" w:cs="宋体"/>
          <w:sz w:val="24"/>
          <w:szCs w:val="24"/>
          <w:u w:val="single"/>
        </w:rPr>
        <w:t>日上午</w:t>
      </w:r>
      <w:r>
        <w:rPr>
          <w:rFonts w:hint="eastAsia" w:ascii="宋体" w:hAnsi="宋体" w:cs="宋体"/>
          <w:bCs/>
          <w:sz w:val="24"/>
          <w:szCs w:val="24"/>
          <w:u w:val="single"/>
        </w:rPr>
        <w:t>9点30分</w:t>
      </w:r>
      <w:r>
        <w:rPr>
          <w:rFonts w:hint="eastAsia" w:ascii="宋体" w:hAnsi="宋体" w:cs="宋体"/>
          <w:bCs/>
          <w:sz w:val="24"/>
          <w:szCs w:val="24"/>
        </w:rPr>
        <w:t>（北京时间）</w:t>
      </w:r>
    </w:p>
    <w:p>
      <w:pPr>
        <w:spacing w:line="360" w:lineRule="auto"/>
        <w:ind w:firstLine="460" w:firstLineChars="192"/>
        <w:rPr>
          <w:rFonts w:ascii="宋体" w:hAnsi="宋体" w:cs="宋体"/>
          <w:b/>
          <w:sz w:val="24"/>
          <w:szCs w:val="24"/>
          <w:u w:val="single"/>
        </w:rPr>
      </w:pPr>
      <w:r>
        <w:rPr>
          <w:rFonts w:hint="eastAsia" w:ascii="宋体" w:hAnsi="宋体" w:cs="宋体"/>
          <w:sz w:val="24"/>
          <w:szCs w:val="24"/>
        </w:rPr>
        <w:t>地点：</w:t>
      </w:r>
      <w:r>
        <w:rPr>
          <w:rFonts w:hint="eastAsia" w:ascii="宋体" w:hAnsi="宋体" w:cs="宋体"/>
          <w:sz w:val="24"/>
          <w:szCs w:val="24"/>
          <w:u w:val="single"/>
        </w:rPr>
        <w:t>北京市京发招标有限公司</w:t>
      </w:r>
      <w:r>
        <w:rPr>
          <w:rFonts w:hint="eastAsia" w:ascii="宋体" w:hAnsi="宋体" w:cs="宋体"/>
          <w:sz w:val="24"/>
          <w:szCs w:val="24"/>
          <w:u w:val="single"/>
          <w:lang w:val="en-US" w:eastAsia="zh-CN"/>
        </w:rPr>
        <w:t>315</w:t>
      </w:r>
      <w:r>
        <w:rPr>
          <w:rFonts w:hint="eastAsia" w:ascii="宋体" w:hAnsi="宋体" w:cs="宋体"/>
          <w:sz w:val="24"/>
          <w:szCs w:val="24"/>
          <w:u w:val="single"/>
        </w:rPr>
        <w:t>会议室</w:t>
      </w:r>
      <w:r>
        <w:rPr>
          <w:rFonts w:hint="eastAsia" w:ascii="宋体" w:hAnsi="宋体" w:cs="宋体"/>
          <w:sz w:val="24"/>
          <w:szCs w:val="24"/>
        </w:rPr>
        <w:t>。</w:t>
      </w:r>
    </w:p>
    <w:p>
      <w:pPr>
        <w:spacing w:line="360" w:lineRule="auto"/>
        <w:ind w:firstLine="463" w:firstLineChars="192"/>
        <w:rPr>
          <w:rFonts w:ascii="宋体" w:hAnsi="宋体" w:cs="宋体"/>
          <w:b/>
          <w:color w:val="000000"/>
          <w:sz w:val="24"/>
          <w:szCs w:val="24"/>
        </w:rPr>
      </w:pPr>
      <w:r>
        <w:rPr>
          <w:rFonts w:hint="eastAsia" w:ascii="宋体" w:hAnsi="宋体" w:cs="宋体"/>
          <w:b/>
          <w:color w:val="000000"/>
          <w:sz w:val="24"/>
          <w:szCs w:val="24"/>
        </w:rPr>
        <w:t>五、公告期限：</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自本公告发布之日起5个工作日。</w:t>
      </w:r>
    </w:p>
    <w:p>
      <w:pPr>
        <w:spacing w:line="360" w:lineRule="auto"/>
        <w:ind w:firstLine="463" w:firstLineChars="192"/>
        <w:rPr>
          <w:rFonts w:ascii="宋体" w:hAnsi="宋体" w:cs="宋体"/>
          <w:b/>
          <w:color w:val="000000"/>
          <w:sz w:val="24"/>
          <w:szCs w:val="24"/>
        </w:rPr>
      </w:pPr>
      <w:r>
        <w:rPr>
          <w:rFonts w:hint="eastAsia" w:ascii="宋体" w:hAnsi="宋体" w:cs="宋体"/>
          <w:b/>
          <w:color w:val="000000"/>
          <w:sz w:val="24"/>
          <w:szCs w:val="24"/>
        </w:rPr>
        <w:t>六、其他补充事宜：</w:t>
      </w:r>
    </w:p>
    <w:p>
      <w:pPr>
        <w:spacing w:line="360" w:lineRule="auto"/>
        <w:ind w:firstLine="460" w:firstLineChars="192"/>
        <w:rPr>
          <w:rFonts w:ascii="宋体" w:hAnsi="宋体" w:cs="宋体"/>
          <w:color w:val="auto"/>
          <w:sz w:val="24"/>
          <w:szCs w:val="24"/>
        </w:rPr>
      </w:pPr>
      <w:r>
        <w:rPr>
          <w:rFonts w:hint="eastAsia" w:ascii="宋体" w:hAnsi="宋体" w:cs="宋体"/>
          <w:color w:val="auto"/>
          <w:sz w:val="24"/>
          <w:szCs w:val="24"/>
        </w:rPr>
        <w:t>1、采购标的对应的中小企业划分标准所属行业：</w:t>
      </w:r>
      <w:r>
        <w:rPr>
          <w:rFonts w:hint="eastAsia" w:ascii="宋体" w:hAnsi="宋体" w:cs="宋体"/>
          <w:color w:val="auto"/>
          <w:sz w:val="24"/>
          <w:szCs w:val="24"/>
          <w:u w:val="single"/>
          <w:lang w:val="en-US" w:eastAsia="zh-CN"/>
        </w:rPr>
        <w:t>其他未列明行业</w:t>
      </w:r>
      <w:r>
        <w:rPr>
          <w:rFonts w:ascii="宋体" w:hAnsi="宋体" w:cs="宋体"/>
          <w:color w:val="auto"/>
          <w:sz w:val="24"/>
          <w:szCs w:val="24"/>
        </w:rPr>
        <w:t>。</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2、本次招标公告在《中国政府采购网》、《北京市政府采购网》上发布。</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3、本项目需要落实的政府采购政策：</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（1）执行</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Style w:val="55"/>
          <w:rFonts w:hint="eastAsia" w:ascii="宋体" w:hAnsi="宋体" w:cs="宋体"/>
          <w:color w:val="000000"/>
          <w:sz w:val="24"/>
          <w:szCs w:val="24"/>
        </w:rPr>
        <w:t>关于印发节能产品政府采购品目清单的通知（财库〔2019〕19号）</w:t>
      </w:r>
      <w:r>
        <w:rPr>
          <w:rStyle w:val="55"/>
          <w:rFonts w:hint="eastAsia" w:ascii="宋体" w:hAnsi="宋体" w:cs="宋体"/>
          <w:color w:val="000000"/>
          <w:sz w:val="24"/>
          <w:szCs w:val="24"/>
        </w:rPr>
        <w:fldChar w:fldCharType="end"/>
      </w:r>
      <w:r>
        <w:rPr>
          <w:rFonts w:hint="eastAsia" w:ascii="宋体" w:hAnsi="宋体" w:cs="宋体"/>
          <w:color w:val="000000"/>
          <w:sz w:val="24"/>
          <w:szCs w:val="24"/>
        </w:rPr>
        <w:t>；</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（2）执行关于印发环境标志产品政府采购品目清单的通知（财库〔2019〕18号）；</w:t>
      </w:r>
    </w:p>
    <w:p>
      <w:pPr>
        <w:spacing w:line="360" w:lineRule="auto"/>
        <w:ind w:firstLine="460" w:firstLineChars="192"/>
        <w:rPr>
          <w:rFonts w:ascii="宋体" w:hAnsi="宋体" w:cs="宋体"/>
          <w:color w:val="000000"/>
          <w:sz w:val="24"/>
          <w:szCs w:val="24"/>
          <w:highlight w:val="none"/>
        </w:rPr>
      </w:pPr>
      <w:r>
        <w:rPr>
          <w:rFonts w:hint="eastAsia" w:ascii="宋体" w:hAnsi="宋体" w:cs="宋体"/>
          <w:color w:val="000000"/>
          <w:sz w:val="24"/>
          <w:szCs w:val="24"/>
          <w:highlight w:val="none"/>
        </w:rPr>
        <w:t>（3）执行关于印发《政府采购促进中小企业发展管理办法》（财库[2020]46号；</w:t>
      </w:r>
    </w:p>
    <w:p>
      <w:pPr>
        <w:spacing w:line="360" w:lineRule="auto"/>
        <w:ind w:firstLine="460" w:firstLineChars="192"/>
        <w:rPr>
          <w:rFonts w:ascii="宋体" w:hAnsi="宋体" w:cs="宋体"/>
          <w:color w:val="000000"/>
          <w:sz w:val="24"/>
          <w:szCs w:val="24"/>
          <w:highlight w:val="none"/>
        </w:rPr>
      </w:pPr>
      <w:r>
        <w:rPr>
          <w:rFonts w:hint="eastAsia" w:ascii="宋体" w:hAnsi="宋体" w:cs="宋体"/>
          <w:color w:val="000000"/>
          <w:sz w:val="24"/>
          <w:szCs w:val="24"/>
          <w:highlight w:val="none"/>
        </w:rPr>
        <w:t>（4）执行《财政部、司法部关于政府采购支持监狱企业发展有关问题的通知》（财库[2014]68号）；</w:t>
      </w:r>
    </w:p>
    <w:p>
      <w:pPr>
        <w:spacing w:line="360" w:lineRule="auto"/>
        <w:ind w:firstLine="460" w:firstLineChars="192"/>
        <w:rPr>
          <w:rFonts w:ascii="宋体" w:hAnsi="宋体" w:cs="宋体"/>
          <w:color w:val="000000"/>
          <w:sz w:val="24"/>
          <w:szCs w:val="24"/>
          <w:highlight w:val="none"/>
        </w:rPr>
      </w:pPr>
      <w:r>
        <w:rPr>
          <w:rFonts w:hint="eastAsia" w:ascii="宋体" w:hAnsi="宋体" w:cs="宋体"/>
          <w:color w:val="000000"/>
          <w:sz w:val="24"/>
          <w:szCs w:val="24"/>
          <w:highlight w:val="none"/>
        </w:rPr>
        <w:t>（5）执行《关于促进残疾人就业政府采购政策的通知》（财库〔2017〕141号）；</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（6）执行《财政部关于在政府采购活动中查询及使用信用记录有关问题的通知》（财库[2016]125号）</w:t>
      </w:r>
      <w:r>
        <w:rPr>
          <w:rFonts w:ascii="宋体" w:hAnsi="宋体" w:cs="宋体"/>
          <w:color w:val="000000"/>
          <w:sz w:val="24"/>
          <w:szCs w:val="24"/>
        </w:rPr>
        <w:t>。</w:t>
      </w:r>
    </w:p>
    <w:p>
      <w:pPr>
        <w:spacing w:line="360" w:lineRule="auto"/>
        <w:ind w:firstLine="460" w:firstLineChars="192"/>
        <w:rPr>
          <w:rFonts w:ascii="宋体" w:hAnsi="宋体" w:cs="宋体"/>
          <w:bCs/>
          <w:color w:val="000000"/>
          <w:sz w:val="24"/>
          <w:szCs w:val="24"/>
        </w:rPr>
      </w:pPr>
      <w:r>
        <w:rPr>
          <w:rFonts w:hint="eastAsia" w:ascii="宋体" w:hAnsi="宋体" w:cs="宋体"/>
          <w:color w:val="000000"/>
          <w:sz w:val="24"/>
          <w:szCs w:val="24"/>
        </w:rPr>
        <w:t>4、本项目采用电子化采购方式，</w:t>
      </w:r>
      <w:r>
        <w:rPr>
          <w:rFonts w:ascii="宋体" w:hAnsi="宋体" w:cs="宋体"/>
          <w:color w:val="000000"/>
          <w:sz w:val="24"/>
          <w:szCs w:val="24"/>
        </w:rPr>
        <w:t>请供应商认真学习北京市政府采购电子交易平台发布的相关操作手册，办理CA认证证书、进行北京市政府采购电子交易平台注册绑定，并认真核实</w:t>
      </w:r>
      <w:r>
        <w:rPr>
          <w:rFonts w:ascii="宋体" w:hAnsi="宋体" w:cs="宋体"/>
          <w:bCs/>
          <w:color w:val="000000"/>
          <w:sz w:val="24"/>
          <w:szCs w:val="24"/>
        </w:rPr>
        <w:t>数字认证证书情况确认是否符合本项目电子化采购流程要求。</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CA认证证书服务热线 010-58511086</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技术支持服务热线   010-86483801</w:t>
      </w:r>
      <w:r>
        <w:rPr>
          <w:rFonts w:hint="eastAsia" w:ascii="宋体" w:hAnsi="宋体" w:cs="宋体"/>
          <w:color w:val="000000"/>
          <w:sz w:val="24"/>
          <w:szCs w:val="24"/>
        </w:rPr>
        <w:t xml:space="preserve">相关操作如下： </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4.1办理CA认证证书，详见北京市政府采购电子交易平台。</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http://zbcg-bjzc.zhongcy.com/bjczj-portal-site/index.html#/home</w:t>
      </w:r>
      <w:r>
        <w:rPr>
          <w:rFonts w:hint="eastAsia" w:ascii="宋体" w:hAnsi="宋体" w:cs="宋体"/>
          <w:color w:val="000000"/>
          <w:sz w:val="24"/>
          <w:szCs w:val="24"/>
        </w:rPr>
        <w:t>）</w:t>
      </w:r>
      <w:r>
        <w:rPr>
          <w:rFonts w:ascii="宋体" w:hAnsi="宋体" w:cs="宋体"/>
          <w:color w:val="000000"/>
          <w:sz w:val="24"/>
          <w:szCs w:val="24"/>
        </w:rPr>
        <w:t>供应商登录北京市政府采购电子交易平台查阅 “用户指南”—“操作指南”—“市场主体CA办理操作流程指引”，按照程序要求办理。</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4.2</w:t>
      </w:r>
      <w:r>
        <w:rPr>
          <w:rFonts w:ascii="宋体" w:hAnsi="宋体" w:cs="宋体"/>
          <w:color w:val="000000"/>
          <w:sz w:val="24"/>
          <w:szCs w:val="24"/>
        </w:rPr>
        <w:t>注册</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供应商登录北京市政府采购电子交易平台“用户指南”—“操作指南”—“市场主体注册入库操作流程指引”进行自助注册绑定。</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4.3驱动、客户端下载</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供应商登录北京市政府采购电子交易平台“用户指南”—“工具下载”—“招标采购系统文件驱动安装包”下载相关驱动。</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供应商登录北京市政府采购电子交易平台“用户指南”—“工具下载”—“投标文件编制工具”下载相关客户端。</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4</w:t>
      </w:r>
      <w:r>
        <w:rPr>
          <w:rFonts w:ascii="宋体" w:hAnsi="宋体" w:cs="宋体"/>
          <w:color w:val="000000"/>
          <w:sz w:val="24"/>
          <w:szCs w:val="24"/>
        </w:rPr>
        <w:t>.4获取电子招标文件</w:t>
      </w:r>
    </w:p>
    <w:p>
      <w:pPr>
        <w:spacing w:line="360" w:lineRule="auto"/>
        <w:ind w:firstLine="460" w:firstLineChars="192"/>
        <w:rPr>
          <w:rFonts w:ascii="宋体" w:hAnsi="宋体" w:cs="宋体"/>
          <w:color w:val="000000"/>
          <w:sz w:val="24"/>
          <w:szCs w:val="24"/>
        </w:rPr>
      </w:pPr>
      <w:r>
        <w:rPr>
          <w:rFonts w:ascii="宋体" w:hAnsi="宋体" w:cs="宋体"/>
          <w:color w:val="000000"/>
          <w:sz w:val="24"/>
          <w:szCs w:val="24"/>
        </w:rPr>
        <w:t>供应商持CA数字认证证书登录北京市政府采购电子交易平台获取电子招标文件。未在规定期限内通过北京市政府采购电子交易平台获取招标文件的</w:t>
      </w:r>
      <w:r>
        <w:rPr>
          <w:rFonts w:ascii="宋体" w:hAnsi="宋体" w:cs="宋体"/>
          <w:b/>
          <w:color w:val="000000"/>
          <w:sz w:val="24"/>
          <w:szCs w:val="24"/>
        </w:rPr>
        <w:t>投标无效</w:t>
      </w:r>
      <w:r>
        <w:rPr>
          <w:rFonts w:ascii="宋体" w:hAnsi="宋体" w:cs="宋体"/>
          <w:color w:val="000000"/>
          <w:sz w:val="24"/>
          <w:szCs w:val="24"/>
        </w:rPr>
        <w:t>。</w:t>
      </w:r>
    </w:p>
    <w:p>
      <w:pPr>
        <w:spacing w:line="360" w:lineRule="auto"/>
        <w:ind w:firstLine="463" w:firstLineChars="192"/>
        <w:rPr>
          <w:rFonts w:ascii="宋体" w:hAnsi="宋体" w:cs="宋体"/>
          <w:b/>
          <w:color w:val="000000"/>
          <w:sz w:val="24"/>
          <w:szCs w:val="24"/>
        </w:rPr>
      </w:pPr>
      <w:r>
        <w:rPr>
          <w:rFonts w:hint="eastAsia" w:ascii="宋体" w:hAnsi="宋体" w:cs="宋体"/>
          <w:b/>
          <w:color w:val="000000"/>
          <w:sz w:val="24"/>
          <w:szCs w:val="24"/>
        </w:rPr>
        <w:t>七、对本次招标提出询问，请按以下方式联系</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1.采购人信息</w:t>
      </w:r>
    </w:p>
    <w:p>
      <w:pPr>
        <w:spacing w:line="360" w:lineRule="auto"/>
        <w:ind w:firstLine="460" w:firstLineChars="192"/>
        <w:rPr>
          <w:rFonts w:hint="eastAsia" w:ascii="宋体" w:hAnsi="宋体" w:eastAsia="宋体" w:cs="宋体"/>
          <w:color w:val="000000"/>
          <w:sz w:val="24"/>
          <w:szCs w:val="24"/>
          <w:lang w:eastAsia="zh-CN"/>
        </w:rPr>
      </w:pPr>
      <w:bookmarkStart w:id="12" w:name="_Toc28359009"/>
      <w:bookmarkStart w:id="13" w:name="_Toc28359086"/>
      <w:r>
        <w:rPr>
          <w:rFonts w:hint="eastAsia" w:ascii="宋体" w:hAnsi="宋体" w:cs="宋体"/>
          <w:color w:val="000000"/>
          <w:sz w:val="24"/>
          <w:szCs w:val="24"/>
        </w:rPr>
        <w:t>名 称：</w:t>
      </w:r>
      <w:r>
        <w:rPr>
          <w:rFonts w:hint="eastAsia" w:ascii="宋体" w:hAnsi="宋体" w:cs="宋体"/>
          <w:color w:val="000000"/>
          <w:sz w:val="24"/>
          <w:szCs w:val="24"/>
          <w:lang w:eastAsia="zh-CN"/>
        </w:rPr>
        <w:t>北京市特种设备检验检测研究院</w:t>
      </w:r>
    </w:p>
    <w:p>
      <w:pPr>
        <w:spacing w:line="360" w:lineRule="auto"/>
        <w:ind w:firstLine="460" w:firstLineChars="192"/>
        <w:rPr>
          <w:rFonts w:hint="eastAsia" w:ascii="宋体" w:hAnsi="宋体" w:eastAsia="宋体" w:cs="宋体"/>
          <w:color w:val="000000"/>
          <w:sz w:val="24"/>
          <w:szCs w:val="24"/>
          <w:lang w:eastAsia="zh-CN"/>
        </w:rPr>
      </w:pPr>
      <w:r>
        <w:rPr>
          <w:rFonts w:hint="eastAsia" w:ascii="宋体" w:hAnsi="宋体" w:cs="宋体"/>
          <w:color w:val="000000"/>
          <w:sz w:val="24"/>
          <w:szCs w:val="24"/>
        </w:rPr>
        <w:t>地 址：</w:t>
      </w:r>
      <w:r>
        <w:rPr>
          <w:rFonts w:hint="eastAsia" w:ascii="宋体" w:hAnsi="宋体" w:cs="宋体"/>
          <w:color w:val="000000"/>
          <w:sz w:val="24"/>
          <w:szCs w:val="24"/>
          <w:lang w:eastAsia="zh-CN"/>
        </w:rPr>
        <w:t>朝阳区惠新东街3号</w:t>
      </w:r>
    </w:p>
    <w:p>
      <w:pPr>
        <w:spacing w:line="360" w:lineRule="auto"/>
        <w:ind w:firstLine="460" w:firstLineChars="192"/>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联系方式：</w:t>
      </w:r>
      <w:r>
        <w:rPr>
          <w:rFonts w:hint="eastAsia" w:ascii="宋体" w:hAnsi="宋体" w:cs="宋体"/>
          <w:color w:val="000000"/>
          <w:sz w:val="24"/>
          <w:szCs w:val="24"/>
          <w:highlight w:val="none"/>
          <w:lang w:val="en-US" w:eastAsia="zh-CN"/>
        </w:rPr>
        <w:t>何福增</w:t>
      </w:r>
      <w:r>
        <w:rPr>
          <w:rFonts w:hint="eastAsia" w:ascii="宋体" w:hAnsi="宋体" w:cs="宋体"/>
          <w:color w:val="000000"/>
          <w:sz w:val="24"/>
          <w:szCs w:val="24"/>
          <w:highlight w:val="none"/>
        </w:rPr>
        <w:t>010-</w:t>
      </w:r>
      <w:r>
        <w:rPr>
          <w:rStyle w:val="55"/>
          <w:rFonts w:hint="eastAsia" w:ascii="宋体" w:hAnsi="宋体" w:eastAsia="宋体" w:cs="Times New Roman"/>
          <w:b w:val="0"/>
          <w:bCs/>
          <w:color w:val="auto"/>
          <w:kern w:val="0"/>
          <w:sz w:val="24"/>
          <w:szCs w:val="24"/>
          <w:highlight w:val="none"/>
          <w:u w:val="none"/>
          <w:lang w:val="en-US" w:eastAsia="zh-CN" w:bidi="ar-SA"/>
        </w:rPr>
        <w:t>57520856</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2.采购代理机构信息</w:t>
      </w:r>
      <w:bookmarkEnd w:id="12"/>
      <w:bookmarkEnd w:id="13"/>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名 称：北京市京发招标有限公司</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 xml:space="preserve">地 址：北京市东城区崇文门外大街90号 </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联系方式：</w:t>
      </w:r>
      <w:bookmarkStart w:id="14" w:name="_Toc28359010"/>
      <w:bookmarkStart w:id="15" w:name="_Toc28359087"/>
      <w:r>
        <w:rPr>
          <w:rFonts w:hint="eastAsia" w:ascii="宋体" w:hAnsi="宋体" w:cs="宋体"/>
          <w:color w:val="000000"/>
          <w:sz w:val="24"/>
          <w:szCs w:val="24"/>
        </w:rPr>
        <w:t>张超 67169727</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3.项目</w:t>
      </w:r>
      <w:r>
        <w:rPr>
          <w:rFonts w:ascii="宋体" w:hAnsi="宋体" w:cs="宋体"/>
          <w:color w:val="000000"/>
          <w:sz w:val="24"/>
          <w:szCs w:val="24"/>
        </w:rPr>
        <w:t>联系方式</w:t>
      </w:r>
      <w:bookmarkEnd w:id="14"/>
      <w:bookmarkEnd w:id="15"/>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项目联系人：张超</w:t>
      </w:r>
    </w:p>
    <w:p>
      <w:pPr>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电  话：67169727</w:t>
      </w:r>
      <w:r>
        <w:rPr>
          <w:rFonts w:hint="eastAsia" w:ascii="宋体" w:hAnsi="宋体" w:cs="宋体"/>
          <w:color w:val="000000"/>
          <w:sz w:val="24"/>
          <w:szCs w:val="24"/>
        </w:rPr>
        <w:br w:type="page"/>
      </w:r>
      <w:bookmarkStart w:id="16" w:name="_Toc8927"/>
    </w:p>
    <w:p>
      <w:pPr>
        <w:pStyle w:val="44"/>
        <w:spacing w:line="360" w:lineRule="auto"/>
        <w:rPr>
          <w:rFonts w:ascii="宋体" w:hAnsi="宋体" w:eastAsia="宋体" w:cs="宋体"/>
          <w:color w:val="000000"/>
          <w:sz w:val="30"/>
          <w:szCs w:val="30"/>
        </w:rPr>
      </w:pPr>
      <w:bookmarkStart w:id="17" w:name="_Toc100786134"/>
      <w:r>
        <w:rPr>
          <w:rFonts w:hint="eastAsia" w:ascii="宋体" w:hAnsi="宋体" w:eastAsia="宋体" w:cs="宋体"/>
          <w:color w:val="000000"/>
          <w:sz w:val="30"/>
          <w:szCs w:val="30"/>
        </w:rPr>
        <w:t>第二章  投标人须知</w:t>
      </w:r>
      <w:bookmarkEnd w:id="16"/>
      <w:bookmarkEnd w:id="17"/>
    </w:p>
    <w:p>
      <w:pPr>
        <w:pStyle w:val="44"/>
        <w:spacing w:line="360" w:lineRule="auto"/>
        <w:rPr>
          <w:rFonts w:ascii="宋体" w:hAnsi="宋体" w:eastAsia="宋体" w:cs="宋体"/>
          <w:color w:val="000000"/>
          <w:sz w:val="30"/>
          <w:szCs w:val="30"/>
        </w:rPr>
      </w:pPr>
      <w:bookmarkStart w:id="18" w:name="_Toc100786135"/>
      <w:r>
        <w:rPr>
          <w:rFonts w:hint="eastAsia" w:ascii="宋体" w:hAnsi="宋体" w:eastAsia="宋体" w:cs="宋体"/>
          <w:color w:val="000000"/>
          <w:sz w:val="30"/>
          <w:szCs w:val="30"/>
        </w:rPr>
        <w:t>投标人须知资料表</w:t>
      </w:r>
      <w:bookmarkEnd w:id="18"/>
    </w:p>
    <w:p>
      <w:pPr>
        <w:snapToGrid w:val="0"/>
        <w:spacing w:before="100" w:beforeAutospacing="1" w:after="100" w:afterAutospacing="1" w:line="360" w:lineRule="auto"/>
        <w:ind w:firstLine="408" w:firstLineChars="170"/>
        <w:rPr>
          <w:rFonts w:ascii="宋体" w:hAnsi="宋体" w:cs="宋体"/>
          <w:color w:val="000000"/>
          <w:sz w:val="24"/>
          <w:szCs w:val="24"/>
        </w:rPr>
      </w:pPr>
      <w:r>
        <w:rPr>
          <w:rFonts w:ascii="宋体" w:hAnsi="宋体" w:cs="宋体"/>
          <w:color w:val="000000"/>
          <w:sz w:val="24"/>
          <w:szCs w:val="24"/>
        </w:rPr>
        <w:t>本表是对投标人须知的具体补充和修改，如有矛盾，均以本资料表为准。标记“</w:t>
      </w:r>
      <w:r>
        <w:rPr>
          <w:rFonts w:ascii="宋体" w:hAnsi="宋体" w:cs="宋体"/>
          <w:b/>
          <w:color w:val="000000"/>
          <w:sz w:val="24"/>
          <w:szCs w:val="24"/>
        </w:rPr>
        <w:t>■</w:t>
      </w:r>
      <w:r>
        <w:rPr>
          <w:rFonts w:ascii="宋体" w:hAnsi="宋体" w:cs="宋体"/>
          <w:color w:val="000000"/>
          <w:sz w:val="24"/>
          <w:szCs w:val="24"/>
        </w:rPr>
        <w:t>”的选项意为适用于本项目，标记“□”的选项意为不适用于本项目。</w:t>
      </w:r>
    </w:p>
    <w:tbl>
      <w:tblPr>
        <w:tblStyle w:val="48"/>
        <w:tblW w:w="8704" w:type="dxa"/>
        <w:tblInd w:w="-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324"/>
        <w:gridCol w:w="1717"/>
        <w:gridCol w:w="5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blHeader/>
        </w:trPr>
        <w:tc>
          <w:tcPr>
            <w:tcW w:w="1324" w:type="dxa"/>
            <w:tcBorders>
              <w:top w:val="single" w:color="auto" w:sz="12"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章节号</w:t>
            </w:r>
          </w:p>
        </w:tc>
        <w:tc>
          <w:tcPr>
            <w:tcW w:w="1717" w:type="dxa"/>
            <w:tcBorders>
              <w:top w:val="single" w:color="auto" w:sz="12"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条款名称</w:t>
            </w:r>
          </w:p>
        </w:tc>
        <w:tc>
          <w:tcPr>
            <w:tcW w:w="5663" w:type="dxa"/>
            <w:tcBorders>
              <w:top w:val="single" w:color="auto" w:sz="12" w:space="0"/>
              <w:left w:val="single" w:color="auto" w:sz="6" w:space="0"/>
              <w:bottom w:val="single" w:color="auto" w:sz="6" w:space="0"/>
              <w:right w:val="single" w:color="auto" w:sz="12"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说明与要求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现场考察</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color w:val="000000"/>
                <w:sz w:val="24"/>
                <w:szCs w:val="24"/>
              </w:rPr>
            </w:pPr>
            <w:r>
              <w:rPr>
                <w:rFonts w:ascii="宋体" w:hAnsi="宋体" w:cs="宋体"/>
                <w:color w:val="000000"/>
                <w:sz w:val="24"/>
                <w:szCs w:val="24"/>
              </w:rPr>
              <w:t>■不组织</w:t>
            </w:r>
            <w:r>
              <w:rPr>
                <w:rFonts w:hint="eastAsia" w:ascii="宋体" w:hAnsi="宋体" w:cs="宋体"/>
                <w:color w:val="000000"/>
                <w:sz w:val="24"/>
                <w:szCs w:val="24"/>
              </w:rPr>
              <w:t>。</w:t>
            </w:r>
          </w:p>
          <w:p>
            <w:pPr>
              <w:snapToGrid w:val="0"/>
              <w:spacing w:line="360" w:lineRule="auto"/>
              <w:jc w:val="left"/>
              <w:rPr>
                <w:rFonts w:ascii="宋体" w:hAnsi="宋体" w:cs="宋体"/>
                <w:bCs/>
                <w:color w:val="000000"/>
                <w:sz w:val="24"/>
                <w:szCs w:val="24"/>
              </w:rPr>
            </w:pPr>
            <w:r>
              <w:rPr>
                <w:rFonts w:ascii="宋体" w:hAnsi="宋体" w:cs="宋体"/>
                <w:color w:val="000000"/>
                <w:sz w:val="24"/>
                <w:szCs w:val="24"/>
              </w:rPr>
              <w:t>□组织，考察时间：</w:t>
            </w:r>
            <w:r>
              <w:rPr>
                <w:rFonts w:hint="eastAsia" w:ascii="宋体" w:hAnsi="宋体" w:cs="宋体"/>
                <w:color w:val="000000"/>
                <w:sz w:val="24"/>
                <w:szCs w:val="24"/>
                <w:u w:val="single"/>
              </w:rPr>
              <w:t>/</w:t>
            </w:r>
            <w:r>
              <w:rPr>
                <w:rFonts w:ascii="宋体" w:hAnsi="宋体" w:cs="宋体"/>
                <w:color w:val="000000"/>
                <w:sz w:val="24"/>
                <w:szCs w:val="24"/>
              </w:rPr>
              <w:t>年</w:t>
            </w:r>
            <w:r>
              <w:rPr>
                <w:rFonts w:hint="eastAsia" w:ascii="宋体" w:hAnsi="宋体" w:cs="宋体"/>
                <w:color w:val="000000"/>
                <w:sz w:val="24"/>
                <w:szCs w:val="24"/>
                <w:u w:val="single"/>
              </w:rPr>
              <w:t>/</w:t>
            </w:r>
            <w:r>
              <w:rPr>
                <w:rFonts w:ascii="宋体" w:hAnsi="宋体" w:cs="宋体"/>
                <w:color w:val="000000"/>
                <w:sz w:val="24"/>
                <w:szCs w:val="24"/>
              </w:rPr>
              <w:t>月</w:t>
            </w:r>
            <w:r>
              <w:rPr>
                <w:rFonts w:hint="eastAsia" w:ascii="宋体" w:hAnsi="宋体" w:cs="宋体"/>
                <w:color w:val="000000"/>
                <w:sz w:val="24"/>
                <w:szCs w:val="24"/>
                <w:u w:val="single"/>
              </w:rPr>
              <w:t>/</w:t>
            </w:r>
            <w:r>
              <w:rPr>
                <w:rFonts w:ascii="宋体" w:hAnsi="宋体" w:cs="宋体"/>
                <w:color w:val="000000"/>
                <w:sz w:val="24"/>
                <w:szCs w:val="24"/>
              </w:rPr>
              <w:t>日</w:t>
            </w:r>
            <w:r>
              <w:rPr>
                <w:rFonts w:hint="eastAsia" w:ascii="宋体" w:hAnsi="宋体" w:cs="宋体"/>
                <w:color w:val="000000"/>
                <w:sz w:val="24"/>
                <w:szCs w:val="24"/>
              </w:rPr>
              <w:t>/</w:t>
            </w:r>
            <w:r>
              <w:rPr>
                <w:rFonts w:ascii="宋体" w:hAnsi="宋体" w:cs="宋体"/>
                <w:bCs/>
                <w:color w:val="000000"/>
                <w:sz w:val="24"/>
                <w:szCs w:val="24"/>
              </w:rPr>
              <w:t>点</w:t>
            </w:r>
            <w:r>
              <w:rPr>
                <w:rFonts w:hint="eastAsia" w:ascii="宋体" w:hAnsi="宋体" w:cs="宋体"/>
                <w:color w:val="000000"/>
                <w:sz w:val="24"/>
                <w:szCs w:val="24"/>
                <w:u w:val="single"/>
              </w:rPr>
              <w:t>/</w:t>
            </w:r>
            <w:r>
              <w:rPr>
                <w:rFonts w:ascii="宋体" w:hAnsi="宋体" w:cs="宋体"/>
                <w:bCs/>
                <w:color w:val="000000"/>
                <w:sz w:val="24"/>
                <w:szCs w:val="24"/>
              </w:rPr>
              <w:t>分</w:t>
            </w:r>
            <w:r>
              <w:rPr>
                <w:rFonts w:hint="eastAsia" w:ascii="宋体" w:hAnsi="宋体" w:cs="宋体"/>
                <w:bCs/>
                <w:color w:val="000000"/>
                <w:sz w:val="24"/>
                <w:szCs w:val="24"/>
              </w:rPr>
              <w:t>。</w:t>
            </w:r>
          </w:p>
          <w:p>
            <w:pPr>
              <w:snapToGrid w:val="0"/>
              <w:spacing w:line="360" w:lineRule="auto"/>
              <w:jc w:val="left"/>
              <w:rPr>
                <w:rFonts w:ascii="宋体" w:hAnsi="宋体"/>
                <w:color w:val="000000"/>
                <w:sz w:val="24"/>
                <w:szCs w:val="24"/>
              </w:rPr>
            </w:pPr>
            <w:r>
              <w:rPr>
                <w:rFonts w:ascii="宋体" w:hAnsi="宋体" w:cs="宋体"/>
                <w:color w:val="000000"/>
                <w:sz w:val="24"/>
                <w:szCs w:val="24"/>
              </w:rPr>
              <w:t>考察地点：</w:t>
            </w:r>
            <w:r>
              <w:rPr>
                <w:rFonts w:hint="eastAsia" w:ascii="宋体" w:hAnsi="宋体" w:cs="宋体"/>
                <w:color w:val="000000"/>
                <w:sz w:val="24"/>
                <w:szCs w:val="24"/>
                <w:u w:val="single"/>
              </w:rPr>
              <w:t>/</w:t>
            </w:r>
            <w:r>
              <w:rPr>
                <w:rFonts w:ascii="宋体" w:hAnsi="宋体" w:cs="宋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开标前答疑会</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color w:val="000000"/>
                <w:sz w:val="24"/>
                <w:szCs w:val="24"/>
              </w:rPr>
            </w:pPr>
            <w:r>
              <w:rPr>
                <w:rFonts w:ascii="宋体" w:hAnsi="宋体" w:cs="宋体"/>
                <w:color w:val="000000"/>
                <w:sz w:val="24"/>
                <w:szCs w:val="24"/>
              </w:rPr>
              <w:t>■不召开</w:t>
            </w:r>
            <w:r>
              <w:rPr>
                <w:rFonts w:hint="eastAsia" w:ascii="宋体" w:hAnsi="宋体" w:cs="宋体"/>
                <w:color w:val="000000"/>
                <w:sz w:val="24"/>
                <w:szCs w:val="24"/>
              </w:rPr>
              <w:t>。</w:t>
            </w:r>
          </w:p>
          <w:p>
            <w:pPr>
              <w:snapToGrid w:val="0"/>
              <w:spacing w:line="360" w:lineRule="auto"/>
              <w:jc w:val="left"/>
              <w:rPr>
                <w:rFonts w:ascii="宋体" w:hAnsi="宋体" w:cs="宋体"/>
                <w:color w:val="000000"/>
                <w:sz w:val="24"/>
                <w:szCs w:val="24"/>
              </w:rPr>
            </w:pPr>
            <w:r>
              <w:rPr>
                <w:rFonts w:ascii="宋体" w:hAnsi="宋体" w:cs="宋体"/>
                <w:color w:val="000000"/>
                <w:sz w:val="24"/>
                <w:szCs w:val="24"/>
              </w:rPr>
              <w:t>□召开，召开时间：</w:t>
            </w:r>
            <w:r>
              <w:rPr>
                <w:rFonts w:hint="eastAsia" w:ascii="宋体" w:hAnsi="宋体" w:cs="宋体"/>
                <w:color w:val="000000"/>
                <w:sz w:val="24"/>
                <w:szCs w:val="24"/>
                <w:u w:val="single"/>
              </w:rPr>
              <w:t>/</w:t>
            </w:r>
            <w:r>
              <w:rPr>
                <w:rFonts w:ascii="宋体" w:hAnsi="宋体" w:cs="宋体"/>
                <w:color w:val="000000"/>
                <w:sz w:val="24"/>
                <w:szCs w:val="24"/>
              </w:rPr>
              <w:t>年</w:t>
            </w:r>
            <w:r>
              <w:rPr>
                <w:rFonts w:hint="eastAsia" w:ascii="宋体" w:hAnsi="宋体" w:cs="宋体"/>
                <w:color w:val="000000"/>
                <w:sz w:val="24"/>
                <w:szCs w:val="24"/>
                <w:u w:val="single"/>
              </w:rPr>
              <w:t>/</w:t>
            </w:r>
            <w:r>
              <w:rPr>
                <w:rFonts w:ascii="宋体" w:hAnsi="宋体" w:cs="宋体"/>
                <w:color w:val="000000"/>
                <w:sz w:val="24"/>
                <w:szCs w:val="24"/>
              </w:rPr>
              <w:t>月</w:t>
            </w:r>
            <w:r>
              <w:rPr>
                <w:rFonts w:hint="eastAsia" w:ascii="宋体" w:hAnsi="宋体" w:cs="宋体"/>
                <w:color w:val="000000"/>
                <w:sz w:val="24"/>
                <w:szCs w:val="24"/>
                <w:u w:val="single"/>
              </w:rPr>
              <w:t>/</w:t>
            </w:r>
            <w:r>
              <w:rPr>
                <w:rFonts w:ascii="宋体" w:hAnsi="宋体" w:cs="宋体"/>
                <w:color w:val="000000"/>
                <w:sz w:val="24"/>
                <w:szCs w:val="24"/>
              </w:rPr>
              <w:t>日</w:t>
            </w:r>
            <w:r>
              <w:rPr>
                <w:rFonts w:hint="eastAsia" w:ascii="宋体" w:hAnsi="宋体" w:cs="宋体"/>
                <w:color w:val="000000"/>
                <w:sz w:val="24"/>
                <w:szCs w:val="24"/>
                <w:u w:val="single"/>
              </w:rPr>
              <w:t>/</w:t>
            </w:r>
            <w:r>
              <w:rPr>
                <w:rFonts w:ascii="宋体" w:hAnsi="宋体" w:cs="宋体"/>
                <w:bCs/>
                <w:color w:val="000000"/>
                <w:sz w:val="24"/>
                <w:szCs w:val="24"/>
              </w:rPr>
              <w:t>点</w:t>
            </w:r>
            <w:r>
              <w:rPr>
                <w:rFonts w:hint="eastAsia" w:ascii="宋体" w:hAnsi="宋体" w:cs="宋体"/>
                <w:color w:val="000000"/>
                <w:sz w:val="24"/>
                <w:szCs w:val="24"/>
                <w:u w:val="single"/>
              </w:rPr>
              <w:t>/</w:t>
            </w:r>
            <w:r>
              <w:rPr>
                <w:rFonts w:ascii="宋体" w:hAnsi="宋体" w:cs="宋体"/>
                <w:bCs/>
                <w:color w:val="000000"/>
                <w:sz w:val="24"/>
                <w:szCs w:val="24"/>
              </w:rPr>
              <w:t>分</w:t>
            </w:r>
            <w:r>
              <w:rPr>
                <w:rFonts w:hint="eastAsia" w:ascii="宋体" w:hAnsi="宋体" w:cs="宋体"/>
                <w:bCs/>
                <w:color w:val="000000"/>
                <w:sz w:val="24"/>
                <w:szCs w:val="24"/>
              </w:rPr>
              <w:t>。</w:t>
            </w:r>
          </w:p>
          <w:p>
            <w:pPr>
              <w:snapToGrid w:val="0"/>
              <w:spacing w:line="360" w:lineRule="auto"/>
              <w:jc w:val="left"/>
              <w:rPr>
                <w:rFonts w:ascii="宋体" w:hAnsi="宋体" w:cs="宋体"/>
                <w:color w:val="000000"/>
                <w:sz w:val="24"/>
                <w:szCs w:val="24"/>
              </w:rPr>
            </w:pPr>
            <w:r>
              <w:rPr>
                <w:rFonts w:ascii="宋体" w:hAnsi="宋体" w:cs="宋体"/>
                <w:color w:val="000000"/>
                <w:sz w:val="24"/>
                <w:szCs w:val="24"/>
              </w:rPr>
              <w:t>召开地点：</w:t>
            </w:r>
            <w:r>
              <w:rPr>
                <w:rFonts w:hint="eastAsia" w:ascii="宋体" w:hAnsi="宋体" w:cs="宋体"/>
                <w:color w:val="000000"/>
                <w:sz w:val="24"/>
                <w:szCs w:val="24"/>
                <w:u w:val="single"/>
              </w:rPr>
              <w:t>/</w:t>
            </w:r>
            <w:r>
              <w:rPr>
                <w:rFonts w:hint="eastAsia" w:ascii="宋体" w:hAnsi="宋体" w:cs="宋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1717" w:type="dxa"/>
            <w:vMerge w:val="restart"/>
            <w:tcBorders>
              <w:top w:val="single" w:color="auto" w:sz="6" w:space="0"/>
              <w:left w:val="single" w:color="auto" w:sz="6" w:space="0"/>
              <w:right w:val="single" w:color="auto" w:sz="6" w:space="0"/>
            </w:tcBorders>
            <w:vAlign w:val="center"/>
          </w:tcPr>
          <w:p>
            <w:pPr>
              <w:snapToGrid w:val="0"/>
              <w:spacing w:line="360" w:lineRule="auto"/>
              <w:ind w:firstLine="48" w:firstLineChars="20"/>
              <w:jc w:val="center"/>
              <w:rPr>
                <w:rFonts w:ascii="宋体" w:hAnsi="宋体" w:cs="宋体"/>
                <w:color w:val="000000"/>
                <w:sz w:val="24"/>
                <w:szCs w:val="24"/>
              </w:rPr>
            </w:pPr>
            <w:r>
              <w:rPr>
                <w:rFonts w:hint="eastAsia" w:ascii="宋体" w:hAnsi="宋体" w:cs="宋体"/>
                <w:color w:val="000000"/>
                <w:sz w:val="24"/>
                <w:szCs w:val="24"/>
              </w:rPr>
              <w:t>资金来源</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 w:firstLineChars="20"/>
              <w:rPr>
                <w:rFonts w:ascii="宋体" w:hAnsi="宋体" w:cs="宋体"/>
                <w:color w:val="000000"/>
                <w:sz w:val="24"/>
                <w:szCs w:val="24"/>
                <w:highlight w:val="none"/>
              </w:rPr>
            </w:pPr>
            <w:r>
              <w:rPr>
                <w:rFonts w:hint="eastAsia" w:ascii="宋体" w:hAnsi="宋体" w:cs="宋体"/>
                <w:color w:val="000000"/>
                <w:sz w:val="24"/>
                <w:szCs w:val="24"/>
                <w:highlight w:val="none"/>
              </w:rPr>
              <w:t>财政性资金。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jc w:val="center"/>
              <w:rPr>
                <w:rFonts w:ascii="宋体" w:hAnsi="宋体" w:cs="宋体"/>
                <w:color w:val="000000"/>
                <w:sz w:val="24"/>
                <w:szCs w:val="24"/>
              </w:rPr>
            </w:pPr>
          </w:p>
        </w:tc>
        <w:tc>
          <w:tcPr>
            <w:tcW w:w="1717" w:type="dxa"/>
            <w:vMerge w:val="continue"/>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color w:val="000000"/>
                <w:sz w:val="24"/>
                <w:szCs w:val="24"/>
              </w:rPr>
            </w:pP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firstLine="48" w:firstLineChars="20"/>
              <w:rPr>
                <w:rFonts w:ascii="宋体" w:hAnsi="宋体" w:cs="宋体"/>
                <w:color w:val="000000"/>
                <w:sz w:val="24"/>
                <w:szCs w:val="24"/>
                <w:highlight w:val="none"/>
              </w:rPr>
            </w:pPr>
            <w:r>
              <w:rPr>
                <w:rFonts w:hint="eastAsia" w:ascii="宋体" w:hAnsi="宋体" w:cs="宋体"/>
                <w:color w:val="000000"/>
                <w:sz w:val="24"/>
                <w:szCs w:val="24"/>
                <w:highlight w:val="none"/>
              </w:rPr>
              <w:t>本次招标预算金额为</w:t>
            </w:r>
            <w:r>
              <w:rPr>
                <w:rFonts w:hint="eastAsia" w:ascii="宋体" w:hAnsi="宋体" w:cs="宋体"/>
                <w:color w:val="000000"/>
                <w:sz w:val="24"/>
                <w:szCs w:val="24"/>
                <w:highlight w:val="none"/>
                <w:lang w:eastAsia="zh-CN"/>
              </w:rPr>
              <w:t>180.9</w:t>
            </w:r>
            <w:r>
              <w:rPr>
                <w:rFonts w:hint="eastAsia" w:ascii="宋体" w:hAnsi="宋体" w:cs="宋体"/>
                <w:color w:val="000000"/>
                <w:sz w:val="24"/>
                <w:szCs w:val="24"/>
                <w:highlight w:val="none"/>
              </w:rPr>
              <w:t>万元。</w:t>
            </w:r>
          </w:p>
          <w:p>
            <w:pPr>
              <w:snapToGrid w:val="0"/>
              <w:spacing w:line="360" w:lineRule="auto"/>
              <w:ind w:firstLine="48" w:firstLineChars="20"/>
              <w:rPr>
                <w:rFonts w:ascii="宋体" w:hAnsi="宋体" w:cs="宋体"/>
                <w:color w:val="000000"/>
                <w:sz w:val="24"/>
                <w:szCs w:val="24"/>
                <w:highlight w:val="none"/>
              </w:rPr>
            </w:pPr>
            <w:r>
              <w:rPr>
                <w:rFonts w:hint="eastAsia" w:ascii="宋体" w:hAnsi="宋体" w:cs="宋体"/>
                <w:color w:val="000000"/>
                <w:sz w:val="24"/>
                <w:szCs w:val="24"/>
                <w:highlight w:val="none"/>
              </w:rPr>
              <w:t>最高限价为</w:t>
            </w:r>
            <w:r>
              <w:rPr>
                <w:rFonts w:hint="eastAsia" w:ascii="宋体" w:hAnsi="宋体" w:cs="宋体"/>
                <w:color w:val="000000"/>
                <w:sz w:val="24"/>
                <w:szCs w:val="24"/>
                <w:highlight w:val="none"/>
                <w:lang w:eastAsia="zh-CN"/>
              </w:rPr>
              <w:t>180.9</w:t>
            </w:r>
            <w:r>
              <w:rPr>
                <w:rFonts w:hint="eastAsia" w:ascii="宋体" w:hAnsi="宋体" w:cs="宋体"/>
                <w:color w:val="000000"/>
                <w:sz w:val="24"/>
                <w:szCs w:val="24"/>
                <w:highlight w:val="none"/>
              </w:rPr>
              <w:t>万元。</w:t>
            </w:r>
          </w:p>
          <w:p>
            <w:pPr>
              <w:snapToGrid w:val="0"/>
              <w:spacing w:line="360" w:lineRule="auto"/>
              <w:ind w:firstLine="48" w:firstLineChars="20"/>
              <w:rPr>
                <w:rFonts w:ascii="宋体" w:hAnsi="宋体" w:cs="宋体"/>
                <w:color w:val="000000"/>
                <w:sz w:val="24"/>
                <w:szCs w:val="24"/>
                <w:highlight w:val="none"/>
              </w:rPr>
            </w:pPr>
            <w:r>
              <w:rPr>
                <w:rFonts w:hint="eastAsia" w:ascii="宋体" w:hAnsi="宋体" w:cs="宋体"/>
                <w:b/>
                <w:color w:val="000000"/>
                <w:sz w:val="24"/>
                <w:szCs w:val="24"/>
                <w:highlight w:val="none"/>
              </w:rPr>
              <w:t>超出最高限价或预算金额的为无效投标。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ind w:firstLine="42" w:firstLineChars="20"/>
              <w:jc w:val="center"/>
              <w:rPr>
                <w:rFonts w:ascii="宋体" w:hAnsi="宋体"/>
                <w:color w:val="000000"/>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color w:val="000000"/>
                <w:sz w:val="24"/>
                <w:szCs w:val="24"/>
              </w:rPr>
            </w:pPr>
            <w:r>
              <w:rPr>
                <w:rFonts w:ascii="宋体" w:hAnsi="宋体" w:cs="宋体"/>
                <w:color w:val="000000"/>
                <w:sz w:val="24"/>
                <w:szCs w:val="24"/>
              </w:rPr>
              <w:t>项目属性</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color w:val="000000"/>
                <w:sz w:val="24"/>
                <w:szCs w:val="24"/>
              </w:rPr>
            </w:pPr>
            <w:r>
              <w:rPr>
                <w:rFonts w:ascii="宋体" w:hAnsi="宋体" w:cs="宋体"/>
                <w:color w:val="000000"/>
                <w:sz w:val="24"/>
                <w:szCs w:val="24"/>
              </w:rPr>
              <w:t>项目属性：</w:t>
            </w:r>
          </w:p>
          <w:p>
            <w:pPr>
              <w:spacing w:line="360" w:lineRule="auto"/>
              <w:jc w:val="left"/>
              <w:rPr>
                <w:rFonts w:ascii="宋体" w:hAnsi="宋体" w:cs="宋体"/>
                <w:color w:val="000000"/>
                <w:sz w:val="24"/>
                <w:szCs w:val="24"/>
              </w:rPr>
            </w:pPr>
            <w:r>
              <w:rPr>
                <w:rFonts w:ascii="宋体" w:hAnsi="宋体" w:cs="宋体"/>
                <w:color w:val="000000"/>
                <w:sz w:val="24"/>
                <w:szCs w:val="24"/>
              </w:rPr>
              <w:t>■服务</w:t>
            </w:r>
            <w:r>
              <w:rPr>
                <w:rFonts w:hint="eastAsia" w:ascii="宋体" w:hAnsi="宋体" w:cs="宋体"/>
                <w:color w:val="000000"/>
                <w:sz w:val="24"/>
                <w:szCs w:val="24"/>
              </w:rPr>
              <w:t>。</w:t>
            </w:r>
          </w:p>
          <w:p>
            <w:pPr>
              <w:spacing w:line="360" w:lineRule="auto"/>
              <w:jc w:val="left"/>
              <w:rPr>
                <w:rFonts w:ascii="宋体" w:hAnsi="宋体" w:cs="宋体"/>
                <w:color w:val="000000"/>
                <w:sz w:val="24"/>
                <w:szCs w:val="24"/>
              </w:rPr>
            </w:pPr>
            <w:r>
              <w:rPr>
                <w:rFonts w:ascii="宋体" w:hAnsi="宋体" w:cs="宋体"/>
                <w:color w:val="000000"/>
                <w:sz w:val="24"/>
                <w:szCs w:val="24"/>
              </w:rPr>
              <w:t>□货物</w:t>
            </w:r>
            <w:r>
              <w:rPr>
                <w:rFonts w:hint="eastAsia" w:ascii="宋体" w:hAnsi="宋体" w:cs="宋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right w:val="single" w:color="auto" w:sz="6" w:space="0"/>
            </w:tcBorders>
            <w:vAlign w:val="center"/>
          </w:tcPr>
          <w:p>
            <w:pPr>
              <w:snapToGrid w:val="0"/>
              <w:spacing w:line="360" w:lineRule="auto"/>
              <w:ind w:firstLine="42" w:firstLineChars="20"/>
              <w:jc w:val="center"/>
              <w:rPr>
                <w:rFonts w:ascii="宋体" w:hAnsi="宋体"/>
                <w:color w:val="000000"/>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color w:val="000000"/>
                <w:sz w:val="24"/>
                <w:szCs w:val="24"/>
              </w:rPr>
            </w:pPr>
            <w:r>
              <w:rPr>
                <w:rFonts w:ascii="宋体" w:hAnsi="宋体" w:cs="宋体"/>
                <w:color w:val="000000"/>
                <w:sz w:val="24"/>
                <w:szCs w:val="24"/>
              </w:rPr>
              <w:t>科研仪器设备</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s="宋体"/>
                <w:color w:val="000000"/>
                <w:sz w:val="24"/>
                <w:szCs w:val="24"/>
              </w:rPr>
            </w:pPr>
            <w:r>
              <w:rPr>
                <w:rFonts w:ascii="宋体" w:hAnsi="宋体" w:cs="宋体"/>
                <w:color w:val="000000"/>
                <w:sz w:val="24"/>
                <w:szCs w:val="24"/>
              </w:rPr>
              <w:t>是否属于科研仪器设备采购项目：</w:t>
            </w:r>
          </w:p>
          <w:p>
            <w:pPr>
              <w:spacing w:line="360" w:lineRule="auto"/>
              <w:jc w:val="left"/>
              <w:rPr>
                <w:rFonts w:ascii="宋体" w:hAnsi="宋体" w:cs="宋体"/>
                <w:color w:val="000000"/>
                <w:sz w:val="24"/>
                <w:szCs w:val="24"/>
              </w:rPr>
            </w:pPr>
            <w:r>
              <w:rPr>
                <w:rFonts w:ascii="宋体" w:hAnsi="宋体" w:cs="宋体"/>
                <w:color w:val="000000"/>
                <w:sz w:val="24"/>
                <w:szCs w:val="24"/>
              </w:rPr>
              <w:t>□是</w:t>
            </w:r>
            <w:r>
              <w:rPr>
                <w:rFonts w:hint="eastAsia" w:ascii="宋体" w:hAnsi="宋体" w:cs="宋体"/>
                <w:color w:val="000000"/>
                <w:sz w:val="24"/>
                <w:szCs w:val="24"/>
              </w:rPr>
              <w:t>。</w:t>
            </w:r>
          </w:p>
          <w:p>
            <w:pPr>
              <w:spacing w:line="360" w:lineRule="auto"/>
              <w:jc w:val="left"/>
              <w:rPr>
                <w:rFonts w:ascii="宋体" w:hAnsi="宋体" w:cs="宋体"/>
                <w:color w:val="000000"/>
                <w:sz w:val="24"/>
                <w:szCs w:val="24"/>
              </w:rPr>
            </w:pPr>
            <w:r>
              <w:rPr>
                <w:rFonts w:ascii="宋体" w:hAnsi="宋体" w:cs="宋体"/>
                <w:color w:val="000000"/>
                <w:sz w:val="24"/>
                <w:szCs w:val="24"/>
              </w:rPr>
              <w:t>■否</w:t>
            </w:r>
            <w:r>
              <w:rPr>
                <w:rFonts w:hint="eastAsia" w:ascii="宋体" w:hAnsi="宋体" w:cs="宋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ind w:firstLine="42" w:firstLineChars="20"/>
              <w:jc w:val="center"/>
              <w:rPr>
                <w:rFonts w:ascii="宋体" w:hAnsi="宋体"/>
                <w:color w:val="000000"/>
              </w:rPr>
            </w:pPr>
          </w:p>
        </w:tc>
        <w:tc>
          <w:tcPr>
            <w:tcW w:w="1717" w:type="dxa"/>
            <w:tcBorders>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color w:val="000000"/>
                <w:sz w:val="24"/>
                <w:szCs w:val="24"/>
              </w:rPr>
            </w:pPr>
            <w:r>
              <w:rPr>
                <w:rFonts w:ascii="宋体" w:hAnsi="宋体" w:cs="宋体"/>
                <w:color w:val="000000"/>
                <w:sz w:val="24"/>
                <w:szCs w:val="24"/>
              </w:rPr>
              <w:t>核心产品</w:t>
            </w:r>
          </w:p>
        </w:tc>
        <w:tc>
          <w:tcPr>
            <w:tcW w:w="5663" w:type="dxa"/>
            <w:tcBorders>
              <w:top w:val="single" w:color="auto" w:sz="6" w:space="0"/>
              <w:left w:val="single" w:color="auto" w:sz="6" w:space="0"/>
              <w:bottom w:val="single" w:color="auto" w:sz="6" w:space="0"/>
              <w:right w:val="single" w:color="auto" w:sz="12" w:space="0"/>
            </w:tcBorders>
            <w:vAlign w:val="center"/>
          </w:tcPr>
          <w:p>
            <w:pPr>
              <w:pStyle w:val="23"/>
              <w:adjustRightInd w:val="0"/>
              <w:snapToGrid w:val="0"/>
              <w:spacing w:line="360" w:lineRule="auto"/>
              <w:rPr>
                <w:rFonts w:hAnsi="宋体" w:cs="宋体"/>
                <w:color w:val="000000"/>
                <w:sz w:val="24"/>
                <w:szCs w:val="24"/>
              </w:rPr>
            </w:pPr>
            <w:r>
              <w:rPr>
                <w:rFonts w:hAnsi="宋体" w:cs="宋体"/>
                <w:color w:val="000000"/>
                <w:sz w:val="24"/>
                <w:szCs w:val="24"/>
              </w:rPr>
              <w:t>■关于核心产品本项目不适用。</w:t>
            </w:r>
          </w:p>
          <w:p>
            <w:pPr>
              <w:pStyle w:val="23"/>
              <w:adjustRightInd w:val="0"/>
              <w:snapToGrid w:val="0"/>
              <w:spacing w:line="360" w:lineRule="auto"/>
              <w:rPr>
                <w:rFonts w:hAnsi="宋体" w:cs="宋体"/>
                <w:color w:val="000000"/>
                <w:sz w:val="24"/>
                <w:szCs w:val="24"/>
              </w:rPr>
            </w:pPr>
            <w:r>
              <w:rPr>
                <w:rFonts w:hAnsi="宋体" w:cs="宋体"/>
                <w:color w:val="000000"/>
                <w:sz w:val="24"/>
                <w:szCs w:val="24"/>
              </w:rPr>
              <w:t>□本项目</w:t>
            </w:r>
            <w:r>
              <w:rPr>
                <w:rFonts w:hint="eastAsia" w:hAnsi="宋体" w:cs="宋体"/>
                <w:color w:val="000000"/>
                <w:sz w:val="24"/>
                <w:szCs w:val="24"/>
                <w:u w:val="single"/>
              </w:rPr>
              <w:t>/</w:t>
            </w:r>
            <w:r>
              <w:rPr>
                <w:rFonts w:hAnsi="宋体" w:cs="宋体"/>
                <w:color w:val="000000"/>
                <w:sz w:val="24"/>
                <w:szCs w:val="24"/>
              </w:rPr>
              <w:t>包为单一产品采购项目。</w:t>
            </w:r>
          </w:p>
          <w:p>
            <w:pPr>
              <w:spacing w:line="360" w:lineRule="auto"/>
              <w:jc w:val="left"/>
              <w:rPr>
                <w:rFonts w:ascii="宋体" w:hAnsi="宋体" w:cs="宋体"/>
                <w:color w:val="000000"/>
                <w:sz w:val="24"/>
                <w:szCs w:val="24"/>
              </w:rPr>
            </w:pPr>
            <w:r>
              <w:rPr>
                <w:rFonts w:ascii="宋体" w:hAnsi="宋体" w:cs="宋体"/>
                <w:color w:val="000000"/>
                <w:sz w:val="24"/>
                <w:szCs w:val="24"/>
              </w:rPr>
              <w:t>□本项目</w:t>
            </w:r>
            <w:r>
              <w:rPr>
                <w:rFonts w:hint="eastAsia" w:ascii="宋体" w:hAnsi="宋体" w:cs="宋体"/>
                <w:color w:val="000000"/>
                <w:sz w:val="24"/>
                <w:szCs w:val="24"/>
                <w:u w:val="single"/>
              </w:rPr>
              <w:t>/</w:t>
            </w:r>
            <w:r>
              <w:rPr>
                <w:rFonts w:ascii="宋体" w:hAnsi="宋体" w:cs="宋体"/>
                <w:color w:val="000000"/>
                <w:sz w:val="24"/>
                <w:szCs w:val="24"/>
              </w:rPr>
              <w:t>包为非单一产品采购项目，核心产品为：</w:t>
            </w:r>
            <w:r>
              <w:rPr>
                <w:rFonts w:hint="eastAsia" w:ascii="宋体" w:hAnsi="宋体" w:cs="宋体"/>
                <w:color w:val="000000"/>
                <w:sz w:val="24"/>
                <w:szCs w:val="24"/>
                <w:u w:val="single"/>
              </w:rPr>
              <w:t>/</w:t>
            </w:r>
            <w:r>
              <w:rPr>
                <w:rFonts w:ascii="宋体" w:hAnsi="宋体" w:cs="宋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34</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招标文件的</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询问或质疑</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1．截止时间：收到招标文件之日起7个工作日。</w:t>
            </w:r>
          </w:p>
          <w:p>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2．方式：以</w:t>
            </w:r>
            <w:r>
              <w:rPr>
                <w:rFonts w:hint="eastAsia" w:ascii="宋体" w:hAnsi="宋体" w:cs="宋体"/>
                <w:color w:val="000000"/>
                <w:sz w:val="24"/>
                <w:szCs w:val="24"/>
                <w:u w:val="single"/>
              </w:rPr>
              <w:t>书面、传真或邮件（扫描原件）</w:t>
            </w:r>
            <w:r>
              <w:rPr>
                <w:rFonts w:hint="eastAsia" w:ascii="宋体" w:hAnsi="宋体" w:cs="宋体"/>
                <w:color w:val="000000"/>
                <w:sz w:val="24"/>
                <w:szCs w:val="24"/>
              </w:rPr>
              <w:t>的形式，电子邮箱：</w:t>
            </w:r>
            <w:r>
              <w:fldChar w:fldCharType="begin"/>
            </w:r>
            <w:r>
              <w:instrText xml:space="preserve"> HYPERLINK "mailto:710280222@qq.com" </w:instrText>
            </w:r>
            <w:r>
              <w:fldChar w:fldCharType="separate"/>
            </w:r>
            <w:r>
              <w:rPr>
                <w:rFonts w:hint="eastAsia" w:ascii="宋体" w:hAnsi="宋体" w:cs="宋体"/>
                <w:color w:val="000000"/>
                <w:sz w:val="24"/>
                <w:szCs w:val="24"/>
                <w:u w:val="single"/>
              </w:rPr>
              <w:t>710280222@qq.com</w:t>
            </w:r>
            <w:r>
              <w:rPr>
                <w:rFonts w:hint="eastAsia" w:ascii="宋体" w:hAnsi="宋体" w:cs="宋体"/>
                <w:color w:val="000000"/>
                <w:sz w:val="24"/>
                <w:szCs w:val="24"/>
                <w:u w:val="single"/>
              </w:rPr>
              <w:fldChar w:fldCharType="end"/>
            </w:r>
          </w:p>
          <w:p>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3、联系电话</w:t>
            </w:r>
            <w:r>
              <w:rPr>
                <w:rFonts w:ascii="宋体" w:hAnsi="宋体" w:cs="宋体"/>
                <w:color w:val="000000"/>
                <w:sz w:val="24"/>
                <w:szCs w:val="24"/>
              </w:rPr>
              <w:t>：</w:t>
            </w:r>
            <w:r>
              <w:rPr>
                <w:rFonts w:hint="eastAsia" w:ascii="宋体" w:hAnsi="宋体" w:cs="宋体"/>
                <w:color w:val="000000"/>
                <w:sz w:val="24"/>
                <w:szCs w:val="24"/>
                <w:u w:val="single"/>
              </w:rPr>
              <w:t>67169727</w:t>
            </w:r>
            <w:r>
              <w:rPr>
                <w:rFonts w:hint="eastAsia" w:ascii="宋体" w:hAnsi="宋体" w:cs="宋体"/>
                <w:color w:val="000000"/>
                <w:sz w:val="24"/>
                <w:szCs w:val="24"/>
              </w:rPr>
              <w:t>。</w:t>
            </w:r>
          </w:p>
          <w:p>
            <w:pPr>
              <w:snapToGrid w:val="0"/>
              <w:spacing w:line="360" w:lineRule="auto"/>
              <w:jc w:val="left"/>
              <w:rPr>
                <w:rFonts w:ascii="宋体" w:hAnsi="宋体"/>
                <w:color w:val="000000"/>
              </w:rPr>
            </w:pPr>
            <w:r>
              <w:rPr>
                <w:rFonts w:hint="eastAsia" w:ascii="宋体" w:hAnsi="宋体" w:cs="宋体"/>
                <w:color w:val="000000"/>
                <w:sz w:val="24"/>
                <w:szCs w:val="24"/>
              </w:rPr>
              <w:t>4、地址：</w:t>
            </w:r>
            <w:r>
              <w:rPr>
                <w:rFonts w:hint="eastAsia" w:ascii="宋体" w:hAnsi="宋体" w:cs="宋体"/>
                <w:color w:val="000000"/>
                <w:sz w:val="24"/>
                <w:szCs w:val="24"/>
                <w:u w:val="single"/>
              </w:rPr>
              <w:t>北京市京发招标有限公司705房间。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4" w:hRule="atLeast"/>
        </w:trPr>
        <w:tc>
          <w:tcPr>
            <w:tcW w:w="1324" w:type="dxa"/>
            <w:vMerge w:val="restart"/>
            <w:tcBorders>
              <w:top w:val="single" w:color="auto" w:sz="6" w:space="0"/>
              <w:left w:val="single" w:color="auto" w:sz="12"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12</w:t>
            </w:r>
          </w:p>
        </w:tc>
        <w:tc>
          <w:tcPr>
            <w:tcW w:w="1717" w:type="dxa"/>
            <w:vMerge w:val="restart"/>
            <w:tcBorders>
              <w:top w:val="single" w:color="auto" w:sz="6" w:space="0"/>
              <w:left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投标保证金</w:t>
            </w:r>
          </w:p>
        </w:tc>
        <w:tc>
          <w:tcPr>
            <w:tcW w:w="5663" w:type="dxa"/>
            <w:tcBorders>
              <w:top w:val="single" w:color="auto" w:sz="6" w:space="0"/>
              <w:left w:val="single" w:color="auto" w:sz="6" w:space="0"/>
              <w:bottom w:val="single" w:color="auto" w:sz="4" w:space="0"/>
              <w:right w:val="single" w:color="auto" w:sz="12" w:space="0"/>
            </w:tcBorders>
            <w:vAlign w:val="center"/>
          </w:tcPr>
          <w:p>
            <w:pPr>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rPr>
              <w:t>人民币</w:t>
            </w:r>
            <w:r>
              <w:rPr>
                <w:rFonts w:hint="eastAsia" w:ascii="宋体" w:hAnsi="宋体" w:cs="宋体"/>
                <w:color w:val="000000"/>
                <w:sz w:val="24"/>
                <w:szCs w:val="24"/>
                <w:highlight w:val="none"/>
                <w:u w:val="single"/>
                <w:lang w:val="en-US" w:eastAsia="zh-CN"/>
              </w:rPr>
              <w:t>0</w:t>
            </w:r>
            <w:r>
              <w:rPr>
                <w:rFonts w:hint="eastAsia" w:ascii="宋体" w:hAnsi="宋体" w:cs="宋体"/>
                <w:color w:val="000000"/>
                <w:sz w:val="24"/>
                <w:szCs w:val="24"/>
                <w:highlight w:val="none"/>
              </w:rPr>
              <w:t>元。</w:t>
            </w:r>
          </w:p>
          <w:p>
            <w:pPr>
              <w:spacing w:line="360" w:lineRule="auto"/>
              <w:rPr>
                <w:rFonts w:ascii="宋体" w:hAnsi="宋体"/>
                <w:color w:val="000000"/>
                <w:sz w:val="24"/>
                <w:highlight w:val="none"/>
              </w:rPr>
            </w:pPr>
            <w:r>
              <w:rPr>
                <w:rFonts w:ascii="宋体" w:hAnsi="宋体"/>
                <w:color w:val="000000"/>
                <w:sz w:val="24"/>
                <w:highlight w:val="none"/>
              </w:rPr>
              <w:t>投标保证金收受人信息：</w:t>
            </w:r>
          </w:p>
          <w:p>
            <w:pPr>
              <w:spacing w:line="360" w:lineRule="auto"/>
              <w:rPr>
                <w:rFonts w:ascii="宋体" w:hAnsi="宋体"/>
                <w:bCs/>
                <w:color w:val="000000"/>
                <w:sz w:val="24"/>
                <w:highlight w:val="none"/>
                <w:u w:val="single"/>
              </w:rPr>
            </w:pPr>
            <w:r>
              <w:rPr>
                <w:rFonts w:hint="eastAsia" w:ascii="宋体" w:hAnsi="宋体"/>
                <w:bCs/>
                <w:color w:val="000000"/>
                <w:sz w:val="24"/>
                <w:highlight w:val="none"/>
              </w:rPr>
              <w:t>开户名（全称）：</w:t>
            </w:r>
            <w:r>
              <w:rPr>
                <w:rFonts w:hint="eastAsia" w:ascii="宋体" w:hAnsi="宋体"/>
                <w:bCs/>
                <w:color w:val="000000"/>
                <w:sz w:val="24"/>
                <w:highlight w:val="none"/>
                <w:u w:val="single"/>
              </w:rPr>
              <w:t>北京市京发招标有限公司；</w:t>
            </w:r>
          </w:p>
          <w:p>
            <w:pPr>
              <w:spacing w:line="360" w:lineRule="auto"/>
              <w:rPr>
                <w:rFonts w:ascii="宋体" w:hAnsi="宋体"/>
                <w:bCs/>
                <w:color w:val="000000"/>
                <w:sz w:val="24"/>
                <w:highlight w:val="none"/>
                <w:u w:val="single"/>
              </w:rPr>
            </w:pPr>
            <w:r>
              <w:rPr>
                <w:rFonts w:hint="eastAsia" w:ascii="宋体" w:hAnsi="宋体"/>
                <w:bCs/>
                <w:color w:val="000000"/>
                <w:sz w:val="24"/>
                <w:highlight w:val="none"/>
              </w:rPr>
              <w:t>开户银行：</w:t>
            </w:r>
            <w:r>
              <w:rPr>
                <w:rFonts w:hint="eastAsia" w:ascii="宋体" w:hAnsi="宋体"/>
                <w:bCs/>
                <w:color w:val="000000"/>
                <w:sz w:val="24"/>
                <w:highlight w:val="none"/>
                <w:u w:val="single"/>
              </w:rPr>
              <w:t>招商银行北京分行崇文门支行；</w:t>
            </w:r>
          </w:p>
          <w:p>
            <w:pPr>
              <w:spacing w:line="360" w:lineRule="auto"/>
              <w:rPr>
                <w:rFonts w:ascii="宋体" w:hAnsi="宋体"/>
                <w:bCs/>
                <w:color w:val="000000"/>
                <w:sz w:val="24"/>
                <w:highlight w:val="none"/>
                <w:u w:val="single"/>
              </w:rPr>
            </w:pPr>
            <w:r>
              <w:rPr>
                <w:rFonts w:hint="eastAsia" w:ascii="宋体" w:hAnsi="宋体"/>
                <w:bCs/>
                <w:color w:val="000000"/>
                <w:sz w:val="24"/>
                <w:highlight w:val="none"/>
              </w:rPr>
              <w:t>账    号：</w:t>
            </w:r>
            <w:r>
              <w:rPr>
                <w:rFonts w:hint="eastAsia" w:ascii="宋体" w:hAnsi="宋体"/>
                <w:bCs/>
                <w:color w:val="000000"/>
                <w:sz w:val="24"/>
                <w:highlight w:val="none"/>
                <w:u w:val="single"/>
              </w:rPr>
              <w:t>1109 1881 6710 6010 0000 00007。</w:t>
            </w:r>
          </w:p>
          <w:p>
            <w:pPr>
              <w:spacing w:line="360" w:lineRule="auto"/>
              <w:rPr>
                <w:rFonts w:ascii="宋体" w:hAnsi="宋体"/>
                <w:bCs/>
                <w:color w:val="000000"/>
                <w:sz w:val="24"/>
                <w:highlight w:val="none"/>
                <w:u w:val="single"/>
              </w:rPr>
            </w:pPr>
            <w:r>
              <w:rPr>
                <w:rFonts w:hint="eastAsia" w:ascii="宋体" w:hAnsi="宋体" w:cs="宋体"/>
                <w:color w:val="000000"/>
                <w:sz w:val="24"/>
                <w:szCs w:val="24"/>
                <w:highlight w:val="none"/>
              </w:rPr>
              <w:t>投标保证金以支票、汇票、本票或者金融机构、担保机构出具的保函（含政府采购投标担保函）等非现金形式提交。</w:t>
            </w:r>
          </w:p>
          <w:p>
            <w:pPr>
              <w:snapToGrid w:val="0"/>
              <w:spacing w:line="360" w:lineRule="auto"/>
              <w:jc w:val="left"/>
              <w:rPr>
                <w:rFonts w:ascii="宋体" w:hAnsi="宋体"/>
                <w:color w:val="000000"/>
                <w:highlight w:val="none"/>
              </w:rPr>
            </w:pPr>
            <w:r>
              <w:rPr>
                <w:rFonts w:ascii="宋体" w:hAnsi="宋体" w:cs="宋体"/>
                <w:color w:val="000000"/>
                <w:sz w:val="24"/>
                <w:szCs w:val="24"/>
                <w:highlight w:val="none"/>
              </w:rPr>
              <w:t>■</w:t>
            </w:r>
            <w:r>
              <w:rPr>
                <w:rFonts w:hint="eastAsia" w:ascii="宋体" w:hAnsi="宋体" w:cs="宋体"/>
                <w:color w:val="000000"/>
                <w:sz w:val="24"/>
                <w:szCs w:val="24"/>
                <w:highlight w:val="none"/>
              </w:rPr>
              <w:t>本项目不要求。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vMerge w:val="continue"/>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p>
        </w:tc>
        <w:tc>
          <w:tcPr>
            <w:tcW w:w="1717" w:type="dxa"/>
            <w:vMerge w:val="continue"/>
            <w:tcBorders>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p>
        </w:tc>
        <w:tc>
          <w:tcPr>
            <w:tcW w:w="5663" w:type="dxa"/>
            <w:tcBorders>
              <w:top w:val="single" w:color="auto" w:sz="4" w:space="0"/>
              <w:left w:val="single" w:color="auto" w:sz="6" w:space="0"/>
              <w:bottom w:val="single" w:color="auto" w:sz="6" w:space="0"/>
              <w:right w:val="single" w:color="auto" w:sz="12" w:space="0"/>
            </w:tcBorders>
            <w:vAlign w:val="center"/>
          </w:tcPr>
          <w:p>
            <w:pPr>
              <w:snapToGrid w:val="0"/>
              <w:spacing w:line="360" w:lineRule="auto"/>
              <w:jc w:val="left"/>
              <w:rPr>
                <w:sz w:val="24"/>
                <w:szCs w:val="24"/>
              </w:rPr>
            </w:pPr>
            <w:r>
              <w:rPr>
                <w:sz w:val="24"/>
                <w:szCs w:val="24"/>
              </w:rPr>
              <w:t>投标保证金可以不予退还的其他情形：</w:t>
            </w:r>
          </w:p>
          <w:p>
            <w:pPr>
              <w:snapToGrid w:val="0"/>
              <w:spacing w:line="360" w:lineRule="auto"/>
              <w:jc w:val="left"/>
              <w:rPr>
                <w:sz w:val="24"/>
                <w:szCs w:val="24"/>
              </w:rPr>
            </w:pPr>
            <w:r>
              <w:rPr>
                <w:rFonts w:hint="eastAsia" w:ascii="宋体" w:hAnsi="宋体" w:cs="宋体"/>
                <w:color w:val="000000"/>
                <w:sz w:val="24"/>
                <w:szCs w:val="24"/>
              </w:rPr>
              <w:t>□</w:t>
            </w:r>
            <w:r>
              <w:rPr>
                <w:sz w:val="24"/>
                <w:szCs w:val="24"/>
              </w:rPr>
              <w:t>无</w:t>
            </w:r>
          </w:p>
          <w:p>
            <w:pPr>
              <w:spacing w:line="360" w:lineRule="auto"/>
            </w:pPr>
            <w:r>
              <w:t>■有，具体情形：</w:t>
            </w:r>
          </w:p>
          <w:p>
            <w:pPr>
              <w:spacing w:line="360" w:lineRule="auto"/>
              <w:rPr>
                <w:rFonts w:ascii="宋体" w:hAnsi="宋体" w:cs="宋体"/>
                <w:color w:val="000000"/>
                <w:sz w:val="24"/>
                <w:szCs w:val="24"/>
              </w:rPr>
            </w:pPr>
            <w:r>
              <w:rPr>
                <w:rFonts w:hint="eastAsia" w:ascii="宋体" w:hAnsi="宋体" w:cs="宋体"/>
                <w:color w:val="000000"/>
                <w:sz w:val="24"/>
                <w:szCs w:val="24"/>
              </w:rPr>
              <w:t>1）在投标有效期内，供应商擅自撤销投标的；</w:t>
            </w:r>
          </w:p>
          <w:p>
            <w:pPr>
              <w:spacing w:line="360" w:lineRule="auto"/>
              <w:rPr>
                <w:rFonts w:ascii="宋体" w:hAnsi="宋体" w:cs="宋体"/>
                <w:color w:val="000000"/>
                <w:sz w:val="24"/>
                <w:szCs w:val="24"/>
              </w:rPr>
            </w:pPr>
            <w:r>
              <w:rPr>
                <w:rFonts w:hint="eastAsia" w:ascii="宋体" w:hAnsi="宋体" w:cs="宋体"/>
                <w:color w:val="000000"/>
                <w:sz w:val="24"/>
                <w:szCs w:val="24"/>
              </w:rPr>
              <w:t>2）中标人未能在规定期限内提交履约担保或未按本须知第33条规定签订合同的；</w:t>
            </w:r>
          </w:p>
          <w:p>
            <w:pPr>
              <w:spacing w:line="360" w:lineRule="auto"/>
              <w:jc w:val="left"/>
              <w:rPr>
                <w:rFonts w:ascii="宋体" w:hAnsi="宋体" w:cs="宋体"/>
                <w:color w:val="000000"/>
                <w:sz w:val="24"/>
                <w:szCs w:val="24"/>
              </w:rPr>
            </w:pPr>
            <w:r>
              <w:rPr>
                <w:rFonts w:hint="eastAsia" w:ascii="宋体" w:hAnsi="宋体" w:cs="宋体"/>
                <w:color w:val="000000"/>
                <w:sz w:val="24"/>
                <w:szCs w:val="24"/>
              </w:rPr>
              <w:t>3）中标人不按本须知第37.1条规定交纳中标服务费的；</w:t>
            </w:r>
          </w:p>
          <w:p>
            <w:pPr>
              <w:spacing w:line="360" w:lineRule="auto"/>
            </w:pPr>
            <w:r>
              <w:rPr>
                <w:rFonts w:hint="eastAsia" w:ascii="宋体" w:hAnsi="宋体" w:cs="宋体"/>
                <w:color w:val="000000"/>
                <w:sz w:val="24"/>
                <w:szCs w:val="24"/>
              </w:rPr>
              <w:t>4）中标人擅自放弃中标的。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256" w:hRule="atLeast"/>
        </w:trPr>
        <w:tc>
          <w:tcPr>
            <w:tcW w:w="1324" w:type="dxa"/>
            <w:tcBorders>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11</w:t>
            </w:r>
          </w:p>
        </w:tc>
        <w:tc>
          <w:tcPr>
            <w:tcW w:w="1717" w:type="dxa"/>
            <w:tcBorders>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投标报价</w:t>
            </w:r>
          </w:p>
        </w:tc>
        <w:tc>
          <w:tcPr>
            <w:tcW w:w="5663" w:type="dxa"/>
            <w:tcBorders>
              <w:top w:val="single" w:color="auto" w:sz="4" w:space="0"/>
              <w:left w:val="single" w:color="auto" w:sz="6" w:space="0"/>
              <w:bottom w:val="single" w:color="auto" w:sz="6" w:space="0"/>
              <w:right w:val="single" w:color="auto" w:sz="12" w:space="0"/>
            </w:tcBorders>
            <w:vAlign w:val="center"/>
          </w:tcPr>
          <w:p>
            <w:pPr>
              <w:spacing w:line="360" w:lineRule="auto"/>
              <w:jc w:val="left"/>
              <w:rPr>
                <w:rFonts w:ascii="宋体" w:hAnsi="宋体"/>
                <w:color w:val="000000"/>
                <w:sz w:val="24"/>
              </w:rPr>
            </w:pPr>
            <w:r>
              <w:rPr>
                <w:rFonts w:hint="eastAsia" w:ascii="宋体" w:hAnsi="宋体"/>
                <w:color w:val="000000"/>
                <w:sz w:val="24"/>
              </w:rPr>
              <w:t>投标报价的特殊规定：</w:t>
            </w:r>
          </w:p>
          <w:p>
            <w:pPr>
              <w:spacing w:line="360" w:lineRule="auto"/>
              <w:jc w:val="left"/>
              <w:rPr>
                <w:rFonts w:ascii="宋体" w:hAnsi="宋体"/>
                <w:color w:val="000000"/>
                <w:sz w:val="24"/>
              </w:rPr>
            </w:pPr>
            <w:r>
              <w:rPr>
                <w:rFonts w:ascii="宋体" w:hAnsi="宋体" w:cs="宋体"/>
                <w:color w:val="000000"/>
                <w:sz w:val="24"/>
                <w:szCs w:val="24"/>
              </w:rPr>
              <w:t>■</w:t>
            </w:r>
            <w:r>
              <w:rPr>
                <w:rFonts w:ascii="宋体" w:hAnsi="宋体"/>
                <w:color w:val="000000"/>
                <w:sz w:val="24"/>
              </w:rPr>
              <w:t>无</w:t>
            </w:r>
          </w:p>
          <w:p>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w:t>
            </w:r>
            <w:r>
              <w:rPr>
                <w:rFonts w:ascii="宋体" w:hAnsi="宋体"/>
                <w:color w:val="000000"/>
                <w:sz w:val="24"/>
              </w:rPr>
              <w:t>有，具体情形：_____。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4"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13．1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left="1592" w:hanging="1592"/>
              <w:jc w:val="center"/>
              <w:rPr>
                <w:rFonts w:ascii="宋体" w:hAnsi="宋体" w:cs="宋体"/>
                <w:color w:val="000000"/>
                <w:sz w:val="24"/>
                <w:szCs w:val="24"/>
              </w:rPr>
            </w:pPr>
            <w:r>
              <w:rPr>
                <w:rFonts w:hint="eastAsia" w:ascii="宋体" w:hAnsi="宋体" w:cs="宋体"/>
                <w:color w:val="000000"/>
                <w:sz w:val="24"/>
                <w:szCs w:val="24"/>
              </w:rPr>
              <w:t>投标有效期</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ind w:left="1592" w:hanging="1592"/>
              <w:jc w:val="left"/>
              <w:rPr>
                <w:rFonts w:ascii="宋体" w:hAnsi="宋体" w:cs="宋体"/>
                <w:color w:val="000000"/>
                <w:sz w:val="24"/>
                <w:szCs w:val="24"/>
                <w:u w:val="single"/>
              </w:rPr>
            </w:pPr>
            <w:r>
              <w:rPr>
                <w:rFonts w:ascii="宋体" w:hAnsi="宋体"/>
                <w:color w:val="000000"/>
                <w:sz w:val="24"/>
              </w:rPr>
              <w:t>自提交投标文件的截止之日起算</w:t>
            </w:r>
            <w:r>
              <w:rPr>
                <w:rFonts w:ascii="宋体" w:hAnsi="宋体"/>
                <w:color w:val="000000"/>
                <w:sz w:val="24"/>
                <w:u w:val="single"/>
              </w:rPr>
              <w:t>_</w:t>
            </w:r>
            <w:r>
              <w:rPr>
                <w:rFonts w:hint="eastAsia" w:ascii="宋体" w:hAnsi="宋体"/>
                <w:color w:val="000000"/>
                <w:sz w:val="24"/>
                <w:u w:val="single"/>
              </w:rPr>
              <w:t>90</w:t>
            </w:r>
            <w:r>
              <w:rPr>
                <w:rFonts w:ascii="宋体" w:hAnsi="宋体"/>
                <w:color w:val="000000"/>
                <w:sz w:val="24"/>
                <w:u w:val="single"/>
              </w:rPr>
              <w:t>_</w:t>
            </w:r>
            <w:r>
              <w:rPr>
                <w:rFonts w:ascii="宋体" w:hAnsi="宋体"/>
                <w:color w:val="000000"/>
                <w:sz w:val="24"/>
              </w:rPr>
              <w:t>日历天。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14．1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投标文件的</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份数</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投标文件：正本</w:t>
            </w:r>
            <w:r>
              <w:rPr>
                <w:rFonts w:hint="eastAsia" w:ascii="宋体" w:hAnsi="宋体" w:cs="宋体"/>
                <w:color w:val="000000"/>
                <w:sz w:val="24"/>
                <w:szCs w:val="24"/>
                <w:u w:val="single"/>
              </w:rPr>
              <w:t>壹</w:t>
            </w:r>
            <w:r>
              <w:rPr>
                <w:rFonts w:hint="eastAsia" w:ascii="宋体" w:hAnsi="宋体" w:cs="宋体"/>
                <w:color w:val="000000"/>
                <w:sz w:val="24"/>
                <w:szCs w:val="24"/>
              </w:rPr>
              <w:t>份、副本</w:t>
            </w:r>
            <w:r>
              <w:rPr>
                <w:rFonts w:hint="eastAsia" w:ascii="宋体" w:hAnsi="宋体" w:cs="宋体"/>
                <w:color w:val="000000"/>
                <w:sz w:val="24"/>
                <w:szCs w:val="24"/>
                <w:u w:val="single"/>
              </w:rPr>
              <w:t>肆</w:t>
            </w:r>
            <w:r>
              <w:rPr>
                <w:rFonts w:hint="eastAsia" w:ascii="宋体" w:hAnsi="宋体" w:cs="宋体"/>
                <w:color w:val="000000"/>
                <w:sz w:val="24"/>
                <w:szCs w:val="24"/>
              </w:rPr>
              <w:t>份，电子版</w:t>
            </w:r>
            <w:r>
              <w:rPr>
                <w:rFonts w:hint="eastAsia" w:ascii="宋体" w:hAnsi="宋体" w:cs="宋体"/>
                <w:color w:val="000000"/>
                <w:sz w:val="24"/>
                <w:szCs w:val="24"/>
                <w:u w:val="single"/>
              </w:rPr>
              <w:t>壹</w:t>
            </w:r>
            <w:r>
              <w:rPr>
                <w:rFonts w:hint="eastAsia" w:ascii="宋体" w:hAnsi="宋体" w:cs="宋体"/>
                <w:color w:val="000000"/>
                <w:sz w:val="24"/>
                <w:szCs w:val="24"/>
              </w:rPr>
              <w:t>份（word版和正本盖章后彩色扫描pdf版），以</w:t>
            </w:r>
            <w:r>
              <w:rPr>
                <w:rFonts w:hint="eastAsia" w:ascii="宋体" w:hAnsi="宋体" w:cs="宋体"/>
                <w:color w:val="000000"/>
                <w:sz w:val="24"/>
                <w:szCs w:val="24"/>
                <w:u w:val="single"/>
              </w:rPr>
              <w:t>u盘</w:t>
            </w:r>
            <w:r>
              <w:rPr>
                <w:rFonts w:hint="eastAsia" w:ascii="宋体" w:hAnsi="宋体" w:cs="宋体"/>
                <w:color w:val="000000"/>
                <w:sz w:val="24"/>
                <w:szCs w:val="24"/>
              </w:rPr>
              <w:t>等形式现场提供。</w:t>
            </w:r>
          </w:p>
          <w:p>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开标一览表：单独密封递交纸质文件</w:t>
            </w:r>
            <w:r>
              <w:rPr>
                <w:rFonts w:hint="eastAsia" w:ascii="宋体" w:hAnsi="宋体" w:cs="宋体"/>
                <w:color w:val="000000"/>
                <w:sz w:val="24"/>
                <w:szCs w:val="24"/>
                <w:u w:val="single"/>
              </w:rPr>
              <w:t>壹</w:t>
            </w:r>
            <w:r>
              <w:rPr>
                <w:rFonts w:hint="eastAsia" w:ascii="宋体" w:hAnsi="宋体" w:cs="宋体"/>
                <w:color w:val="000000"/>
                <w:sz w:val="24"/>
                <w:szCs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15</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投标文件的装订、密封和标记</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color w:val="000000"/>
                <w:sz w:val="24"/>
                <w:szCs w:val="24"/>
                <w:u w:val="single"/>
              </w:rPr>
            </w:pPr>
            <w:r>
              <w:rPr>
                <w:rFonts w:hint="eastAsia" w:ascii="宋体" w:hAnsi="宋体" w:cs="宋体"/>
                <w:color w:val="000000"/>
                <w:sz w:val="24"/>
                <w:szCs w:val="24"/>
              </w:rPr>
              <w:t>见《投标人须知》。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18</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18．1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投标文件的提交和截止时间</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投标文件递交地点：北京市京发招标有限公司</w:t>
            </w:r>
            <w:r>
              <w:rPr>
                <w:rFonts w:hint="eastAsia" w:ascii="宋体" w:hAnsi="宋体" w:cs="宋体"/>
                <w:sz w:val="24"/>
                <w:szCs w:val="24"/>
                <w:lang w:val="en-US" w:eastAsia="zh-CN"/>
              </w:rPr>
              <w:t>315</w:t>
            </w:r>
            <w:r>
              <w:rPr>
                <w:rFonts w:hint="eastAsia" w:ascii="宋体" w:hAnsi="宋体" w:cs="宋体"/>
                <w:sz w:val="24"/>
                <w:szCs w:val="24"/>
              </w:rPr>
              <w:t>会议室。</w:t>
            </w:r>
          </w:p>
          <w:p>
            <w:pPr>
              <w:snapToGrid w:val="0"/>
              <w:spacing w:line="360" w:lineRule="auto"/>
              <w:jc w:val="left"/>
              <w:rPr>
                <w:rFonts w:ascii="宋体" w:hAnsi="宋体" w:cs="宋体"/>
                <w:sz w:val="24"/>
                <w:szCs w:val="24"/>
              </w:rPr>
            </w:pPr>
            <w:r>
              <w:rPr>
                <w:rFonts w:hint="eastAsia" w:ascii="宋体" w:hAnsi="宋体" w:cs="宋体"/>
                <w:sz w:val="24"/>
                <w:szCs w:val="24"/>
              </w:rPr>
              <w:t>投标截止时间：</w:t>
            </w:r>
            <w:r>
              <w:rPr>
                <w:rFonts w:hint="eastAsia" w:ascii="宋体" w:hAnsi="宋体" w:cs="宋体"/>
                <w:sz w:val="24"/>
                <w:szCs w:val="24"/>
                <w:u w:val="single"/>
              </w:rPr>
              <w:t>2024年</w:t>
            </w:r>
            <w:r>
              <w:rPr>
                <w:rFonts w:hint="eastAsia" w:ascii="宋体" w:hAnsi="宋体" w:cs="宋体"/>
                <w:sz w:val="24"/>
                <w:szCs w:val="24"/>
                <w:u w:val="single"/>
                <w:lang w:val="en-US" w:eastAsia="zh-CN"/>
              </w:rPr>
              <w:t>8</w:t>
            </w:r>
            <w:r>
              <w:rPr>
                <w:rFonts w:hint="eastAsia" w:ascii="宋体" w:hAnsi="宋体" w:cs="宋体"/>
                <w:sz w:val="24"/>
                <w:szCs w:val="24"/>
                <w:u w:val="single"/>
              </w:rPr>
              <w:t>月</w:t>
            </w:r>
            <w:r>
              <w:rPr>
                <w:rFonts w:hint="eastAsia" w:ascii="宋体" w:hAnsi="宋体" w:cs="宋体"/>
                <w:sz w:val="24"/>
                <w:szCs w:val="24"/>
                <w:u w:val="single"/>
                <w:lang w:val="en-US" w:eastAsia="zh-CN"/>
              </w:rPr>
              <w:t>28</w:t>
            </w:r>
            <w:r>
              <w:rPr>
                <w:rFonts w:hint="eastAsia" w:ascii="宋体" w:hAnsi="宋体" w:cs="宋体"/>
                <w:sz w:val="24"/>
                <w:szCs w:val="24"/>
                <w:u w:val="single"/>
              </w:rPr>
              <w:t>日9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21．1</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开标时间和开标地点</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sz w:val="24"/>
                <w:szCs w:val="24"/>
              </w:rPr>
            </w:pPr>
            <w:r>
              <w:rPr>
                <w:rFonts w:hint="eastAsia" w:ascii="宋体" w:hAnsi="宋体" w:cs="宋体"/>
                <w:sz w:val="24"/>
                <w:szCs w:val="24"/>
              </w:rPr>
              <w:t>开标时间：</w:t>
            </w:r>
            <w:r>
              <w:rPr>
                <w:rFonts w:hint="eastAsia" w:ascii="宋体" w:hAnsi="宋体" w:cs="宋体"/>
                <w:sz w:val="24"/>
                <w:szCs w:val="24"/>
                <w:u w:val="single"/>
              </w:rPr>
              <w:t>2</w:t>
            </w:r>
            <w:r>
              <w:rPr>
                <w:rFonts w:hint="eastAsia" w:ascii="宋体" w:hAnsi="宋体" w:cs="宋体"/>
                <w:color w:val="auto"/>
                <w:sz w:val="24"/>
                <w:szCs w:val="24"/>
                <w:u w:val="single"/>
              </w:rPr>
              <w:t>024年</w:t>
            </w:r>
            <w:r>
              <w:rPr>
                <w:rFonts w:hint="eastAsia" w:ascii="宋体" w:hAnsi="宋体" w:cs="宋体"/>
                <w:color w:val="auto"/>
                <w:sz w:val="24"/>
                <w:szCs w:val="24"/>
                <w:u w:val="single"/>
                <w:lang w:val="en-US" w:eastAsia="zh-CN"/>
              </w:rPr>
              <w:t>8</w:t>
            </w:r>
            <w:r>
              <w:rPr>
                <w:rFonts w:hint="eastAsia" w:ascii="宋体" w:hAnsi="宋体" w:cs="宋体"/>
                <w:color w:val="auto"/>
                <w:sz w:val="24"/>
                <w:szCs w:val="24"/>
                <w:u w:val="single"/>
              </w:rPr>
              <w:t>月</w:t>
            </w:r>
            <w:r>
              <w:rPr>
                <w:rFonts w:hint="eastAsia" w:ascii="宋体" w:hAnsi="宋体" w:cs="宋体"/>
                <w:color w:val="auto"/>
                <w:sz w:val="24"/>
                <w:szCs w:val="24"/>
                <w:u w:val="single"/>
                <w:lang w:val="en-US" w:eastAsia="zh-CN"/>
              </w:rPr>
              <w:t>28</w:t>
            </w:r>
            <w:r>
              <w:rPr>
                <w:rFonts w:hint="eastAsia" w:ascii="宋体" w:hAnsi="宋体" w:cs="宋体"/>
                <w:sz w:val="24"/>
                <w:szCs w:val="24"/>
                <w:u w:val="single"/>
              </w:rPr>
              <w:t>日9</w:t>
            </w:r>
            <w:r>
              <w:rPr>
                <w:rFonts w:hint="eastAsia" w:ascii="宋体" w:hAnsi="宋体" w:cs="宋体"/>
                <w:sz w:val="24"/>
                <w:szCs w:val="24"/>
              </w:rPr>
              <w:t>时</w:t>
            </w:r>
            <w:r>
              <w:rPr>
                <w:rFonts w:hint="eastAsia" w:ascii="宋体" w:hAnsi="宋体" w:cs="宋体"/>
                <w:sz w:val="24"/>
                <w:szCs w:val="24"/>
                <w:u w:val="single"/>
              </w:rPr>
              <w:t>30</w:t>
            </w:r>
            <w:r>
              <w:rPr>
                <w:rFonts w:hint="eastAsia" w:ascii="宋体" w:hAnsi="宋体" w:cs="宋体"/>
                <w:sz w:val="24"/>
                <w:szCs w:val="24"/>
              </w:rPr>
              <w:t>分。</w:t>
            </w:r>
          </w:p>
          <w:p>
            <w:pPr>
              <w:snapToGrid w:val="0"/>
              <w:spacing w:line="360" w:lineRule="auto"/>
              <w:jc w:val="left"/>
              <w:rPr>
                <w:rFonts w:ascii="宋体" w:hAnsi="宋体" w:cs="宋体"/>
                <w:sz w:val="24"/>
                <w:szCs w:val="24"/>
              </w:rPr>
            </w:pPr>
            <w:r>
              <w:rPr>
                <w:rFonts w:hint="eastAsia" w:ascii="宋体" w:hAnsi="宋体" w:cs="宋体"/>
                <w:sz w:val="24"/>
                <w:szCs w:val="24"/>
              </w:rPr>
              <w:t>开标地点：</w:t>
            </w:r>
            <w:r>
              <w:rPr>
                <w:rFonts w:hint="eastAsia" w:ascii="宋体" w:hAnsi="宋体" w:cs="宋体"/>
                <w:sz w:val="24"/>
                <w:szCs w:val="24"/>
                <w:highlight w:val="none"/>
              </w:rPr>
              <w:t>北京市京发招标有限公司</w:t>
            </w:r>
            <w:r>
              <w:rPr>
                <w:rFonts w:hint="eastAsia" w:ascii="宋体" w:hAnsi="宋体" w:cs="宋体"/>
                <w:sz w:val="24"/>
                <w:szCs w:val="24"/>
                <w:highlight w:val="none"/>
                <w:lang w:val="en-US" w:eastAsia="zh-CN"/>
              </w:rPr>
              <w:t>315</w:t>
            </w:r>
            <w:r>
              <w:rPr>
                <w:rFonts w:hint="eastAsia" w:ascii="宋体" w:hAnsi="宋体" w:cs="宋体"/>
                <w:sz w:val="24"/>
                <w:szCs w:val="24"/>
                <w:highlight w:val="none"/>
              </w:rPr>
              <w:t>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27</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评标方法和</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标准</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color w:val="000000"/>
                <w:sz w:val="24"/>
                <w:szCs w:val="24"/>
              </w:rPr>
            </w:pPr>
            <w:r>
              <w:rPr>
                <w:rFonts w:hint="eastAsia" w:ascii="宋体" w:hAnsi="宋体" w:cs="宋体"/>
                <w:bCs/>
                <w:color w:val="000000"/>
                <w:sz w:val="24"/>
                <w:szCs w:val="24"/>
              </w:rPr>
              <w:t>■</w:t>
            </w:r>
            <w:r>
              <w:rPr>
                <w:rFonts w:hint="eastAsia" w:ascii="宋体" w:hAnsi="宋体" w:cs="宋体"/>
                <w:color w:val="000000"/>
                <w:sz w:val="24"/>
                <w:szCs w:val="24"/>
                <w:highlight w:val="none"/>
              </w:rPr>
              <w:t>综合评分法。</w:t>
            </w:r>
          </w:p>
          <w:p>
            <w:pPr>
              <w:snapToGrid w:val="0"/>
              <w:spacing w:line="360" w:lineRule="auto"/>
              <w:jc w:val="left"/>
              <w:rPr>
                <w:color w:val="000000"/>
              </w:rPr>
            </w:pPr>
            <w:r>
              <w:rPr>
                <w:rFonts w:ascii="宋体" w:hAnsi="宋体" w:cs="宋体"/>
                <w:bCs/>
                <w:color w:val="000000"/>
                <w:sz w:val="24"/>
                <w:szCs w:val="24"/>
              </w:rPr>
              <w:t>□</w:t>
            </w:r>
            <w:r>
              <w:rPr>
                <w:rFonts w:ascii="宋体" w:hAnsi="宋体" w:cs="宋体"/>
                <w:color w:val="000000"/>
                <w:sz w:val="24"/>
                <w:szCs w:val="24"/>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29</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中标候选人的推荐原则</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olor w:val="000000"/>
                <w:sz w:val="24"/>
                <w:szCs w:val="24"/>
              </w:rPr>
            </w:pPr>
            <w:r>
              <w:rPr>
                <w:rFonts w:hint="eastAsia" w:ascii="宋体" w:hAnsi="宋体" w:cs="宋体"/>
                <w:color w:val="000000"/>
                <w:sz w:val="24"/>
                <w:szCs w:val="24"/>
              </w:rPr>
              <w:t>评标委员会按评审后得分由高到低顺序排列，推荐</w:t>
            </w:r>
            <w:r>
              <w:rPr>
                <w:rFonts w:hint="eastAsia" w:ascii="宋体" w:hAnsi="宋体" w:cs="宋体"/>
                <w:color w:val="000000"/>
                <w:sz w:val="24"/>
                <w:szCs w:val="24"/>
                <w:u w:val="single"/>
              </w:rPr>
              <w:t>3</w:t>
            </w:r>
            <w:r>
              <w:rPr>
                <w:rFonts w:hint="eastAsia" w:ascii="宋体" w:hAnsi="宋体" w:cs="宋体"/>
                <w:color w:val="000000"/>
                <w:sz w:val="24"/>
                <w:szCs w:val="24"/>
              </w:rPr>
              <w:t>名</w:t>
            </w:r>
            <w:r>
              <w:rPr>
                <w:rFonts w:ascii="宋体" w:hAnsi="宋体" w:cs="宋体"/>
                <w:color w:val="000000"/>
                <w:sz w:val="24"/>
                <w:szCs w:val="24"/>
              </w:rPr>
              <w:t>中标</w:t>
            </w:r>
            <w:r>
              <w:rPr>
                <w:rFonts w:hint="eastAsia" w:ascii="宋体" w:hAnsi="宋体" w:cs="宋体"/>
                <w:color w:val="000000"/>
                <w:sz w:val="24"/>
                <w:szCs w:val="24"/>
              </w:rPr>
              <w:t>候选人。得分相同的，按投标报价由低到高顺序排列，得分且投标报价相同的，按技术得分由高到低排列。</w:t>
            </w:r>
            <w:r>
              <w:rPr>
                <w:rFonts w:hint="eastAsia" w:ascii="宋体" w:hAnsi="宋体"/>
                <w:color w:val="000000"/>
                <w:sz w:val="24"/>
                <w:szCs w:val="24"/>
              </w:rPr>
              <w:t>得分、投标报价且技术得分相同的，采取随机抽取方式确定。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30</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确定中标人</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bCs/>
                <w:color w:val="000000"/>
                <w:sz w:val="24"/>
                <w:szCs w:val="24"/>
              </w:rPr>
            </w:pPr>
            <w:r>
              <w:rPr>
                <w:rFonts w:hint="eastAsia" w:ascii="宋体" w:hAnsi="宋体" w:cs="宋体"/>
                <w:bCs/>
                <w:color w:val="000000"/>
                <w:sz w:val="24"/>
                <w:szCs w:val="24"/>
              </w:rPr>
              <w:t>采购人将在评标报告确定的</w:t>
            </w:r>
            <w:r>
              <w:rPr>
                <w:rFonts w:ascii="宋体" w:hAnsi="宋体" w:cs="宋体"/>
                <w:bCs/>
                <w:color w:val="000000"/>
                <w:sz w:val="24"/>
                <w:szCs w:val="24"/>
              </w:rPr>
              <w:t>中标</w:t>
            </w:r>
            <w:r>
              <w:rPr>
                <w:rFonts w:hint="eastAsia" w:ascii="宋体" w:hAnsi="宋体" w:cs="宋体"/>
                <w:bCs/>
                <w:color w:val="000000"/>
                <w:sz w:val="24"/>
                <w:szCs w:val="24"/>
              </w:rPr>
              <w:t>候选人名单中按顺序确定中标人。</w:t>
            </w:r>
          </w:p>
          <w:p>
            <w:pPr>
              <w:snapToGrid w:val="0"/>
              <w:spacing w:line="360" w:lineRule="auto"/>
              <w:jc w:val="left"/>
              <w:rPr>
                <w:rFonts w:ascii="宋体" w:hAnsi="宋体" w:cs="宋体"/>
                <w:bCs/>
                <w:color w:val="000000"/>
                <w:sz w:val="24"/>
                <w:szCs w:val="24"/>
              </w:rPr>
            </w:pPr>
            <w:r>
              <w:rPr>
                <w:rFonts w:ascii="宋体" w:hAnsi="宋体" w:cs="宋体"/>
                <w:bCs/>
                <w:color w:val="000000"/>
                <w:sz w:val="24"/>
                <w:szCs w:val="24"/>
              </w:rPr>
              <w:t>中标候选人并列的，采购人是否委托评标委员会确定中标人：</w:t>
            </w:r>
            <w:r>
              <w:rPr>
                <w:rFonts w:hint="eastAsia" w:ascii="宋体" w:hAnsi="宋体" w:cs="宋体"/>
                <w:bCs/>
                <w:color w:val="000000"/>
                <w:sz w:val="24"/>
                <w:szCs w:val="24"/>
              </w:rPr>
              <w:t>■</w:t>
            </w:r>
            <w:r>
              <w:rPr>
                <w:rFonts w:ascii="宋体" w:hAnsi="宋体" w:cs="宋体"/>
                <w:bCs/>
                <w:color w:val="000000"/>
                <w:sz w:val="24"/>
                <w:szCs w:val="24"/>
              </w:rPr>
              <w:t>否□是</w:t>
            </w:r>
          </w:p>
          <w:p>
            <w:pPr>
              <w:snapToGrid w:val="0"/>
              <w:spacing w:line="360" w:lineRule="auto"/>
              <w:jc w:val="left"/>
              <w:rPr>
                <w:rFonts w:ascii="宋体" w:hAnsi="宋体" w:cs="宋体"/>
                <w:bCs/>
                <w:color w:val="000000"/>
                <w:sz w:val="24"/>
                <w:szCs w:val="24"/>
              </w:rPr>
            </w:pPr>
            <w:r>
              <w:rPr>
                <w:rFonts w:ascii="宋体" w:hAnsi="宋体" w:cs="宋体"/>
                <w:bCs/>
                <w:color w:val="000000"/>
                <w:sz w:val="24"/>
                <w:szCs w:val="24"/>
              </w:rPr>
              <w:t xml:space="preserve">中标候选人并列的，按照以下方式确定中标人： </w:t>
            </w:r>
          </w:p>
          <w:p>
            <w:pPr>
              <w:snapToGrid w:val="0"/>
              <w:spacing w:line="360" w:lineRule="auto"/>
              <w:jc w:val="left"/>
              <w:rPr>
                <w:rFonts w:ascii="宋体" w:hAnsi="宋体" w:cs="宋体"/>
                <w:bCs/>
                <w:color w:val="000000"/>
                <w:sz w:val="24"/>
                <w:szCs w:val="24"/>
              </w:rPr>
            </w:pPr>
            <w:r>
              <w:rPr>
                <w:rFonts w:ascii="宋体" w:hAnsi="宋体" w:cs="宋体"/>
                <w:bCs/>
                <w:color w:val="000000"/>
                <w:sz w:val="24"/>
                <w:szCs w:val="24"/>
              </w:rPr>
              <w:t>□得分且投标报价均相同的，以</w:t>
            </w:r>
            <w:r>
              <w:rPr>
                <w:rFonts w:hint="eastAsia" w:ascii="宋体" w:hAnsi="宋体" w:cs="宋体"/>
                <w:bCs/>
                <w:color w:val="000000"/>
                <w:sz w:val="24"/>
                <w:szCs w:val="24"/>
                <w:u w:val="single"/>
              </w:rPr>
              <w:t>/</w:t>
            </w:r>
            <w:r>
              <w:rPr>
                <w:rFonts w:ascii="宋体" w:hAnsi="宋体" w:cs="宋体"/>
                <w:bCs/>
                <w:color w:val="000000"/>
                <w:sz w:val="24"/>
                <w:szCs w:val="24"/>
              </w:rPr>
              <w:t>得分高者为中标人</w:t>
            </w:r>
            <w:r>
              <w:rPr>
                <w:rFonts w:hint="eastAsia" w:ascii="宋体" w:hAnsi="宋体" w:cs="宋体"/>
                <w:bCs/>
                <w:color w:val="000000"/>
                <w:sz w:val="24"/>
                <w:szCs w:val="24"/>
              </w:rPr>
              <w:t>。</w:t>
            </w:r>
          </w:p>
          <w:p>
            <w:pPr>
              <w:snapToGrid w:val="0"/>
              <w:spacing w:line="360" w:lineRule="auto"/>
              <w:jc w:val="left"/>
              <w:rPr>
                <w:rFonts w:ascii="宋体" w:hAns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随机抽取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33</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履约保证金</w:t>
            </w:r>
          </w:p>
        </w:tc>
        <w:tc>
          <w:tcPr>
            <w:tcW w:w="5663" w:type="dxa"/>
            <w:tcBorders>
              <w:top w:val="single" w:color="auto" w:sz="6" w:space="0"/>
              <w:left w:val="single" w:color="auto" w:sz="6" w:space="0"/>
              <w:bottom w:val="single" w:color="auto" w:sz="6" w:space="0"/>
              <w:right w:val="single" w:color="auto" w:sz="12" w:space="0"/>
            </w:tcBorders>
            <w:vAlign w:val="center"/>
          </w:tcPr>
          <w:p>
            <w:pPr>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□中标人应在合同签订后</w:t>
            </w:r>
            <w:r>
              <w:rPr>
                <w:rFonts w:hint="eastAsia" w:ascii="宋体" w:hAnsi="宋体" w:cs="宋体"/>
                <w:color w:val="000000"/>
                <w:sz w:val="24"/>
                <w:szCs w:val="24"/>
                <w:u w:val="single"/>
              </w:rPr>
              <w:t xml:space="preserve"> / </w:t>
            </w:r>
            <w:r>
              <w:rPr>
                <w:rFonts w:hint="eastAsia" w:ascii="宋体" w:hAnsi="宋体" w:cs="宋体"/>
                <w:color w:val="000000"/>
                <w:sz w:val="24"/>
                <w:szCs w:val="24"/>
              </w:rPr>
              <w:t>日内，按约定的方式向采购人提交</w:t>
            </w:r>
            <w:r>
              <w:rPr>
                <w:rFonts w:hint="eastAsia" w:ascii="宋体" w:hAnsi="宋体" w:cs="宋体"/>
                <w:color w:val="000000"/>
                <w:sz w:val="24"/>
                <w:szCs w:val="24"/>
                <w:u w:val="single"/>
              </w:rPr>
              <w:t>/</w:t>
            </w:r>
            <w:r>
              <w:rPr>
                <w:rFonts w:hint="eastAsia" w:ascii="宋体" w:hAnsi="宋体" w:cs="宋体"/>
                <w:color w:val="000000"/>
                <w:sz w:val="24"/>
                <w:szCs w:val="24"/>
              </w:rPr>
              <w:t>的履约保证金。</w:t>
            </w:r>
          </w:p>
          <w:p>
            <w:pPr>
              <w:snapToGrid w:val="0"/>
              <w:spacing w:line="360" w:lineRule="auto"/>
              <w:jc w:val="left"/>
              <w:rPr>
                <w:rFonts w:ascii="宋体" w:hAnsi="宋体" w:cs="宋体"/>
                <w:color w:val="000000"/>
                <w:sz w:val="24"/>
                <w:szCs w:val="24"/>
              </w:rPr>
            </w:pPr>
            <w:r>
              <w:rPr>
                <w:rFonts w:hint="eastAsia" w:ascii="宋体" w:hAnsi="宋体" w:cs="宋体"/>
                <w:bCs/>
                <w:color w:val="000000"/>
                <w:sz w:val="24"/>
                <w:szCs w:val="24"/>
              </w:rPr>
              <w:t>■</w:t>
            </w:r>
            <w:r>
              <w:rPr>
                <w:rFonts w:hint="eastAsia" w:ascii="宋体" w:hAnsi="宋体" w:cs="宋体"/>
                <w:color w:val="000000"/>
                <w:sz w:val="24"/>
                <w:szCs w:val="24"/>
              </w:rPr>
              <w:t>本项目不要求。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第二章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32.8</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分包</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olor w:val="000000"/>
                <w:sz w:val="24"/>
              </w:rPr>
            </w:pPr>
            <w:r>
              <w:rPr>
                <w:rFonts w:ascii="宋体" w:hAnsi="宋体"/>
                <w:color w:val="000000"/>
                <w:sz w:val="24"/>
              </w:rPr>
              <w:t xml:space="preserve">本项目的非主体、非关键性工作是否允许分包： </w:t>
            </w:r>
          </w:p>
          <w:p>
            <w:pPr>
              <w:spacing w:line="360" w:lineRule="auto"/>
              <w:jc w:val="left"/>
              <w:rPr>
                <w:rFonts w:ascii="宋体" w:hAnsi="宋体"/>
                <w:color w:val="000000"/>
                <w:sz w:val="24"/>
              </w:rPr>
            </w:pPr>
            <w:r>
              <w:rPr>
                <w:rFonts w:ascii="宋体" w:hAnsi="宋体" w:cs="宋体"/>
                <w:color w:val="000000"/>
                <w:sz w:val="24"/>
                <w:szCs w:val="24"/>
              </w:rPr>
              <w:t>■</w:t>
            </w:r>
            <w:r>
              <w:rPr>
                <w:rFonts w:ascii="宋体" w:hAnsi="宋体"/>
                <w:color w:val="000000"/>
                <w:sz w:val="24"/>
              </w:rPr>
              <w:t>不允许</w:t>
            </w:r>
            <w:r>
              <w:rPr>
                <w:rFonts w:hint="eastAsia" w:ascii="宋体" w:hAnsi="宋体"/>
                <w:color w:val="000000"/>
                <w:sz w:val="24"/>
              </w:rPr>
              <w:t>。</w:t>
            </w:r>
          </w:p>
          <w:p>
            <w:pPr>
              <w:spacing w:line="360" w:lineRule="auto"/>
              <w:jc w:val="left"/>
              <w:rPr>
                <w:rFonts w:ascii="宋体" w:hAnsi="宋体"/>
                <w:color w:val="000000"/>
                <w:sz w:val="24"/>
              </w:rPr>
            </w:pPr>
            <w:r>
              <w:rPr>
                <w:rFonts w:hint="eastAsia" w:ascii="宋体" w:hAnsi="宋体"/>
                <w:color w:val="000000"/>
                <w:sz w:val="24"/>
              </w:rPr>
              <w:t>□</w:t>
            </w:r>
            <w:r>
              <w:rPr>
                <w:rFonts w:ascii="宋体" w:hAnsi="宋体"/>
                <w:color w:val="000000"/>
                <w:sz w:val="24"/>
              </w:rPr>
              <w:t>允许，具体要求：</w:t>
            </w:r>
          </w:p>
          <w:p>
            <w:pPr>
              <w:spacing w:line="360" w:lineRule="auto"/>
              <w:jc w:val="left"/>
              <w:rPr>
                <w:rFonts w:ascii="宋体" w:hAnsi="宋体"/>
                <w:color w:val="000000"/>
                <w:sz w:val="24"/>
              </w:rPr>
            </w:pPr>
            <w:r>
              <w:rPr>
                <w:rFonts w:ascii="宋体" w:hAnsi="宋体"/>
                <w:color w:val="000000"/>
                <w:sz w:val="24"/>
              </w:rPr>
              <w:t>（1）可以分包履行的具体内容：</w:t>
            </w:r>
            <w:r>
              <w:rPr>
                <w:rFonts w:hint="eastAsia" w:ascii="宋体" w:hAnsi="宋体"/>
                <w:color w:val="000000"/>
                <w:sz w:val="24"/>
                <w:u w:val="single"/>
              </w:rPr>
              <w:t>/</w:t>
            </w:r>
            <w:r>
              <w:rPr>
                <w:rFonts w:ascii="宋体" w:hAnsi="宋体"/>
                <w:color w:val="000000"/>
                <w:sz w:val="24"/>
              </w:rPr>
              <w:t>；</w:t>
            </w:r>
          </w:p>
          <w:p>
            <w:pPr>
              <w:spacing w:line="360" w:lineRule="auto"/>
              <w:jc w:val="left"/>
              <w:rPr>
                <w:rFonts w:ascii="宋体" w:hAnsi="宋体"/>
                <w:color w:val="000000"/>
                <w:sz w:val="24"/>
              </w:rPr>
            </w:pPr>
            <w:r>
              <w:rPr>
                <w:rFonts w:ascii="宋体" w:hAnsi="宋体"/>
                <w:color w:val="000000"/>
                <w:sz w:val="24"/>
              </w:rPr>
              <w:t>（2）允许分包的金额或者比例：</w:t>
            </w:r>
            <w:r>
              <w:rPr>
                <w:rFonts w:hint="eastAsia" w:ascii="宋体" w:hAnsi="宋体"/>
                <w:color w:val="000000"/>
                <w:sz w:val="24"/>
                <w:u w:val="single"/>
              </w:rPr>
              <w:t>/</w:t>
            </w:r>
            <w:r>
              <w:rPr>
                <w:rFonts w:ascii="宋体" w:hAnsi="宋体"/>
                <w:color w:val="000000"/>
                <w:sz w:val="24"/>
              </w:rPr>
              <w:t>；</w:t>
            </w:r>
          </w:p>
          <w:p>
            <w:pPr>
              <w:snapToGrid w:val="0"/>
              <w:spacing w:line="360" w:lineRule="auto"/>
              <w:jc w:val="left"/>
              <w:rPr>
                <w:rFonts w:ascii="宋体" w:hAnsi="宋体" w:cs="宋体"/>
                <w:bCs/>
                <w:color w:val="000000"/>
                <w:sz w:val="24"/>
                <w:szCs w:val="24"/>
              </w:rPr>
            </w:pPr>
            <w:r>
              <w:rPr>
                <w:rFonts w:ascii="宋体" w:hAnsi="宋体"/>
                <w:color w:val="000000"/>
                <w:sz w:val="24"/>
              </w:rPr>
              <w:t>（3）其他要求：</w:t>
            </w:r>
            <w:r>
              <w:rPr>
                <w:rFonts w:hint="eastAsia" w:ascii="宋体" w:hAnsi="宋体"/>
                <w:color w:val="000000"/>
                <w:sz w:val="24"/>
                <w:u w:val="single"/>
              </w:rPr>
              <w:t>/</w:t>
            </w:r>
            <w:r>
              <w:rPr>
                <w:rFonts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ascii="宋体" w:hAnsi="宋体" w:cs="宋体"/>
                <w:color w:val="000000"/>
                <w:sz w:val="24"/>
                <w:szCs w:val="24"/>
              </w:rPr>
              <w:t>第一章</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s="宋体"/>
                <w:color w:val="000000"/>
                <w:sz w:val="24"/>
                <w:szCs w:val="24"/>
              </w:rPr>
            </w:pPr>
            <w:r>
              <w:rPr>
                <w:rFonts w:ascii="宋体" w:hAnsi="宋体"/>
                <w:color w:val="000000"/>
                <w:sz w:val="24"/>
              </w:rPr>
              <w:t>标的所属行业</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olor w:val="auto"/>
                <w:sz w:val="24"/>
                <w:highlight w:val="none"/>
              </w:rPr>
            </w:pPr>
            <w:r>
              <w:rPr>
                <w:rFonts w:ascii="宋体" w:hAnsi="宋体"/>
                <w:color w:val="auto"/>
                <w:sz w:val="24"/>
                <w:highlight w:val="none"/>
              </w:rPr>
              <w:t>本项目采购标的对应的中小企业划分标准所属行业：</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6"/>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Cs/>
                      <w:color w:val="auto"/>
                      <w:sz w:val="24"/>
                      <w:highlight w:val="none"/>
                    </w:rPr>
                  </w:pPr>
                  <w:r>
                    <w:rPr>
                      <w:rFonts w:ascii="宋体" w:hAnsi="宋体"/>
                      <w:bCs/>
                      <w:color w:val="auto"/>
                      <w:sz w:val="24"/>
                      <w:highlight w:val="none"/>
                    </w:rPr>
                    <w:t>标的名称</w:t>
                  </w:r>
                </w:p>
              </w:tc>
              <w:tc>
                <w:tcPr>
                  <w:tcW w:w="2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ascii="宋体" w:hAnsi="宋体"/>
                      <w:color w:val="auto"/>
                      <w:sz w:val="24"/>
                      <w:highlight w:val="none"/>
                    </w:rPr>
                    <w:t>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Cs/>
                      <w:color w:val="auto"/>
                      <w:sz w:val="24"/>
                      <w:highlight w:val="none"/>
                      <w:lang w:eastAsia="zh-CN"/>
                    </w:rPr>
                  </w:pPr>
                  <w:r>
                    <w:rPr>
                      <w:rFonts w:hint="eastAsia" w:ascii="宋体" w:hAnsi="宋体"/>
                      <w:bCs/>
                      <w:color w:val="auto"/>
                      <w:sz w:val="24"/>
                      <w:highlight w:val="none"/>
                      <w:lang w:eastAsia="zh-CN"/>
                    </w:rPr>
                    <w:t>北京地铁无损检测服务</w:t>
                  </w:r>
                </w:p>
              </w:tc>
              <w:tc>
                <w:tcPr>
                  <w:tcW w:w="22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sz w:val="24"/>
                      <w:highlight w:val="none"/>
                    </w:rPr>
                  </w:pPr>
                  <w:r>
                    <w:rPr>
                      <w:rFonts w:hint="eastAsia" w:ascii="宋体" w:hAnsi="宋体" w:cs="宋体"/>
                      <w:color w:val="auto"/>
                      <w:sz w:val="24"/>
                      <w:szCs w:val="24"/>
                      <w:highlight w:val="none"/>
                      <w:u w:val="single"/>
                      <w:lang w:val="en-US" w:eastAsia="zh-CN"/>
                    </w:rPr>
                    <w:t>其他未列明行业</w:t>
                  </w:r>
                </w:p>
              </w:tc>
            </w:tr>
          </w:tbl>
          <w:p>
            <w:pPr>
              <w:snapToGrid w:val="0"/>
              <w:spacing w:line="360" w:lineRule="auto"/>
              <w:rPr>
                <w:rFonts w:ascii="宋体" w:hAnsi="宋体" w:cs="宋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ascii="宋体" w:hAnsi="宋体" w:cs="宋体"/>
                <w:color w:val="000000"/>
                <w:sz w:val="24"/>
                <w:szCs w:val="24"/>
              </w:rPr>
              <w:t>第二章</w:t>
            </w:r>
          </w:p>
          <w:p>
            <w:pPr>
              <w:snapToGrid w:val="0"/>
              <w:spacing w:line="360" w:lineRule="auto"/>
              <w:jc w:val="center"/>
              <w:rPr>
                <w:rFonts w:ascii="宋体" w:hAnsi="宋体"/>
                <w:color w:val="000000"/>
              </w:rPr>
            </w:pPr>
            <w:r>
              <w:rPr>
                <w:rFonts w:hint="eastAsia" w:ascii="宋体" w:hAnsi="宋体" w:cs="宋体"/>
                <w:color w:val="000000"/>
                <w:sz w:val="24"/>
                <w:szCs w:val="24"/>
              </w:rPr>
              <w:t>5.2.4</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olor w:val="000000"/>
                <w:sz w:val="24"/>
              </w:rPr>
            </w:pPr>
            <w:r>
              <w:rPr>
                <w:rFonts w:ascii="宋体" w:hAnsi="宋体"/>
                <w:color w:val="000000"/>
                <w:sz w:val="24"/>
              </w:rPr>
              <w:t>中小企业政策</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olor w:val="000000"/>
                <w:sz w:val="24"/>
              </w:rPr>
            </w:pPr>
            <w:r>
              <w:rPr>
                <w:rFonts w:hint="eastAsia" w:ascii="宋体" w:hAnsi="宋体"/>
                <w:color w:val="000000"/>
                <w:sz w:val="24"/>
              </w:rPr>
              <w:t>□</w:t>
            </w:r>
            <w:r>
              <w:rPr>
                <w:rFonts w:ascii="宋体" w:hAnsi="宋体"/>
                <w:color w:val="000000"/>
                <w:sz w:val="24"/>
              </w:rPr>
              <w:t>本项目不专门面向中小企业预留采购份额。</w:t>
            </w:r>
          </w:p>
          <w:p>
            <w:pPr>
              <w:spacing w:line="360" w:lineRule="auto"/>
              <w:jc w:val="left"/>
              <w:rPr>
                <w:rFonts w:ascii="宋体" w:hAnsi="宋体"/>
                <w:color w:val="000000"/>
                <w:sz w:val="24"/>
              </w:rPr>
            </w:pPr>
            <w:r>
              <w:rPr>
                <w:rFonts w:ascii="宋体" w:hAnsi="宋体" w:cs="宋体"/>
                <w:color w:val="000000"/>
                <w:sz w:val="24"/>
                <w:szCs w:val="24"/>
              </w:rPr>
              <w:t>■</w:t>
            </w:r>
            <w:r>
              <w:rPr>
                <w:rFonts w:ascii="宋体" w:hAnsi="宋体"/>
                <w:color w:val="000000"/>
                <w:sz w:val="24"/>
              </w:rPr>
              <w:t xml:space="preserve">本项目专门面向  </w:t>
            </w:r>
            <w:r>
              <w:rPr>
                <w:rFonts w:hint="eastAsia" w:ascii="宋体" w:hAnsi="宋体"/>
                <w:color w:val="000000"/>
                <w:sz w:val="24"/>
              </w:rPr>
              <w:t>□</w:t>
            </w:r>
            <w:bookmarkStart w:id="747" w:name="_GoBack"/>
            <w:bookmarkEnd w:id="747"/>
            <w:r>
              <w:rPr>
                <w:rFonts w:ascii="宋体" w:hAnsi="宋体"/>
                <w:color w:val="000000"/>
                <w:sz w:val="24"/>
              </w:rPr>
              <w:t>中小</w:t>
            </w:r>
            <w:r>
              <w:rPr>
                <w:rFonts w:ascii="宋体" w:hAnsi="宋体" w:cs="宋体"/>
                <w:color w:val="000000"/>
                <w:sz w:val="24"/>
                <w:szCs w:val="24"/>
              </w:rPr>
              <w:t>■</w:t>
            </w:r>
            <w:r>
              <w:rPr>
                <w:rFonts w:ascii="宋体" w:hAnsi="宋体"/>
                <w:color w:val="000000"/>
                <w:sz w:val="24"/>
              </w:rPr>
              <w:t>小微企业采购。即：提供的服务全部由符合政策要求的</w:t>
            </w:r>
            <w:r>
              <w:rPr>
                <w:rFonts w:hint="eastAsia" w:ascii="宋体" w:hAnsi="宋体"/>
                <w:color w:val="000000"/>
                <w:sz w:val="24"/>
              </w:rPr>
              <w:t>中小/</w:t>
            </w:r>
            <w:r>
              <w:rPr>
                <w:rFonts w:ascii="宋体" w:hAnsi="宋体"/>
                <w:color w:val="000000"/>
                <w:sz w:val="24"/>
              </w:rPr>
              <w:t>小微企业承接。</w:t>
            </w:r>
          </w:p>
          <w:p>
            <w:pPr>
              <w:spacing w:line="360" w:lineRule="auto"/>
              <w:jc w:val="left"/>
              <w:rPr>
                <w:rFonts w:ascii="宋体" w:hAnsi="宋体"/>
                <w:color w:val="000000"/>
                <w:sz w:val="24"/>
              </w:rPr>
            </w:pPr>
            <w:r>
              <w:rPr>
                <w:rFonts w:hint="eastAsia" w:ascii="宋体" w:hAnsi="宋体"/>
                <w:color w:val="000000"/>
                <w:sz w:val="24"/>
              </w:rPr>
              <w:t>□</w:t>
            </w:r>
            <w:r>
              <w:rPr>
                <w:rFonts w:ascii="宋体" w:hAnsi="宋体"/>
                <w:color w:val="000000"/>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olor w:val="000000"/>
                <w:sz w:val="24"/>
                <w:u w:val="single"/>
              </w:rPr>
              <w:t>/</w:t>
            </w:r>
            <w:r>
              <w:rPr>
                <w:rFonts w:hint="eastAsia"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ascii="宋体" w:hAnsi="宋体" w:cs="宋体"/>
                <w:color w:val="000000"/>
                <w:sz w:val="24"/>
                <w:szCs w:val="24"/>
              </w:rPr>
              <w:t>第三章</w:t>
            </w:r>
          </w:p>
          <w:p>
            <w:pPr>
              <w:snapToGrid w:val="0"/>
              <w:spacing w:line="360" w:lineRule="auto"/>
              <w:jc w:val="center"/>
              <w:rPr>
                <w:rFonts w:ascii="宋体" w:hAnsi="宋体"/>
                <w:color w:val="000000"/>
              </w:rPr>
            </w:pPr>
            <w:r>
              <w:rPr>
                <w:rFonts w:hint="eastAsia" w:ascii="宋体" w:hAnsi="宋体" w:cs="宋体"/>
                <w:color w:val="000000"/>
                <w:sz w:val="24"/>
                <w:szCs w:val="24"/>
              </w:rPr>
              <w:t>18</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olor w:val="000000"/>
                <w:sz w:val="24"/>
              </w:rPr>
            </w:pPr>
            <w:r>
              <w:rPr>
                <w:rFonts w:ascii="宋体" w:hAnsi="宋体"/>
                <w:color w:val="000000"/>
                <w:sz w:val="24"/>
              </w:rPr>
              <w:t>样品</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olor w:val="000000"/>
                <w:sz w:val="24"/>
              </w:rPr>
            </w:pPr>
            <w:r>
              <w:rPr>
                <w:rFonts w:ascii="宋体" w:hAnsi="宋体"/>
                <w:color w:val="000000"/>
                <w:sz w:val="24"/>
              </w:rPr>
              <w:t>投标样品递交：</w:t>
            </w:r>
          </w:p>
          <w:p>
            <w:pPr>
              <w:spacing w:line="360" w:lineRule="auto"/>
              <w:jc w:val="left"/>
              <w:rPr>
                <w:rFonts w:ascii="宋体" w:hAnsi="宋体"/>
                <w:color w:val="000000"/>
                <w:sz w:val="24"/>
              </w:rPr>
            </w:pPr>
            <w:r>
              <w:rPr>
                <w:rFonts w:ascii="宋体" w:hAnsi="宋体" w:cs="宋体"/>
                <w:color w:val="000000"/>
                <w:sz w:val="24"/>
                <w:szCs w:val="24"/>
              </w:rPr>
              <w:t>■</w:t>
            </w:r>
            <w:r>
              <w:rPr>
                <w:rFonts w:ascii="宋体" w:hAnsi="宋体"/>
                <w:color w:val="000000"/>
                <w:sz w:val="24"/>
              </w:rPr>
              <w:t>不需要</w:t>
            </w:r>
          </w:p>
          <w:p>
            <w:pPr>
              <w:spacing w:line="360" w:lineRule="auto"/>
              <w:jc w:val="left"/>
              <w:rPr>
                <w:rFonts w:ascii="宋体" w:hAnsi="宋体"/>
                <w:color w:val="000000"/>
                <w:sz w:val="24"/>
              </w:rPr>
            </w:pPr>
            <w:r>
              <w:rPr>
                <w:rFonts w:hint="eastAsia" w:ascii="宋体" w:hAnsi="宋体"/>
                <w:color w:val="000000"/>
                <w:sz w:val="24"/>
              </w:rPr>
              <w:t>□</w:t>
            </w:r>
            <w:r>
              <w:rPr>
                <w:rFonts w:ascii="宋体" w:hAnsi="宋体"/>
                <w:color w:val="000000"/>
                <w:sz w:val="24"/>
              </w:rPr>
              <w:t>需要，具体要求如下：</w:t>
            </w:r>
          </w:p>
          <w:p>
            <w:pPr>
              <w:spacing w:line="360" w:lineRule="auto"/>
              <w:jc w:val="left"/>
              <w:rPr>
                <w:rFonts w:ascii="宋体" w:hAnsi="宋体"/>
                <w:color w:val="000000"/>
                <w:sz w:val="24"/>
                <w:u w:val="single"/>
              </w:rPr>
            </w:pPr>
            <w:r>
              <w:rPr>
                <w:rFonts w:ascii="宋体" w:hAnsi="宋体"/>
                <w:color w:val="000000"/>
                <w:sz w:val="24"/>
              </w:rPr>
              <w:t>（1）样品制作的标准和要求：</w:t>
            </w:r>
            <w:r>
              <w:rPr>
                <w:rFonts w:hint="eastAsia" w:ascii="宋体" w:hAnsi="宋体"/>
                <w:color w:val="000000"/>
                <w:sz w:val="24"/>
                <w:u w:val="single"/>
              </w:rPr>
              <w:t>/</w:t>
            </w:r>
            <w:r>
              <w:rPr>
                <w:rFonts w:ascii="宋体" w:hAnsi="宋体"/>
                <w:color w:val="000000"/>
                <w:sz w:val="24"/>
              </w:rPr>
              <w:t>；</w:t>
            </w:r>
          </w:p>
          <w:p>
            <w:pPr>
              <w:spacing w:line="360" w:lineRule="auto"/>
              <w:jc w:val="left"/>
              <w:rPr>
                <w:rFonts w:ascii="宋体" w:hAnsi="宋体"/>
                <w:color w:val="000000"/>
                <w:sz w:val="24"/>
              </w:rPr>
            </w:pPr>
            <w:r>
              <w:rPr>
                <w:rFonts w:ascii="宋体" w:hAnsi="宋体"/>
                <w:color w:val="000000"/>
                <w:sz w:val="24"/>
              </w:rPr>
              <w:t>（2）是否需要随样品提交相关检测报告：</w:t>
            </w:r>
          </w:p>
          <w:p>
            <w:pPr>
              <w:spacing w:line="360" w:lineRule="auto"/>
              <w:jc w:val="left"/>
              <w:rPr>
                <w:rFonts w:ascii="宋体" w:hAnsi="宋体"/>
                <w:color w:val="000000"/>
                <w:sz w:val="24"/>
              </w:rPr>
            </w:pPr>
            <w:r>
              <w:rPr>
                <w:rFonts w:ascii="宋体" w:hAnsi="宋体"/>
                <w:color w:val="000000"/>
                <w:sz w:val="24"/>
              </w:rPr>
              <w:t>（3）样品递交要求：</w:t>
            </w:r>
            <w:r>
              <w:rPr>
                <w:rFonts w:hint="eastAsia" w:ascii="宋体" w:hAnsi="宋体"/>
                <w:color w:val="000000"/>
                <w:sz w:val="24"/>
                <w:u w:val="single"/>
              </w:rPr>
              <w:t>/</w:t>
            </w:r>
            <w:r>
              <w:rPr>
                <w:rFonts w:ascii="宋体" w:hAnsi="宋体"/>
                <w:color w:val="000000"/>
                <w:sz w:val="24"/>
              </w:rPr>
              <w:t>；</w:t>
            </w:r>
          </w:p>
          <w:p>
            <w:pPr>
              <w:spacing w:line="360" w:lineRule="auto"/>
              <w:jc w:val="left"/>
              <w:rPr>
                <w:rFonts w:ascii="宋体" w:hAnsi="宋体"/>
                <w:color w:val="000000"/>
                <w:sz w:val="24"/>
              </w:rPr>
            </w:pPr>
            <w:r>
              <w:rPr>
                <w:rFonts w:ascii="宋体" w:hAnsi="宋体"/>
                <w:color w:val="000000"/>
                <w:sz w:val="24"/>
              </w:rPr>
              <w:t>（4）未中标人样品退还：</w:t>
            </w:r>
            <w:r>
              <w:rPr>
                <w:rFonts w:hint="eastAsia" w:ascii="宋体" w:hAnsi="宋体"/>
                <w:color w:val="000000"/>
                <w:sz w:val="24"/>
                <w:u w:val="single"/>
              </w:rPr>
              <w:t>/</w:t>
            </w:r>
            <w:r>
              <w:rPr>
                <w:rFonts w:ascii="宋体" w:hAnsi="宋体"/>
                <w:color w:val="000000"/>
                <w:sz w:val="24"/>
              </w:rPr>
              <w:t>；</w:t>
            </w:r>
          </w:p>
          <w:p>
            <w:pPr>
              <w:spacing w:line="360" w:lineRule="auto"/>
              <w:jc w:val="left"/>
              <w:rPr>
                <w:rFonts w:ascii="宋体" w:hAnsi="宋体"/>
                <w:color w:val="000000"/>
                <w:sz w:val="24"/>
                <w:u w:val="single"/>
              </w:rPr>
            </w:pPr>
            <w:r>
              <w:rPr>
                <w:rFonts w:ascii="宋体" w:hAnsi="宋体"/>
                <w:color w:val="000000"/>
                <w:sz w:val="24"/>
              </w:rPr>
              <w:t>（5）中标人样品保管、封存及退还：</w:t>
            </w:r>
            <w:r>
              <w:rPr>
                <w:rFonts w:hint="eastAsia" w:ascii="宋体" w:hAnsi="宋体"/>
                <w:color w:val="000000"/>
                <w:sz w:val="24"/>
                <w:u w:val="single"/>
              </w:rPr>
              <w:t>/</w:t>
            </w:r>
            <w:r>
              <w:rPr>
                <w:rFonts w:ascii="宋体" w:hAnsi="宋体"/>
                <w:color w:val="000000"/>
                <w:sz w:val="24"/>
              </w:rPr>
              <w:t>；</w:t>
            </w:r>
          </w:p>
          <w:p>
            <w:pPr>
              <w:spacing w:line="360" w:lineRule="auto"/>
              <w:jc w:val="left"/>
              <w:rPr>
                <w:rFonts w:ascii="宋体" w:hAnsi="宋体"/>
                <w:color w:val="000000"/>
                <w:sz w:val="24"/>
              </w:rPr>
            </w:pPr>
            <w:r>
              <w:rPr>
                <w:rFonts w:ascii="宋体" w:hAnsi="宋体"/>
                <w:color w:val="000000"/>
                <w:sz w:val="24"/>
              </w:rPr>
              <w:t>（6）其他要求（如有）：</w:t>
            </w:r>
            <w:r>
              <w:rPr>
                <w:rFonts w:hint="eastAsia" w:ascii="宋体" w:hAnsi="宋体"/>
                <w:color w:val="000000"/>
                <w:sz w:val="24"/>
                <w:u w:val="single"/>
              </w:rPr>
              <w:t>/</w:t>
            </w:r>
            <w:r>
              <w:rPr>
                <w:rFonts w:ascii="宋体" w:hAnsi="宋体"/>
                <w:color w:val="000000"/>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1324" w:type="dxa"/>
            <w:tcBorders>
              <w:top w:val="single" w:color="auto" w:sz="6" w:space="0"/>
              <w:left w:val="single" w:color="auto" w:sz="12" w:space="0"/>
              <w:bottom w:val="single" w:color="auto" w:sz="6" w:space="0"/>
              <w:right w:val="single" w:color="auto" w:sz="6" w:space="0"/>
            </w:tcBorders>
            <w:vAlign w:val="center"/>
          </w:tcPr>
          <w:p>
            <w:pPr>
              <w:snapToGrid w:val="0"/>
              <w:spacing w:line="360" w:lineRule="auto"/>
              <w:jc w:val="center"/>
              <w:rPr>
                <w:rFonts w:ascii="宋体" w:hAnsi="宋体" w:cs="宋体"/>
                <w:color w:val="000000"/>
                <w:sz w:val="24"/>
                <w:szCs w:val="24"/>
              </w:rPr>
            </w:pPr>
            <w:r>
              <w:rPr>
                <w:rFonts w:ascii="宋体" w:hAnsi="宋体" w:cs="宋体"/>
                <w:color w:val="000000"/>
                <w:sz w:val="24"/>
                <w:szCs w:val="24"/>
              </w:rPr>
              <w:t>第</w:t>
            </w:r>
            <w:r>
              <w:rPr>
                <w:rFonts w:hint="eastAsia" w:ascii="宋体" w:hAnsi="宋体" w:cs="宋体"/>
                <w:color w:val="000000"/>
                <w:sz w:val="24"/>
                <w:szCs w:val="24"/>
              </w:rPr>
              <w:t>二</w:t>
            </w:r>
            <w:r>
              <w:rPr>
                <w:rFonts w:ascii="宋体" w:hAnsi="宋体" w:cs="宋体"/>
                <w:color w:val="000000"/>
                <w:sz w:val="24"/>
                <w:szCs w:val="24"/>
              </w:rPr>
              <w:t>章</w:t>
            </w:r>
          </w:p>
          <w:p>
            <w:pPr>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35</w:t>
            </w:r>
          </w:p>
        </w:tc>
        <w:tc>
          <w:tcPr>
            <w:tcW w:w="1717" w:type="dxa"/>
            <w:tcBorders>
              <w:top w:val="single" w:color="auto" w:sz="6" w:space="0"/>
              <w:left w:val="single" w:color="auto" w:sz="6" w:space="0"/>
              <w:bottom w:val="single" w:color="auto" w:sz="6" w:space="0"/>
              <w:right w:val="single" w:color="auto" w:sz="6" w:space="0"/>
            </w:tcBorders>
            <w:vAlign w:val="center"/>
          </w:tcPr>
          <w:p>
            <w:pPr>
              <w:snapToGrid w:val="0"/>
              <w:spacing w:line="360" w:lineRule="auto"/>
              <w:ind w:firstLine="48" w:firstLineChars="20"/>
              <w:jc w:val="center"/>
              <w:rPr>
                <w:rFonts w:ascii="宋体" w:hAnsi="宋体"/>
                <w:color w:val="000000"/>
                <w:sz w:val="24"/>
              </w:rPr>
            </w:pPr>
            <w:r>
              <w:rPr>
                <w:rFonts w:hint="eastAsia" w:ascii="宋体" w:hAnsi="宋体"/>
                <w:color w:val="000000"/>
                <w:sz w:val="24"/>
              </w:rPr>
              <w:t>采购代理服务费</w:t>
            </w:r>
          </w:p>
        </w:tc>
        <w:tc>
          <w:tcPr>
            <w:tcW w:w="5663" w:type="dxa"/>
            <w:tcBorders>
              <w:top w:val="single" w:color="auto" w:sz="6" w:space="0"/>
              <w:left w:val="single" w:color="auto" w:sz="6" w:space="0"/>
              <w:bottom w:val="single" w:color="auto" w:sz="6" w:space="0"/>
              <w:right w:val="single" w:color="auto" w:sz="12" w:space="0"/>
            </w:tcBorders>
            <w:vAlign w:val="center"/>
          </w:tcPr>
          <w:p>
            <w:pPr>
              <w:spacing w:line="360" w:lineRule="auto"/>
              <w:jc w:val="left"/>
              <w:rPr>
                <w:rFonts w:ascii="宋体" w:hAnsi="宋体"/>
                <w:color w:val="000000"/>
                <w:sz w:val="24"/>
              </w:rPr>
            </w:pPr>
            <w:r>
              <w:rPr>
                <w:rFonts w:ascii="宋体" w:hAnsi="宋体"/>
                <w:color w:val="000000"/>
                <w:sz w:val="24"/>
              </w:rPr>
              <w:t>收费对象：</w:t>
            </w:r>
          </w:p>
          <w:p>
            <w:pPr>
              <w:spacing w:line="360" w:lineRule="auto"/>
              <w:jc w:val="left"/>
              <w:rPr>
                <w:rFonts w:ascii="宋体" w:hAnsi="宋体"/>
                <w:color w:val="000000"/>
                <w:sz w:val="24"/>
              </w:rPr>
            </w:pPr>
            <w:r>
              <w:rPr>
                <w:rFonts w:hint="eastAsia" w:ascii="宋体" w:hAnsi="宋体"/>
                <w:color w:val="000000"/>
                <w:sz w:val="24"/>
              </w:rPr>
              <w:t>□</w:t>
            </w:r>
            <w:r>
              <w:rPr>
                <w:rFonts w:ascii="宋体" w:hAnsi="宋体"/>
                <w:color w:val="000000"/>
                <w:sz w:val="24"/>
              </w:rPr>
              <w:t>采购人</w:t>
            </w:r>
            <w:r>
              <w:rPr>
                <w:rFonts w:hint="eastAsia" w:ascii="宋体" w:hAnsi="宋体"/>
                <w:color w:val="000000"/>
                <w:sz w:val="24"/>
              </w:rPr>
              <w:t>。</w:t>
            </w:r>
          </w:p>
          <w:p>
            <w:pPr>
              <w:spacing w:line="360" w:lineRule="auto"/>
              <w:jc w:val="left"/>
              <w:rPr>
                <w:rFonts w:ascii="宋体" w:hAnsi="宋体"/>
                <w:color w:val="000000"/>
                <w:sz w:val="24"/>
              </w:rPr>
            </w:pPr>
            <w:r>
              <w:rPr>
                <w:rFonts w:ascii="宋体" w:hAnsi="宋体" w:cs="宋体"/>
                <w:color w:val="000000"/>
                <w:sz w:val="24"/>
                <w:szCs w:val="24"/>
              </w:rPr>
              <w:t>■</w:t>
            </w:r>
            <w:r>
              <w:rPr>
                <w:rFonts w:ascii="宋体" w:hAnsi="宋体"/>
                <w:color w:val="000000"/>
                <w:sz w:val="24"/>
              </w:rPr>
              <w:t>中标人</w:t>
            </w:r>
          </w:p>
          <w:p>
            <w:pPr>
              <w:spacing w:line="360" w:lineRule="auto"/>
              <w:jc w:val="left"/>
              <w:rPr>
                <w:rFonts w:ascii="宋体" w:hAnsi="宋体"/>
                <w:color w:val="000000"/>
                <w:sz w:val="24"/>
              </w:rPr>
            </w:pPr>
            <w:r>
              <w:rPr>
                <w:rFonts w:ascii="宋体" w:hAnsi="宋体"/>
                <w:color w:val="000000"/>
                <w:sz w:val="24"/>
              </w:rPr>
              <w:t>收费标准：</w:t>
            </w:r>
            <w:r>
              <w:rPr>
                <w:rFonts w:hint="eastAsia" w:ascii="宋体" w:hAnsi="宋体"/>
                <w:color w:val="000000"/>
                <w:sz w:val="24"/>
                <w:u w:val="single"/>
              </w:rPr>
              <w:t>参照国家发展计划委员会颁发的《招标</w:t>
            </w:r>
            <w:r>
              <w:rPr>
                <w:rFonts w:ascii="宋体" w:hAnsi="宋体"/>
                <w:color w:val="000000"/>
                <w:sz w:val="24"/>
                <w:u w:val="single"/>
              </w:rPr>
              <w:t>代理</w:t>
            </w:r>
            <w:r>
              <w:rPr>
                <w:rFonts w:hint="eastAsia" w:ascii="宋体" w:hAnsi="宋体"/>
                <w:color w:val="000000"/>
                <w:sz w:val="24"/>
                <w:u w:val="single"/>
              </w:rPr>
              <w:t>服务收费管理暂行办法》（计价格[2002]1980号）和《国家发展改革委办公厅关于</w:t>
            </w:r>
            <w:r>
              <w:rPr>
                <w:rFonts w:ascii="宋体" w:hAnsi="宋体"/>
                <w:color w:val="000000"/>
                <w:sz w:val="24"/>
                <w:u w:val="single"/>
              </w:rPr>
              <w:t>采购代理</w:t>
            </w:r>
            <w:r>
              <w:rPr>
                <w:rFonts w:hint="eastAsia" w:ascii="宋体" w:hAnsi="宋体"/>
                <w:color w:val="000000"/>
                <w:sz w:val="24"/>
                <w:u w:val="single"/>
              </w:rPr>
              <w:t>服务收费有关问题的通知》（发改办价格</w:t>
            </w:r>
            <w:r>
              <w:rPr>
                <w:rFonts w:ascii="宋体" w:hAnsi="宋体"/>
                <w:color w:val="000000"/>
                <w:sz w:val="24"/>
                <w:u w:val="single"/>
              </w:rPr>
              <w:t>[2003]857号）</w:t>
            </w:r>
            <w:r>
              <w:rPr>
                <w:rFonts w:hint="eastAsia" w:ascii="宋体" w:hAnsi="宋体"/>
                <w:color w:val="000000"/>
                <w:sz w:val="24"/>
                <w:u w:val="single"/>
              </w:rPr>
              <w:t>执行。以最终中标金额为基数计算</w:t>
            </w:r>
            <w:r>
              <w:rPr>
                <w:rFonts w:hint="eastAsia" w:ascii="宋体" w:hAnsi="宋体"/>
                <w:color w:val="000000"/>
                <w:sz w:val="24"/>
                <w:u w:val="single"/>
                <w:lang w:eastAsia="zh-CN"/>
              </w:rPr>
              <w:t>，</w:t>
            </w:r>
            <w:r>
              <w:rPr>
                <w:rFonts w:hint="eastAsia" w:ascii="宋体" w:hAnsi="宋体"/>
                <w:color w:val="000000"/>
                <w:sz w:val="24"/>
                <w:u w:val="single"/>
                <w:lang w:val="en-US" w:eastAsia="zh-CN"/>
              </w:rPr>
              <w:t>下浮20%计取</w:t>
            </w:r>
            <w:r>
              <w:rPr>
                <w:rFonts w:ascii="宋体" w:hAnsi="宋体"/>
                <w:color w:val="000000"/>
                <w:sz w:val="24"/>
              </w:rPr>
              <w:t>；</w:t>
            </w:r>
          </w:p>
          <w:p>
            <w:pPr>
              <w:spacing w:line="360" w:lineRule="auto"/>
              <w:jc w:val="left"/>
              <w:rPr>
                <w:rFonts w:ascii="宋体" w:hAnsi="宋体"/>
                <w:color w:val="000000"/>
                <w:sz w:val="24"/>
              </w:rPr>
            </w:pPr>
            <w:r>
              <w:rPr>
                <w:rFonts w:ascii="宋体" w:hAnsi="宋体"/>
                <w:color w:val="000000"/>
                <w:sz w:val="24"/>
              </w:rPr>
              <w:t>缴纳时间：</w:t>
            </w:r>
            <w:r>
              <w:rPr>
                <w:rFonts w:hint="eastAsia" w:ascii="宋体" w:hAnsi="宋体"/>
                <w:color w:val="000000"/>
                <w:sz w:val="24"/>
                <w:u w:val="single"/>
              </w:rPr>
              <w:t>中标人在中标通知书发出之日起5个工作日内向采购代理机构缴付中标服务费</w:t>
            </w:r>
            <w:r>
              <w:rPr>
                <w:rFonts w:ascii="宋体" w:hAnsi="宋体"/>
                <w:color w:val="000000"/>
                <w:sz w:val="24"/>
              </w:rPr>
              <w:t>。</w:t>
            </w:r>
          </w:p>
        </w:tc>
      </w:tr>
    </w:tbl>
    <w:p>
      <w:pPr>
        <w:spacing w:line="276" w:lineRule="auto"/>
        <w:ind w:firstLine="410" w:firstLineChars="170"/>
        <w:rPr>
          <w:rFonts w:ascii="宋体" w:hAnsi="宋体" w:cs="宋体"/>
          <w:color w:val="000000"/>
          <w:sz w:val="24"/>
          <w:szCs w:val="24"/>
        </w:rPr>
      </w:pPr>
      <w:r>
        <w:rPr>
          <w:rFonts w:hint="eastAsia" w:ascii="宋体" w:hAnsi="宋体" w:cs="宋体"/>
          <w:b/>
          <w:bCs/>
          <w:color w:val="000000"/>
          <w:sz w:val="24"/>
          <w:szCs w:val="24"/>
        </w:rPr>
        <w:t>所谓实质上响应的投标文件应该是与招标文件要求的关键条款、条件和规格相符，没有重大偏离的投标。对于关键条款（招标文件中的黑体字部分、招标文件中带有“应、应当、须、必须、不得”等字样的要求），例如关于投标有效期、适用法律等内容的偏离、保留和反对，将被认为是实质上的偏离。</w:t>
      </w:r>
    </w:p>
    <w:p>
      <w:pPr>
        <w:pStyle w:val="44"/>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br w:type="page"/>
      </w:r>
      <w:bookmarkStart w:id="19" w:name="_Toc100786136"/>
      <w:bookmarkStart w:id="20" w:name="_Toc4409"/>
      <w:r>
        <w:rPr>
          <w:rFonts w:hint="eastAsia" w:ascii="宋体" w:hAnsi="宋体" w:eastAsia="宋体" w:cs="宋体"/>
          <w:color w:val="000000"/>
          <w:sz w:val="30"/>
          <w:szCs w:val="30"/>
        </w:rPr>
        <w:t>投标人须知</w:t>
      </w:r>
      <w:bookmarkEnd w:id="19"/>
      <w:bookmarkEnd w:id="20"/>
    </w:p>
    <w:p>
      <w:pPr>
        <w:pStyle w:val="2"/>
        <w:spacing w:line="360" w:lineRule="auto"/>
        <w:rPr>
          <w:rFonts w:ascii="宋体" w:hAnsi="宋体"/>
          <w:color w:val="000000"/>
          <w:sz w:val="24"/>
          <w:szCs w:val="24"/>
        </w:rPr>
      </w:pPr>
      <w:bookmarkStart w:id="21" w:name="_Toc92789198"/>
      <w:bookmarkStart w:id="22" w:name="_Toc8154"/>
      <w:bookmarkStart w:id="23" w:name="_Toc21238"/>
      <w:bookmarkStart w:id="24" w:name="_Toc19912"/>
      <w:bookmarkStart w:id="25" w:name="_Toc447223725"/>
      <w:bookmarkStart w:id="26" w:name="_Toc5034"/>
      <w:bookmarkStart w:id="27" w:name="_Toc100786137"/>
      <w:r>
        <w:rPr>
          <w:rFonts w:hint="eastAsia" w:ascii="宋体" w:hAnsi="宋体"/>
          <w:color w:val="000000"/>
          <w:sz w:val="24"/>
          <w:szCs w:val="24"/>
        </w:rPr>
        <w:t>（一）</w:t>
      </w:r>
      <w:bookmarkEnd w:id="21"/>
      <w:bookmarkEnd w:id="22"/>
      <w:bookmarkEnd w:id="23"/>
      <w:bookmarkEnd w:id="24"/>
      <w:bookmarkEnd w:id="25"/>
      <w:bookmarkEnd w:id="26"/>
      <w:r>
        <w:rPr>
          <w:rFonts w:hint="eastAsia" w:ascii="宋体" w:hAnsi="宋体"/>
          <w:color w:val="000000"/>
          <w:sz w:val="24"/>
          <w:szCs w:val="24"/>
        </w:rPr>
        <w:t>说   明</w:t>
      </w:r>
      <w:bookmarkEnd w:id="27"/>
    </w:p>
    <w:p>
      <w:pPr>
        <w:widowControl/>
        <w:snapToGrid w:val="0"/>
        <w:spacing w:line="360" w:lineRule="auto"/>
        <w:jc w:val="left"/>
        <w:rPr>
          <w:rFonts w:ascii="宋体" w:hAnsi="宋体" w:cs="宋体"/>
          <w:b/>
          <w:color w:val="000000"/>
          <w:sz w:val="24"/>
          <w:szCs w:val="24"/>
        </w:rPr>
      </w:pPr>
      <w:r>
        <w:rPr>
          <w:rFonts w:hint="eastAsia" w:ascii="宋体" w:hAnsi="宋体" w:cs="宋体"/>
          <w:b/>
          <w:color w:val="000000"/>
          <w:sz w:val="24"/>
          <w:szCs w:val="24"/>
        </w:rPr>
        <w:t>1.  招标采购单位及合格的投标人</w:t>
      </w:r>
    </w:p>
    <w:p>
      <w:pPr>
        <w:widowControl/>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1.1  招标采购单位：</w:t>
      </w:r>
      <w:r>
        <w:rPr>
          <w:rFonts w:ascii="宋体" w:hAnsi="宋体"/>
          <w:color w:val="000000"/>
          <w:sz w:val="24"/>
        </w:rPr>
        <w:t>指依法进行政府采购的国家机关、事业单位、团体组织，及其委托的采购代理机构。本项目采购人、采购代理机构见第一章《</w:t>
      </w:r>
      <w:r>
        <w:rPr>
          <w:rFonts w:hint="eastAsia" w:ascii="宋体" w:hAnsi="宋体"/>
          <w:color w:val="000000"/>
          <w:sz w:val="24"/>
        </w:rPr>
        <w:t>投标邀请</w:t>
      </w:r>
      <w:r>
        <w:rPr>
          <w:rFonts w:ascii="宋体" w:hAnsi="宋体"/>
          <w:color w:val="000000"/>
          <w:sz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1.2  满足以下条件的投标人是合格的投标人，可以参加本次投标：</w:t>
      </w:r>
      <w:r>
        <w:rPr>
          <w:rFonts w:ascii="宋体" w:hAnsi="宋体"/>
          <w:color w:val="000000"/>
          <w:sz w:val="24"/>
        </w:rPr>
        <w:t>见第一章《</w:t>
      </w:r>
      <w:r>
        <w:rPr>
          <w:rFonts w:hint="eastAsia" w:ascii="宋体" w:hAnsi="宋体"/>
          <w:color w:val="000000"/>
          <w:sz w:val="24"/>
        </w:rPr>
        <w:t>投标邀请</w:t>
      </w:r>
      <w:r>
        <w:rPr>
          <w:rFonts w:ascii="宋体" w:hAnsi="宋体"/>
          <w:color w:val="000000"/>
          <w:sz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1.3  投标人在投标过程中不得向招标采购单位提供、给予任何有价值的物品，影响其正常决策行为。一经发现，其投标人资格将被取消。</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1.4  投标人应当按照招标文件的要求编制投标文件。投标文件应当对招标文件提出的实质性要求和条件做出响应。投标人应当在招标文件要求提交投标文件的截止时间前，将投标文件密封送达投标地点。</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1.5  招标采购单位在任何时候发现投标人提交的投标文件内容有下列情形之一时，有权依法追究投标人的责任：</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1.5.1</w:t>
      </w:r>
      <w:r>
        <w:rPr>
          <w:rFonts w:hint="eastAsia" w:ascii="宋体" w:hAnsi="宋体" w:cs="宋体"/>
          <w:color w:val="000000"/>
          <w:sz w:val="24"/>
          <w:szCs w:val="24"/>
        </w:rPr>
        <w:tab/>
      </w:r>
      <w:r>
        <w:rPr>
          <w:rFonts w:hint="eastAsia" w:ascii="宋体" w:hAnsi="宋体" w:cs="宋体"/>
          <w:color w:val="000000"/>
          <w:sz w:val="24"/>
          <w:szCs w:val="24"/>
        </w:rPr>
        <w:t xml:space="preserve"> 提供虚假的资料。</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1.5.2</w:t>
      </w:r>
      <w:r>
        <w:rPr>
          <w:rFonts w:hint="eastAsia" w:ascii="宋体" w:hAnsi="宋体" w:cs="宋体"/>
          <w:color w:val="000000"/>
          <w:sz w:val="24"/>
          <w:szCs w:val="24"/>
        </w:rPr>
        <w:tab/>
      </w:r>
      <w:r>
        <w:rPr>
          <w:rFonts w:hint="eastAsia" w:ascii="宋体" w:hAnsi="宋体" w:cs="宋体"/>
          <w:color w:val="000000"/>
          <w:sz w:val="24"/>
          <w:szCs w:val="24"/>
        </w:rPr>
        <w:t xml:space="preserve"> 响应投标实质性要求和条件的内容失实的。</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1.6  政府采购当事人之间不得相互串通投标。</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1.7  投标人不得实施下列法律禁止的行为：</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1.7.1  不同投标人的投标文件由同一单位或者个人编制；</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1.7.2  不同投标人委托同一单位或者个人办理投标事宜；</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1.7.3  不同投标人的投标文件载明的项目管理成员或者联系人员为同一人；</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1.7.4  不同投标人的投标文件异常一致或者投标报价呈规律性差异；</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1.7.5  不同投标人的投标文件相互混装；</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1.7.6  不同投标人的投标保证金从同一单位或者个人的账户转出。</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1.8  投标人不得实施下列法律禁止的行为：</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1.8.1  采取不正当手段诋毁、排挤其他投标人；</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1.8.2  与采购人、其他投标人或者</w:t>
      </w:r>
      <w:r>
        <w:rPr>
          <w:rFonts w:ascii="宋体" w:hAnsi="宋体" w:cs="宋体"/>
          <w:color w:val="000000"/>
          <w:sz w:val="24"/>
          <w:szCs w:val="24"/>
        </w:rPr>
        <w:t>采购人</w:t>
      </w:r>
      <w:r>
        <w:rPr>
          <w:rFonts w:hint="eastAsia" w:ascii="宋体" w:hAnsi="宋体" w:cs="宋体"/>
          <w:color w:val="000000"/>
          <w:sz w:val="24"/>
          <w:szCs w:val="24"/>
        </w:rPr>
        <w:t>(采购代理机构)恶意串通；</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1.8.3  以低于成本的报价竞标；</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1.8.4  向招标采购单位、评标委员会成员行贿或者采取其他不正当手段谋取中标；</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1.8.5  以他人名义投标或者以其他方式弄虚作假，骗取中标。</w:t>
      </w:r>
    </w:p>
    <w:p>
      <w:pPr>
        <w:widowControl/>
        <w:snapToGrid w:val="0"/>
        <w:spacing w:line="360" w:lineRule="auto"/>
        <w:jc w:val="left"/>
        <w:rPr>
          <w:rFonts w:ascii="宋体" w:hAnsi="宋体" w:cs="宋体"/>
          <w:b/>
          <w:color w:val="000000"/>
          <w:sz w:val="24"/>
          <w:szCs w:val="24"/>
          <w:highlight w:val="none"/>
        </w:rPr>
      </w:pPr>
      <w:r>
        <w:rPr>
          <w:rFonts w:hint="eastAsia" w:ascii="宋体" w:hAnsi="宋体" w:cs="宋体"/>
          <w:b/>
          <w:color w:val="000000"/>
          <w:sz w:val="24"/>
          <w:szCs w:val="24"/>
          <w:highlight w:val="none"/>
        </w:rPr>
        <w:t xml:space="preserve">2.  </w:t>
      </w:r>
      <w:r>
        <w:rPr>
          <w:rFonts w:ascii="宋体" w:hAnsi="宋体" w:cs="宋体"/>
          <w:b/>
          <w:color w:val="000000"/>
          <w:sz w:val="24"/>
          <w:szCs w:val="24"/>
          <w:highlight w:val="none"/>
        </w:rPr>
        <w:t>现场考察、开标前答疑会</w:t>
      </w:r>
    </w:p>
    <w:p>
      <w:pPr>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2.1  若《投标人须知资料表》中规定了组织现场考察、召开开标前答疑会，则投标人应按要求在规定的时间和地点参加。</w:t>
      </w:r>
    </w:p>
    <w:p>
      <w:pPr>
        <w:snapToGrid w:val="0"/>
        <w:spacing w:line="360" w:lineRule="auto"/>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 xml:space="preserve">  </w:t>
      </w:r>
      <w:r>
        <w:rPr>
          <w:rFonts w:ascii="宋体" w:hAnsi="宋体" w:cs="宋体"/>
          <w:color w:val="000000"/>
          <w:sz w:val="24"/>
          <w:szCs w:val="24"/>
          <w:highlight w:val="none"/>
        </w:rPr>
        <w:t>由于未参加现场考察或开标前答疑会而导致对项目实际情况不了解，影响投标文件编制、投标报价准确性、综合因素响应不全面等问题的，由投标人自行承担不利评审后果。</w:t>
      </w:r>
    </w:p>
    <w:p>
      <w:pPr>
        <w:widowControl/>
        <w:snapToGrid w:val="0"/>
        <w:spacing w:line="360" w:lineRule="auto"/>
        <w:jc w:val="left"/>
        <w:rPr>
          <w:rFonts w:ascii="宋体" w:hAnsi="宋体" w:cs="宋体"/>
          <w:b/>
          <w:color w:val="000000"/>
          <w:sz w:val="24"/>
          <w:szCs w:val="24"/>
          <w:highlight w:val="none"/>
        </w:rPr>
      </w:pPr>
      <w:r>
        <w:rPr>
          <w:rFonts w:hint="eastAsia" w:ascii="宋体" w:hAnsi="宋体" w:cs="宋体"/>
          <w:b/>
          <w:color w:val="000000"/>
          <w:sz w:val="24"/>
          <w:szCs w:val="24"/>
          <w:highlight w:val="none"/>
        </w:rPr>
        <w:t>3.  联合体（本项目不涉及）</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指两个以上的自然人、法人或者其他组织组成一个联合体，以一个供应商的身份共同参加政府采购。</w:t>
      </w:r>
    </w:p>
    <w:p>
      <w:pPr>
        <w:widowControl/>
        <w:snapToGrid w:val="0"/>
        <w:spacing w:line="360" w:lineRule="auto"/>
        <w:jc w:val="left"/>
        <w:rPr>
          <w:rFonts w:ascii="宋体" w:hAnsi="宋体" w:cs="宋体"/>
          <w:b/>
          <w:color w:val="000000"/>
          <w:sz w:val="24"/>
          <w:szCs w:val="24"/>
        </w:rPr>
      </w:pPr>
      <w:r>
        <w:rPr>
          <w:rFonts w:hint="eastAsia" w:ascii="宋体" w:hAnsi="宋体" w:cs="宋体"/>
          <w:b/>
          <w:color w:val="000000"/>
          <w:sz w:val="24"/>
          <w:szCs w:val="24"/>
        </w:rPr>
        <w:t>4．</w:t>
      </w:r>
      <w:bookmarkStart w:id="28" w:name="_Toc151193690"/>
      <w:bookmarkStart w:id="29" w:name="_Toc305158862"/>
      <w:bookmarkStart w:id="30" w:name="_Toc151193908"/>
      <w:bookmarkStart w:id="31" w:name="_Toc127151520"/>
      <w:bookmarkStart w:id="32" w:name="_Toc127151721"/>
      <w:bookmarkStart w:id="33" w:name="_Toc150509271"/>
      <w:bookmarkStart w:id="34" w:name="_Toc151193618"/>
      <w:bookmarkStart w:id="35" w:name="_Toc226965793"/>
      <w:bookmarkStart w:id="36" w:name="_Toc149720813"/>
      <w:bookmarkStart w:id="37" w:name="_Toc264969210"/>
      <w:bookmarkStart w:id="38" w:name="_Toc164229361"/>
      <w:bookmarkStart w:id="39" w:name="_Toc151190147"/>
      <w:bookmarkStart w:id="40" w:name="_Toc127161434"/>
      <w:bookmarkStart w:id="41" w:name="_Toc265228358"/>
      <w:bookmarkStart w:id="42" w:name="_Toc195842885"/>
      <w:bookmarkStart w:id="43" w:name="_Toc151193762"/>
      <w:bookmarkStart w:id="44" w:name="_Toc164608634"/>
      <w:bookmarkStart w:id="45" w:name="_Toc164229215"/>
      <w:bookmarkStart w:id="46" w:name="_Toc226309764"/>
      <w:bookmarkStart w:id="47" w:name="_Toc226337216"/>
      <w:bookmarkStart w:id="48" w:name="_Toc151193834"/>
      <w:bookmarkStart w:id="49" w:name="_Toc164608789"/>
      <w:bookmarkStart w:id="50" w:name="_Toc150774725"/>
      <w:bookmarkStart w:id="51" w:name="_Toc226965710"/>
      <w:bookmarkStart w:id="52" w:name="_Toc142311022"/>
      <w:bookmarkStart w:id="53" w:name="_Toc150774620"/>
      <w:bookmarkStart w:id="54" w:name="_Toc164351614"/>
      <w:bookmarkStart w:id="55" w:name="_Toc150480758"/>
      <w:bookmarkStart w:id="56" w:name="_Toc305158788"/>
      <w:r>
        <w:rPr>
          <w:rFonts w:ascii="宋体" w:hAnsi="宋体" w:cs="宋体"/>
          <w:b/>
          <w:color w:val="000000"/>
          <w:sz w:val="24"/>
          <w:szCs w:val="24"/>
        </w:rPr>
        <w:t>资金来源</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Pr>
          <w:rFonts w:ascii="宋体" w:hAnsi="宋体" w:cs="宋体"/>
          <w:b/>
          <w:color w:val="000000"/>
          <w:sz w:val="24"/>
          <w:szCs w:val="24"/>
        </w:rPr>
        <w:t>、项目属性、科研仪器设备采购、核心产品</w:t>
      </w:r>
    </w:p>
    <w:p>
      <w:pPr>
        <w:widowControl/>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4.1  第一章《投标邀请》中所述的采购人必须获得足以支付本次招标后所签订的合同项下的款项（财政性资金）</w:t>
      </w:r>
      <w:r>
        <w:rPr>
          <w:rFonts w:hint="eastAsia" w:ascii="宋体" w:hAnsi="宋体" w:cs="宋体"/>
          <w:bCs/>
          <w:color w:val="000000"/>
          <w:kern w:val="0"/>
          <w:sz w:val="24"/>
          <w:szCs w:val="24"/>
        </w:rPr>
        <w:t>，采购金额不得超过</w:t>
      </w:r>
      <w:r>
        <w:rPr>
          <w:rFonts w:hint="eastAsia" w:ascii="宋体" w:hAnsi="宋体" w:cs="宋体"/>
          <w:color w:val="000000"/>
          <w:sz w:val="24"/>
          <w:szCs w:val="24"/>
        </w:rPr>
        <w:t>最高限价或预算金额。</w:t>
      </w:r>
    </w:p>
    <w:p>
      <w:pPr>
        <w:widowControl/>
        <w:snapToGrid w:val="0"/>
        <w:spacing w:line="360" w:lineRule="auto"/>
        <w:ind w:left="480" w:hanging="480" w:hangingChars="200"/>
        <w:jc w:val="left"/>
        <w:rPr>
          <w:rFonts w:ascii="宋体" w:hAnsi="宋体" w:cs="宋体"/>
          <w:b/>
          <w:color w:val="000000"/>
          <w:sz w:val="24"/>
          <w:szCs w:val="24"/>
        </w:rPr>
      </w:pPr>
      <w:r>
        <w:rPr>
          <w:rFonts w:hint="eastAsia" w:ascii="宋体" w:hAnsi="宋体" w:cs="宋体"/>
          <w:color w:val="000000"/>
          <w:sz w:val="24"/>
          <w:szCs w:val="24"/>
        </w:rPr>
        <w:t xml:space="preserve">4.2  </w:t>
      </w:r>
      <w:r>
        <w:rPr>
          <w:rFonts w:hint="eastAsia" w:ascii="宋体" w:hAnsi="宋体" w:cs="宋体"/>
          <w:b/>
          <w:bCs/>
          <w:color w:val="000000"/>
          <w:kern w:val="0"/>
          <w:sz w:val="24"/>
          <w:szCs w:val="24"/>
        </w:rPr>
        <w:t>本次资金来源为</w:t>
      </w:r>
      <w:r>
        <w:rPr>
          <w:rFonts w:hint="eastAsia" w:ascii="宋体" w:hAnsi="宋体" w:cs="宋体"/>
          <w:bCs/>
          <w:color w:val="000000"/>
          <w:kern w:val="0"/>
          <w:sz w:val="24"/>
          <w:szCs w:val="24"/>
        </w:rPr>
        <w:t>财政性资金</w:t>
      </w:r>
      <w:r>
        <w:rPr>
          <w:rFonts w:hint="eastAsia" w:ascii="宋体" w:hAnsi="宋体" w:cs="宋体"/>
          <w:b/>
          <w:color w:val="000000"/>
          <w:sz w:val="24"/>
          <w:szCs w:val="24"/>
        </w:rPr>
        <w:t>，超出最高限价或预算金额的报价为无效投标</w:t>
      </w:r>
    </w:p>
    <w:p>
      <w:pPr>
        <w:widowControl/>
        <w:snapToGrid w:val="0"/>
        <w:spacing w:line="360" w:lineRule="auto"/>
        <w:jc w:val="left"/>
        <w:rPr>
          <w:rFonts w:ascii="宋体" w:hAnsi="宋体" w:cs="宋体"/>
          <w:b/>
          <w:color w:val="000000"/>
          <w:sz w:val="24"/>
          <w:szCs w:val="24"/>
        </w:rPr>
      </w:pPr>
      <w:r>
        <w:rPr>
          <w:rFonts w:hint="eastAsia" w:ascii="宋体" w:hAnsi="宋体" w:cs="宋体"/>
          <w:b/>
          <w:color w:val="000000"/>
          <w:sz w:val="24"/>
          <w:szCs w:val="24"/>
        </w:rPr>
        <w:t>报价。</w:t>
      </w:r>
    </w:p>
    <w:p>
      <w:pPr>
        <w:widowControl/>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 xml:space="preserve">4.3  </w:t>
      </w:r>
      <w:r>
        <w:rPr>
          <w:rFonts w:ascii="宋体" w:hAnsi="宋体" w:cs="宋体"/>
          <w:color w:val="000000"/>
          <w:sz w:val="24"/>
          <w:szCs w:val="24"/>
        </w:rPr>
        <w:t>项目属性见《投标人须知资料表》。</w:t>
      </w:r>
    </w:p>
    <w:p>
      <w:pPr>
        <w:widowControl/>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 xml:space="preserve">4.4  </w:t>
      </w:r>
      <w:r>
        <w:rPr>
          <w:rFonts w:ascii="宋体" w:hAnsi="宋体" w:cs="宋体"/>
          <w:color w:val="000000"/>
          <w:sz w:val="24"/>
          <w:szCs w:val="24"/>
        </w:rPr>
        <w:t>是否属于科研仪器设备采购见《投标人须知资料表》。</w:t>
      </w:r>
    </w:p>
    <w:p>
      <w:pPr>
        <w:widowControl/>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 xml:space="preserve">4.5  </w:t>
      </w:r>
      <w:r>
        <w:rPr>
          <w:rFonts w:ascii="宋体" w:hAnsi="宋体" w:cs="宋体"/>
          <w:color w:val="000000"/>
          <w:sz w:val="24"/>
          <w:szCs w:val="24"/>
        </w:rPr>
        <w:t>核心产品见《投标人须知资料表》。</w:t>
      </w:r>
    </w:p>
    <w:p>
      <w:pPr>
        <w:widowControl/>
        <w:spacing w:line="360" w:lineRule="auto"/>
        <w:jc w:val="left"/>
        <w:rPr>
          <w:rFonts w:ascii="宋体" w:hAnsi="宋体" w:cs="宋体"/>
          <w:b/>
          <w:color w:val="000000"/>
          <w:sz w:val="24"/>
          <w:szCs w:val="24"/>
        </w:rPr>
      </w:pPr>
      <w:r>
        <w:rPr>
          <w:rFonts w:hint="eastAsia" w:ascii="宋体" w:hAnsi="宋体" w:cs="宋体"/>
          <w:b/>
          <w:color w:val="000000"/>
          <w:sz w:val="24"/>
          <w:szCs w:val="24"/>
        </w:rPr>
        <w:t>5.  政府采购政策</w:t>
      </w:r>
      <w:r>
        <w:rPr>
          <w:rFonts w:ascii="宋体" w:hAnsi="宋体" w:cs="宋体"/>
          <w:b/>
          <w:color w:val="000000"/>
          <w:sz w:val="24"/>
          <w:szCs w:val="24"/>
        </w:rPr>
        <w:t>（包括但不限于下列具体政策要求）</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1中小企业、监狱企业及残疾人福利性单位</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.1  </w:t>
      </w:r>
      <w:r>
        <w:rPr>
          <w:rFonts w:ascii="宋体" w:hAnsi="宋体" w:cs="宋体"/>
          <w:color w:val="000000"/>
          <w:sz w:val="24"/>
          <w:szCs w:val="24"/>
        </w:rPr>
        <w:t>中小企业定义：详见附录</w:t>
      </w:r>
      <w:r>
        <w:rPr>
          <w:rFonts w:hint="eastAsia" w:ascii="宋体" w:hAnsi="宋体" w:cs="宋体"/>
          <w:color w:val="000000"/>
          <w:sz w:val="24"/>
          <w:szCs w:val="24"/>
        </w:rPr>
        <w:t>1。</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w:t>
      </w:r>
      <w:r>
        <w:rPr>
          <w:rFonts w:ascii="宋体" w:hAnsi="宋体" w:cs="宋体"/>
          <w:color w:val="000000"/>
          <w:sz w:val="24"/>
          <w:szCs w:val="24"/>
        </w:rPr>
        <w:t>2</w:t>
      </w:r>
      <w:r>
        <w:rPr>
          <w:rFonts w:ascii="宋体" w:hAnsi="宋体" w:cs="宋体"/>
          <w:vanish/>
          <w:color w:val="000000"/>
          <w:sz w:val="24"/>
          <w:szCs w:val="24"/>
        </w:rPr>
        <w:t>5</w:t>
      </w:r>
      <w:r>
        <w:rPr>
          <w:rFonts w:hint="eastAsia" w:ascii="宋体" w:hAnsi="宋体" w:cs="宋体"/>
          <w:vanish/>
          <w:color w:val="000000"/>
          <w:sz w:val="24"/>
          <w:szCs w:val="24"/>
        </w:rPr>
        <w:t>.</w:t>
      </w:r>
      <w:r>
        <w:rPr>
          <w:rFonts w:ascii="宋体" w:hAnsi="宋体" w:cs="宋体"/>
          <w:vanish/>
          <w:color w:val="000000"/>
          <w:sz w:val="24"/>
          <w:szCs w:val="24"/>
        </w:rPr>
        <w:t>1</w:t>
      </w:r>
      <w:r>
        <w:rPr>
          <w:rFonts w:hint="eastAsia" w:ascii="宋体" w:hAnsi="宋体" w:cs="宋体"/>
          <w:vanish/>
          <w:color w:val="000000"/>
          <w:sz w:val="24"/>
          <w:szCs w:val="24"/>
        </w:rPr>
        <w:t>.</w:t>
      </w:r>
      <w:r>
        <w:rPr>
          <w:rFonts w:ascii="宋体" w:hAnsi="宋体" w:cs="宋体"/>
          <w:vanish/>
          <w:color w:val="000000"/>
          <w:sz w:val="24"/>
          <w:szCs w:val="24"/>
        </w:rPr>
        <w:t>2555</w:t>
      </w:r>
      <w:r>
        <w:rPr>
          <w:rFonts w:hint="eastAsia" w:ascii="宋体" w:hAnsi="宋体" w:cs="宋体"/>
          <w:vanish/>
          <w:color w:val="000000"/>
          <w:sz w:val="24"/>
          <w:szCs w:val="24"/>
        </w:rPr>
        <w:t>5.2.2</w:t>
      </w:r>
      <w:r>
        <w:rPr>
          <w:rFonts w:ascii="宋体" w:hAnsi="宋体" w:cs="宋体"/>
          <w:color w:val="000000"/>
          <w:sz w:val="24"/>
          <w:szCs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.3  </w:t>
      </w:r>
      <w:r>
        <w:rPr>
          <w:rFonts w:ascii="宋体" w:hAnsi="宋体" w:cs="宋体"/>
          <w:color w:val="000000"/>
          <w:sz w:val="24"/>
          <w:szCs w:val="24"/>
        </w:rPr>
        <w:t>残疾人福利单位定义：享受政府采购支持政策的残疾人福利性单位应当同时满足以下条件：</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.3.</w:t>
      </w:r>
      <w:r>
        <w:rPr>
          <w:rFonts w:ascii="宋体" w:hAnsi="宋体" w:cs="宋体"/>
          <w:color w:val="000000"/>
          <w:sz w:val="24"/>
          <w:szCs w:val="24"/>
        </w:rPr>
        <w:t xml:space="preserve"> 安置的残疾人占本单位在职职工人数的比例不低于25%（含25%），并且安置的残疾人人数不少于10人（含10人）；</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.3.2  </w:t>
      </w:r>
      <w:r>
        <w:rPr>
          <w:rFonts w:ascii="宋体" w:hAnsi="宋体" w:cs="宋体"/>
          <w:color w:val="000000"/>
          <w:sz w:val="24"/>
          <w:szCs w:val="24"/>
        </w:rPr>
        <w:t>依法与安置的每位残疾人签订了一年以上（含一年）的劳动合同或服务协议；</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.3.3  </w:t>
      </w:r>
      <w:r>
        <w:rPr>
          <w:rFonts w:ascii="宋体" w:hAnsi="宋体" w:cs="宋体"/>
          <w:color w:val="000000"/>
          <w:sz w:val="24"/>
          <w:szCs w:val="24"/>
        </w:rPr>
        <w:t>为安置的每位残疾人按月足额缴纳了基本养老保险、基本医疗保险、失业保险、工伤保险和生育保险等社会保险费；</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.3.4  </w:t>
      </w:r>
      <w:r>
        <w:rPr>
          <w:rFonts w:ascii="宋体" w:hAnsi="宋体" w:cs="宋体"/>
          <w:color w:val="000000"/>
          <w:sz w:val="24"/>
          <w:szCs w:val="24"/>
        </w:rPr>
        <w:t>通过银行等金融机构向安置的每位残疾人，按月支付了不低于单位所在区县适用的经省级人民政府批准的月最低工资标准的工资；</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.3.5  </w:t>
      </w:r>
      <w:r>
        <w:rPr>
          <w:rFonts w:ascii="宋体" w:hAnsi="宋体" w:cs="宋体"/>
          <w:color w:val="000000"/>
          <w:sz w:val="24"/>
          <w:szCs w:val="24"/>
        </w:rPr>
        <w:t>提供本单位制造的货物、承担的工程或者服务（以下简称产品），或者提供其他残疾人福利性单位制造的货物（不包括使用非残疾人福利性单位注册商标的货物）；</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.3.6  </w:t>
      </w:r>
      <w:r>
        <w:rPr>
          <w:rFonts w:ascii="宋体" w:hAnsi="宋体" w:cs="宋体"/>
          <w:color w:val="000000"/>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.4  </w:t>
      </w:r>
      <w:r>
        <w:rPr>
          <w:rFonts w:ascii="宋体" w:hAnsi="宋体" w:cs="宋体"/>
          <w:color w:val="000000"/>
          <w:sz w:val="24"/>
          <w:szCs w:val="24"/>
        </w:rPr>
        <w:t>本项目是否专门面向中小企业预留采购份额见《投标人须知资料表》。</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.5  </w:t>
      </w:r>
      <w:r>
        <w:rPr>
          <w:rFonts w:ascii="宋体" w:hAnsi="宋体" w:cs="宋体"/>
          <w:color w:val="000000"/>
          <w:sz w:val="24"/>
          <w:szCs w:val="24"/>
        </w:rPr>
        <w:t>采购标的对应的中小企业划分标准所属行业见《投标人须知资料表》。</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1</w:t>
      </w:r>
      <w:r>
        <w:rPr>
          <w:rFonts w:hint="eastAsia" w:ascii="宋体" w:hAnsi="宋体" w:cs="宋体"/>
          <w:color w:val="000000"/>
          <w:sz w:val="24"/>
          <w:szCs w:val="24"/>
        </w:rPr>
        <w:t xml:space="preserve">.6  </w:t>
      </w:r>
      <w:r>
        <w:rPr>
          <w:rFonts w:ascii="宋体" w:hAnsi="宋体" w:cs="宋体"/>
          <w:color w:val="000000"/>
          <w:sz w:val="24"/>
          <w:szCs w:val="24"/>
        </w:rPr>
        <w:t>小微企业价格评审优惠的政策调整：见第</w:t>
      </w:r>
      <w:r>
        <w:rPr>
          <w:rFonts w:hint="eastAsia" w:ascii="宋体" w:hAnsi="宋体" w:cs="宋体"/>
          <w:color w:val="000000"/>
          <w:sz w:val="24"/>
          <w:szCs w:val="24"/>
        </w:rPr>
        <w:t>六</w:t>
      </w:r>
      <w:r>
        <w:rPr>
          <w:rFonts w:ascii="宋体" w:hAnsi="宋体" w:cs="宋体"/>
          <w:color w:val="000000"/>
          <w:sz w:val="24"/>
          <w:szCs w:val="24"/>
        </w:rPr>
        <w:t>章《评标程序、评标方法和评标标准》。</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2政府采购节能产品、环境标志产品</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2</w:t>
      </w:r>
      <w:r>
        <w:rPr>
          <w:rFonts w:hint="eastAsia" w:ascii="宋体" w:hAnsi="宋体" w:cs="宋体"/>
          <w:color w:val="000000"/>
          <w:sz w:val="24"/>
          <w:szCs w:val="24"/>
        </w:rPr>
        <w:t xml:space="preserve">.1  </w:t>
      </w:r>
      <w:r>
        <w:rPr>
          <w:rFonts w:ascii="宋体" w:hAnsi="宋体" w:cs="宋体"/>
          <w:color w:val="00000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2</w:t>
      </w:r>
      <w:r>
        <w:rPr>
          <w:rFonts w:hint="eastAsia" w:ascii="宋体" w:hAnsi="宋体" w:cs="宋体"/>
          <w:color w:val="000000"/>
          <w:sz w:val="24"/>
          <w:szCs w:val="24"/>
        </w:rPr>
        <w:t xml:space="preserve">.2  </w:t>
      </w:r>
      <w:r>
        <w:rPr>
          <w:rFonts w:ascii="宋体" w:hAnsi="宋体" w:cs="宋体"/>
          <w:color w:val="000000"/>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2</w:t>
      </w:r>
      <w:r>
        <w:rPr>
          <w:rFonts w:hint="eastAsia" w:ascii="宋体" w:hAnsi="宋体" w:cs="宋体"/>
          <w:color w:val="000000"/>
          <w:sz w:val="24"/>
          <w:szCs w:val="24"/>
        </w:rPr>
        <w:t xml:space="preserve">.3  </w:t>
      </w:r>
      <w:r>
        <w:rPr>
          <w:rFonts w:ascii="宋体" w:hAnsi="宋体" w:cs="宋体"/>
          <w:color w:val="000000"/>
          <w:sz w:val="24"/>
          <w:szCs w:val="24"/>
        </w:rPr>
        <w:t>如本项目采购产品属于实施政府强制采购品目清单范围的节能产品，则投标人所报产品必须获得国家确定的认证机构出具的、处于有效期之内的节能产品认证证书，否则</w:t>
      </w:r>
      <w:r>
        <w:rPr>
          <w:rFonts w:ascii="宋体" w:hAnsi="宋体" w:cs="宋体"/>
          <w:b/>
          <w:color w:val="000000"/>
          <w:sz w:val="24"/>
          <w:szCs w:val="24"/>
        </w:rPr>
        <w:t>投标无效</w:t>
      </w:r>
      <w:r>
        <w:rPr>
          <w:rFonts w:hint="eastAsia" w:ascii="宋体" w:hAnsi="宋体" w:cs="宋体"/>
          <w:color w:val="000000"/>
          <w:sz w:val="24"/>
          <w:szCs w:val="24"/>
        </w:rPr>
        <w:t>。</w:t>
      </w:r>
    </w:p>
    <w:p>
      <w:pPr>
        <w:widowControl/>
        <w:spacing w:line="360" w:lineRule="auto"/>
        <w:jc w:val="left"/>
        <w:rPr>
          <w:rFonts w:ascii="宋体" w:hAnsi="宋体" w:cs="宋体"/>
          <w:color w:val="000000"/>
          <w:sz w:val="24"/>
          <w:szCs w:val="24"/>
        </w:rPr>
      </w:pPr>
      <w:r>
        <w:rPr>
          <w:rFonts w:hint="eastAsia" w:ascii="宋体" w:hAnsi="宋体" w:cs="宋体"/>
          <w:color w:val="000000"/>
          <w:sz w:val="24"/>
          <w:szCs w:val="24"/>
        </w:rPr>
        <w:t>5.</w:t>
      </w:r>
      <w:r>
        <w:rPr>
          <w:rFonts w:ascii="宋体" w:hAnsi="宋体" w:cs="宋体"/>
          <w:color w:val="000000"/>
          <w:sz w:val="24"/>
          <w:szCs w:val="24"/>
        </w:rPr>
        <w:t>2</w:t>
      </w:r>
      <w:r>
        <w:rPr>
          <w:rFonts w:hint="eastAsia" w:ascii="宋体" w:hAnsi="宋体" w:cs="宋体"/>
          <w:color w:val="000000"/>
          <w:sz w:val="24"/>
          <w:szCs w:val="24"/>
        </w:rPr>
        <w:t xml:space="preserve">.4  </w:t>
      </w:r>
      <w:r>
        <w:rPr>
          <w:rFonts w:ascii="宋体" w:hAnsi="宋体" w:cs="宋体"/>
          <w:color w:val="000000"/>
          <w:sz w:val="24"/>
          <w:szCs w:val="24"/>
        </w:rPr>
        <w:t>非政府强制采购的节能产品或环境标志产品，依据品目清单和认证证书实施政府优先采购。优先采购的具体规定见第</w:t>
      </w:r>
      <w:r>
        <w:rPr>
          <w:rFonts w:hint="eastAsia" w:ascii="宋体" w:hAnsi="宋体" w:cs="宋体"/>
          <w:color w:val="000000"/>
          <w:sz w:val="24"/>
          <w:szCs w:val="24"/>
        </w:rPr>
        <w:t>六</w:t>
      </w:r>
      <w:r>
        <w:rPr>
          <w:rFonts w:ascii="宋体" w:hAnsi="宋体" w:cs="宋体"/>
          <w:color w:val="000000"/>
          <w:sz w:val="24"/>
          <w:szCs w:val="24"/>
        </w:rPr>
        <w:t>章《评标程序、评标方法和评标标准》（</w:t>
      </w:r>
      <w:r>
        <w:rPr>
          <w:rFonts w:hint="eastAsia" w:ascii="宋体" w:hAnsi="宋体" w:cs="宋体"/>
          <w:color w:val="000000"/>
          <w:sz w:val="24"/>
          <w:szCs w:val="24"/>
        </w:rPr>
        <w:t>本项目</w:t>
      </w:r>
      <w:r>
        <w:rPr>
          <w:rFonts w:ascii="宋体" w:hAnsi="宋体" w:cs="宋体"/>
          <w:color w:val="000000"/>
          <w:sz w:val="24"/>
          <w:szCs w:val="24"/>
        </w:rPr>
        <w:t>不涉及）。</w:t>
      </w:r>
    </w:p>
    <w:p>
      <w:pPr>
        <w:widowControl/>
        <w:spacing w:line="360" w:lineRule="auto"/>
        <w:jc w:val="left"/>
        <w:rPr>
          <w:rFonts w:ascii="宋体" w:hAnsi="宋体" w:cs="宋体"/>
          <w:b/>
          <w:color w:val="000000"/>
          <w:sz w:val="24"/>
          <w:szCs w:val="24"/>
        </w:rPr>
      </w:pPr>
      <w:r>
        <w:rPr>
          <w:rFonts w:hint="eastAsia" w:ascii="宋体" w:hAnsi="宋体" w:cs="宋体"/>
          <w:b/>
          <w:color w:val="000000"/>
          <w:sz w:val="24"/>
          <w:szCs w:val="24"/>
        </w:rPr>
        <w:t>6.  投标费用</w:t>
      </w:r>
    </w:p>
    <w:p>
      <w:pPr>
        <w:widowControl/>
        <w:snapToGrid w:val="0"/>
        <w:spacing w:line="360" w:lineRule="auto"/>
        <w:jc w:val="left"/>
        <w:rPr>
          <w:rFonts w:ascii="宋体" w:hAnsi="宋体" w:cs="宋体"/>
          <w:color w:val="000000"/>
          <w:sz w:val="24"/>
          <w:szCs w:val="24"/>
        </w:rPr>
      </w:pPr>
      <w:bookmarkStart w:id="57" w:name="_Toc5217"/>
      <w:bookmarkStart w:id="58" w:name="_Toc17054"/>
      <w:bookmarkStart w:id="59" w:name="_Toc447223726"/>
      <w:bookmarkStart w:id="60" w:name="_Toc32017"/>
      <w:bookmarkStart w:id="61" w:name="_Toc10960"/>
      <w:r>
        <w:rPr>
          <w:rFonts w:ascii="宋体" w:hAnsi="宋体"/>
          <w:color w:val="000000"/>
          <w:sz w:val="24"/>
        </w:rPr>
        <w:t>投标人应自行承担所有与准备和参加投标有关的费用，无论投标的结果如何，采购人或采购代理机构在任何情况下均无承担这些费用的义务和责任。</w:t>
      </w:r>
    </w:p>
    <w:p>
      <w:pPr>
        <w:pStyle w:val="2"/>
        <w:spacing w:line="360" w:lineRule="auto"/>
        <w:rPr>
          <w:rFonts w:ascii="宋体" w:hAnsi="宋体"/>
          <w:color w:val="000000"/>
          <w:sz w:val="24"/>
          <w:szCs w:val="24"/>
        </w:rPr>
      </w:pPr>
      <w:bookmarkStart w:id="62" w:name="_Toc100786138"/>
      <w:bookmarkStart w:id="63" w:name="_Toc92789199"/>
      <w:r>
        <w:rPr>
          <w:rFonts w:hint="eastAsia" w:ascii="宋体" w:hAnsi="宋体"/>
          <w:color w:val="000000"/>
          <w:sz w:val="24"/>
          <w:szCs w:val="24"/>
        </w:rPr>
        <w:t>（二）招标文件</w:t>
      </w:r>
      <w:bookmarkEnd w:id="57"/>
      <w:bookmarkEnd w:id="58"/>
      <w:bookmarkEnd w:id="59"/>
      <w:bookmarkEnd w:id="60"/>
      <w:bookmarkEnd w:id="61"/>
      <w:bookmarkEnd w:id="62"/>
      <w:bookmarkEnd w:id="63"/>
    </w:p>
    <w:p>
      <w:pPr>
        <w:snapToGrid w:val="0"/>
        <w:spacing w:line="360" w:lineRule="auto"/>
        <w:rPr>
          <w:rFonts w:ascii="宋体" w:hAnsi="宋体" w:cs="宋体"/>
          <w:b/>
          <w:color w:val="000000"/>
          <w:sz w:val="24"/>
          <w:szCs w:val="24"/>
        </w:rPr>
      </w:pPr>
      <w:r>
        <w:rPr>
          <w:rFonts w:hint="eastAsia" w:ascii="宋体" w:hAnsi="宋体" w:cs="宋体"/>
          <w:b/>
          <w:color w:val="000000"/>
          <w:sz w:val="24"/>
          <w:szCs w:val="24"/>
        </w:rPr>
        <w:t>7.  招标文件的组成</w:t>
      </w:r>
    </w:p>
    <w:p>
      <w:pPr>
        <w:widowControl/>
        <w:snapToGrid w:val="0"/>
        <w:spacing w:line="360" w:lineRule="auto"/>
        <w:jc w:val="left"/>
        <w:rPr>
          <w:rFonts w:ascii="宋体" w:hAnsi="宋体" w:cs="宋体"/>
          <w:color w:val="000000"/>
          <w:sz w:val="24"/>
          <w:szCs w:val="24"/>
        </w:rPr>
      </w:pPr>
      <w:r>
        <w:rPr>
          <w:rFonts w:hint="eastAsia" w:ascii="宋体" w:hAnsi="宋体" w:cs="宋体"/>
          <w:color w:val="000000"/>
          <w:sz w:val="24"/>
          <w:szCs w:val="24"/>
        </w:rPr>
        <w:t>7.1  要求提供货物或服务的内容及详细技术需求、投标须知和合同条件等在招标文件中均有说明。</w:t>
      </w:r>
    </w:p>
    <w:p>
      <w:pPr>
        <w:widowControl/>
        <w:snapToGrid w:val="0"/>
        <w:spacing w:line="360" w:lineRule="auto"/>
        <w:ind w:firstLine="630"/>
        <w:rPr>
          <w:rFonts w:ascii="宋体" w:hAnsi="宋体" w:cs="宋体"/>
          <w:color w:val="000000"/>
          <w:sz w:val="24"/>
          <w:szCs w:val="24"/>
        </w:rPr>
      </w:pPr>
      <w:r>
        <w:rPr>
          <w:rFonts w:hint="eastAsia" w:ascii="宋体" w:hAnsi="宋体" w:cs="宋体"/>
          <w:color w:val="000000"/>
          <w:sz w:val="24"/>
          <w:szCs w:val="24"/>
        </w:rPr>
        <w:t>招标文件共七章，内容如下：</w:t>
      </w:r>
    </w:p>
    <w:p>
      <w:pPr>
        <w:widowControl/>
        <w:snapToGrid w:val="0"/>
        <w:spacing w:line="360" w:lineRule="auto"/>
        <w:ind w:firstLine="630"/>
        <w:rPr>
          <w:rFonts w:ascii="宋体" w:hAnsi="宋体" w:cs="宋体"/>
          <w:color w:val="000000"/>
          <w:sz w:val="24"/>
          <w:szCs w:val="24"/>
        </w:rPr>
      </w:pPr>
      <w:r>
        <w:rPr>
          <w:rFonts w:hint="eastAsia" w:ascii="宋体" w:hAnsi="宋体" w:cs="宋体"/>
          <w:color w:val="000000"/>
          <w:sz w:val="24"/>
          <w:szCs w:val="24"/>
        </w:rPr>
        <w:t>第一章  投标邀请</w:t>
      </w:r>
    </w:p>
    <w:p>
      <w:pPr>
        <w:widowControl/>
        <w:snapToGrid w:val="0"/>
        <w:spacing w:line="360" w:lineRule="auto"/>
        <w:ind w:firstLine="630"/>
        <w:rPr>
          <w:rFonts w:ascii="宋体" w:hAnsi="宋体" w:cs="宋体"/>
          <w:color w:val="000000"/>
          <w:sz w:val="24"/>
          <w:szCs w:val="24"/>
        </w:rPr>
      </w:pPr>
      <w:r>
        <w:rPr>
          <w:rFonts w:hint="eastAsia" w:ascii="宋体" w:hAnsi="宋体" w:cs="宋体"/>
          <w:color w:val="000000"/>
          <w:sz w:val="24"/>
          <w:szCs w:val="24"/>
        </w:rPr>
        <w:t>第二章  投标人须知</w:t>
      </w:r>
    </w:p>
    <w:p>
      <w:pPr>
        <w:widowControl/>
        <w:snapToGrid w:val="0"/>
        <w:spacing w:line="360" w:lineRule="auto"/>
        <w:ind w:firstLine="630"/>
        <w:rPr>
          <w:rFonts w:ascii="宋体" w:hAnsi="宋体" w:cs="宋体"/>
          <w:color w:val="000000"/>
          <w:sz w:val="24"/>
          <w:szCs w:val="24"/>
        </w:rPr>
      </w:pPr>
      <w:r>
        <w:rPr>
          <w:rFonts w:hint="eastAsia" w:ascii="宋体" w:hAnsi="宋体" w:cs="宋体"/>
          <w:color w:val="000000"/>
          <w:sz w:val="24"/>
          <w:szCs w:val="24"/>
        </w:rPr>
        <w:t>第三章  拟定签订的合同文本</w:t>
      </w:r>
    </w:p>
    <w:p>
      <w:pPr>
        <w:widowControl/>
        <w:snapToGrid w:val="0"/>
        <w:spacing w:line="360" w:lineRule="auto"/>
        <w:ind w:firstLine="630"/>
        <w:rPr>
          <w:rFonts w:ascii="宋体" w:hAnsi="宋体" w:cs="宋体"/>
          <w:color w:val="000000"/>
          <w:sz w:val="24"/>
          <w:szCs w:val="24"/>
        </w:rPr>
      </w:pPr>
      <w:r>
        <w:rPr>
          <w:rFonts w:hint="eastAsia" w:ascii="宋体" w:hAnsi="宋体" w:cs="宋体"/>
          <w:color w:val="000000"/>
          <w:sz w:val="24"/>
          <w:szCs w:val="24"/>
        </w:rPr>
        <w:t>第四章  投标文件格式</w:t>
      </w:r>
    </w:p>
    <w:p>
      <w:pPr>
        <w:widowControl/>
        <w:snapToGrid w:val="0"/>
        <w:spacing w:line="360" w:lineRule="auto"/>
        <w:ind w:firstLine="630"/>
        <w:rPr>
          <w:rFonts w:ascii="宋体" w:hAnsi="宋体" w:cs="宋体"/>
          <w:color w:val="000000"/>
          <w:sz w:val="24"/>
          <w:szCs w:val="24"/>
        </w:rPr>
      </w:pPr>
      <w:r>
        <w:rPr>
          <w:rFonts w:hint="eastAsia" w:ascii="宋体" w:hAnsi="宋体" w:cs="宋体"/>
          <w:color w:val="000000"/>
          <w:sz w:val="24"/>
          <w:szCs w:val="24"/>
        </w:rPr>
        <w:t>第五章  资格审查</w:t>
      </w:r>
    </w:p>
    <w:p>
      <w:pPr>
        <w:widowControl/>
        <w:snapToGrid w:val="0"/>
        <w:spacing w:line="360" w:lineRule="auto"/>
        <w:ind w:firstLine="630"/>
        <w:rPr>
          <w:rFonts w:ascii="宋体" w:hAnsi="宋体" w:cs="宋体"/>
          <w:color w:val="000000"/>
          <w:sz w:val="24"/>
          <w:szCs w:val="24"/>
        </w:rPr>
      </w:pPr>
      <w:r>
        <w:rPr>
          <w:rFonts w:hint="eastAsia" w:ascii="宋体" w:hAnsi="宋体" w:cs="宋体"/>
          <w:color w:val="000000"/>
          <w:sz w:val="24"/>
          <w:szCs w:val="24"/>
        </w:rPr>
        <w:t xml:space="preserve">第六章  </w:t>
      </w:r>
      <w:r>
        <w:rPr>
          <w:rFonts w:ascii="宋体" w:hAnsi="宋体"/>
          <w:color w:val="000000"/>
          <w:sz w:val="24"/>
        </w:rPr>
        <w:t>评标程序、评标方法和评标标准</w:t>
      </w:r>
    </w:p>
    <w:p>
      <w:pPr>
        <w:widowControl/>
        <w:snapToGrid w:val="0"/>
        <w:spacing w:line="360" w:lineRule="auto"/>
        <w:ind w:firstLine="630"/>
        <w:rPr>
          <w:rFonts w:ascii="宋体" w:hAnsi="宋体" w:cs="宋体"/>
          <w:color w:val="000000"/>
          <w:sz w:val="24"/>
          <w:szCs w:val="24"/>
        </w:rPr>
      </w:pPr>
      <w:r>
        <w:rPr>
          <w:rFonts w:hint="eastAsia" w:ascii="宋体" w:hAnsi="宋体" w:cs="宋体"/>
          <w:color w:val="000000"/>
          <w:sz w:val="24"/>
          <w:szCs w:val="24"/>
        </w:rPr>
        <w:t xml:space="preserve">第七章  </w:t>
      </w:r>
      <w:r>
        <w:rPr>
          <w:rFonts w:ascii="宋体" w:hAnsi="宋体" w:cs="宋体"/>
          <w:color w:val="000000"/>
          <w:sz w:val="24"/>
          <w:szCs w:val="24"/>
        </w:rPr>
        <w:t>采购需求</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7.2   除7.1内容外，在递交投标文件截止时间15天前，采购人以书面形式发出的对招标文件的澄清或修改内容，均为招标文件的组成部分，对采购人和投标人起约束作用。</w:t>
      </w:r>
    </w:p>
    <w:p>
      <w:pPr>
        <w:snapToGrid w:val="0"/>
        <w:spacing w:line="360" w:lineRule="auto"/>
        <w:rPr>
          <w:rFonts w:ascii="宋体" w:hAnsi="宋体" w:cs="宋体"/>
          <w:bCs/>
          <w:color w:val="000000"/>
          <w:sz w:val="24"/>
          <w:szCs w:val="24"/>
        </w:rPr>
      </w:pPr>
      <w:r>
        <w:rPr>
          <w:rFonts w:hint="eastAsia" w:ascii="宋体" w:hAnsi="宋体" w:cs="宋体"/>
          <w:color w:val="000000"/>
          <w:sz w:val="24"/>
          <w:szCs w:val="24"/>
        </w:rPr>
        <w:t>7.3   投标人获取招标文件后，应仔细检查招标文件的所有内容，如有残缺等问题应在获</w:t>
      </w:r>
      <w:r>
        <w:rPr>
          <w:rFonts w:hint="eastAsia" w:ascii="宋体" w:hAnsi="宋体" w:cs="宋体"/>
          <w:bCs/>
          <w:color w:val="000000"/>
          <w:sz w:val="24"/>
          <w:szCs w:val="24"/>
        </w:rPr>
        <w:t>得招标文件3日内向采购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7.4  </w:t>
      </w:r>
      <w:r>
        <w:rPr>
          <w:rFonts w:ascii="宋体" w:hAnsi="宋体" w:cs="宋体"/>
          <w:bCs/>
          <w:color w:val="000000"/>
          <w:sz w:val="24"/>
          <w:szCs w:val="24"/>
        </w:rPr>
        <w:t>投标人应认真阅读招标文件的全部内容。投标人应按照招标文件要求提交投标文件并保证所提供的全部资料的真实性，并对招标文件做出实质性响应，否则</w:t>
      </w:r>
      <w:r>
        <w:rPr>
          <w:rFonts w:ascii="宋体" w:hAnsi="宋体" w:cs="宋体"/>
          <w:b/>
          <w:bCs/>
          <w:color w:val="000000"/>
          <w:sz w:val="24"/>
          <w:szCs w:val="24"/>
        </w:rPr>
        <w:t>投标无效</w:t>
      </w:r>
      <w:r>
        <w:rPr>
          <w:rFonts w:hint="eastAsia" w:ascii="宋体" w:hAnsi="宋体" w:cs="宋体"/>
          <w:bCs/>
          <w:color w:val="000000"/>
          <w:sz w:val="24"/>
          <w:szCs w:val="24"/>
        </w:rPr>
        <w:t>。</w:t>
      </w:r>
    </w:p>
    <w:p>
      <w:pPr>
        <w:snapToGrid w:val="0"/>
        <w:spacing w:line="360" w:lineRule="auto"/>
        <w:rPr>
          <w:rFonts w:ascii="宋体" w:hAnsi="宋体" w:cs="宋体"/>
          <w:color w:val="000000"/>
          <w:sz w:val="24"/>
          <w:szCs w:val="24"/>
        </w:rPr>
      </w:pPr>
      <w:r>
        <w:rPr>
          <w:rFonts w:hint="eastAsia" w:ascii="宋体" w:hAnsi="宋体" w:cs="宋体"/>
          <w:b/>
          <w:color w:val="000000"/>
          <w:sz w:val="24"/>
          <w:szCs w:val="24"/>
        </w:rPr>
        <w:t>8.  招标文件的澄清或修改</w:t>
      </w:r>
    </w:p>
    <w:p>
      <w:pPr>
        <w:snapToGrid w:val="0"/>
        <w:spacing w:line="360" w:lineRule="auto"/>
        <w:rPr>
          <w:rFonts w:ascii="宋体" w:hAnsi="宋体"/>
          <w:color w:val="000000"/>
          <w:sz w:val="24"/>
        </w:rPr>
      </w:pPr>
      <w:r>
        <w:rPr>
          <w:rFonts w:hint="eastAsia" w:ascii="宋体" w:hAnsi="宋体" w:cs="宋体"/>
          <w:color w:val="000000"/>
          <w:sz w:val="24"/>
          <w:szCs w:val="24"/>
        </w:rPr>
        <w:t xml:space="preserve">8.1  </w:t>
      </w:r>
      <w:r>
        <w:rPr>
          <w:rFonts w:ascii="宋体" w:hAnsi="宋体"/>
          <w:color w:val="000000"/>
          <w:sz w:val="24"/>
        </w:rPr>
        <w:t>采购人或采购代理机构对已发出的招标文件进行必要澄清或者修改的，将在原公告发布媒体上发布更正公告，并以书面形式通知所有获取招标文件的潜在投标人。</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8.2  </w:t>
      </w:r>
      <w:r>
        <w:rPr>
          <w:rFonts w:ascii="宋体" w:hAnsi="宋体" w:cs="宋体"/>
          <w:color w:val="000000"/>
          <w:sz w:val="24"/>
          <w:szCs w:val="24"/>
        </w:rPr>
        <w:t>上述书面通知，按照获取招标文件的潜在投标人提供的联系方式发出，因提供的信息有误导致通知延迟或无法通知的，采购人或采购代理机构不承担责任。</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8.3  </w:t>
      </w:r>
      <w:r>
        <w:rPr>
          <w:rFonts w:ascii="宋体" w:hAnsi="宋体" w:cs="宋体"/>
          <w:color w:val="000000"/>
          <w:sz w:val="24"/>
          <w:szCs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8.4  潜在投标人在收到书面澄清文件后应于24小时内，以书面形式给予确认，该澄清作为招标文件的组成部分，具有约束作用。</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8.5  招标文件的澄清、修改、补充等内容均以书面形式明确的内容为准。当招标文件、招标文件的澄清、修改、补充等在同一内容的表述上不一致时，以最后发出的书面文件为准。</w:t>
      </w:r>
    </w:p>
    <w:p>
      <w:pPr>
        <w:pStyle w:val="2"/>
        <w:spacing w:line="360" w:lineRule="auto"/>
        <w:rPr>
          <w:rFonts w:ascii="宋体" w:hAnsi="宋体"/>
          <w:color w:val="000000"/>
          <w:sz w:val="24"/>
          <w:szCs w:val="24"/>
        </w:rPr>
      </w:pPr>
      <w:bookmarkStart w:id="64" w:name="_Toc92789200"/>
      <w:bookmarkStart w:id="65" w:name="_Toc32145"/>
      <w:bookmarkStart w:id="66" w:name="_Toc1563"/>
      <w:bookmarkStart w:id="67" w:name="_Toc9354"/>
      <w:bookmarkStart w:id="68" w:name="_Toc447223729"/>
      <w:bookmarkStart w:id="69" w:name="_Toc12216"/>
      <w:bookmarkStart w:id="70" w:name="_Toc100786139"/>
      <w:r>
        <w:rPr>
          <w:rFonts w:hint="eastAsia" w:ascii="宋体" w:hAnsi="宋体"/>
          <w:color w:val="000000"/>
          <w:sz w:val="24"/>
          <w:szCs w:val="24"/>
        </w:rPr>
        <w:t>（三）投标文件的编制</w:t>
      </w:r>
      <w:bookmarkEnd w:id="64"/>
      <w:bookmarkEnd w:id="65"/>
      <w:bookmarkEnd w:id="66"/>
      <w:bookmarkEnd w:id="67"/>
      <w:bookmarkEnd w:id="68"/>
      <w:bookmarkEnd w:id="69"/>
      <w:bookmarkEnd w:id="70"/>
    </w:p>
    <w:p>
      <w:pPr>
        <w:snapToGrid w:val="0"/>
        <w:spacing w:line="360" w:lineRule="auto"/>
        <w:rPr>
          <w:rFonts w:ascii="宋体" w:hAnsi="宋体" w:cs="宋体"/>
          <w:b/>
          <w:color w:val="000000"/>
          <w:sz w:val="24"/>
          <w:szCs w:val="24"/>
        </w:rPr>
      </w:pPr>
      <w:bookmarkStart w:id="71" w:name="_Toc445903396"/>
      <w:bookmarkStart w:id="72" w:name="_Toc445916559"/>
      <w:bookmarkStart w:id="73" w:name="_Toc17465"/>
      <w:bookmarkStart w:id="74" w:name="_Toc6894"/>
      <w:bookmarkStart w:id="75" w:name="_Toc445984929"/>
      <w:bookmarkStart w:id="76" w:name="_Toc447223730"/>
      <w:bookmarkStart w:id="77" w:name="_Toc30455"/>
      <w:bookmarkStart w:id="78" w:name="_Toc445845729"/>
      <w:r>
        <w:rPr>
          <w:rFonts w:hint="eastAsia" w:ascii="宋体" w:hAnsi="宋体" w:cs="宋体"/>
          <w:b/>
          <w:color w:val="000000"/>
          <w:sz w:val="24"/>
          <w:szCs w:val="24"/>
        </w:rPr>
        <w:t>9  投标范围及投标文件中计量单位、投标语言的使用</w:t>
      </w:r>
      <w:bookmarkEnd w:id="71"/>
      <w:bookmarkEnd w:id="72"/>
      <w:bookmarkEnd w:id="73"/>
      <w:bookmarkEnd w:id="74"/>
      <w:bookmarkEnd w:id="75"/>
      <w:bookmarkEnd w:id="76"/>
      <w:bookmarkEnd w:id="77"/>
      <w:bookmarkEnd w:id="78"/>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9.1  </w:t>
      </w:r>
      <w:r>
        <w:rPr>
          <w:rFonts w:ascii="宋体" w:hAnsi="宋体"/>
          <w:color w:val="000000"/>
          <w:sz w:val="24"/>
        </w:rPr>
        <w:t>本项目如划分采购包，投标人可以对本项目的其中一个采购包进行投标，也可同时对多个采购包进行投标。投标人应当对所投采购包对应第</w:t>
      </w:r>
      <w:r>
        <w:rPr>
          <w:rFonts w:hint="eastAsia" w:ascii="宋体" w:hAnsi="宋体"/>
          <w:color w:val="000000"/>
          <w:sz w:val="24"/>
        </w:rPr>
        <w:t>七</w:t>
      </w:r>
      <w:r>
        <w:rPr>
          <w:rFonts w:ascii="宋体" w:hAnsi="宋体"/>
          <w:color w:val="000000"/>
          <w:sz w:val="24"/>
        </w:rPr>
        <w:t>章《采购需求》所列的全部内容进行投标，不得将一个采购包中的内容拆开投标，否则其对该采购包的投标将被认定为</w:t>
      </w:r>
      <w:r>
        <w:rPr>
          <w:rFonts w:ascii="宋体" w:hAnsi="宋体"/>
          <w:b/>
          <w:color w:val="000000"/>
          <w:sz w:val="24"/>
        </w:rPr>
        <w:t>无效投标</w:t>
      </w:r>
      <w:r>
        <w:rPr>
          <w:rFonts w:ascii="宋体" w:hAnsi="宋体"/>
          <w:color w:val="000000"/>
          <w:sz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9.2  </w:t>
      </w:r>
      <w:r>
        <w:rPr>
          <w:rFonts w:ascii="宋体" w:hAnsi="宋体"/>
          <w:color w:val="000000"/>
          <w:sz w:val="24"/>
        </w:rPr>
        <w:t>除招标文件有特殊要求外，本项目投标所使用的计量单位，应采用中华人民共和国法定计量单位。</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9.3  </w:t>
      </w:r>
      <w:r>
        <w:rPr>
          <w:rFonts w:ascii="宋体" w:hAnsi="宋体"/>
          <w:color w:val="000000"/>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pPr>
        <w:snapToGrid w:val="0"/>
        <w:spacing w:line="360" w:lineRule="auto"/>
        <w:rPr>
          <w:rFonts w:ascii="宋体" w:hAnsi="宋体" w:cs="宋体"/>
          <w:b/>
          <w:color w:val="000000"/>
          <w:sz w:val="24"/>
          <w:szCs w:val="24"/>
        </w:rPr>
      </w:pPr>
      <w:bookmarkStart w:id="79" w:name="_Toc445984930"/>
      <w:bookmarkStart w:id="80" w:name="_Toc4348"/>
      <w:bookmarkStart w:id="81" w:name="_Toc445845730"/>
      <w:bookmarkStart w:id="82" w:name="_Toc447223731"/>
      <w:bookmarkStart w:id="83" w:name="_Toc24300"/>
      <w:bookmarkStart w:id="84" w:name="_Toc445903397"/>
      <w:bookmarkStart w:id="85" w:name="_Toc10767"/>
      <w:bookmarkStart w:id="86" w:name="_Toc445916560"/>
      <w:r>
        <w:rPr>
          <w:rFonts w:hint="eastAsia" w:ascii="宋体" w:hAnsi="宋体" w:cs="宋体"/>
          <w:b/>
          <w:color w:val="000000"/>
          <w:sz w:val="24"/>
          <w:szCs w:val="24"/>
        </w:rPr>
        <w:t>10.  投标文件的组成</w:t>
      </w:r>
      <w:bookmarkEnd w:id="79"/>
      <w:bookmarkEnd w:id="80"/>
      <w:bookmarkEnd w:id="81"/>
      <w:bookmarkEnd w:id="82"/>
      <w:bookmarkEnd w:id="83"/>
      <w:bookmarkEnd w:id="84"/>
      <w:bookmarkEnd w:id="85"/>
      <w:bookmarkEnd w:id="86"/>
    </w:p>
    <w:p>
      <w:pPr>
        <w:snapToGrid w:val="0"/>
        <w:spacing w:line="360" w:lineRule="auto"/>
        <w:rPr>
          <w:rFonts w:ascii="宋体" w:hAnsi="宋体" w:cs="宋体"/>
          <w:color w:val="000000"/>
          <w:sz w:val="24"/>
          <w:szCs w:val="24"/>
        </w:rPr>
      </w:pPr>
      <w:r>
        <w:rPr>
          <w:rFonts w:hint="eastAsia" w:ascii="宋体" w:hAnsi="宋体" w:cs="宋体"/>
          <w:color w:val="000000"/>
          <w:sz w:val="24"/>
          <w:szCs w:val="24"/>
        </w:rPr>
        <w:t>10.1  投标人应完整地按招标文件提供的投标文件格式填写投标文件，并将全部内容胶装成册。投标文件应包括以下内容：</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附件1——投标函（实质性格式）</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附件2——开标一览表（实质性格式）</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附件3——投标分项报价表</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附件4——采购需求偏离表（实质性格式）</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附件5——合同条款偏离表（实质性格式）</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附件6——证明文件</w:t>
      </w:r>
    </w:p>
    <w:p>
      <w:pPr>
        <w:snapToGrid w:val="0"/>
        <w:spacing w:line="360" w:lineRule="auto"/>
        <w:ind w:firstLine="1687" w:firstLineChars="700"/>
        <w:rPr>
          <w:rFonts w:ascii="宋体" w:hAnsi="宋体" w:cs="宋体"/>
          <w:color w:val="000000"/>
          <w:sz w:val="24"/>
          <w:szCs w:val="24"/>
        </w:rPr>
      </w:pPr>
      <w:r>
        <w:rPr>
          <w:rFonts w:hint="eastAsia" w:ascii="宋体" w:hAnsi="宋体" w:cs="宋体"/>
          <w:b/>
          <w:color w:val="000000"/>
          <w:sz w:val="24"/>
          <w:szCs w:val="24"/>
        </w:rPr>
        <w:t>*</w:t>
      </w:r>
      <w:r>
        <w:rPr>
          <w:rFonts w:hint="eastAsia" w:ascii="宋体" w:hAnsi="宋体" w:cs="宋体"/>
          <w:color w:val="000000"/>
          <w:sz w:val="24"/>
          <w:szCs w:val="24"/>
        </w:rPr>
        <w:t>附件6-1  营业执照等证明文件（复印件并加盖投标人公章）</w:t>
      </w:r>
    </w:p>
    <w:p>
      <w:pPr>
        <w:snapToGrid w:val="0"/>
        <w:spacing w:line="360" w:lineRule="auto"/>
        <w:ind w:firstLine="1687" w:firstLineChars="700"/>
        <w:rPr>
          <w:rFonts w:ascii="宋体" w:hAnsi="宋体" w:cs="宋体"/>
          <w:color w:val="000000"/>
          <w:sz w:val="24"/>
          <w:szCs w:val="24"/>
        </w:rPr>
      </w:pPr>
      <w:r>
        <w:rPr>
          <w:rFonts w:hint="eastAsia" w:ascii="宋体" w:hAnsi="宋体" w:cs="宋体"/>
          <w:b/>
          <w:color w:val="000000"/>
          <w:sz w:val="24"/>
          <w:szCs w:val="24"/>
        </w:rPr>
        <w:t>*</w:t>
      </w:r>
      <w:r>
        <w:rPr>
          <w:rFonts w:hint="eastAsia" w:ascii="宋体" w:hAnsi="宋体" w:cs="宋体"/>
          <w:color w:val="000000"/>
          <w:sz w:val="24"/>
          <w:szCs w:val="24"/>
        </w:rPr>
        <w:t>附件6-2  投标人资格声明书（实质性格式）</w:t>
      </w:r>
    </w:p>
    <w:p>
      <w:pPr>
        <w:snapToGrid w:val="0"/>
        <w:spacing w:line="360" w:lineRule="auto"/>
        <w:ind w:firstLine="1687" w:firstLineChars="700"/>
        <w:rPr>
          <w:rFonts w:ascii="宋体" w:hAnsi="宋体" w:cs="宋体"/>
          <w:color w:val="000000"/>
          <w:sz w:val="24"/>
          <w:szCs w:val="24"/>
        </w:rPr>
      </w:pPr>
      <w:r>
        <w:rPr>
          <w:rFonts w:hint="eastAsia" w:ascii="宋体" w:hAnsi="宋体" w:cs="宋体"/>
          <w:b/>
          <w:color w:val="000000"/>
          <w:sz w:val="24"/>
          <w:szCs w:val="24"/>
        </w:rPr>
        <w:t>*</w:t>
      </w:r>
      <w:r>
        <w:rPr>
          <w:rFonts w:hint="eastAsia" w:ascii="宋体" w:hAnsi="宋体" w:cs="宋体"/>
          <w:color w:val="000000"/>
          <w:sz w:val="24"/>
          <w:szCs w:val="24"/>
        </w:rPr>
        <w:t xml:space="preserve">附件6-3  </w:t>
      </w:r>
      <w:r>
        <w:rPr>
          <w:rFonts w:ascii="宋体" w:hAnsi="宋体" w:cs="宋体"/>
          <w:color w:val="000000"/>
          <w:sz w:val="24"/>
          <w:szCs w:val="24"/>
        </w:rPr>
        <w:t>落实政府采购政策需满足的资格要求</w:t>
      </w:r>
    </w:p>
    <w:p>
      <w:pPr>
        <w:snapToGrid w:val="0"/>
        <w:spacing w:line="360" w:lineRule="auto"/>
        <w:ind w:firstLine="1687" w:firstLineChars="700"/>
        <w:rPr>
          <w:rFonts w:ascii="宋体" w:hAnsi="宋体" w:cs="宋体"/>
          <w:color w:val="000000"/>
          <w:sz w:val="24"/>
          <w:szCs w:val="24"/>
        </w:rPr>
      </w:pPr>
      <w:r>
        <w:rPr>
          <w:rFonts w:hint="eastAsia" w:ascii="宋体" w:hAnsi="宋体" w:cs="宋体"/>
          <w:b/>
          <w:color w:val="000000"/>
          <w:sz w:val="24"/>
          <w:szCs w:val="24"/>
        </w:rPr>
        <w:t>*</w:t>
      </w:r>
      <w:r>
        <w:rPr>
          <w:rFonts w:hint="eastAsia" w:ascii="宋体" w:hAnsi="宋体" w:cs="宋体"/>
          <w:color w:val="000000"/>
          <w:sz w:val="24"/>
          <w:szCs w:val="24"/>
        </w:rPr>
        <w:t>附件6-4  法定代表人授权委托书（实质性格式）</w:t>
      </w:r>
    </w:p>
    <w:p>
      <w:pPr>
        <w:snapToGrid w:val="0"/>
        <w:spacing w:line="360" w:lineRule="auto"/>
        <w:ind w:firstLine="1680" w:firstLineChars="700"/>
        <w:rPr>
          <w:rFonts w:ascii="宋体" w:hAnsi="宋体" w:cs="宋体"/>
          <w:color w:val="000000"/>
          <w:sz w:val="24"/>
          <w:szCs w:val="24"/>
        </w:rPr>
      </w:pPr>
      <w:r>
        <w:rPr>
          <w:rFonts w:hint="eastAsia" w:ascii="宋体" w:hAnsi="宋体" w:cs="宋体"/>
          <w:bCs/>
          <w:color w:val="000000"/>
          <w:sz w:val="24"/>
          <w:szCs w:val="24"/>
        </w:rPr>
        <w:t>附件6-5  招标文件要求的其他证明材料</w:t>
      </w:r>
    </w:p>
    <w:p>
      <w:pPr>
        <w:snapToGrid w:val="0"/>
        <w:spacing w:line="360" w:lineRule="auto"/>
        <w:ind w:firstLine="900" w:firstLineChars="375"/>
        <w:rPr>
          <w:rFonts w:ascii="宋体" w:hAnsi="宋体" w:cs="宋体"/>
          <w:bCs/>
          <w:color w:val="000000"/>
          <w:sz w:val="24"/>
          <w:szCs w:val="24"/>
        </w:rPr>
      </w:pPr>
      <w:r>
        <w:rPr>
          <w:rFonts w:hint="eastAsia" w:ascii="宋体" w:hAnsi="宋体" w:cs="宋体"/>
          <w:bCs/>
          <w:color w:val="000000"/>
          <w:sz w:val="24"/>
          <w:szCs w:val="24"/>
        </w:rPr>
        <w:t>注：以上附件6-1至附件6-3作为资格审查文件。</w:t>
      </w:r>
    </w:p>
    <w:p>
      <w:pPr>
        <w:snapToGrid w:val="0"/>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注：证明文件中划“*”文件是必须提供的资料，缺一项视为无效投标。</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附件7——政府采购投标担保函（实质性格式）</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附件8——履约保证金保函格式（</w:t>
      </w:r>
      <w:r>
        <w:rPr>
          <w:rFonts w:ascii="宋体" w:hAnsi="宋体" w:cs="宋体"/>
          <w:color w:val="000000"/>
          <w:sz w:val="24"/>
          <w:szCs w:val="24"/>
        </w:rPr>
        <w:t>中标</w:t>
      </w:r>
      <w:r>
        <w:rPr>
          <w:rFonts w:hint="eastAsia" w:ascii="宋体" w:hAnsi="宋体" w:cs="宋体"/>
          <w:color w:val="000000"/>
          <w:sz w:val="24"/>
          <w:szCs w:val="24"/>
        </w:rPr>
        <w:t>后开具）（本项目不适用）</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附件9——节能产品、环境标志产品的证明材料（如有）</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附件10——业绩证明材料</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附件11——拟投入本项目的项目组人员配备情况</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附件12——服务方案</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附件13——具备履行合同所必需的设备和专业技术能力的证明材料</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附件14——招标文件要求提供的其他资料</w:t>
      </w:r>
    </w:p>
    <w:p>
      <w:pPr>
        <w:snapToGrid w:val="0"/>
        <w:spacing w:line="360" w:lineRule="auto"/>
        <w:ind w:firstLine="460" w:firstLineChars="192"/>
        <w:rPr>
          <w:rFonts w:ascii="宋体" w:hAnsi="宋体" w:cs="宋体"/>
          <w:color w:val="000000"/>
          <w:sz w:val="24"/>
          <w:szCs w:val="24"/>
        </w:rPr>
      </w:pPr>
      <w:r>
        <w:rPr>
          <w:rFonts w:hint="eastAsia" w:ascii="宋体" w:hAnsi="宋体" w:cs="宋体"/>
          <w:color w:val="000000"/>
          <w:sz w:val="24"/>
          <w:szCs w:val="24"/>
        </w:rPr>
        <w:t>附件15——投标人认为有必要提交的其他文件</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10.2  投标文件包括本须知第10条中规定的内容，投标人提交的投标文件应当使用招标文件所提供的投标文件全部格式，</w:t>
      </w:r>
      <w:r>
        <w:rPr>
          <w:rFonts w:ascii="宋体" w:hAnsi="宋体"/>
          <w:color w:val="000000"/>
          <w:kern w:val="0"/>
          <w:sz w:val="24"/>
        </w:rPr>
        <w:t>对于招标文件中标记了“</w:t>
      </w:r>
      <w:r>
        <w:rPr>
          <w:rFonts w:hint="eastAsia" w:ascii="宋体" w:hAnsi="宋体"/>
          <w:color w:val="000000"/>
          <w:kern w:val="0"/>
          <w:sz w:val="24"/>
        </w:rPr>
        <w:t>实质性格式</w:t>
      </w:r>
      <w:r>
        <w:rPr>
          <w:rFonts w:ascii="宋体" w:hAnsi="宋体"/>
          <w:color w:val="000000"/>
          <w:kern w:val="0"/>
          <w:sz w:val="24"/>
        </w:rPr>
        <w:t>”文件的，</w:t>
      </w:r>
      <w:r>
        <w:rPr>
          <w:rFonts w:ascii="宋体" w:hAnsi="宋体"/>
          <w:color w:val="000000"/>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color w:val="000000"/>
          <w:kern w:val="0"/>
          <w:sz w:val="24"/>
        </w:rPr>
        <w:t>否则</w:t>
      </w:r>
      <w:r>
        <w:rPr>
          <w:rFonts w:ascii="宋体" w:hAnsi="宋体"/>
          <w:b/>
          <w:color w:val="000000"/>
          <w:kern w:val="0"/>
          <w:sz w:val="24"/>
        </w:rPr>
        <w:t>投标无效</w:t>
      </w:r>
      <w:r>
        <w:rPr>
          <w:rFonts w:ascii="宋体" w:hAnsi="宋体"/>
          <w:color w:val="000000"/>
          <w:kern w:val="0"/>
          <w:sz w:val="24"/>
        </w:rPr>
        <w:t>。未标记“</w:t>
      </w:r>
      <w:r>
        <w:rPr>
          <w:rFonts w:hint="eastAsia" w:ascii="宋体" w:hAnsi="宋体"/>
          <w:color w:val="000000"/>
          <w:kern w:val="0"/>
          <w:sz w:val="24"/>
        </w:rPr>
        <w:t>实质性格式</w:t>
      </w:r>
      <w:r>
        <w:rPr>
          <w:rFonts w:ascii="宋体" w:hAnsi="宋体"/>
          <w:color w:val="000000"/>
          <w:kern w:val="0"/>
          <w:sz w:val="24"/>
        </w:rPr>
        <w:t>”的文件和招标文件未提供格式的内容，可由投标人自行编写或扩展</w:t>
      </w:r>
      <w:r>
        <w:rPr>
          <w:rFonts w:hint="eastAsia" w:ascii="宋体" w:hAnsi="宋体" w:cs="宋体"/>
          <w:color w:val="000000"/>
          <w:sz w:val="24"/>
          <w:szCs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10.3  </w:t>
      </w:r>
      <w:r>
        <w:rPr>
          <w:rFonts w:ascii="宋体" w:hAnsi="宋体" w:cs="宋体"/>
          <w:color w:val="000000"/>
          <w:sz w:val="24"/>
          <w:szCs w:val="24"/>
        </w:rPr>
        <w:t>第</w:t>
      </w:r>
      <w:r>
        <w:rPr>
          <w:rFonts w:hint="eastAsia" w:ascii="宋体" w:hAnsi="宋体" w:cs="宋体"/>
          <w:color w:val="000000"/>
          <w:sz w:val="24"/>
          <w:szCs w:val="24"/>
        </w:rPr>
        <w:t>六</w:t>
      </w:r>
      <w:r>
        <w:rPr>
          <w:rFonts w:ascii="宋体" w:hAnsi="宋体" w:cs="宋体"/>
          <w:color w:val="000000"/>
          <w:sz w:val="24"/>
          <w:szCs w:val="24"/>
        </w:rPr>
        <w:t>章《评标程序</w:t>
      </w:r>
      <w:r>
        <w:rPr>
          <w:rFonts w:hint="eastAsia" w:ascii="宋体" w:hAnsi="宋体" w:cs="宋体"/>
          <w:color w:val="000000"/>
          <w:sz w:val="24"/>
          <w:szCs w:val="24"/>
        </w:rPr>
        <w:t>、</w:t>
      </w:r>
      <w:r>
        <w:rPr>
          <w:rFonts w:ascii="宋体" w:hAnsi="宋体" w:cs="宋体"/>
          <w:color w:val="000000"/>
          <w:sz w:val="24"/>
          <w:szCs w:val="24"/>
        </w:rPr>
        <w:t>评标方法和评标标准》中涉及的证明文件。</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10.4  </w:t>
      </w:r>
      <w:r>
        <w:rPr>
          <w:rFonts w:ascii="宋体" w:hAnsi="宋体" w:cs="宋体"/>
          <w:color w:val="000000"/>
          <w:sz w:val="24"/>
          <w:szCs w:val="24"/>
        </w:rPr>
        <w:t>对照第</w:t>
      </w:r>
      <w:r>
        <w:rPr>
          <w:rFonts w:hint="eastAsia" w:ascii="宋体" w:hAnsi="宋体" w:cs="宋体"/>
          <w:color w:val="000000"/>
          <w:sz w:val="24"/>
          <w:szCs w:val="24"/>
        </w:rPr>
        <w:t>七</w:t>
      </w:r>
      <w:r>
        <w:rPr>
          <w:rFonts w:ascii="宋体" w:hAnsi="宋体" w:cs="宋体"/>
          <w:color w:val="000000"/>
          <w:sz w:val="24"/>
          <w:szCs w:val="24"/>
        </w:rPr>
        <w:t>章《采购需求》，说明所提供货物</w:t>
      </w:r>
      <w:r>
        <w:rPr>
          <w:rFonts w:hint="eastAsia" w:ascii="宋体" w:hAnsi="宋体" w:cs="宋体"/>
          <w:color w:val="000000"/>
          <w:sz w:val="24"/>
          <w:szCs w:val="24"/>
        </w:rPr>
        <w:t>或</w:t>
      </w:r>
      <w:r>
        <w:rPr>
          <w:rFonts w:ascii="宋体" w:hAnsi="宋体" w:cs="宋体"/>
          <w:color w:val="000000"/>
          <w:sz w:val="24"/>
          <w:szCs w:val="24"/>
        </w:rPr>
        <w:t>服务已对第</w:t>
      </w:r>
      <w:r>
        <w:rPr>
          <w:rFonts w:hint="eastAsia" w:ascii="宋体" w:hAnsi="宋体" w:cs="宋体"/>
          <w:color w:val="000000"/>
          <w:sz w:val="24"/>
          <w:szCs w:val="24"/>
        </w:rPr>
        <w:t>七</w:t>
      </w:r>
      <w:r>
        <w:rPr>
          <w:rFonts w:ascii="宋体" w:hAnsi="宋体" w:cs="宋体"/>
          <w:color w:val="000000"/>
          <w:sz w:val="24"/>
          <w:szCs w:val="24"/>
        </w:rPr>
        <w:t>章《采购需求》做出了响应，或申明与第</w:t>
      </w:r>
      <w:r>
        <w:rPr>
          <w:rFonts w:hint="eastAsia" w:ascii="宋体" w:hAnsi="宋体" w:cs="宋体"/>
          <w:color w:val="000000"/>
          <w:sz w:val="24"/>
          <w:szCs w:val="24"/>
        </w:rPr>
        <w:t>七</w:t>
      </w:r>
      <w:r>
        <w:rPr>
          <w:rFonts w:ascii="宋体" w:hAnsi="宋体" w:cs="宋体"/>
          <w:color w:val="000000"/>
          <w:sz w:val="24"/>
          <w:szCs w:val="24"/>
        </w:rPr>
        <w:t>章《采购需求》的偏差和例外。如第</w:t>
      </w:r>
      <w:r>
        <w:rPr>
          <w:rFonts w:hint="eastAsia" w:ascii="宋体" w:hAnsi="宋体" w:cs="宋体"/>
          <w:color w:val="000000"/>
          <w:sz w:val="24"/>
          <w:szCs w:val="24"/>
        </w:rPr>
        <w:t>七</w:t>
      </w:r>
      <w:r>
        <w:rPr>
          <w:rFonts w:ascii="宋体" w:hAnsi="宋体" w:cs="宋体"/>
          <w:color w:val="000000"/>
          <w:sz w:val="24"/>
          <w:szCs w:val="24"/>
        </w:rPr>
        <w:t>章《采购需求》中要求提供证明文件的，投标人应当按具体要求提供证明文件。</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10.5  </w:t>
      </w:r>
      <w:r>
        <w:rPr>
          <w:rFonts w:ascii="宋体" w:hAnsi="宋体" w:cs="宋体"/>
          <w:color w:val="000000"/>
          <w:sz w:val="24"/>
          <w:szCs w:val="24"/>
        </w:rPr>
        <w:t>投标人认为应附的其他材料。</w:t>
      </w:r>
    </w:p>
    <w:p>
      <w:pPr>
        <w:pStyle w:val="15"/>
        <w:snapToGrid w:val="0"/>
        <w:spacing w:line="360" w:lineRule="auto"/>
        <w:rPr>
          <w:rFonts w:ascii="宋体" w:hAnsi="宋体" w:cs="宋体"/>
          <w:bCs/>
          <w:color w:val="000000"/>
          <w:sz w:val="24"/>
        </w:rPr>
      </w:pPr>
      <w:bookmarkStart w:id="87" w:name="_Toc445984932"/>
      <w:bookmarkStart w:id="88" w:name="_Toc445903399"/>
      <w:bookmarkStart w:id="89" w:name="_Toc445845732"/>
      <w:bookmarkStart w:id="90" w:name="_Toc31469"/>
      <w:bookmarkStart w:id="91" w:name="_Toc17633"/>
      <w:bookmarkStart w:id="92" w:name="_Toc447223733"/>
      <w:bookmarkStart w:id="93" w:name="_Toc445916562"/>
      <w:bookmarkStart w:id="94" w:name="_Toc7752"/>
      <w:r>
        <w:rPr>
          <w:rFonts w:hint="eastAsia" w:ascii="宋体" w:hAnsi="宋体" w:cs="宋体"/>
          <w:b/>
          <w:bCs/>
          <w:color w:val="000000"/>
          <w:sz w:val="24"/>
        </w:rPr>
        <w:t>11.  投标报价</w:t>
      </w:r>
      <w:bookmarkEnd w:id="87"/>
      <w:bookmarkEnd w:id="88"/>
      <w:bookmarkEnd w:id="89"/>
      <w:bookmarkEnd w:id="90"/>
      <w:bookmarkEnd w:id="91"/>
      <w:bookmarkEnd w:id="92"/>
      <w:bookmarkEnd w:id="93"/>
      <w:bookmarkEnd w:id="94"/>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11.1  </w:t>
      </w:r>
      <w:r>
        <w:rPr>
          <w:rFonts w:ascii="宋体" w:hAnsi="宋体"/>
          <w:color w:val="000000"/>
          <w:sz w:val="24"/>
        </w:rPr>
        <w:t>所有投标均以人民币报价</w:t>
      </w:r>
      <w:r>
        <w:rPr>
          <w:rFonts w:hint="eastAsia" w:ascii="宋体" w:hAnsi="宋体" w:cs="宋体"/>
          <w:color w:val="000000"/>
          <w:sz w:val="24"/>
          <w:szCs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11.2  </w:t>
      </w:r>
      <w:r>
        <w:rPr>
          <w:rFonts w:ascii="宋体" w:hAnsi="宋体"/>
          <w:color w:val="000000"/>
          <w:sz w:val="24"/>
        </w:rPr>
        <w:t>投标人的报价应包括为完成本项目所发生的一切费用和税费，招标人将不</w:t>
      </w:r>
      <w:r>
        <w:rPr>
          <w:rFonts w:ascii="宋体" w:hAnsi="宋体" w:cs="宋体"/>
          <w:color w:val="000000"/>
          <w:sz w:val="24"/>
          <w:szCs w:val="24"/>
        </w:rPr>
        <w:t>再支付报价以外的任何费用。</w:t>
      </w:r>
      <w:r>
        <w:rPr>
          <w:rFonts w:hint="eastAsia" w:ascii="宋体" w:hAnsi="宋体" w:cs="宋体"/>
          <w:color w:val="000000"/>
          <w:sz w:val="24"/>
          <w:szCs w:val="24"/>
        </w:rPr>
        <w:t>投标人的报价应包括但不限于下列内容，《投标人须知资料表》中有特殊规定的，从其规定。</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11.2.1  </w:t>
      </w:r>
      <w:r>
        <w:rPr>
          <w:rFonts w:ascii="宋体" w:hAnsi="宋体" w:cs="宋体"/>
          <w:color w:val="000000"/>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招标文件要求完成本项目的全部相关服务费用；</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11.2.2  </w:t>
      </w:r>
      <w:r>
        <w:rPr>
          <w:rFonts w:ascii="宋体" w:hAnsi="宋体" w:cs="宋体"/>
          <w:color w:val="000000"/>
          <w:sz w:val="24"/>
          <w:szCs w:val="24"/>
        </w:rPr>
        <w:t>按照招标文件要求完成本项目的全部相关服务费用。</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11.3  因不可抗力或特殊原因，采购人可能会调整计划，投标人应在投标报价中考虑此类情况。</w:t>
      </w:r>
    </w:p>
    <w:p>
      <w:pPr>
        <w:pStyle w:val="15"/>
        <w:snapToGrid w:val="0"/>
        <w:spacing w:line="360" w:lineRule="auto"/>
        <w:rPr>
          <w:rFonts w:ascii="宋体" w:hAnsi="宋体" w:cs="宋体"/>
          <w:b/>
          <w:color w:val="000000"/>
          <w:sz w:val="24"/>
        </w:rPr>
      </w:pPr>
      <w:r>
        <w:rPr>
          <w:rFonts w:hint="eastAsia" w:ascii="宋体" w:hAnsi="宋体" w:cs="宋体"/>
          <w:color w:val="000000"/>
          <w:sz w:val="24"/>
        </w:rPr>
        <w:t xml:space="preserve">11.4  </w:t>
      </w:r>
      <w:r>
        <w:rPr>
          <w:rFonts w:ascii="宋体" w:hAnsi="宋体" w:cs="宋体"/>
          <w:color w:val="000000"/>
          <w:sz w:val="24"/>
        </w:rPr>
        <w:t>投标人不能提供任何有选择性或可调整的报价，否则其</w:t>
      </w:r>
      <w:r>
        <w:rPr>
          <w:rFonts w:ascii="宋体" w:hAnsi="宋体" w:cs="宋体"/>
          <w:b/>
          <w:color w:val="000000"/>
          <w:sz w:val="24"/>
        </w:rPr>
        <w:t>投标无效</w:t>
      </w:r>
      <w:r>
        <w:rPr>
          <w:rFonts w:hint="eastAsia" w:ascii="宋体" w:hAnsi="宋体" w:cs="宋体"/>
          <w:b/>
          <w:color w:val="000000"/>
          <w:sz w:val="24"/>
        </w:rPr>
        <w:t>。</w:t>
      </w:r>
    </w:p>
    <w:p>
      <w:pPr>
        <w:pStyle w:val="15"/>
        <w:snapToGrid w:val="0"/>
        <w:spacing w:line="360" w:lineRule="auto"/>
        <w:rPr>
          <w:rFonts w:ascii="宋体" w:hAnsi="宋体" w:cs="宋体"/>
          <w:color w:val="000000"/>
          <w:sz w:val="24"/>
        </w:rPr>
      </w:pPr>
      <w:r>
        <w:rPr>
          <w:rFonts w:hint="eastAsia" w:ascii="宋体" w:hAnsi="宋体" w:cs="宋体"/>
          <w:color w:val="000000"/>
          <w:sz w:val="24"/>
        </w:rPr>
        <w:t>11.5  最低投标报价不作为</w:t>
      </w:r>
      <w:r>
        <w:rPr>
          <w:rFonts w:ascii="宋体" w:hAnsi="宋体" w:cs="宋体"/>
          <w:color w:val="000000"/>
          <w:sz w:val="24"/>
        </w:rPr>
        <w:t>中标</w:t>
      </w:r>
      <w:r>
        <w:rPr>
          <w:rFonts w:hint="eastAsia" w:ascii="宋体" w:hAnsi="宋体" w:cs="宋体"/>
          <w:color w:val="000000"/>
          <w:sz w:val="24"/>
        </w:rPr>
        <w:t>的唯一保证。</w:t>
      </w:r>
    </w:p>
    <w:p>
      <w:pPr>
        <w:pStyle w:val="15"/>
        <w:snapToGrid w:val="0"/>
        <w:spacing w:line="360" w:lineRule="auto"/>
        <w:rPr>
          <w:rFonts w:ascii="宋体" w:hAnsi="宋体" w:cs="宋体"/>
          <w:bCs/>
          <w:color w:val="000000"/>
          <w:sz w:val="24"/>
        </w:rPr>
      </w:pPr>
      <w:r>
        <w:rPr>
          <w:rFonts w:hint="eastAsia" w:ascii="宋体" w:hAnsi="宋体" w:cs="宋体"/>
          <w:color w:val="000000"/>
          <w:sz w:val="24"/>
        </w:rPr>
        <w:t xml:space="preserve">11.6  </w:t>
      </w:r>
      <w:r>
        <w:rPr>
          <w:rFonts w:ascii="宋体" w:hAnsi="宋体"/>
          <w:color w:val="000000"/>
          <w:sz w:val="24"/>
        </w:rPr>
        <w:t>采购人不得向供应商索要或者接受其给予的赠品、回扣或者与采购无关的其他商品、服务。</w:t>
      </w:r>
    </w:p>
    <w:p>
      <w:pPr>
        <w:pStyle w:val="15"/>
        <w:snapToGrid w:val="0"/>
        <w:spacing w:line="360" w:lineRule="auto"/>
        <w:rPr>
          <w:rFonts w:ascii="宋体" w:hAnsi="宋体" w:cs="宋体"/>
          <w:b/>
          <w:bCs/>
          <w:color w:val="000000"/>
          <w:sz w:val="24"/>
        </w:rPr>
      </w:pPr>
      <w:bookmarkStart w:id="95" w:name="_Toc2335"/>
      <w:bookmarkStart w:id="96" w:name="_Toc445845733"/>
      <w:bookmarkStart w:id="97" w:name="_Toc445903400"/>
      <w:bookmarkStart w:id="98" w:name="_Toc27300"/>
      <w:bookmarkStart w:id="99" w:name="_Toc445916563"/>
      <w:bookmarkStart w:id="100" w:name="_Toc445984933"/>
      <w:bookmarkStart w:id="101" w:name="_Toc447223734"/>
      <w:bookmarkStart w:id="102" w:name="_Toc14295"/>
      <w:r>
        <w:rPr>
          <w:rFonts w:hint="eastAsia" w:ascii="宋体" w:hAnsi="宋体" w:cs="宋体"/>
          <w:b/>
          <w:bCs/>
          <w:color w:val="000000"/>
          <w:sz w:val="24"/>
        </w:rPr>
        <w:t>12.  投标保证金</w:t>
      </w:r>
      <w:bookmarkEnd w:id="95"/>
      <w:bookmarkEnd w:id="96"/>
      <w:bookmarkEnd w:id="97"/>
      <w:bookmarkEnd w:id="98"/>
      <w:bookmarkEnd w:id="99"/>
      <w:bookmarkEnd w:id="100"/>
      <w:bookmarkEnd w:id="101"/>
      <w:bookmarkEnd w:id="102"/>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12.1  </w:t>
      </w:r>
      <w:bookmarkStart w:id="103" w:name="_Ref467306302"/>
      <w:r>
        <w:rPr>
          <w:rFonts w:ascii="宋体" w:hAnsi="宋体" w:cs="宋体"/>
          <w:bCs/>
          <w:color w:val="000000"/>
          <w:sz w:val="24"/>
        </w:rPr>
        <w:t>投标人应按《投标人须知资料表》中规定的金额及要求交纳投标保证金</w:t>
      </w:r>
      <w:bookmarkEnd w:id="103"/>
      <w:r>
        <w:rPr>
          <w:rFonts w:ascii="宋体" w:hAnsi="宋体" w:cs="宋体"/>
          <w:bCs/>
          <w:color w:val="000000"/>
          <w:sz w:val="24"/>
        </w:rPr>
        <w:t>，并作为其投标的一部分</w:t>
      </w:r>
      <w:r>
        <w:rPr>
          <w:rFonts w:hint="eastAsia" w:ascii="宋体" w:hAnsi="宋体" w:cs="宋体"/>
          <w:bCs/>
          <w:color w:val="000000"/>
          <w:sz w:val="24"/>
        </w:rPr>
        <w:t>。</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12.2  </w:t>
      </w:r>
      <w:r>
        <w:rPr>
          <w:rFonts w:ascii="宋体" w:hAnsi="宋体"/>
          <w:color w:val="000000"/>
          <w:sz w:val="24"/>
        </w:rPr>
        <w:t>交纳投标保证金可采用的形式：政府采购法律法规接受的支票、汇票、本票、网上银行支付或者金融机构、担保机构出具的保函等非现金形式</w:t>
      </w:r>
      <w:r>
        <w:rPr>
          <w:rFonts w:hint="eastAsia" w:ascii="宋体" w:hAnsi="宋体" w:cs="宋体"/>
          <w:bCs/>
          <w:color w:val="000000"/>
          <w:sz w:val="24"/>
        </w:rPr>
        <w:t>。</w:t>
      </w:r>
      <w:r>
        <w:rPr>
          <w:rFonts w:hint="eastAsia" w:ascii="宋体" w:hAnsi="宋体" w:cs="宋体"/>
          <w:color w:val="000000"/>
          <w:sz w:val="24"/>
        </w:rPr>
        <w:t>投标保证金票据的出票单位应为参加投标的投标人本身，不得以个人名义汇入。任何从个人账户转出的投标保证金视同无效。</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12.3  </w:t>
      </w:r>
      <w:r>
        <w:rPr>
          <w:rFonts w:ascii="宋体" w:hAnsi="宋体"/>
          <w:color w:val="000000"/>
          <w:sz w:val="24"/>
        </w:rPr>
        <w:t>投标保证金到账（保函提交）截止时间同投标截止时间。以支票、汇票、本票、网上银行支付等形式提交投标保证金的，应在投标截止时间前</w:t>
      </w:r>
      <w:r>
        <w:rPr>
          <w:rFonts w:hint="eastAsia" w:ascii="宋体" w:hAnsi="宋体"/>
          <w:color w:val="000000"/>
          <w:sz w:val="24"/>
        </w:rPr>
        <w:t>到账</w:t>
      </w:r>
      <w:r>
        <w:rPr>
          <w:rFonts w:ascii="宋体" w:hAnsi="宋体"/>
          <w:color w:val="000000"/>
          <w:sz w:val="24"/>
        </w:rPr>
        <w:t>；</w:t>
      </w:r>
      <w:r>
        <w:rPr>
          <w:rFonts w:hint="eastAsia" w:ascii="宋体" w:hAnsi="宋体"/>
          <w:color w:val="000000"/>
          <w:sz w:val="24"/>
        </w:rPr>
        <w:t>以</w:t>
      </w:r>
      <w:r>
        <w:rPr>
          <w:rFonts w:ascii="宋体" w:hAnsi="宋体"/>
          <w:color w:val="000000"/>
          <w:sz w:val="24"/>
        </w:rPr>
        <w:t>金融机构、担保机构出具的保函等形式提交投标保证金的，应在投标截止时间前将原件提交至</w:t>
      </w:r>
      <w:r>
        <w:rPr>
          <w:rFonts w:hint="eastAsia" w:ascii="宋体" w:hAnsi="宋体"/>
          <w:color w:val="000000"/>
          <w:sz w:val="24"/>
        </w:rPr>
        <w:t>采购代理机构。由于到账时间晚于投标截止时间的，或者票据错误、印鉴不清等原因导致不能到账的，其</w:t>
      </w:r>
      <w:r>
        <w:rPr>
          <w:rFonts w:hint="eastAsia" w:ascii="宋体" w:hAnsi="宋体"/>
          <w:b/>
          <w:color w:val="000000"/>
          <w:sz w:val="24"/>
        </w:rPr>
        <w:t>投标无效</w:t>
      </w:r>
      <w:r>
        <w:rPr>
          <w:rFonts w:hint="eastAsia" w:ascii="宋体" w:hAnsi="宋体" w:cs="宋体"/>
          <w:bCs/>
          <w:color w:val="000000"/>
          <w:sz w:val="24"/>
        </w:rPr>
        <w:t>。</w:t>
      </w:r>
    </w:p>
    <w:p>
      <w:pPr>
        <w:tabs>
          <w:tab w:val="left" w:pos="1080"/>
          <w:tab w:val="left" w:pos="1589"/>
          <w:tab w:val="left" w:pos="2014"/>
        </w:tabs>
        <w:snapToGrid w:val="0"/>
        <w:spacing w:line="360" w:lineRule="auto"/>
        <w:rPr>
          <w:rFonts w:ascii="宋体" w:hAnsi="宋体"/>
          <w:color w:val="000000"/>
          <w:sz w:val="24"/>
        </w:rPr>
      </w:pPr>
      <w:r>
        <w:rPr>
          <w:rFonts w:hint="eastAsia" w:ascii="宋体" w:hAnsi="宋体" w:cs="宋体"/>
          <w:bCs/>
          <w:color w:val="000000"/>
          <w:sz w:val="24"/>
        </w:rPr>
        <w:t xml:space="preserve">12.4  </w:t>
      </w:r>
      <w:r>
        <w:rPr>
          <w:rFonts w:ascii="宋体" w:hAnsi="宋体"/>
          <w:color w:val="000000"/>
          <w:sz w:val="24"/>
        </w:rPr>
        <w:t>投标保证金（保函）有效期同投标有效期。</w:t>
      </w:r>
    </w:p>
    <w:p>
      <w:pPr>
        <w:tabs>
          <w:tab w:val="left" w:pos="1080"/>
          <w:tab w:val="left" w:pos="1589"/>
          <w:tab w:val="left" w:pos="2014"/>
        </w:tabs>
        <w:snapToGrid w:val="0"/>
        <w:spacing w:line="360" w:lineRule="auto"/>
        <w:rPr>
          <w:rFonts w:ascii="宋体" w:hAnsi="宋体" w:cs="宋体"/>
          <w:bCs/>
          <w:color w:val="000000"/>
          <w:sz w:val="24"/>
        </w:rPr>
      </w:pPr>
      <w:r>
        <w:rPr>
          <w:rFonts w:hint="eastAsia" w:ascii="宋体" w:hAnsi="宋体" w:cs="宋体"/>
          <w:bCs/>
          <w:color w:val="000000"/>
          <w:sz w:val="24"/>
        </w:rPr>
        <w:t xml:space="preserve">12.5  </w:t>
      </w:r>
      <w:r>
        <w:rPr>
          <w:rFonts w:ascii="宋体" w:hAnsi="宋体" w:cs="宋体"/>
          <w:bCs/>
          <w:color w:val="000000"/>
          <w:sz w:val="24"/>
        </w:rPr>
        <w:t>联合体投标的，可以由联合体中的一方或者共同提交投标保证金，以一方名义提交投标保证金的，对联合体各方均具有约束力。</w:t>
      </w:r>
    </w:p>
    <w:p>
      <w:pPr>
        <w:tabs>
          <w:tab w:val="left" w:pos="1080"/>
          <w:tab w:val="left" w:pos="1589"/>
          <w:tab w:val="left" w:pos="2014"/>
        </w:tabs>
        <w:snapToGrid w:val="0"/>
        <w:spacing w:line="360" w:lineRule="auto"/>
        <w:rPr>
          <w:rFonts w:ascii="宋体" w:hAnsi="宋体" w:cs="宋体"/>
          <w:bCs/>
          <w:color w:val="000000"/>
          <w:sz w:val="24"/>
        </w:rPr>
      </w:pPr>
      <w:r>
        <w:rPr>
          <w:rFonts w:hint="eastAsia" w:ascii="宋体" w:hAnsi="宋体" w:cs="宋体"/>
          <w:bCs/>
          <w:color w:val="000000"/>
          <w:sz w:val="24"/>
        </w:rPr>
        <w:t xml:space="preserve">12.6  </w:t>
      </w:r>
      <w:r>
        <w:rPr>
          <w:rFonts w:ascii="宋体" w:hAnsi="宋体" w:cs="宋体"/>
          <w:bCs/>
          <w:color w:val="000000"/>
          <w:sz w:val="24"/>
        </w:rPr>
        <w:t>采购人、采购代理机构将及时退还投标人的投标保证金，采用银行保函、担保机构担保函等形式递交的</w:t>
      </w:r>
      <w:r>
        <w:rPr>
          <w:rFonts w:hint="eastAsia" w:ascii="宋体" w:hAnsi="宋体" w:cs="宋体"/>
          <w:bCs/>
          <w:color w:val="000000"/>
          <w:sz w:val="24"/>
        </w:rPr>
        <w:t>投标</w:t>
      </w:r>
      <w:r>
        <w:rPr>
          <w:rFonts w:ascii="宋体" w:hAnsi="宋体" w:cs="宋体"/>
          <w:bCs/>
          <w:color w:val="000000"/>
          <w:sz w:val="24"/>
        </w:rPr>
        <w:t>保证金，经</w:t>
      </w:r>
      <w:r>
        <w:rPr>
          <w:rFonts w:hint="eastAsia" w:ascii="宋体" w:hAnsi="宋体" w:cs="宋体"/>
          <w:bCs/>
          <w:color w:val="000000"/>
          <w:sz w:val="24"/>
        </w:rPr>
        <w:t>投标人</w:t>
      </w:r>
      <w:r>
        <w:rPr>
          <w:rFonts w:ascii="宋体" w:hAnsi="宋体" w:cs="宋体"/>
          <w:bCs/>
          <w:color w:val="000000"/>
          <w:sz w:val="24"/>
        </w:rPr>
        <w:t>同意后采购人、采购代理机构可以不再退还，但因投标人自身原因导致无法及时退还的除外：</w:t>
      </w:r>
    </w:p>
    <w:p>
      <w:pPr>
        <w:tabs>
          <w:tab w:val="left" w:pos="1080"/>
          <w:tab w:val="left" w:pos="1589"/>
          <w:tab w:val="left" w:pos="2014"/>
        </w:tabs>
        <w:snapToGrid w:val="0"/>
        <w:spacing w:line="360" w:lineRule="auto"/>
        <w:rPr>
          <w:rFonts w:ascii="宋体" w:hAnsi="宋体" w:cs="宋体"/>
          <w:bCs/>
          <w:color w:val="000000"/>
          <w:sz w:val="24"/>
        </w:rPr>
      </w:pPr>
      <w:r>
        <w:rPr>
          <w:rFonts w:hint="eastAsia" w:ascii="宋体" w:hAnsi="宋体" w:cs="宋体"/>
          <w:bCs/>
          <w:color w:val="000000"/>
          <w:sz w:val="24"/>
        </w:rPr>
        <w:t xml:space="preserve">12.6.1  </w:t>
      </w:r>
      <w:r>
        <w:rPr>
          <w:rFonts w:ascii="宋体" w:hAnsi="宋体" w:cs="宋体"/>
          <w:bCs/>
          <w:color w:val="000000"/>
          <w:sz w:val="24"/>
        </w:rPr>
        <w:t>投标人在投标截止时间前撤回已提交的投标文件的，自收到投标人书面撤回通知之日起5个工作日内退还已收取的投标保证金；</w:t>
      </w:r>
    </w:p>
    <w:p>
      <w:pPr>
        <w:tabs>
          <w:tab w:val="left" w:pos="1080"/>
          <w:tab w:val="left" w:pos="1589"/>
          <w:tab w:val="left" w:pos="2014"/>
        </w:tabs>
        <w:snapToGrid w:val="0"/>
        <w:spacing w:line="360" w:lineRule="auto"/>
        <w:rPr>
          <w:rFonts w:ascii="宋体" w:hAnsi="宋体" w:cs="宋体"/>
          <w:bCs/>
          <w:color w:val="000000"/>
          <w:sz w:val="24"/>
        </w:rPr>
      </w:pPr>
      <w:r>
        <w:rPr>
          <w:rFonts w:hint="eastAsia" w:ascii="宋体" w:hAnsi="宋体" w:cs="宋体"/>
          <w:bCs/>
          <w:color w:val="000000"/>
          <w:sz w:val="24"/>
        </w:rPr>
        <w:t xml:space="preserve">12.6.2  </w:t>
      </w:r>
      <w:r>
        <w:rPr>
          <w:rFonts w:ascii="宋体" w:hAnsi="宋体" w:cs="宋体"/>
          <w:bCs/>
          <w:color w:val="000000"/>
          <w:sz w:val="24"/>
        </w:rPr>
        <w:t>中标人的投标保证金，自采购合同签订之日起5个工作日内退还中标人</w:t>
      </w:r>
      <w:r>
        <w:rPr>
          <w:rFonts w:hint="eastAsia" w:ascii="宋体" w:hAnsi="宋体" w:cs="宋体"/>
          <w:bCs/>
          <w:color w:val="000000"/>
          <w:sz w:val="24"/>
        </w:rPr>
        <w:t>或者转为中标人的履约保证金</w:t>
      </w:r>
      <w:r>
        <w:rPr>
          <w:rFonts w:ascii="宋体" w:hAnsi="宋体" w:cs="宋体"/>
          <w:bCs/>
          <w:color w:val="000000"/>
          <w:sz w:val="24"/>
        </w:rPr>
        <w:t>；</w:t>
      </w:r>
    </w:p>
    <w:p>
      <w:pPr>
        <w:tabs>
          <w:tab w:val="left" w:pos="1080"/>
          <w:tab w:val="left" w:pos="1589"/>
          <w:tab w:val="left" w:pos="2014"/>
        </w:tabs>
        <w:snapToGrid w:val="0"/>
        <w:spacing w:line="360" w:lineRule="auto"/>
        <w:rPr>
          <w:rFonts w:ascii="宋体" w:hAnsi="宋体" w:cs="宋体"/>
          <w:bCs/>
          <w:color w:val="000000"/>
          <w:sz w:val="24"/>
        </w:rPr>
      </w:pPr>
      <w:r>
        <w:rPr>
          <w:rFonts w:ascii="宋体" w:hAnsi="宋体" w:cs="宋体"/>
          <w:bCs/>
          <w:color w:val="000000"/>
          <w:sz w:val="24"/>
        </w:rPr>
        <w:t>未中标投标人的投标保证金，自中标通知书发出之日起5个工作日内退还未中标人；</w:t>
      </w:r>
    </w:p>
    <w:p>
      <w:pPr>
        <w:tabs>
          <w:tab w:val="left" w:pos="1080"/>
          <w:tab w:val="left" w:pos="1589"/>
          <w:tab w:val="left" w:pos="2014"/>
        </w:tabs>
        <w:snapToGrid w:val="0"/>
        <w:spacing w:line="360" w:lineRule="auto"/>
        <w:rPr>
          <w:rFonts w:ascii="宋体" w:hAnsi="宋体" w:cs="宋体"/>
          <w:bCs/>
          <w:color w:val="000000"/>
          <w:sz w:val="24"/>
        </w:rPr>
      </w:pPr>
      <w:r>
        <w:rPr>
          <w:rFonts w:hint="eastAsia" w:ascii="宋体" w:hAnsi="宋体" w:cs="宋体"/>
          <w:bCs/>
          <w:color w:val="000000"/>
          <w:sz w:val="24"/>
        </w:rPr>
        <w:t xml:space="preserve">12.6.3  </w:t>
      </w:r>
      <w:r>
        <w:rPr>
          <w:rFonts w:ascii="宋体" w:hAnsi="宋体" w:cs="宋体"/>
          <w:bCs/>
          <w:color w:val="000000"/>
          <w:sz w:val="24"/>
        </w:rPr>
        <w:t>终止招标项目已经收取投标保证金的，自终止采购活动后5个工作日内退还已收取的投标保证金及其在银行产生的孳息。</w:t>
      </w:r>
    </w:p>
    <w:p>
      <w:pPr>
        <w:tabs>
          <w:tab w:val="left" w:pos="1080"/>
          <w:tab w:val="left" w:pos="1589"/>
          <w:tab w:val="left" w:pos="2014"/>
        </w:tabs>
        <w:snapToGrid w:val="0"/>
        <w:spacing w:line="360" w:lineRule="auto"/>
        <w:rPr>
          <w:rFonts w:ascii="宋体" w:hAnsi="宋体" w:cs="宋体"/>
          <w:bCs/>
          <w:color w:val="000000"/>
          <w:sz w:val="24"/>
        </w:rPr>
      </w:pPr>
      <w:r>
        <w:rPr>
          <w:rFonts w:hint="eastAsia" w:ascii="宋体" w:hAnsi="宋体" w:cs="宋体"/>
          <w:bCs/>
          <w:color w:val="000000"/>
          <w:sz w:val="24"/>
        </w:rPr>
        <w:t xml:space="preserve">12.7  </w:t>
      </w:r>
      <w:r>
        <w:rPr>
          <w:rFonts w:ascii="宋体" w:hAnsi="宋体" w:cs="宋体"/>
          <w:bCs/>
          <w:color w:val="000000"/>
          <w:sz w:val="24"/>
        </w:rPr>
        <w:t>有下列情形之一的，采购人或采购代理机构可以不予退还投标保证金：</w:t>
      </w:r>
    </w:p>
    <w:p>
      <w:pPr>
        <w:tabs>
          <w:tab w:val="left" w:pos="1080"/>
          <w:tab w:val="left" w:pos="1589"/>
          <w:tab w:val="left" w:pos="2014"/>
        </w:tabs>
        <w:snapToGrid w:val="0"/>
        <w:spacing w:line="360" w:lineRule="auto"/>
        <w:rPr>
          <w:rFonts w:ascii="宋体" w:hAnsi="宋体" w:cs="宋体"/>
          <w:bCs/>
          <w:color w:val="000000"/>
          <w:sz w:val="24"/>
        </w:rPr>
      </w:pPr>
      <w:r>
        <w:rPr>
          <w:rFonts w:hint="eastAsia" w:ascii="宋体" w:hAnsi="宋体" w:cs="宋体"/>
          <w:bCs/>
          <w:color w:val="000000"/>
          <w:sz w:val="24"/>
        </w:rPr>
        <w:t xml:space="preserve">12.7.1  </w:t>
      </w:r>
      <w:r>
        <w:rPr>
          <w:rFonts w:ascii="宋体" w:hAnsi="宋体" w:cs="宋体"/>
          <w:bCs/>
          <w:color w:val="000000"/>
          <w:sz w:val="24"/>
        </w:rPr>
        <w:t>投标有效期内投标人撤销投标文件的；</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12.7.2  </w:t>
      </w:r>
      <w:r>
        <w:rPr>
          <w:rFonts w:ascii="宋体" w:hAnsi="宋体" w:cs="宋体"/>
          <w:bCs/>
          <w:color w:val="000000"/>
          <w:sz w:val="24"/>
        </w:rPr>
        <w:t>《投标人须知资料表》中规定的其他情形。</w:t>
      </w:r>
    </w:p>
    <w:p>
      <w:pPr>
        <w:pStyle w:val="15"/>
        <w:snapToGrid w:val="0"/>
        <w:spacing w:line="360" w:lineRule="auto"/>
        <w:ind w:firstLine="1"/>
        <w:rPr>
          <w:rFonts w:ascii="宋体" w:hAnsi="宋体" w:cs="宋体"/>
          <w:bCs/>
          <w:color w:val="000000"/>
          <w:sz w:val="24"/>
        </w:rPr>
      </w:pPr>
      <w:r>
        <w:rPr>
          <w:rFonts w:hint="eastAsia" w:ascii="宋体" w:hAnsi="宋体" w:cs="宋体"/>
          <w:b/>
          <w:bCs/>
          <w:color w:val="000000"/>
          <w:sz w:val="24"/>
        </w:rPr>
        <w:t>12.9  投标人未按照招标文件要求提交投标保证金的，其投标无效</w:t>
      </w:r>
      <w:r>
        <w:rPr>
          <w:rFonts w:hint="eastAsia" w:ascii="宋体" w:hAnsi="宋体" w:cs="宋体"/>
          <w:bCs/>
          <w:color w:val="000000"/>
          <w:sz w:val="24"/>
        </w:rPr>
        <w:t>。</w:t>
      </w:r>
    </w:p>
    <w:p>
      <w:pPr>
        <w:spacing w:line="360" w:lineRule="auto"/>
        <w:rPr>
          <w:rFonts w:ascii="宋体" w:hAnsi="宋体" w:cs="宋体"/>
          <w:b/>
          <w:color w:val="000000"/>
          <w:sz w:val="24"/>
          <w:szCs w:val="24"/>
        </w:rPr>
      </w:pPr>
      <w:bookmarkStart w:id="104" w:name="_Toc445845734"/>
      <w:bookmarkStart w:id="105" w:name="_Toc12648"/>
      <w:bookmarkStart w:id="106" w:name="_Toc447223735"/>
      <w:bookmarkStart w:id="107" w:name="_Toc445916564"/>
      <w:bookmarkStart w:id="108" w:name="_Toc445984934"/>
      <w:bookmarkStart w:id="109" w:name="_Toc32094"/>
      <w:bookmarkStart w:id="110" w:name="_Toc13896"/>
      <w:bookmarkStart w:id="111" w:name="_Toc445903401"/>
      <w:r>
        <w:rPr>
          <w:rFonts w:hint="eastAsia" w:ascii="宋体" w:hAnsi="宋体" w:cs="宋体"/>
          <w:b/>
          <w:color w:val="000000"/>
          <w:sz w:val="24"/>
          <w:szCs w:val="24"/>
        </w:rPr>
        <w:t>13.  投标有效期</w:t>
      </w:r>
      <w:bookmarkEnd w:id="104"/>
      <w:bookmarkEnd w:id="105"/>
      <w:bookmarkEnd w:id="106"/>
      <w:bookmarkEnd w:id="107"/>
      <w:bookmarkEnd w:id="108"/>
      <w:bookmarkEnd w:id="109"/>
      <w:bookmarkEnd w:id="110"/>
      <w:bookmarkEnd w:id="111"/>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13.1  </w:t>
      </w:r>
      <w:r>
        <w:rPr>
          <w:rFonts w:ascii="宋体" w:hAnsi="宋体"/>
          <w:color w:val="000000"/>
          <w:sz w:val="24"/>
        </w:rPr>
        <w:t>投标</w:t>
      </w:r>
      <w:r>
        <w:rPr>
          <w:rFonts w:hint="eastAsia" w:ascii="宋体" w:hAnsi="宋体"/>
          <w:color w:val="000000"/>
          <w:sz w:val="24"/>
        </w:rPr>
        <w:t>文件</w:t>
      </w:r>
      <w:r>
        <w:rPr>
          <w:rFonts w:ascii="宋体" w:hAnsi="宋体"/>
          <w:color w:val="000000"/>
          <w:sz w:val="24"/>
        </w:rPr>
        <w:t>应在本招标文件《投标人须知资料表》中规定的投标有效期内保持有效，投标有效期少于招标文件规定期限的，其</w:t>
      </w:r>
      <w:r>
        <w:rPr>
          <w:rFonts w:ascii="宋体" w:hAnsi="宋体"/>
          <w:b/>
          <w:color w:val="000000"/>
          <w:sz w:val="24"/>
        </w:rPr>
        <w:t>投标无效</w:t>
      </w:r>
      <w:r>
        <w:rPr>
          <w:rFonts w:ascii="宋体" w:hAnsi="宋体"/>
          <w:color w:val="000000"/>
          <w:sz w:val="24"/>
        </w:rPr>
        <w:t>。</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13.2  在特殊情况下，采购人在原定投标有效期内，可以根据需要以书面形式向投标人提出延长投标有效期的要求，对此要求投标人须以书面形式予以答复。投标人可以拒绝采购人这种要求，而不被没收投标保证金。</w:t>
      </w:r>
      <w:r>
        <w:rPr>
          <w:rFonts w:hint="eastAsia" w:ascii="宋体" w:hAnsi="宋体" w:cs="宋体"/>
          <w:b/>
          <w:color w:val="000000"/>
          <w:sz w:val="24"/>
        </w:rPr>
        <w:t>拒绝延长投标有效期的，其投标无效。</w:t>
      </w:r>
      <w:r>
        <w:rPr>
          <w:rFonts w:hint="eastAsia" w:ascii="宋体" w:hAnsi="宋体" w:cs="宋体"/>
          <w:bCs/>
          <w:color w:val="000000"/>
          <w:sz w:val="24"/>
        </w:rPr>
        <w:t>同意延长投标有效期的投标人既不能要求也不允许修改其投标文件，但需要相应的延长投标保证金的有效期，在延长的投标有效期内本须知第12条关于投标保证金的退还与没收的规定仍然适用。</w:t>
      </w:r>
    </w:p>
    <w:p>
      <w:pPr>
        <w:spacing w:line="360" w:lineRule="auto"/>
        <w:rPr>
          <w:rFonts w:ascii="宋体" w:hAnsi="宋体" w:cs="宋体"/>
          <w:b/>
          <w:color w:val="000000"/>
          <w:sz w:val="24"/>
          <w:szCs w:val="24"/>
        </w:rPr>
      </w:pPr>
      <w:bookmarkStart w:id="112" w:name="_Toc27183"/>
      <w:bookmarkStart w:id="113" w:name="_Toc445984935"/>
      <w:bookmarkStart w:id="114" w:name="_Toc9000"/>
      <w:bookmarkStart w:id="115" w:name="_Toc10015"/>
      <w:bookmarkStart w:id="116" w:name="_Toc447223736"/>
      <w:bookmarkStart w:id="117" w:name="_Toc445916565"/>
      <w:bookmarkStart w:id="118" w:name="_Toc445903402"/>
      <w:bookmarkStart w:id="119" w:name="_Toc445845735"/>
      <w:r>
        <w:rPr>
          <w:rFonts w:ascii="宋体" w:hAnsi="宋体" w:cs="宋体"/>
          <w:b/>
          <w:color w:val="000000"/>
          <w:sz w:val="24"/>
          <w:szCs w:val="24"/>
        </w:rPr>
        <w:t>1</w:t>
      </w:r>
      <w:r>
        <w:rPr>
          <w:rFonts w:hint="eastAsia" w:ascii="宋体" w:hAnsi="宋体" w:cs="宋体"/>
          <w:b/>
          <w:color w:val="000000"/>
          <w:sz w:val="24"/>
          <w:szCs w:val="24"/>
        </w:rPr>
        <w:t>4</w:t>
      </w:r>
      <w:r>
        <w:rPr>
          <w:rFonts w:ascii="宋体" w:hAnsi="宋体" w:cs="宋体"/>
          <w:b/>
          <w:color w:val="000000"/>
          <w:sz w:val="24"/>
          <w:szCs w:val="24"/>
        </w:rPr>
        <w:t xml:space="preserve">.  </w:t>
      </w:r>
      <w:r>
        <w:rPr>
          <w:rFonts w:hint="eastAsia" w:ascii="宋体" w:hAnsi="宋体" w:cs="宋体"/>
          <w:b/>
          <w:color w:val="000000"/>
          <w:sz w:val="24"/>
          <w:szCs w:val="24"/>
        </w:rPr>
        <w:t>投标文件的份数和签署</w:t>
      </w:r>
      <w:bookmarkEnd w:id="112"/>
      <w:bookmarkEnd w:id="113"/>
      <w:bookmarkEnd w:id="114"/>
      <w:bookmarkEnd w:id="115"/>
      <w:bookmarkEnd w:id="116"/>
      <w:bookmarkEnd w:id="117"/>
      <w:bookmarkEnd w:id="118"/>
      <w:bookmarkEnd w:id="119"/>
    </w:p>
    <w:p>
      <w:pPr>
        <w:pStyle w:val="15"/>
        <w:snapToGrid w:val="0"/>
        <w:spacing w:line="360" w:lineRule="auto"/>
        <w:rPr>
          <w:rFonts w:ascii="宋体" w:hAnsi="宋体" w:cs="宋体"/>
          <w:bCs/>
          <w:color w:val="000000"/>
          <w:sz w:val="24"/>
          <w:highlight w:val="none"/>
        </w:rPr>
      </w:pPr>
      <w:r>
        <w:rPr>
          <w:rFonts w:hint="eastAsia" w:ascii="宋体" w:hAnsi="宋体" w:cs="宋体"/>
          <w:b/>
          <w:bCs/>
          <w:color w:val="000000"/>
          <w:sz w:val="24"/>
          <w:highlight w:val="none"/>
        </w:rPr>
        <w:t>14</w:t>
      </w:r>
      <w:r>
        <w:rPr>
          <w:rFonts w:ascii="宋体" w:hAnsi="宋体" w:cs="宋体"/>
          <w:b/>
          <w:bCs/>
          <w:color w:val="000000"/>
          <w:sz w:val="24"/>
          <w:highlight w:val="none"/>
        </w:rPr>
        <w:t xml:space="preserve">.1 </w:t>
      </w:r>
      <w:r>
        <w:rPr>
          <w:rFonts w:hint="eastAsia" w:ascii="宋体" w:hAnsi="宋体" w:cs="宋体"/>
          <w:b/>
          <w:color w:val="000000"/>
          <w:sz w:val="24"/>
          <w:highlight w:val="none"/>
        </w:rPr>
        <w:t>投标人应递交投标文件正本</w:t>
      </w:r>
      <w:r>
        <w:rPr>
          <w:rFonts w:hint="eastAsia" w:ascii="宋体" w:hAnsi="宋体" w:cs="宋体"/>
          <w:b/>
          <w:color w:val="000000"/>
          <w:sz w:val="24"/>
          <w:highlight w:val="none"/>
          <w:u w:val="single"/>
        </w:rPr>
        <w:t>壹</w:t>
      </w:r>
      <w:r>
        <w:rPr>
          <w:rFonts w:hint="eastAsia" w:ascii="宋体" w:hAnsi="宋体" w:cs="宋体"/>
          <w:b/>
          <w:color w:val="000000"/>
          <w:sz w:val="24"/>
          <w:highlight w:val="none"/>
        </w:rPr>
        <w:t>份、副本</w:t>
      </w:r>
      <w:r>
        <w:rPr>
          <w:rFonts w:hint="eastAsia" w:ascii="宋体" w:hAnsi="宋体" w:cs="宋体"/>
          <w:b/>
          <w:color w:val="000000"/>
          <w:sz w:val="24"/>
          <w:highlight w:val="none"/>
          <w:u w:val="single"/>
        </w:rPr>
        <w:t>肆</w:t>
      </w:r>
      <w:r>
        <w:rPr>
          <w:rFonts w:hint="eastAsia" w:ascii="宋体" w:hAnsi="宋体" w:cs="宋体"/>
          <w:b/>
          <w:color w:val="000000"/>
          <w:sz w:val="24"/>
          <w:highlight w:val="none"/>
        </w:rPr>
        <w:t>份，电子版本</w:t>
      </w:r>
      <w:r>
        <w:rPr>
          <w:rFonts w:ascii="宋体" w:hAnsi="宋体" w:cs="宋体"/>
          <w:b/>
          <w:color w:val="000000"/>
          <w:sz w:val="24"/>
          <w:highlight w:val="none"/>
        </w:rPr>
        <w:t>u盘</w:t>
      </w:r>
      <w:r>
        <w:rPr>
          <w:rFonts w:hint="eastAsia" w:ascii="宋体" w:hAnsi="宋体" w:cs="宋体"/>
          <w:b/>
          <w:color w:val="000000"/>
          <w:sz w:val="24"/>
          <w:highlight w:val="none"/>
          <w:u w:val="single"/>
        </w:rPr>
        <w:t>壹</w:t>
      </w:r>
      <w:r>
        <w:rPr>
          <w:rFonts w:hint="eastAsia" w:ascii="宋体" w:hAnsi="宋体" w:cs="宋体"/>
          <w:b/>
          <w:color w:val="000000"/>
          <w:sz w:val="24"/>
          <w:highlight w:val="none"/>
        </w:rPr>
        <w:t>份（word版和正本扫描盖章后彩色扫描pdf版）。每份投标文件封面须清楚地标明“正本”或“副本”。若正本和副本不符，以正本为准。</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14.2  投标文件的正本和副本均需打印或使用不褪色的蓝、黑墨水笔书写，字迹应清晰易于辨认，副本可为正本的复印件，正本和副本如有不一致之处，以正本为准。</w:t>
      </w:r>
      <w:r>
        <w:rPr>
          <w:rFonts w:hint="eastAsia" w:ascii="宋体" w:hAnsi="宋体" w:cs="宋体"/>
          <w:color w:val="000000"/>
          <w:sz w:val="24"/>
        </w:rPr>
        <w:t>投标文件及修改文件一律使用A4号纸（有特殊规定的图纸及其他文件资料除外）。</w:t>
      </w:r>
    </w:p>
    <w:p>
      <w:pPr>
        <w:pStyle w:val="15"/>
        <w:snapToGrid w:val="0"/>
        <w:spacing w:line="360" w:lineRule="auto"/>
        <w:rPr>
          <w:rFonts w:ascii="宋体" w:hAnsi="宋体" w:cs="宋体"/>
          <w:b/>
          <w:bCs/>
          <w:color w:val="000000"/>
          <w:sz w:val="24"/>
        </w:rPr>
      </w:pPr>
      <w:r>
        <w:rPr>
          <w:rFonts w:hint="eastAsia" w:ascii="宋体" w:hAnsi="宋体" w:cs="宋体"/>
          <w:b/>
          <w:bCs/>
          <w:color w:val="000000"/>
          <w:sz w:val="24"/>
        </w:rPr>
        <w:t>14.3  投标文件正本、副本封面均应加盖投标人公章并经法定代表人或其委托代理人签字或盖章。由委托代理人签字或盖章的在投标文件中须同时提交投标文件签署授权委托书。投标文件签署授权委托书格式、签字、盖章及内容均应符合要求，否则投标文件签署授权委托书无效。</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14.4  电子文件规定存储载体为U盘形式（或约定的其他形式），并标注单位名称。</w:t>
      </w:r>
    </w:p>
    <w:p>
      <w:pPr>
        <w:pStyle w:val="15"/>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投标人递交的电子文件应包含纸质投标文件全部内容，电子文件规定格式为：</w:t>
      </w:r>
    </w:p>
    <w:p>
      <w:pPr>
        <w:pStyle w:val="15"/>
        <w:snapToGrid w:val="0"/>
        <w:spacing w:line="360" w:lineRule="auto"/>
        <w:ind w:firstLine="480" w:firstLineChars="200"/>
        <w:rPr>
          <w:rFonts w:ascii="宋体" w:hAnsi="宋体" w:cs="宋体"/>
          <w:color w:val="000000"/>
          <w:sz w:val="24"/>
        </w:rPr>
      </w:pPr>
      <w:r>
        <w:rPr>
          <w:rFonts w:hint="eastAsia" w:ascii="宋体" w:hAnsi="宋体" w:cs="宋体"/>
          <w:color w:val="000000"/>
          <w:sz w:val="24"/>
        </w:rPr>
        <w:t>①文本文件采用DOC、DOCX、RTF、TXT、PDF格式；</w:t>
      </w:r>
    </w:p>
    <w:p>
      <w:pPr>
        <w:pStyle w:val="15"/>
        <w:snapToGrid w:val="0"/>
        <w:spacing w:line="360" w:lineRule="auto"/>
        <w:rPr>
          <w:rFonts w:ascii="宋体" w:hAnsi="宋体" w:cs="宋体"/>
          <w:color w:val="000000"/>
          <w:sz w:val="24"/>
        </w:rPr>
      </w:pPr>
      <w:r>
        <w:rPr>
          <w:rFonts w:hint="eastAsia" w:ascii="宋体" w:hAnsi="宋体" w:cs="宋体"/>
          <w:color w:val="000000"/>
          <w:sz w:val="24"/>
        </w:rPr>
        <w:t xml:space="preserve">    ②图像文件采用JPEG、TIFF格式；</w:t>
      </w:r>
    </w:p>
    <w:p>
      <w:pPr>
        <w:pStyle w:val="15"/>
        <w:snapToGrid w:val="0"/>
        <w:spacing w:line="360" w:lineRule="auto"/>
        <w:rPr>
          <w:rFonts w:ascii="宋体" w:hAnsi="宋体" w:cs="宋体"/>
          <w:color w:val="000000"/>
          <w:sz w:val="24"/>
        </w:rPr>
      </w:pPr>
      <w:r>
        <w:rPr>
          <w:rFonts w:hint="eastAsia" w:ascii="宋体" w:hAnsi="宋体" w:cs="宋体"/>
          <w:color w:val="000000"/>
          <w:sz w:val="24"/>
        </w:rPr>
        <w:t xml:space="preserve">    ③影像文件采用MPEG、AVI、MP4格式；</w:t>
      </w:r>
    </w:p>
    <w:p>
      <w:pPr>
        <w:pStyle w:val="15"/>
        <w:snapToGrid w:val="0"/>
        <w:spacing w:line="360" w:lineRule="auto"/>
        <w:rPr>
          <w:rFonts w:ascii="宋体" w:hAnsi="宋体" w:cs="宋体"/>
          <w:color w:val="000000"/>
          <w:sz w:val="24"/>
        </w:rPr>
      </w:pPr>
      <w:r>
        <w:rPr>
          <w:rFonts w:hint="eastAsia" w:ascii="宋体" w:hAnsi="宋体" w:cs="宋体"/>
          <w:color w:val="000000"/>
          <w:sz w:val="24"/>
        </w:rPr>
        <w:t xml:space="preserve">    ④声音文件采用WAV、MP3格式。</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14.5  除投标人对错误处须修改外，全套投标文件应无涂改或行间插字和增删。如有修改，修改处应由投标人加盖投标人的公章并由法定代表人或其委托代理人签字或盖章，投标文件技术部分不允许有修改。</w:t>
      </w:r>
    </w:p>
    <w:p>
      <w:pPr>
        <w:pStyle w:val="15"/>
        <w:snapToGrid w:val="0"/>
        <w:spacing w:line="360" w:lineRule="auto"/>
        <w:rPr>
          <w:rFonts w:ascii="宋体" w:hAnsi="宋体" w:cs="宋体"/>
          <w:color w:val="000000"/>
          <w:sz w:val="24"/>
        </w:rPr>
      </w:pPr>
      <w:r>
        <w:rPr>
          <w:rFonts w:hint="eastAsia" w:ascii="宋体" w:hAnsi="宋体" w:cs="宋体"/>
          <w:bCs/>
          <w:color w:val="000000"/>
          <w:sz w:val="24"/>
        </w:rPr>
        <w:t xml:space="preserve">14.6  </w:t>
      </w:r>
      <w:r>
        <w:rPr>
          <w:rFonts w:hint="eastAsia" w:ascii="宋体" w:hAnsi="宋体" w:cs="宋体"/>
          <w:color w:val="000000"/>
          <w:sz w:val="24"/>
        </w:rPr>
        <w:t>投标文件因字迹潦草或表达不清所引起的后果由投标人负责。</w:t>
      </w:r>
    </w:p>
    <w:p>
      <w:pPr>
        <w:pStyle w:val="2"/>
        <w:spacing w:line="360" w:lineRule="auto"/>
        <w:rPr>
          <w:rFonts w:ascii="宋体" w:hAnsi="宋体"/>
          <w:color w:val="000000"/>
          <w:sz w:val="24"/>
          <w:szCs w:val="24"/>
        </w:rPr>
      </w:pPr>
      <w:bookmarkStart w:id="120" w:name="_Toc10460"/>
      <w:bookmarkStart w:id="121" w:name="_Toc18447"/>
      <w:bookmarkStart w:id="122" w:name="_Toc447223737"/>
      <w:bookmarkStart w:id="123" w:name="_Toc92789201"/>
      <w:bookmarkStart w:id="124" w:name="_Toc100786140"/>
      <w:bookmarkStart w:id="125" w:name="_Toc3252"/>
      <w:bookmarkStart w:id="126" w:name="_Toc25958"/>
      <w:r>
        <w:rPr>
          <w:rFonts w:hint="eastAsia" w:ascii="宋体" w:hAnsi="宋体"/>
          <w:color w:val="000000"/>
          <w:sz w:val="24"/>
          <w:szCs w:val="24"/>
        </w:rPr>
        <w:t>（四）投标文件的提交</w:t>
      </w:r>
      <w:bookmarkEnd w:id="120"/>
      <w:bookmarkEnd w:id="121"/>
      <w:bookmarkEnd w:id="122"/>
      <w:bookmarkEnd w:id="123"/>
      <w:bookmarkEnd w:id="124"/>
      <w:bookmarkEnd w:id="125"/>
      <w:bookmarkEnd w:id="126"/>
    </w:p>
    <w:p>
      <w:pPr>
        <w:snapToGrid w:val="0"/>
        <w:spacing w:line="360" w:lineRule="auto"/>
        <w:rPr>
          <w:rFonts w:ascii="宋体" w:hAnsi="宋体" w:cs="宋体"/>
          <w:b/>
          <w:bCs/>
          <w:color w:val="000000"/>
          <w:sz w:val="24"/>
          <w:szCs w:val="24"/>
        </w:rPr>
      </w:pPr>
      <w:bookmarkStart w:id="127" w:name="_Toc447223738"/>
      <w:bookmarkStart w:id="128" w:name="_Toc445984937"/>
      <w:bookmarkStart w:id="129" w:name="_Toc445903404"/>
      <w:bookmarkStart w:id="130" w:name="_Toc445845737"/>
      <w:bookmarkStart w:id="131" w:name="_Toc445916567"/>
      <w:bookmarkStart w:id="132" w:name="_Toc9691"/>
      <w:bookmarkStart w:id="133" w:name="_Toc22509"/>
      <w:bookmarkStart w:id="134" w:name="_Toc29338"/>
      <w:r>
        <w:rPr>
          <w:rFonts w:hint="eastAsia" w:ascii="宋体" w:hAnsi="宋体" w:cs="宋体"/>
          <w:b/>
          <w:bCs/>
          <w:color w:val="000000"/>
          <w:sz w:val="24"/>
          <w:szCs w:val="24"/>
        </w:rPr>
        <w:t>15.  投标文件的装订、密封和标记</w:t>
      </w:r>
      <w:bookmarkEnd w:id="127"/>
      <w:bookmarkEnd w:id="128"/>
      <w:bookmarkEnd w:id="129"/>
      <w:bookmarkEnd w:id="130"/>
      <w:bookmarkEnd w:id="131"/>
      <w:bookmarkEnd w:id="132"/>
      <w:bookmarkEnd w:id="133"/>
      <w:bookmarkEnd w:id="134"/>
    </w:p>
    <w:p>
      <w:pPr>
        <w:pStyle w:val="15"/>
        <w:snapToGrid w:val="0"/>
        <w:spacing w:line="360" w:lineRule="auto"/>
        <w:rPr>
          <w:rFonts w:ascii="宋体" w:hAnsi="宋体" w:cs="宋体"/>
          <w:bCs/>
          <w:color w:val="000000"/>
          <w:sz w:val="24"/>
        </w:rPr>
      </w:pPr>
      <w:r>
        <w:rPr>
          <w:rFonts w:hint="eastAsia" w:ascii="宋体" w:hAnsi="宋体" w:cs="宋体"/>
          <w:bCs/>
          <w:color w:val="000000"/>
          <w:sz w:val="24"/>
        </w:rPr>
        <w:t>15.1  投标文件的装订要求：投标文件须左侧胶装，装订须牢固不易拆散。</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15.2  投标人应将投标文件的正本和副本进行密封，电子版文件（须标注单位名称）单独密封。密封袋上清楚地标明“正本”、“副本”、“电子版”。</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15.3  为方便开标唱标，投标人应将开标一览表单独密封并在信封上标明“开标一览表”字样，在投标时单独递交。“开标一览表”作为投标文件重要组成部分，必须加盖单位公章并由法定代表人或其委托代理人签字或盖章。</w:t>
      </w:r>
    </w:p>
    <w:p>
      <w:pPr>
        <w:pStyle w:val="15"/>
        <w:snapToGrid w:val="0"/>
        <w:spacing w:line="360" w:lineRule="auto"/>
        <w:rPr>
          <w:rFonts w:ascii="宋体" w:hAnsi="宋体" w:cs="宋体"/>
          <w:b/>
          <w:bCs/>
          <w:color w:val="000000"/>
          <w:sz w:val="24"/>
        </w:rPr>
      </w:pPr>
      <w:r>
        <w:rPr>
          <w:rFonts w:hint="eastAsia" w:ascii="宋体" w:hAnsi="宋体" w:cs="宋体"/>
          <w:b/>
          <w:bCs/>
          <w:color w:val="000000"/>
          <w:sz w:val="24"/>
        </w:rPr>
        <w:t>15.4  在投标文件密封袋上均应：</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 xml:space="preserve">15.4.1  </w:t>
      </w:r>
      <w:r>
        <w:rPr>
          <w:rFonts w:hint="eastAsia" w:ascii="宋体" w:hAnsi="宋体" w:cs="宋体"/>
          <w:b/>
          <w:color w:val="000000"/>
          <w:sz w:val="24"/>
          <w:szCs w:val="24"/>
        </w:rPr>
        <w:t>清楚标明递交至第一章《投标邀请》中指明的地址</w:t>
      </w:r>
      <w:r>
        <w:rPr>
          <w:rFonts w:hint="eastAsia" w:ascii="宋体" w:hAnsi="宋体" w:cs="宋体"/>
          <w:b/>
          <w:bCs/>
          <w:color w:val="000000"/>
          <w:sz w:val="24"/>
          <w:szCs w:val="24"/>
        </w:rPr>
        <w:t>；</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 xml:space="preserve">15.4.2  </w:t>
      </w:r>
      <w:r>
        <w:rPr>
          <w:rFonts w:hint="eastAsia" w:ascii="宋体" w:hAnsi="宋体" w:cs="宋体"/>
          <w:b/>
          <w:color w:val="000000"/>
          <w:sz w:val="24"/>
          <w:szCs w:val="24"/>
        </w:rPr>
        <w:t>注明第一章《投标邀请》中指明的项目名称、招标编号和“在</w:t>
      </w:r>
      <w:r>
        <w:rPr>
          <w:rFonts w:hint="eastAsia" w:ascii="宋体" w:hAnsi="宋体" w:cs="宋体"/>
          <w:b/>
          <w:color w:val="000000"/>
          <w:sz w:val="24"/>
          <w:szCs w:val="24"/>
          <w:u w:val="single"/>
        </w:rPr>
        <w:t xml:space="preserve">   （开标日期、时间 ）       </w:t>
      </w:r>
      <w:r>
        <w:rPr>
          <w:rFonts w:hint="eastAsia" w:ascii="宋体" w:hAnsi="宋体" w:cs="宋体"/>
          <w:b/>
          <w:color w:val="000000"/>
          <w:sz w:val="24"/>
          <w:szCs w:val="24"/>
        </w:rPr>
        <w:t>之前不得启封”的字样。</w:t>
      </w:r>
    </w:p>
    <w:p>
      <w:pPr>
        <w:pStyle w:val="15"/>
        <w:snapToGrid w:val="0"/>
        <w:spacing w:line="360" w:lineRule="auto"/>
        <w:rPr>
          <w:rFonts w:ascii="宋体" w:hAnsi="宋体" w:cs="宋体"/>
          <w:b/>
          <w:color w:val="000000"/>
          <w:sz w:val="24"/>
        </w:rPr>
      </w:pPr>
      <w:r>
        <w:rPr>
          <w:rFonts w:hint="eastAsia" w:ascii="宋体" w:hAnsi="宋体" w:cs="宋体"/>
          <w:b/>
          <w:bCs/>
          <w:color w:val="000000"/>
          <w:sz w:val="24"/>
        </w:rPr>
        <w:t xml:space="preserve">15.4.3  </w:t>
      </w:r>
      <w:r>
        <w:rPr>
          <w:rFonts w:hint="eastAsia" w:ascii="宋体" w:hAnsi="宋体" w:cs="宋体"/>
          <w:b/>
          <w:color w:val="000000"/>
          <w:sz w:val="24"/>
        </w:rPr>
        <w:t>在密封袋的封装处加盖投标人公章。</w:t>
      </w:r>
    </w:p>
    <w:p>
      <w:pPr>
        <w:pStyle w:val="15"/>
        <w:snapToGrid w:val="0"/>
        <w:spacing w:line="360" w:lineRule="auto"/>
        <w:rPr>
          <w:rFonts w:ascii="宋体" w:hAnsi="宋体" w:cs="宋体"/>
          <w:b/>
          <w:bCs/>
          <w:color w:val="000000"/>
          <w:sz w:val="24"/>
        </w:rPr>
      </w:pPr>
      <w:r>
        <w:rPr>
          <w:rFonts w:hint="eastAsia" w:ascii="宋体" w:hAnsi="宋体" w:cs="宋体"/>
          <w:b/>
          <w:bCs/>
          <w:color w:val="000000"/>
          <w:sz w:val="24"/>
        </w:rPr>
        <w:t>15.5  密封的具体要求：投标文件密封袋可以是档案袋，也可以是自制其他的密封袋（箱）。但每个密封袋（箱）密封口处须用密封条密封，封条由投标人自制，并在密封条上加盖投标人公章及其法定代表人或其委托代理人签字或盖章。</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15.6  投标文件密封袋上应写明投标人的名称与地址、邮政编码，以便本须知第19条规定情况发生时，采购人可按密封袋上标明的投标人地址将投标文件原封退回。</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15.7  如果投标文件没有按本投标须知规定装订和加写标记及密封的，采购人及采购代理机构将不承担投标文件提前开封的责任。对由此造成提前开封的投标文件将予以拒绝，并退还给投标人。</w:t>
      </w:r>
    </w:p>
    <w:p>
      <w:pPr>
        <w:snapToGrid w:val="0"/>
        <w:spacing w:line="360" w:lineRule="auto"/>
        <w:rPr>
          <w:rFonts w:ascii="宋体" w:hAnsi="宋体" w:cs="宋体"/>
          <w:b/>
          <w:bCs/>
          <w:color w:val="000000"/>
          <w:sz w:val="24"/>
          <w:szCs w:val="24"/>
        </w:rPr>
      </w:pPr>
      <w:bookmarkStart w:id="135" w:name="_Toc445916568"/>
      <w:bookmarkStart w:id="136" w:name="_Toc12144"/>
      <w:bookmarkStart w:id="137" w:name="_Toc445845738"/>
      <w:bookmarkStart w:id="138" w:name="_Toc447223739"/>
      <w:bookmarkStart w:id="139" w:name="_Toc445903405"/>
      <w:bookmarkStart w:id="140" w:name="_Toc3067"/>
      <w:bookmarkStart w:id="141" w:name="_Toc22759"/>
      <w:bookmarkStart w:id="142" w:name="_Toc445984938"/>
      <w:r>
        <w:rPr>
          <w:rFonts w:hint="eastAsia" w:ascii="宋体" w:hAnsi="宋体" w:cs="宋体"/>
          <w:b/>
          <w:bCs/>
          <w:color w:val="000000"/>
          <w:sz w:val="24"/>
          <w:szCs w:val="24"/>
        </w:rPr>
        <w:t>16.  样品</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16.1  </w:t>
      </w:r>
      <w:r>
        <w:rPr>
          <w:rFonts w:ascii="宋体" w:hAnsi="宋体" w:cs="宋体"/>
          <w:bCs/>
          <w:color w:val="000000"/>
          <w:sz w:val="24"/>
        </w:rPr>
        <w:t>本项目是否要求投标人提供样品，以及样品制作的标准和要求、是否需要随样品提交相关检测报告、样品的递交与退还等要求见《投标人须知资料表》</w:t>
      </w:r>
      <w:r>
        <w:rPr>
          <w:rFonts w:hint="eastAsia" w:ascii="宋体" w:hAnsi="宋体" w:cs="宋体"/>
          <w:bCs/>
          <w:color w:val="000000"/>
          <w:sz w:val="24"/>
        </w:rPr>
        <w:t>。</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16.2</w:t>
      </w:r>
      <w:r>
        <w:rPr>
          <w:rFonts w:ascii="宋体" w:hAnsi="宋体" w:cs="宋体"/>
          <w:bCs/>
          <w:color w:val="000000"/>
          <w:sz w:val="24"/>
        </w:rPr>
        <w:t>样品的评审方法以及评审标准等内容见第</w:t>
      </w:r>
      <w:r>
        <w:rPr>
          <w:rFonts w:hint="eastAsia" w:ascii="宋体" w:hAnsi="宋体" w:cs="宋体"/>
          <w:bCs/>
          <w:color w:val="000000"/>
          <w:sz w:val="24"/>
        </w:rPr>
        <w:t>六</w:t>
      </w:r>
      <w:r>
        <w:rPr>
          <w:rFonts w:ascii="宋体" w:hAnsi="宋体" w:cs="宋体"/>
          <w:bCs/>
          <w:color w:val="000000"/>
          <w:sz w:val="24"/>
        </w:rPr>
        <w:t>章《评标程序、评标方法和评标标准》。</w:t>
      </w:r>
      <w:bookmarkEnd w:id="135"/>
      <w:bookmarkEnd w:id="136"/>
      <w:bookmarkEnd w:id="137"/>
      <w:bookmarkEnd w:id="138"/>
      <w:bookmarkEnd w:id="139"/>
      <w:bookmarkEnd w:id="140"/>
      <w:bookmarkEnd w:id="141"/>
      <w:bookmarkEnd w:id="142"/>
    </w:p>
    <w:p>
      <w:pPr>
        <w:pStyle w:val="15"/>
        <w:snapToGrid w:val="0"/>
        <w:spacing w:line="360" w:lineRule="auto"/>
        <w:rPr>
          <w:rFonts w:ascii="宋体" w:hAnsi="宋体" w:cs="宋体"/>
          <w:b/>
          <w:bCs/>
          <w:color w:val="000000"/>
          <w:sz w:val="24"/>
        </w:rPr>
      </w:pPr>
      <w:bookmarkStart w:id="143" w:name="_Toc445845739"/>
      <w:bookmarkStart w:id="144" w:name="_Toc445916569"/>
      <w:bookmarkStart w:id="145" w:name="_Toc599"/>
      <w:bookmarkStart w:id="146" w:name="_Toc445903406"/>
      <w:bookmarkStart w:id="147" w:name="_Toc21995"/>
      <w:bookmarkStart w:id="148" w:name="_Toc445984939"/>
      <w:bookmarkStart w:id="149" w:name="_Toc26291"/>
      <w:bookmarkStart w:id="150" w:name="_Toc447223740"/>
      <w:r>
        <w:rPr>
          <w:rFonts w:hint="eastAsia" w:ascii="宋体" w:hAnsi="宋体" w:cs="宋体"/>
          <w:b/>
          <w:bCs/>
          <w:color w:val="000000"/>
          <w:sz w:val="24"/>
        </w:rPr>
        <w:t>17.  投标文件的提交</w:t>
      </w:r>
      <w:bookmarkEnd w:id="143"/>
      <w:bookmarkEnd w:id="144"/>
      <w:bookmarkEnd w:id="145"/>
      <w:bookmarkEnd w:id="146"/>
      <w:bookmarkEnd w:id="147"/>
      <w:bookmarkEnd w:id="148"/>
      <w:bookmarkEnd w:id="149"/>
      <w:bookmarkEnd w:id="150"/>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    投标人应按《投标人须知资料表》所规定的地点，于截止时间前提交投标文件。</w:t>
      </w:r>
    </w:p>
    <w:p>
      <w:pPr>
        <w:snapToGrid w:val="0"/>
        <w:spacing w:line="360" w:lineRule="auto"/>
        <w:rPr>
          <w:rFonts w:ascii="宋体" w:hAnsi="宋体" w:cs="宋体"/>
          <w:b/>
          <w:bCs/>
          <w:color w:val="000000"/>
          <w:sz w:val="24"/>
          <w:szCs w:val="24"/>
        </w:rPr>
      </w:pPr>
      <w:bookmarkStart w:id="151" w:name="_Toc445984940"/>
      <w:bookmarkStart w:id="152" w:name="_Toc445916570"/>
      <w:bookmarkStart w:id="153" w:name="_Toc447223741"/>
      <w:bookmarkStart w:id="154" w:name="_Toc2548"/>
      <w:bookmarkStart w:id="155" w:name="_Toc445903407"/>
      <w:bookmarkStart w:id="156" w:name="_Toc12992"/>
      <w:bookmarkStart w:id="157" w:name="_Toc445845740"/>
      <w:bookmarkStart w:id="158" w:name="_Toc16528"/>
      <w:r>
        <w:rPr>
          <w:rFonts w:hint="eastAsia" w:ascii="宋体" w:hAnsi="宋体" w:cs="宋体"/>
          <w:b/>
          <w:bCs/>
          <w:color w:val="000000"/>
          <w:sz w:val="24"/>
          <w:szCs w:val="24"/>
        </w:rPr>
        <w:t>18.  投标文件提交的截止时间</w:t>
      </w:r>
      <w:bookmarkEnd w:id="151"/>
      <w:bookmarkEnd w:id="152"/>
      <w:bookmarkEnd w:id="153"/>
      <w:bookmarkEnd w:id="154"/>
      <w:bookmarkEnd w:id="155"/>
      <w:bookmarkEnd w:id="156"/>
      <w:bookmarkEnd w:id="157"/>
      <w:bookmarkEnd w:id="158"/>
    </w:p>
    <w:p>
      <w:pPr>
        <w:pStyle w:val="15"/>
        <w:snapToGrid w:val="0"/>
        <w:spacing w:line="360" w:lineRule="auto"/>
        <w:rPr>
          <w:rFonts w:ascii="宋体" w:hAnsi="宋体" w:cs="宋体"/>
          <w:bCs/>
          <w:color w:val="000000"/>
          <w:sz w:val="24"/>
        </w:rPr>
      </w:pPr>
      <w:r>
        <w:rPr>
          <w:rFonts w:hint="eastAsia" w:ascii="宋体" w:hAnsi="宋体" w:cs="宋体"/>
          <w:bCs/>
          <w:color w:val="000000"/>
          <w:sz w:val="24"/>
        </w:rPr>
        <w:t>18.1  投标文件提交的截止时间即为投标截止时间，见</w:t>
      </w:r>
      <w:r>
        <w:rPr>
          <w:rFonts w:ascii="宋体" w:hAnsi="宋体" w:cs="宋体"/>
          <w:bCs/>
          <w:color w:val="000000"/>
          <w:sz w:val="24"/>
        </w:rPr>
        <w:t>《投标人须知资料表》</w:t>
      </w:r>
      <w:r>
        <w:rPr>
          <w:rFonts w:hint="eastAsia" w:ascii="宋体" w:hAnsi="宋体" w:cs="宋体"/>
          <w:bCs/>
          <w:color w:val="000000"/>
          <w:sz w:val="24"/>
        </w:rPr>
        <w:t>规定。</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18.2  采购人可按本须知第8条规定以修改补充通知的方式，顺延提交投标文件的截止时间。在此情况下，投标人的所有权利和义务以及投标人受制约的截止时间,均以延长后新的投标截止时间为准。</w:t>
      </w:r>
    </w:p>
    <w:p>
      <w:pPr>
        <w:snapToGrid w:val="0"/>
        <w:spacing w:line="360" w:lineRule="auto"/>
        <w:rPr>
          <w:rFonts w:ascii="宋体" w:hAnsi="宋体" w:cs="宋体"/>
          <w:b/>
          <w:bCs/>
          <w:color w:val="000000"/>
          <w:sz w:val="24"/>
          <w:szCs w:val="24"/>
        </w:rPr>
      </w:pPr>
      <w:bookmarkStart w:id="159" w:name="_Toc31773"/>
      <w:bookmarkStart w:id="160" w:name="_Toc445903408"/>
      <w:bookmarkStart w:id="161" w:name="_Toc32267"/>
      <w:bookmarkStart w:id="162" w:name="_Toc18653"/>
      <w:bookmarkStart w:id="163" w:name="_Toc445984941"/>
      <w:bookmarkStart w:id="164" w:name="_Toc447223742"/>
      <w:bookmarkStart w:id="165" w:name="_Toc445845741"/>
      <w:bookmarkStart w:id="166" w:name="_Toc445916571"/>
      <w:r>
        <w:rPr>
          <w:rFonts w:hint="eastAsia" w:ascii="宋体" w:hAnsi="宋体" w:cs="宋体"/>
          <w:b/>
          <w:bCs/>
          <w:color w:val="000000"/>
          <w:sz w:val="24"/>
          <w:szCs w:val="24"/>
        </w:rPr>
        <w:t>19.  迟交的投标文件</w:t>
      </w:r>
      <w:bookmarkEnd w:id="159"/>
      <w:bookmarkEnd w:id="160"/>
      <w:bookmarkEnd w:id="161"/>
      <w:bookmarkEnd w:id="162"/>
      <w:bookmarkEnd w:id="163"/>
      <w:bookmarkEnd w:id="164"/>
      <w:bookmarkEnd w:id="165"/>
      <w:bookmarkEnd w:id="166"/>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    采购人在本须知规定的投标截止时间以后收到的任何投标文件，将被拒绝并原封退回给投标人。</w:t>
      </w:r>
    </w:p>
    <w:p>
      <w:pPr>
        <w:snapToGrid w:val="0"/>
        <w:spacing w:line="360" w:lineRule="auto"/>
        <w:rPr>
          <w:rFonts w:ascii="宋体" w:hAnsi="宋体" w:cs="宋体"/>
          <w:b/>
          <w:bCs/>
          <w:color w:val="000000"/>
          <w:sz w:val="24"/>
          <w:szCs w:val="24"/>
        </w:rPr>
      </w:pPr>
      <w:bookmarkStart w:id="167" w:name="_Toc445903409"/>
      <w:bookmarkStart w:id="168" w:name="_Toc445984942"/>
      <w:bookmarkStart w:id="169" w:name="_Toc12923"/>
      <w:bookmarkStart w:id="170" w:name="_Toc7817"/>
      <w:bookmarkStart w:id="171" w:name="_Toc445916572"/>
      <w:bookmarkStart w:id="172" w:name="_Toc11463"/>
      <w:bookmarkStart w:id="173" w:name="_Toc447223743"/>
      <w:bookmarkStart w:id="174" w:name="_Toc445845742"/>
      <w:r>
        <w:rPr>
          <w:rFonts w:hint="eastAsia" w:ascii="宋体" w:hAnsi="宋体" w:cs="宋体"/>
          <w:b/>
          <w:bCs/>
          <w:color w:val="000000"/>
          <w:sz w:val="24"/>
          <w:szCs w:val="24"/>
        </w:rPr>
        <w:t>20.  投标文件的补充、修改与撤回</w:t>
      </w:r>
      <w:bookmarkEnd w:id="167"/>
      <w:bookmarkEnd w:id="168"/>
      <w:bookmarkEnd w:id="169"/>
      <w:bookmarkEnd w:id="170"/>
      <w:bookmarkEnd w:id="171"/>
      <w:bookmarkEnd w:id="172"/>
      <w:bookmarkEnd w:id="173"/>
      <w:bookmarkEnd w:id="174"/>
    </w:p>
    <w:p>
      <w:pPr>
        <w:pStyle w:val="15"/>
        <w:snapToGrid w:val="0"/>
        <w:spacing w:line="360" w:lineRule="auto"/>
        <w:rPr>
          <w:rFonts w:ascii="宋体" w:hAnsi="宋体" w:cs="宋体"/>
          <w:bCs/>
          <w:color w:val="000000"/>
          <w:sz w:val="24"/>
        </w:rPr>
      </w:pPr>
      <w:r>
        <w:rPr>
          <w:rFonts w:hint="eastAsia" w:ascii="宋体" w:hAnsi="宋体" w:cs="宋体"/>
          <w:bCs/>
          <w:color w:val="000000"/>
          <w:sz w:val="24"/>
        </w:rPr>
        <w:t>20.1  投标人在提交投标文件以后，在规定的投标截止时间之前，可以书面形式补充修改或撤回已提交的投标文件，并以书面形式通知采购人。补充、修改的内容为投标文件的组成部分。</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20.2  投标人对投标文件的补充、修改，应按本须知第15条有关规定密封、标记和提交，并在内外层投标文件密封袋上清楚标明“补充、修改”或“撤回”字样。</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20.3  在投标截止时间之后，投标人不得补充、修改投标文件。</w:t>
      </w:r>
    </w:p>
    <w:p>
      <w:pPr>
        <w:pStyle w:val="15"/>
        <w:snapToGrid w:val="0"/>
        <w:spacing w:line="360" w:lineRule="auto"/>
        <w:rPr>
          <w:rFonts w:ascii="宋体" w:hAnsi="宋体" w:cs="宋体"/>
          <w:b/>
          <w:bCs/>
          <w:color w:val="000000"/>
          <w:sz w:val="24"/>
        </w:rPr>
      </w:pPr>
      <w:r>
        <w:rPr>
          <w:rFonts w:hint="eastAsia" w:ascii="宋体" w:hAnsi="宋体" w:cs="宋体"/>
          <w:b/>
          <w:bCs/>
          <w:color w:val="000000"/>
          <w:sz w:val="24"/>
        </w:rPr>
        <w:t>20.4  在投标截止时间至投标有效期满之前，投标人不得撤回其投标文件，否则其投标保证金将不予退还。</w:t>
      </w:r>
      <w:bookmarkStart w:id="175" w:name="_Toc18535"/>
      <w:bookmarkStart w:id="176" w:name="_Toc21389"/>
      <w:bookmarkStart w:id="177" w:name="_Toc25752"/>
      <w:bookmarkStart w:id="178" w:name="_Toc12171"/>
      <w:bookmarkStart w:id="179" w:name="_Toc447223744"/>
    </w:p>
    <w:p>
      <w:pPr>
        <w:pStyle w:val="2"/>
        <w:spacing w:line="360" w:lineRule="auto"/>
        <w:rPr>
          <w:rFonts w:ascii="宋体" w:hAnsi="宋体"/>
          <w:color w:val="000000"/>
          <w:sz w:val="24"/>
          <w:szCs w:val="24"/>
        </w:rPr>
      </w:pPr>
      <w:bookmarkStart w:id="180" w:name="_Toc100786141"/>
      <w:bookmarkStart w:id="181" w:name="_Toc92789202"/>
      <w:r>
        <w:rPr>
          <w:rFonts w:hint="eastAsia" w:ascii="宋体" w:hAnsi="宋体"/>
          <w:color w:val="000000"/>
          <w:sz w:val="24"/>
          <w:szCs w:val="24"/>
        </w:rPr>
        <w:t>（五）开  标</w:t>
      </w:r>
      <w:bookmarkEnd w:id="175"/>
      <w:bookmarkEnd w:id="176"/>
      <w:bookmarkEnd w:id="177"/>
      <w:bookmarkEnd w:id="178"/>
      <w:bookmarkEnd w:id="179"/>
      <w:bookmarkEnd w:id="180"/>
      <w:bookmarkEnd w:id="181"/>
    </w:p>
    <w:p>
      <w:pPr>
        <w:snapToGrid w:val="0"/>
        <w:spacing w:line="360" w:lineRule="auto"/>
        <w:rPr>
          <w:rFonts w:ascii="宋体" w:hAnsi="宋体" w:cs="宋体"/>
          <w:b/>
          <w:bCs/>
          <w:color w:val="000000"/>
          <w:sz w:val="24"/>
          <w:szCs w:val="24"/>
        </w:rPr>
      </w:pPr>
      <w:bookmarkStart w:id="182" w:name="_Toc30348"/>
      <w:bookmarkStart w:id="183" w:name="_Toc925"/>
      <w:bookmarkStart w:id="184" w:name="_Toc10857"/>
      <w:bookmarkStart w:id="185" w:name="_Toc445916574"/>
      <w:bookmarkStart w:id="186" w:name="_Toc445903411"/>
      <w:bookmarkStart w:id="187" w:name="_Toc447223745"/>
      <w:bookmarkStart w:id="188" w:name="_Toc445845744"/>
      <w:bookmarkStart w:id="189" w:name="_Toc445984944"/>
      <w:r>
        <w:rPr>
          <w:rFonts w:hint="eastAsia" w:ascii="宋体" w:hAnsi="宋体" w:cs="宋体"/>
          <w:b/>
          <w:bCs/>
          <w:color w:val="000000"/>
          <w:sz w:val="24"/>
          <w:szCs w:val="24"/>
        </w:rPr>
        <w:t>21.  开标</w:t>
      </w:r>
      <w:bookmarkEnd w:id="182"/>
      <w:bookmarkEnd w:id="183"/>
      <w:bookmarkEnd w:id="184"/>
      <w:bookmarkEnd w:id="185"/>
      <w:bookmarkEnd w:id="186"/>
      <w:bookmarkEnd w:id="187"/>
      <w:bookmarkEnd w:id="188"/>
      <w:bookmarkEnd w:id="189"/>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21.1  </w:t>
      </w:r>
      <w:r>
        <w:rPr>
          <w:rFonts w:hint="eastAsia" w:ascii="宋体" w:hAnsi="宋体" w:cs="宋体"/>
          <w:color w:val="000000"/>
          <w:sz w:val="24"/>
        </w:rPr>
        <w:t>招标采购单位应当按第一章《投标邀请》的规定，在投标截止时间的同一时间和第一章《投标邀请》预先确定的地点组织开标，见</w:t>
      </w:r>
      <w:r>
        <w:rPr>
          <w:rFonts w:ascii="宋体" w:hAnsi="宋体" w:cs="宋体"/>
          <w:bCs/>
          <w:color w:val="000000"/>
          <w:sz w:val="24"/>
        </w:rPr>
        <w:t>《投标人须知资料表》</w:t>
      </w:r>
      <w:r>
        <w:rPr>
          <w:rFonts w:hint="eastAsia" w:ascii="宋体" w:hAnsi="宋体" w:cs="宋体"/>
          <w:color w:val="000000"/>
          <w:sz w:val="24"/>
        </w:rPr>
        <w:t>。开标时邀请所有投标人代表、采购人和有关方面代表参加。参加开标的代表应签名报到以证明其出席。</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21.2  邀请所有投标人法定代表人参加开标会议，法定代表人不能参加的须指定其委托代理人参加。</w:t>
      </w:r>
      <w:r>
        <w:rPr>
          <w:rFonts w:hint="eastAsia" w:ascii="宋体" w:hAnsi="宋体" w:cs="宋体"/>
          <w:color w:val="000000"/>
          <w:sz w:val="24"/>
        </w:rPr>
        <w:t>法定代表人或其委托代理人应携带法定代表人证明文件或法定代表人授权委托书，并出示有效身份证件（原件和复印件），证明其身份</w:t>
      </w:r>
      <w:r>
        <w:rPr>
          <w:rFonts w:hint="eastAsia" w:ascii="宋体" w:hAnsi="宋体" w:cs="宋体"/>
          <w:bCs/>
          <w:color w:val="000000"/>
          <w:sz w:val="24"/>
        </w:rPr>
        <w:t>。投标人代表对开标过程和开标记录有疑义，以及认为采购人、采购代理机构相关工作人员有需要回避的情形的，应当场提出询问或者回避申请。投标人未参加开标的，视同认可开标结果。</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21.3  按规定提交合格的撤回通知的投标文件不予开封，并退回给投标人。</w:t>
      </w:r>
    </w:p>
    <w:p>
      <w:pPr>
        <w:pStyle w:val="15"/>
        <w:snapToGrid w:val="0"/>
        <w:spacing w:line="360" w:lineRule="auto"/>
        <w:rPr>
          <w:rFonts w:ascii="宋体" w:hAnsi="宋体" w:cs="宋体"/>
          <w:b/>
          <w:bCs/>
          <w:color w:val="000000"/>
          <w:sz w:val="24"/>
        </w:rPr>
      </w:pPr>
      <w:r>
        <w:rPr>
          <w:rFonts w:hint="eastAsia" w:ascii="宋体" w:hAnsi="宋体" w:cs="宋体"/>
          <w:b/>
          <w:bCs/>
          <w:color w:val="000000"/>
          <w:sz w:val="24"/>
        </w:rPr>
        <w:t>21.4  投标文件有下列情况之一的，采购人不予接受：</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21.4.1  逾期送达的；</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21.4.2  未按照招标文件要求密封的。</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21.5  开标程序：</w:t>
      </w:r>
    </w:p>
    <w:p>
      <w:pPr>
        <w:snapToGrid w:val="0"/>
        <w:spacing w:line="360" w:lineRule="auto"/>
        <w:rPr>
          <w:rFonts w:ascii="宋体" w:hAnsi="宋体" w:cs="宋体"/>
          <w:bCs/>
          <w:color w:val="000000"/>
          <w:sz w:val="24"/>
          <w:szCs w:val="24"/>
        </w:rPr>
      </w:pPr>
      <w:r>
        <w:rPr>
          <w:rFonts w:hint="eastAsia" w:ascii="宋体" w:hAnsi="宋体" w:cs="宋体"/>
          <w:bCs/>
          <w:color w:val="000000"/>
          <w:sz w:val="24"/>
          <w:szCs w:val="24"/>
        </w:rPr>
        <w:t>21.5.1  开标由采购人或采购代理机构工作人员主持；</w:t>
      </w:r>
    </w:p>
    <w:p>
      <w:pPr>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21.5.2  由投标人或其推选的代表检查投标文件的密封情况； </w:t>
      </w:r>
    </w:p>
    <w:p>
      <w:pPr>
        <w:snapToGrid w:val="0"/>
        <w:spacing w:line="360" w:lineRule="auto"/>
        <w:rPr>
          <w:rFonts w:ascii="宋体" w:hAnsi="宋体" w:cs="宋体"/>
          <w:bCs/>
          <w:color w:val="000000"/>
          <w:sz w:val="24"/>
          <w:szCs w:val="24"/>
        </w:rPr>
      </w:pPr>
      <w:r>
        <w:rPr>
          <w:rFonts w:hint="eastAsia" w:ascii="宋体" w:hAnsi="宋体" w:cs="宋体"/>
          <w:bCs/>
          <w:color w:val="000000"/>
          <w:sz w:val="24"/>
          <w:szCs w:val="24"/>
        </w:rPr>
        <w:t>21.5.3  经确认无误后，由采购人或采购代理机构工作人员当众拆封，宣布投标人名称、投标价格和招标文件规定的需要宣布的其他内容；</w:t>
      </w:r>
    </w:p>
    <w:p>
      <w:pPr>
        <w:snapToGrid w:val="0"/>
        <w:spacing w:line="360" w:lineRule="auto"/>
        <w:rPr>
          <w:rFonts w:ascii="宋体" w:hAnsi="宋体" w:cs="宋体"/>
          <w:bCs/>
          <w:color w:val="000000"/>
          <w:sz w:val="24"/>
          <w:szCs w:val="24"/>
        </w:rPr>
      </w:pPr>
      <w:r>
        <w:rPr>
          <w:rFonts w:hint="eastAsia" w:ascii="宋体" w:hAnsi="宋体" w:cs="宋体"/>
          <w:bCs/>
          <w:color w:val="000000"/>
          <w:sz w:val="24"/>
          <w:szCs w:val="24"/>
        </w:rPr>
        <w:t>21.5.4  采购人在招标文件要求提交投标文件的截止时间前收到的投标文件，开标时都应当众予以拆封、宣读。除国家法律、法规另有规定的外，开标后的投标文件概不退回；</w:t>
      </w:r>
    </w:p>
    <w:p>
      <w:pPr>
        <w:snapToGrid w:val="0"/>
        <w:spacing w:line="360" w:lineRule="auto"/>
        <w:rPr>
          <w:rFonts w:ascii="宋体" w:hAnsi="宋体" w:cs="宋体"/>
          <w:bCs/>
          <w:color w:val="000000"/>
          <w:sz w:val="24"/>
          <w:szCs w:val="24"/>
        </w:rPr>
      </w:pPr>
      <w:r>
        <w:rPr>
          <w:rFonts w:hint="eastAsia" w:ascii="宋体" w:hAnsi="宋体" w:cs="宋体"/>
          <w:bCs/>
          <w:color w:val="000000"/>
          <w:sz w:val="24"/>
          <w:szCs w:val="24"/>
        </w:rPr>
        <w:t>21.5.5  采购代理机构对开标过程进行记录。</w:t>
      </w:r>
      <w:r>
        <w:rPr>
          <w:rFonts w:hint="eastAsia" w:ascii="宋体" w:hAnsi="宋体" w:cs="宋体"/>
          <w:color w:val="000000"/>
          <w:sz w:val="24"/>
          <w:szCs w:val="24"/>
        </w:rPr>
        <w:t>开标记录表由记录人、唱标人、投标人法定代表人或其委托代理人和有关人员签字确认，</w:t>
      </w:r>
      <w:r>
        <w:rPr>
          <w:rFonts w:hint="eastAsia" w:ascii="宋体" w:hAnsi="宋体" w:cs="宋体"/>
          <w:bCs/>
          <w:color w:val="000000"/>
          <w:sz w:val="24"/>
          <w:szCs w:val="24"/>
        </w:rPr>
        <w:t>并存档备查。</w:t>
      </w:r>
    </w:p>
    <w:p>
      <w:pPr>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21.6  </w:t>
      </w:r>
      <w:r>
        <w:rPr>
          <w:rFonts w:ascii="宋体" w:hAnsi="宋体" w:cs="宋体"/>
          <w:bCs/>
          <w:color w:val="000000"/>
          <w:sz w:val="24"/>
          <w:szCs w:val="24"/>
        </w:rPr>
        <w:t>投标人不足3家的，不予开标。</w:t>
      </w:r>
    </w:p>
    <w:p>
      <w:pPr>
        <w:snapToGrid w:val="0"/>
        <w:spacing w:line="360" w:lineRule="auto"/>
        <w:rPr>
          <w:rFonts w:ascii="宋体" w:hAnsi="宋体"/>
          <w:color w:val="000000"/>
        </w:rPr>
      </w:pPr>
    </w:p>
    <w:p>
      <w:pPr>
        <w:pStyle w:val="2"/>
        <w:spacing w:line="360" w:lineRule="auto"/>
        <w:rPr>
          <w:rFonts w:ascii="宋体" w:hAnsi="宋体"/>
          <w:color w:val="000000"/>
          <w:sz w:val="24"/>
          <w:szCs w:val="24"/>
        </w:rPr>
      </w:pPr>
      <w:bookmarkStart w:id="190" w:name="_Toc447223746"/>
      <w:bookmarkStart w:id="191" w:name="_Toc92789203"/>
      <w:bookmarkStart w:id="192" w:name="_Toc15102"/>
      <w:bookmarkStart w:id="193" w:name="_Toc11263"/>
      <w:bookmarkStart w:id="194" w:name="_Toc1621"/>
      <w:bookmarkStart w:id="195" w:name="_Toc100786142"/>
      <w:bookmarkStart w:id="196" w:name="_Toc7880"/>
      <w:r>
        <w:rPr>
          <w:rFonts w:hint="eastAsia" w:ascii="宋体" w:hAnsi="宋体"/>
          <w:color w:val="000000"/>
          <w:sz w:val="24"/>
          <w:szCs w:val="24"/>
        </w:rPr>
        <w:t>（六）资格审查和评标</w:t>
      </w:r>
      <w:bookmarkEnd w:id="190"/>
      <w:bookmarkEnd w:id="191"/>
      <w:bookmarkEnd w:id="192"/>
      <w:bookmarkEnd w:id="193"/>
      <w:bookmarkEnd w:id="194"/>
      <w:bookmarkEnd w:id="195"/>
      <w:bookmarkEnd w:id="196"/>
    </w:p>
    <w:p>
      <w:pPr>
        <w:snapToGrid w:val="0"/>
        <w:spacing w:line="360" w:lineRule="auto"/>
        <w:rPr>
          <w:rFonts w:ascii="宋体" w:hAnsi="宋体" w:cs="宋体"/>
          <w:b/>
          <w:color w:val="000000"/>
          <w:sz w:val="24"/>
          <w:szCs w:val="24"/>
        </w:rPr>
      </w:pPr>
      <w:r>
        <w:rPr>
          <w:rFonts w:hint="eastAsia" w:ascii="宋体" w:hAnsi="宋体" w:cs="宋体"/>
          <w:b/>
          <w:color w:val="000000"/>
          <w:sz w:val="24"/>
          <w:szCs w:val="24"/>
        </w:rPr>
        <w:t>22.  资格审查</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22.1  开标结束后由采购人或采购代理机构对投标人的资格进行审查。资格审查内容见第三章</w:t>
      </w:r>
      <w:r>
        <w:rPr>
          <w:color w:val="000000"/>
          <w:sz w:val="24"/>
        </w:rPr>
        <w:t>《资格审查》</w:t>
      </w:r>
      <w:r>
        <w:rPr>
          <w:rFonts w:hint="eastAsia" w:ascii="宋体" w:hAnsi="宋体" w:cs="宋体"/>
          <w:bCs/>
          <w:color w:val="000000"/>
          <w:sz w:val="24"/>
        </w:rPr>
        <w:t>。</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22.2  经资格审查合格投标人不足3家的，不得评标。经资格审查合格投标人3家及以上的，将合格投标人的投标文件提交评标委员会进行评审。</w:t>
      </w:r>
    </w:p>
    <w:p>
      <w:pPr>
        <w:snapToGrid w:val="0"/>
        <w:spacing w:line="360" w:lineRule="auto"/>
        <w:rPr>
          <w:rFonts w:ascii="宋体" w:hAnsi="宋体" w:cs="宋体"/>
          <w:b/>
          <w:color w:val="000000"/>
          <w:sz w:val="24"/>
          <w:szCs w:val="24"/>
        </w:rPr>
      </w:pPr>
      <w:bookmarkStart w:id="197" w:name="_Toc445916576"/>
      <w:bookmarkStart w:id="198" w:name="_Toc445845746"/>
      <w:bookmarkStart w:id="199" w:name="_Toc445984946"/>
      <w:bookmarkStart w:id="200" w:name="_Toc15540"/>
      <w:bookmarkStart w:id="201" w:name="_Toc445903413"/>
      <w:bookmarkStart w:id="202" w:name="_Toc14072"/>
      <w:bookmarkStart w:id="203" w:name="_Toc447223747"/>
      <w:bookmarkStart w:id="204" w:name="_Toc7584"/>
      <w:r>
        <w:rPr>
          <w:rFonts w:hint="eastAsia" w:ascii="宋体" w:hAnsi="宋体" w:cs="宋体"/>
          <w:b/>
          <w:color w:val="000000"/>
          <w:sz w:val="24"/>
          <w:szCs w:val="24"/>
        </w:rPr>
        <w:t>23.  组建评标委员会</w:t>
      </w:r>
      <w:bookmarkEnd w:id="197"/>
      <w:bookmarkEnd w:id="198"/>
      <w:bookmarkEnd w:id="199"/>
      <w:bookmarkEnd w:id="200"/>
      <w:bookmarkEnd w:id="201"/>
      <w:bookmarkEnd w:id="202"/>
      <w:bookmarkEnd w:id="203"/>
      <w:bookmarkEnd w:id="204"/>
    </w:p>
    <w:p>
      <w:pPr>
        <w:snapToGrid w:val="0"/>
        <w:spacing w:line="360" w:lineRule="auto"/>
        <w:rPr>
          <w:rFonts w:ascii="宋体" w:hAnsi="宋体" w:cs="宋体"/>
          <w:bCs/>
          <w:color w:val="000000"/>
          <w:sz w:val="24"/>
          <w:szCs w:val="24"/>
        </w:rPr>
      </w:pPr>
      <w:bookmarkStart w:id="205" w:name="_Toc16062"/>
      <w:bookmarkStart w:id="206" w:name="_Toc445903414"/>
      <w:bookmarkStart w:id="207" w:name="_Toc25001"/>
      <w:bookmarkStart w:id="208" w:name="_Toc1212"/>
      <w:bookmarkStart w:id="209" w:name="_Toc445916577"/>
      <w:bookmarkStart w:id="210" w:name="_Toc445845747"/>
      <w:bookmarkStart w:id="211" w:name="_Toc445984947"/>
      <w:bookmarkStart w:id="212" w:name="_Toc447223748"/>
      <w:r>
        <w:rPr>
          <w:rFonts w:hint="eastAsia" w:ascii="宋体" w:hAnsi="宋体" w:cs="宋体"/>
          <w:bCs/>
          <w:color w:val="000000"/>
          <w:sz w:val="24"/>
          <w:szCs w:val="24"/>
        </w:rPr>
        <w:t xml:space="preserve">23.1  </w:t>
      </w:r>
      <w:r>
        <w:rPr>
          <w:rFonts w:ascii="宋体" w:hAnsi="宋体" w:cs="宋体"/>
          <w:bCs/>
          <w:color w:val="000000"/>
          <w:sz w:val="24"/>
          <w:szCs w:val="24"/>
        </w:rPr>
        <w:t>评标委员会根据政府采购有关规定和本次招标采购项目的特点进行组建，并负责具体评标事务，独立履行职责</w:t>
      </w:r>
      <w:r>
        <w:rPr>
          <w:rFonts w:hint="eastAsia" w:ascii="宋体" w:hAnsi="宋体" w:cs="宋体"/>
          <w:bCs/>
          <w:color w:val="000000"/>
          <w:sz w:val="24"/>
          <w:szCs w:val="24"/>
        </w:rPr>
        <w:t>。评标委员会由采购人代表和评审专家组成，成员人数为5人</w:t>
      </w:r>
      <w:r>
        <w:rPr>
          <w:rFonts w:hint="eastAsia" w:ascii="宋体" w:hAnsi="宋体" w:cs="宋体"/>
          <w:color w:val="000000"/>
          <w:sz w:val="24"/>
          <w:szCs w:val="24"/>
        </w:rPr>
        <w:t>（含）</w:t>
      </w:r>
      <w:r>
        <w:rPr>
          <w:rFonts w:hint="eastAsia" w:ascii="宋体" w:hAnsi="宋体" w:cs="宋体"/>
          <w:bCs/>
          <w:color w:val="000000"/>
          <w:sz w:val="24"/>
          <w:szCs w:val="24"/>
        </w:rPr>
        <w:t>以上单数，其中评审专家不得少于成员总数的2/3。</w:t>
      </w:r>
      <w:bookmarkEnd w:id="205"/>
      <w:bookmarkEnd w:id="206"/>
      <w:bookmarkEnd w:id="207"/>
      <w:bookmarkEnd w:id="208"/>
      <w:bookmarkEnd w:id="209"/>
      <w:bookmarkEnd w:id="210"/>
      <w:bookmarkEnd w:id="211"/>
      <w:bookmarkEnd w:id="212"/>
    </w:p>
    <w:p>
      <w:pPr>
        <w:snapToGrid w:val="0"/>
        <w:spacing w:line="360" w:lineRule="auto"/>
        <w:rPr>
          <w:rFonts w:ascii="宋体" w:hAnsi="宋体"/>
          <w:color w:val="000000"/>
          <w:sz w:val="24"/>
        </w:rPr>
      </w:pPr>
      <w:r>
        <w:rPr>
          <w:rFonts w:hint="eastAsia" w:ascii="宋体" w:hAnsi="宋体" w:cs="宋体"/>
          <w:bCs/>
          <w:color w:val="000000"/>
          <w:sz w:val="24"/>
          <w:szCs w:val="24"/>
        </w:rPr>
        <w:t>23.2</w:t>
      </w:r>
      <w:r>
        <w:rPr>
          <w:rFonts w:ascii="宋体" w:hAnsi="宋体"/>
          <w:color w:val="000000"/>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napToGrid w:val="0"/>
        <w:spacing w:line="360" w:lineRule="auto"/>
        <w:rPr>
          <w:rFonts w:ascii="宋体" w:hAnsi="宋体" w:cs="宋体"/>
          <w:b/>
          <w:bCs/>
          <w:color w:val="000000"/>
          <w:sz w:val="24"/>
          <w:szCs w:val="24"/>
        </w:rPr>
      </w:pPr>
      <w:bookmarkStart w:id="213" w:name="_Toc42692517"/>
      <w:bookmarkStart w:id="214" w:name="_Toc445916578"/>
      <w:bookmarkStart w:id="215" w:name="_Toc445845748"/>
      <w:bookmarkStart w:id="216" w:name="_Toc28367"/>
      <w:bookmarkStart w:id="217" w:name="_Toc447223749"/>
      <w:bookmarkStart w:id="218" w:name="_Toc445903415"/>
      <w:bookmarkStart w:id="219" w:name="_Toc2507"/>
      <w:bookmarkStart w:id="220" w:name="_Toc11726"/>
      <w:bookmarkStart w:id="221" w:name="_Toc445984948"/>
      <w:r>
        <w:rPr>
          <w:rFonts w:hint="eastAsia" w:ascii="宋体" w:hAnsi="宋体" w:cs="宋体"/>
          <w:b/>
          <w:bCs/>
          <w:color w:val="000000"/>
          <w:sz w:val="24"/>
          <w:szCs w:val="24"/>
        </w:rPr>
        <w:t>24.</w:t>
      </w:r>
      <w:bookmarkEnd w:id="213"/>
      <w:bookmarkEnd w:id="214"/>
      <w:bookmarkEnd w:id="215"/>
      <w:bookmarkEnd w:id="216"/>
      <w:bookmarkEnd w:id="217"/>
      <w:bookmarkEnd w:id="218"/>
      <w:bookmarkEnd w:id="219"/>
      <w:bookmarkEnd w:id="220"/>
      <w:bookmarkEnd w:id="221"/>
      <w:r>
        <w:rPr>
          <w:rFonts w:hint="eastAsia" w:ascii="宋体" w:hAnsi="宋体" w:cs="宋体"/>
          <w:b/>
          <w:bCs/>
          <w:color w:val="000000"/>
          <w:sz w:val="24"/>
          <w:szCs w:val="24"/>
        </w:rPr>
        <w:t xml:space="preserve">  评标程序、评标方法和评标标准</w:t>
      </w:r>
    </w:p>
    <w:p>
      <w:pPr>
        <w:tabs>
          <w:tab w:val="left" w:pos="426"/>
        </w:tabs>
        <w:snapToGrid w:val="0"/>
        <w:spacing w:line="360" w:lineRule="auto"/>
        <w:rPr>
          <w:rFonts w:ascii="宋体" w:hAnsi="宋体" w:cs="宋体"/>
          <w:bCs/>
          <w:color w:val="000000"/>
          <w:sz w:val="24"/>
          <w:szCs w:val="24"/>
        </w:rPr>
      </w:pPr>
      <w:r>
        <w:rPr>
          <w:rFonts w:hint="eastAsia" w:ascii="宋体" w:hAnsi="宋体" w:cs="宋体"/>
          <w:bCs/>
          <w:color w:val="000000"/>
          <w:sz w:val="24"/>
          <w:szCs w:val="24"/>
        </w:rPr>
        <w:t xml:space="preserve">    见第六章</w:t>
      </w:r>
      <w:r>
        <w:rPr>
          <w:rFonts w:ascii="宋体" w:hAnsi="宋体"/>
          <w:color w:val="000000"/>
          <w:sz w:val="24"/>
        </w:rPr>
        <w:t>《评标程序、评标方法和评标标准》。</w:t>
      </w:r>
    </w:p>
    <w:p>
      <w:pPr>
        <w:snapToGrid w:val="0"/>
        <w:spacing w:line="360" w:lineRule="auto"/>
        <w:rPr>
          <w:rFonts w:ascii="宋体" w:hAnsi="宋体" w:cs="宋体"/>
          <w:b/>
          <w:bCs/>
          <w:color w:val="000000"/>
          <w:sz w:val="24"/>
          <w:szCs w:val="24"/>
        </w:rPr>
      </w:pPr>
      <w:bookmarkStart w:id="222" w:name="_Toc445916582"/>
      <w:bookmarkStart w:id="223" w:name="_Toc445845752"/>
      <w:bookmarkStart w:id="224" w:name="_Toc24951"/>
      <w:bookmarkStart w:id="225" w:name="_Toc42692520"/>
      <w:bookmarkStart w:id="226" w:name="_Toc447223753"/>
      <w:bookmarkStart w:id="227" w:name="_Toc445903419"/>
      <w:bookmarkStart w:id="228" w:name="_Toc10543"/>
      <w:bookmarkStart w:id="229" w:name="_Toc3933"/>
      <w:bookmarkStart w:id="230" w:name="_Toc445984952"/>
      <w:r>
        <w:rPr>
          <w:rFonts w:hint="eastAsia" w:ascii="宋体" w:hAnsi="宋体" w:cs="宋体"/>
          <w:b/>
          <w:bCs/>
          <w:color w:val="000000"/>
          <w:sz w:val="24"/>
          <w:szCs w:val="24"/>
        </w:rPr>
        <w:t>25.  投标文件的评审、比较和否决</w:t>
      </w:r>
      <w:bookmarkEnd w:id="222"/>
      <w:bookmarkEnd w:id="223"/>
      <w:bookmarkEnd w:id="224"/>
      <w:bookmarkEnd w:id="225"/>
      <w:bookmarkEnd w:id="226"/>
      <w:bookmarkEnd w:id="227"/>
      <w:bookmarkEnd w:id="228"/>
      <w:bookmarkEnd w:id="229"/>
      <w:bookmarkEnd w:id="230"/>
    </w:p>
    <w:p>
      <w:pPr>
        <w:pStyle w:val="15"/>
        <w:snapToGrid w:val="0"/>
        <w:spacing w:line="360" w:lineRule="auto"/>
        <w:rPr>
          <w:rFonts w:ascii="宋体" w:hAnsi="宋体" w:cs="宋体"/>
          <w:color w:val="000000"/>
          <w:sz w:val="24"/>
        </w:rPr>
      </w:pPr>
      <w:r>
        <w:rPr>
          <w:rFonts w:hint="eastAsia" w:ascii="宋体" w:hAnsi="宋体" w:cs="宋体"/>
          <w:bCs/>
          <w:color w:val="000000"/>
          <w:sz w:val="24"/>
        </w:rPr>
        <w:t>26.1  评标委员会将按照本须知第24条规定，仅对在实质上响应招标文件要求的投标文件进行评估和比较。</w:t>
      </w:r>
      <w:r>
        <w:rPr>
          <w:rFonts w:hint="eastAsia" w:ascii="宋体" w:hAnsi="宋体" w:cs="宋体"/>
          <w:color w:val="000000"/>
          <w:sz w:val="24"/>
        </w:rPr>
        <w:t>经符合性评审合格的投标文件，评标委员会将根据招标文件确定的评标方法和评标标准，对其技术部分和商务部分作进一步的比较和评价。</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26.2  评标委员会依据本招标文件第六章《</w:t>
      </w:r>
      <w:r>
        <w:rPr>
          <w:rFonts w:ascii="宋体" w:hAnsi="宋体"/>
          <w:color w:val="000000"/>
          <w:sz w:val="24"/>
        </w:rPr>
        <w:t>评标程序、评标方法和评标标准</w:t>
      </w:r>
      <w:r>
        <w:rPr>
          <w:rFonts w:hint="eastAsia" w:ascii="宋体" w:hAnsi="宋体" w:cs="宋体"/>
          <w:bCs/>
          <w:color w:val="000000"/>
          <w:sz w:val="24"/>
        </w:rPr>
        <w:t>》，对投标文件进行评审和比较，向采购人提出书面评标报告，并按综合排名依次推荐合格投标人为中标候选人。本项目中标候选人推荐数量见《投标人须知资料表》。</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26.3  采购人根据评标委员会提出的书面评标报告和推荐的中标候选人，依据国家和地方现行法规确定中标人。采购人也可以授权评标委员会依据现行法规直接确定中标人。本项目确定中标人的方式见《投标人须知资料表》。</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26.4  经评标委员会评审，有效投标不足三家的，采购人应当依法重新招标或者经主管部门批准采用其他方式采购。</w:t>
      </w:r>
    </w:p>
    <w:p>
      <w:pPr>
        <w:snapToGrid w:val="0"/>
        <w:spacing w:line="360" w:lineRule="auto"/>
        <w:rPr>
          <w:rFonts w:ascii="宋体" w:hAnsi="宋体" w:cs="宋体"/>
          <w:b/>
          <w:color w:val="000000"/>
          <w:sz w:val="24"/>
          <w:szCs w:val="24"/>
        </w:rPr>
      </w:pPr>
      <w:bookmarkStart w:id="231" w:name="_Toc445984953"/>
      <w:bookmarkStart w:id="232" w:name="_Toc445903420"/>
      <w:bookmarkStart w:id="233" w:name="_Toc445845753"/>
      <w:bookmarkStart w:id="234" w:name="_Toc16076"/>
      <w:bookmarkStart w:id="235" w:name="_Toc28587"/>
      <w:bookmarkStart w:id="236" w:name="_Toc445916583"/>
      <w:bookmarkStart w:id="237" w:name="_Toc2719"/>
      <w:bookmarkStart w:id="238" w:name="_Toc447223754"/>
      <w:r>
        <w:rPr>
          <w:rFonts w:hint="eastAsia" w:ascii="宋体" w:hAnsi="宋体" w:cs="宋体"/>
          <w:b/>
          <w:color w:val="000000"/>
          <w:sz w:val="24"/>
          <w:szCs w:val="24"/>
        </w:rPr>
        <w:t>27.  评标方法和标准</w:t>
      </w:r>
      <w:bookmarkEnd w:id="231"/>
      <w:bookmarkEnd w:id="232"/>
      <w:bookmarkEnd w:id="233"/>
      <w:bookmarkEnd w:id="234"/>
      <w:bookmarkEnd w:id="235"/>
      <w:bookmarkEnd w:id="236"/>
      <w:bookmarkEnd w:id="237"/>
      <w:bookmarkEnd w:id="238"/>
    </w:p>
    <w:p>
      <w:pPr>
        <w:pStyle w:val="15"/>
        <w:snapToGrid w:val="0"/>
        <w:spacing w:line="360" w:lineRule="auto"/>
        <w:ind w:firstLine="480" w:firstLineChars="200"/>
        <w:rPr>
          <w:rFonts w:ascii="宋体" w:hAnsi="宋体" w:cs="宋体"/>
          <w:bCs/>
          <w:color w:val="000000"/>
          <w:sz w:val="24"/>
        </w:rPr>
      </w:pPr>
      <w:r>
        <w:rPr>
          <w:rFonts w:hint="eastAsia" w:ascii="宋体" w:hAnsi="宋体" w:cs="宋体"/>
          <w:bCs/>
          <w:color w:val="000000"/>
          <w:sz w:val="24"/>
        </w:rPr>
        <w:t>见第六章《</w:t>
      </w:r>
      <w:r>
        <w:rPr>
          <w:rFonts w:ascii="宋体" w:hAnsi="宋体" w:cs="宋体"/>
          <w:bCs/>
          <w:color w:val="000000"/>
          <w:sz w:val="24"/>
        </w:rPr>
        <w:t>评标程序、评标方法和评标标准</w:t>
      </w:r>
      <w:r>
        <w:rPr>
          <w:rFonts w:hint="eastAsia" w:ascii="宋体" w:hAnsi="宋体" w:cs="宋体"/>
          <w:bCs/>
          <w:color w:val="000000"/>
          <w:sz w:val="24"/>
        </w:rPr>
        <w:t>》。</w:t>
      </w:r>
    </w:p>
    <w:p>
      <w:pPr>
        <w:snapToGrid w:val="0"/>
        <w:spacing w:line="360" w:lineRule="auto"/>
        <w:rPr>
          <w:rFonts w:ascii="宋体" w:hAnsi="宋体" w:cs="宋体"/>
          <w:b/>
          <w:color w:val="000000"/>
          <w:sz w:val="24"/>
          <w:szCs w:val="24"/>
        </w:rPr>
      </w:pPr>
      <w:bookmarkStart w:id="239" w:name="_Toc29843"/>
      <w:bookmarkStart w:id="240" w:name="_Toc445984954"/>
      <w:bookmarkStart w:id="241" w:name="_Toc16949"/>
      <w:bookmarkStart w:id="242" w:name="_Toc42692521"/>
      <w:bookmarkStart w:id="243" w:name="_Toc445916584"/>
      <w:bookmarkStart w:id="244" w:name="_Toc445845754"/>
      <w:bookmarkStart w:id="245" w:name="_Toc445903421"/>
      <w:bookmarkStart w:id="246" w:name="_Toc23644"/>
      <w:bookmarkStart w:id="247" w:name="_Toc447223755"/>
      <w:r>
        <w:rPr>
          <w:rFonts w:hint="eastAsia" w:ascii="宋体" w:hAnsi="宋体" w:cs="宋体"/>
          <w:b/>
          <w:color w:val="000000"/>
          <w:sz w:val="24"/>
          <w:szCs w:val="24"/>
        </w:rPr>
        <w:t>28.  评标过程的保密</w:t>
      </w:r>
      <w:bookmarkEnd w:id="239"/>
      <w:bookmarkEnd w:id="240"/>
      <w:bookmarkEnd w:id="241"/>
      <w:bookmarkEnd w:id="242"/>
      <w:bookmarkEnd w:id="243"/>
      <w:bookmarkEnd w:id="244"/>
      <w:bookmarkEnd w:id="245"/>
      <w:bookmarkEnd w:id="246"/>
      <w:bookmarkEnd w:id="247"/>
    </w:p>
    <w:p>
      <w:pPr>
        <w:pStyle w:val="15"/>
        <w:snapToGrid w:val="0"/>
        <w:spacing w:line="360" w:lineRule="auto"/>
        <w:rPr>
          <w:rFonts w:ascii="宋体" w:hAnsi="宋体" w:cs="宋体"/>
          <w:bCs/>
          <w:color w:val="000000"/>
          <w:sz w:val="24"/>
        </w:rPr>
      </w:pPr>
      <w:r>
        <w:rPr>
          <w:rFonts w:hint="eastAsia" w:ascii="宋体" w:hAnsi="宋体" w:cs="宋体"/>
          <w:bCs/>
          <w:color w:val="000000"/>
          <w:sz w:val="24"/>
        </w:rPr>
        <w:t>28.1  评标委员会成员和与评标工作有关的工作人员不得透露对投标文件的评审和比较、</w:t>
      </w:r>
      <w:r>
        <w:rPr>
          <w:rFonts w:ascii="宋体" w:hAnsi="宋体" w:cs="宋体"/>
          <w:bCs/>
          <w:color w:val="000000"/>
          <w:sz w:val="24"/>
        </w:rPr>
        <w:t>中标</w:t>
      </w:r>
      <w:r>
        <w:rPr>
          <w:rFonts w:hint="eastAsia" w:ascii="宋体" w:hAnsi="宋体" w:cs="宋体"/>
          <w:bCs/>
          <w:color w:val="000000"/>
          <w:sz w:val="24"/>
        </w:rPr>
        <w:t>候选人的推荐情况以及与评标有关的其他情况。</w:t>
      </w:r>
    </w:p>
    <w:p>
      <w:pPr>
        <w:pStyle w:val="15"/>
        <w:snapToGrid w:val="0"/>
        <w:spacing w:line="360" w:lineRule="auto"/>
        <w:rPr>
          <w:rFonts w:ascii="宋体" w:hAnsi="宋体" w:cs="宋体"/>
          <w:bCs/>
          <w:color w:val="000000"/>
          <w:sz w:val="24"/>
        </w:rPr>
      </w:pPr>
      <w:r>
        <w:rPr>
          <w:rFonts w:hint="eastAsia" w:ascii="宋体" w:hAnsi="宋体" w:cs="宋体"/>
          <w:b/>
          <w:bCs/>
          <w:color w:val="000000"/>
          <w:sz w:val="24"/>
        </w:rPr>
        <w:t>28.2  在投标文件的评审和比较、</w:t>
      </w:r>
      <w:r>
        <w:rPr>
          <w:rFonts w:ascii="宋体" w:hAnsi="宋体" w:cs="宋体"/>
          <w:b/>
          <w:bCs/>
          <w:color w:val="000000"/>
          <w:sz w:val="24"/>
        </w:rPr>
        <w:t>中标</w:t>
      </w:r>
      <w:r>
        <w:rPr>
          <w:rFonts w:hint="eastAsia" w:ascii="宋体" w:hAnsi="宋体" w:cs="宋体"/>
          <w:b/>
          <w:bCs/>
          <w:color w:val="000000"/>
          <w:sz w:val="24"/>
        </w:rPr>
        <w:t>候选人推荐以及授予合同的过程中，投标人试图非法干预、影响招标采购单位和评标委员会的任何活动，将导致其投标被拒绝，并承担相应的法律责任。</w:t>
      </w:r>
    </w:p>
    <w:p>
      <w:pPr>
        <w:pStyle w:val="15"/>
        <w:snapToGrid w:val="0"/>
        <w:spacing w:line="360" w:lineRule="auto"/>
        <w:rPr>
          <w:rFonts w:ascii="宋体" w:hAnsi="宋体" w:cs="宋体"/>
          <w:color w:val="000000"/>
          <w:sz w:val="24"/>
        </w:rPr>
      </w:pPr>
      <w:r>
        <w:rPr>
          <w:rFonts w:hint="eastAsia" w:ascii="宋体" w:hAnsi="宋体" w:cs="宋体"/>
          <w:bCs/>
          <w:color w:val="000000"/>
          <w:sz w:val="24"/>
        </w:rPr>
        <w:t xml:space="preserve">28.3  </w:t>
      </w:r>
      <w:r>
        <w:rPr>
          <w:rFonts w:hint="eastAsia" w:ascii="宋体" w:hAnsi="宋体" w:cs="宋体"/>
          <w:color w:val="000000"/>
          <w:sz w:val="24"/>
        </w:rPr>
        <w:t>中标人确定后，采购人不对未中标人就评标过程以及未能中标原因作出任何解释。未中标人不得向评标委员会组成人员或其他有关人员索问评标过程的情况和材料。</w:t>
      </w:r>
      <w:r>
        <w:rPr>
          <w:rFonts w:hint="eastAsia" w:ascii="宋体" w:hAnsi="宋体" w:cs="宋体"/>
          <w:bCs/>
          <w:color w:val="000000"/>
          <w:sz w:val="24"/>
        </w:rPr>
        <w:t>（依法应当告知的除外）。</w:t>
      </w:r>
    </w:p>
    <w:p>
      <w:pPr>
        <w:pStyle w:val="2"/>
        <w:spacing w:line="360" w:lineRule="auto"/>
        <w:rPr>
          <w:rFonts w:ascii="宋体" w:hAnsi="宋体"/>
          <w:color w:val="000000"/>
          <w:sz w:val="24"/>
          <w:szCs w:val="24"/>
        </w:rPr>
      </w:pPr>
      <w:bookmarkStart w:id="248" w:name="_Toc27570"/>
      <w:bookmarkStart w:id="249" w:name="_Toc100786143"/>
      <w:bookmarkStart w:id="250" w:name="_Toc92789204"/>
      <w:bookmarkStart w:id="251" w:name="_Toc447223756"/>
      <w:bookmarkStart w:id="252" w:name="_Toc23991"/>
      <w:bookmarkStart w:id="253" w:name="_Toc22381"/>
      <w:bookmarkStart w:id="254" w:name="_Toc12197"/>
      <w:r>
        <w:rPr>
          <w:rFonts w:hint="eastAsia" w:ascii="宋体" w:hAnsi="宋体"/>
          <w:color w:val="000000"/>
          <w:sz w:val="24"/>
          <w:szCs w:val="24"/>
        </w:rPr>
        <w:t>（七）</w:t>
      </w:r>
      <w:bookmarkEnd w:id="248"/>
      <w:r>
        <w:rPr>
          <w:rFonts w:hint="eastAsia" w:ascii="宋体" w:hAnsi="宋体"/>
          <w:color w:val="000000"/>
          <w:sz w:val="24"/>
          <w:szCs w:val="24"/>
        </w:rPr>
        <w:t>确定</w:t>
      </w:r>
      <w:r>
        <w:rPr>
          <w:rFonts w:ascii="宋体" w:hAnsi="宋体"/>
          <w:color w:val="000000"/>
          <w:sz w:val="24"/>
          <w:szCs w:val="24"/>
        </w:rPr>
        <w:t>中标</w:t>
      </w:r>
      <w:bookmarkEnd w:id="249"/>
      <w:bookmarkEnd w:id="250"/>
      <w:bookmarkEnd w:id="251"/>
      <w:bookmarkEnd w:id="252"/>
      <w:bookmarkEnd w:id="253"/>
      <w:bookmarkEnd w:id="254"/>
    </w:p>
    <w:p>
      <w:pPr>
        <w:snapToGrid w:val="0"/>
        <w:spacing w:line="360" w:lineRule="auto"/>
        <w:rPr>
          <w:rFonts w:ascii="宋体" w:hAnsi="宋体" w:cs="宋体"/>
          <w:b/>
          <w:bCs/>
          <w:color w:val="000000"/>
          <w:sz w:val="24"/>
          <w:szCs w:val="24"/>
        </w:rPr>
      </w:pPr>
      <w:bookmarkStart w:id="255" w:name="_Toc445984956"/>
      <w:bookmarkStart w:id="256" w:name="_Toc7249"/>
      <w:bookmarkStart w:id="257" w:name="_Toc447223757"/>
      <w:bookmarkStart w:id="258" w:name="_Toc445916586"/>
      <w:bookmarkStart w:id="259" w:name="_Toc445903423"/>
      <w:bookmarkStart w:id="260" w:name="_Toc20928"/>
      <w:bookmarkStart w:id="261" w:name="_Toc7733"/>
      <w:bookmarkStart w:id="262" w:name="_Toc445845756"/>
      <w:r>
        <w:rPr>
          <w:rFonts w:hint="eastAsia" w:ascii="宋体" w:hAnsi="宋体" w:cs="宋体"/>
          <w:b/>
          <w:bCs/>
          <w:color w:val="000000"/>
          <w:sz w:val="24"/>
          <w:szCs w:val="24"/>
        </w:rPr>
        <w:t>29.  中标候选人的推荐原则及标准</w:t>
      </w:r>
      <w:bookmarkEnd w:id="255"/>
      <w:bookmarkEnd w:id="256"/>
      <w:bookmarkEnd w:id="257"/>
      <w:bookmarkEnd w:id="258"/>
      <w:bookmarkEnd w:id="259"/>
      <w:bookmarkEnd w:id="260"/>
      <w:bookmarkEnd w:id="261"/>
      <w:bookmarkEnd w:id="262"/>
    </w:p>
    <w:p>
      <w:pPr>
        <w:pStyle w:val="15"/>
        <w:snapToGrid w:val="0"/>
        <w:spacing w:line="360" w:lineRule="auto"/>
        <w:rPr>
          <w:rFonts w:ascii="宋体" w:hAnsi="宋体" w:cs="宋体"/>
          <w:bCs/>
          <w:color w:val="000000"/>
          <w:sz w:val="24"/>
        </w:rPr>
      </w:pPr>
      <w:r>
        <w:rPr>
          <w:rFonts w:hint="eastAsia" w:ascii="宋体" w:hAnsi="宋体" w:cs="宋体"/>
          <w:color w:val="000000"/>
          <w:sz w:val="24"/>
        </w:rPr>
        <w:t>评标委员会按评审后得分由高到低顺序排列，推荐</w:t>
      </w:r>
      <w:r>
        <w:rPr>
          <w:rFonts w:hint="eastAsia" w:ascii="宋体" w:hAnsi="宋体" w:cs="宋体"/>
          <w:color w:val="000000"/>
          <w:sz w:val="24"/>
          <w:u w:val="single"/>
        </w:rPr>
        <w:t>三</w:t>
      </w:r>
      <w:r>
        <w:rPr>
          <w:rFonts w:hint="eastAsia" w:ascii="宋体" w:hAnsi="宋体" w:cs="宋体"/>
          <w:color w:val="000000"/>
          <w:sz w:val="24"/>
        </w:rPr>
        <w:t>名</w:t>
      </w:r>
      <w:r>
        <w:rPr>
          <w:rFonts w:ascii="宋体" w:hAnsi="宋体" w:cs="宋体"/>
          <w:color w:val="000000"/>
          <w:sz w:val="24"/>
        </w:rPr>
        <w:t>中标</w:t>
      </w:r>
      <w:r>
        <w:rPr>
          <w:rFonts w:hint="eastAsia" w:ascii="宋体" w:hAnsi="宋体" w:cs="宋体"/>
          <w:color w:val="000000"/>
          <w:sz w:val="24"/>
        </w:rPr>
        <w:t>候选人。得分相同的，按投标报价由低到高顺序排列，得分且投标报价相同的，按技术得分由高到低排列。</w:t>
      </w:r>
      <w:r>
        <w:rPr>
          <w:rFonts w:hint="eastAsia" w:ascii="宋体" w:hAnsi="宋体"/>
          <w:color w:val="000000"/>
          <w:sz w:val="24"/>
        </w:rPr>
        <w:t>得分、投标报价且技术得分相同的，采取随机抽取方式确定。</w:t>
      </w:r>
    </w:p>
    <w:p>
      <w:pPr>
        <w:snapToGrid w:val="0"/>
        <w:spacing w:line="360" w:lineRule="auto"/>
        <w:rPr>
          <w:rFonts w:ascii="宋体" w:hAnsi="宋体" w:cs="宋体"/>
          <w:b/>
          <w:bCs/>
          <w:color w:val="000000"/>
          <w:sz w:val="24"/>
          <w:szCs w:val="24"/>
        </w:rPr>
      </w:pPr>
      <w:bookmarkStart w:id="263" w:name="_Toc445984957"/>
      <w:bookmarkStart w:id="264" w:name="_Toc12665"/>
      <w:bookmarkStart w:id="265" w:name="_Toc21769"/>
      <w:bookmarkStart w:id="266" w:name="_Toc445903424"/>
      <w:bookmarkStart w:id="267" w:name="_Toc9059"/>
      <w:bookmarkStart w:id="268" w:name="_Toc445845757"/>
      <w:bookmarkStart w:id="269" w:name="_Toc447223758"/>
      <w:bookmarkStart w:id="270" w:name="_Toc445916587"/>
      <w:r>
        <w:rPr>
          <w:rFonts w:hint="eastAsia" w:ascii="宋体" w:hAnsi="宋体" w:cs="宋体"/>
          <w:b/>
          <w:bCs/>
          <w:color w:val="000000"/>
          <w:sz w:val="24"/>
          <w:szCs w:val="24"/>
        </w:rPr>
        <w:t>30.  确定</w:t>
      </w:r>
      <w:bookmarkEnd w:id="263"/>
      <w:bookmarkEnd w:id="264"/>
      <w:bookmarkEnd w:id="265"/>
      <w:bookmarkEnd w:id="266"/>
      <w:bookmarkEnd w:id="267"/>
      <w:bookmarkEnd w:id="268"/>
      <w:bookmarkEnd w:id="269"/>
      <w:bookmarkEnd w:id="270"/>
      <w:r>
        <w:rPr>
          <w:rFonts w:hint="eastAsia" w:ascii="宋体" w:hAnsi="宋体" w:cs="宋体"/>
          <w:b/>
          <w:bCs/>
          <w:color w:val="000000"/>
          <w:sz w:val="24"/>
          <w:szCs w:val="24"/>
        </w:rPr>
        <w:t>中标人</w:t>
      </w:r>
    </w:p>
    <w:p>
      <w:pPr>
        <w:pStyle w:val="15"/>
        <w:snapToGrid w:val="0"/>
        <w:spacing w:line="360" w:lineRule="auto"/>
        <w:rPr>
          <w:rFonts w:ascii="宋体" w:hAnsi="宋体" w:cs="宋体"/>
          <w:bCs/>
          <w:color w:val="000000"/>
          <w:sz w:val="24"/>
        </w:rPr>
      </w:pPr>
      <w:r>
        <w:rPr>
          <w:rFonts w:ascii="宋体" w:hAnsi="宋体"/>
          <w:color w:val="000000"/>
          <w:sz w:val="24"/>
        </w:rPr>
        <w:t>见《</w:t>
      </w:r>
      <w:r>
        <w:rPr>
          <w:rFonts w:hint="eastAsia" w:ascii="宋体" w:hAnsi="宋体"/>
          <w:color w:val="000000"/>
          <w:sz w:val="24"/>
        </w:rPr>
        <w:t>投标人</w:t>
      </w:r>
      <w:r>
        <w:rPr>
          <w:rFonts w:ascii="宋体" w:hAnsi="宋体"/>
          <w:color w:val="000000"/>
          <w:sz w:val="24"/>
        </w:rPr>
        <w:t>须知资料表》规定。</w:t>
      </w:r>
    </w:p>
    <w:p>
      <w:pPr>
        <w:snapToGrid w:val="0"/>
        <w:spacing w:line="360" w:lineRule="auto"/>
        <w:rPr>
          <w:rFonts w:ascii="宋体" w:hAnsi="宋体" w:cs="宋体"/>
          <w:bCs/>
          <w:color w:val="000000"/>
          <w:sz w:val="24"/>
          <w:szCs w:val="24"/>
        </w:rPr>
      </w:pPr>
      <w:bookmarkStart w:id="271" w:name="_Toc8863"/>
      <w:bookmarkStart w:id="272" w:name="_Toc445845759"/>
      <w:bookmarkStart w:id="273" w:name="_Toc445903426"/>
      <w:bookmarkStart w:id="274" w:name="_Toc447223760"/>
      <w:bookmarkStart w:id="275" w:name="_Toc24259"/>
      <w:bookmarkStart w:id="276" w:name="_Toc445916589"/>
      <w:bookmarkStart w:id="277" w:name="_Toc445984959"/>
      <w:bookmarkStart w:id="278" w:name="_Toc7516"/>
      <w:r>
        <w:rPr>
          <w:rFonts w:hint="eastAsia" w:ascii="宋体" w:hAnsi="宋体" w:cs="宋体"/>
          <w:b/>
          <w:bCs/>
          <w:color w:val="000000"/>
          <w:sz w:val="24"/>
          <w:szCs w:val="24"/>
        </w:rPr>
        <w:t>31.  中标公告与中标通知书</w:t>
      </w:r>
      <w:bookmarkEnd w:id="271"/>
      <w:bookmarkEnd w:id="272"/>
      <w:bookmarkEnd w:id="273"/>
      <w:bookmarkEnd w:id="274"/>
      <w:bookmarkEnd w:id="275"/>
      <w:bookmarkEnd w:id="276"/>
      <w:bookmarkEnd w:id="277"/>
      <w:bookmarkEnd w:id="278"/>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31.1  </w:t>
      </w:r>
      <w:r>
        <w:rPr>
          <w:rFonts w:ascii="宋体" w:hAnsi="宋体"/>
          <w:color w:val="000000"/>
          <w:sz w:val="24"/>
        </w:rPr>
        <w:t>采购人或采购代理机构自中标人确定之日起2个工作日内，</w:t>
      </w:r>
      <w:r>
        <w:rPr>
          <w:rFonts w:ascii="宋体" w:hAnsi="宋体"/>
          <w:color w:val="000000"/>
          <w:kern w:val="0"/>
          <w:sz w:val="24"/>
        </w:rPr>
        <w:t>在</w:t>
      </w:r>
      <w:r>
        <w:rPr>
          <w:rFonts w:hint="eastAsia" w:ascii="宋体" w:hAnsi="宋体"/>
          <w:color w:val="000000"/>
          <w:kern w:val="0"/>
          <w:sz w:val="24"/>
        </w:rPr>
        <w:t>北京市政府采购网</w:t>
      </w:r>
      <w:r>
        <w:rPr>
          <w:rFonts w:ascii="宋体" w:hAnsi="宋体"/>
          <w:color w:val="000000"/>
          <w:kern w:val="0"/>
          <w:sz w:val="24"/>
        </w:rPr>
        <w:t>公告中标结果</w:t>
      </w:r>
      <w:r>
        <w:rPr>
          <w:rFonts w:ascii="宋体" w:hAnsi="宋体"/>
          <w:color w:val="000000"/>
          <w:sz w:val="24"/>
        </w:rPr>
        <w:t>，</w:t>
      </w:r>
      <w:r>
        <w:rPr>
          <w:rFonts w:hint="eastAsia" w:ascii="宋体" w:hAnsi="宋体"/>
          <w:color w:val="000000"/>
          <w:sz w:val="24"/>
        </w:rPr>
        <w:t>同时向中标人发出中标通知书，</w:t>
      </w:r>
      <w:r>
        <w:rPr>
          <w:rFonts w:ascii="宋体" w:hAnsi="宋体"/>
          <w:color w:val="000000"/>
          <w:sz w:val="24"/>
        </w:rPr>
        <w:t>中标公告期限为1个工作日。</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31.2  </w:t>
      </w:r>
      <w:r>
        <w:rPr>
          <w:rFonts w:ascii="宋体" w:hAnsi="宋体"/>
          <w:color w:val="000000"/>
          <w:sz w:val="24"/>
        </w:rPr>
        <w:t>中标通知书对采购人和中标</w:t>
      </w:r>
      <w:r>
        <w:rPr>
          <w:rFonts w:hint="eastAsia" w:ascii="宋体" w:hAnsi="宋体"/>
          <w:color w:val="000000"/>
          <w:sz w:val="24"/>
        </w:rPr>
        <w:t>人</w:t>
      </w:r>
      <w:r>
        <w:rPr>
          <w:rFonts w:ascii="宋体" w:hAnsi="宋体"/>
          <w:color w:val="000000"/>
          <w:sz w:val="24"/>
        </w:rPr>
        <w:t>均具有法律效力。中标通知书发出后，采购人改变中标结果的，或者中标</w:t>
      </w:r>
      <w:r>
        <w:rPr>
          <w:rFonts w:hint="eastAsia" w:ascii="宋体" w:hAnsi="宋体"/>
          <w:color w:val="000000"/>
          <w:sz w:val="24"/>
        </w:rPr>
        <w:t>人</w:t>
      </w:r>
      <w:r>
        <w:rPr>
          <w:rFonts w:ascii="宋体" w:hAnsi="宋体"/>
          <w:color w:val="000000"/>
          <w:sz w:val="24"/>
        </w:rPr>
        <w:t>放弃中标项目的，应当依法承担法律责任。</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31.3  发布中标公告的同时，以书面形式将招标结果通知所有未中标的投标人，告知投标人本人未通过资格审查的原因或其本人的评审总得分与排序。</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31.4  投标人应同时关注招标公告中公布的网站发布的中标公告，未中标人于中标公告发布之日起5个工作日内，到采购代理机构领取招标结果通知书并办理投标保证金退还手续。</w:t>
      </w:r>
    </w:p>
    <w:p>
      <w:pPr>
        <w:tabs>
          <w:tab w:val="left" w:pos="900"/>
        </w:tabs>
        <w:snapToGrid w:val="0"/>
        <w:spacing w:line="360" w:lineRule="auto"/>
        <w:rPr>
          <w:rFonts w:ascii="宋体" w:hAnsi="宋体"/>
          <w:color w:val="000000"/>
          <w:sz w:val="24"/>
        </w:rPr>
      </w:pPr>
      <w:r>
        <w:rPr>
          <w:rFonts w:hint="eastAsia" w:ascii="宋体" w:hAnsi="宋体" w:cs="宋体"/>
          <w:b/>
          <w:bCs/>
          <w:color w:val="000000"/>
          <w:sz w:val="24"/>
          <w:szCs w:val="24"/>
        </w:rPr>
        <w:t xml:space="preserve">32.  </w:t>
      </w:r>
      <w:r>
        <w:rPr>
          <w:rFonts w:ascii="宋体" w:hAnsi="宋体" w:cs="宋体"/>
          <w:b/>
          <w:bCs/>
          <w:color w:val="000000"/>
          <w:sz w:val="24"/>
          <w:szCs w:val="24"/>
        </w:rPr>
        <w:t>废标</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32.1  </w:t>
      </w:r>
      <w:r>
        <w:rPr>
          <w:rFonts w:ascii="宋体" w:hAnsi="宋体" w:cs="宋体"/>
          <w:bCs/>
          <w:color w:val="000000"/>
          <w:sz w:val="24"/>
        </w:rPr>
        <w:t>在招标采购中，出现下列情形之一的，应予废标：</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32.1.1  </w:t>
      </w:r>
      <w:r>
        <w:rPr>
          <w:rFonts w:ascii="宋体" w:hAnsi="宋体" w:cs="宋体"/>
          <w:bCs/>
          <w:color w:val="000000"/>
          <w:sz w:val="24"/>
        </w:rPr>
        <w:t>符合专业条件的供应商或者对招标文件作实质响应的供应商不足三家的；</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32.1.2  </w:t>
      </w:r>
      <w:r>
        <w:rPr>
          <w:rFonts w:ascii="宋体" w:hAnsi="宋体" w:cs="宋体"/>
          <w:bCs/>
          <w:color w:val="000000"/>
          <w:sz w:val="24"/>
        </w:rPr>
        <w:t>出现影响采购公正的违法、违规行为的；</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32.1.3  </w:t>
      </w:r>
      <w:r>
        <w:rPr>
          <w:rFonts w:ascii="宋体" w:hAnsi="宋体" w:cs="宋体"/>
          <w:bCs/>
          <w:color w:val="000000"/>
          <w:sz w:val="24"/>
        </w:rPr>
        <w:t>投标人的报价均超过了采购预算，采购人不能支付的；</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32.1.4  </w:t>
      </w:r>
      <w:r>
        <w:rPr>
          <w:rFonts w:ascii="宋体" w:hAnsi="宋体" w:cs="宋体"/>
          <w:bCs/>
          <w:color w:val="000000"/>
          <w:sz w:val="24"/>
        </w:rPr>
        <w:t>因重大变故，采购任务取消的。</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32.2  </w:t>
      </w:r>
      <w:r>
        <w:rPr>
          <w:rFonts w:ascii="宋体" w:hAnsi="宋体" w:cs="宋体"/>
          <w:bCs/>
          <w:color w:val="000000"/>
          <w:sz w:val="24"/>
        </w:rPr>
        <w:t>废标后，采购人将废标理由通知所有投标人。</w:t>
      </w:r>
    </w:p>
    <w:p>
      <w:pPr>
        <w:snapToGrid w:val="0"/>
        <w:spacing w:line="360" w:lineRule="auto"/>
        <w:rPr>
          <w:rFonts w:ascii="宋体" w:hAnsi="宋体" w:cs="宋体"/>
          <w:b/>
          <w:bCs/>
          <w:color w:val="000000"/>
          <w:sz w:val="24"/>
          <w:szCs w:val="24"/>
        </w:rPr>
      </w:pPr>
      <w:bookmarkStart w:id="279" w:name="_Toc447223761"/>
      <w:bookmarkStart w:id="280" w:name="_Toc4349"/>
      <w:bookmarkStart w:id="281" w:name="_Toc445984960"/>
      <w:bookmarkStart w:id="282" w:name="_Toc4156"/>
      <w:bookmarkStart w:id="283" w:name="_Toc445903427"/>
      <w:bookmarkStart w:id="284" w:name="_Toc445845760"/>
      <w:bookmarkStart w:id="285" w:name="_Toc14613"/>
      <w:bookmarkStart w:id="286" w:name="_Toc445916590"/>
      <w:r>
        <w:rPr>
          <w:rFonts w:hint="eastAsia" w:ascii="宋体" w:hAnsi="宋体" w:cs="宋体"/>
          <w:b/>
          <w:bCs/>
          <w:color w:val="000000"/>
          <w:sz w:val="24"/>
          <w:szCs w:val="24"/>
        </w:rPr>
        <w:t xml:space="preserve">33.  </w:t>
      </w:r>
      <w:bookmarkEnd w:id="279"/>
      <w:bookmarkEnd w:id="280"/>
      <w:bookmarkEnd w:id="281"/>
      <w:bookmarkEnd w:id="282"/>
      <w:bookmarkEnd w:id="283"/>
      <w:bookmarkEnd w:id="284"/>
      <w:bookmarkEnd w:id="285"/>
      <w:bookmarkEnd w:id="286"/>
      <w:bookmarkStart w:id="287" w:name="_Toc151193720"/>
      <w:bookmarkStart w:id="288" w:name="_Toc142311052"/>
      <w:bookmarkStart w:id="289" w:name="_Toc164229245"/>
      <w:bookmarkStart w:id="290" w:name="_Toc151193938"/>
      <w:bookmarkStart w:id="291" w:name="_Toc151193864"/>
      <w:bookmarkStart w:id="292" w:name="_Ref467307204"/>
      <w:bookmarkStart w:id="293" w:name="_Toc151193648"/>
      <w:bookmarkStart w:id="294" w:name="_Toc127151550"/>
      <w:bookmarkStart w:id="295" w:name="_Toc151193792"/>
      <w:bookmarkStart w:id="296" w:name="_Toc127161464"/>
      <w:bookmarkStart w:id="297" w:name="_Toc150480788"/>
      <w:bookmarkStart w:id="298" w:name="_Toc226337246"/>
      <w:bookmarkStart w:id="299" w:name="_Toc164351644"/>
      <w:bookmarkStart w:id="300" w:name="_Toc226309794"/>
      <w:bookmarkStart w:id="301" w:name="_Ref467306377"/>
      <w:bookmarkStart w:id="302" w:name="_Ref467306978"/>
      <w:bookmarkStart w:id="303" w:name="_Toc150774755"/>
      <w:bookmarkStart w:id="304" w:name="_Toc305158818"/>
      <w:bookmarkStart w:id="305" w:name="_Toc164229391"/>
      <w:bookmarkStart w:id="306" w:name="_Toc520356175"/>
      <w:bookmarkStart w:id="307" w:name="_Toc164608664"/>
      <w:bookmarkStart w:id="308" w:name="_Toc149720843"/>
      <w:bookmarkStart w:id="309" w:name="_Toc150774650"/>
      <w:bookmarkStart w:id="310" w:name="_Toc226965740"/>
      <w:bookmarkStart w:id="311" w:name="_Ref467307062"/>
      <w:bookmarkStart w:id="312" w:name="_Toc151190177"/>
      <w:bookmarkStart w:id="313" w:name="_Toc305158892"/>
      <w:bookmarkStart w:id="314" w:name="_Toc226965823"/>
      <w:bookmarkStart w:id="315" w:name="_Toc195842915"/>
      <w:bookmarkStart w:id="316" w:name="_Toc264969240"/>
      <w:bookmarkStart w:id="317" w:name="_Toc164608819"/>
      <w:bookmarkStart w:id="318" w:name="_Toc150509301"/>
      <w:bookmarkStart w:id="319" w:name="_Toc127151751"/>
      <w:bookmarkStart w:id="320" w:name="_Toc265228388"/>
      <w:r>
        <w:rPr>
          <w:rFonts w:ascii="宋体" w:hAnsi="宋体" w:cs="宋体"/>
          <w:b/>
          <w:bCs/>
          <w:color w:val="000000"/>
          <w:sz w:val="24"/>
          <w:szCs w:val="24"/>
        </w:rPr>
        <w:t>签订合同</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32.1  </w:t>
      </w:r>
      <w:r>
        <w:rPr>
          <w:rFonts w:ascii="宋体" w:hAnsi="宋体"/>
          <w:color w:val="000000"/>
          <w:sz w:val="24"/>
        </w:rPr>
        <w:t>中标人、采购人应当自中标通知书发出之日起30日内，按照招标文件和中标人投标文件的规定签订书面合同。所签订的合同不得对招标文件确定的事项和中标人投标文件作实质性修改。</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32.2  </w:t>
      </w:r>
      <w:r>
        <w:rPr>
          <w:rFonts w:ascii="宋体" w:hAnsi="宋体" w:cs="宋体"/>
          <w:bCs/>
          <w:color w:val="000000"/>
          <w:sz w:val="24"/>
        </w:rPr>
        <w:t>中标人</w:t>
      </w:r>
      <w:r>
        <w:rPr>
          <w:rFonts w:hint="eastAsia" w:ascii="宋体" w:hAnsi="宋体" w:cs="宋体"/>
          <w:bCs/>
          <w:color w:val="000000"/>
          <w:sz w:val="24"/>
        </w:rPr>
        <w:t>拒绝</w:t>
      </w:r>
      <w:r>
        <w:rPr>
          <w:rFonts w:ascii="宋体" w:hAnsi="宋体" w:cs="宋体"/>
          <w:bCs/>
          <w:color w:val="000000"/>
          <w:sz w:val="24"/>
        </w:rPr>
        <w:t>与采购人签订合同的，采购人</w:t>
      </w:r>
      <w:r>
        <w:rPr>
          <w:rFonts w:hint="eastAsia" w:ascii="宋体" w:hAnsi="宋体" w:cs="宋体"/>
          <w:bCs/>
          <w:color w:val="000000"/>
          <w:sz w:val="24"/>
        </w:rPr>
        <w:t>可以</w:t>
      </w:r>
      <w:r>
        <w:rPr>
          <w:rFonts w:ascii="宋体" w:hAnsi="宋体" w:cs="宋体"/>
          <w:bCs/>
          <w:color w:val="000000"/>
          <w:sz w:val="24"/>
        </w:rPr>
        <w:t>按照评</w:t>
      </w:r>
      <w:r>
        <w:rPr>
          <w:rFonts w:hint="eastAsia" w:ascii="宋体" w:hAnsi="宋体" w:cs="宋体"/>
          <w:bCs/>
          <w:color w:val="000000"/>
          <w:sz w:val="24"/>
        </w:rPr>
        <w:t>标</w:t>
      </w:r>
      <w:r>
        <w:rPr>
          <w:rFonts w:ascii="宋体" w:hAnsi="宋体" w:cs="宋体"/>
          <w:bCs/>
          <w:color w:val="000000"/>
          <w:sz w:val="24"/>
        </w:rPr>
        <w:t>报告推荐的中标候选人名单排序，确定下一候选人为中标人，</w:t>
      </w:r>
      <w:r>
        <w:rPr>
          <w:rFonts w:hint="eastAsia" w:ascii="宋体" w:hAnsi="宋体" w:cs="宋体"/>
          <w:bCs/>
          <w:color w:val="000000"/>
          <w:sz w:val="24"/>
        </w:rPr>
        <w:t>也可以</w:t>
      </w:r>
      <w:r>
        <w:rPr>
          <w:rFonts w:ascii="宋体" w:hAnsi="宋体" w:cs="宋体"/>
          <w:bCs/>
          <w:color w:val="000000"/>
          <w:sz w:val="24"/>
        </w:rPr>
        <w:t>重新开展政府采购活动。</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32.3  </w:t>
      </w:r>
      <w:r>
        <w:rPr>
          <w:rFonts w:hint="eastAsia" w:ascii="宋体" w:hAnsi="宋体" w:cs="宋体"/>
          <w:color w:val="000000"/>
          <w:sz w:val="24"/>
        </w:rPr>
        <w:t>招标文件、招标文件的修改和澄清文件、中标人的投标文件及其澄清文件、中标通知书等，均为签订合同的依据。</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32.4  </w:t>
      </w:r>
      <w:r>
        <w:rPr>
          <w:rFonts w:ascii="宋体" w:hAnsi="宋体"/>
          <w:color w:val="000000"/>
          <w:sz w:val="24"/>
        </w:rPr>
        <w:t>政府采购合同不能转包。</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32.5  投标人依据办法享受扶持政策获得政府采购合同的，小微企业不得将合同分包给大中型企业，中型企业不得将合同分包给大型企业。</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32.6  政府采购合同签订后，中标人有义务告知采购代理机构并于5个工作日内至采购代理机构办理投标保证金退还手续。</w:t>
      </w:r>
    </w:p>
    <w:p>
      <w:pPr>
        <w:pStyle w:val="15"/>
        <w:snapToGrid w:val="0"/>
        <w:spacing w:line="360" w:lineRule="auto"/>
        <w:rPr>
          <w:rFonts w:ascii="宋体" w:hAnsi="宋体" w:cs="宋体"/>
          <w:bCs/>
          <w:color w:val="000000"/>
          <w:sz w:val="24"/>
        </w:rPr>
      </w:pPr>
      <w:r>
        <w:rPr>
          <w:rFonts w:hint="eastAsia" w:ascii="宋体" w:hAnsi="宋体" w:cs="宋体"/>
          <w:bCs/>
          <w:color w:val="000000"/>
          <w:sz w:val="24"/>
        </w:rPr>
        <w:t xml:space="preserve">32.7  </w:t>
      </w:r>
      <w:r>
        <w:rPr>
          <w:rFonts w:ascii="宋体" w:hAnsi="宋体"/>
          <w:color w:val="000000"/>
          <w:sz w:val="24"/>
        </w:rPr>
        <w:t>联合体中标的，联合体各方应当共同与采购人签订合同，就中标项目向采购人承担连带责任。</w:t>
      </w:r>
    </w:p>
    <w:p>
      <w:pPr>
        <w:pStyle w:val="15"/>
        <w:snapToGrid w:val="0"/>
        <w:spacing w:line="360" w:lineRule="auto"/>
        <w:rPr>
          <w:rFonts w:ascii="宋体" w:hAnsi="宋体" w:cs="宋体"/>
          <w:bCs/>
          <w:color w:val="000000"/>
          <w:sz w:val="24"/>
        </w:rPr>
      </w:pPr>
      <w:bookmarkStart w:id="321" w:name="_Toc445916591"/>
      <w:bookmarkStart w:id="322" w:name="_Toc445845761"/>
      <w:bookmarkStart w:id="323" w:name="_Toc445984961"/>
      <w:bookmarkStart w:id="324" w:name="_Toc445903428"/>
      <w:bookmarkStart w:id="325" w:name="_Toc447223762"/>
      <w:bookmarkStart w:id="326" w:name="_Toc8091"/>
      <w:bookmarkStart w:id="327" w:name="_Toc2647"/>
      <w:bookmarkStart w:id="328" w:name="_Toc1391"/>
      <w:r>
        <w:rPr>
          <w:rFonts w:hint="eastAsia" w:ascii="宋体" w:hAnsi="宋体" w:cs="宋体"/>
          <w:bCs/>
          <w:color w:val="000000"/>
          <w:sz w:val="24"/>
        </w:rPr>
        <w:t xml:space="preserve">32.8  </w:t>
      </w:r>
      <w:r>
        <w:rPr>
          <w:rFonts w:ascii="宋体" w:hAnsi="宋体" w:cs="宋体"/>
          <w:bCs/>
          <w:color w:val="000000"/>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否则</w:t>
      </w:r>
      <w:r>
        <w:rPr>
          <w:rFonts w:ascii="宋体" w:hAnsi="宋体" w:cs="宋体"/>
          <w:b/>
          <w:bCs/>
          <w:color w:val="000000"/>
          <w:sz w:val="24"/>
        </w:rPr>
        <w:t>投标无效</w:t>
      </w:r>
      <w:r>
        <w:rPr>
          <w:rFonts w:ascii="宋体" w:hAnsi="宋体" w:cs="宋体"/>
          <w:bCs/>
          <w:color w:val="000000"/>
          <w:sz w:val="24"/>
        </w:rPr>
        <w:t>。中标人就采购项目和分包项目向采购人负责，分包供应商就分包项目承担责任。</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33.  履约保证金</w:t>
      </w:r>
      <w:bookmarkEnd w:id="321"/>
      <w:bookmarkEnd w:id="322"/>
      <w:bookmarkEnd w:id="323"/>
      <w:bookmarkEnd w:id="324"/>
      <w:bookmarkEnd w:id="325"/>
      <w:bookmarkEnd w:id="326"/>
      <w:bookmarkEnd w:id="327"/>
      <w:bookmarkEnd w:id="328"/>
      <w:r>
        <w:rPr>
          <w:rFonts w:hint="eastAsia" w:ascii="宋体" w:hAnsi="宋体" w:cs="宋体"/>
          <w:b/>
          <w:bCs/>
          <w:color w:val="000000"/>
          <w:sz w:val="24"/>
          <w:szCs w:val="24"/>
        </w:rPr>
        <w:t>（本项目不适用）</w:t>
      </w:r>
    </w:p>
    <w:p>
      <w:pPr>
        <w:pStyle w:val="15"/>
        <w:snapToGrid w:val="0"/>
        <w:spacing w:line="360" w:lineRule="auto"/>
        <w:ind w:firstLine="480" w:firstLineChars="200"/>
        <w:rPr>
          <w:rFonts w:ascii="宋体" w:hAnsi="宋体" w:cs="宋体"/>
          <w:color w:val="000000"/>
          <w:sz w:val="24"/>
        </w:rPr>
      </w:pPr>
      <w:r>
        <w:rPr>
          <w:rFonts w:ascii="宋体" w:hAnsi="宋体" w:cs="宋体"/>
          <w:color w:val="000000"/>
          <w:sz w:val="24"/>
        </w:rPr>
        <w:t>中标人</w:t>
      </w:r>
      <w:r>
        <w:rPr>
          <w:rFonts w:hint="eastAsia" w:ascii="宋体" w:hAnsi="宋体" w:cs="宋体"/>
          <w:color w:val="000000"/>
          <w:sz w:val="24"/>
        </w:rPr>
        <w:t>在合同签订后</w:t>
      </w:r>
      <w:r>
        <w:rPr>
          <w:rFonts w:hint="eastAsia" w:ascii="宋体" w:hAnsi="宋体" w:cs="宋体"/>
          <w:color w:val="000000"/>
          <w:sz w:val="24"/>
          <w:u w:val="single"/>
        </w:rPr>
        <w:t xml:space="preserve"> / </w:t>
      </w:r>
      <w:r>
        <w:rPr>
          <w:rFonts w:hint="eastAsia" w:ascii="宋体" w:hAnsi="宋体" w:cs="宋体"/>
          <w:color w:val="000000"/>
          <w:sz w:val="24"/>
        </w:rPr>
        <w:t>日内，按招标文件中提供的履约保证金保函格式或采购人可以接受的其他形式向采购人提交</w:t>
      </w:r>
      <w:r>
        <w:rPr>
          <w:rFonts w:hint="eastAsia" w:ascii="宋体" w:hAnsi="宋体" w:cs="宋体"/>
          <w:color w:val="000000"/>
          <w:sz w:val="24"/>
          <w:u w:val="single"/>
        </w:rPr>
        <w:t xml:space="preserve"> /  </w:t>
      </w:r>
      <w:r>
        <w:rPr>
          <w:rFonts w:hint="eastAsia" w:ascii="宋体" w:hAnsi="宋体" w:cs="宋体"/>
          <w:color w:val="000000"/>
          <w:sz w:val="24"/>
        </w:rPr>
        <w:t>的履约保证金。</w:t>
      </w:r>
    </w:p>
    <w:p>
      <w:pPr>
        <w:snapToGrid w:val="0"/>
        <w:spacing w:line="360" w:lineRule="auto"/>
        <w:rPr>
          <w:rFonts w:ascii="宋体" w:hAnsi="宋体" w:cs="宋体"/>
          <w:b/>
          <w:bCs/>
          <w:color w:val="000000"/>
          <w:sz w:val="24"/>
          <w:szCs w:val="24"/>
        </w:rPr>
      </w:pPr>
      <w:bookmarkStart w:id="329" w:name="_Toc12707"/>
      <w:bookmarkStart w:id="330" w:name="_Toc445903429"/>
      <w:bookmarkStart w:id="331" w:name="_Toc445916592"/>
      <w:bookmarkStart w:id="332" w:name="_Toc27681"/>
      <w:bookmarkStart w:id="333" w:name="_Toc26220"/>
      <w:bookmarkStart w:id="334" w:name="_Toc445845762"/>
      <w:bookmarkStart w:id="335" w:name="_Toc447223763"/>
      <w:bookmarkStart w:id="336" w:name="_Toc445984962"/>
      <w:r>
        <w:rPr>
          <w:rFonts w:hint="eastAsia" w:ascii="宋体" w:hAnsi="宋体" w:cs="宋体"/>
          <w:b/>
          <w:bCs/>
          <w:color w:val="000000"/>
          <w:sz w:val="24"/>
          <w:szCs w:val="24"/>
        </w:rPr>
        <w:t>34.  询问、质疑与</w:t>
      </w:r>
      <w:bookmarkEnd w:id="329"/>
      <w:bookmarkEnd w:id="330"/>
      <w:bookmarkEnd w:id="331"/>
      <w:bookmarkEnd w:id="332"/>
      <w:bookmarkEnd w:id="333"/>
      <w:bookmarkEnd w:id="334"/>
      <w:bookmarkEnd w:id="335"/>
      <w:bookmarkEnd w:id="336"/>
      <w:r>
        <w:rPr>
          <w:rFonts w:hint="eastAsia" w:ascii="宋体" w:hAnsi="宋体" w:cs="宋体"/>
          <w:b/>
          <w:bCs/>
          <w:color w:val="000000"/>
          <w:sz w:val="24"/>
          <w:szCs w:val="24"/>
        </w:rPr>
        <w:t>答复</w:t>
      </w:r>
    </w:p>
    <w:p>
      <w:pPr>
        <w:pStyle w:val="15"/>
        <w:snapToGrid w:val="0"/>
        <w:spacing w:line="360" w:lineRule="auto"/>
        <w:rPr>
          <w:rFonts w:ascii="宋体" w:hAnsi="宋体" w:cs="宋体"/>
          <w:color w:val="000000"/>
          <w:sz w:val="24"/>
        </w:rPr>
      </w:pPr>
      <w:r>
        <w:rPr>
          <w:rFonts w:hint="eastAsia" w:ascii="宋体" w:hAnsi="宋体" w:cs="宋体"/>
          <w:color w:val="000000"/>
          <w:sz w:val="24"/>
        </w:rPr>
        <w:t>34.1  投标人对本次政府采购活动有疑问的，可以向采购人或采购代理机构提出询问或质疑。</w:t>
      </w:r>
    </w:p>
    <w:p>
      <w:pPr>
        <w:tabs>
          <w:tab w:val="left" w:pos="1080"/>
          <w:tab w:val="left" w:pos="1589"/>
          <w:tab w:val="left" w:pos="2014"/>
        </w:tabs>
        <w:snapToGrid w:val="0"/>
        <w:spacing w:line="360" w:lineRule="auto"/>
        <w:rPr>
          <w:rFonts w:ascii="宋体" w:hAnsi="宋体"/>
          <w:color w:val="000000"/>
          <w:sz w:val="24"/>
        </w:rPr>
      </w:pPr>
      <w:r>
        <w:rPr>
          <w:rFonts w:hint="eastAsia" w:ascii="宋体" w:hAnsi="宋体" w:cs="宋体"/>
          <w:color w:val="000000"/>
          <w:sz w:val="24"/>
        </w:rPr>
        <w:t xml:space="preserve">34.2  </w:t>
      </w:r>
      <w:r>
        <w:rPr>
          <w:rFonts w:ascii="宋体" w:hAnsi="宋体"/>
          <w:color w:val="000000"/>
          <w:sz w:val="24"/>
        </w:rPr>
        <w:t>询问</w:t>
      </w:r>
    </w:p>
    <w:p>
      <w:pPr>
        <w:tabs>
          <w:tab w:val="left" w:pos="1080"/>
          <w:tab w:val="left" w:pos="1589"/>
          <w:tab w:val="left" w:pos="2014"/>
        </w:tabs>
        <w:snapToGrid w:val="0"/>
        <w:spacing w:line="360" w:lineRule="auto"/>
        <w:rPr>
          <w:rFonts w:ascii="宋体" w:hAnsi="宋体" w:cs="宋体"/>
          <w:color w:val="000000"/>
          <w:sz w:val="24"/>
        </w:rPr>
      </w:pPr>
      <w:r>
        <w:rPr>
          <w:rFonts w:hint="eastAsia" w:ascii="宋体" w:hAnsi="宋体" w:cs="宋体"/>
          <w:color w:val="000000"/>
          <w:sz w:val="24"/>
        </w:rPr>
        <w:t xml:space="preserve">34.2.1  </w:t>
      </w:r>
      <w:r>
        <w:rPr>
          <w:rFonts w:ascii="宋体" w:hAnsi="宋体" w:cs="宋体"/>
          <w:color w:val="000000"/>
          <w:sz w:val="24"/>
        </w:rPr>
        <w:t>投标人对政府采购活动事项有疑问的，可依法提出询问，并按《投标人须知资料表》载明的形式送达采购人或采购代理机构。</w:t>
      </w:r>
    </w:p>
    <w:p>
      <w:pPr>
        <w:tabs>
          <w:tab w:val="left" w:pos="1080"/>
          <w:tab w:val="left" w:pos="1589"/>
          <w:tab w:val="left" w:pos="2014"/>
        </w:tabs>
        <w:snapToGrid w:val="0"/>
        <w:spacing w:line="360" w:lineRule="auto"/>
        <w:rPr>
          <w:rFonts w:ascii="宋体" w:hAnsi="宋体" w:cs="宋体"/>
          <w:color w:val="000000"/>
          <w:sz w:val="24"/>
        </w:rPr>
      </w:pPr>
      <w:r>
        <w:rPr>
          <w:rFonts w:hint="eastAsia" w:ascii="宋体" w:hAnsi="宋体" w:cs="宋体"/>
          <w:color w:val="000000"/>
          <w:sz w:val="24"/>
        </w:rPr>
        <w:t xml:space="preserve">34.2.2  </w:t>
      </w:r>
      <w:r>
        <w:rPr>
          <w:rFonts w:ascii="宋体" w:hAnsi="宋体" w:cs="宋体"/>
          <w:color w:val="000000"/>
          <w:sz w:val="24"/>
        </w:rPr>
        <w:t>采购人或采购代理机构对供应商依法提出的询问，在3个工作日内作出答复，但答复的内容不得涉及商业秘密。</w:t>
      </w:r>
    </w:p>
    <w:p>
      <w:pPr>
        <w:tabs>
          <w:tab w:val="left" w:pos="1080"/>
          <w:tab w:val="left" w:pos="1589"/>
          <w:tab w:val="left" w:pos="2014"/>
        </w:tabs>
        <w:snapToGrid w:val="0"/>
        <w:spacing w:line="360" w:lineRule="auto"/>
        <w:rPr>
          <w:rFonts w:ascii="宋体" w:hAnsi="宋体" w:cs="宋体"/>
          <w:color w:val="000000"/>
          <w:sz w:val="24"/>
        </w:rPr>
      </w:pPr>
      <w:r>
        <w:rPr>
          <w:rFonts w:hint="eastAsia" w:ascii="宋体" w:hAnsi="宋体" w:cs="宋体"/>
          <w:color w:val="000000"/>
          <w:sz w:val="24"/>
        </w:rPr>
        <w:t>34.3  质疑</w:t>
      </w:r>
    </w:p>
    <w:p>
      <w:pPr>
        <w:tabs>
          <w:tab w:val="left" w:pos="1080"/>
          <w:tab w:val="left" w:pos="1589"/>
          <w:tab w:val="left" w:pos="2014"/>
        </w:tabs>
        <w:snapToGrid w:val="0"/>
        <w:spacing w:line="360" w:lineRule="auto"/>
        <w:rPr>
          <w:rFonts w:ascii="宋体" w:hAnsi="宋体" w:cs="宋体"/>
          <w:color w:val="000000"/>
          <w:sz w:val="24"/>
        </w:rPr>
      </w:pPr>
      <w:r>
        <w:rPr>
          <w:rFonts w:hint="eastAsia" w:ascii="宋体" w:hAnsi="宋体" w:cs="宋体"/>
          <w:color w:val="000000"/>
          <w:sz w:val="24"/>
        </w:rPr>
        <w:t>34.3.1  投标人提出质疑的范围只限于招标文件、招标过程以及中标结果三个方面的事项。</w:t>
      </w:r>
      <w:r>
        <w:rPr>
          <w:rFonts w:ascii="宋体" w:hAnsi="宋体"/>
          <w:color w:val="000000"/>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r>
        <w:rPr>
          <w:rFonts w:hint="eastAsia" w:ascii="宋体" w:hAnsi="宋体" w:cs="宋体"/>
          <w:color w:val="000000"/>
          <w:sz w:val="24"/>
        </w:rPr>
        <w:t>逾期提出的质疑，采购单位及采购代理机构不予受理。</w:t>
      </w:r>
    </w:p>
    <w:p>
      <w:pPr>
        <w:pStyle w:val="15"/>
        <w:snapToGrid w:val="0"/>
        <w:spacing w:line="360" w:lineRule="auto"/>
        <w:rPr>
          <w:rFonts w:ascii="宋体" w:hAnsi="宋体" w:cs="宋体"/>
          <w:color w:val="000000"/>
          <w:sz w:val="24"/>
        </w:rPr>
      </w:pPr>
      <w:r>
        <w:rPr>
          <w:rFonts w:hint="eastAsia" w:ascii="宋体" w:hAnsi="宋体" w:cs="宋体"/>
          <w:color w:val="000000"/>
          <w:sz w:val="24"/>
        </w:rPr>
        <w:t xml:space="preserve">34.3.2  </w:t>
      </w:r>
      <w:r>
        <w:rPr>
          <w:rFonts w:hint="eastAsia" w:ascii="宋体" w:hAnsi="宋体"/>
          <w:color w:val="000000"/>
          <w:sz w:val="24"/>
        </w:rPr>
        <w:t>投标人</w:t>
      </w:r>
      <w:r>
        <w:rPr>
          <w:rFonts w:ascii="宋体" w:hAnsi="宋体"/>
          <w:color w:val="000000"/>
          <w:sz w:val="24"/>
        </w:rPr>
        <w:t>应按照财政部制定的</w:t>
      </w:r>
      <w:r>
        <w:rPr>
          <w:rFonts w:hint="eastAsia" w:ascii="宋体" w:hAnsi="宋体"/>
          <w:color w:val="000000"/>
          <w:sz w:val="24"/>
        </w:rPr>
        <w:t>《政府采购质疑函范本》格式（可从财政部官方网站下载）和</w:t>
      </w:r>
      <w:r>
        <w:rPr>
          <w:rFonts w:ascii="宋体" w:hAnsi="宋体"/>
          <w:color w:val="000000"/>
          <w:sz w:val="24"/>
        </w:rPr>
        <w:t>《</w:t>
      </w:r>
      <w:r>
        <w:rPr>
          <w:rFonts w:hint="eastAsia" w:ascii="宋体" w:hAnsi="宋体"/>
          <w:color w:val="000000"/>
          <w:sz w:val="24"/>
        </w:rPr>
        <w:t>政府</w:t>
      </w:r>
      <w:r>
        <w:rPr>
          <w:rFonts w:ascii="宋体" w:hAnsi="宋体"/>
          <w:color w:val="000000"/>
          <w:sz w:val="24"/>
        </w:rPr>
        <w:t>采购质疑和投诉办法》的要求</w:t>
      </w:r>
      <w:r>
        <w:rPr>
          <w:rFonts w:hint="eastAsia" w:ascii="宋体" w:hAnsi="宋体"/>
          <w:color w:val="000000"/>
          <w:sz w:val="24"/>
        </w:rPr>
        <w:t>，</w:t>
      </w:r>
      <w:r>
        <w:rPr>
          <w:rFonts w:ascii="宋体" w:hAnsi="宋体"/>
          <w:color w:val="000000"/>
          <w:sz w:val="24"/>
        </w:rPr>
        <w:t>在法定质疑期内</w:t>
      </w:r>
      <w:r>
        <w:rPr>
          <w:rFonts w:hint="eastAsia" w:ascii="宋体" w:hAnsi="宋体"/>
          <w:color w:val="000000"/>
          <w:sz w:val="24"/>
        </w:rPr>
        <w:t>以书面形式</w:t>
      </w:r>
      <w:r>
        <w:rPr>
          <w:rFonts w:ascii="宋体" w:hAnsi="宋体"/>
          <w:color w:val="000000"/>
          <w:sz w:val="24"/>
        </w:rPr>
        <w:t>提出质疑</w:t>
      </w:r>
      <w:r>
        <w:rPr>
          <w:rFonts w:hint="eastAsia" w:ascii="宋体" w:hAnsi="宋体"/>
          <w:color w:val="000000"/>
          <w:sz w:val="24"/>
        </w:rPr>
        <w:t>，</w:t>
      </w:r>
      <w:r>
        <w:rPr>
          <w:rFonts w:ascii="宋体" w:hAnsi="宋体"/>
          <w:color w:val="000000"/>
          <w:sz w:val="24"/>
        </w:rPr>
        <w:t>法定质疑期内一次性提出针对同一采购程序环节的质疑，法定质疑期内针对同一采购程序环节再次提出的质疑，采购人、采购代理机构有权不予答复。</w:t>
      </w:r>
    </w:p>
    <w:p>
      <w:pPr>
        <w:pStyle w:val="15"/>
        <w:snapToGrid w:val="0"/>
        <w:spacing w:line="360" w:lineRule="auto"/>
        <w:rPr>
          <w:rFonts w:ascii="宋体" w:hAnsi="宋体" w:cs="宋体"/>
          <w:color w:val="000000"/>
          <w:sz w:val="24"/>
        </w:rPr>
      </w:pPr>
      <w:r>
        <w:rPr>
          <w:rFonts w:hint="eastAsia" w:ascii="宋体" w:hAnsi="宋体" w:cs="宋体"/>
          <w:color w:val="000000"/>
          <w:sz w:val="24"/>
        </w:rPr>
        <w:t>34.3.3  投标人提出质疑时，应以书面形式向招标采购单位提交质疑函（原件）。详见中华人民共和国财政部令第94号。</w:t>
      </w:r>
    </w:p>
    <w:p>
      <w:pPr>
        <w:spacing w:line="360" w:lineRule="auto"/>
        <w:rPr>
          <w:rFonts w:ascii="宋体" w:hAnsi="宋体" w:cs="宋体"/>
          <w:color w:val="000000"/>
          <w:sz w:val="24"/>
        </w:rPr>
      </w:pPr>
      <w:r>
        <w:rPr>
          <w:rFonts w:hint="eastAsia" w:ascii="宋体" w:hAnsi="宋体" w:cs="宋体"/>
          <w:color w:val="000000"/>
          <w:sz w:val="24"/>
        </w:rPr>
        <w:t xml:space="preserve">34.3.4  </w:t>
      </w:r>
      <w:r>
        <w:rPr>
          <w:rFonts w:ascii="宋体" w:hAnsi="宋体"/>
          <w:color w:val="000000"/>
          <w:sz w:val="24"/>
        </w:rPr>
        <w:t>接收询问和质疑的联系部门、联系电话和通讯地址见《投标人须知资料表》</w:t>
      </w:r>
      <w:r>
        <w:rPr>
          <w:rFonts w:hint="eastAsia" w:ascii="宋体" w:hAnsi="宋体"/>
          <w:color w:val="000000"/>
          <w:sz w:val="24"/>
        </w:rPr>
        <w:t>。</w:t>
      </w:r>
    </w:p>
    <w:p>
      <w:pPr>
        <w:pStyle w:val="15"/>
        <w:snapToGrid w:val="0"/>
        <w:spacing w:line="360" w:lineRule="auto"/>
        <w:rPr>
          <w:rFonts w:ascii="宋体" w:hAnsi="宋体" w:cs="宋体"/>
          <w:color w:val="000000"/>
          <w:sz w:val="24"/>
        </w:rPr>
      </w:pPr>
      <w:r>
        <w:rPr>
          <w:rFonts w:hint="eastAsia" w:ascii="宋体" w:hAnsi="宋体" w:cs="宋体"/>
          <w:color w:val="000000"/>
          <w:sz w:val="24"/>
        </w:rPr>
        <w:t>34.3.5  采购人或采购代理机构在收到书面质疑后7个工作日内作出答复，并以书面形式通知质疑投标人和其他有关投标人。</w:t>
      </w:r>
    </w:p>
    <w:p>
      <w:pPr>
        <w:snapToGrid w:val="0"/>
        <w:spacing w:line="360" w:lineRule="auto"/>
        <w:rPr>
          <w:rFonts w:ascii="宋体" w:hAnsi="宋体" w:cs="宋体"/>
          <w:b/>
          <w:bCs/>
          <w:color w:val="000000"/>
          <w:sz w:val="24"/>
          <w:szCs w:val="24"/>
        </w:rPr>
      </w:pPr>
      <w:bookmarkStart w:id="337" w:name="_Toc19362"/>
      <w:bookmarkStart w:id="338" w:name="_Toc27755"/>
      <w:bookmarkStart w:id="339" w:name="_Toc445916593"/>
      <w:bookmarkStart w:id="340" w:name="_Toc447223764"/>
      <w:bookmarkStart w:id="341" w:name="_Toc20399"/>
      <w:bookmarkStart w:id="342" w:name="_Toc445903430"/>
      <w:bookmarkStart w:id="343" w:name="_Toc445984963"/>
      <w:bookmarkStart w:id="344" w:name="_Toc445845763"/>
      <w:r>
        <w:rPr>
          <w:rFonts w:hint="eastAsia" w:ascii="宋体" w:hAnsi="宋体" w:cs="宋体"/>
          <w:b/>
          <w:bCs/>
          <w:color w:val="000000"/>
          <w:sz w:val="24"/>
          <w:szCs w:val="24"/>
        </w:rPr>
        <w:t>35.  采购代理服务费</w:t>
      </w:r>
      <w:bookmarkEnd w:id="337"/>
      <w:bookmarkEnd w:id="338"/>
      <w:bookmarkEnd w:id="339"/>
      <w:bookmarkEnd w:id="340"/>
      <w:bookmarkEnd w:id="341"/>
      <w:bookmarkEnd w:id="342"/>
      <w:bookmarkEnd w:id="343"/>
      <w:bookmarkEnd w:id="344"/>
    </w:p>
    <w:p>
      <w:pPr>
        <w:pStyle w:val="15"/>
        <w:snapToGrid w:val="0"/>
        <w:spacing w:line="360" w:lineRule="auto"/>
        <w:rPr>
          <w:rFonts w:ascii="宋体" w:hAnsi="宋体" w:cs="宋体"/>
          <w:color w:val="000000"/>
          <w:sz w:val="24"/>
        </w:rPr>
      </w:pPr>
      <w:r>
        <w:rPr>
          <w:rFonts w:hint="eastAsia" w:ascii="宋体" w:hAnsi="宋体" w:cs="宋体"/>
          <w:color w:val="000000"/>
          <w:sz w:val="24"/>
        </w:rPr>
        <w:t>35.1  见</w:t>
      </w:r>
      <w:r>
        <w:rPr>
          <w:rFonts w:ascii="宋体" w:hAnsi="宋体" w:cs="宋体"/>
          <w:color w:val="000000"/>
          <w:sz w:val="24"/>
        </w:rPr>
        <w:t>《投标人须知资料表》规定</w:t>
      </w:r>
      <w:r>
        <w:rPr>
          <w:rFonts w:hint="eastAsia" w:ascii="宋体" w:hAnsi="宋体" w:cs="宋体"/>
          <w:color w:val="000000"/>
          <w:sz w:val="24"/>
        </w:rPr>
        <w:t>。</w:t>
      </w:r>
    </w:p>
    <w:p>
      <w:pPr>
        <w:pStyle w:val="15"/>
        <w:snapToGrid w:val="0"/>
        <w:spacing w:line="360" w:lineRule="auto"/>
        <w:rPr>
          <w:rFonts w:ascii="宋体" w:hAnsi="宋体" w:cs="宋体"/>
          <w:color w:val="000000"/>
          <w:sz w:val="24"/>
        </w:rPr>
      </w:pPr>
      <w:r>
        <w:rPr>
          <w:rFonts w:hint="eastAsia" w:ascii="宋体" w:hAnsi="宋体" w:cs="宋体"/>
          <w:color w:val="000000"/>
          <w:sz w:val="24"/>
        </w:rPr>
        <w:t>35.2  采购代理服务费以支票、汇票、电汇或现金方式支付。</w:t>
      </w:r>
    </w:p>
    <w:p>
      <w:pPr>
        <w:pStyle w:val="2"/>
        <w:spacing w:line="360" w:lineRule="auto"/>
        <w:rPr>
          <w:rFonts w:ascii="宋体" w:hAnsi="宋体"/>
          <w:color w:val="000000"/>
          <w:sz w:val="24"/>
          <w:szCs w:val="24"/>
        </w:rPr>
      </w:pPr>
      <w:bookmarkStart w:id="345" w:name="_Toc92789205"/>
      <w:bookmarkStart w:id="346" w:name="_Toc17916"/>
      <w:bookmarkStart w:id="347" w:name="_Toc447223765"/>
      <w:bookmarkStart w:id="348" w:name="_Toc100786144"/>
      <w:r>
        <w:rPr>
          <w:rFonts w:hint="eastAsia" w:ascii="宋体" w:hAnsi="宋体"/>
          <w:color w:val="000000"/>
          <w:sz w:val="24"/>
          <w:szCs w:val="24"/>
        </w:rPr>
        <w:t>（八）纪律和监督</w:t>
      </w:r>
      <w:bookmarkEnd w:id="345"/>
      <w:bookmarkEnd w:id="346"/>
      <w:bookmarkEnd w:id="347"/>
      <w:bookmarkEnd w:id="348"/>
    </w:p>
    <w:p>
      <w:pPr>
        <w:snapToGrid w:val="0"/>
        <w:spacing w:line="360" w:lineRule="auto"/>
        <w:rPr>
          <w:rFonts w:ascii="宋体" w:hAnsi="宋体" w:cs="宋体"/>
          <w:b/>
          <w:bCs/>
          <w:color w:val="000000"/>
          <w:sz w:val="24"/>
          <w:szCs w:val="24"/>
        </w:rPr>
      </w:pPr>
      <w:bookmarkStart w:id="349" w:name="_Toc233102539"/>
      <w:bookmarkStart w:id="350" w:name="_Toc179632593"/>
      <w:bookmarkStart w:id="351" w:name="_Toc415098519"/>
      <w:bookmarkStart w:id="352" w:name="_Toc152042351"/>
      <w:bookmarkStart w:id="353" w:name="_Toc144974543"/>
      <w:bookmarkStart w:id="354" w:name="_Toc152045575"/>
      <w:r>
        <w:rPr>
          <w:rFonts w:hint="eastAsia" w:ascii="宋体" w:hAnsi="宋体" w:cs="宋体"/>
          <w:b/>
          <w:bCs/>
          <w:color w:val="000000"/>
          <w:sz w:val="24"/>
          <w:szCs w:val="24"/>
        </w:rPr>
        <w:t>36.  对采购人、投标人、评委会成员及有关工作人员的纪律要求</w:t>
      </w:r>
    </w:p>
    <w:p>
      <w:pPr>
        <w:pStyle w:val="15"/>
        <w:snapToGrid w:val="0"/>
        <w:spacing w:line="360" w:lineRule="auto"/>
        <w:rPr>
          <w:rFonts w:ascii="宋体" w:hAnsi="宋体" w:cs="宋体"/>
          <w:color w:val="000000"/>
          <w:sz w:val="24"/>
        </w:rPr>
      </w:pPr>
      <w:r>
        <w:rPr>
          <w:rFonts w:hint="eastAsia" w:ascii="宋体" w:hAnsi="宋体" w:cs="宋体"/>
          <w:color w:val="000000"/>
          <w:sz w:val="24"/>
        </w:rPr>
        <w:t>36.1  对采购人的纪律要求</w:t>
      </w:r>
      <w:bookmarkEnd w:id="349"/>
      <w:bookmarkEnd w:id="350"/>
      <w:bookmarkEnd w:id="351"/>
      <w:bookmarkEnd w:id="352"/>
      <w:bookmarkEnd w:id="353"/>
      <w:bookmarkEnd w:id="354"/>
    </w:p>
    <w:p>
      <w:pPr>
        <w:pStyle w:val="15"/>
        <w:snapToGrid w:val="0"/>
        <w:spacing w:line="360" w:lineRule="auto"/>
        <w:rPr>
          <w:rFonts w:ascii="宋体" w:hAnsi="宋体" w:cs="宋体"/>
          <w:color w:val="000000"/>
          <w:sz w:val="24"/>
        </w:rPr>
      </w:pPr>
      <w:r>
        <w:rPr>
          <w:rFonts w:hint="eastAsia" w:ascii="宋体" w:hAnsi="宋体" w:cs="宋体"/>
          <w:color w:val="000000"/>
          <w:sz w:val="24"/>
        </w:rPr>
        <w:t xml:space="preserve">    采购人不得泄露招标投标活动中应当保密的情况和资料，不得与投标人串通损害国家利益、社会公共利益或者他人合法权益。</w:t>
      </w:r>
    </w:p>
    <w:p>
      <w:pPr>
        <w:pStyle w:val="15"/>
        <w:snapToGrid w:val="0"/>
        <w:spacing w:line="360" w:lineRule="auto"/>
        <w:rPr>
          <w:rFonts w:ascii="宋体" w:hAnsi="宋体" w:cs="宋体"/>
          <w:color w:val="000000"/>
          <w:sz w:val="24"/>
        </w:rPr>
      </w:pPr>
      <w:bookmarkStart w:id="355" w:name="_Toc233102540"/>
      <w:bookmarkStart w:id="356" w:name="_Toc144974544"/>
      <w:bookmarkStart w:id="357" w:name="_Toc179632594"/>
      <w:bookmarkStart w:id="358" w:name="_Toc152042352"/>
      <w:bookmarkStart w:id="359" w:name="_Toc415098520"/>
      <w:bookmarkStart w:id="360" w:name="_Toc152045576"/>
      <w:r>
        <w:rPr>
          <w:rFonts w:hint="eastAsia" w:ascii="宋体" w:hAnsi="宋体" w:cs="宋体"/>
          <w:color w:val="000000"/>
          <w:sz w:val="24"/>
        </w:rPr>
        <w:t>36.2  对投标人的纪律要求</w:t>
      </w:r>
      <w:bookmarkEnd w:id="355"/>
      <w:bookmarkEnd w:id="356"/>
      <w:bookmarkEnd w:id="357"/>
      <w:bookmarkEnd w:id="358"/>
      <w:bookmarkEnd w:id="359"/>
      <w:bookmarkEnd w:id="360"/>
    </w:p>
    <w:p>
      <w:pPr>
        <w:pStyle w:val="15"/>
        <w:snapToGrid w:val="0"/>
        <w:spacing w:line="360" w:lineRule="auto"/>
        <w:rPr>
          <w:rFonts w:ascii="宋体" w:hAnsi="宋体" w:cs="宋体"/>
          <w:color w:val="000000"/>
          <w:sz w:val="24"/>
        </w:rPr>
      </w:pPr>
      <w:r>
        <w:rPr>
          <w:rFonts w:hint="eastAsia" w:ascii="宋体" w:hAnsi="宋体" w:cs="宋体"/>
          <w:color w:val="000000"/>
          <w:sz w:val="24"/>
        </w:rPr>
        <w:t xml:space="preserve">    投标人不得相互串通投标或与采购人串通投标，不得向采购人或者评标委员会成员行贿谋取</w:t>
      </w:r>
      <w:r>
        <w:rPr>
          <w:rFonts w:ascii="宋体" w:hAnsi="宋体" w:cs="宋体"/>
          <w:color w:val="000000"/>
          <w:sz w:val="24"/>
        </w:rPr>
        <w:t>中标</w:t>
      </w:r>
      <w:r>
        <w:rPr>
          <w:rFonts w:hint="eastAsia" w:ascii="宋体" w:hAnsi="宋体" w:cs="宋体"/>
          <w:color w:val="000000"/>
          <w:sz w:val="24"/>
        </w:rPr>
        <w:t>，不得以他人名义投标或者以其他方式弄虚作假骗取</w:t>
      </w:r>
      <w:r>
        <w:rPr>
          <w:rFonts w:ascii="宋体" w:hAnsi="宋体" w:cs="宋体"/>
          <w:color w:val="000000"/>
          <w:sz w:val="24"/>
        </w:rPr>
        <w:t>中标</w:t>
      </w:r>
      <w:r>
        <w:rPr>
          <w:rFonts w:hint="eastAsia" w:ascii="宋体" w:hAnsi="宋体" w:cs="宋体"/>
          <w:color w:val="000000"/>
          <w:sz w:val="24"/>
        </w:rPr>
        <w:t>；投标人不得以任何方式干扰、影响评标工作。</w:t>
      </w:r>
    </w:p>
    <w:p>
      <w:pPr>
        <w:pStyle w:val="15"/>
        <w:snapToGrid w:val="0"/>
        <w:spacing w:line="360" w:lineRule="auto"/>
        <w:rPr>
          <w:rFonts w:ascii="宋体" w:hAnsi="宋体" w:cs="宋体"/>
          <w:color w:val="000000"/>
          <w:sz w:val="24"/>
        </w:rPr>
      </w:pPr>
      <w:bookmarkStart w:id="361" w:name="_Toc179632595"/>
      <w:bookmarkStart w:id="362" w:name="_Toc152042353"/>
      <w:bookmarkStart w:id="363" w:name="_Toc152045577"/>
      <w:bookmarkStart w:id="364" w:name="_Toc233102541"/>
      <w:bookmarkStart w:id="365" w:name="_Toc144974545"/>
      <w:bookmarkStart w:id="366" w:name="_Toc415098521"/>
      <w:r>
        <w:rPr>
          <w:rFonts w:hint="eastAsia" w:ascii="宋体" w:hAnsi="宋体" w:cs="宋体"/>
          <w:color w:val="000000"/>
          <w:sz w:val="24"/>
        </w:rPr>
        <w:t>36.3  对评标委员会成员的纪律要求</w:t>
      </w:r>
      <w:bookmarkEnd w:id="361"/>
      <w:bookmarkEnd w:id="362"/>
      <w:bookmarkEnd w:id="363"/>
      <w:bookmarkEnd w:id="364"/>
      <w:bookmarkEnd w:id="365"/>
      <w:bookmarkEnd w:id="366"/>
    </w:p>
    <w:p>
      <w:pPr>
        <w:pStyle w:val="15"/>
        <w:snapToGrid w:val="0"/>
        <w:spacing w:line="360" w:lineRule="auto"/>
        <w:rPr>
          <w:rFonts w:ascii="宋体" w:hAnsi="宋体" w:cs="宋体"/>
          <w:color w:val="000000"/>
          <w:sz w:val="24"/>
        </w:rPr>
      </w:pPr>
      <w:r>
        <w:rPr>
          <w:rFonts w:hint="eastAsia" w:ascii="宋体" w:hAnsi="宋体" w:cs="宋体"/>
          <w:color w:val="000000"/>
          <w:sz w:val="24"/>
        </w:rPr>
        <w:t xml:space="preserve">    评标委员会成员不得收受他人的财物或者其他好处，不得向他人透露对投标文件的评审和比较、</w:t>
      </w:r>
      <w:r>
        <w:rPr>
          <w:rFonts w:ascii="宋体" w:hAnsi="宋体" w:cs="宋体"/>
          <w:color w:val="000000"/>
          <w:sz w:val="24"/>
        </w:rPr>
        <w:t>中标</w:t>
      </w:r>
      <w:r>
        <w:rPr>
          <w:rFonts w:hint="eastAsia" w:ascii="宋体" w:hAnsi="宋体" w:cs="宋体"/>
          <w:color w:val="000000"/>
          <w:sz w:val="24"/>
        </w:rPr>
        <w:t>候选人的推荐情况以及评标有关的其他情况。在评标活动中，评标委员会成员不得擅离职守，影响评标程序正常进行，不得使用第六章《</w:t>
      </w:r>
      <w:r>
        <w:rPr>
          <w:rFonts w:ascii="宋体" w:hAnsi="宋体"/>
          <w:color w:val="000000"/>
          <w:sz w:val="24"/>
        </w:rPr>
        <w:t>评标程序、评标方法和评标标准</w:t>
      </w:r>
      <w:r>
        <w:rPr>
          <w:rFonts w:hint="eastAsia" w:ascii="宋体" w:hAnsi="宋体" w:cs="宋体"/>
          <w:color w:val="000000"/>
          <w:sz w:val="24"/>
        </w:rPr>
        <w:t>》没有规定的评审因素和标准进行评标。</w:t>
      </w:r>
    </w:p>
    <w:p>
      <w:pPr>
        <w:pStyle w:val="15"/>
        <w:snapToGrid w:val="0"/>
        <w:spacing w:line="360" w:lineRule="auto"/>
        <w:rPr>
          <w:rFonts w:ascii="宋体" w:hAnsi="宋体" w:cs="宋体"/>
          <w:color w:val="000000"/>
          <w:sz w:val="24"/>
        </w:rPr>
      </w:pPr>
      <w:bookmarkStart w:id="367" w:name="_Toc415098522"/>
      <w:bookmarkStart w:id="368" w:name="_Toc233102542"/>
      <w:bookmarkStart w:id="369" w:name="_Toc152042354"/>
      <w:bookmarkStart w:id="370" w:name="_Toc179632596"/>
      <w:bookmarkStart w:id="371" w:name="_Toc152045578"/>
      <w:bookmarkStart w:id="372" w:name="_Toc144974546"/>
      <w:r>
        <w:rPr>
          <w:rFonts w:hint="eastAsia" w:ascii="宋体" w:hAnsi="宋体" w:cs="宋体"/>
          <w:color w:val="000000"/>
          <w:sz w:val="24"/>
        </w:rPr>
        <w:t>36.4  对与评标活动有关的工作人员的纪律要求</w:t>
      </w:r>
      <w:bookmarkEnd w:id="367"/>
      <w:bookmarkEnd w:id="368"/>
      <w:bookmarkEnd w:id="369"/>
      <w:bookmarkEnd w:id="370"/>
      <w:bookmarkEnd w:id="371"/>
    </w:p>
    <w:p>
      <w:pPr>
        <w:pStyle w:val="15"/>
        <w:snapToGrid w:val="0"/>
        <w:spacing w:line="360" w:lineRule="auto"/>
        <w:ind w:firstLine="480" w:firstLineChars="200"/>
        <w:rPr>
          <w:rFonts w:ascii="宋体" w:hAnsi="宋体" w:cs="宋体"/>
          <w:color w:val="000000"/>
          <w:sz w:val="24"/>
        </w:rPr>
      </w:pPr>
      <w:bookmarkStart w:id="373" w:name="_Toc152042355"/>
      <w:r>
        <w:rPr>
          <w:rFonts w:hint="eastAsia" w:ascii="宋体" w:hAnsi="宋体" w:cs="宋体"/>
          <w:color w:val="000000"/>
          <w:sz w:val="24"/>
        </w:rPr>
        <w:t>与评标活动有关的工作人员不得收受他人的财物或者其他好处，不得向他人透露对投标文件的评审和比较、</w:t>
      </w:r>
      <w:r>
        <w:rPr>
          <w:rFonts w:ascii="宋体" w:hAnsi="宋体" w:cs="宋体"/>
          <w:color w:val="000000"/>
          <w:sz w:val="24"/>
        </w:rPr>
        <w:t>中标</w:t>
      </w:r>
      <w:r>
        <w:rPr>
          <w:rFonts w:hint="eastAsia" w:ascii="宋体" w:hAnsi="宋体" w:cs="宋体"/>
          <w:color w:val="000000"/>
          <w:sz w:val="24"/>
        </w:rPr>
        <w:t>候选人的推荐情况以及评标有关的其他情况。在评标活动中，与评标活动有关的工作人员不得擅离职守，影响评标程序正常进行。</w:t>
      </w:r>
      <w:bookmarkEnd w:id="373"/>
    </w:p>
    <w:p>
      <w:pPr>
        <w:widowControl/>
        <w:spacing w:line="360" w:lineRule="auto"/>
        <w:jc w:val="left"/>
        <w:rPr>
          <w:rFonts w:ascii="宋体" w:hAnsi="宋体" w:cs="宋体"/>
          <w:b/>
          <w:bCs/>
          <w:color w:val="FF0000"/>
          <w:sz w:val="30"/>
          <w:szCs w:val="30"/>
          <w:highlight w:val="none"/>
        </w:rPr>
      </w:pPr>
      <w:bookmarkStart w:id="374" w:name="_Toc5453"/>
    </w:p>
    <w:p>
      <w:pPr>
        <w:pStyle w:val="44"/>
        <w:spacing w:line="360" w:lineRule="auto"/>
        <w:rPr>
          <w:rFonts w:ascii="宋体" w:hAnsi="宋体" w:eastAsia="宋体" w:cs="宋体"/>
          <w:color w:val="auto"/>
          <w:sz w:val="24"/>
          <w:szCs w:val="24"/>
          <w:highlight w:val="none"/>
        </w:rPr>
      </w:pPr>
      <w:bookmarkStart w:id="375" w:name="_Toc100786145"/>
      <w:r>
        <w:rPr>
          <w:rFonts w:hint="eastAsia" w:ascii="宋体" w:hAnsi="宋体" w:eastAsia="宋体" w:cs="宋体"/>
          <w:color w:val="auto"/>
          <w:sz w:val="30"/>
          <w:szCs w:val="30"/>
          <w:highlight w:val="none"/>
        </w:rPr>
        <w:t xml:space="preserve">第三章  </w:t>
      </w:r>
      <w:bookmarkEnd w:id="374"/>
      <w:r>
        <w:rPr>
          <w:rFonts w:hint="eastAsia" w:ascii="宋体" w:hAnsi="宋体" w:eastAsia="宋体" w:cs="宋体"/>
          <w:color w:val="auto"/>
          <w:sz w:val="30"/>
          <w:szCs w:val="30"/>
          <w:highlight w:val="none"/>
        </w:rPr>
        <w:t>拟定签订的合同文本</w:t>
      </w:r>
      <w:bookmarkEnd w:id="375"/>
    </w:p>
    <w:p>
      <w:pPr>
        <w:spacing w:line="360" w:lineRule="auto"/>
        <w:jc w:val="center"/>
        <w:rPr>
          <w:rStyle w:val="55"/>
          <w:rFonts w:hint="eastAsia" w:ascii="宋体" w:hAnsi="宋体" w:eastAsia="宋体" w:cs="Times New Roman"/>
          <w:b w:val="0"/>
          <w:bCs/>
          <w:color w:val="auto"/>
          <w:kern w:val="0"/>
          <w:sz w:val="48"/>
          <w:szCs w:val="48"/>
          <w:u w:val="none"/>
          <w:lang w:val="en-US" w:eastAsia="zh-CN" w:bidi="ar-SA"/>
        </w:rPr>
      </w:pPr>
      <w:bookmarkStart w:id="376" w:name="_Hlt487972895"/>
      <w:bookmarkEnd w:id="376"/>
      <w:bookmarkStart w:id="377" w:name="_Toc25532"/>
      <w:bookmarkStart w:id="378" w:name="_Toc100786146"/>
      <w:r>
        <w:rPr>
          <w:rFonts w:hint="eastAsia" w:ascii="宋体" w:hAnsi="宋体" w:cs="宋体"/>
          <w:color w:val="000000"/>
          <w:sz w:val="30"/>
          <w:szCs w:val="30"/>
        </w:rPr>
        <w:br w:type="page"/>
      </w:r>
    </w:p>
    <w:p>
      <w:pPr>
        <w:spacing w:line="360" w:lineRule="auto"/>
        <w:jc w:val="center"/>
        <w:rPr>
          <w:rStyle w:val="55"/>
          <w:rFonts w:hint="eastAsia" w:ascii="宋体" w:hAnsi="宋体" w:eastAsia="宋体" w:cs="Times New Roman"/>
          <w:b w:val="0"/>
          <w:bCs/>
          <w:color w:val="auto"/>
          <w:kern w:val="0"/>
          <w:sz w:val="48"/>
          <w:szCs w:val="48"/>
          <w:u w:val="none"/>
          <w:lang w:val="en-US" w:eastAsia="zh-CN" w:bidi="ar-SA"/>
        </w:rPr>
      </w:pPr>
    </w:p>
    <w:p>
      <w:pPr>
        <w:spacing w:line="360" w:lineRule="auto"/>
        <w:jc w:val="center"/>
        <w:rPr>
          <w:rStyle w:val="55"/>
          <w:rFonts w:hint="eastAsia" w:ascii="宋体" w:hAnsi="宋体" w:eastAsia="宋体" w:cs="Times New Roman"/>
          <w:b w:val="0"/>
          <w:bCs/>
          <w:color w:val="auto"/>
          <w:kern w:val="0"/>
          <w:sz w:val="48"/>
          <w:szCs w:val="48"/>
          <w:u w:val="none"/>
          <w:lang w:val="en-US" w:eastAsia="zh-CN" w:bidi="ar-SA"/>
        </w:rPr>
      </w:pPr>
    </w:p>
    <w:p>
      <w:pPr>
        <w:spacing w:line="360" w:lineRule="auto"/>
        <w:jc w:val="center"/>
        <w:rPr>
          <w:rStyle w:val="55"/>
          <w:rFonts w:hint="eastAsia" w:ascii="宋体" w:hAnsi="宋体" w:eastAsia="宋体" w:cs="Times New Roman"/>
          <w:b w:val="0"/>
          <w:bCs/>
          <w:color w:val="auto"/>
          <w:kern w:val="0"/>
          <w:sz w:val="48"/>
          <w:szCs w:val="48"/>
          <w:u w:val="none"/>
          <w:lang w:val="en-US" w:eastAsia="zh-CN" w:bidi="ar-SA"/>
        </w:rPr>
      </w:pPr>
    </w:p>
    <w:p>
      <w:pPr>
        <w:spacing w:line="360" w:lineRule="auto"/>
        <w:jc w:val="center"/>
        <w:rPr>
          <w:rStyle w:val="55"/>
          <w:rFonts w:hint="eastAsia" w:ascii="宋体" w:hAnsi="宋体" w:eastAsia="宋体" w:cs="Times New Roman"/>
          <w:b w:val="0"/>
          <w:bCs/>
          <w:color w:val="auto"/>
          <w:kern w:val="0"/>
          <w:sz w:val="48"/>
          <w:szCs w:val="48"/>
          <w:u w:val="none"/>
          <w:lang w:val="en-US" w:eastAsia="zh-CN" w:bidi="ar-SA"/>
        </w:rPr>
      </w:pPr>
      <w:r>
        <w:rPr>
          <w:rStyle w:val="55"/>
          <w:rFonts w:hint="eastAsia" w:ascii="宋体" w:hAnsi="宋体" w:eastAsia="宋体" w:cs="Times New Roman"/>
          <w:b w:val="0"/>
          <w:bCs/>
          <w:color w:val="auto"/>
          <w:kern w:val="0"/>
          <w:sz w:val="48"/>
          <w:szCs w:val="48"/>
          <w:u w:val="none"/>
          <w:lang w:val="en-US" w:eastAsia="zh-CN" w:bidi="ar-SA"/>
        </w:rPr>
        <w:t>北京地铁无损检测服务</w:t>
      </w:r>
    </w:p>
    <w:p>
      <w:pPr>
        <w:spacing w:line="360" w:lineRule="auto"/>
        <w:rPr>
          <w:rFonts w:ascii="Times New Roman" w:hAnsi="Times New Roman"/>
          <w:sz w:val="28"/>
          <w:szCs w:val="28"/>
        </w:rPr>
      </w:pPr>
      <w:r>
        <w:rPr>
          <w:rFonts w:ascii="Times New Roman" w:hAnsi="Times New Roman"/>
          <w:sz w:val="28"/>
          <w:szCs w:val="28"/>
        </w:rPr>
        <w:t xml:space="preserve"> </w:t>
      </w:r>
    </w:p>
    <w:p>
      <w:pPr>
        <w:spacing w:line="360" w:lineRule="auto"/>
        <w:jc w:val="center"/>
        <w:rPr>
          <w:rStyle w:val="55"/>
          <w:rFonts w:hint="eastAsia" w:ascii="宋体" w:hAnsi="宋体" w:eastAsia="宋体" w:cs="Times New Roman"/>
          <w:bCs/>
          <w:color w:val="auto"/>
          <w:kern w:val="0"/>
          <w:sz w:val="84"/>
          <w:szCs w:val="84"/>
          <w:u w:val="none"/>
        </w:rPr>
      </w:pPr>
      <w:r>
        <w:rPr>
          <w:rStyle w:val="55"/>
          <w:rFonts w:hint="eastAsia" w:ascii="宋体" w:hAnsi="宋体" w:eastAsia="宋体" w:cs="Times New Roman"/>
          <w:bCs/>
          <w:color w:val="auto"/>
          <w:kern w:val="0"/>
          <w:sz w:val="84"/>
          <w:szCs w:val="84"/>
          <w:u w:val="none"/>
        </w:rPr>
        <w:t>合 同 文 件</w:t>
      </w:r>
    </w:p>
    <w:p>
      <w:pPr>
        <w:spacing w:line="360" w:lineRule="auto"/>
        <w:rPr>
          <w:rFonts w:ascii="Times New Roman" w:hAnsi="Times New Roman"/>
          <w:szCs w:val="21"/>
        </w:rPr>
      </w:pPr>
      <w:r>
        <w:rPr>
          <w:rFonts w:ascii="Times New Roman" w:hAnsi="Times New Roman"/>
          <w:szCs w:val="21"/>
        </w:rPr>
        <w:t xml:space="preserve"> </w:t>
      </w:r>
    </w:p>
    <w:p>
      <w:pPr>
        <w:spacing w:line="360" w:lineRule="auto"/>
        <w:rPr>
          <w:rFonts w:ascii="Times New Roman" w:hAnsi="Times New Roman"/>
          <w:szCs w:val="21"/>
        </w:rPr>
      </w:pPr>
      <w:r>
        <w:rPr>
          <w:rFonts w:ascii="Times New Roman" w:hAnsi="Times New Roman"/>
          <w:szCs w:val="21"/>
        </w:rPr>
        <w:t xml:space="preserve"> </w:t>
      </w:r>
    </w:p>
    <w:p>
      <w:pPr>
        <w:spacing w:line="360" w:lineRule="auto"/>
        <w:rPr>
          <w:rFonts w:ascii="Times New Roman" w:hAnsi="Times New Roman"/>
          <w:szCs w:val="21"/>
        </w:rPr>
      </w:pPr>
      <w:r>
        <w:rPr>
          <w:rFonts w:ascii="Times New Roman" w:hAnsi="Times New Roman"/>
          <w:szCs w:val="21"/>
        </w:rPr>
        <w:t xml:space="preserve"> </w:t>
      </w:r>
    </w:p>
    <w:p>
      <w:pPr>
        <w:spacing w:line="360" w:lineRule="auto"/>
        <w:rPr>
          <w:rFonts w:ascii="Times New Roman" w:hAnsi="Times New Roman"/>
          <w:szCs w:val="21"/>
        </w:rPr>
      </w:pPr>
      <w:r>
        <w:rPr>
          <w:rFonts w:ascii="Times New Roman" w:hAnsi="Times New Roman"/>
          <w:szCs w:val="21"/>
        </w:rPr>
        <w:t xml:space="preserve"> </w:t>
      </w:r>
    </w:p>
    <w:p>
      <w:pPr>
        <w:spacing w:line="360" w:lineRule="auto"/>
        <w:rPr>
          <w:rFonts w:ascii="Times New Roman" w:hAnsi="Times New Roman"/>
          <w:szCs w:val="21"/>
        </w:rPr>
      </w:pPr>
      <w:r>
        <w:rPr>
          <w:rFonts w:ascii="Times New Roman" w:hAnsi="Times New Roman"/>
          <w:szCs w:val="21"/>
        </w:rPr>
        <w:t xml:space="preserve"> </w:t>
      </w:r>
    </w:p>
    <w:p>
      <w:pPr>
        <w:spacing w:line="360" w:lineRule="auto"/>
        <w:rPr>
          <w:rFonts w:ascii="Times New Roman" w:hAnsi="Times New Roman"/>
          <w:szCs w:val="21"/>
        </w:rPr>
      </w:pPr>
      <w:r>
        <w:rPr>
          <w:rFonts w:ascii="Times New Roman" w:hAnsi="Times New Roman"/>
          <w:szCs w:val="21"/>
        </w:rPr>
        <w:t xml:space="preserve"> </w:t>
      </w:r>
    </w:p>
    <w:p>
      <w:pPr>
        <w:spacing w:line="360" w:lineRule="auto"/>
        <w:rPr>
          <w:rFonts w:ascii="Times New Roman" w:hAnsi="Times New Roman"/>
          <w:szCs w:val="21"/>
        </w:rPr>
      </w:pPr>
      <w:r>
        <w:rPr>
          <w:rFonts w:ascii="Times New Roman" w:hAnsi="Times New Roman"/>
          <w:szCs w:val="21"/>
        </w:rPr>
        <w:t xml:space="preserve"> </w:t>
      </w:r>
    </w:p>
    <w:p>
      <w:pPr>
        <w:spacing w:line="360" w:lineRule="auto"/>
        <w:ind w:left="0" w:leftChars="0" w:firstLine="1200" w:firstLineChars="400"/>
        <w:jc w:val="both"/>
        <w:rPr>
          <w:rStyle w:val="55"/>
          <w:rFonts w:hint="eastAsia" w:ascii="宋体" w:hAnsi="宋体" w:eastAsia="宋体" w:cs="Times New Roman"/>
          <w:bCs/>
          <w:color w:val="auto"/>
          <w:kern w:val="0"/>
          <w:sz w:val="30"/>
          <w:szCs w:val="30"/>
          <w:u w:val="single"/>
        </w:rPr>
      </w:pPr>
      <w:r>
        <w:rPr>
          <w:rStyle w:val="55"/>
          <w:rFonts w:hint="eastAsia" w:ascii="宋体" w:hAnsi="宋体" w:eastAsia="宋体" w:cs="Times New Roman"/>
          <w:bCs/>
          <w:color w:val="auto"/>
          <w:kern w:val="0"/>
          <w:sz w:val="30"/>
          <w:szCs w:val="30"/>
        </w:rPr>
        <w:t>甲方：</w:t>
      </w:r>
      <w:r>
        <w:rPr>
          <w:rStyle w:val="55"/>
          <w:rFonts w:hint="eastAsia" w:ascii="宋体" w:hAnsi="宋体" w:eastAsia="宋体" w:cs="Times New Roman"/>
          <w:bCs/>
          <w:color w:val="auto"/>
          <w:kern w:val="0"/>
          <w:sz w:val="30"/>
          <w:szCs w:val="30"/>
          <w:u w:val="single"/>
        </w:rPr>
        <w:t xml:space="preserve">  北京市特种设备检验检测研究院</w:t>
      </w:r>
    </w:p>
    <w:p>
      <w:pPr>
        <w:ind w:firstLine="1200" w:firstLineChars="400"/>
        <w:rPr>
          <w:rStyle w:val="55"/>
          <w:rFonts w:hint="eastAsia" w:ascii="宋体" w:hAnsi="宋体" w:eastAsia="宋体" w:cs="Times New Roman"/>
          <w:b w:val="0"/>
          <w:bCs/>
          <w:color w:val="auto"/>
          <w:kern w:val="0"/>
          <w:sz w:val="30"/>
          <w:szCs w:val="30"/>
          <w:lang w:val="en-US" w:eastAsia="zh-CN" w:bidi="ar-SA"/>
        </w:rPr>
      </w:pPr>
      <w:r>
        <w:rPr>
          <w:rStyle w:val="55"/>
          <w:rFonts w:hint="eastAsia" w:ascii="宋体" w:hAnsi="宋体" w:eastAsia="宋体" w:cs="Times New Roman"/>
          <w:bCs/>
          <w:color w:val="auto"/>
          <w:kern w:val="0"/>
          <w:sz w:val="30"/>
          <w:szCs w:val="30"/>
        </w:rPr>
        <w:t>乙方：</w:t>
      </w:r>
      <w:r>
        <w:rPr>
          <w:rStyle w:val="55"/>
          <w:rFonts w:hint="eastAsia" w:ascii="宋体" w:hAnsi="宋体" w:eastAsia="宋体" w:cs="Times New Roman"/>
          <w:bCs/>
          <w:color w:val="auto"/>
          <w:kern w:val="0"/>
          <w:sz w:val="30"/>
          <w:szCs w:val="30"/>
          <w:u w:val="single"/>
        </w:rPr>
        <w:t xml:space="preserve"> </w:t>
      </w:r>
      <w:r>
        <w:rPr>
          <w:rStyle w:val="55"/>
          <w:rFonts w:hint="eastAsia" w:ascii="宋体" w:hAnsi="宋体" w:cs="Times New Roman"/>
          <w:bCs/>
          <w:color w:val="auto"/>
          <w:kern w:val="0"/>
          <w:sz w:val="30"/>
          <w:szCs w:val="30"/>
          <w:u w:val="single"/>
          <w:lang w:val="en-US" w:eastAsia="zh-CN"/>
        </w:rPr>
        <w:t xml:space="preserve">                            </w:t>
      </w:r>
      <w:r>
        <w:rPr>
          <w:rStyle w:val="55"/>
          <w:rFonts w:hint="eastAsia" w:ascii="宋体" w:hAnsi="宋体" w:eastAsia="宋体" w:cs="Times New Roman"/>
          <w:bCs/>
          <w:color w:val="auto"/>
          <w:kern w:val="0"/>
          <w:sz w:val="30"/>
          <w:szCs w:val="30"/>
          <w:u w:val="single"/>
        </w:rPr>
        <w:t xml:space="preserve"> </w:t>
      </w:r>
      <w:r>
        <w:rPr>
          <w:rStyle w:val="55"/>
          <w:rFonts w:hint="eastAsia" w:ascii="宋体" w:hAnsi="宋体" w:eastAsia="宋体" w:cs="Times New Roman"/>
          <w:bCs/>
          <w:color w:val="auto"/>
          <w:kern w:val="0"/>
          <w:sz w:val="30"/>
          <w:szCs w:val="30"/>
          <w:lang w:eastAsia="zh-CN"/>
        </w:rPr>
        <w:t xml:space="preserve"> </w:t>
      </w:r>
      <w:r>
        <w:rPr>
          <w:rStyle w:val="55"/>
          <w:rFonts w:hint="eastAsia" w:ascii="宋体" w:hAnsi="宋体" w:eastAsia="宋体" w:cs="Times New Roman"/>
          <w:bCs/>
          <w:color w:val="auto"/>
          <w:kern w:val="0"/>
          <w:sz w:val="30"/>
          <w:szCs w:val="30"/>
          <w:lang w:val="en-US" w:eastAsia="zh-CN"/>
        </w:rPr>
        <w:t xml:space="preserve">                        </w:t>
      </w:r>
      <w:r>
        <w:rPr>
          <w:rStyle w:val="55"/>
          <w:rFonts w:hint="eastAsia" w:ascii="宋体" w:hAnsi="宋体" w:eastAsia="宋体" w:cs="Times New Roman"/>
          <w:b w:val="0"/>
          <w:bCs/>
          <w:color w:val="auto"/>
          <w:kern w:val="0"/>
          <w:sz w:val="30"/>
          <w:szCs w:val="30"/>
          <w:lang w:val="en-US" w:eastAsia="zh-CN" w:bidi="ar-SA"/>
        </w:rPr>
        <w:t xml:space="preserve">   </w:t>
      </w:r>
    </w:p>
    <w:p>
      <w:pPr>
        <w:ind w:firstLine="1200" w:firstLineChars="400"/>
        <w:rPr>
          <w:rStyle w:val="55"/>
          <w:rFonts w:hint="eastAsia" w:ascii="宋体" w:hAnsi="宋体" w:eastAsia="宋体" w:cs="Times New Roman"/>
          <w:b w:val="0"/>
          <w:bCs/>
          <w:color w:val="auto"/>
          <w:kern w:val="0"/>
          <w:sz w:val="30"/>
          <w:szCs w:val="30"/>
          <w:lang w:val="en-US" w:eastAsia="zh-CN" w:bidi="ar-SA"/>
        </w:rPr>
      </w:pPr>
    </w:p>
    <w:p>
      <w:pPr>
        <w:ind w:firstLine="1200" w:firstLineChars="400"/>
        <w:rPr>
          <w:rStyle w:val="55"/>
          <w:rFonts w:hint="eastAsia" w:ascii="宋体" w:hAnsi="宋体" w:eastAsia="宋体" w:cs="Times New Roman"/>
          <w:b w:val="0"/>
          <w:bCs/>
          <w:color w:val="auto"/>
          <w:kern w:val="0"/>
          <w:sz w:val="30"/>
          <w:szCs w:val="30"/>
          <w:lang w:val="en-US" w:eastAsia="zh-CN" w:bidi="ar-SA"/>
        </w:rPr>
      </w:pPr>
    </w:p>
    <w:p>
      <w:pPr>
        <w:ind w:firstLine="1200" w:firstLineChars="400"/>
        <w:rPr>
          <w:rStyle w:val="55"/>
          <w:rFonts w:hint="eastAsia" w:ascii="宋体" w:hAnsi="宋体" w:eastAsia="宋体" w:cs="Times New Roman"/>
          <w:b w:val="0"/>
          <w:bCs/>
          <w:color w:val="auto"/>
          <w:kern w:val="0"/>
          <w:sz w:val="30"/>
          <w:szCs w:val="30"/>
          <w:lang w:val="en-US" w:eastAsia="zh-CN" w:bidi="ar-SA"/>
        </w:rPr>
      </w:pPr>
    </w:p>
    <w:p>
      <w:pPr>
        <w:ind w:firstLine="1200" w:firstLineChars="400"/>
        <w:rPr>
          <w:rStyle w:val="55"/>
          <w:rFonts w:hint="eastAsia" w:ascii="宋体" w:hAnsi="宋体" w:eastAsia="宋体" w:cs="Times New Roman"/>
          <w:b w:val="0"/>
          <w:bCs/>
          <w:color w:val="auto"/>
          <w:kern w:val="0"/>
          <w:sz w:val="30"/>
          <w:szCs w:val="30"/>
          <w:lang w:val="en-US" w:eastAsia="zh-CN" w:bidi="ar-SA"/>
        </w:rPr>
      </w:pPr>
    </w:p>
    <w:p>
      <w:pPr>
        <w:ind w:firstLine="1200" w:firstLineChars="400"/>
        <w:rPr>
          <w:rStyle w:val="55"/>
          <w:rFonts w:hint="eastAsia" w:ascii="宋体" w:hAnsi="宋体" w:eastAsia="宋体" w:cs="Times New Roman"/>
          <w:b w:val="0"/>
          <w:bCs/>
          <w:color w:val="auto"/>
          <w:kern w:val="0"/>
          <w:sz w:val="30"/>
          <w:szCs w:val="30"/>
          <w:lang w:val="en-US" w:eastAsia="zh-CN" w:bidi="ar-SA"/>
        </w:rPr>
      </w:pPr>
    </w:p>
    <w:p>
      <w:pPr>
        <w:ind w:firstLine="1200" w:firstLineChars="400"/>
        <w:rPr>
          <w:rStyle w:val="55"/>
          <w:rFonts w:hint="eastAsia" w:ascii="宋体" w:hAnsi="宋体" w:eastAsia="宋体" w:cs="Times New Roman"/>
          <w:b w:val="0"/>
          <w:bCs/>
          <w:color w:val="auto"/>
          <w:kern w:val="0"/>
          <w:sz w:val="30"/>
          <w:szCs w:val="30"/>
          <w:lang w:val="en-US" w:eastAsia="zh-CN" w:bidi="ar-SA"/>
        </w:rPr>
      </w:pPr>
    </w:p>
    <w:p>
      <w:pPr>
        <w:ind w:firstLine="1200" w:firstLineChars="400"/>
        <w:rPr>
          <w:rStyle w:val="55"/>
          <w:rFonts w:hint="eastAsia" w:ascii="宋体" w:hAnsi="宋体" w:eastAsia="宋体" w:cs="Times New Roman"/>
          <w:b w:val="0"/>
          <w:bCs/>
          <w:color w:val="auto"/>
          <w:kern w:val="0"/>
          <w:sz w:val="30"/>
          <w:szCs w:val="30"/>
          <w:lang w:val="en-US" w:eastAsia="zh-CN" w:bidi="ar-SA"/>
        </w:rPr>
      </w:pPr>
    </w:p>
    <w:p>
      <w:pPr>
        <w:rPr>
          <w:rStyle w:val="55"/>
          <w:rFonts w:hint="eastAsia" w:ascii="宋体" w:hAnsi="宋体" w:eastAsia="宋体" w:cs="Times New Roman"/>
          <w:b w:val="0"/>
          <w:bCs/>
          <w:color w:val="auto"/>
          <w:kern w:val="0"/>
          <w:sz w:val="30"/>
          <w:szCs w:val="30"/>
          <w:lang w:val="en-US" w:eastAsia="zh-CN" w:bidi="ar-SA"/>
        </w:rPr>
      </w:pPr>
    </w:p>
    <w:p>
      <w:pPr>
        <w:rPr>
          <w:rStyle w:val="55"/>
          <w:rFonts w:hint="eastAsia" w:ascii="宋体" w:hAnsi="宋体" w:eastAsia="宋体" w:cs="Times New Roman"/>
          <w:b/>
          <w:bCs w:val="0"/>
          <w:color w:val="auto"/>
          <w:kern w:val="0"/>
          <w:sz w:val="28"/>
          <w:szCs w:val="28"/>
          <w:u w:val="none"/>
          <w:lang w:val="en-US" w:eastAsia="zh-CN" w:bidi="ar-SA"/>
        </w:rPr>
      </w:pPr>
      <w:r>
        <w:rPr>
          <w:rStyle w:val="55"/>
          <w:rFonts w:hint="eastAsia" w:ascii="宋体" w:hAnsi="宋体" w:eastAsia="宋体" w:cs="Times New Roman"/>
          <w:b/>
          <w:bCs w:val="0"/>
          <w:color w:val="auto"/>
          <w:kern w:val="0"/>
          <w:sz w:val="28"/>
          <w:szCs w:val="28"/>
          <w:u w:val="none"/>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Style w:val="55"/>
          <w:rFonts w:hint="eastAsia" w:ascii="宋体" w:hAnsi="宋体" w:eastAsia="宋体" w:cs="Times New Roman"/>
          <w:b/>
          <w:bCs w:val="0"/>
          <w:color w:val="auto"/>
          <w:kern w:val="0"/>
          <w:sz w:val="28"/>
          <w:szCs w:val="28"/>
          <w:u w:val="none"/>
          <w:lang w:val="en-US" w:eastAsia="zh-CN" w:bidi="ar-SA"/>
        </w:rPr>
      </w:pPr>
      <w:r>
        <w:rPr>
          <w:rStyle w:val="55"/>
          <w:rFonts w:hint="eastAsia" w:ascii="宋体" w:hAnsi="宋体" w:eastAsia="宋体" w:cs="Times New Roman"/>
          <w:b/>
          <w:bCs w:val="0"/>
          <w:color w:val="auto"/>
          <w:kern w:val="0"/>
          <w:sz w:val="28"/>
          <w:szCs w:val="28"/>
          <w:u w:val="none"/>
          <w:lang w:val="en-US" w:eastAsia="zh-CN" w:bidi="ar-SA"/>
        </w:rPr>
        <w:t>一、合同协议书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甲方：北京市特种设备检验检测研究院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公司负责人：宋金钢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通讯地址：北京市朝阳区惠新东街3号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联系人：何福增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联系电话：57520856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邮箱：2667491191@qq.com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default"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法定代表人：</w:t>
      </w:r>
      <w:r>
        <w:rPr>
          <w:rStyle w:val="55"/>
          <w:rFonts w:hint="eastAsia" w:ascii="宋体" w:hAnsi="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通讯地址：</w:t>
      </w:r>
      <w:r>
        <w:rPr>
          <w:rStyle w:val="55"/>
          <w:rFonts w:hint="eastAsia" w:ascii="宋体" w:hAnsi="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联系人：</w:t>
      </w:r>
      <w:r>
        <w:rPr>
          <w:rStyle w:val="55"/>
          <w:rFonts w:hint="eastAsia" w:ascii="宋体" w:hAnsi="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联系电话：</w:t>
      </w:r>
      <w:r>
        <w:rPr>
          <w:rStyle w:val="55"/>
          <w:rFonts w:hint="eastAsia" w:ascii="宋体" w:hAnsi="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邮箱：</w:t>
      </w:r>
      <w:r>
        <w:rPr>
          <w:rStyle w:val="55"/>
          <w:rFonts w:hint="eastAsia" w:ascii="宋体" w:hAnsi="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北京市特种设备检验检测研究院（甲方名称，以下简称“甲方”）为实施</w:t>
      </w:r>
      <w:r>
        <w:rPr>
          <w:rStyle w:val="55"/>
          <w:rFonts w:hint="eastAsia" w:ascii="宋体" w:hAnsi="宋体" w:cs="Times New Roman"/>
          <w:b w:val="0"/>
          <w:bCs/>
          <w:color w:val="auto"/>
          <w:kern w:val="0"/>
          <w:sz w:val="24"/>
          <w:szCs w:val="24"/>
          <w:u w:val="none"/>
          <w:lang w:val="en-US" w:eastAsia="zh-CN" w:bidi="ar-SA"/>
        </w:rPr>
        <w:t>北京地铁无损检测</w:t>
      </w:r>
      <w:r>
        <w:rPr>
          <w:rStyle w:val="55"/>
          <w:rFonts w:hint="eastAsia" w:ascii="宋体" w:hAnsi="宋体" w:eastAsia="宋体" w:cs="Times New Roman"/>
          <w:b w:val="0"/>
          <w:bCs/>
          <w:color w:val="auto"/>
          <w:kern w:val="0"/>
          <w:sz w:val="24"/>
          <w:szCs w:val="24"/>
          <w:u w:val="none"/>
          <w:lang w:val="en-US" w:eastAsia="zh-CN" w:bidi="ar-SA"/>
        </w:rPr>
        <w:t>服务，已接受</w:t>
      </w:r>
      <w:r>
        <w:rPr>
          <w:rStyle w:val="55"/>
          <w:rFonts w:hint="eastAsia" w:ascii="宋体" w:hAnsi="宋体" w:cs="Times New Roman"/>
          <w:b w:val="0"/>
          <w:bCs/>
          <w:color w:val="auto"/>
          <w:kern w:val="0"/>
          <w:sz w:val="24"/>
          <w:szCs w:val="24"/>
          <w:u w:val="singl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（乙方名称，以下简称“乙方”）对该事项的参选。甲方和乙方共同达成如下协议。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1.本合同协议书与下列文件一起构成合同文件：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（1）合同协议书；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（2）合同条款；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（3）</w:t>
      </w:r>
      <w:r>
        <w:rPr>
          <w:rStyle w:val="55"/>
          <w:rFonts w:hint="eastAsia" w:ascii="宋体" w:hAnsi="宋体" w:cs="Times New Roman"/>
          <w:b w:val="0"/>
          <w:bCs/>
          <w:color w:val="auto"/>
          <w:kern w:val="0"/>
          <w:sz w:val="24"/>
          <w:szCs w:val="24"/>
          <w:u w:val="none"/>
          <w:lang w:val="en-US" w:eastAsia="zh-CN" w:bidi="ar-SA"/>
        </w:rPr>
        <w:t>安全协议。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2.上述文件互相补充和解释，如有不明确或不一致之处，以合同约定次序在先者为准。</w:t>
      </w:r>
    </w:p>
    <w:p>
      <w:pPr>
        <w:keepNext w:val="0"/>
        <w:keepLines w:val="0"/>
        <w:pageBreakBefore w:val="0"/>
        <w:widowControl w:val="0"/>
        <w:kinsoku/>
        <w:wordWrap/>
        <w:overflowPunct/>
        <w:topLinePunct w:val="0"/>
        <w:autoSpaceDE/>
        <w:autoSpaceDN/>
        <w:bidi w:val="0"/>
        <w:adjustRightInd/>
        <w:snapToGrid/>
        <w:spacing w:line="360" w:lineRule="auto"/>
        <w:ind w:left="1439" w:leftChars="228" w:hanging="960" w:hangingChars="4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3.签约合同总价：大写：人民币 </w:t>
      </w:r>
      <w:r>
        <w:rPr>
          <w:rStyle w:val="55"/>
          <w:rFonts w:hint="eastAsia" w:ascii="宋体" w:hAnsi="宋体" w:cs="Times New Roman"/>
          <w:b w:val="0"/>
          <w:bCs/>
          <w:color w:val="auto"/>
          <w:kern w:val="0"/>
          <w:sz w:val="24"/>
          <w:szCs w:val="24"/>
          <w:u w:val="singl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 xml:space="preserve">（¥ </w:t>
      </w:r>
      <w:r>
        <w:rPr>
          <w:rStyle w:val="55"/>
          <w:rFonts w:hint="eastAsia" w:ascii="宋体" w:hAnsi="宋体" w:cs="Times New Roman"/>
          <w:b w:val="0"/>
          <w:bCs/>
          <w:color w:val="auto"/>
          <w:kern w:val="0"/>
          <w:sz w:val="24"/>
          <w:szCs w:val="24"/>
          <w:u w:val="singl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）（含税）。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4.合同形式：本合同采用  固定单价  合同形式。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5.计划服务时间： 2024 年</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 xml:space="preserve">月  </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日至  2024  年 12月 31日，具体服务开始日期以合同签订日期为准，服务周期不变。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6.项目负责人：  </w:t>
      </w:r>
      <w:r>
        <w:rPr>
          <w:rStyle w:val="55"/>
          <w:rFonts w:hint="eastAsia" w:ascii="宋体" w:hAnsi="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7.乙方承诺按合同约定承担本项目所有服务工作。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8.甲方承诺按合同约定的条件、时间和方式向乙方支付合同价款。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9.本合同一式 陆 份，甲方执 叁 份，乙方执 叁 份，具有同等法律效力。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10.合同未尽事宜，双方另行签订补充协议，补充协议是合同的组成部分。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11.本合同自双方签字并加盖合同专用章或公章之日起生效，双方各自履行完成合同义务后自动失效。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（以下无正文）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甲方：北京市特种设备检验检测研究 </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（盖章）                                 （盖章）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法定代表人：：                               </w:t>
      </w:r>
      <w:r>
        <w:rPr>
          <w:rStyle w:val="55"/>
          <w:rFonts w:hint="eastAsia" w:ascii="宋体" w:hAnsi="宋体" w:cs="Times New Roman"/>
          <w:b w:val="0"/>
          <w:bCs/>
          <w:color w:val="auto"/>
          <w:kern w:val="0"/>
          <w:sz w:val="24"/>
          <w:szCs w:val="24"/>
          <w:u w:val="none"/>
          <w:lang w:val="en-US" w:eastAsia="zh-CN" w:bidi="ar-SA"/>
        </w:rPr>
        <w:t>公司负责</w:t>
      </w:r>
      <w:r>
        <w:rPr>
          <w:rStyle w:val="55"/>
          <w:rFonts w:hint="eastAsia" w:ascii="宋体" w:hAnsi="宋体" w:eastAsia="宋体" w:cs="Times New Roman"/>
          <w:b w:val="0"/>
          <w:bCs/>
          <w:color w:val="auto"/>
          <w:kern w:val="0"/>
          <w:sz w:val="24"/>
          <w:szCs w:val="24"/>
          <w:u w:val="none"/>
          <w:lang w:val="en-US" w:eastAsia="zh-CN" w:bidi="ar-SA"/>
        </w:rPr>
        <w:t xml:space="preserve">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（签字或盖人名章）                       （签字或盖人名章）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或</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委托代理人：  </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 xml:space="preserve">委托代理人：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（签字或盖人名章）</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（签字或盖人名章）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签订日期：   年    月    日            签订日期：   年   月  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签订地点： 北京市</w:t>
      </w:r>
      <w:r>
        <w:rPr>
          <w:rStyle w:val="55"/>
          <w:rFonts w:hint="eastAsia" w:ascii="宋体" w:hAnsi="宋体" w:cs="Times New Roman"/>
          <w:b w:val="0"/>
          <w:bCs/>
          <w:color w:val="auto"/>
          <w:kern w:val="0"/>
          <w:sz w:val="24"/>
          <w:szCs w:val="24"/>
          <w:u w:val="none"/>
          <w:lang w:val="en-US" w:eastAsia="zh-CN" w:bidi="ar-SA"/>
        </w:rPr>
        <w:t>朝阳</w:t>
      </w:r>
      <w:r>
        <w:rPr>
          <w:rStyle w:val="55"/>
          <w:rFonts w:hint="eastAsia" w:ascii="宋体" w:hAnsi="宋体" w:eastAsia="宋体" w:cs="Times New Roman"/>
          <w:b w:val="0"/>
          <w:bCs/>
          <w:color w:val="auto"/>
          <w:kern w:val="0"/>
          <w:sz w:val="24"/>
          <w:szCs w:val="24"/>
          <w:u w:val="none"/>
          <w:lang w:val="en-US" w:eastAsia="zh-CN" w:bidi="ar-SA"/>
        </w:rPr>
        <w:t>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55"/>
          <w:rFonts w:hint="eastAsia" w:ascii="宋体" w:hAnsi="宋体" w:eastAsia="宋体" w:cs="Times New Roman"/>
          <w:b/>
          <w:bCs w:val="0"/>
          <w:color w:val="auto"/>
          <w:kern w:val="0"/>
          <w:sz w:val="28"/>
          <w:szCs w:val="28"/>
          <w:u w:val="none"/>
          <w:lang w:val="en-US" w:eastAsia="zh-CN" w:bidi="ar-SA"/>
        </w:rPr>
      </w:pPr>
      <w:r>
        <w:rPr>
          <w:rStyle w:val="55"/>
          <w:rFonts w:hint="eastAsia" w:ascii="宋体" w:hAnsi="宋体" w:cs="Times New Roman"/>
          <w:b/>
          <w:bCs w:val="0"/>
          <w:color w:val="auto"/>
          <w:kern w:val="0"/>
          <w:sz w:val="28"/>
          <w:szCs w:val="28"/>
          <w:u w:val="none"/>
          <w:lang w:val="en-US" w:eastAsia="zh-CN" w:bidi="ar-SA"/>
        </w:rPr>
        <w:t>二、</w:t>
      </w:r>
      <w:r>
        <w:rPr>
          <w:rStyle w:val="55"/>
          <w:rFonts w:hint="eastAsia" w:ascii="宋体" w:hAnsi="宋体" w:eastAsia="宋体" w:cs="Times New Roman"/>
          <w:b/>
          <w:bCs w:val="0"/>
          <w:color w:val="auto"/>
          <w:kern w:val="0"/>
          <w:sz w:val="28"/>
          <w:szCs w:val="28"/>
          <w:u w:val="none"/>
          <w:lang w:val="en-US" w:eastAsia="zh-CN" w:bidi="ar-SA"/>
        </w:rPr>
        <w:t>合同条款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根据《中华人民共和国民法典》等有关规定，甲方将委托乙方(中选单位)承揽</w:t>
      </w:r>
      <w:r>
        <w:rPr>
          <w:rStyle w:val="55"/>
          <w:rFonts w:hint="eastAsia" w:ascii="宋体" w:hAnsi="宋体" w:cs="Times New Roman"/>
          <w:b w:val="0"/>
          <w:bCs/>
          <w:color w:val="auto"/>
          <w:kern w:val="0"/>
          <w:sz w:val="24"/>
          <w:szCs w:val="24"/>
          <w:u w:val="none"/>
          <w:lang w:val="en-US" w:eastAsia="zh-CN" w:bidi="ar-SA"/>
        </w:rPr>
        <w:t>北京地铁无损</w:t>
      </w:r>
      <w:r>
        <w:rPr>
          <w:rStyle w:val="55"/>
          <w:rFonts w:hint="eastAsia" w:ascii="宋体" w:hAnsi="宋体" w:eastAsia="宋体" w:cs="Times New Roman"/>
          <w:b w:val="0"/>
          <w:bCs/>
          <w:color w:val="auto"/>
          <w:kern w:val="0"/>
          <w:sz w:val="24"/>
          <w:szCs w:val="24"/>
          <w:u w:val="none"/>
          <w:lang w:val="en-US" w:eastAsia="zh-CN" w:bidi="ar-SA"/>
        </w:rPr>
        <w:t xml:space="preserve">检测服务事项。为确保本事项按期保质地完成，明确双方的责任与义务，特订立本合同，请双方共同遵守。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一、合同名称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cs="Times New Roman"/>
          <w:b w:val="0"/>
          <w:bCs/>
          <w:color w:val="auto"/>
          <w:kern w:val="0"/>
          <w:sz w:val="24"/>
          <w:szCs w:val="24"/>
          <w:u w:val="none"/>
          <w:lang w:val="en-US" w:eastAsia="zh-CN" w:bidi="ar-SA"/>
        </w:rPr>
        <w:t>北京地铁无损检测</w:t>
      </w:r>
      <w:r>
        <w:rPr>
          <w:rStyle w:val="55"/>
          <w:rFonts w:hint="eastAsia" w:ascii="宋体" w:hAnsi="宋体" w:eastAsia="宋体" w:cs="Times New Roman"/>
          <w:b w:val="0"/>
          <w:bCs/>
          <w:color w:val="auto"/>
          <w:kern w:val="0"/>
          <w:sz w:val="24"/>
          <w:szCs w:val="24"/>
          <w:u w:val="none"/>
          <w:lang w:val="en-US" w:eastAsia="zh-CN" w:bidi="ar-SA"/>
        </w:rPr>
        <w:t>服务合同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二、服务地点及数量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服务地点：北京地铁1-八通线、5号线、6号线、7号线、8号线、9号线、10号线、13号线、15号线、亦庄线、昌平线所涉及车站。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服务数量：</w:t>
      </w:r>
    </w:p>
    <w:p>
      <w:pPr>
        <w:jc w:val="center"/>
        <w:rPr>
          <w:rFonts w:hint="eastAsia" w:ascii="宋体" w:hAnsi="宋体"/>
          <w:b/>
          <w:sz w:val="24"/>
          <w:szCs w:val="24"/>
        </w:rPr>
      </w:pPr>
      <w:r>
        <w:rPr>
          <w:rFonts w:hint="eastAsia" w:ascii="宋体" w:hAnsi="宋体"/>
          <w:b/>
          <w:sz w:val="24"/>
          <w:szCs w:val="24"/>
        </w:rPr>
        <w:t>无损检测分线数量统计表</w:t>
      </w:r>
    </w:p>
    <w:tbl>
      <w:tblPr>
        <w:tblStyle w:val="48"/>
        <w:tblW w:w="0" w:type="auto"/>
        <w:tblInd w:w="192" w:type="dxa"/>
        <w:tblLayout w:type="fixed"/>
        <w:tblCellMar>
          <w:top w:w="0" w:type="dxa"/>
          <w:left w:w="0" w:type="dxa"/>
          <w:bottom w:w="0" w:type="dxa"/>
          <w:right w:w="0" w:type="dxa"/>
        </w:tblCellMar>
      </w:tblPr>
      <w:tblGrid>
        <w:gridCol w:w="1703"/>
        <w:gridCol w:w="2321"/>
        <w:gridCol w:w="4306"/>
      </w:tblGrid>
      <w:tr>
        <w:tblPrEx>
          <w:tblCellMar>
            <w:top w:w="0" w:type="dxa"/>
            <w:left w:w="0" w:type="dxa"/>
            <w:bottom w:w="0" w:type="dxa"/>
            <w:right w:w="0" w:type="dxa"/>
          </w:tblCellMar>
        </w:tblPrEx>
        <w:trPr>
          <w:trHeight w:val="395"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序号</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线别</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计划检测数量（台）</w:t>
            </w:r>
          </w:p>
        </w:tc>
      </w:tr>
      <w:tr>
        <w:tblPrEx>
          <w:tblCellMar>
            <w:top w:w="0" w:type="dxa"/>
            <w:left w:w="0" w:type="dxa"/>
            <w:bottom w:w="0" w:type="dxa"/>
            <w:right w:w="0" w:type="dxa"/>
          </w:tblCellMar>
        </w:tblPrEx>
        <w:trPr>
          <w:trHeight w:val="327"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1</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昌平线</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6</w:t>
            </w:r>
          </w:p>
        </w:tc>
      </w:tr>
      <w:tr>
        <w:tblPrEx>
          <w:tblCellMar>
            <w:top w:w="0" w:type="dxa"/>
            <w:left w:w="0" w:type="dxa"/>
            <w:bottom w:w="0" w:type="dxa"/>
            <w:right w:w="0" w:type="dxa"/>
          </w:tblCellMar>
        </w:tblPrEx>
        <w:trPr>
          <w:trHeight w:val="327"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2</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8号线</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30</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3</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10号线</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89</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4</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7号线</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18</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5</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5号线</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26</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6</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15号线</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34</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7</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13号线</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8</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8</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1-八通线</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10</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rPr>
              <w:t>9</w:t>
            </w: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6号线</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90</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bottom w:w="0" w:type="dxa"/>
              <w:right w:w="12" w:type="dxa"/>
            </w:tcMar>
            <w:vAlign w:val="center"/>
          </w:tcPr>
          <w:p>
            <w:pPr>
              <w:jc w:val="center"/>
              <w:rPr>
                <w:rFonts w:ascii="宋体" w:hAnsi="宋体"/>
                <w:color w:val="000000"/>
                <w:sz w:val="24"/>
                <w:szCs w:val="24"/>
              </w:rPr>
            </w:pPr>
          </w:p>
        </w:tc>
        <w:tc>
          <w:tcPr>
            <w:tcW w:w="2321"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合计</w:t>
            </w:r>
          </w:p>
        </w:tc>
        <w:tc>
          <w:tcPr>
            <w:tcW w:w="4306" w:type="dxa"/>
            <w:tcBorders>
              <w:top w:val="single" w:color="000000" w:sz="4" w:space="0"/>
              <w:left w:val="nil"/>
              <w:bottom w:val="single" w:color="000000" w:sz="4" w:space="0"/>
              <w:right w:val="single" w:color="000000" w:sz="4" w:space="0"/>
            </w:tcBorders>
            <w:noWrap/>
            <w:tcMar>
              <w:top w:w="12" w:type="dxa"/>
              <w:left w:w="12" w:type="dxa"/>
              <w:bottom w:w="0" w:type="dxa"/>
              <w:right w:w="12"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311</w:t>
            </w:r>
          </w:p>
        </w:tc>
      </w:tr>
    </w:tbl>
    <w:p>
      <w:pPr>
        <w:ind w:firstLine="482" w:firstLineChars="200"/>
        <w:jc w:val="center"/>
        <w:rPr>
          <w:rFonts w:hint="eastAsia" w:ascii="宋体" w:hAnsi="宋体"/>
          <w:b/>
          <w:sz w:val="24"/>
          <w:szCs w:val="24"/>
        </w:rPr>
      </w:pPr>
      <w:r>
        <w:rPr>
          <w:rFonts w:hint="eastAsia" w:ascii="宋体" w:hAnsi="宋体"/>
          <w:b/>
          <w:sz w:val="24"/>
          <w:szCs w:val="24"/>
        </w:rPr>
        <w:t xml:space="preserve"> </w:t>
      </w:r>
    </w:p>
    <w:p>
      <w:pPr>
        <w:ind w:firstLine="482" w:firstLineChars="200"/>
        <w:jc w:val="center"/>
        <w:rPr>
          <w:rFonts w:hint="eastAsia" w:ascii="宋体" w:hAnsi="宋体"/>
          <w:b/>
          <w:sz w:val="24"/>
          <w:szCs w:val="24"/>
        </w:rPr>
      </w:pPr>
      <w:r>
        <w:rPr>
          <w:rFonts w:hint="eastAsia" w:ascii="宋体" w:hAnsi="宋体"/>
          <w:b/>
          <w:sz w:val="24"/>
          <w:szCs w:val="24"/>
        </w:rPr>
        <w:t>超期检验分线</w:t>
      </w:r>
      <w:r>
        <w:rPr>
          <w:rFonts w:hint="eastAsia" w:ascii="宋体" w:hAnsi="宋体"/>
          <w:b/>
          <w:sz w:val="24"/>
          <w:szCs w:val="24"/>
          <w:lang w:val="en-US" w:eastAsia="zh-CN"/>
        </w:rPr>
        <w:t>无损检测</w:t>
      </w:r>
      <w:r>
        <w:rPr>
          <w:rFonts w:hint="eastAsia" w:ascii="宋体" w:hAnsi="宋体"/>
          <w:b/>
          <w:sz w:val="24"/>
          <w:szCs w:val="24"/>
        </w:rPr>
        <w:t>数量统计表</w:t>
      </w:r>
    </w:p>
    <w:p>
      <w:pPr>
        <w:ind w:firstLine="482" w:firstLineChars="200"/>
        <w:jc w:val="center"/>
        <w:rPr>
          <w:rFonts w:hint="eastAsia" w:ascii="Times New Roman" w:hAnsi="Times New Roman"/>
          <w:b/>
          <w:sz w:val="24"/>
          <w:szCs w:val="24"/>
        </w:rPr>
      </w:pPr>
      <w:r>
        <w:rPr>
          <w:rFonts w:ascii="Times New Roman" w:hAnsi="Times New Roman"/>
          <w:b/>
          <w:sz w:val="24"/>
          <w:szCs w:val="24"/>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84"/>
        <w:gridCol w:w="1568"/>
        <w:gridCol w:w="198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序号</w:t>
            </w:r>
          </w:p>
        </w:tc>
        <w:tc>
          <w:tcPr>
            <w:tcW w:w="26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设备名称</w:t>
            </w:r>
          </w:p>
        </w:tc>
        <w:tc>
          <w:tcPr>
            <w:tcW w:w="15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4"/>
                <w:szCs w:val="24"/>
              </w:rPr>
            </w:pPr>
            <w:r>
              <w:rPr>
                <w:rFonts w:hint="eastAsia" w:ascii="宋体" w:hAnsi="宋体"/>
                <w:kern w:val="0"/>
                <w:sz w:val="24"/>
                <w:szCs w:val="24"/>
              </w:rPr>
              <w:t>线别</w:t>
            </w:r>
          </w:p>
        </w:tc>
        <w:tc>
          <w:tcPr>
            <w:tcW w:w="198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4"/>
                <w:szCs w:val="24"/>
              </w:rPr>
            </w:pPr>
            <w:r>
              <w:rPr>
                <w:rFonts w:hint="eastAsia" w:ascii="宋体" w:hAnsi="宋体"/>
                <w:kern w:val="0"/>
                <w:sz w:val="24"/>
                <w:szCs w:val="24"/>
              </w:rPr>
              <w:t>2024年待检数量（台）</w:t>
            </w:r>
          </w:p>
        </w:tc>
        <w:tc>
          <w:tcPr>
            <w:tcW w:w="14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r>
              <w:rPr>
                <w:rFonts w:hint="eastAsia" w:ascii="宋体" w:hAnsi="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1</w:t>
            </w:r>
          </w:p>
        </w:tc>
        <w:tc>
          <w:tcPr>
            <w:tcW w:w="26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压力容器</w:t>
            </w:r>
          </w:p>
        </w:tc>
        <w:tc>
          <w:tcPr>
            <w:tcW w:w="15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kern w:val="0"/>
                <w:sz w:val="24"/>
                <w:szCs w:val="24"/>
              </w:rPr>
            </w:pPr>
            <w:r>
              <w:rPr>
                <w:rFonts w:hint="eastAsia" w:ascii="宋体" w:hAnsi="宋体"/>
                <w:color w:val="000000"/>
                <w:kern w:val="0"/>
                <w:sz w:val="24"/>
                <w:szCs w:val="24"/>
              </w:rPr>
              <w:t>10号线</w:t>
            </w:r>
          </w:p>
        </w:tc>
        <w:tc>
          <w:tcPr>
            <w:tcW w:w="198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kern w:val="0"/>
                <w:sz w:val="24"/>
                <w:szCs w:val="24"/>
              </w:rPr>
            </w:pPr>
            <w:r>
              <w:rPr>
                <w:rFonts w:hint="eastAsia" w:ascii="宋体" w:hAnsi="宋体"/>
                <w:color w:val="000000"/>
                <w:kern w:val="0"/>
                <w:sz w:val="24"/>
                <w:szCs w:val="24"/>
              </w:rPr>
              <w:t>34</w:t>
            </w:r>
          </w:p>
        </w:tc>
        <w:tc>
          <w:tcPr>
            <w:tcW w:w="14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2</w:t>
            </w:r>
          </w:p>
        </w:tc>
        <w:tc>
          <w:tcPr>
            <w:tcW w:w="26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压力容器</w:t>
            </w:r>
          </w:p>
        </w:tc>
        <w:tc>
          <w:tcPr>
            <w:tcW w:w="15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kern w:val="0"/>
                <w:sz w:val="24"/>
                <w:szCs w:val="24"/>
              </w:rPr>
            </w:pPr>
            <w:r>
              <w:rPr>
                <w:rFonts w:hint="eastAsia" w:ascii="宋体" w:hAnsi="宋体"/>
                <w:color w:val="000000"/>
                <w:kern w:val="0"/>
                <w:sz w:val="24"/>
                <w:szCs w:val="24"/>
              </w:rPr>
              <w:t>9号线</w:t>
            </w:r>
          </w:p>
        </w:tc>
        <w:tc>
          <w:tcPr>
            <w:tcW w:w="198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kern w:val="0"/>
                <w:sz w:val="24"/>
                <w:szCs w:val="24"/>
              </w:rPr>
            </w:pPr>
            <w:r>
              <w:rPr>
                <w:rFonts w:hint="eastAsia" w:ascii="宋体" w:hAnsi="宋体"/>
                <w:color w:val="000000"/>
                <w:kern w:val="0"/>
                <w:sz w:val="24"/>
                <w:szCs w:val="24"/>
              </w:rPr>
              <w:t>10</w:t>
            </w:r>
          </w:p>
        </w:tc>
        <w:tc>
          <w:tcPr>
            <w:tcW w:w="14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3</w:t>
            </w:r>
          </w:p>
        </w:tc>
        <w:tc>
          <w:tcPr>
            <w:tcW w:w="26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压力容器</w:t>
            </w:r>
          </w:p>
        </w:tc>
        <w:tc>
          <w:tcPr>
            <w:tcW w:w="15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5号线</w:t>
            </w:r>
          </w:p>
        </w:tc>
        <w:tc>
          <w:tcPr>
            <w:tcW w:w="198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w:t>
            </w:r>
          </w:p>
        </w:tc>
        <w:tc>
          <w:tcPr>
            <w:tcW w:w="14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3</w:t>
            </w:r>
          </w:p>
        </w:tc>
        <w:tc>
          <w:tcPr>
            <w:tcW w:w="26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压力容器</w:t>
            </w:r>
          </w:p>
        </w:tc>
        <w:tc>
          <w:tcPr>
            <w:tcW w:w="15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13号线</w:t>
            </w:r>
          </w:p>
        </w:tc>
        <w:tc>
          <w:tcPr>
            <w:tcW w:w="198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8</w:t>
            </w:r>
          </w:p>
        </w:tc>
        <w:tc>
          <w:tcPr>
            <w:tcW w:w="14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3</w:t>
            </w:r>
          </w:p>
        </w:tc>
        <w:tc>
          <w:tcPr>
            <w:tcW w:w="26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压力容器</w:t>
            </w:r>
          </w:p>
        </w:tc>
        <w:tc>
          <w:tcPr>
            <w:tcW w:w="15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1-八通线</w:t>
            </w:r>
          </w:p>
        </w:tc>
        <w:tc>
          <w:tcPr>
            <w:tcW w:w="198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22</w:t>
            </w:r>
          </w:p>
        </w:tc>
        <w:tc>
          <w:tcPr>
            <w:tcW w:w="14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p>
        </w:tc>
        <w:tc>
          <w:tcPr>
            <w:tcW w:w="268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1568"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4"/>
                <w:szCs w:val="24"/>
              </w:rPr>
            </w:pPr>
          </w:p>
        </w:tc>
        <w:tc>
          <w:tcPr>
            <w:tcW w:w="198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4"/>
                <w:szCs w:val="24"/>
              </w:rPr>
            </w:pPr>
            <w:r>
              <w:rPr>
                <w:rFonts w:hint="eastAsia" w:ascii="宋体" w:hAnsi="宋体"/>
                <w:kern w:val="0"/>
                <w:sz w:val="24"/>
                <w:szCs w:val="24"/>
              </w:rPr>
              <w:t>84</w:t>
            </w:r>
          </w:p>
        </w:tc>
        <w:tc>
          <w:tcPr>
            <w:tcW w:w="14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三、合同工作内容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1、无损检测工作内容：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（1）乙方按约定时间内完成评选人待检的压力容器无损检测；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（2）压力容器无损检测，包含容器保温拆除及恢复，焊缝打磨、表面打磨及打磨面防腐；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（3）压力容器无损检测，包含端盖的拆卸、恢复安装、密封垫圈更换及其内表面除锈；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（4）干式蒸发器开端盖造成的制冷剂损失，由甲方负责；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（5）乙方出具压力容器无损检测报告书；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四、合同文件的优先顺序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组成合同的各项文件应互相解释，互为说明。解释合同文件的优先顺序如下：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（1）合同协议书；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（2）合同条款；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（3）</w:t>
      </w:r>
      <w:r>
        <w:rPr>
          <w:rStyle w:val="55"/>
          <w:rFonts w:hint="eastAsia" w:ascii="宋体" w:hAnsi="宋体" w:cs="Times New Roman"/>
          <w:b w:val="0"/>
          <w:bCs/>
          <w:color w:val="auto"/>
          <w:kern w:val="0"/>
          <w:sz w:val="24"/>
          <w:szCs w:val="24"/>
          <w:u w:val="none"/>
          <w:lang w:val="en-US" w:eastAsia="zh-CN" w:bidi="ar-SA"/>
        </w:rPr>
        <w:t>安全协议。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五、合同计价方式：本合同价款采用固定单价方式确定。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六、甲方权利、义务、责任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6.1甲方负责办理本项目涉及工作所有登记、注销等手续。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6.2甲方负责本项目工作的监督、管理及协调工作。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6.3按合同约定向乙方支付费用。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6.4甲方有权利根据项目实施情况对不能满足本项目实施的人员提出调整建议，乙方应按照甲方的要求进行人员调整。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6.5甲方不提供项目人员的住宿及交通，所产生的费用由乙方负责。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七、乙方权利、义务、责任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7.1按照合同文件中《服务标准和要求》的相关内容，实施本合同项目，完成好本项目所有工作，确保项目质量达标，对合同要求的全部工作承担主体责任。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7.2对设备进行作业时，因工作不当而发生质量事故，或因未达到甲方事先明确的质量要求而造成返工，乙方应负造成事故全部损失的赔偿责任，并承担返工所造成的一切经济损失，同时甲方有权根据甲方相关考核制度对乙方实施相应经济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7.3为不影响地铁正常运行，作业现场所有服务工作均按甲方要求时间执行，乙方每次服务工作后都要清理作业现场，现场不得存留任何作业物料、污物、仪器、工具、人员等，要满足地铁安全运营的要求，乙方应充分考虑因此带来的实施难度，相关费用已包含在合同价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7.4在服务期间，乙方应负责现场的安全管理工作，确保现场工作人员及相关人员的安全，并制定详细的安全防护措施，相关费用已包含在合同价款中。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7.5为顺利完成本项目工作，甲方将根据项目实施情况对人员进行调整，乙方应按照甲方的要求进行人员调整，相关费用已包含在合同价款中。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7.6服务期间的用水用电由乙方自行考虑，相关费用已包含在合同价款中。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7.7乙方严格按现场情况进行服务，服务所需的工器具、仪器、车辆、物料等由乙方提供，相关费用已包含在合同价款中。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7.8在服务期间，如因乙方原因造成的既有设备设施的损坏，乙方负责修理或更换，相关费用由乙方承担，并承担由此造成全部责任和一切损失。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7.9每天作业完成后，垃圾应统一收集并清理，相关费用已包含在合同价款中。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7.10乙方需自行协调解决运输车辆的停靠、占路，相关费用已包含在合同价款中。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7.11服务过程中乙方应确保不影响其他相关单位。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7.12若因乙方工作失误或差错被媒体曝光或造成甲方损失的，一切责任和损失由乙方承担。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7.13乙方服务人员在甲方服务期间，造成乙方人员事故或伤亡的由乙方负责，甲方因此遭受损失的由乙方承担全部赔偿责任，如果甲方先行垫付承担赔偿责任的，甲方有权向乙方追偿全部损失。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7.14乙方应充分考虑各类重要会议或其他事件（如春节、高考、两会、国庆等）造成的对工作时间限制所产生的工期延误及所发生的费用，由此产生的费用由乙方承担。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7.15合同履约期间，非因甲方原因造成的人员安全事故及运营安全事故，由乙方承担全部责任及由此造成的一切损失。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7.16在服务期间，作业人员不得擅自进入非作业区域。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7.17遵守甲方的有关规章制度，动用明火时应经甲方批准后方能操作。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7.18合同履约期间，因乙方原因造成的扰民、居民投诉等问题，由乙方负责解决，并承担由此造成的一切损失。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7.19乙方对本合同的内容、因履行本合同所知悉的甲方的保密信息负有保密义务，未经甲方事先书面同意，乙方不得将本合同相关内容及因履行本合同所知悉的甲方保密信息用于任何与其执行本合同无关的情况；或以任何形式向本合同以外的第三方泄漏。由于乙方违反以上保密义务给甲方造成损失，乙方应承担相应的法律责任并赔偿因此给甲方造成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八、合同价格与付款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8.1合同价款包括乙方为完成本项目所发生的一切费用，除合同另有约定外，在任何情况下合同价款不予调整。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8.2合同付款方式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8.2.1预付款：本项目无预付款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8.2.2结算款：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全部服务工作完成后且甲方收到乙方出具的结算报告，在结算完成后，甲方于收到乙方开具的等额、有效的增值税发票后30个工作日内一次性付清全款。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8.3乙方收款账户信息：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单位名称：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开户银行名称：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开户银行账号：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联行号：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纳税人识别号：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乙方保证上述信息真实、准确，乙方的上述信息发生变更的，应于甲方付款前书面通知甲方，否则由此导致的错付、无法支付等所有后果均由乙方自行承担。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8.4其他要求：合同文件中明示或暗示的所有责任、义务均视为包含在合同价款中，甲方不接受任何除合同明示的可以调整的价格外的索赔或洽商。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九、违约与索赔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9.1当一方向另一方提出索赔时，要有正当索赔理由，且有索赔事件发生时的有效证据。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9.2乙方未能按合同约定履行自己的各项义务或发生错误，乙方承担由此给甲方造成的全部经济损失。甲方可直接从合同款中扣除相应款项，不足部分向乙方提出索赔。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9.3甲、乙任何一方无正当理由提前终止合同的，应向对方支付合同总金额的10%违约金；给对方造成的经济损失，超过违约金的，还应给予赔偿。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9.4乙方应保证其提供的服务符合合法、合规且不侵犯任何第三方的合法权益。否则，乙方应负责解决由此产生的一切纠纷，承担全部法律责任和经济赔偿，并向甲方支付合同总金额【1】%的违约金，并赔偿因此给甲方造成的全部损失。同时，甲方有权解除本合同，乙方应退还甲方已支付的全部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9.5未经甲方书面同意，乙方不得将乙方提供的服务用于本合同约定之外的其他用途。否则，乙方应向甲方支付合同总金额【1】%的违约金。同时，甲方有权解除合同，乙方应退还甲方已支付的全部款项。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9.6未经甲方书面同意，乙方不得将本合同项下的权利义务全部或部分转让或转委托给第三方，否则乙方应立即纠正并向甲方支付合同总金额【1】%的违约金，且甲方有权解除合同，乙方应退还甲方已支付的全部款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9.7乙方应保证其有资质和能力签订并履行本合同。若违反本项约定，乙方应向甲方支付合同总金额【1】%的违约金，并赔偿因此给甲方造成的全部损失。同时，甲方有权解除合同，乙方应退还甲方已支付的全部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9.8除甲方书面同意延迟项目期限外，若由于乙方责任未能按合同规定或双方协商确定的期限内完成项目，则乙方每延迟一天应按合同总金额【1】%向甲方支付违约金，在当期支付款中扣除。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9.9未经甲方同意，乙方擅自更换项目负责人或团队成员，每发生1次扣除合同总金额【1】%的违约金。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9.10如乙方未按合同要求进行工作，给甲方造成恶劣影响和损失时，乙方向甲方支付合同总金额【1】%的违约金，并赔偿因此给甲方造成的全部损失。同时，甲方有权解除本合同，乙方应退还甲方已支付的全部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9.11若乙方完成的项目未通过甲方验收，乙方应及时予以更换直到验收合格。经验收不合格的，乙方应立即采取措施进行整改，整改后仍不合格的，每拖延一天，乙方向甲方支付合同总金额【1】%的违约金，并赔偿因此给甲方造成的全部损失。同时，甲方有权解除本合同，乙方应退还甲方已支付的全部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9.12因乙方完成项目质量问题或其他履约瑕疵造成甲方或第三方人身伤害或财产损失，乙方承担赔偿责任。如果因前述原因造成甲方承担赔偿责任的，甲方有权向乙方全额追偿。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9.13乙方未按合同要求标准完成维护保养/保洁工作，给甲方造成恶劣影响和损失时，甲方有权向乙方支付合同约定维修维护保养费用总金额【1】%的违约金。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9.14违反服务标准、要求、相关义务及地铁作业安全要求的，如作业现场违纪行为（抽烟等），每次支付违约金【1000】元。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9.15如乙方处理不当，所造成的责任事故及行政处罚，责任由乙方全部承担，与甲方无关。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9.16检测工作应认真仔细，如甲方工作人员或甲方上级机关日常检查工作中，发现此次检测工作重大漏项或其他重大问题，甲方有权向乙方扣除出现问题车站检测费用【1】%作为违约金，直至该站全部检测费用扣完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9.17当工作或调试过程中发生影响乘客安全、产生负面影响的故障或事件时，乙方应在【12】小时内提供书面报告，甲乙双方判定故障原因。影响较大或需要第三方进行检验、验证、测试的应在【24】小时内或双方约定的时间内提供故障报告。当上述故障或事件受到考核时，由甲乙双方共同确认相关责任，按照考核比例承担相应扣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9.18若乙方在履约过程中未达到合同要求，且乙方未在甲方要求或合同约定期限内予以整改甲方有权委托第三方完成整改，所需费用从当期应付费用中扣除，若当期应付费用不足以支付的，则由乙方据实承担，同时乙方应按【1000】元/次向甲方支付违约金。乙方承担由此造成的甲方一切经济损失。乙方应于损害事实发生之日起【20】日内付清相关款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9.19如乙方人员发生意外事故，是由自身违章操作等原因造成的事故由乙方自行承担一切后果。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9.20因乙方原因导致甲方或第三方人身伤害或财产损失，乙方承担赔偿责任。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9.21乙方违反本合同保密条款的约定，除应立即停止违约行为并采取补救措施外，还应向甲方支付合同总金额【1】%的违约金。同时，甲方有权解除本合同，乙方应退还甲方已支付的全部款项。由于乙方违反以上保密义务给甲方造成损失，乙方应承担全部法律责任并赔偿因此给甲方造成的全部损失。本条规定持续有效，不因本合同变更、解除或终止而失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9.22除本合同另有约定外，乙方违反合同约定的其他义务或未按甲方要求完成合同工作的，经甲方催告后【10】日内仍拒不改正的，甲方有权解除本合同，乙方应退还全部款项并向甲方支付合同总金额【2】%的违约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9.23乙方基于本合同约定应向甲方支付的违约金不足以弥补甲方所受损失的，应当予以补足。本合同所约定的甲方损失包括但不限于甲方经济利益的损失和预期利益的减损，甲方为证实乙方违约行为所支付的调查取证费、公证费，以及甲方为寻求权利救济所支付的诉讼费、保全费、律师代理费、咨询费、法院执行费、调查取证费和差旅费等全部损失及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9.24除非双方协议将合同终止，或因一方违约使合同无法履行，违约方承担上述违约责任后仍应继续履行合同。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十、转让及分包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未经甲方事先书面同意，乙方不得部分转让/分包或全部转让/分包其应履行的合同义务。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十一、不可抗力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11.1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11.2受影响一方应在不可抗力事件发生后尽快用书面形式通知对方，并于不可抗力事件发生后十四（14）天内将有关当局出具的证明文件用特快专递或挂号信寄给对方审阅确认。一旦不可抗力事件的影响持续一百二十（120）天以上，双方应通过友好协商在合理的时间内达成进一步履行合同的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11.3因合同一方迟延履行合同后发生不可抗力的，不能免除迟延履行方的相应责任。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十二、合同终止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12.1在甲方对乙方违约而采取的任何补救措施不受影响的情况下，甲方可向乙方发出书面违约通知书，提出终止部分或全部合同。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12.2如果乙方破产或无清偿能力，甲方可在任何时候以书面形式通知乙方，提出终止合同而不给乙方补偿。该合同的终止将不损害或影响甲方已经采取或将要采取的任何行动或补救措施的权力。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12.3甲方可在任何时候出于自身的便利向乙方发出书面通知全部或部分终止合同，终止通知应明确该终止合同是出于甲方的便利，并明确合同终止的程度，以及终止的生效日期。并经双方商定，向乙方支付部分完成的服务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十三、争议的解决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13.1甲方乙方在履行合同时发生争议，可以和解或者要求有关主管部门调解。当事人不愿和解、调解或者和解、调解不成的参照本条款第2项执行。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13.2因执行本合同所发生的或与本合同有关的一切争议，双方应通过友好协商解决。如果协商开始后二十八（28）天还不能解决，双方约定采用（贰）方式解决争议：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（壹）双方达成仲裁协议，向北京仲裁委员会申请仲裁；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（贰）向甲方住所地有管辖权的人民法院起诉。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13.3合同约定的争议解决方式应为最终裁决，对双方均具有约束力。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13.4争议解决所产生的费用应由败诉方负担。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13.5在争议解决期间，除在争议范围内的部分外，本合同其它部分应继续执行。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十四、合同语言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本合同语言为中文。双方交换的与合同有关的信函均用中文书写。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十五、适用法律及规定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15.1本合同应按照中华人民共和国的法律进行解释。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15.2乙方应严格遵守地铁相关规章制度及甲方的其他相关规定。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十六、税款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16.1按照中华人民共和国税法和有关部门的规定，甲方需交纳的与本合同有关的一切税费均应由甲方负担。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16.2按照中华人民共和国税法和有关部门的规定，乙方需交纳的与本合同有关的一切税费均应由乙方负担。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十七、知识产权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17.1乙方使用本项目技术成果或技术方案时，需征得甲方书面同意，不得擅自复印或提供给第三人。乙方在使用任何材料、乙方设备、工程设备或采用施工工艺时，因侵甲方或其他第三方犯专利权或其他知识产权所引起的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17.2乙方保证其根据本合同提供的产品、实施的服务不对任何第三方的知识产权（包括专利权、著作权、商标权、专有技术等）或其他权利构成侵犯。第三方根据任何法律指控本合同项下的产品、服务侵犯其知识产权或其他权利并针对甲方提出任何请求时，乙方应对此进行负责，所需全部费用（包括但不限于律师费、诉讼费）由乙方承担。乙方应使甲方免于因此而遭受任何损害、损失或承担任何费用，甲方因此支付的任何金额均应得到乙方的全部补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十八、验收方式及标准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18.1乙方按照TSG21-2016《固定式压力容器安全技术监察规程》对甲方压力容器进行无损检测。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18.2乙方对甲方约检的每台压力容器均出具检测报告书（含不合格报告），报告书在7个工作日内出具。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十九、失信惩戒责任条款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按照地铁公司《北京市地铁运营有限公司供应商信用管理办法》规定，乙方在合同采购及履行过程中出现失信行为，甲方有权依据本合同相关条款追究其违约责任。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二十、反贿赂条款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20.1乙方及其工作人员应当在合同的签订、履行过程中，严格遵守中华人民共和国反商业贿赂的法律规定，廉洁自律，不得以任何方式从事任何涉及商业贿赂或向甲方、甲方工作人员或其他相关人员提供本合同约定以外利益的行为，包括但不限于以下任一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20.1.1以任何理由或方式向甲方或其工作人员、相关人员赠送现金、购物卡、实物、有价证券等；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20.1.2以任何理由或方式为甲方或其工作人员、相关人员报销费用；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20.1.3为甲方工作人员或相关人员及其亲属安排工作、筹办婚丧嫁娶活动等；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20.1.4以任何理由宴请甲方工作人员或相关人员，或安排旅游、健身、娱乐等活动。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20.2乙方或其工作人员出现上述第一条情形的，乙方同意甲方采取以下任一措施追究乙方违约责任：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20.2.1乙方向甲方支付合同总价款10%的违约金，本合同继续履行。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20.2.2解除本合同，乙方返还甲方已支付的全部款项，并向甲方支付合同总价款10%的违约金。违约金不足以弥补全部损失的，乙方还应承担赔偿责任。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合同履行结束后发现乙方存在违反前述反贿赂条款情形的，甲方将保留追究其法律责任（包括但不限于违约责任等）的权利。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二十一、 禁止拖欠农民工工资条款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21.1甲方应执行《保障农民工工资支付条例》（国务院令第724号）等有关法律法规及规范性文件的规定，按照合同约定及时拨付合同款，加强对乙方按时足额支付农民工工资的监督。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21.2乙方应执行《保障农民工工资支付条例》（国务院令第724号）等有关法律法规及规范性文件的规定，建立农民工工资专用账户，按时足额支付农民工工资，规范劳动用工管理，无条件接受监管部门的监督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21.3乙方承担清偿农民工欠薪的主体责任。乙方因违反《保障农民工工资支付条例》（国务院令第724号）等有关法律法规及规范性文件的规定，受到监管部门处罚且逾期未改正的，甲方有权将乙方列入《北京市地铁运营有限公司失信惩戒名单》。自列入《北京市地铁运营有限公司失信惩戒名单》之日起三年内，乙方不得参与北京市地铁运营有限公司及所属单位的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二十二、合同其他条款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22.1 所有合同附件为合同不可分割的一部分，双方经过协商达成一致意见，是合同执行中不可分割的一部分，与合同具有同等效力。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22.2所有修改、补充、改动条款和执行合同的条件均应以书面形式列明，双方经过协商达成一致意见，并由双方签字盖章后生效，是合同执行中不可分割的一部分，与合同具有同等效力。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22.3如未事先征得另一方的同意，合同项下任何权利和义务不允许由合同一方转让或转移给第三方。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22.4 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本合同项下的通知、要求的法律文书或其他通信应按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Style w:val="55"/>
          <w:rFonts w:hint="eastAsia"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55"/>
          <w:rFonts w:hint="eastAsia" w:ascii="宋体" w:hAnsi="宋体" w:eastAsia="宋体" w:cs="Times New Roman"/>
          <w:b/>
          <w:bCs w:val="0"/>
          <w:color w:val="auto"/>
          <w:kern w:val="0"/>
          <w:sz w:val="28"/>
          <w:szCs w:val="28"/>
          <w:u w:val="none"/>
          <w:lang w:val="en-US" w:eastAsia="zh-CN" w:bidi="ar-SA"/>
        </w:rPr>
      </w:pPr>
      <w:r>
        <w:rPr>
          <w:rStyle w:val="55"/>
          <w:rFonts w:hint="eastAsia" w:ascii="宋体" w:hAnsi="宋体" w:cs="Times New Roman"/>
          <w:b/>
          <w:bCs w:val="0"/>
          <w:color w:val="auto"/>
          <w:kern w:val="0"/>
          <w:sz w:val="28"/>
          <w:szCs w:val="28"/>
          <w:u w:val="none"/>
          <w:lang w:val="en-US" w:eastAsia="zh-CN" w:bidi="ar-SA"/>
        </w:rPr>
        <w:t>三、</w:t>
      </w:r>
      <w:r>
        <w:rPr>
          <w:rStyle w:val="55"/>
          <w:rFonts w:hint="eastAsia" w:ascii="宋体" w:hAnsi="宋体" w:eastAsia="宋体" w:cs="Times New Roman"/>
          <w:b/>
          <w:bCs w:val="0"/>
          <w:color w:val="auto"/>
          <w:kern w:val="0"/>
          <w:sz w:val="28"/>
          <w:szCs w:val="28"/>
          <w:u w:val="none"/>
          <w:lang w:val="en-US" w:eastAsia="zh-CN" w:bidi="ar-SA"/>
        </w:rPr>
        <w:t>安全协议书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甲方：北京市特种设备检验检测研究院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为确保</w:t>
      </w:r>
      <w:r>
        <w:rPr>
          <w:rStyle w:val="55"/>
          <w:rFonts w:hint="eastAsia" w:ascii="宋体" w:hAnsi="宋体" w:cs="Times New Roman"/>
          <w:b w:val="0"/>
          <w:bCs/>
          <w:color w:val="auto"/>
          <w:kern w:val="0"/>
          <w:sz w:val="24"/>
          <w:szCs w:val="24"/>
          <w:u w:val="none"/>
          <w:lang w:val="en-US" w:eastAsia="zh-CN" w:bidi="ar-SA"/>
        </w:rPr>
        <w:t>项目</w:t>
      </w:r>
      <w:r>
        <w:rPr>
          <w:rStyle w:val="55"/>
          <w:rFonts w:hint="eastAsia" w:ascii="宋体" w:hAnsi="宋体" w:eastAsia="宋体" w:cs="Times New Roman"/>
          <w:b w:val="0"/>
          <w:bCs/>
          <w:color w:val="auto"/>
          <w:kern w:val="0"/>
          <w:sz w:val="24"/>
          <w:szCs w:val="24"/>
          <w:u w:val="none"/>
          <w:lang w:val="en-US" w:eastAsia="zh-CN" w:bidi="ar-SA"/>
        </w:rPr>
        <w:t>安全生产有序进行，保障地铁运营安全，明确各方的安全责任，根据《中华人民共和国安全生产法》《中华人民共和国消防法》《中华人民共和国道路交通安全法》国务院421号令《企事业单位内部治安保卫条例》等相关法律法规，以及地铁公司相关规章制度，双方经协商，签订此安全协议，双方共同遵守。协议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一、协议范围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本协议所议项目内容为：</w:t>
      </w:r>
      <w:r>
        <w:rPr>
          <w:rStyle w:val="55"/>
          <w:rFonts w:hint="eastAsia" w:ascii="宋体" w:hAnsi="宋体" w:cs="Times New Roman"/>
          <w:b w:val="0"/>
          <w:bCs/>
          <w:color w:val="auto"/>
          <w:kern w:val="0"/>
          <w:sz w:val="24"/>
          <w:szCs w:val="24"/>
          <w:u w:val="none"/>
          <w:lang w:val="en-US" w:eastAsia="zh-CN" w:bidi="ar-SA"/>
        </w:rPr>
        <w:t>北京地铁无损检测</w:t>
      </w:r>
      <w:r>
        <w:rPr>
          <w:rStyle w:val="55"/>
          <w:rFonts w:hint="eastAsia" w:ascii="宋体" w:hAnsi="宋体" w:eastAsia="宋体" w:cs="Times New Roman"/>
          <w:b w:val="0"/>
          <w:bCs/>
          <w:color w:val="auto"/>
          <w:kern w:val="0"/>
          <w:sz w:val="24"/>
          <w:szCs w:val="24"/>
          <w:u w:val="none"/>
          <w:lang w:val="en-US" w:eastAsia="zh-CN" w:bidi="ar-SA"/>
        </w:rPr>
        <w:t>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本协议有效期限随合同协议书保持一致，适用于有效期限内对甲方安全运营有影响所有内容。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二、甲方的权利和义务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1.甲方应严格遵守国家、行业和北京市有关法律法规、标准等，以及地铁公司有关安全运营管理的各项规章制度，同时严格履行本协议条款。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2.甲方有权依据本协议及有关合同、规章制度等对乙方进行检查和监督，并提出相关的整改要求，并按上级公安、消防、交通、安监、质监、环保等主管部门的规定进行协议期间安全管理。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3.甲方对由乙方责任引起的地铁各类安全事故或其它负面事件不承担责任。对乙方单位或个人因违反管理规定、合同规定和本协议书条款而造成事故的，视情节轻重，追究责任和经济赔偿。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4.甲方有权根据所涉及项目对安全运营的影响，要求乙方签订本协议的补充条款。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三、乙方的权利和义务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1.乙方应严格遵守国家、行业和北京市有关法律法规、标准等，以及甲方单位有关安全运营管理的各项规章制度。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2.乙方须根据国家、行业和北京市有关法律法规办理有关行政许可手续，同时应具备安全生产条件。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3.乙方对本单位的安全生产管理工作全面负责。应按安全生产法律法规建立健全安全生产责任制度；制定保障地铁安全运营的生产规章制度、操作规程、安全措施和应急预案。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4.乙方应保证安全生产条件所需资金的投入，应向施工作业人员提供安全防护用品，并做好安全防护措施，保证地铁运营和作业安全。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5.乙方负责入场从业人员的安全培训、教育，培训记录应向甲方备案，未经甲方审查且考试不合格的严禁上岗作业，特种作业人员必须持证上岗。乙方如需进行施工手续及证件办理的，按照甲方相关安全规定进行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6.乙方严格遵守国家消防安全法律法规和甲方消防安全规章制度，保证消防设施器材正常使用和疏散通道、安全出口、标志等符合消防工作要求，及时清理杂物，制定防火、用电措施，消除消防安全隐患。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7.乙方严格遵守国家交通安全法律法规，严格执行甲方单位的交通安全管理规定，加大对机动车司机遵规守法教育力度，严格管理和考核，确保交通安全。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8.乙方严格遵守《企事业单位内部治安保卫条例》、《机关、团体、企业、事业单位管理规定》以及甲方各项治安管理规定，按规定办理相关证件，并到北京市公共交通安全保卫总队备案，乙方对相关责任区域的治安保卫及人员管理负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9.乙方要建立健全有关治安防范、人员管理规定，加强对相关责任区域的物资、人员的管理，加强对易燃易爆物品、危险品的管理。乙方责任区域发生治安纠纷、刑事案件等由乙方负责处理。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10.乙方对协议期间本方人员的人身安全负责，出现的乙方人员安全事故责任及损失由乙方单位承担，甲方不予承担。因乙方原因造成甲方或第三方人员及财产损失的，由乙方承担全部责任。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11.乙方在协议期间必须接受并配合甲方的监督检查，严格落实甲方对乙方工作提出的安全要求和整改要求。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四、附则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此协议中未尽事宜，参照国家有关法律法规，经双方协商，可另行签订补充协议，补充协议与本协议具有同等法律效力。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（此页无正文）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甲方：北京市</w:t>
      </w:r>
      <w:r>
        <w:rPr>
          <w:rStyle w:val="55"/>
          <w:rFonts w:hint="eastAsia" w:ascii="宋体" w:hAnsi="宋体" w:cs="Times New Roman"/>
          <w:b w:val="0"/>
          <w:bCs/>
          <w:color w:val="auto"/>
          <w:kern w:val="0"/>
          <w:sz w:val="24"/>
          <w:szCs w:val="24"/>
          <w:u w:val="none"/>
          <w:lang w:val="en-US" w:eastAsia="zh-CN" w:bidi="ar-SA"/>
        </w:rPr>
        <w:t>特种设备检验检测研究院</w:t>
      </w:r>
      <w:r>
        <w:rPr>
          <w:rStyle w:val="55"/>
          <w:rFonts w:hint="eastAsia" w:ascii="宋体" w:hAnsi="宋体" w:eastAsia="宋体" w:cs="Times New Roman"/>
          <w:b w:val="0"/>
          <w:bCs/>
          <w:color w:val="auto"/>
          <w:kern w:val="0"/>
          <w:sz w:val="24"/>
          <w:szCs w:val="24"/>
          <w:u w:val="none"/>
          <w:lang w:val="en-US" w:eastAsia="zh-CN" w:bidi="ar-SA"/>
        </w:rPr>
        <w:t xml:space="preserve">  乙方：</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 xml:space="preserve">（盖章）                      </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法定代表人:                           公司负责人: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cs="Times New Roman"/>
          <w:b w:val="0"/>
          <w:bCs/>
          <w:color w:val="auto"/>
          <w:kern w:val="0"/>
          <w:sz w:val="24"/>
          <w:szCs w:val="24"/>
          <w:u w:val="none"/>
          <w:lang w:val="en-US" w:eastAsia="zh-CN" w:bidi="ar-SA"/>
        </w:rPr>
        <w:t>或</w:t>
      </w:r>
      <w:r>
        <w:rPr>
          <w:rStyle w:val="55"/>
          <w:rFonts w:hint="eastAsia" w:ascii="宋体" w:hAnsi="宋体" w:eastAsia="宋体" w:cs="Times New Roman"/>
          <w:b w:val="0"/>
          <w:bCs/>
          <w:color w:val="auto"/>
          <w:kern w:val="0"/>
          <w:sz w:val="24"/>
          <w:szCs w:val="24"/>
          <w:u w:val="none"/>
          <w:lang w:val="en-US" w:eastAsia="zh-CN" w:bidi="ar-SA"/>
        </w:rPr>
        <w:t xml:space="preserve">                 </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 xml:space="preserve">          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授权代表: </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 xml:space="preserve">                      授权代表: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(签字或人名盖章)</w:t>
      </w:r>
      <w:r>
        <w:rPr>
          <w:rStyle w:val="55"/>
          <w:rFonts w:hint="eastAsia" w:ascii="宋体" w:hAnsi="宋体" w:cs="Times New Roman"/>
          <w:b w:val="0"/>
          <w:bCs/>
          <w:color w:val="auto"/>
          <w:kern w:val="0"/>
          <w:sz w:val="24"/>
          <w:szCs w:val="24"/>
          <w:u w:val="none"/>
          <w:lang w:val="en-US" w:eastAsia="zh-CN" w:bidi="ar-SA"/>
        </w:rPr>
        <w:t xml:space="preserve">                      </w:t>
      </w:r>
      <w:r>
        <w:rPr>
          <w:rStyle w:val="55"/>
          <w:rFonts w:hint="eastAsia" w:ascii="宋体" w:hAnsi="宋体" w:eastAsia="宋体" w:cs="Times New Roman"/>
          <w:b w:val="0"/>
          <w:bCs/>
          <w:color w:val="auto"/>
          <w:kern w:val="0"/>
          <w:sz w:val="24"/>
          <w:szCs w:val="24"/>
          <w:u w:val="none"/>
          <w:lang w:val="en-US" w:eastAsia="zh-CN" w:bidi="ar-SA"/>
        </w:rPr>
        <w:t>(签字或人名盖章)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default" w:ascii="宋体" w:hAnsi="宋体" w:eastAsia="宋体" w:cs="Times New Roman"/>
          <w:b w:val="0"/>
          <w:bCs/>
          <w:color w:val="auto"/>
          <w:kern w:val="0"/>
          <w:sz w:val="24"/>
          <w:szCs w:val="2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Style w:val="55"/>
          <w:rFonts w:hint="eastAsia" w:ascii="宋体" w:hAnsi="宋体" w:eastAsia="宋体" w:cs="Times New Roman"/>
          <w:b w:val="0"/>
          <w:bCs/>
          <w:color w:val="auto"/>
          <w:kern w:val="0"/>
          <w:sz w:val="24"/>
          <w:szCs w:val="24"/>
          <w:u w:val="none"/>
          <w:lang w:val="en-US" w:eastAsia="zh-CN" w:bidi="ar-SA"/>
        </w:rPr>
      </w:pPr>
      <w:r>
        <w:rPr>
          <w:rStyle w:val="55"/>
          <w:rFonts w:hint="eastAsia" w:ascii="宋体" w:hAnsi="宋体" w:eastAsia="宋体" w:cs="Times New Roman"/>
          <w:b w:val="0"/>
          <w:bCs/>
          <w:color w:val="auto"/>
          <w:kern w:val="0"/>
          <w:sz w:val="24"/>
          <w:szCs w:val="24"/>
          <w:u w:val="none"/>
          <w:lang w:val="en-US" w:eastAsia="zh-CN" w:bidi="ar-SA"/>
        </w:rPr>
        <w:t>年   月   日                            年   月   日</w:t>
      </w:r>
    </w:p>
    <w:p>
      <w:pPr>
        <w:widowControl/>
        <w:spacing w:line="360" w:lineRule="auto"/>
        <w:jc w:val="left"/>
        <w:rPr>
          <w:rFonts w:ascii="宋体" w:hAnsi="宋体" w:cs="宋体"/>
          <w:color w:val="000000"/>
          <w:sz w:val="30"/>
          <w:szCs w:val="30"/>
        </w:rPr>
      </w:pPr>
    </w:p>
    <w:p>
      <w:pPr>
        <w:pStyle w:val="44"/>
        <w:spacing w:line="360" w:lineRule="auto"/>
        <w:rPr>
          <w:rFonts w:hint="eastAsia" w:ascii="宋体" w:hAnsi="宋体" w:eastAsia="宋体" w:cs="宋体"/>
          <w:color w:val="000000"/>
          <w:sz w:val="30"/>
          <w:szCs w:val="30"/>
        </w:rPr>
      </w:pPr>
    </w:p>
    <w:p>
      <w:pPr>
        <w:pStyle w:val="44"/>
        <w:spacing w:line="360" w:lineRule="auto"/>
        <w:rPr>
          <w:rFonts w:hint="eastAsia" w:ascii="宋体" w:hAnsi="宋体" w:eastAsia="宋体" w:cs="宋体"/>
          <w:color w:val="000000"/>
          <w:sz w:val="30"/>
          <w:szCs w:val="30"/>
        </w:rPr>
      </w:pPr>
    </w:p>
    <w:p>
      <w:pPr>
        <w:pStyle w:val="44"/>
        <w:spacing w:line="360" w:lineRule="auto"/>
        <w:rPr>
          <w:rFonts w:hint="eastAsia" w:ascii="宋体" w:hAnsi="宋体" w:eastAsia="宋体" w:cs="宋体"/>
          <w:color w:val="000000"/>
          <w:sz w:val="30"/>
          <w:szCs w:val="30"/>
        </w:rPr>
      </w:pPr>
    </w:p>
    <w:p>
      <w:pPr>
        <w:pStyle w:val="44"/>
        <w:spacing w:line="360" w:lineRule="auto"/>
        <w:rPr>
          <w:rFonts w:hint="eastAsia" w:ascii="宋体" w:hAnsi="宋体" w:eastAsia="宋体" w:cs="宋体"/>
          <w:color w:val="000000"/>
          <w:sz w:val="30"/>
          <w:szCs w:val="30"/>
        </w:rPr>
      </w:pPr>
    </w:p>
    <w:p>
      <w:pPr>
        <w:pStyle w:val="44"/>
        <w:spacing w:line="360" w:lineRule="auto"/>
        <w:rPr>
          <w:rFonts w:hint="eastAsia" w:ascii="宋体" w:hAnsi="宋体" w:eastAsia="宋体" w:cs="宋体"/>
          <w:color w:val="000000"/>
          <w:sz w:val="30"/>
          <w:szCs w:val="30"/>
        </w:rPr>
      </w:pPr>
    </w:p>
    <w:p>
      <w:pPr>
        <w:pStyle w:val="44"/>
        <w:spacing w:line="360" w:lineRule="auto"/>
        <w:rPr>
          <w:rFonts w:hint="eastAsia" w:ascii="宋体" w:hAnsi="宋体" w:eastAsia="宋体" w:cs="宋体"/>
          <w:color w:val="000000"/>
          <w:sz w:val="30"/>
          <w:szCs w:val="30"/>
        </w:rPr>
      </w:pPr>
    </w:p>
    <w:p>
      <w:pPr>
        <w:pStyle w:val="44"/>
        <w:spacing w:line="360" w:lineRule="auto"/>
        <w:rPr>
          <w:rFonts w:hint="eastAsia" w:ascii="宋体" w:hAnsi="宋体" w:eastAsia="宋体" w:cs="宋体"/>
          <w:color w:val="000000"/>
          <w:sz w:val="30"/>
          <w:szCs w:val="30"/>
        </w:rPr>
      </w:pPr>
    </w:p>
    <w:p>
      <w:pPr>
        <w:pStyle w:val="44"/>
        <w:spacing w:line="360" w:lineRule="auto"/>
        <w:rPr>
          <w:rFonts w:hint="eastAsia" w:ascii="宋体" w:hAnsi="宋体" w:eastAsia="宋体" w:cs="宋体"/>
          <w:color w:val="000000"/>
          <w:sz w:val="30"/>
          <w:szCs w:val="30"/>
        </w:rPr>
      </w:pPr>
    </w:p>
    <w:p>
      <w:pPr>
        <w:pStyle w:val="44"/>
        <w:spacing w:line="360" w:lineRule="auto"/>
        <w:rPr>
          <w:rFonts w:hint="eastAsia" w:ascii="宋体" w:hAnsi="宋体" w:eastAsia="宋体" w:cs="宋体"/>
          <w:color w:val="000000"/>
          <w:sz w:val="30"/>
          <w:szCs w:val="30"/>
        </w:rPr>
      </w:pPr>
    </w:p>
    <w:p>
      <w:pPr>
        <w:pStyle w:val="44"/>
        <w:spacing w:line="360" w:lineRule="auto"/>
        <w:rPr>
          <w:rFonts w:ascii="宋体" w:hAnsi="宋体" w:eastAsia="宋体" w:cs="宋体"/>
          <w:color w:val="000000"/>
          <w:sz w:val="24"/>
          <w:szCs w:val="24"/>
        </w:rPr>
      </w:pPr>
      <w:r>
        <w:rPr>
          <w:rFonts w:hint="eastAsia" w:ascii="宋体" w:hAnsi="宋体" w:eastAsia="宋体" w:cs="宋体"/>
          <w:color w:val="000000"/>
          <w:sz w:val="30"/>
          <w:szCs w:val="30"/>
        </w:rPr>
        <w:t>第四章  投标文件格式</w:t>
      </w:r>
      <w:bookmarkEnd w:id="377"/>
      <w:bookmarkEnd w:id="378"/>
    </w:p>
    <w:p>
      <w:pPr>
        <w:spacing w:line="360" w:lineRule="auto"/>
        <w:rPr>
          <w:rFonts w:ascii="宋体" w:hAnsi="宋体" w:cs="宋体"/>
          <w:color w:val="000000"/>
          <w:sz w:val="24"/>
          <w:szCs w:val="24"/>
          <w:lang w:val="zh-CN"/>
        </w:rPr>
      </w:pPr>
    </w:p>
    <w:p>
      <w:pPr>
        <w:spacing w:line="360" w:lineRule="auto"/>
        <w:rPr>
          <w:rFonts w:ascii="宋体" w:hAnsi="宋体" w:cs="宋体"/>
          <w:color w:val="000000"/>
          <w:sz w:val="24"/>
          <w:szCs w:val="24"/>
          <w:lang w:val="zh-CN"/>
        </w:rPr>
      </w:pPr>
    </w:p>
    <w:p>
      <w:pPr>
        <w:spacing w:line="360" w:lineRule="auto"/>
        <w:rPr>
          <w:rFonts w:ascii="宋体" w:hAnsi="宋体" w:cs="宋体"/>
          <w:b/>
          <w:color w:val="000000"/>
          <w:sz w:val="24"/>
          <w:szCs w:val="24"/>
        </w:rPr>
      </w:pPr>
      <w:r>
        <w:rPr>
          <w:rFonts w:hint="eastAsia" w:ascii="宋体" w:hAnsi="宋体" w:cs="宋体"/>
          <w:b/>
          <w:color w:val="000000"/>
          <w:sz w:val="24"/>
          <w:szCs w:val="24"/>
        </w:rPr>
        <w:br w:type="page"/>
      </w:r>
    </w:p>
    <w:p>
      <w:pPr>
        <w:spacing w:line="360" w:lineRule="auto"/>
        <w:rPr>
          <w:rFonts w:ascii="宋体" w:hAnsi="宋体" w:cs="宋体"/>
          <w:b/>
          <w:color w:val="000000"/>
          <w:sz w:val="24"/>
          <w:szCs w:val="24"/>
        </w:rPr>
      </w:pPr>
      <w:r>
        <w:rPr>
          <w:rFonts w:hint="eastAsia" w:ascii="宋体" w:hAnsi="宋体" w:cs="宋体"/>
          <w:b/>
          <w:color w:val="000000"/>
          <w:sz w:val="24"/>
          <w:szCs w:val="24"/>
        </w:rPr>
        <w:t>投标文件</w:t>
      </w:r>
      <w:r>
        <w:rPr>
          <w:rFonts w:ascii="宋体" w:hAnsi="宋体" w:cs="宋体"/>
          <w:b/>
          <w:color w:val="000000"/>
          <w:sz w:val="24"/>
          <w:szCs w:val="24"/>
        </w:rPr>
        <w:t>封面参考格式</w:t>
      </w:r>
      <w:r>
        <w:rPr>
          <w:rFonts w:hint="eastAsia" w:ascii="宋体" w:hAnsi="宋体" w:cs="宋体"/>
          <w:b/>
          <w:color w:val="000000"/>
          <w:sz w:val="24"/>
          <w:szCs w:val="24"/>
        </w:rPr>
        <w:t>：</w:t>
      </w:r>
    </w:p>
    <w:p>
      <w:pPr>
        <w:spacing w:line="360" w:lineRule="auto"/>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rPr>
          <w:rFonts w:ascii="宋体" w:hAnsi="宋体" w:cs="宋体"/>
          <w:b/>
          <w:color w:val="000000"/>
          <w:sz w:val="52"/>
          <w:szCs w:val="52"/>
        </w:rPr>
      </w:pPr>
      <w:r>
        <w:rPr>
          <w:rFonts w:hint="eastAsia" w:ascii="宋体" w:hAnsi="宋体" w:cs="宋体"/>
          <w:b/>
          <w:color w:val="000000"/>
          <w:sz w:val="52"/>
          <w:szCs w:val="52"/>
        </w:rPr>
        <w:t>项目招标</w:t>
      </w: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jc w:val="center"/>
        <w:rPr>
          <w:rFonts w:ascii="宋体" w:hAnsi="宋体" w:cs="宋体"/>
          <w:b/>
          <w:color w:val="000000"/>
          <w:sz w:val="24"/>
          <w:szCs w:val="24"/>
        </w:rPr>
      </w:pPr>
    </w:p>
    <w:p>
      <w:pPr>
        <w:spacing w:line="360" w:lineRule="auto"/>
        <w:rPr>
          <w:rFonts w:ascii="宋体" w:hAnsi="宋体"/>
          <w:color w:val="000000"/>
        </w:rPr>
      </w:pPr>
    </w:p>
    <w:p>
      <w:pPr>
        <w:spacing w:line="360" w:lineRule="auto"/>
        <w:jc w:val="center"/>
        <w:rPr>
          <w:rFonts w:ascii="宋体" w:hAnsi="宋体" w:cs="宋体"/>
          <w:b/>
          <w:color w:val="000000"/>
          <w:sz w:val="72"/>
          <w:szCs w:val="72"/>
        </w:rPr>
      </w:pPr>
      <w:r>
        <w:rPr>
          <w:rFonts w:hint="eastAsia" w:ascii="宋体" w:hAnsi="宋体" w:cs="宋体"/>
          <w:b/>
          <w:color w:val="000000"/>
          <w:sz w:val="72"/>
          <w:szCs w:val="72"/>
        </w:rPr>
        <w:t>投标文件</w:t>
      </w:r>
    </w:p>
    <w:p>
      <w:pPr>
        <w:spacing w:line="360" w:lineRule="auto"/>
        <w:jc w:val="center"/>
        <w:rPr>
          <w:rFonts w:ascii="宋体" w:hAnsi="宋体" w:cs="宋体"/>
          <w:b/>
          <w:color w:val="000000"/>
          <w:sz w:val="32"/>
          <w:szCs w:val="32"/>
        </w:rPr>
      </w:pPr>
    </w:p>
    <w:p>
      <w:pPr>
        <w:spacing w:line="360" w:lineRule="auto"/>
        <w:jc w:val="center"/>
        <w:rPr>
          <w:rFonts w:ascii="宋体" w:hAnsi="宋体" w:cs="宋体"/>
          <w:b/>
          <w:color w:val="000000"/>
          <w:sz w:val="32"/>
          <w:szCs w:val="32"/>
          <w:u w:val="single"/>
        </w:rPr>
      </w:pPr>
      <w:r>
        <w:rPr>
          <w:rFonts w:hint="eastAsia" w:ascii="宋体" w:hAnsi="宋体" w:cs="宋体"/>
          <w:b/>
          <w:color w:val="000000"/>
          <w:sz w:val="32"/>
          <w:szCs w:val="32"/>
        </w:rPr>
        <w:t xml:space="preserve">招标编号： </w:t>
      </w:r>
    </w:p>
    <w:p>
      <w:pPr>
        <w:snapToGrid w:val="0"/>
        <w:spacing w:line="360" w:lineRule="auto"/>
        <w:rPr>
          <w:rFonts w:ascii="宋体" w:hAnsi="宋体" w:cs="宋体"/>
          <w:b/>
          <w:color w:val="000000"/>
          <w:sz w:val="32"/>
          <w:szCs w:val="32"/>
          <w:u w:val="single"/>
        </w:rPr>
      </w:pPr>
    </w:p>
    <w:p>
      <w:pPr>
        <w:snapToGrid w:val="0"/>
        <w:spacing w:line="360" w:lineRule="auto"/>
        <w:rPr>
          <w:rFonts w:ascii="宋体" w:hAnsi="宋体" w:cs="宋体"/>
          <w:b/>
          <w:color w:val="000000"/>
          <w:sz w:val="32"/>
          <w:szCs w:val="32"/>
          <w:u w:val="single"/>
        </w:rPr>
      </w:pPr>
    </w:p>
    <w:p>
      <w:pPr>
        <w:snapToGrid w:val="0"/>
        <w:spacing w:line="360" w:lineRule="auto"/>
        <w:rPr>
          <w:rFonts w:ascii="宋体" w:hAnsi="宋体" w:cs="宋体"/>
          <w:b/>
          <w:color w:val="000000"/>
          <w:sz w:val="32"/>
          <w:szCs w:val="32"/>
          <w:u w:val="single"/>
        </w:rPr>
      </w:pPr>
    </w:p>
    <w:p>
      <w:pPr>
        <w:snapToGrid w:val="0"/>
        <w:spacing w:line="360" w:lineRule="auto"/>
        <w:ind w:firstLine="1300"/>
        <w:rPr>
          <w:rFonts w:ascii="宋体" w:hAnsi="宋体" w:cs="宋体"/>
          <w:b/>
          <w:color w:val="000000"/>
          <w:sz w:val="32"/>
          <w:szCs w:val="32"/>
          <w:u w:val="single"/>
        </w:rPr>
      </w:pPr>
      <w:r>
        <w:rPr>
          <w:rFonts w:hint="eastAsia" w:ascii="宋体" w:hAnsi="宋体" w:cs="宋体"/>
          <w:b/>
          <w:color w:val="000000"/>
          <w:sz w:val="32"/>
          <w:szCs w:val="32"/>
        </w:rPr>
        <w:t>投标人名称：</w:t>
      </w:r>
      <w:r>
        <w:rPr>
          <w:rFonts w:hint="eastAsia" w:ascii="宋体" w:hAnsi="宋体" w:cs="宋体"/>
          <w:b/>
          <w:color w:val="000000"/>
          <w:sz w:val="32"/>
          <w:szCs w:val="32"/>
          <w:u w:val="single"/>
        </w:rPr>
        <w:t xml:space="preserve">                 （盖公章）</w:t>
      </w:r>
    </w:p>
    <w:p>
      <w:pPr>
        <w:snapToGrid w:val="0"/>
        <w:spacing w:line="360" w:lineRule="auto"/>
        <w:rPr>
          <w:rFonts w:ascii="宋体" w:hAnsi="宋体" w:cs="宋体"/>
          <w:b/>
          <w:color w:val="000000"/>
          <w:sz w:val="32"/>
          <w:szCs w:val="32"/>
          <w:u w:val="single"/>
        </w:rPr>
      </w:pPr>
    </w:p>
    <w:p>
      <w:pPr>
        <w:snapToGrid w:val="0"/>
        <w:spacing w:line="360" w:lineRule="auto"/>
        <w:ind w:firstLine="1300"/>
        <w:rPr>
          <w:rFonts w:hint="default" w:ascii="宋体" w:hAnsi="宋体" w:eastAsia="宋体" w:cs="宋体"/>
          <w:b/>
          <w:color w:val="000000"/>
          <w:sz w:val="32"/>
          <w:szCs w:val="32"/>
          <w:lang w:val="en-US" w:eastAsia="zh-CN"/>
        </w:rPr>
      </w:pPr>
      <w:r>
        <w:rPr>
          <w:rFonts w:hint="eastAsia" w:ascii="宋体" w:hAnsi="宋体" w:cs="宋体"/>
          <w:b/>
          <w:color w:val="000000"/>
          <w:sz w:val="32"/>
          <w:szCs w:val="32"/>
        </w:rPr>
        <w:t>投标人地址：</w:t>
      </w:r>
      <w:r>
        <w:rPr>
          <w:rFonts w:hint="eastAsia" w:ascii="宋体" w:hAnsi="宋体" w:cs="宋体"/>
          <w:b/>
          <w:color w:val="000000"/>
          <w:sz w:val="32"/>
          <w:szCs w:val="32"/>
          <w:u w:val="single"/>
        </w:rPr>
        <w:tab/>
      </w:r>
      <w:r>
        <w:rPr>
          <w:rFonts w:hint="eastAsia" w:ascii="宋体" w:hAnsi="宋体" w:cs="宋体"/>
          <w:b/>
          <w:color w:val="000000"/>
          <w:sz w:val="32"/>
          <w:szCs w:val="32"/>
          <w:u w:val="single"/>
          <w:lang w:val="en-US" w:eastAsia="zh-CN"/>
        </w:rPr>
        <w:t xml:space="preserve">                          </w:t>
      </w:r>
    </w:p>
    <w:p>
      <w:pPr>
        <w:snapToGrid w:val="0"/>
        <w:spacing w:line="360" w:lineRule="auto"/>
        <w:ind w:firstLine="1300"/>
        <w:rPr>
          <w:rFonts w:ascii="宋体" w:hAnsi="宋体" w:cs="宋体"/>
          <w:b/>
          <w:color w:val="000000"/>
          <w:sz w:val="32"/>
          <w:szCs w:val="32"/>
        </w:rPr>
      </w:pPr>
    </w:p>
    <w:p>
      <w:pPr>
        <w:spacing w:line="360" w:lineRule="auto"/>
        <w:ind w:firstLine="1300"/>
        <w:rPr>
          <w:rFonts w:ascii="宋体" w:hAnsi="宋体" w:cs="宋体"/>
          <w:b/>
          <w:color w:val="000000"/>
          <w:sz w:val="32"/>
          <w:szCs w:val="32"/>
        </w:rPr>
      </w:pPr>
      <w:r>
        <w:rPr>
          <w:rFonts w:hint="eastAsia" w:ascii="宋体" w:hAnsi="宋体" w:cs="宋体"/>
          <w:b/>
          <w:color w:val="000000"/>
          <w:sz w:val="32"/>
          <w:szCs w:val="32"/>
        </w:rPr>
        <w:t>法定代表人或其委托代理人：</w:t>
      </w:r>
      <w:r>
        <w:rPr>
          <w:rFonts w:hint="eastAsia" w:ascii="宋体" w:hAnsi="宋体" w:cs="宋体"/>
          <w:b/>
          <w:color w:val="000000"/>
          <w:sz w:val="32"/>
          <w:szCs w:val="32"/>
          <w:u w:val="single"/>
        </w:rPr>
        <w:t>（签字或盖章）</w:t>
      </w:r>
    </w:p>
    <w:p>
      <w:pPr>
        <w:snapToGrid w:val="0"/>
        <w:spacing w:line="360" w:lineRule="auto"/>
        <w:rPr>
          <w:rFonts w:ascii="宋体" w:hAnsi="宋体" w:cs="宋体"/>
          <w:b/>
          <w:color w:val="000000"/>
          <w:sz w:val="24"/>
          <w:szCs w:val="24"/>
        </w:rPr>
      </w:pPr>
    </w:p>
    <w:p>
      <w:pPr>
        <w:snapToGrid w:val="0"/>
        <w:spacing w:line="360" w:lineRule="auto"/>
        <w:rPr>
          <w:rFonts w:ascii="宋体" w:hAnsi="宋体" w:cs="宋体"/>
          <w:b/>
          <w:color w:val="000000"/>
          <w:sz w:val="24"/>
          <w:szCs w:val="24"/>
        </w:rPr>
      </w:pPr>
    </w:p>
    <w:p>
      <w:pPr>
        <w:snapToGrid w:val="0"/>
        <w:spacing w:line="360" w:lineRule="auto"/>
        <w:jc w:val="center"/>
        <w:rPr>
          <w:rFonts w:ascii="宋体" w:hAnsi="宋体" w:cs="宋体"/>
          <w:b/>
          <w:color w:val="000000"/>
          <w:sz w:val="28"/>
          <w:szCs w:val="28"/>
        </w:rPr>
      </w:pPr>
      <w:r>
        <w:rPr>
          <w:rFonts w:hint="eastAsia" w:ascii="宋体" w:hAnsi="宋体" w:cs="宋体"/>
          <w:b/>
          <w:color w:val="000000"/>
          <w:sz w:val="28"/>
          <w:szCs w:val="28"/>
        </w:rPr>
        <w:t>日  期： 年 月日</w:t>
      </w:r>
      <w:r>
        <w:rPr>
          <w:rFonts w:ascii="宋体" w:hAnsi="宋体" w:cs="宋体"/>
          <w:b/>
          <w:color w:val="000000"/>
          <w:sz w:val="24"/>
          <w:szCs w:val="24"/>
        </w:rPr>
        <w:br w:type="page"/>
      </w:r>
    </w:p>
    <w:p>
      <w:pPr>
        <w:pStyle w:val="2"/>
        <w:spacing w:line="360" w:lineRule="auto"/>
        <w:rPr>
          <w:rFonts w:ascii="宋体" w:hAnsi="宋体"/>
          <w:color w:val="000000"/>
          <w:szCs w:val="28"/>
        </w:rPr>
      </w:pPr>
      <w:bookmarkStart w:id="379" w:name="_Toc100786147"/>
      <w:bookmarkStart w:id="380" w:name="_Toc13481"/>
      <w:r>
        <w:rPr>
          <w:rFonts w:hint="eastAsia" w:ascii="宋体" w:hAnsi="宋体"/>
          <w:color w:val="000000"/>
          <w:szCs w:val="28"/>
        </w:rPr>
        <w:t>附件1  投 标 函（实质性格式）</w:t>
      </w:r>
      <w:bookmarkEnd w:id="379"/>
      <w:bookmarkEnd w:id="380"/>
    </w:p>
    <w:p>
      <w:pPr>
        <w:adjustRightInd w:val="0"/>
        <w:snapToGrid w:val="0"/>
        <w:spacing w:line="360" w:lineRule="auto"/>
        <w:rPr>
          <w:rFonts w:ascii="宋体" w:hAnsi="宋体" w:cs="宋体"/>
          <w:bCs/>
          <w:color w:val="000000"/>
          <w:sz w:val="24"/>
          <w:szCs w:val="24"/>
          <w:u w:val="single"/>
        </w:rPr>
      </w:pPr>
      <w:r>
        <w:rPr>
          <w:rFonts w:hint="eastAsia" w:ascii="宋体" w:hAnsi="宋体" w:cs="宋体"/>
          <w:bCs/>
          <w:color w:val="000000"/>
          <w:sz w:val="24"/>
          <w:szCs w:val="24"/>
        </w:rPr>
        <w:t>致：</w:t>
      </w:r>
      <w:r>
        <w:rPr>
          <w:rFonts w:hint="eastAsia" w:ascii="宋体" w:hAnsi="宋体" w:cs="宋体"/>
          <w:bCs/>
          <w:color w:val="000000"/>
          <w:sz w:val="24"/>
          <w:szCs w:val="24"/>
          <w:u w:val="single"/>
        </w:rPr>
        <w:t>北京市京发招标有限公司</w:t>
      </w:r>
    </w:p>
    <w:p>
      <w:pPr>
        <w:pStyle w:val="23"/>
        <w:tabs>
          <w:tab w:val="left" w:pos="5580"/>
        </w:tabs>
        <w:spacing w:line="360" w:lineRule="auto"/>
        <w:rPr>
          <w:rFonts w:hAnsi="宋体" w:cs="宋体"/>
          <w:color w:val="000000"/>
          <w:sz w:val="24"/>
          <w:szCs w:val="24"/>
        </w:rPr>
      </w:pPr>
      <w:r>
        <w:rPr>
          <w:rFonts w:hint="eastAsia" w:hAnsi="宋体" w:cs="宋体"/>
          <w:color w:val="000000"/>
          <w:sz w:val="24"/>
          <w:szCs w:val="24"/>
        </w:rPr>
        <w:t xml:space="preserve">    根据贵方为(</w:t>
      </w:r>
      <w:r>
        <w:rPr>
          <w:rFonts w:hint="eastAsia" w:hAnsi="宋体" w:cs="宋体"/>
          <w:i/>
          <w:color w:val="000000"/>
          <w:sz w:val="24"/>
          <w:szCs w:val="24"/>
          <w:u w:val="single"/>
        </w:rPr>
        <w:t>项目名称</w:t>
      </w:r>
      <w:r>
        <w:rPr>
          <w:rFonts w:hint="eastAsia" w:hAnsi="宋体" w:cs="宋体"/>
          <w:color w:val="000000"/>
          <w:sz w:val="24"/>
          <w:szCs w:val="24"/>
        </w:rPr>
        <w:t>)项目招标采购的投标邀请(</w:t>
      </w:r>
      <w:r>
        <w:rPr>
          <w:rFonts w:hint="eastAsia" w:hAnsi="宋体" w:cs="宋体"/>
          <w:i/>
          <w:color w:val="000000"/>
          <w:sz w:val="24"/>
          <w:szCs w:val="24"/>
          <w:u w:val="single"/>
        </w:rPr>
        <w:t>招标编号</w:t>
      </w:r>
      <w:r>
        <w:rPr>
          <w:rFonts w:hint="eastAsia" w:hAnsi="宋体" w:cs="宋体"/>
          <w:color w:val="000000"/>
          <w:sz w:val="24"/>
          <w:szCs w:val="24"/>
        </w:rPr>
        <w:t>),签字代表(</w:t>
      </w:r>
      <w:r>
        <w:rPr>
          <w:rFonts w:hint="eastAsia" w:hAnsi="宋体" w:cs="宋体"/>
          <w:i/>
          <w:color w:val="000000"/>
          <w:sz w:val="24"/>
          <w:szCs w:val="24"/>
          <w:u w:val="single"/>
        </w:rPr>
        <w:t>姓名、职务</w:t>
      </w:r>
      <w:r>
        <w:rPr>
          <w:rFonts w:hint="eastAsia" w:hAnsi="宋体" w:cs="宋体"/>
          <w:color w:val="000000"/>
          <w:sz w:val="24"/>
          <w:szCs w:val="24"/>
        </w:rPr>
        <w:t>)经正式授权并代表投标人（</w:t>
      </w:r>
      <w:r>
        <w:rPr>
          <w:rFonts w:hint="eastAsia" w:hAnsi="宋体" w:cs="宋体"/>
          <w:i/>
          <w:color w:val="000000"/>
          <w:sz w:val="24"/>
          <w:szCs w:val="24"/>
          <w:u w:val="single"/>
        </w:rPr>
        <w:t>投标人名称、地址</w:t>
      </w:r>
      <w:r>
        <w:rPr>
          <w:rFonts w:hint="eastAsia" w:hAnsi="宋体" w:cs="宋体"/>
          <w:color w:val="000000"/>
          <w:sz w:val="24"/>
          <w:szCs w:val="24"/>
        </w:rPr>
        <w:t>）提交投标文件正本份、副本份及电子文档份</w:t>
      </w:r>
    </w:p>
    <w:p>
      <w:pPr>
        <w:pStyle w:val="23"/>
        <w:tabs>
          <w:tab w:val="left" w:pos="420"/>
          <w:tab w:val="left" w:pos="828"/>
          <w:tab w:val="left" w:pos="5580"/>
        </w:tabs>
        <w:spacing w:line="360" w:lineRule="auto"/>
        <w:ind w:left="525"/>
        <w:rPr>
          <w:rFonts w:hAnsi="宋体" w:cs="宋体"/>
          <w:color w:val="000000"/>
          <w:sz w:val="24"/>
          <w:szCs w:val="24"/>
        </w:rPr>
      </w:pPr>
      <w:r>
        <w:rPr>
          <w:color w:val="000000"/>
          <w:sz w:val="24"/>
          <w:szCs w:val="20"/>
        </w:rPr>
        <w:t>1.</w:t>
      </w:r>
      <w:r>
        <w:rPr>
          <w:rFonts w:hint="eastAsia"/>
          <w:color w:val="000000"/>
          <w:sz w:val="24"/>
          <w:szCs w:val="20"/>
        </w:rPr>
        <w:t>我方</w:t>
      </w:r>
      <w:r>
        <w:rPr>
          <w:rFonts w:hint="eastAsia"/>
          <w:color w:val="000000"/>
          <w:sz w:val="24"/>
        </w:rPr>
        <w:t>已详细审查全部招标文件</w:t>
      </w:r>
      <w:r>
        <w:rPr>
          <w:rFonts w:hint="eastAsia"/>
          <w:color w:val="000000"/>
          <w:sz w:val="24"/>
          <w:szCs w:val="20"/>
        </w:rPr>
        <w:t>，自愿参与投标并承诺如下：</w:t>
      </w:r>
      <w:r>
        <w:rPr>
          <w:rFonts w:hint="eastAsia" w:hAnsi="宋体" w:cs="宋体"/>
          <w:color w:val="000000"/>
          <w:sz w:val="24"/>
          <w:szCs w:val="24"/>
        </w:rPr>
        <w:t>：</w:t>
      </w:r>
    </w:p>
    <w:p>
      <w:pPr>
        <w:pStyle w:val="23"/>
        <w:tabs>
          <w:tab w:val="left" w:pos="420"/>
          <w:tab w:val="left" w:pos="828"/>
          <w:tab w:val="left" w:pos="5580"/>
        </w:tabs>
        <w:spacing w:line="360" w:lineRule="auto"/>
        <w:ind w:left="525"/>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1）</w:t>
      </w:r>
      <w:r>
        <w:rPr>
          <w:rFonts w:hint="eastAsia" w:hAnsi="宋体" w:cs="宋体"/>
          <w:color w:val="000000"/>
          <w:kern w:val="20"/>
          <w:sz w:val="24"/>
          <w:szCs w:val="24"/>
        </w:rPr>
        <w:t>我方提交的投标文件资料是完整的、真实的和准确的，承诺</w:t>
      </w:r>
      <w:r>
        <w:rPr>
          <w:rFonts w:hint="eastAsia" w:hAnsi="宋体" w:cs="宋体"/>
          <w:bCs/>
          <w:color w:val="000000"/>
          <w:sz w:val="24"/>
          <w:szCs w:val="24"/>
        </w:rPr>
        <w:t>未以他人的名义投标、串通投标、以行贿手段谋取中标或者以其他弄虚作假方式投标。</w:t>
      </w:r>
      <w:r>
        <w:rPr>
          <w:rFonts w:hint="eastAsia" w:hAnsi="宋体" w:cs="宋体"/>
          <w:color w:val="000000"/>
          <w:kern w:val="20"/>
          <w:sz w:val="24"/>
          <w:szCs w:val="24"/>
        </w:rPr>
        <w:t>我方同意按照贵方的要求，提供有关的数据和资料。</w:t>
      </w:r>
      <w:r>
        <w:rPr>
          <w:rFonts w:hint="eastAsia" w:hAnsi="宋体" w:cs="宋体"/>
          <w:color w:val="000000"/>
          <w:sz w:val="24"/>
          <w:szCs w:val="24"/>
        </w:rPr>
        <w:t>为此，我们授权任何相关的个人和公司向贵方提供要求的和必要的真实情况和资料以证实我们所填报的各项内容。如果在该项目招标过程中或者在获得中标后，采购人或有管辖权的行政监管机构发现并查实我方在该项目的投标中所报的资料存在虚假或不真实的信息或者伪造数据、资料或证书等情况，我方将无条件地自动放弃该项目的投标资格和中标资格；如果我方已经收到中标通知书，我方将无条件的承认，我方收到的该项目的中标通知书为无效文件，对采购人不具有任何法律约束力，由此造成的任何损失均由我方承担；本段承诺是我方真实意思的表示且具有相对独立性，不管是否有其他相反的说明，本段承诺均为我方投标文件的有效组成内容，对我方在与该项目有关的任何行为中始终具有优先的法律约束力。</w:t>
      </w:r>
    </w:p>
    <w:p>
      <w:pPr>
        <w:pStyle w:val="23"/>
        <w:tabs>
          <w:tab w:val="left" w:pos="420"/>
          <w:tab w:val="left" w:pos="5580"/>
        </w:tabs>
        <w:spacing w:line="360" w:lineRule="auto"/>
        <w:ind w:left="525"/>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2）</w:t>
      </w:r>
      <w:r>
        <w:rPr>
          <w:rFonts w:hint="eastAsia" w:hAnsi="宋体" w:cs="宋体"/>
          <w:color w:val="000000"/>
          <w:sz w:val="24"/>
          <w:szCs w:val="24"/>
        </w:rPr>
        <w:t>我方已详细审查全部招标文件，包括第</w:t>
      </w:r>
      <w:r>
        <w:rPr>
          <w:rFonts w:hAnsi="宋体" w:cs="宋体"/>
          <w:color w:val="000000"/>
          <w:sz w:val="24"/>
          <w:szCs w:val="24"/>
          <w:u w:val="single"/>
        </w:rPr>
        <w:t>/</w:t>
      </w:r>
      <w:r>
        <w:rPr>
          <w:rFonts w:hint="eastAsia" w:hAnsi="宋体" w:cs="宋体"/>
          <w:color w:val="000000"/>
          <w:sz w:val="24"/>
          <w:szCs w:val="24"/>
        </w:rPr>
        <w:t>号（招标编号、补充通知）（如果有的话），</w:t>
      </w:r>
      <w:r>
        <w:rPr>
          <w:rFonts w:hint="eastAsia" w:hAnsi="宋体" w:cs="宋体"/>
          <w:color w:val="000000"/>
          <w:kern w:val="20"/>
          <w:sz w:val="24"/>
          <w:szCs w:val="24"/>
        </w:rPr>
        <w:t>及有关附件中所有的须知、事项、格式、条款和规范要求等，</w:t>
      </w:r>
      <w:r>
        <w:rPr>
          <w:rFonts w:hint="eastAsia" w:hAnsi="宋体" w:cs="宋体"/>
          <w:color w:val="000000"/>
          <w:sz w:val="24"/>
          <w:szCs w:val="24"/>
        </w:rPr>
        <w:t>我们完全理解并同意放弃对这方面有不明及误解的权力。</w:t>
      </w:r>
      <w:r>
        <w:rPr>
          <w:rFonts w:hint="eastAsia" w:hAnsi="宋体" w:cs="宋体"/>
          <w:color w:val="000000"/>
          <w:kern w:val="20"/>
          <w:sz w:val="24"/>
          <w:szCs w:val="24"/>
        </w:rPr>
        <w:t>若我方的投标文件没有按招标文件的要求提交全部资料，或投标文件没有对招标文件做出实质性响应，其风险由我方自行承担。</w:t>
      </w:r>
    </w:p>
    <w:p>
      <w:pPr>
        <w:pStyle w:val="23"/>
        <w:tabs>
          <w:tab w:val="left" w:pos="420"/>
          <w:tab w:val="left" w:pos="5580"/>
        </w:tabs>
        <w:spacing w:line="360" w:lineRule="auto"/>
        <w:ind w:left="525"/>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3）</w:t>
      </w:r>
      <w:r>
        <w:rPr>
          <w:rFonts w:hint="eastAsia" w:hAnsi="宋体" w:cs="宋体"/>
          <w:color w:val="000000"/>
          <w:sz w:val="24"/>
          <w:szCs w:val="24"/>
        </w:rPr>
        <w:t>我方具备《中华人民共和国政府采购法》第二十二条规定的所有条件。我方保证在最近三年内的经营活动中没有因违法受到刑事处罚或者责令停产停业、吊销许可证或者执照、较大数额罚款等重大违法记录。我方不是为本采购项目提供整体设计、规范编制或者项目管理、监理、检测等服务的供应商。我单位如与其他本项目投标人的单位负责人存在直接控股和管理关系，我方愿无条件自动放弃投标。</w:t>
      </w:r>
    </w:p>
    <w:p>
      <w:pPr>
        <w:pStyle w:val="23"/>
        <w:tabs>
          <w:tab w:val="left" w:pos="420"/>
          <w:tab w:val="left" w:pos="5580"/>
        </w:tabs>
        <w:spacing w:line="360" w:lineRule="auto"/>
        <w:ind w:left="525"/>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4）</w:t>
      </w:r>
      <w:r>
        <w:rPr>
          <w:rFonts w:hint="eastAsia"/>
          <w:color w:val="000000"/>
          <w:sz w:val="24"/>
          <w:szCs w:val="20"/>
        </w:rPr>
        <w:t>如我方中标，我方将在法律规定的期限内与贵方签订合同，按照招标文件要求提交履约保证金，并在合同约定的期限内完成合同规定的全部义务。</w:t>
      </w:r>
    </w:p>
    <w:p>
      <w:pPr>
        <w:pStyle w:val="23"/>
        <w:tabs>
          <w:tab w:val="left" w:pos="420"/>
          <w:tab w:val="left" w:pos="5580"/>
        </w:tabs>
        <w:spacing w:line="360" w:lineRule="auto"/>
        <w:ind w:left="525"/>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5）</w:t>
      </w:r>
      <w:r>
        <w:rPr>
          <w:rFonts w:hint="eastAsia"/>
          <w:color w:val="000000"/>
          <w:sz w:val="24"/>
          <w:szCs w:val="20"/>
        </w:rPr>
        <w:t>本投标有效期为自提交投标文件的截止之日起</w:t>
      </w:r>
      <w:r>
        <w:rPr>
          <w:color w:val="000000"/>
          <w:sz w:val="24"/>
        </w:rPr>
        <w:t>_____</w:t>
      </w:r>
      <w:r>
        <w:rPr>
          <w:rFonts w:hint="eastAsia"/>
          <w:color w:val="000000"/>
          <w:sz w:val="24"/>
          <w:szCs w:val="20"/>
        </w:rPr>
        <w:t>个日历日。</w:t>
      </w:r>
    </w:p>
    <w:p>
      <w:pPr>
        <w:pStyle w:val="23"/>
        <w:tabs>
          <w:tab w:val="left" w:pos="420"/>
          <w:tab w:val="left" w:pos="5580"/>
        </w:tabs>
        <w:spacing w:line="360" w:lineRule="auto"/>
        <w:ind w:left="525"/>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6）</w:t>
      </w:r>
      <w:r>
        <w:rPr>
          <w:rFonts w:hint="eastAsia" w:hAnsi="宋体" w:cs="宋体"/>
          <w:color w:val="000000"/>
          <w:sz w:val="24"/>
          <w:szCs w:val="24"/>
        </w:rPr>
        <w:t>在规定的开标时间后，我方保证遵守招标文件中有关保证金的规定。（</w:t>
      </w:r>
      <w:r>
        <w:rPr>
          <w:rFonts w:hAnsi="宋体" w:cs="宋体"/>
          <w:color w:val="000000"/>
          <w:sz w:val="24"/>
          <w:szCs w:val="24"/>
        </w:rPr>
        <w:t>7）</w:t>
      </w:r>
      <w:r>
        <w:rPr>
          <w:rFonts w:hint="eastAsia" w:hAnsi="宋体" w:cs="宋体"/>
          <w:color w:val="000000"/>
          <w:sz w:val="24"/>
          <w:szCs w:val="24"/>
        </w:rPr>
        <w:t>我方接受招标文件中关于招标代理服务费的约定。</w:t>
      </w:r>
    </w:p>
    <w:p>
      <w:pPr>
        <w:pStyle w:val="23"/>
        <w:tabs>
          <w:tab w:val="left" w:pos="420"/>
          <w:tab w:val="left" w:pos="5580"/>
        </w:tabs>
        <w:spacing w:line="360" w:lineRule="auto"/>
        <w:ind w:left="525"/>
        <w:rPr>
          <w:rFonts w:hAnsi="宋体" w:cs="宋体"/>
          <w:color w:val="000000"/>
          <w:sz w:val="24"/>
          <w:szCs w:val="24"/>
        </w:rPr>
      </w:pPr>
      <w:r>
        <w:rPr>
          <w:rFonts w:hint="eastAsia" w:hAnsi="宋体" w:cs="宋体"/>
          <w:color w:val="000000"/>
          <w:sz w:val="24"/>
          <w:szCs w:val="24"/>
        </w:rPr>
        <w:t>（</w:t>
      </w:r>
      <w:r>
        <w:rPr>
          <w:rFonts w:hAnsi="宋体" w:cs="宋体"/>
          <w:color w:val="000000"/>
          <w:sz w:val="24"/>
          <w:szCs w:val="24"/>
        </w:rPr>
        <w:t>8）</w:t>
      </w:r>
      <w:r>
        <w:rPr>
          <w:rFonts w:hint="eastAsia" w:hAnsi="宋体" w:cs="宋体"/>
          <w:color w:val="000000"/>
          <w:sz w:val="24"/>
          <w:szCs w:val="24"/>
        </w:rPr>
        <w:t>我方完全理解贵方不一定接受最低价及选择性报价的投标。</w:t>
      </w:r>
    </w:p>
    <w:p>
      <w:pPr>
        <w:pStyle w:val="23"/>
        <w:tabs>
          <w:tab w:val="left" w:pos="420"/>
          <w:tab w:val="left" w:pos="5580"/>
        </w:tabs>
        <w:spacing w:line="360" w:lineRule="auto"/>
        <w:ind w:left="525"/>
        <w:rPr>
          <w:color w:val="000000"/>
          <w:sz w:val="24"/>
        </w:rPr>
      </w:pPr>
      <w:r>
        <w:rPr>
          <w:rFonts w:hint="eastAsia" w:hAnsi="宋体" w:cs="宋体"/>
          <w:color w:val="000000"/>
          <w:sz w:val="24"/>
          <w:szCs w:val="24"/>
        </w:rPr>
        <w:t>2.</w:t>
      </w:r>
      <w:r>
        <w:rPr>
          <w:color w:val="000000"/>
          <w:sz w:val="24"/>
        </w:rPr>
        <w:t>其他补充条款（如有）：</w:t>
      </w:r>
      <w:r>
        <w:rPr>
          <w:color w:val="000000"/>
          <w:sz w:val="24"/>
          <w:szCs w:val="20"/>
        </w:rPr>
        <w:t>___________</w:t>
      </w:r>
      <w:r>
        <w:rPr>
          <w:color w:val="000000"/>
          <w:sz w:val="24"/>
        </w:rPr>
        <w:t>。</w:t>
      </w:r>
    </w:p>
    <w:p>
      <w:pPr>
        <w:pStyle w:val="23"/>
        <w:tabs>
          <w:tab w:val="left" w:pos="420"/>
          <w:tab w:val="left" w:pos="5580"/>
        </w:tabs>
        <w:spacing w:line="360" w:lineRule="auto"/>
        <w:ind w:firstLine="480" w:firstLineChars="200"/>
        <w:rPr>
          <w:rFonts w:hAnsi="宋体" w:cs="宋体"/>
          <w:color w:val="000000"/>
          <w:sz w:val="24"/>
          <w:szCs w:val="24"/>
        </w:rPr>
      </w:pPr>
      <w:r>
        <w:rPr>
          <w:rFonts w:hint="eastAsia" w:hAnsi="宋体" w:cs="宋体"/>
          <w:color w:val="000000"/>
          <w:sz w:val="24"/>
          <w:szCs w:val="24"/>
        </w:rPr>
        <w:t>与本投标有关的一切正式往来信函请寄：</w:t>
      </w:r>
    </w:p>
    <w:p>
      <w:pPr>
        <w:pStyle w:val="23"/>
        <w:tabs>
          <w:tab w:val="left" w:pos="420"/>
          <w:tab w:val="left" w:pos="5580"/>
        </w:tabs>
        <w:spacing w:line="360" w:lineRule="auto"/>
        <w:ind w:firstLine="480" w:firstLineChars="200"/>
        <w:rPr>
          <w:rFonts w:hAnsi="宋体" w:cs="宋体"/>
          <w:color w:val="000000"/>
          <w:sz w:val="24"/>
          <w:szCs w:val="24"/>
        </w:rPr>
      </w:pPr>
    </w:p>
    <w:p>
      <w:pPr>
        <w:pStyle w:val="23"/>
        <w:tabs>
          <w:tab w:val="left" w:pos="5580"/>
        </w:tabs>
        <w:spacing w:line="360" w:lineRule="auto"/>
        <w:ind w:left="420"/>
        <w:rPr>
          <w:rFonts w:hAnsi="宋体" w:cs="宋体"/>
          <w:color w:val="000000"/>
          <w:sz w:val="24"/>
          <w:szCs w:val="24"/>
        </w:rPr>
      </w:pPr>
      <w:r>
        <w:rPr>
          <w:rFonts w:hint="eastAsia" w:hAnsi="宋体" w:cs="宋体"/>
          <w:color w:val="000000"/>
          <w:sz w:val="24"/>
          <w:szCs w:val="24"/>
        </w:rPr>
        <w:t>地址</w:t>
      </w:r>
    </w:p>
    <w:p>
      <w:pPr>
        <w:pStyle w:val="23"/>
        <w:tabs>
          <w:tab w:val="left" w:pos="5580"/>
        </w:tabs>
        <w:spacing w:line="360" w:lineRule="auto"/>
        <w:ind w:left="420"/>
        <w:rPr>
          <w:rFonts w:hAnsi="宋体" w:cs="宋体"/>
          <w:color w:val="000000"/>
          <w:sz w:val="24"/>
          <w:szCs w:val="24"/>
        </w:rPr>
      </w:pPr>
      <w:r>
        <w:rPr>
          <w:rFonts w:hint="eastAsia" w:hAnsi="宋体" w:cs="宋体"/>
          <w:color w:val="000000"/>
          <w:sz w:val="24"/>
          <w:szCs w:val="24"/>
        </w:rPr>
        <w:t>电话</w:t>
      </w:r>
    </w:p>
    <w:p>
      <w:pPr>
        <w:pStyle w:val="23"/>
        <w:tabs>
          <w:tab w:val="left" w:pos="5580"/>
        </w:tabs>
        <w:spacing w:line="360" w:lineRule="auto"/>
        <w:ind w:left="420"/>
        <w:rPr>
          <w:rFonts w:hAnsi="宋体" w:cs="宋体"/>
          <w:color w:val="000000"/>
          <w:sz w:val="24"/>
          <w:szCs w:val="24"/>
        </w:rPr>
      </w:pPr>
      <w:r>
        <w:rPr>
          <w:rFonts w:hint="eastAsia" w:hAnsi="宋体" w:cs="宋体"/>
          <w:color w:val="000000"/>
          <w:sz w:val="24"/>
          <w:szCs w:val="24"/>
        </w:rPr>
        <w:t>电子邮件</w:t>
      </w:r>
    </w:p>
    <w:p>
      <w:pPr>
        <w:pStyle w:val="23"/>
        <w:tabs>
          <w:tab w:val="left" w:pos="5580"/>
        </w:tabs>
        <w:spacing w:line="360" w:lineRule="auto"/>
        <w:ind w:left="420"/>
        <w:rPr>
          <w:rFonts w:hAnsi="宋体" w:cs="宋体"/>
          <w:color w:val="000000"/>
          <w:sz w:val="24"/>
          <w:szCs w:val="24"/>
        </w:rPr>
      </w:pPr>
      <w:r>
        <w:rPr>
          <w:rFonts w:hint="eastAsia" w:hAnsi="宋体" w:cs="宋体"/>
          <w:color w:val="000000"/>
          <w:sz w:val="24"/>
          <w:szCs w:val="24"/>
        </w:rPr>
        <w:t>投标人开户银行（全称）</w:t>
      </w:r>
    </w:p>
    <w:p>
      <w:pPr>
        <w:pStyle w:val="23"/>
        <w:tabs>
          <w:tab w:val="left" w:pos="5580"/>
        </w:tabs>
        <w:spacing w:line="360" w:lineRule="auto"/>
        <w:ind w:left="420"/>
        <w:rPr>
          <w:rFonts w:hAnsi="宋体" w:cs="宋体"/>
          <w:color w:val="000000"/>
          <w:sz w:val="24"/>
          <w:szCs w:val="24"/>
        </w:rPr>
      </w:pPr>
      <w:r>
        <w:rPr>
          <w:rFonts w:hint="eastAsia" w:hAnsi="宋体" w:cs="宋体"/>
          <w:color w:val="000000"/>
          <w:sz w:val="24"/>
          <w:szCs w:val="24"/>
        </w:rPr>
        <w:t>投标人银行帐号</w:t>
      </w:r>
    </w:p>
    <w:p>
      <w:pPr>
        <w:pStyle w:val="23"/>
        <w:tabs>
          <w:tab w:val="left" w:pos="5580"/>
        </w:tabs>
        <w:spacing w:line="360" w:lineRule="auto"/>
        <w:ind w:left="420"/>
        <w:rPr>
          <w:rFonts w:hAnsi="宋体" w:cs="宋体"/>
          <w:color w:val="000000"/>
          <w:sz w:val="24"/>
          <w:szCs w:val="24"/>
        </w:rPr>
      </w:pPr>
      <w:r>
        <w:rPr>
          <w:rFonts w:hint="eastAsia" w:hAnsi="宋体" w:cs="宋体"/>
          <w:color w:val="000000"/>
          <w:sz w:val="24"/>
          <w:szCs w:val="24"/>
        </w:rPr>
        <w:t>投标人银行行号</w:t>
      </w:r>
    </w:p>
    <w:p>
      <w:pPr>
        <w:pStyle w:val="23"/>
        <w:tabs>
          <w:tab w:val="left" w:pos="5580"/>
        </w:tabs>
        <w:spacing w:line="360" w:lineRule="auto"/>
        <w:ind w:left="420"/>
        <w:rPr>
          <w:rFonts w:hAnsi="宋体" w:cs="宋体"/>
          <w:color w:val="000000"/>
          <w:sz w:val="24"/>
          <w:szCs w:val="24"/>
        </w:rPr>
      </w:pPr>
    </w:p>
    <w:p>
      <w:pPr>
        <w:pStyle w:val="23"/>
        <w:tabs>
          <w:tab w:val="left" w:pos="5580"/>
        </w:tabs>
        <w:spacing w:line="360" w:lineRule="auto"/>
        <w:ind w:left="420"/>
        <w:rPr>
          <w:rFonts w:hAnsi="宋体" w:cs="宋体"/>
          <w:color w:val="000000"/>
          <w:sz w:val="24"/>
          <w:szCs w:val="24"/>
        </w:rPr>
      </w:pPr>
      <w:r>
        <w:rPr>
          <w:rFonts w:hint="eastAsia" w:hAnsi="宋体" w:cs="宋体"/>
          <w:color w:val="000000"/>
          <w:sz w:val="24"/>
          <w:szCs w:val="24"/>
        </w:rPr>
        <w:t>投标人名称（盖章）：</w:t>
      </w:r>
    </w:p>
    <w:p>
      <w:pPr>
        <w:pStyle w:val="23"/>
        <w:tabs>
          <w:tab w:val="left" w:pos="5580"/>
        </w:tabs>
        <w:spacing w:line="360" w:lineRule="auto"/>
        <w:ind w:left="420"/>
        <w:rPr>
          <w:rFonts w:hint="eastAsia" w:hAnsi="宋体" w:cs="宋体"/>
          <w:color w:val="000000"/>
          <w:sz w:val="24"/>
          <w:szCs w:val="24"/>
        </w:rPr>
      </w:pPr>
      <w:r>
        <w:rPr>
          <w:rFonts w:hint="eastAsia" w:hAnsi="宋体" w:cs="宋体"/>
          <w:bCs/>
          <w:color w:val="000000"/>
          <w:sz w:val="24"/>
          <w:szCs w:val="24"/>
        </w:rPr>
        <w:t>法定代表人或其委托代理人</w:t>
      </w:r>
      <w:r>
        <w:rPr>
          <w:rFonts w:hint="eastAsia" w:hAnsi="宋体" w:cs="宋体"/>
          <w:color w:val="000000"/>
          <w:sz w:val="24"/>
          <w:szCs w:val="24"/>
        </w:rPr>
        <w:t>(签字或盖章)：</w:t>
      </w:r>
    </w:p>
    <w:p>
      <w:pPr>
        <w:pStyle w:val="23"/>
        <w:tabs>
          <w:tab w:val="left" w:pos="5580"/>
        </w:tabs>
        <w:spacing w:line="360" w:lineRule="auto"/>
        <w:ind w:left="420"/>
        <w:rPr>
          <w:rFonts w:hAnsi="宋体" w:cs="宋体"/>
          <w:color w:val="000000"/>
          <w:sz w:val="24"/>
          <w:szCs w:val="24"/>
          <w:u w:val="single"/>
        </w:rPr>
      </w:pPr>
      <w:r>
        <w:rPr>
          <w:rFonts w:hint="eastAsia" w:hAnsi="宋体" w:cs="宋体"/>
          <w:color w:val="000000"/>
          <w:sz w:val="24"/>
          <w:szCs w:val="24"/>
        </w:rPr>
        <w:t>日期：</w:t>
      </w:r>
    </w:p>
    <w:p>
      <w:pPr>
        <w:widowControl/>
        <w:jc w:val="left"/>
        <w:rPr>
          <w:rFonts w:ascii="宋体" w:hAnsi="宋体" w:cs="宋体"/>
          <w:b/>
          <w:color w:val="000000"/>
          <w:kern w:val="0"/>
          <w:sz w:val="28"/>
          <w:szCs w:val="28"/>
          <w:lang w:val="zh-CN"/>
        </w:rPr>
      </w:pPr>
      <w:bookmarkStart w:id="381" w:name="_Toc2040"/>
      <w:r>
        <w:rPr>
          <w:rFonts w:ascii="宋体" w:hAnsi="宋体" w:cs="宋体"/>
          <w:color w:val="000000"/>
          <w:szCs w:val="28"/>
        </w:rPr>
        <w:br w:type="page"/>
      </w:r>
    </w:p>
    <w:p>
      <w:pPr>
        <w:pStyle w:val="2"/>
        <w:spacing w:line="360" w:lineRule="auto"/>
        <w:rPr>
          <w:rFonts w:ascii="宋体" w:hAnsi="宋体"/>
          <w:color w:val="000000"/>
          <w:szCs w:val="28"/>
        </w:rPr>
      </w:pPr>
      <w:bookmarkStart w:id="382" w:name="_Toc100786148"/>
      <w:r>
        <w:rPr>
          <w:rFonts w:hint="eastAsia" w:ascii="宋体" w:hAnsi="宋体"/>
          <w:color w:val="000000"/>
          <w:szCs w:val="28"/>
        </w:rPr>
        <w:t>附件2  开标一览表</w:t>
      </w:r>
      <w:bookmarkEnd w:id="381"/>
      <w:bookmarkEnd w:id="382"/>
      <w:r>
        <w:rPr>
          <w:rFonts w:hint="eastAsia" w:ascii="宋体" w:hAnsi="宋体"/>
          <w:color w:val="000000"/>
          <w:szCs w:val="28"/>
        </w:rPr>
        <w:t>（实质性格式）</w:t>
      </w:r>
    </w:p>
    <w:p>
      <w:pPr>
        <w:tabs>
          <w:tab w:val="left" w:pos="1800"/>
          <w:tab w:val="left" w:pos="5580"/>
        </w:tabs>
        <w:spacing w:line="360" w:lineRule="auto"/>
        <w:jc w:val="left"/>
        <w:rPr>
          <w:rFonts w:ascii="宋体" w:hAnsi="宋体" w:cs="宋体"/>
          <w:color w:val="000000"/>
          <w:sz w:val="24"/>
          <w:szCs w:val="24"/>
        </w:rPr>
      </w:pPr>
    </w:p>
    <w:p>
      <w:pPr>
        <w:tabs>
          <w:tab w:val="left" w:pos="1800"/>
          <w:tab w:val="left" w:pos="5575"/>
        </w:tabs>
        <w:spacing w:line="360" w:lineRule="auto"/>
        <w:jc w:val="left"/>
        <w:rPr>
          <w:rFonts w:ascii="宋体" w:hAnsi="宋体" w:cs="宋体"/>
          <w:color w:val="000000"/>
          <w:sz w:val="24"/>
          <w:szCs w:val="24"/>
        </w:rPr>
      </w:pPr>
      <w:r>
        <w:rPr>
          <w:rFonts w:hint="eastAsia" w:ascii="宋体" w:hAnsi="宋体" w:cs="宋体"/>
          <w:color w:val="000000"/>
          <w:sz w:val="24"/>
          <w:szCs w:val="24"/>
        </w:rPr>
        <w:t>项目名称：招标编号：</w:t>
      </w:r>
    </w:p>
    <w:tbl>
      <w:tblPr>
        <w:tblStyle w:val="48"/>
        <w:tblW w:w="822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4"/>
        <w:gridCol w:w="326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1984"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color w:val="000000"/>
                <w:sz w:val="24"/>
                <w:szCs w:val="24"/>
              </w:rPr>
            </w:pPr>
            <w:r>
              <w:rPr>
                <w:rFonts w:hint="eastAsia" w:ascii="宋体" w:hAnsi="宋体" w:cs="宋体"/>
                <w:color w:val="000000"/>
                <w:sz w:val="24"/>
                <w:szCs w:val="24"/>
              </w:rPr>
              <w:t>投标人</w:t>
            </w:r>
          </w:p>
        </w:tc>
        <w:tc>
          <w:tcPr>
            <w:tcW w:w="3261"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color w:val="000000"/>
                <w:sz w:val="24"/>
                <w:szCs w:val="24"/>
              </w:rPr>
            </w:pPr>
            <w:r>
              <w:rPr>
                <w:rFonts w:hint="eastAsia" w:ascii="宋体" w:hAnsi="宋体" w:cs="宋体"/>
                <w:color w:val="000000"/>
                <w:sz w:val="24"/>
                <w:szCs w:val="24"/>
              </w:rPr>
              <w:t>投标报价（万元）</w:t>
            </w:r>
          </w:p>
          <w:p>
            <w:pPr>
              <w:tabs>
                <w:tab w:val="left" w:pos="5580"/>
              </w:tabs>
              <w:spacing w:line="360" w:lineRule="auto"/>
              <w:jc w:val="center"/>
              <w:rPr>
                <w:rFonts w:ascii="宋体" w:hAnsi="宋体" w:cs="宋体"/>
                <w:color w:val="000000"/>
                <w:sz w:val="24"/>
                <w:szCs w:val="24"/>
              </w:rPr>
            </w:pPr>
            <w:r>
              <w:rPr>
                <w:rFonts w:hint="eastAsia" w:ascii="宋体" w:hAnsi="宋体" w:cs="宋体"/>
                <w:color w:val="000000"/>
                <w:sz w:val="24"/>
                <w:szCs w:val="24"/>
              </w:rPr>
              <w:t>（小写）</w:t>
            </w:r>
          </w:p>
        </w:tc>
        <w:tc>
          <w:tcPr>
            <w:tcW w:w="2977" w:type="dxa"/>
            <w:tcBorders>
              <w:top w:val="single" w:color="auto" w:sz="4" w:space="0"/>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color w:val="000000"/>
                <w:sz w:val="24"/>
                <w:szCs w:val="24"/>
              </w:rPr>
            </w:pPr>
            <w:r>
              <w:rPr>
                <w:rFonts w:hint="eastAsia" w:ascii="宋体" w:hAnsi="宋体" w:cs="宋体"/>
                <w:color w:val="000000"/>
                <w:sz w:val="24"/>
                <w:szCs w:val="24"/>
              </w:rPr>
              <w:t>是否属于中小微企业（中型/小型/微型/监狱/残疾人福利性）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right"/>
              <w:rPr>
                <w:rFonts w:ascii="宋体" w:hAnsi="宋体" w:cs="宋体"/>
                <w:color w:val="000000"/>
                <w:sz w:val="24"/>
                <w:szCs w:val="24"/>
              </w:rPr>
            </w:pPr>
          </w:p>
        </w:tc>
        <w:tc>
          <w:tcPr>
            <w:tcW w:w="3261"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right"/>
              <w:rPr>
                <w:rFonts w:ascii="宋体" w:hAnsi="宋体" w:cs="宋体"/>
                <w:color w:val="000000"/>
                <w:sz w:val="24"/>
                <w:szCs w:val="24"/>
              </w:rPr>
            </w:pPr>
          </w:p>
        </w:tc>
        <w:tc>
          <w:tcPr>
            <w:tcW w:w="2977" w:type="dxa"/>
            <w:vMerge w:val="restart"/>
            <w:tcBorders>
              <w:top w:val="single" w:color="auto" w:sz="4" w:space="0"/>
              <w:left w:val="single" w:color="auto" w:sz="4" w:space="0"/>
              <w:right w:val="single" w:color="auto" w:sz="4" w:space="0"/>
            </w:tcBorders>
            <w:vAlign w:val="center"/>
          </w:tcPr>
          <w:p>
            <w:pPr>
              <w:tabs>
                <w:tab w:val="left" w:pos="5580"/>
              </w:tabs>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1984"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right"/>
              <w:rPr>
                <w:rFonts w:ascii="宋体" w:hAnsi="宋体" w:cs="宋体"/>
                <w:color w:val="000000"/>
                <w:sz w:val="24"/>
                <w:szCs w:val="24"/>
              </w:rPr>
            </w:pPr>
          </w:p>
        </w:tc>
        <w:tc>
          <w:tcPr>
            <w:tcW w:w="3261"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right"/>
              <w:rPr>
                <w:rFonts w:ascii="宋体" w:hAnsi="宋体" w:cs="宋体"/>
                <w:color w:val="000000"/>
                <w:sz w:val="24"/>
                <w:szCs w:val="24"/>
              </w:rPr>
            </w:pPr>
          </w:p>
        </w:tc>
        <w:tc>
          <w:tcPr>
            <w:tcW w:w="2977" w:type="dxa"/>
            <w:vMerge w:val="continue"/>
            <w:tcBorders>
              <w:left w:val="single" w:color="auto" w:sz="4" w:space="0"/>
              <w:bottom w:val="single" w:color="auto" w:sz="4" w:space="0"/>
              <w:right w:val="single" w:color="auto" w:sz="4" w:space="0"/>
            </w:tcBorders>
            <w:vAlign w:val="center"/>
          </w:tcPr>
          <w:p>
            <w:pPr>
              <w:tabs>
                <w:tab w:val="left" w:pos="5580"/>
              </w:tabs>
              <w:spacing w:line="360" w:lineRule="auto"/>
              <w:jc w:val="center"/>
              <w:rPr>
                <w:rFonts w:ascii="宋体" w:hAnsi="宋体" w:cs="宋体"/>
                <w:color w:val="000000"/>
                <w:sz w:val="24"/>
                <w:szCs w:val="24"/>
              </w:rPr>
            </w:pPr>
          </w:p>
        </w:tc>
      </w:tr>
    </w:tbl>
    <w:p>
      <w:pPr>
        <w:pStyle w:val="23"/>
        <w:tabs>
          <w:tab w:val="left" w:pos="5580"/>
        </w:tabs>
        <w:spacing w:line="360" w:lineRule="auto"/>
        <w:ind w:left="680" w:hanging="680"/>
        <w:rPr>
          <w:rFonts w:hAnsi="宋体" w:cs="宋体"/>
          <w:color w:val="000000"/>
          <w:sz w:val="24"/>
          <w:szCs w:val="24"/>
          <w:u w:val="single"/>
        </w:rPr>
      </w:pPr>
      <w:r>
        <w:rPr>
          <w:rFonts w:hint="eastAsia" w:hAnsi="宋体" w:cs="宋体"/>
          <w:color w:val="000000"/>
          <w:sz w:val="24"/>
          <w:szCs w:val="24"/>
        </w:rPr>
        <w:t>投标报价人民币大写金额：</w:t>
      </w:r>
    </w:p>
    <w:p>
      <w:pPr>
        <w:pStyle w:val="23"/>
        <w:tabs>
          <w:tab w:val="left" w:pos="5580"/>
        </w:tabs>
        <w:spacing w:line="360" w:lineRule="auto"/>
        <w:rPr>
          <w:rFonts w:hAnsi="宋体" w:cs="Times New Roman"/>
          <w:color w:val="000000"/>
          <w:szCs w:val="22"/>
        </w:rPr>
      </w:pPr>
    </w:p>
    <w:p>
      <w:pPr>
        <w:pStyle w:val="23"/>
        <w:tabs>
          <w:tab w:val="left" w:pos="5580"/>
        </w:tabs>
        <w:spacing w:line="360" w:lineRule="auto"/>
        <w:rPr>
          <w:rFonts w:hAnsi="宋体" w:cs="宋体"/>
          <w:color w:val="000000"/>
          <w:sz w:val="24"/>
          <w:szCs w:val="24"/>
        </w:rPr>
      </w:pPr>
    </w:p>
    <w:p>
      <w:pPr>
        <w:pStyle w:val="23"/>
        <w:tabs>
          <w:tab w:val="left" w:pos="5580"/>
        </w:tabs>
        <w:spacing w:line="360" w:lineRule="auto"/>
        <w:rPr>
          <w:rFonts w:hAnsi="宋体" w:cs="宋体"/>
          <w:color w:val="000000"/>
          <w:sz w:val="24"/>
          <w:szCs w:val="24"/>
        </w:rPr>
      </w:pPr>
    </w:p>
    <w:p>
      <w:pPr>
        <w:pStyle w:val="23"/>
        <w:tabs>
          <w:tab w:val="left" w:pos="5580"/>
        </w:tabs>
        <w:spacing w:line="360" w:lineRule="auto"/>
        <w:rPr>
          <w:rFonts w:hAnsi="宋体" w:cs="宋体"/>
          <w:color w:val="000000"/>
          <w:sz w:val="24"/>
          <w:szCs w:val="24"/>
        </w:rPr>
      </w:pPr>
      <w:r>
        <w:rPr>
          <w:rFonts w:hint="eastAsia" w:hAnsi="宋体" w:cs="宋体"/>
          <w:color w:val="000000"/>
          <w:sz w:val="24"/>
          <w:szCs w:val="24"/>
        </w:rPr>
        <w:t>投标人名称（盖章）：</w:t>
      </w:r>
    </w:p>
    <w:p>
      <w:pPr>
        <w:pStyle w:val="23"/>
        <w:tabs>
          <w:tab w:val="left" w:pos="5100"/>
        </w:tabs>
        <w:spacing w:line="360" w:lineRule="auto"/>
        <w:rPr>
          <w:rFonts w:hAnsi="宋体" w:cs="宋体"/>
          <w:color w:val="000000"/>
          <w:sz w:val="24"/>
          <w:szCs w:val="24"/>
          <w:u w:val="single"/>
        </w:rPr>
      </w:pPr>
      <w:r>
        <w:rPr>
          <w:rFonts w:hint="eastAsia" w:hAnsi="宋体" w:cs="宋体"/>
          <w:bCs/>
          <w:color w:val="000000"/>
          <w:sz w:val="24"/>
          <w:szCs w:val="24"/>
        </w:rPr>
        <w:t>法定代表人或其委托代理人</w:t>
      </w:r>
      <w:r>
        <w:rPr>
          <w:rFonts w:hint="eastAsia" w:hAnsi="宋体" w:cs="宋体"/>
          <w:color w:val="000000"/>
          <w:sz w:val="24"/>
          <w:szCs w:val="24"/>
        </w:rPr>
        <w:t>(签字或盖章)：</w:t>
      </w:r>
      <w:r>
        <w:rPr>
          <w:rFonts w:hint="eastAsia" w:hAnsi="宋体" w:cs="宋体"/>
          <w:color w:val="000000"/>
          <w:sz w:val="24"/>
          <w:szCs w:val="24"/>
          <w:u w:val="single"/>
        </w:rPr>
        <w:tab/>
      </w:r>
    </w:p>
    <w:p>
      <w:pPr>
        <w:pStyle w:val="4"/>
        <w:spacing w:line="360" w:lineRule="auto"/>
        <w:ind w:firstLine="0"/>
        <w:rPr>
          <w:rFonts w:ascii="宋体" w:hAnsi="宋体" w:cs="宋体"/>
          <w:color w:val="000000"/>
          <w:sz w:val="24"/>
          <w:szCs w:val="24"/>
        </w:rPr>
      </w:pPr>
      <w:r>
        <w:rPr>
          <w:rFonts w:hint="eastAsia" w:ascii="宋体" w:hAnsi="宋体" w:cs="宋体"/>
          <w:color w:val="000000"/>
          <w:sz w:val="24"/>
          <w:szCs w:val="24"/>
        </w:rPr>
        <w:t>日期：</w:t>
      </w:r>
    </w:p>
    <w:p>
      <w:pPr>
        <w:pStyle w:val="4"/>
        <w:spacing w:line="360" w:lineRule="auto"/>
        <w:ind w:firstLine="0"/>
        <w:rPr>
          <w:rFonts w:ascii="宋体" w:hAnsi="宋体" w:cs="宋体"/>
          <w:color w:val="000000"/>
          <w:sz w:val="24"/>
          <w:szCs w:val="24"/>
        </w:rPr>
      </w:pPr>
    </w:p>
    <w:p>
      <w:pPr>
        <w:pStyle w:val="4"/>
        <w:spacing w:line="360" w:lineRule="auto"/>
        <w:ind w:firstLine="0"/>
        <w:rPr>
          <w:rFonts w:ascii="宋体" w:hAnsi="宋体" w:cs="宋体"/>
          <w:color w:val="000000"/>
          <w:sz w:val="24"/>
          <w:szCs w:val="24"/>
        </w:rPr>
      </w:pPr>
    </w:p>
    <w:p>
      <w:pPr>
        <w:pStyle w:val="4"/>
        <w:spacing w:line="360" w:lineRule="auto"/>
        <w:ind w:firstLine="0"/>
        <w:rPr>
          <w:rFonts w:ascii="宋体" w:hAnsi="宋体" w:cs="宋体"/>
          <w:b/>
          <w:color w:val="000000"/>
          <w:sz w:val="24"/>
          <w:szCs w:val="24"/>
        </w:rPr>
      </w:pPr>
      <w:r>
        <w:rPr>
          <w:rFonts w:hint="eastAsia" w:ascii="宋体" w:hAnsi="宋体" w:cs="宋体"/>
          <w:b/>
          <w:color w:val="000000"/>
          <w:sz w:val="24"/>
          <w:szCs w:val="24"/>
        </w:rPr>
        <w:t>注:1.此表应按投标人须知的规定密封标记并单独递交；</w:t>
      </w:r>
    </w:p>
    <w:p>
      <w:pPr>
        <w:pStyle w:val="4"/>
        <w:spacing w:line="360" w:lineRule="auto"/>
        <w:ind w:firstLine="0"/>
        <w:rPr>
          <w:rFonts w:ascii="宋体" w:hAnsi="宋体" w:cs="宋体"/>
          <w:b/>
          <w:color w:val="000000"/>
          <w:sz w:val="24"/>
          <w:szCs w:val="24"/>
        </w:rPr>
      </w:pPr>
      <w:r>
        <w:rPr>
          <w:rFonts w:hint="eastAsia" w:ascii="宋体" w:hAnsi="宋体" w:cs="宋体"/>
          <w:b/>
          <w:color w:val="000000"/>
          <w:sz w:val="24"/>
          <w:szCs w:val="24"/>
        </w:rPr>
        <w:t xml:space="preserve">   2.此表中，投标报价应和附件3中的总价相一致。</w:t>
      </w:r>
    </w:p>
    <w:p>
      <w:pPr>
        <w:pStyle w:val="4"/>
        <w:spacing w:line="360" w:lineRule="auto"/>
        <w:ind w:firstLine="342" w:firstLineChars="142"/>
        <w:rPr>
          <w:rFonts w:ascii="宋体" w:hAnsi="宋体" w:cs="宋体"/>
          <w:b/>
          <w:color w:val="000000"/>
          <w:sz w:val="24"/>
          <w:szCs w:val="24"/>
        </w:rPr>
        <w:sectPr>
          <w:footerReference r:id="rId5" w:type="default"/>
          <w:pgSz w:w="11906" w:h="16838"/>
          <w:pgMar w:top="1440" w:right="1800" w:bottom="1440" w:left="1800" w:header="680" w:footer="907" w:gutter="0"/>
          <w:pgNumType w:start="1"/>
          <w:cols w:space="720" w:num="1"/>
        </w:sectPr>
      </w:pPr>
    </w:p>
    <w:p>
      <w:pPr>
        <w:pStyle w:val="2"/>
        <w:spacing w:line="360" w:lineRule="auto"/>
        <w:rPr>
          <w:rFonts w:ascii="宋体" w:hAnsi="宋体"/>
          <w:color w:val="000000"/>
          <w:szCs w:val="28"/>
        </w:rPr>
      </w:pPr>
      <w:bookmarkStart w:id="383" w:name="_Toc100786149"/>
      <w:bookmarkStart w:id="384" w:name="_Toc3064"/>
      <w:r>
        <w:rPr>
          <w:rFonts w:hint="eastAsia" w:ascii="宋体" w:hAnsi="宋体"/>
          <w:color w:val="000000"/>
          <w:szCs w:val="28"/>
        </w:rPr>
        <w:t>附件3  投标分项报价表</w:t>
      </w:r>
      <w:bookmarkEnd w:id="383"/>
      <w:bookmarkEnd w:id="384"/>
    </w:p>
    <w:p>
      <w:pPr>
        <w:spacing w:line="360" w:lineRule="auto"/>
        <w:rPr>
          <w:rFonts w:ascii="宋体" w:hAnsi="宋体"/>
          <w:color w:val="000000"/>
          <w:lang w:val="zh-CN"/>
        </w:rPr>
      </w:pPr>
    </w:p>
    <w:p>
      <w:pPr>
        <w:spacing w:line="360" w:lineRule="auto"/>
        <w:rPr>
          <w:rFonts w:ascii="宋体" w:hAnsi="宋体" w:cs="宋体"/>
          <w:color w:val="000000"/>
          <w:sz w:val="24"/>
          <w:szCs w:val="24"/>
          <w:u w:val="single"/>
        </w:rPr>
      </w:pPr>
      <w:r>
        <w:rPr>
          <w:rFonts w:hint="eastAsia" w:ascii="宋体" w:hAnsi="宋体" w:cs="宋体"/>
          <w:color w:val="000000"/>
          <w:sz w:val="24"/>
          <w:szCs w:val="24"/>
        </w:rPr>
        <w:t>项目名称：</w:t>
      </w:r>
    </w:p>
    <w:p>
      <w:pPr>
        <w:spacing w:line="360" w:lineRule="auto"/>
        <w:rPr>
          <w:rFonts w:ascii="宋体" w:hAnsi="宋体" w:cs="宋体"/>
          <w:color w:val="000000"/>
          <w:sz w:val="24"/>
          <w:szCs w:val="24"/>
        </w:rPr>
      </w:pPr>
      <w:r>
        <w:rPr>
          <w:rFonts w:hint="eastAsia" w:ascii="宋体" w:hAnsi="宋体" w:cs="宋体"/>
          <w:color w:val="000000"/>
          <w:sz w:val="24"/>
          <w:szCs w:val="24"/>
        </w:rPr>
        <w:t>招标编号：</w:t>
      </w:r>
    </w:p>
    <w:p>
      <w:pPr>
        <w:spacing w:line="360" w:lineRule="auto"/>
        <w:jc w:val="right"/>
        <w:rPr>
          <w:rFonts w:ascii="宋体" w:hAnsi="宋体" w:cs="宋体"/>
          <w:color w:val="000000"/>
          <w:sz w:val="24"/>
          <w:szCs w:val="24"/>
        </w:rPr>
      </w:pPr>
      <w:r>
        <w:rPr>
          <w:rFonts w:hint="eastAsia" w:ascii="宋体" w:hAnsi="宋体" w:cs="宋体"/>
          <w:bCs/>
          <w:color w:val="000000"/>
          <w:sz w:val="24"/>
          <w:szCs w:val="24"/>
        </w:rPr>
        <w:t xml:space="preserve">       单位：人民币（元）</w:t>
      </w:r>
    </w:p>
    <w:tbl>
      <w:tblPr>
        <w:tblStyle w:val="48"/>
        <w:tblW w:w="8330" w:type="dxa"/>
        <w:tblInd w:w="0" w:type="dxa"/>
        <w:tblLayout w:type="fixed"/>
        <w:tblCellMar>
          <w:top w:w="0" w:type="dxa"/>
          <w:left w:w="108" w:type="dxa"/>
          <w:bottom w:w="0" w:type="dxa"/>
          <w:right w:w="108" w:type="dxa"/>
        </w:tblCellMar>
      </w:tblPr>
      <w:tblGrid>
        <w:gridCol w:w="959"/>
        <w:gridCol w:w="2410"/>
        <w:gridCol w:w="1559"/>
        <w:gridCol w:w="1276"/>
        <w:gridCol w:w="2126"/>
      </w:tblGrid>
      <w:tr>
        <w:trPr>
          <w:trHeight w:val="1258" w:hRule="atLeast"/>
        </w:trPr>
        <w:tc>
          <w:tcPr>
            <w:tcW w:w="9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ascii="宋体" w:hAnsi="宋体"/>
                <w:color w:val="000000"/>
                <w:kern w:val="0"/>
                <w:sz w:val="24"/>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分项</w:t>
            </w:r>
            <w:r>
              <w:rPr>
                <w:rFonts w:ascii="宋体" w:hAnsi="宋体"/>
                <w:color w:val="000000"/>
                <w:kern w:val="0"/>
                <w:sz w:val="24"/>
              </w:rPr>
              <w:t>名称</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hint="eastAsia" w:ascii="宋体" w:hAnsi="宋体"/>
                <w:color w:val="000000"/>
                <w:kern w:val="0"/>
                <w:sz w:val="24"/>
              </w:rPr>
              <w:t>总价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ascii="宋体" w:hAnsi="宋体"/>
                <w:color w:val="000000"/>
                <w:kern w:val="0"/>
                <w:sz w:val="24"/>
              </w:rPr>
              <w:t>备注</w:t>
            </w:r>
            <w:r>
              <w:rPr>
                <w:rFonts w:hint="eastAsia" w:ascii="宋体" w:hAnsi="宋体"/>
                <w:color w:val="000000"/>
                <w:kern w:val="0"/>
                <w:sz w:val="24"/>
              </w:rPr>
              <w:t>/说明</w:t>
            </w: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trHeight w:val="330" w:hRule="atLeast"/>
        </w:trPr>
        <w:tc>
          <w:tcPr>
            <w:tcW w:w="959" w:type="dxa"/>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p>
        </w:tc>
        <w:tc>
          <w:tcPr>
            <w:tcW w:w="2410"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r>
      <w:tr>
        <w:tblPrEx>
          <w:tblCellMar>
            <w:top w:w="0" w:type="dxa"/>
            <w:left w:w="108" w:type="dxa"/>
            <w:bottom w:w="0" w:type="dxa"/>
            <w:right w:w="108" w:type="dxa"/>
          </w:tblCellMar>
        </w:tblPrEx>
        <w:trPr>
          <w:trHeight w:val="330" w:hRule="atLeast"/>
        </w:trPr>
        <w:tc>
          <w:tcPr>
            <w:tcW w:w="4928" w:type="dxa"/>
            <w:gridSpan w:val="3"/>
            <w:tcBorders>
              <w:top w:val="nil"/>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kern w:val="0"/>
                <w:sz w:val="24"/>
              </w:rPr>
            </w:pPr>
            <w:r>
              <w:rPr>
                <w:rFonts w:ascii="宋体" w:hAnsi="宋体"/>
                <w:bCs/>
                <w:color w:val="000000"/>
                <w:kern w:val="0"/>
                <w:sz w:val="24"/>
              </w:rPr>
              <w:t>合计</w:t>
            </w:r>
          </w:p>
        </w:tc>
        <w:tc>
          <w:tcPr>
            <w:tcW w:w="127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c>
          <w:tcPr>
            <w:tcW w:w="212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olor w:val="000000"/>
                <w:kern w:val="0"/>
                <w:sz w:val="24"/>
              </w:rPr>
            </w:pPr>
          </w:p>
        </w:tc>
      </w:tr>
    </w:tbl>
    <w:p>
      <w:pPr>
        <w:spacing w:before="120" w:line="360" w:lineRule="auto"/>
        <w:ind w:left="420" w:hanging="420" w:hangingChars="200"/>
        <w:rPr>
          <w:rFonts w:ascii="宋体" w:hAnsi="宋体" w:cs="宋体"/>
          <w:color w:val="000000"/>
          <w:szCs w:val="21"/>
        </w:rPr>
      </w:pPr>
      <w:r>
        <w:rPr>
          <w:rFonts w:hint="eastAsia" w:ascii="宋体" w:hAnsi="宋体" w:cs="宋体"/>
          <w:color w:val="000000"/>
          <w:szCs w:val="21"/>
        </w:rPr>
        <w:t>说明：</w:t>
      </w:r>
    </w:p>
    <w:p>
      <w:pPr>
        <w:spacing w:before="120" w:line="360" w:lineRule="auto"/>
        <w:ind w:left="420" w:leftChars="200"/>
        <w:rPr>
          <w:rFonts w:ascii="宋体" w:hAnsi="宋体" w:cs="宋体"/>
          <w:color w:val="000000"/>
          <w:szCs w:val="21"/>
        </w:rPr>
      </w:pPr>
      <w:r>
        <w:rPr>
          <w:rFonts w:hint="eastAsia" w:ascii="宋体" w:hAnsi="宋体" w:cs="宋体"/>
          <w:color w:val="000000"/>
          <w:szCs w:val="21"/>
        </w:rPr>
        <w:t xml:space="preserve">1.如果按单价计算的结果与总价不一致,以单价为准修正总价。 </w:t>
      </w:r>
    </w:p>
    <w:p>
      <w:pPr>
        <w:spacing w:before="120" w:line="360" w:lineRule="auto"/>
        <w:ind w:left="420" w:hanging="420" w:hangingChars="200"/>
        <w:rPr>
          <w:rFonts w:ascii="宋体" w:hAnsi="宋体" w:cs="宋体"/>
          <w:color w:val="000000"/>
          <w:szCs w:val="21"/>
        </w:rPr>
      </w:pPr>
      <w:r>
        <w:rPr>
          <w:rFonts w:hint="eastAsia" w:ascii="宋体" w:hAnsi="宋体" w:cs="宋体"/>
          <w:color w:val="000000"/>
          <w:szCs w:val="21"/>
        </w:rPr>
        <w:t xml:space="preserve">    2.如果不提供分项报价将视为没有实质性响应招标文件。</w:t>
      </w:r>
    </w:p>
    <w:p>
      <w:pPr>
        <w:spacing w:before="120" w:line="360" w:lineRule="auto"/>
        <w:ind w:left="420" w:leftChars="200"/>
        <w:rPr>
          <w:rFonts w:ascii="宋体" w:hAnsi="宋体" w:cs="宋体"/>
          <w:color w:val="000000"/>
          <w:szCs w:val="21"/>
        </w:rPr>
      </w:pPr>
      <w:r>
        <w:rPr>
          <w:rFonts w:hint="eastAsia" w:ascii="宋体" w:hAnsi="宋体" w:cs="宋体"/>
          <w:color w:val="000000"/>
          <w:szCs w:val="21"/>
        </w:rPr>
        <w:t>3.上述各项的详细规格（如有），可另页描述。</w:t>
      </w:r>
    </w:p>
    <w:p>
      <w:pPr>
        <w:pStyle w:val="23"/>
        <w:tabs>
          <w:tab w:val="left" w:pos="5580"/>
        </w:tabs>
        <w:adjustRightInd w:val="0"/>
        <w:snapToGrid w:val="0"/>
        <w:spacing w:line="360" w:lineRule="auto"/>
        <w:rPr>
          <w:rFonts w:hAnsi="宋体" w:cs="宋体"/>
          <w:color w:val="000000"/>
          <w:sz w:val="24"/>
          <w:szCs w:val="24"/>
        </w:rPr>
      </w:pPr>
    </w:p>
    <w:p>
      <w:pPr>
        <w:pStyle w:val="23"/>
        <w:tabs>
          <w:tab w:val="left" w:pos="5580"/>
        </w:tabs>
        <w:adjustRightInd w:val="0"/>
        <w:snapToGrid w:val="0"/>
        <w:spacing w:line="360" w:lineRule="auto"/>
        <w:rPr>
          <w:rFonts w:hAnsi="宋体" w:cs="宋体"/>
          <w:color w:val="000000"/>
          <w:sz w:val="24"/>
          <w:szCs w:val="24"/>
        </w:rPr>
      </w:pPr>
    </w:p>
    <w:p>
      <w:pPr>
        <w:pStyle w:val="23"/>
        <w:tabs>
          <w:tab w:val="left" w:pos="5580"/>
        </w:tabs>
        <w:adjustRightInd w:val="0"/>
        <w:snapToGrid w:val="0"/>
        <w:spacing w:line="360" w:lineRule="auto"/>
        <w:rPr>
          <w:rFonts w:hAnsi="宋体" w:cs="宋体"/>
          <w:color w:val="000000"/>
          <w:sz w:val="24"/>
          <w:szCs w:val="24"/>
        </w:rPr>
      </w:pPr>
    </w:p>
    <w:p>
      <w:pPr>
        <w:pStyle w:val="23"/>
        <w:tabs>
          <w:tab w:val="left" w:pos="5580"/>
        </w:tabs>
        <w:adjustRightInd w:val="0"/>
        <w:snapToGrid w:val="0"/>
        <w:spacing w:line="360" w:lineRule="auto"/>
        <w:rPr>
          <w:rFonts w:hAnsi="宋体" w:cs="宋体"/>
          <w:color w:val="000000"/>
          <w:sz w:val="24"/>
          <w:szCs w:val="24"/>
        </w:rPr>
      </w:pPr>
      <w:r>
        <w:rPr>
          <w:rFonts w:hint="eastAsia" w:hAnsi="宋体" w:cs="宋体"/>
          <w:color w:val="000000"/>
          <w:sz w:val="24"/>
          <w:szCs w:val="24"/>
        </w:rPr>
        <w:t>投标人名称（盖章）：</w:t>
      </w:r>
    </w:p>
    <w:p>
      <w:pPr>
        <w:pStyle w:val="23"/>
        <w:tabs>
          <w:tab w:val="left" w:pos="5100"/>
        </w:tabs>
        <w:adjustRightInd w:val="0"/>
        <w:snapToGrid w:val="0"/>
        <w:spacing w:line="360" w:lineRule="auto"/>
        <w:rPr>
          <w:rFonts w:hAnsi="宋体" w:cs="宋体"/>
          <w:color w:val="000000"/>
          <w:sz w:val="24"/>
          <w:szCs w:val="24"/>
        </w:rPr>
      </w:pPr>
      <w:r>
        <w:rPr>
          <w:rFonts w:hint="eastAsia" w:hAnsi="宋体" w:cs="宋体"/>
          <w:bCs/>
          <w:color w:val="000000"/>
          <w:sz w:val="24"/>
          <w:szCs w:val="24"/>
        </w:rPr>
        <w:t>法定代表人或其委托代理人</w:t>
      </w:r>
      <w:r>
        <w:rPr>
          <w:rFonts w:hint="eastAsia" w:hAnsi="宋体" w:cs="宋体"/>
          <w:color w:val="000000"/>
          <w:sz w:val="24"/>
          <w:szCs w:val="24"/>
        </w:rPr>
        <w:t>(签字或盖章)：</w:t>
      </w:r>
    </w:p>
    <w:p>
      <w:pPr>
        <w:pStyle w:val="23"/>
        <w:tabs>
          <w:tab w:val="left" w:pos="5100"/>
        </w:tabs>
        <w:adjustRightInd w:val="0"/>
        <w:snapToGrid w:val="0"/>
        <w:spacing w:line="360" w:lineRule="auto"/>
        <w:rPr>
          <w:rFonts w:hAnsi="宋体" w:cs="宋体"/>
          <w:color w:val="000000"/>
          <w:sz w:val="24"/>
          <w:szCs w:val="24"/>
        </w:rPr>
        <w:sectPr>
          <w:pgSz w:w="11906" w:h="16838"/>
          <w:pgMar w:top="1440" w:right="1800" w:bottom="1440" w:left="1800" w:header="680" w:footer="907" w:gutter="0"/>
          <w:cols w:space="720" w:num="1"/>
          <w:docGrid w:linePitch="286" w:charSpace="0"/>
        </w:sectPr>
      </w:pPr>
      <w:r>
        <w:rPr>
          <w:rFonts w:hint="eastAsia" w:hAnsi="宋体" w:cs="宋体"/>
          <w:color w:val="000000"/>
          <w:sz w:val="24"/>
          <w:szCs w:val="24"/>
        </w:rPr>
        <w:t>日期：</w:t>
      </w:r>
    </w:p>
    <w:p>
      <w:pPr>
        <w:pStyle w:val="2"/>
        <w:spacing w:line="360" w:lineRule="auto"/>
        <w:rPr>
          <w:rFonts w:ascii="宋体" w:hAnsi="宋体" w:eastAsiaTheme="minorEastAsia"/>
          <w:color w:val="000000"/>
          <w:szCs w:val="28"/>
        </w:rPr>
      </w:pPr>
      <w:bookmarkStart w:id="385" w:name="_Toc100786150"/>
      <w:bookmarkStart w:id="386" w:name="_Toc18781"/>
      <w:r>
        <w:rPr>
          <w:rFonts w:hint="eastAsia" w:ascii="宋体" w:hAnsi="宋体"/>
          <w:color w:val="000000"/>
          <w:szCs w:val="28"/>
        </w:rPr>
        <w:t xml:space="preserve">附件4  </w:t>
      </w:r>
      <w:bookmarkEnd w:id="385"/>
      <w:bookmarkEnd w:id="386"/>
      <w:r>
        <w:rPr>
          <w:rFonts w:hint="eastAsia" w:asciiTheme="minorEastAsia" w:hAnsiTheme="minorEastAsia" w:eastAsiaTheme="minorEastAsia"/>
          <w:color w:val="000000"/>
          <w:szCs w:val="28"/>
        </w:rPr>
        <w:t>采购需求偏离表（实质性格式）</w:t>
      </w:r>
    </w:p>
    <w:p>
      <w:pPr>
        <w:pStyle w:val="23"/>
        <w:spacing w:line="360" w:lineRule="auto"/>
        <w:rPr>
          <w:rFonts w:hAnsi="宋体" w:cs="宋体"/>
          <w:color w:val="000000"/>
          <w:sz w:val="24"/>
          <w:szCs w:val="24"/>
        </w:rPr>
      </w:pPr>
    </w:p>
    <w:p>
      <w:pPr>
        <w:pStyle w:val="23"/>
        <w:spacing w:line="360" w:lineRule="auto"/>
        <w:rPr>
          <w:rFonts w:hAnsi="宋体" w:cs="宋体"/>
          <w:color w:val="000000"/>
          <w:sz w:val="24"/>
          <w:szCs w:val="24"/>
        </w:rPr>
      </w:pPr>
      <w:r>
        <w:rPr>
          <w:rFonts w:hint="eastAsia" w:hAnsi="宋体" w:cs="宋体"/>
          <w:color w:val="000000"/>
          <w:sz w:val="24"/>
          <w:szCs w:val="24"/>
        </w:rPr>
        <w:t>项目名称：招标编号：</w:t>
      </w:r>
    </w:p>
    <w:tbl>
      <w:tblPr>
        <w:tblStyle w:val="48"/>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75"/>
        <w:gridCol w:w="2213"/>
        <w:gridCol w:w="1973"/>
        <w:gridCol w:w="1740"/>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719" w:type="dxa"/>
            <w:vAlign w:val="center"/>
          </w:tcPr>
          <w:p>
            <w:pPr>
              <w:adjustRightInd w:val="0"/>
              <w:snapToGrid w:val="0"/>
              <w:jc w:val="center"/>
              <w:rPr>
                <w:color w:val="000000"/>
                <w:sz w:val="24"/>
              </w:rPr>
            </w:pPr>
            <w:r>
              <w:rPr>
                <w:color w:val="000000"/>
                <w:sz w:val="24"/>
              </w:rPr>
              <w:t>序号</w:t>
            </w:r>
          </w:p>
        </w:tc>
        <w:tc>
          <w:tcPr>
            <w:tcW w:w="1375" w:type="dxa"/>
            <w:vAlign w:val="center"/>
          </w:tcPr>
          <w:p>
            <w:pPr>
              <w:adjustRightInd w:val="0"/>
              <w:snapToGrid w:val="0"/>
              <w:jc w:val="center"/>
              <w:rPr>
                <w:color w:val="000000"/>
                <w:sz w:val="24"/>
              </w:rPr>
            </w:pPr>
            <w:r>
              <w:rPr>
                <w:color w:val="000000"/>
                <w:sz w:val="24"/>
              </w:rPr>
              <w:t>招标文件条目号(页码)</w:t>
            </w:r>
          </w:p>
        </w:tc>
        <w:tc>
          <w:tcPr>
            <w:tcW w:w="2213" w:type="dxa"/>
            <w:vAlign w:val="center"/>
          </w:tcPr>
          <w:p>
            <w:pPr>
              <w:adjustRightInd w:val="0"/>
              <w:snapToGrid w:val="0"/>
              <w:jc w:val="center"/>
              <w:rPr>
                <w:color w:val="000000"/>
                <w:sz w:val="24"/>
              </w:rPr>
            </w:pPr>
            <w:r>
              <w:rPr>
                <w:color w:val="000000"/>
                <w:sz w:val="24"/>
              </w:rPr>
              <w:t>招标文件要求</w:t>
            </w:r>
          </w:p>
        </w:tc>
        <w:tc>
          <w:tcPr>
            <w:tcW w:w="1973" w:type="dxa"/>
            <w:vAlign w:val="center"/>
          </w:tcPr>
          <w:p>
            <w:pPr>
              <w:adjustRightInd w:val="0"/>
              <w:snapToGrid w:val="0"/>
              <w:jc w:val="center"/>
              <w:rPr>
                <w:color w:val="000000"/>
                <w:sz w:val="24"/>
              </w:rPr>
            </w:pPr>
            <w:r>
              <w:rPr>
                <w:color w:val="000000"/>
                <w:sz w:val="24"/>
              </w:rPr>
              <w:t>投标响应内容</w:t>
            </w:r>
          </w:p>
        </w:tc>
        <w:tc>
          <w:tcPr>
            <w:tcW w:w="1740" w:type="dxa"/>
            <w:vAlign w:val="center"/>
          </w:tcPr>
          <w:p>
            <w:pPr>
              <w:adjustRightInd w:val="0"/>
              <w:snapToGrid w:val="0"/>
              <w:jc w:val="center"/>
              <w:rPr>
                <w:color w:val="000000"/>
                <w:sz w:val="24"/>
              </w:rPr>
            </w:pPr>
            <w:r>
              <w:rPr>
                <w:color w:val="000000"/>
                <w:sz w:val="24"/>
              </w:rPr>
              <w:t>偏离情况</w:t>
            </w:r>
          </w:p>
        </w:tc>
        <w:tc>
          <w:tcPr>
            <w:tcW w:w="936"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color w:val="000000"/>
                <w:sz w:val="24"/>
              </w:rPr>
            </w:pPr>
          </w:p>
        </w:tc>
        <w:tc>
          <w:tcPr>
            <w:tcW w:w="1375" w:type="dxa"/>
            <w:vAlign w:val="center"/>
          </w:tcPr>
          <w:p>
            <w:pPr>
              <w:adjustRightInd w:val="0"/>
              <w:snapToGrid w:val="0"/>
              <w:jc w:val="center"/>
              <w:rPr>
                <w:color w:val="000000"/>
                <w:sz w:val="24"/>
              </w:rPr>
            </w:pPr>
          </w:p>
        </w:tc>
        <w:tc>
          <w:tcPr>
            <w:tcW w:w="2213" w:type="dxa"/>
            <w:vAlign w:val="center"/>
          </w:tcPr>
          <w:p>
            <w:pPr>
              <w:adjustRightInd w:val="0"/>
              <w:snapToGrid w:val="0"/>
              <w:jc w:val="center"/>
              <w:rPr>
                <w:color w:val="000000"/>
                <w:sz w:val="24"/>
              </w:rPr>
            </w:pPr>
          </w:p>
        </w:tc>
        <w:tc>
          <w:tcPr>
            <w:tcW w:w="1973" w:type="dxa"/>
            <w:vAlign w:val="center"/>
          </w:tcPr>
          <w:p>
            <w:pPr>
              <w:adjustRightInd w:val="0"/>
              <w:snapToGrid w:val="0"/>
              <w:jc w:val="center"/>
              <w:rPr>
                <w:color w:val="000000"/>
                <w:sz w:val="24"/>
              </w:rPr>
            </w:pPr>
          </w:p>
        </w:tc>
        <w:tc>
          <w:tcPr>
            <w:tcW w:w="1740" w:type="dxa"/>
            <w:vAlign w:val="center"/>
          </w:tcPr>
          <w:p>
            <w:pPr>
              <w:adjustRightInd w:val="0"/>
              <w:snapToGrid w:val="0"/>
              <w:jc w:val="center"/>
              <w:rPr>
                <w:color w:val="000000"/>
                <w:sz w:val="24"/>
              </w:rPr>
            </w:pPr>
          </w:p>
        </w:tc>
        <w:tc>
          <w:tcPr>
            <w:tcW w:w="9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color w:val="000000"/>
                <w:sz w:val="24"/>
              </w:rPr>
            </w:pPr>
          </w:p>
        </w:tc>
        <w:tc>
          <w:tcPr>
            <w:tcW w:w="1375" w:type="dxa"/>
            <w:vAlign w:val="center"/>
          </w:tcPr>
          <w:p>
            <w:pPr>
              <w:adjustRightInd w:val="0"/>
              <w:snapToGrid w:val="0"/>
              <w:jc w:val="center"/>
              <w:rPr>
                <w:color w:val="000000"/>
                <w:sz w:val="24"/>
              </w:rPr>
            </w:pPr>
          </w:p>
        </w:tc>
        <w:tc>
          <w:tcPr>
            <w:tcW w:w="2213" w:type="dxa"/>
            <w:vAlign w:val="center"/>
          </w:tcPr>
          <w:p>
            <w:pPr>
              <w:adjustRightInd w:val="0"/>
              <w:snapToGrid w:val="0"/>
              <w:jc w:val="center"/>
              <w:rPr>
                <w:color w:val="000000"/>
                <w:sz w:val="24"/>
              </w:rPr>
            </w:pPr>
          </w:p>
        </w:tc>
        <w:tc>
          <w:tcPr>
            <w:tcW w:w="1973" w:type="dxa"/>
            <w:vAlign w:val="center"/>
          </w:tcPr>
          <w:p>
            <w:pPr>
              <w:adjustRightInd w:val="0"/>
              <w:snapToGrid w:val="0"/>
              <w:jc w:val="center"/>
              <w:rPr>
                <w:color w:val="000000"/>
                <w:sz w:val="24"/>
              </w:rPr>
            </w:pPr>
          </w:p>
        </w:tc>
        <w:tc>
          <w:tcPr>
            <w:tcW w:w="1740" w:type="dxa"/>
            <w:vAlign w:val="center"/>
          </w:tcPr>
          <w:p>
            <w:pPr>
              <w:adjustRightInd w:val="0"/>
              <w:snapToGrid w:val="0"/>
              <w:jc w:val="center"/>
              <w:rPr>
                <w:color w:val="000000"/>
                <w:sz w:val="24"/>
              </w:rPr>
            </w:pPr>
          </w:p>
        </w:tc>
        <w:tc>
          <w:tcPr>
            <w:tcW w:w="9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color w:val="000000"/>
                <w:sz w:val="24"/>
              </w:rPr>
            </w:pPr>
          </w:p>
        </w:tc>
        <w:tc>
          <w:tcPr>
            <w:tcW w:w="1375" w:type="dxa"/>
            <w:vAlign w:val="center"/>
          </w:tcPr>
          <w:p>
            <w:pPr>
              <w:adjustRightInd w:val="0"/>
              <w:snapToGrid w:val="0"/>
              <w:jc w:val="center"/>
              <w:rPr>
                <w:color w:val="000000"/>
                <w:sz w:val="24"/>
              </w:rPr>
            </w:pPr>
          </w:p>
        </w:tc>
        <w:tc>
          <w:tcPr>
            <w:tcW w:w="2213" w:type="dxa"/>
            <w:vAlign w:val="center"/>
          </w:tcPr>
          <w:p>
            <w:pPr>
              <w:adjustRightInd w:val="0"/>
              <w:snapToGrid w:val="0"/>
              <w:jc w:val="center"/>
              <w:rPr>
                <w:color w:val="000000"/>
                <w:sz w:val="24"/>
              </w:rPr>
            </w:pPr>
          </w:p>
        </w:tc>
        <w:tc>
          <w:tcPr>
            <w:tcW w:w="1973" w:type="dxa"/>
            <w:vAlign w:val="center"/>
          </w:tcPr>
          <w:p>
            <w:pPr>
              <w:adjustRightInd w:val="0"/>
              <w:snapToGrid w:val="0"/>
              <w:jc w:val="center"/>
              <w:rPr>
                <w:color w:val="000000"/>
                <w:sz w:val="24"/>
              </w:rPr>
            </w:pPr>
          </w:p>
        </w:tc>
        <w:tc>
          <w:tcPr>
            <w:tcW w:w="1740" w:type="dxa"/>
            <w:vAlign w:val="center"/>
          </w:tcPr>
          <w:p>
            <w:pPr>
              <w:adjustRightInd w:val="0"/>
              <w:snapToGrid w:val="0"/>
              <w:jc w:val="center"/>
              <w:rPr>
                <w:color w:val="000000"/>
                <w:sz w:val="24"/>
              </w:rPr>
            </w:pPr>
          </w:p>
        </w:tc>
        <w:tc>
          <w:tcPr>
            <w:tcW w:w="9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4" w:hRule="atLeast"/>
          <w:jc w:val="center"/>
        </w:trPr>
        <w:tc>
          <w:tcPr>
            <w:tcW w:w="719" w:type="dxa"/>
            <w:vAlign w:val="center"/>
          </w:tcPr>
          <w:p>
            <w:pPr>
              <w:adjustRightInd w:val="0"/>
              <w:snapToGrid w:val="0"/>
              <w:jc w:val="center"/>
              <w:rPr>
                <w:color w:val="000000"/>
                <w:sz w:val="24"/>
              </w:rPr>
            </w:pPr>
          </w:p>
        </w:tc>
        <w:tc>
          <w:tcPr>
            <w:tcW w:w="1375" w:type="dxa"/>
            <w:vAlign w:val="center"/>
          </w:tcPr>
          <w:p>
            <w:pPr>
              <w:adjustRightInd w:val="0"/>
              <w:snapToGrid w:val="0"/>
              <w:jc w:val="center"/>
              <w:rPr>
                <w:color w:val="000000"/>
                <w:sz w:val="24"/>
              </w:rPr>
            </w:pPr>
          </w:p>
        </w:tc>
        <w:tc>
          <w:tcPr>
            <w:tcW w:w="2213" w:type="dxa"/>
            <w:vAlign w:val="center"/>
          </w:tcPr>
          <w:p>
            <w:pPr>
              <w:adjustRightInd w:val="0"/>
              <w:snapToGrid w:val="0"/>
              <w:jc w:val="center"/>
              <w:rPr>
                <w:color w:val="000000"/>
                <w:sz w:val="24"/>
              </w:rPr>
            </w:pPr>
          </w:p>
        </w:tc>
        <w:tc>
          <w:tcPr>
            <w:tcW w:w="1973" w:type="dxa"/>
            <w:vAlign w:val="center"/>
          </w:tcPr>
          <w:p>
            <w:pPr>
              <w:adjustRightInd w:val="0"/>
              <w:snapToGrid w:val="0"/>
              <w:jc w:val="center"/>
              <w:rPr>
                <w:color w:val="000000"/>
                <w:sz w:val="24"/>
              </w:rPr>
            </w:pPr>
          </w:p>
        </w:tc>
        <w:tc>
          <w:tcPr>
            <w:tcW w:w="1740" w:type="dxa"/>
            <w:vAlign w:val="center"/>
          </w:tcPr>
          <w:p>
            <w:pPr>
              <w:adjustRightInd w:val="0"/>
              <w:snapToGrid w:val="0"/>
              <w:jc w:val="center"/>
              <w:rPr>
                <w:color w:val="000000"/>
                <w:sz w:val="24"/>
              </w:rPr>
            </w:pPr>
          </w:p>
        </w:tc>
        <w:tc>
          <w:tcPr>
            <w:tcW w:w="9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719" w:type="dxa"/>
            <w:vAlign w:val="center"/>
          </w:tcPr>
          <w:p>
            <w:pPr>
              <w:adjustRightInd w:val="0"/>
              <w:snapToGrid w:val="0"/>
              <w:jc w:val="center"/>
              <w:rPr>
                <w:color w:val="000000"/>
                <w:sz w:val="24"/>
              </w:rPr>
            </w:pPr>
          </w:p>
        </w:tc>
        <w:tc>
          <w:tcPr>
            <w:tcW w:w="1375" w:type="dxa"/>
            <w:vAlign w:val="center"/>
          </w:tcPr>
          <w:p>
            <w:pPr>
              <w:adjustRightInd w:val="0"/>
              <w:snapToGrid w:val="0"/>
              <w:jc w:val="center"/>
              <w:rPr>
                <w:color w:val="000000"/>
                <w:sz w:val="24"/>
              </w:rPr>
            </w:pPr>
          </w:p>
        </w:tc>
        <w:tc>
          <w:tcPr>
            <w:tcW w:w="2213" w:type="dxa"/>
            <w:vAlign w:val="center"/>
          </w:tcPr>
          <w:p>
            <w:pPr>
              <w:adjustRightInd w:val="0"/>
              <w:snapToGrid w:val="0"/>
              <w:jc w:val="center"/>
              <w:rPr>
                <w:color w:val="000000"/>
                <w:sz w:val="24"/>
              </w:rPr>
            </w:pPr>
          </w:p>
        </w:tc>
        <w:tc>
          <w:tcPr>
            <w:tcW w:w="1973" w:type="dxa"/>
            <w:vAlign w:val="center"/>
          </w:tcPr>
          <w:p>
            <w:pPr>
              <w:adjustRightInd w:val="0"/>
              <w:snapToGrid w:val="0"/>
              <w:jc w:val="center"/>
              <w:rPr>
                <w:color w:val="000000"/>
                <w:sz w:val="24"/>
              </w:rPr>
            </w:pPr>
          </w:p>
        </w:tc>
        <w:tc>
          <w:tcPr>
            <w:tcW w:w="1740" w:type="dxa"/>
            <w:vAlign w:val="center"/>
          </w:tcPr>
          <w:p>
            <w:pPr>
              <w:adjustRightInd w:val="0"/>
              <w:snapToGrid w:val="0"/>
              <w:jc w:val="center"/>
              <w:rPr>
                <w:color w:val="000000"/>
                <w:sz w:val="24"/>
              </w:rPr>
            </w:pPr>
          </w:p>
        </w:tc>
        <w:tc>
          <w:tcPr>
            <w:tcW w:w="936"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19" w:type="dxa"/>
            <w:vAlign w:val="center"/>
          </w:tcPr>
          <w:p>
            <w:pPr>
              <w:adjustRightInd w:val="0"/>
              <w:snapToGrid w:val="0"/>
              <w:jc w:val="center"/>
              <w:rPr>
                <w:color w:val="000000"/>
                <w:sz w:val="24"/>
              </w:rPr>
            </w:pPr>
          </w:p>
        </w:tc>
        <w:tc>
          <w:tcPr>
            <w:tcW w:w="1375" w:type="dxa"/>
            <w:vAlign w:val="center"/>
          </w:tcPr>
          <w:p>
            <w:pPr>
              <w:adjustRightInd w:val="0"/>
              <w:snapToGrid w:val="0"/>
              <w:jc w:val="center"/>
              <w:rPr>
                <w:color w:val="000000"/>
                <w:sz w:val="24"/>
              </w:rPr>
            </w:pPr>
          </w:p>
        </w:tc>
        <w:tc>
          <w:tcPr>
            <w:tcW w:w="2213" w:type="dxa"/>
            <w:vAlign w:val="center"/>
          </w:tcPr>
          <w:p>
            <w:pPr>
              <w:adjustRightInd w:val="0"/>
              <w:snapToGrid w:val="0"/>
              <w:jc w:val="center"/>
              <w:rPr>
                <w:color w:val="000000"/>
                <w:sz w:val="24"/>
              </w:rPr>
            </w:pPr>
          </w:p>
        </w:tc>
        <w:tc>
          <w:tcPr>
            <w:tcW w:w="1973" w:type="dxa"/>
            <w:vAlign w:val="center"/>
          </w:tcPr>
          <w:p>
            <w:pPr>
              <w:adjustRightInd w:val="0"/>
              <w:snapToGrid w:val="0"/>
              <w:jc w:val="center"/>
              <w:rPr>
                <w:color w:val="000000"/>
                <w:sz w:val="24"/>
              </w:rPr>
            </w:pPr>
          </w:p>
        </w:tc>
        <w:tc>
          <w:tcPr>
            <w:tcW w:w="1740" w:type="dxa"/>
            <w:vAlign w:val="center"/>
          </w:tcPr>
          <w:p>
            <w:pPr>
              <w:adjustRightInd w:val="0"/>
              <w:snapToGrid w:val="0"/>
              <w:jc w:val="center"/>
              <w:rPr>
                <w:color w:val="000000"/>
                <w:sz w:val="24"/>
              </w:rPr>
            </w:pPr>
          </w:p>
        </w:tc>
        <w:tc>
          <w:tcPr>
            <w:tcW w:w="936" w:type="dxa"/>
            <w:vAlign w:val="center"/>
          </w:tcPr>
          <w:p>
            <w:pPr>
              <w:adjustRightInd w:val="0"/>
              <w:snapToGrid w:val="0"/>
              <w:jc w:val="center"/>
              <w:rPr>
                <w:color w:val="000000"/>
                <w:sz w:val="24"/>
              </w:rPr>
            </w:pPr>
          </w:p>
        </w:tc>
      </w:tr>
    </w:tbl>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注：</w:t>
      </w:r>
    </w:p>
    <w:p>
      <w:pPr>
        <w:spacing w:line="360" w:lineRule="auto"/>
        <w:ind w:firstLine="480" w:firstLineChars="200"/>
        <w:rPr>
          <w:rFonts w:ascii="宋体" w:hAnsi="宋体" w:cs="宋体"/>
          <w:sz w:val="24"/>
          <w:szCs w:val="24"/>
        </w:rPr>
      </w:pPr>
      <w:r>
        <w:rPr>
          <w:rFonts w:hint="eastAsia" w:ascii="宋体" w:hAnsi="宋体" w:cs="宋体"/>
          <w:color w:val="000000"/>
          <w:sz w:val="24"/>
          <w:szCs w:val="24"/>
        </w:rPr>
        <w:t>1</w:t>
      </w:r>
      <w:r>
        <w:rPr>
          <w:rFonts w:ascii="宋体" w:hAnsi="宋体" w:cs="宋体"/>
          <w:color w:val="000000"/>
          <w:sz w:val="24"/>
          <w:szCs w:val="24"/>
        </w:rPr>
        <w:t>.对招标文件中的所有商务、技术要求，除本表所列明的所有偏离外，均视作</w:t>
      </w:r>
      <w:r>
        <w:rPr>
          <w:rFonts w:hint="eastAsia" w:ascii="宋体" w:hAnsi="宋体" w:cs="宋体"/>
          <w:color w:val="000000"/>
          <w:sz w:val="24"/>
          <w:szCs w:val="24"/>
        </w:rPr>
        <w:t>投标人</w:t>
      </w:r>
      <w:r>
        <w:rPr>
          <w:rFonts w:ascii="宋体" w:hAnsi="宋体" w:cs="宋体"/>
          <w:color w:val="000000"/>
          <w:sz w:val="24"/>
          <w:szCs w:val="24"/>
        </w:rPr>
        <w:t>已对之理解和</w:t>
      </w:r>
      <w:r>
        <w:rPr>
          <w:rFonts w:hint="eastAsia" w:ascii="宋体" w:hAnsi="宋体" w:cs="宋体"/>
          <w:color w:val="000000"/>
          <w:sz w:val="24"/>
          <w:szCs w:val="24"/>
        </w:rPr>
        <w:t>响应</w:t>
      </w:r>
      <w:r>
        <w:rPr>
          <w:rFonts w:ascii="宋体" w:hAnsi="宋体" w:cs="宋体"/>
          <w:color w:val="000000"/>
          <w:sz w:val="24"/>
          <w:szCs w:val="24"/>
        </w:rPr>
        <w:t>。</w:t>
      </w:r>
      <w:r>
        <w:rPr>
          <w:rFonts w:hint="eastAsia" w:ascii="宋体" w:hAnsi="宋体" w:cs="宋体"/>
          <w:sz w:val="24"/>
          <w:szCs w:val="24"/>
        </w:rPr>
        <w:t>此表中若无任何文字说明，内容为空白，评分时下降一个档次。</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“偏离情况”列应</w:t>
      </w:r>
      <w:r>
        <w:rPr>
          <w:rFonts w:ascii="宋体" w:hAnsi="宋体" w:cs="宋体"/>
          <w:color w:val="000000"/>
          <w:sz w:val="24"/>
          <w:szCs w:val="24"/>
        </w:rPr>
        <w:t>据实</w:t>
      </w:r>
      <w:r>
        <w:rPr>
          <w:rFonts w:hint="eastAsia" w:ascii="宋体" w:hAnsi="宋体" w:cs="宋体"/>
          <w:color w:val="000000"/>
          <w:sz w:val="24"/>
          <w:szCs w:val="24"/>
        </w:rPr>
        <w:t>填写“正偏离”或“负偏离”或“无偏离”。</w:t>
      </w:r>
    </w:p>
    <w:p>
      <w:pPr>
        <w:pStyle w:val="23"/>
        <w:spacing w:line="360" w:lineRule="auto"/>
        <w:ind w:firstLine="480"/>
        <w:rPr>
          <w:rFonts w:hAnsi="宋体" w:cs="宋体"/>
          <w:color w:val="000000"/>
          <w:sz w:val="24"/>
          <w:szCs w:val="24"/>
        </w:rPr>
      </w:pPr>
    </w:p>
    <w:p>
      <w:pPr>
        <w:pStyle w:val="23"/>
        <w:tabs>
          <w:tab w:val="left" w:pos="5580"/>
        </w:tabs>
        <w:adjustRightInd w:val="0"/>
        <w:snapToGrid w:val="0"/>
        <w:spacing w:line="360" w:lineRule="auto"/>
        <w:rPr>
          <w:rFonts w:hAnsi="宋体" w:cs="宋体"/>
          <w:color w:val="000000"/>
          <w:sz w:val="24"/>
          <w:szCs w:val="24"/>
        </w:rPr>
      </w:pPr>
      <w:r>
        <w:rPr>
          <w:rFonts w:hint="eastAsia" w:hAnsi="宋体" w:cs="宋体"/>
          <w:color w:val="000000"/>
          <w:sz w:val="24"/>
          <w:szCs w:val="24"/>
        </w:rPr>
        <w:t>投标人名称（盖章）：</w:t>
      </w:r>
    </w:p>
    <w:p>
      <w:pPr>
        <w:pStyle w:val="23"/>
        <w:tabs>
          <w:tab w:val="left" w:pos="5100"/>
        </w:tabs>
        <w:adjustRightInd w:val="0"/>
        <w:snapToGrid w:val="0"/>
        <w:spacing w:line="360" w:lineRule="auto"/>
        <w:rPr>
          <w:rFonts w:hAnsi="宋体" w:cs="宋体"/>
          <w:color w:val="000000"/>
          <w:sz w:val="24"/>
          <w:szCs w:val="24"/>
          <w:u w:val="single"/>
        </w:rPr>
      </w:pPr>
      <w:r>
        <w:rPr>
          <w:rFonts w:hint="eastAsia" w:hAnsi="宋体" w:cs="宋体"/>
          <w:bCs/>
          <w:color w:val="000000"/>
          <w:sz w:val="24"/>
          <w:szCs w:val="24"/>
        </w:rPr>
        <w:t>法定代表人或其委托代理人</w:t>
      </w:r>
      <w:r>
        <w:rPr>
          <w:rFonts w:hint="eastAsia" w:hAnsi="宋体" w:cs="宋体"/>
          <w:color w:val="000000"/>
          <w:sz w:val="24"/>
          <w:szCs w:val="24"/>
        </w:rPr>
        <w:t>(签字或盖章)：</w:t>
      </w:r>
    </w:p>
    <w:p>
      <w:pPr>
        <w:pStyle w:val="4"/>
        <w:spacing w:line="360" w:lineRule="auto"/>
        <w:ind w:firstLine="0"/>
        <w:rPr>
          <w:rFonts w:ascii="宋体" w:hAnsi="宋体" w:cs="宋体"/>
          <w:color w:val="000000"/>
          <w:sz w:val="24"/>
          <w:szCs w:val="24"/>
        </w:rPr>
      </w:pPr>
      <w:r>
        <w:rPr>
          <w:rFonts w:hint="eastAsia" w:ascii="宋体" w:hAnsi="宋体" w:cs="宋体"/>
          <w:color w:val="000000"/>
          <w:sz w:val="24"/>
          <w:szCs w:val="24"/>
        </w:rPr>
        <w:t>日期：</w:t>
      </w:r>
    </w:p>
    <w:p>
      <w:pPr>
        <w:pStyle w:val="2"/>
        <w:spacing w:line="360" w:lineRule="auto"/>
        <w:rPr>
          <w:rFonts w:ascii="宋体" w:hAnsi="宋体" w:eastAsiaTheme="minorEastAsia"/>
          <w:color w:val="000000"/>
          <w:szCs w:val="28"/>
        </w:rPr>
      </w:pPr>
      <w:r>
        <w:rPr>
          <w:rFonts w:hint="eastAsia" w:ascii="宋体" w:hAnsi="宋体"/>
          <w:color w:val="000000"/>
          <w:sz w:val="24"/>
          <w:szCs w:val="24"/>
        </w:rPr>
        <w:br w:type="page"/>
      </w:r>
      <w:bookmarkStart w:id="387" w:name="_Toc100786151"/>
      <w:bookmarkStart w:id="388" w:name="_Toc18165"/>
      <w:r>
        <w:rPr>
          <w:rFonts w:hint="eastAsia" w:ascii="宋体" w:hAnsi="宋体"/>
          <w:color w:val="000000"/>
          <w:szCs w:val="28"/>
        </w:rPr>
        <w:t xml:space="preserve">附件5  </w:t>
      </w:r>
      <w:bookmarkEnd w:id="387"/>
      <w:bookmarkEnd w:id="388"/>
      <w:r>
        <w:rPr>
          <w:rFonts w:hint="eastAsia" w:asciiTheme="minorEastAsia" w:hAnsiTheme="minorEastAsia" w:eastAsiaTheme="minorEastAsia"/>
          <w:color w:val="000000"/>
          <w:szCs w:val="28"/>
        </w:rPr>
        <w:t>合同条款偏离表（实质性格式）</w:t>
      </w:r>
    </w:p>
    <w:p>
      <w:pPr>
        <w:spacing w:line="360" w:lineRule="auto"/>
        <w:ind w:firstLine="360"/>
        <w:rPr>
          <w:rFonts w:ascii="宋体" w:hAnsi="宋体" w:cs="宋体"/>
          <w:color w:val="000000"/>
          <w:sz w:val="24"/>
          <w:szCs w:val="24"/>
        </w:rPr>
      </w:pPr>
    </w:p>
    <w:p>
      <w:pPr>
        <w:pStyle w:val="23"/>
        <w:spacing w:line="360" w:lineRule="auto"/>
        <w:jc w:val="left"/>
        <w:rPr>
          <w:rFonts w:hAnsi="宋体" w:cs="宋体"/>
          <w:color w:val="000000"/>
          <w:sz w:val="24"/>
          <w:szCs w:val="24"/>
        </w:rPr>
      </w:pPr>
      <w:r>
        <w:rPr>
          <w:rFonts w:hint="eastAsia" w:hAnsi="宋体" w:cs="宋体"/>
          <w:color w:val="000000"/>
          <w:sz w:val="24"/>
          <w:szCs w:val="24"/>
        </w:rPr>
        <w:t>项目名称：招标编号：</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1219"/>
        <w:gridCol w:w="1796"/>
        <w:gridCol w:w="1797"/>
        <w:gridCol w:w="218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jc w:val="left"/>
              <w:rPr>
                <w:b/>
                <w:color w:val="000000"/>
                <w:sz w:val="24"/>
              </w:rPr>
            </w:pPr>
            <w:r>
              <w:rPr>
                <w:b/>
                <w:color w:val="000000"/>
                <w:sz w:val="24"/>
              </w:rPr>
              <w:t>对本</w:t>
            </w:r>
            <w:r>
              <w:rPr>
                <w:rFonts w:hint="eastAsia"/>
                <w:b/>
                <w:color w:val="000000"/>
                <w:sz w:val="24"/>
              </w:rPr>
              <w:t>项目</w:t>
            </w:r>
            <w:r>
              <w:rPr>
                <w:b/>
                <w:color w:val="000000"/>
                <w:sz w:val="24"/>
              </w:rPr>
              <w:t>合同条款的偏离情况（请进行勾选）：</w:t>
            </w:r>
          </w:p>
          <w:p>
            <w:pPr>
              <w:adjustRightInd w:val="0"/>
              <w:snapToGrid w:val="0"/>
              <w:jc w:val="left"/>
              <w:rPr>
                <w:b/>
                <w:color w:val="000000"/>
                <w:sz w:val="24"/>
              </w:rPr>
            </w:pPr>
            <w:r>
              <w:rPr>
                <w:b/>
                <w:color w:val="000000"/>
                <w:sz w:val="24"/>
              </w:rPr>
              <w:t>□无偏离</w:t>
            </w:r>
            <w:r>
              <w:rPr>
                <w:color w:val="000000"/>
                <w:sz w:val="24"/>
              </w:rPr>
              <w:t>（</w:t>
            </w:r>
            <w:r>
              <w:rPr>
                <w:color w:val="000000"/>
                <w:sz w:val="24"/>
                <w:szCs w:val="21"/>
              </w:rPr>
              <w:t>如无偏离，仅勾选无偏离即可</w:t>
            </w:r>
            <w:r>
              <w:rPr>
                <w:color w:val="000000"/>
                <w:sz w:val="24"/>
              </w:rPr>
              <w:t>）</w:t>
            </w:r>
          </w:p>
          <w:p>
            <w:pPr>
              <w:adjustRightInd w:val="0"/>
              <w:snapToGrid w:val="0"/>
              <w:jc w:val="left"/>
              <w:rPr>
                <w:color w:val="000000"/>
                <w:sz w:val="24"/>
              </w:rPr>
            </w:pPr>
            <w:r>
              <w:rPr>
                <w:b/>
                <w:color w:val="000000"/>
                <w:sz w:val="24"/>
              </w:rPr>
              <w:t>□有偏离</w:t>
            </w:r>
            <w:r>
              <w:rPr>
                <w:color w:val="000000"/>
                <w:sz w:val="24"/>
              </w:rPr>
              <w:t>（</w:t>
            </w:r>
            <w:r>
              <w:rPr>
                <w:color w:val="000000"/>
                <w:sz w:val="24"/>
                <w:szCs w:val="21"/>
              </w:rPr>
              <w:t>如有偏离，</w:t>
            </w:r>
            <w:r>
              <w:rPr>
                <w:color w:val="000000"/>
                <w:sz w:val="24"/>
              </w:rPr>
              <w:t>则</w:t>
            </w:r>
            <w:r>
              <w:rPr>
                <w:rFonts w:hint="eastAsia"/>
                <w:color w:val="000000"/>
                <w:sz w:val="24"/>
              </w:rPr>
              <w:t>应</w:t>
            </w:r>
            <w:r>
              <w:rPr>
                <w:color w:val="000000"/>
                <w:sz w:val="24"/>
              </w:rPr>
              <w:t>在本表中对偏离项逐一列明）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r>
              <w:rPr>
                <w:color w:val="000000"/>
                <w:sz w:val="24"/>
              </w:rPr>
              <w:t>序号</w:t>
            </w:r>
          </w:p>
        </w:tc>
        <w:tc>
          <w:tcPr>
            <w:tcW w:w="1301" w:type="dxa"/>
            <w:vAlign w:val="center"/>
          </w:tcPr>
          <w:p>
            <w:pPr>
              <w:adjustRightInd w:val="0"/>
              <w:snapToGrid w:val="0"/>
              <w:jc w:val="center"/>
              <w:rPr>
                <w:color w:val="000000"/>
                <w:sz w:val="24"/>
              </w:rPr>
            </w:pPr>
            <w:r>
              <w:rPr>
                <w:color w:val="000000"/>
                <w:sz w:val="24"/>
                <w:szCs w:val="21"/>
              </w:rPr>
              <w:t>招标文件</w:t>
            </w:r>
            <w:r>
              <w:rPr>
                <w:color w:val="000000"/>
                <w:sz w:val="24"/>
              </w:rPr>
              <w:t>条目号（页码）</w:t>
            </w:r>
          </w:p>
        </w:tc>
        <w:tc>
          <w:tcPr>
            <w:tcW w:w="2007" w:type="dxa"/>
            <w:vAlign w:val="center"/>
          </w:tcPr>
          <w:p>
            <w:pPr>
              <w:adjustRightInd w:val="0"/>
              <w:snapToGrid w:val="0"/>
              <w:jc w:val="center"/>
              <w:rPr>
                <w:color w:val="000000"/>
                <w:sz w:val="24"/>
              </w:rPr>
            </w:pPr>
            <w:r>
              <w:rPr>
                <w:color w:val="000000"/>
                <w:sz w:val="24"/>
                <w:szCs w:val="21"/>
              </w:rPr>
              <w:t>招标文件</w:t>
            </w:r>
            <w:r>
              <w:rPr>
                <w:color w:val="000000"/>
                <w:sz w:val="24"/>
              </w:rPr>
              <w:t>要求</w:t>
            </w:r>
          </w:p>
        </w:tc>
        <w:tc>
          <w:tcPr>
            <w:tcW w:w="2008" w:type="dxa"/>
            <w:vAlign w:val="center"/>
          </w:tcPr>
          <w:p>
            <w:pPr>
              <w:adjustRightInd w:val="0"/>
              <w:snapToGrid w:val="0"/>
              <w:jc w:val="center"/>
              <w:rPr>
                <w:color w:val="000000"/>
                <w:sz w:val="24"/>
              </w:rPr>
            </w:pPr>
            <w:r>
              <w:rPr>
                <w:color w:val="000000"/>
                <w:sz w:val="24"/>
              </w:rPr>
              <w:t>投标文件内容</w:t>
            </w:r>
          </w:p>
        </w:tc>
        <w:tc>
          <w:tcPr>
            <w:tcW w:w="2458" w:type="dxa"/>
            <w:vAlign w:val="center"/>
          </w:tcPr>
          <w:p>
            <w:pPr>
              <w:adjustRightInd w:val="0"/>
              <w:snapToGrid w:val="0"/>
              <w:jc w:val="center"/>
              <w:rPr>
                <w:color w:val="000000"/>
                <w:sz w:val="24"/>
              </w:rPr>
            </w:pPr>
            <w:r>
              <w:rPr>
                <w:color w:val="000000"/>
                <w:sz w:val="24"/>
              </w:rPr>
              <w:t>偏离情况</w:t>
            </w:r>
          </w:p>
        </w:tc>
        <w:tc>
          <w:tcPr>
            <w:tcW w:w="788" w:type="dxa"/>
            <w:vAlign w:val="center"/>
          </w:tcPr>
          <w:p>
            <w:pPr>
              <w:adjustRightInd w:val="0"/>
              <w:snapToGrid w:val="0"/>
              <w:jc w:val="center"/>
              <w:rPr>
                <w:color w:val="000000"/>
                <w:sz w:val="24"/>
              </w:rPr>
            </w:pPr>
            <w:r>
              <w:rPr>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jc w:val="center"/>
              <w:rPr>
                <w:color w:val="000000"/>
                <w:sz w:val="24"/>
              </w:rPr>
            </w:pPr>
          </w:p>
        </w:tc>
        <w:tc>
          <w:tcPr>
            <w:tcW w:w="1301" w:type="dxa"/>
            <w:vAlign w:val="center"/>
          </w:tcPr>
          <w:p>
            <w:pPr>
              <w:adjustRightInd w:val="0"/>
              <w:snapToGrid w:val="0"/>
              <w:jc w:val="center"/>
              <w:rPr>
                <w:color w:val="000000"/>
                <w:sz w:val="24"/>
              </w:rPr>
            </w:pPr>
          </w:p>
        </w:tc>
        <w:tc>
          <w:tcPr>
            <w:tcW w:w="2007" w:type="dxa"/>
            <w:vAlign w:val="center"/>
          </w:tcPr>
          <w:p>
            <w:pPr>
              <w:adjustRightInd w:val="0"/>
              <w:snapToGrid w:val="0"/>
              <w:jc w:val="center"/>
              <w:rPr>
                <w:color w:val="000000"/>
                <w:sz w:val="24"/>
              </w:rPr>
            </w:pPr>
          </w:p>
        </w:tc>
        <w:tc>
          <w:tcPr>
            <w:tcW w:w="2008" w:type="dxa"/>
            <w:vAlign w:val="center"/>
          </w:tcPr>
          <w:p>
            <w:pPr>
              <w:adjustRightInd w:val="0"/>
              <w:snapToGrid w:val="0"/>
              <w:jc w:val="center"/>
              <w:rPr>
                <w:color w:val="000000"/>
                <w:sz w:val="24"/>
              </w:rPr>
            </w:pPr>
          </w:p>
        </w:tc>
        <w:tc>
          <w:tcPr>
            <w:tcW w:w="2458" w:type="dxa"/>
            <w:vAlign w:val="center"/>
          </w:tcPr>
          <w:p>
            <w:pPr>
              <w:adjustRightInd w:val="0"/>
              <w:snapToGrid w:val="0"/>
              <w:jc w:val="center"/>
              <w:rPr>
                <w:color w:val="000000"/>
                <w:sz w:val="24"/>
              </w:rPr>
            </w:pPr>
          </w:p>
        </w:tc>
        <w:tc>
          <w:tcPr>
            <w:tcW w:w="788" w:type="dxa"/>
            <w:vAlign w:val="center"/>
          </w:tcPr>
          <w:p>
            <w:pPr>
              <w:adjustRightInd w:val="0"/>
              <w:snapToGrid w:val="0"/>
              <w:jc w:val="center"/>
              <w:rPr>
                <w:color w:val="000000"/>
                <w:sz w:val="24"/>
              </w:rPr>
            </w:pPr>
          </w:p>
        </w:tc>
      </w:tr>
    </w:tbl>
    <w:p>
      <w:pPr>
        <w:pStyle w:val="23"/>
        <w:spacing w:line="360" w:lineRule="auto"/>
        <w:ind w:firstLine="480"/>
        <w:rPr>
          <w:rFonts w:hAnsi="宋体" w:cs="宋体"/>
          <w:color w:val="000000"/>
          <w:sz w:val="24"/>
          <w:szCs w:val="24"/>
        </w:rPr>
      </w:pPr>
      <w:r>
        <w:rPr>
          <w:rFonts w:hAnsi="宋体" w:cs="宋体"/>
          <w:color w:val="000000"/>
          <w:sz w:val="24"/>
          <w:szCs w:val="24"/>
        </w:rPr>
        <w:t>注：</w:t>
      </w:r>
    </w:p>
    <w:p>
      <w:pPr>
        <w:pStyle w:val="23"/>
        <w:spacing w:line="360" w:lineRule="auto"/>
        <w:ind w:firstLine="480"/>
        <w:rPr>
          <w:rFonts w:hAnsi="宋体" w:cs="宋体"/>
          <w:color w:val="000000"/>
          <w:sz w:val="24"/>
          <w:szCs w:val="24"/>
        </w:rPr>
      </w:pPr>
      <w:r>
        <w:rPr>
          <w:rFonts w:hint="eastAsia" w:hAnsi="宋体" w:cs="宋体"/>
          <w:color w:val="000000"/>
          <w:sz w:val="24"/>
          <w:szCs w:val="24"/>
        </w:rPr>
        <w:t>1</w:t>
      </w:r>
      <w:r>
        <w:rPr>
          <w:rFonts w:hAnsi="宋体" w:cs="宋体"/>
          <w:color w:val="000000"/>
          <w:sz w:val="24"/>
          <w:szCs w:val="24"/>
        </w:rPr>
        <w:t>.对合同条款中的所有要求，除本表所列明的所有偏离外，均视作投标人已对之理解和</w:t>
      </w:r>
      <w:r>
        <w:rPr>
          <w:rFonts w:hint="eastAsia" w:hAnsi="宋体" w:cs="宋体"/>
          <w:color w:val="000000"/>
          <w:sz w:val="24"/>
          <w:szCs w:val="24"/>
        </w:rPr>
        <w:t>响应</w:t>
      </w:r>
      <w:r>
        <w:rPr>
          <w:rFonts w:hAnsi="宋体" w:cs="宋体"/>
          <w:color w:val="000000"/>
          <w:sz w:val="24"/>
          <w:szCs w:val="24"/>
        </w:rPr>
        <w:t>。</w:t>
      </w:r>
    </w:p>
    <w:p>
      <w:pPr>
        <w:pStyle w:val="23"/>
        <w:spacing w:line="360" w:lineRule="auto"/>
        <w:ind w:firstLine="480"/>
        <w:rPr>
          <w:rFonts w:hAnsi="宋体" w:cs="宋体"/>
          <w:color w:val="000000"/>
          <w:sz w:val="24"/>
          <w:szCs w:val="24"/>
        </w:rPr>
      </w:pPr>
      <w:r>
        <w:rPr>
          <w:rFonts w:hint="eastAsia" w:hAnsi="宋体" w:cs="宋体"/>
          <w:color w:val="000000"/>
          <w:sz w:val="24"/>
          <w:szCs w:val="24"/>
        </w:rPr>
        <w:t>2</w:t>
      </w:r>
      <w:r>
        <w:rPr>
          <w:rFonts w:hAnsi="宋体" w:cs="宋体"/>
          <w:color w:val="000000"/>
          <w:sz w:val="24"/>
          <w:szCs w:val="24"/>
        </w:rPr>
        <w:t>.</w:t>
      </w:r>
      <w:r>
        <w:rPr>
          <w:rFonts w:hint="eastAsia" w:hAnsi="宋体" w:cs="宋体"/>
          <w:color w:val="000000"/>
          <w:sz w:val="24"/>
          <w:szCs w:val="24"/>
        </w:rPr>
        <w:t>“偏离情况”列应</w:t>
      </w:r>
      <w:r>
        <w:rPr>
          <w:rFonts w:hAnsi="宋体" w:cs="宋体"/>
          <w:color w:val="000000"/>
          <w:sz w:val="24"/>
          <w:szCs w:val="24"/>
        </w:rPr>
        <w:t>据实</w:t>
      </w:r>
      <w:r>
        <w:rPr>
          <w:rFonts w:hint="eastAsia" w:hAnsi="宋体" w:cs="宋体"/>
          <w:color w:val="000000"/>
          <w:sz w:val="24"/>
          <w:szCs w:val="24"/>
        </w:rPr>
        <w:t>填写“正偏离”或“负偏离”。</w:t>
      </w:r>
    </w:p>
    <w:p>
      <w:pPr>
        <w:pStyle w:val="23"/>
        <w:tabs>
          <w:tab w:val="left" w:pos="5580"/>
        </w:tabs>
        <w:spacing w:line="360" w:lineRule="auto"/>
        <w:rPr>
          <w:rFonts w:hAnsi="宋体" w:cs="宋体"/>
          <w:color w:val="000000"/>
          <w:sz w:val="24"/>
          <w:szCs w:val="24"/>
        </w:rPr>
      </w:pPr>
    </w:p>
    <w:p>
      <w:pPr>
        <w:pStyle w:val="23"/>
        <w:tabs>
          <w:tab w:val="left" w:pos="5580"/>
        </w:tabs>
        <w:adjustRightInd w:val="0"/>
        <w:snapToGrid w:val="0"/>
        <w:spacing w:line="360" w:lineRule="auto"/>
        <w:rPr>
          <w:rFonts w:hAnsi="宋体" w:cs="宋体"/>
          <w:color w:val="000000"/>
          <w:sz w:val="24"/>
          <w:szCs w:val="24"/>
        </w:rPr>
      </w:pPr>
      <w:r>
        <w:rPr>
          <w:rFonts w:hint="eastAsia" w:hAnsi="宋体" w:cs="宋体"/>
          <w:color w:val="000000"/>
          <w:sz w:val="24"/>
          <w:szCs w:val="24"/>
        </w:rPr>
        <w:t>投标人名称（盖章）：</w:t>
      </w:r>
    </w:p>
    <w:p>
      <w:pPr>
        <w:pStyle w:val="23"/>
        <w:tabs>
          <w:tab w:val="left" w:pos="5100"/>
        </w:tabs>
        <w:adjustRightInd w:val="0"/>
        <w:snapToGrid w:val="0"/>
        <w:spacing w:line="360" w:lineRule="auto"/>
        <w:rPr>
          <w:rFonts w:hAnsi="宋体" w:cs="宋体"/>
          <w:color w:val="000000"/>
          <w:sz w:val="24"/>
          <w:szCs w:val="24"/>
          <w:u w:val="single"/>
        </w:rPr>
      </w:pPr>
      <w:r>
        <w:rPr>
          <w:rFonts w:hint="eastAsia" w:hAnsi="宋体" w:cs="宋体"/>
          <w:bCs/>
          <w:color w:val="000000"/>
          <w:sz w:val="24"/>
          <w:szCs w:val="24"/>
        </w:rPr>
        <w:t>法定代表人或其委托代理人</w:t>
      </w:r>
      <w:r>
        <w:rPr>
          <w:rFonts w:hint="eastAsia" w:hAnsi="宋体" w:cs="宋体"/>
          <w:color w:val="000000"/>
          <w:sz w:val="24"/>
          <w:szCs w:val="24"/>
        </w:rPr>
        <w:t>(签字或盖章)：</w:t>
      </w:r>
    </w:p>
    <w:p>
      <w:pPr>
        <w:pStyle w:val="4"/>
        <w:spacing w:line="360" w:lineRule="auto"/>
        <w:ind w:firstLine="0"/>
        <w:rPr>
          <w:rFonts w:ascii="宋体" w:hAnsi="宋体" w:cs="宋体"/>
          <w:color w:val="000000"/>
          <w:sz w:val="24"/>
          <w:szCs w:val="24"/>
        </w:rPr>
      </w:pPr>
      <w:r>
        <w:rPr>
          <w:rFonts w:hint="eastAsia" w:ascii="宋体" w:hAnsi="宋体" w:cs="宋体"/>
          <w:color w:val="000000"/>
          <w:sz w:val="24"/>
          <w:szCs w:val="24"/>
        </w:rPr>
        <w:t>日期：</w:t>
      </w:r>
    </w:p>
    <w:p>
      <w:pPr>
        <w:rPr>
          <w:rFonts w:ascii="宋体" w:hAnsi="宋体"/>
          <w:color w:val="000000"/>
          <w:szCs w:val="28"/>
        </w:rPr>
      </w:pPr>
      <w:bookmarkStart w:id="389" w:name="_Toc100786152"/>
      <w:bookmarkStart w:id="390" w:name="_Toc8948"/>
      <w:r>
        <w:rPr>
          <w:rFonts w:hint="eastAsia" w:ascii="宋体" w:hAnsi="宋体"/>
          <w:color w:val="000000"/>
          <w:szCs w:val="28"/>
        </w:rPr>
        <w:br w:type="page"/>
      </w:r>
    </w:p>
    <w:p>
      <w:pPr>
        <w:pStyle w:val="2"/>
        <w:spacing w:line="360" w:lineRule="auto"/>
        <w:ind w:left="0" w:firstLine="0"/>
        <w:rPr>
          <w:rFonts w:ascii="宋体" w:hAnsi="宋体"/>
          <w:color w:val="000000"/>
          <w:sz w:val="24"/>
          <w:szCs w:val="24"/>
        </w:rPr>
      </w:pPr>
      <w:r>
        <w:rPr>
          <w:rFonts w:hint="eastAsia" w:ascii="宋体" w:hAnsi="宋体"/>
          <w:color w:val="000000"/>
          <w:szCs w:val="28"/>
        </w:rPr>
        <w:t>附件6  证明文件</w:t>
      </w:r>
      <w:bookmarkEnd w:id="389"/>
      <w:bookmarkEnd w:id="390"/>
    </w:p>
    <w:p>
      <w:pPr>
        <w:snapToGrid w:val="0"/>
        <w:spacing w:line="360" w:lineRule="auto"/>
        <w:rPr>
          <w:rFonts w:ascii="宋体" w:hAnsi="宋体" w:cs="宋体"/>
          <w:b/>
          <w:color w:val="000000"/>
          <w:sz w:val="24"/>
          <w:szCs w:val="24"/>
        </w:rPr>
      </w:pPr>
    </w:p>
    <w:p>
      <w:pPr>
        <w:snapToGrid w:val="0"/>
        <w:spacing w:line="360" w:lineRule="auto"/>
        <w:rPr>
          <w:rFonts w:ascii="宋体" w:hAnsi="宋体" w:cs="宋体"/>
          <w:color w:val="000000"/>
          <w:sz w:val="24"/>
          <w:szCs w:val="24"/>
        </w:rPr>
      </w:pPr>
      <w:r>
        <w:rPr>
          <w:rFonts w:hint="eastAsia" w:ascii="宋体" w:hAnsi="宋体" w:cs="宋体"/>
          <w:b/>
          <w:color w:val="000000"/>
          <w:sz w:val="24"/>
          <w:szCs w:val="24"/>
        </w:rPr>
        <w:t>*</w:t>
      </w:r>
      <w:r>
        <w:rPr>
          <w:rFonts w:hint="eastAsia" w:ascii="宋体" w:hAnsi="宋体" w:cs="宋体"/>
          <w:color w:val="000000"/>
          <w:sz w:val="24"/>
          <w:szCs w:val="24"/>
        </w:rPr>
        <w:t>附件6-1  营业执照等证明文件（复印件并加盖投标人公章）</w:t>
      </w:r>
    </w:p>
    <w:p>
      <w:pPr>
        <w:snapToGrid w:val="0"/>
        <w:spacing w:line="360" w:lineRule="auto"/>
        <w:rPr>
          <w:rFonts w:ascii="宋体" w:hAnsi="宋体" w:cs="宋体"/>
          <w:color w:val="000000"/>
          <w:sz w:val="24"/>
          <w:szCs w:val="24"/>
        </w:rPr>
      </w:pPr>
      <w:r>
        <w:rPr>
          <w:rFonts w:hint="eastAsia" w:ascii="宋体" w:hAnsi="宋体" w:cs="宋体"/>
          <w:b/>
          <w:color w:val="000000"/>
          <w:sz w:val="24"/>
          <w:szCs w:val="24"/>
        </w:rPr>
        <w:t>*</w:t>
      </w:r>
      <w:r>
        <w:rPr>
          <w:rFonts w:hint="eastAsia" w:ascii="宋体" w:hAnsi="宋体" w:cs="宋体"/>
          <w:color w:val="000000"/>
          <w:sz w:val="24"/>
          <w:szCs w:val="24"/>
        </w:rPr>
        <w:t>附件6-2  投标人资格声明书（实质性格式）</w:t>
      </w:r>
    </w:p>
    <w:p>
      <w:pPr>
        <w:snapToGrid w:val="0"/>
        <w:spacing w:line="360" w:lineRule="auto"/>
        <w:rPr>
          <w:rFonts w:ascii="宋体" w:hAnsi="宋体" w:cs="宋体"/>
          <w:color w:val="000000"/>
          <w:sz w:val="24"/>
          <w:szCs w:val="24"/>
        </w:rPr>
      </w:pPr>
      <w:r>
        <w:rPr>
          <w:rFonts w:hint="eastAsia" w:ascii="宋体" w:hAnsi="宋体" w:cs="宋体"/>
          <w:b/>
          <w:color w:val="000000"/>
          <w:sz w:val="24"/>
          <w:szCs w:val="24"/>
        </w:rPr>
        <w:t>*</w:t>
      </w:r>
      <w:r>
        <w:rPr>
          <w:rFonts w:hint="eastAsia" w:ascii="宋体" w:hAnsi="宋体" w:cs="宋体"/>
          <w:color w:val="000000"/>
          <w:sz w:val="24"/>
          <w:szCs w:val="24"/>
        </w:rPr>
        <w:t xml:space="preserve">附件6-3  </w:t>
      </w:r>
      <w:r>
        <w:rPr>
          <w:rFonts w:ascii="宋体" w:hAnsi="宋体" w:cs="宋体"/>
          <w:color w:val="000000"/>
          <w:sz w:val="24"/>
          <w:szCs w:val="24"/>
        </w:rPr>
        <w:t>落实政府采购政策需满足的资格要求</w:t>
      </w:r>
    </w:p>
    <w:p>
      <w:pPr>
        <w:snapToGrid w:val="0"/>
        <w:spacing w:line="360" w:lineRule="auto"/>
        <w:rPr>
          <w:rFonts w:ascii="宋体" w:hAnsi="宋体" w:cs="宋体"/>
          <w:color w:val="000000"/>
          <w:sz w:val="24"/>
          <w:szCs w:val="24"/>
        </w:rPr>
      </w:pPr>
      <w:r>
        <w:rPr>
          <w:rFonts w:hint="eastAsia" w:ascii="宋体" w:hAnsi="宋体" w:cs="宋体"/>
          <w:b/>
          <w:color w:val="000000"/>
          <w:sz w:val="24"/>
          <w:szCs w:val="24"/>
        </w:rPr>
        <w:t>*</w:t>
      </w:r>
      <w:r>
        <w:rPr>
          <w:rFonts w:hint="eastAsia" w:ascii="宋体" w:hAnsi="宋体" w:cs="宋体"/>
          <w:color w:val="000000"/>
          <w:sz w:val="24"/>
          <w:szCs w:val="24"/>
        </w:rPr>
        <w:t>附件6-4  法定代表人授权委托书（实质性格式）</w:t>
      </w:r>
    </w:p>
    <w:p>
      <w:pPr>
        <w:snapToGrid w:val="0"/>
        <w:spacing w:line="360" w:lineRule="auto"/>
        <w:rPr>
          <w:rFonts w:ascii="宋体" w:hAnsi="宋体" w:cs="宋体"/>
          <w:color w:val="000000"/>
          <w:sz w:val="24"/>
          <w:szCs w:val="24"/>
        </w:rPr>
      </w:pPr>
      <w:r>
        <w:rPr>
          <w:rFonts w:hint="eastAsia" w:ascii="宋体" w:hAnsi="宋体" w:cs="宋体"/>
          <w:bCs/>
          <w:color w:val="000000"/>
          <w:sz w:val="24"/>
          <w:szCs w:val="24"/>
        </w:rPr>
        <w:t>附件6-5  招标文件要求的其他证明材料</w:t>
      </w:r>
    </w:p>
    <w:p>
      <w:pPr>
        <w:snapToGrid w:val="0"/>
        <w:spacing w:line="360" w:lineRule="auto"/>
        <w:rPr>
          <w:rFonts w:ascii="宋体" w:hAnsi="宋体" w:cs="宋体"/>
          <w:bCs/>
          <w:color w:val="000000"/>
          <w:sz w:val="24"/>
          <w:szCs w:val="24"/>
        </w:rPr>
      </w:pPr>
      <w:r>
        <w:rPr>
          <w:rFonts w:hint="eastAsia" w:ascii="宋体" w:hAnsi="宋体" w:cs="宋体"/>
          <w:bCs/>
          <w:color w:val="000000"/>
          <w:sz w:val="24"/>
          <w:szCs w:val="24"/>
        </w:rPr>
        <w:t>注：以上附件6-1至附件6-3作为资格审查文件。</w:t>
      </w:r>
    </w:p>
    <w:p>
      <w:pPr>
        <w:snapToGrid w:val="0"/>
        <w:spacing w:line="360" w:lineRule="auto"/>
        <w:rPr>
          <w:rFonts w:ascii="宋体" w:hAnsi="宋体" w:cs="宋体"/>
          <w:bCs/>
          <w:color w:val="000000"/>
          <w:sz w:val="24"/>
          <w:szCs w:val="24"/>
        </w:rPr>
      </w:pP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注：证明文件中划“*”文件是必须提供的资料，缺一项以上（含一项）视为无效投标。</w:t>
      </w:r>
      <w:r>
        <w:rPr>
          <w:rFonts w:hint="eastAsia" w:ascii="宋体" w:hAnsi="宋体" w:cs="宋体"/>
          <w:color w:val="000000"/>
          <w:sz w:val="24"/>
          <w:szCs w:val="24"/>
        </w:rPr>
        <w:br w:type="page"/>
      </w:r>
      <w:bookmarkStart w:id="391" w:name="_Toc8999336"/>
      <w:bookmarkStart w:id="392" w:name="_Toc23556"/>
      <w:bookmarkStart w:id="393" w:name="_Toc13076"/>
      <w:bookmarkStart w:id="394" w:name="_Toc12001"/>
      <w:bookmarkStart w:id="395" w:name="_Toc6794"/>
      <w:bookmarkStart w:id="396" w:name="_Toc3609"/>
      <w:bookmarkStart w:id="397" w:name="_Toc24512"/>
      <w:bookmarkStart w:id="398" w:name="_Toc7015"/>
      <w:bookmarkStart w:id="399" w:name="_Toc496291393"/>
    </w:p>
    <w:p>
      <w:pPr>
        <w:pStyle w:val="3"/>
        <w:spacing w:line="360" w:lineRule="auto"/>
        <w:rPr>
          <w:rFonts w:ascii="宋体" w:hAnsi="宋体" w:cs="宋体"/>
          <w:b/>
          <w:bCs/>
          <w:color w:val="000000"/>
          <w:sz w:val="24"/>
          <w:szCs w:val="24"/>
        </w:rPr>
      </w:pPr>
      <w:bookmarkStart w:id="400" w:name="_Toc85461413"/>
      <w:bookmarkStart w:id="401" w:name="_Toc15435052"/>
      <w:bookmarkStart w:id="402" w:name="_Toc50760940"/>
      <w:bookmarkStart w:id="403" w:name="_Toc92789314"/>
      <w:bookmarkStart w:id="404" w:name="_Toc83722599"/>
      <w:bookmarkStart w:id="405" w:name="_Toc100786153"/>
      <w:r>
        <w:rPr>
          <w:rFonts w:hint="eastAsia" w:ascii="宋体" w:hAnsi="宋体" w:cs="宋体"/>
          <w:b/>
          <w:bCs/>
          <w:color w:val="000000"/>
          <w:sz w:val="24"/>
          <w:szCs w:val="24"/>
        </w:rPr>
        <w:t xml:space="preserve">附件6-1  </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Pr>
          <w:rFonts w:hint="eastAsia" w:ascii="宋体" w:hAnsi="宋体" w:cs="宋体"/>
          <w:b/>
          <w:bCs/>
          <w:color w:val="000000"/>
          <w:sz w:val="24"/>
          <w:szCs w:val="24"/>
          <w:lang w:val="en-US"/>
        </w:rPr>
        <w:t>营业执照等证明文件</w:t>
      </w:r>
      <w:bookmarkEnd w:id="405"/>
    </w:p>
    <w:p>
      <w:pPr>
        <w:spacing w:line="360" w:lineRule="auto"/>
        <w:jc w:val="center"/>
        <w:rPr>
          <w:rFonts w:ascii="宋体" w:hAnsi="宋体" w:cs="宋体"/>
          <w:color w:val="000000"/>
          <w:sz w:val="24"/>
          <w:szCs w:val="24"/>
        </w:rPr>
      </w:pPr>
      <w:r>
        <w:rPr>
          <w:rFonts w:hint="eastAsia" w:ascii="宋体" w:hAnsi="宋体" w:cs="宋体"/>
          <w:b/>
          <w:bCs/>
          <w:color w:val="000000"/>
          <w:sz w:val="24"/>
          <w:szCs w:val="24"/>
        </w:rPr>
        <w:t>（复印件并加盖投标人公章）</w:t>
      </w:r>
    </w:p>
    <w:p>
      <w:pPr>
        <w:spacing w:line="360" w:lineRule="auto"/>
        <w:rPr>
          <w:rFonts w:ascii="宋体" w:hAnsi="宋体" w:cs="宋体"/>
          <w:color w:val="000000"/>
          <w:sz w:val="24"/>
          <w:szCs w:val="24"/>
        </w:rPr>
      </w:pPr>
      <w:bookmarkStart w:id="406" w:name="_Toc496291394"/>
      <w:bookmarkStart w:id="407" w:name="_Toc13130"/>
      <w:bookmarkStart w:id="408" w:name="_Toc14017"/>
      <w:bookmarkStart w:id="409" w:name="_Toc486431024"/>
      <w:bookmarkStart w:id="410" w:name="_Toc25527"/>
      <w:bookmarkStart w:id="411" w:name="_Toc4697"/>
      <w:bookmarkStart w:id="412" w:name="_Toc15"/>
      <w:bookmarkStart w:id="413" w:name="_Toc8999337"/>
      <w:bookmarkStart w:id="414" w:name="_Toc32705"/>
      <w:bookmarkStart w:id="415" w:name="_Toc486431298"/>
      <w:bookmarkStart w:id="416" w:name="_Toc28427"/>
      <w:r>
        <w:rPr>
          <w:rFonts w:ascii="宋体" w:hAnsi="宋体" w:cs="宋体"/>
          <w:b/>
          <w:bCs/>
          <w:color w:val="000000"/>
          <w:sz w:val="24"/>
          <w:szCs w:val="24"/>
        </w:rPr>
        <w:br w:type="page"/>
      </w:r>
    </w:p>
    <w:p>
      <w:pPr>
        <w:pStyle w:val="3"/>
        <w:spacing w:line="360" w:lineRule="auto"/>
        <w:jc w:val="left"/>
        <w:rPr>
          <w:rFonts w:ascii="宋体" w:hAnsi="宋体" w:cs="宋体"/>
          <w:b/>
          <w:bCs/>
          <w:color w:val="000000"/>
          <w:sz w:val="24"/>
          <w:szCs w:val="24"/>
        </w:rPr>
      </w:pPr>
      <w:bookmarkStart w:id="417" w:name="_Toc100786154"/>
      <w:bookmarkStart w:id="418" w:name="_Toc83722601"/>
      <w:bookmarkStart w:id="419" w:name="_Toc50760941"/>
      <w:bookmarkStart w:id="420" w:name="_Toc85461414"/>
      <w:bookmarkStart w:id="421" w:name="_Toc92789315"/>
      <w:bookmarkStart w:id="422" w:name="_Toc15435054"/>
      <w:r>
        <w:rPr>
          <w:rFonts w:hint="eastAsia" w:ascii="宋体" w:hAnsi="宋体" w:cs="宋体"/>
          <w:b/>
          <w:bCs/>
          <w:color w:val="000000"/>
          <w:sz w:val="24"/>
          <w:szCs w:val="24"/>
        </w:rPr>
        <w:t>附件</w:t>
      </w:r>
      <w:r>
        <w:rPr>
          <w:rFonts w:ascii="宋体" w:hAnsi="宋体" w:cs="宋体"/>
          <w:b/>
          <w:bCs/>
          <w:color w:val="000000"/>
          <w:sz w:val="24"/>
          <w:szCs w:val="24"/>
        </w:rPr>
        <w:t xml:space="preserve">6-2  </w:t>
      </w:r>
      <w:r>
        <w:rPr>
          <w:rFonts w:hint="eastAsia" w:ascii="宋体" w:hAnsi="宋体" w:cs="宋体"/>
          <w:b/>
          <w:bCs/>
          <w:color w:val="000000"/>
          <w:sz w:val="24"/>
          <w:szCs w:val="24"/>
        </w:rPr>
        <w:t>投标人资格声明书</w:t>
      </w:r>
      <w:bookmarkEnd w:id="417"/>
      <w:r>
        <w:rPr>
          <w:rFonts w:hint="eastAsia" w:ascii="宋体" w:hAnsi="宋体" w:cs="宋体"/>
          <w:b/>
          <w:bCs/>
          <w:color w:val="000000"/>
          <w:sz w:val="24"/>
          <w:szCs w:val="24"/>
          <w:lang w:val="en-US"/>
        </w:rPr>
        <w:t>（实质性格式）</w:t>
      </w:r>
    </w:p>
    <w:p>
      <w:pPr>
        <w:jc w:val="center"/>
        <w:rPr>
          <w:rFonts w:ascii="宋体" w:hAnsi="宋体"/>
          <w:b/>
          <w:color w:val="000000"/>
          <w:sz w:val="28"/>
          <w:szCs w:val="28"/>
        </w:rPr>
      </w:pPr>
      <w:r>
        <w:rPr>
          <w:rFonts w:hint="eastAsia" w:ascii="宋体" w:hAnsi="宋体"/>
          <w:b/>
          <w:color w:val="000000"/>
          <w:sz w:val="28"/>
          <w:szCs w:val="28"/>
        </w:rPr>
        <w:t>投标人资格声明书</w:t>
      </w:r>
    </w:p>
    <w:p>
      <w:pPr>
        <w:tabs>
          <w:tab w:val="left" w:pos="5580"/>
        </w:tabs>
        <w:spacing w:line="360" w:lineRule="auto"/>
        <w:rPr>
          <w:rFonts w:ascii="宋体" w:hAnsi="宋体"/>
          <w:color w:val="000000"/>
          <w:sz w:val="24"/>
        </w:rPr>
      </w:pPr>
    </w:p>
    <w:p>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pPr>
        <w:spacing w:line="360" w:lineRule="auto"/>
        <w:ind w:firstLine="480" w:firstLineChars="200"/>
        <w:rPr>
          <w:rFonts w:ascii="宋体" w:hAnsi="宋体"/>
          <w:color w:val="000000"/>
          <w:sz w:val="24"/>
        </w:rPr>
      </w:pPr>
      <w:r>
        <w:rPr>
          <w:rFonts w:ascii="宋体" w:hAnsi="宋体"/>
          <w:color w:val="000000"/>
          <w:sz w:val="24"/>
        </w:rPr>
        <w:t>在参与本次项目投标中，我单位承诺：</w:t>
      </w:r>
    </w:p>
    <w:p>
      <w:pPr>
        <w:numPr>
          <w:ilvl w:val="0"/>
          <w:numId w:val="5"/>
        </w:numPr>
        <w:spacing w:line="360" w:lineRule="auto"/>
        <w:ind w:left="1134"/>
        <w:rPr>
          <w:rFonts w:ascii="宋体" w:hAnsi="宋体"/>
          <w:color w:val="000000"/>
          <w:sz w:val="24"/>
        </w:rPr>
      </w:pPr>
      <w:r>
        <w:rPr>
          <w:rFonts w:ascii="宋体" w:hAnsi="宋体"/>
          <w:color w:val="000000"/>
          <w:sz w:val="24"/>
        </w:rPr>
        <w:t>具有良好的商业信誉和健全的财务会计制度；</w:t>
      </w:r>
    </w:p>
    <w:p>
      <w:pPr>
        <w:numPr>
          <w:ilvl w:val="0"/>
          <w:numId w:val="5"/>
        </w:numPr>
        <w:spacing w:line="360" w:lineRule="auto"/>
        <w:ind w:left="1134"/>
        <w:rPr>
          <w:rFonts w:ascii="宋体" w:hAnsi="宋体"/>
          <w:color w:val="000000"/>
          <w:sz w:val="24"/>
        </w:rPr>
      </w:pPr>
      <w:r>
        <w:rPr>
          <w:rFonts w:ascii="宋体" w:hAnsi="宋体"/>
          <w:color w:val="000000"/>
          <w:sz w:val="24"/>
        </w:rPr>
        <w:t>具有履行合同所必需的设备和专业技术能力；</w:t>
      </w:r>
    </w:p>
    <w:p>
      <w:pPr>
        <w:numPr>
          <w:ilvl w:val="0"/>
          <w:numId w:val="5"/>
        </w:numPr>
        <w:spacing w:line="360" w:lineRule="auto"/>
        <w:ind w:left="1134"/>
        <w:rPr>
          <w:rFonts w:ascii="宋体" w:hAnsi="宋体"/>
          <w:color w:val="000000"/>
          <w:sz w:val="24"/>
        </w:rPr>
      </w:pPr>
      <w:r>
        <w:rPr>
          <w:rFonts w:ascii="宋体" w:hAnsi="宋体"/>
          <w:color w:val="000000"/>
          <w:sz w:val="24"/>
        </w:rPr>
        <w:t>有依法缴纳税收和社会保障资金的良好记录；</w:t>
      </w:r>
    </w:p>
    <w:p>
      <w:pPr>
        <w:numPr>
          <w:ilvl w:val="0"/>
          <w:numId w:val="5"/>
        </w:numPr>
        <w:spacing w:line="360" w:lineRule="auto"/>
        <w:ind w:left="1134"/>
        <w:rPr>
          <w:rFonts w:ascii="宋体" w:hAnsi="宋体"/>
          <w:color w:val="000000"/>
          <w:sz w:val="24"/>
        </w:rPr>
      </w:pPr>
      <w:r>
        <w:rPr>
          <w:rFonts w:ascii="宋体" w:hAnsi="宋体"/>
          <w:color w:val="000000"/>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5"/>
        </w:numPr>
        <w:spacing w:line="360" w:lineRule="auto"/>
        <w:ind w:left="1134"/>
        <w:rPr>
          <w:rFonts w:ascii="宋体" w:hAnsi="宋体"/>
          <w:color w:val="000000"/>
          <w:sz w:val="24"/>
        </w:rPr>
      </w:pPr>
      <w:r>
        <w:rPr>
          <w:rFonts w:ascii="宋体" w:hAnsi="宋体"/>
          <w:color w:val="000000"/>
          <w:sz w:val="24"/>
        </w:rPr>
        <w:t>我单位不属于政府采购法律、行政法规规定的公益一类事业单位、或使用事业编制且由财政拨款保障的群团组织（仅适用于政府购买服务项目）；</w:t>
      </w:r>
    </w:p>
    <w:p>
      <w:pPr>
        <w:numPr>
          <w:ilvl w:val="0"/>
          <w:numId w:val="5"/>
        </w:numPr>
        <w:spacing w:line="360" w:lineRule="auto"/>
        <w:ind w:left="1134"/>
        <w:rPr>
          <w:rFonts w:ascii="宋体" w:hAnsi="宋体"/>
          <w:color w:val="000000"/>
          <w:sz w:val="24"/>
        </w:rPr>
      </w:pPr>
      <w:r>
        <w:rPr>
          <w:rFonts w:ascii="宋体" w:hAnsi="宋体"/>
          <w:color w:val="000000"/>
          <w:sz w:val="24"/>
        </w:rPr>
        <w:t>我单位不存在为采购项目提供整体设计、规范编制或者项目管理、监理、检测等服务后，再参加该采购项目的其他采购活动的情形（单一来源采购项目除外）；</w:t>
      </w:r>
    </w:p>
    <w:p>
      <w:pPr>
        <w:numPr>
          <w:ilvl w:val="0"/>
          <w:numId w:val="5"/>
        </w:numPr>
        <w:spacing w:line="360" w:lineRule="auto"/>
        <w:ind w:left="1134"/>
        <w:rPr>
          <w:rFonts w:ascii="宋体" w:hAnsi="宋体"/>
          <w:color w:val="000000"/>
          <w:sz w:val="24"/>
        </w:rPr>
      </w:pPr>
      <w:r>
        <w:rPr>
          <w:rFonts w:ascii="宋体" w:hAnsi="宋体"/>
          <w:color w:val="000000"/>
          <w:sz w:val="24"/>
        </w:rPr>
        <w:t>与我单位存在“单位负责人为同一人或者存在直接控股、管理关系”的其他法人单位信息如下（如有，不论其是否参加同一合同项下的政府采购活动均须填写）：</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olor w:val="000000"/>
                <w:sz w:val="24"/>
              </w:rPr>
            </w:pPr>
            <w:r>
              <w:rPr>
                <w:rFonts w:ascii="宋体" w:hAnsi="宋体"/>
                <w:color w:val="000000"/>
                <w:sz w:val="24"/>
              </w:rPr>
              <w:t>序号</w:t>
            </w:r>
          </w:p>
        </w:tc>
        <w:tc>
          <w:tcPr>
            <w:tcW w:w="4574" w:type="dxa"/>
            <w:vAlign w:val="center"/>
          </w:tcPr>
          <w:p>
            <w:pPr>
              <w:jc w:val="center"/>
              <w:rPr>
                <w:rFonts w:ascii="宋体" w:hAnsi="宋体"/>
                <w:color w:val="000000"/>
                <w:sz w:val="24"/>
              </w:rPr>
            </w:pPr>
            <w:r>
              <w:rPr>
                <w:rFonts w:ascii="宋体" w:hAnsi="宋体"/>
                <w:color w:val="000000"/>
                <w:sz w:val="24"/>
              </w:rPr>
              <w:t>单位名称</w:t>
            </w:r>
          </w:p>
        </w:tc>
        <w:tc>
          <w:tcPr>
            <w:tcW w:w="2976" w:type="dxa"/>
            <w:vAlign w:val="center"/>
          </w:tcPr>
          <w:p>
            <w:pPr>
              <w:jc w:val="center"/>
              <w:rPr>
                <w:rFonts w:ascii="宋体" w:hAnsi="宋体"/>
                <w:color w:val="000000"/>
                <w:sz w:val="24"/>
              </w:rPr>
            </w:pPr>
            <w:r>
              <w:rPr>
                <w:rFonts w:ascii="宋体" w:hAnsi="宋体"/>
                <w:color w:val="000000"/>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olor w:val="000000"/>
                <w:sz w:val="24"/>
              </w:rPr>
            </w:pPr>
            <w:r>
              <w:rPr>
                <w:rFonts w:ascii="宋体" w:hAnsi="宋体"/>
                <w:color w:val="000000"/>
                <w:sz w:val="24"/>
              </w:rPr>
              <w:t>1</w:t>
            </w:r>
          </w:p>
        </w:tc>
        <w:tc>
          <w:tcPr>
            <w:tcW w:w="4574" w:type="dxa"/>
            <w:vAlign w:val="center"/>
          </w:tcPr>
          <w:p>
            <w:pPr>
              <w:jc w:val="center"/>
              <w:rPr>
                <w:rFonts w:ascii="宋体" w:hAnsi="宋体"/>
                <w:color w:val="000000"/>
                <w:sz w:val="24"/>
              </w:rPr>
            </w:pPr>
          </w:p>
        </w:tc>
        <w:tc>
          <w:tcPr>
            <w:tcW w:w="2976" w:type="dxa"/>
            <w:vAlign w:val="center"/>
          </w:tcPr>
          <w:p>
            <w:pPr>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olor w:val="000000"/>
                <w:sz w:val="24"/>
              </w:rPr>
            </w:pPr>
            <w:r>
              <w:rPr>
                <w:rFonts w:ascii="宋体" w:hAnsi="宋体"/>
                <w:color w:val="000000"/>
                <w:sz w:val="24"/>
              </w:rPr>
              <w:t>2</w:t>
            </w:r>
          </w:p>
        </w:tc>
        <w:tc>
          <w:tcPr>
            <w:tcW w:w="4574" w:type="dxa"/>
            <w:vAlign w:val="center"/>
          </w:tcPr>
          <w:p>
            <w:pPr>
              <w:jc w:val="center"/>
              <w:rPr>
                <w:rFonts w:ascii="宋体" w:hAnsi="宋体"/>
                <w:color w:val="000000"/>
                <w:sz w:val="24"/>
              </w:rPr>
            </w:pPr>
          </w:p>
        </w:tc>
        <w:tc>
          <w:tcPr>
            <w:tcW w:w="2976" w:type="dxa"/>
            <w:vAlign w:val="center"/>
          </w:tcPr>
          <w:p>
            <w:pPr>
              <w:jc w:val="center"/>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jc w:val="center"/>
              <w:rPr>
                <w:rFonts w:ascii="宋体" w:hAnsi="宋体"/>
                <w:color w:val="000000"/>
                <w:sz w:val="24"/>
              </w:rPr>
            </w:pPr>
            <w:r>
              <w:rPr>
                <w:rFonts w:ascii="宋体" w:hAnsi="宋体"/>
                <w:color w:val="000000"/>
                <w:sz w:val="24"/>
              </w:rPr>
              <w:t>…</w:t>
            </w:r>
          </w:p>
        </w:tc>
        <w:tc>
          <w:tcPr>
            <w:tcW w:w="4574" w:type="dxa"/>
            <w:vAlign w:val="center"/>
          </w:tcPr>
          <w:p>
            <w:pPr>
              <w:jc w:val="center"/>
              <w:rPr>
                <w:rFonts w:ascii="宋体" w:hAnsi="宋体"/>
                <w:color w:val="000000"/>
                <w:sz w:val="24"/>
              </w:rPr>
            </w:pPr>
          </w:p>
        </w:tc>
        <w:tc>
          <w:tcPr>
            <w:tcW w:w="2976" w:type="dxa"/>
            <w:vAlign w:val="center"/>
          </w:tcPr>
          <w:p>
            <w:pPr>
              <w:jc w:val="center"/>
              <w:rPr>
                <w:rFonts w:ascii="宋体" w:hAnsi="宋体"/>
                <w:color w:val="000000"/>
                <w:sz w:val="24"/>
              </w:rPr>
            </w:pPr>
          </w:p>
        </w:tc>
      </w:tr>
    </w:tbl>
    <w:p>
      <w:pPr>
        <w:ind w:firstLine="480" w:firstLineChars="200"/>
        <w:rPr>
          <w:rFonts w:ascii="宋体" w:hAnsi="宋体"/>
          <w:color w:val="000000"/>
          <w:sz w:val="24"/>
        </w:rPr>
      </w:pPr>
      <w:r>
        <w:rPr>
          <w:rFonts w:ascii="宋体" w:hAnsi="宋体"/>
          <w:color w:val="000000"/>
          <w:sz w:val="24"/>
        </w:rPr>
        <w:t>上述声明真实有效，否则我方负全部责任。</w:t>
      </w:r>
    </w:p>
    <w:p>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pPr>
        <w:spacing w:line="360" w:lineRule="auto"/>
        <w:ind w:right="840" w:firstLine="480"/>
        <w:jc w:val="right"/>
        <w:rPr>
          <w:rFonts w:ascii="宋体" w:hAnsi="宋体"/>
          <w:color w:val="000000"/>
          <w:sz w:val="24"/>
        </w:rPr>
      </w:pPr>
      <w:r>
        <w:rPr>
          <w:rFonts w:ascii="宋体" w:hAnsi="宋体"/>
          <w:color w:val="000000"/>
          <w:sz w:val="24"/>
          <w:szCs w:val="20"/>
        </w:rPr>
        <w:t>日期：_____年______月______日</w:t>
      </w:r>
    </w:p>
    <w:p>
      <w:pPr>
        <w:spacing w:line="360" w:lineRule="auto"/>
        <w:ind w:right="-58"/>
        <w:jc w:val="left"/>
        <w:rPr>
          <w:rFonts w:ascii="宋体" w:hAnsi="宋体"/>
          <w:color w:val="000000"/>
          <w:sz w:val="24"/>
        </w:rPr>
      </w:pPr>
      <w:r>
        <w:rPr>
          <w:rFonts w:ascii="宋体" w:hAnsi="宋体"/>
          <w:color w:val="000000"/>
          <w:sz w:val="24"/>
        </w:rPr>
        <w:t>说明：</w:t>
      </w:r>
      <w:r>
        <w:rPr>
          <w:rFonts w:hint="eastAsia" w:ascii="宋体" w:hAnsi="宋体"/>
          <w:color w:val="000000"/>
          <w:sz w:val="24"/>
        </w:rPr>
        <w:t>投标人承诺不实的，依据《中华人民共和国政府采购法》第七十七条“提供虚假材料谋取中标、成交的”有关规定予以处理</w:t>
      </w:r>
      <w:r>
        <w:rPr>
          <w:rFonts w:ascii="宋体" w:hAnsi="宋体"/>
          <w:color w:val="000000"/>
          <w:sz w:val="24"/>
        </w:rPr>
        <w:t>。</w:t>
      </w:r>
    </w:p>
    <w:p>
      <w:pPr>
        <w:pStyle w:val="3"/>
        <w:spacing w:line="360" w:lineRule="auto"/>
        <w:jc w:val="left"/>
        <w:rPr>
          <w:rFonts w:ascii="宋体" w:hAnsi="宋体" w:cs="宋体"/>
          <w:b/>
          <w:bCs/>
          <w:color w:val="000000"/>
          <w:sz w:val="24"/>
          <w:szCs w:val="24"/>
          <w:highlight w:val="none"/>
        </w:rPr>
      </w:pPr>
      <w:bookmarkStart w:id="423" w:name="_Toc100786155"/>
      <w:r>
        <w:rPr>
          <w:rFonts w:hint="eastAsia" w:ascii="宋体" w:hAnsi="宋体" w:cs="宋体"/>
          <w:b/>
          <w:bCs/>
          <w:color w:val="000000"/>
          <w:sz w:val="24"/>
          <w:szCs w:val="24"/>
          <w:highlight w:val="none"/>
        </w:rPr>
        <w:t xml:space="preserve">附件6-3  </w:t>
      </w:r>
      <w:r>
        <w:rPr>
          <w:rFonts w:ascii="宋体" w:hAnsi="宋体" w:cs="宋体"/>
          <w:b/>
          <w:bCs/>
          <w:color w:val="000000"/>
          <w:sz w:val="24"/>
          <w:szCs w:val="24"/>
          <w:highlight w:val="none"/>
        </w:rPr>
        <w:t>落实政府采购政策需满足的资格要求</w:t>
      </w:r>
      <w:bookmarkEnd w:id="423"/>
    </w:p>
    <w:p>
      <w:pPr>
        <w:pStyle w:val="3"/>
        <w:spacing w:line="360" w:lineRule="auto"/>
        <w:rPr>
          <w:rFonts w:ascii="宋体" w:hAnsi="宋体" w:cs="宋体"/>
          <w:b/>
          <w:bCs/>
          <w:color w:val="000000"/>
          <w:sz w:val="24"/>
          <w:szCs w:val="24"/>
          <w:highlight w:val="none"/>
        </w:rPr>
      </w:pPr>
      <w:r>
        <w:rPr>
          <w:rFonts w:hint="eastAsia" w:ascii="宋体" w:hAnsi="宋体" w:cs="宋体"/>
          <w:b/>
          <w:bCs/>
          <w:color w:val="000000"/>
          <w:sz w:val="24"/>
          <w:szCs w:val="24"/>
          <w:highlight w:val="none"/>
        </w:rPr>
        <w:t>附件</w:t>
      </w:r>
      <w:r>
        <w:rPr>
          <w:rFonts w:hint="eastAsia" w:ascii="宋体" w:hAnsi="宋体" w:cs="宋体"/>
          <w:b/>
          <w:bCs/>
          <w:color w:val="000000"/>
          <w:sz w:val="24"/>
          <w:szCs w:val="24"/>
          <w:highlight w:val="none"/>
          <w:lang w:val="en-US" w:eastAsia="zh-CN"/>
        </w:rPr>
        <w:t>6-3</w:t>
      </w:r>
      <w:r>
        <w:rPr>
          <w:rFonts w:hint="eastAsia" w:ascii="宋体" w:hAnsi="宋体" w:cs="宋体"/>
          <w:b/>
          <w:bCs/>
          <w:color w:val="000000"/>
          <w:sz w:val="24"/>
          <w:szCs w:val="24"/>
          <w:highlight w:val="none"/>
        </w:rPr>
        <w:t>-1  中小企业声明函</w:t>
      </w:r>
      <w:r>
        <w:rPr>
          <w:rFonts w:hint="eastAsia" w:ascii="宋体" w:hAnsi="宋体" w:cs="宋体"/>
          <w:b/>
          <w:bCs/>
          <w:color w:val="000000"/>
          <w:sz w:val="24"/>
          <w:szCs w:val="24"/>
          <w:highlight w:val="none"/>
          <w:lang w:val="en-US"/>
        </w:rPr>
        <w:t>（实质性格式）</w:t>
      </w:r>
    </w:p>
    <w:p>
      <w:pPr>
        <w:pStyle w:val="4"/>
        <w:rPr>
          <w:rFonts w:ascii="宋体" w:hAnsi="宋体"/>
          <w:color w:val="000000"/>
          <w:highlight w:val="none"/>
        </w:rPr>
      </w:pPr>
    </w:p>
    <w:p>
      <w:pPr>
        <w:spacing w:line="360" w:lineRule="auto"/>
        <w:ind w:firstLine="506" w:firstLineChars="200"/>
        <w:jc w:val="center"/>
        <w:rPr>
          <w:rFonts w:ascii="宋体" w:hAnsi="宋体" w:cs="宋体"/>
          <w:color w:val="000000"/>
          <w:spacing w:val="6"/>
          <w:sz w:val="24"/>
          <w:szCs w:val="24"/>
          <w:highlight w:val="none"/>
        </w:rPr>
      </w:pPr>
      <w:r>
        <w:rPr>
          <w:rFonts w:hint="eastAsia" w:ascii="宋体" w:hAnsi="宋体" w:cs="宋体"/>
          <w:b/>
          <w:bCs/>
          <w:color w:val="000000"/>
          <w:spacing w:val="6"/>
          <w:sz w:val="24"/>
          <w:szCs w:val="24"/>
          <w:highlight w:val="none"/>
        </w:rPr>
        <w:t>中小企业声明函（服务）</w:t>
      </w:r>
    </w:p>
    <w:p>
      <w:pPr>
        <w:spacing w:line="360" w:lineRule="auto"/>
        <w:ind w:firstLine="504" w:firstLineChars="200"/>
        <w:jc w:val="center"/>
        <w:rPr>
          <w:rFonts w:ascii="宋体" w:hAnsi="宋体" w:cs="宋体"/>
          <w:color w:val="000000"/>
          <w:spacing w:val="6"/>
          <w:sz w:val="24"/>
          <w:szCs w:val="24"/>
        </w:rPr>
      </w:pPr>
    </w:p>
    <w:p>
      <w:pPr>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本公司（联合体）郑重声明，根据《政府采购促进中小企业发展管理办法》（财库﹝2020﹞46 号）的规定，本公司（联合体）参加</w:t>
      </w:r>
      <w:r>
        <w:rPr>
          <w:rFonts w:hint="eastAsia" w:ascii="宋体" w:hAnsi="宋体"/>
          <w:color w:val="000000"/>
          <w:kern w:val="0"/>
          <w:sz w:val="24"/>
          <w:szCs w:val="24"/>
          <w:u w:val="single"/>
        </w:rPr>
        <w:t>（单位名称）</w:t>
      </w:r>
      <w:r>
        <w:rPr>
          <w:rFonts w:hint="eastAsia" w:ascii="宋体" w:hAnsi="宋体"/>
          <w:color w:val="000000"/>
          <w:kern w:val="0"/>
          <w:sz w:val="24"/>
          <w:szCs w:val="24"/>
        </w:rPr>
        <w:t>的</w:t>
      </w:r>
      <w:r>
        <w:rPr>
          <w:rFonts w:hint="eastAsia" w:ascii="宋体" w:hAnsi="宋体"/>
          <w:color w:val="000000"/>
          <w:kern w:val="0"/>
          <w:sz w:val="24"/>
          <w:szCs w:val="24"/>
          <w:u w:val="single"/>
        </w:rPr>
        <w:t>（项目名称）</w:t>
      </w:r>
      <w:r>
        <w:rPr>
          <w:rFonts w:hint="eastAsia" w:ascii="宋体" w:hAnsi="宋体"/>
          <w:color w:val="000000"/>
          <w:kern w:val="0"/>
          <w:sz w:val="24"/>
          <w:szCs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1.</w:t>
      </w:r>
      <w:r>
        <w:rPr>
          <w:rFonts w:hint="eastAsia" w:ascii="宋体" w:hAnsi="宋体"/>
          <w:color w:val="000000"/>
          <w:kern w:val="0"/>
          <w:sz w:val="24"/>
          <w:szCs w:val="24"/>
          <w:u w:val="single"/>
        </w:rPr>
        <w:t>（标的名称），属于（采购文件中明确的所属行业）行业</w:t>
      </w:r>
      <w:r>
        <w:rPr>
          <w:rFonts w:hint="eastAsia" w:ascii="宋体" w:hAnsi="宋体"/>
          <w:color w:val="000000"/>
          <w:kern w:val="0"/>
          <w:sz w:val="24"/>
          <w:szCs w:val="24"/>
        </w:rPr>
        <w:t>；承接企业为</w:t>
      </w:r>
      <w:r>
        <w:rPr>
          <w:rFonts w:hint="eastAsia" w:ascii="宋体" w:hAnsi="宋体"/>
          <w:color w:val="000000"/>
          <w:kern w:val="0"/>
          <w:sz w:val="24"/>
          <w:szCs w:val="24"/>
          <w:u w:val="single"/>
        </w:rPr>
        <w:t>（企业名称）</w:t>
      </w:r>
      <w:r>
        <w:rPr>
          <w:rFonts w:hint="eastAsia" w:ascii="宋体" w:hAnsi="宋体"/>
          <w:color w:val="000000"/>
          <w:kern w:val="0"/>
          <w:sz w:val="24"/>
          <w:szCs w:val="24"/>
        </w:rPr>
        <w:t>，从业人员</w:t>
      </w:r>
      <w:r>
        <w:rPr>
          <w:rFonts w:hint="eastAsia" w:ascii="宋体" w:hAnsi="宋体"/>
          <w:color w:val="000000"/>
          <w:kern w:val="0"/>
          <w:sz w:val="24"/>
          <w:szCs w:val="24"/>
          <w:u w:val="single"/>
          <w:lang w:val="en-US" w:eastAsia="zh-CN"/>
        </w:rPr>
        <w:t xml:space="preserve">    </w:t>
      </w:r>
      <w:r>
        <w:rPr>
          <w:rFonts w:hint="eastAsia" w:ascii="宋体" w:hAnsi="宋体"/>
          <w:color w:val="000000"/>
          <w:kern w:val="0"/>
          <w:sz w:val="24"/>
          <w:szCs w:val="24"/>
        </w:rPr>
        <w:t>人，营业收入为</w:t>
      </w:r>
      <w:r>
        <w:rPr>
          <w:rFonts w:hint="eastAsia" w:ascii="宋体" w:hAnsi="宋体"/>
          <w:color w:val="000000"/>
          <w:kern w:val="0"/>
          <w:sz w:val="24"/>
          <w:szCs w:val="24"/>
          <w:u w:val="single"/>
          <w:lang w:val="en-US" w:eastAsia="zh-CN"/>
        </w:rPr>
        <w:t xml:space="preserve">    </w:t>
      </w:r>
      <w:r>
        <w:rPr>
          <w:rFonts w:hint="eastAsia" w:ascii="宋体" w:hAnsi="宋体"/>
          <w:color w:val="000000"/>
          <w:kern w:val="0"/>
          <w:sz w:val="24"/>
          <w:szCs w:val="24"/>
        </w:rPr>
        <w:t>万元，资产总额为</w:t>
      </w:r>
      <w:r>
        <w:rPr>
          <w:rFonts w:hint="eastAsia" w:ascii="宋体" w:hAnsi="宋体"/>
          <w:color w:val="000000"/>
          <w:kern w:val="0"/>
          <w:sz w:val="24"/>
          <w:szCs w:val="24"/>
          <w:u w:val="single"/>
          <w:lang w:val="en-US" w:eastAsia="zh-CN"/>
        </w:rPr>
        <w:t xml:space="preserve">    </w:t>
      </w:r>
      <w:r>
        <w:rPr>
          <w:rFonts w:hint="eastAsia" w:ascii="宋体" w:hAnsi="宋体"/>
          <w:color w:val="000000"/>
          <w:kern w:val="0"/>
          <w:sz w:val="24"/>
          <w:szCs w:val="24"/>
        </w:rPr>
        <w:t>万元</w:t>
      </w:r>
      <w:r>
        <w:rPr>
          <w:rFonts w:hint="eastAsia" w:ascii="宋体" w:hAnsi="宋体"/>
          <w:color w:val="000000"/>
          <w:kern w:val="0"/>
          <w:sz w:val="24"/>
          <w:szCs w:val="24"/>
          <w:vertAlign w:val="superscript"/>
        </w:rPr>
        <w:t>1</w:t>
      </w:r>
      <w:r>
        <w:rPr>
          <w:rFonts w:hint="eastAsia" w:ascii="宋体" w:hAnsi="宋体"/>
          <w:color w:val="000000"/>
          <w:kern w:val="0"/>
          <w:sz w:val="24"/>
          <w:szCs w:val="24"/>
        </w:rPr>
        <w:t>，属于（</w:t>
      </w:r>
      <w:r>
        <w:rPr>
          <w:rFonts w:hint="eastAsia" w:ascii="宋体" w:hAnsi="宋体"/>
          <w:color w:val="000000"/>
          <w:kern w:val="0"/>
          <w:sz w:val="24"/>
          <w:szCs w:val="24"/>
          <w:u w:val="single"/>
        </w:rPr>
        <w:t>中型企业、小型企业、微型企业</w:t>
      </w:r>
      <w:r>
        <w:rPr>
          <w:rFonts w:hint="eastAsia" w:ascii="宋体" w:hAnsi="宋体"/>
          <w:color w:val="000000"/>
          <w:kern w:val="0"/>
          <w:sz w:val="24"/>
          <w:szCs w:val="24"/>
        </w:rPr>
        <w:t>）；</w:t>
      </w:r>
    </w:p>
    <w:p>
      <w:pPr>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2.</w:t>
      </w:r>
      <w:r>
        <w:rPr>
          <w:rFonts w:hint="eastAsia" w:ascii="宋体" w:hAnsi="宋体"/>
          <w:color w:val="000000"/>
          <w:kern w:val="0"/>
          <w:sz w:val="24"/>
          <w:szCs w:val="24"/>
          <w:u w:val="single"/>
        </w:rPr>
        <w:t>（标的名称），属于（采购文件中明确的所属行业）行业</w:t>
      </w:r>
      <w:r>
        <w:rPr>
          <w:rFonts w:hint="eastAsia" w:ascii="宋体" w:hAnsi="宋体"/>
          <w:color w:val="000000"/>
          <w:kern w:val="0"/>
          <w:sz w:val="24"/>
          <w:szCs w:val="24"/>
        </w:rPr>
        <w:t>；承接企业为</w:t>
      </w:r>
      <w:r>
        <w:rPr>
          <w:rFonts w:hint="eastAsia" w:ascii="宋体" w:hAnsi="宋体"/>
          <w:color w:val="000000"/>
          <w:kern w:val="0"/>
          <w:sz w:val="24"/>
          <w:szCs w:val="24"/>
          <w:u w:val="single"/>
        </w:rPr>
        <w:t>（企业名称）</w:t>
      </w:r>
      <w:r>
        <w:rPr>
          <w:rFonts w:hint="eastAsia" w:ascii="宋体" w:hAnsi="宋体"/>
          <w:color w:val="000000"/>
          <w:kern w:val="0"/>
          <w:sz w:val="24"/>
          <w:szCs w:val="24"/>
        </w:rPr>
        <w:t>，从业人员</w:t>
      </w:r>
      <w:r>
        <w:rPr>
          <w:rFonts w:hint="eastAsia" w:ascii="宋体" w:hAnsi="宋体"/>
          <w:color w:val="000000"/>
          <w:kern w:val="0"/>
          <w:sz w:val="24"/>
          <w:szCs w:val="24"/>
          <w:u w:val="single"/>
          <w:lang w:val="en-US" w:eastAsia="zh-CN"/>
        </w:rPr>
        <w:t xml:space="preserve">    </w:t>
      </w:r>
      <w:r>
        <w:rPr>
          <w:rFonts w:hint="eastAsia" w:ascii="宋体" w:hAnsi="宋体"/>
          <w:color w:val="000000"/>
          <w:kern w:val="0"/>
          <w:sz w:val="24"/>
          <w:szCs w:val="24"/>
        </w:rPr>
        <w:t>人，营业收入为</w:t>
      </w:r>
      <w:r>
        <w:rPr>
          <w:rFonts w:hint="eastAsia" w:ascii="宋体" w:hAnsi="宋体"/>
          <w:color w:val="000000"/>
          <w:kern w:val="0"/>
          <w:sz w:val="24"/>
          <w:szCs w:val="24"/>
          <w:u w:val="single"/>
          <w:lang w:val="en-US" w:eastAsia="zh-CN"/>
        </w:rPr>
        <w:t xml:space="preserve">    </w:t>
      </w:r>
      <w:r>
        <w:rPr>
          <w:rFonts w:hint="eastAsia" w:ascii="宋体" w:hAnsi="宋体"/>
          <w:color w:val="000000"/>
          <w:kern w:val="0"/>
          <w:sz w:val="24"/>
          <w:szCs w:val="24"/>
        </w:rPr>
        <w:t>万元，资产总额为</w:t>
      </w:r>
      <w:r>
        <w:rPr>
          <w:rFonts w:hint="eastAsia" w:ascii="宋体" w:hAnsi="宋体"/>
          <w:color w:val="000000"/>
          <w:kern w:val="0"/>
          <w:sz w:val="24"/>
          <w:szCs w:val="24"/>
          <w:u w:val="single"/>
          <w:lang w:val="en-US" w:eastAsia="zh-CN"/>
        </w:rPr>
        <w:t xml:space="preserve">    </w:t>
      </w:r>
      <w:r>
        <w:rPr>
          <w:rFonts w:hint="eastAsia" w:ascii="宋体" w:hAnsi="宋体"/>
          <w:color w:val="000000"/>
          <w:kern w:val="0"/>
          <w:sz w:val="24"/>
          <w:szCs w:val="24"/>
        </w:rPr>
        <w:t>万元</w:t>
      </w:r>
      <w:r>
        <w:rPr>
          <w:rFonts w:hint="eastAsia" w:ascii="宋体" w:hAnsi="宋体"/>
          <w:color w:val="000000"/>
          <w:kern w:val="0"/>
          <w:sz w:val="24"/>
          <w:szCs w:val="24"/>
          <w:vertAlign w:val="superscript"/>
        </w:rPr>
        <w:t>1</w:t>
      </w:r>
      <w:r>
        <w:rPr>
          <w:rFonts w:hint="eastAsia" w:ascii="宋体" w:hAnsi="宋体"/>
          <w:color w:val="000000"/>
          <w:kern w:val="0"/>
          <w:sz w:val="24"/>
          <w:szCs w:val="24"/>
        </w:rPr>
        <w:t>，属于（</w:t>
      </w:r>
      <w:r>
        <w:rPr>
          <w:rFonts w:hint="eastAsia" w:ascii="宋体" w:hAnsi="宋体"/>
          <w:color w:val="000000"/>
          <w:kern w:val="0"/>
          <w:sz w:val="24"/>
          <w:szCs w:val="24"/>
          <w:u w:val="single"/>
        </w:rPr>
        <w:t>中型企业、小型企业、微型企业</w:t>
      </w:r>
      <w:r>
        <w:rPr>
          <w:rFonts w:hint="eastAsia" w:ascii="宋体" w:hAnsi="宋体"/>
          <w:color w:val="000000"/>
          <w:kern w:val="0"/>
          <w:sz w:val="24"/>
          <w:szCs w:val="24"/>
        </w:rPr>
        <w:t>）；</w:t>
      </w:r>
    </w:p>
    <w:p>
      <w:pPr>
        <w:spacing w:line="360" w:lineRule="auto"/>
        <w:ind w:firstLine="480" w:firstLineChars="200"/>
        <w:jc w:val="left"/>
        <w:rPr>
          <w:rFonts w:ascii="宋体" w:hAnsi="宋体"/>
          <w:color w:val="000000"/>
          <w:kern w:val="0"/>
          <w:sz w:val="24"/>
          <w:szCs w:val="24"/>
        </w:rPr>
      </w:pPr>
      <w:r>
        <w:rPr>
          <w:rFonts w:ascii="宋体" w:hAnsi="宋体"/>
          <w:color w:val="000000"/>
          <w:kern w:val="0"/>
          <w:sz w:val="24"/>
          <w:szCs w:val="24"/>
        </w:rPr>
        <w:t>……</w:t>
      </w:r>
    </w:p>
    <w:p>
      <w:pPr>
        <w:spacing w:line="360" w:lineRule="auto"/>
        <w:ind w:firstLine="480" w:firstLineChars="200"/>
        <w:jc w:val="left"/>
        <w:rPr>
          <w:rFonts w:ascii="宋体" w:hAnsi="宋体"/>
          <w:color w:val="000000"/>
          <w:kern w:val="0"/>
          <w:sz w:val="24"/>
          <w:szCs w:val="24"/>
        </w:rPr>
      </w:pPr>
      <w:r>
        <w:rPr>
          <w:rFonts w:hint="eastAsia" w:ascii="宋体" w:hAnsi="宋体"/>
          <w:color w:val="000000"/>
          <w:kern w:val="0"/>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olor w:val="000000"/>
          <w:kern w:val="0"/>
          <w:sz w:val="24"/>
          <w:szCs w:val="24"/>
          <w:vertAlign w:val="superscript"/>
        </w:rPr>
      </w:pPr>
      <w:r>
        <w:rPr>
          <w:rFonts w:hint="eastAsia" w:ascii="宋体" w:hAnsi="宋体"/>
          <w:color w:val="000000"/>
          <w:kern w:val="0"/>
          <w:sz w:val="24"/>
          <w:szCs w:val="24"/>
        </w:rPr>
        <w:t>本企业对上述声明内容的真实性负责。如有虚假，将依法承担相应责任。</w:t>
      </w:r>
    </w:p>
    <w:p>
      <w:pPr>
        <w:spacing w:line="360" w:lineRule="auto"/>
        <w:jc w:val="left"/>
        <w:rPr>
          <w:rFonts w:ascii="宋体" w:hAnsi="宋体"/>
          <w:color w:val="000000"/>
          <w:kern w:val="0"/>
          <w:sz w:val="24"/>
          <w:szCs w:val="24"/>
        </w:rPr>
      </w:pPr>
    </w:p>
    <w:p>
      <w:pPr>
        <w:spacing w:line="360" w:lineRule="auto"/>
        <w:jc w:val="left"/>
        <w:rPr>
          <w:rFonts w:ascii="宋体" w:hAnsi="宋体"/>
          <w:color w:val="000000"/>
          <w:kern w:val="0"/>
          <w:sz w:val="24"/>
          <w:szCs w:val="24"/>
        </w:rPr>
      </w:pPr>
      <w:r>
        <w:rPr>
          <w:rFonts w:hint="eastAsia" w:ascii="宋体" w:hAnsi="宋体"/>
          <w:color w:val="000000"/>
          <w:kern w:val="0"/>
          <w:sz w:val="24"/>
          <w:szCs w:val="24"/>
        </w:rPr>
        <w:t xml:space="preserve">                            企业名称（盖章）： </w:t>
      </w:r>
    </w:p>
    <w:p>
      <w:pPr>
        <w:spacing w:line="360" w:lineRule="auto"/>
        <w:ind w:firstLine="3360" w:firstLineChars="1400"/>
        <w:rPr>
          <w:rFonts w:ascii="宋体" w:hAnsi="宋体" w:cs="宋体"/>
          <w:color w:val="000000"/>
          <w:spacing w:val="6"/>
          <w:sz w:val="24"/>
          <w:szCs w:val="24"/>
        </w:rPr>
      </w:pPr>
      <w:r>
        <w:rPr>
          <w:rFonts w:hint="eastAsia" w:ascii="宋体" w:hAnsi="宋体"/>
          <w:color w:val="000000"/>
          <w:kern w:val="0"/>
          <w:sz w:val="24"/>
          <w:szCs w:val="24"/>
        </w:rPr>
        <w:t>日  期：</w:t>
      </w:r>
    </w:p>
    <w:p>
      <w:pPr>
        <w:rPr>
          <w:rFonts w:ascii="宋体" w:hAnsi="宋体"/>
          <w:color w:val="000000"/>
        </w:rPr>
      </w:pPr>
    </w:p>
    <w:p>
      <w:pPr>
        <w:rPr>
          <w:rFonts w:ascii="宋体" w:hAnsi="宋体"/>
          <w:color w:val="000000"/>
        </w:rPr>
      </w:pPr>
    </w:p>
    <w:p>
      <w:pPr>
        <w:adjustRightInd w:val="0"/>
        <w:snapToGrid w:val="0"/>
        <w:jc w:val="left"/>
        <w:rPr>
          <w:rFonts w:ascii="宋体" w:hAnsi="宋体"/>
          <w:color w:val="000000"/>
          <w:sz w:val="24"/>
          <w:szCs w:val="21"/>
        </w:rPr>
      </w:pPr>
    </w:p>
    <w:tbl>
      <w:tblPr>
        <w:tblStyle w:val="48"/>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pPr>
              <w:adjustRightInd w:val="0"/>
              <w:snapToGrid w:val="0"/>
              <w:jc w:val="left"/>
              <w:rPr>
                <w:rFonts w:ascii="宋体" w:hAnsi="宋体"/>
                <w:color w:val="000000"/>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tc>
      </w:tr>
    </w:tbl>
    <w:p>
      <w:r>
        <w:br w:type="page"/>
      </w:r>
    </w:p>
    <w:p>
      <w:pPr>
        <w:tabs>
          <w:tab w:val="left" w:pos="5580"/>
        </w:tabs>
        <w:spacing w:line="360" w:lineRule="auto"/>
        <w:rPr>
          <w:rFonts w:ascii="宋体" w:hAnsi="宋体"/>
          <w:color w:val="000000"/>
          <w:sz w:val="24"/>
        </w:rPr>
      </w:pPr>
      <w:r>
        <w:rPr>
          <w:rFonts w:ascii="宋体" w:hAnsi="宋体"/>
          <w:color w:val="000000"/>
          <w:sz w:val="24"/>
        </w:rPr>
        <w:t>说明：</w:t>
      </w:r>
    </w:p>
    <w:p>
      <w:pPr>
        <w:tabs>
          <w:tab w:val="left" w:pos="5580"/>
        </w:tabs>
        <w:spacing w:line="360" w:lineRule="auto"/>
        <w:rPr>
          <w:rFonts w:ascii="宋体" w:hAnsi="宋体"/>
          <w:color w:val="000000"/>
          <w:sz w:val="24"/>
          <w:highlight w:val="none"/>
        </w:rPr>
      </w:pPr>
      <w:r>
        <w:rPr>
          <w:rFonts w:ascii="宋体" w:hAnsi="宋体"/>
          <w:color w:val="000000"/>
          <w:sz w:val="24"/>
          <w:highlight w:val="none"/>
        </w:rPr>
        <w:t>（1）如本项目（包）不专门面向中小企业预留采购份额，</w:t>
      </w:r>
      <w:r>
        <w:rPr>
          <w:rFonts w:hint="eastAsia" w:ascii="宋体" w:hAnsi="宋体"/>
          <w:color w:val="000000"/>
          <w:sz w:val="24"/>
          <w:highlight w:val="none"/>
        </w:rPr>
        <w:t>资格证明文件部分</w:t>
      </w:r>
      <w:r>
        <w:rPr>
          <w:rFonts w:ascii="宋体" w:hAnsi="宋体"/>
          <w:color w:val="000000"/>
          <w:sz w:val="24"/>
          <w:highlight w:val="none"/>
        </w:rPr>
        <w:t>无需提供《中小企业声明函》。</w:t>
      </w:r>
    </w:p>
    <w:p>
      <w:pPr>
        <w:tabs>
          <w:tab w:val="left" w:pos="5580"/>
        </w:tabs>
        <w:spacing w:line="360" w:lineRule="auto"/>
        <w:rPr>
          <w:rFonts w:ascii="宋体" w:hAnsi="宋体"/>
          <w:color w:val="000000"/>
          <w:sz w:val="24"/>
        </w:rPr>
      </w:pPr>
      <w:r>
        <w:rPr>
          <w:rFonts w:ascii="宋体" w:hAnsi="宋体"/>
          <w:color w:val="000000"/>
          <w:sz w:val="24"/>
        </w:rPr>
        <w:t>（2）如本项目（包）专门面向小微企业采购，须提供《中小企业声明函》</w:t>
      </w:r>
      <w:r>
        <w:rPr>
          <w:rFonts w:ascii="宋体" w:hAnsi="宋体"/>
          <w:color w:val="000000"/>
          <w:sz w:val="24"/>
          <w:szCs w:val="20"/>
        </w:rPr>
        <w:t>（</w:t>
      </w:r>
      <w:r>
        <w:rPr>
          <w:rFonts w:hint="eastAsia" w:ascii="宋体" w:hAnsi="宋体"/>
          <w:color w:val="000000"/>
          <w:sz w:val="24"/>
          <w:szCs w:val="20"/>
        </w:rPr>
        <w:t>实质性格式</w:t>
      </w:r>
      <w:r>
        <w:rPr>
          <w:rFonts w:ascii="宋体" w:hAnsi="宋体"/>
          <w:color w:val="000000"/>
          <w:sz w:val="24"/>
          <w:szCs w:val="20"/>
        </w:rPr>
        <w:t>）</w:t>
      </w:r>
      <w:r>
        <w:rPr>
          <w:rFonts w:ascii="宋体" w:hAnsi="宋体"/>
          <w:color w:val="000000"/>
          <w:sz w:val="24"/>
        </w:rPr>
        <w:t>。</w:t>
      </w:r>
    </w:p>
    <w:p>
      <w:pPr>
        <w:tabs>
          <w:tab w:val="left" w:pos="5580"/>
        </w:tabs>
        <w:spacing w:line="360" w:lineRule="auto"/>
        <w:rPr>
          <w:rFonts w:ascii="宋体" w:hAnsi="宋体"/>
          <w:color w:val="000000"/>
          <w:sz w:val="24"/>
        </w:rPr>
      </w:pPr>
      <w:r>
        <w:rPr>
          <w:rFonts w:ascii="宋体" w:hAnsi="宋体"/>
          <w:color w:val="000000"/>
          <w:sz w:val="24"/>
        </w:rPr>
        <w:t>（3）如本项目（包）预留部分采购项目预算专门面向中小企业采购，要求</w:t>
      </w:r>
      <w:r>
        <w:rPr>
          <w:rFonts w:hint="eastAsia" w:ascii="宋体" w:hAnsi="宋体"/>
          <w:color w:val="000000"/>
          <w:sz w:val="24"/>
        </w:rPr>
        <w:t>投标人</w:t>
      </w:r>
      <w:r>
        <w:rPr>
          <w:rFonts w:ascii="宋体" w:hAnsi="宋体"/>
          <w:color w:val="000000"/>
          <w:sz w:val="24"/>
        </w:rPr>
        <w:t>以联合体形式参加采购活动，且联合体中中小企业承担的部分达到一定比例的，须提供《联合协议》；要求获得采购合同的投标人将采购项目中的一定比例分包给一家或者多家中小企业的，须提供《拟分包情况说明及分包意向协议（类型一）》。</w:t>
      </w:r>
    </w:p>
    <w:p>
      <w:pPr>
        <w:tabs>
          <w:tab w:val="left" w:pos="5580"/>
        </w:tabs>
        <w:spacing w:line="360" w:lineRule="auto"/>
        <w:rPr>
          <w:rFonts w:ascii="宋体" w:hAnsi="宋体"/>
          <w:color w:val="000000"/>
          <w:sz w:val="24"/>
        </w:rPr>
      </w:pPr>
      <w:r>
        <w:rPr>
          <w:rFonts w:hint="eastAsia" w:ascii="宋体" w:hAnsi="宋体"/>
          <w:color w:val="000000"/>
          <w:sz w:val="24"/>
        </w:rPr>
        <w:t>（</w:t>
      </w:r>
      <w:r>
        <w:rPr>
          <w:rFonts w:ascii="宋体" w:hAnsi="宋体"/>
          <w:color w:val="000000"/>
          <w:sz w:val="24"/>
        </w:rPr>
        <w:t>4）其他</w:t>
      </w:r>
    </w:p>
    <w:p>
      <w:pPr>
        <w:tabs>
          <w:tab w:val="left" w:pos="5580"/>
        </w:tabs>
        <w:spacing w:line="360" w:lineRule="auto"/>
        <w:rPr>
          <w:rFonts w:ascii="宋体" w:hAnsi="宋体"/>
          <w:color w:val="000000"/>
          <w:sz w:val="24"/>
        </w:rPr>
      </w:pPr>
      <w:r>
        <w:rPr>
          <w:rFonts w:ascii="宋体" w:hAnsi="宋体"/>
          <w:color w:val="000000"/>
          <w:sz w:val="24"/>
        </w:rPr>
        <w:t>1）中小企业参加政府采购活动，应当出具此格式文件。《中小企业声明函》由参加政府采购活动的投标人出具。联合体投标的，《中小企业声明函》由牵头人出具。</w:t>
      </w:r>
    </w:p>
    <w:p>
      <w:pPr>
        <w:tabs>
          <w:tab w:val="left" w:pos="5580"/>
        </w:tabs>
        <w:spacing w:line="360" w:lineRule="auto"/>
        <w:rPr>
          <w:rFonts w:ascii="宋体" w:hAnsi="宋体"/>
          <w:color w:val="000000"/>
          <w:sz w:val="24"/>
        </w:rPr>
      </w:pPr>
      <w:r>
        <w:rPr>
          <w:rFonts w:ascii="宋体" w:hAnsi="宋体"/>
          <w:color w:val="000000"/>
          <w:sz w:val="24"/>
        </w:rPr>
        <w:t>2）对于联合体中由中小企业承担的部分，或者分包给中小企业的部分，必须全部由中小企业制造、承建或者承接。</w:t>
      </w:r>
      <w:r>
        <w:rPr>
          <w:rFonts w:hint="eastAsia" w:ascii="宋体" w:hAnsi="宋体"/>
          <w:color w:val="000000"/>
          <w:sz w:val="24"/>
        </w:rPr>
        <w:t>投标人应当在声明函“项目名称”部分标明联合体中中小企业承担的具体内容或者中小企业的具体分包内容。</w:t>
      </w:r>
    </w:p>
    <w:p>
      <w:pPr>
        <w:tabs>
          <w:tab w:val="left" w:pos="5580"/>
        </w:tabs>
        <w:spacing w:line="360" w:lineRule="auto"/>
        <w:rPr>
          <w:rFonts w:ascii="宋体" w:hAnsi="宋体"/>
          <w:color w:val="000000"/>
          <w:sz w:val="24"/>
        </w:rPr>
      </w:pPr>
      <w:r>
        <w:rPr>
          <w:rFonts w:ascii="宋体" w:hAnsi="宋体"/>
          <w:color w:val="000000"/>
          <w:sz w:val="24"/>
        </w:rPr>
        <w:t>3）对于多标的</w:t>
      </w:r>
      <w:r>
        <w:rPr>
          <w:rFonts w:hint="eastAsia" w:ascii="宋体" w:hAnsi="宋体"/>
          <w:color w:val="000000"/>
          <w:sz w:val="24"/>
        </w:rPr>
        <w:t>的采购项目，投标人应充分、准确地了解所投产品制造企业信息。对相关情况了解不清楚的，不建议填报本声明函。</w:t>
      </w:r>
    </w:p>
    <w:p>
      <w:pPr>
        <w:spacing w:line="360" w:lineRule="auto"/>
        <w:rPr>
          <w:rFonts w:ascii="宋体" w:hAnsi="宋体" w:cs="宋体"/>
          <w:color w:val="000000"/>
          <w:sz w:val="24"/>
          <w:szCs w:val="24"/>
        </w:rPr>
      </w:pPr>
      <w:r>
        <w:rPr>
          <w:rFonts w:hint="eastAsia" w:ascii="宋体" w:hAnsi="宋体"/>
          <w:color w:val="000000"/>
          <w:sz w:val="24"/>
        </w:rPr>
        <w:t>（</w:t>
      </w:r>
      <w:r>
        <w:rPr>
          <w:rFonts w:ascii="宋体" w:hAnsi="宋体"/>
          <w:color w:val="000000"/>
          <w:sz w:val="24"/>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pPr>
        <w:spacing w:line="360" w:lineRule="auto"/>
        <w:rPr>
          <w:rFonts w:ascii="宋体" w:hAnsi="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pStyle w:val="3"/>
        <w:spacing w:line="360" w:lineRule="auto"/>
        <w:rPr>
          <w:rFonts w:ascii="宋体" w:hAnsi="宋体" w:cs="宋体"/>
          <w:color w:val="000000"/>
          <w:sz w:val="24"/>
          <w:szCs w:val="24"/>
        </w:rPr>
      </w:pPr>
      <w:r>
        <w:rPr>
          <w:rFonts w:hint="eastAsia" w:ascii="宋体" w:hAnsi="宋体" w:cs="宋体"/>
          <w:b/>
          <w:bCs/>
          <w:color w:val="000000"/>
          <w:sz w:val="24"/>
          <w:szCs w:val="24"/>
        </w:rPr>
        <w:t>附件</w:t>
      </w:r>
      <w:r>
        <w:rPr>
          <w:rFonts w:hint="eastAsia" w:ascii="宋体" w:hAnsi="宋体" w:cs="宋体"/>
          <w:b/>
          <w:bCs/>
          <w:color w:val="000000"/>
          <w:sz w:val="24"/>
          <w:szCs w:val="24"/>
          <w:highlight w:val="none"/>
          <w:lang w:val="en-US" w:eastAsia="zh-CN"/>
        </w:rPr>
        <w:t>6-3</w:t>
      </w:r>
      <w:r>
        <w:rPr>
          <w:rFonts w:hint="eastAsia" w:ascii="宋体" w:hAnsi="宋体" w:cs="宋体"/>
          <w:b/>
          <w:bCs/>
          <w:color w:val="000000"/>
          <w:sz w:val="24"/>
          <w:szCs w:val="24"/>
        </w:rPr>
        <w:t>-2  监狱企业证明（原件）</w:t>
      </w:r>
    </w:p>
    <w:p>
      <w:pPr>
        <w:spacing w:line="360" w:lineRule="auto"/>
        <w:ind w:firstLine="506" w:firstLineChars="201"/>
        <w:rPr>
          <w:rFonts w:ascii="宋体" w:hAnsi="宋体" w:cs="宋体"/>
          <w:color w:val="000000"/>
          <w:spacing w:val="6"/>
          <w:sz w:val="24"/>
          <w:szCs w:val="24"/>
        </w:rPr>
      </w:pPr>
      <w:r>
        <w:rPr>
          <w:rFonts w:hint="eastAsia" w:ascii="宋体" w:hAnsi="宋体" w:cs="宋体"/>
          <w:color w:val="000000"/>
          <w:spacing w:val="6"/>
          <w:sz w:val="24"/>
          <w:szCs w:val="24"/>
        </w:rPr>
        <w:t>说明：应当提供由省级以上监狱管理局、戒毒管理局(含新疆生产建设兵团)出具的属于监狱企业的证明文件。北京市监狱企业参加政府采购活动时，应当提供市监狱管理局、市教育矫治局出具的监狱企业的证明文件。</w:t>
      </w:r>
    </w:p>
    <w:p>
      <w:pPr>
        <w:pStyle w:val="3"/>
        <w:spacing w:line="360" w:lineRule="auto"/>
        <w:rPr>
          <w:rFonts w:ascii="宋体" w:hAnsi="宋体" w:cs="宋体"/>
          <w:color w:val="000000"/>
          <w:sz w:val="24"/>
          <w:szCs w:val="24"/>
        </w:rPr>
      </w:pPr>
      <w:r>
        <w:rPr>
          <w:rFonts w:hint="eastAsia" w:ascii="宋体" w:hAnsi="宋体" w:cs="宋体"/>
          <w:color w:val="000000"/>
          <w:sz w:val="24"/>
          <w:szCs w:val="24"/>
        </w:rPr>
        <w:br w:type="page"/>
      </w:r>
      <w:r>
        <w:rPr>
          <w:rFonts w:hint="eastAsia" w:ascii="宋体" w:hAnsi="宋体" w:cs="宋体"/>
          <w:b/>
          <w:bCs/>
          <w:color w:val="000000"/>
          <w:sz w:val="24"/>
          <w:szCs w:val="24"/>
        </w:rPr>
        <w:t>附件</w:t>
      </w:r>
      <w:r>
        <w:rPr>
          <w:rFonts w:hint="eastAsia" w:ascii="宋体" w:hAnsi="宋体" w:cs="宋体"/>
          <w:b/>
          <w:bCs/>
          <w:color w:val="000000"/>
          <w:sz w:val="24"/>
          <w:szCs w:val="24"/>
          <w:highlight w:val="none"/>
          <w:lang w:val="en-US" w:eastAsia="zh-CN"/>
        </w:rPr>
        <w:t>6-3</w:t>
      </w:r>
      <w:r>
        <w:rPr>
          <w:rFonts w:hint="eastAsia" w:ascii="宋体" w:hAnsi="宋体" w:cs="宋体"/>
          <w:b/>
          <w:bCs/>
          <w:color w:val="000000"/>
          <w:sz w:val="24"/>
          <w:szCs w:val="24"/>
        </w:rPr>
        <w:t>-3  残疾人福利性单位声明函</w:t>
      </w:r>
      <w:r>
        <w:rPr>
          <w:rFonts w:hint="eastAsia" w:ascii="宋体" w:hAnsi="宋体" w:cs="宋体"/>
          <w:b/>
          <w:bCs/>
          <w:color w:val="000000"/>
          <w:sz w:val="24"/>
          <w:szCs w:val="24"/>
          <w:lang w:val="en-US"/>
        </w:rPr>
        <w:t>（实质性格式）（如有）</w:t>
      </w:r>
    </w:p>
    <w:p>
      <w:pPr>
        <w:spacing w:line="360" w:lineRule="auto"/>
        <w:jc w:val="center"/>
        <w:rPr>
          <w:rFonts w:ascii="宋体" w:hAnsi="宋体" w:cs="宋体"/>
          <w:b/>
          <w:color w:val="000000"/>
          <w:spacing w:val="6"/>
          <w:sz w:val="24"/>
          <w:szCs w:val="24"/>
        </w:rPr>
      </w:pPr>
    </w:p>
    <w:p>
      <w:pPr>
        <w:spacing w:line="360" w:lineRule="auto"/>
        <w:jc w:val="center"/>
        <w:rPr>
          <w:rFonts w:ascii="宋体" w:hAnsi="宋体" w:cs="宋体"/>
          <w:b/>
          <w:color w:val="000000"/>
          <w:spacing w:val="6"/>
          <w:sz w:val="24"/>
          <w:szCs w:val="24"/>
        </w:rPr>
      </w:pPr>
      <w:r>
        <w:rPr>
          <w:rFonts w:hint="eastAsia" w:ascii="宋体" w:hAnsi="宋体" w:cs="宋体"/>
          <w:b/>
          <w:color w:val="000000"/>
          <w:spacing w:val="6"/>
          <w:sz w:val="24"/>
          <w:szCs w:val="24"/>
        </w:rPr>
        <w:t>残疾人福利性单位声明函</w:t>
      </w:r>
    </w:p>
    <w:p>
      <w:pPr>
        <w:spacing w:line="360" w:lineRule="auto"/>
        <w:rPr>
          <w:rFonts w:ascii="宋体" w:hAnsi="宋体" w:cs="宋体"/>
          <w:b/>
          <w:color w:val="000000"/>
          <w:spacing w:val="6"/>
          <w:sz w:val="24"/>
          <w:szCs w:val="24"/>
        </w:rPr>
      </w:pPr>
    </w:p>
    <w:p>
      <w:pPr>
        <w:spacing w:line="360" w:lineRule="auto"/>
        <w:ind w:firstLine="504"/>
        <w:rPr>
          <w:rFonts w:ascii="宋体" w:hAnsi="宋体"/>
          <w:color w:val="000000"/>
          <w:spacing w:val="6"/>
          <w:sz w:val="24"/>
        </w:rPr>
      </w:pPr>
      <w:r>
        <w:rPr>
          <w:rFonts w:ascii="宋体" w:hAnsi="宋体"/>
          <w:color w:val="000000"/>
          <w:spacing w:val="6"/>
          <w:sz w:val="24"/>
        </w:rPr>
        <w:t>本单位郑重声明，根据《财政部 民政部 中国残疾人联合会关于促进残疾人就业政府采购政策的通知》（财库</w:t>
      </w:r>
      <w:r>
        <w:rPr>
          <w:rFonts w:ascii="宋体" w:hAnsi="宋体"/>
          <w:color w:val="000000"/>
          <w:sz w:val="24"/>
        </w:rPr>
        <w:t>〔2017〕 141</w:t>
      </w:r>
      <w:r>
        <w:rPr>
          <w:rFonts w:ascii="宋体" w:hAnsi="宋体"/>
          <w:color w:val="000000"/>
          <w:spacing w:val="6"/>
          <w:sz w:val="24"/>
        </w:rPr>
        <w:t>号）的规定，本单位</w:t>
      </w:r>
      <w:r>
        <w:rPr>
          <w:rFonts w:ascii="宋体" w:hAnsi="宋体"/>
          <w:b/>
          <w:color w:val="000000"/>
          <w:sz w:val="24"/>
        </w:rPr>
        <w:t>（请进行勾选）</w:t>
      </w:r>
      <w:r>
        <w:rPr>
          <w:rFonts w:ascii="宋体" w:hAnsi="宋体"/>
          <w:color w:val="000000"/>
          <w:spacing w:val="6"/>
          <w:sz w:val="24"/>
        </w:rPr>
        <w:t>：</w:t>
      </w:r>
    </w:p>
    <w:p>
      <w:pPr>
        <w:spacing w:line="360" w:lineRule="auto"/>
        <w:ind w:firstLine="482"/>
        <w:rPr>
          <w:rFonts w:ascii="宋体" w:hAnsi="宋体"/>
          <w:b/>
          <w:color w:val="000000"/>
          <w:spacing w:val="6"/>
          <w:sz w:val="24"/>
        </w:rPr>
      </w:pPr>
      <w:r>
        <w:rPr>
          <w:rFonts w:ascii="宋体" w:hAnsi="宋体"/>
          <w:b/>
          <w:color w:val="000000"/>
          <w:sz w:val="24"/>
        </w:rPr>
        <w:t>□</w:t>
      </w:r>
      <w:r>
        <w:rPr>
          <w:rFonts w:ascii="宋体" w:hAnsi="宋体"/>
          <w:b/>
          <w:color w:val="000000"/>
          <w:spacing w:val="6"/>
          <w:sz w:val="24"/>
        </w:rPr>
        <w:t>不属于符合条件的残疾人福利性单位。</w:t>
      </w:r>
    </w:p>
    <w:p>
      <w:pPr>
        <w:spacing w:line="360" w:lineRule="auto"/>
        <w:ind w:firstLine="482"/>
        <w:rPr>
          <w:rFonts w:ascii="宋体" w:hAnsi="宋体"/>
          <w:color w:val="000000"/>
          <w:spacing w:val="6"/>
          <w:sz w:val="24"/>
        </w:rPr>
      </w:pPr>
      <w:r>
        <w:rPr>
          <w:rFonts w:ascii="宋体" w:hAnsi="宋体"/>
          <w:b/>
          <w:color w:val="000000"/>
          <w:sz w:val="24"/>
        </w:rPr>
        <w:t>□</w:t>
      </w:r>
      <w:r>
        <w:rPr>
          <w:rFonts w:ascii="宋体" w:hAnsi="宋体"/>
          <w:b/>
          <w:color w:val="000000"/>
          <w:spacing w:val="6"/>
          <w:sz w:val="24"/>
        </w:rPr>
        <w:t>属于符合条件的残疾人福利性单位，</w:t>
      </w:r>
      <w:r>
        <w:rPr>
          <w:rFonts w:ascii="宋体" w:hAnsi="宋体"/>
          <w:color w:val="000000"/>
          <w:spacing w:val="6"/>
          <w:sz w:val="24"/>
        </w:rPr>
        <w:t>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06" w:firstLineChars="200"/>
        <w:rPr>
          <w:rFonts w:ascii="宋体" w:hAnsi="宋体" w:cs="宋体"/>
          <w:color w:val="000000"/>
          <w:spacing w:val="6"/>
          <w:sz w:val="24"/>
          <w:szCs w:val="24"/>
        </w:rPr>
      </w:pPr>
      <w:r>
        <w:rPr>
          <w:rFonts w:ascii="宋体" w:hAnsi="宋体"/>
          <w:b/>
          <w:color w:val="000000"/>
          <w:spacing w:val="6"/>
          <w:sz w:val="24"/>
        </w:rPr>
        <w:t>本单位对上述声明的真实性负责。如有虚假，将依法承担相应责任。</w:t>
      </w:r>
    </w:p>
    <w:p>
      <w:pPr>
        <w:spacing w:line="360" w:lineRule="auto"/>
        <w:ind w:firstLine="504" w:firstLineChars="200"/>
        <w:rPr>
          <w:rFonts w:ascii="宋体" w:hAnsi="宋体" w:cs="宋体"/>
          <w:color w:val="000000"/>
          <w:spacing w:val="6"/>
          <w:sz w:val="24"/>
          <w:szCs w:val="24"/>
        </w:rPr>
      </w:pPr>
    </w:p>
    <w:p>
      <w:pPr>
        <w:spacing w:line="360" w:lineRule="auto"/>
        <w:ind w:firstLine="504" w:firstLineChars="200"/>
        <w:rPr>
          <w:rFonts w:ascii="宋体" w:hAnsi="宋体" w:cs="宋体"/>
          <w:color w:val="000000"/>
          <w:spacing w:val="6"/>
          <w:sz w:val="24"/>
          <w:szCs w:val="24"/>
        </w:rPr>
      </w:pPr>
    </w:p>
    <w:p>
      <w:pPr>
        <w:tabs>
          <w:tab w:val="left" w:pos="4860"/>
        </w:tabs>
        <w:spacing w:line="360" w:lineRule="auto"/>
        <w:ind w:right="1560" w:firstLine="504" w:firstLineChars="200"/>
        <w:jc w:val="center"/>
        <w:rPr>
          <w:rFonts w:ascii="宋体" w:hAnsi="宋体" w:cs="宋体"/>
          <w:color w:val="000000"/>
          <w:spacing w:val="6"/>
          <w:sz w:val="24"/>
          <w:szCs w:val="24"/>
        </w:rPr>
      </w:pPr>
      <w:r>
        <w:rPr>
          <w:rFonts w:hint="eastAsia" w:ascii="宋体" w:hAnsi="宋体" w:cs="宋体"/>
          <w:color w:val="000000"/>
          <w:spacing w:val="6"/>
          <w:sz w:val="24"/>
          <w:szCs w:val="24"/>
        </w:rPr>
        <w:t xml:space="preserve">               单位名称（盖章）：</w:t>
      </w:r>
    </w:p>
    <w:p>
      <w:pPr>
        <w:rPr>
          <w:rFonts w:ascii="宋体" w:hAnsi="宋体" w:cs="宋体"/>
          <w:color w:val="000000"/>
          <w:spacing w:val="6"/>
          <w:sz w:val="24"/>
          <w:szCs w:val="24"/>
        </w:rPr>
      </w:pPr>
      <w:r>
        <w:rPr>
          <w:rFonts w:hint="eastAsia" w:ascii="宋体" w:hAnsi="宋体" w:cs="宋体"/>
          <w:color w:val="000000"/>
          <w:spacing w:val="6"/>
          <w:sz w:val="24"/>
          <w:szCs w:val="24"/>
        </w:rPr>
        <w:t xml:space="preserve">                           日  期：</w:t>
      </w:r>
    </w:p>
    <w:p>
      <w:r>
        <w:br w:type="page"/>
      </w:r>
    </w:p>
    <w:p>
      <w:pPr>
        <w:numPr>
          <w:ilvl w:val="0"/>
          <w:numId w:val="0"/>
        </w:numPr>
        <w:spacing w:line="360" w:lineRule="auto"/>
        <w:rPr>
          <w:rFonts w:hint="eastAsia" w:ascii="宋体" w:hAnsi="宋体"/>
          <w:color w:val="000000"/>
          <w:sz w:val="24"/>
          <w:lang w:val="en-US" w:eastAsia="zh-CN"/>
        </w:rPr>
      </w:pPr>
      <w:r>
        <w:rPr>
          <w:rFonts w:ascii="宋体" w:hAnsi="宋体" w:cs="宋体"/>
          <w:b/>
          <w:bCs/>
          <w:color w:val="000000"/>
          <w:sz w:val="24"/>
          <w:szCs w:val="24"/>
        </w:rPr>
        <w:t>附件</w:t>
      </w:r>
      <w:r>
        <w:rPr>
          <w:rFonts w:hint="eastAsia" w:ascii="宋体" w:hAnsi="宋体" w:cs="宋体"/>
          <w:b/>
          <w:bCs/>
          <w:color w:val="000000"/>
          <w:sz w:val="24"/>
          <w:szCs w:val="24"/>
          <w:highlight w:val="none"/>
          <w:lang w:val="en-US" w:eastAsia="zh-CN"/>
        </w:rPr>
        <w:t>6-3</w:t>
      </w:r>
      <w:r>
        <w:rPr>
          <w:rFonts w:hint="eastAsia" w:ascii="宋体" w:hAnsi="宋体" w:cs="宋体"/>
          <w:b/>
          <w:bCs/>
          <w:color w:val="000000"/>
          <w:sz w:val="24"/>
          <w:szCs w:val="24"/>
        </w:rPr>
        <w:t xml:space="preserve">-4  </w:t>
      </w:r>
      <w:r>
        <w:rPr>
          <w:rFonts w:ascii="宋体" w:hAnsi="宋体" w:cs="宋体"/>
          <w:b/>
          <w:bCs/>
          <w:color w:val="000000"/>
          <w:sz w:val="24"/>
          <w:szCs w:val="24"/>
        </w:rPr>
        <w:t>其它落实政府采购政策的资格要求（如有）</w:t>
      </w:r>
    </w:p>
    <w:p>
      <w:pPr>
        <w:widowControl/>
        <w:jc w:val="left"/>
        <w:rPr>
          <w:rFonts w:ascii="宋体" w:hAnsi="宋体" w:cs="宋体"/>
          <w:color w:val="000000"/>
          <w:spacing w:val="6"/>
          <w:sz w:val="24"/>
          <w:szCs w:val="24"/>
        </w:rPr>
      </w:pPr>
      <w:r>
        <w:rPr>
          <w:rFonts w:ascii="宋体" w:hAnsi="宋体" w:cs="宋体"/>
          <w:color w:val="000000"/>
          <w:spacing w:val="6"/>
          <w:sz w:val="24"/>
          <w:szCs w:val="24"/>
        </w:rPr>
        <w:br w:type="page"/>
      </w:r>
    </w:p>
    <w:p>
      <w:pPr>
        <w:spacing w:line="360" w:lineRule="auto"/>
        <w:rPr>
          <w:rFonts w:ascii="宋体" w:hAnsi="宋体" w:cs="宋体"/>
          <w:b/>
          <w:bCs/>
          <w:color w:val="000000"/>
          <w:spacing w:val="6"/>
          <w:sz w:val="24"/>
          <w:szCs w:val="24"/>
        </w:rPr>
      </w:pPr>
      <w:r>
        <w:rPr>
          <w:rFonts w:ascii="宋体" w:hAnsi="宋体" w:cs="宋体"/>
          <w:b/>
          <w:bCs/>
          <w:color w:val="000000"/>
          <w:spacing w:val="6"/>
          <w:sz w:val="24"/>
          <w:szCs w:val="24"/>
        </w:rPr>
        <w:t>拟分包情况说明及分包意向协议（类型一）</w:t>
      </w:r>
      <w:r>
        <w:rPr>
          <w:rFonts w:hint="eastAsia" w:ascii="宋体" w:hAnsi="宋体" w:cs="宋体"/>
          <w:b/>
          <w:bCs/>
          <w:color w:val="000000"/>
          <w:spacing w:val="6"/>
          <w:sz w:val="24"/>
          <w:szCs w:val="24"/>
        </w:rPr>
        <w:t>（本项目不适用）</w:t>
      </w:r>
    </w:p>
    <w:p>
      <w:pPr>
        <w:autoSpaceDE w:val="0"/>
        <w:autoSpaceDN w:val="0"/>
        <w:adjustRightInd w:val="0"/>
        <w:jc w:val="center"/>
        <w:rPr>
          <w:rFonts w:ascii="宋体" w:hAnsi="宋体"/>
          <w:color w:val="000000"/>
          <w:sz w:val="30"/>
          <w:szCs w:val="30"/>
        </w:rPr>
      </w:pPr>
    </w:p>
    <w:p>
      <w:pPr>
        <w:spacing w:line="360" w:lineRule="auto"/>
        <w:ind w:firstLine="506" w:firstLineChars="200"/>
        <w:jc w:val="center"/>
        <w:rPr>
          <w:rFonts w:ascii="宋体" w:hAnsi="宋体" w:cs="宋体"/>
          <w:b/>
          <w:bCs/>
          <w:color w:val="000000"/>
          <w:spacing w:val="6"/>
          <w:sz w:val="24"/>
          <w:szCs w:val="24"/>
        </w:rPr>
      </w:pPr>
      <w:r>
        <w:rPr>
          <w:rFonts w:hint="eastAsia" w:ascii="宋体" w:hAnsi="宋体" w:cs="宋体"/>
          <w:b/>
          <w:bCs/>
          <w:color w:val="000000"/>
          <w:spacing w:val="6"/>
          <w:sz w:val="24"/>
          <w:szCs w:val="24"/>
        </w:rPr>
        <w:t>拟分包情况说明</w:t>
      </w:r>
    </w:p>
    <w:p>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jc w:val="center"/>
        </w:trPr>
        <w:tc>
          <w:tcPr>
            <w:tcW w:w="491" w:type="dxa"/>
            <w:shd w:val="clear" w:color="auto" w:fill="auto"/>
            <w:vAlign w:val="center"/>
          </w:tcPr>
          <w:p>
            <w:pPr>
              <w:pStyle w:val="253"/>
              <w:jc w:val="center"/>
              <w:rPr>
                <w:color w:val="000000"/>
                <w:sz w:val="24"/>
                <w:lang w:eastAsia="en-US"/>
              </w:rPr>
            </w:pPr>
            <w:r>
              <w:rPr>
                <w:rFonts w:hint="eastAsia"/>
                <w:color w:val="000000"/>
                <w:sz w:val="24"/>
                <w:lang w:eastAsia="en-US"/>
              </w:rPr>
              <w:t>序号</w:t>
            </w:r>
          </w:p>
        </w:tc>
        <w:tc>
          <w:tcPr>
            <w:tcW w:w="1287" w:type="dxa"/>
            <w:shd w:val="clear" w:color="auto" w:fill="auto"/>
            <w:vAlign w:val="center"/>
          </w:tcPr>
          <w:p>
            <w:pPr>
              <w:pStyle w:val="253"/>
              <w:jc w:val="center"/>
              <w:rPr>
                <w:color w:val="000000"/>
                <w:sz w:val="24"/>
                <w:lang w:eastAsia="en-US"/>
              </w:rPr>
            </w:pPr>
            <w:r>
              <w:rPr>
                <w:color w:val="000000"/>
                <w:sz w:val="24"/>
                <w:lang w:eastAsia="en-US"/>
              </w:rPr>
              <w:t>分包承担</w:t>
            </w:r>
          </w:p>
          <w:p>
            <w:pPr>
              <w:pStyle w:val="253"/>
              <w:jc w:val="center"/>
              <w:rPr>
                <w:color w:val="000000"/>
                <w:sz w:val="24"/>
                <w:lang w:eastAsia="en-US"/>
              </w:rPr>
            </w:pPr>
            <w:r>
              <w:rPr>
                <w:color w:val="000000"/>
                <w:sz w:val="24"/>
                <w:lang w:eastAsia="en-US"/>
              </w:rPr>
              <w:t>主体名称</w:t>
            </w:r>
          </w:p>
        </w:tc>
        <w:tc>
          <w:tcPr>
            <w:tcW w:w="1513" w:type="dxa"/>
            <w:shd w:val="clear" w:color="auto" w:fill="auto"/>
            <w:vAlign w:val="center"/>
          </w:tcPr>
          <w:p>
            <w:pPr>
              <w:pStyle w:val="253"/>
              <w:jc w:val="center"/>
              <w:rPr>
                <w:color w:val="000000"/>
                <w:sz w:val="24"/>
              </w:rPr>
            </w:pPr>
            <w:r>
              <w:rPr>
                <w:color w:val="000000"/>
                <w:sz w:val="24"/>
              </w:rPr>
              <w:t>分包承担</w:t>
            </w:r>
          </w:p>
          <w:p>
            <w:pPr>
              <w:pStyle w:val="253"/>
              <w:jc w:val="center"/>
              <w:rPr>
                <w:color w:val="000000"/>
                <w:sz w:val="24"/>
              </w:rPr>
            </w:pPr>
            <w:r>
              <w:rPr>
                <w:color w:val="000000"/>
                <w:sz w:val="24"/>
              </w:rPr>
              <w:t>主体类型</w:t>
            </w:r>
          </w:p>
          <w:p>
            <w:pPr>
              <w:pStyle w:val="253"/>
              <w:jc w:val="center"/>
              <w:rPr>
                <w:color w:val="000000"/>
                <w:sz w:val="24"/>
              </w:rPr>
            </w:pPr>
            <w:r>
              <w:rPr>
                <w:rFonts w:hint="eastAsia"/>
                <w:color w:val="000000"/>
                <w:sz w:val="24"/>
              </w:rPr>
              <w:t>（勾选）</w:t>
            </w:r>
          </w:p>
        </w:tc>
        <w:tc>
          <w:tcPr>
            <w:tcW w:w="1125" w:type="dxa"/>
            <w:shd w:val="clear" w:color="auto" w:fill="auto"/>
            <w:vAlign w:val="center"/>
          </w:tcPr>
          <w:p>
            <w:pPr>
              <w:pStyle w:val="253"/>
              <w:jc w:val="center"/>
              <w:rPr>
                <w:color w:val="000000"/>
                <w:sz w:val="24"/>
                <w:lang w:eastAsia="en-US"/>
              </w:rPr>
            </w:pPr>
            <w:r>
              <w:rPr>
                <w:color w:val="000000"/>
                <w:sz w:val="24"/>
                <w:lang w:eastAsia="en-US"/>
              </w:rPr>
              <w:t>资质等级</w:t>
            </w:r>
          </w:p>
        </w:tc>
        <w:tc>
          <w:tcPr>
            <w:tcW w:w="1561" w:type="dxa"/>
            <w:shd w:val="clear" w:color="auto" w:fill="auto"/>
            <w:vAlign w:val="center"/>
          </w:tcPr>
          <w:p>
            <w:pPr>
              <w:pStyle w:val="253"/>
              <w:jc w:val="center"/>
              <w:rPr>
                <w:color w:val="000000"/>
                <w:sz w:val="24"/>
                <w:lang w:eastAsia="en-US"/>
              </w:rPr>
            </w:pPr>
            <w:r>
              <w:rPr>
                <w:color w:val="000000"/>
                <w:sz w:val="24"/>
                <w:lang w:eastAsia="en-US"/>
              </w:rPr>
              <w:t>拟分包</w:t>
            </w:r>
          </w:p>
          <w:p>
            <w:pPr>
              <w:pStyle w:val="253"/>
              <w:jc w:val="center"/>
              <w:rPr>
                <w:color w:val="000000"/>
                <w:sz w:val="24"/>
                <w:lang w:eastAsia="en-US"/>
              </w:rPr>
            </w:pPr>
            <w:r>
              <w:rPr>
                <w:color w:val="000000"/>
                <w:sz w:val="24"/>
                <w:lang w:eastAsia="en-US"/>
              </w:rPr>
              <w:t>合同内容</w:t>
            </w:r>
          </w:p>
        </w:tc>
        <w:tc>
          <w:tcPr>
            <w:tcW w:w="1498" w:type="dxa"/>
            <w:shd w:val="clear" w:color="auto" w:fill="auto"/>
            <w:vAlign w:val="center"/>
          </w:tcPr>
          <w:p>
            <w:pPr>
              <w:pStyle w:val="253"/>
              <w:jc w:val="center"/>
              <w:rPr>
                <w:color w:val="000000"/>
                <w:sz w:val="24"/>
              </w:rPr>
            </w:pPr>
            <w:r>
              <w:rPr>
                <w:color w:val="000000"/>
                <w:sz w:val="24"/>
              </w:rPr>
              <w:t>拟分包</w:t>
            </w:r>
          </w:p>
          <w:p>
            <w:pPr>
              <w:pStyle w:val="253"/>
              <w:jc w:val="center"/>
              <w:rPr>
                <w:color w:val="000000"/>
                <w:sz w:val="24"/>
              </w:rPr>
            </w:pPr>
            <w:r>
              <w:rPr>
                <w:color w:val="000000"/>
                <w:sz w:val="24"/>
              </w:rPr>
              <w:t>合同金额</w:t>
            </w:r>
          </w:p>
          <w:p>
            <w:pPr>
              <w:pStyle w:val="253"/>
              <w:jc w:val="center"/>
              <w:rPr>
                <w:color w:val="000000"/>
                <w:sz w:val="24"/>
              </w:rPr>
            </w:pPr>
            <w:r>
              <w:rPr>
                <w:color w:val="000000"/>
                <w:sz w:val="24"/>
              </w:rPr>
              <w:t>（人民币元）</w:t>
            </w:r>
          </w:p>
        </w:tc>
        <w:tc>
          <w:tcPr>
            <w:tcW w:w="1564" w:type="dxa"/>
            <w:shd w:val="clear" w:color="auto" w:fill="auto"/>
            <w:vAlign w:val="center"/>
          </w:tcPr>
          <w:p>
            <w:pPr>
              <w:pStyle w:val="253"/>
              <w:jc w:val="center"/>
              <w:rPr>
                <w:color w:val="000000"/>
                <w:sz w:val="24"/>
              </w:rPr>
            </w:pPr>
            <w:r>
              <w:rPr>
                <w:color w:val="000000"/>
                <w:sz w:val="24"/>
              </w:rPr>
              <w:t>占该采购包</w:t>
            </w:r>
          </w:p>
          <w:p>
            <w:pPr>
              <w:pStyle w:val="253"/>
              <w:jc w:val="center"/>
              <w:rPr>
                <w:b/>
                <w:color w:val="000000"/>
                <w:sz w:val="24"/>
              </w:rPr>
            </w:pPr>
            <w:r>
              <w:rPr>
                <w:rFonts w:hint="eastAsia"/>
                <w:b/>
                <w:color w:val="000000"/>
                <w:sz w:val="24"/>
              </w:rPr>
              <w:t>预算</w:t>
            </w:r>
            <w:r>
              <w:rPr>
                <w:b/>
                <w:color w:val="000000"/>
                <w:sz w:val="24"/>
              </w:rPr>
              <w:t>金额的</w:t>
            </w:r>
          </w:p>
          <w:p>
            <w:pPr>
              <w:pStyle w:val="253"/>
              <w:jc w:val="center"/>
              <w:rPr>
                <w:color w:val="000000"/>
                <w:sz w:val="24"/>
              </w:rPr>
            </w:pPr>
            <w:r>
              <w:rPr>
                <w:color w:val="000000"/>
                <w:sz w:val="24"/>
              </w:rPr>
              <w:t>比例</w:t>
            </w:r>
            <w:r>
              <w:rPr>
                <w:rFonts w:hint="eastAsia"/>
                <w:color w:val="000000"/>
                <w:sz w:val="24"/>
              </w:rPr>
              <w:t>（</w:t>
            </w:r>
            <w:r>
              <w:rPr>
                <w:color w:val="000000"/>
                <w:sz w:val="24"/>
              </w:rPr>
              <w:t>%</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3"/>
              <w:ind w:firstLine="480"/>
              <w:jc w:val="center"/>
              <w:rPr>
                <w:color w:val="000000"/>
                <w:sz w:val="24"/>
                <w:lang w:eastAsia="en-US"/>
              </w:rPr>
            </w:pPr>
            <w:r>
              <w:rPr>
                <w:color w:val="000000"/>
                <w:sz w:val="24"/>
                <w:lang w:eastAsia="en-US"/>
              </w:rPr>
              <w:t>1</w:t>
            </w:r>
          </w:p>
        </w:tc>
        <w:tc>
          <w:tcPr>
            <w:tcW w:w="1287" w:type="dxa"/>
            <w:shd w:val="clear" w:color="auto" w:fill="auto"/>
            <w:vAlign w:val="center"/>
          </w:tcPr>
          <w:p>
            <w:pPr>
              <w:pStyle w:val="253"/>
              <w:ind w:firstLine="600"/>
              <w:jc w:val="center"/>
              <w:rPr>
                <w:rFonts w:cs="Times New Roman"/>
                <w:color w:val="000000"/>
                <w:sz w:val="30"/>
                <w:lang w:eastAsia="en-US"/>
              </w:rPr>
            </w:pPr>
          </w:p>
        </w:tc>
        <w:tc>
          <w:tcPr>
            <w:tcW w:w="1513" w:type="dxa"/>
            <w:shd w:val="clear" w:color="auto" w:fill="auto"/>
            <w:vAlign w:val="center"/>
          </w:tcPr>
          <w:p>
            <w:pPr>
              <w:pStyle w:val="253"/>
              <w:tabs>
                <w:tab w:val="left" w:pos="235"/>
              </w:tabs>
              <w:ind w:left="1" w:leftChars="-43" w:hanging="91" w:hangingChars="38"/>
              <w:jc w:val="center"/>
              <w:rPr>
                <w:rFonts w:cs="Times New Roman"/>
                <w:color w:val="000000"/>
                <w:sz w:val="24"/>
              </w:rPr>
            </w:pPr>
            <w:r>
              <w:rPr>
                <w:rFonts w:cs="Times New Roman"/>
                <w:color w:val="000000"/>
                <w:sz w:val="24"/>
              </w:rPr>
              <w:t>□中型企业</w:t>
            </w:r>
          </w:p>
          <w:p>
            <w:pPr>
              <w:pStyle w:val="253"/>
              <w:tabs>
                <w:tab w:val="left" w:pos="235"/>
              </w:tabs>
              <w:ind w:left="1" w:leftChars="-43" w:hanging="91" w:hangingChars="38"/>
              <w:jc w:val="center"/>
              <w:rPr>
                <w:rFonts w:cs="Times New Roman"/>
                <w:color w:val="000000"/>
                <w:sz w:val="24"/>
              </w:rPr>
            </w:pPr>
            <w:r>
              <w:rPr>
                <w:rFonts w:cs="Times New Roman"/>
                <w:color w:val="000000"/>
                <w:sz w:val="24"/>
              </w:rPr>
              <w:t>□小微企业</w:t>
            </w:r>
          </w:p>
        </w:tc>
        <w:tc>
          <w:tcPr>
            <w:tcW w:w="1125" w:type="dxa"/>
            <w:shd w:val="clear" w:color="auto" w:fill="auto"/>
            <w:vAlign w:val="center"/>
          </w:tcPr>
          <w:p>
            <w:pPr>
              <w:pStyle w:val="253"/>
              <w:ind w:firstLine="600"/>
              <w:jc w:val="center"/>
              <w:rPr>
                <w:color w:val="000000"/>
                <w:sz w:val="30"/>
              </w:rPr>
            </w:pPr>
          </w:p>
        </w:tc>
        <w:tc>
          <w:tcPr>
            <w:tcW w:w="1561" w:type="dxa"/>
            <w:shd w:val="clear" w:color="auto" w:fill="auto"/>
            <w:vAlign w:val="center"/>
          </w:tcPr>
          <w:p>
            <w:pPr>
              <w:pStyle w:val="253"/>
              <w:ind w:firstLine="600"/>
              <w:jc w:val="center"/>
              <w:rPr>
                <w:color w:val="000000"/>
                <w:sz w:val="30"/>
              </w:rPr>
            </w:pPr>
          </w:p>
        </w:tc>
        <w:tc>
          <w:tcPr>
            <w:tcW w:w="1498" w:type="dxa"/>
            <w:shd w:val="clear" w:color="auto" w:fill="auto"/>
            <w:vAlign w:val="center"/>
          </w:tcPr>
          <w:p>
            <w:pPr>
              <w:pStyle w:val="253"/>
              <w:ind w:firstLine="600"/>
              <w:jc w:val="center"/>
              <w:rPr>
                <w:color w:val="000000"/>
                <w:sz w:val="30"/>
              </w:rPr>
            </w:pPr>
          </w:p>
        </w:tc>
        <w:tc>
          <w:tcPr>
            <w:tcW w:w="1564" w:type="dxa"/>
            <w:shd w:val="clear" w:color="auto" w:fill="auto"/>
            <w:vAlign w:val="center"/>
          </w:tcPr>
          <w:p>
            <w:pPr>
              <w:pStyle w:val="253"/>
              <w:ind w:firstLine="600"/>
              <w:jc w:val="center"/>
              <w:rPr>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3"/>
              <w:ind w:firstLine="480"/>
              <w:jc w:val="center"/>
              <w:rPr>
                <w:color w:val="000000"/>
                <w:sz w:val="24"/>
                <w:lang w:eastAsia="en-US"/>
              </w:rPr>
            </w:pPr>
            <w:r>
              <w:rPr>
                <w:color w:val="000000"/>
                <w:sz w:val="24"/>
                <w:lang w:eastAsia="en-US"/>
              </w:rPr>
              <w:t>2</w:t>
            </w:r>
          </w:p>
        </w:tc>
        <w:tc>
          <w:tcPr>
            <w:tcW w:w="1287" w:type="dxa"/>
            <w:shd w:val="clear" w:color="auto" w:fill="auto"/>
            <w:vAlign w:val="center"/>
          </w:tcPr>
          <w:p>
            <w:pPr>
              <w:pStyle w:val="253"/>
              <w:ind w:firstLine="600"/>
              <w:jc w:val="center"/>
              <w:rPr>
                <w:color w:val="000000"/>
                <w:sz w:val="30"/>
                <w:lang w:eastAsia="en-US"/>
              </w:rPr>
            </w:pPr>
          </w:p>
        </w:tc>
        <w:tc>
          <w:tcPr>
            <w:tcW w:w="1513" w:type="dxa"/>
            <w:shd w:val="clear" w:color="auto" w:fill="auto"/>
            <w:vAlign w:val="center"/>
          </w:tcPr>
          <w:p>
            <w:pPr>
              <w:pStyle w:val="253"/>
              <w:tabs>
                <w:tab w:val="left" w:pos="235"/>
              </w:tabs>
              <w:ind w:left="1" w:leftChars="-43" w:hanging="91" w:hangingChars="38"/>
              <w:jc w:val="center"/>
              <w:rPr>
                <w:rFonts w:cs="Times New Roman"/>
                <w:color w:val="000000"/>
                <w:sz w:val="24"/>
              </w:rPr>
            </w:pPr>
            <w:r>
              <w:rPr>
                <w:rFonts w:cs="Times New Roman"/>
                <w:color w:val="000000"/>
                <w:sz w:val="24"/>
              </w:rPr>
              <w:t>□中型企业</w:t>
            </w:r>
          </w:p>
          <w:p>
            <w:pPr>
              <w:pStyle w:val="253"/>
              <w:tabs>
                <w:tab w:val="left" w:pos="235"/>
              </w:tabs>
              <w:ind w:left="1" w:leftChars="-43" w:hanging="91" w:hangingChars="38"/>
              <w:jc w:val="center"/>
              <w:rPr>
                <w:rFonts w:cs="Times New Roman"/>
                <w:color w:val="000000"/>
                <w:sz w:val="24"/>
              </w:rPr>
            </w:pPr>
            <w:r>
              <w:rPr>
                <w:rFonts w:cs="Times New Roman"/>
                <w:color w:val="000000"/>
                <w:sz w:val="24"/>
              </w:rPr>
              <w:t>□小微企业</w:t>
            </w:r>
          </w:p>
        </w:tc>
        <w:tc>
          <w:tcPr>
            <w:tcW w:w="1125" w:type="dxa"/>
            <w:shd w:val="clear" w:color="auto" w:fill="auto"/>
            <w:vAlign w:val="center"/>
          </w:tcPr>
          <w:p>
            <w:pPr>
              <w:pStyle w:val="253"/>
              <w:ind w:firstLine="600"/>
              <w:jc w:val="center"/>
              <w:rPr>
                <w:color w:val="000000"/>
                <w:sz w:val="30"/>
              </w:rPr>
            </w:pPr>
          </w:p>
        </w:tc>
        <w:tc>
          <w:tcPr>
            <w:tcW w:w="1561" w:type="dxa"/>
            <w:shd w:val="clear" w:color="auto" w:fill="auto"/>
            <w:vAlign w:val="center"/>
          </w:tcPr>
          <w:p>
            <w:pPr>
              <w:pStyle w:val="253"/>
              <w:ind w:firstLine="600"/>
              <w:jc w:val="center"/>
              <w:rPr>
                <w:color w:val="000000"/>
                <w:sz w:val="30"/>
              </w:rPr>
            </w:pPr>
          </w:p>
        </w:tc>
        <w:tc>
          <w:tcPr>
            <w:tcW w:w="1498" w:type="dxa"/>
            <w:shd w:val="clear" w:color="auto" w:fill="auto"/>
            <w:vAlign w:val="center"/>
          </w:tcPr>
          <w:p>
            <w:pPr>
              <w:pStyle w:val="253"/>
              <w:ind w:firstLine="600"/>
              <w:jc w:val="center"/>
              <w:rPr>
                <w:color w:val="000000"/>
                <w:sz w:val="30"/>
              </w:rPr>
            </w:pPr>
          </w:p>
        </w:tc>
        <w:tc>
          <w:tcPr>
            <w:tcW w:w="1564" w:type="dxa"/>
            <w:shd w:val="clear" w:color="auto" w:fill="auto"/>
            <w:vAlign w:val="center"/>
          </w:tcPr>
          <w:p>
            <w:pPr>
              <w:pStyle w:val="253"/>
              <w:ind w:firstLine="600"/>
              <w:jc w:val="center"/>
              <w:rPr>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91" w:type="dxa"/>
            <w:shd w:val="clear" w:color="auto" w:fill="auto"/>
            <w:vAlign w:val="center"/>
          </w:tcPr>
          <w:p>
            <w:pPr>
              <w:pStyle w:val="253"/>
              <w:ind w:firstLine="480"/>
              <w:jc w:val="center"/>
              <w:rPr>
                <w:color w:val="000000"/>
                <w:sz w:val="24"/>
                <w:lang w:eastAsia="en-US"/>
              </w:rPr>
            </w:pPr>
            <w:r>
              <w:rPr>
                <w:color w:val="000000"/>
                <w:sz w:val="24"/>
                <w:lang w:eastAsia="en-US"/>
              </w:rPr>
              <w:t>…</w:t>
            </w:r>
          </w:p>
        </w:tc>
        <w:tc>
          <w:tcPr>
            <w:tcW w:w="1287" w:type="dxa"/>
            <w:shd w:val="clear" w:color="auto" w:fill="auto"/>
            <w:vAlign w:val="center"/>
          </w:tcPr>
          <w:p>
            <w:pPr>
              <w:pStyle w:val="253"/>
              <w:ind w:firstLine="600"/>
              <w:jc w:val="center"/>
              <w:rPr>
                <w:color w:val="000000"/>
                <w:sz w:val="30"/>
                <w:lang w:eastAsia="en-US"/>
              </w:rPr>
            </w:pPr>
          </w:p>
        </w:tc>
        <w:tc>
          <w:tcPr>
            <w:tcW w:w="1513" w:type="dxa"/>
            <w:shd w:val="clear" w:color="auto" w:fill="auto"/>
            <w:vAlign w:val="center"/>
          </w:tcPr>
          <w:p>
            <w:pPr>
              <w:pStyle w:val="253"/>
              <w:tabs>
                <w:tab w:val="left" w:pos="235"/>
              </w:tabs>
              <w:ind w:firstLine="480"/>
              <w:jc w:val="center"/>
              <w:rPr>
                <w:color w:val="000000"/>
                <w:sz w:val="24"/>
                <w:lang w:eastAsia="en-US"/>
              </w:rPr>
            </w:pPr>
          </w:p>
        </w:tc>
        <w:tc>
          <w:tcPr>
            <w:tcW w:w="1125" w:type="dxa"/>
            <w:shd w:val="clear" w:color="auto" w:fill="auto"/>
            <w:vAlign w:val="center"/>
          </w:tcPr>
          <w:p>
            <w:pPr>
              <w:pStyle w:val="253"/>
              <w:ind w:firstLine="600"/>
              <w:jc w:val="center"/>
              <w:rPr>
                <w:color w:val="000000"/>
                <w:sz w:val="30"/>
                <w:lang w:eastAsia="en-US"/>
              </w:rPr>
            </w:pPr>
          </w:p>
        </w:tc>
        <w:tc>
          <w:tcPr>
            <w:tcW w:w="1561" w:type="dxa"/>
            <w:shd w:val="clear" w:color="auto" w:fill="auto"/>
            <w:vAlign w:val="center"/>
          </w:tcPr>
          <w:p>
            <w:pPr>
              <w:pStyle w:val="253"/>
              <w:ind w:firstLine="600"/>
              <w:jc w:val="center"/>
              <w:rPr>
                <w:color w:val="000000"/>
                <w:sz w:val="30"/>
                <w:lang w:eastAsia="en-US"/>
              </w:rPr>
            </w:pPr>
          </w:p>
        </w:tc>
        <w:tc>
          <w:tcPr>
            <w:tcW w:w="1498" w:type="dxa"/>
            <w:shd w:val="clear" w:color="auto" w:fill="auto"/>
            <w:vAlign w:val="center"/>
          </w:tcPr>
          <w:p>
            <w:pPr>
              <w:pStyle w:val="253"/>
              <w:ind w:firstLine="600"/>
              <w:jc w:val="center"/>
              <w:rPr>
                <w:color w:val="000000"/>
                <w:sz w:val="30"/>
                <w:lang w:eastAsia="en-US"/>
              </w:rPr>
            </w:pPr>
          </w:p>
        </w:tc>
        <w:tc>
          <w:tcPr>
            <w:tcW w:w="1564" w:type="dxa"/>
            <w:shd w:val="clear" w:color="auto" w:fill="auto"/>
            <w:vAlign w:val="center"/>
          </w:tcPr>
          <w:p>
            <w:pPr>
              <w:pStyle w:val="253"/>
              <w:ind w:firstLine="600"/>
              <w:jc w:val="center"/>
              <w:rPr>
                <w:color w:val="000000"/>
                <w:sz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77" w:type="dxa"/>
            <w:gridSpan w:val="5"/>
            <w:shd w:val="clear" w:color="auto" w:fill="auto"/>
            <w:vAlign w:val="center"/>
          </w:tcPr>
          <w:p>
            <w:pPr>
              <w:pStyle w:val="253"/>
              <w:ind w:right="57" w:rightChars="27" w:firstLine="480"/>
              <w:jc w:val="right"/>
              <w:rPr>
                <w:color w:val="000000"/>
                <w:sz w:val="24"/>
                <w:lang w:eastAsia="en-US"/>
              </w:rPr>
            </w:pPr>
            <w:r>
              <w:rPr>
                <w:rFonts w:hint="eastAsia"/>
                <w:color w:val="000000"/>
                <w:sz w:val="24"/>
                <w:lang w:eastAsia="en-US"/>
              </w:rPr>
              <w:t>合计：</w:t>
            </w:r>
          </w:p>
        </w:tc>
        <w:tc>
          <w:tcPr>
            <w:tcW w:w="1498" w:type="dxa"/>
            <w:shd w:val="clear" w:color="auto" w:fill="auto"/>
            <w:vAlign w:val="center"/>
          </w:tcPr>
          <w:p>
            <w:pPr>
              <w:pStyle w:val="253"/>
              <w:ind w:firstLine="600"/>
              <w:jc w:val="center"/>
              <w:rPr>
                <w:color w:val="000000"/>
                <w:sz w:val="30"/>
                <w:lang w:eastAsia="en-US"/>
              </w:rPr>
            </w:pPr>
          </w:p>
        </w:tc>
        <w:tc>
          <w:tcPr>
            <w:tcW w:w="1564" w:type="dxa"/>
            <w:shd w:val="clear" w:color="auto" w:fill="auto"/>
            <w:vAlign w:val="center"/>
          </w:tcPr>
          <w:p>
            <w:pPr>
              <w:pStyle w:val="253"/>
              <w:ind w:firstLine="600"/>
              <w:jc w:val="center"/>
              <w:rPr>
                <w:color w:val="000000"/>
                <w:sz w:val="30"/>
                <w:lang w:eastAsia="en-US"/>
              </w:rPr>
            </w:pPr>
          </w:p>
        </w:tc>
      </w:tr>
    </w:tbl>
    <w:p>
      <w:pPr>
        <w:adjustRightInd w:val="0"/>
        <w:snapToGrid w:val="0"/>
        <w:spacing w:line="360" w:lineRule="auto"/>
        <w:ind w:firstLine="480" w:firstLineChars="200"/>
        <w:jc w:val="left"/>
        <w:rPr>
          <w:rFonts w:ascii="宋体" w:hAnsi="宋体"/>
          <w:color w:val="000000"/>
          <w:sz w:val="24"/>
        </w:rPr>
      </w:pPr>
    </w:p>
    <w:p>
      <w:pPr>
        <w:adjustRightInd w:val="0"/>
        <w:snapToGrid w:val="0"/>
        <w:spacing w:line="360" w:lineRule="auto"/>
        <w:jc w:val="left"/>
        <w:rPr>
          <w:rFonts w:ascii="宋体" w:hAnsi="宋体"/>
          <w:color w:val="000000"/>
          <w:sz w:val="24"/>
        </w:rPr>
      </w:pPr>
    </w:p>
    <w:p>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pPr>
        <w:spacing w:line="360" w:lineRule="auto"/>
        <w:ind w:right="-57" w:firstLine="480"/>
        <w:jc w:val="right"/>
        <w:rPr>
          <w:rFonts w:ascii="宋体" w:hAnsi="宋体"/>
          <w:color w:val="000000"/>
          <w:sz w:val="24"/>
        </w:rPr>
      </w:pPr>
      <w:r>
        <w:rPr>
          <w:rFonts w:ascii="宋体" w:hAnsi="宋体"/>
          <w:color w:val="000000"/>
          <w:sz w:val="24"/>
          <w:szCs w:val="20"/>
        </w:rPr>
        <w:t>日期：_____年______月______日</w:t>
      </w: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r>
        <w:rPr>
          <w:rFonts w:ascii="宋体" w:hAnsi="宋体"/>
          <w:color w:val="000000"/>
          <w:sz w:val="24"/>
        </w:rPr>
        <w:t>说明：</w:t>
      </w:r>
    </w:p>
    <w:p>
      <w:pPr>
        <w:adjustRightInd w:val="0"/>
        <w:snapToGrid w:val="0"/>
        <w:spacing w:line="360" w:lineRule="auto"/>
        <w:jc w:val="left"/>
        <w:rPr>
          <w:rFonts w:ascii="宋体" w:hAnsi="宋体"/>
          <w:color w:val="000000"/>
          <w:sz w:val="24"/>
        </w:rPr>
      </w:pPr>
      <w:r>
        <w:rPr>
          <w:rFonts w:ascii="宋体" w:hAnsi="宋体"/>
          <w:color w:val="000000"/>
          <w:sz w:val="24"/>
        </w:rPr>
        <w:t>（1）本表仅在投标人“为落实政府采购政策”而向中小企业分包时填写，非因“为落实政府采购政策”而进行的分包请按照《</w:t>
      </w:r>
      <w:r>
        <w:rPr>
          <w:rFonts w:ascii="宋体" w:hAnsi="宋体"/>
          <w:color w:val="000000"/>
          <w:sz w:val="24"/>
          <w:szCs w:val="20"/>
        </w:rPr>
        <w:t>拟分包情况说明（类型二）</w:t>
      </w:r>
      <w:r>
        <w:rPr>
          <w:rFonts w:ascii="宋体" w:hAnsi="宋体"/>
          <w:color w:val="000000"/>
          <w:sz w:val="24"/>
        </w:rPr>
        <w:t>》要求填写。</w:t>
      </w:r>
    </w:p>
    <w:p>
      <w:pPr>
        <w:adjustRightInd w:val="0"/>
        <w:snapToGrid w:val="0"/>
        <w:spacing w:line="360" w:lineRule="auto"/>
        <w:jc w:val="left"/>
        <w:rPr>
          <w:rFonts w:ascii="宋体" w:hAnsi="宋体"/>
          <w:color w:val="000000"/>
          <w:sz w:val="24"/>
        </w:rPr>
      </w:pPr>
      <w:r>
        <w:rPr>
          <w:rFonts w:ascii="宋体" w:hAnsi="宋体"/>
          <w:color w:val="000000"/>
          <w:sz w:val="24"/>
        </w:rPr>
        <w:t>（2）如本招标文件《投标人须知资料表》载明本项目分包承担主体应具备的相应资质条件，则投标人须在本表中列明分包承担主体的资质等级，并后附资质证书</w:t>
      </w:r>
      <w:r>
        <w:rPr>
          <w:rFonts w:hint="eastAsia" w:ascii="宋体" w:hAnsi="宋体"/>
          <w:color w:val="000000"/>
          <w:sz w:val="24"/>
        </w:rPr>
        <w:t>复印件</w:t>
      </w:r>
      <w:r>
        <w:rPr>
          <w:rFonts w:ascii="宋体" w:hAnsi="宋体"/>
          <w:color w:val="000000"/>
          <w:sz w:val="24"/>
        </w:rPr>
        <w:t>加盖投标人公章，否则</w:t>
      </w:r>
      <w:r>
        <w:rPr>
          <w:rFonts w:ascii="宋体" w:hAnsi="宋体"/>
          <w:b/>
          <w:color w:val="000000"/>
          <w:sz w:val="24"/>
        </w:rPr>
        <w:t>投标无效</w:t>
      </w:r>
      <w:r>
        <w:rPr>
          <w:rFonts w:ascii="宋体" w:hAnsi="宋体"/>
          <w:color w:val="000000"/>
          <w:sz w:val="24"/>
        </w:rPr>
        <w:t>。</w:t>
      </w:r>
    </w:p>
    <w:p>
      <w:pPr>
        <w:adjustRightInd w:val="0"/>
        <w:snapToGrid w:val="0"/>
        <w:spacing w:line="360" w:lineRule="auto"/>
        <w:jc w:val="left"/>
        <w:rPr>
          <w:rFonts w:ascii="宋体" w:hAnsi="宋体"/>
          <w:color w:val="000000"/>
          <w:sz w:val="30"/>
          <w:szCs w:val="30"/>
        </w:rPr>
      </w:pPr>
      <w:r>
        <w:rPr>
          <w:rFonts w:ascii="宋体" w:hAnsi="宋体"/>
          <w:color w:val="000000"/>
          <w:sz w:val="24"/>
        </w:rPr>
        <w:t>（3）投标人与上述拟分包承担主体签署的《分包意向协议》后附。</w:t>
      </w:r>
    </w:p>
    <w:p>
      <w:pPr>
        <w:spacing w:line="360" w:lineRule="auto"/>
        <w:jc w:val="left"/>
        <w:rPr>
          <w:rFonts w:ascii="宋体" w:hAnsi="宋体"/>
          <w:b/>
          <w:color w:val="000000"/>
          <w:sz w:val="36"/>
          <w:szCs w:val="36"/>
        </w:rPr>
      </w:pPr>
      <w:r>
        <w:rPr>
          <w:rFonts w:ascii="宋体" w:hAnsi="宋体"/>
          <w:color w:val="000000"/>
          <w:sz w:val="30"/>
          <w:szCs w:val="30"/>
        </w:rPr>
        <w:br w:type="page"/>
      </w:r>
      <w:r>
        <w:rPr>
          <w:rFonts w:hint="eastAsia" w:ascii="宋体" w:hAnsi="宋体" w:cs="宋体"/>
          <w:b/>
          <w:bCs/>
          <w:color w:val="000000"/>
          <w:spacing w:val="6"/>
          <w:sz w:val="24"/>
          <w:szCs w:val="24"/>
        </w:rPr>
        <w:t>附：分包意向协议（本项目不适用）</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甲方（投标人）：________</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乙方（拟分包单位）：________</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甲方承诺，一旦在_________（采购项目名称）（项目编号/包号为：_______）招标采购项目中获得采购合同，将按照下述约定将合同项下部分内容分包给乙方：</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1.分包内容：_____。</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2.分包金额：_____，该金额占该采购包预算总金额的比例为___%。</w:t>
      </w:r>
    </w:p>
    <w:p>
      <w:pPr>
        <w:adjustRightInd w:val="0"/>
        <w:snapToGrid w:val="0"/>
        <w:spacing w:line="360" w:lineRule="auto"/>
        <w:ind w:firstLine="480" w:firstLineChars="200"/>
        <w:jc w:val="left"/>
        <w:rPr>
          <w:rFonts w:ascii="宋体" w:hAnsi="宋体"/>
          <w:bCs/>
          <w:color w:val="000000"/>
          <w:sz w:val="24"/>
        </w:rPr>
      </w:pPr>
      <w:r>
        <w:rPr>
          <w:rFonts w:ascii="宋体" w:hAnsi="宋体"/>
          <w:color w:val="000000"/>
          <w:sz w:val="24"/>
        </w:rPr>
        <w:t>乙方承诺将在上述情况下与甲方签订分包合同。</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本协议自各方盖章之日起生效，如甲方未在该项目（采购包）中标，本协议自动终止。</w:t>
      </w:r>
    </w:p>
    <w:p>
      <w:pPr>
        <w:spacing w:line="360" w:lineRule="auto"/>
        <w:ind w:firstLine="471"/>
        <w:rPr>
          <w:rFonts w:ascii="宋体" w:hAnsi="宋体"/>
          <w:b/>
          <w:color w:val="000000"/>
          <w:sz w:val="24"/>
        </w:rPr>
      </w:pPr>
    </w:p>
    <w:p>
      <w:pPr>
        <w:spacing w:line="360" w:lineRule="auto"/>
        <w:ind w:firstLine="471"/>
        <w:rPr>
          <w:rFonts w:ascii="宋体" w:hAnsi="宋体"/>
          <w:b/>
          <w:color w:val="000000"/>
          <w:sz w:val="24"/>
        </w:rPr>
      </w:pPr>
      <w:r>
        <w:rPr>
          <w:rFonts w:ascii="宋体" w:hAnsi="宋体"/>
          <w:color w:val="000000"/>
          <w:sz w:val="24"/>
        </w:rPr>
        <w:t>甲方（盖章）：_________                 乙方（盖章）：_________</w:t>
      </w:r>
    </w:p>
    <w:p>
      <w:pPr>
        <w:spacing w:line="360" w:lineRule="auto"/>
        <w:ind w:left="480"/>
        <w:jc w:val="right"/>
        <w:rPr>
          <w:rFonts w:ascii="宋体" w:hAnsi="宋体"/>
          <w:color w:val="000000"/>
          <w:sz w:val="24"/>
        </w:rPr>
      </w:pPr>
    </w:p>
    <w:p>
      <w:pPr>
        <w:wordWrap w:val="0"/>
        <w:spacing w:line="360" w:lineRule="auto"/>
        <w:ind w:left="480"/>
        <w:jc w:val="right"/>
        <w:rPr>
          <w:rFonts w:ascii="宋体" w:hAnsi="宋体"/>
          <w:b/>
          <w:color w:val="000000"/>
          <w:sz w:val="24"/>
        </w:rPr>
      </w:pPr>
      <w:r>
        <w:rPr>
          <w:rFonts w:ascii="宋体" w:hAnsi="宋体"/>
          <w:color w:val="000000"/>
          <w:sz w:val="24"/>
          <w:szCs w:val="20"/>
        </w:rPr>
        <w:t xml:space="preserve">日期：_____年______月______日   </w:t>
      </w:r>
    </w:p>
    <w:p>
      <w:pPr>
        <w:tabs>
          <w:tab w:val="left" w:pos="8280"/>
        </w:tabs>
        <w:spacing w:line="360" w:lineRule="auto"/>
        <w:ind w:firstLine="480"/>
        <w:rPr>
          <w:rFonts w:ascii="宋体" w:hAnsi="宋体"/>
          <w:color w:val="000000"/>
          <w:sz w:val="24"/>
        </w:rPr>
      </w:pPr>
    </w:p>
    <w:p>
      <w:pPr>
        <w:spacing w:line="360" w:lineRule="auto"/>
        <w:rPr>
          <w:rFonts w:ascii="宋体" w:hAnsi="宋体" w:cs="宋体"/>
          <w:color w:val="000000"/>
          <w:spacing w:val="6"/>
          <w:sz w:val="24"/>
          <w:szCs w:val="24"/>
        </w:rPr>
      </w:pPr>
      <w:r>
        <w:rPr>
          <w:rFonts w:ascii="宋体" w:hAnsi="宋体"/>
          <w:color w:val="000000"/>
          <w:sz w:val="24"/>
        </w:rPr>
        <w:t>说明：投标人须与所有拟分包单位分别签订《分包意向协议》，每单位签订一份，并在投标文件中提交全部协议原件的电子件，否则</w:t>
      </w:r>
      <w:r>
        <w:rPr>
          <w:rFonts w:ascii="宋体" w:hAnsi="宋体"/>
          <w:b/>
          <w:color w:val="000000"/>
          <w:sz w:val="24"/>
        </w:rPr>
        <w:t>投标无效</w:t>
      </w:r>
      <w:r>
        <w:rPr>
          <w:rFonts w:ascii="宋体" w:hAnsi="宋体"/>
          <w:color w:val="000000"/>
          <w:sz w:val="24"/>
        </w:rPr>
        <w:t>。</w:t>
      </w:r>
    </w:p>
    <w:p>
      <w:pPr>
        <w:spacing w:line="360" w:lineRule="auto"/>
        <w:ind w:firstLine="504" w:firstLineChars="200"/>
        <w:rPr>
          <w:rFonts w:ascii="宋体" w:hAnsi="宋体" w:cs="宋体"/>
          <w:color w:val="000000"/>
          <w:spacing w:val="6"/>
          <w:sz w:val="24"/>
          <w:szCs w:val="24"/>
        </w:rPr>
      </w:pPr>
    </w:p>
    <w:p>
      <w:pPr>
        <w:widowControl/>
        <w:jc w:val="left"/>
        <w:rPr>
          <w:rFonts w:ascii="宋体" w:hAnsi="宋体" w:cs="宋体"/>
          <w:b/>
          <w:bCs/>
          <w:color w:val="000000"/>
          <w:kern w:val="0"/>
          <w:sz w:val="24"/>
          <w:szCs w:val="24"/>
          <w:lang w:val="zh-CN"/>
        </w:rPr>
      </w:pPr>
      <w:bookmarkStart w:id="424" w:name="_Toc83722609"/>
      <w:r>
        <w:rPr>
          <w:rFonts w:ascii="宋体" w:hAnsi="宋体" w:cs="宋体"/>
          <w:b/>
          <w:bCs/>
          <w:color w:val="000000"/>
          <w:sz w:val="24"/>
          <w:szCs w:val="24"/>
        </w:rPr>
        <w:br w:type="page"/>
      </w:r>
    </w:p>
    <w:bookmarkEnd w:id="424"/>
    <w:p>
      <w:pPr>
        <w:pStyle w:val="3"/>
        <w:spacing w:line="360" w:lineRule="auto"/>
        <w:rPr>
          <w:rFonts w:ascii="宋体" w:hAnsi="宋体" w:cs="宋体"/>
          <w:b/>
          <w:bCs/>
          <w:color w:val="000000"/>
          <w:sz w:val="24"/>
          <w:szCs w:val="24"/>
        </w:rPr>
      </w:pPr>
      <w:bookmarkStart w:id="425" w:name="_Toc100786160"/>
      <w:r>
        <w:rPr>
          <w:rFonts w:hint="eastAsia" w:ascii="宋体" w:hAnsi="宋体" w:cs="宋体"/>
          <w:b/>
          <w:bCs/>
          <w:color w:val="000000"/>
          <w:sz w:val="24"/>
          <w:szCs w:val="24"/>
        </w:rPr>
        <w:t>附件6-</w:t>
      </w:r>
      <w:r>
        <w:rPr>
          <w:rFonts w:hint="eastAsia" w:ascii="宋体" w:hAnsi="宋体" w:cs="宋体"/>
          <w:b/>
          <w:bCs/>
          <w:color w:val="000000"/>
          <w:sz w:val="24"/>
          <w:szCs w:val="24"/>
          <w:lang w:val="en-US"/>
        </w:rPr>
        <w:t>4</w:t>
      </w:r>
      <w:bookmarkEnd w:id="406"/>
      <w:bookmarkEnd w:id="407"/>
      <w:bookmarkEnd w:id="408"/>
      <w:bookmarkEnd w:id="409"/>
      <w:bookmarkEnd w:id="410"/>
      <w:bookmarkEnd w:id="411"/>
      <w:bookmarkEnd w:id="412"/>
      <w:bookmarkEnd w:id="413"/>
      <w:bookmarkEnd w:id="414"/>
      <w:bookmarkEnd w:id="415"/>
      <w:bookmarkEnd w:id="416"/>
      <w:bookmarkEnd w:id="418"/>
      <w:bookmarkEnd w:id="419"/>
      <w:bookmarkEnd w:id="420"/>
      <w:bookmarkEnd w:id="421"/>
      <w:bookmarkEnd w:id="422"/>
      <w:bookmarkStart w:id="426" w:name="_Toc31144"/>
      <w:bookmarkStart w:id="427" w:name="_Toc496291395"/>
      <w:bookmarkStart w:id="428" w:name="_Toc85461415"/>
      <w:bookmarkStart w:id="429" w:name="_Toc15531"/>
      <w:bookmarkStart w:id="430" w:name="_Toc8999338"/>
      <w:bookmarkStart w:id="431" w:name="_Toc50760942"/>
      <w:bookmarkStart w:id="432" w:name="_Toc18818"/>
      <w:bookmarkStart w:id="433" w:name="_Toc447223772"/>
      <w:bookmarkStart w:id="434" w:name="_Toc26771"/>
      <w:bookmarkStart w:id="435" w:name="_Toc15435055"/>
      <w:bookmarkStart w:id="436" w:name="_Toc16583"/>
      <w:bookmarkStart w:id="437" w:name="_Toc23488"/>
      <w:bookmarkStart w:id="438" w:name="_Toc92789316"/>
      <w:bookmarkStart w:id="439" w:name="_Toc83722602"/>
      <w:bookmarkStart w:id="440" w:name="_Toc11954"/>
      <w:bookmarkStart w:id="441" w:name="_Toc11287"/>
      <w:bookmarkStart w:id="442" w:name="_Toc27046"/>
      <w:bookmarkStart w:id="443" w:name="_Toc486431025"/>
      <w:bookmarkStart w:id="444" w:name="_Toc486431299"/>
      <w:r>
        <w:rPr>
          <w:rFonts w:hint="eastAsia" w:ascii="宋体" w:hAnsi="宋体" w:cs="宋体"/>
          <w:b/>
          <w:bCs/>
          <w:color w:val="000000"/>
          <w:sz w:val="24"/>
          <w:szCs w:val="24"/>
        </w:rPr>
        <w:t>法人代表授权委托书</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Pr>
          <w:rFonts w:hint="eastAsia" w:ascii="宋体" w:hAnsi="宋体" w:cs="宋体"/>
          <w:b/>
          <w:bCs/>
          <w:color w:val="000000"/>
          <w:sz w:val="24"/>
          <w:szCs w:val="24"/>
          <w:lang w:val="en-US"/>
        </w:rPr>
        <w:t>（实质性格式）</w:t>
      </w:r>
    </w:p>
    <w:p>
      <w:pPr>
        <w:adjustRightInd w:val="0"/>
        <w:snapToGrid w:val="0"/>
        <w:spacing w:line="360" w:lineRule="auto"/>
        <w:rPr>
          <w:rFonts w:ascii="宋体" w:hAnsi="宋体" w:cs="宋体"/>
          <w:b/>
          <w:color w:val="000000"/>
          <w:sz w:val="24"/>
          <w:szCs w:val="24"/>
        </w:rPr>
      </w:pPr>
    </w:p>
    <w:p>
      <w:pPr>
        <w:spacing w:line="360" w:lineRule="auto"/>
        <w:ind w:firstLine="420"/>
        <w:rPr>
          <w:rFonts w:ascii="宋体" w:hAnsi="宋体"/>
          <w:color w:val="000000"/>
          <w:sz w:val="24"/>
          <w:szCs w:val="20"/>
        </w:rPr>
      </w:pPr>
      <w:r>
        <w:rPr>
          <w:rFonts w:hint="eastAsia" w:ascii="宋体" w:hAnsi="宋体"/>
          <w:color w:val="000000"/>
          <w:sz w:val="24"/>
          <w:szCs w:val="20"/>
        </w:rPr>
        <w:t>本人</w:t>
      </w:r>
      <w:r>
        <w:rPr>
          <w:rFonts w:ascii="宋体" w:hAnsi="宋体"/>
          <w:color w:val="000000"/>
          <w:sz w:val="24"/>
          <w:szCs w:val="20"/>
        </w:rPr>
        <w:t>（</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系</w:t>
      </w:r>
      <w:r>
        <w:rPr>
          <w:rFonts w:ascii="宋体" w:hAnsi="宋体"/>
          <w:color w:val="000000"/>
          <w:sz w:val="24"/>
          <w:szCs w:val="20"/>
        </w:rPr>
        <w:t>（</w:t>
      </w:r>
      <w:r>
        <w:rPr>
          <w:rFonts w:hint="eastAsia" w:ascii="宋体" w:hAnsi="宋体"/>
          <w:color w:val="000000"/>
          <w:sz w:val="24"/>
          <w:szCs w:val="20"/>
        </w:rPr>
        <w:t>投标人</w:t>
      </w:r>
      <w:r>
        <w:rPr>
          <w:rFonts w:ascii="宋体" w:hAnsi="宋体"/>
          <w:color w:val="000000"/>
          <w:sz w:val="24"/>
          <w:szCs w:val="20"/>
        </w:rPr>
        <w:t>名称）</w:t>
      </w:r>
      <w:r>
        <w:rPr>
          <w:rFonts w:hint="eastAsia" w:ascii="宋体" w:hAnsi="宋体"/>
          <w:color w:val="000000"/>
          <w:sz w:val="24"/>
          <w:szCs w:val="20"/>
        </w:rPr>
        <w:t>的</w:t>
      </w:r>
      <w:r>
        <w:rPr>
          <w:rFonts w:ascii="宋体" w:hAnsi="宋体"/>
          <w:color w:val="000000"/>
          <w:sz w:val="24"/>
          <w:szCs w:val="20"/>
        </w:rPr>
        <w:t>法定代表人（</w:t>
      </w:r>
      <w:r>
        <w:rPr>
          <w:rFonts w:hint="eastAsia" w:ascii="宋体" w:hAnsi="宋体"/>
          <w:color w:val="000000"/>
          <w:sz w:val="24"/>
          <w:szCs w:val="20"/>
        </w:rPr>
        <w:t>单位</w:t>
      </w:r>
      <w:r>
        <w:rPr>
          <w:rFonts w:ascii="宋体" w:hAnsi="宋体"/>
          <w:color w:val="000000"/>
          <w:sz w:val="24"/>
          <w:szCs w:val="20"/>
        </w:rPr>
        <w:t>负责人）</w:t>
      </w:r>
      <w:r>
        <w:rPr>
          <w:rFonts w:hint="eastAsia" w:ascii="宋体" w:hAnsi="宋体"/>
          <w:color w:val="000000"/>
          <w:sz w:val="24"/>
          <w:szCs w:val="20"/>
        </w:rPr>
        <w:t>，</w:t>
      </w:r>
      <w:r>
        <w:rPr>
          <w:rFonts w:ascii="宋体" w:hAnsi="宋体"/>
          <w:color w:val="000000"/>
          <w:sz w:val="24"/>
          <w:szCs w:val="20"/>
        </w:rPr>
        <w:t>现委托（</w:t>
      </w:r>
      <w:r>
        <w:rPr>
          <w:rFonts w:hint="eastAsia" w:ascii="宋体" w:hAnsi="宋体"/>
          <w:color w:val="000000"/>
          <w:sz w:val="24"/>
          <w:szCs w:val="20"/>
        </w:rPr>
        <w:t>姓名</w:t>
      </w:r>
      <w:r>
        <w:rPr>
          <w:rFonts w:ascii="宋体" w:hAnsi="宋体"/>
          <w:color w:val="000000"/>
          <w:sz w:val="24"/>
          <w:szCs w:val="20"/>
        </w:rPr>
        <w:t>）</w:t>
      </w:r>
      <w:r>
        <w:rPr>
          <w:rFonts w:hint="eastAsia" w:ascii="宋体" w:hAnsi="宋体"/>
          <w:color w:val="000000"/>
          <w:sz w:val="24"/>
          <w:szCs w:val="20"/>
        </w:rPr>
        <w:t>为</w:t>
      </w:r>
      <w:r>
        <w:rPr>
          <w:rFonts w:ascii="宋体" w:hAnsi="宋体"/>
          <w:color w:val="000000"/>
          <w:sz w:val="24"/>
          <w:szCs w:val="20"/>
        </w:rPr>
        <w:t>我方代理人。</w:t>
      </w:r>
      <w:r>
        <w:rPr>
          <w:rFonts w:hint="eastAsia" w:ascii="宋体" w:hAnsi="宋体"/>
          <w:color w:val="000000"/>
          <w:sz w:val="24"/>
          <w:szCs w:val="20"/>
        </w:rPr>
        <w:t>代理人根据</w:t>
      </w:r>
      <w:r>
        <w:rPr>
          <w:rFonts w:ascii="宋体" w:hAnsi="宋体"/>
          <w:color w:val="000000"/>
          <w:sz w:val="24"/>
          <w:szCs w:val="20"/>
        </w:rPr>
        <w:t>授权，以我方名义签署、澄清确认、递交、撤回、修改（</w:t>
      </w:r>
      <w:r>
        <w:rPr>
          <w:rFonts w:hint="eastAsia" w:ascii="宋体" w:hAnsi="宋体"/>
          <w:color w:val="000000"/>
          <w:sz w:val="24"/>
          <w:szCs w:val="20"/>
        </w:rPr>
        <w:t>项目</w:t>
      </w:r>
      <w:r>
        <w:rPr>
          <w:rFonts w:ascii="宋体" w:hAnsi="宋体"/>
          <w:color w:val="000000"/>
          <w:sz w:val="24"/>
          <w:szCs w:val="20"/>
        </w:rPr>
        <w:t>名称）</w:t>
      </w:r>
      <w:r>
        <w:rPr>
          <w:rFonts w:hint="eastAsia" w:ascii="宋体" w:hAnsi="宋体"/>
          <w:color w:val="000000"/>
          <w:sz w:val="24"/>
          <w:szCs w:val="20"/>
        </w:rPr>
        <w:t>响应</w:t>
      </w:r>
      <w:r>
        <w:rPr>
          <w:rFonts w:ascii="宋体" w:hAnsi="宋体"/>
          <w:color w:val="000000"/>
          <w:sz w:val="24"/>
          <w:szCs w:val="20"/>
        </w:rPr>
        <w:t>文件</w:t>
      </w:r>
      <w:r>
        <w:rPr>
          <w:rFonts w:hint="eastAsia" w:ascii="宋体" w:hAnsi="宋体"/>
          <w:color w:val="000000"/>
          <w:sz w:val="24"/>
          <w:szCs w:val="20"/>
        </w:rPr>
        <w:t>和</w:t>
      </w:r>
      <w:r>
        <w:rPr>
          <w:rFonts w:ascii="宋体" w:hAnsi="宋体"/>
          <w:color w:val="000000"/>
          <w:sz w:val="24"/>
          <w:szCs w:val="20"/>
        </w:rPr>
        <w:t>处理有关事宜，其法律后果由我方承担。</w:t>
      </w:r>
    </w:p>
    <w:p>
      <w:pPr>
        <w:spacing w:line="360" w:lineRule="auto"/>
        <w:ind w:firstLine="420"/>
        <w:rPr>
          <w:rFonts w:ascii="宋体" w:hAnsi="宋体"/>
          <w:color w:val="000000"/>
          <w:sz w:val="24"/>
          <w:szCs w:val="20"/>
        </w:rPr>
      </w:pPr>
      <w:r>
        <w:rPr>
          <w:rFonts w:hint="eastAsia" w:ascii="宋体" w:hAnsi="宋体"/>
          <w:color w:val="000000"/>
          <w:sz w:val="24"/>
          <w:szCs w:val="20"/>
        </w:rPr>
        <w:t>委托</w:t>
      </w:r>
      <w:r>
        <w:rPr>
          <w:rFonts w:ascii="宋体" w:hAnsi="宋体"/>
          <w:color w:val="000000"/>
          <w:sz w:val="24"/>
          <w:szCs w:val="20"/>
        </w:rPr>
        <w:t>期限：自本</w:t>
      </w:r>
      <w:r>
        <w:rPr>
          <w:rFonts w:hint="eastAsia" w:ascii="宋体" w:hAnsi="宋体"/>
          <w:color w:val="000000"/>
          <w:sz w:val="24"/>
          <w:szCs w:val="20"/>
        </w:rPr>
        <w:t>授权</w:t>
      </w:r>
      <w:r>
        <w:rPr>
          <w:rFonts w:ascii="宋体" w:hAnsi="宋体"/>
          <w:color w:val="000000"/>
          <w:sz w:val="24"/>
          <w:szCs w:val="20"/>
        </w:rPr>
        <w:t>委托书签署之日起至</w:t>
      </w:r>
      <w:r>
        <w:rPr>
          <w:rFonts w:hint="eastAsia" w:ascii="宋体" w:hAnsi="宋体"/>
          <w:color w:val="000000"/>
          <w:sz w:val="24"/>
          <w:szCs w:val="20"/>
        </w:rPr>
        <w:t>响应</w:t>
      </w:r>
      <w:r>
        <w:rPr>
          <w:rFonts w:ascii="宋体" w:hAnsi="宋体"/>
          <w:color w:val="000000"/>
          <w:sz w:val="24"/>
          <w:szCs w:val="20"/>
        </w:rPr>
        <w:t>有效期</w:t>
      </w:r>
      <w:r>
        <w:rPr>
          <w:rFonts w:hint="eastAsia" w:ascii="宋体" w:hAnsi="宋体"/>
          <w:color w:val="000000"/>
          <w:sz w:val="24"/>
          <w:szCs w:val="20"/>
        </w:rPr>
        <w:t>届满</w:t>
      </w:r>
      <w:r>
        <w:rPr>
          <w:rFonts w:ascii="宋体" w:hAnsi="宋体"/>
          <w:color w:val="000000"/>
          <w:sz w:val="24"/>
          <w:szCs w:val="20"/>
        </w:rPr>
        <w:t>之日止。</w:t>
      </w:r>
    </w:p>
    <w:p>
      <w:pPr>
        <w:spacing w:line="360" w:lineRule="auto"/>
        <w:ind w:firstLine="420"/>
        <w:rPr>
          <w:rFonts w:ascii="宋体" w:hAnsi="宋体"/>
          <w:color w:val="000000"/>
          <w:sz w:val="24"/>
          <w:szCs w:val="20"/>
        </w:rPr>
      </w:pPr>
      <w:r>
        <w:rPr>
          <w:rFonts w:hint="eastAsia" w:ascii="宋体" w:hAnsi="宋体"/>
          <w:color w:val="000000"/>
          <w:sz w:val="24"/>
          <w:szCs w:val="20"/>
        </w:rPr>
        <w:t>代理人</w:t>
      </w:r>
      <w:r>
        <w:rPr>
          <w:rFonts w:ascii="宋体" w:hAnsi="宋体"/>
          <w:color w:val="000000"/>
          <w:sz w:val="24"/>
          <w:szCs w:val="20"/>
        </w:rPr>
        <w:t>无转委托权。</w:t>
      </w:r>
      <w:r>
        <w:rPr>
          <w:rFonts w:ascii="宋体" w:hAnsi="宋体"/>
          <w:color w:val="000000"/>
          <w:sz w:val="24"/>
          <w:szCs w:val="20"/>
        </w:rPr>
        <w:cr/>
      </w:r>
    </w:p>
    <w:p>
      <w:pPr>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w:t>
      </w:r>
    </w:p>
    <w:p>
      <w:pPr>
        <w:spacing w:line="360" w:lineRule="auto"/>
        <w:rPr>
          <w:rFonts w:ascii="宋体" w:hAnsi="宋体"/>
          <w:color w:val="000000"/>
          <w:sz w:val="24"/>
          <w:szCs w:val="20"/>
        </w:rPr>
      </w:pPr>
      <w:r>
        <w:rPr>
          <w:rFonts w:ascii="宋体" w:hAnsi="宋体"/>
          <w:color w:val="000000"/>
          <w:sz w:val="24"/>
          <w:szCs w:val="20"/>
        </w:rPr>
        <w:t>法定代表人（单位负责人）（签字</w:t>
      </w:r>
      <w:r>
        <w:rPr>
          <w:rFonts w:hint="eastAsia" w:ascii="宋体" w:hAnsi="宋体"/>
          <w:color w:val="000000"/>
          <w:sz w:val="24"/>
        </w:rPr>
        <w:t>或</w:t>
      </w:r>
      <w:r>
        <w:rPr>
          <w:rFonts w:hint="eastAsia" w:ascii="宋体" w:hAnsi="宋体"/>
          <w:color w:val="000000"/>
          <w:sz w:val="24"/>
          <w:szCs w:val="20"/>
        </w:rPr>
        <w:t>盖章）</w:t>
      </w:r>
      <w:r>
        <w:rPr>
          <w:rFonts w:ascii="宋体" w:hAnsi="宋体"/>
          <w:color w:val="000000"/>
          <w:sz w:val="24"/>
          <w:szCs w:val="20"/>
        </w:rPr>
        <w:t>：</w:t>
      </w: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委托代理</w:t>
      </w:r>
      <w:r>
        <w:rPr>
          <w:rFonts w:ascii="宋体" w:hAnsi="宋体"/>
          <w:color w:val="000000"/>
          <w:sz w:val="24"/>
        </w:rPr>
        <w:t>人（签字</w:t>
      </w:r>
      <w:r>
        <w:rPr>
          <w:rFonts w:hint="eastAsia" w:ascii="宋体" w:hAnsi="宋体"/>
          <w:color w:val="000000"/>
          <w:sz w:val="24"/>
        </w:rPr>
        <w:t>或签章</w:t>
      </w:r>
      <w:r>
        <w:rPr>
          <w:rFonts w:ascii="宋体" w:hAnsi="宋体"/>
          <w:color w:val="000000"/>
          <w:sz w:val="24"/>
        </w:rPr>
        <w:t>）：</w:t>
      </w:r>
    </w:p>
    <w:p>
      <w:pPr>
        <w:autoSpaceDE w:val="0"/>
        <w:autoSpaceDN w:val="0"/>
        <w:adjustRightInd w:val="0"/>
        <w:snapToGrid w:val="0"/>
        <w:spacing w:line="360" w:lineRule="auto"/>
        <w:rPr>
          <w:rFonts w:ascii="宋体" w:hAnsi="宋体"/>
          <w:color w:val="000000"/>
          <w:sz w:val="24"/>
          <w:lang w:val="zh-CN"/>
        </w:rPr>
      </w:pPr>
      <w:r>
        <w:rPr>
          <w:rFonts w:ascii="宋体" w:hAnsi="宋体"/>
          <w:color w:val="000000"/>
          <w:sz w:val="24"/>
        </w:rPr>
        <w:t>日期：年月日</w:t>
      </w:r>
    </w:p>
    <w:p>
      <w:pPr>
        <w:tabs>
          <w:tab w:val="left" w:pos="5580"/>
        </w:tabs>
        <w:spacing w:line="360" w:lineRule="auto"/>
        <w:ind w:firstLine="480" w:firstLineChars="200"/>
        <w:rPr>
          <w:rFonts w:ascii="宋体" w:hAnsi="宋体"/>
          <w:color w:val="000000"/>
          <w:sz w:val="24"/>
          <w:szCs w:val="20"/>
        </w:rPr>
      </w:pPr>
    </w:p>
    <w:p>
      <w:pPr>
        <w:tabs>
          <w:tab w:val="left" w:pos="5580"/>
        </w:tabs>
        <w:spacing w:line="360" w:lineRule="auto"/>
        <w:jc w:val="left"/>
        <w:rPr>
          <w:rFonts w:ascii="宋体" w:hAnsi="宋体"/>
          <w:color w:val="000000"/>
          <w:sz w:val="24"/>
          <w:szCs w:val="20"/>
        </w:rPr>
      </w:pPr>
      <w:r>
        <w:rPr>
          <w:rFonts w:ascii="宋体" w:hAnsi="宋体"/>
          <w:color w:val="000000"/>
          <w:sz w:val="24"/>
          <w:szCs w:val="20"/>
        </w:rPr>
        <w:t>法定代表人（单位负责人）有效期内的身份证</w:t>
      </w:r>
      <w:r>
        <w:rPr>
          <w:rFonts w:ascii="宋体" w:hAnsi="宋体"/>
          <w:b/>
          <w:color w:val="000000"/>
          <w:sz w:val="24"/>
          <w:szCs w:val="20"/>
        </w:rPr>
        <w:t>正反面</w:t>
      </w:r>
      <w:r>
        <w:rPr>
          <w:rFonts w:hint="eastAsia" w:ascii="宋体" w:hAnsi="宋体"/>
          <w:color w:val="000000"/>
          <w:sz w:val="24"/>
          <w:szCs w:val="20"/>
        </w:rPr>
        <w:t>复印</w:t>
      </w:r>
      <w:r>
        <w:rPr>
          <w:rFonts w:ascii="宋体" w:hAnsi="宋体"/>
          <w:color w:val="000000"/>
          <w:sz w:val="24"/>
          <w:szCs w:val="20"/>
        </w:rPr>
        <w:t>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3799"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委托代理人</w:t>
      </w:r>
      <w:r>
        <w:rPr>
          <w:rFonts w:ascii="宋体" w:hAnsi="宋体"/>
          <w:color w:val="000000"/>
          <w:sz w:val="24"/>
          <w:szCs w:val="20"/>
        </w:rPr>
        <w:t>有效期内的身份证</w:t>
      </w:r>
      <w:r>
        <w:rPr>
          <w:rFonts w:ascii="宋体" w:hAnsi="宋体"/>
          <w:b/>
          <w:color w:val="000000"/>
          <w:sz w:val="24"/>
          <w:szCs w:val="20"/>
        </w:rPr>
        <w:t>正反面</w:t>
      </w:r>
      <w:r>
        <w:rPr>
          <w:rFonts w:hint="eastAsia" w:ascii="宋体" w:hAnsi="宋体"/>
          <w:color w:val="000000"/>
          <w:sz w:val="24"/>
          <w:szCs w:val="20"/>
        </w:rPr>
        <w:t>复印</w:t>
      </w:r>
      <w:r>
        <w:rPr>
          <w:rFonts w:ascii="宋体" w:hAnsi="宋体"/>
          <w:color w:val="000000"/>
          <w:sz w:val="24"/>
          <w:szCs w:val="20"/>
        </w:rPr>
        <w:t>件：</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3799"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说明</w:t>
      </w:r>
      <w:r>
        <w:rPr>
          <w:rFonts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ascii="宋体" w:hAnsi="宋体"/>
          <w:color w:val="000000"/>
          <w:sz w:val="24"/>
          <w:szCs w:val="20"/>
        </w:rPr>
        <w:t>1.若</w:t>
      </w:r>
      <w:r>
        <w:rPr>
          <w:rFonts w:hint="eastAsia" w:ascii="宋体" w:hAnsi="宋体"/>
          <w:color w:val="000000"/>
          <w:sz w:val="24"/>
          <w:szCs w:val="20"/>
        </w:rPr>
        <w:t>投标人</w:t>
      </w:r>
      <w:r>
        <w:rPr>
          <w:rFonts w:ascii="宋体" w:hAnsi="宋体"/>
          <w:color w:val="000000"/>
          <w:sz w:val="24"/>
          <w:szCs w:val="20"/>
        </w:rPr>
        <w:t>为事业单位或其他组织或分支机构（仅当</w:t>
      </w:r>
      <w:r>
        <w:rPr>
          <w:rFonts w:hint="eastAsia" w:ascii="宋体" w:hAnsi="宋体"/>
          <w:color w:val="000000"/>
          <w:sz w:val="24"/>
          <w:szCs w:val="20"/>
        </w:rPr>
        <w:t>招标</w:t>
      </w:r>
      <w:r>
        <w:rPr>
          <w:rFonts w:ascii="宋体" w:hAnsi="宋体"/>
          <w:color w:val="000000"/>
          <w:sz w:val="24"/>
          <w:szCs w:val="20"/>
        </w:rPr>
        <w:t>文件注明允许分支机构</w:t>
      </w:r>
      <w:r>
        <w:rPr>
          <w:rFonts w:hint="eastAsia" w:ascii="宋体" w:hAnsi="宋体"/>
          <w:color w:val="000000"/>
          <w:sz w:val="24"/>
          <w:szCs w:val="20"/>
        </w:rPr>
        <w:t>投标</w:t>
      </w:r>
      <w:r>
        <w:rPr>
          <w:rFonts w:ascii="宋体" w:hAnsi="宋体"/>
          <w:color w:val="000000"/>
          <w:sz w:val="24"/>
          <w:szCs w:val="20"/>
        </w:rPr>
        <w:t>的），则法定代表人（单位负责人）</w:t>
      </w:r>
      <w:r>
        <w:rPr>
          <w:rFonts w:hint="eastAsia" w:ascii="宋体" w:hAnsi="宋体"/>
          <w:color w:val="000000"/>
          <w:sz w:val="24"/>
          <w:szCs w:val="20"/>
        </w:rPr>
        <w:t>处</w:t>
      </w:r>
      <w:r>
        <w:rPr>
          <w:rFonts w:ascii="宋体" w:hAnsi="宋体"/>
          <w:color w:val="000000"/>
          <w:sz w:val="24"/>
          <w:szCs w:val="20"/>
        </w:rPr>
        <w:t>的签署人可为单位负责人</w:t>
      </w:r>
      <w:r>
        <w:rPr>
          <w:rFonts w:hint="eastAsia" w:ascii="宋体" w:hAnsi="宋体"/>
          <w:color w:val="000000"/>
          <w:sz w:val="24"/>
          <w:szCs w:val="20"/>
        </w:rPr>
        <w:t>。</w:t>
      </w:r>
    </w:p>
    <w:p>
      <w:pPr>
        <w:tabs>
          <w:tab w:val="left" w:pos="5580"/>
        </w:tabs>
        <w:spacing w:line="360" w:lineRule="auto"/>
        <w:jc w:val="left"/>
        <w:rPr>
          <w:rFonts w:ascii="宋体" w:hAnsi="宋体"/>
          <w:color w:val="000000"/>
          <w:sz w:val="24"/>
          <w:szCs w:val="20"/>
        </w:rPr>
      </w:pPr>
      <w:r>
        <w:rPr>
          <w:rFonts w:hint="eastAsia" w:ascii="宋体" w:hAnsi="宋体"/>
          <w:color w:val="000000"/>
          <w:sz w:val="24"/>
          <w:szCs w:val="20"/>
        </w:rPr>
        <w:t>2.</w:t>
      </w:r>
      <w:r>
        <w:rPr>
          <w:rFonts w:ascii="宋体" w:hAnsi="宋体"/>
          <w:color w:val="000000"/>
          <w:sz w:val="24"/>
          <w:szCs w:val="20"/>
        </w:rPr>
        <w:t>若</w:t>
      </w:r>
      <w:r>
        <w:rPr>
          <w:rFonts w:hint="eastAsia" w:ascii="宋体" w:hAnsi="宋体"/>
          <w:color w:val="000000"/>
          <w:sz w:val="24"/>
          <w:szCs w:val="20"/>
        </w:rPr>
        <w:t>投标</w:t>
      </w:r>
      <w:r>
        <w:rPr>
          <w:rFonts w:ascii="宋体" w:hAnsi="宋体"/>
          <w:color w:val="000000"/>
          <w:sz w:val="24"/>
          <w:szCs w:val="20"/>
        </w:rPr>
        <w:t>文件中签字之处均为法定代表人（单位负责人）本人签署，则可不提供本《</w:t>
      </w:r>
      <w:r>
        <w:rPr>
          <w:rFonts w:hint="eastAsia" w:ascii="宋体" w:hAnsi="宋体"/>
          <w:color w:val="000000"/>
          <w:sz w:val="24"/>
          <w:szCs w:val="20"/>
        </w:rPr>
        <w:t>授权委托书</w:t>
      </w:r>
      <w:r>
        <w:rPr>
          <w:rFonts w:ascii="宋体" w:hAnsi="宋体"/>
          <w:color w:val="000000"/>
          <w:sz w:val="24"/>
          <w:szCs w:val="20"/>
        </w:rPr>
        <w:t>》，但须提供</w:t>
      </w:r>
      <w:r>
        <w:rPr>
          <w:rFonts w:hint="eastAsia" w:ascii="宋体" w:hAnsi="宋体"/>
          <w:color w:val="000000"/>
          <w:sz w:val="24"/>
          <w:szCs w:val="20"/>
        </w:rPr>
        <w:t>《</w:t>
      </w:r>
      <w:r>
        <w:rPr>
          <w:rFonts w:ascii="宋体" w:hAnsi="宋体"/>
          <w:color w:val="000000"/>
          <w:sz w:val="24"/>
          <w:szCs w:val="20"/>
        </w:rPr>
        <w:t>法定代表人（单位负责人）身份证</w:t>
      </w:r>
      <w:r>
        <w:rPr>
          <w:rFonts w:hint="eastAsia" w:ascii="宋体" w:hAnsi="宋体"/>
          <w:color w:val="000000"/>
          <w:sz w:val="24"/>
          <w:szCs w:val="20"/>
        </w:rPr>
        <w:t>明》（实质性格式）</w:t>
      </w:r>
      <w:r>
        <w:rPr>
          <w:rFonts w:ascii="宋体" w:hAnsi="宋体"/>
          <w:color w:val="000000"/>
          <w:sz w:val="24"/>
          <w:szCs w:val="20"/>
        </w:rPr>
        <w:t>。</w:t>
      </w:r>
    </w:p>
    <w:p>
      <w:pPr>
        <w:spacing w:line="360" w:lineRule="auto"/>
        <w:rPr>
          <w:rFonts w:ascii="宋体" w:hAnsi="宋体"/>
          <w:color w:val="000000"/>
          <w:sz w:val="24"/>
          <w:szCs w:val="20"/>
        </w:rPr>
      </w:pPr>
      <w:r>
        <w:rPr>
          <w:rFonts w:ascii="宋体" w:hAnsi="宋体"/>
          <w:color w:val="000000"/>
          <w:sz w:val="24"/>
          <w:szCs w:val="20"/>
        </w:rPr>
        <w:t>3.</w:t>
      </w:r>
      <w:r>
        <w:rPr>
          <w:rFonts w:hint="eastAsia" w:ascii="宋体" w:hAnsi="宋体"/>
          <w:color w:val="000000"/>
          <w:sz w:val="24"/>
          <w:szCs w:val="20"/>
        </w:rPr>
        <w:t>投标人为自然人的情形，可不提供本</w:t>
      </w:r>
      <w:r>
        <w:rPr>
          <w:rFonts w:ascii="宋体" w:hAnsi="宋体"/>
          <w:color w:val="000000"/>
          <w:sz w:val="24"/>
          <w:szCs w:val="20"/>
        </w:rPr>
        <w:t>《</w:t>
      </w:r>
      <w:r>
        <w:rPr>
          <w:rFonts w:hint="eastAsia" w:ascii="宋体" w:hAnsi="宋体"/>
          <w:color w:val="000000"/>
          <w:sz w:val="24"/>
          <w:szCs w:val="20"/>
        </w:rPr>
        <w:t>授权委托书</w:t>
      </w:r>
      <w:r>
        <w:rPr>
          <w:rFonts w:ascii="宋体" w:hAnsi="宋体"/>
          <w:color w:val="000000"/>
          <w:sz w:val="24"/>
          <w:szCs w:val="20"/>
        </w:rPr>
        <w:t>》</w:t>
      </w:r>
      <w:r>
        <w:rPr>
          <w:rFonts w:hint="eastAsia" w:ascii="宋体" w:hAnsi="宋体"/>
          <w:color w:val="000000"/>
          <w:sz w:val="24"/>
          <w:szCs w:val="20"/>
        </w:rPr>
        <w:t>。</w:t>
      </w:r>
      <w:r>
        <w:rPr>
          <w:rFonts w:ascii="宋体" w:hAnsi="宋体"/>
          <w:color w:val="000000"/>
        </w:rPr>
        <w:br w:type="page"/>
      </w:r>
    </w:p>
    <w:p>
      <w:pPr>
        <w:pStyle w:val="3"/>
        <w:spacing w:line="360" w:lineRule="auto"/>
        <w:rPr>
          <w:rFonts w:ascii="宋体" w:hAnsi="宋体" w:cs="宋体"/>
          <w:b/>
          <w:bCs/>
          <w:color w:val="000000"/>
          <w:sz w:val="24"/>
          <w:szCs w:val="24"/>
        </w:rPr>
      </w:pPr>
      <w:bookmarkStart w:id="445" w:name="_Toc100786161"/>
      <w:r>
        <w:rPr>
          <w:rFonts w:hint="eastAsia" w:ascii="宋体" w:hAnsi="宋体" w:cs="宋体"/>
          <w:b/>
          <w:bCs/>
          <w:color w:val="000000"/>
          <w:sz w:val="24"/>
          <w:szCs w:val="24"/>
        </w:rPr>
        <w:t>附：</w:t>
      </w:r>
      <w:r>
        <w:rPr>
          <w:rFonts w:ascii="宋体" w:hAnsi="宋体" w:cs="宋体"/>
          <w:b/>
          <w:bCs/>
          <w:color w:val="000000"/>
          <w:sz w:val="24"/>
          <w:szCs w:val="24"/>
        </w:rPr>
        <w:t>法定代表人（单位负责人）身份证明</w:t>
      </w:r>
      <w:bookmarkEnd w:id="445"/>
    </w:p>
    <w:p>
      <w:pPr>
        <w:tabs>
          <w:tab w:val="left" w:pos="5580"/>
        </w:tabs>
        <w:spacing w:line="360" w:lineRule="auto"/>
        <w:rPr>
          <w:rFonts w:ascii="宋体" w:hAnsi="宋体"/>
          <w:color w:val="000000"/>
          <w:sz w:val="24"/>
          <w:szCs w:val="24"/>
        </w:rPr>
      </w:pPr>
      <w:r>
        <w:rPr>
          <w:rFonts w:ascii="宋体" w:hAnsi="宋体"/>
          <w:color w:val="000000"/>
          <w:sz w:val="24"/>
          <w:szCs w:val="24"/>
        </w:rPr>
        <w:t>致：</w:t>
      </w:r>
      <w:r>
        <w:rPr>
          <w:rFonts w:ascii="宋体" w:hAnsi="宋体"/>
          <w:color w:val="000000"/>
          <w:sz w:val="24"/>
          <w:szCs w:val="24"/>
          <w:u w:val="single"/>
        </w:rPr>
        <w:t>（</w:t>
      </w:r>
      <w:r>
        <w:rPr>
          <w:rFonts w:hint="eastAsia" w:ascii="宋体" w:hAnsi="宋体"/>
          <w:color w:val="000000"/>
          <w:sz w:val="24"/>
          <w:szCs w:val="24"/>
          <w:u w:val="single"/>
        </w:rPr>
        <w:t>采购人或</w:t>
      </w:r>
      <w:r>
        <w:rPr>
          <w:rFonts w:ascii="宋体" w:hAnsi="宋体"/>
          <w:color w:val="000000"/>
          <w:sz w:val="24"/>
          <w:szCs w:val="24"/>
          <w:u w:val="single"/>
        </w:rPr>
        <w:t>采购代理机构）</w:t>
      </w:r>
    </w:p>
    <w:p>
      <w:pPr>
        <w:pStyle w:val="17"/>
        <w:tabs>
          <w:tab w:val="left" w:pos="567"/>
          <w:tab w:val="left" w:pos="2412"/>
          <w:tab w:val="left" w:pos="3883"/>
          <w:tab w:val="left" w:pos="5352"/>
          <w:tab w:val="left" w:pos="6821"/>
        </w:tabs>
        <w:kinsoku w:val="0"/>
        <w:overflowPunct w:val="0"/>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兹证明，</w:t>
      </w:r>
    </w:p>
    <w:p>
      <w:pPr>
        <w:pStyle w:val="17"/>
        <w:tabs>
          <w:tab w:val="left" w:pos="567"/>
          <w:tab w:val="left" w:pos="1690"/>
          <w:tab w:val="left" w:pos="3400"/>
          <w:tab w:val="left" w:pos="5110"/>
          <w:tab w:val="left" w:pos="6821"/>
        </w:tabs>
        <w:kinsoku w:val="0"/>
        <w:overflowPunct w:val="0"/>
        <w:spacing w:line="360" w:lineRule="auto"/>
        <w:rPr>
          <w:rFonts w:ascii="宋体" w:hAnsi="宋体" w:eastAsia="宋体"/>
          <w:color w:val="000000"/>
          <w:sz w:val="24"/>
          <w:szCs w:val="24"/>
        </w:rPr>
      </w:pPr>
      <w:r>
        <w:rPr>
          <w:rFonts w:ascii="宋体" w:hAnsi="宋体" w:eastAsia="宋体"/>
          <w:color w:val="000000"/>
          <w:sz w:val="24"/>
          <w:szCs w:val="24"/>
        </w:rPr>
        <w:t>姓名</w:t>
      </w:r>
      <w:r>
        <w:rPr>
          <w:rFonts w:hint="eastAsia" w:ascii="宋体" w:hAnsi="宋体" w:eastAsia="宋体"/>
          <w:color w:val="000000"/>
          <w:sz w:val="24"/>
          <w:szCs w:val="24"/>
        </w:rPr>
        <w:t>：</w:t>
      </w:r>
      <w:r>
        <w:rPr>
          <w:rFonts w:ascii="宋体" w:hAnsi="宋体" w:eastAsia="宋体"/>
          <w:color w:val="000000"/>
          <w:sz w:val="24"/>
          <w:szCs w:val="24"/>
        </w:rPr>
        <w:t>____性别：____年龄：____职务：____</w:t>
      </w:r>
    </w:p>
    <w:p>
      <w:pPr>
        <w:pStyle w:val="17"/>
        <w:tabs>
          <w:tab w:val="left" w:pos="567"/>
          <w:tab w:val="left" w:pos="2412"/>
          <w:tab w:val="left" w:pos="3883"/>
          <w:tab w:val="left" w:pos="5352"/>
          <w:tab w:val="left" w:pos="6821"/>
        </w:tabs>
        <w:kinsoku w:val="0"/>
        <w:overflowPunct w:val="0"/>
        <w:spacing w:line="360" w:lineRule="auto"/>
        <w:rPr>
          <w:rFonts w:ascii="宋体" w:hAnsi="宋体" w:eastAsia="宋体"/>
          <w:color w:val="000000"/>
          <w:sz w:val="24"/>
          <w:szCs w:val="24"/>
        </w:rPr>
      </w:pPr>
    </w:p>
    <w:p>
      <w:pPr>
        <w:pStyle w:val="17"/>
        <w:tabs>
          <w:tab w:val="left" w:pos="2250"/>
          <w:tab w:val="left" w:pos="2412"/>
          <w:tab w:val="left" w:pos="3883"/>
          <w:tab w:val="left" w:pos="5352"/>
          <w:tab w:val="left" w:pos="6821"/>
        </w:tabs>
        <w:kinsoku w:val="0"/>
        <w:overflowPunct w:val="0"/>
        <w:spacing w:line="360" w:lineRule="auto"/>
        <w:rPr>
          <w:rFonts w:ascii="宋体" w:hAnsi="宋体" w:eastAsia="宋体"/>
          <w:color w:val="000000"/>
          <w:sz w:val="24"/>
          <w:szCs w:val="24"/>
        </w:rPr>
      </w:pPr>
      <w:r>
        <w:rPr>
          <w:rFonts w:ascii="宋体" w:hAnsi="宋体" w:eastAsia="宋体"/>
          <w:color w:val="000000"/>
          <w:sz w:val="24"/>
          <w:szCs w:val="24"/>
        </w:rPr>
        <w:t>系</w:t>
      </w:r>
      <w:r>
        <w:rPr>
          <w:rFonts w:ascii="宋体" w:hAnsi="宋体" w:eastAsia="宋体"/>
          <w:color w:val="000000"/>
          <w:sz w:val="24"/>
          <w:szCs w:val="24"/>
          <w:u w:val="single"/>
        </w:rPr>
        <w:tab/>
      </w:r>
      <w:r>
        <w:rPr>
          <w:rFonts w:ascii="宋体" w:hAnsi="宋体" w:eastAsia="宋体"/>
          <w:color w:val="000000"/>
          <w:sz w:val="24"/>
          <w:szCs w:val="24"/>
        </w:rPr>
        <w:t>（</w:t>
      </w:r>
      <w:r>
        <w:rPr>
          <w:rFonts w:hint="eastAsia" w:ascii="宋体" w:hAnsi="宋体" w:eastAsia="宋体"/>
          <w:color w:val="000000"/>
          <w:sz w:val="24"/>
          <w:szCs w:val="24"/>
        </w:rPr>
        <w:t>投标人</w:t>
      </w:r>
      <w:r>
        <w:rPr>
          <w:rFonts w:ascii="宋体" w:hAnsi="宋体" w:eastAsia="宋体"/>
          <w:color w:val="000000"/>
          <w:sz w:val="24"/>
          <w:szCs w:val="24"/>
        </w:rPr>
        <w:t>名称）的法定代表人（单位负责人）。</w:t>
      </w:r>
    </w:p>
    <w:p>
      <w:pPr>
        <w:pStyle w:val="17"/>
        <w:tabs>
          <w:tab w:val="left" w:pos="567"/>
          <w:tab w:val="left" w:pos="2412"/>
          <w:tab w:val="left" w:pos="3883"/>
          <w:tab w:val="left" w:pos="5352"/>
          <w:tab w:val="left" w:pos="6821"/>
        </w:tabs>
        <w:kinsoku w:val="0"/>
        <w:overflowPunct w:val="0"/>
        <w:spacing w:line="360" w:lineRule="auto"/>
        <w:rPr>
          <w:rFonts w:ascii="宋体" w:hAnsi="宋体" w:eastAsia="宋体"/>
          <w:color w:val="000000"/>
          <w:sz w:val="24"/>
          <w:szCs w:val="24"/>
        </w:rPr>
      </w:pPr>
    </w:p>
    <w:p>
      <w:pPr>
        <w:pStyle w:val="17"/>
        <w:tabs>
          <w:tab w:val="left" w:pos="567"/>
          <w:tab w:val="left" w:pos="2412"/>
          <w:tab w:val="left" w:pos="3883"/>
          <w:tab w:val="left" w:pos="5352"/>
          <w:tab w:val="left" w:pos="6821"/>
        </w:tabs>
        <w:kinsoku w:val="0"/>
        <w:overflowPunct w:val="0"/>
        <w:spacing w:line="360" w:lineRule="auto"/>
        <w:rPr>
          <w:rFonts w:ascii="宋体" w:hAnsi="宋体" w:eastAsia="宋体"/>
          <w:color w:val="000000"/>
          <w:sz w:val="24"/>
          <w:szCs w:val="24"/>
        </w:rPr>
      </w:pPr>
    </w:p>
    <w:p>
      <w:pPr>
        <w:pStyle w:val="17"/>
        <w:tabs>
          <w:tab w:val="left" w:pos="567"/>
          <w:tab w:val="left" w:pos="2412"/>
          <w:tab w:val="left" w:pos="3883"/>
          <w:tab w:val="left" w:pos="5352"/>
          <w:tab w:val="left" w:pos="6821"/>
        </w:tabs>
        <w:kinsoku w:val="0"/>
        <w:overflowPunct w:val="0"/>
        <w:spacing w:line="360" w:lineRule="auto"/>
        <w:rPr>
          <w:rFonts w:ascii="宋体" w:hAnsi="宋体" w:eastAsia="宋体"/>
          <w:color w:val="000000"/>
          <w:sz w:val="24"/>
          <w:szCs w:val="24"/>
        </w:rPr>
      </w:pPr>
    </w:p>
    <w:p>
      <w:pPr>
        <w:pStyle w:val="17"/>
        <w:tabs>
          <w:tab w:val="left" w:pos="567"/>
        </w:tabs>
        <w:kinsoku w:val="0"/>
        <w:overflowPunct w:val="0"/>
        <w:spacing w:line="360" w:lineRule="auto"/>
        <w:ind w:right="-46"/>
        <w:rPr>
          <w:rFonts w:ascii="宋体" w:hAnsi="宋体" w:eastAsia="宋体"/>
          <w:color w:val="000000"/>
          <w:spacing w:val="-3"/>
        </w:rPr>
      </w:pPr>
      <w:r>
        <w:rPr>
          <w:rFonts w:ascii="宋体" w:hAnsi="宋体" w:eastAsia="宋体"/>
          <w:color w:val="000000"/>
          <w:spacing w:val="-3"/>
          <w:sz w:val="24"/>
          <w:szCs w:val="24"/>
        </w:rPr>
        <w:t>附：法定代表人（单位负责人）有效期内的身</w:t>
      </w:r>
      <w:r>
        <w:rPr>
          <w:rFonts w:hint="eastAsia" w:ascii="宋体" w:hAnsi="宋体" w:eastAsia="宋体"/>
          <w:color w:val="000000"/>
          <w:spacing w:val="-3"/>
          <w:sz w:val="24"/>
          <w:szCs w:val="24"/>
        </w:rPr>
        <w:t>份</w:t>
      </w:r>
      <w:r>
        <w:rPr>
          <w:rFonts w:ascii="宋体" w:hAnsi="宋体" w:eastAsia="宋体"/>
          <w:color w:val="000000"/>
          <w:spacing w:val="-3"/>
          <w:sz w:val="24"/>
          <w:szCs w:val="24"/>
        </w:rPr>
        <w:t>证正反面</w:t>
      </w:r>
      <w:r>
        <w:rPr>
          <w:rFonts w:hint="eastAsia" w:ascii="宋体" w:hAnsi="宋体" w:eastAsia="宋体"/>
          <w:color w:val="000000"/>
          <w:spacing w:val="-3"/>
          <w:sz w:val="24"/>
          <w:szCs w:val="24"/>
        </w:rPr>
        <w:t>复印</w:t>
      </w:r>
      <w:r>
        <w:rPr>
          <w:rFonts w:ascii="宋体" w:hAnsi="宋体" w:eastAsia="宋体"/>
          <w:color w:val="000000"/>
          <w:spacing w:val="-3"/>
          <w:sz w:val="24"/>
          <w:szCs w:val="24"/>
        </w:rPr>
        <w:t>件</w:t>
      </w:r>
      <w:r>
        <w:rPr>
          <w:rFonts w:hint="eastAsia" w:ascii="宋体" w:hAnsi="宋体" w:eastAsia="宋体"/>
          <w:color w:val="000000"/>
          <w:spacing w:val="-3"/>
          <w:sz w:val="24"/>
          <w:szCs w:val="24"/>
        </w:rPr>
        <w:t>。</w:t>
      </w:r>
    </w:p>
    <w:tbl>
      <w:tblPr>
        <w:tblStyle w:val="48"/>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37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c>
          <w:tcPr>
            <w:tcW w:w="3799" w:type="dxa"/>
          </w:tcPr>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p>
            <w:pPr>
              <w:tabs>
                <w:tab w:val="left" w:pos="5580"/>
              </w:tabs>
              <w:spacing w:line="360" w:lineRule="auto"/>
              <w:jc w:val="left"/>
              <w:rPr>
                <w:rFonts w:ascii="宋体" w:hAnsi="宋体"/>
                <w:color w:val="000000"/>
                <w:sz w:val="24"/>
                <w:szCs w:val="20"/>
              </w:rPr>
            </w:pPr>
          </w:p>
        </w:tc>
      </w:tr>
    </w:tbl>
    <w:p>
      <w:pPr>
        <w:pStyle w:val="17"/>
        <w:tabs>
          <w:tab w:val="left" w:pos="567"/>
        </w:tabs>
        <w:kinsoku w:val="0"/>
        <w:overflowPunct w:val="0"/>
        <w:spacing w:line="583" w:lineRule="auto"/>
        <w:ind w:right="4305"/>
        <w:rPr>
          <w:rFonts w:ascii="宋体" w:hAnsi="宋体" w:eastAsia="宋体"/>
          <w:color w:val="000000"/>
          <w:spacing w:val="-3"/>
        </w:rPr>
      </w:pPr>
    </w:p>
    <w:p>
      <w:pPr>
        <w:pStyle w:val="17"/>
        <w:tabs>
          <w:tab w:val="left" w:pos="567"/>
        </w:tabs>
        <w:kinsoku w:val="0"/>
        <w:overflowPunct w:val="0"/>
        <w:spacing w:line="583" w:lineRule="auto"/>
        <w:ind w:right="4305"/>
        <w:rPr>
          <w:rFonts w:ascii="宋体" w:hAnsi="宋体" w:eastAsia="宋体"/>
          <w:color w:val="000000"/>
          <w:spacing w:val="-3"/>
        </w:rPr>
      </w:pPr>
    </w:p>
    <w:p>
      <w:pPr>
        <w:autoSpaceDE w:val="0"/>
        <w:autoSpaceDN w:val="0"/>
        <w:adjustRightInd w:val="0"/>
        <w:snapToGrid w:val="0"/>
        <w:spacing w:line="360" w:lineRule="auto"/>
        <w:rPr>
          <w:rFonts w:ascii="宋体" w:hAnsi="宋体"/>
          <w:color w:val="000000"/>
          <w:sz w:val="24"/>
          <w:lang w:val="zh-CN"/>
        </w:rPr>
      </w:pPr>
      <w:r>
        <w:rPr>
          <w:rFonts w:hint="eastAsia" w:ascii="宋体" w:hAnsi="宋体"/>
          <w:color w:val="000000"/>
          <w:sz w:val="24"/>
        </w:rPr>
        <w:t>投标人</w:t>
      </w:r>
      <w:r>
        <w:rPr>
          <w:rFonts w:ascii="宋体" w:hAnsi="宋体"/>
          <w:color w:val="000000"/>
          <w:sz w:val="24"/>
        </w:rPr>
        <w:t>名称（加盖公章）</w:t>
      </w:r>
      <w:r>
        <w:rPr>
          <w:rFonts w:ascii="宋体" w:hAnsi="宋体"/>
          <w:color w:val="000000"/>
          <w:sz w:val="24"/>
          <w:lang w:val="zh-CN"/>
        </w:rPr>
        <w:t>：</w:t>
      </w:r>
    </w:p>
    <w:p>
      <w:pPr>
        <w:autoSpaceDE w:val="0"/>
        <w:autoSpaceDN w:val="0"/>
        <w:adjustRightInd w:val="0"/>
        <w:snapToGrid w:val="0"/>
        <w:spacing w:line="360" w:lineRule="auto"/>
        <w:rPr>
          <w:rFonts w:ascii="宋体" w:hAnsi="宋体"/>
          <w:color w:val="000000"/>
          <w:sz w:val="24"/>
        </w:rPr>
      </w:pPr>
      <w:r>
        <w:rPr>
          <w:rFonts w:hint="eastAsia" w:ascii="宋体" w:hAnsi="宋体"/>
          <w:color w:val="000000"/>
          <w:sz w:val="24"/>
        </w:rPr>
        <w:t>法定代表人（</w:t>
      </w:r>
      <w:r>
        <w:rPr>
          <w:rFonts w:ascii="宋体" w:hAnsi="宋体"/>
          <w:color w:val="000000"/>
          <w:sz w:val="24"/>
        </w:rPr>
        <w:t>单位负责人</w:t>
      </w:r>
      <w:r>
        <w:rPr>
          <w:rFonts w:hint="eastAsia" w:ascii="宋体" w:hAnsi="宋体"/>
          <w:color w:val="000000"/>
          <w:sz w:val="24"/>
        </w:rPr>
        <w:t>）（签字或盖章）：</w:t>
      </w:r>
    </w:p>
    <w:p>
      <w:pPr>
        <w:autoSpaceDE w:val="0"/>
        <w:autoSpaceDN w:val="0"/>
        <w:adjustRightInd w:val="0"/>
        <w:snapToGrid w:val="0"/>
        <w:spacing w:line="360" w:lineRule="auto"/>
        <w:rPr>
          <w:rFonts w:ascii="宋体" w:hAnsi="宋体"/>
          <w:color w:val="000000"/>
          <w:sz w:val="24"/>
        </w:rPr>
      </w:pPr>
    </w:p>
    <w:p>
      <w:pPr>
        <w:spacing w:line="360" w:lineRule="auto"/>
        <w:rPr>
          <w:rFonts w:ascii="宋体" w:hAnsi="宋体" w:cs="宋体"/>
          <w:color w:val="000000"/>
          <w:sz w:val="24"/>
          <w:szCs w:val="24"/>
        </w:rPr>
      </w:pPr>
      <w:r>
        <w:rPr>
          <w:rFonts w:ascii="宋体" w:hAnsi="宋体"/>
          <w:color w:val="000000"/>
          <w:sz w:val="24"/>
        </w:rPr>
        <w:t>日期：</w:t>
      </w:r>
      <w:r>
        <w:rPr>
          <w:rFonts w:ascii="宋体" w:hAnsi="宋体"/>
          <w:color w:val="000000"/>
          <w:sz w:val="24"/>
          <w:szCs w:val="24"/>
        </w:rPr>
        <w:t>____</w:t>
      </w:r>
      <w:r>
        <w:rPr>
          <w:rFonts w:ascii="宋体" w:hAnsi="宋体"/>
          <w:color w:val="000000"/>
          <w:sz w:val="24"/>
        </w:rPr>
        <w:t>年</w:t>
      </w:r>
      <w:r>
        <w:rPr>
          <w:rFonts w:ascii="宋体" w:hAnsi="宋体"/>
          <w:color w:val="000000"/>
          <w:sz w:val="24"/>
          <w:szCs w:val="24"/>
        </w:rPr>
        <w:t>____</w:t>
      </w:r>
      <w:r>
        <w:rPr>
          <w:rFonts w:ascii="宋体" w:hAnsi="宋体"/>
          <w:color w:val="000000"/>
          <w:sz w:val="24"/>
        </w:rPr>
        <w:t>月</w:t>
      </w:r>
      <w:r>
        <w:rPr>
          <w:rFonts w:ascii="宋体" w:hAnsi="宋体"/>
          <w:color w:val="000000"/>
          <w:sz w:val="24"/>
          <w:szCs w:val="24"/>
        </w:rPr>
        <w:t>____</w:t>
      </w:r>
      <w:r>
        <w:rPr>
          <w:rFonts w:ascii="宋体" w:hAnsi="宋体"/>
          <w:color w:val="000000"/>
          <w:sz w:val="24"/>
        </w:rPr>
        <w:t>日</w:t>
      </w:r>
      <w:bookmarkEnd w:id="372"/>
    </w:p>
    <w:p>
      <w:pPr>
        <w:pStyle w:val="15"/>
        <w:snapToGrid w:val="0"/>
        <w:spacing w:line="360" w:lineRule="auto"/>
        <w:ind w:firstLine="420"/>
        <w:rPr>
          <w:rFonts w:ascii="宋体" w:hAnsi="宋体" w:cs="宋体"/>
          <w:color w:val="000000"/>
          <w:sz w:val="24"/>
        </w:rPr>
      </w:pPr>
    </w:p>
    <w:p>
      <w:pPr>
        <w:rPr>
          <w:rFonts w:ascii="宋体" w:hAnsi="宋体" w:cs="宋体"/>
          <w:color w:val="000000"/>
        </w:rPr>
        <w:sectPr>
          <w:pgSz w:w="11906" w:h="16838"/>
          <w:pgMar w:top="1440" w:right="1800" w:bottom="1440" w:left="1800" w:header="851" w:footer="992" w:gutter="0"/>
          <w:cols w:space="720" w:num="1"/>
          <w:docGrid w:linePitch="286" w:charSpace="0"/>
        </w:sectPr>
      </w:pPr>
      <w:bookmarkStart w:id="446" w:name="_Toc27666"/>
      <w:bookmarkEnd w:id="446"/>
      <w:bookmarkStart w:id="447" w:name="_Toc486431300"/>
      <w:bookmarkEnd w:id="447"/>
      <w:bookmarkStart w:id="448" w:name="_Toc24831"/>
      <w:bookmarkEnd w:id="448"/>
      <w:bookmarkStart w:id="449" w:name="_Toc9501"/>
      <w:bookmarkEnd w:id="449"/>
      <w:bookmarkStart w:id="450" w:name="_Toc486431026"/>
      <w:bookmarkEnd w:id="450"/>
      <w:bookmarkStart w:id="451" w:name="_Toc496291400"/>
      <w:bookmarkEnd w:id="451"/>
      <w:bookmarkStart w:id="452" w:name="_Toc8999343"/>
      <w:bookmarkEnd w:id="452"/>
      <w:bookmarkStart w:id="453" w:name="_Toc29594"/>
      <w:bookmarkEnd w:id="453"/>
      <w:bookmarkStart w:id="454" w:name="_Toc15435060"/>
      <w:bookmarkEnd w:id="454"/>
      <w:bookmarkStart w:id="455" w:name="_Toc31553"/>
      <w:bookmarkEnd w:id="455"/>
      <w:bookmarkStart w:id="456" w:name="_Toc6883"/>
      <w:bookmarkEnd w:id="456"/>
      <w:bookmarkStart w:id="457" w:name="_Toc669"/>
      <w:bookmarkEnd w:id="457"/>
    </w:p>
    <w:p>
      <w:pPr>
        <w:pStyle w:val="3"/>
        <w:spacing w:line="360" w:lineRule="auto"/>
        <w:rPr>
          <w:rFonts w:ascii="宋体" w:hAnsi="宋体" w:cs="宋体"/>
          <w:b/>
          <w:bCs/>
          <w:color w:val="000000"/>
          <w:sz w:val="24"/>
          <w:szCs w:val="24"/>
        </w:rPr>
      </w:pPr>
      <w:bookmarkStart w:id="458" w:name="_Toc92789324"/>
      <w:bookmarkStart w:id="459" w:name="_Toc100786162"/>
      <w:bookmarkStart w:id="460" w:name="_Toc22311"/>
      <w:bookmarkStart w:id="461" w:name="_Toc2280"/>
      <w:bookmarkStart w:id="462" w:name="_Toc9133"/>
      <w:bookmarkStart w:id="463" w:name="_Toc50760949"/>
      <w:bookmarkStart w:id="464" w:name="_Toc22337"/>
      <w:bookmarkStart w:id="465" w:name="_Toc85461420"/>
      <w:bookmarkStart w:id="466" w:name="_Toc24482"/>
      <w:bookmarkStart w:id="467" w:name="_Toc83722613"/>
      <w:bookmarkStart w:id="468" w:name="_Toc8999348"/>
      <w:bookmarkStart w:id="469" w:name="_Toc10550"/>
      <w:bookmarkStart w:id="470" w:name="_Toc15435064"/>
      <w:bookmarkStart w:id="471" w:name="_Toc1928"/>
      <w:bookmarkStart w:id="472" w:name="_Toc496291407"/>
      <w:r>
        <w:rPr>
          <w:rFonts w:hint="eastAsia" w:ascii="宋体" w:hAnsi="宋体" w:cs="宋体"/>
          <w:b/>
          <w:bCs/>
          <w:color w:val="000000"/>
          <w:sz w:val="24"/>
          <w:szCs w:val="24"/>
        </w:rPr>
        <w:t>附件6-5  招标文件要求的其他证明材料</w:t>
      </w:r>
      <w:bookmarkEnd w:id="458"/>
      <w:bookmarkEnd w:id="459"/>
    </w:p>
    <w:p>
      <w:pPr>
        <w:pStyle w:val="3"/>
        <w:spacing w:line="360" w:lineRule="auto"/>
        <w:rPr>
          <w:rFonts w:ascii="宋体" w:hAnsi="宋体"/>
          <w:b/>
          <w:color w:val="000000"/>
          <w:sz w:val="24"/>
        </w:rPr>
      </w:pPr>
      <w:bookmarkStart w:id="473" w:name="_Toc100786163"/>
      <w:r>
        <w:rPr>
          <w:rFonts w:hint="eastAsia" w:ascii="宋体" w:hAnsi="宋体" w:cs="宋体"/>
          <w:b/>
          <w:bCs/>
          <w:color w:val="000000"/>
          <w:sz w:val="24"/>
          <w:szCs w:val="24"/>
        </w:rPr>
        <w:t xml:space="preserve">6-5-1  </w:t>
      </w:r>
      <w:r>
        <w:rPr>
          <w:rFonts w:ascii="宋体" w:hAnsi="宋体" w:cs="宋体"/>
          <w:b/>
          <w:bCs/>
          <w:color w:val="000000"/>
          <w:sz w:val="24"/>
          <w:szCs w:val="24"/>
        </w:rPr>
        <w:t>拟分包情况说明（类型二）</w:t>
      </w:r>
      <w:r>
        <w:rPr>
          <w:rFonts w:hint="eastAsia" w:ascii="宋体" w:hAnsi="宋体" w:cs="宋体"/>
          <w:b/>
          <w:bCs/>
          <w:color w:val="000000"/>
          <w:sz w:val="24"/>
          <w:szCs w:val="24"/>
        </w:rPr>
        <w:t>（本项目不适用）</w:t>
      </w:r>
      <w:bookmarkEnd w:id="473"/>
    </w:p>
    <w:p>
      <w:pPr>
        <w:autoSpaceDE w:val="0"/>
        <w:autoSpaceDN w:val="0"/>
        <w:adjustRightInd w:val="0"/>
        <w:jc w:val="center"/>
        <w:rPr>
          <w:rFonts w:ascii="宋体" w:hAnsi="宋体"/>
          <w:color w:val="000000"/>
          <w:sz w:val="30"/>
          <w:szCs w:val="30"/>
        </w:rPr>
      </w:pPr>
    </w:p>
    <w:p>
      <w:pPr>
        <w:spacing w:line="360" w:lineRule="auto"/>
        <w:ind w:firstLine="506" w:firstLineChars="200"/>
        <w:jc w:val="center"/>
        <w:rPr>
          <w:rFonts w:ascii="宋体" w:hAnsi="宋体" w:cs="宋体"/>
          <w:b/>
          <w:bCs/>
          <w:color w:val="000000"/>
          <w:spacing w:val="6"/>
          <w:sz w:val="24"/>
          <w:szCs w:val="24"/>
        </w:rPr>
      </w:pPr>
      <w:r>
        <w:rPr>
          <w:rFonts w:hint="eastAsia" w:ascii="宋体" w:hAnsi="宋体" w:cs="宋体"/>
          <w:b/>
          <w:bCs/>
          <w:color w:val="000000"/>
          <w:spacing w:val="6"/>
          <w:sz w:val="24"/>
          <w:szCs w:val="24"/>
        </w:rPr>
        <w:t>拟分包情况说明</w:t>
      </w:r>
    </w:p>
    <w:p>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48"/>
        <w:tblW w:w="9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6"/>
        <w:gridCol w:w="1287"/>
        <w:gridCol w:w="1513"/>
        <w:gridCol w:w="1125"/>
        <w:gridCol w:w="1561"/>
        <w:gridCol w:w="149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shd w:val="clear" w:color="auto" w:fill="auto"/>
            <w:vAlign w:val="center"/>
          </w:tcPr>
          <w:p>
            <w:pPr>
              <w:pStyle w:val="253"/>
              <w:jc w:val="center"/>
              <w:rPr>
                <w:color w:val="000000"/>
                <w:sz w:val="24"/>
                <w:lang w:eastAsia="en-US"/>
              </w:rPr>
            </w:pPr>
            <w:r>
              <w:rPr>
                <w:color w:val="000000"/>
                <w:sz w:val="24"/>
                <w:lang w:eastAsia="en-US"/>
              </w:rPr>
              <w:t>序</w:t>
            </w:r>
            <w:r>
              <w:rPr>
                <w:rFonts w:hint="eastAsia"/>
                <w:color w:val="000000"/>
                <w:sz w:val="24"/>
                <w:lang w:eastAsia="en-US"/>
              </w:rPr>
              <w:t>号</w:t>
            </w:r>
          </w:p>
        </w:tc>
        <w:tc>
          <w:tcPr>
            <w:tcW w:w="1287" w:type="dxa"/>
            <w:shd w:val="clear" w:color="auto" w:fill="auto"/>
            <w:vAlign w:val="center"/>
          </w:tcPr>
          <w:p>
            <w:pPr>
              <w:pStyle w:val="253"/>
              <w:jc w:val="center"/>
              <w:rPr>
                <w:color w:val="000000"/>
                <w:sz w:val="24"/>
                <w:lang w:eastAsia="en-US"/>
              </w:rPr>
            </w:pPr>
            <w:r>
              <w:rPr>
                <w:color w:val="000000"/>
                <w:sz w:val="24"/>
                <w:lang w:eastAsia="en-US"/>
              </w:rPr>
              <w:t>分包承担</w:t>
            </w:r>
          </w:p>
          <w:p>
            <w:pPr>
              <w:pStyle w:val="253"/>
              <w:jc w:val="center"/>
              <w:rPr>
                <w:color w:val="000000"/>
                <w:sz w:val="24"/>
                <w:lang w:eastAsia="en-US"/>
              </w:rPr>
            </w:pPr>
            <w:r>
              <w:rPr>
                <w:color w:val="000000"/>
                <w:sz w:val="24"/>
                <w:lang w:eastAsia="en-US"/>
              </w:rPr>
              <w:t>主体名称</w:t>
            </w:r>
          </w:p>
        </w:tc>
        <w:tc>
          <w:tcPr>
            <w:tcW w:w="1513" w:type="dxa"/>
            <w:shd w:val="clear" w:color="auto" w:fill="auto"/>
            <w:vAlign w:val="center"/>
          </w:tcPr>
          <w:p>
            <w:pPr>
              <w:pStyle w:val="253"/>
              <w:jc w:val="center"/>
              <w:rPr>
                <w:color w:val="000000"/>
                <w:sz w:val="24"/>
              </w:rPr>
            </w:pPr>
            <w:r>
              <w:rPr>
                <w:color w:val="000000"/>
                <w:sz w:val="24"/>
              </w:rPr>
              <w:t>分包承担</w:t>
            </w:r>
          </w:p>
          <w:p>
            <w:pPr>
              <w:pStyle w:val="253"/>
              <w:jc w:val="center"/>
              <w:rPr>
                <w:color w:val="000000"/>
                <w:sz w:val="24"/>
              </w:rPr>
            </w:pPr>
            <w:r>
              <w:rPr>
                <w:color w:val="000000"/>
                <w:sz w:val="24"/>
              </w:rPr>
              <w:t>主体类型</w:t>
            </w:r>
          </w:p>
          <w:p>
            <w:pPr>
              <w:pStyle w:val="253"/>
              <w:jc w:val="center"/>
              <w:rPr>
                <w:color w:val="000000"/>
                <w:sz w:val="24"/>
              </w:rPr>
            </w:pPr>
            <w:r>
              <w:rPr>
                <w:rFonts w:hint="eastAsia"/>
                <w:color w:val="000000"/>
                <w:sz w:val="24"/>
              </w:rPr>
              <w:t>（勾选）</w:t>
            </w:r>
          </w:p>
        </w:tc>
        <w:tc>
          <w:tcPr>
            <w:tcW w:w="1125" w:type="dxa"/>
            <w:shd w:val="clear" w:color="auto" w:fill="auto"/>
            <w:vAlign w:val="center"/>
          </w:tcPr>
          <w:p>
            <w:pPr>
              <w:pStyle w:val="253"/>
              <w:jc w:val="center"/>
              <w:rPr>
                <w:color w:val="000000"/>
                <w:sz w:val="24"/>
                <w:lang w:eastAsia="en-US"/>
              </w:rPr>
            </w:pPr>
            <w:r>
              <w:rPr>
                <w:color w:val="000000"/>
                <w:sz w:val="24"/>
                <w:lang w:eastAsia="en-US"/>
              </w:rPr>
              <w:t>资质等级</w:t>
            </w:r>
          </w:p>
        </w:tc>
        <w:tc>
          <w:tcPr>
            <w:tcW w:w="1558" w:type="dxa"/>
            <w:shd w:val="clear" w:color="auto" w:fill="auto"/>
            <w:vAlign w:val="center"/>
          </w:tcPr>
          <w:p>
            <w:pPr>
              <w:pStyle w:val="253"/>
              <w:jc w:val="center"/>
              <w:rPr>
                <w:color w:val="000000"/>
                <w:sz w:val="24"/>
                <w:lang w:eastAsia="en-US"/>
              </w:rPr>
            </w:pPr>
            <w:r>
              <w:rPr>
                <w:color w:val="000000"/>
                <w:sz w:val="24"/>
                <w:lang w:eastAsia="en-US"/>
              </w:rPr>
              <w:t>拟分包</w:t>
            </w:r>
          </w:p>
          <w:p>
            <w:pPr>
              <w:pStyle w:val="253"/>
              <w:jc w:val="center"/>
              <w:rPr>
                <w:color w:val="000000"/>
                <w:sz w:val="24"/>
                <w:lang w:eastAsia="en-US"/>
              </w:rPr>
            </w:pPr>
            <w:r>
              <w:rPr>
                <w:color w:val="000000"/>
                <w:sz w:val="24"/>
                <w:lang w:eastAsia="en-US"/>
              </w:rPr>
              <w:t>合同内容</w:t>
            </w:r>
          </w:p>
        </w:tc>
        <w:tc>
          <w:tcPr>
            <w:tcW w:w="1498" w:type="dxa"/>
            <w:shd w:val="clear" w:color="auto" w:fill="auto"/>
            <w:vAlign w:val="center"/>
          </w:tcPr>
          <w:p>
            <w:pPr>
              <w:pStyle w:val="253"/>
              <w:jc w:val="center"/>
              <w:rPr>
                <w:color w:val="000000"/>
                <w:sz w:val="24"/>
              </w:rPr>
            </w:pPr>
            <w:r>
              <w:rPr>
                <w:color w:val="000000"/>
                <w:sz w:val="24"/>
              </w:rPr>
              <w:t>拟分包</w:t>
            </w:r>
          </w:p>
          <w:p>
            <w:pPr>
              <w:pStyle w:val="253"/>
              <w:jc w:val="center"/>
              <w:rPr>
                <w:color w:val="000000"/>
                <w:sz w:val="24"/>
              </w:rPr>
            </w:pPr>
            <w:r>
              <w:rPr>
                <w:color w:val="000000"/>
                <w:sz w:val="24"/>
              </w:rPr>
              <w:t>合同金额</w:t>
            </w:r>
          </w:p>
          <w:p>
            <w:pPr>
              <w:pStyle w:val="253"/>
              <w:jc w:val="center"/>
              <w:rPr>
                <w:color w:val="000000"/>
                <w:sz w:val="24"/>
              </w:rPr>
            </w:pPr>
            <w:r>
              <w:rPr>
                <w:color w:val="000000"/>
                <w:sz w:val="24"/>
              </w:rPr>
              <w:t>（人民币元）</w:t>
            </w:r>
          </w:p>
        </w:tc>
        <w:tc>
          <w:tcPr>
            <w:tcW w:w="1564" w:type="dxa"/>
            <w:shd w:val="clear" w:color="auto" w:fill="auto"/>
            <w:vAlign w:val="center"/>
          </w:tcPr>
          <w:p>
            <w:pPr>
              <w:pStyle w:val="253"/>
              <w:jc w:val="center"/>
              <w:rPr>
                <w:b/>
                <w:color w:val="000000"/>
                <w:sz w:val="24"/>
              </w:rPr>
            </w:pPr>
            <w:r>
              <w:rPr>
                <w:b/>
                <w:color w:val="000000"/>
                <w:sz w:val="24"/>
              </w:rPr>
              <w:t>占</w:t>
            </w:r>
            <w:r>
              <w:rPr>
                <w:rFonts w:hint="eastAsia"/>
                <w:b/>
                <w:color w:val="000000"/>
                <w:sz w:val="24"/>
              </w:rPr>
              <w:t>投标报价</w:t>
            </w:r>
            <w:r>
              <w:rPr>
                <w:b/>
                <w:color w:val="000000"/>
                <w:sz w:val="24"/>
              </w:rPr>
              <w:t>的比例</w:t>
            </w:r>
            <w:r>
              <w:rPr>
                <w:rFonts w:hint="eastAsia"/>
                <w:b/>
                <w:color w:val="000000"/>
                <w:sz w:val="24"/>
              </w:rPr>
              <w:t>（</w:t>
            </w:r>
            <w:r>
              <w:rPr>
                <w:b/>
                <w:color w:val="000000"/>
                <w:sz w:val="24"/>
              </w:rPr>
              <w:t>%</w:t>
            </w:r>
            <w:r>
              <w:rPr>
                <w:rFonts w:hint="eastAsia"/>
                <w:b/>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3"/>
              <w:ind w:firstLine="480"/>
              <w:jc w:val="center"/>
              <w:rPr>
                <w:color w:val="000000"/>
                <w:sz w:val="24"/>
                <w:lang w:eastAsia="en-US"/>
              </w:rPr>
            </w:pPr>
            <w:r>
              <w:rPr>
                <w:color w:val="000000"/>
                <w:sz w:val="24"/>
                <w:lang w:eastAsia="en-US"/>
              </w:rPr>
              <w:t>1</w:t>
            </w:r>
          </w:p>
        </w:tc>
        <w:tc>
          <w:tcPr>
            <w:tcW w:w="1287" w:type="dxa"/>
            <w:shd w:val="clear" w:color="auto" w:fill="auto"/>
            <w:vAlign w:val="center"/>
          </w:tcPr>
          <w:p>
            <w:pPr>
              <w:pStyle w:val="253"/>
              <w:ind w:firstLine="600"/>
              <w:jc w:val="center"/>
              <w:rPr>
                <w:rFonts w:cs="Times New Roman"/>
                <w:color w:val="000000"/>
                <w:sz w:val="30"/>
                <w:lang w:eastAsia="en-US"/>
              </w:rPr>
            </w:pPr>
          </w:p>
        </w:tc>
        <w:tc>
          <w:tcPr>
            <w:tcW w:w="1513" w:type="dxa"/>
            <w:shd w:val="clear" w:color="auto" w:fill="auto"/>
            <w:vAlign w:val="center"/>
          </w:tcPr>
          <w:p>
            <w:pPr>
              <w:pStyle w:val="253"/>
              <w:tabs>
                <w:tab w:val="left" w:pos="235"/>
              </w:tabs>
              <w:ind w:left="1" w:leftChars="-43" w:hanging="91" w:hangingChars="38"/>
              <w:jc w:val="center"/>
              <w:rPr>
                <w:rFonts w:cs="Times New Roman"/>
                <w:color w:val="000000"/>
                <w:sz w:val="24"/>
              </w:rPr>
            </w:pPr>
            <w:r>
              <w:rPr>
                <w:rFonts w:cs="Times New Roman"/>
                <w:color w:val="000000"/>
                <w:sz w:val="24"/>
              </w:rPr>
              <w:t>□小微企业</w:t>
            </w:r>
          </w:p>
          <w:p>
            <w:pPr>
              <w:pStyle w:val="253"/>
              <w:tabs>
                <w:tab w:val="left" w:pos="235"/>
              </w:tabs>
              <w:ind w:left="1" w:leftChars="-43" w:hanging="91" w:hangingChars="38"/>
              <w:jc w:val="center"/>
              <w:rPr>
                <w:rFonts w:cs="Times New Roman"/>
                <w:color w:val="000000"/>
                <w:sz w:val="24"/>
              </w:rPr>
            </w:pPr>
            <w:r>
              <w:rPr>
                <w:rFonts w:cs="Times New Roman"/>
                <w:color w:val="000000"/>
                <w:sz w:val="24"/>
              </w:rPr>
              <w:t>□</w:t>
            </w:r>
            <w:r>
              <w:rPr>
                <w:rFonts w:hint="eastAsia" w:cs="Times New Roman"/>
                <w:color w:val="000000"/>
                <w:sz w:val="24"/>
              </w:rPr>
              <w:t>其他类型</w:t>
            </w:r>
          </w:p>
        </w:tc>
        <w:tc>
          <w:tcPr>
            <w:tcW w:w="1125" w:type="dxa"/>
            <w:shd w:val="clear" w:color="auto" w:fill="auto"/>
            <w:vAlign w:val="center"/>
          </w:tcPr>
          <w:p>
            <w:pPr>
              <w:pStyle w:val="253"/>
              <w:ind w:firstLine="600"/>
              <w:jc w:val="center"/>
              <w:rPr>
                <w:color w:val="000000"/>
                <w:sz w:val="30"/>
              </w:rPr>
            </w:pPr>
          </w:p>
        </w:tc>
        <w:tc>
          <w:tcPr>
            <w:tcW w:w="1558" w:type="dxa"/>
            <w:shd w:val="clear" w:color="auto" w:fill="auto"/>
            <w:vAlign w:val="center"/>
          </w:tcPr>
          <w:p>
            <w:pPr>
              <w:pStyle w:val="253"/>
              <w:ind w:firstLine="600"/>
              <w:jc w:val="center"/>
              <w:rPr>
                <w:color w:val="000000"/>
                <w:sz w:val="30"/>
              </w:rPr>
            </w:pPr>
          </w:p>
        </w:tc>
        <w:tc>
          <w:tcPr>
            <w:tcW w:w="1498" w:type="dxa"/>
            <w:shd w:val="clear" w:color="auto" w:fill="auto"/>
            <w:vAlign w:val="center"/>
          </w:tcPr>
          <w:p>
            <w:pPr>
              <w:pStyle w:val="253"/>
              <w:ind w:firstLine="600"/>
              <w:jc w:val="center"/>
              <w:rPr>
                <w:color w:val="000000"/>
                <w:sz w:val="30"/>
              </w:rPr>
            </w:pPr>
          </w:p>
        </w:tc>
        <w:tc>
          <w:tcPr>
            <w:tcW w:w="1564" w:type="dxa"/>
            <w:shd w:val="clear" w:color="auto" w:fill="auto"/>
            <w:vAlign w:val="center"/>
          </w:tcPr>
          <w:p>
            <w:pPr>
              <w:pStyle w:val="253"/>
              <w:ind w:firstLine="600"/>
              <w:jc w:val="center"/>
              <w:rPr>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456" w:type="dxa"/>
            <w:shd w:val="clear" w:color="auto" w:fill="auto"/>
            <w:vAlign w:val="center"/>
          </w:tcPr>
          <w:p>
            <w:pPr>
              <w:pStyle w:val="253"/>
              <w:ind w:firstLine="480"/>
              <w:jc w:val="center"/>
              <w:rPr>
                <w:color w:val="000000"/>
                <w:sz w:val="24"/>
                <w:lang w:eastAsia="en-US"/>
              </w:rPr>
            </w:pPr>
            <w:r>
              <w:rPr>
                <w:rFonts w:hint="eastAsia"/>
                <w:color w:val="000000"/>
                <w:sz w:val="24"/>
                <w:lang w:eastAsia="en-US"/>
              </w:rPr>
              <w:t>2</w:t>
            </w:r>
          </w:p>
        </w:tc>
        <w:tc>
          <w:tcPr>
            <w:tcW w:w="1287" w:type="dxa"/>
            <w:shd w:val="clear" w:color="auto" w:fill="auto"/>
            <w:vAlign w:val="center"/>
          </w:tcPr>
          <w:p>
            <w:pPr>
              <w:pStyle w:val="253"/>
              <w:ind w:firstLine="600"/>
              <w:jc w:val="center"/>
              <w:rPr>
                <w:color w:val="000000"/>
                <w:sz w:val="30"/>
                <w:lang w:eastAsia="en-US"/>
              </w:rPr>
            </w:pPr>
          </w:p>
        </w:tc>
        <w:tc>
          <w:tcPr>
            <w:tcW w:w="1513" w:type="dxa"/>
            <w:shd w:val="clear" w:color="auto" w:fill="auto"/>
            <w:vAlign w:val="center"/>
          </w:tcPr>
          <w:p>
            <w:pPr>
              <w:pStyle w:val="253"/>
              <w:tabs>
                <w:tab w:val="left" w:pos="235"/>
              </w:tabs>
              <w:ind w:left="1" w:leftChars="-43" w:hanging="91" w:hangingChars="38"/>
              <w:jc w:val="center"/>
              <w:rPr>
                <w:rFonts w:cs="Times New Roman"/>
                <w:color w:val="000000"/>
                <w:sz w:val="24"/>
              </w:rPr>
            </w:pPr>
            <w:r>
              <w:rPr>
                <w:rFonts w:cs="Times New Roman"/>
                <w:color w:val="000000"/>
                <w:sz w:val="24"/>
              </w:rPr>
              <w:t>□小微企业</w:t>
            </w:r>
          </w:p>
          <w:p>
            <w:pPr>
              <w:pStyle w:val="253"/>
              <w:tabs>
                <w:tab w:val="left" w:pos="235"/>
              </w:tabs>
              <w:ind w:left="1" w:leftChars="-43" w:hanging="91" w:hangingChars="38"/>
              <w:jc w:val="center"/>
              <w:rPr>
                <w:rFonts w:cs="Times New Roman"/>
                <w:color w:val="000000"/>
                <w:sz w:val="24"/>
              </w:rPr>
            </w:pPr>
            <w:r>
              <w:rPr>
                <w:rFonts w:cs="Times New Roman"/>
                <w:color w:val="000000"/>
                <w:sz w:val="24"/>
              </w:rPr>
              <w:t>□</w:t>
            </w:r>
            <w:r>
              <w:rPr>
                <w:rFonts w:hint="eastAsia" w:cs="Times New Roman"/>
                <w:color w:val="000000"/>
                <w:sz w:val="24"/>
              </w:rPr>
              <w:t>其他类型</w:t>
            </w:r>
          </w:p>
        </w:tc>
        <w:tc>
          <w:tcPr>
            <w:tcW w:w="1125" w:type="dxa"/>
            <w:shd w:val="clear" w:color="auto" w:fill="auto"/>
            <w:vAlign w:val="center"/>
          </w:tcPr>
          <w:p>
            <w:pPr>
              <w:pStyle w:val="253"/>
              <w:ind w:firstLine="600"/>
              <w:jc w:val="center"/>
              <w:rPr>
                <w:color w:val="000000"/>
                <w:sz w:val="30"/>
              </w:rPr>
            </w:pPr>
          </w:p>
        </w:tc>
        <w:tc>
          <w:tcPr>
            <w:tcW w:w="1558" w:type="dxa"/>
            <w:shd w:val="clear" w:color="auto" w:fill="auto"/>
            <w:vAlign w:val="center"/>
          </w:tcPr>
          <w:p>
            <w:pPr>
              <w:pStyle w:val="253"/>
              <w:ind w:firstLine="600"/>
              <w:jc w:val="center"/>
              <w:rPr>
                <w:color w:val="000000"/>
                <w:sz w:val="30"/>
              </w:rPr>
            </w:pPr>
          </w:p>
        </w:tc>
        <w:tc>
          <w:tcPr>
            <w:tcW w:w="1498" w:type="dxa"/>
            <w:shd w:val="clear" w:color="auto" w:fill="auto"/>
            <w:vAlign w:val="center"/>
          </w:tcPr>
          <w:p>
            <w:pPr>
              <w:pStyle w:val="253"/>
              <w:ind w:firstLine="600"/>
              <w:jc w:val="center"/>
              <w:rPr>
                <w:color w:val="000000"/>
                <w:sz w:val="30"/>
              </w:rPr>
            </w:pPr>
          </w:p>
        </w:tc>
        <w:tc>
          <w:tcPr>
            <w:tcW w:w="1564" w:type="dxa"/>
            <w:shd w:val="clear" w:color="auto" w:fill="auto"/>
            <w:vAlign w:val="center"/>
          </w:tcPr>
          <w:p>
            <w:pPr>
              <w:pStyle w:val="253"/>
              <w:ind w:firstLine="600"/>
              <w:jc w:val="center"/>
              <w:rPr>
                <w:color w:val="000000"/>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shd w:val="clear" w:color="auto" w:fill="auto"/>
            <w:vAlign w:val="center"/>
          </w:tcPr>
          <w:p>
            <w:pPr>
              <w:pStyle w:val="253"/>
              <w:ind w:firstLine="480"/>
              <w:jc w:val="center"/>
              <w:rPr>
                <w:color w:val="000000"/>
                <w:sz w:val="24"/>
                <w:lang w:eastAsia="en-US"/>
              </w:rPr>
            </w:pPr>
            <w:r>
              <w:rPr>
                <w:color w:val="000000"/>
                <w:sz w:val="24"/>
                <w:lang w:eastAsia="en-US"/>
              </w:rPr>
              <w:t>…</w:t>
            </w:r>
          </w:p>
        </w:tc>
        <w:tc>
          <w:tcPr>
            <w:tcW w:w="1287" w:type="dxa"/>
            <w:shd w:val="clear" w:color="auto" w:fill="auto"/>
            <w:vAlign w:val="center"/>
          </w:tcPr>
          <w:p>
            <w:pPr>
              <w:pStyle w:val="253"/>
              <w:ind w:firstLine="600"/>
              <w:jc w:val="center"/>
              <w:rPr>
                <w:color w:val="000000"/>
                <w:sz w:val="30"/>
                <w:lang w:eastAsia="en-US"/>
              </w:rPr>
            </w:pPr>
          </w:p>
        </w:tc>
        <w:tc>
          <w:tcPr>
            <w:tcW w:w="1513" w:type="dxa"/>
            <w:shd w:val="clear" w:color="auto" w:fill="auto"/>
            <w:vAlign w:val="center"/>
          </w:tcPr>
          <w:p>
            <w:pPr>
              <w:pStyle w:val="253"/>
              <w:tabs>
                <w:tab w:val="left" w:pos="235"/>
              </w:tabs>
              <w:ind w:firstLine="480"/>
              <w:jc w:val="center"/>
              <w:rPr>
                <w:color w:val="000000"/>
                <w:sz w:val="24"/>
                <w:lang w:eastAsia="en-US"/>
              </w:rPr>
            </w:pPr>
          </w:p>
        </w:tc>
        <w:tc>
          <w:tcPr>
            <w:tcW w:w="1125" w:type="dxa"/>
            <w:shd w:val="clear" w:color="auto" w:fill="auto"/>
            <w:vAlign w:val="center"/>
          </w:tcPr>
          <w:p>
            <w:pPr>
              <w:pStyle w:val="253"/>
              <w:ind w:firstLine="600"/>
              <w:jc w:val="center"/>
              <w:rPr>
                <w:color w:val="000000"/>
                <w:sz w:val="30"/>
                <w:lang w:eastAsia="en-US"/>
              </w:rPr>
            </w:pPr>
          </w:p>
        </w:tc>
        <w:tc>
          <w:tcPr>
            <w:tcW w:w="1558" w:type="dxa"/>
            <w:shd w:val="clear" w:color="auto" w:fill="auto"/>
            <w:vAlign w:val="center"/>
          </w:tcPr>
          <w:p>
            <w:pPr>
              <w:pStyle w:val="253"/>
              <w:ind w:firstLine="600"/>
              <w:jc w:val="center"/>
              <w:rPr>
                <w:color w:val="000000"/>
                <w:sz w:val="30"/>
                <w:lang w:eastAsia="en-US"/>
              </w:rPr>
            </w:pPr>
          </w:p>
        </w:tc>
        <w:tc>
          <w:tcPr>
            <w:tcW w:w="1498" w:type="dxa"/>
            <w:shd w:val="clear" w:color="auto" w:fill="auto"/>
            <w:vAlign w:val="center"/>
          </w:tcPr>
          <w:p>
            <w:pPr>
              <w:pStyle w:val="253"/>
              <w:ind w:firstLine="600"/>
              <w:jc w:val="center"/>
              <w:rPr>
                <w:color w:val="000000"/>
                <w:sz w:val="30"/>
                <w:lang w:eastAsia="en-US"/>
              </w:rPr>
            </w:pPr>
          </w:p>
        </w:tc>
        <w:tc>
          <w:tcPr>
            <w:tcW w:w="1564" w:type="dxa"/>
            <w:shd w:val="clear" w:color="auto" w:fill="auto"/>
            <w:vAlign w:val="center"/>
          </w:tcPr>
          <w:p>
            <w:pPr>
              <w:pStyle w:val="253"/>
              <w:ind w:firstLine="600"/>
              <w:jc w:val="center"/>
              <w:rPr>
                <w:color w:val="000000"/>
                <w:sz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jc w:val="center"/>
        </w:trPr>
        <w:tc>
          <w:tcPr>
            <w:tcW w:w="5942" w:type="dxa"/>
            <w:gridSpan w:val="5"/>
            <w:shd w:val="clear" w:color="auto" w:fill="auto"/>
            <w:vAlign w:val="center"/>
          </w:tcPr>
          <w:p>
            <w:pPr>
              <w:pStyle w:val="253"/>
              <w:ind w:right="57" w:rightChars="27" w:firstLine="480"/>
              <w:jc w:val="right"/>
              <w:rPr>
                <w:color w:val="000000"/>
                <w:sz w:val="24"/>
                <w:lang w:eastAsia="en-US"/>
              </w:rPr>
            </w:pPr>
            <w:r>
              <w:rPr>
                <w:rFonts w:hint="eastAsia"/>
                <w:color w:val="000000"/>
                <w:sz w:val="24"/>
                <w:lang w:eastAsia="en-US"/>
              </w:rPr>
              <w:t>合计：</w:t>
            </w:r>
          </w:p>
        </w:tc>
        <w:tc>
          <w:tcPr>
            <w:tcW w:w="1498" w:type="dxa"/>
            <w:shd w:val="clear" w:color="auto" w:fill="auto"/>
            <w:vAlign w:val="center"/>
          </w:tcPr>
          <w:p>
            <w:pPr>
              <w:pStyle w:val="253"/>
              <w:ind w:firstLine="600"/>
              <w:jc w:val="center"/>
              <w:rPr>
                <w:color w:val="000000"/>
                <w:sz w:val="30"/>
                <w:lang w:eastAsia="en-US"/>
              </w:rPr>
            </w:pPr>
          </w:p>
        </w:tc>
        <w:tc>
          <w:tcPr>
            <w:tcW w:w="1564" w:type="dxa"/>
            <w:shd w:val="clear" w:color="auto" w:fill="auto"/>
            <w:vAlign w:val="center"/>
          </w:tcPr>
          <w:p>
            <w:pPr>
              <w:pStyle w:val="253"/>
              <w:ind w:firstLine="600"/>
              <w:jc w:val="center"/>
              <w:rPr>
                <w:color w:val="000000"/>
                <w:sz w:val="30"/>
                <w:lang w:eastAsia="en-US"/>
              </w:rPr>
            </w:pPr>
          </w:p>
        </w:tc>
      </w:tr>
    </w:tbl>
    <w:p>
      <w:pPr>
        <w:adjustRightInd w:val="0"/>
        <w:snapToGrid w:val="0"/>
        <w:spacing w:line="360" w:lineRule="auto"/>
        <w:ind w:firstLine="480" w:firstLineChars="200"/>
        <w:jc w:val="left"/>
        <w:rPr>
          <w:rFonts w:ascii="宋体" w:hAnsi="宋体"/>
          <w:color w:val="000000"/>
          <w:sz w:val="24"/>
        </w:rPr>
      </w:pPr>
    </w:p>
    <w:p>
      <w:pPr>
        <w:adjustRightInd w:val="0"/>
        <w:snapToGrid w:val="0"/>
        <w:spacing w:line="360" w:lineRule="auto"/>
        <w:jc w:val="left"/>
        <w:rPr>
          <w:rFonts w:ascii="宋体" w:hAnsi="宋体"/>
          <w:color w:val="000000"/>
          <w:sz w:val="24"/>
        </w:rPr>
      </w:pPr>
      <w:r>
        <w:rPr>
          <w:rFonts w:ascii="宋体" w:hAnsi="宋体"/>
          <w:color w:val="000000"/>
          <w:sz w:val="24"/>
        </w:rPr>
        <w:t xml:space="preserve">注： </w:t>
      </w:r>
    </w:p>
    <w:p>
      <w:pPr>
        <w:adjustRightInd w:val="0"/>
        <w:snapToGrid w:val="0"/>
        <w:spacing w:line="360" w:lineRule="auto"/>
        <w:jc w:val="left"/>
        <w:rPr>
          <w:rFonts w:ascii="宋体" w:hAnsi="宋体"/>
          <w:color w:val="000000"/>
          <w:sz w:val="24"/>
        </w:rPr>
      </w:pPr>
      <w:r>
        <w:rPr>
          <w:rFonts w:ascii="宋体" w:hAnsi="宋体"/>
          <w:color w:val="000000"/>
          <w:sz w:val="24"/>
        </w:rPr>
        <w:t>1.本表仅在投标人非因“为落实政府采购政策”而分包时填写；投标人“为落实政府采购政策”而向中小企业分包时请按照《</w:t>
      </w:r>
      <w:r>
        <w:rPr>
          <w:rFonts w:ascii="宋体" w:hAnsi="宋体"/>
          <w:color w:val="000000"/>
          <w:sz w:val="24"/>
          <w:szCs w:val="20"/>
        </w:rPr>
        <w:t>拟分包情况说明及分包意向协议</w:t>
      </w:r>
      <w:r>
        <w:rPr>
          <w:rFonts w:ascii="宋体" w:hAnsi="宋体"/>
          <w:color w:val="000000"/>
          <w:sz w:val="24"/>
        </w:rPr>
        <w:t>》（类型一）要求填写。</w:t>
      </w:r>
    </w:p>
    <w:p>
      <w:pPr>
        <w:adjustRightInd w:val="0"/>
        <w:snapToGrid w:val="0"/>
        <w:spacing w:line="360" w:lineRule="auto"/>
        <w:jc w:val="left"/>
        <w:rPr>
          <w:rFonts w:ascii="宋体" w:hAnsi="宋体"/>
          <w:color w:val="000000"/>
          <w:sz w:val="24"/>
        </w:rPr>
      </w:pPr>
      <w:r>
        <w:rPr>
          <w:rFonts w:ascii="宋体" w:hAnsi="宋体"/>
          <w:color w:val="000000"/>
          <w:sz w:val="24"/>
        </w:rPr>
        <w:t>2.如本招标文件《投标人须知资料表》载明本项目分包承担主体应具备的相应资质条件，则投标人须在本表中列明分包承担主体的资质等级，并后附资质证书</w:t>
      </w:r>
      <w:r>
        <w:rPr>
          <w:rFonts w:hint="eastAsia" w:ascii="宋体" w:hAnsi="宋体"/>
          <w:color w:val="000000"/>
          <w:sz w:val="24"/>
        </w:rPr>
        <w:t>复印件加盖投标人公章，</w:t>
      </w:r>
      <w:r>
        <w:rPr>
          <w:rFonts w:ascii="宋体" w:hAnsi="宋体"/>
          <w:color w:val="000000"/>
          <w:sz w:val="24"/>
        </w:rPr>
        <w:t>否则</w:t>
      </w:r>
      <w:r>
        <w:rPr>
          <w:rFonts w:ascii="宋体" w:hAnsi="宋体"/>
          <w:b/>
          <w:color w:val="000000"/>
          <w:sz w:val="24"/>
        </w:rPr>
        <w:t>投标无效</w:t>
      </w:r>
      <w:r>
        <w:rPr>
          <w:rFonts w:ascii="宋体" w:hAnsi="宋体"/>
          <w:color w:val="000000"/>
          <w:sz w:val="24"/>
        </w:rPr>
        <w:t>。</w:t>
      </w:r>
    </w:p>
    <w:p>
      <w:pPr>
        <w:adjustRightInd w:val="0"/>
        <w:snapToGrid w:val="0"/>
        <w:spacing w:line="360" w:lineRule="auto"/>
        <w:jc w:val="left"/>
        <w:rPr>
          <w:rFonts w:ascii="宋体" w:hAnsi="宋体"/>
          <w:color w:val="000000"/>
          <w:sz w:val="24"/>
        </w:rPr>
      </w:pPr>
    </w:p>
    <w:p>
      <w:pPr>
        <w:adjustRightInd w:val="0"/>
        <w:snapToGrid w:val="0"/>
        <w:spacing w:line="360" w:lineRule="auto"/>
        <w:ind w:right="480" w:firstLine="480" w:firstLineChars="200"/>
        <w:jc w:val="right"/>
        <w:rPr>
          <w:rFonts w:ascii="宋体" w:hAnsi="宋体"/>
          <w:color w:val="000000"/>
          <w:sz w:val="24"/>
        </w:rPr>
      </w:pPr>
      <w:r>
        <w:rPr>
          <w:rFonts w:ascii="宋体" w:hAnsi="宋体"/>
          <w:color w:val="000000"/>
          <w:sz w:val="24"/>
        </w:rPr>
        <w:t>投标人名称（盖章）：______</w:t>
      </w:r>
    </w:p>
    <w:p>
      <w:pPr>
        <w:tabs>
          <w:tab w:val="left" w:pos="4962"/>
        </w:tabs>
        <w:adjustRightInd w:val="0"/>
        <w:snapToGrid w:val="0"/>
        <w:spacing w:line="360" w:lineRule="auto"/>
        <w:ind w:firstLine="480" w:firstLineChars="200"/>
        <w:jc w:val="right"/>
        <w:rPr>
          <w:rFonts w:ascii="宋体" w:hAnsi="宋体"/>
          <w:color w:val="000000"/>
          <w:sz w:val="24"/>
        </w:rPr>
      </w:pPr>
      <w:r>
        <w:rPr>
          <w:rFonts w:ascii="宋体" w:hAnsi="宋体"/>
          <w:color w:val="000000"/>
          <w:sz w:val="24"/>
        </w:rPr>
        <w:t>日期：_____年______月______日</w:t>
      </w:r>
      <w:r>
        <w:rPr>
          <w:rFonts w:ascii="宋体" w:hAnsi="宋体"/>
          <w:color w:val="000000"/>
        </w:rPr>
        <w:br w:type="page"/>
      </w:r>
    </w:p>
    <w:p>
      <w:pPr>
        <w:pStyle w:val="3"/>
        <w:spacing w:line="360" w:lineRule="auto"/>
        <w:rPr>
          <w:rFonts w:ascii="宋体" w:hAnsi="宋体" w:cs="宋体"/>
          <w:b/>
          <w:bCs/>
          <w:color w:val="000000"/>
          <w:sz w:val="24"/>
          <w:szCs w:val="24"/>
        </w:rPr>
      </w:pPr>
      <w:bookmarkStart w:id="474" w:name="_Toc100786164"/>
      <w:r>
        <w:rPr>
          <w:rFonts w:hint="eastAsia" w:ascii="宋体" w:hAnsi="宋体" w:cs="宋体"/>
          <w:b/>
          <w:bCs/>
          <w:color w:val="000000"/>
          <w:sz w:val="24"/>
          <w:szCs w:val="24"/>
        </w:rPr>
        <w:t xml:space="preserve">6-5-2  </w:t>
      </w:r>
      <w:r>
        <w:rPr>
          <w:rFonts w:ascii="宋体" w:hAnsi="宋体" w:cs="宋体"/>
          <w:b/>
          <w:bCs/>
          <w:color w:val="000000"/>
          <w:sz w:val="24"/>
          <w:szCs w:val="24"/>
          <w:lang w:val="en-US"/>
        </w:rPr>
        <w:t>联合协议（如有）</w:t>
      </w:r>
      <w:r>
        <w:rPr>
          <w:rFonts w:hint="eastAsia" w:ascii="宋体" w:hAnsi="宋体" w:cs="宋体"/>
          <w:b/>
          <w:bCs/>
          <w:color w:val="000000"/>
          <w:sz w:val="24"/>
          <w:szCs w:val="24"/>
          <w:lang w:val="en-US"/>
        </w:rPr>
        <w:t>（实质性格式）</w:t>
      </w:r>
      <w:bookmarkEnd w:id="474"/>
      <w:r>
        <w:rPr>
          <w:rFonts w:hint="eastAsia" w:ascii="宋体" w:hAnsi="宋体" w:cs="宋体"/>
          <w:b/>
          <w:bCs/>
          <w:color w:val="000000"/>
          <w:sz w:val="24"/>
          <w:szCs w:val="24"/>
        </w:rPr>
        <w:t>（本项目不适用）</w:t>
      </w:r>
    </w:p>
    <w:p>
      <w:pPr>
        <w:autoSpaceDE w:val="0"/>
        <w:autoSpaceDN w:val="0"/>
        <w:adjustRightInd w:val="0"/>
        <w:spacing w:line="360" w:lineRule="auto"/>
        <w:jc w:val="center"/>
        <w:rPr>
          <w:rFonts w:ascii="宋体" w:hAnsi="宋体"/>
          <w:b/>
          <w:color w:val="000000"/>
          <w:sz w:val="24"/>
          <w:szCs w:val="24"/>
        </w:rPr>
      </w:pPr>
      <w:r>
        <w:rPr>
          <w:rFonts w:hint="eastAsia" w:ascii="宋体" w:hAnsi="宋体"/>
          <w:b/>
          <w:color w:val="000000"/>
          <w:sz w:val="24"/>
          <w:szCs w:val="24"/>
        </w:rPr>
        <w:t>联合协议</w:t>
      </w:r>
    </w:p>
    <w:p>
      <w:pPr>
        <w:spacing w:line="360" w:lineRule="auto"/>
        <w:ind w:firstLine="828" w:firstLineChars="345"/>
        <w:rPr>
          <w:rFonts w:ascii="宋体" w:hAnsi="宋体"/>
          <w:bCs/>
          <w:color w:val="000000"/>
        </w:rPr>
      </w:pPr>
      <w:r>
        <w:rPr>
          <w:rFonts w:ascii="宋体" w:hAnsi="宋体"/>
          <w:bCs/>
          <w:color w:val="000000"/>
          <w:sz w:val="24"/>
        </w:rPr>
        <w:t>______、_____及_____就</w:t>
      </w:r>
      <w:r>
        <w:rPr>
          <w:rFonts w:hint="eastAsia" w:ascii="宋体" w:hAnsi="宋体"/>
          <w:bCs/>
          <w:color w:val="000000"/>
          <w:sz w:val="24"/>
        </w:rPr>
        <w:t>“</w:t>
      </w:r>
      <w:r>
        <w:rPr>
          <w:rFonts w:ascii="宋体" w:hAnsi="宋体"/>
          <w:bCs/>
          <w:color w:val="000000"/>
          <w:sz w:val="24"/>
        </w:rPr>
        <w:t>________（项目名称）</w:t>
      </w:r>
      <w:r>
        <w:rPr>
          <w:rFonts w:hint="eastAsia" w:ascii="宋体" w:hAnsi="宋体"/>
          <w:bCs/>
          <w:color w:val="000000"/>
          <w:sz w:val="24"/>
        </w:rPr>
        <w:t>”</w:t>
      </w:r>
      <w:r>
        <w:rPr>
          <w:rFonts w:ascii="宋体" w:hAnsi="宋体"/>
          <w:color w:val="000000"/>
          <w:sz w:val="24"/>
        </w:rPr>
        <w:t>____包</w:t>
      </w:r>
      <w:r>
        <w:rPr>
          <w:rFonts w:ascii="宋体" w:hAnsi="宋体"/>
          <w:bCs/>
          <w:color w:val="000000"/>
          <w:sz w:val="24"/>
        </w:rPr>
        <w:t>招标项目的投标事宜，经各方充分协商一致，达成如下协议：</w:t>
      </w:r>
    </w:p>
    <w:p>
      <w:pPr>
        <w:numPr>
          <w:ilvl w:val="0"/>
          <w:numId w:val="6"/>
        </w:numPr>
        <w:spacing w:line="360" w:lineRule="auto"/>
        <w:rPr>
          <w:rFonts w:ascii="宋体" w:hAnsi="宋体"/>
          <w:bCs/>
          <w:color w:val="000000"/>
          <w:sz w:val="24"/>
        </w:rPr>
      </w:pPr>
      <w:r>
        <w:rPr>
          <w:rFonts w:ascii="宋体" w:hAnsi="宋体"/>
          <w:bCs/>
          <w:color w:val="000000"/>
          <w:sz w:val="24"/>
        </w:rPr>
        <w:t>由_________牵头，_________、__________参加，组成联合体共同进行招标项目的投标工作。</w:t>
      </w:r>
    </w:p>
    <w:p>
      <w:pPr>
        <w:numPr>
          <w:ilvl w:val="0"/>
          <w:numId w:val="6"/>
        </w:numPr>
        <w:spacing w:line="360" w:lineRule="auto"/>
        <w:rPr>
          <w:rFonts w:ascii="宋体" w:hAnsi="宋体"/>
          <w:bCs/>
          <w:color w:val="000000"/>
          <w:sz w:val="24"/>
        </w:rPr>
      </w:pPr>
      <w:r>
        <w:rPr>
          <w:rFonts w:ascii="宋体" w:hAnsi="宋体"/>
          <w:bCs/>
          <w:color w:val="000000"/>
          <w:sz w:val="24"/>
        </w:rPr>
        <w:t>______为本次投标的牵头人，联合体以牵头人的名义参加投标，联合体中标后，联合体各方共同与采购人签订合同，就</w:t>
      </w:r>
      <w:r>
        <w:rPr>
          <w:rFonts w:hint="eastAsia" w:ascii="宋体" w:hAnsi="宋体"/>
          <w:bCs/>
          <w:color w:val="000000"/>
          <w:sz w:val="24"/>
        </w:rPr>
        <w:t>采购合同约定的事项</w:t>
      </w:r>
      <w:r>
        <w:rPr>
          <w:rFonts w:ascii="宋体" w:hAnsi="宋体"/>
          <w:bCs/>
          <w:color w:val="000000"/>
          <w:sz w:val="24"/>
        </w:rPr>
        <w:t>对采购人承担连带责任。</w:t>
      </w:r>
    </w:p>
    <w:p>
      <w:pPr>
        <w:numPr>
          <w:ilvl w:val="0"/>
          <w:numId w:val="6"/>
        </w:numPr>
        <w:spacing w:line="360" w:lineRule="auto"/>
        <w:rPr>
          <w:rFonts w:ascii="宋体" w:hAnsi="宋体"/>
          <w:bCs/>
          <w:color w:val="000000"/>
          <w:sz w:val="24"/>
        </w:rPr>
      </w:pPr>
      <w:r>
        <w:rPr>
          <w:rFonts w:ascii="宋体" w:hAnsi="宋体"/>
          <w:bCs/>
          <w:color w:val="000000"/>
          <w:sz w:val="24"/>
        </w:rPr>
        <w:t>联合体各方均同意由牵头人代表其他联合体成员单位按招标文件要求出具《授权委托书》。</w:t>
      </w:r>
    </w:p>
    <w:p>
      <w:pPr>
        <w:numPr>
          <w:ilvl w:val="0"/>
          <w:numId w:val="6"/>
        </w:numPr>
        <w:spacing w:line="360" w:lineRule="auto"/>
        <w:rPr>
          <w:rFonts w:ascii="宋体" w:hAnsi="宋体"/>
          <w:bCs/>
          <w:color w:val="000000"/>
          <w:sz w:val="24"/>
        </w:rPr>
      </w:pPr>
      <w:r>
        <w:rPr>
          <w:rFonts w:ascii="宋体" w:hAnsi="宋体"/>
          <w:bCs/>
          <w:color w:val="000000"/>
          <w:sz w:val="24"/>
        </w:rPr>
        <w:t>牵头人为项目的总负责单位；组织各参加方进行项目实施工作。</w:t>
      </w:r>
    </w:p>
    <w:p>
      <w:pPr>
        <w:numPr>
          <w:ilvl w:val="0"/>
          <w:numId w:val="6"/>
        </w:numPr>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pPr>
        <w:numPr>
          <w:ilvl w:val="0"/>
          <w:numId w:val="6"/>
        </w:numPr>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pPr>
        <w:numPr>
          <w:ilvl w:val="0"/>
          <w:numId w:val="6"/>
        </w:numPr>
        <w:spacing w:line="360" w:lineRule="auto"/>
        <w:rPr>
          <w:rFonts w:ascii="宋体" w:hAnsi="宋体"/>
          <w:bCs/>
          <w:color w:val="000000"/>
          <w:sz w:val="24"/>
        </w:rPr>
      </w:pPr>
      <w:r>
        <w:rPr>
          <w:rFonts w:ascii="宋体" w:hAnsi="宋体"/>
          <w:bCs/>
          <w:color w:val="000000"/>
          <w:sz w:val="24"/>
        </w:rPr>
        <w:t>______负责_____（如有），具体工作范围、内容以投标文件及合同为准。</w:t>
      </w:r>
    </w:p>
    <w:p>
      <w:pPr>
        <w:numPr>
          <w:ilvl w:val="0"/>
          <w:numId w:val="6"/>
        </w:numPr>
        <w:spacing w:line="360" w:lineRule="auto"/>
        <w:rPr>
          <w:rFonts w:ascii="宋体" w:hAnsi="宋体"/>
          <w:color w:val="000000"/>
          <w:sz w:val="24"/>
        </w:rPr>
      </w:pPr>
      <w:r>
        <w:rPr>
          <w:rFonts w:ascii="宋体" w:hAnsi="宋体"/>
          <w:color w:val="000000"/>
          <w:sz w:val="24"/>
        </w:rPr>
        <w:t>本项目联合协议合同总额为________元，联合体各成员按照如下比例分摊（按联合体成员分别列明）：</w:t>
      </w:r>
    </w:p>
    <w:p>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（1）</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（2）</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pPr>
        <w:numPr>
          <w:ilvl w:val="0"/>
          <w:numId w:val="6"/>
        </w:numPr>
        <w:tabs>
          <w:tab w:val="left" w:pos="993"/>
        </w:tabs>
        <w:spacing w:line="360" w:lineRule="auto"/>
        <w:rPr>
          <w:rFonts w:ascii="宋体" w:hAnsi="宋体"/>
          <w:bCs/>
          <w:color w:val="000000"/>
          <w:sz w:val="24"/>
        </w:rPr>
      </w:pPr>
      <w:r>
        <w:rPr>
          <w:rFonts w:hint="eastAsia" w:ascii="宋体" w:hAnsi="宋体"/>
          <w:bCs/>
          <w:color w:val="000000"/>
          <w:sz w:val="24"/>
        </w:rPr>
        <w:t>以联合体形式参加政府采购活动的，联合体各方不得再单独参加或者与其他供应商另外组成联合体参加同一合同项下的政府采购活动</w:t>
      </w:r>
      <w:r>
        <w:rPr>
          <w:rFonts w:ascii="宋体" w:hAnsi="宋体"/>
          <w:bCs/>
          <w:color w:val="000000"/>
          <w:sz w:val="24"/>
        </w:rPr>
        <w:t>。</w:t>
      </w:r>
    </w:p>
    <w:p>
      <w:pPr>
        <w:numPr>
          <w:ilvl w:val="0"/>
          <w:numId w:val="6"/>
        </w:numPr>
        <w:spacing w:line="360" w:lineRule="auto"/>
        <w:rPr>
          <w:rFonts w:ascii="宋体" w:hAnsi="宋体"/>
          <w:bCs/>
          <w:color w:val="000000"/>
          <w:sz w:val="24"/>
        </w:rPr>
      </w:pPr>
      <w:r>
        <w:rPr>
          <w:rFonts w:ascii="宋体" w:hAnsi="宋体"/>
          <w:bCs/>
          <w:color w:val="000000"/>
          <w:sz w:val="24"/>
        </w:rPr>
        <w:t>其他约定（如有）：_______</w:t>
      </w:r>
      <w:r>
        <w:rPr>
          <w:rFonts w:hint="eastAsia" w:ascii="宋体" w:hAnsi="宋体"/>
          <w:bCs/>
          <w:color w:val="000000"/>
          <w:sz w:val="24"/>
        </w:rPr>
        <w:t>。</w:t>
      </w:r>
    </w:p>
    <w:p>
      <w:pPr>
        <w:tabs>
          <w:tab w:val="left" w:pos="780"/>
        </w:tabs>
        <w:spacing w:line="360" w:lineRule="auto"/>
        <w:ind w:firstLine="480" w:firstLineChars="200"/>
        <w:rPr>
          <w:rFonts w:ascii="宋体" w:hAnsi="宋体"/>
          <w:color w:val="000000"/>
          <w:sz w:val="24"/>
        </w:rPr>
      </w:pPr>
      <w:r>
        <w:rPr>
          <w:rFonts w:ascii="宋体" w:hAnsi="宋体"/>
          <w:bCs/>
          <w:color w:val="000000"/>
          <w:sz w:val="24"/>
        </w:rPr>
        <w:t>本协议自各方盖章后生效，</w:t>
      </w:r>
      <w:r>
        <w:rPr>
          <w:rFonts w:hint="eastAsia" w:ascii="宋体" w:hAnsi="宋体"/>
          <w:bCs/>
          <w:color w:val="000000"/>
          <w:sz w:val="24"/>
        </w:rPr>
        <w:t>采购合同履行完毕后自动失效。</w:t>
      </w:r>
      <w:r>
        <w:rPr>
          <w:rFonts w:ascii="宋体" w:hAnsi="宋体"/>
          <w:bCs/>
          <w:color w:val="000000"/>
          <w:sz w:val="24"/>
        </w:rPr>
        <w:t>如未中标，本协议自动终止。</w:t>
      </w:r>
      <w:r>
        <w:rPr>
          <w:rFonts w:ascii="宋体" w:hAnsi="宋体"/>
          <w:color w:val="000000"/>
          <w:sz w:val="24"/>
        </w:rPr>
        <w:br w:type="page"/>
      </w:r>
    </w:p>
    <w:p>
      <w:pPr>
        <w:spacing w:line="360" w:lineRule="auto"/>
        <w:ind w:firstLine="471"/>
        <w:rPr>
          <w:rFonts w:ascii="宋体" w:hAnsi="宋体"/>
          <w:color w:val="000000"/>
          <w:sz w:val="24"/>
        </w:rPr>
      </w:pPr>
      <w:r>
        <w:rPr>
          <w:rFonts w:hint="eastAsia" w:ascii="宋体" w:hAnsi="宋体"/>
          <w:color w:val="000000"/>
          <w:sz w:val="24"/>
        </w:rPr>
        <w:t>联合体</w:t>
      </w:r>
      <w:r>
        <w:rPr>
          <w:rFonts w:ascii="宋体" w:hAnsi="宋体"/>
          <w:color w:val="000000"/>
          <w:sz w:val="24"/>
        </w:rPr>
        <w:t>牵头人</w:t>
      </w:r>
      <w:r>
        <w:rPr>
          <w:rFonts w:hint="eastAsia" w:ascii="宋体" w:hAnsi="宋体"/>
          <w:color w:val="000000"/>
          <w:sz w:val="24"/>
        </w:rPr>
        <w:t>名称：</w:t>
      </w:r>
      <w:r>
        <w:rPr>
          <w:rFonts w:ascii="宋体" w:hAnsi="宋体"/>
          <w:color w:val="000000"/>
          <w:sz w:val="24"/>
          <w:szCs w:val="20"/>
        </w:rPr>
        <w:t>______</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hint="eastAsia" w:ascii="宋体" w:hAnsi="宋体"/>
          <w:color w:val="000000"/>
          <w:sz w:val="24"/>
        </w:rPr>
        <w:t>联合体成员名称</w:t>
      </w:r>
      <w:r>
        <w:rPr>
          <w:rFonts w:ascii="宋体" w:hAnsi="宋体"/>
          <w:color w:val="000000"/>
          <w:sz w:val="24"/>
        </w:rPr>
        <w:t>：</w:t>
      </w:r>
      <w:r>
        <w:rPr>
          <w:rFonts w:ascii="宋体" w:hAnsi="宋体"/>
          <w:color w:val="000000"/>
          <w:sz w:val="24"/>
          <w:szCs w:val="20"/>
        </w:rPr>
        <w:t>______</w:t>
      </w:r>
    </w:p>
    <w:p>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盖章：</w:t>
      </w:r>
      <w:r>
        <w:rPr>
          <w:rFonts w:ascii="宋体" w:hAnsi="宋体"/>
          <w:color w:val="000000"/>
          <w:sz w:val="24"/>
          <w:szCs w:val="20"/>
        </w:rPr>
        <w:t>______</w:t>
      </w:r>
    </w:p>
    <w:p>
      <w:pPr>
        <w:spacing w:line="360" w:lineRule="auto"/>
        <w:ind w:firstLine="471"/>
        <w:rPr>
          <w:rFonts w:ascii="宋体" w:hAnsi="宋体"/>
          <w:color w:val="000000"/>
          <w:sz w:val="24"/>
        </w:rPr>
      </w:pPr>
    </w:p>
    <w:p>
      <w:pPr>
        <w:spacing w:line="360" w:lineRule="auto"/>
        <w:ind w:firstLine="471"/>
        <w:rPr>
          <w:rFonts w:ascii="宋体" w:hAnsi="宋体"/>
          <w:color w:val="000000"/>
          <w:sz w:val="24"/>
        </w:rPr>
      </w:pPr>
    </w:p>
    <w:p>
      <w:pPr>
        <w:spacing w:line="360" w:lineRule="auto"/>
        <w:ind w:firstLine="471"/>
        <w:rPr>
          <w:rFonts w:ascii="宋体" w:hAnsi="宋体"/>
          <w:color w:val="000000"/>
          <w:sz w:val="24"/>
        </w:rPr>
      </w:pPr>
      <w:r>
        <w:rPr>
          <w:rFonts w:hint="eastAsia" w:ascii="宋体" w:hAnsi="宋体"/>
          <w:color w:val="000000"/>
          <w:sz w:val="24"/>
        </w:rPr>
        <w:t>联合体成员名称</w:t>
      </w:r>
      <w:r>
        <w:rPr>
          <w:rFonts w:ascii="宋体" w:hAnsi="宋体"/>
          <w:color w:val="000000"/>
          <w:sz w:val="24"/>
        </w:rPr>
        <w:t>：</w:t>
      </w:r>
      <w:r>
        <w:rPr>
          <w:rFonts w:ascii="宋体" w:hAnsi="宋体"/>
          <w:color w:val="000000"/>
          <w:sz w:val="24"/>
          <w:szCs w:val="20"/>
        </w:rPr>
        <w:t>______</w:t>
      </w:r>
    </w:p>
    <w:p>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p>
    <w:p>
      <w:pPr>
        <w:spacing w:line="360" w:lineRule="auto"/>
        <w:ind w:firstLine="471"/>
        <w:rPr>
          <w:rFonts w:ascii="宋体" w:hAnsi="宋体"/>
          <w:color w:val="000000"/>
          <w:sz w:val="24"/>
        </w:rPr>
      </w:pPr>
    </w:p>
    <w:p>
      <w:pPr>
        <w:spacing w:line="360" w:lineRule="auto"/>
        <w:ind w:firstLine="471"/>
        <w:rPr>
          <w:rFonts w:ascii="宋体" w:hAnsi="宋体"/>
          <w:color w:val="000000"/>
          <w:sz w:val="24"/>
        </w:rPr>
      </w:pPr>
    </w:p>
    <w:p>
      <w:pPr>
        <w:spacing w:line="360" w:lineRule="auto"/>
        <w:ind w:left="480"/>
        <w:jc w:val="right"/>
        <w:rPr>
          <w:rFonts w:ascii="宋体" w:hAnsi="宋体"/>
          <w:color w:val="000000"/>
          <w:sz w:val="24"/>
        </w:rPr>
      </w:pPr>
    </w:p>
    <w:p>
      <w:pPr>
        <w:spacing w:line="360" w:lineRule="auto"/>
        <w:ind w:left="480"/>
        <w:jc w:val="right"/>
        <w:rPr>
          <w:rFonts w:ascii="宋体" w:hAnsi="宋体"/>
          <w:color w:val="000000"/>
          <w:sz w:val="24"/>
        </w:rPr>
      </w:pPr>
      <w:r>
        <w:rPr>
          <w:rFonts w:ascii="宋体" w:hAnsi="宋体"/>
          <w:color w:val="000000"/>
          <w:sz w:val="24"/>
          <w:szCs w:val="20"/>
        </w:rPr>
        <w:t>日期：_____年______月______日</w:t>
      </w:r>
    </w:p>
    <w:p>
      <w:pPr>
        <w:spacing w:line="360" w:lineRule="auto"/>
        <w:ind w:left="480"/>
        <w:jc w:val="right"/>
        <w:rPr>
          <w:rFonts w:ascii="宋体" w:hAnsi="宋体"/>
          <w:b/>
          <w:color w:val="000000"/>
          <w:sz w:val="24"/>
        </w:rPr>
      </w:pPr>
    </w:p>
    <w:p>
      <w:pPr>
        <w:tabs>
          <w:tab w:val="left" w:pos="8280"/>
        </w:tabs>
        <w:spacing w:line="360" w:lineRule="auto"/>
        <w:ind w:firstLine="480"/>
        <w:rPr>
          <w:rFonts w:ascii="宋体" w:hAnsi="宋体"/>
          <w:color w:val="000000"/>
          <w:sz w:val="24"/>
        </w:rPr>
      </w:pPr>
    </w:p>
    <w:p>
      <w:pPr>
        <w:tabs>
          <w:tab w:val="left" w:pos="8280"/>
        </w:tabs>
        <w:spacing w:line="360" w:lineRule="auto"/>
        <w:ind w:firstLine="480"/>
        <w:rPr>
          <w:rFonts w:ascii="宋体" w:hAnsi="宋体"/>
          <w:color w:val="000000"/>
          <w:sz w:val="24"/>
        </w:rPr>
      </w:pPr>
    </w:p>
    <w:p>
      <w:pPr>
        <w:spacing w:line="360" w:lineRule="auto"/>
        <w:ind w:left="719" w:leftChars="228" w:hanging="240" w:hangingChars="100"/>
        <w:rPr>
          <w:rFonts w:ascii="宋体" w:hAnsi="宋体"/>
          <w:color w:val="000000"/>
          <w:sz w:val="24"/>
        </w:rPr>
      </w:pPr>
      <w:r>
        <w:rPr>
          <w:rFonts w:ascii="宋体" w:hAnsi="宋体"/>
          <w:color w:val="000000"/>
          <w:sz w:val="24"/>
        </w:rPr>
        <w:t>注：联合体各方成员应在本协议上共同盖章，不得分别签署协议书。</w:t>
      </w:r>
    </w:p>
    <w:p>
      <w:pPr>
        <w:spacing w:line="360" w:lineRule="auto"/>
        <w:ind w:left="719" w:leftChars="228" w:hanging="240" w:hangingChars="100"/>
        <w:rPr>
          <w:rFonts w:ascii="宋体" w:hAnsi="宋体"/>
          <w:color w:val="000000"/>
          <w:sz w:val="24"/>
        </w:rPr>
      </w:pPr>
      <w:r>
        <w:rPr>
          <w:rFonts w:ascii="宋体" w:hAnsi="宋体"/>
          <w:color w:val="000000"/>
          <w:sz w:val="24"/>
        </w:rPr>
        <w:br w:type="page"/>
      </w:r>
    </w:p>
    <w:p>
      <w:pPr>
        <w:pStyle w:val="3"/>
        <w:spacing w:line="360" w:lineRule="auto"/>
        <w:rPr>
          <w:rFonts w:ascii="宋体" w:hAnsi="宋体" w:cs="宋体"/>
          <w:b/>
          <w:bCs/>
          <w:color w:val="000000"/>
          <w:sz w:val="24"/>
          <w:szCs w:val="24"/>
        </w:rPr>
      </w:pPr>
      <w:bookmarkStart w:id="475" w:name="_Toc100786165"/>
      <w:r>
        <w:rPr>
          <w:rFonts w:hint="eastAsia" w:ascii="宋体" w:hAnsi="宋体" w:cs="宋体"/>
          <w:b/>
          <w:bCs/>
          <w:color w:val="000000"/>
          <w:sz w:val="24"/>
          <w:szCs w:val="24"/>
        </w:rPr>
        <w:t xml:space="preserve">6-5-3  </w:t>
      </w:r>
      <w:r>
        <w:rPr>
          <w:rFonts w:ascii="宋体" w:hAnsi="宋体" w:cs="宋体"/>
          <w:b/>
          <w:bCs/>
          <w:color w:val="000000"/>
          <w:sz w:val="24"/>
          <w:szCs w:val="24"/>
        </w:rPr>
        <w:t>其他特定资格要求</w:t>
      </w:r>
      <w:bookmarkEnd w:id="475"/>
    </w:p>
    <w:p>
      <w:pPr>
        <w:widowControl/>
        <w:jc w:val="left"/>
        <w:rPr>
          <w:rFonts w:ascii="宋体" w:hAnsi="宋体"/>
          <w:color w:val="000000"/>
          <w:sz w:val="24"/>
          <w:szCs w:val="20"/>
        </w:rPr>
      </w:pPr>
      <w:r>
        <w:rPr>
          <w:rFonts w:hint="eastAsia" w:ascii="宋体" w:hAnsi="宋体"/>
          <w:color w:val="000000"/>
          <w:sz w:val="24"/>
        </w:rPr>
        <w:t>有效期内的《</w:t>
      </w:r>
      <w:r>
        <w:rPr>
          <w:rFonts w:hint="eastAsia" w:ascii="宋体" w:hAnsi="宋体"/>
          <w:color w:val="000000"/>
          <w:sz w:val="24"/>
          <w:lang w:val="en-US" w:eastAsia="zh-CN"/>
        </w:rPr>
        <w:t>中华人民共和国特种设备检验检测机构核准证（无损检测机构）</w:t>
      </w:r>
      <w:r>
        <w:rPr>
          <w:rFonts w:hint="eastAsia" w:ascii="宋体" w:hAnsi="宋体"/>
          <w:color w:val="000000"/>
          <w:sz w:val="24"/>
        </w:rPr>
        <w:t>》</w:t>
      </w:r>
      <w:r>
        <w:rPr>
          <w:rFonts w:hint="eastAsia" w:ascii="宋体" w:hAnsi="宋体"/>
          <w:color w:val="000000"/>
          <w:sz w:val="24"/>
          <w:lang w:val="en-US" w:eastAsia="zh-CN"/>
        </w:rPr>
        <w:t>证书（复印件加盖公章）</w:t>
      </w:r>
    </w:p>
    <w:p>
      <w:r>
        <w:br w:type="page"/>
      </w:r>
    </w:p>
    <w:p>
      <w:pPr>
        <w:pStyle w:val="3"/>
        <w:spacing w:line="360" w:lineRule="auto"/>
        <w:rPr>
          <w:rFonts w:ascii="宋体" w:hAnsi="宋体"/>
          <w:color w:val="000000"/>
          <w:sz w:val="24"/>
        </w:rPr>
      </w:pPr>
      <w:r>
        <w:rPr>
          <w:rFonts w:hint="eastAsia" w:ascii="宋体" w:hAnsi="宋体" w:cs="宋体"/>
          <w:b/>
          <w:bCs/>
          <w:color w:val="000000"/>
          <w:sz w:val="24"/>
          <w:szCs w:val="24"/>
        </w:rPr>
        <w:t xml:space="preserve">6-5-4  </w:t>
      </w:r>
      <w:r>
        <w:rPr>
          <w:rFonts w:ascii="宋体" w:hAnsi="宋体" w:cs="宋体"/>
          <w:b/>
          <w:bCs/>
          <w:color w:val="000000"/>
          <w:sz w:val="24"/>
          <w:szCs w:val="24"/>
        </w:rPr>
        <w:t>投标保证金</w:t>
      </w:r>
      <w:r>
        <w:rPr>
          <w:rFonts w:hint="eastAsia" w:ascii="宋体" w:hAnsi="宋体" w:cs="宋体"/>
          <w:b/>
          <w:bCs/>
          <w:color w:val="000000"/>
          <w:sz w:val="24"/>
          <w:szCs w:val="24"/>
        </w:rPr>
        <w:t>凭证/</w:t>
      </w:r>
      <w:r>
        <w:rPr>
          <w:rFonts w:ascii="宋体" w:hAnsi="宋体" w:cs="宋体"/>
          <w:b/>
          <w:bCs/>
          <w:color w:val="000000"/>
          <w:sz w:val="24"/>
          <w:szCs w:val="24"/>
        </w:rPr>
        <w:t>交款单据电子件</w:t>
      </w:r>
      <w:r>
        <w:rPr>
          <w:rFonts w:ascii="宋体" w:hAnsi="宋体"/>
          <w:color w:val="000000"/>
          <w:sz w:val="24"/>
        </w:rPr>
        <w:br w:type="page"/>
      </w:r>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2"/>
        <w:spacing w:line="360" w:lineRule="auto"/>
        <w:ind w:left="0" w:firstLine="0"/>
        <w:rPr>
          <w:rFonts w:ascii="宋体" w:hAnsi="宋体"/>
          <w:color w:val="000000"/>
          <w:szCs w:val="28"/>
        </w:rPr>
      </w:pPr>
      <w:bookmarkStart w:id="476" w:name="_Toc100786166"/>
      <w:bookmarkStart w:id="477" w:name="_Toc12968"/>
      <w:r>
        <w:rPr>
          <w:rFonts w:hint="eastAsia" w:ascii="宋体" w:hAnsi="宋体"/>
          <w:color w:val="000000"/>
          <w:szCs w:val="28"/>
        </w:rPr>
        <w:t>附件7  政府采购投标担保函</w:t>
      </w:r>
      <w:bookmarkEnd w:id="476"/>
      <w:bookmarkEnd w:id="477"/>
    </w:p>
    <w:p>
      <w:pPr>
        <w:spacing w:line="360" w:lineRule="auto"/>
        <w:jc w:val="center"/>
        <w:rPr>
          <w:rFonts w:ascii="宋体" w:hAnsi="宋体" w:cs="宋体"/>
          <w:b/>
          <w:color w:val="000000"/>
          <w:sz w:val="24"/>
          <w:szCs w:val="24"/>
          <w:lang w:val="zh-CN"/>
        </w:rPr>
      </w:pPr>
    </w:p>
    <w:p>
      <w:pPr>
        <w:spacing w:line="360" w:lineRule="auto"/>
        <w:jc w:val="center"/>
        <w:rPr>
          <w:rFonts w:ascii="宋体" w:hAnsi="宋体" w:cs="宋体"/>
          <w:b/>
          <w:color w:val="000000"/>
          <w:sz w:val="24"/>
          <w:szCs w:val="24"/>
        </w:rPr>
      </w:pPr>
      <w:r>
        <w:rPr>
          <w:rFonts w:hint="eastAsia" w:ascii="宋体" w:hAnsi="宋体" w:cs="宋体"/>
          <w:b/>
          <w:color w:val="000000"/>
          <w:sz w:val="24"/>
          <w:szCs w:val="24"/>
        </w:rPr>
        <w:t>政府采购投标担保函（项目用）</w:t>
      </w:r>
    </w:p>
    <w:p>
      <w:pPr>
        <w:spacing w:line="360" w:lineRule="auto"/>
        <w:jc w:val="right"/>
        <w:rPr>
          <w:rFonts w:ascii="宋体" w:hAnsi="宋体" w:cs="宋体"/>
          <w:color w:val="000000"/>
          <w:sz w:val="24"/>
          <w:szCs w:val="24"/>
        </w:rPr>
      </w:pPr>
      <w:r>
        <w:rPr>
          <w:rFonts w:hint="eastAsia" w:ascii="宋体" w:hAnsi="宋体" w:cs="宋体"/>
          <w:color w:val="000000"/>
          <w:sz w:val="24"/>
          <w:szCs w:val="24"/>
        </w:rPr>
        <w:t>编号：</w:t>
      </w:r>
    </w:p>
    <w:p>
      <w:pPr>
        <w:spacing w:line="360" w:lineRule="auto"/>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（采购人或采购代理机构）：</w:t>
      </w:r>
    </w:p>
    <w:p>
      <w:pPr>
        <w:spacing w:line="360" w:lineRule="auto"/>
        <w:rPr>
          <w:rFonts w:ascii="宋体" w:hAnsi="宋体" w:cs="宋体"/>
          <w:color w:val="000000"/>
          <w:sz w:val="24"/>
          <w:szCs w:val="24"/>
        </w:rPr>
      </w:pPr>
    </w:p>
    <w:p>
      <w:pPr>
        <w:spacing w:line="360" w:lineRule="auto"/>
        <w:ind w:firstLine="480" w:firstLineChars="200"/>
        <w:rPr>
          <w:rFonts w:ascii="宋体" w:hAnsi="宋体" w:cs="宋体"/>
          <w:color w:val="000000"/>
          <w:sz w:val="24"/>
          <w:szCs w:val="24"/>
          <w:u w:val="single"/>
        </w:rPr>
      </w:pPr>
      <w:r>
        <w:rPr>
          <w:rFonts w:hint="eastAsia" w:ascii="宋体" w:hAnsi="宋体" w:cs="宋体"/>
          <w:color w:val="000000"/>
          <w:sz w:val="24"/>
          <w:szCs w:val="24"/>
        </w:rPr>
        <w:t>鉴于（以下简称“投标人”）拟参加编号为</w:t>
      </w:r>
    </w:p>
    <w:p>
      <w:pPr>
        <w:spacing w:line="360" w:lineRule="auto"/>
        <w:rPr>
          <w:rFonts w:ascii="宋体" w:hAnsi="宋体" w:cs="宋体"/>
          <w:color w:val="000000"/>
          <w:sz w:val="24"/>
          <w:szCs w:val="24"/>
        </w:rPr>
      </w:pPr>
      <w:r>
        <w:rPr>
          <w:rFonts w:hint="eastAsia" w:ascii="宋体" w:hAnsi="宋体" w:cs="宋体"/>
          <w:color w:val="000000"/>
          <w:sz w:val="24"/>
          <w:szCs w:val="24"/>
        </w:rPr>
        <w:t>的项目（以下简称“本项目”）投标，根据本项目招标文件，投标人参加投标时应向你方交纳投标保证金，且可以投标担保函的形式交纳投标保证金。应投标人的申请，我方以保证的方式向你方提供如下投标保证金担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一、保证责任的情形及保证金额</w:t>
      </w:r>
    </w:p>
    <w:p>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（一）在投标人出现下列情形之一时，我方承担保证责任：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中标</w:t>
      </w:r>
      <w:r>
        <w:rPr>
          <w:rFonts w:hint="eastAsia" w:ascii="宋体" w:hAnsi="宋体" w:cs="宋体"/>
          <w:color w:val="000000"/>
          <w:sz w:val="24"/>
          <w:szCs w:val="24"/>
        </w:rPr>
        <w:t>后投标人无正当理由不与采购人或者采购代理机构签订《政府采购合同》；</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2．招标文件规定的投标人应当缴纳保证金的其他情形。</w:t>
      </w:r>
    </w:p>
    <w:p>
      <w:pPr>
        <w:spacing w:line="360" w:lineRule="auto"/>
        <w:ind w:firstLine="240" w:firstLineChars="100"/>
        <w:rPr>
          <w:rFonts w:ascii="宋体" w:hAnsi="宋体" w:cs="宋体"/>
          <w:color w:val="000000"/>
          <w:sz w:val="24"/>
          <w:szCs w:val="24"/>
        </w:rPr>
      </w:pPr>
      <w:r>
        <w:rPr>
          <w:rFonts w:hint="eastAsia" w:ascii="宋体" w:hAnsi="宋体" w:cs="宋体"/>
          <w:color w:val="000000"/>
          <w:sz w:val="24"/>
          <w:szCs w:val="24"/>
        </w:rPr>
        <w:t>（二）我方承担保证责任的最高金额为人民币元（大写），即本项目的投标保证金金额。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二、保证的方式及保证期间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我方保证的方式为：连带责任保证。</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我方的保证期间为：自本保函生效之日起个月止。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三、承担保证责任的程序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2．我方在收到索赔通知及相关证明材料后，在</w:t>
      </w:r>
      <w:r>
        <w:rPr>
          <w:rFonts w:hint="eastAsia" w:ascii="宋体" w:hAnsi="宋体" w:cs="宋体"/>
          <w:color w:val="000000"/>
          <w:sz w:val="24"/>
          <w:szCs w:val="24"/>
          <w:u w:val="single"/>
        </w:rPr>
        <w:t>　　　</w:t>
      </w:r>
      <w:r>
        <w:rPr>
          <w:rFonts w:hint="eastAsia" w:ascii="宋体" w:hAnsi="宋体" w:cs="宋体"/>
          <w:color w:val="000000"/>
          <w:sz w:val="24"/>
          <w:szCs w:val="24"/>
        </w:rPr>
        <w:t>个工作日内进行审查，符合应承担保证责任情形的，我方应按照你方的要求代投标人向你方支付投标保证金。</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四、保证责任的终止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1．保证期间届满你方未向我方书面主张保证责任的，自保证期间届满次日起，我方保证责任自动终止。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2．我方按照本保函向你贵方履行了保证责任后，自我方向你贵方支付款项（支付款项从我方账户划出）之日起，保证责任终止。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3．按照法律法规的规定或出现我方保证责任终止的其它情形的，我方在本保函项下的保证责任亦终止。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五、免责条款</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1．依照法律规定或你方与投标人的另行约定，全部或者部分免除投标人投标保证金义务时，我方亦免除相应的保证责任。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2．因你方原因致使投标人发生本保函第一条第（一）款约定情形的，我方不承担保证责任。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3．因不可抗力造成投标人发生本保函第一条约定情形的，我方不承担保证责任。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4．你方或其他有权机关对招标文件进行任何澄清或修改，加重我方保证责任的，我方对加重部分不承担保证责任，但该澄清或修改经我方事先书面同意的除外。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六、争议的解决</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因本保函发生的纠纷，由你我双方协商解决，协商不成的，通过诉讼程序解决，诉讼管辖地法院为法院。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七、保函的生效</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本保函自我方加盖公章之日起生效。</w:t>
      </w:r>
    </w:p>
    <w:p>
      <w:pPr>
        <w:spacing w:line="360" w:lineRule="auto"/>
        <w:rPr>
          <w:rFonts w:ascii="宋体" w:hAnsi="宋体" w:cs="宋体"/>
          <w:color w:val="000000"/>
          <w:sz w:val="24"/>
          <w:szCs w:val="24"/>
        </w:rPr>
      </w:pPr>
    </w:p>
    <w:p>
      <w:pPr>
        <w:spacing w:line="360" w:lineRule="auto"/>
        <w:ind w:firstLine="3840" w:firstLineChars="1600"/>
        <w:rPr>
          <w:rFonts w:ascii="宋体" w:hAnsi="宋体" w:cs="宋体"/>
          <w:color w:val="000000"/>
          <w:sz w:val="24"/>
          <w:szCs w:val="24"/>
        </w:rPr>
      </w:pPr>
      <w:r>
        <w:rPr>
          <w:rFonts w:hint="eastAsia" w:ascii="宋体" w:hAnsi="宋体" w:cs="宋体"/>
          <w:color w:val="000000"/>
          <w:sz w:val="24"/>
          <w:szCs w:val="24"/>
        </w:rPr>
        <w:t>保证人：（公章）</w:t>
      </w:r>
    </w:p>
    <w:p>
      <w:pPr>
        <w:spacing w:line="360" w:lineRule="auto"/>
        <w:ind w:firstLine="6600" w:firstLineChars="2750"/>
        <w:rPr>
          <w:rFonts w:ascii="宋体" w:hAnsi="宋体" w:cs="宋体"/>
          <w:color w:val="000000"/>
          <w:sz w:val="24"/>
          <w:szCs w:val="24"/>
        </w:rPr>
      </w:pPr>
    </w:p>
    <w:p>
      <w:pPr>
        <w:spacing w:line="360" w:lineRule="auto"/>
        <w:jc w:val="center"/>
        <w:rPr>
          <w:rFonts w:ascii="宋体" w:hAnsi="宋体" w:cs="宋体"/>
          <w:color w:val="000000"/>
          <w:sz w:val="24"/>
          <w:szCs w:val="24"/>
        </w:rPr>
      </w:pPr>
      <w:r>
        <w:rPr>
          <w:rFonts w:hint="eastAsia" w:ascii="宋体" w:hAnsi="宋体" w:cs="宋体"/>
          <w:color w:val="000000"/>
          <w:sz w:val="24"/>
          <w:szCs w:val="24"/>
        </w:rPr>
        <w:t xml:space="preserve">                                   年    月    日</w:t>
      </w:r>
    </w:p>
    <w:p>
      <w:pPr>
        <w:tabs>
          <w:tab w:val="left" w:pos="5580"/>
        </w:tabs>
        <w:adjustRightInd w:val="0"/>
        <w:snapToGrid w:val="0"/>
        <w:spacing w:line="360" w:lineRule="auto"/>
        <w:ind w:firstLine="1850" w:firstLineChars="771"/>
        <w:rPr>
          <w:rFonts w:ascii="宋体" w:hAnsi="宋体" w:cs="宋体"/>
          <w:bCs/>
          <w:color w:val="000000"/>
          <w:sz w:val="24"/>
          <w:szCs w:val="24"/>
        </w:rPr>
      </w:pPr>
    </w:p>
    <w:p>
      <w:pPr>
        <w:pStyle w:val="2"/>
        <w:spacing w:line="360" w:lineRule="auto"/>
        <w:ind w:left="0" w:firstLine="0"/>
        <w:rPr>
          <w:rFonts w:ascii="宋体" w:hAnsi="宋体"/>
          <w:b w:val="0"/>
          <w:color w:val="000000"/>
          <w:sz w:val="24"/>
          <w:szCs w:val="24"/>
        </w:rPr>
      </w:pPr>
      <w:r>
        <w:rPr>
          <w:rFonts w:hint="eastAsia" w:ascii="宋体" w:hAnsi="宋体"/>
          <w:color w:val="000000"/>
          <w:sz w:val="24"/>
          <w:szCs w:val="24"/>
        </w:rPr>
        <w:br w:type="page"/>
      </w:r>
      <w:bookmarkStart w:id="478" w:name="_Toc4276"/>
      <w:bookmarkStart w:id="479" w:name="_Toc100786167"/>
      <w:r>
        <w:rPr>
          <w:rFonts w:hint="eastAsia" w:ascii="宋体" w:hAnsi="宋体"/>
          <w:color w:val="000000"/>
          <w:szCs w:val="28"/>
        </w:rPr>
        <w:t>附件8  履约保证金保函格式</w:t>
      </w:r>
      <w:bookmarkEnd w:id="478"/>
      <w:r>
        <w:rPr>
          <w:rFonts w:hint="eastAsia" w:ascii="宋体" w:hAnsi="宋体"/>
          <w:color w:val="000000"/>
          <w:szCs w:val="28"/>
        </w:rPr>
        <w:t>（本项目不适用）</w:t>
      </w:r>
      <w:bookmarkEnd w:id="479"/>
    </w:p>
    <w:p>
      <w:pPr>
        <w:spacing w:line="360" w:lineRule="auto"/>
        <w:jc w:val="center"/>
        <w:rPr>
          <w:rFonts w:ascii="宋体" w:hAnsi="宋体" w:cs="宋体"/>
          <w:b/>
          <w:color w:val="000000"/>
          <w:sz w:val="24"/>
          <w:szCs w:val="24"/>
        </w:rPr>
      </w:pPr>
      <w:r>
        <w:rPr>
          <w:rFonts w:hint="eastAsia" w:ascii="宋体" w:hAnsi="宋体" w:cs="宋体"/>
          <w:b/>
          <w:color w:val="000000"/>
          <w:sz w:val="24"/>
          <w:szCs w:val="24"/>
        </w:rPr>
        <w:t>政府采购履约担保函（项目用）</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编号：</w:t>
      </w:r>
    </w:p>
    <w:p>
      <w:pPr>
        <w:spacing w:line="360" w:lineRule="auto"/>
        <w:rPr>
          <w:rFonts w:ascii="宋体" w:hAnsi="宋体" w:cs="宋体"/>
          <w:color w:val="000000"/>
          <w:sz w:val="24"/>
          <w:szCs w:val="24"/>
        </w:rPr>
      </w:pPr>
      <w:r>
        <w:rPr>
          <w:rFonts w:hint="eastAsia" w:ascii="宋体" w:hAnsi="宋体" w:cs="宋体"/>
          <w:color w:val="000000"/>
          <w:sz w:val="24"/>
          <w:szCs w:val="24"/>
        </w:rPr>
        <w:t>（采购人）：</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鉴于你方与（以下简称供应商）于年月日签定编号为的《政府采购合同》（以下简称主合同），且依据该合同的约定，供应商应在年月日前向你方交纳履约保证金，且可以履约担保函的形式交纳履约保证金。应投标人的申请，我方以保证的方式向你方提供如下履约保证金担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一、保证责任的情形及保证金额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（一）在供应商出现下列情形之一时，我方承担保证责任：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1．将中标项目转让给他人，或者在投标文件中未说明，且未经采购招标机构人同意，将中标项目分包给他人的；</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2．主合同约定的应当缴纳履约保证金的情形: </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（1）未按主合同约定的质量、数量和期限提供货物/服务/完成工程的；</w:t>
      </w:r>
    </w:p>
    <w:p>
      <w:pPr>
        <w:spacing w:line="360" w:lineRule="auto"/>
        <w:ind w:left="210" w:leftChars="100" w:firstLine="240" w:firstLineChars="100"/>
        <w:rPr>
          <w:rFonts w:ascii="宋体" w:hAnsi="宋体" w:cs="宋体"/>
          <w:color w:val="000000"/>
          <w:sz w:val="24"/>
          <w:szCs w:val="24"/>
        </w:rPr>
      </w:pPr>
      <w:r>
        <w:rPr>
          <w:rFonts w:hint="eastAsia" w:ascii="宋体" w:hAnsi="宋体" w:cs="宋体"/>
          <w:color w:val="000000"/>
          <w:sz w:val="24"/>
          <w:szCs w:val="24"/>
        </w:rPr>
        <w:t>（2）。</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（二）我方的保证范围是主合同约定的合同价款总额的 %数额为元（大写），币种为。（即主合同履约保证金金额）</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二、保证的方式及保证期间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我方保证的方式为：连带责任保证。</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我方保证的期间为：自本合同生效之日起至供应商按照主合同约定的服务/完工期限届满后日内。</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如果供应商未按主合同约定向贵方提供货物/服务/完成工程的，由我方在保证金额内向你方支付上述款项。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三、承担保证责任的程序</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1．你方要求我方承担保证责任的，应在本保函保证期间内向我方发出书面索赔通知。索赔通知应写明要求索赔的金额，支付款项应到达的帐号。并附有证明供应商违约事实的证明材料。</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如果你方与供应商因服务问题产生争议，你方还需同时提供部门出具的质量检测报告，或经诉讼（仲裁）程序裁决后的裁决书、调解书，本保证人即按照检测结果或裁决书、调解书决定是否承担保证责任。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 我方收到你方的书面索赔通知及相应证明材料，在工作日内进行核定后按照本保函的承诺承担保证责任。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四、保证责任的终止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1．保证期间届满你方未向我方书面主张保证责任的，自保证期间届满次日起，我方保证责任自动终止。保证期间届满前，主合同约定的工程\服务\货物全部验收合格的，自验收合格日起，我方保证责任自动终止。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2．我方按照本保函向你方履行了保证责任后，自我方向你方支付款项（支付款项从我方账户划出）之日起，保证责任即终止。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3．按照法律法规的规定或出现应终止我方保证责任的其它情形的，我方在本保函项下的保证责任亦终止。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五、免责条款</w:t>
      </w:r>
    </w:p>
    <w:p>
      <w:pPr>
        <w:spacing w:line="360" w:lineRule="auto"/>
        <w:ind w:firstLine="456" w:firstLineChars="200"/>
        <w:rPr>
          <w:rFonts w:ascii="宋体" w:hAnsi="宋体" w:cs="宋体"/>
          <w:snapToGrid w:val="0"/>
          <w:color w:val="000000"/>
          <w:spacing w:val="-6"/>
          <w:kern w:val="0"/>
          <w:sz w:val="24"/>
          <w:szCs w:val="24"/>
        </w:rPr>
      </w:pPr>
      <w:r>
        <w:rPr>
          <w:rFonts w:hint="eastAsia" w:ascii="宋体" w:hAnsi="宋体" w:cs="宋体"/>
          <w:snapToGrid w:val="0"/>
          <w:color w:val="000000"/>
          <w:spacing w:val="-6"/>
          <w:kern w:val="0"/>
          <w:sz w:val="24"/>
          <w:szCs w:val="24"/>
        </w:rPr>
        <w:t>1．因你方违反主合同约定致使供应商不能履行义务的，我方不承担保证责任。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2．依照法律法规的规定或你方与供应商的另行约定，全部或者部分免除供应商应缴纳的保证金义务的，我方亦免除相应的保证责任。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3．因不可抗力造成供应商不能履行服务义务的，我方不承担保证责任。</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六、争议的解决</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因本保函发生的纠纷，由你我双方协商解决，协商不成的，通过诉讼程序解决，诉讼管辖地法院为法院。</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七、保函的生效</w:t>
      </w:r>
    </w:p>
    <w:p>
      <w:pPr>
        <w:tabs>
          <w:tab w:val="center" w:pos="4153"/>
        </w:tabs>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本保函自我方加盖公章之日起生效。</w:t>
      </w:r>
      <w:r>
        <w:rPr>
          <w:rFonts w:hint="eastAsia" w:ascii="宋体" w:hAnsi="宋体" w:cs="宋体"/>
          <w:color w:val="000000"/>
          <w:sz w:val="24"/>
          <w:szCs w:val="24"/>
        </w:rPr>
        <w:tab/>
      </w:r>
    </w:p>
    <w:p>
      <w:pPr>
        <w:spacing w:line="360" w:lineRule="auto"/>
        <w:ind w:firstLine="4320" w:firstLineChars="1800"/>
        <w:rPr>
          <w:rFonts w:ascii="宋体" w:hAnsi="宋体" w:cs="宋体"/>
          <w:color w:val="000000"/>
          <w:sz w:val="24"/>
          <w:szCs w:val="24"/>
        </w:rPr>
      </w:pPr>
      <w:r>
        <w:rPr>
          <w:rFonts w:hint="eastAsia" w:ascii="宋体" w:hAnsi="宋体" w:cs="宋体"/>
          <w:color w:val="000000"/>
          <w:sz w:val="24"/>
          <w:szCs w:val="24"/>
        </w:rPr>
        <w:t>保证人：（公章）</w:t>
      </w:r>
    </w:p>
    <w:p>
      <w:pPr>
        <w:spacing w:line="360" w:lineRule="auto"/>
        <w:jc w:val="right"/>
        <w:rPr>
          <w:rFonts w:ascii="宋体" w:hAnsi="宋体" w:cs="宋体"/>
          <w:color w:val="000000"/>
          <w:sz w:val="24"/>
          <w:szCs w:val="24"/>
        </w:rPr>
      </w:pPr>
    </w:p>
    <w:p>
      <w:pPr>
        <w:spacing w:line="360" w:lineRule="auto"/>
        <w:rPr>
          <w:rFonts w:ascii="宋体" w:hAnsi="宋体" w:cs="宋体"/>
          <w:color w:val="000000"/>
          <w:sz w:val="24"/>
          <w:szCs w:val="24"/>
        </w:rPr>
      </w:pPr>
      <w:r>
        <w:rPr>
          <w:rFonts w:hint="eastAsia" w:ascii="宋体" w:hAnsi="宋体" w:cs="宋体"/>
          <w:color w:val="000000"/>
          <w:sz w:val="24"/>
          <w:szCs w:val="24"/>
        </w:rPr>
        <w:t xml:space="preserve">                                          年     月     日</w:t>
      </w:r>
    </w:p>
    <w:p>
      <w:pPr>
        <w:widowControl/>
        <w:spacing w:line="360" w:lineRule="auto"/>
        <w:jc w:val="left"/>
        <w:rPr>
          <w:rFonts w:ascii="宋体" w:hAnsi="宋体" w:cs="宋体"/>
          <w:b/>
          <w:color w:val="000000"/>
          <w:kern w:val="0"/>
          <w:sz w:val="28"/>
          <w:szCs w:val="28"/>
          <w:lang w:val="zh-CN"/>
        </w:rPr>
      </w:pPr>
      <w:bookmarkStart w:id="480" w:name="_Toc12018"/>
      <w:r>
        <w:rPr>
          <w:rFonts w:ascii="宋体" w:hAnsi="宋体" w:cs="宋体"/>
          <w:color w:val="000000"/>
          <w:szCs w:val="28"/>
        </w:rPr>
        <w:br w:type="page"/>
      </w:r>
    </w:p>
    <w:p>
      <w:pPr>
        <w:pStyle w:val="2"/>
        <w:spacing w:line="360" w:lineRule="auto"/>
        <w:ind w:left="0" w:firstLine="0"/>
        <w:rPr>
          <w:rFonts w:ascii="宋体" w:hAnsi="宋体"/>
          <w:color w:val="000000"/>
          <w:szCs w:val="28"/>
        </w:rPr>
      </w:pPr>
      <w:bookmarkStart w:id="481" w:name="_Toc100786168"/>
      <w:r>
        <w:rPr>
          <w:rFonts w:hint="eastAsia" w:ascii="宋体" w:hAnsi="宋体"/>
          <w:color w:val="000000"/>
          <w:szCs w:val="28"/>
        </w:rPr>
        <w:t>附件9  节能产品、环境标志产品的证明材料</w:t>
      </w:r>
      <w:bookmarkEnd w:id="480"/>
      <w:r>
        <w:rPr>
          <w:rFonts w:hint="eastAsia" w:ascii="宋体" w:hAnsi="宋体"/>
          <w:color w:val="000000"/>
          <w:szCs w:val="28"/>
        </w:rPr>
        <w:t>（如有）</w:t>
      </w:r>
      <w:bookmarkEnd w:id="481"/>
    </w:p>
    <w:p>
      <w:pPr>
        <w:spacing w:line="360" w:lineRule="auto"/>
        <w:rPr>
          <w:rFonts w:ascii="宋体" w:hAnsi="宋体" w:cs="宋体"/>
          <w:b/>
          <w:color w:val="000000"/>
          <w:sz w:val="24"/>
          <w:szCs w:val="24"/>
        </w:rPr>
      </w:pP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在技术、服务等指标满足采购需求的前提下，本项目优先采购节能产品，对部分节能效果、性能等达到要求的产品，实行强制采购。</w:t>
      </w:r>
    </w:p>
    <w:p>
      <w:pPr>
        <w:spacing w:line="360" w:lineRule="auto"/>
        <w:ind w:firstLine="480" w:firstLineChars="200"/>
        <w:rPr>
          <w:rFonts w:ascii="宋体" w:hAnsi="宋体" w:cs="仿宋_GB2312"/>
          <w:color w:val="000000"/>
          <w:sz w:val="24"/>
          <w:szCs w:val="24"/>
          <w:u w:val="single"/>
        </w:rPr>
      </w:pPr>
      <w:r>
        <w:rPr>
          <w:rFonts w:hint="eastAsia" w:ascii="宋体" w:hAnsi="宋体" w:cs="仿宋_GB2312"/>
          <w:color w:val="000000"/>
          <w:sz w:val="24"/>
          <w:szCs w:val="24"/>
        </w:rPr>
        <w:t>拟采购产品属于节能产品政府采购品目清单范围内规定必须强制采购的为：</w:t>
      </w:r>
      <w:r>
        <w:rPr>
          <w:rFonts w:hint="eastAsia" w:ascii="宋体" w:hAnsi="宋体" w:cs="仿宋_GB2312"/>
          <w:color w:val="000000"/>
          <w:sz w:val="24"/>
          <w:szCs w:val="24"/>
          <w:u w:val="single"/>
        </w:rPr>
        <w:t xml:space="preserve">/    </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依据财政部、发展改革委、生态环境部等部门发布的品目清单和认证证书实施政府优先采购和强制采购。本项目采购人拟采购的产品属于品目清单范围的，需响应人提供国家确定的认证机构出具的、处于有效期之内的节能产品、环境标志产品认证证书（加盖投标人公章）。</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发布认证机构和获证产品信息，依据市场监管总局组织建立的节能产品、环境标志产品认证结果信息发布平台，公布相关认证机构和获证产品信息。同时中国政府采购网(www.ccgp.gov.cn)建立与认证结果信息发布平台的链接。（17家认证机构可参与实施不同品目的政府采购节能产品认证，4家认证机构可参与实施政府采购环境标志产品认证，</w:t>
      </w:r>
      <w:r>
        <w:rPr>
          <w:rFonts w:hint="eastAsia" w:ascii="宋体" w:hAnsi="宋体" w:cs="仿宋_GB2312"/>
          <w:b/>
          <w:bCs/>
          <w:color w:val="000000"/>
          <w:sz w:val="24"/>
          <w:szCs w:val="24"/>
        </w:rPr>
        <w:t>具体详见附录4</w:t>
      </w:r>
      <w:r>
        <w:rPr>
          <w:rFonts w:hint="eastAsia" w:ascii="宋体" w:hAnsi="宋体" w:cs="仿宋_GB2312"/>
          <w:color w:val="000000"/>
          <w:sz w:val="24"/>
          <w:szCs w:val="24"/>
        </w:rPr>
        <w:t>。）</w:t>
      </w:r>
    </w:p>
    <w:p>
      <w:pPr>
        <w:spacing w:line="360" w:lineRule="auto"/>
        <w:ind w:firstLine="480" w:firstLineChars="200"/>
        <w:rPr>
          <w:rFonts w:ascii="宋体" w:hAnsi="宋体" w:cs="仿宋_GB2312"/>
          <w:color w:val="000000"/>
          <w:sz w:val="24"/>
          <w:szCs w:val="24"/>
        </w:rPr>
      </w:pPr>
      <w:r>
        <w:rPr>
          <w:rFonts w:hint="eastAsia" w:ascii="宋体" w:hAnsi="宋体" w:cs="仿宋_GB2312"/>
          <w:color w:val="000000"/>
          <w:sz w:val="24"/>
          <w:szCs w:val="24"/>
        </w:rPr>
        <w:t>对所投产品为节能产品、环保标志产品的优惠幅度，以及评审标准和方法详见第六章《</w:t>
      </w:r>
      <w:r>
        <w:rPr>
          <w:rFonts w:ascii="宋体" w:hAnsi="宋体"/>
          <w:color w:val="000000"/>
          <w:sz w:val="24"/>
        </w:rPr>
        <w:t>评标程序、评标方法和评标标准</w:t>
      </w:r>
      <w:r>
        <w:rPr>
          <w:rFonts w:hint="eastAsia" w:ascii="宋体" w:hAnsi="宋体" w:cs="仿宋_GB2312"/>
          <w:color w:val="000000"/>
          <w:sz w:val="24"/>
          <w:szCs w:val="24"/>
        </w:rPr>
        <w:t>》。</w:t>
      </w:r>
    </w:p>
    <w:p>
      <w:pPr>
        <w:spacing w:line="360" w:lineRule="auto"/>
        <w:ind w:firstLine="480" w:firstLineChars="200"/>
        <w:rPr>
          <w:rFonts w:ascii="宋体" w:hAnsi="宋体" w:cs="仿宋_GB2312"/>
          <w:color w:val="000000"/>
          <w:sz w:val="24"/>
          <w:szCs w:val="24"/>
        </w:rPr>
      </w:pPr>
    </w:p>
    <w:p>
      <w:pPr>
        <w:spacing w:line="360" w:lineRule="auto"/>
        <w:rPr>
          <w:rFonts w:ascii="宋体" w:hAnsi="宋体" w:cs="仿宋_GB2312"/>
          <w:color w:val="000000"/>
          <w:sz w:val="24"/>
          <w:szCs w:val="24"/>
        </w:rPr>
      </w:pPr>
      <w:r>
        <w:rPr>
          <w:rFonts w:hint="eastAsia" w:ascii="宋体" w:hAnsi="宋体" w:cs="仿宋_GB2312"/>
          <w:color w:val="000000"/>
          <w:sz w:val="24"/>
          <w:szCs w:val="24"/>
        </w:rPr>
        <w:t>注：</w:t>
      </w:r>
    </w:p>
    <w:p>
      <w:pPr>
        <w:spacing w:line="360" w:lineRule="auto"/>
        <w:rPr>
          <w:rFonts w:ascii="宋体" w:hAnsi="宋体" w:cs="仿宋_GB2312"/>
          <w:color w:val="000000"/>
          <w:sz w:val="24"/>
          <w:szCs w:val="24"/>
        </w:rPr>
      </w:pPr>
      <w:r>
        <w:rPr>
          <w:rFonts w:hint="eastAsia" w:ascii="宋体" w:hAnsi="宋体" w:cs="仿宋_GB2312"/>
          <w:color w:val="000000"/>
          <w:sz w:val="24"/>
          <w:szCs w:val="24"/>
        </w:rPr>
        <w:t>1.在本处提供的证明材料如与响应人所投产品内容（品牌、型号、规格等）不符，视为无效。</w:t>
      </w:r>
    </w:p>
    <w:p>
      <w:pPr>
        <w:spacing w:line="360" w:lineRule="auto"/>
        <w:rPr>
          <w:rFonts w:ascii="宋体" w:hAnsi="宋体" w:cs="仿宋_GB2312"/>
          <w:color w:val="000000"/>
          <w:sz w:val="24"/>
          <w:szCs w:val="24"/>
        </w:rPr>
      </w:pPr>
      <w:r>
        <w:rPr>
          <w:rFonts w:hint="eastAsia" w:ascii="宋体" w:hAnsi="宋体" w:cs="仿宋_GB2312"/>
          <w:color w:val="000000"/>
          <w:sz w:val="24"/>
          <w:szCs w:val="24"/>
        </w:rPr>
        <w:t>2.如提供虚假材料，响应人须承担相应法律责任。</w:t>
      </w:r>
    </w:p>
    <w:p>
      <w:pPr>
        <w:spacing w:line="360" w:lineRule="auto"/>
        <w:rPr>
          <w:rFonts w:ascii="宋体" w:hAnsi="宋体" w:cs="宋体"/>
          <w:color w:val="000000"/>
          <w:sz w:val="24"/>
          <w:szCs w:val="24"/>
        </w:rPr>
      </w:pPr>
      <w:r>
        <w:rPr>
          <w:rFonts w:hint="eastAsia" w:ascii="宋体" w:hAnsi="宋体" w:cs="仿宋_GB2312"/>
          <w:bCs/>
          <w:color w:val="000000"/>
          <w:sz w:val="24"/>
          <w:szCs w:val="24"/>
        </w:rPr>
        <w:t>3.节能产品、环境标志产品品目清单登陆中国政府采购网(www.ccgp.gov.cn)查询</w:t>
      </w:r>
      <w:r>
        <w:fldChar w:fldCharType="begin"/>
      </w:r>
      <w:r>
        <w:instrText xml:space="preserve"> HYPERLINK "http://www.ccgp.gov.cn/zcfg/mof/201904/t20190403_11849836.htm" \t "http://www.ccgp.gov.cn/jnhb/jnhbqd/_blank" \o "关于印发节能产品政府采购品目清单的通知（财库〔2019〕19号）" </w:instrText>
      </w:r>
      <w:r>
        <w:fldChar w:fldCharType="separate"/>
      </w:r>
      <w:r>
        <w:rPr>
          <w:rFonts w:hint="eastAsia" w:ascii="宋体" w:hAnsi="宋体" w:cs="仿宋_GB2312"/>
          <w:bCs/>
          <w:color w:val="000000"/>
          <w:sz w:val="24"/>
          <w:szCs w:val="24"/>
        </w:rPr>
        <w:t>关于印发节能产品政府采购品目清单的通知（财库〔2019〕19号）</w:t>
      </w:r>
      <w:r>
        <w:rPr>
          <w:rFonts w:hint="eastAsia" w:ascii="宋体" w:hAnsi="宋体" w:cs="仿宋_GB2312"/>
          <w:bCs/>
          <w:color w:val="000000"/>
          <w:sz w:val="24"/>
          <w:szCs w:val="24"/>
        </w:rPr>
        <w:fldChar w:fldCharType="end"/>
      </w:r>
      <w:r>
        <w:rPr>
          <w:rFonts w:hint="eastAsia" w:ascii="宋体" w:hAnsi="宋体" w:cs="仿宋_GB2312"/>
          <w:bCs/>
          <w:color w:val="000000"/>
          <w:sz w:val="24"/>
          <w:szCs w:val="24"/>
        </w:rPr>
        <w:t xml:space="preserve"> 、关于印发环境标志产品政府采购品目清单的通知（财库〔2019〕18号）。</w:t>
      </w:r>
    </w:p>
    <w:p>
      <w:pPr>
        <w:pStyle w:val="2"/>
        <w:spacing w:line="360" w:lineRule="auto"/>
        <w:ind w:left="0" w:firstLine="0"/>
        <w:rPr>
          <w:rFonts w:ascii="宋体" w:hAnsi="宋体"/>
          <w:color w:val="000000"/>
          <w:sz w:val="24"/>
          <w:szCs w:val="24"/>
        </w:rPr>
      </w:pPr>
      <w:r>
        <w:rPr>
          <w:rFonts w:hint="eastAsia" w:ascii="宋体" w:hAnsi="宋体"/>
          <w:color w:val="000000"/>
          <w:sz w:val="24"/>
          <w:szCs w:val="24"/>
        </w:rPr>
        <w:br w:type="page"/>
      </w:r>
      <w:bookmarkStart w:id="482" w:name="_Toc100786169"/>
      <w:bookmarkStart w:id="483" w:name="_Toc6182"/>
      <w:r>
        <w:rPr>
          <w:rFonts w:hint="eastAsia" w:ascii="宋体" w:hAnsi="宋体"/>
          <w:color w:val="000000"/>
          <w:szCs w:val="28"/>
        </w:rPr>
        <w:t>附件10  业绩证明材料</w:t>
      </w:r>
      <w:bookmarkEnd w:id="482"/>
      <w:bookmarkEnd w:id="483"/>
    </w:p>
    <w:p>
      <w:pPr>
        <w:spacing w:line="360" w:lineRule="auto"/>
        <w:ind w:right="658"/>
        <w:jc w:val="left"/>
        <w:rPr>
          <w:rFonts w:ascii="宋体" w:hAnsi="宋体" w:cs="宋体"/>
          <w:color w:val="000000"/>
          <w:sz w:val="24"/>
          <w:szCs w:val="24"/>
        </w:rPr>
      </w:pPr>
      <w:r>
        <w:rPr>
          <w:rFonts w:hint="eastAsia" w:ascii="宋体" w:hAnsi="宋体" w:cs="宋体"/>
          <w:color w:val="000000"/>
          <w:sz w:val="24"/>
          <w:szCs w:val="24"/>
        </w:rPr>
        <w:t>项目名称：招标编号：</w:t>
      </w:r>
    </w:p>
    <w:tbl>
      <w:tblPr>
        <w:tblStyle w:val="48"/>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823"/>
        <w:gridCol w:w="823"/>
        <w:gridCol w:w="823"/>
        <w:gridCol w:w="1239"/>
        <w:gridCol w:w="1358"/>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用户名称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项目名称</w:t>
            </w: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合同价</w:t>
            </w:r>
          </w:p>
          <w:p>
            <w:pPr>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（金额）</w:t>
            </w: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项目年份</w:t>
            </w: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r>
              <w:rPr>
                <w:rFonts w:hint="eastAsia" w:ascii="宋体" w:hAnsi="宋体" w:cs="宋体"/>
                <w:color w:val="000000"/>
                <w:sz w:val="24"/>
                <w:szCs w:val="24"/>
              </w:rPr>
              <w:t>用户、联系电话、联系人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8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2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13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c>
          <w:tcPr>
            <w:tcW w:w="2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000000"/>
                <w:sz w:val="24"/>
                <w:szCs w:val="24"/>
              </w:rPr>
            </w:pPr>
          </w:p>
        </w:tc>
      </w:tr>
    </w:tbl>
    <w:p>
      <w:pPr>
        <w:tabs>
          <w:tab w:val="left" w:pos="5580"/>
        </w:tabs>
        <w:spacing w:line="360" w:lineRule="auto"/>
        <w:ind w:left="1258"/>
        <w:jc w:val="left"/>
        <w:rPr>
          <w:rFonts w:ascii="宋体" w:hAnsi="宋体" w:cs="宋体"/>
          <w:b/>
          <w:color w:val="000000"/>
          <w:sz w:val="24"/>
          <w:szCs w:val="24"/>
        </w:rPr>
      </w:pPr>
    </w:p>
    <w:p>
      <w:pPr>
        <w:pStyle w:val="4"/>
        <w:spacing w:line="360" w:lineRule="auto"/>
        <w:ind w:firstLine="0"/>
        <w:rPr>
          <w:rFonts w:ascii="宋体" w:hAnsi="宋体" w:cs="宋体"/>
          <w:bCs/>
          <w:color w:val="000000"/>
          <w:sz w:val="24"/>
          <w:szCs w:val="24"/>
        </w:rPr>
      </w:pPr>
      <w:r>
        <w:rPr>
          <w:rFonts w:hint="eastAsia" w:ascii="宋体" w:hAnsi="宋体" w:cs="宋体"/>
          <w:bCs/>
          <w:color w:val="000000"/>
          <w:sz w:val="24"/>
          <w:szCs w:val="24"/>
        </w:rPr>
        <w:t>说明：1、</w:t>
      </w:r>
      <w:r>
        <w:rPr>
          <w:rFonts w:hint="eastAsia" w:ascii="宋体" w:hAnsi="宋体" w:cs="宋体"/>
          <w:color w:val="000000"/>
          <w:sz w:val="24"/>
        </w:rPr>
        <w:t>指</w:t>
      </w:r>
      <w:r>
        <w:rPr>
          <w:rFonts w:hint="eastAsia" w:ascii="宋体" w:hAnsi="宋体" w:cs="宋体"/>
          <w:sz w:val="24"/>
          <w:szCs w:val="24"/>
        </w:rPr>
        <w:t>2021年</w:t>
      </w:r>
      <w:r>
        <w:rPr>
          <w:rFonts w:hint="eastAsia" w:ascii="宋体" w:hAnsi="宋体" w:cs="宋体"/>
          <w:sz w:val="24"/>
          <w:szCs w:val="24"/>
          <w:lang w:val="en-US" w:eastAsia="zh-CN"/>
        </w:rPr>
        <w:t>8</w:t>
      </w:r>
      <w:r>
        <w:rPr>
          <w:rFonts w:hint="eastAsia" w:ascii="宋体" w:hAnsi="宋体" w:cs="宋体"/>
          <w:sz w:val="24"/>
          <w:szCs w:val="24"/>
        </w:rPr>
        <w:t>月起至今</w:t>
      </w:r>
      <w:r>
        <w:rPr>
          <w:rFonts w:hint="eastAsia" w:ascii="宋体" w:hAnsi="宋体"/>
          <w:color w:val="000000"/>
          <w:sz w:val="24"/>
        </w:rPr>
        <w:t>类似服务项目业绩</w:t>
      </w:r>
      <w:r>
        <w:rPr>
          <w:rFonts w:ascii="宋体" w:hAnsi="宋体"/>
          <w:color w:val="000000"/>
          <w:sz w:val="24"/>
        </w:rPr>
        <w:t>（以合同签约日期为准）</w:t>
      </w:r>
      <w:r>
        <w:rPr>
          <w:rFonts w:hint="eastAsia" w:ascii="宋体" w:hAnsi="宋体" w:cs="宋体"/>
          <w:bCs/>
          <w:color w:val="000000"/>
          <w:sz w:val="24"/>
          <w:szCs w:val="24"/>
        </w:rPr>
        <w:t>。</w:t>
      </w:r>
    </w:p>
    <w:p>
      <w:pPr>
        <w:pStyle w:val="4"/>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2、应提供其证明材料（签订的合同首页、签字盖章页及相关内容页复印件并加盖投标人公章）。</w:t>
      </w:r>
    </w:p>
    <w:p>
      <w:pPr>
        <w:pStyle w:val="4"/>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3、为证明业绩列表中的内容真实和有效，采购人保留审核原件的权利。</w:t>
      </w:r>
    </w:p>
    <w:p>
      <w:pPr>
        <w:pStyle w:val="23"/>
        <w:tabs>
          <w:tab w:val="left" w:pos="5580"/>
        </w:tabs>
        <w:spacing w:line="360" w:lineRule="auto"/>
        <w:rPr>
          <w:rFonts w:hAnsi="宋体" w:cs="宋体"/>
          <w:color w:val="000000"/>
          <w:sz w:val="24"/>
          <w:szCs w:val="24"/>
        </w:rPr>
      </w:pPr>
    </w:p>
    <w:p>
      <w:pPr>
        <w:pStyle w:val="23"/>
        <w:tabs>
          <w:tab w:val="left" w:pos="5580"/>
        </w:tabs>
        <w:adjustRightInd w:val="0"/>
        <w:snapToGrid w:val="0"/>
        <w:spacing w:line="360" w:lineRule="auto"/>
        <w:rPr>
          <w:rFonts w:hAnsi="宋体" w:cs="宋体"/>
          <w:color w:val="000000"/>
          <w:sz w:val="24"/>
          <w:szCs w:val="24"/>
        </w:rPr>
      </w:pPr>
      <w:r>
        <w:rPr>
          <w:rFonts w:hint="eastAsia" w:hAnsi="宋体" w:cs="宋体"/>
          <w:color w:val="000000"/>
          <w:sz w:val="24"/>
          <w:szCs w:val="24"/>
        </w:rPr>
        <w:t>投标人名称（盖章）：</w:t>
      </w:r>
    </w:p>
    <w:p>
      <w:pPr>
        <w:pStyle w:val="23"/>
        <w:tabs>
          <w:tab w:val="left" w:pos="5100"/>
        </w:tabs>
        <w:adjustRightInd w:val="0"/>
        <w:snapToGrid w:val="0"/>
        <w:spacing w:line="360" w:lineRule="auto"/>
        <w:rPr>
          <w:rFonts w:hAnsi="宋体" w:cs="宋体"/>
          <w:color w:val="000000"/>
          <w:sz w:val="24"/>
          <w:szCs w:val="24"/>
          <w:u w:val="single"/>
        </w:rPr>
      </w:pPr>
      <w:r>
        <w:rPr>
          <w:rFonts w:hint="eastAsia" w:hAnsi="宋体" w:cs="宋体"/>
          <w:bCs/>
          <w:color w:val="000000"/>
          <w:sz w:val="24"/>
          <w:szCs w:val="24"/>
        </w:rPr>
        <w:t>法定代表人或其委托代理人</w:t>
      </w:r>
      <w:r>
        <w:rPr>
          <w:rFonts w:hint="eastAsia" w:hAnsi="宋体" w:cs="宋体"/>
          <w:color w:val="000000"/>
          <w:sz w:val="24"/>
          <w:szCs w:val="24"/>
        </w:rPr>
        <w:t>(签字或盖章)：</w:t>
      </w:r>
    </w:p>
    <w:p>
      <w:pPr>
        <w:pStyle w:val="4"/>
        <w:spacing w:line="360" w:lineRule="auto"/>
        <w:ind w:firstLine="0"/>
        <w:rPr>
          <w:rFonts w:ascii="宋体" w:hAnsi="宋体" w:cs="宋体"/>
          <w:color w:val="000000"/>
          <w:sz w:val="24"/>
          <w:szCs w:val="24"/>
        </w:rPr>
      </w:pPr>
      <w:r>
        <w:rPr>
          <w:rFonts w:hint="eastAsia" w:ascii="宋体" w:hAnsi="宋体" w:cs="宋体"/>
          <w:color w:val="000000"/>
          <w:sz w:val="24"/>
          <w:szCs w:val="24"/>
        </w:rPr>
        <w:t>日期：</w:t>
      </w:r>
    </w:p>
    <w:p>
      <w:pPr>
        <w:spacing w:line="360" w:lineRule="auto"/>
        <w:rPr>
          <w:rFonts w:ascii="宋体" w:hAnsi="宋体" w:cs="宋体"/>
          <w:color w:val="000000"/>
          <w:sz w:val="24"/>
          <w:szCs w:val="24"/>
        </w:rPr>
      </w:pPr>
    </w:p>
    <w:p>
      <w:pPr>
        <w:widowControl/>
        <w:spacing w:line="360" w:lineRule="auto"/>
        <w:jc w:val="left"/>
        <w:rPr>
          <w:rFonts w:ascii="宋体" w:hAnsi="宋体" w:cs="宋体"/>
          <w:b/>
          <w:color w:val="000000"/>
          <w:kern w:val="0"/>
          <w:sz w:val="24"/>
          <w:szCs w:val="24"/>
          <w:lang w:val="zh-CN"/>
        </w:rPr>
      </w:pPr>
      <w:bookmarkStart w:id="484" w:name="_Toc7466"/>
      <w:r>
        <w:rPr>
          <w:rFonts w:ascii="宋体" w:hAnsi="宋体" w:cs="宋体"/>
          <w:b/>
          <w:color w:val="000000"/>
          <w:kern w:val="0"/>
          <w:sz w:val="24"/>
          <w:szCs w:val="24"/>
          <w:lang w:val="zh-CN"/>
        </w:rPr>
        <w:br w:type="page"/>
      </w:r>
    </w:p>
    <w:p>
      <w:pPr>
        <w:pStyle w:val="2"/>
        <w:spacing w:line="360" w:lineRule="auto"/>
        <w:ind w:left="0" w:firstLine="0"/>
        <w:rPr>
          <w:rFonts w:ascii="宋体" w:hAnsi="宋体"/>
          <w:color w:val="000000"/>
          <w:szCs w:val="28"/>
        </w:rPr>
      </w:pPr>
      <w:bookmarkStart w:id="485" w:name="_Toc496291415"/>
      <w:bookmarkStart w:id="486" w:name="_Toc100786170"/>
      <w:bookmarkStart w:id="487" w:name="_Toc56786499"/>
      <w:r>
        <w:rPr>
          <w:rFonts w:hint="eastAsia" w:ascii="宋体" w:hAnsi="宋体"/>
          <w:color w:val="000000"/>
          <w:szCs w:val="28"/>
        </w:rPr>
        <w:t xml:space="preserve">附件11  </w:t>
      </w:r>
      <w:bookmarkEnd w:id="485"/>
      <w:r>
        <w:rPr>
          <w:rFonts w:hint="eastAsia" w:ascii="宋体" w:hAnsi="宋体"/>
          <w:color w:val="000000"/>
          <w:szCs w:val="28"/>
        </w:rPr>
        <w:t>拟投入本项目的项目组人员配备情况</w:t>
      </w:r>
      <w:bookmarkEnd w:id="486"/>
      <w:bookmarkEnd w:id="487"/>
    </w:p>
    <w:p>
      <w:pPr>
        <w:spacing w:line="360" w:lineRule="auto"/>
        <w:ind w:left="-358" w:leftChars="-171" w:hanging="1"/>
        <w:jc w:val="center"/>
        <w:rPr>
          <w:rFonts w:ascii="宋体" w:hAnsi="宋体" w:cs="宋体"/>
          <w:b/>
          <w:color w:val="000000"/>
          <w:sz w:val="24"/>
          <w:szCs w:val="24"/>
        </w:rPr>
      </w:pPr>
      <w:r>
        <w:rPr>
          <w:rFonts w:hint="eastAsia" w:ascii="宋体" w:hAnsi="宋体" w:cs="宋体"/>
          <w:b/>
          <w:color w:val="000000"/>
          <w:sz w:val="24"/>
          <w:szCs w:val="24"/>
        </w:rPr>
        <w:t>（1）拟投入本项目的项目组人员配备情况</w:t>
      </w:r>
    </w:p>
    <w:p>
      <w:pPr>
        <w:spacing w:line="360" w:lineRule="auto"/>
        <w:ind w:left="-19" w:leftChars="-9" w:firstLine="19" w:firstLineChars="8"/>
        <w:rPr>
          <w:rFonts w:ascii="宋体" w:hAnsi="宋体" w:cs="宋体"/>
          <w:color w:val="000000"/>
          <w:sz w:val="24"/>
          <w:szCs w:val="24"/>
        </w:rPr>
      </w:pPr>
    </w:p>
    <w:tbl>
      <w:tblPr>
        <w:tblStyle w:val="48"/>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06"/>
        <w:gridCol w:w="858"/>
        <w:gridCol w:w="764"/>
        <w:gridCol w:w="764"/>
        <w:gridCol w:w="1975"/>
        <w:gridCol w:w="84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63" w:type="dxa"/>
            <w:vAlign w:val="center"/>
          </w:tcPr>
          <w:p>
            <w:pPr>
              <w:adjustRightInd w:val="0"/>
              <w:snapToGrid w:val="0"/>
              <w:jc w:val="center"/>
              <w:rPr>
                <w:rFonts w:ascii="宋体" w:hAnsi="宋体"/>
                <w:color w:val="000000"/>
                <w:sz w:val="24"/>
              </w:rPr>
            </w:pPr>
            <w:bookmarkStart w:id="488" w:name="_Toc53908345"/>
            <w:r>
              <w:rPr>
                <w:rFonts w:hint="eastAsia" w:ascii="宋体" w:hAnsi="宋体"/>
                <w:color w:val="000000"/>
                <w:sz w:val="24"/>
              </w:rPr>
              <w:t>序号</w:t>
            </w:r>
          </w:p>
        </w:tc>
        <w:tc>
          <w:tcPr>
            <w:tcW w:w="1006" w:type="dxa"/>
            <w:vAlign w:val="center"/>
          </w:tcPr>
          <w:p>
            <w:pPr>
              <w:adjustRightInd w:val="0"/>
              <w:snapToGrid w:val="0"/>
              <w:jc w:val="center"/>
              <w:rPr>
                <w:rFonts w:ascii="宋体" w:hAnsi="宋体"/>
                <w:color w:val="000000"/>
                <w:sz w:val="24"/>
              </w:rPr>
            </w:pPr>
            <w:r>
              <w:rPr>
                <w:rFonts w:hint="eastAsia" w:ascii="宋体" w:hAnsi="宋体"/>
                <w:color w:val="000000"/>
                <w:sz w:val="24"/>
              </w:rPr>
              <w:t>姓名</w:t>
            </w:r>
          </w:p>
        </w:tc>
        <w:tc>
          <w:tcPr>
            <w:tcW w:w="858" w:type="dxa"/>
            <w:vAlign w:val="center"/>
          </w:tcPr>
          <w:p>
            <w:pPr>
              <w:adjustRightInd w:val="0"/>
              <w:snapToGrid w:val="0"/>
              <w:jc w:val="center"/>
              <w:rPr>
                <w:rFonts w:ascii="宋体" w:hAnsi="宋体"/>
                <w:color w:val="000000"/>
                <w:sz w:val="24"/>
              </w:rPr>
            </w:pPr>
            <w:r>
              <w:rPr>
                <w:rFonts w:hint="eastAsia" w:ascii="宋体" w:hAnsi="宋体"/>
                <w:color w:val="000000"/>
                <w:sz w:val="24"/>
              </w:rPr>
              <w:t>年龄</w:t>
            </w:r>
          </w:p>
        </w:tc>
        <w:tc>
          <w:tcPr>
            <w:tcW w:w="764" w:type="dxa"/>
            <w:vAlign w:val="center"/>
          </w:tcPr>
          <w:p>
            <w:pPr>
              <w:adjustRightInd w:val="0"/>
              <w:snapToGrid w:val="0"/>
              <w:jc w:val="center"/>
              <w:rPr>
                <w:rFonts w:ascii="宋体" w:hAnsi="宋体"/>
                <w:color w:val="000000"/>
                <w:sz w:val="24"/>
              </w:rPr>
            </w:pPr>
            <w:r>
              <w:rPr>
                <w:rFonts w:hint="eastAsia" w:ascii="宋体" w:hAnsi="宋体"/>
                <w:color w:val="000000"/>
                <w:sz w:val="24"/>
              </w:rPr>
              <w:t>学历</w:t>
            </w:r>
          </w:p>
        </w:tc>
        <w:tc>
          <w:tcPr>
            <w:tcW w:w="764" w:type="dxa"/>
            <w:vAlign w:val="center"/>
          </w:tcPr>
          <w:p>
            <w:pPr>
              <w:adjustRightInd w:val="0"/>
              <w:snapToGrid w:val="0"/>
              <w:jc w:val="center"/>
              <w:rPr>
                <w:rFonts w:ascii="宋体" w:hAnsi="宋体"/>
                <w:color w:val="000000"/>
                <w:sz w:val="24"/>
              </w:rPr>
            </w:pPr>
            <w:r>
              <w:rPr>
                <w:rFonts w:hint="eastAsia" w:ascii="宋体" w:hAnsi="宋体"/>
                <w:color w:val="000000"/>
                <w:sz w:val="24"/>
              </w:rPr>
              <w:t>职称</w:t>
            </w:r>
          </w:p>
        </w:tc>
        <w:tc>
          <w:tcPr>
            <w:tcW w:w="1975" w:type="dxa"/>
            <w:vAlign w:val="center"/>
          </w:tcPr>
          <w:p>
            <w:pPr>
              <w:adjustRightInd w:val="0"/>
              <w:snapToGrid w:val="0"/>
              <w:jc w:val="center"/>
              <w:rPr>
                <w:rFonts w:ascii="宋体" w:hAnsi="宋体"/>
                <w:color w:val="000000"/>
                <w:sz w:val="24"/>
              </w:rPr>
            </w:pPr>
            <w:r>
              <w:rPr>
                <w:rFonts w:hint="eastAsia" w:ascii="宋体" w:hAnsi="宋体"/>
                <w:color w:val="000000"/>
                <w:sz w:val="24"/>
              </w:rPr>
              <w:t>岗位</w:t>
            </w:r>
          </w:p>
        </w:tc>
        <w:tc>
          <w:tcPr>
            <w:tcW w:w="840" w:type="dxa"/>
            <w:vAlign w:val="center"/>
          </w:tcPr>
          <w:p>
            <w:pPr>
              <w:adjustRightInd w:val="0"/>
              <w:snapToGrid w:val="0"/>
              <w:jc w:val="center"/>
              <w:rPr>
                <w:rFonts w:ascii="宋体" w:hAnsi="宋体"/>
                <w:color w:val="000000"/>
                <w:sz w:val="24"/>
              </w:rPr>
            </w:pPr>
            <w:r>
              <w:rPr>
                <w:rFonts w:hint="eastAsia" w:ascii="宋体" w:hAnsi="宋体"/>
                <w:color w:val="000000"/>
                <w:sz w:val="24"/>
              </w:rPr>
              <w:t>工作年限</w:t>
            </w:r>
          </w:p>
        </w:tc>
        <w:tc>
          <w:tcPr>
            <w:tcW w:w="1485" w:type="dxa"/>
            <w:vAlign w:val="center"/>
          </w:tcPr>
          <w:p>
            <w:pPr>
              <w:adjustRightInd w:val="0"/>
              <w:snapToGrid w:val="0"/>
              <w:jc w:val="center"/>
              <w:rPr>
                <w:rFonts w:ascii="宋体" w:hAnsi="宋体"/>
                <w:color w:val="000000"/>
                <w:sz w:val="24"/>
              </w:rPr>
            </w:pPr>
            <w:r>
              <w:rPr>
                <w:rFonts w:hint="eastAsia" w:ascii="宋体" w:hAnsi="宋体"/>
                <w:color w:val="000000"/>
                <w:sz w:val="24"/>
              </w:rPr>
              <w:t>其他需明示资料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63" w:type="dxa"/>
            <w:vAlign w:val="center"/>
          </w:tcPr>
          <w:p>
            <w:pPr>
              <w:adjustRightInd w:val="0"/>
              <w:snapToGrid w:val="0"/>
              <w:jc w:val="center"/>
              <w:rPr>
                <w:rFonts w:ascii="宋体" w:hAnsi="宋体"/>
                <w:b/>
                <w:color w:val="000000"/>
                <w:sz w:val="28"/>
              </w:rPr>
            </w:pPr>
          </w:p>
        </w:tc>
        <w:tc>
          <w:tcPr>
            <w:tcW w:w="1006" w:type="dxa"/>
            <w:vAlign w:val="center"/>
          </w:tcPr>
          <w:p>
            <w:pPr>
              <w:adjustRightInd w:val="0"/>
              <w:snapToGrid w:val="0"/>
              <w:jc w:val="center"/>
              <w:rPr>
                <w:rFonts w:ascii="宋体" w:hAnsi="宋体"/>
                <w:b/>
                <w:color w:val="000000"/>
                <w:sz w:val="28"/>
              </w:rPr>
            </w:pPr>
          </w:p>
        </w:tc>
        <w:tc>
          <w:tcPr>
            <w:tcW w:w="858"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764" w:type="dxa"/>
            <w:vAlign w:val="center"/>
          </w:tcPr>
          <w:p>
            <w:pPr>
              <w:adjustRightInd w:val="0"/>
              <w:snapToGrid w:val="0"/>
              <w:jc w:val="center"/>
              <w:rPr>
                <w:rFonts w:ascii="宋体" w:hAnsi="宋体"/>
                <w:b/>
                <w:color w:val="000000"/>
                <w:sz w:val="28"/>
              </w:rPr>
            </w:pPr>
          </w:p>
        </w:tc>
        <w:tc>
          <w:tcPr>
            <w:tcW w:w="1975" w:type="dxa"/>
            <w:vAlign w:val="center"/>
          </w:tcPr>
          <w:p>
            <w:pPr>
              <w:adjustRightInd w:val="0"/>
              <w:snapToGrid w:val="0"/>
              <w:jc w:val="center"/>
              <w:rPr>
                <w:rFonts w:ascii="宋体" w:hAnsi="宋体"/>
                <w:b/>
                <w:color w:val="000000"/>
                <w:sz w:val="28"/>
              </w:rPr>
            </w:pPr>
          </w:p>
        </w:tc>
        <w:tc>
          <w:tcPr>
            <w:tcW w:w="840" w:type="dxa"/>
            <w:vAlign w:val="center"/>
          </w:tcPr>
          <w:p>
            <w:pPr>
              <w:adjustRightInd w:val="0"/>
              <w:snapToGrid w:val="0"/>
              <w:jc w:val="center"/>
              <w:rPr>
                <w:rFonts w:ascii="宋体" w:hAnsi="宋体"/>
                <w:b/>
                <w:color w:val="000000"/>
                <w:sz w:val="28"/>
              </w:rPr>
            </w:pPr>
          </w:p>
        </w:tc>
        <w:tc>
          <w:tcPr>
            <w:tcW w:w="1485" w:type="dxa"/>
            <w:vAlign w:val="center"/>
          </w:tcPr>
          <w:p>
            <w:pPr>
              <w:adjustRightInd w:val="0"/>
              <w:snapToGrid w:val="0"/>
              <w:jc w:val="center"/>
              <w:rPr>
                <w:rFonts w:ascii="宋体" w:hAnsi="宋体"/>
                <w:b/>
                <w:color w:val="000000"/>
                <w:sz w:val="28"/>
              </w:rPr>
            </w:pPr>
          </w:p>
        </w:tc>
      </w:tr>
    </w:tbl>
    <w:p>
      <w:pPr>
        <w:spacing w:line="360" w:lineRule="auto"/>
        <w:jc w:val="left"/>
        <w:rPr>
          <w:rFonts w:ascii="宋体" w:hAnsi="宋体"/>
          <w:color w:val="000000"/>
          <w:sz w:val="24"/>
        </w:rPr>
      </w:pPr>
      <w:r>
        <w:rPr>
          <w:rFonts w:ascii="宋体" w:hAnsi="宋体"/>
          <w:color w:val="000000"/>
          <w:sz w:val="24"/>
        </w:rPr>
        <w:t>附：可根据行业规定</w:t>
      </w:r>
      <w:r>
        <w:rPr>
          <w:rFonts w:hint="eastAsia" w:ascii="宋体" w:hAnsi="宋体"/>
          <w:color w:val="000000"/>
          <w:sz w:val="24"/>
        </w:rPr>
        <w:t>附项目组人员的相关证件包括不限于身份证、上岗证、资格证、培训证等复印件</w:t>
      </w:r>
      <w:r>
        <w:rPr>
          <w:rFonts w:ascii="宋体" w:hAnsi="宋体"/>
          <w:color w:val="000000"/>
          <w:sz w:val="24"/>
        </w:rPr>
        <w:t>。</w:t>
      </w:r>
    </w:p>
    <w:p>
      <w:pPr>
        <w:pStyle w:val="23"/>
        <w:tabs>
          <w:tab w:val="left" w:pos="5580"/>
        </w:tabs>
        <w:adjustRightInd w:val="0"/>
        <w:snapToGrid w:val="0"/>
        <w:spacing w:line="360" w:lineRule="auto"/>
        <w:rPr>
          <w:rFonts w:hAnsi="宋体" w:cs="宋体"/>
          <w:color w:val="000000"/>
          <w:sz w:val="24"/>
          <w:szCs w:val="24"/>
        </w:rPr>
      </w:pPr>
    </w:p>
    <w:p>
      <w:pPr>
        <w:pStyle w:val="23"/>
        <w:tabs>
          <w:tab w:val="left" w:pos="5580"/>
        </w:tabs>
        <w:adjustRightInd w:val="0"/>
        <w:snapToGrid w:val="0"/>
        <w:spacing w:line="360" w:lineRule="auto"/>
        <w:rPr>
          <w:rFonts w:hAnsi="宋体" w:cs="宋体"/>
          <w:color w:val="000000"/>
          <w:sz w:val="24"/>
          <w:szCs w:val="24"/>
        </w:rPr>
      </w:pPr>
      <w:r>
        <w:rPr>
          <w:rFonts w:hint="eastAsia" w:hAnsi="宋体" w:cs="宋体"/>
          <w:color w:val="000000"/>
          <w:sz w:val="24"/>
          <w:szCs w:val="24"/>
        </w:rPr>
        <w:t>投标人名称（盖章）：</w:t>
      </w:r>
    </w:p>
    <w:p>
      <w:pPr>
        <w:pStyle w:val="23"/>
        <w:tabs>
          <w:tab w:val="left" w:pos="5100"/>
        </w:tabs>
        <w:adjustRightInd w:val="0"/>
        <w:snapToGrid w:val="0"/>
        <w:spacing w:line="360" w:lineRule="auto"/>
        <w:rPr>
          <w:rFonts w:hAnsi="宋体" w:cs="宋体"/>
          <w:color w:val="000000"/>
          <w:sz w:val="24"/>
          <w:szCs w:val="24"/>
          <w:u w:val="single"/>
        </w:rPr>
      </w:pPr>
      <w:r>
        <w:rPr>
          <w:rFonts w:hint="eastAsia" w:hAnsi="宋体" w:cs="宋体"/>
          <w:bCs/>
          <w:color w:val="000000"/>
          <w:sz w:val="24"/>
          <w:szCs w:val="24"/>
        </w:rPr>
        <w:t>法定代表人或其委托代理人</w:t>
      </w:r>
      <w:r>
        <w:rPr>
          <w:rFonts w:hint="eastAsia" w:hAnsi="宋体" w:cs="宋体"/>
          <w:color w:val="000000"/>
          <w:sz w:val="24"/>
          <w:szCs w:val="24"/>
        </w:rPr>
        <w:t>(签字或盖章)：</w:t>
      </w:r>
    </w:p>
    <w:p>
      <w:pPr>
        <w:spacing w:line="360" w:lineRule="auto"/>
        <w:jc w:val="left"/>
        <w:rPr>
          <w:rFonts w:ascii="宋体" w:hAnsi="宋体" w:cs="宋体"/>
          <w:color w:val="000000"/>
          <w:sz w:val="24"/>
          <w:szCs w:val="24"/>
        </w:rPr>
      </w:pPr>
      <w:r>
        <w:rPr>
          <w:rFonts w:hint="eastAsia" w:ascii="宋体" w:hAnsi="宋体" w:cs="宋体"/>
          <w:color w:val="000000"/>
          <w:sz w:val="24"/>
          <w:szCs w:val="24"/>
        </w:rPr>
        <w:t>日期：</w:t>
      </w:r>
    </w:p>
    <w:p>
      <w:pPr>
        <w:spacing w:line="360" w:lineRule="auto"/>
        <w:jc w:val="center"/>
        <w:rPr>
          <w:rFonts w:ascii="宋体" w:hAnsi="宋体" w:cs="宋体"/>
          <w:b/>
          <w:color w:val="000000"/>
          <w:sz w:val="24"/>
          <w:szCs w:val="24"/>
        </w:rPr>
      </w:pPr>
      <w:r>
        <w:rPr>
          <w:rFonts w:hint="eastAsia" w:ascii="宋体" w:hAnsi="宋体" w:cs="宋体"/>
          <w:color w:val="000000"/>
          <w:sz w:val="24"/>
          <w:szCs w:val="24"/>
        </w:rPr>
        <w:br w:type="page"/>
      </w:r>
      <w:bookmarkEnd w:id="488"/>
      <w:bookmarkStart w:id="489" w:name="_Toc486431303"/>
      <w:bookmarkStart w:id="490" w:name="_Toc486431029"/>
      <w:r>
        <w:rPr>
          <w:rFonts w:hint="eastAsia" w:ascii="宋体" w:hAnsi="宋体" w:cs="宋体"/>
          <w:b/>
          <w:color w:val="000000"/>
          <w:sz w:val="24"/>
          <w:szCs w:val="24"/>
        </w:rPr>
        <w:t>（2）项目负责人简历表</w:t>
      </w:r>
      <w:bookmarkEnd w:id="489"/>
      <w:bookmarkEnd w:id="490"/>
    </w:p>
    <w:p>
      <w:pPr>
        <w:spacing w:line="360" w:lineRule="auto"/>
        <w:ind w:right="658" w:firstLine="120" w:firstLineChars="50"/>
        <w:jc w:val="left"/>
        <w:rPr>
          <w:rFonts w:ascii="宋体" w:hAnsi="宋体" w:cs="宋体"/>
          <w:color w:val="000000"/>
          <w:sz w:val="24"/>
          <w:szCs w:val="24"/>
        </w:rPr>
      </w:pPr>
      <w:r>
        <w:rPr>
          <w:rFonts w:hint="eastAsia" w:ascii="宋体" w:hAnsi="宋体" w:cs="宋体"/>
          <w:color w:val="000000"/>
          <w:sz w:val="24"/>
          <w:szCs w:val="24"/>
        </w:rPr>
        <w:t>项目名称：招标编号：___________</w:t>
      </w:r>
    </w:p>
    <w:tbl>
      <w:tblPr>
        <w:tblStyle w:val="48"/>
        <w:tblW w:w="8213"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561"/>
        <w:gridCol w:w="1484"/>
        <w:gridCol w:w="1080"/>
        <w:gridCol w:w="403"/>
        <w:gridCol w:w="233"/>
        <w:gridCol w:w="1369"/>
        <w:gridCol w:w="1406"/>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姓名</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性别</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年龄</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职务</w:t>
            </w:r>
          </w:p>
        </w:tc>
        <w:tc>
          <w:tcPr>
            <w:tcW w:w="20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职称</w:t>
            </w:r>
          </w:p>
        </w:tc>
        <w:tc>
          <w:tcPr>
            <w:tcW w:w="200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学历</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7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参加工作时间</w:t>
            </w:r>
          </w:p>
        </w:tc>
        <w:tc>
          <w:tcPr>
            <w:tcW w:w="171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277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担任项目负责人年限</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213"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正在进行和已完成项目情况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用户单位</w:t>
            </w: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项目名称</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项目规模</w:t>
            </w: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服务期</w:t>
            </w: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正在进行或已完成</w:t>
            </w: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验收</w:t>
            </w:r>
          </w:p>
          <w:p>
            <w:pPr>
              <w:spacing w:line="360" w:lineRule="auto"/>
              <w:jc w:val="center"/>
              <w:rPr>
                <w:rFonts w:ascii="宋体" w:hAnsi="宋体" w:cs="宋体"/>
                <w:color w:val="000000"/>
                <w:sz w:val="24"/>
                <w:szCs w:val="24"/>
              </w:rPr>
            </w:pPr>
            <w:r>
              <w:rPr>
                <w:rFonts w:hint="eastAsia" w:ascii="宋体" w:hAnsi="宋体" w:cs="宋体"/>
                <w:color w:val="000000"/>
                <w:sz w:val="24"/>
                <w:szCs w:val="24"/>
              </w:rPr>
              <w:t>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9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60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14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c>
          <w:tcPr>
            <w:tcW w:w="9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sz w:val="24"/>
                <w:szCs w:val="24"/>
              </w:rPr>
            </w:pPr>
          </w:p>
        </w:tc>
      </w:tr>
    </w:tbl>
    <w:p>
      <w:pPr>
        <w:pStyle w:val="23"/>
        <w:tabs>
          <w:tab w:val="left" w:pos="5580"/>
        </w:tabs>
        <w:adjustRightInd w:val="0"/>
        <w:snapToGrid w:val="0"/>
        <w:spacing w:line="360" w:lineRule="auto"/>
        <w:rPr>
          <w:rFonts w:hAnsi="宋体" w:cs="宋体"/>
          <w:color w:val="000000"/>
          <w:sz w:val="24"/>
          <w:szCs w:val="24"/>
        </w:rPr>
      </w:pPr>
      <w:r>
        <w:rPr>
          <w:rFonts w:hAnsi="宋体"/>
          <w:color w:val="000000"/>
          <w:sz w:val="24"/>
        </w:rPr>
        <w:t>附：可根据行业规定</w:t>
      </w:r>
      <w:r>
        <w:rPr>
          <w:rFonts w:hint="eastAsia" w:hAnsi="宋体"/>
          <w:color w:val="000000"/>
          <w:sz w:val="24"/>
        </w:rPr>
        <w:t>附项目负责人的相关证件包括不限于身份证、健康证、上岗证、资格证、培训证等复印件</w:t>
      </w:r>
      <w:r>
        <w:rPr>
          <w:rFonts w:hAnsi="宋体"/>
          <w:color w:val="000000"/>
          <w:sz w:val="24"/>
        </w:rPr>
        <w:t>。</w:t>
      </w:r>
    </w:p>
    <w:p>
      <w:pPr>
        <w:pStyle w:val="23"/>
        <w:tabs>
          <w:tab w:val="left" w:pos="5580"/>
        </w:tabs>
        <w:adjustRightInd w:val="0"/>
        <w:snapToGrid w:val="0"/>
        <w:spacing w:line="360" w:lineRule="auto"/>
        <w:rPr>
          <w:rFonts w:hAnsi="宋体" w:cs="宋体"/>
          <w:color w:val="000000"/>
          <w:sz w:val="24"/>
          <w:szCs w:val="24"/>
        </w:rPr>
      </w:pPr>
    </w:p>
    <w:p>
      <w:pPr>
        <w:pStyle w:val="23"/>
        <w:tabs>
          <w:tab w:val="left" w:pos="5580"/>
        </w:tabs>
        <w:adjustRightInd w:val="0"/>
        <w:snapToGrid w:val="0"/>
        <w:spacing w:line="360" w:lineRule="auto"/>
        <w:rPr>
          <w:rFonts w:hAnsi="宋体" w:cs="宋体"/>
          <w:color w:val="000000"/>
          <w:sz w:val="24"/>
          <w:szCs w:val="24"/>
        </w:rPr>
      </w:pPr>
      <w:r>
        <w:rPr>
          <w:rFonts w:hint="eastAsia" w:hAnsi="宋体" w:cs="宋体"/>
          <w:color w:val="000000"/>
          <w:sz w:val="24"/>
          <w:szCs w:val="24"/>
        </w:rPr>
        <w:t>投标人名称（盖章）：</w:t>
      </w:r>
    </w:p>
    <w:p>
      <w:pPr>
        <w:pStyle w:val="23"/>
        <w:tabs>
          <w:tab w:val="left" w:pos="5100"/>
        </w:tabs>
        <w:adjustRightInd w:val="0"/>
        <w:snapToGrid w:val="0"/>
        <w:spacing w:line="360" w:lineRule="auto"/>
        <w:rPr>
          <w:rFonts w:hAnsi="宋体" w:cs="宋体"/>
          <w:color w:val="000000"/>
          <w:sz w:val="24"/>
          <w:szCs w:val="24"/>
          <w:u w:val="single"/>
        </w:rPr>
      </w:pPr>
      <w:r>
        <w:rPr>
          <w:rFonts w:hint="eastAsia" w:hAnsi="宋体" w:cs="宋体"/>
          <w:bCs/>
          <w:color w:val="000000"/>
          <w:sz w:val="24"/>
          <w:szCs w:val="24"/>
        </w:rPr>
        <w:t>法定代表人或其委托代理人</w:t>
      </w:r>
      <w:r>
        <w:rPr>
          <w:rFonts w:hint="eastAsia" w:hAnsi="宋体" w:cs="宋体"/>
          <w:color w:val="000000"/>
          <w:sz w:val="24"/>
          <w:szCs w:val="24"/>
        </w:rPr>
        <w:t>(签字或盖章)：</w:t>
      </w:r>
    </w:p>
    <w:p>
      <w:pPr>
        <w:spacing w:line="360" w:lineRule="auto"/>
        <w:rPr>
          <w:rFonts w:ascii="宋体" w:hAnsi="宋体" w:cs="宋体"/>
          <w:color w:val="000000"/>
          <w:sz w:val="24"/>
          <w:szCs w:val="24"/>
        </w:rPr>
      </w:pPr>
      <w:r>
        <w:rPr>
          <w:rFonts w:hint="eastAsia" w:ascii="宋体" w:hAnsi="宋体" w:cs="宋体"/>
          <w:color w:val="000000"/>
          <w:sz w:val="24"/>
          <w:szCs w:val="24"/>
        </w:rPr>
        <w:t>日期：</w:t>
      </w:r>
      <w:r>
        <w:rPr>
          <w:rFonts w:ascii="宋体" w:hAnsi="宋体" w:cs="宋体"/>
          <w:color w:val="000000"/>
          <w:sz w:val="24"/>
          <w:szCs w:val="24"/>
        </w:rPr>
        <w:br w:type="page"/>
      </w:r>
    </w:p>
    <w:p>
      <w:pPr>
        <w:pStyle w:val="2"/>
        <w:spacing w:line="360" w:lineRule="auto"/>
        <w:rPr>
          <w:rStyle w:val="225"/>
          <w:rFonts w:hint="default"/>
          <w:b w:val="0"/>
          <w:color w:val="000000"/>
        </w:rPr>
      </w:pPr>
      <w:bookmarkStart w:id="491" w:name="_Toc100786171"/>
      <w:r>
        <w:rPr>
          <w:rFonts w:hint="eastAsia" w:ascii="宋体" w:hAnsi="宋体"/>
          <w:bCs/>
          <w:color w:val="000000"/>
          <w:szCs w:val="28"/>
        </w:rPr>
        <w:t xml:space="preserve">附件12  </w:t>
      </w:r>
      <w:bookmarkEnd w:id="484"/>
      <w:r>
        <w:rPr>
          <w:rFonts w:hint="eastAsia" w:ascii="宋体" w:hAnsi="宋体"/>
          <w:bCs/>
          <w:color w:val="000000"/>
          <w:szCs w:val="28"/>
          <w:lang w:val="en-US"/>
        </w:rPr>
        <w:t>服务方案</w:t>
      </w:r>
      <w:bookmarkEnd w:id="491"/>
    </w:p>
    <w:p>
      <w:pPr>
        <w:spacing w:line="360" w:lineRule="auto"/>
        <w:rPr>
          <w:rFonts w:ascii="宋体" w:hAnsi="宋体" w:cs="宋体"/>
          <w:color w:val="000000"/>
          <w:sz w:val="24"/>
          <w:szCs w:val="24"/>
        </w:rPr>
      </w:pP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按照《招标文件》第七章“采购需求”中的要求提出项目具体方案（自行编制）。</w:t>
      </w:r>
    </w:p>
    <w:p>
      <w:r>
        <w:br w:type="page"/>
      </w:r>
    </w:p>
    <w:p>
      <w:pPr>
        <w:pStyle w:val="2"/>
        <w:spacing w:line="360" w:lineRule="auto"/>
        <w:rPr>
          <w:rFonts w:ascii="宋体" w:hAnsi="宋体"/>
          <w:bCs/>
          <w:color w:val="000000"/>
          <w:szCs w:val="28"/>
        </w:rPr>
      </w:pPr>
      <w:bookmarkStart w:id="492" w:name="_Toc9063"/>
      <w:bookmarkStart w:id="493" w:name="_Toc100786172"/>
      <w:r>
        <w:rPr>
          <w:rFonts w:hint="eastAsia" w:ascii="宋体" w:hAnsi="宋体"/>
          <w:bCs/>
          <w:color w:val="000000"/>
          <w:szCs w:val="28"/>
        </w:rPr>
        <w:t>附件1</w:t>
      </w:r>
      <w:bookmarkEnd w:id="492"/>
      <w:r>
        <w:rPr>
          <w:rFonts w:hint="eastAsia" w:ascii="宋体" w:hAnsi="宋体"/>
          <w:bCs/>
          <w:color w:val="000000"/>
          <w:szCs w:val="28"/>
        </w:rPr>
        <w:t>3  具备履行合同所必需的设备和专业技术能力的证明材料</w:t>
      </w:r>
      <w:bookmarkEnd w:id="493"/>
    </w:p>
    <w:p>
      <w:r>
        <w:rPr>
          <w:rFonts w:hint="eastAsia"/>
        </w:rPr>
        <w:br w:type="page"/>
      </w:r>
      <w:bookmarkStart w:id="494" w:name="_Toc1932"/>
    </w:p>
    <w:p>
      <w:pPr>
        <w:pStyle w:val="2"/>
        <w:spacing w:line="360" w:lineRule="auto"/>
        <w:rPr>
          <w:rFonts w:ascii="宋体" w:hAnsi="宋体"/>
          <w:bCs/>
          <w:color w:val="000000"/>
          <w:szCs w:val="28"/>
        </w:rPr>
      </w:pPr>
      <w:bookmarkStart w:id="495" w:name="_Toc100786173"/>
      <w:r>
        <w:rPr>
          <w:rFonts w:hint="eastAsia" w:ascii="宋体" w:hAnsi="宋体"/>
          <w:bCs/>
          <w:color w:val="000000"/>
          <w:szCs w:val="28"/>
        </w:rPr>
        <w:t>附件14  招标文件要求提供的其他资料</w:t>
      </w:r>
      <w:bookmarkEnd w:id="494"/>
      <w:bookmarkEnd w:id="495"/>
    </w:p>
    <w:p>
      <w:pPr>
        <w:spacing w:line="360" w:lineRule="auto"/>
        <w:rPr>
          <w:rFonts w:ascii="宋体" w:hAnsi="宋体"/>
          <w:color w:val="000000"/>
        </w:rPr>
      </w:pPr>
      <w:r>
        <w:rPr>
          <w:rFonts w:hint="eastAsia" w:ascii="宋体" w:hAnsi="宋体"/>
          <w:color w:val="000000"/>
        </w:rPr>
        <w:br w:type="page"/>
      </w:r>
      <w:bookmarkStart w:id="496" w:name="_Toc18393"/>
    </w:p>
    <w:p>
      <w:pPr>
        <w:pStyle w:val="2"/>
        <w:spacing w:line="360" w:lineRule="auto"/>
        <w:rPr>
          <w:rFonts w:ascii="宋体" w:hAnsi="宋体"/>
          <w:bCs/>
          <w:color w:val="000000"/>
          <w:szCs w:val="28"/>
        </w:rPr>
      </w:pPr>
      <w:bookmarkStart w:id="497" w:name="_Toc100786174"/>
      <w:r>
        <w:rPr>
          <w:rFonts w:hint="eastAsia" w:ascii="宋体" w:hAnsi="宋体"/>
          <w:bCs/>
          <w:color w:val="000000"/>
          <w:szCs w:val="28"/>
        </w:rPr>
        <w:t>附件15  投标人认为有必要提交的其他文件</w:t>
      </w:r>
      <w:bookmarkEnd w:id="496"/>
      <w:bookmarkEnd w:id="497"/>
    </w:p>
    <w:p>
      <w:pPr>
        <w:spacing w:line="360" w:lineRule="auto"/>
        <w:rPr>
          <w:rFonts w:ascii="宋体" w:hAnsi="宋体" w:cs="宋体"/>
          <w:color w:val="000000"/>
          <w:sz w:val="24"/>
          <w:szCs w:val="24"/>
        </w:rPr>
      </w:pPr>
    </w:p>
    <w:p>
      <w:pPr>
        <w:pStyle w:val="3"/>
        <w:spacing w:line="360" w:lineRule="auto"/>
        <w:rPr>
          <w:rFonts w:ascii="宋体" w:hAnsi="宋体" w:cs="宋体"/>
          <w:b/>
          <w:bCs/>
          <w:color w:val="000000"/>
          <w:sz w:val="24"/>
          <w:szCs w:val="24"/>
        </w:rPr>
      </w:pPr>
    </w:p>
    <w:p>
      <w:pPr>
        <w:pStyle w:val="44"/>
        <w:spacing w:line="360" w:lineRule="auto"/>
        <w:jc w:val="center"/>
        <w:rPr>
          <w:rFonts w:ascii="宋体" w:hAnsi="宋体" w:eastAsia="宋体" w:cs="宋体"/>
          <w:color w:val="000000"/>
          <w:sz w:val="30"/>
          <w:szCs w:val="30"/>
        </w:rPr>
      </w:pPr>
      <w:r>
        <w:rPr>
          <w:rFonts w:hint="eastAsia" w:ascii="宋体" w:hAnsi="宋体" w:eastAsia="宋体" w:cs="宋体"/>
          <w:color w:val="000000"/>
          <w:sz w:val="24"/>
          <w:szCs w:val="24"/>
        </w:rPr>
        <w:br w:type="page"/>
      </w:r>
      <w:bookmarkStart w:id="498" w:name="_Toc100786175"/>
      <w:bookmarkStart w:id="499" w:name="_Toc22510"/>
      <w:r>
        <w:rPr>
          <w:rFonts w:hint="eastAsia" w:ascii="宋体" w:hAnsi="宋体" w:eastAsia="宋体" w:cs="宋体"/>
          <w:color w:val="000000"/>
          <w:sz w:val="30"/>
          <w:szCs w:val="30"/>
        </w:rPr>
        <w:t>第五章  资格审查</w:t>
      </w:r>
      <w:bookmarkEnd w:id="498"/>
    </w:p>
    <w:p>
      <w:pPr>
        <w:tabs>
          <w:tab w:val="left" w:pos="360"/>
          <w:tab w:val="left" w:pos="900"/>
        </w:tabs>
        <w:snapToGrid w:val="0"/>
        <w:spacing w:line="360" w:lineRule="auto"/>
        <w:jc w:val="left"/>
        <w:outlineLvl w:val="1"/>
        <w:rPr>
          <w:rFonts w:ascii="宋体" w:hAnsi="宋体"/>
          <w:b/>
          <w:color w:val="000000"/>
          <w:sz w:val="24"/>
        </w:rPr>
      </w:pPr>
      <w:bookmarkStart w:id="500" w:name="_Toc100786176"/>
      <w:bookmarkStart w:id="501" w:name="_Toc99301422"/>
      <w:r>
        <w:rPr>
          <w:rFonts w:ascii="宋体" w:hAnsi="宋体"/>
          <w:b/>
          <w:color w:val="000000"/>
          <w:sz w:val="24"/>
        </w:rPr>
        <w:t>一、资格审查程序</w:t>
      </w:r>
      <w:bookmarkEnd w:id="500"/>
      <w:bookmarkEnd w:id="501"/>
    </w:p>
    <w:p>
      <w:pPr>
        <w:tabs>
          <w:tab w:val="left" w:pos="426"/>
          <w:tab w:val="left" w:pos="851"/>
        </w:tabs>
        <w:snapToGrid w:val="0"/>
        <w:spacing w:line="360" w:lineRule="auto"/>
        <w:outlineLvl w:val="1"/>
        <w:rPr>
          <w:rFonts w:ascii="宋体" w:hAnsi="宋体"/>
          <w:color w:val="000000"/>
          <w:sz w:val="24"/>
        </w:rPr>
      </w:pPr>
      <w:bookmarkStart w:id="502" w:name="_Toc100786177"/>
      <w:r>
        <w:rPr>
          <w:rFonts w:hint="eastAsia" w:ascii="宋体" w:hAnsi="宋体"/>
          <w:color w:val="000000"/>
          <w:sz w:val="24"/>
        </w:rPr>
        <w:t>1.</w:t>
      </w:r>
      <w:r>
        <w:rPr>
          <w:rFonts w:ascii="宋体" w:hAnsi="宋体"/>
          <w:color w:val="000000"/>
          <w:sz w:val="24"/>
        </w:rPr>
        <w:t>开标结束后，采购人或采购代理机构将根据《资格审查要求》中的规定，对投标人进行资格审查，并形成资格审查结果。</w:t>
      </w:r>
      <w:bookmarkEnd w:id="502"/>
    </w:p>
    <w:p>
      <w:pPr>
        <w:tabs>
          <w:tab w:val="left" w:pos="426"/>
          <w:tab w:val="left" w:pos="851"/>
        </w:tabs>
        <w:snapToGrid w:val="0"/>
        <w:spacing w:line="360" w:lineRule="auto"/>
        <w:outlineLvl w:val="1"/>
        <w:rPr>
          <w:rFonts w:ascii="宋体" w:hAnsi="宋体"/>
          <w:color w:val="000000"/>
          <w:sz w:val="24"/>
        </w:rPr>
      </w:pPr>
      <w:bookmarkStart w:id="503" w:name="_Toc100786178"/>
      <w:r>
        <w:rPr>
          <w:rFonts w:hint="eastAsia" w:ascii="宋体" w:hAnsi="宋体"/>
          <w:color w:val="000000"/>
          <w:sz w:val="24"/>
        </w:rPr>
        <w:t>2.</w:t>
      </w:r>
      <w:r>
        <w:rPr>
          <w:rFonts w:ascii="宋体" w:hAnsi="宋体"/>
          <w:color w:val="000000"/>
          <w:sz w:val="24"/>
        </w:rPr>
        <w:t>《资格审查要求》中对格式有要求的，除招标文件另有规定外，均为</w:t>
      </w:r>
      <w:r>
        <w:rPr>
          <w:rFonts w:hint="eastAsia" w:ascii="宋体" w:hAnsi="宋体"/>
          <w:color w:val="000000"/>
          <w:sz w:val="24"/>
        </w:rPr>
        <w:t>“实质性格式”</w:t>
      </w:r>
      <w:r>
        <w:rPr>
          <w:rFonts w:ascii="宋体" w:hAnsi="宋体"/>
          <w:color w:val="000000"/>
          <w:sz w:val="24"/>
        </w:rPr>
        <w:t>文件。</w:t>
      </w:r>
      <w:bookmarkEnd w:id="503"/>
    </w:p>
    <w:p>
      <w:pPr>
        <w:tabs>
          <w:tab w:val="left" w:pos="426"/>
          <w:tab w:val="left" w:pos="851"/>
        </w:tabs>
        <w:snapToGrid w:val="0"/>
        <w:spacing w:line="360" w:lineRule="auto"/>
        <w:outlineLvl w:val="1"/>
        <w:rPr>
          <w:rFonts w:ascii="宋体" w:hAnsi="宋体"/>
          <w:color w:val="000000"/>
          <w:sz w:val="24"/>
        </w:rPr>
      </w:pPr>
      <w:bookmarkStart w:id="504" w:name="_Toc100786179"/>
      <w:r>
        <w:rPr>
          <w:rFonts w:hint="eastAsia" w:ascii="宋体" w:hAnsi="宋体"/>
          <w:color w:val="000000"/>
          <w:sz w:val="24"/>
        </w:rPr>
        <w:t>3.</w:t>
      </w:r>
      <w:r>
        <w:rPr>
          <w:rFonts w:ascii="宋体" w:hAnsi="宋体"/>
          <w:color w:val="000000"/>
          <w:sz w:val="24"/>
        </w:rPr>
        <w:t>投标人《资格证明文件》有任何一项不符合《资格审查要求》的，资格审查不合格，其</w:t>
      </w:r>
      <w:r>
        <w:rPr>
          <w:rFonts w:ascii="宋体" w:hAnsi="宋体"/>
          <w:b/>
          <w:color w:val="000000"/>
          <w:sz w:val="24"/>
        </w:rPr>
        <w:t>投标无效</w:t>
      </w:r>
      <w:r>
        <w:rPr>
          <w:rFonts w:ascii="宋体" w:hAnsi="宋体"/>
          <w:color w:val="000000"/>
          <w:sz w:val="24"/>
        </w:rPr>
        <w:t>。</w:t>
      </w:r>
      <w:bookmarkEnd w:id="504"/>
    </w:p>
    <w:p>
      <w:pPr>
        <w:tabs>
          <w:tab w:val="left" w:pos="426"/>
          <w:tab w:val="left" w:pos="851"/>
        </w:tabs>
        <w:snapToGrid w:val="0"/>
        <w:spacing w:line="360" w:lineRule="auto"/>
        <w:outlineLvl w:val="1"/>
        <w:rPr>
          <w:rFonts w:ascii="宋体" w:hAnsi="宋体"/>
          <w:color w:val="000000"/>
          <w:sz w:val="24"/>
        </w:rPr>
      </w:pPr>
      <w:bookmarkStart w:id="505" w:name="_Toc100786180"/>
      <w:r>
        <w:rPr>
          <w:rFonts w:hint="eastAsia" w:ascii="宋体" w:hAnsi="宋体"/>
          <w:color w:val="000000"/>
          <w:sz w:val="24"/>
        </w:rPr>
        <w:t>4.</w:t>
      </w:r>
      <w:r>
        <w:rPr>
          <w:rFonts w:ascii="宋体" w:hAnsi="宋体"/>
          <w:color w:val="000000"/>
          <w:sz w:val="24"/>
        </w:rPr>
        <w:t>资格审查合格的投标人不足3家的，不进行评标。</w:t>
      </w:r>
      <w:bookmarkEnd w:id="505"/>
    </w:p>
    <w:p>
      <w:pPr>
        <w:widowControl/>
        <w:jc w:val="left"/>
        <w:rPr>
          <w:rFonts w:ascii="宋体" w:hAnsi="宋体"/>
          <w:color w:val="000000"/>
          <w:sz w:val="24"/>
        </w:rPr>
      </w:pPr>
    </w:p>
    <w:p>
      <w:pPr>
        <w:tabs>
          <w:tab w:val="left" w:pos="360"/>
          <w:tab w:val="left" w:pos="900"/>
        </w:tabs>
        <w:snapToGrid w:val="0"/>
        <w:spacing w:line="360" w:lineRule="auto"/>
        <w:outlineLvl w:val="1"/>
        <w:rPr>
          <w:rFonts w:ascii="宋体" w:hAnsi="宋体"/>
          <w:b/>
          <w:color w:val="000000"/>
          <w:sz w:val="24"/>
        </w:rPr>
      </w:pPr>
      <w:bookmarkStart w:id="506" w:name="_Toc100786181"/>
      <w:r>
        <w:rPr>
          <w:rFonts w:ascii="宋体" w:hAnsi="宋体"/>
          <w:b/>
          <w:color w:val="000000"/>
          <w:sz w:val="24"/>
        </w:rPr>
        <w:t>二、资格审查要求</w:t>
      </w:r>
      <w:bookmarkEnd w:id="506"/>
    </w:p>
    <w:tbl>
      <w:tblPr>
        <w:tblStyle w:val="4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819"/>
        <w:gridCol w:w="4425"/>
        <w:gridCol w:w="15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pPr>
              <w:tabs>
                <w:tab w:val="left" w:pos="1080"/>
              </w:tabs>
              <w:snapToGrid w:val="0"/>
              <w:jc w:val="center"/>
              <w:rPr>
                <w:rFonts w:ascii="宋体" w:hAnsi="宋体"/>
                <w:b/>
                <w:color w:val="000000"/>
                <w:sz w:val="24"/>
              </w:rPr>
            </w:pPr>
            <w:r>
              <w:rPr>
                <w:rFonts w:ascii="宋体" w:hAnsi="宋体"/>
                <w:b/>
                <w:color w:val="000000"/>
                <w:sz w:val="24"/>
              </w:rPr>
              <w:t>序号</w:t>
            </w:r>
          </w:p>
        </w:tc>
        <w:tc>
          <w:tcPr>
            <w:tcW w:w="1067" w:type="pct"/>
            <w:vAlign w:val="center"/>
          </w:tcPr>
          <w:p>
            <w:pPr>
              <w:tabs>
                <w:tab w:val="left" w:pos="1080"/>
              </w:tabs>
              <w:snapToGrid w:val="0"/>
              <w:jc w:val="center"/>
              <w:rPr>
                <w:rFonts w:ascii="宋体" w:hAnsi="宋体"/>
                <w:b/>
                <w:color w:val="000000"/>
                <w:sz w:val="24"/>
              </w:rPr>
            </w:pPr>
            <w:r>
              <w:rPr>
                <w:rFonts w:ascii="宋体" w:hAnsi="宋体"/>
                <w:b/>
                <w:color w:val="000000"/>
                <w:sz w:val="24"/>
              </w:rPr>
              <w:t>审查因素</w:t>
            </w:r>
          </w:p>
        </w:tc>
        <w:tc>
          <w:tcPr>
            <w:tcW w:w="2596" w:type="pct"/>
            <w:vAlign w:val="center"/>
          </w:tcPr>
          <w:p>
            <w:pPr>
              <w:tabs>
                <w:tab w:val="left" w:pos="1080"/>
              </w:tabs>
              <w:snapToGrid w:val="0"/>
              <w:jc w:val="center"/>
              <w:rPr>
                <w:rFonts w:ascii="宋体" w:hAnsi="宋体"/>
                <w:b/>
                <w:color w:val="000000"/>
                <w:sz w:val="24"/>
              </w:rPr>
            </w:pPr>
            <w:r>
              <w:rPr>
                <w:rFonts w:ascii="宋体" w:hAnsi="宋体"/>
                <w:b/>
                <w:color w:val="000000"/>
                <w:sz w:val="24"/>
              </w:rPr>
              <w:t>审查内容</w:t>
            </w:r>
          </w:p>
        </w:tc>
        <w:tc>
          <w:tcPr>
            <w:tcW w:w="882" w:type="pct"/>
            <w:vAlign w:val="center"/>
          </w:tcPr>
          <w:p>
            <w:pPr>
              <w:tabs>
                <w:tab w:val="left" w:pos="1080"/>
              </w:tabs>
              <w:snapToGrid w:val="0"/>
              <w:jc w:val="center"/>
              <w:rPr>
                <w:rFonts w:ascii="宋体" w:hAnsi="宋体"/>
                <w:b/>
                <w:color w:val="000000"/>
                <w:sz w:val="24"/>
              </w:rPr>
            </w:pPr>
            <w:r>
              <w:rPr>
                <w:rFonts w:ascii="宋体" w:hAnsi="宋体"/>
                <w:b/>
                <w:color w:val="000000"/>
                <w:sz w:val="24"/>
              </w:rPr>
              <w:t>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olor w:val="000000"/>
                <w:sz w:val="24"/>
              </w:rPr>
            </w:pPr>
            <w:r>
              <w:rPr>
                <w:rFonts w:ascii="宋体" w:hAnsi="宋体"/>
                <w:color w:val="000000"/>
                <w:sz w:val="24"/>
              </w:rPr>
              <w:t>1</w:t>
            </w:r>
          </w:p>
        </w:tc>
        <w:tc>
          <w:tcPr>
            <w:tcW w:w="1067" w:type="pct"/>
            <w:vAlign w:val="center"/>
          </w:tcPr>
          <w:p>
            <w:pPr>
              <w:tabs>
                <w:tab w:val="left" w:pos="1080"/>
              </w:tabs>
              <w:snapToGrid w:val="0"/>
              <w:jc w:val="center"/>
              <w:rPr>
                <w:rFonts w:ascii="宋体" w:hAnsi="宋体"/>
                <w:color w:val="000000"/>
                <w:sz w:val="24"/>
              </w:rPr>
            </w:pPr>
            <w:r>
              <w:rPr>
                <w:rFonts w:ascii="宋体" w:hAnsi="宋体"/>
                <w:color w:val="000000"/>
                <w:sz w:val="24"/>
              </w:rPr>
              <w:t>满足《中华人民共和国政府采购法》第二十二条规定及法律法规的其他规定</w:t>
            </w:r>
          </w:p>
        </w:tc>
        <w:tc>
          <w:tcPr>
            <w:tcW w:w="2596" w:type="pct"/>
            <w:vAlign w:val="center"/>
          </w:tcPr>
          <w:p>
            <w:pPr>
              <w:tabs>
                <w:tab w:val="left" w:pos="1080"/>
              </w:tabs>
              <w:snapToGrid w:val="0"/>
              <w:rPr>
                <w:rFonts w:ascii="宋体" w:hAnsi="宋体"/>
                <w:color w:val="000000"/>
                <w:sz w:val="24"/>
              </w:rPr>
            </w:pPr>
            <w:r>
              <w:rPr>
                <w:rFonts w:ascii="宋体" w:hAnsi="宋体"/>
                <w:color w:val="000000"/>
                <w:sz w:val="24"/>
              </w:rPr>
              <w:t>具体规定见第一章《</w:t>
            </w:r>
            <w:r>
              <w:rPr>
                <w:rFonts w:hint="eastAsia" w:ascii="宋体" w:hAnsi="宋体"/>
                <w:color w:val="000000"/>
                <w:sz w:val="24"/>
              </w:rPr>
              <w:t>投标邀请</w:t>
            </w:r>
            <w:r>
              <w:rPr>
                <w:rFonts w:ascii="宋体" w:hAnsi="宋体"/>
                <w:color w:val="000000"/>
                <w:sz w:val="24"/>
              </w:rPr>
              <w:t>》</w:t>
            </w:r>
          </w:p>
        </w:tc>
        <w:tc>
          <w:tcPr>
            <w:tcW w:w="882" w:type="pct"/>
            <w:vAlign w:val="center"/>
          </w:tcPr>
          <w:p>
            <w:pPr>
              <w:tabs>
                <w:tab w:val="left" w:pos="1080"/>
              </w:tabs>
              <w:snapToGrid w:val="0"/>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olor w:val="000000"/>
                <w:sz w:val="24"/>
              </w:rPr>
            </w:pPr>
            <w:r>
              <w:rPr>
                <w:rFonts w:ascii="宋体" w:hAnsi="宋体"/>
                <w:color w:val="000000"/>
                <w:sz w:val="24"/>
              </w:rPr>
              <w:t>1-1</w:t>
            </w:r>
          </w:p>
        </w:tc>
        <w:tc>
          <w:tcPr>
            <w:tcW w:w="1067" w:type="pct"/>
            <w:vAlign w:val="center"/>
          </w:tcPr>
          <w:p>
            <w:pPr>
              <w:tabs>
                <w:tab w:val="left" w:pos="1080"/>
              </w:tabs>
              <w:snapToGrid w:val="0"/>
              <w:jc w:val="center"/>
              <w:rPr>
                <w:rFonts w:ascii="宋体" w:hAnsi="宋体"/>
                <w:color w:val="000000"/>
                <w:sz w:val="24"/>
              </w:rPr>
            </w:pPr>
            <w:r>
              <w:rPr>
                <w:rFonts w:ascii="宋体" w:hAnsi="宋体"/>
                <w:color w:val="000000"/>
                <w:sz w:val="24"/>
              </w:rPr>
              <w:t>营业执照等</w:t>
            </w:r>
          </w:p>
          <w:p>
            <w:pPr>
              <w:tabs>
                <w:tab w:val="left" w:pos="1080"/>
              </w:tabs>
              <w:snapToGrid w:val="0"/>
              <w:jc w:val="center"/>
              <w:rPr>
                <w:rFonts w:ascii="宋体" w:hAnsi="宋体"/>
                <w:color w:val="000000"/>
                <w:sz w:val="24"/>
              </w:rPr>
            </w:pPr>
            <w:r>
              <w:rPr>
                <w:rFonts w:ascii="宋体" w:hAnsi="宋体"/>
                <w:color w:val="000000"/>
                <w:sz w:val="24"/>
              </w:rPr>
              <w:t>证明文件</w:t>
            </w:r>
          </w:p>
        </w:tc>
        <w:tc>
          <w:tcPr>
            <w:tcW w:w="2596" w:type="pct"/>
            <w:vAlign w:val="center"/>
          </w:tcPr>
          <w:p>
            <w:pPr>
              <w:tabs>
                <w:tab w:val="left" w:pos="1080"/>
              </w:tabs>
              <w:snapToGrid w:val="0"/>
              <w:rPr>
                <w:rFonts w:ascii="宋体" w:hAnsi="宋体"/>
                <w:color w:val="000000"/>
                <w:sz w:val="24"/>
              </w:rPr>
            </w:pPr>
            <w:r>
              <w:rPr>
                <w:rFonts w:ascii="宋体" w:hAnsi="宋体"/>
                <w:color w:val="000000"/>
                <w:sz w:val="24"/>
              </w:rPr>
              <w:t>投标人为企业（包括合伙企业）的，应提供有效的“营业执照”；</w:t>
            </w:r>
          </w:p>
          <w:p>
            <w:pPr>
              <w:tabs>
                <w:tab w:val="left" w:pos="1080"/>
              </w:tabs>
              <w:snapToGrid w:val="0"/>
              <w:rPr>
                <w:rFonts w:ascii="宋体" w:hAnsi="宋体"/>
                <w:color w:val="000000"/>
                <w:sz w:val="24"/>
              </w:rPr>
            </w:pPr>
            <w:r>
              <w:rPr>
                <w:rFonts w:ascii="宋体" w:hAnsi="宋体"/>
                <w:color w:val="000000"/>
                <w:sz w:val="24"/>
              </w:rPr>
              <w:t>投标人为事业单位的，应提供有效的“事业单位法人证书”；</w:t>
            </w:r>
          </w:p>
          <w:p>
            <w:pPr>
              <w:tabs>
                <w:tab w:val="left" w:pos="1080"/>
              </w:tabs>
              <w:snapToGrid w:val="0"/>
              <w:rPr>
                <w:rFonts w:ascii="宋体" w:hAnsi="宋体"/>
                <w:color w:val="000000"/>
                <w:sz w:val="24"/>
              </w:rPr>
            </w:pPr>
            <w:r>
              <w:rPr>
                <w:rFonts w:hint="eastAsia" w:ascii="宋体" w:hAnsi="宋体"/>
                <w:color w:val="000000"/>
                <w:sz w:val="24"/>
              </w:rPr>
              <w:t>投标人是非企业机构的，应提供有效的“执业许可证”、“登记证书”等证明文件；</w:t>
            </w:r>
          </w:p>
          <w:p>
            <w:pPr>
              <w:tabs>
                <w:tab w:val="left" w:pos="1080"/>
              </w:tabs>
              <w:snapToGrid w:val="0"/>
              <w:rPr>
                <w:rFonts w:ascii="宋体" w:hAnsi="宋体"/>
                <w:color w:val="000000"/>
                <w:sz w:val="24"/>
              </w:rPr>
            </w:pPr>
            <w:r>
              <w:rPr>
                <w:rFonts w:ascii="宋体" w:hAnsi="宋体"/>
                <w:color w:val="000000"/>
                <w:sz w:val="24"/>
              </w:rPr>
              <w:t>投标人是个体工商户的，应提供有效的“个体工商户营业执照”；</w:t>
            </w:r>
          </w:p>
          <w:p>
            <w:pPr>
              <w:tabs>
                <w:tab w:val="left" w:pos="1080"/>
              </w:tabs>
              <w:snapToGrid w:val="0"/>
              <w:rPr>
                <w:rFonts w:ascii="宋体" w:hAnsi="宋体"/>
                <w:color w:val="000000"/>
                <w:sz w:val="24"/>
              </w:rPr>
            </w:pPr>
            <w:r>
              <w:rPr>
                <w:rFonts w:ascii="宋体" w:hAnsi="宋体"/>
                <w:color w:val="000000"/>
                <w:sz w:val="24"/>
              </w:rPr>
              <w:t>投标人是自然人的，应提供有效的自然人身份证明。</w:t>
            </w:r>
          </w:p>
          <w:p>
            <w:pPr>
              <w:tabs>
                <w:tab w:val="left" w:pos="1080"/>
              </w:tabs>
              <w:snapToGrid w:val="0"/>
              <w:rPr>
                <w:rFonts w:ascii="宋体" w:hAnsi="宋体"/>
                <w:color w:val="000000"/>
                <w:sz w:val="24"/>
              </w:rPr>
            </w:pPr>
            <w:r>
              <w:rPr>
                <w:rFonts w:hint="eastAsia" w:ascii="宋体" w:hAnsi="宋体"/>
                <w:color w:val="000000"/>
                <w:sz w:val="24"/>
              </w:rPr>
              <w:t>若本项目允许分支机构参加投标，则分支机构参加投标的，此处可提供该分支机构或其所属法人或其他组织的相应证明文件。</w:t>
            </w:r>
          </w:p>
        </w:tc>
        <w:tc>
          <w:tcPr>
            <w:tcW w:w="882" w:type="pct"/>
            <w:vAlign w:val="center"/>
          </w:tcPr>
          <w:p>
            <w:pPr>
              <w:tabs>
                <w:tab w:val="left" w:pos="1080"/>
              </w:tabs>
              <w:snapToGrid w:val="0"/>
              <w:rPr>
                <w:rFonts w:ascii="宋体" w:hAnsi="宋体"/>
                <w:color w:val="000000"/>
                <w:sz w:val="24"/>
              </w:rPr>
            </w:pPr>
            <w:r>
              <w:rPr>
                <w:rFonts w:ascii="宋体" w:hAnsi="宋体"/>
                <w:color w:val="000000"/>
                <w:sz w:val="24"/>
              </w:rPr>
              <w:t>提供证明文件的</w:t>
            </w:r>
            <w:r>
              <w:rPr>
                <w:rFonts w:hint="eastAsia" w:ascii="宋体" w:hAnsi="宋体"/>
                <w:color w:val="000000"/>
                <w:sz w:val="24"/>
              </w:rPr>
              <w:t>复印件</w:t>
            </w:r>
            <w:r>
              <w:rPr>
                <w:rFonts w:ascii="宋体" w:hAnsi="宋体"/>
                <w:color w:val="000000"/>
                <w:sz w:val="24"/>
              </w:rPr>
              <w:t>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olor w:val="000000"/>
                <w:sz w:val="24"/>
              </w:rPr>
            </w:pPr>
            <w:r>
              <w:rPr>
                <w:rFonts w:ascii="宋体" w:hAnsi="宋体"/>
                <w:color w:val="000000"/>
                <w:sz w:val="24"/>
              </w:rPr>
              <w:t>1-2</w:t>
            </w:r>
          </w:p>
        </w:tc>
        <w:tc>
          <w:tcPr>
            <w:tcW w:w="1067" w:type="pct"/>
            <w:vAlign w:val="center"/>
          </w:tcPr>
          <w:p>
            <w:pPr>
              <w:tabs>
                <w:tab w:val="left" w:pos="1080"/>
              </w:tabs>
              <w:snapToGrid w:val="0"/>
              <w:jc w:val="center"/>
              <w:rPr>
                <w:rFonts w:ascii="宋体" w:hAnsi="宋体"/>
                <w:color w:val="000000"/>
                <w:sz w:val="24"/>
              </w:rPr>
            </w:pPr>
            <w:r>
              <w:rPr>
                <w:rFonts w:ascii="宋体" w:hAnsi="宋体"/>
                <w:color w:val="000000"/>
                <w:sz w:val="24"/>
              </w:rPr>
              <w:t>投标人资格</w:t>
            </w:r>
          </w:p>
          <w:p>
            <w:pPr>
              <w:tabs>
                <w:tab w:val="left" w:pos="1080"/>
              </w:tabs>
              <w:snapToGrid w:val="0"/>
              <w:jc w:val="center"/>
              <w:rPr>
                <w:rFonts w:ascii="宋体" w:hAnsi="宋体"/>
                <w:color w:val="000000"/>
                <w:sz w:val="24"/>
              </w:rPr>
            </w:pPr>
            <w:r>
              <w:rPr>
                <w:rFonts w:ascii="宋体" w:hAnsi="宋体"/>
                <w:color w:val="000000"/>
                <w:sz w:val="24"/>
              </w:rPr>
              <w:t>声明书</w:t>
            </w:r>
          </w:p>
        </w:tc>
        <w:tc>
          <w:tcPr>
            <w:tcW w:w="2596" w:type="pct"/>
            <w:vAlign w:val="center"/>
          </w:tcPr>
          <w:p>
            <w:pPr>
              <w:tabs>
                <w:tab w:val="left" w:pos="1080"/>
              </w:tabs>
              <w:snapToGrid w:val="0"/>
              <w:rPr>
                <w:rFonts w:ascii="宋体" w:hAnsi="宋体"/>
                <w:color w:val="000000"/>
                <w:sz w:val="24"/>
              </w:rPr>
            </w:pPr>
            <w:r>
              <w:rPr>
                <w:rFonts w:ascii="宋体" w:hAnsi="宋体"/>
                <w:color w:val="000000"/>
                <w:sz w:val="24"/>
              </w:rPr>
              <w:t>提供了符合招标文件要求的《投标人资格声明书》。</w:t>
            </w:r>
          </w:p>
        </w:tc>
        <w:tc>
          <w:tcPr>
            <w:tcW w:w="882" w:type="pct"/>
            <w:vAlign w:val="center"/>
          </w:tcPr>
          <w:p>
            <w:pPr>
              <w:tabs>
                <w:tab w:val="left" w:pos="1080"/>
              </w:tabs>
              <w:snapToGrid w:val="0"/>
              <w:rPr>
                <w:rFonts w:ascii="宋体" w:hAnsi="宋体"/>
                <w:color w:val="000000"/>
                <w:sz w:val="24"/>
              </w:rPr>
            </w:pPr>
            <w:r>
              <w:rPr>
                <w:rFonts w:ascii="宋体" w:hAnsi="宋体"/>
                <w:color w:val="000000"/>
                <w:sz w:val="24"/>
              </w:rPr>
              <w:t>格式见</w:t>
            </w:r>
            <w:r>
              <w:rPr>
                <w:rFonts w:hint="eastAsia" w:ascii="宋体" w:hAnsi="宋体"/>
                <w:color w:val="000000"/>
                <w:sz w:val="24"/>
              </w:rPr>
              <w:t>附件6-2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olor w:val="000000"/>
                <w:sz w:val="24"/>
              </w:rPr>
            </w:pPr>
            <w:r>
              <w:rPr>
                <w:rFonts w:hint="eastAsia" w:ascii="宋体" w:hAnsi="宋体"/>
                <w:color w:val="000000"/>
                <w:sz w:val="24"/>
              </w:rPr>
              <w:t>1-</w:t>
            </w:r>
            <w:r>
              <w:rPr>
                <w:rFonts w:ascii="宋体" w:hAnsi="宋体"/>
                <w:color w:val="000000"/>
                <w:sz w:val="24"/>
              </w:rPr>
              <w:t>3</w:t>
            </w:r>
          </w:p>
        </w:tc>
        <w:tc>
          <w:tcPr>
            <w:tcW w:w="1067" w:type="pct"/>
            <w:vAlign w:val="center"/>
          </w:tcPr>
          <w:p>
            <w:pPr>
              <w:tabs>
                <w:tab w:val="left" w:pos="1080"/>
              </w:tabs>
              <w:snapToGrid w:val="0"/>
              <w:jc w:val="center"/>
              <w:rPr>
                <w:rFonts w:ascii="宋体" w:hAnsi="宋体"/>
                <w:color w:val="000000"/>
                <w:sz w:val="24"/>
              </w:rPr>
            </w:pPr>
            <w:r>
              <w:rPr>
                <w:rFonts w:ascii="宋体" w:hAnsi="宋体"/>
                <w:color w:val="000000"/>
                <w:sz w:val="24"/>
              </w:rPr>
              <w:t>投标人信用</w:t>
            </w:r>
          </w:p>
          <w:p>
            <w:pPr>
              <w:tabs>
                <w:tab w:val="left" w:pos="1080"/>
              </w:tabs>
              <w:snapToGrid w:val="0"/>
              <w:jc w:val="center"/>
              <w:rPr>
                <w:rFonts w:ascii="宋体" w:hAnsi="宋体"/>
                <w:color w:val="000000"/>
                <w:sz w:val="24"/>
              </w:rPr>
            </w:pPr>
            <w:r>
              <w:rPr>
                <w:rFonts w:ascii="宋体" w:hAnsi="宋体"/>
                <w:color w:val="000000"/>
                <w:sz w:val="24"/>
              </w:rPr>
              <w:t>记录</w:t>
            </w:r>
          </w:p>
        </w:tc>
        <w:tc>
          <w:tcPr>
            <w:tcW w:w="2596" w:type="pct"/>
            <w:vAlign w:val="center"/>
          </w:tcPr>
          <w:p>
            <w:pPr>
              <w:tabs>
                <w:tab w:val="left" w:pos="1080"/>
              </w:tabs>
              <w:snapToGrid w:val="0"/>
              <w:jc w:val="left"/>
              <w:rPr>
                <w:rFonts w:ascii="宋体" w:hAnsi="宋体"/>
                <w:color w:val="000000"/>
                <w:sz w:val="24"/>
              </w:rPr>
            </w:pPr>
            <w:r>
              <w:rPr>
                <w:rFonts w:ascii="宋体" w:hAnsi="宋体"/>
                <w:color w:val="000000"/>
                <w:sz w:val="24"/>
              </w:rPr>
              <w:t>查询渠道：信用中国网站和中国政府采购网（www.creditchina.gov.cn、www.ccgp.gov.cn）；</w:t>
            </w:r>
          </w:p>
          <w:p>
            <w:pPr>
              <w:tabs>
                <w:tab w:val="left" w:pos="1080"/>
              </w:tabs>
              <w:snapToGrid w:val="0"/>
              <w:jc w:val="left"/>
              <w:rPr>
                <w:rFonts w:ascii="宋体" w:hAnsi="宋体"/>
                <w:color w:val="000000"/>
                <w:sz w:val="24"/>
              </w:rPr>
            </w:pPr>
            <w:r>
              <w:rPr>
                <w:rFonts w:ascii="宋体" w:hAnsi="宋体"/>
                <w:color w:val="000000"/>
                <w:sz w:val="24"/>
              </w:rPr>
              <w:t>截止时点：投标截止时间以后、</w:t>
            </w:r>
            <w:r>
              <w:rPr>
                <w:rFonts w:hint="eastAsia" w:ascii="宋体" w:hAnsi="宋体"/>
                <w:color w:val="000000"/>
                <w:sz w:val="24"/>
              </w:rPr>
              <w:t>资格审查阶段采购人或</w:t>
            </w:r>
            <w:r>
              <w:rPr>
                <w:rFonts w:ascii="宋体" w:hAnsi="宋体"/>
                <w:color w:val="000000"/>
                <w:sz w:val="24"/>
              </w:rPr>
              <w:t>采购代理机构的实际查询时间；</w:t>
            </w:r>
          </w:p>
          <w:p>
            <w:pPr>
              <w:tabs>
                <w:tab w:val="left" w:pos="900"/>
                <w:tab w:val="left" w:pos="1980"/>
              </w:tabs>
              <w:snapToGrid w:val="0"/>
              <w:jc w:val="left"/>
              <w:rPr>
                <w:rFonts w:ascii="宋体" w:hAnsi="宋体"/>
                <w:color w:val="000000"/>
                <w:sz w:val="24"/>
              </w:rPr>
            </w:pPr>
            <w:r>
              <w:rPr>
                <w:rFonts w:ascii="宋体" w:hAnsi="宋体"/>
                <w:color w:val="000000"/>
                <w:sz w:val="24"/>
              </w:rPr>
              <w:t>信用信息查询记录和证据留存具体方式：查询结果网页打印页作为查询记录和证据，与其他采购文件一并保存；</w:t>
            </w:r>
          </w:p>
          <w:p>
            <w:pPr>
              <w:tabs>
                <w:tab w:val="left" w:pos="1080"/>
              </w:tabs>
              <w:snapToGrid w:val="0"/>
              <w:jc w:val="left"/>
              <w:rPr>
                <w:rFonts w:ascii="宋体" w:hAnsi="宋体"/>
                <w:color w:val="000000"/>
                <w:sz w:val="24"/>
              </w:rPr>
            </w:pPr>
            <w:r>
              <w:rPr>
                <w:rFonts w:ascii="宋体" w:hAnsi="宋体"/>
                <w:color w:val="000000"/>
                <w:sz w:val="24"/>
              </w:rPr>
              <w:t>信用信息的使用原则：经认定的被列入失信被执行人、重大税收违法案件当事人名单、政府采购严重违法失信行为记录名单的投标人，其</w:t>
            </w:r>
            <w:r>
              <w:rPr>
                <w:rFonts w:ascii="宋体" w:hAnsi="宋体"/>
                <w:b/>
                <w:color w:val="000000"/>
                <w:sz w:val="24"/>
              </w:rPr>
              <w:t>投标无效</w:t>
            </w:r>
            <w:r>
              <w:rPr>
                <w:rFonts w:ascii="宋体" w:hAnsi="宋体"/>
                <w:color w:val="000000"/>
                <w:sz w:val="24"/>
              </w:rPr>
              <w:t>。联合体形式投标的，联合体成员存在不良信用记录，视同联合体存在不良信用记录。</w:t>
            </w:r>
          </w:p>
        </w:tc>
        <w:tc>
          <w:tcPr>
            <w:tcW w:w="882" w:type="pct"/>
            <w:vAlign w:val="center"/>
          </w:tcPr>
          <w:p>
            <w:pPr>
              <w:tabs>
                <w:tab w:val="left" w:pos="1080"/>
              </w:tabs>
              <w:snapToGrid w:val="0"/>
              <w:rPr>
                <w:rFonts w:ascii="宋体" w:hAnsi="宋体"/>
                <w:color w:val="000000"/>
                <w:sz w:val="24"/>
              </w:rPr>
            </w:pPr>
            <w:r>
              <w:rPr>
                <w:rFonts w:ascii="宋体" w:hAnsi="宋体"/>
                <w:color w:val="000000"/>
                <w:sz w:val="24"/>
              </w:rPr>
              <w:t>无须投标人提供，由采购人或采购代理机构查询。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olor w:val="000000"/>
                <w:sz w:val="24"/>
              </w:rPr>
            </w:pPr>
            <w:r>
              <w:rPr>
                <w:rFonts w:ascii="宋体" w:hAnsi="宋体"/>
                <w:color w:val="000000"/>
                <w:sz w:val="24"/>
              </w:rPr>
              <w:t>2</w:t>
            </w:r>
          </w:p>
        </w:tc>
        <w:tc>
          <w:tcPr>
            <w:tcW w:w="1067" w:type="pct"/>
            <w:vAlign w:val="center"/>
          </w:tcPr>
          <w:p>
            <w:pPr>
              <w:tabs>
                <w:tab w:val="left" w:pos="1080"/>
              </w:tabs>
              <w:snapToGrid w:val="0"/>
              <w:jc w:val="center"/>
              <w:rPr>
                <w:rFonts w:ascii="宋体" w:hAnsi="宋体"/>
                <w:color w:val="000000"/>
                <w:sz w:val="24"/>
              </w:rPr>
            </w:pPr>
            <w:r>
              <w:rPr>
                <w:rFonts w:ascii="宋体" w:hAnsi="宋体"/>
                <w:color w:val="000000"/>
                <w:sz w:val="24"/>
              </w:rPr>
              <w:t>落实政府采购政策需满足的资格要求</w:t>
            </w:r>
          </w:p>
        </w:tc>
        <w:tc>
          <w:tcPr>
            <w:tcW w:w="2596" w:type="pct"/>
            <w:vAlign w:val="center"/>
          </w:tcPr>
          <w:p>
            <w:pPr>
              <w:tabs>
                <w:tab w:val="left" w:pos="1080"/>
              </w:tabs>
              <w:snapToGrid w:val="0"/>
              <w:rPr>
                <w:rFonts w:ascii="宋体" w:hAnsi="宋体"/>
                <w:color w:val="000000"/>
                <w:sz w:val="24"/>
              </w:rPr>
            </w:pPr>
            <w:r>
              <w:rPr>
                <w:rFonts w:ascii="宋体" w:hAnsi="宋体"/>
                <w:color w:val="000000"/>
                <w:sz w:val="24"/>
              </w:rPr>
              <w:t>具体要求见第一章《</w:t>
            </w:r>
            <w:r>
              <w:rPr>
                <w:rFonts w:hint="eastAsia" w:ascii="宋体" w:hAnsi="宋体"/>
                <w:color w:val="000000"/>
                <w:sz w:val="24"/>
              </w:rPr>
              <w:t>投标邀请</w:t>
            </w:r>
            <w:r>
              <w:rPr>
                <w:rFonts w:ascii="宋体" w:hAnsi="宋体"/>
                <w:color w:val="000000"/>
                <w:sz w:val="24"/>
              </w:rPr>
              <w:t>》</w:t>
            </w:r>
          </w:p>
        </w:tc>
        <w:tc>
          <w:tcPr>
            <w:tcW w:w="882" w:type="pct"/>
            <w:vAlign w:val="center"/>
          </w:tcPr>
          <w:p>
            <w:pPr>
              <w:tabs>
                <w:tab w:val="left" w:pos="1080"/>
              </w:tabs>
              <w:snapToGrid w:val="0"/>
              <w:rPr>
                <w:rFonts w:ascii="宋体" w:hAnsi="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olor w:val="000000"/>
                <w:sz w:val="24"/>
              </w:rPr>
            </w:pPr>
            <w:r>
              <w:rPr>
                <w:rFonts w:ascii="宋体" w:hAnsi="宋体"/>
                <w:color w:val="000000"/>
                <w:sz w:val="24"/>
              </w:rPr>
              <w:t>2-1</w:t>
            </w:r>
          </w:p>
        </w:tc>
        <w:tc>
          <w:tcPr>
            <w:tcW w:w="1067" w:type="pct"/>
            <w:vAlign w:val="center"/>
          </w:tcPr>
          <w:p>
            <w:pPr>
              <w:tabs>
                <w:tab w:val="left" w:pos="1080"/>
              </w:tabs>
              <w:snapToGrid w:val="0"/>
              <w:jc w:val="center"/>
              <w:rPr>
                <w:rFonts w:ascii="宋体" w:hAnsi="宋体"/>
                <w:color w:val="000000"/>
                <w:sz w:val="24"/>
              </w:rPr>
            </w:pPr>
            <w:r>
              <w:rPr>
                <w:rFonts w:ascii="宋体" w:hAnsi="宋体"/>
                <w:color w:val="000000"/>
                <w:sz w:val="24"/>
              </w:rPr>
              <w:t>中小企业</w:t>
            </w:r>
          </w:p>
          <w:p>
            <w:pPr>
              <w:tabs>
                <w:tab w:val="left" w:pos="1080"/>
              </w:tabs>
              <w:snapToGrid w:val="0"/>
              <w:jc w:val="center"/>
              <w:rPr>
                <w:rFonts w:ascii="宋体" w:hAnsi="宋体"/>
                <w:color w:val="000000"/>
                <w:sz w:val="24"/>
              </w:rPr>
            </w:pPr>
            <w:r>
              <w:rPr>
                <w:rFonts w:ascii="宋体" w:hAnsi="宋体"/>
                <w:color w:val="000000"/>
                <w:sz w:val="24"/>
              </w:rPr>
              <w:t>声明函</w:t>
            </w:r>
          </w:p>
        </w:tc>
        <w:tc>
          <w:tcPr>
            <w:tcW w:w="2596" w:type="pct"/>
            <w:vAlign w:val="center"/>
          </w:tcPr>
          <w:p>
            <w:pPr>
              <w:tabs>
                <w:tab w:val="left" w:pos="1080"/>
              </w:tabs>
              <w:snapToGrid w:val="0"/>
              <w:rPr>
                <w:rFonts w:ascii="宋体" w:hAnsi="宋体"/>
                <w:color w:val="000000"/>
                <w:sz w:val="24"/>
              </w:rPr>
            </w:pPr>
            <w:r>
              <w:rPr>
                <w:rFonts w:ascii="宋体" w:hAnsi="宋体"/>
                <w:color w:val="000000"/>
                <w:sz w:val="24"/>
              </w:rPr>
              <w:t>当本项目（包）涉及预留份额专门面向中小企业采购</w:t>
            </w:r>
            <w:r>
              <w:rPr>
                <w:rFonts w:hint="eastAsia" w:ascii="宋体" w:hAnsi="宋体"/>
                <w:color w:val="000000"/>
                <w:sz w:val="24"/>
              </w:rPr>
              <w:t>，</w:t>
            </w:r>
            <w:r>
              <w:rPr>
                <w:rFonts w:ascii="宋体" w:hAnsi="宋体"/>
                <w:color w:val="000000"/>
                <w:sz w:val="24"/>
              </w:rPr>
              <w:t>此时建议在《证明文件》中提供。</w:t>
            </w:r>
          </w:p>
          <w:p>
            <w:pPr>
              <w:tabs>
                <w:tab w:val="left" w:pos="1080"/>
              </w:tabs>
              <w:snapToGrid w:val="0"/>
              <w:rPr>
                <w:rFonts w:ascii="宋体" w:hAnsi="宋体"/>
                <w:color w:val="000000"/>
                <w:sz w:val="24"/>
              </w:rPr>
            </w:pPr>
            <w:r>
              <w:rPr>
                <w:rFonts w:hint="eastAsia" w:ascii="宋体" w:hAnsi="宋体"/>
                <w:color w:val="000000"/>
                <w:sz w:val="24"/>
              </w:rPr>
              <w:t>1、投标人单独投标的，应提供中小企业声明函；如为监狱企业或</w:t>
            </w:r>
            <w:r>
              <w:rPr>
                <w:rFonts w:ascii="宋体" w:hAnsi="宋体"/>
                <w:color w:val="000000"/>
                <w:sz w:val="24"/>
              </w:rPr>
              <w:t>残疾人福利性单位</w:t>
            </w:r>
            <w:r>
              <w:rPr>
                <w:rFonts w:hint="eastAsia" w:ascii="宋体" w:hAnsi="宋体"/>
                <w:color w:val="000000"/>
                <w:sz w:val="24"/>
              </w:rPr>
              <w:t>，不必提供中小企业声明函，但须按注1或注2要求提供证明材料。</w:t>
            </w:r>
          </w:p>
          <w:p>
            <w:pPr>
              <w:tabs>
                <w:tab w:val="left" w:pos="1080"/>
              </w:tabs>
              <w:snapToGrid w:val="0"/>
              <w:rPr>
                <w:rFonts w:ascii="宋体" w:hAnsi="宋体"/>
                <w:color w:val="000000"/>
                <w:sz w:val="24"/>
              </w:rPr>
            </w:pPr>
            <w:r>
              <w:rPr>
                <w:rFonts w:hint="eastAsia" w:ascii="宋体" w:hAnsi="宋体"/>
                <w:color w:val="000000"/>
                <w:sz w:val="24"/>
              </w:rPr>
              <w:t>2、如招标文件</w:t>
            </w:r>
            <w:r>
              <w:rPr>
                <w:rFonts w:ascii="宋体" w:hAnsi="宋体"/>
                <w:color w:val="000000"/>
                <w:sz w:val="24"/>
              </w:rPr>
              <w:t>要求以联合体形式参加或者要求合同分包的，</w:t>
            </w:r>
            <w:r>
              <w:rPr>
                <w:rFonts w:hint="eastAsia" w:ascii="宋体" w:hAnsi="宋体"/>
                <w:color w:val="000000"/>
                <w:sz w:val="24"/>
              </w:rPr>
              <w:t>且投标人为联合体或拟进行合同分包的，则</w:t>
            </w:r>
            <w:r>
              <w:rPr>
                <w:rFonts w:ascii="宋体" w:hAnsi="宋体"/>
                <w:color w:val="000000"/>
                <w:sz w:val="24"/>
              </w:rPr>
              <w:t>联合体中的中小企业、签订分包意向协议的中小企业具体情况须在《中小企业声明函》中如实填报。</w:t>
            </w:r>
            <w:r>
              <w:rPr>
                <w:rFonts w:hint="eastAsia" w:ascii="宋体" w:hAnsi="宋体"/>
                <w:color w:val="000000"/>
                <w:sz w:val="24"/>
              </w:rPr>
              <w:t>上述中小企业如为监狱企业或</w:t>
            </w:r>
            <w:r>
              <w:rPr>
                <w:rFonts w:ascii="宋体" w:hAnsi="宋体"/>
                <w:color w:val="000000"/>
                <w:sz w:val="24"/>
              </w:rPr>
              <w:t>残疾人福利性单位</w:t>
            </w:r>
            <w:r>
              <w:rPr>
                <w:rFonts w:hint="eastAsia" w:ascii="宋体" w:hAnsi="宋体"/>
                <w:color w:val="000000"/>
                <w:sz w:val="24"/>
              </w:rPr>
              <w:t>应在声明函中如实列明单位性质，并按注1或注2要求提供证明材料。</w:t>
            </w:r>
          </w:p>
          <w:p>
            <w:pPr>
              <w:tabs>
                <w:tab w:val="left" w:pos="1080"/>
              </w:tabs>
              <w:snapToGrid w:val="0"/>
              <w:rPr>
                <w:rFonts w:ascii="宋体" w:hAnsi="宋体"/>
                <w:color w:val="000000"/>
                <w:sz w:val="24"/>
              </w:rPr>
            </w:pPr>
          </w:p>
          <w:p>
            <w:pPr>
              <w:tabs>
                <w:tab w:val="left" w:pos="1080"/>
              </w:tabs>
              <w:snapToGrid w:val="0"/>
              <w:rPr>
                <w:rFonts w:ascii="宋体" w:hAnsi="宋体"/>
                <w:color w:val="000000"/>
                <w:sz w:val="24"/>
              </w:rPr>
            </w:pPr>
            <w:r>
              <w:rPr>
                <w:rFonts w:hint="eastAsia" w:ascii="宋体" w:hAnsi="宋体"/>
                <w:color w:val="000000"/>
                <w:sz w:val="24"/>
              </w:rPr>
              <w:t>注1：</w:t>
            </w:r>
            <w:r>
              <w:rPr>
                <w:rFonts w:ascii="宋体" w:hAnsi="宋体"/>
                <w:color w:val="000000"/>
                <w:sz w:val="24"/>
              </w:rPr>
              <w:t>监狱企业须提供由省级以上监狱管理局（北京市含教育矫治局）、戒毒管理局（含新疆生产建设兵团）出具的属于监狱企业的证明文件。</w:t>
            </w:r>
          </w:p>
          <w:p>
            <w:pPr>
              <w:tabs>
                <w:tab w:val="left" w:pos="1080"/>
              </w:tabs>
              <w:snapToGrid w:val="0"/>
              <w:rPr>
                <w:rFonts w:ascii="宋体" w:hAnsi="宋体"/>
                <w:color w:val="000000"/>
                <w:sz w:val="24"/>
              </w:rPr>
            </w:pPr>
            <w:r>
              <w:rPr>
                <w:rFonts w:hint="eastAsia" w:ascii="宋体" w:hAnsi="宋体"/>
                <w:color w:val="000000"/>
                <w:sz w:val="24"/>
              </w:rPr>
              <w:t>注2：</w:t>
            </w:r>
            <w:r>
              <w:rPr>
                <w:rFonts w:ascii="宋体" w:hAnsi="宋体"/>
                <w:color w:val="000000"/>
                <w:sz w:val="24"/>
              </w:rPr>
              <w:t>残疾人福利性单位须按招标文件要求提供《残疾人福利性单位声明函》。</w:t>
            </w:r>
          </w:p>
        </w:tc>
        <w:tc>
          <w:tcPr>
            <w:tcW w:w="882" w:type="pct"/>
            <w:vAlign w:val="center"/>
          </w:tcPr>
          <w:p>
            <w:pPr>
              <w:tabs>
                <w:tab w:val="left" w:pos="1080"/>
              </w:tabs>
              <w:snapToGrid w:val="0"/>
              <w:rPr>
                <w:rFonts w:ascii="宋体" w:hAnsi="宋体"/>
                <w:color w:val="000000"/>
                <w:sz w:val="24"/>
              </w:rPr>
            </w:pPr>
            <w:r>
              <w:rPr>
                <w:rFonts w:ascii="宋体" w:hAnsi="宋体"/>
                <w:color w:val="000000"/>
                <w:sz w:val="24"/>
              </w:rPr>
              <w:t>格式见</w:t>
            </w:r>
            <w:r>
              <w:rPr>
                <w:rFonts w:hint="eastAsia" w:ascii="宋体" w:hAnsi="宋体"/>
                <w:color w:val="000000"/>
                <w:sz w:val="24"/>
              </w:rPr>
              <w:t>附件6-3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pPr>
              <w:tabs>
                <w:tab w:val="left" w:pos="1080"/>
              </w:tabs>
              <w:snapToGrid w:val="0"/>
              <w:jc w:val="center"/>
              <w:rPr>
                <w:rFonts w:ascii="宋体" w:hAnsi="宋体"/>
                <w:color w:val="000000"/>
                <w:sz w:val="24"/>
              </w:rPr>
            </w:pPr>
            <w:r>
              <w:rPr>
                <w:rFonts w:ascii="宋体" w:hAnsi="宋体"/>
                <w:color w:val="000000"/>
                <w:sz w:val="24"/>
              </w:rPr>
              <w:t>3</w:t>
            </w:r>
          </w:p>
        </w:tc>
        <w:tc>
          <w:tcPr>
            <w:tcW w:w="1067" w:type="pct"/>
            <w:vAlign w:val="center"/>
          </w:tcPr>
          <w:p>
            <w:pPr>
              <w:tabs>
                <w:tab w:val="left" w:pos="1080"/>
              </w:tabs>
              <w:snapToGrid w:val="0"/>
              <w:jc w:val="center"/>
              <w:rPr>
                <w:rFonts w:ascii="宋体" w:hAnsi="宋体"/>
                <w:color w:val="000000"/>
                <w:sz w:val="24"/>
              </w:rPr>
            </w:pPr>
            <w:r>
              <w:rPr>
                <w:rFonts w:ascii="宋体" w:hAnsi="宋体"/>
                <w:color w:val="000000"/>
                <w:sz w:val="24"/>
              </w:rPr>
              <w:t>本项目的特定资格要求</w:t>
            </w:r>
          </w:p>
        </w:tc>
        <w:tc>
          <w:tcPr>
            <w:tcW w:w="2596" w:type="pct"/>
            <w:vAlign w:val="center"/>
          </w:tcPr>
          <w:p>
            <w:pPr>
              <w:tabs>
                <w:tab w:val="left" w:pos="1080"/>
              </w:tabs>
              <w:snapToGrid w:val="0"/>
              <w:rPr>
                <w:rFonts w:ascii="宋体" w:hAnsi="宋体"/>
                <w:color w:val="000000"/>
                <w:sz w:val="24"/>
              </w:rPr>
            </w:pPr>
            <w:r>
              <w:rPr>
                <w:rFonts w:hint="eastAsia" w:ascii="宋体" w:hAnsi="宋体"/>
                <w:color w:val="000000"/>
                <w:sz w:val="24"/>
              </w:rPr>
              <w:t>供应商须具有在有效期内的《</w:t>
            </w:r>
            <w:r>
              <w:rPr>
                <w:rFonts w:hint="eastAsia" w:ascii="宋体" w:hAnsi="宋体"/>
                <w:color w:val="000000"/>
                <w:sz w:val="24"/>
                <w:lang w:val="en-US" w:eastAsia="zh-CN"/>
              </w:rPr>
              <w:t>中华人民共和国特种设备检验检测机构核准证（无损检测机构）</w:t>
            </w:r>
            <w:r>
              <w:rPr>
                <w:rFonts w:hint="eastAsia" w:ascii="宋体" w:hAnsi="宋体"/>
                <w:color w:val="000000"/>
                <w:sz w:val="24"/>
              </w:rPr>
              <w:t>》</w:t>
            </w:r>
            <w:r>
              <w:rPr>
                <w:rFonts w:hint="eastAsia" w:ascii="宋体" w:hAnsi="宋体"/>
                <w:color w:val="000000"/>
                <w:sz w:val="24"/>
                <w:lang w:val="en-US" w:eastAsia="zh-CN"/>
              </w:rPr>
              <w:t>证书</w:t>
            </w:r>
          </w:p>
        </w:tc>
        <w:tc>
          <w:tcPr>
            <w:tcW w:w="882" w:type="pct"/>
            <w:vAlign w:val="center"/>
          </w:tcPr>
          <w:p>
            <w:pPr>
              <w:tabs>
                <w:tab w:val="left" w:pos="1080"/>
              </w:tabs>
              <w:snapToGrid w:val="0"/>
              <w:rPr>
                <w:rFonts w:ascii="宋体" w:hAnsi="宋体"/>
                <w:color w:val="000000"/>
                <w:sz w:val="24"/>
              </w:rPr>
            </w:pPr>
            <w:r>
              <w:rPr>
                <w:rFonts w:ascii="宋体" w:hAnsi="宋体"/>
                <w:color w:val="000000"/>
                <w:sz w:val="24"/>
              </w:rPr>
              <w:t>提供证明文件的</w:t>
            </w:r>
            <w:r>
              <w:rPr>
                <w:rFonts w:hint="eastAsia" w:ascii="宋体" w:hAnsi="宋体"/>
                <w:color w:val="000000"/>
                <w:sz w:val="24"/>
              </w:rPr>
              <w:t>复印件</w:t>
            </w:r>
            <w:r>
              <w:rPr>
                <w:rFonts w:ascii="宋体" w:hAnsi="宋体"/>
                <w:color w:val="000000"/>
                <w:sz w:val="24"/>
              </w:rPr>
              <w:t>加盖投标人公章</w:t>
            </w:r>
          </w:p>
        </w:tc>
      </w:tr>
    </w:tbl>
    <w:p>
      <w:pPr>
        <w:widowControl/>
        <w:jc w:val="left"/>
        <w:rPr>
          <w:rFonts w:ascii="宋体" w:hAnsi="宋体"/>
          <w:color w:val="000000"/>
          <w:sz w:val="24"/>
        </w:rPr>
      </w:pPr>
      <w:r>
        <w:rPr>
          <w:rFonts w:ascii="宋体" w:hAnsi="宋体"/>
          <w:color w:val="000000"/>
          <w:sz w:val="24"/>
        </w:rPr>
        <w:br w:type="page"/>
      </w:r>
    </w:p>
    <w:p>
      <w:pPr>
        <w:pStyle w:val="44"/>
        <w:spacing w:line="360" w:lineRule="auto"/>
        <w:rPr>
          <w:rFonts w:ascii="宋体" w:hAnsi="宋体" w:eastAsia="宋体" w:cs="宋体"/>
          <w:color w:val="000000"/>
          <w:sz w:val="24"/>
          <w:szCs w:val="24"/>
        </w:rPr>
      </w:pPr>
      <w:bookmarkStart w:id="507" w:name="_Toc100786182"/>
      <w:r>
        <w:rPr>
          <w:rFonts w:hint="eastAsia" w:ascii="宋体" w:hAnsi="宋体" w:eastAsia="宋体" w:cs="宋体"/>
          <w:color w:val="000000"/>
          <w:sz w:val="30"/>
          <w:szCs w:val="30"/>
        </w:rPr>
        <w:t xml:space="preserve">第六章  </w:t>
      </w:r>
      <w:bookmarkEnd w:id="499"/>
      <w:r>
        <w:rPr>
          <w:rFonts w:ascii="宋体" w:hAnsi="宋体" w:eastAsia="宋体" w:cs="宋体"/>
          <w:color w:val="000000"/>
          <w:sz w:val="30"/>
          <w:szCs w:val="30"/>
        </w:rPr>
        <w:t>评标程序、评标方法和评标标准</w:t>
      </w:r>
      <w:bookmarkEnd w:id="507"/>
    </w:p>
    <w:p>
      <w:pPr>
        <w:snapToGrid w:val="0"/>
        <w:spacing w:line="360" w:lineRule="auto"/>
        <w:rPr>
          <w:rFonts w:ascii="宋体" w:hAnsi="宋体" w:cs="宋体"/>
          <w:b/>
          <w:color w:val="000000"/>
          <w:sz w:val="24"/>
          <w:szCs w:val="24"/>
        </w:rPr>
      </w:pPr>
    </w:p>
    <w:p>
      <w:pPr>
        <w:pStyle w:val="2"/>
        <w:spacing w:line="360" w:lineRule="auto"/>
        <w:jc w:val="left"/>
        <w:rPr>
          <w:rFonts w:ascii="宋体" w:hAnsi="宋体"/>
          <w:color w:val="000000"/>
          <w:sz w:val="24"/>
          <w:szCs w:val="24"/>
        </w:rPr>
      </w:pPr>
      <w:bookmarkStart w:id="508" w:name="_Toc100786183"/>
      <w:bookmarkStart w:id="509" w:name="_Toc15435079"/>
      <w:bookmarkStart w:id="510" w:name="_Toc496291424"/>
      <w:bookmarkStart w:id="511" w:name="_Toc15039"/>
      <w:bookmarkStart w:id="512" w:name="_Toc85461436"/>
      <w:bookmarkStart w:id="513" w:name="_Toc83722624"/>
      <w:bookmarkStart w:id="514" w:name="_Toc17133"/>
      <w:bookmarkStart w:id="515" w:name="_Toc92789336"/>
      <w:bookmarkStart w:id="516" w:name="_Toc15319"/>
      <w:bookmarkStart w:id="517" w:name="_Toc9165"/>
      <w:bookmarkStart w:id="518" w:name="_Toc23372"/>
      <w:bookmarkStart w:id="519" w:name="_Toc12076"/>
      <w:bookmarkStart w:id="520" w:name="_Toc50760965"/>
      <w:bookmarkStart w:id="521" w:name="_Toc8999363"/>
      <w:r>
        <w:rPr>
          <w:rFonts w:hint="eastAsia" w:ascii="宋体" w:hAnsi="宋体"/>
          <w:color w:val="000000"/>
          <w:sz w:val="24"/>
          <w:szCs w:val="24"/>
        </w:rPr>
        <w:t>（一）总则</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pPr>
        <w:snapToGrid w:val="0"/>
        <w:spacing w:line="360" w:lineRule="auto"/>
        <w:rPr>
          <w:rFonts w:ascii="宋体" w:hAnsi="宋体" w:cs="宋体"/>
          <w:color w:val="000000"/>
          <w:sz w:val="24"/>
          <w:szCs w:val="24"/>
        </w:rPr>
      </w:pPr>
      <w:r>
        <w:rPr>
          <w:rFonts w:hint="eastAsia" w:ascii="宋体" w:hAnsi="宋体" w:cs="宋体"/>
          <w:color w:val="000000"/>
          <w:sz w:val="24"/>
          <w:szCs w:val="24"/>
        </w:rPr>
        <w:t>1.1  本办法为仅适用于本项目的评标。</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1.2  本办法是招标文件的组成部分。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1.3  评标工作由依法组建的评标委员会承担。评标委员会由采购人的代表以及受聘的经济、技术专家组成，评标委员会成员总人数为5人（含）以上单数，其中专家人数不少于评委总数的2/3。专家聘请遵从《中华人民共和国政府采购法》、《中华人民共和国政府采购法实施条例》等相关法律法规的有关规定。评标委员会推荐一名经济、技术专家为评标组长，将遵守公正、公平、科学、择优的原则，根据招标文件规定的评审方法和评分标准进行。</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1.4  </w:t>
      </w:r>
      <w:r>
        <w:rPr>
          <w:rFonts w:ascii="宋体" w:hAnsi="宋体" w:cs="宋体"/>
          <w:color w:val="000000"/>
          <w:sz w:val="24"/>
          <w:szCs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1.5  与投标人有利害关系的人员不得参与本项目的评审工作。评标委员会成员的名单在</w:t>
      </w:r>
      <w:r>
        <w:rPr>
          <w:rFonts w:ascii="宋体" w:hAnsi="宋体" w:cs="宋体"/>
          <w:color w:val="000000"/>
          <w:sz w:val="24"/>
          <w:szCs w:val="24"/>
        </w:rPr>
        <w:t>中标</w:t>
      </w:r>
      <w:r>
        <w:rPr>
          <w:rFonts w:hint="eastAsia" w:ascii="宋体" w:hAnsi="宋体" w:cs="宋体"/>
          <w:color w:val="000000"/>
          <w:sz w:val="24"/>
          <w:szCs w:val="24"/>
        </w:rPr>
        <w:t>结果确定前应当保密。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1.6  评标期间，评标人员必须严格遵守保密规定，不得泄露与评标有关的情况，不得索贿受贿，不得参加影响公正评标的任何活动。</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1.7  投标人不得采取任何方式干扰评标工作。</w:t>
      </w:r>
    </w:p>
    <w:p>
      <w:pPr>
        <w:pStyle w:val="2"/>
        <w:spacing w:line="360" w:lineRule="auto"/>
        <w:jc w:val="left"/>
        <w:rPr>
          <w:rFonts w:ascii="宋体" w:hAnsi="宋体"/>
          <w:color w:val="000000"/>
          <w:sz w:val="24"/>
          <w:szCs w:val="24"/>
        </w:rPr>
      </w:pPr>
      <w:bookmarkStart w:id="522" w:name="_Toc5932"/>
      <w:bookmarkStart w:id="523" w:name="_Toc50760966"/>
      <w:bookmarkStart w:id="524" w:name="_Toc11577"/>
      <w:bookmarkStart w:id="525" w:name="_Toc92789337"/>
      <w:bookmarkStart w:id="526" w:name="_Toc17268"/>
      <w:bookmarkStart w:id="527" w:name="_Toc15435080"/>
      <w:bookmarkStart w:id="528" w:name="_Toc8999364"/>
      <w:bookmarkStart w:id="529" w:name="_Toc83722625"/>
      <w:bookmarkStart w:id="530" w:name="_Toc496291425"/>
      <w:bookmarkStart w:id="531" w:name="_Toc25518"/>
      <w:bookmarkStart w:id="532" w:name="_Toc21568"/>
      <w:bookmarkStart w:id="533" w:name="_Toc27627"/>
      <w:bookmarkStart w:id="534" w:name="_Toc100786184"/>
      <w:bookmarkStart w:id="535" w:name="_Toc85461437"/>
      <w:r>
        <w:rPr>
          <w:rFonts w:hint="eastAsia" w:ascii="宋体" w:hAnsi="宋体"/>
          <w:color w:val="000000"/>
          <w:sz w:val="24"/>
          <w:szCs w:val="24"/>
        </w:rPr>
        <w:t>（二）评标委员会的工作内容</w:t>
      </w:r>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pPr>
        <w:snapToGrid w:val="0"/>
        <w:spacing w:line="360" w:lineRule="auto"/>
        <w:rPr>
          <w:rFonts w:ascii="宋体" w:hAnsi="宋体" w:cs="宋体"/>
          <w:color w:val="000000"/>
          <w:sz w:val="24"/>
          <w:szCs w:val="24"/>
        </w:rPr>
      </w:pPr>
      <w:r>
        <w:rPr>
          <w:rFonts w:hint="eastAsia" w:ascii="宋体" w:hAnsi="宋体" w:cs="宋体"/>
          <w:color w:val="000000"/>
          <w:sz w:val="24"/>
          <w:szCs w:val="24"/>
        </w:rPr>
        <w:t>2.1  审查、评价投标文件是否符合招标文件的商务、技术等实质性要求；</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2.2  要求投标人对投标文件有关事项作出澄清或者说明；</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2.3  对投标文件进行比较和评价；</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2.4  确定中标候选人名单，以及根据采购人委托直接确定中标人；</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2.5  向采购人、采购代理机构或者有关部门报告评标中发现的违法行为。</w:t>
      </w:r>
    </w:p>
    <w:p>
      <w:pPr>
        <w:pStyle w:val="2"/>
        <w:spacing w:line="360" w:lineRule="auto"/>
        <w:jc w:val="left"/>
        <w:rPr>
          <w:rFonts w:ascii="宋体" w:hAnsi="宋体"/>
          <w:color w:val="000000"/>
          <w:sz w:val="24"/>
          <w:szCs w:val="24"/>
        </w:rPr>
      </w:pPr>
      <w:bookmarkStart w:id="536" w:name="_Toc29745"/>
      <w:bookmarkStart w:id="537" w:name="_Toc85461438"/>
      <w:bookmarkStart w:id="538" w:name="_Toc83722626"/>
      <w:bookmarkStart w:id="539" w:name="_Toc8999365"/>
      <w:bookmarkStart w:id="540" w:name="_Toc92789338"/>
      <w:bookmarkStart w:id="541" w:name="_Toc8178"/>
      <w:bookmarkStart w:id="542" w:name="_Toc3236"/>
      <w:bookmarkStart w:id="543" w:name="_Toc496291426"/>
      <w:bookmarkStart w:id="544" w:name="_Toc25959"/>
      <w:bookmarkStart w:id="545" w:name="_Toc100786185"/>
      <w:bookmarkStart w:id="546" w:name="_Toc888"/>
      <w:bookmarkStart w:id="547" w:name="_Toc50760967"/>
      <w:bookmarkStart w:id="548" w:name="_Toc15435081"/>
      <w:bookmarkStart w:id="549" w:name="_Toc28871"/>
      <w:r>
        <w:rPr>
          <w:rFonts w:hint="eastAsia" w:ascii="宋体" w:hAnsi="宋体"/>
          <w:color w:val="000000"/>
          <w:sz w:val="24"/>
          <w:szCs w:val="24"/>
        </w:rPr>
        <w:t>（三）评标程序</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snapToGrid w:val="0"/>
        <w:spacing w:line="360" w:lineRule="auto"/>
        <w:rPr>
          <w:rFonts w:ascii="宋体" w:hAnsi="宋体" w:cs="宋体"/>
          <w:b/>
          <w:color w:val="000000"/>
          <w:sz w:val="24"/>
          <w:szCs w:val="24"/>
        </w:rPr>
      </w:pPr>
      <w:r>
        <w:rPr>
          <w:rFonts w:hint="eastAsia" w:ascii="宋体" w:hAnsi="宋体" w:cs="宋体"/>
          <w:color w:val="000000"/>
          <w:sz w:val="24"/>
          <w:szCs w:val="24"/>
        </w:rPr>
        <w:t>3.1  符合性审查</w:t>
      </w:r>
      <w:r>
        <w:rPr>
          <w:rFonts w:hint="eastAsia" w:ascii="宋体" w:hAnsi="宋体" w:cs="宋体"/>
          <w:bCs/>
          <w:color w:val="000000"/>
          <w:sz w:val="24"/>
          <w:szCs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3.2  澄清。</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3.3  商务、报价、技术部分评审。</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3.4  编写评标报告。</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3.5  定标。</w:t>
      </w:r>
    </w:p>
    <w:p>
      <w:pPr>
        <w:pStyle w:val="2"/>
        <w:spacing w:line="360" w:lineRule="auto"/>
        <w:jc w:val="left"/>
        <w:rPr>
          <w:rFonts w:ascii="宋体" w:hAnsi="宋体"/>
          <w:color w:val="000000"/>
          <w:sz w:val="24"/>
          <w:szCs w:val="24"/>
        </w:rPr>
      </w:pPr>
      <w:bookmarkStart w:id="550" w:name="_Toc15435082"/>
      <w:bookmarkStart w:id="551" w:name="_Toc92789339"/>
      <w:bookmarkStart w:id="552" w:name="_Toc22701"/>
      <w:bookmarkStart w:id="553" w:name="_Toc100786186"/>
      <w:bookmarkStart w:id="554" w:name="_Toc17101"/>
      <w:bookmarkStart w:id="555" w:name="_Toc496291427"/>
      <w:bookmarkStart w:id="556" w:name="_Toc25399"/>
      <w:bookmarkStart w:id="557" w:name="_Toc85461439"/>
      <w:bookmarkStart w:id="558" w:name="_Toc50760968"/>
      <w:bookmarkStart w:id="559" w:name="_Toc8999366"/>
      <w:bookmarkStart w:id="560" w:name="_Toc14363"/>
      <w:bookmarkStart w:id="561" w:name="_Toc83722627"/>
      <w:bookmarkStart w:id="562" w:name="_Toc5448"/>
      <w:bookmarkStart w:id="563" w:name="_Toc15845"/>
      <w:r>
        <w:rPr>
          <w:rFonts w:hint="eastAsia" w:ascii="宋体" w:hAnsi="宋体"/>
          <w:color w:val="000000"/>
          <w:sz w:val="24"/>
          <w:szCs w:val="24"/>
        </w:rPr>
        <w:t>（四）符合性评审</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pPr>
        <w:snapToGrid w:val="0"/>
        <w:spacing w:line="360" w:lineRule="auto"/>
        <w:rPr>
          <w:rFonts w:ascii="宋体" w:hAnsi="宋体" w:cs="宋体"/>
          <w:color w:val="000000"/>
          <w:sz w:val="24"/>
          <w:szCs w:val="24"/>
        </w:rPr>
      </w:pPr>
      <w:r>
        <w:rPr>
          <w:rFonts w:hint="eastAsia" w:ascii="宋体" w:hAnsi="宋体" w:cs="宋体"/>
          <w:color w:val="000000"/>
          <w:sz w:val="24"/>
          <w:szCs w:val="24"/>
        </w:rPr>
        <w:t>4.1  评标委员会将对通过资格审查的投标文件的符合性进行评审，</w:t>
      </w:r>
      <w:r>
        <w:rPr>
          <w:rFonts w:ascii="宋体" w:hAnsi="宋体"/>
          <w:color w:val="000000"/>
          <w:sz w:val="24"/>
        </w:rPr>
        <w:t>，以确定其是否满足招标文件的实质性要求。</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4.2  投标文件出现下列情形之一的，由评标委员会符合性评审后按无效投标处理：</w:t>
      </w:r>
    </w:p>
    <w:p>
      <w:pPr>
        <w:pStyle w:val="15"/>
        <w:snapToGrid w:val="0"/>
        <w:spacing w:line="360" w:lineRule="auto"/>
        <w:rPr>
          <w:rFonts w:ascii="宋体" w:hAnsi="宋体" w:cs="宋体"/>
          <w:b/>
          <w:bCs/>
          <w:color w:val="000000"/>
          <w:sz w:val="24"/>
        </w:rPr>
      </w:pPr>
      <w:r>
        <w:rPr>
          <w:rFonts w:hint="eastAsia" w:ascii="宋体" w:hAnsi="宋体" w:cs="宋体"/>
          <w:b/>
          <w:bCs/>
          <w:color w:val="000000"/>
          <w:sz w:val="24"/>
        </w:rPr>
        <w:t>4.2.1  投标文件的签署不符合本须知第14条规定的；</w:t>
      </w:r>
    </w:p>
    <w:p>
      <w:pPr>
        <w:pStyle w:val="15"/>
        <w:snapToGrid w:val="0"/>
        <w:spacing w:line="360" w:lineRule="auto"/>
        <w:rPr>
          <w:rFonts w:ascii="宋体" w:hAnsi="宋体" w:cs="宋体"/>
          <w:b/>
          <w:bCs/>
          <w:color w:val="000000"/>
          <w:sz w:val="24"/>
        </w:rPr>
      </w:pPr>
      <w:r>
        <w:rPr>
          <w:rFonts w:hint="eastAsia" w:ascii="宋体" w:hAnsi="宋体" w:cs="宋体"/>
          <w:b/>
          <w:bCs/>
          <w:color w:val="000000"/>
          <w:sz w:val="24"/>
        </w:rPr>
        <w:t>4.2.2  未能在实质上对招标文件提出的所有实质性要求和条件作出响应的；</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4.2.3  未按招标文件要求提交有效投标保证金的；</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4.2.4  投标文件的关键内容字迹模糊、无法辨认的；</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4.2.5  投标人递交两份或多份内容不同的投标文件，或在一份投标文件中对同一招标项目报有两个或多个报价，且未声明哪一个有效的；</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4.2.6  投标人以他人的名义投标、串通投标、以行贿手段谋取中标或者以其他弄虚作假方式投标的；</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4.2.7  投标人有下列情形之一的，视为串通投标，其投标无效：</w:t>
      </w:r>
    </w:p>
    <w:p>
      <w:pPr>
        <w:snapToGrid w:val="0"/>
        <w:spacing w:line="360" w:lineRule="auto"/>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7</w:t>
      </w:r>
      <w:r>
        <w:rPr>
          <w:rFonts w:ascii="宋体" w:hAnsi="宋体"/>
          <w:b/>
          <w:bCs/>
          <w:color w:val="000000"/>
          <w:sz w:val="24"/>
          <w:szCs w:val="24"/>
        </w:rPr>
        <w:t>.1</w:t>
      </w:r>
      <w:r>
        <w:rPr>
          <w:rFonts w:hint="eastAsia" w:ascii="宋体" w:hAnsi="宋体"/>
          <w:b/>
          <w:bCs/>
          <w:color w:val="000000"/>
          <w:sz w:val="24"/>
          <w:szCs w:val="24"/>
        </w:rPr>
        <w:t xml:space="preserve">  不同投标人的投标文件由同一单位或者个人编制；</w:t>
      </w:r>
    </w:p>
    <w:p>
      <w:pPr>
        <w:snapToGrid w:val="0"/>
        <w:spacing w:line="360" w:lineRule="auto"/>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7</w:t>
      </w:r>
      <w:r>
        <w:rPr>
          <w:rFonts w:ascii="宋体" w:hAnsi="宋体"/>
          <w:b/>
          <w:bCs/>
          <w:color w:val="000000"/>
          <w:sz w:val="24"/>
          <w:szCs w:val="24"/>
        </w:rPr>
        <w:t>.2</w:t>
      </w:r>
      <w:r>
        <w:rPr>
          <w:rFonts w:hint="eastAsia" w:ascii="宋体" w:hAnsi="宋体"/>
          <w:b/>
          <w:bCs/>
          <w:color w:val="000000"/>
          <w:sz w:val="24"/>
          <w:szCs w:val="24"/>
        </w:rPr>
        <w:t xml:space="preserve">  不同投标人委托同一单位或者个人办理投标事宜；</w:t>
      </w:r>
    </w:p>
    <w:p>
      <w:pPr>
        <w:snapToGrid w:val="0"/>
        <w:spacing w:line="360" w:lineRule="auto"/>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7</w:t>
      </w:r>
      <w:r>
        <w:rPr>
          <w:rFonts w:ascii="宋体" w:hAnsi="宋体"/>
          <w:b/>
          <w:bCs/>
          <w:color w:val="000000"/>
          <w:sz w:val="24"/>
          <w:szCs w:val="24"/>
        </w:rPr>
        <w:t>.3</w:t>
      </w:r>
      <w:r>
        <w:rPr>
          <w:rFonts w:hint="eastAsia" w:ascii="宋体" w:hAnsi="宋体"/>
          <w:b/>
          <w:bCs/>
          <w:color w:val="000000"/>
          <w:sz w:val="24"/>
          <w:szCs w:val="24"/>
        </w:rPr>
        <w:t xml:space="preserve">  不同投标人的投标文件载明的项目管理成员或者联系人员为同一人；</w:t>
      </w:r>
    </w:p>
    <w:p>
      <w:pPr>
        <w:snapToGrid w:val="0"/>
        <w:spacing w:line="360" w:lineRule="auto"/>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7</w:t>
      </w:r>
      <w:r>
        <w:rPr>
          <w:rFonts w:ascii="宋体" w:hAnsi="宋体"/>
          <w:b/>
          <w:bCs/>
          <w:color w:val="000000"/>
          <w:sz w:val="24"/>
          <w:szCs w:val="24"/>
        </w:rPr>
        <w:t>.4</w:t>
      </w:r>
      <w:r>
        <w:rPr>
          <w:rFonts w:hint="eastAsia" w:ascii="宋体" w:hAnsi="宋体"/>
          <w:b/>
          <w:bCs/>
          <w:color w:val="000000"/>
          <w:sz w:val="24"/>
          <w:szCs w:val="24"/>
        </w:rPr>
        <w:t xml:space="preserve">  不同投标人的投标文件异常一致或者投标报价呈规律性差异；</w:t>
      </w:r>
    </w:p>
    <w:p>
      <w:pPr>
        <w:snapToGrid w:val="0"/>
        <w:spacing w:line="360" w:lineRule="auto"/>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7</w:t>
      </w:r>
      <w:r>
        <w:rPr>
          <w:rFonts w:ascii="宋体" w:hAnsi="宋体"/>
          <w:b/>
          <w:bCs/>
          <w:color w:val="000000"/>
          <w:sz w:val="24"/>
          <w:szCs w:val="24"/>
        </w:rPr>
        <w:t>.5</w:t>
      </w:r>
      <w:r>
        <w:rPr>
          <w:rFonts w:hint="eastAsia" w:ascii="宋体" w:hAnsi="宋体"/>
          <w:b/>
          <w:bCs/>
          <w:color w:val="000000"/>
          <w:sz w:val="24"/>
          <w:szCs w:val="24"/>
        </w:rPr>
        <w:t xml:space="preserve">  不同投标人的投标文件相互混装；</w:t>
      </w:r>
    </w:p>
    <w:p>
      <w:pPr>
        <w:snapToGrid w:val="0"/>
        <w:spacing w:line="360" w:lineRule="auto"/>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7</w:t>
      </w:r>
      <w:r>
        <w:rPr>
          <w:rFonts w:ascii="宋体" w:hAnsi="宋体"/>
          <w:b/>
          <w:bCs/>
          <w:color w:val="000000"/>
          <w:sz w:val="24"/>
          <w:szCs w:val="24"/>
        </w:rPr>
        <w:t>.6</w:t>
      </w:r>
      <w:r>
        <w:rPr>
          <w:rFonts w:hint="eastAsia" w:ascii="宋体" w:hAnsi="宋体"/>
          <w:b/>
          <w:bCs/>
          <w:color w:val="000000"/>
          <w:sz w:val="24"/>
          <w:szCs w:val="24"/>
        </w:rPr>
        <w:t xml:space="preserve">  不同投标人的投标保证金从同一单位或者个人的账户转出；</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4.2.8  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4.2.9  投标报价超过本项目预算金额或最高限价的；</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4.2.10  国家有关部门对投标人的投标产品有强制性规定或要求的，投标人的投标产品不符合相应规定或要求；</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4.2.11  投标文件含有采购人不能接受的附加条件或不合理要求的；</w:t>
      </w:r>
    </w:p>
    <w:p>
      <w:pPr>
        <w:snapToGrid w:val="0"/>
        <w:spacing w:line="360" w:lineRule="auto"/>
        <w:rPr>
          <w:rFonts w:ascii="宋体" w:hAnsi="宋体" w:cs="宋体"/>
          <w:b/>
          <w:bCs/>
          <w:color w:val="000000"/>
          <w:sz w:val="24"/>
          <w:szCs w:val="24"/>
        </w:rPr>
      </w:pPr>
      <w:r>
        <w:rPr>
          <w:rFonts w:hint="eastAsia" w:ascii="宋体" w:hAnsi="宋体" w:cs="宋体"/>
          <w:b/>
          <w:bCs/>
          <w:color w:val="000000"/>
          <w:sz w:val="24"/>
          <w:szCs w:val="24"/>
        </w:rPr>
        <w:t xml:space="preserve">4.2.12  </w:t>
      </w:r>
      <w:r>
        <w:rPr>
          <w:rFonts w:hint="eastAsia" w:ascii="宋体" w:hAnsi="宋体"/>
          <w:b/>
          <w:bCs/>
          <w:color w:val="000000"/>
          <w:sz w:val="24"/>
          <w:szCs w:val="24"/>
        </w:rPr>
        <w:t>法律、法规和招标文件规定的其他无效情形</w:t>
      </w:r>
      <w:r>
        <w:rPr>
          <w:rFonts w:hint="eastAsia" w:ascii="宋体" w:hAnsi="宋体" w:cs="宋体"/>
          <w:b/>
          <w:bCs/>
          <w:color w:val="000000"/>
          <w:sz w:val="24"/>
          <w:szCs w:val="24"/>
        </w:rPr>
        <w:t>。</w:t>
      </w:r>
    </w:p>
    <w:p>
      <w:pPr>
        <w:pStyle w:val="2"/>
        <w:spacing w:line="360" w:lineRule="auto"/>
        <w:jc w:val="left"/>
        <w:rPr>
          <w:rFonts w:ascii="宋体" w:hAnsi="宋体"/>
          <w:color w:val="000000"/>
          <w:sz w:val="24"/>
          <w:szCs w:val="24"/>
        </w:rPr>
      </w:pPr>
      <w:bookmarkStart w:id="564" w:name="_Toc8999367"/>
      <w:bookmarkStart w:id="565" w:name="_Toc15435083"/>
      <w:bookmarkStart w:id="566" w:name="_Toc92789340"/>
      <w:bookmarkStart w:id="567" w:name="_Toc11916"/>
      <w:bookmarkStart w:id="568" w:name="_Toc21764"/>
      <w:bookmarkStart w:id="569" w:name="_Toc17243"/>
      <w:bookmarkStart w:id="570" w:name="_Toc21241"/>
      <w:bookmarkStart w:id="571" w:name="_Toc50760969"/>
      <w:bookmarkStart w:id="572" w:name="_Toc496291428"/>
      <w:bookmarkStart w:id="573" w:name="_Toc9845"/>
      <w:bookmarkStart w:id="574" w:name="_Toc18037"/>
      <w:bookmarkStart w:id="575" w:name="_Toc85461440"/>
      <w:bookmarkStart w:id="576" w:name="_Toc83722628"/>
      <w:bookmarkStart w:id="577" w:name="_Toc100786187"/>
      <w:r>
        <w:rPr>
          <w:rFonts w:hint="eastAsia" w:ascii="宋体" w:hAnsi="宋体"/>
          <w:color w:val="000000"/>
          <w:sz w:val="24"/>
          <w:szCs w:val="24"/>
        </w:rPr>
        <w:t>（五）</w:t>
      </w:r>
      <w:r>
        <w:rPr>
          <w:rFonts w:ascii="宋体" w:hAnsi="宋体"/>
          <w:color w:val="000000"/>
          <w:sz w:val="24"/>
          <w:szCs w:val="24"/>
          <w:lang w:val="en-US"/>
        </w:rPr>
        <w:t>投标文件有关事项的澄清或者说明</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5.1  </w:t>
      </w:r>
      <w:r>
        <w:rPr>
          <w:rFonts w:ascii="宋体" w:hAnsi="宋体" w:cs="宋体"/>
          <w:color w:val="000000"/>
          <w:sz w:val="24"/>
          <w:szCs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w:t>
      </w:r>
      <w:r>
        <w:rPr>
          <w:rFonts w:ascii="宋体" w:hAnsi="宋体"/>
          <w:color w:val="000000"/>
          <w:sz w:val="24"/>
        </w:rPr>
        <w:t>投标人的澄清、说明或者补正不得超出投标文件的范围或者改变投标文件的实质性内容。澄清文件将作为投标文件内容的一部分。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5.2  </w:t>
      </w:r>
      <w:r>
        <w:rPr>
          <w:rFonts w:ascii="宋体" w:hAnsi="宋体" w:cs="宋体"/>
          <w:color w:val="000000"/>
          <w:sz w:val="24"/>
          <w:szCs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无效投标处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5.3  </w:t>
      </w:r>
      <w:r>
        <w:rPr>
          <w:rFonts w:ascii="宋体" w:hAnsi="宋体" w:cs="宋体"/>
          <w:color w:val="000000"/>
          <w:sz w:val="24"/>
          <w:szCs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投标无效。</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5.4  采购人不接受投标人主动提出的对投标文件的澄清。</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5.5  </w:t>
      </w:r>
      <w:r>
        <w:rPr>
          <w:rFonts w:ascii="宋体" w:hAnsi="宋体" w:cs="宋体"/>
          <w:color w:val="000000"/>
          <w:sz w:val="24"/>
          <w:szCs w:val="24"/>
        </w:rPr>
        <w:t>投标文件报价出现前后不一致的，按照下列规定修正：</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5.5.1  </w:t>
      </w:r>
      <w:r>
        <w:rPr>
          <w:rFonts w:ascii="宋体" w:hAnsi="宋体" w:cs="宋体"/>
          <w:color w:val="000000"/>
          <w:sz w:val="24"/>
          <w:szCs w:val="24"/>
        </w:rPr>
        <w:t>招标文件对于报价修正是否另有规定：</w:t>
      </w:r>
    </w:p>
    <w:p>
      <w:pPr>
        <w:snapToGrid w:val="0"/>
        <w:spacing w:line="360" w:lineRule="auto"/>
        <w:ind w:firstLine="960" w:firstLineChars="400"/>
        <w:rPr>
          <w:rFonts w:ascii="宋体" w:hAnsi="宋体" w:cs="宋体"/>
          <w:color w:val="000000"/>
          <w:sz w:val="24"/>
          <w:szCs w:val="24"/>
          <w:u w:val="single"/>
        </w:rPr>
      </w:pPr>
      <w:r>
        <w:rPr>
          <w:rFonts w:ascii="宋体" w:hAnsi="宋体" w:cs="宋体"/>
          <w:color w:val="000000"/>
          <w:sz w:val="24"/>
          <w:szCs w:val="24"/>
        </w:rPr>
        <w:t>□有，具体规定为：______________</w:t>
      </w:r>
    </w:p>
    <w:p>
      <w:pPr>
        <w:snapToGrid w:val="0"/>
        <w:spacing w:line="360" w:lineRule="auto"/>
        <w:ind w:firstLine="964" w:firstLineChars="400"/>
        <w:rPr>
          <w:rFonts w:ascii="宋体" w:hAnsi="宋体" w:cs="宋体"/>
          <w:color w:val="000000"/>
          <w:sz w:val="24"/>
          <w:szCs w:val="24"/>
        </w:rPr>
      </w:pPr>
      <w:r>
        <w:rPr>
          <w:rFonts w:ascii="宋体" w:hAnsi="宋体" w:cs="宋体"/>
          <w:b/>
          <w:color w:val="000000"/>
          <w:sz w:val="24"/>
          <w:szCs w:val="24"/>
        </w:rPr>
        <w:t>■</w:t>
      </w:r>
      <w:r>
        <w:rPr>
          <w:rFonts w:ascii="宋体" w:hAnsi="宋体" w:cs="宋体"/>
          <w:color w:val="000000"/>
          <w:sz w:val="24"/>
          <w:szCs w:val="24"/>
        </w:rPr>
        <w:t>无，按下述</w:t>
      </w:r>
      <w:r>
        <w:rPr>
          <w:rFonts w:hint="eastAsia" w:ascii="宋体" w:hAnsi="宋体" w:cs="宋体"/>
          <w:color w:val="000000"/>
          <w:sz w:val="24"/>
          <w:szCs w:val="24"/>
        </w:rPr>
        <w:t>5</w:t>
      </w:r>
      <w:r>
        <w:rPr>
          <w:rFonts w:ascii="宋体" w:hAnsi="宋体" w:cs="宋体"/>
          <w:color w:val="000000"/>
          <w:sz w:val="24"/>
          <w:szCs w:val="24"/>
        </w:rPr>
        <w:t>.</w:t>
      </w:r>
      <w:r>
        <w:rPr>
          <w:rFonts w:hint="eastAsia" w:ascii="宋体" w:hAnsi="宋体" w:cs="宋体"/>
          <w:color w:val="000000"/>
          <w:sz w:val="24"/>
          <w:szCs w:val="24"/>
        </w:rPr>
        <w:t>5</w:t>
      </w:r>
      <w:r>
        <w:rPr>
          <w:rFonts w:ascii="宋体" w:hAnsi="宋体" w:cs="宋体"/>
          <w:color w:val="000000"/>
          <w:sz w:val="24"/>
          <w:szCs w:val="24"/>
        </w:rPr>
        <w:t>.2-</w:t>
      </w:r>
      <w:r>
        <w:rPr>
          <w:rFonts w:hint="eastAsia" w:ascii="宋体" w:hAnsi="宋体" w:cs="宋体"/>
          <w:color w:val="000000"/>
          <w:sz w:val="24"/>
          <w:szCs w:val="24"/>
        </w:rPr>
        <w:t>5</w:t>
      </w:r>
      <w:r>
        <w:rPr>
          <w:rFonts w:ascii="宋体" w:hAnsi="宋体" w:cs="宋体"/>
          <w:color w:val="000000"/>
          <w:sz w:val="24"/>
          <w:szCs w:val="24"/>
        </w:rPr>
        <w:t>.</w:t>
      </w:r>
      <w:r>
        <w:rPr>
          <w:rFonts w:hint="eastAsia" w:ascii="宋体" w:hAnsi="宋体" w:cs="宋体"/>
          <w:color w:val="000000"/>
          <w:sz w:val="24"/>
          <w:szCs w:val="24"/>
        </w:rPr>
        <w:t>5</w:t>
      </w:r>
      <w:r>
        <w:rPr>
          <w:rFonts w:ascii="宋体" w:hAnsi="宋体" w:cs="宋体"/>
          <w:color w:val="000000"/>
          <w:sz w:val="24"/>
          <w:szCs w:val="24"/>
        </w:rPr>
        <w:t>.7项规定修正。</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5.5.2  </w:t>
      </w:r>
      <w:r>
        <w:rPr>
          <w:rFonts w:ascii="宋体" w:hAnsi="宋体" w:cs="宋体"/>
          <w:color w:val="000000"/>
          <w:sz w:val="24"/>
          <w:szCs w:val="24"/>
        </w:rPr>
        <w:t>单独递交的开标一览表（报价表）与投标文件中开标一览表（报价表）内容不一致的，以单独递交的开标一览表（报价表）为准；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5.5.3  </w:t>
      </w:r>
      <w:r>
        <w:rPr>
          <w:rFonts w:ascii="宋体" w:hAnsi="宋体" w:cs="宋体"/>
          <w:color w:val="000000"/>
          <w:sz w:val="24"/>
          <w:szCs w:val="24"/>
        </w:rPr>
        <w:t>投标文件中开标一览表（报价表）内容与投标文件中相应内容不一致的，以开标一览表（报价表）为准；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5.5.4  </w:t>
      </w:r>
      <w:r>
        <w:rPr>
          <w:rFonts w:ascii="宋体" w:hAnsi="宋体" w:cs="宋体"/>
          <w:color w:val="000000"/>
          <w:sz w:val="24"/>
          <w:szCs w:val="24"/>
        </w:rPr>
        <w:t>大写金额和小写金额不一致的，以大写金额为准；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5.5.5  </w:t>
      </w:r>
      <w:r>
        <w:rPr>
          <w:rFonts w:ascii="宋体" w:hAnsi="宋体" w:cs="宋体"/>
          <w:color w:val="000000"/>
          <w:sz w:val="24"/>
          <w:szCs w:val="24"/>
        </w:rPr>
        <w:t>单价金额小数点或者百分比有明显错位的，以开标一览表的总价为准，并修改单价；</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5.5.6  </w:t>
      </w:r>
      <w:r>
        <w:rPr>
          <w:rFonts w:ascii="宋体" w:hAnsi="宋体" w:cs="宋体"/>
          <w:color w:val="000000"/>
          <w:sz w:val="24"/>
          <w:szCs w:val="24"/>
        </w:rPr>
        <w:t>总价金额与按单价汇总金额不一致的，以单价金额计算结果为准。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5.5.7  </w:t>
      </w:r>
      <w:r>
        <w:rPr>
          <w:rFonts w:ascii="宋体" w:hAnsi="宋体" w:cs="宋体"/>
          <w:color w:val="000000"/>
          <w:sz w:val="24"/>
          <w:szCs w:val="24"/>
        </w:rPr>
        <w:t>同时出现两种以上不一致的，按照前款规定的顺序修正。修正后的报价经投标人书面确认后产生约束力，投标人不确认的，其</w:t>
      </w:r>
      <w:r>
        <w:rPr>
          <w:rFonts w:ascii="宋体" w:hAnsi="宋体" w:cs="宋体"/>
          <w:b/>
          <w:color w:val="000000"/>
          <w:sz w:val="24"/>
          <w:szCs w:val="24"/>
        </w:rPr>
        <w:t>投标无效</w:t>
      </w:r>
      <w:r>
        <w:rPr>
          <w:rFonts w:ascii="宋体" w:hAnsi="宋体" w:cs="宋体"/>
          <w:color w:val="000000"/>
          <w:sz w:val="24"/>
          <w:szCs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5.6  </w:t>
      </w:r>
      <w:r>
        <w:rPr>
          <w:rFonts w:ascii="宋体" w:hAnsi="宋体" w:cs="宋体"/>
          <w:color w:val="000000"/>
          <w:sz w:val="24"/>
          <w:szCs w:val="24"/>
        </w:rPr>
        <w:t>落实政府采购政策的价格调整：只有符合第二章《投标人须知》5.2条规定情形的，可以享受中小企业扶持政策，用扣除后的价格参加评审；否则，评标时价格不予扣除。</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5.6.1  </w:t>
      </w:r>
      <w:r>
        <w:rPr>
          <w:rFonts w:ascii="宋体" w:hAnsi="宋体" w:cs="宋体"/>
          <w:color w:val="000000"/>
          <w:sz w:val="24"/>
          <w:szCs w:val="24"/>
        </w:rPr>
        <w:t>对于未预留份额专门面向中小企业采购的采购项目，以及预留份额项目中的非预留部分采购包，对小微企业报价给予</w:t>
      </w:r>
      <w:r>
        <w:rPr>
          <w:rFonts w:hint="eastAsia" w:ascii="宋体" w:hAnsi="宋体" w:cs="宋体"/>
          <w:color w:val="000000"/>
          <w:sz w:val="24"/>
          <w:szCs w:val="24"/>
          <w:u w:val="single"/>
        </w:rPr>
        <w:t>10</w:t>
      </w:r>
      <w:r>
        <w:rPr>
          <w:rFonts w:ascii="宋体" w:hAnsi="宋体" w:cs="宋体"/>
          <w:color w:val="000000"/>
          <w:sz w:val="24"/>
          <w:szCs w:val="24"/>
        </w:rPr>
        <w:t>%的扣除，用扣除后的价格参加评审。</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5.6.2  </w:t>
      </w:r>
      <w:r>
        <w:rPr>
          <w:rFonts w:ascii="宋体" w:hAnsi="宋体" w:cs="宋体"/>
          <w:color w:val="000000"/>
          <w:sz w:val="24"/>
          <w:szCs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30%以上的联合体或者大中型企业的报价给予</w:t>
      </w:r>
      <w:r>
        <w:rPr>
          <w:rFonts w:hint="eastAsia" w:ascii="宋体" w:hAnsi="宋体" w:cs="宋体"/>
          <w:color w:val="000000"/>
          <w:sz w:val="24"/>
          <w:szCs w:val="24"/>
          <w:u w:val="single"/>
        </w:rPr>
        <w:t>2</w:t>
      </w:r>
      <w:r>
        <w:rPr>
          <w:rFonts w:ascii="宋体" w:hAnsi="宋体" w:cs="宋体"/>
          <w:color w:val="000000"/>
          <w:sz w:val="24"/>
          <w:szCs w:val="24"/>
        </w:rPr>
        <w:t>%的扣除，用扣除后的价格参加评审。</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5.6.3  </w:t>
      </w:r>
      <w:r>
        <w:rPr>
          <w:rFonts w:ascii="宋体" w:hAnsi="宋体" w:cs="宋体"/>
          <w:color w:val="000000"/>
          <w:sz w:val="24"/>
          <w:szCs w:val="24"/>
        </w:rPr>
        <w:t>组成联合体或者接受分包的小微企业与联合体内其他企业、分包企业之间存在直接控股、管理关系的，不享受价格扣除优惠政策。</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5.6.4  </w:t>
      </w:r>
      <w:r>
        <w:rPr>
          <w:rFonts w:ascii="宋体" w:hAnsi="宋体" w:cs="宋体"/>
          <w:color w:val="000000"/>
          <w:sz w:val="24"/>
          <w:szCs w:val="24"/>
        </w:rPr>
        <w:t>价格扣除比例对小型企业和微型企业同等对待，不作区分。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5.6.5  </w:t>
      </w:r>
      <w:r>
        <w:rPr>
          <w:rFonts w:ascii="宋体" w:hAnsi="宋体" w:cs="宋体"/>
          <w:color w:val="000000"/>
          <w:sz w:val="24"/>
          <w:szCs w:val="24"/>
        </w:rPr>
        <w:t>中小企业参加政府采购活动，应当按照招标文件给定的格式出具《中小企业声明函》，否则不得享受相关中小企业扶持政策。</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5.6.6  </w:t>
      </w:r>
      <w:r>
        <w:rPr>
          <w:rFonts w:ascii="宋体" w:hAnsi="宋体" w:cs="宋体"/>
          <w:color w:val="000000"/>
          <w:sz w:val="24"/>
          <w:szCs w:val="24"/>
        </w:rPr>
        <w:t>监狱企业提供了由省级以上监狱管理局（北京市含教育矫治局）、戒毒管理局（含新疆生产建设兵团）出具的属于监狱企业的证明文件的，视同小微企业。</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5.6.7  </w:t>
      </w:r>
      <w:r>
        <w:rPr>
          <w:rFonts w:ascii="宋体" w:hAnsi="宋体" w:cs="宋体"/>
          <w:color w:val="000000"/>
          <w:sz w:val="24"/>
          <w:szCs w:val="24"/>
        </w:rPr>
        <w:t>残疾人福利性单位按招标文件要求提供了《残疾人福利性单位声明函》（见附件）的，视同小微企业。</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5.6.8  </w:t>
      </w:r>
      <w:r>
        <w:rPr>
          <w:rFonts w:ascii="宋体" w:hAnsi="宋体"/>
          <w:color w:val="000000"/>
          <w:sz w:val="24"/>
        </w:rPr>
        <w:t>若投标人同时属于小型或微型企业、监狱企业、残疾人福利性单位中的两种及以上，将不重复享受小微企业价格扣减的优惠政策。</w:t>
      </w:r>
    </w:p>
    <w:p>
      <w:pPr>
        <w:pStyle w:val="2"/>
        <w:spacing w:line="360" w:lineRule="auto"/>
        <w:jc w:val="left"/>
        <w:rPr>
          <w:rFonts w:ascii="宋体" w:hAnsi="宋体"/>
          <w:color w:val="000000"/>
          <w:sz w:val="24"/>
          <w:szCs w:val="24"/>
        </w:rPr>
      </w:pPr>
      <w:bookmarkStart w:id="578" w:name="_Toc8999368"/>
      <w:bookmarkStart w:id="579" w:name="_Toc30808"/>
      <w:bookmarkStart w:id="580" w:name="_Toc9199"/>
      <w:bookmarkStart w:id="581" w:name="_Toc496291429"/>
      <w:bookmarkStart w:id="582" w:name="_Toc100786188"/>
      <w:bookmarkStart w:id="583" w:name="_Toc28429"/>
      <w:bookmarkStart w:id="584" w:name="_Toc92789341"/>
      <w:bookmarkStart w:id="585" w:name="_Toc28419"/>
      <w:bookmarkStart w:id="586" w:name="_Toc85461441"/>
      <w:bookmarkStart w:id="587" w:name="_Toc28524"/>
      <w:bookmarkStart w:id="588" w:name="_Toc18491"/>
      <w:bookmarkStart w:id="589" w:name="_Toc83722629"/>
      <w:bookmarkStart w:id="590" w:name="_Toc50760970"/>
      <w:bookmarkStart w:id="591" w:name="_Toc15435084"/>
      <w:r>
        <w:rPr>
          <w:rFonts w:hint="eastAsia" w:ascii="宋体" w:hAnsi="宋体"/>
          <w:color w:val="000000"/>
          <w:sz w:val="24"/>
          <w:szCs w:val="24"/>
        </w:rPr>
        <w:t>（六）</w:t>
      </w:r>
      <w:r>
        <w:rPr>
          <w:rFonts w:ascii="宋体" w:hAnsi="宋体"/>
          <w:color w:val="000000"/>
          <w:sz w:val="24"/>
          <w:szCs w:val="24"/>
          <w:lang w:val="en-US"/>
        </w:rPr>
        <w:t>投标文件的比较和评价</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6.1  </w:t>
      </w:r>
      <w:r>
        <w:rPr>
          <w:rFonts w:ascii="宋体" w:hAnsi="宋体" w:cs="宋体"/>
          <w:color w:val="000000"/>
          <w:sz w:val="24"/>
          <w:szCs w:val="24"/>
        </w:rPr>
        <w:t>评标委员会将按照招标文件中规定的评标方法和标准，对符合性审查合格的投标文件进行商务和技术评估，综合比较与评价；未通过符合性审查的投标文件不得进入比较与评价。</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6.2  </w:t>
      </w:r>
      <w:r>
        <w:rPr>
          <w:rFonts w:ascii="宋体" w:hAnsi="宋体" w:cs="宋体"/>
          <w:color w:val="000000"/>
          <w:sz w:val="24"/>
          <w:szCs w:val="24"/>
        </w:rPr>
        <w:t>评标方法和评标标准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6.2.1  </w:t>
      </w:r>
      <w:r>
        <w:rPr>
          <w:rFonts w:ascii="宋体" w:hAnsi="宋体" w:cs="宋体"/>
          <w:color w:val="000000"/>
          <w:sz w:val="24"/>
          <w:szCs w:val="24"/>
        </w:rPr>
        <w:t>本项目采用的评标方法为：</w:t>
      </w:r>
    </w:p>
    <w:p>
      <w:pPr>
        <w:snapToGrid w:val="0"/>
        <w:spacing w:line="360" w:lineRule="auto"/>
        <w:rPr>
          <w:rFonts w:ascii="宋体" w:hAnsi="宋体" w:cs="宋体"/>
          <w:color w:val="000000"/>
          <w:sz w:val="24"/>
          <w:szCs w:val="24"/>
        </w:rPr>
      </w:pPr>
      <w:r>
        <w:rPr>
          <w:rFonts w:ascii="宋体" w:hAnsi="宋体" w:cs="宋体"/>
          <w:b/>
          <w:color w:val="000000"/>
          <w:sz w:val="24"/>
          <w:szCs w:val="24"/>
        </w:rPr>
        <w:t>■</w:t>
      </w:r>
      <w:r>
        <w:rPr>
          <w:rFonts w:ascii="宋体" w:hAnsi="宋体" w:cs="宋体"/>
          <w:color w:val="000000"/>
          <w:sz w:val="24"/>
          <w:szCs w:val="24"/>
        </w:rPr>
        <w:t>综合评分法，指投标文件满足招标文件全部实质性要求，且按照评审因素的量化指标评审得分最高的投标人为中标候选人的评标方法，见《评标标准》</w:t>
      </w:r>
      <w:r>
        <w:rPr>
          <w:rFonts w:hint="eastAsia" w:ascii="宋体" w:hAnsi="宋体" w:cs="宋体"/>
          <w:color w:val="000000"/>
          <w:sz w:val="24"/>
          <w:szCs w:val="24"/>
        </w:rPr>
        <w:t>，招标文件中没有规定的评标标准不得作为评审的依据。</w:t>
      </w:r>
    </w:p>
    <w:p>
      <w:pPr>
        <w:snapToGrid w:val="0"/>
        <w:spacing w:line="360" w:lineRule="auto"/>
        <w:rPr>
          <w:rFonts w:ascii="宋体" w:hAnsi="宋体" w:cs="宋体"/>
          <w:color w:val="000000"/>
          <w:sz w:val="24"/>
          <w:szCs w:val="24"/>
        </w:rPr>
      </w:pPr>
      <w:r>
        <w:rPr>
          <w:rFonts w:ascii="宋体" w:hAnsi="宋体" w:cs="宋体"/>
          <w:color w:val="000000"/>
          <w:sz w:val="24"/>
          <w:szCs w:val="24"/>
        </w:rPr>
        <w:t>□最低评标价法，指投标文件满足招标文件全部实质性要求，且投标报价最低的投标人为中标候选人的评标方法。</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6.2.2  </w:t>
      </w:r>
      <w:r>
        <w:rPr>
          <w:rFonts w:ascii="宋体" w:hAnsi="宋体" w:cs="宋体"/>
          <w:color w:val="000000"/>
          <w:sz w:val="24"/>
          <w:szCs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snapToGrid w:val="0"/>
        <w:spacing w:line="360" w:lineRule="auto"/>
        <w:ind w:firstLine="480" w:firstLineChars="200"/>
        <w:rPr>
          <w:rFonts w:ascii="宋体" w:hAnsi="宋体" w:cs="宋体"/>
          <w:color w:val="000000"/>
          <w:sz w:val="24"/>
          <w:szCs w:val="24"/>
        </w:rPr>
      </w:pPr>
      <w:r>
        <w:rPr>
          <w:rFonts w:ascii="宋体" w:hAnsi="宋体" w:cs="宋体"/>
          <w:color w:val="000000"/>
          <w:sz w:val="24"/>
          <w:szCs w:val="24"/>
        </w:rPr>
        <w:t>□随机抽取</w:t>
      </w:r>
    </w:p>
    <w:p>
      <w:pPr>
        <w:snapToGrid w:val="0"/>
        <w:spacing w:line="360" w:lineRule="auto"/>
        <w:ind w:firstLine="480" w:firstLineChars="200"/>
        <w:rPr>
          <w:rFonts w:ascii="宋体" w:hAnsi="宋体" w:cs="宋体"/>
          <w:color w:val="000000"/>
          <w:sz w:val="24"/>
          <w:szCs w:val="24"/>
          <w:u w:val="single"/>
        </w:rPr>
      </w:pPr>
      <w:r>
        <w:rPr>
          <w:rFonts w:ascii="宋体" w:hAnsi="宋体" w:cs="宋体"/>
          <w:color w:val="000000"/>
          <w:sz w:val="24"/>
          <w:szCs w:val="24"/>
        </w:rPr>
        <w:t>□其他方式，具体要求：</w:t>
      </w:r>
      <w:r>
        <w:rPr>
          <w:rFonts w:hint="eastAsia" w:ascii="宋体" w:hAnsi="宋体" w:cs="宋体"/>
          <w:color w:val="000000"/>
          <w:sz w:val="24"/>
          <w:szCs w:val="24"/>
          <w:u w:val="single"/>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6.3  </w:t>
      </w:r>
      <w:r>
        <w:rPr>
          <w:rFonts w:ascii="宋体" w:hAnsi="宋体" w:cs="宋体"/>
          <w:color w:val="000000"/>
          <w:sz w:val="24"/>
          <w:szCs w:val="24"/>
        </w:rPr>
        <w:t>非政府强制采购的节能产品或环境标志产品，依据品目清单和认证证书实施政府优先采购。优先采购的具体规定（如涉及）</w:t>
      </w:r>
      <w:r>
        <w:rPr>
          <w:rFonts w:ascii="宋体" w:hAnsi="宋体" w:cs="宋体"/>
          <w:color w:val="000000"/>
          <w:sz w:val="24"/>
          <w:szCs w:val="24"/>
          <w:u w:val="single"/>
        </w:rPr>
        <w:t>见《评标标准》</w:t>
      </w:r>
      <w:r>
        <w:rPr>
          <w:rFonts w:ascii="宋体" w:hAnsi="宋体" w:cs="宋体"/>
          <w:color w:val="000000"/>
          <w:sz w:val="24"/>
          <w:szCs w:val="24"/>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6.4  </w:t>
      </w:r>
      <w:r>
        <w:rPr>
          <w:rFonts w:ascii="宋体" w:hAnsi="宋体" w:cs="宋体"/>
          <w:color w:val="000000"/>
          <w:sz w:val="24"/>
          <w:szCs w:val="24"/>
        </w:rPr>
        <w:t>关于无线局域网认证产品政府采购清单中的产品，优先采购的具体规定（如涉及）</w:t>
      </w:r>
      <w:r>
        <w:rPr>
          <w:rFonts w:ascii="宋体" w:hAnsi="宋体" w:cs="宋体"/>
          <w:color w:val="000000"/>
          <w:sz w:val="24"/>
          <w:szCs w:val="24"/>
          <w:u w:val="single"/>
        </w:rPr>
        <w:t>见《评标标准》</w:t>
      </w:r>
      <w:r>
        <w:rPr>
          <w:rFonts w:ascii="宋体" w:hAnsi="宋体" w:cs="宋体"/>
          <w:color w:val="000000"/>
          <w:sz w:val="24"/>
          <w:szCs w:val="24"/>
        </w:rPr>
        <w:t>。</w:t>
      </w:r>
      <w:r>
        <w:rPr>
          <w:rFonts w:hint="eastAsia" w:ascii="宋体" w:hAnsi="宋体" w:cs="宋体"/>
          <w:color w:val="000000"/>
          <w:sz w:val="24"/>
          <w:szCs w:val="24"/>
        </w:rPr>
        <w:t>（本项目不适用）</w:t>
      </w:r>
    </w:p>
    <w:p>
      <w:pPr>
        <w:pStyle w:val="2"/>
        <w:spacing w:line="360" w:lineRule="auto"/>
        <w:jc w:val="left"/>
        <w:rPr>
          <w:rFonts w:ascii="宋体" w:hAnsi="宋体"/>
          <w:color w:val="000000"/>
          <w:sz w:val="24"/>
          <w:szCs w:val="24"/>
        </w:rPr>
      </w:pPr>
      <w:bookmarkStart w:id="592" w:name="_Toc85461442"/>
      <w:bookmarkStart w:id="593" w:name="_Toc8999369"/>
      <w:bookmarkStart w:id="594" w:name="_Toc29143"/>
      <w:bookmarkStart w:id="595" w:name="_Toc8450"/>
      <w:bookmarkStart w:id="596" w:name="_Toc100786189"/>
      <w:bookmarkStart w:id="597" w:name="_Toc1488"/>
      <w:bookmarkStart w:id="598" w:name="_Toc15435085"/>
      <w:bookmarkStart w:id="599" w:name="_Toc22835"/>
      <w:bookmarkStart w:id="600" w:name="_Toc496291430"/>
      <w:bookmarkStart w:id="601" w:name="_Toc92789342"/>
      <w:bookmarkStart w:id="602" w:name="_Toc24488"/>
      <w:bookmarkStart w:id="603" w:name="_Toc28015"/>
      <w:bookmarkStart w:id="604" w:name="_Toc83722630"/>
      <w:bookmarkStart w:id="605" w:name="_Toc50760971"/>
      <w:r>
        <w:rPr>
          <w:rFonts w:hint="eastAsia" w:ascii="宋体" w:hAnsi="宋体"/>
          <w:color w:val="000000"/>
          <w:sz w:val="24"/>
          <w:szCs w:val="24"/>
        </w:rPr>
        <w:t>（七）报价部分的评标说明</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snapToGrid w:val="0"/>
        <w:spacing w:line="360" w:lineRule="auto"/>
        <w:rPr>
          <w:rFonts w:ascii="宋体" w:hAnsi="宋体" w:cs="宋体"/>
          <w:color w:val="000000"/>
          <w:sz w:val="24"/>
          <w:szCs w:val="24"/>
        </w:rPr>
      </w:pPr>
      <w:r>
        <w:rPr>
          <w:rFonts w:hint="eastAsia" w:ascii="宋体" w:hAnsi="宋体" w:cs="宋体"/>
          <w:color w:val="000000"/>
          <w:sz w:val="24"/>
          <w:szCs w:val="24"/>
        </w:rPr>
        <w:t>7.1  投标人的投标符合招标文件的规定，无实质性不响应招标文件的要求，除非评标委员会按规定予以拒绝的，视为通过符合性与完整性评审的有效评价。</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7.2  凡按本招标文件和本评标办法规定，由采购人或评标委员会予以拒绝的投标报价，不得参与后续项目的评分。</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7.3  报价部分的评审说明</w:t>
      </w:r>
    </w:p>
    <w:p>
      <w:pPr>
        <w:snapToGrid w:val="0"/>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此处投标报价指经过报价修正，及</w:t>
      </w:r>
      <w:r>
        <w:rPr>
          <w:rFonts w:ascii="宋体" w:hAnsi="宋体" w:cs="宋体"/>
          <w:color w:val="000000"/>
          <w:sz w:val="24"/>
          <w:szCs w:val="24"/>
        </w:rPr>
        <w:t>因落实政府采购政策进行价格调整</w:t>
      </w:r>
      <w:r>
        <w:rPr>
          <w:rFonts w:hint="eastAsia" w:ascii="宋体" w:hAnsi="宋体" w:cs="宋体"/>
          <w:color w:val="000000"/>
          <w:sz w:val="24"/>
          <w:szCs w:val="24"/>
        </w:rPr>
        <w:t>后</w:t>
      </w:r>
      <w:r>
        <w:rPr>
          <w:rFonts w:ascii="宋体" w:hAnsi="宋体" w:cs="宋体"/>
          <w:color w:val="000000"/>
          <w:sz w:val="24"/>
          <w:szCs w:val="24"/>
        </w:rPr>
        <w:t>的</w:t>
      </w:r>
      <w:r>
        <w:rPr>
          <w:rFonts w:hint="eastAsia" w:ascii="宋体" w:hAnsi="宋体" w:cs="宋体"/>
          <w:color w:val="000000"/>
          <w:sz w:val="24"/>
          <w:szCs w:val="24"/>
        </w:rPr>
        <w:t>报价</w:t>
      </w:r>
      <w:r>
        <w:rPr>
          <w:rFonts w:ascii="宋体" w:hAnsi="宋体" w:cs="宋体"/>
          <w:color w:val="000000"/>
          <w:sz w:val="24"/>
          <w:szCs w:val="24"/>
        </w:rPr>
        <w:t>，详见第</w:t>
      </w:r>
      <w:r>
        <w:rPr>
          <w:rFonts w:hint="eastAsia" w:ascii="宋体" w:hAnsi="宋体" w:cs="宋体"/>
          <w:color w:val="000000"/>
          <w:sz w:val="24"/>
          <w:szCs w:val="24"/>
        </w:rPr>
        <w:t>六</w:t>
      </w:r>
      <w:r>
        <w:rPr>
          <w:rFonts w:ascii="宋体" w:hAnsi="宋体" w:cs="宋体"/>
          <w:color w:val="000000"/>
          <w:sz w:val="24"/>
          <w:szCs w:val="24"/>
        </w:rPr>
        <w:t>章《评标过程</w:t>
      </w:r>
      <w:r>
        <w:rPr>
          <w:rFonts w:hint="eastAsia" w:ascii="宋体" w:hAnsi="宋体" w:cs="宋体"/>
          <w:color w:val="000000"/>
          <w:sz w:val="24"/>
          <w:szCs w:val="24"/>
        </w:rPr>
        <w:t>、</w:t>
      </w:r>
      <w:r>
        <w:rPr>
          <w:rFonts w:ascii="宋体" w:hAnsi="宋体" w:cs="宋体"/>
          <w:color w:val="000000"/>
          <w:sz w:val="24"/>
          <w:szCs w:val="24"/>
        </w:rPr>
        <w:t>评标方法和评标标准》</w:t>
      </w:r>
      <w:r>
        <w:rPr>
          <w:rFonts w:hint="eastAsia" w:ascii="宋体" w:hAnsi="宋体" w:cs="宋体"/>
          <w:color w:val="000000"/>
          <w:sz w:val="24"/>
          <w:szCs w:val="24"/>
        </w:rPr>
        <w:t>5.5及5.6</w:t>
      </w:r>
      <w:r>
        <w:rPr>
          <w:rFonts w:ascii="宋体" w:hAnsi="宋体" w:cs="宋体"/>
          <w:color w:val="000000"/>
          <w:sz w:val="24"/>
          <w:szCs w:val="24"/>
        </w:rPr>
        <w:t>。</w:t>
      </w:r>
    </w:p>
    <w:p>
      <w:pPr>
        <w:pStyle w:val="2"/>
        <w:spacing w:line="360" w:lineRule="auto"/>
        <w:jc w:val="left"/>
        <w:rPr>
          <w:rFonts w:ascii="宋体" w:hAnsi="宋体"/>
          <w:color w:val="000000"/>
          <w:sz w:val="24"/>
          <w:szCs w:val="24"/>
        </w:rPr>
      </w:pPr>
      <w:bookmarkStart w:id="606" w:name="_Toc8438"/>
      <w:bookmarkStart w:id="607" w:name="_Toc15520"/>
      <w:bookmarkStart w:id="608" w:name="_Toc27469"/>
      <w:bookmarkStart w:id="609" w:name="_Toc496291431"/>
      <w:bookmarkStart w:id="610" w:name="_Toc92789343"/>
      <w:bookmarkStart w:id="611" w:name="_Toc83722631"/>
      <w:bookmarkStart w:id="612" w:name="_Toc15435086"/>
      <w:bookmarkStart w:id="613" w:name="_Toc8999370"/>
      <w:bookmarkStart w:id="614" w:name="_Toc100786190"/>
      <w:bookmarkStart w:id="615" w:name="_Toc674"/>
      <w:bookmarkStart w:id="616" w:name="_Toc28137"/>
      <w:bookmarkStart w:id="617" w:name="_Toc85461443"/>
      <w:bookmarkStart w:id="618" w:name="_Toc50760972"/>
      <w:bookmarkStart w:id="619" w:name="_Toc21717"/>
      <w:r>
        <w:rPr>
          <w:rFonts w:hint="eastAsia" w:ascii="宋体" w:hAnsi="宋体"/>
          <w:color w:val="000000"/>
          <w:sz w:val="24"/>
          <w:szCs w:val="24"/>
        </w:rPr>
        <w:t>（八）</w:t>
      </w:r>
      <w:r>
        <w:rPr>
          <w:rFonts w:ascii="宋体" w:hAnsi="宋体"/>
          <w:color w:val="000000"/>
          <w:sz w:val="24"/>
          <w:szCs w:val="24"/>
          <w:lang w:val="en-US"/>
        </w:rPr>
        <w:t>确定</w:t>
      </w:r>
      <w:bookmarkStart w:id="620" w:name="_Toc151190173"/>
      <w:bookmarkStart w:id="621" w:name="_Toc520356170"/>
      <w:bookmarkStart w:id="622" w:name="_Toc151193860"/>
      <w:bookmarkStart w:id="623" w:name="_Toc150480784"/>
      <w:bookmarkStart w:id="624" w:name="_Toc305158888"/>
      <w:bookmarkStart w:id="625" w:name="_Toc195842911"/>
      <w:bookmarkStart w:id="626" w:name="_Toc151193788"/>
      <w:bookmarkStart w:id="627" w:name="_Toc127151747"/>
      <w:bookmarkStart w:id="628" w:name="_Toc127161460"/>
      <w:bookmarkStart w:id="629" w:name="_Toc142311048"/>
      <w:bookmarkStart w:id="630" w:name="_Toc305158814"/>
      <w:bookmarkStart w:id="631" w:name="_Toc164229387"/>
      <w:bookmarkStart w:id="632" w:name="_Toc151193716"/>
      <w:bookmarkStart w:id="633" w:name="_Toc265228384"/>
      <w:bookmarkStart w:id="634" w:name="_Toc149720839"/>
      <w:bookmarkStart w:id="635" w:name="_Toc164608660"/>
      <w:bookmarkStart w:id="636" w:name="_Toc150774646"/>
      <w:bookmarkStart w:id="637" w:name="_Toc164351640"/>
      <w:bookmarkStart w:id="638" w:name="_Toc226309790"/>
      <w:bookmarkStart w:id="639" w:name="_Toc164608815"/>
      <w:bookmarkStart w:id="640" w:name="_Toc127151546"/>
      <w:bookmarkStart w:id="641" w:name="_Ref467307010"/>
      <w:bookmarkStart w:id="642" w:name="_Toc150774751"/>
      <w:bookmarkStart w:id="643" w:name="_Toc226337242"/>
      <w:bookmarkStart w:id="644" w:name="_Toc164229241"/>
      <w:bookmarkStart w:id="645" w:name="_Toc150509297"/>
      <w:bookmarkStart w:id="646" w:name="_Toc226965736"/>
      <w:bookmarkStart w:id="647" w:name="_Toc151193934"/>
      <w:bookmarkStart w:id="648" w:name="_Toc226965819"/>
      <w:bookmarkStart w:id="649" w:name="_Toc151193644"/>
      <w:bookmarkStart w:id="650" w:name="_Toc264969236"/>
      <w:r>
        <w:rPr>
          <w:rFonts w:ascii="宋体" w:hAnsi="宋体"/>
          <w:color w:val="000000"/>
          <w:sz w:val="24"/>
          <w:szCs w:val="24"/>
          <w:lang w:val="en-US"/>
        </w:rPr>
        <w:t>中标候选人名单</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8.1  </w:t>
      </w:r>
      <w:r>
        <w:rPr>
          <w:rFonts w:ascii="宋体" w:hAnsi="宋体" w:cs="宋体"/>
          <w:color w:val="000000"/>
          <w:sz w:val="24"/>
          <w:szCs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snapToGrid w:val="0"/>
        <w:spacing w:line="360" w:lineRule="auto"/>
        <w:ind w:firstLine="480" w:firstLineChars="200"/>
        <w:rPr>
          <w:rFonts w:ascii="宋体" w:hAnsi="宋体" w:cs="宋体"/>
          <w:color w:val="000000"/>
          <w:sz w:val="24"/>
          <w:szCs w:val="24"/>
        </w:rPr>
      </w:pPr>
      <w:r>
        <w:rPr>
          <w:rFonts w:ascii="宋体" w:hAnsi="宋体" w:cs="宋体"/>
          <w:color w:val="000000"/>
          <w:sz w:val="24"/>
          <w:szCs w:val="24"/>
        </w:rPr>
        <w:t>□随机抽取</w:t>
      </w:r>
    </w:p>
    <w:p>
      <w:pPr>
        <w:snapToGrid w:val="0"/>
        <w:spacing w:line="360" w:lineRule="auto"/>
        <w:ind w:firstLine="480" w:firstLineChars="200"/>
        <w:rPr>
          <w:rFonts w:ascii="宋体" w:hAnsi="宋体" w:cs="宋体"/>
          <w:color w:val="000000"/>
          <w:sz w:val="24"/>
          <w:szCs w:val="24"/>
        </w:rPr>
      </w:pPr>
      <w:r>
        <w:rPr>
          <w:rFonts w:ascii="宋体" w:hAnsi="宋体" w:cs="宋体"/>
          <w:color w:val="000000"/>
          <w:sz w:val="24"/>
          <w:szCs w:val="24"/>
        </w:rPr>
        <w:t>□其他方式，具体要求：</w:t>
      </w:r>
      <w:r>
        <w:rPr>
          <w:rFonts w:hint="eastAsia" w:ascii="宋体" w:hAnsi="宋体" w:cs="宋体"/>
          <w:color w:val="000000"/>
          <w:sz w:val="24"/>
          <w:szCs w:val="24"/>
          <w:u w:val="single"/>
        </w:rPr>
        <w:t>/</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8.2  </w:t>
      </w:r>
      <w:r>
        <w:rPr>
          <w:rFonts w:ascii="宋体" w:hAnsi="宋体" w:cs="宋体"/>
          <w:color w:val="000000"/>
          <w:sz w:val="24"/>
          <w:szCs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8.3  </w:t>
      </w:r>
      <w:r>
        <w:rPr>
          <w:rFonts w:ascii="宋体" w:hAnsi="宋体" w:cs="宋体"/>
          <w:color w:val="000000"/>
          <w:sz w:val="24"/>
          <w:szCs w:val="24"/>
        </w:rPr>
        <w:t>采用最低评标价法时，评标结果按本章</w:t>
      </w:r>
      <w:r>
        <w:rPr>
          <w:rFonts w:hint="eastAsia" w:ascii="宋体" w:hAnsi="宋体" w:cs="宋体"/>
          <w:color w:val="000000"/>
          <w:sz w:val="24"/>
          <w:szCs w:val="24"/>
        </w:rPr>
        <w:t>5</w:t>
      </w:r>
      <w:r>
        <w:rPr>
          <w:rFonts w:ascii="宋体" w:hAnsi="宋体" w:cs="宋体"/>
          <w:color w:val="000000"/>
          <w:sz w:val="24"/>
          <w:szCs w:val="24"/>
        </w:rPr>
        <w:t>.</w:t>
      </w:r>
      <w:r>
        <w:rPr>
          <w:rFonts w:hint="eastAsia" w:ascii="宋体" w:hAnsi="宋体" w:cs="宋体"/>
          <w:color w:val="000000"/>
          <w:sz w:val="24"/>
          <w:szCs w:val="24"/>
        </w:rPr>
        <w:t>5</w:t>
      </w:r>
      <w:r>
        <w:rPr>
          <w:rFonts w:ascii="宋体" w:hAnsi="宋体" w:cs="宋体"/>
          <w:color w:val="000000"/>
          <w:sz w:val="24"/>
          <w:szCs w:val="24"/>
        </w:rPr>
        <w:t>.2-</w:t>
      </w:r>
      <w:r>
        <w:rPr>
          <w:rFonts w:hint="eastAsia" w:ascii="宋体" w:hAnsi="宋体" w:cs="宋体"/>
          <w:color w:val="000000"/>
          <w:sz w:val="24"/>
          <w:szCs w:val="24"/>
        </w:rPr>
        <w:t>5</w:t>
      </w:r>
      <w:r>
        <w:rPr>
          <w:rFonts w:ascii="宋体" w:hAnsi="宋体" w:cs="宋体"/>
          <w:color w:val="000000"/>
          <w:sz w:val="24"/>
          <w:szCs w:val="24"/>
        </w:rPr>
        <w:t>.</w:t>
      </w:r>
      <w:r>
        <w:rPr>
          <w:rFonts w:hint="eastAsia" w:ascii="宋体" w:hAnsi="宋体" w:cs="宋体"/>
          <w:color w:val="000000"/>
          <w:sz w:val="24"/>
          <w:szCs w:val="24"/>
        </w:rPr>
        <w:t>5</w:t>
      </w:r>
      <w:r>
        <w:rPr>
          <w:rFonts w:ascii="宋体" w:hAnsi="宋体" w:cs="宋体"/>
          <w:color w:val="000000"/>
          <w:sz w:val="24"/>
          <w:szCs w:val="24"/>
        </w:rPr>
        <w:t>.7调整后的投标报价由低到高顺序排列。投标报价相同的并列。投标文件满足招标文件全部实质性要求且投标报价最低的投标人为排名第一的中标候选人。</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8.4  </w:t>
      </w:r>
      <w:r>
        <w:rPr>
          <w:rFonts w:ascii="宋体" w:hAnsi="宋体" w:cs="宋体"/>
          <w:color w:val="000000"/>
          <w:sz w:val="24"/>
          <w:szCs w:val="24"/>
        </w:rPr>
        <w:t>评标委员会要对评分汇总情况进行复核，特别是对排名第一的、报价最低的、投标或</w:t>
      </w:r>
      <w:r>
        <w:rPr>
          <w:rFonts w:hint="eastAsia" w:ascii="宋体" w:hAnsi="宋体" w:cs="宋体"/>
          <w:color w:val="000000"/>
          <w:sz w:val="24"/>
          <w:szCs w:val="24"/>
        </w:rPr>
        <w:t>响应</w:t>
      </w:r>
      <w:r>
        <w:rPr>
          <w:rFonts w:ascii="宋体" w:hAnsi="宋体" w:cs="宋体"/>
          <w:color w:val="000000"/>
          <w:sz w:val="24"/>
          <w:szCs w:val="24"/>
        </w:rPr>
        <w:t>文件被认定为无效的情形进行重点复核。</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 xml:space="preserve">8.5  </w:t>
      </w:r>
      <w:r>
        <w:rPr>
          <w:rFonts w:ascii="宋体" w:hAnsi="宋体" w:cs="宋体"/>
          <w:color w:val="000000"/>
          <w:sz w:val="24"/>
          <w:szCs w:val="24"/>
        </w:rPr>
        <w:t>评标委员会将根据各投标人的评标排序，依次推荐本项目（</w:t>
      </w:r>
      <w:r>
        <w:rPr>
          <w:rFonts w:hint="eastAsia" w:ascii="宋体" w:hAnsi="宋体" w:cs="宋体"/>
          <w:color w:val="000000"/>
          <w:sz w:val="24"/>
          <w:szCs w:val="24"/>
        </w:rPr>
        <w:t>各</w:t>
      </w:r>
      <w:r>
        <w:rPr>
          <w:rFonts w:ascii="宋体" w:hAnsi="宋体" w:cs="宋体"/>
          <w:color w:val="000000"/>
          <w:sz w:val="24"/>
          <w:szCs w:val="24"/>
        </w:rPr>
        <w:t>采购包）的中标候选人，起草并签署评标报告。本项目（</w:t>
      </w:r>
      <w:r>
        <w:rPr>
          <w:rFonts w:hint="eastAsia" w:ascii="宋体" w:hAnsi="宋体" w:cs="宋体"/>
          <w:color w:val="000000"/>
          <w:sz w:val="24"/>
          <w:szCs w:val="24"/>
        </w:rPr>
        <w:t>各</w:t>
      </w:r>
      <w:r>
        <w:rPr>
          <w:rFonts w:ascii="宋体" w:hAnsi="宋体" w:cs="宋体"/>
          <w:color w:val="000000"/>
          <w:sz w:val="24"/>
          <w:szCs w:val="24"/>
        </w:rPr>
        <w:t>采购包）评标委员会共（各）推荐</w:t>
      </w:r>
      <w:r>
        <w:rPr>
          <w:rFonts w:hint="eastAsia" w:ascii="宋体" w:hAnsi="宋体" w:cs="宋体"/>
          <w:color w:val="000000"/>
          <w:sz w:val="24"/>
          <w:szCs w:val="24"/>
          <w:u w:val="single"/>
        </w:rPr>
        <w:t>3</w:t>
      </w:r>
      <w:r>
        <w:rPr>
          <w:rFonts w:ascii="宋体" w:hAnsi="宋体" w:cs="宋体"/>
          <w:color w:val="000000"/>
          <w:sz w:val="24"/>
          <w:szCs w:val="24"/>
        </w:rPr>
        <w:t>名中标候选人。</w:t>
      </w:r>
    </w:p>
    <w:p>
      <w:pPr>
        <w:pStyle w:val="2"/>
        <w:spacing w:line="360" w:lineRule="auto"/>
        <w:jc w:val="left"/>
        <w:rPr>
          <w:rFonts w:ascii="宋体" w:hAnsi="宋体"/>
          <w:color w:val="000000"/>
          <w:sz w:val="24"/>
          <w:szCs w:val="24"/>
        </w:rPr>
      </w:pPr>
      <w:bookmarkStart w:id="651" w:name="_Toc18707"/>
      <w:bookmarkStart w:id="652" w:name="_Toc50760973"/>
      <w:bookmarkStart w:id="653" w:name="_Toc21991"/>
      <w:bookmarkStart w:id="654" w:name="_Toc29578"/>
      <w:bookmarkStart w:id="655" w:name="_Toc100786191"/>
      <w:bookmarkStart w:id="656" w:name="_Toc83722632"/>
      <w:bookmarkStart w:id="657" w:name="_Toc8999371"/>
      <w:bookmarkStart w:id="658" w:name="_Toc666"/>
      <w:bookmarkStart w:id="659" w:name="_Toc5264"/>
      <w:bookmarkStart w:id="660" w:name="_Toc496291432"/>
      <w:bookmarkStart w:id="661" w:name="_Toc92789344"/>
      <w:bookmarkStart w:id="662" w:name="_Toc85461444"/>
      <w:bookmarkStart w:id="663" w:name="_Toc17815"/>
      <w:bookmarkStart w:id="664" w:name="_Toc15435087"/>
      <w:r>
        <w:rPr>
          <w:rFonts w:hint="eastAsia" w:ascii="宋体" w:hAnsi="宋体"/>
          <w:color w:val="000000"/>
          <w:sz w:val="24"/>
          <w:szCs w:val="24"/>
        </w:rPr>
        <w:t>（九）重新招标</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pPr>
        <w:snapToGrid w:val="0"/>
        <w:spacing w:line="360" w:lineRule="auto"/>
        <w:rPr>
          <w:rFonts w:ascii="宋体" w:hAnsi="宋体" w:cs="宋体"/>
          <w:color w:val="000000"/>
          <w:sz w:val="24"/>
          <w:szCs w:val="24"/>
        </w:rPr>
      </w:pPr>
      <w:r>
        <w:rPr>
          <w:rFonts w:hint="eastAsia" w:ascii="宋体" w:hAnsi="宋体" w:cs="宋体"/>
          <w:color w:val="000000"/>
          <w:sz w:val="24"/>
          <w:szCs w:val="24"/>
        </w:rPr>
        <w:t>9.1  中标或者成交供应商拒绝与采购人签订合同的，采购人可以按照评审报告推荐的中标或者成交候选人名单排序，确定下一候选人为中标或者成交供应商，也可以重新开展政府采购活动.</w:t>
      </w:r>
    </w:p>
    <w:p>
      <w:pPr>
        <w:snapToGrid w:val="0"/>
        <w:spacing w:line="360" w:lineRule="auto"/>
        <w:rPr>
          <w:rFonts w:ascii="宋体" w:hAnsi="宋体" w:cs="宋体"/>
          <w:color w:val="000000"/>
          <w:sz w:val="24"/>
          <w:szCs w:val="24"/>
        </w:rPr>
      </w:pPr>
      <w:r>
        <w:rPr>
          <w:rFonts w:hint="eastAsia" w:ascii="宋体" w:hAnsi="宋体" w:cs="宋体"/>
          <w:color w:val="000000"/>
          <w:sz w:val="24"/>
          <w:szCs w:val="24"/>
        </w:rPr>
        <w:t>9.2  废标后，除采购任务取消情形外，应当重新组织招标；需要采取其他方式采购的，应当在采购活动开始前获得设区的市、自治州以上人民政府采购监督管理部门或者政府有关部门批准。</w:t>
      </w:r>
    </w:p>
    <w:p>
      <w:pPr>
        <w:pStyle w:val="2"/>
        <w:spacing w:line="360" w:lineRule="auto"/>
        <w:jc w:val="left"/>
        <w:rPr>
          <w:rFonts w:ascii="宋体" w:hAnsi="宋体"/>
          <w:color w:val="000000"/>
          <w:sz w:val="24"/>
          <w:szCs w:val="24"/>
        </w:rPr>
      </w:pPr>
      <w:bookmarkStart w:id="665" w:name="_Toc100786192"/>
      <w:r>
        <w:rPr>
          <w:rFonts w:hint="eastAsia" w:ascii="宋体" w:hAnsi="宋体"/>
          <w:color w:val="000000"/>
          <w:sz w:val="24"/>
          <w:szCs w:val="24"/>
        </w:rPr>
        <w:t>（十）</w:t>
      </w:r>
      <w:r>
        <w:rPr>
          <w:rFonts w:ascii="宋体" w:hAnsi="宋体"/>
          <w:color w:val="000000"/>
          <w:sz w:val="24"/>
          <w:szCs w:val="24"/>
        </w:rPr>
        <w:t>报告违法行为</w:t>
      </w:r>
      <w:bookmarkEnd w:id="665"/>
    </w:p>
    <w:p>
      <w:pPr>
        <w:snapToGrid w:val="0"/>
        <w:spacing w:line="360" w:lineRule="auto"/>
        <w:ind w:firstLine="480" w:firstLineChars="200"/>
        <w:rPr>
          <w:rFonts w:ascii="宋体" w:hAnsi="宋体" w:cs="宋体"/>
          <w:color w:val="000000"/>
          <w:sz w:val="24"/>
          <w:szCs w:val="24"/>
        </w:rPr>
      </w:pPr>
      <w:r>
        <w:rPr>
          <w:rFonts w:ascii="宋体" w:hAnsi="宋体" w:cs="宋体"/>
          <w:color w:val="000000"/>
          <w:sz w:val="24"/>
          <w:szCs w:val="24"/>
        </w:rPr>
        <w:t>评标委员会在评标过程中发现投标人有行贿、提供虚假材料或者串通等违法行为时，有向采购人、采购代理机构或者有关部门报告的职责。</w:t>
      </w:r>
    </w:p>
    <w:p>
      <w:pPr>
        <w:snapToGrid w:val="0"/>
        <w:spacing w:line="360" w:lineRule="auto"/>
        <w:rPr>
          <w:rFonts w:ascii="宋体" w:hAnsi="宋体" w:cs="宋体"/>
          <w:color w:val="000000"/>
          <w:sz w:val="24"/>
          <w:szCs w:val="24"/>
        </w:rPr>
      </w:pPr>
    </w:p>
    <w:p>
      <w:pPr>
        <w:snapToGrid w:val="0"/>
        <w:spacing w:line="360" w:lineRule="auto"/>
        <w:rPr>
          <w:rFonts w:ascii="宋体" w:hAnsi="宋体" w:cs="宋体"/>
          <w:color w:val="000000"/>
          <w:sz w:val="24"/>
          <w:szCs w:val="24"/>
        </w:rPr>
      </w:pPr>
      <w:r>
        <w:rPr>
          <w:rFonts w:hint="eastAsia" w:ascii="宋体" w:hAnsi="宋体" w:cs="宋体"/>
          <w:color w:val="000000"/>
          <w:sz w:val="24"/>
          <w:szCs w:val="24"/>
        </w:rPr>
        <w:br w:type="page"/>
      </w:r>
    </w:p>
    <w:p>
      <w:pPr>
        <w:pStyle w:val="5"/>
        <w:numPr>
          <w:ilvl w:val="2"/>
          <w:numId w:val="0"/>
        </w:numPr>
        <w:rPr>
          <w:rFonts w:ascii="宋体" w:hAnsi="宋体" w:cs="宋体"/>
          <w:b w:val="0"/>
          <w:color w:val="000000"/>
          <w:sz w:val="24"/>
          <w:szCs w:val="24"/>
        </w:rPr>
      </w:pPr>
      <w:bookmarkStart w:id="666" w:name="_Toc496291434"/>
      <w:bookmarkStart w:id="667" w:name="_Toc85461446"/>
      <w:bookmarkStart w:id="668" w:name="_Toc8143"/>
      <w:bookmarkStart w:id="669" w:name="_Toc14739"/>
      <w:bookmarkStart w:id="670" w:name="_Toc50760975"/>
      <w:bookmarkStart w:id="671" w:name="_Toc29623"/>
      <w:bookmarkStart w:id="672" w:name="_Toc92789346"/>
      <w:bookmarkStart w:id="673" w:name="_Toc8999373"/>
      <w:bookmarkStart w:id="674" w:name="_Toc10751"/>
      <w:bookmarkStart w:id="675" w:name="_Toc6596"/>
      <w:bookmarkStart w:id="676" w:name="_Toc83722634"/>
      <w:bookmarkStart w:id="677" w:name="_Toc428"/>
      <w:bookmarkStart w:id="678" w:name="_Toc15435089"/>
      <w:bookmarkStart w:id="679" w:name="_Toc100786193"/>
      <w:bookmarkStart w:id="680" w:name="_Toc227051917"/>
      <w:r>
        <w:rPr>
          <w:rStyle w:val="68"/>
          <w:rFonts w:hint="eastAsia" w:ascii="宋体" w:hAnsi="宋体"/>
          <w:b/>
          <w:color w:val="000000"/>
          <w:sz w:val="24"/>
          <w:szCs w:val="24"/>
        </w:rPr>
        <w:t>符合性审查</w:t>
      </w:r>
      <w:bookmarkEnd w:id="666"/>
      <w:bookmarkEnd w:id="667"/>
      <w:bookmarkEnd w:id="668"/>
      <w:bookmarkEnd w:id="669"/>
      <w:bookmarkEnd w:id="670"/>
      <w:bookmarkEnd w:id="671"/>
      <w:bookmarkEnd w:id="672"/>
      <w:bookmarkEnd w:id="673"/>
      <w:bookmarkEnd w:id="674"/>
      <w:bookmarkEnd w:id="675"/>
      <w:bookmarkEnd w:id="676"/>
      <w:bookmarkEnd w:id="677"/>
      <w:bookmarkEnd w:id="678"/>
      <w:r>
        <w:rPr>
          <w:rStyle w:val="68"/>
          <w:rFonts w:hint="eastAsia" w:ascii="宋体" w:hAnsi="宋体"/>
          <w:b/>
          <w:color w:val="000000"/>
          <w:sz w:val="24"/>
          <w:szCs w:val="24"/>
        </w:rPr>
        <w:t>要求</w:t>
      </w:r>
      <w:bookmarkEnd w:id="679"/>
    </w:p>
    <w:tbl>
      <w:tblPr>
        <w:tblStyle w:val="4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664"/>
        <w:gridCol w:w="6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04" w:type="pct"/>
            <w:vAlign w:val="center"/>
          </w:tcPr>
          <w:p>
            <w:pPr>
              <w:widowControl/>
              <w:jc w:val="center"/>
              <w:rPr>
                <w:rFonts w:ascii="宋体" w:hAnsi="宋体"/>
                <w:b/>
                <w:color w:val="000000"/>
                <w:kern w:val="0"/>
                <w:sz w:val="24"/>
              </w:rPr>
            </w:pPr>
            <w:r>
              <w:rPr>
                <w:rFonts w:ascii="宋体" w:hAnsi="宋体"/>
                <w:b/>
                <w:color w:val="000000"/>
                <w:kern w:val="0"/>
                <w:sz w:val="24"/>
              </w:rPr>
              <w:t>序号</w:t>
            </w:r>
          </w:p>
        </w:tc>
        <w:tc>
          <w:tcPr>
            <w:tcW w:w="976" w:type="pct"/>
            <w:vAlign w:val="center"/>
          </w:tcPr>
          <w:p>
            <w:pPr>
              <w:widowControl/>
              <w:jc w:val="center"/>
              <w:rPr>
                <w:rFonts w:ascii="宋体" w:hAnsi="宋体"/>
                <w:b/>
                <w:color w:val="000000"/>
                <w:kern w:val="0"/>
                <w:sz w:val="24"/>
              </w:rPr>
            </w:pPr>
            <w:r>
              <w:rPr>
                <w:rFonts w:ascii="宋体" w:hAnsi="宋体"/>
                <w:b/>
                <w:color w:val="000000"/>
                <w:kern w:val="0"/>
                <w:sz w:val="24"/>
              </w:rPr>
              <w:t>审查因素</w:t>
            </w:r>
          </w:p>
        </w:tc>
        <w:tc>
          <w:tcPr>
            <w:tcW w:w="3620" w:type="pct"/>
            <w:vAlign w:val="center"/>
          </w:tcPr>
          <w:p>
            <w:pPr>
              <w:widowControl/>
              <w:jc w:val="center"/>
              <w:rPr>
                <w:rFonts w:ascii="宋体" w:hAnsi="宋体"/>
                <w:b/>
                <w:color w:val="000000"/>
                <w:kern w:val="0"/>
                <w:sz w:val="24"/>
              </w:rPr>
            </w:pPr>
            <w:r>
              <w:rPr>
                <w:rFonts w:ascii="宋体" w:hAnsi="宋体"/>
                <w:b/>
                <w:color w:val="000000"/>
                <w:kern w:val="0"/>
                <w:sz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04" w:type="pct"/>
            <w:vAlign w:val="center"/>
          </w:tcPr>
          <w:p>
            <w:pPr>
              <w:widowControl/>
              <w:jc w:val="center"/>
              <w:rPr>
                <w:rFonts w:ascii="宋体" w:hAnsi="宋体"/>
                <w:color w:val="000000"/>
                <w:kern w:val="0"/>
                <w:sz w:val="24"/>
              </w:rPr>
            </w:pPr>
            <w:r>
              <w:rPr>
                <w:rFonts w:ascii="宋体" w:hAnsi="宋体"/>
                <w:color w:val="000000"/>
                <w:kern w:val="0"/>
                <w:sz w:val="24"/>
              </w:rPr>
              <w:t>1</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授权委托书</w:t>
            </w:r>
          </w:p>
        </w:tc>
        <w:tc>
          <w:tcPr>
            <w:tcW w:w="3620" w:type="pct"/>
            <w:vAlign w:val="center"/>
          </w:tcPr>
          <w:p>
            <w:pPr>
              <w:widowControl/>
              <w:jc w:val="left"/>
              <w:rPr>
                <w:rFonts w:ascii="宋体" w:hAnsi="宋体"/>
                <w:color w:val="000000"/>
                <w:kern w:val="0"/>
                <w:sz w:val="24"/>
              </w:rPr>
            </w:pPr>
            <w:r>
              <w:rPr>
                <w:rFonts w:ascii="宋体" w:hAnsi="宋体"/>
                <w:color w:val="000000"/>
                <w:kern w:val="0"/>
                <w:sz w:val="24"/>
              </w:rPr>
              <w:t>按招标文件要求提供授权委托书；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404" w:type="pct"/>
            <w:vAlign w:val="center"/>
          </w:tcPr>
          <w:p>
            <w:pPr>
              <w:widowControl/>
              <w:jc w:val="center"/>
              <w:rPr>
                <w:rFonts w:ascii="宋体" w:hAnsi="宋体"/>
                <w:color w:val="000000"/>
                <w:kern w:val="0"/>
                <w:sz w:val="24"/>
              </w:rPr>
            </w:pPr>
            <w:r>
              <w:rPr>
                <w:rFonts w:ascii="宋体" w:hAnsi="宋体"/>
                <w:color w:val="000000"/>
                <w:kern w:val="0"/>
                <w:sz w:val="24"/>
              </w:rPr>
              <w:t>2</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投标完整性</w:t>
            </w:r>
          </w:p>
        </w:tc>
        <w:tc>
          <w:tcPr>
            <w:tcW w:w="3620" w:type="pct"/>
            <w:vAlign w:val="center"/>
          </w:tcPr>
          <w:p>
            <w:pPr>
              <w:widowControl/>
              <w:jc w:val="left"/>
              <w:rPr>
                <w:rFonts w:ascii="宋体" w:hAnsi="宋体"/>
                <w:color w:val="000000"/>
                <w:kern w:val="0"/>
                <w:sz w:val="24"/>
              </w:rPr>
            </w:pPr>
            <w:r>
              <w:rPr>
                <w:rFonts w:hint="eastAsia" w:ascii="宋体" w:hAnsi="宋体"/>
                <w:color w:val="000000"/>
                <w:sz w:val="24"/>
              </w:rPr>
              <w:t>未</w:t>
            </w:r>
            <w:r>
              <w:rPr>
                <w:rFonts w:ascii="宋体" w:hAnsi="宋体"/>
                <w:color w:val="000000"/>
                <w:sz w:val="24"/>
              </w:rPr>
              <w:t>将一个采购包中的内容拆开投标；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ascii="宋体" w:hAnsi="宋体"/>
                <w:color w:val="000000"/>
                <w:kern w:val="0"/>
                <w:sz w:val="24"/>
              </w:rPr>
              <w:t>3</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投标报价</w:t>
            </w:r>
          </w:p>
        </w:tc>
        <w:tc>
          <w:tcPr>
            <w:tcW w:w="3620" w:type="pct"/>
            <w:vAlign w:val="center"/>
          </w:tcPr>
          <w:p>
            <w:pPr>
              <w:widowControl/>
              <w:jc w:val="left"/>
              <w:rPr>
                <w:rFonts w:ascii="宋体" w:hAnsi="宋体"/>
                <w:color w:val="000000"/>
                <w:kern w:val="0"/>
                <w:sz w:val="24"/>
              </w:rPr>
            </w:pPr>
            <w:r>
              <w:rPr>
                <w:rFonts w:ascii="宋体" w:hAnsi="宋体"/>
                <w:color w:val="000000"/>
                <w:kern w:val="0"/>
                <w:sz w:val="24"/>
              </w:rPr>
              <w:t>投标报价</w:t>
            </w:r>
            <w:r>
              <w:rPr>
                <w:rFonts w:hint="eastAsia" w:ascii="宋体" w:hAnsi="宋体"/>
                <w:color w:val="000000"/>
                <w:kern w:val="0"/>
                <w:sz w:val="24"/>
              </w:rPr>
              <w:t>未</w:t>
            </w:r>
            <w:r>
              <w:rPr>
                <w:rFonts w:ascii="宋体" w:hAnsi="宋体"/>
                <w:color w:val="000000"/>
                <w:sz w:val="24"/>
              </w:rPr>
              <w:t>超过招标文件中规定的项目/采购包预算金额或者项目/采购包最高限价</w:t>
            </w: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ascii="宋体" w:hAnsi="宋体"/>
                <w:color w:val="000000"/>
                <w:kern w:val="0"/>
                <w:sz w:val="24"/>
              </w:rPr>
              <w:t>4</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报价唯一性</w:t>
            </w:r>
          </w:p>
        </w:tc>
        <w:tc>
          <w:tcPr>
            <w:tcW w:w="3620" w:type="pct"/>
            <w:vAlign w:val="center"/>
          </w:tcPr>
          <w:p>
            <w:pPr>
              <w:widowControl/>
              <w:jc w:val="left"/>
              <w:rPr>
                <w:rFonts w:ascii="宋体" w:hAnsi="宋体"/>
                <w:color w:val="000000"/>
                <w:kern w:val="0"/>
                <w:sz w:val="24"/>
              </w:rPr>
            </w:pPr>
            <w:r>
              <w:rPr>
                <w:rFonts w:ascii="宋体" w:hAnsi="宋体"/>
                <w:color w:val="000000"/>
                <w:kern w:val="0"/>
                <w:sz w:val="24"/>
              </w:rPr>
              <w:t>投标文件</w:t>
            </w:r>
            <w:r>
              <w:rPr>
                <w:rFonts w:hint="eastAsia" w:ascii="宋体" w:hAnsi="宋体"/>
                <w:color w:val="000000"/>
                <w:kern w:val="0"/>
                <w:sz w:val="24"/>
              </w:rPr>
              <w:t>未</w:t>
            </w:r>
            <w:r>
              <w:rPr>
                <w:rFonts w:hint="eastAsia" w:ascii="宋体" w:hAnsi="宋体"/>
                <w:color w:val="000000"/>
                <w:sz w:val="24"/>
              </w:rPr>
              <w:t>出现可选择性或可调整的报价（招标文件另有规定的除外）</w:t>
            </w: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ascii="宋体" w:hAnsi="宋体"/>
                <w:color w:val="000000"/>
                <w:kern w:val="0"/>
                <w:sz w:val="24"/>
              </w:rPr>
              <w:t>5</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投标有效期</w:t>
            </w:r>
          </w:p>
        </w:tc>
        <w:tc>
          <w:tcPr>
            <w:tcW w:w="3620" w:type="pct"/>
            <w:vAlign w:val="center"/>
          </w:tcPr>
          <w:p>
            <w:pPr>
              <w:widowControl/>
              <w:jc w:val="left"/>
              <w:rPr>
                <w:rFonts w:ascii="宋体" w:hAnsi="宋体"/>
                <w:color w:val="000000"/>
                <w:kern w:val="0"/>
                <w:sz w:val="24"/>
              </w:rPr>
            </w:pPr>
            <w:r>
              <w:rPr>
                <w:rFonts w:ascii="宋体" w:hAnsi="宋体"/>
                <w:color w:val="000000"/>
                <w:kern w:val="0"/>
                <w:sz w:val="24"/>
              </w:rPr>
              <w:t>投标文件中承诺的投标有效期</w:t>
            </w:r>
            <w:r>
              <w:rPr>
                <w:rFonts w:hint="eastAsia" w:ascii="宋体" w:hAnsi="宋体"/>
                <w:color w:val="000000"/>
                <w:kern w:val="0"/>
                <w:sz w:val="24"/>
              </w:rPr>
              <w:t>满足</w:t>
            </w:r>
            <w:r>
              <w:rPr>
                <w:rFonts w:ascii="宋体" w:hAnsi="宋体"/>
                <w:color w:val="000000"/>
                <w:kern w:val="0"/>
                <w:sz w:val="24"/>
              </w:rPr>
              <w:t>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ascii="宋体" w:hAnsi="宋体"/>
                <w:color w:val="000000"/>
                <w:kern w:val="0"/>
                <w:sz w:val="24"/>
              </w:rPr>
              <w:t>6</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签署、盖章</w:t>
            </w:r>
          </w:p>
        </w:tc>
        <w:tc>
          <w:tcPr>
            <w:tcW w:w="3620" w:type="pct"/>
            <w:vAlign w:val="center"/>
          </w:tcPr>
          <w:p>
            <w:pPr>
              <w:widowControl/>
              <w:jc w:val="left"/>
              <w:rPr>
                <w:rFonts w:ascii="宋体" w:hAnsi="宋体"/>
                <w:color w:val="000000"/>
                <w:kern w:val="0"/>
                <w:sz w:val="24"/>
              </w:rPr>
            </w:pPr>
            <w:r>
              <w:rPr>
                <w:rFonts w:ascii="宋体" w:hAnsi="宋体"/>
                <w:color w:val="000000"/>
                <w:kern w:val="0"/>
                <w:sz w:val="24"/>
              </w:rPr>
              <w:t>按照招标文件要求签署、盖章的；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hint="eastAsia" w:ascii="宋体" w:hAnsi="宋体"/>
                <w:color w:val="000000"/>
                <w:kern w:val="0"/>
                <w:sz w:val="24"/>
              </w:rPr>
              <w:t>7</w:t>
            </w:r>
          </w:p>
        </w:tc>
        <w:tc>
          <w:tcPr>
            <w:tcW w:w="976" w:type="pct"/>
            <w:vAlign w:val="center"/>
          </w:tcPr>
          <w:p>
            <w:pPr>
              <w:widowControl/>
              <w:jc w:val="center"/>
              <w:rPr>
                <w:rFonts w:ascii="宋体" w:hAnsi="宋体"/>
                <w:color w:val="000000"/>
                <w:kern w:val="0"/>
                <w:sz w:val="24"/>
              </w:rPr>
            </w:pPr>
            <w:r>
              <w:rPr>
                <w:rFonts w:hint="eastAsia" w:ascii="宋体" w:hAnsi="宋体"/>
                <w:color w:val="000000"/>
                <w:kern w:val="0"/>
                <w:sz w:val="24"/>
              </w:rPr>
              <w:t>实质性格式</w:t>
            </w:r>
          </w:p>
        </w:tc>
        <w:tc>
          <w:tcPr>
            <w:tcW w:w="3620" w:type="pct"/>
            <w:vAlign w:val="center"/>
          </w:tcPr>
          <w:p>
            <w:pPr>
              <w:widowControl/>
              <w:jc w:val="left"/>
              <w:rPr>
                <w:rFonts w:ascii="宋体" w:hAnsi="宋体"/>
                <w:color w:val="000000"/>
                <w:kern w:val="0"/>
                <w:sz w:val="24"/>
              </w:rPr>
            </w:pPr>
            <w:r>
              <w:rPr>
                <w:rFonts w:hint="eastAsia" w:ascii="宋体" w:hAnsi="宋体"/>
                <w:color w:val="000000"/>
                <w:kern w:val="0"/>
                <w:sz w:val="24"/>
              </w:rPr>
              <w:t>标记为</w:t>
            </w:r>
            <w:r>
              <w:rPr>
                <w:rFonts w:ascii="宋体" w:hAnsi="宋体"/>
                <w:color w:val="000000"/>
                <w:kern w:val="0"/>
                <w:sz w:val="24"/>
              </w:rPr>
              <w:t>“</w:t>
            </w:r>
            <w:r>
              <w:rPr>
                <w:rFonts w:hint="eastAsia" w:ascii="宋体" w:hAnsi="宋体"/>
                <w:color w:val="000000"/>
                <w:kern w:val="0"/>
                <w:sz w:val="24"/>
              </w:rPr>
              <w:t>实质性格式</w:t>
            </w:r>
            <w:r>
              <w:rPr>
                <w:rFonts w:ascii="宋体" w:hAnsi="宋体"/>
                <w:color w:val="000000"/>
                <w:kern w:val="0"/>
                <w:sz w:val="24"/>
              </w:rPr>
              <w:t>”的</w:t>
            </w:r>
            <w:r>
              <w:rPr>
                <w:rFonts w:hint="eastAsia" w:ascii="宋体" w:hAnsi="宋体"/>
                <w:color w:val="000000"/>
                <w:kern w:val="0"/>
                <w:sz w:val="24"/>
              </w:rPr>
              <w:t>文件均按</w:t>
            </w:r>
            <w:r>
              <w:rPr>
                <w:rFonts w:ascii="宋体" w:hAnsi="宋体"/>
                <w:color w:val="000000"/>
                <w:kern w:val="0"/>
                <w:sz w:val="24"/>
              </w:rPr>
              <w:t>招标文件</w:t>
            </w:r>
            <w:r>
              <w:rPr>
                <w:rFonts w:hint="eastAsia" w:ascii="宋体" w:hAnsi="宋体"/>
                <w:color w:val="000000"/>
                <w:kern w:val="0"/>
                <w:sz w:val="24"/>
              </w:rPr>
              <w:t>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ascii="宋体" w:hAnsi="宋体"/>
                <w:color w:val="000000"/>
                <w:kern w:val="0"/>
                <w:sz w:val="24"/>
              </w:rPr>
              <w:t>8</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报价的修正（如有）</w:t>
            </w:r>
          </w:p>
        </w:tc>
        <w:tc>
          <w:tcPr>
            <w:tcW w:w="3620" w:type="pct"/>
            <w:vAlign w:val="center"/>
          </w:tcPr>
          <w:p>
            <w:pPr>
              <w:widowControl/>
              <w:jc w:val="left"/>
              <w:rPr>
                <w:rFonts w:ascii="宋体" w:hAnsi="宋体"/>
                <w:color w:val="000000"/>
                <w:kern w:val="0"/>
                <w:sz w:val="24"/>
              </w:rPr>
            </w:pPr>
            <w:r>
              <w:rPr>
                <w:rFonts w:hint="eastAsia" w:ascii="宋体" w:hAnsi="宋体"/>
                <w:color w:val="000000"/>
                <w:kern w:val="0"/>
                <w:sz w:val="24"/>
              </w:rPr>
              <w:t>不涉及报价修正</w:t>
            </w:r>
            <w:r>
              <w:rPr>
                <w:rFonts w:ascii="宋体" w:hAnsi="宋体"/>
                <w:color w:val="000000"/>
                <w:kern w:val="0"/>
                <w:sz w:val="24"/>
              </w:rPr>
              <w:t>，或投标文件报价出现前后不一致</w:t>
            </w:r>
            <w:r>
              <w:rPr>
                <w:rFonts w:hint="eastAsia" w:ascii="宋体" w:hAnsi="宋体"/>
                <w:color w:val="000000"/>
                <w:kern w:val="0"/>
                <w:sz w:val="24"/>
              </w:rPr>
              <w:t>时</w:t>
            </w:r>
            <w:r>
              <w:rPr>
                <w:rFonts w:ascii="宋体" w:hAnsi="宋体"/>
                <w:color w:val="000000"/>
                <w:kern w:val="0"/>
                <w:sz w:val="24"/>
              </w:rPr>
              <w:t>，投标人对修正后的报价予</w:t>
            </w:r>
            <w:r>
              <w:rPr>
                <w:rFonts w:hint="eastAsia" w:ascii="宋体" w:hAnsi="宋体"/>
                <w:color w:val="000000"/>
                <w:kern w:val="0"/>
                <w:sz w:val="24"/>
              </w:rPr>
              <w:t>以</w:t>
            </w:r>
            <w:r>
              <w:rPr>
                <w:rFonts w:ascii="宋体" w:hAnsi="宋体"/>
                <w:color w:val="000000"/>
                <w:kern w:val="0"/>
                <w:sz w:val="24"/>
              </w:rPr>
              <w:t>确认；（如有）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hint="eastAsia" w:ascii="宋体" w:hAnsi="宋体"/>
                <w:color w:val="000000"/>
                <w:kern w:val="0"/>
                <w:sz w:val="24"/>
              </w:rPr>
              <w:t>9</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报价合理性</w:t>
            </w:r>
          </w:p>
        </w:tc>
        <w:tc>
          <w:tcPr>
            <w:tcW w:w="3620" w:type="pct"/>
            <w:vAlign w:val="center"/>
          </w:tcPr>
          <w:p>
            <w:pPr>
              <w:widowControl/>
              <w:jc w:val="left"/>
              <w:rPr>
                <w:rFonts w:ascii="宋体" w:hAnsi="宋体"/>
                <w:color w:val="000000"/>
                <w:kern w:val="0"/>
                <w:sz w:val="24"/>
              </w:rPr>
            </w:pPr>
            <w:r>
              <w:rPr>
                <w:rFonts w:ascii="宋体" w:hAnsi="宋体"/>
                <w:color w:val="000000"/>
                <w:kern w:val="0"/>
                <w:sz w:val="24"/>
              </w:rPr>
              <w:t>报价合理，或</w:t>
            </w:r>
            <w:r>
              <w:rPr>
                <w:rFonts w:hint="eastAsia" w:ascii="宋体" w:hAnsi="宋体"/>
                <w:color w:val="000000"/>
                <w:sz w:val="24"/>
              </w:rPr>
              <w:t>投标人的报价明显低于其他通过符合性审查投标人的报价，</w:t>
            </w:r>
            <w:r>
              <w:rPr>
                <w:rFonts w:ascii="宋体" w:hAnsi="宋体"/>
                <w:color w:val="000000"/>
                <w:sz w:val="24"/>
              </w:rPr>
              <w:t>有可能影响产品质量或者不能诚信履约的</w:t>
            </w:r>
            <w:r>
              <w:rPr>
                <w:rFonts w:hint="eastAsia" w:ascii="宋体" w:hAnsi="宋体"/>
                <w:color w:val="000000"/>
                <w:sz w:val="24"/>
              </w:rPr>
              <w:t>，能够应评标委员会要求在规定时间内证明其报价合理性的</w:t>
            </w:r>
            <w:r>
              <w:rPr>
                <w:rFonts w:ascii="宋体" w:hAnsi="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hint="eastAsia" w:ascii="宋体" w:hAnsi="宋体"/>
                <w:color w:val="000000"/>
                <w:kern w:val="0"/>
                <w:sz w:val="24"/>
              </w:rPr>
              <w:t>10</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公平竞争</w:t>
            </w:r>
          </w:p>
        </w:tc>
        <w:tc>
          <w:tcPr>
            <w:tcW w:w="3620" w:type="pct"/>
            <w:vAlign w:val="center"/>
          </w:tcPr>
          <w:p>
            <w:pPr>
              <w:widowControl/>
              <w:jc w:val="left"/>
              <w:rPr>
                <w:rFonts w:ascii="宋体" w:hAnsi="宋体"/>
                <w:color w:val="000000"/>
                <w:kern w:val="0"/>
                <w:sz w:val="24"/>
              </w:rPr>
            </w:pPr>
            <w:r>
              <w:rPr>
                <w:rFonts w:ascii="宋体" w:hAnsi="宋体"/>
                <w:color w:val="000000"/>
                <w:sz w:val="24"/>
              </w:rPr>
              <w:t>投标人遵循公平竞争的原则，不存在恶意串通，妨碍其他投标人的竞争行为，不存在损害采购人或者其他投标人的合法权益情形的；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hint="eastAsia" w:ascii="宋体" w:hAnsi="宋体"/>
                <w:color w:val="000000"/>
                <w:kern w:val="0"/>
                <w:sz w:val="24"/>
              </w:rPr>
              <w:t>11</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串通投标</w:t>
            </w:r>
          </w:p>
        </w:tc>
        <w:tc>
          <w:tcPr>
            <w:tcW w:w="3620" w:type="pct"/>
            <w:vAlign w:val="center"/>
          </w:tcPr>
          <w:p>
            <w:pPr>
              <w:widowControl/>
              <w:jc w:val="left"/>
              <w:rPr>
                <w:rFonts w:ascii="宋体" w:hAnsi="宋体"/>
                <w:color w:val="000000"/>
                <w:kern w:val="0"/>
                <w:sz w:val="24"/>
              </w:rPr>
            </w:pPr>
            <w:r>
              <w:rPr>
                <w:rFonts w:hint="eastAsia" w:ascii="宋体" w:hAnsi="宋体"/>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r>
              <w:rPr>
                <w:rFonts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hint="eastAsia" w:ascii="宋体" w:hAnsi="宋体"/>
                <w:color w:val="000000"/>
                <w:kern w:val="0"/>
                <w:sz w:val="24"/>
              </w:rPr>
              <w:t>12</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附加条件</w:t>
            </w:r>
          </w:p>
        </w:tc>
        <w:tc>
          <w:tcPr>
            <w:tcW w:w="3620" w:type="pct"/>
            <w:vAlign w:val="center"/>
          </w:tcPr>
          <w:p>
            <w:pPr>
              <w:widowControl/>
              <w:jc w:val="left"/>
              <w:rPr>
                <w:rFonts w:ascii="宋体" w:hAnsi="宋体"/>
                <w:color w:val="000000"/>
                <w:kern w:val="0"/>
                <w:sz w:val="24"/>
              </w:rPr>
            </w:pPr>
            <w:r>
              <w:rPr>
                <w:rFonts w:ascii="宋体" w:hAnsi="宋体"/>
                <w:color w:val="000000"/>
                <w:kern w:val="0"/>
                <w:sz w:val="24"/>
              </w:rPr>
              <w:t>投标文件</w:t>
            </w:r>
            <w:r>
              <w:rPr>
                <w:rFonts w:hint="eastAsia" w:ascii="宋体" w:hAnsi="宋体"/>
                <w:color w:val="000000"/>
                <w:kern w:val="0"/>
                <w:sz w:val="24"/>
              </w:rPr>
              <w:t>未</w:t>
            </w:r>
            <w:r>
              <w:rPr>
                <w:rFonts w:ascii="宋体" w:hAnsi="宋体"/>
                <w:color w:val="000000"/>
                <w:kern w:val="0"/>
                <w:sz w:val="24"/>
              </w:rPr>
              <w:t>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04" w:type="pct"/>
            <w:vAlign w:val="center"/>
          </w:tcPr>
          <w:p>
            <w:pPr>
              <w:widowControl/>
              <w:jc w:val="center"/>
              <w:rPr>
                <w:rFonts w:ascii="宋体" w:hAnsi="宋体"/>
                <w:color w:val="000000"/>
                <w:kern w:val="0"/>
                <w:sz w:val="24"/>
              </w:rPr>
            </w:pPr>
            <w:r>
              <w:rPr>
                <w:rFonts w:hint="eastAsia" w:ascii="宋体" w:hAnsi="宋体"/>
                <w:color w:val="000000"/>
                <w:kern w:val="0"/>
                <w:sz w:val="24"/>
              </w:rPr>
              <w:t>13</w:t>
            </w:r>
          </w:p>
        </w:tc>
        <w:tc>
          <w:tcPr>
            <w:tcW w:w="976" w:type="pct"/>
            <w:vAlign w:val="center"/>
          </w:tcPr>
          <w:p>
            <w:pPr>
              <w:widowControl/>
              <w:jc w:val="center"/>
              <w:rPr>
                <w:rFonts w:ascii="宋体" w:hAnsi="宋体"/>
                <w:color w:val="000000"/>
                <w:kern w:val="0"/>
                <w:sz w:val="24"/>
              </w:rPr>
            </w:pPr>
            <w:r>
              <w:rPr>
                <w:rFonts w:ascii="宋体" w:hAnsi="宋体"/>
                <w:color w:val="000000"/>
                <w:kern w:val="0"/>
                <w:sz w:val="24"/>
              </w:rPr>
              <w:t>其他无效情形</w:t>
            </w:r>
          </w:p>
        </w:tc>
        <w:tc>
          <w:tcPr>
            <w:tcW w:w="3620" w:type="pct"/>
            <w:vAlign w:val="center"/>
          </w:tcPr>
          <w:p>
            <w:pPr>
              <w:widowControl/>
              <w:jc w:val="left"/>
              <w:rPr>
                <w:rFonts w:ascii="宋体" w:hAnsi="宋体"/>
                <w:color w:val="000000"/>
                <w:kern w:val="0"/>
                <w:sz w:val="24"/>
              </w:rPr>
            </w:pPr>
            <w:r>
              <w:rPr>
                <w:rFonts w:ascii="宋体" w:hAnsi="宋体"/>
                <w:color w:val="000000"/>
                <w:sz w:val="24"/>
              </w:rPr>
              <w:t>投标人、投标文件</w:t>
            </w:r>
            <w:r>
              <w:rPr>
                <w:rFonts w:hint="eastAsia" w:ascii="宋体" w:hAnsi="宋体"/>
                <w:color w:val="000000"/>
                <w:sz w:val="24"/>
              </w:rPr>
              <w:t>不存在</w:t>
            </w:r>
            <w:r>
              <w:rPr>
                <w:rFonts w:ascii="宋体" w:hAnsi="宋体"/>
                <w:color w:val="000000"/>
                <w:sz w:val="24"/>
              </w:rPr>
              <w:t>不符合法律、法规和招标文件规定的其他无效情形。</w:t>
            </w:r>
          </w:p>
        </w:tc>
      </w:tr>
    </w:tbl>
    <w:p>
      <w:pPr>
        <w:pStyle w:val="4"/>
        <w:spacing w:line="360" w:lineRule="auto"/>
        <w:ind w:firstLine="0"/>
        <w:rPr>
          <w:rFonts w:ascii="宋体" w:hAnsi="宋体" w:cs="宋体"/>
          <w:color w:val="000000"/>
          <w:sz w:val="24"/>
          <w:szCs w:val="24"/>
        </w:rPr>
      </w:pPr>
      <w:r>
        <w:rPr>
          <w:rFonts w:hint="eastAsia" w:ascii="宋体" w:hAnsi="宋体" w:cs="宋体"/>
          <w:color w:val="000000"/>
          <w:sz w:val="24"/>
          <w:szCs w:val="24"/>
        </w:rPr>
        <w:t>注：只有全部通过符合性审查的投标人才可进入后续评审。</w:t>
      </w:r>
      <w:bookmarkEnd w:id="680"/>
    </w:p>
    <w:p>
      <w:pPr>
        <w:widowControl/>
        <w:spacing w:line="360" w:lineRule="auto"/>
        <w:jc w:val="left"/>
        <w:rPr>
          <w:rStyle w:val="68"/>
          <w:rFonts w:ascii="宋体" w:hAnsi="宋体"/>
          <w:color w:val="000000"/>
          <w:sz w:val="24"/>
          <w:szCs w:val="24"/>
        </w:rPr>
      </w:pPr>
      <w:bookmarkStart w:id="681" w:name="_Toc10883"/>
      <w:bookmarkStart w:id="682" w:name="_Toc8999374"/>
      <w:bookmarkStart w:id="683" w:name="_Toc15500"/>
      <w:bookmarkStart w:id="684" w:name="_Toc11226"/>
      <w:bookmarkStart w:id="685" w:name="_Toc15435090"/>
      <w:bookmarkStart w:id="686" w:name="_Toc50760976"/>
      <w:bookmarkStart w:id="687" w:name="_Toc21939"/>
      <w:bookmarkStart w:id="688" w:name="_Toc29817"/>
      <w:bookmarkStart w:id="689" w:name="_Toc25529"/>
      <w:bookmarkStart w:id="690" w:name="_Toc496291435"/>
      <w:r>
        <w:rPr>
          <w:rStyle w:val="68"/>
          <w:rFonts w:ascii="宋体" w:hAnsi="宋体"/>
          <w:color w:val="000000"/>
          <w:sz w:val="24"/>
          <w:szCs w:val="24"/>
        </w:rPr>
        <w:br w:type="page"/>
      </w:r>
      <w:bookmarkEnd w:id="681"/>
      <w:bookmarkEnd w:id="682"/>
      <w:bookmarkEnd w:id="683"/>
      <w:bookmarkEnd w:id="684"/>
      <w:bookmarkEnd w:id="685"/>
      <w:bookmarkEnd w:id="686"/>
      <w:bookmarkEnd w:id="687"/>
      <w:bookmarkEnd w:id="688"/>
      <w:bookmarkEnd w:id="689"/>
      <w:bookmarkEnd w:id="690"/>
    </w:p>
    <w:p>
      <w:pPr>
        <w:pStyle w:val="5"/>
        <w:numPr>
          <w:ilvl w:val="2"/>
          <w:numId w:val="0"/>
        </w:numPr>
        <w:spacing w:line="240" w:lineRule="auto"/>
        <w:rPr>
          <w:rStyle w:val="68"/>
          <w:rFonts w:hint="eastAsia" w:ascii="宋体" w:hAnsi="宋体"/>
          <w:b/>
          <w:color w:val="000000"/>
          <w:szCs w:val="24"/>
          <w:highlight w:val="none"/>
        </w:rPr>
      </w:pPr>
      <w:r>
        <w:rPr>
          <w:rStyle w:val="68"/>
          <w:rFonts w:hint="eastAsia" w:ascii="宋体" w:hAnsi="宋体"/>
          <w:b/>
          <w:color w:val="000000"/>
          <w:szCs w:val="24"/>
          <w:highlight w:val="none"/>
        </w:rPr>
        <w:t>评分细则</w:t>
      </w:r>
    </w:p>
    <w:p/>
    <w:tbl>
      <w:tblPr>
        <w:tblStyle w:val="48"/>
        <w:tblW w:w="9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2"/>
        <w:gridCol w:w="1094"/>
        <w:gridCol w:w="7145"/>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rPr>
              <w:t>序号</w:t>
            </w:r>
          </w:p>
        </w:tc>
        <w:tc>
          <w:tcPr>
            <w:tcW w:w="1094"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rPr>
              <w:t>评分</w:t>
            </w:r>
          </w:p>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rPr>
              <w:t>因素</w:t>
            </w:r>
          </w:p>
        </w:tc>
        <w:tc>
          <w:tcPr>
            <w:tcW w:w="7145" w:type="dxa"/>
            <w:noWrap w:val="0"/>
            <w:tcMar>
              <w:top w:w="0" w:type="dxa"/>
              <w:left w:w="108" w:type="dxa"/>
              <w:bottom w:w="0" w:type="dxa"/>
              <w:right w:w="108" w:type="dxa"/>
            </w:tcMar>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sz w:val="21"/>
                <w:highlight w:val="none"/>
              </w:rPr>
            </w:pPr>
            <w:r>
              <w:rPr>
                <w:rFonts w:hint="eastAsia" w:ascii="宋体" w:hAnsi="宋体"/>
                <w:b/>
                <w:sz w:val="21"/>
                <w:highlight w:val="none"/>
              </w:rPr>
              <w:t>评审标准</w:t>
            </w:r>
          </w:p>
        </w:tc>
        <w:tc>
          <w:tcPr>
            <w:tcW w:w="703" w:type="dxa"/>
            <w:noWrap w:val="0"/>
            <w:tcMar>
              <w:top w:w="0" w:type="dxa"/>
              <w:left w:w="108" w:type="dxa"/>
              <w:bottom w:w="0" w:type="dxa"/>
              <w:right w:w="108" w:type="dxa"/>
            </w:tcMar>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cs="宋体"/>
                <w:b/>
                <w:bCs w:val="0"/>
                <w:sz w:val="21"/>
                <w:highlight w:val="none"/>
              </w:rPr>
            </w:pPr>
            <w:r>
              <w:rPr>
                <w:rFonts w:hint="eastAsia" w:ascii="宋体" w:hAnsi="宋体" w:cs="宋体"/>
                <w:b/>
                <w:bCs w:val="0"/>
                <w:sz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rPr>
              <w:t>1</w:t>
            </w:r>
          </w:p>
        </w:tc>
        <w:tc>
          <w:tcPr>
            <w:tcW w:w="1094"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rPr>
              <w:t>价格</w:t>
            </w:r>
          </w:p>
        </w:tc>
        <w:tc>
          <w:tcPr>
            <w:tcW w:w="7145"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评审基准价=满足遴选文件要求且最低的评审价格</w:t>
            </w:r>
            <w:r>
              <w:rPr>
                <w:rFonts w:hint="eastAsia" w:ascii="宋体" w:hAnsi="宋体" w:eastAsia="宋体" w:cs="宋体"/>
                <w:sz w:val="21"/>
                <w:szCs w:val="21"/>
                <w:lang w:eastAsia="zh-CN"/>
              </w:rPr>
              <w:t>：</w:t>
            </w:r>
          </w:p>
          <w:p>
            <w:pPr>
              <w:keepNext w:val="0"/>
              <w:keepLines w:val="0"/>
              <w:pageBreakBefore w:val="0"/>
              <w:widowControl/>
              <w:kinsoku/>
              <w:wordWrap/>
              <w:topLinePunct w:val="0"/>
              <w:bidi w:val="0"/>
              <w:spacing w:line="240" w:lineRule="auto"/>
              <w:ind w:firstLine="0"/>
              <w:jc w:val="left"/>
              <w:textAlignment w:val="auto"/>
              <w:rPr>
                <w:rFonts w:ascii="宋体" w:hAnsi="宋体"/>
                <w:sz w:val="21"/>
                <w:highlight w:val="none"/>
              </w:rPr>
            </w:pPr>
            <w:r>
              <w:rPr>
                <w:rFonts w:hint="eastAsia" w:ascii="宋体" w:hAnsi="宋体" w:eastAsia="宋体" w:cs="宋体"/>
                <w:sz w:val="21"/>
                <w:szCs w:val="21"/>
              </w:rPr>
              <w:t>合格供应商的有效价格得分=（评审基准价/评审价格)×10</w:t>
            </w:r>
          </w:p>
        </w:tc>
        <w:tc>
          <w:tcPr>
            <w:tcW w:w="703" w:type="dxa"/>
            <w:noWrap w:val="0"/>
            <w:tcMar>
              <w:top w:w="0" w:type="dxa"/>
              <w:left w:w="108" w:type="dxa"/>
              <w:bottom w:w="0" w:type="dxa"/>
              <w:right w:w="108" w:type="dxa"/>
            </w:tcMar>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cs="宋体"/>
                <w:b/>
                <w:bCs w:val="0"/>
                <w:sz w:val="21"/>
                <w:highlight w:val="none"/>
              </w:rPr>
            </w:pPr>
            <w:r>
              <w:rPr>
                <w:rFonts w:hint="eastAsia" w:ascii="宋体" w:hAnsi="宋体" w:cs="宋体"/>
                <w:b/>
                <w:bCs w:val="0"/>
                <w:sz w:val="21"/>
                <w:highlight w:val="none"/>
              </w:rPr>
              <w:t>1</w:t>
            </w:r>
            <w:r>
              <w:rPr>
                <w:rFonts w:ascii="宋体" w:hAnsi="宋体" w:cs="宋体"/>
                <w:b/>
                <w:bCs w:val="0"/>
                <w:sz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hint="eastAsia" w:ascii="宋体" w:hAnsi="宋体" w:eastAsia="宋体"/>
                <w:b/>
                <w:bCs/>
                <w:sz w:val="21"/>
                <w:highlight w:val="none"/>
                <w:lang w:val="en-US" w:eastAsia="zh-CN"/>
              </w:rPr>
            </w:pPr>
            <w:r>
              <w:rPr>
                <w:rFonts w:hint="eastAsia" w:ascii="宋体" w:hAnsi="宋体"/>
                <w:b/>
                <w:bCs/>
                <w:sz w:val="21"/>
                <w:highlight w:val="none"/>
                <w:lang w:val="en-US" w:eastAsia="zh-CN"/>
              </w:rPr>
              <w:t>2</w:t>
            </w:r>
          </w:p>
        </w:tc>
        <w:tc>
          <w:tcPr>
            <w:tcW w:w="1094"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rPr>
              <w:t>类似</w:t>
            </w:r>
          </w:p>
          <w:p>
            <w:pPr>
              <w:keepNext w:val="0"/>
              <w:keepLines w:val="0"/>
              <w:pageBreakBefore w:val="0"/>
              <w:widowControl/>
              <w:kinsoku/>
              <w:wordWrap/>
              <w:topLinePunct w:val="0"/>
              <w:bidi w:val="0"/>
              <w:spacing w:line="240" w:lineRule="auto"/>
              <w:ind w:firstLine="0" w:firstLineChars="0"/>
              <w:jc w:val="center"/>
              <w:textAlignment w:val="auto"/>
              <w:rPr>
                <w:rFonts w:hint="eastAsia" w:ascii="宋体" w:hAnsi="宋体" w:eastAsia="宋体" w:cs="Times New Roman"/>
                <w:b/>
                <w:bCs/>
                <w:kern w:val="2"/>
                <w:sz w:val="21"/>
                <w:szCs w:val="22"/>
                <w:highlight w:val="none"/>
                <w:lang w:val="en-US" w:eastAsia="zh-CN" w:bidi="ar-SA"/>
              </w:rPr>
            </w:pPr>
            <w:r>
              <w:rPr>
                <w:rFonts w:hint="eastAsia" w:ascii="宋体" w:hAnsi="宋体"/>
                <w:b/>
                <w:bCs/>
                <w:sz w:val="21"/>
                <w:highlight w:val="none"/>
              </w:rPr>
              <w:t>业绩</w:t>
            </w:r>
          </w:p>
        </w:tc>
        <w:tc>
          <w:tcPr>
            <w:tcW w:w="7145" w:type="dxa"/>
            <w:noWrap w:val="0"/>
            <w:tcMar>
              <w:top w:w="0" w:type="dxa"/>
              <w:left w:w="108" w:type="dxa"/>
              <w:bottom w:w="0" w:type="dxa"/>
              <w:right w:w="108" w:type="dxa"/>
            </w:tcMar>
            <w:vAlign w:val="center"/>
          </w:tcPr>
          <w:p>
            <w:pPr>
              <w:keepNext w:val="0"/>
              <w:keepLines w:val="0"/>
              <w:pageBreakBefore w:val="0"/>
              <w:widowControl w:val="0"/>
              <w:kinsoku/>
              <w:wordWrap/>
              <w:topLinePunct w:val="0"/>
              <w:bidi w:val="0"/>
              <w:spacing w:line="240" w:lineRule="auto"/>
              <w:ind w:firstLine="0" w:firstLineChars="0"/>
              <w:jc w:val="both"/>
              <w:textAlignment w:val="auto"/>
              <w:rPr>
                <w:rFonts w:hint="eastAsia" w:ascii="宋体" w:hAnsi="宋体" w:eastAsia="宋体" w:cs="Times New Roman"/>
                <w:kern w:val="2"/>
                <w:sz w:val="21"/>
                <w:szCs w:val="21"/>
                <w:highlight w:val="none"/>
                <w:lang w:val="zh-CN" w:eastAsia="zh-CN" w:bidi="ar-SA"/>
              </w:rPr>
            </w:pPr>
            <w:r>
              <w:rPr>
                <w:rFonts w:hint="eastAsia" w:ascii="宋体" w:hAnsi="宋体" w:eastAsia="宋体" w:cs="宋体"/>
                <w:sz w:val="21"/>
                <w:szCs w:val="21"/>
                <w:highlight w:val="none"/>
                <w:lang w:val="zh-CN" w:eastAsia="zh-CN" w:bidi="ar-SA"/>
              </w:rPr>
              <w:t>供应商提供自20</w:t>
            </w:r>
            <w:r>
              <w:rPr>
                <w:rFonts w:hint="eastAsia" w:ascii="宋体" w:hAnsi="宋体" w:cs="宋体"/>
                <w:sz w:val="21"/>
                <w:szCs w:val="21"/>
                <w:highlight w:val="none"/>
                <w:lang w:val="en-US" w:eastAsia="zh-CN" w:bidi="ar-SA"/>
              </w:rPr>
              <w:t>21</w:t>
            </w:r>
            <w:r>
              <w:rPr>
                <w:rFonts w:hint="eastAsia" w:ascii="宋体" w:hAnsi="宋体" w:eastAsia="宋体" w:cs="宋体"/>
                <w:sz w:val="21"/>
                <w:szCs w:val="21"/>
                <w:highlight w:val="none"/>
                <w:lang w:val="zh-CN" w:eastAsia="zh-CN" w:bidi="ar-SA"/>
              </w:rPr>
              <w:t>年</w:t>
            </w:r>
            <w:r>
              <w:rPr>
                <w:rFonts w:hint="eastAsia" w:ascii="宋体" w:hAnsi="宋体" w:cs="宋体"/>
                <w:sz w:val="21"/>
                <w:szCs w:val="21"/>
                <w:highlight w:val="none"/>
                <w:lang w:val="en-US" w:eastAsia="zh-CN" w:bidi="ar-SA"/>
              </w:rPr>
              <w:t>7</w:t>
            </w:r>
            <w:r>
              <w:rPr>
                <w:rFonts w:hint="eastAsia" w:ascii="宋体" w:hAnsi="宋体" w:eastAsia="宋体" w:cs="宋体"/>
                <w:sz w:val="21"/>
                <w:szCs w:val="21"/>
                <w:highlight w:val="none"/>
                <w:lang w:val="zh-CN" w:eastAsia="zh-CN" w:bidi="ar-SA"/>
              </w:rPr>
              <w:t>月1日以来（以合同签订时间为准）承接过</w:t>
            </w:r>
            <w:r>
              <w:rPr>
                <w:rFonts w:hint="eastAsia" w:ascii="宋体" w:hAnsi="宋体" w:cs="宋体"/>
                <w:sz w:val="21"/>
                <w:szCs w:val="21"/>
                <w:highlight w:val="none"/>
                <w:lang w:val="en-US" w:eastAsia="zh-CN" w:bidi="ar-SA"/>
              </w:rPr>
              <w:t>类似</w:t>
            </w:r>
            <w:r>
              <w:rPr>
                <w:rFonts w:hint="eastAsia"/>
              </w:rPr>
              <w:t>压力容器无损检测</w:t>
            </w:r>
            <w:r>
              <w:rPr>
                <w:rFonts w:hint="eastAsia" w:ascii="宋体" w:hAnsi="宋体" w:eastAsia="宋体" w:cs="宋体"/>
                <w:sz w:val="21"/>
                <w:szCs w:val="21"/>
                <w:highlight w:val="none"/>
                <w:lang w:val="zh-CN" w:eastAsia="zh-CN" w:bidi="ar-SA"/>
              </w:rPr>
              <w:t>业绩，有一个得</w:t>
            </w:r>
            <w:r>
              <w:rPr>
                <w:rFonts w:ascii="宋体" w:hAnsi="宋体" w:eastAsia="宋体" w:cs="宋体"/>
                <w:sz w:val="21"/>
                <w:szCs w:val="21"/>
                <w:highlight w:val="none"/>
                <w:lang w:val="zh-CN" w:eastAsia="zh-CN" w:bidi="ar-SA"/>
              </w:rPr>
              <w:t>5</w:t>
            </w:r>
            <w:r>
              <w:rPr>
                <w:rFonts w:hint="eastAsia" w:ascii="宋体" w:hAnsi="宋体" w:eastAsia="宋体" w:cs="宋体"/>
                <w:sz w:val="21"/>
                <w:szCs w:val="21"/>
                <w:highlight w:val="none"/>
                <w:lang w:val="zh-CN" w:eastAsia="zh-CN" w:bidi="ar-SA"/>
              </w:rPr>
              <w:t>分，最高得10分。（需提供合同协议书复印件加盖公章）</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firstLineChars="0"/>
              <w:jc w:val="center"/>
              <w:textAlignment w:val="auto"/>
              <w:rPr>
                <w:rFonts w:hint="eastAsia" w:ascii="宋体" w:hAnsi="宋体" w:eastAsia="宋体" w:cs="宋体"/>
                <w:b/>
                <w:bCs w:val="0"/>
                <w:kern w:val="2"/>
                <w:sz w:val="21"/>
                <w:szCs w:val="22"/>
                <w:highlight w:val="none"/>
                <w:lang w:val="en-US" w:eastAsia="zh-CN" w:bidi="ar-SA"/>
              </w:rPr>
            </w:pPr>
            <w:r>
              <w:rPr>
                <w:rFonts w:hint="eastAsia" w:ascii="宋体" w:hAnsi="宋体" w:cs="宋体"/>
                <w:b/>
                <w:bCs w:val="0"/>
                <w:sz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hint="eastAsia" w:ascii="宋体" w:hAnsi="宋体" w:eastAsia="宋体"/>
                <w:b/>
                <w:bCs/>
                <w:sz w:val="21"/>
                <w:highlight w:val="none"/>
                <w:lang w:val="en-US" w:eastAsia="zh-CN"/>
              </w:rPr>
            </w:pPr>
            <w:r>
              <w:rPr>
                <w:rFonts w:hint="eastAsia" w:ascii="宋体" w:hAnsi="宋体"/>
                <w:b/>
                <w:bCs/>
                <w:sz w:val="21"/>
                <w:highlight w:val="none"/>
                <w:lang w:val="en-US" w:eastAsia="zh-CN"/>
              </w:rPr>
              <w:t>3</w:t>
            </w:r>
          </w:p>
        </w:tc>
        <w:tc>
          <w:tcPr>
            <w:tcW w:w="1094" w:type="dxa"/>
            <w:noWrap w:val="0"/>
            <w:vAlign w:val="center"/>
          </w:tcPr>
          <w:p>
            <w:pPr>
              <w:keepNext w:val="0"/>
              <w:keepLines w:val="0"/>
              <w:pageBreakBefore w:val="0"/>
              <w:widowControl/>
              <w:kinsoku/>
              <w:wordWrap/>
              <w:topLinePunct w:val="0"/>
              <w:bidi w:val="0"/>
              <w:spacing w:line="240" w:lineRule="auto"/>
              <w:ind w:firstLine="0" w:firstLineChars="0"/>
              <w:jc w:val="center"/>
              <w:textAlignment w:val="auto"/>
              <w:rPr>
                <w:rFonts w:hint="eastAsia" w:ascii="宋体" w:hAnsi="宋体"/>
                <w:b/>
                <w:bCs/>
                <w:sz w:val="21"/>
                <w:highlight w:val="none"/>
                <w:lang w:val="en-US" w:eastAsia="zh-CN"/>
              </w:rPr>
            </w:pPr>
            <w:r>
              <w:rPr>
                <w:rFonts w:hint="eastAsia" w:ascii="宋体" w:hAnsi="宋体"/>
                <w:b/>
                <w:bCs/>
                <w:sz w:val="21"/>
                <w:highlight w:val="none"/>
                <w:lang w:val="en-US" w:eastAsia="zh-CN"/>
              </w:rPr>
              <w:t>供应商综合</w:t>
            </w:r>
          </w:p>
          <w:p>
            <w:pPr>
              <w:keepNext w:val="0"/>
              <w:keepLines w:val="0"/>
              <w:pageBreakBefore w:val="0"/>
              <w:widowControl/>
              <w:kinsoku/>
              <w:wordWrap/>
              <w:topLinePunct w:val="0"/>
              <w:bidi w:val="0"/>
              <w:spacing w:line="240" w:lineRule="auto"/>
              <w:ind w:firstLine="0" w:firstLineChars="0"/>
              <w:jc w:val="center"/>
              <w:textAlignment w:val="auto"/>
              <w:rPr>
                <w:rFonts w:hint="eastAsia" w:ascii="宋体" w:hAnsi="宋体" w:eastAsia="宋体"/>
                <w:b/>
                <w:bCs/>
                <w:sz w:val="21"/>
                <w:highlight w:val="none"/>
                <w:lang w:val="en-US" w:eastAsia="zh-CN"/>
              </w:rPr>
            </w:pPr>
            <w:r>
              <w:rPr>
                <w:rFonts w:hint="eastAsia" w:ascii="宋体" w:hAnsi="宋体"/>
                <w:b/>
                <w:bCs/>
                <w:sz w:val="21"/>
                <w:highlight w:val="none"/>
                <w:lang w:val="en-US" w:eastAsia="zh-CN"/>
              </w:rPr>
              <w:t>实力</w:t>
            </w:r>
          </w:p>
        </w:tc>
        <w:tc>
          <w:tcPr>
            <w:tcW w:w="7145" w:type="dxa"/>
            <w:noWrap w:val="0"/>
            <w:tcMar>
              <w:top w:w="0" w:type="dxa"/>
              <w:left w:w="108" w:type="dxa"/>
              <w:bottom w:w="0" w:type="dxa"/>
              <w:right w:w="108" w:type="dxa"/>
            </w:tcMar>
            <w:vAlign w:val="center"/>
          </w:tcPr>
          <w:p>
            <w:pPr>
              <w:pStyle w:val="4"/>
              <w:keepNext w:val="0"/>
              <w:keepLines w:val="0"/>
              <w:pageBreakBefore w:val="0"/>
              <w:kinsoku/>
              <w:wordWrap/>
              <w:topLinePunct w:val="0"/>
              <w:bidi w:val="0"/>
              <w:spacing w:line="240" w:lineRule="auto"/>
              <w:ind w:firstLine="0"/>
              <w:textAlignment w:val="auto"/>
              <w:rPr>
                <w:rFonts w:ascii="宋体" w:hAnsi="宋体" w:cs="宋体"/>
                <w:color w:val="000000"/>
                <w:sz w:val="21"/>
                <w:szCs w:val="21"/>
              </w:rPr>
            </w:pPr>
            <w:r>
              <w:rPr>
                <w:rFonts w:hint="eastAsia" w:ascii="宋体" w:hAnsi="宋体" w:cs="宋体"/>
                <w:color w:val="000000"/>
                <w:sz w:val="21"/>
                <w:szCs w:val="21"/>
              </w:rPr>
              <w:t>1、具有质量管理体系证书，得1分；</w:t>
            </w:r>
          </w:p>
          <w:p>
            <w:pPr>
              <w:pStyle w:val="4"/>
              <w:keepNext w:val="0"/>
              <w:keepLines w:val="0"/>
              <w:pageBreakBefore w:val="0"/>
              <w:kinsoku/>
              <w:wordWrap/>
              <w:topLinePunct w:val="0"/>
              <w:bidi w:val="0"/>
              <w:spacing w:line="240" w:lineRule="auto"/>
              <w:ind w:firstLine="0"/>
              <w:textAlignment w:val="auto"/>
              <w:rPr>
                <w:rFonts w:ascii="宋体" w:hAnsi="宋体" w:cs="宋体"/>
                <w:color w:val="000000"/>
                <w:sz w:val="21"/>
                <w:szCs w:val="21"/>
              </w:rPr>
            </w:pPr>
            <w:r>
              <w:rPr>
                <w:rFonts w:hint="eastAsia" w:ascii="宋体" w:hAnsi="宋体" w:cs="宋体"/>
                <w:color w:val="000000"/>
                <w:sz w:val="21"/>
                <w:szCs w:val="21"/>
              </w:rPr>
              <w:t>2、具有环境管理体系证书，得1分；</w:t>
            </w:r>
          </w:p>
          <w:p>
            <w:pPr>
              <w:pStyle w:val="4"/>
              <w:keepNext w:val="0"/>
              <w:keepLines w:val="0"/>
              <w:pageBreakBefore w:val="0"/>
              <w:kinsoku/>
              <w:wordWrap/>
              <w:topLinePunct w:val="0"/>
              <w:bidi w:val="0"/>
              <w:spacing w:line="240" w:lineRule="auto"/>
              <w:ind w:firstLine="0"/>
              <w:textAlignment w:val="auto"/>
              <w:rPr>
                <w:rFonts w:ascii="宋体" w:hAnsi="宋体" w:cs="宋体"/>
                <w:color w:val="000000"/>
                <w:sz w:val="21"/>
                <w:szCs w:val="21"/>
              </w:rPr>
            </w:pPr>
            <w:r>
              <w:rPr>
                <w:rFonts w:hint="eastAsia" w:ascii="宋体" w:hAnsi="宋体" w:cs="宋体"/>
                <w:color w:val="000000"/>
                <w:sz w:val="21"/>
                <w:szCs w:val="21"/>
              </w:rPr>
              <w:t>3、具有职业健康安全管理体系证书，得1分；</w:t>
            </w:r>
          </w:p>
          <w:p>
            <w:pPr>
              <w:keepNext w:val="0"/>
              <w:keepLines w:val="0"/>
              <w:pageBreakBefore w:val="0"/>
              <w:widowControl w:val="0"/>
              <w:kinsoku/>
              <w:wordWrap/>
              <w:topLinePunct w:val="0"/>
              <w:bidi w:val="0"/>
              <w:spacing w:line="240" w:lineRule="auto"/>
              <w:ind w:firstLine="0" w:firstLineChars="0"/>
              <w:jc w:val="both"/>
              <w:textAlignment w:val="auto"/>
              <w:rPr>
                <w:rFonts w:hint="eastAsia" w:ascii="宋体" w:hAnsi="宋体" w:eastAsia="宋体" w:cs="宋体"/>
                <w:sz w:val="21"/>
                <w:szCs w:val="21"/>
                <w:highlight w:val="none"/>
                <w:lang w:val="zh-CN" w:eastAsia="zh-CN" w:bidi="ar-SA"/>
              </w:rPr>
            </w:pPr>
            <w:r>
              <w:rPr>
                <w:rFonts w:hint="eastAsia" w:ascii="宋体" w:hAnsi="宋体" w:cs="宋体"/>
                <w:color w:val="000000"/>
                <w:szCs w:val="21"/>
              </w:rPr>
              <w:t>注：提供相关有效证书复印件加盖投标人公章，否则不得分。</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firstLineChars="0"/>
              <w:jc w:val="center"/>
              <w:textAlignment w:val="auto"/>
              <w:rPr>
                <w:rFonts w:hint="eastAsia" w:ascii="宋体" w:hAnsi="宋体" w:eastAsia="宋体" w:cs="宋体"/>
                <w:b/>
                <w:bCs w:val="0"/>
                <w:sz w:val="21"/>
                <w:highlight w:val="none"/>
                <w:lang w:val="en-US" w:eastAsia="zh-CN"/>
              </w:rPr>
            </w:pPr>
            <w:r>
              <w:rPr>
                <w:rFonts w:hint="eastAsia" w:ascii="宋体" w:hAnsi="宋体" w:cs="宋体"/>
                <w:b/>
                <w:bCs w:val="0"/>
                <w:sz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vMerge w:val="restart"/>
            <w:noWrap w:val="0"/>
            <w:vAlign w:val="center"/>
          </w:tcPr>
          <w:p>
            <w:pPr>
              <w:keepNext w:val="0"/>
              <w:keepLines w:val="0"/>
              <w:pageBreakBefore w:val="0"/>
              <w:widowControl/>
              <w:kinsoku/>
              <w:wordWrap/>
              <w:topLinePunct w:val="0"/>
              <w:bidi w:val="0"/>
              <w:spacing w:line="240" w:lineRule="auto"/>
              <w:ind w:firstLine="0"/>
              <w:jc w:val="center"/>
              <w:textAlignment w:val="auto"/>
              <w:rPr>
                <w:rFonts w:hint="default" w:ascii="宋体" w:hAnsi="宋体"/>
                <w:b/>
                <w:bCs/>
                <w:sz w:val="21"/>
                <w:highlight w:val="none"/>
                <w:lang w:val="en-US" w:eastAsia="zh-CN"/>
              </w:rPr>
            </w:pPr>
            <w:r>
              <w:rPr>
                <w:rFonts w:hint="eastAsia" w:ascii="宋体" w:hAnsi="宋体"/>
                <w:b/>
                <w:bCs/>
                <w:sz w:val="21"/>
                <w:highlight w:val="none"/>
                <w:lang w:val="en-US" w:eastAsia="zh-CN"/>
              </w:rPr>
              <w:t>4</w:t>
            </w:r>
          </w:p>
        </w:tc>
        <w:tc>
          <w:tcPr>
            <w:tcW w:w="1094" w:type="dxa"/>
            <w:vMerge w:val="restart"/>
            <w:noWrap w:val="0"/>
            <w:vAlign w:val="center"/>
          </w:tcPr>
          <w:p>
            <w:pPr>
              <w:keepNext w:val="0"/>
              <w:keepLines w:val="0"/>
              <w:pageBreakBefore w:val="0"/>
              <w:kinsoku/>
              <w:wordWrap/>
              <w:topLinePunct w:val="0"/>
              <w:bidi w:val="0"/>
              <w:adjustRightInd w:val="0"/>
              <w:snapToGrid w:val="0"/>
              <w:spacing w:line="240" w:lineRule="auto"/>
              <w:jc w:val="center"/>
              <w:textAlignment w:val="auto"/>
              <w:rPr>
                <w:rFonts w:hint="eastAsia" w:ascii="宋体" w:hAnsi="宋体"/>
                <w:b/>
                <w:bCs/>
                <w:sz w:val="21"/>
                <w:highlight w:val="none"/>
                <w:lang w:val="en-US" w:eastAsia="zh-CN"/>
              </w:rPr>
            </w:pPr>
            <w:r>
              <w:rPr>
                <w:rFonts w:hint="eastAsia" w:ascii="宋体" w:hAnsi="宋体" w:cs="宋体"/>
                <w:b/>
                <w:bCs/>
                <w:color w:val="000000"/>
                <w:szCs w:val="21"/>
              </w:rPr>
              <w:t>节能、环保</w:t>
            </w:r>
          </w:p>
        </w:tc>
        <w:tc>
          <w:tcPr>
            <w:tcW w:w="7145" w:type="dxa"/>
            <w:noWrap w:val="0"/>
            <w:tcMar>
              <w:top w:w="0" w:type="dxa"/>
              <w:left w:w="108" w:type="dxa"/>
              <w:bottom w:w="0" w:type="dxa"/>
              <w:right w:w="108" w:type="dxa"/>
            </w:tcMar>
            <w:vAlign w:val="top"/>
          </w:tcPr>
          <w:p>
            <w:pPr>
              <w:keepNext w:val="0"/>
              <w:keepLines w:val="0"/>
              <w:pageBreakBefore w:val="0"/>
              <w:kinsoku/>
              <w:wordWrap/>
              <w:topLinePunct w:val="0"/>
              <w:bidi w:val="0"/>
              <w:adjustRightInd w:val="0"/>
              <w:snapToGrid w:val="0"/>
              <w:spacing w:line="240" w:lineRule="auto"/>
              <w:jc w:val="left"/>
              <w:textAlignment w:val="auto"/>
              <w:rPr>
                <w:rFonts w:hint="eastAsia" w:ascii="宋体" w:hAnsi="宋体" w:cs="宋体"/>
                <w:color w:val="000000"/>
                <w:szCs w:val="21"/>
              </w:rPr>
            </w:pPr>
            <w:r>
              <w:rPr>
                <w:rFonts w:hint="eastAsia" w:ascii="宋体" w:hAnsi="宋体" w:cs="宋体"/>
                <w:color w:val="000000"/>
                <w:szCs w:val="21"/>
              </w:rPr>
              <w:t>采购产品中拟投标产品每有一项在政府采购品目清单内节能产品（除强制产品外）（且必须提供参与实施政府采购节能产品认证机构出具的认证证书复印件加盖本单位公章）加0.5分，否则不加分，最多加至1分</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adjustRightInd w:val="0"/>
              <w:snapToGrid w:val="0"/>
              <w:spacing w:line="240" w:lineRule="auto"/>
              <w:jc w:val="center"/>
              <w:textAlignment w:val="auto"/>
              <w:rPr>
                <w:rFonts w:hint="eastAsia" w:ascii="宋体" w:hAnsi="宋体" w:cs="宋体"/>
                <w:b/>
                <w:bCs w:val="0"/>
                <w:sz w:val="21"/>
                <w:highlight w:val="none"/>
                <w:lang w:val="en-US" w:eastAsia="zh-CN"/>
              </w:rPr>
            </w:pPr>
            <w:r>
              <w:rPr>
                <w:rFonts w:ascii="宋体" w:hAnsi="宋体" w:cs="宋体"/>
                <w:b/>
                <w:bCs w:val="0"/>
                <w:snapToGrid w:val="0"/>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vMerge w:val="continue"/>
            <w:noWrap w:val="0"/>
            <w:vAlign w:val="center"/>
          </w:tcPr>
          <w:p>
            <w:pPr>
              <w:keepNext w:val="0"/>
              <w:keepLines w:val="0"/>
              <w:pageBreakBefore w:val="0"/>
              <w:widowControl/>
              <w:kinsoku/>
              <w:wordWrap/>
              <w:topLinePunct w:val="0"/>
              <w:bidi w:val="0"/>
              <w:spacing w:line="240" w:lineRule="auto"/>
              <w:ind w:firstLine="0"/>
              <w:jc w:val="center"/>
              <w:textAlignment w:val="auto"/>
              <w:rPr>
                <w:rFonts w:hint="eastAsia" w:ascii="宋体" w:hAnsi="宋体"/>
                <w:b/>
                <w:bCs/>
                <w:sz w:val="21"/>
                <w:highlight w:val="none"/>
                <w:lang w:val="en-US" w:eastAsia="zh-CN"/>
              </w:rPr>
            </w:pPr>
          </w:p>
        </w:tc>
        <w:tc>
          <w:tcPr>
            <w:tcW w:w="1094" w:type="dxa"/>
            <w:vMerge w:val="continue"/>
            <w:noWrap w:val="0"/>
            <w:vAlign w:val="center"/>
          </w:tcPr>
          <w:p>
            <w:pPr>
              <w:keepNext w:val="0"/>
              <w:keepLines w:val="0"/>
              <w:pageBreakBefore w:val="0"/>
              <w:kinsoku/>
              <w:wordWrap/>
              <w:topLinePunct w:val="0"/>
              <w:bidi w:val="0"/>
              <w:adjustRightInd w:val="0"/>
              <w:snapToGrid w:val="0"/>
              <w:spacing w:line="240" w:lineRule="auto"/>
              <w:jc w:val="center"/>
              <w:textAlignment w:val="auto"/>
              <w:rPr>
                <w:rFonts w:hint="eastAsia" w:ascii="宋体" w:hAnsi="宋体"/>
                <w:b/>
                <w:bCs/>
                <w:sz w:val="21"/>
                <w:highlight w:val="none"/>
                <w:lang w:val="en-US" w:eastAsia="zh-CN"/>
              </w:rPr>
            </w:pPr>
          </w:p>
        </w:tc>
        <w:tc>
          <w:tcPr>
            <w:tcW w:w="7145" w:type="dxa"/>
            <w:noWrap w:val="0"/>
            <w:tcMar>
              <w:top w:w="0" w:type="dxa"/>
              <w:left w:w="108" w:type="dxa"/>
              <w:bottom w:w="0" w:type="dxa"/>
              <w:right w:w="108" w:type="dxa"/>
            </w:tcMar>
            <w:vAlign w:val="top"/>
          </w:tcPr>
          <w:p>
            <w:pPr>
              <w:keepNext w:val="0"/>
              <w:keepLines w:val="0"/>
              <w:pageBreakBefore w:val="0"/>
              <w:kinsoku/>
              <w:wordWrap/>
              <w:topLinePunct w:val="0"/>
              <w:bidi w:val="0"/>
              <w:adjustRightInd w:val="0"/>
              <w:snapToGrid w:val="0"/>
              <w:spacing w:line="240" w:lineRule="auto"/>
              <w:jc w:val="left"/>
              <w:textAlignment w:val="auto"/>
              <w:rPr>
                <w:rFonts w:hint="eastAsia" w:ascii="宋体" w:hAnsi="宋体" w:cs="宋体"/>
                <w:color w:val="000000"/>
                <w:szCs w:val="21"/>
              </w:rPr>
            </w:pPr>
            <w:r>
              <w:rPr>
                <w:rFonts w:hint="eastAsia" w:ascii="宋体" w:hAnsi="宋体" w:cs="宋体"/>
                <w:color w:val="000000"/>
                <w:szCs w:val="21"/>
              </w:rPr>
              <w:t>采购产品中拟投标产品每有一项在政府采购品目清单内环境标志产品（且必须提供参与实施政府采购环保产品认证机构出具的认证证书复印件加盖本单位公章）加0.5分，否则不加分，最多加至1分</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adjustRightInd w:val="0"/>
              <w:snapToGrid w:val="0"/>
              <w:spacing w:line="240" w:lineRule="auto"/>
              <w:jc w:val="center"/>
              <w:textAlignment w:val="auto"/>
              <w:rPr>
                <w:rFonts w:hint="eastAsia" w:ascii="宋体" w:hAnsi="宋体" w:cs="宋体"/>
                <w:b/>
                <w:bCs w:val="0"/>
                <w:sz w:val="21"/>
                <w:highlight w:val="none"/>
                <w:lang w:val="en-US" w:eastAsia="zh-CN"/>
              </w:rPr>
            </w:pPr>
            <w:r>
              <w:rPr>
                <w:rFonts w:ascii="宋体" w:hAnsi="宋体" w:cs="宋体"/>
                <w:b/>
                <w:bCs w:val="0"/>
                <w:snapToGrid w:val="0"/>
                <w:color w:val="000000"/>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lang w:val="en-US" w:eastAsia="zh-CN"/>
              </w:rPr>
              <w:t>5</w:t>
            </w:r>
            <w:r>
              <w:rPr>
                <w:rFonts w:hint="eastAsia" w:ascii="宋体" w:hAnsi="宋体"/>
                <w:b/>
                <w:bCs/>
                <w:sz w:val="21"/>
                <w:highlight w:val="none"/>
              </w:rPr>
              <w:t>.1</w:t>
            </w:r>
          </w:p>
        </w:tc>
        <w:tc>
          <w:tcPr>
            <w:tcW w:w="1094" w:type="dxa"/>
            <w:vMerge w:val="restart"/>
            <w:noWrap w:val="0"/>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rPr>
              <w:t>检测</w:t>
            </w:r>
          </w:p>
          <w:p>
            <w:pPr>
              <w:keepNext w:val="0"/>
              <w:keepLines w:val="0"/>
              <w:pageBreakBefore w:val="0"/>
              <w:widowControl/>
              <w:kinsoku/>
              <w:wordWrap/>
              <w:topLinePunct w:val="0"/>
              <w:bidi w:val="0"/>
              <w:spacing w:line="240" w:lineRule="auto"/>
              <w:ind w:firstLine="0"/>
              <w:jc w:val="center"/>
              <w:textAlignment w:val="auto"/>
              <w:rPr>
                <w:rFonts w:ascii="宋体" w:hAnsi="宋体"/>
                <w:b/>
                <w:bCs/>
                <w:color w:val="FF0000"/>
                <w:sz w:val="21"/>
                <w:highlight w:val="none"/>
              </w:rPr>
            </w:pPr>
            <w:r>
              <w:rPr>
                <w:rFonts w:hint="eastAsia" w:ascii="宋体" w:hAnsi="宋体"/>
                <w:b/>
                <w:bCs/>
                <w:sz w:val="21"/>
                <w:highlight w:val="none"/>
              </w:rPr>
              <w:t>方案</w:t>
            </w:r>
          </w:p>
        </w:tc>
        <w:tc>
          <w:tcPr>
            <w:tcW w:w="7145" w:type="dxa"/>
            <w:noWrap w:val="0"/>
            <w:tcMar>
              <w:top w:w="0" w:type="dxa"/>
              <w:left w:w="108" w:type="dxa"/>
              <w:bottom w:w="0" w:type="dxa"/>
              <w:right w:w="108" w:type="dxa"/>
            </w:tcMar>
            <w:vAlign w:val="center"/>
          </w:tcPr>
          <w:p>
            <w:pPr>
              <w:keepNext w:val="0"/>
              <w:keepLines w:val="0"/>
              <w:pageBreakBefore w:val="0"/>
              <w:widowControl/>
              <w:kinsoku/>
              <w:wordWrap/>
              <w:topLinePunct w:val="0"/>
              <w:bidi w:val="0"/>
              <w:spacing w:line="240" w:lineRule="auto"/>
              <w:ind w:firstLine="0"/>
              <w:jc w:val="left"/>
              <w:textAlignment w:val="auto"/>
              <w:rPr>
                <w:rFonts w:ascii="宋体" w:hAnsi="宋体" w:cs="宋体"/>
                <w:sz w:val="21"/>
                <w:highlight w:val="none"/>
              </w:rPr>
            </w:pPr>
            <w:r>
              <w:rPr>
                <w:rFonts w:hint="eastAsia" w:ascii="宋体" w:hAnsi="宋体" w:cs="宋体"/>
                <w:sz w:val="21"/>
                <w:highlight w:val="none"/>
              </w:rPr>
              <w:t>根据供应商提供的</w:t>
            </w:r>
            <w:r>
              <w:rPr>
                <w:rFonts w:hint="eastAsia" w:ascii="宋体" w:hAnsi="宋体" w:eastAsia="宋体" w:cs="宋体"/>
                <w:szCs w:val="21"/>
                <w:lang w:bidi="ar"/>
              </w:rPr>
              <w:t>压力容器无损检测</w:t>
            </w:r>
            <w:r>
              <w:rPr>
                <w:rFonts w:hint="eastAsia" w:ascii="宋体" w:hAnsi="宋体" w:cs="宋体"/>
                <w:sz w:val="21"/>
                <w:highlight w:val="none"/>
              </w:rPr>
              <w:t>检测方案的工作内容、</w:t>
            </w:r>
            <w:r>
              <w:rPr>
                <w:rFonts w:hint="eastAsia" w:ascii="宋体" w:hAnsi="宋体" w:eastAsia="宋体" w:cs="宋体"/>
                <w:szCs w:val="21"/>
                <w:lang w:bidi="ar"/>
              </w:rPr>
              <w:t>技术难点及进度控制要点</w:t>
            </w:r>
            <w:r>
              <w:rPr>
                <w:rFonts w:hint="eastAsia" w:ascii="宋体" w:hAnsi="宋体" w:cs="宋体"/>
                <w:sz w:val="21"/>
                <w:highlight w:val="none"/>
              </w:rPr>
              <w:t>阐述全面、规范、合理、具有可操作性及高工作效率进行打分。</w:t>
            </w:r>
          </w:p>
          <w:p>
            <w:pPr>
              <w:keepNext w:val="0"/>
              <w:keepLines w:val="0"/>
              <w:pageBreakBefore w:val="0"/>
              <w:widowControl/>
              <w:kinsoku/>
              <w:wordWrap/>
              <w:topLinePunct w:val="0"/>
              <w:bidi w:val="0"/>
              <w:spacing w:line="240" w:lineRule="auto"/>
              <w:ind w:firstLine="0"/>
              <w:jc w:val="left"/>
              <w:textAlignment w:val="auto"/>
              <w:rPr>
                <w:rFonts w:hint="eastAsia" w:ascii="宋体" w:hAnsi="宋体" w:eastAsia="宋体" w:cs="宋体"/>
                <w:sz w:val="21"/>
                <w:highlight w:val="none"/>
                <w:lang w:eastAsia="zh-CN"/>
              </w:rPr>
            </w:pPr>
            <w:r>
              <w:rPr>
                <w:rFonts w:hint="eastAsia" w:ascii="宋体" w:hAnsi="宋体" w:cs="宋体"/>
                <w:sz w:val="21"/>
                <w:highlight w:val="none"/>
              </w:rPr>
              <w:t>内容完整、科学性、针对性强的得</w:t>
            </w:r>
            <w:r>
              <w:rPr>
                <w:rFonts w:hint="eastAsia" w:ascii="宋体" w:hAnsi="宋体" w:cs="宋体"/>
                <w:sz w:val="21"/>
                <w:highlight w:val="none"/>
                <w:lang w:val="en-US" w:eastAsia="zh-CN"/>
              </w:rPr>
              <w:t>12</w:t>
            </w:r>
            <w:r>
              <w:rPr>
                <w:rFonts w:hint="eastAsia" w:ascii="宋体" w:hAnsi="宋体" w:cs="宋体"/>
                <w:sz w:val="21"/>
                <w:highlight w:val="none"/>
              </w:rPr>
              <w:t>分</w:t>
            </w:r>
            <w:r>
              <w:rPr>
                <w:rFonts w:hint="eastAsia" w:ascii="宋体" w:hAnsi="宋体" w:cs="宋体"/>
                <w:sz w:val="21"/>
                <w:highlight w:val="none"/>
                <w:lang w:eastAsia="zh-CN"/>
              </w:rPr>
              <w:t>；</w:t>
            </w:r>
          </w:p>
          <w:p>
            <w:pPr>
              <w:keepNext w:val="0"/>
              <w:keepLines w:val="0"/>
              <w:pageBreakBefore w:val="0"/>
              <w:widowControl/>
              <w:kinsoku/>
              <w:wordWrap/>
              <w:topLinePunct w:val="0"/>
              <w:bidi w:val="0"/>
              <w:spacing w:line="240" w:lineRule="auto"/>
              <w:ind w:firstLine="0"/>
              <w:jc w:val="left"/>
              <w:textAlignment w:val="auto"/>
              <w:rPr>
                <w:rFonts w:hint="eastAsia" w:ascii="宋体" w:hAnsi="宋体" w:eastAsia="宋体" w:cs="宋体"/>
                <w:sz w:val="21"/>
                <w:highlight w:val="none"/>
                <w:lang w:eastAsia="zh-CN"/>
              </w:rPr>
            </w:pPr>
            <w:r>
              <w:rPr>
                <w:rFonts w:hint="eastAsia" w:ascii="宋体" w:hAnsi="宋体" w:cs="宋体"/>
                <w:sz w:val="21"/>
                <w:highlight w:val="none"/>
              </w:rPr>
              <w:t>内容较完整、科学性、针对性不太强，基本满足本项目的需求得</w:t>
            </w:r>
            <w:r>
              <w:rPr>
                <w:rFonts w:hint="eastAsia" w:ascii="宋体" w:hAnsi="宋体" w:cs="宋体"/>
                <w:sz w:val="21"/>
                <w:highlight w:val="none"/>
                <w:lang w:val="en-US" w:eastAsia="zh-CN"/>
              </w:rPr>
              <w:t>9</w:t>
            </w:r>
            <w:r>
              <w:rPr>
                <w:rFonts w:hint="eastAsia" w:ascii="宋体" w:hAnsi="宋体" w:cs="宋体"/>
                <w:sz w:val="21"/>
                <w:highlight w:val="none"/>
              </w:rPr>
              <w:t>分</w:t>
            </w:r>
            <w:r>
              <w:rPr>
                <w:rFonts w:hint="eastAsia" w:ascii="宋体" w:hAnsi="宋体" w:cs="宋体"/>
                <w:sz w:val="21"/>
                <w:highlight w:val="none"/>
                <w:lang w:eastAsia="zh-CN"/>
              </w:rPr>
              <w:t>；</w:t>
            </w:r>
          </w:p>
          <w:p>
            <w:pPr>
              <w:keepNext w:val="0"/>
              <w:keepLines w:val="0"/>
              <w:pageBreakBefore w:val="0"/>
              <w:widowControl/>
              <w:kinsoku/>
              <w:wordWrap/>
              <w:topLinePunct w:val="0"/>
              <w:bidi w:val="0"/>
              <w:spacing w:line="240" w:lineRule="auto"/>
              <w:ind w:firstLine="0"/>
              <w:jc w:val="left"/>
              <w:textAlignment w:val="auto"/>
              <w:rPr>
                <w:rFonts w:hint="eastAsia" w:ascii="宋体" w:hAnsi="宋体" w:eastAsia="宋体" w:cs="宋体"/>
                <w:sz w:val="21"/>
                <w:highlight w:val="none"/>
                <w:lang w:eastAsia="zh-CN"/>
              </w:rPr>
            </w:pPr>
            <w:r>
              <w:rPr>
                <w:rFonts w:hint="eastAsia" w:ascii="宋体" w:hAnsi="宋体" w:cs="宋体"/>
                <w:sz w:val="21"/>
                <w:highlight w:val="none"/>
              </w:rPr>
              <w:t>内容基本完整、科学性、针对性一般的，基本满足本项目的需求得</w:t>
            </w:r>
            <w:r>
              <w:rPr>
                <w:rFonts w:hint="eastAsia" w:ascii="宋体" w:hAnsi="宋体" w:cs="宋体"/>
                <w:sz w:val="21"/>
                <w:highlight w:val="none"/>
                <w:lang w:val="en-US" w:eastAsia="zh-CN"/>
              </w:rPr>
              <w:t>6</w:t>
            </w:r>
            <w:r>
              <w:rPr>
                <w:rFonts w:hint="eastAsia" w:ascii="宋体" w:hAnsi="宋体" w:cs="宋体"/>
                <w:sz w:val="21"/>
                <w:highlight w:val="none"/>
              </w:rPr>
              <w:t>分</w:t>
            </w:r>
            <w:r>
              <w:rPr>
                <w:rFonts w:hint="eastAsia" w:ascii="宋体" w:hAnsi="宋体" w:cs="宋体"/>
                <w:sz w:val="21"/>
                <w:highlight w:val="none"/>
                <w:lang w:eastAsia="zh-CN"/>
              </w:rPr>
              <w:t>；</w:t>
            </w:r>
          </w:p>
          <w:p>
            <w:pPr>
              <w:keepNext w:val="0"/>
              <w:keepLines w:val="0"/>
              <w:pageBreakBefore w:val="0"/>
              <w:widowControl w:val="0"/>
              <w:kinsoku/>
              <w:wordWrap/>
              <w:topLinePunct w:val="0"/>
              <w:bidi w:val="0"/>
              <w:spacing w:line="240" w:lineRule="auto"/>
              <w:ind w:firstLine="0"/>
              <w:jc w:val="both"/>
              <w:textAlignment w:val="auto"/>
              <w:rPr>
                <w:rFonts w:ascii="宋体" w:hAnsi="宋体" w:eastAsia="宋体" w:cs="Times New Roman"/>
                <w:sz w:val="21"/>
                <w:szCs w:val="21"/>
                <w:highlight w:val="none"/>
                <w:lang w:val="en-US" w:eastAsia="zh-CN" w:bidi="ar-SA"/>
              </w:rPr>
            </w:pPr>
            <w:r>
              <w:rPr>
                <w:rFonts w:hint="eastAsia" w:ascii="宋体" w:hAnsi="宋体" w:eastAsia="宋体" w:cs="Times New Roman"/>
                <w:sz w:val="21"/>
                <w:szCs w:val="21"/>
                <w:highlight w:val="none"/>
                <w:lang w:val="en-US" w:eastAsia="zh-CN" w:bidi="ar-SA"/>
              </w:rPr>
              <w:t>内容不全，不能满足本项目需求的得3分；</w:t>
            </w:r>
          </w:p>
          <w:p>
            <w:pPr>
              <w:keepNext w:val="0"/>
              <w:keepLines w:val="0"/>
              <w:pageBreakBefore w:val="0"/>
              <w:widowControl/>
              <w:kinsoku/>
              <w:wordWrap/>
              <w:topLinePunct w:val="0"/>
              <w:bidi w:val="0"/>
              <w:spacing w:line="240" w:lineRule="auto"/>
              <w:ind w:firstLine="0"/>
              <w:jc w:val="left"/>
              <w:textAlignment w:val="auto"/>
              <w:rPr>
                <w:rFonts w:ascii="宋体" w:hAnsi="宋体" w:cs="宋体"/>
                <w:sz w:val="21"/>
                <w:highlight w:val="none"/>
                <w:lang w:val="zh-CN"/>
              </w:rPr>
            </w:pPr>
            <w:r>
              <w:rPr>
                <w:rFonts w:hint="eastAsia" w:ascii="宋体" w:hAnsi="宋体" w:cs="宋体"/>
                <w:sz w:val="21"/>
                <w:highlight w:val="none"/>
              </w:rPr>
              <w:t>未提供的不得分</w:t>
            </w:r>
            <w:r>
              <w:rPr>
                <w:rFonts w:hint="eastAsia" w:ascii="宋体" w:hAnsi="宋体" w:cs="宋体"/>
                <w:sz w:val="21"/>
                <w:highlight w:val="none"/>
                <w:lang w:val="zh-CN"/>
              </w:rPr>
              <w:t>。</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jc w:val="center"/>
              <w:textAlignment w:val="auto"/>
              <w:rPr>
                <w:rFonts w:hint="eastAsia" w:ascii="宋体" w:hAnsi="宋体" w:eastAsia="宋体" w:cs="宋体"/>
                <w:b/>
                <w:bCs w:val="0"/>
                <w:sz w:val="21"/>
                <w:highlight w:val="none"/>
                <w:lang w:eastAsia="zh-CN"/>
              </w:rPr>
            </w:pPr>
            <w:r>
              <w:rPr>
                <w:rFonts w:hint="eastAsia" w:ascii="宋体" w:hAnsi="宋体" w:cs="宋体"/>
                <w:b/>
                <w:bCs w:val="0"/>
                <w:sz w:val="21"/>
                <w:highlight w:val="none"/>
              </w:rPr>
              <w:t>1</w:t>
            </w:r>
            <w:r>
              <w:rPr>
                <w:rFonts w:hint="eastAsia" w:ascii="宋体" w:hAnsi="宋体" w:cs="宋体"/>
                <w:b/>
                <w:bCs w:val="0"/>
                <w:sz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4" w:hRule="atLeast"/>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lang w:val="en-US" w:eastAsia="zh-CN"/>
              </w:rPr>
              <w:t>5</w:t>
            </w:r>
            <w:r>
              <w:rPr>
                <w:rFonts w:hint="eastAsia" w:ascii="宋体" w:hAnsi="宋体"/>
                <w:b/>
                <w:bCs/>
                <w:sz w:val="21"/>
                <w:highlight w:val="none"/>
              </w:rPr>
              <w:t>.2</w:t>
            </w:r>
          </w:p>
        </w:tc>
        <w:tc>
          <w:tcPr>
            <w:tcW w:w="1094" w:type="dxa"/>
            <w:vMerge w:val="continue"/>
            <w:noWrap w:val="0"/>
            <w:vAlign w:val="center"/>
          </w:tcPr>
          <w:p>
            <w:pPr>
              <w:keepNext w:val="0"/>
              <w:keepLines w:val="0"/>
              <w:pageBreakBefore w:val="0"/>
              <w:widowControl/>
              <w:kinsoku/>
              <w:wordWrap/>
              <w:topLinePunct w:val="0"/>
              <w:bidi w:val="0"/>
              <w:spacing w:line="240" w:lineRule="auto"/>
              <w:ind w:firstLine="0"/>
              <w:textAlignment w:val="auto"/>
              <w:rPr>
                <w:rFonts w:ascii="宋体" w:hAnsi="宋体"/>
                <w:b/>
                <w:bCs/>
                <w:sz w:val="21"/>
                <w:highlight w:val="none"/>
              </w:rPr>
            </w:pPr>
          </w:p>
        </w:tc>
        <w:tc>
          <w:tcPr>
            <w:tcW w:w="7145" w:type="dxa"/>
            <w:noWrap w:val="0"/>
            <w:tcMar>
              <w:top w:w="0" w:type="dxa"/>
              <w:left w:w="108" w:type="dxa"/>
              <w:bottom w:w="0" w:type="dxa"/>
              <w:right w:w="108" w:type="dxa"/>
            </w:tcMar>
            <w:vAlign w:val="center"/>
          </w:tcPr>
          <w:p>
            <w:pPr>
              <w:keepNext w:val="0"/>
              <w:keepLines w:val="0"/>
              <w:pageBreakBefore w:val="0"/>
              <w:widowControl/>
              <w:kinsoku/>
              <w:wordWrap/>
              <w:topLinePunct w:val="0"/>
              <w:bidi w:val="0"/>
              <w:spacing w:line="240" w:lineRule="auto"/>
              <w:ind w:firstLine="0"/>
              <w:jc w:val="left"/>
              <w:textAlignment w:val="auto"/>
              <w:rPr>
                <w:rFonts w:hint="eastAsia" w:ascii="宋体" w:hAnsi="宋体" w:cs="宋体"/>
                <w:sz w:val="21"/>
                <w:highlight w:val="none"/>
              </w:rPr>
            </w:pPr>
            <w:r>
              <w:rPr>
                <w:rFonts w:hint="eastAsia" w:ascii="宋体" w:hAnsi="宋体" w:cs="宋体"/>
                <w:sz w:val="21"/>
                <w:highlight w:val="none"/>
              </w:rPr>
              <w:t>根据</w:t>
            </w:r>
            <w:r>
              <w:rPr>
                <w:rFonts w:hint="eastAsia" w:ascii="宋体" w:hAnsi="宋体" w:cs="宋体"/>
                <w:sz w:val="21"/>
                <w:highlight w:val="none"/>
                <w:lang w:val="zh-CN" w:eastAsia="zh-CN"/>
              </w:rPr>
              <w:t>供应商</w:t>
            </w:r>
            <w:r>
              <w:rPr>
                <w:rFonts w:hint="eastAsia" w:ascii="宋体" w:hAnsi="宋体" w:cs="宋体"/>
                <w:sz w:val="21"/>
                <w:highlight w:val="none"/>
                <w:lang w:val="zh-CN"/>
              </w:rPr>
              <w:t>须详述车站旧设备拆除、移交方案，内容应涵盖车站既有设备拆除顺序、拆除方法、搬运方案、运输方案、组织措施、进度安排以及向</w:t>
            </w:r>
            <w:r>
              <w:rPr>
                <w:rFonts w:hint="eastAsia" w:ascii="宋体" w:hAnsi="宋体" w:cs="宋体"/>
                <w:sz w:val="21"/>
                <w:highlight w:val="none"/>
                <w:lang w:val="zh-CN" w:eastAsia="zh-CN"/>
              </w:rPr>
              <w:t>采购人</w:t>
            </w:r>
            <w:r>
              <w:rPr>
                <w:rFonts w:hint="eastAsia" w:ascii="宋体" w:hAnsi="宋体" w:cs="宋体"/>
                <w:sz w:val="21"/>
                <w:highlight w:val="none"/>
                <w:lang w:val="zh-CN"/>
              </w:rPr>
              <w:t>移交方案等内容</w:t>
            </w:r>
            <w:r>
              <w:rPr>
                <w:rFonts w:hint="eastAsia" w:ascii="宋体" w:hAnsi="宋体" w:cs="宋体"/>
                <w:sz w:val="21"/>
                <w:highlight w:val="none"/>
              </w:rPr>
              <w:t>进行打分。</w:t>
            </w:r>
          </w:p>
          <w:p>
            <w:pPr>
              <w:keepNext w:val="0"/>
              <w:keepLines w:val="0"/>
              <w:pageBreakBefore w:val="0"/>
              <w:widowControl/>
              <w:kinsoku/>
              <w:wordWrap/>
              <w:topLinePunct w:val="0"/>
              <w:bidi w:val="0"/>
              <w:spacing w:line="240" w:lineRule="auto"/>
              <w:ind w:firstLine="0"/>
              <w:jc w:val="left"/>
              <w:textAlignment w:val="auto"/>
              <w:rPr>
                <w:rFonts w:hint="eastAsia" w:ascii="宋体" w:hAnsi="宋体" w:eastAsia="宋体" w:cs="宋体"/>
                <w:sz w:val="21"/>
                <w:highlight w:val="none"/>
                <w:lang w:eastAsia="zh-CN"/>
              </w:rPr>
            </w:pPr>
            <w:r>
              <w:rPr>
                <w:rFonts w:hint="eastAsia" w:ascii="宋体" w:hAnsi="宋体" w:cs="宋体"/>
                <w:sz w:val="21"/>
                <w:highlight w:val="none"/>
              </w:rPr>
              <w:t>内容完整、科学性、针对性强的得1</w:t>
            </w:r>
            <w:r>
              <w:rPr>
                <w:rFonts w:hint="eastAsia" w:ascii="宋体" w:hAnsi="宋体" w:cs="宋体"/>
                <w:sz w:val="21"/>
                <w:highlight w:val="none"/>
                <w:lang w:val="en-US" w:eastAsia="zh-CN"/>
              </w:rPr>
              <w:t>2</w:t>
            </w:r>
            <w:r>
              <w:rPr>
                <w:rFonts w:hint="eastAsia" w:ascii="宋体" w:hAnsi="宋体" w:cs="宋体"/>
                <w:sz w:val="21"/>
                <w:highlight w:val="none"/>
              </w:rPr>
              <w:t>分</w:t>
            </w:r>
            <w:r>
              <w:rPr>
                <w:rFonts w:hint="eastAsia" w:ascii="宋体" w:hAnsi="宋体" w:cs="宋体"/>
                <w:sz w:val="21"/>
                <w:highlight w:val="none"/>
                <w:lang w:eastAsia="zh-CN"/>
              </w:rPr>
              <w:t>；</w:t>
            </w:r>
          </w:p>
          <w:p>
            <w:pPr>
              <w:keepNext w:val="0"/>
              <w:keepLines w:val="0"/>
              <w:pageBreakBefore w:val="0"/>
              <w:widowControl/>
              <w:kinsoku/>
              <w:wordWrap/>
              <w:topLinePunct w:val="0"/>
              <w:bidi w:val="0"/>
              <w:spacing w:line="240" w:lineRule="auto"/>
              <w:ind w:firstLine="0"/>
              <w:jc w:val="left"/>
              <w:textAlignment w:val="auto"/>
              <w:rPr>
                <w:rFonts w:hint="eastAsia" w:ascii="宋体" w:hAnsi="宋体" w:eastAsia="宋体" w:cs="宋体"/>
                <w:sz w:val="21"/>
                <w:highlight w:val="none"/>
                <w:lang w:eastAsia="zh-CN"/>
              </w:rPr>
            </w:pPr>
            <w:r>
              <w:rPr>
                <w:rFonts w:hint="eastAsia" w:ascii="宋体" w:hAnsi="宋体" w:cs="宋体"/>
                <w:sz w:val="21"/>
                <w:highlight w:val="none"/>
              </w:rPr>
              <w:t>内容较完整、科学性、针对性不太强，基本满足本项目的需求得</w:t>
            </w:r>
            <w:r>
              <w:rPr>
                <w:rFonts w:hint="eastAsia" w:ascii="宋体" w:hAnsi="宋体" w:cs="宋体"/>
                <w:sz w:val="21"/>
                <w:highlight w:val="none"/>
                <w:lang w:val="en-US" w:eastAsia="zh-CN"/>
              </w:rPr>
              <w:t>9</w:t>
            </w:r>
            <w:r>
              <w:rPr>
                <w:rFonts w:hint="eastAsia" w:ascii="宋体" w:hAnsi="宋体" w:cs="宋体"/>
                <w:sz w:val="21"/>
                <w:highlight w:val="none"/>
              </w:rPr>
              <w:t>分</w:t>
            </w:r>
            <w:r>
              <w:rPr>
                <w:rFonts w:hint="eastAsia" w:ascii="宋体" w:hAnsi="宋体" w:cs="宋体"/>
                <w:sz w:val="21"/>
                <w:highlight w:val="none"/>
                <w:lang w:eastAsia="zh-CN"/>
              </w:rPr>
              <w:t>；</w:t>
            </w:r>
          </w:p>
          <w:p>
            <w:pPr>
              <w:keepNext w:val="0"/>
              <w:keepLines w:val="0"/>
              <w:pageBreakBefore w:val="0"/>
              <w:widowControl/>
              <w:kinsoku/>
              <w:wordWrap/>
              <w:topLinePunct w:val="0"/>
              <w:bidi w:val="0"/>
              <w:spacing w:line="240" w:lineRule="auto"/>
              <w:ind w:firstLine="0"/>
              <w:jc w:val="left"/>
              <w:textAlignment w:val="auto"/>
              <w:rPr>
                <w:rFonts w:ascii="宋体" w:hAnsi="宋体" w:cs="宋体"/>
                <w:sz w:val="21"/>
                <w:highlight w:val="none"/>
              </w:rPr>
            </w:pPr>
            <w:r>
              <w:rPr>
                <w:rFonts w:hint="eastAsia" w:ascii="宋体" w:hAnsi="宋体" w:cs="宋体"/>
                <w:sz w:val="21"/>
                <w:highlight w:val="none"/>
              </w:rPr>
              <w:t>内容基本完整、科学性、针对性一般的，基本满足本项目的需求得</w:t>
            </w:r>
            <w:r>
              <w:rPr>
                <w:rFonts w:hint="eastAsia" w:ascii="宋体" w:hAnsi="宋体" w:cs="宋体"/>
                <w:sz w:val="21"/>
                <w:highlight w:val="none"/>
                <w:lang w:val="en-US" w:eastAsia="zh-CN"/>
              </w:rPr>
              <w:t>6</w:t>
            </w:r>
            <w:r>
              <w:rPr>
                <w:rFonts w:hint="eastAsia" w:ascii="宋体" w:hAnsi="宋体" w:cs="宋体"/>
                <w:sz w:val="21"/>
                <w:highlight w:val="none"/>
              </w:rPr>
              <w:t>分</w:t>
            </w:r>
            <w:r>
              <w:rPr>
                <w:rFonts w:hint="eastAsia" w:ascii="宋体" w:hAnsi="宋体" w:cs="宋体"/>
                <w:sz w:val="21"/>
                <w:highlight w:val="none"/>
                <w:lang w:eastAsia="zh-CN"/>
              </w:rPr>
              <w:t>；</w:t>
            </w:r>
            <w:r>
              <w:rPr>
                <w:rFonts w:hint="eastAsia" w:ascii="宋体" w:hAnsi="宋体" w:cs="宋体"/>
                <w:sz w:val="21"/>
                <w:highlight w:val="none"/>
              </w:rPr>
              <w:t>，</w:t>
            </w:r>
          </w:p>
          <w:p>
            <w:pPr>
              <w:keepNext w:val="0"/>
              <w:keepLines w:val="0"/>
              <w:pageBreakBefore w:val="0"/>
              <w:widowControl w:val="0"/>
              <w:kinsoku/>
              <w:wordWrap/>
              <w:topLinePunct w:val="0"/>
              <w:bidi w:val="0"/>
              <w:spacing w:line="240" w:lineRule="auto"/>
              <w:ind w:firstLine="0"/>
              <w:jc w:val="both"/>
              <w:textAlignment w:val="auto"/>
              <w:rPr>
                <w:rFonts w:ascii="宋体" w:hAnsi="宋体" w:eastAsia="宋体" w:cs="Times New Roman"/>
                <w:sz w:val="21"/>
                <w:szCs w:val="21"/>
                <w:highlight w:val="none"/>
                <w:lang w:val="en-US" w:eastAsia="zh-CN" w:bidi="ar-SA"/>
              </w:rPr>
            </w:pPr>
            <w:r>
              <w:rPr>
                <w:rFonts w:hint="eastAsia" w:ascii="宋体" w:hAnsi="宋体" w:eastAsia="宋体" w:cs="Times New Roman"/>
                <w:sz w:val="21"/>
                <w:szCs w:val="21"/>
                <w:highlight w:val="none"/>
                <w:lang w:val="en-US" w:eastAsia="zh-CN" w:bidi="ar-SA"/>
              </w:rPr>
              <w:t>内容不全，不能满足本项目需求的得3分；</w:t>
            </w:r>
          </w:p>
          <w:p>
            <w:pPr>
              <w:pStyle w:val="47"/>
              <w:keepNext w:val="0"/>
              <w:keepLines w:val="0"/>
              <w:pageBreakBefore w:val="0"/>
              <w:kinsoku/>
              <w:wordWrap/>
              <w:topLinePunct w:val="0"/>
              <w:bidi w:val="0"/>
              <w:spacing w:line="240" w:lineRule="auto"/>
              <w:ind w:left="0" w:leftChars="0" w:firstLine="0" w:firstLineChars="0"/>
              <w:textAlignment w:val="auto"/>
              <w:rPr>
                <w:lang w:val="zh-CN"/>
              </w:rPr>
            </w:pPr>
            <w:r>
              <w:rPr>
                <w:rFonts w:hint="eastAsia" w:ascii="宋体" w:hAnsi="宋体" w:cs="宋体"/>
                <w:sz w:val="21"/>
                <w:highlight w:val="none"/>
              </w:rPr>
              <w:t>未提供的不得分</w:t>
            </w:r>
            <w:r>
              <w:rPr>
                <w:rFonts w:hint="eastAsia" w:ascii="宋体" w:hAnsi="宋体" w:cs="宋体"/>
                <w:sz w:val="21"/>
                <w:highlight w:val="none"/>
                <w:lang w:val="zh-CN"/>
              </w:rPr>
              <w:t>。</w:t>
            </w:r>
          </w:p>
        </w:tc>
        <w:tc>
          <w:tcPr>
            <w:tcW w:w="703" w:type="dxa"/>
            <w:noWrap w:val="0"/>
            <w:tcMar>
              <w:top w:w="0" w:type="dxa"/>
              <w:left w:w="108" w:type="dxa"/>
              <w:bottom w:w="0" w:type="dxa"/>
              <w:right w:w="108" w:type="dxa"/>
            </w:tcMar>
            <w:vAlign w:val="center"/>
          </w:tcPr>
          <w:p>
            <w:pPr>
              <w:keepNext w:val="0"/>
              <w:keepLines w:val="0"/>
              <w:pageBreakBefore w:val="0"/>
              <w:widowControl/>
              <w:kinsoku/>
              <w:wordWrap/>
              <w:topLinePunct w:val="0"/>
              <w:bidi w:val="0"/>
              <w:spacing w:line="240" w:lineRule="auto"/>
              <w:ind w:firstLine="0"/>
              <w:jc w:val="center"/>
              <w:textAlignment w:val="auto"/>
              <w:rPr>
                <w:rFonts w:hint="eastAsia" w:ascii="宋体" w:hAnsi="宋体" w:eastAsia="宋体" w:cs="宋体"/>
                <w:b/>
                <w:bCs w:val="0"/>
                <w:sz w:val="21"/>
                <w:highlight w:val="none"/>
                <w:lang w:eastAsia="zh-CN"/>
              </w:rPr>
            </w:pPr>
            <w:r>
              <w:rPr>
                <w:rFonts w:hint="eastAsia" w:ascii="宋体" w:hAnsi="宋体" w:cs="宋体"/>
                <w:b/>
                <w:bCs w:val="0"/>
                <w:sz w:val="21"/>
                <w:highlight w:val="none"/>
              </w:rPr>
              <w:t>1</w:t>
            </w:r>
            <w:r>
              <w:rPr>
                <w:rFonts w:hint="eastAsia" w:ascii="宋体" w:hAnsi="宋体" w:cs="宋体"/>
                <w:b/>
                <w:bCs w:val="0"/>
                <w:sz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4" w:hRule="atLeast"/>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ascii="宋体" w:hAnsi="宋体"/>
                <w:b/>
                <w:bCs/>
                <w:sz w:val="21"/>
                <w:highlight w:val="none"/>
              </w:rPr>
            </w:pPr>
            <w:r>
              <w:rPr>
                <w:rFonts w:hint="eastAsia" w:ascii="宋体" w:hAnsi="宋体"/>
                <w:b/>
                <w:bCs/>
                <w:sz w:val="21"/>
                <w:highlight w:val="none"/>
                <w:lang w:val="en-US" w:eastAsia="zh-CN"/>
              </w:rPr>
              <w:t>5</w:t>
            </w:r>
            <w:r>
              <w:rPr>
                <w:rFonts w:hint="eastAsia" w:ascii="宋体" w:hAnsi="宋体"/>
                <w:b/>
                <w:bCs/>
                <w:sz w:val="21"/>
                <w:highlight w:val="none"/>
              </w:rPr>
              <w:t>.3</w:t>
            </w:r>
          </w:p>
        </w:tc>
        <w:tc>
          <w:tcPr>
            <w:tcW w:w="1094" w:type="dxa"/>
            <w:vMerge w:val="continue"/>
            <w:noWrap w:val="0"/>
            <w:vAlign w:val="center"/>
          </w:tcPr>
          <w:p>
            <w:pPr>
              <w:keepNext w:val="0"/>
              <w:keepLines w:val="0"/>
              <w:pageBreakBefore w:val="0"/>
              <w:widowControl/>
              <w:kinsoku/>
              <w:wordWrap/>
              <w:topLinePunct w:val="0"/>
              <w:bidi w:val="0"/>
              <w:spacing w:line="240" w:lineRule="auto"/>
              <w:ind w:firstLine="0"/>
              <w:textAlignment w:val="auto"/>
              <w:rPr>
                <w:rFonts w:ascii="宋体" w:hAnsi="宋体"/>
                <w:b/>
                <w:bCs/>
                <w:sz w:val="21"/>
                <w:highlight w:val="none"/>
              </w:rPr>
            </w:pPr>
          </w:p>
        </w:tc>
        <w:tc>
          <w:tcPr>
            <w:tcW w:w="7145"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textAlignment w:val="auto"/>
              <w:rPr>
                <w:rFonts w:ascii="宋体" w:hAnsi="宋体" w:cs="宋体"/>
                <w:sz w:val="21"/>
                <w:highlight w:val="none"/>
              </w:rPr>
            </w:pPr>
            <w:r>
              <w:rPr>
                <w:rFonts w:hint="eastAsia" w:ascii="宋体" w:hAnsi="宋体" w:cs="宋体"/>
                <w:sz w:val="21"/>
                <w:highlight w:val="none"/>
              </w:rPr>
              <w:t>根据检测工作服务的作业技术方案、技术措施、组织措施、成品保护的方案，对各专业关键性作业要说明工艺内容等方面进行评审：</w:t>
            </w:r>
          </w:p>
          <w:p>
            <w:pPr>
              <w:keepNext w:val="0"/>
              <w:keepLines w:val="0"/>
              <w:pageBreakBefore w:val="0"/>
              <w:kinsoku/>
              <w:wordWrap/>
              <w:topLinePunct w:val="0"/>
              <w:bidi w:val="0"/>
              <w:spacing w:line="240" w:lineRule="auto"/>
              <w:ind w:firstLine="0"/>
              <w:textAlignment w:val="auto"/>
              <w:rPr>
                <w:rFonts w:ascii="宋体" w:hAnsi="宋体" w:cs="宋体"/>
                <w:sz w:val="21"/>
                <w:highlight w:val="none"/>
              </w:rPr>
            </w:pPr>
            <w:r>
              <w:rPr>
                <w:rFonts w:hint="eastAsia" w:ascii="宋体" w:hAnsi="宋体" w:cs="宋体"/>
                <w:sz w:val="21"/>
                <w:highlight w:val="none"/>
              </w:rPr>
              <w:t>作业技术方案、技术措施、组织措施、成品保护的方案，对各专业关键性作业要说明工艺内容全面、科学、针对性强，满足本项目的需求得1</w:t>
            </w:r>
            <w:r>
              <w:rPr>
                <w:rFonts w:hint="eastAsia" w:ascii="宋体" w:hAnsi="宋体" w:cs="宋体"/>
                <w:sz w:val="21"/>
                <w:highlight w:val="none"/>
                <w:lang w:val="en-US" w:eastAsia="zh-CN"/>
              </w:rPr>
              <w:t>2</w:t>
            </w:r>
            <w:r>
              <w:rPr>
                <w:rFonts w:hint="eastAsia" w:ascii="宋体" w:hAnsi="宋体" w:cs="宋体"/>
                <w:sz w:val="21"/>
                <w:highlight w:val="none"/>
              </w:rPr>
              <w:t>分；</w:t>
            </w:r>
          </w:p>
          <w:p>
            <w:pPr>
              <w:keepNext w:val="0"/>
              <w:keepLines w:val="0"/>
              <w:pageBreakBefore w:val="0"/>
              <w:kinsoku/>
              <w:wordWrap/>
              <w:topLinePunct w:val="0"/>
              <w:bidi w:val="0"/>
              <w:spacing w:line="240" w:lineRule="auto"/>
              <w:ind w:firstLine="0"/>
              <w:textAlignment w:val="auto"/>
              <w:rPr>
                <w:rFonts w:ascii="宋体" w:hAnsi="宋体" w:cs="宋体"/>
                <w:sz w:val="21"/>
                <w:highlight w:val="none"/>
              </w:rPr>
            </w:pPr>
            <w:r>
              <w:rPr>
                <w:rFonts w:hint="eastAsia" w:ascii="宋体" w:hAnsi="宋体" w:cs="宋体"/>
                <w:sz w:val="21"/>
                <w:highlight w:val="none"/>
              </w:rPr>
              <w:t>作业技术方案、技术措施、组织措施、成品保护的方案，对各专业关键性作业要说明工艺内容较全面、科学、针对性不太强，基本满足本项目的需求得</w:t>
            </w:r>
            <w:r>
              <w:rPr>
                <w:rFonts w:hint="eastAsia" w:ascii="宋体" w:hAnsi="宋体" w:cs="宋体"/>
                <w:sz w:val="21"/>
                <w:highlight w:val="none"/>
                <w:lang w:val="en-US" w:eastAsia="zh-CN"/>
              </w:rPr>
              <w:t>9</w:t>
            </w:r>
            <w:r>
              <w:rPr>
                <w:rFonts w:hint="eastAsia" w:ascii="宋体" w:hAnsi="宋体" w:cs="宋体"/>
                <w:sz w:val="21"/>
                <w:highlight w:val="none"/>
              </w:rPr>
              <w:t>分；</w:t>
            </w:r>
          </w:p>
          <w:p>
            <w:pPr>
              <w:keepNext w:val="0"/>
              <w:keepLines w:val="0"/>
              <w:pageBreakBefore w:val="0"/>
              <w:kinsoku/>
              <w:wordWrap/>
              <w:topLinePunct w:val="0"/>
              <w:bidi w:val="0"/>
              <w:spacing w:line="240" w:lineRule="auto"/>
              <w:ind w:firstLine="0"/>
              <w:textAlignment w:val="auto"/>
              <w:rPr>
                <w:rFonts w:ascii="宋体" w:hAnsi="宋体" w:cs="宋体"/>
                <w:sz w:val="21"/>
                <w:highlight w:val="none"/>
              </w:rPr>
            </w:pPr>
            <w:r>
              <w:rPr>
                <w:rFonts w:hint="eastAsia" w:ascii="宋体" w:hAnsi="宋体" w:cs="宋体"/>
                <w:sz w:val="21"/>
                <w:highlight w:val="none"/>
              </w:rPr>
              <w:t>作业技术方案、技术措施、组织措施、成品保护的方案，对各专业关键性作业要说明工艺内容内容不太全面，有缺项，针对性不太强，得</w:t>
            </w:r>
            <w:r>
              <w:rPr>
                <w:rFonts w:hint="eastAsia" w:ascii="宋体" w:hAnsi="宋体" w:cs="宋体"/>
                <w:sz w:val="21"/>
                <w:highlight w:val="none"/>
                <w:lang w:val="en-US" w:eastAsia="zh-CN"/>
              </w:rPr>
              <w:t>6</w:t>
            </w:r>
            <w:r>
              <w:rPr>
                <w:rFonts w:hint="eastAsia" w:ascii="宋体" w:hAnsi="宋体" w:cs="宋体"/>
                <w:sz w:val="21"/>
                <w:highlight w:val="none"/>
              </w:rPr>
              <w:t>分；</w:t>
            </w:r>
          </w:p>
          <w:p>
            <w:pPr>
              <w:keepNext w:val="0"/>
              <w:keepLines w:val="0"/>
              <w:pageBreakBefore w:val="0"/>
              <w:kinsoku/>
              <w:wordWrap/>
              <w:topLinePunct w:val="0"/>
              <w:bidi w:val="0"/>
              <w:spacing w:line="240" w:lineRule="auto"/>
              <w:ind w:firstLine="0"/>
              <w:textAlignment w:val="auto"/>
              <w:rPr>
                <w:rFonts w:ascii="宋体" w:hAnsi="宋体" w:cs="宋体"/>
                <w:sz w:val="21"/>
                <w:highlight w:val="none"/>
              </w:rPr>
            </w:pPr>
            <w:r>
              <w:rPr>
                <w:rFonts w:hint="eastAsia" w:ascii="宋体" w:hAnsi="宋体" w:cs="宋体"/>
                <w:sz w:val="21"/>
                <w:highlight w:val="none"/>
              </w:rPr>
              <w:t>作业技术方案、技术措施、组织措施、成品保护的方案，对各专业关键性作业要说明工艺内容不全、不能满足本项目的需求得</w:t>
            </w:r>
            <w:r>
              <w:rPr>
                <w:rFonts w:hint="eastAsia" w:ascii="宋体" w:hAnsi="宋体" w:cs="宋体"/>
                <w:sz w:val="21"/>
                <w:highlight w:val="none"/>
                <w:lang w:val="en-US" w:eastAsia="zh-CN"/>
              </w:rPr>
              <w:t>3</w:t>
            </w:r>
            <w:r>
              <w:rPr>
                <w:rFonts w:hint="eastAsia" w:ascii="宋体" w:hAnsi="宋体" w:cs="宋体"/>
                <w:sz w:val="21"/>
                <w:highlight w:val="none"/>
              </w:rPr>
              <w:t>分；</w:t>
            </w:r>
          </w:p>
          <w:p>
            <w:pPr>
              <w:keepNext w:val="0"/>
              <w:keepLines w:val="0"/>
              <w:pageBreakBefore w:val="0"/>
              <w:kinsoku/>
              <w:wordWrap/>
              <w:topLinePunct w:val="0"/>
              <w:bidi w:val="0"/>
              <w:spacing w:line="240" w:lineRule="auto"/>
              <w:ind w:firstLine="0"/>
              <w:textAlignment w:val="auto"/>
              <w:rPr>
                <w:rFonts w:ascii="宋体" w:hAnsi="宋体" w:cs="宋体"/>
                <w:sz w:val="21"/>
                <w:highlight w:val="none"/>
                <w:lang w:val="zh-CN"/>
              </w:rPr>
            </w:pPr>
            <w:r>
              <w:rPr>
                <w:rFonts w:hint="eastAsia" w:ascii="宋体" w:hAnsi="宋体" w:cs="宋体"/>
                <w:sz w:val="21"/>
                <w:highlight w:val="none"/>
              </w:rPr>
              <w:t>无此项内容的得0分。</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jc w:val="center"/>
              <w:textAlignment w:val="auto"/>
              <w:rPr>
                <w:rFonts w:hint="eastAsia" w:ascii="宋体" w:hAnsi="宋体" w:eastAsia="宋体" w:cs="宋体"/>
                <w:b/>
                <w:bCs w:val="0"/>
                <w:sz w:val="21"/>
                <w:highlight w:val="none"/>
                <w:lang w:eastAsia="zh-CN"/>
              </w:rPr>
            </w:pPr>
            <w:r>
              <w:rPr>
                <w:rFonts w:hint="eastAsia" w:ascii="宋体" w:hAnsi="宋体" w:cs="宋体"/>
                <w:b/>
                <w:bCs w:val="0"/>
                <w:sz w:val="21"/>
                <w:highlight w:val="none"/>
              </w:rPr>
              <w:t>1</w:t>
            </w:r>
            <w:r>
              <w:rPr>
                <w:rFonts w:hint="eastAsia" w:ascii="宋体" w:hAnsi="宋体" w:cs="宋体"/>
                <w:b/>
                <w:bCs w:val="0"/>
                <w:sz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hint="default" w:ascii="宋体" w:hAnsi="宋体"/>
                <w:b/>
                <w:bCs/>
                <w:sz w:val="21"/>
                <w:highlight w:val="none"/>
                <w:lang w:val="en-US" w:eastAsia="zh-CN"/>
              </w:rPr>
            </w:pPr>
            <w:r>
              <w:rPr>
                <w:rFonts w:hint="eastAsia" w:ascii="宋体" w:hAnsi="宋体"/>
                <w:b/>
                <w:bCs/>
                <w:sz w:val="21"/>
                <w:highlight w:val="none"/>
                <w:lang w:val="en-US" w:eastAsia="zh-CN"/>
              </w:rPr>
              <w:t>6</w:t>
            </w:r>
          </w:p>
        </w:tc>
        <w:tc>
          <w:tcPr>
            <w:tcW w:w="1094" w:type="dxa"/>
            <w:noWrap w:val="0"/>
            <w:vAlign w:val="center"/>
          </w:tcPr>
          <w:p>
            <w:pPr>
              <w:keepNext w:val="0"/>
              <w:keepLines w:val="0"/>
              <w:pageBreakBefore w:val="0"/>
              <w:kinsoku/>
              <w:wordWrap/>
              <w:topLinePunct w:val="0"/>
              <w:bidi w:val="0"/>
              <w:spacing w:line="240" w:lineRule="auto"/>
              <w:ind w:firstLine="0" w:firstLineChars="0"/>
              <w:jc w:val="center"/>
              <w:textAlignment w:val="auto"/>
              <w:rPr>
                <w:rFonts w:ascii="宋体" w:hAnsi="宋体" w:eastAsia="宋体" w:cs="Times New Roman"/>
                <w:b/>
                <w:bCs/>
                <w:kern w:val="2"/>
                <w:sz w:val="21"/>
                <w:szCs w:val="22"/>
                <w:highlight w:val="none"/>
                <w:lang w:val="en-US" w:eastAsia="zh-CN" w:bidi="ar-SA"/>
              </w:rPr>
            </w:pPr>
            <w:r>
              <w:rPr>
                <w:rFonts w:hint="eastAsia" w:ascii="宋体" w:hAnsi="宋体"/>
                <w:b/>
                <w:bCs/>
                <w:sz w:val="21"/>
                <w:highlight w:val="none"/>
              </w:rPr>
              <w:t>服务进度等保障措施</w:t>
            </w:r>
          </w:p>
        </w:tc>
        <w:tc>
          <w:tcPr>
            <w:tcW w:w="7145"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textAlignment w:val="auto"/>
              <w:rPr>
                <w:rFonts w:hint="eastAsia"/>
                <w:sz w:val="21"/>
                <w:highlight w:val="none"/>
              </w:rPr>
            </w:pPr>
            <w:r>
              <w:rPr>
                <w:rFonts w:hint="eastAsia" w:ascii="宋体" w:hAnsi="宋体" w:cs="宋体"/>
                <w:sz w:val="21"/>
                <w:highlight w:val="none"/>
              </w:rPr>
              <w:t>根据供应商提供的</w:t>
            </w:r>
            <w:r>
              <w:rPr>
                <w:rFonts w:hint="eastAsia"/>
                <w:sz w:val="21"/>
                <w:highlight w:val="none"/>
              </w:rPr>
              <w:t>进度计划、保障进度计划所需要的主要作业机械设备和劳动力需求计划、材料设备进场计划及保证措施等</w:t>
            </w:r>
            <w:r>
              <w:rPr>
                <w:rFonts w:hint="eastAsia"/>
                <w:sz w:val="21"/>
                <w:highlight w:val="none"/>
                <w:lang w:val="en-US" w:eastAsia="zh-CN"/>
              </w:rPr>
              <w:t>进行打分</w:t>
            </w:r>
            <w:r>
              <w:rPr>
                <w:rFonts w:hint="eastAsia"/>
                <w:sz w:val="21"/>
                <w:highlight w:val="none"/>
              </w:rPr>
              <w:t>。</w:t>
            </w:r>
          </w:p>
          <w:p>
            <w:pPr>
              <w:keepNext w:val="0"/>
              <w:keepLines w:val="0"/>
              <w:pageBreakBefore w:val="0"/>
              <w:widowControl/>
              <w:kinsoku/>
              <w:wordWrap/>
              <w:topLinePunct w:val="0"/>
              <w:bidi w:val="0"/>
              <w:spacing w:line="240" w:lineRule="auto"/>
              <w:ind w:firstLine="0"/>
              <w:jc w:val="left"/>
              <w:textAlignment w:val="auto"/>
              <w:rPr>
                <w:rFonts w:hint="eastAsia" w:ascii="宋体" w:hAnsi="宋体" w:eastAsia="宋体" w:cs="宋体"/>
                <w:sz w:val="21"/>
                <w:highlight w:val="none"/>
                <w:lang w:eastAsia="zh-CN"/>
              </w:rPr>
            </w:pPr>
            <w:r>
              <w:rPr>
                <w:rFonts w:hint="eastAsia" w:ascii="宋体" w:hAnsi="宋体" w:cs="宋体"/>
                <w:sz w:val="21"/>
                <w:highlight w:val="none"/>
              </w:rPr>
              <w:t>内容完整、科学性、针对性强的得</w:t>
            </w:r>
            <w:r>
              <w:rPr>
                <w:rFonts w:hint="eastAsia" w:ascii="宋体" w:hAnsi="宋体" w:cs="宋体"/>
                <w:sz w:val="21"/>
                <w:highlight w:val="none"/>
                <w:lang w:val="en-US" w:eastAsia="zh-CN"/>
              </w:rPr>
              <w:t>9</w:t>
            </w:r>
            <w:r>
              <w:rPr>
                <w:rFonts w:hint="eastAsia" w:ascii="宋体" w:hAnsi="宋体" w:cs="宋体"/>
                <w:sz w:val="21"/>
                <w:highlight w:val="none"/>
              </w:rPr>
              <w:t>分</w:t>
            </w:r>
            <w:r>
              <w:rPr>
                <w:rFonts w:hint="eastAsia" w:ascii="宋体" w:hAnsi="宋体" w:cs="宋体"/>
                <w:sz w:val="21"/>
                <w:highlight w:val="none"/>
                <w:lang w:eastAsia="zh-CN"/>
              </w:rPr>
              <w:t>；</w:t>
            </w:r>
          </w:p>
          <w:p>
            <w:pPr>
              <w:keepNext w:val="0"/>
              <w:keepLines w:val="0"/>
              <w:pageBreakBefore w:val="0"/>
              <w:widowControl/>
              <w:kinsoku/>
              <w:wordWrap/>
              <w:topLinePunct w:val="0"/>
              <w:bidi w:val="0"/>
              <w:spacing w:line="240" w:lineRule="auto"/>
              <w:ind w:firstLine="0"/>
              <w:jc w:val="left"/>
              <w:textAlignment w:val="auto"/>
              <w:rPr>
                <w:rFonts w:hint="eastAsia" w:ascii="宋体" w:hAnsi="宋体" w:eastAsia="宋体" w:cs="宋体"/>
                <w:sz w:val="21"/>
                <w:highlight w:val="none"/>
                <w:lang w:eastAsia="zh-CN"/>
              </w:rPr>
            </w:pPr>
            <w:r>
              <w:rPr>
                <w:rFonts w:hint="eastAsia" w:ascii="宋体" w:hAnsi="宋体" w:cs="宋体"/>
                <w:sz w:val="21"/>
                <w:highlight w:val="none"/>
              </w:rPr>
              <w:t>内容较完整、科学性、针对性不太强，基本满足本项目的需求得</w:t>
            </w:r>
            <w:r>
              <w:rPr>
                <w:rFonts w:hint="eastAsia" w:ascii="宋体" w:hAnsi="宋体" w:cs="宋体"/>
                <w:sz w:val="21"/>
                <w:highlight w:val="none"/>
                <w:lang w:val="en-US" w:eastAsia="zh-CN"/>
              </w:rPr>
              <w:t>6</w:t>
            </w:r>
            <w:r>
              <w:rPr>
                <w:rFonts w:hint="eastAsia" w:ascii="宋体" w:hAnsi="宋体" w:cs="宋体"/>
                <w:sz w:val="21"/>
                <w:highlight w:val="none"/>
              </w:rPr>
              <w:t>分</w:t>
            </w:r>
            <w:r>
              <w:rPr>
                <w:rFonts w:hint="eastAsia" w:ascii="宋体" w:hAnsi="宋体" w:cs="宋体"/>
                <w:sz w:val="21"/>
                <w:highlight w:val="none"/>
                <w:lang w:eastAsia="zh-CN"/>
              </w:rPr>
              <w:t>；</w:t>
            </w:r>
          </w:p>
          <w:p>
            <w:pPr>
              <w:keepNext w:val="0"/>
              <w:keepLines w:val="0"/>
              <w:pageBreakBefore w:val="0"/>
              <w:widowControl w:val="0"/>
              <w:kinsoku/>
              <w:wordWrap/>
              <w:topLinePunct w:val="0"/>
              <w:bidi w:val="0"/>
              <w:spacing w:line="240" w:lineRule="auto"/>
              <w:ind w:firstLine="0"/>
              <w:jc w:val="both"/>
              <w:textAlignment w:val="auto"/>
              <w:rPr>
                <w:rFonts w:ascii="宋体" w:hAnsi="宋体" w:eastAsia="宋体" w:cs="Times New Roman"/>
                <w:sz w:val="21"/>
                <w:szCs w:val="21"/>
                <w:highlight w:val="none"/>
                <w:lang w:val="en-US" w:eastAsia="zh-CN" w:bidi="ar-SA"/>
              </w:rPr>
            </w:pPr>
            <w:r>
              <w:rPr>
                <w:rFonts w:hint="eastAsia" w:ascii="宋体" w:hAnsi="宋体" w:eastAsia="宋体" w:cs="Times New Roman"/>
                <w:sz w:val="21"/>
                <w:szCs w:val="21"/>
                <w:highlight w:val="none"/>
                <w:lang w:val="en-US" w:eastAsia="zh-CN" w:bidi="ar-SA"/>
              </w:rPr>
              <w:t>内容不全，不能满足本项目需求的得3分；</w:t>
            </w:r>
          </w:p>
          <w:p>
            <w:pPr>
              <w:pStyle w:val="47"/>
              <w:keepNext w:val="0"/>
              <w:keepLines w:val="0"/>
              <w:pageBreakBefore w:val="0"/>
              <w:kinsoku/>
              <w:wordWrap/>
              <w:topLinePunct w:val="0"/>
              <w:bidi w:val="0"/>
              <w:spacing w:line="240" w:lineRule="auto"/>
              <w:ind w:left="0" w:leftChars="0" w:firstLine="0" w:firstLineChars="0"/>
              <w:textAlignment w:val="auto"/>
              <w:rPr>
                <w:rFonts w:hint="eastAsia" w:ascii="宋体" w:hAnsi="MS Sans Serif" w:eastAsia="Times New Roman" w:cs="Times New Roman"/>
                <w:spacing w:val="12"/>
                <w:kern w:val="0"/>
                <w:sz w:val="24"/>
                <w:szCs w:val="20"/>
                <w:lang w:val="en-US" w:eastAsia="zh-CN" w:bidi="ar-SA"/>
              </w:rPr>
            </w:pPr>
            <w:r>
              <w:rPr>
                <w:rFonts w:hint="eastAsia" w:ascii="宋体" w:hAnsi="宋体" w:cs="宋体"/>
                <w:sz w:val="21"/>
                <w:highlight w:val="none"/>
              </w:rPr>
              <w:t>未提供的不得分</w:t>
            </w:r>
            <w:r>
              <w:rPr>
                <w:rFonts w:hint="eastAsia" w:ascii="宋体" w:hAnsi="宋体" w:cs="宋体"/>
                <w:sz w:val="21"/>
                <w:highlight w:val="none"/>
                <w:lang w:val="zh-CN"/>
              </w:rPr>
              <w:t>。</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jc w:val="center"/>
              <w:textAlignment w:val="auto"/>
              <w:rPr>
                <w:rFonts w:hint="eastAsia" w:ascii="宋体" w:hAnsi="宋体" w:eastAsia="宋体" w:cs="宋体"/>
                <w:b/>
                <w:bCs w:val="0"/>
                <w:sz w:val="21"/>
                <w:highlight w:val="none"/>
                <w:lang w:val="en-US" w:eastAsia="zh-CN"/>
              </w:rPr>
            </w:pPr>
            <w:r>
              <w:rPr>
                <w:rFonts w:hint="eastAsia" w:ascii="宋体" w:hAnsi="宋体" w:cs="宋体"/>
                <w:b/>
                <w:bCs w:val="0"/>
                <w:sz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noWrap w:val="0"/>
            <w:vAlign w:val="center"/>
          </w:tcPr>
          <w:p>
            <w:pPr>
              <w:keepNext w:val="0"/>
              <w:keepLines w:val="0"/>
              <w:pageBreakBefore w:val="0"/>
              <w:widowControl/>
              <w:kinsoku/>
              <w:wordWrap/>
              <w:topLinePunct w:val="0"/>
              <w:bidi w:val="0"/>
              <w:spacing w:line="240" w:lineRule="auto"/>
              <w:ind w:firstLine="0" w:firstLineChars="0"/>
              <w:jc w:val="center"/>
              <w:textAlignment w:val="auto"/>
              <w:rPr>
                <w:rFonts w:hint="eastAsia" w:ascii="宋体" w:hAnsi="宋体" w:eastAsia="宋体" w:cs="Times New Roman"/>
                <w:b/>
                <w:bCs/>
                <w:kern w:val="2"/>
                <w:sz w:val="21"/>
                <w:szCs w:val="22"/>
                <w:highlight w:val="none"/>
                <w:lang w:val="en-US" w:eastAsia="zh-CN" w:bidi="ar-SA"/>
              </w:rPr>
            </w:pPr>
            <w:r>
              <w:rPr>
                <w:rFonts w:hint="eastAsia" w:ascii="宋体" w:hAnsi="宋体" w:eastAsia="宋体"/>
                <w:b/>
                <w:bCs/>
                <w:sz w:val="21"/>
                <w:highlight w:val="none"/>
                <w:lang w:val="en-US" w:eastAsia="zh-CN"/>
              </w:rPr>
              <w:t>7</w:t>
            </w:r>
          </w:p>
        </w:tc>
        <w:tc>
          <w:tcPr>
            <w:tcW w:w="1094" w:type="dxa"/>
            <w:noWrap w:val="0"/>
            <w:vAlign w:val="center"/>
          </w:tcPr>
          <w:p>
            <w:pPr>
              <w:keepNext w:val="0"/>
              <w:keepLines w:val="0"/>
              <w:pageBreakBefore w:val="0"/>
              <w:kinsoku/>
              <w:wordWrap/>
              <w:topLinePunct w:val="0"/>
              <w:bidi w:val="0"/>
              <w:spacing w:line="240" w:lineRule="auto"/>
              <w:ind w:firstLine="0" w:firstLineChars="0"/>
              <w:jc w:val="center"/>
              <w:textAlignment w:val="auto"/>
              <w:rPr>
                <w:rFonts w:hint="eastAsia" w:ascii="宋体" w:hAnsi="宋体" w:eastAsia="宋体" w:cs="Times New Roman"/>
                <w:b/>
                <w:bCs/>
                <w:kern w:val="2"/>
                <w:sz w:val="21"/>
                <w:szCs w:val="22"/>
                <w:highlight w:val="none"/>
                <w:lang w:val="en-US" w:eastAsia="zh-CN" w:bidi="ar-SA"/>
              </w:rPr>
            </w:pPr>
            <w:r>
              <w:rPr>
                <w:rFonts w:hint="eastAsia" w:ascii="宋体" w:hAnsi="宋体" w:cs="宋体"/>
                <w:b/>
                <w:bCs/>
                <w:sz w:val="21"/>
                <w:highlight w:val="none"/>
                <w:lang w:val="zh-CN"/>
              </w:rPr>
              <w:t>拟投入人员情况</w:t>
            </w:r>
          </w:p>
        </w:tc>
        <w:tc>
          <w:tcPr>
            <w:tcW w:w="7145" w:type="dxa"/>
            <w:noWrap w:val="0"/>
            <w:tcMar>
              <w:top w:w="0" w:type="dxa"/>
              <w:left w:w="108" w:type="dxa"/>
              <w:bottom w:w="0" w:type="dxa"/>
              <w:right w:w="108" w:type="dxa"/>
            </w:tcMar>
            <w:vAlign w:val="center"/>
          </w:tcPr>
          <w:p>
            <w:pPr>
              <w:keepNext w:val="0"/>
              <w:keepLines w:val="0"/>
              <w:pageBreakBefore w:val="0"/>
              <w:widowControl/>
              <w:kinsoku/>
              <w:wordWrap/>
              <w:topLinePunct w:val="0"/>
              <w:bidi w:val="0"/>
              <w:spacing w:line="240" w:lineRule="auto"/>
              <w:ind w:firstLine="0"/>
              <w:jc w:val="left"/>
              <w:textAlignment w:val="auto"/>
              <w:rPr>
                <w:rFonts w:ascii="宋体" w:hAnsi="宋体" w:cs="宋体"/>
                <w:sz w:val="21"/>
                <w:highlight w:val="none"/>
              </w:rPr>
            </w:pPr>
            <w:r>
              <w:rPr>
                <w:rFonts w:hint="eastAsia" w:ascii="宋体" w:hAnsi="宋体" w:cs="宋体"/>
                <w:sz w:val="21"/>
                <w:highlight w:val="none"/>
              </w:rPr>
              <w:t>根据供应商拟派专业人员，</w:t>
            </w:r>
            <w:r>
              <w:rPr>
                <w:rFonts w:hint="eastAsia" w:ascii="宋体" w:hAnsi="宋体" w:cs="宋体"/>
                <w:sz w:val="21"/>
                <w:highlight w:val="none"/>
                <w:lang w:val="en-US" w:eastAsia="zh-CN"/>
              </w:rPr>
              <w:t>是否具备国家特种设备无损检测人员相关资格，</w:t>
            </w:r>
            <w:r>
              <w:rPr>
                <w:rFonts w:hint="eastAsia" w:ascii="宋体" w:hAnsi="宋体" w:cs="宋体"/>
                <w:sz w:val="21"/>
                <w:highlight w:val="none"/>
              </w:rPr>
              <w:t>是否专业配置齐全，是否分工明确责任清晰，是否经验丰富进行打分。</w:t>
            </w:r>
          </w:p>
          <w:p>
            <w:pPr>
              <w:keepNext w:val="0"/>
              <w:keepLines w:val="0"/>
              <w:pageBreakBefore w:val="0"/>
              <w:widowControl/>
              <w:kinsoku/>
              <w:wordWrap/>
              <w:topLinePunct w:val="0"/>
              <w:bidi w:val="0"/>
              <w:spacing w:line="240" w:lineRule="auto"/>
              <w:ind w:firstLine="0"/>
              <w:jc w:val="left"/>
              <w:textAlignment w:val="auto"/>
              <w:rPr>
                <w:rFonts w:hint="eastAsia" w:ascii="宋体" w:hAnsi="宋体" w:eastAsia="宋体" w:cs="宋体"/>
                <w:sz w:val="21"/>
                <w:highlight w:val="none"/>
                <w:lang w:eastAsia="zh-CN"/>
              </w:rPr>
            </w:pPr>
            <w:r>
              <w:rPr>
                <w:rFonts w:hint="eastAsia" w:ascii="宋体" w:hAnsi="宋体" w:cs="宋体"/>
                <w:sz w:val="21"/>
                <w:highlight w:val="none"/>
                <w:lang w:val="en-US" w:eastAsia="zh-CN"/>
              </w:rPr>
              <w:t>人员资格</w:t>
            </w:r>
            <w:r>
              <w:rPr>
                <w:rFonts w:hint="eastAsia" w:ascii="宋体" w:hAnsi="宋体" w:cs="宋体"/>
                <w:sz w:val="21"/>
                <w:highlight w:val="none"/>
              </w:rPr>
              <w:t>完整、配置齐全、分工明确责任清晰</w:t>
            </w:r>
            <w:r>
              <w:rPr>
                <w:rFonts w:hint="eastAsia" w:ascii="宋体" w:hAnsi="宋体" w:cs="宋体"/>
                <w:sz w:val="21"/>
                <w:highlight w:val="none"/>
                <w:lang w:eastAsia="zh-CN"/>
              </w:rPr>
              <w:t>、</w:t>
            </w:r>
            <w:r>
              <w:rPr>
                <w:rFonts w:hint="eastAsia" w:ascii="宋体" w:hAnsi="宋体" w:cs="宋体"/>
                <w:sz w:val="21"/>
                <w:highlight w:val="none"/>
                <w:lang w:val="en-US" w:eastAsia="zh-CN"/>
              </w:rPr>
              <w:t>经验丰富完全满足项目需求</w:t>
            </w:r>
            <w:r>
              <w:rPr>
                <w:rFonts w:hint="eastAsia" w:ascii="宋体" w:hAnsi="宋体" w:cs="宋体"/>
                <w:sz w:val="21"/>
                <w:highlight w:val="none"/>
              </w:rPr>
              <w:t>的得</w:t>
            </w:r>
            <w:r>
              <w:rPr>
                <w:rFonts w:hint="eastAsia" w:ascii="宋体" w:hAnsi="宋体" w:cs="宋体"/>
                <w:sz w:val="21"/>
                <w:highlight w:val="none"/>
                <w:lang w:val="en-US" w:eastAsia="zh-CN"/>
              </w:rPr>
              <w:t>12</w:t>
            </w:r>
            <w:r>
              <w:rPr>
                <w:rFonts w:hint="eastAsia" w:ascii="宋体" w:hAnsi="宋体" w:cs="宋体"/>
                <w:sz w:val="21"/>
                <w:highlight w:val="none"/>
              </w:rPr>
              <w:t>分</w:t>
            </w:r>
            <w:r>
              <w:rPr>
                <w:rFonts w:hint="eastAsia" w:ascii="宋体" w:hAnsi="宋体" w:cs="宋体"/>
                <w:sz w:val="21"/>
                <w:highlight w:val="none"/>
                <w:lang w:eastAsia="zh-CN"/>
              </w:rPr>
              <w:t>；</w:t>
            </w:r>
          </w:p>
          <w:p>
            <w:pPr>
              <w:keepNext w:val="0"/>
              <w:keepLines w:val="0"/>
              <w:pageBreakBefore w:val="0"/>
              <w:widowControl/>
              <w:kinsoku/>
              <w:wordWrap/>
              <w:topLinePunct w:val="0"/>
              <w:bidi w:val="0"/>
              <w:spacing w:line="240" w:lineRule="auto"/>
              <w:ind w:firstLine="0"/>
              <w:jc w:val="left"/>
              <w:textAlignment w:val="auto"/>
              <w:rPr>
                <w:rFonts w:hint="eastAsia" w:ascii="宋体" w:hAnsi="宋体" w:eastAsia="宋体" w:cs="宋体"/>
                <w:sz w:val="21"/>
                <w:highlight w:val="none"/>
                <w:lang w:eastAsia="zh-CN"/>
              </w:rPr>
            </w:pPr>
            <w:r>
              <w:rPr>
                <w:rFonts w:hint="eastAsia" w:ascii="宋体" w:hAnsi="宋体" w:cs="宋体"/>
                <w:sz w:val="21"/>
                <w:highlight w:val="none"/>
                <w:lang w:val="en-US" w:eastAsia="zh-CN"/>
              </w:rPr>
              <w:t>人员资格较</w:t>
            </w:r>
            <w:r>
              <w:rPr>
                <w:rFonts w:hint="eastAsia" w:ascii="宋体" w:hAnsi="宋体" w:cs="宋体"/>
                <w:sz w:val="21"/>
                <w:highlight w:val="none"/>
              </w:rPr>
              <w:t>完整、配置</w:t>
            </w:r>
            <w:r>
              <w:rPr>
                <w:rFonts w:hint="eastAsia" w:ascii="宋体" w:hAnsi="宋体" w:cs="宋体"/>
                <w:sz w:val="21"/>
                <w:highlight w:val="none"/>
                <w:lang w:val="en-US" w:eastAsia="zh-CN"/>
              </w:rPr>
              <w:t>较</w:t>
            </w:r>
            <w:r>
              <w:rPr>
                <w:rFonts w:hint="eastAsia" w:ascii="宋体" w:hAnsi="宋体" w:cs="宋体"/>
                <w:sz w:val="21"/>
                <w:highlight w:val="none"/>
              </w:rPr>
              <w:t>齐全、分工</w:t>
            </w:r>
            <w:r>
              <w:rPr>
                <w:rFonts w:hint="eastAsia" w:ascii="宋体" w:hAnsi="宋体" w:cs="宋体"/>
                <w:sz w:val="21"/>
                <w:highlight w:val="none"/>
                <w:lang w:val="en-US" w:eastAsia="zh-CN"/>
              </w:rPr>
              <w:t>较</w:t>
            </w:r>
            <w:r>
              <w:rPr>
                <w:rFonts w:hint="eastAsia" w:ascii="宋体" w:hAnsi="宋体" w:cs="宋体"/>
                <w:sz w:val="21"/>
                <w:highlight w:val="none"/>
              </w:rPr>
              <w:t>明确责任</w:t>
            </w:r>
            <w:r>
              <w:rPr>
                <w:rFonts w:hint="eastAsia" w:ascii="宋体" w:hAnsi="宋体" w:cs="宋体"/>
                <w:sz w:val="21"/>
                <w:highlight w:val="none"/>
                <w:lang w:val="en-US" w:eastAsia="zh-CN"/>
              </w:rPr>
              <w:t>较</w:t>
            </w:r>
            <w:r>
              <w:rPr>
                <w:rFonts w:hint="eastAsia" w:ascii="宋体" w:hAnsi="宋体" w:cs="宋体"/>
                <w:sz w:val="21"/>
                <w:highlight w:val="none"/>
              </w:rPr>
              <w:t>清晰</w:t>
            </w:r>
            <w:r>
              <w:rPr>
                <w:rFonts w:hint="eastAsia" w:ascii="宋体" w:hAnsi="宋体" w:cs="宋体"/>
                <w:sz w:val="21"/>
                <w:highlight w:val="none"/>
                <w:lang w:eastAsia="zh-CN"/>
              </w:rPr>
              <w:t>、</w:t>
            </w:r>
            <w:r>
              <w:rPr>
                <w:rFonts w:hint="eastAsia" w:ascii="宋体" w:hAnsi="宋体" w:cs="宋体"/>
                <w:sz w:val="21"/>
                <w:highlight w:val="none"/>
                <w:lang w:val="en-US" w:eastAsia="zh-CN"/>
              </w:rPr>
              <w:t>经验较丰富</w:t>
            </w:r>
            <w:r>
              <w:rPr>
                <w:rFonts w:hint="eastAsia" w:ascii="宋体" w:hAnsi="宋体" w:cs="宋体"/>
                <w:sz w:val="21"/>
                <w:highlight w:val="none"/>
              </w:rPr>
              <w:t>，基本满足本项目的需求得</w:t>
            </w:r>
            <w:r>
              <w:rPr>
                <w:rFonts w:hint="eastAsia" w:ascii="宋体" w:hAnsi="宋体" w:cs="宋体"/>
                <w:sz w:val="21"/>
                <w:highlight w:val="none"/>
                <w:lang w:val="en-US" w:eastAsia="zh-CN"/>
              </w:rPr>
              <w:t>9</w:t>
            </w:r>
            <w:r>
              <w:rPr>
                <w:rFonts w:hint="eastAsia" w:ascii="宋体" w:hAnsi="宋体" w:cs="宋体"/>
                <w:sz w:val="21"/>
                <w:highlight w:val="none"/>
              </w:rPr>
              <w:t>分</w:t>
            </w:r>
            <w:r>
              <w:rPr>
                <w:rFonts w:hint="eastAsia" w:ascii="宋体" w:hAnsi="宋体" w:cs="宋体"/>
                <w:sz w:val="21"/>
                <w:highlight w:val="none"/>
                <w:lang w:eastAsia="zh-CN"/>
              </w:rPr>
              <w:t>；</w:t>
            </w:r>
          </w:p>
          <w:p>
            <w:pPr>
              <w:keepNext w:val="0"/>
              <w:keepLines w:val="0"/>
              <w:pageBreakBefore w:val="0"/>
              <w:widowControl w:val="0"/>
              <w:kinsoku/>
              <w:wordWrap/>
              <w:topLinePunct w:val="0"/>
              <w:bidi w:val="0"/>
              <w:spacing w:line="240" w:lineRule="auto"/>
              <w:ind w:firstLine="0"/>
              <w:jc w:val="both"/>
              <w:textAlignment w:val="auto"/>
              <w:rPr>
                <w:rFonts w:ascii="宋体" w:hAnsi="宋体" w:eastAsia="宋体" w:cs="宋体"/>
                <w:sz w:val="21"/>
                <w:szCs w:val="21"/>
                <w:highlight w:val="none"/>
                <w:lang w:val="en-US" w:eastAsia="zh-CN" w:bidi="ar-SA"/>
              </w:rPr>
            </w:pPr>
            <w:r>
              <w:rPr>
                <w:rFonts w:hint="eastAsia" w:ascii="宋体" w:hAnsi="宋体" w:cs="宋体"/>
                <w:sz w:val="21"/>
                <w:highlight w:val="none"/>
                <w:lang w:val="en-US" w:eastAsia="zh-CN"/>
              </w:rPr>
              <w:t>人员资格欠</w:t>
            </w:r>
            <w:r>
              <w:rPr>
                <w:rFonts w:hint="eastAsia" w:ascii="宋体" w:hAnsi="宋体" w:cs="宋体"/>
                <w:sz w:val="21"/>
                <w:highlight w:val="none"/>
              </w:rPr>
              <w:t>完整、配置</w:t>
            </w:r>
            <w:r>
              <w:rPr>
                <w:rFonts w:hint="eastAsia" w:ascii="宋体" w:hAnsi="宋体" w:cs="宋体"/>
                <w:sz w:val="21"/>
                <w:highlight w:val="none"/>
                <w:lang w:val="en-US" w:eastAsia="zh-CN"/>
              </w:rPr>
              <w:t>欠</w:t>
            </w:r>
            <w:r>
              <w:rPr>
                <w:rFonts w:hint="eastAsia" w:ascii="宋体" w:hAnsi="宋体" w:cs="宋体"/>
                <w:sz w:val="21"/>
                <w:highlight w:val="none"/>
              </w:rPr>
              <w:t>齐全、分工</w:t>
            </w:r>
            <w:r>
              <w:rPr>
                <w:rFonts w:hint="eastAsia" w:ascii="宋体" w:hAnsi="宋体" w:cs="宋体"/>
                <w:sz w:val="21"/>
                <w:highlight w:val="none"/>
                <w:lang w:val="en-US" w:eastAsia="zh-CN"/>
              </w:rPr>
              <w:t>不</w:t>
            </w:r>
            <w:r>
              <w:rPr>
                <w:rFonts w:hint="eastAsia" w:ascii="宋体" w:hAnsi="宋体" w:cs="宋体"/>
                <w:sz w:val="21"/>
                <w:highlight w:val="none"/>
              </w:rPr>
              <w:t>明确责任</w:t>
            </w:r>
            <w:r>
              <w:rPr>
                <w:rFonts w:hint="eastAsia" w:ascii="宋体" w:hAnsi="宋体" w:cs="宋体"/>
                <w:sz w:val="21"/>
                <w:highlight w:val="none"/>
                <w:lang w:val="en-US" w:eastAsia="zh-CN"/>
              </w:rPr>
              <w:t>欠</w:t>
            </w:r>
            <w:r>
              <w:rPr>
                <w:rFonts w:hint="eastAsia" w:ascii="宋体" w:hAnsi="宋体" w:cs="宋体"/>
                <w:sz w:val="21"/>
                <w:highlight w:val="none"/>
              </w:rPr>
              <w:t>清晰</w:t>
            </w:r>
            <w:r>
              <w:rPr>
                <w:rFonts w:hint="eastAsia" w:ascii="宋体" w:hAnsi="宋体" w:cs="宋体"/>
                <w:sz w:val="21"/>
                <w:highlight w:val="none"/>
                <w:lang w:eastAsia="zh-CN"/>
              </w:rPr>
              <w:t>、</w:t>
            </w:r>
            <w:r>
              <w:rPr>
                <w:rFonts w:hint="eastAsia" w:ascii="宋体" w:hAnsi="宋体" w:cs="宋体"/>
                <w:sz w:val="21"/>
                <w:highlight w:val="none"/>
                <w:lang w:val="en-US" w:eastAsia="zh-CN"/>
              </w:rPr>
              <w:t>经验欠丰富</w:t>
            </w:r>
            <w:r>
              <w:rPr>
                <w:rFonts w:hint="eastAsia" w:ascii="宋体" w:hAnsi="宋体" w:eastAsia="宋体" w:cs="宋体"/>
                <w:sz w:val="21"/>
                <w:szCs w:val="21"/>
                <w:highlight w:val="none"/>
                <w:lang w:val="en-US" w:eastAsia="zh-CN" w:bidi="ar-SA"/>
              </w:rPr>
              <w:t>，不太满足本项目的需求得6分；</w:t>
            </w:r>
          </w:p>
          <w:p>
            <w:pPr>
              <w:keepNext w:val="0"/>
              <w:keepLines w:val="0"/>
              <w:pageBreakBefore w:val="0"/>
              <w:widowControl w:val="0"/>
              <w:kinsoku/>
              <w:wordWrap/>
              <w:topLinePunct w:val="0"/>
              <w:bidi w:val="0"/>
              <w:spacing w:line="240" w:lineRule="auto"/>
              <w:ind w:firstLine="0"/>
              <w:jc w:val="both"/>
              <w:textAlignment w:val="auto"/>
              <w:rPr>
                <w:rFonts w:ascii="宋体" w:hAnsi="宋体" w:eastAsia="宋体" w:cs="Times New Roman"/>
                <w:sz w:val="21"/>
                <w:szCs w:val="21"/>
                <w:highlight w:val="none"/>
                <w:lang w:val="en-US" w:eastAsia="zh-CN" w:bidi="ar-SA"/>
              </w:rPr>
            </w:pPr>
            <w:r>
              <w:rPr>
                <w:rFonts w:hint="eastAsia" w:ascii="宋体" w:hAnsi="宋体" w:eastAsia="宋体" w:cs="Times New Roman"/>
                <w:sz w:val="21"/>
                <w:szCs w:val="21"/>
                <w:highlight w:val="none"/>
                <w:lang w:val="en-US" w:eastAsia="zh-CN" w:bidi="ar-SA"/>
              </w:rPr>
              <w:t>内容不全，无法满足本项目需求的得3分；</w:t>
            </w:r>
          </w:p>
          <w:p>
            <w:pPr>
              <w:keepNext w:val="0"/>
              <w:keepLines w:val="0"/>
              <w:pageBreakBefore w:val="0"/>
              <w:kinsoku/>
              <w:wordWrap/>
              <w:topLinePunct w:val="0"/>
              <w:bidi w:val="0"/>
              <w:spacing w:line="240" w:lineRule="auto"/>
              <w:ind w:firstLine="0" w:firstLineChars="0"/>
              <w:textAlignment w:val="auto"/>
              <w:rPr>
                <w:rFonts w:hint="eastAsia" w:ascii="Calibri" w:hAnsi="Calibri" w:eastAsia="宋体" w:cs="Times New Roman"/>
                <w:kern w:val="2"/>
                <w:sz w:val="21"/>
                <w:szCs w:val="22"/>
                <w:highlight w:val="none"/>
                <w:lang w:val="zh-CN" w:eastAsia="zh-CN" w:bidi="ar-SA"/>
              </w:rPr>
            </w:pPr>
            <w:r>
              <w:rPr>
                <w:rFonts w:hint="eastAsia" w:ascii="宋体" w:hAnsi="宋体" w:cs="宋体"/>
                <w:sz w:val="21"/>
                <w:highlight w:val="none"/>
              </w:rPr>
              <w:t>未提供的不得分</w:t>
            </w:r>
            <w:r>
              <w:rPr>
                <w:rFonts w:hint="eastAsia" w:ascii="宋体" w:hAnsi="宋体" w:cs="宋体"/>
                <w:sz w:val="21"/>
                <w:highlight w:val="none"/>
                <w:lang w:val="zh-CN"/>
              </w:rPr>
              <w:t>。</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firstLineChars="0"/>
              <w:jc w:val="center"/>
              <w:textAlignment w:val="auto"/>
              <w:rPr>
                <w:rFonts w:hint="default" w:ascii="宋体" w:hAnsi="宋体" w:eastAsia="宋体" w:cs="宋体"/>
                <w:b/>
                <w:bCs w:val="0"/>
                <w:kern w:val="2"/>
                <w:sz w:val="21"/>
                <w:szCs w:val="22"/>
                <w:highlight w:val="none"/>
                <w:lang w:val="en-US" w:eastAsia="zh-CN" w:bidi="ar-SA"/>
              </w:rPr>
            </w:pPr>
            <w:r>
              <w:rPr>
                <w:rFonts w:hint="eastAsia" w:ascii="宋体" w:hAnsi="宋体" w:cs="宋体"/>
                <w:b/>
                <w:bCs w:val="0"/>
                <w:sz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hint="eastAsia" w:ascii="宋体" w:hAnsi="宋体" w:eastAsia="宋体"/>
                <w:b/>
                <w:bCs/>
                <w:sz w:val="21"/>
                <w:highlight w:val="none"/>
                <w:lang w:val="en-US" w:eastAsia="zh-CN"/>
              </w:rPr>
            </w:pPr>
            <w:r>
              <w:rPr>
                <w:rFonts w:hint="eastAsia" w:ascii="宋体" w:hAnsi="宋体"/>
                <w:b/>
                <w:bCs/>
                <w:sz w:val="21"/>
                <w:highlight w:val="none"/>
                <w:lang w:val="en-US" w:eastAsia="zh-CN"/>
              </w:rPr>
              <w:t>8</w:t>
            </w:r>
          </w:p>
        </w:tc>
        <w:tc>
          <w:tcPr>
            <w:tcW w:w="1094" w:type="dxa"/>
            <w:noWrap w:val="0"/>
            <w:vAlign w:val="center"/>
          </w:tcPr>
          <w:p>
            <w:pPr>
              <w:keepNext w:val="0"/>
              <w:keepLines w:val="0"/>
              <w:pageBreakBefore w:val="0"/>
              <w:kinsoku/>
              <w:wordWrap/>
              <w:topLinePunct w:val="0"/>
              <w:bidi w:val="0"/>
              <w:spacing w:line="240" w:lineRule="auto"/>
              <w:ind w:firstLine="0" w:firstLineChars="0"/>
              <w:jc w:val="center"/>
              <w:textAlignment w:val="auto"/>
              <w:rPr>
                <w:rFonts w:ascii="宋体" w:hAnsi="宋体" w:eastAsia="宋体" w:cs="宋体"/>
                <w:b/>
                <w:bCs/>
                <w:kern w:val="2"/>
                <w:sz w:val="21"/>
                <w:szCs w:val="22"/>
                <w:highlight w:val="none"/>
                <w:lang w:val="zh-CN" w:eastAsia="zh-CN" w:bidi="ar-SA"/>
              </w:rPr>
            </w:pPr>
            <w:r>
              <w:rPr>
                <w:rFonts w:hint="eastAsia" w:ascii="宋体" w:hAnsi="宋体" w:cs="宋体"/>
                <w:b/>
                <w:bCs/>
                <w:sz w:val="21"/>
                <w:highlight w:val="none"/>
                <w:lang w:val="zh-CN"/>
              </w:rPr>
              <w:t>拟投入设备情况</w:t>
            </w:r>
          </w:p>
        </w:tc>
        <w:tc>
          <w:tcPr>
            <w:tcW w:w="7145"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textAlignment w:val="auto"/>
              <w:rPr>
                <w:rFonts w:hint="eastAsia"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结合服务方案，根据供应商提供拟投入检测设备进行打分。</w:t>
            </w:r>
          </w:p>
          <w:p>
            <w:pPr>
              <w:keepNext w:val="0"/>
              <w:keepLines w:val="0"/>
              <w:pageBreakBefore w:val="0"/>
              <w:kinsoku/>
              <w:wordWrap/>
              <w:topLinePunct w:val="0"/>
              <w:bidi w:val="0"/>
              <w:spacing w:line="240" w:lineRule="auto"/>
              <w:ind w:firstLine="0"/>
              <w:textAlignment w:val="auto"/>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拟投入设备专业性强，科学合理，完全满足检测需要的得6分；</w:t>
            </w:r>
          </w:p>
          <w:p>
            <w:pPr>
              <w:keepNext w:val="0"/>
              <w:keepLines w:val="0"/>
              <w:pageBreakBefore w:val="0"/>
              <w:kinsoku/>
              <w:wordWrap/>
              <w:topLinePunct w:val="0"/>
              <w:bidi w:val="0"/>
              <w:spacing w:line="240" w:lineRule="auto"/>
              <w:ind w:firstLine="0"/>
              <w:textAlignment w:val="auto"/>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拟投入设备专业性较强，科学较合理，基本满足检测需要的得4分；</w:t>
            </w:r>
          </w:p>
          <w:p>
            <w:pPr>
              <w:keepNext w:val="0"/>
              <w:keepLines w:val="0"/>
              <w:pageBreakBefore w:val="0"/>
              <w:kinsoku/>
              <w:wordWrap/>
              <w:topLinePunct w:val="0"/>
              <w:bidi w:val="0"/>
              <w:spacing w:line="240" w:lineRule="auto"/>
              <w:ind w:firstLine="0"/>
              <w:textAlignment w:val="auto"/>
              <w:rPr>
                <w:rFonts w:hint="default" w:ascii="Times New Roman" w:hAnsi="Times New Roman" w:eastAsia="宋体" w:cs="Times New Roman"/>
                <w:sz w:val="21"/>
                <w:szCs w:val="24"/>
                <w:highlight w:val="none"/>
                <w:lang w:val="en-US" w:eastAsia="zh-CN"/>
              </w:rPr>
            </w:pPr>
            <w:r>
              <w:rPr>
                <w:rFonts w:hint="eastAsia" w:ascii="Times New Roman" w:hAnsi="Times New Roman" w:eastAsia="宋体" w:cs="Times New Roman"/>
                <w:sz w:val="21"/>
                <w:szCs w:val="24"/>
                <w:highlight w:val="none"/>
                <w:lang w:val="en-US" w:eastAsia="zh-CN"/>
              </w:rPr>
              <w:t>拟投入设备专业性有所欠缺，无法满足检测需要的得2分；</w:t>
            </w:r>
          </w:p>
          <w:p>
            <w:pPr>
              <w:keepNext w:val="0"/>
              <w:keepLines w:val="0"/>
              <w:pageBreakBefore w:val="0"/>
              <w:kinsoku/>
              <w:wordWrap/>
              <w:topLinePunct w:val="0"/>
              <w:bidi w:val="0"/>
              <w:spacing w:line="240" w:lineRule="auto"/>
              <w:ind w:firstLine="0"/>
              <w:textAlignment w:val="auto"/>
              <w:rPr>
                <w:rFonts w:hint="default" w:ascii="Times New Roman" w:hAnsi="Times New Roman"/>
                <w:sz w:val="21"/>
                <w:szCs w:val="24"/>
                <w:highlight w:val="none"/>
                <w:lang w:val="en-US" w:eastAsia="zh-CN"/>
              </w:rPr>
            </w:pPr>
            <w:r>
              <w:rPr>
                <w:rFonts w:hint="eastAsia" w:ascii="Times New Roman" w:hAnsi="Times New Roman"/>
                <w:sz w:val="21"/>
                <w:szCs w:val="24"/>
                <w:highlight w:val="none"/>
                <w:lang w:val="en-US" w:eastAsia="zh-CN"/>
              </w:rPr>
              <w:t>未提供得不得分。</w:t>
            </w:r>
          </w:p>
          <w:p>
            <w:pPr>
              <w:keepNext w:val="0"/>
              <w:keepLines w:val="0"/>
              <w:pageBreakBefore w:val="0"/>
              <w:kinsoku/>
              <w:wordWrap/>
              <w:topLinePunct w:val="0"/>
              <w:bidi w:val="0"/>
              <w:spacing w:line="240" w:lineRule="auto"/>
              <w:ind w:firstLine="0" w:firstLineChars="0"/>
              <w:textAlignment w:val="auto"/>
              <w:rPr>
                <w:rFonts w:hint="eastAsia" w:ascii="宋体" w:hAnsi="宋体" w:eastAsia="宋体" w:cs="宋体"/>
                <w:kern w:val="2"/>
                <w:sz w:val="21"/>
                <w:szCs w:val="22"/>
                <w:highlight w:val="none"/>
                <w:lang w:val="en-US" w:eastAsia="zh-CN" w:bidi="ar-SA"/>
              </w:rPr>
            </w:pPr>
            <w:r>
              <w:rPr>
                <w:rFonts w:hint="eastAsia" w:ascii="Times New Roman" w:hAnsi="Times New Roman"/>
                <w:sz w:val="21"/>
                <w:szCs w:val="24"/>
                <w:highlight w:val="none"/>
                <w:lang w:val="en-US" w:eastAsia="zh-CN"/>
              </w:rPr>
              <w:t>(</w:t>
            </w:r>
            <w:r>
              <w:rPr>
                <w:rFonts w:hint="eastAsia" w:ascii="Times New Roman" w:hAnsi="Times New Roman"/>
                <w:sz w:val="21"/>
                <w:szCs w:val="24"/>
                <w:highlight w:val="none"/>
              </w:rPr>
              <w:t>须提供供应商购买设备发票复印件或租赁合同否则不得分</w:t>
            </w:r>
            <w:r>
              <w:rPr>
                <w:rFonts w:ascii="Times New Roman" w:hAnsi="Times New Roman"/>
                <w:sz w:val="21"/>
                <w:szCs w:val="24"/>
                <w:highlight w:val="none"/>
              </w:rPr>
              <w:t>。</w:t>
            </w:r>
            <w:r>
              <w:rPr>
                <w:rFonts w:hint="eastAsia" w:ascii="Times New Roman" w:hAnsi="Times New Roman"/>
                <w:sz w:val="21"/>
                <w:szCs w:val="24"/>
                <w:highlight w:val="none"/>
                <w:lang w:val="en-US" w:eastAsia="zh-CN"/>
              </w:rPr>
              <w:t>)</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jc w:val="center"/>
              <w:textAlignment w:val="auto"/>
              <w:rPr>
                <w:rFonts w:hint="default" w:ascii="宋体" w:hAnsi="宋体" w:eastAsia="宋体" w:cs="宋体"/>
                <w:b/>
                <w:bCs w:val="0"/>
                <w:sz w:val="21"/>
                <w:highlight w:val="none"/>
                <w:lang w:val="en-US" w:eastAsia="zh-CN"/>
              </w:rPr>
            </w:pPr>
            <w:r>
              <w:rPr>
                <w:rFonts w:hint="eastAsia" w:ascii="宋体" w:hAnsi="宋体" w:eastAsia="宋体" w:cs="宋体"/>
                <w:b/>
                <w:bCs w:val="0"/>
                <w:sz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hint="eastAsia" w:ascii="宋体" w:hAnsi="宋体" w:eastAsia="宋体"/>
                <w:b/>
                <w:bCs/>
                <w:sz w:val="21"/>
                <w:highlight w:val="none"/>
                <w:lang w:eastAsia="zh-CN"/>
              </w:rPr>
            </w:pPr>
            <w:r>
              <w:rPr>
                <w:rFonts w:hint="eastAsia" w:ascii="宋体" w:hAnsi="宋体"/>
                <w:b/>
                <w:bCs/>
                <w:sz w:val="21"/>
                <w:highlight w:val="none"/>
                <w:lang w:val="en-US" w:eastAsia="zh-CN"/>
              </w:rPr>
              <w:t>9</w:t>
            </w:r>
          </w:p>
        </w:tc>
        <w:tc>
          <w:tcPr>
            <w:tcW w:w="1094" w:type="dxa"/>
            <w:noWrap w:val="0"/>
            <w:vAlign w:val="center"/>
          </w:tcPr>
          <w:p>
            <w:pPr>
              <w:keepNext w:val="0"/>
              <w:keepLines w:val="0"/>
              <w:pageBreakBefore w:val="0"/>
              <w:kinsoku/>
              <w:wordWrap/>
              <w:topLinePunct w:val="0"/>
              <w:bidi w:val="0"/>
              <w:spacing w:line="240" w:lineRule="auto"/>
              <w:ind w:firstLine="0"/>
              <w:jc w:val="center"/>
              <w:textAlignment w:val="auto"/>
              <w:rPr>
                <w:rFonts w:ascii="宋体" w:hAnsi="宋体" w:cs="宋体"/>
                <w:b/>
                <w:bCs/>
                <w:sz w:val="21"/>
                <w:highlight w:val="none"/>
                <w:lang w:val="zh-CN"/>
              </w:rPr>
            </w:pPr>
            <w:r>
              <w:rPr>
                <w:rFonts w:hint="eastAsia" w:ascii="宋体" w:hAnsi="宋体"/>
                <w:b/>
                <w:bCs/>
                <w:sz w:val="21"/>
                <w:highlight w:val="none"/>
              </w:rPr>
              <w:t>安全作业</w:t>
            </w:r>
            <w:r>
              <w:rPr>
                <w:rFonts w:hint="eastAsia" w:ascii="宋体" w:hAnsi="宋体"/>
                <w:b/>
                <w:bCs/>
                <w:sz w:val="21"/>
                <w:highlight w:val="none"/>
                <w:lang w:val="en-US" w:eastAsia="zh-CN"/>
              </w:rPr>
              <w:t>及文明作业</w:t>
            </w:r>
            <w:r>
              <w:rPr>
                <w:rFonts w:hint="eastAsia" w:ascii="宋体" w:hAnsi="宋体"/>
                <w:b/>
                <w:bCs/>
                <w:sz w:val="21"/>
                <w:highlight w:val="none"/>
              </w:rPr>
              <w:t>措施</w:t>
            </w:r>
          </w:p>
        </w:tc>
        <w:tc>
          <w:tcPr>
            <w:tcW w:w="7145" w:type="dxa"/>
            <w:noWrap w:val="0"/>
            <w:tcMar>
              <w:top w:w="0" w:type="dxa"/>
              <w:left w:w="108" w:type="dxa"/>
              <w:bottom w:w="0" w:type="dxa"/>
              <w:right w:w="108" w:type="dxa"/>
            </w:tcMar>
            <w:vAlign w:val="center"/>
          </w:tcPr>
          <w:p>
            <w:pPr>
              <w:keepNext w:val="0"/>
              <w:keepLines w:val="0"/>
              <w:pageBreakBefore w:val="0"/>
              <w:kinsoku/>
              <w:wordWrap/>
              <w:topLinePunct w:val="0"/>
              <w:bidi w:val="0"/>
              <w:adjustRightInd w:val="0"/>
              <w:snapToGrid w:val="0"/>
              <w:spacing w:line="240" w:lineRule="auto"/>
              <w:textAlignment w:val="auto"/>
              <w:rPr>
                <w:rFonts w:ascii="宋体" w:hAnsi="宋体" w:cs="宋体"/>
                <w:b w:val="0"/>
                <w:bCs w:val="0"/>
                <w:color w:val="000000"/>
                <w:szCs w:val="21"/>
              </w:rPr>
            </w:pPr>
            <w:r>
              <w:rPr>
                <w:rFonts w:hint="eastAsia" w:ascii="宋体" w:hAnsi="宋体" w:cs="宋体"/>
                <w:b w:val="0"/>
                <w:bCs w:val="0"/>
                <w:color w:val="000000"/>
                <w:szCs w:val="21"/>
              </w:rPr>
              <w:t xml:space="preserve">包括作业人员、作业设备、乘客、地铁运营设备、车站建筑等的安全保护措施。作业物料的存储、管理方案；作业机具的使用管理、脚手架的快速搭拆方案。 </w:t>
            </w:r>
          </w:p>
          <w:p>
            <w:pPr>
              <w:keepNext w:val="0"/>
              <w:keepLines w:val="0"/>
              <w:pageBreakBefore w:val="0"/>
              <w:kinsoku/>
              <w:wordWrap/>
              <w:topLinePunct w:val="0"/>
              <w:bidi w:val="0"/>
              <w:adjustRightInd w:val="0"/>
              <w:snapToGrid w:val="0"/>
              <w:spacing w:line="240" w:lineRule="auto"/>
              <w:textAlignment w:val="auto"/>
              <w:rPr>
                <w:rFonts w:ascii="宋体" w:hAnsi="宋体" w:cs="宋体"/>
                <w:b w:val="0"/>
                <w:bCs w:val="0"/>
                <w:color w:val="000000"/>
                <w:szCs w:val="21"/>
              </w:rPr>
            </w:pPr>
            <w:r>
              <w:rPr>
                <w:rFonts w:hint="eastAsia" w:ascii="宋体" w:hAnsi="宋体"/>
                <w:b w:val="0"/>
                <w:bCs w:val="0"/>
                <w:sz w:val="21"/>
                <w:highlight w:val="none"/>
                <w:lang w:val="en-US" w:eastAsia="zh-CN"/>
              </w:rPr>
              <w:t>作业</w:t>
            </w:r>
            <w:r>
              <w:rPr>
                <w:rFonts w:hint="eastAsia" w:ascii="宋体" w:hAnsi="宋体"/>
                <w:b w:val="0"/>
                <w:bCs w:val="0"/>
                <w:sz w:val="21"/>
                <w:highlight w:val="none"/>
              </w:rPr>
              <w:t>措施</w:t>
            </w:r>
            <w:r>
              <w:rPr>
                <w:rFonts w:hint="eastAsia" w:ascii="宋体" w:hAnsi="宋体" w:cs="宋体"/>
                <w:b w:val="0"/>
                <w:bCs w:val="0"/>
                <w:color w:val="000000"/>
                <w:szCs w:val="21"/>
              </w:rPr>
              <w:t>科学、合理，全面，有针对性、能够确保</w:t>
            </w:r>
            <w:r>
              <w:rPr>
                <w:rFonts w:hint="eastAsia" w:ascii="宋体" w:hAnsi="宋体" w:cs="宋体"/>
                <w:b w:val="0"/>
                <w:bCs w:val="0"/>
                <w:color w:val="000000"/>
                <w:szCs w:val="21"/>
                <w:lang w:val="en-US" w:eastAsia="zh-CN"/>
              </w:rPr>
              <w:t>作业实施</w:t>
            </w:r>
            <w:r>
              <w:rPr>
                <w:rFonts w:hint="eastAsia" w:ascii="宋体" w:hAnsi="宋体" w:cs="宋体"/>
                <w:b w:val="0"/>
                <w:bCs w:val="0"/>
                <w:color w:val="000000"/>
                <w:szCs w:val="21"/>
              </w:rPr>
              <w:t>要求，具有相关解决方案且全面，得</w:t>
            </w:r>
            <w:r>
              <w:rPr>
                <w:rFonts w:hint="eastAsia" w:ascii="宋体" w:hAnsi="宋体" w:cs="宋体"/>
                <w:b w:val="0"/>
                <w:bCs w:val="0"/>
                <w:color w:val="000000"/>
                <w:szCs w:val="21"/>
                <w:lang w:val="en-US" w:eastAsia="zh-CN"/>
              </w:rPr>
              <w:t>6</w:t>
            </w:r>
            <w:r>
              <w:rPr>
                <w:rFonts w:hint="eastAsia" w:ascii="宋体" w:hAnsi="宋体" w:cs="宋体"/>
                <w:b w:val="0"/>
                <w:bCs w:val="0"/>
                <w:color w:val="000000"/>
                <w:szCs w:val="21"/>
              </w:rPr>
              <w:t xml:space="preserve">分； </w:t>
            </w:r>
          </w:p>
          <w:p>
            <w:pPr>
              <w:keepNext w:val="0"/>
              <w:keepLines w:val="0"/>
              <w:pageBreakBefore w:val="0"/>
              <w:kinsoku/>
              <w:wordWrap/>
              <w:topLinePunct w:val="0"/>
              <w:bidi w:val="0"/>
              <w:adjustRightInd w:val="0"/>
              <w:snapToGrid w:val="0"/>
              <w:spacing w:line="240" w:lineRule="auto"/>
              <w:textAlignment w:val="auto"/>
              <w:rPr>
                <w:rFonts w:ascii="宋体" w:hAnsi="宋体" w:cs="宋体"/>
                <w:b w:val="0"/>
                <w:bCs w:val="0"/>
                <w:color w:val="000000"/>
                <w:szCs w:val="21"/>
              </w:rPr>
            </w:pPr>
            <w:r>
              <w:rPr>
                <w:rFonts w:hint="eastAsia" w:ascii="宋体" w:hAnsi="宋体"/>
                <w:b w:val="0"/>
                <w:bCs w:val="0"/>
                <w:sz w:val="21"/>
                <w:highlight w:val="none"/>
                <w:lang w:val="en-US" w:eastAsia="zh-CN"/>
              </w:rPr>
              <w:t>作业</w:t>
            </w:r>
            <w:r>
              <w:rPr>
                <w:rFonts w:hint="eastAsia" w:ascii="宋体" w:hAnsi="宋体"/>
                <w:b w:val="0"/>
                <w:bCs w:val="0"/>
                <w:sz w:val="21"/>
                <w:highlight w:val="none"/>
              </w:rPr>
              <w:t>措施</w:t>
            </w:r>
            <w:r>
              <w:rPr>
                <w:rFonts w:hint="eastAsia" w:ascii="宋体" w:hAnsi="宋体" w:cs="宋体"/>
                <w:b w:val="0"/>
                <w:bCs w:val="0"/>
                <w:color w:val="000000"/>
                <w:szCs w:val="21"/>
              </w:rPr>
              <w:t>科学合理性一般，全面性一般，针对性一般，较能确保</w:t>
            </w:r>
            <w:r>
              <w:rPr>
                <w:rFonts w:hint="eastAsia" w:ascii="宋体" w:hAnsi="宋体" w:cs="宋体"/>
                <w:b w:val="0"/>
                <w:bCs w:val="0"/>
                <w:color w:val="000000"/>
                <w:szCs w:val="21"/>
                <w:lang w:val="en-US" w:eastAsia="zh-CN"/>
              </w:rPr>
              <w:t>作业实施</w:t>
            </w:r>
            <w:r>
              <w:rPr>
                <w:rFonts w:hint="eastAsia" w:ascii="宋体" w:hAnsi="宋体" w:cs="宋体"/>
                <w:b w:val="0"/>
                <w:bCs w:val="0"/>
                <w:color w:val="000000"/>
                <w:szCs w:val="21"/>
              </w:rPr>
              <w:t>，具有</w:t>
            </w:r>
            <w:r>
              <w:rPr>
                <w:rFonts w:hint="eastAsia" w:ascii="宋体" w:hAnsi="宋体" w:cs="宋体"/>
                <w:b w:val="0"/>
                <w:bCs w:val="0"/>
                <w:color w:val="000000"/>
                <w:szCs w:val="21"/>
                <w:lang w:val="en-US" w:eastAsia="zh-CN"/>
              </w:rPr>
              <w:t>一定</w:t>
            </w:r>
            <w:r>
              <w:rPr>
                <w:rFonts w:hint="eastAsia" w:ascii="宋体" w:hAnsi="宋体" w:cs="宋体"/>
                <w:b w:val="0"/>
                <w:bCs w:val="0"/>
                <w:color w:val="000000"/>
                <w:szCs w:val="21"/>
              </w:rPr>
              <w:t>决方案且全面性一般，得</w:t>
            </w:r>
            <w:r>
              <w:rPr>
                <w:rFonts w:hint="eastAsia" w:ascii="宋体" w:hAnsi="宋体" w:cs="宋体"/>
                <w:b w:val="0"/>
                <w:bCs w:val="0"/>
                <w:color w:val="000000"/>
                <w:szCs w:val="21"/>
                <w:lang w:val="en-US" w:eastAsia="zh-CN"/>
              </w:rPr>
              <w:t>4</w:t>
            </w:r>
            <w:r>
              <w:rPr>
                <w:rFonts w:hint="eastAsia" w:ascii="宋体" w:hAnsi="宋体" w:cs="宋体"/>
                <w:b w:val="0"/>
                <w:bCs w:val="0"/>
                <w:color w:val="000000"/>
                <w:szCs w:val="21"/>
              </w:rPr>
              <w:t xml:space="preserve">分； </w:t>
            </w:r>
          </w:p>
          <w:p>
            <w:pPr>
              <w:keepNext w:val="0"/>
              <w:keepLines w:val="0"/>
              <w:pageBreakBefore w:val="0"/>
              <w:kinsoku/>
              <w:wordWrap/>
              <w:topLinePunct w:val="0"/>
              <w:bidi w:val="0"/>
              <w:adjustRightInd w:val="0"/>
              <w:snapToGrid w:val="0"/>
              <w:spacing w:line="240" w:lineRule="auto"/>
              <w:textAlignment w:val="auto"/>
              <w:rPr>
                <w:rFonts w:hint="eastAsia" w:ascii="宋体" w:hAnsi="宋体" w:cs="宋体"/>
                <w:b w:val="0"/>
                <w:bCs w:val="0"/>
                <w:color w:val="000000"/>
                <w:szCs w:val="21"/>
              </w:rPr>
            </w:pPr>
            <w:r>
              <w:rPr>
                <w:rFonts w:hint="eastAsia" w:ascii="宋体" w:hAnsi="宋体"/>
                <w:b w:val="0"/>
                <w:bCs w:val="0"/>
                <w:sz w:val="21"/>
                <w:highlight w:val="none"/>
                <w:lang w:val="en-US" w:eastAsia="zh-CN"/>
              </w:rPr>
              <w:t>作业</w:t>
            </w:r>
            <w:r>
              <w:rPr>
                <w:rFonts w:hint="eastAsia" w:ascii="宋体" w:hAnsi="宋体"/>
                <w:b w:val="0"/>
                <w:bCs w:val="0"/>
                <w:sz w:val="21"/>
                <w:highlight w:val="none"/>
              </w:rPr>
              <w:t>措施</w:t>
            </w:r>
            <w:r>
              <w:rPr>
                <w:rFonts w:hint="eastAsia" w:ascii="宋体" w:hAnsi="宋体" w:cs="宋体"/>
                <w:b w:val="0"/>
                <w:bCs w:val="0"/>
                <w:color w:val="000000"/>
                <w:szCs w:val="21"/>
              </w:rPr>
              <w:t>科学合理性较差，全面性较差，针对性较差，不太能确保</w:t>
            </w:r>
            <w:r>
              <w:rPr>
                <w:rFonts w:hint="eastAsia" w:ascii="宋体" w:hAnsi="宋体" w:cs="宋体"/>
                <w:b w:val="0"/>
                <w:bCs w:val="0"/>
                <w:color w:val="000000"/>
                <w:szCs w:val="21"/>
                <w:lang w:val="en-US" w:eastAsia="zh-CN"/>
              </w:rPr>
              <w:t>作业实施</w:t>
            </w:r>
            <w:r>
              <w:rPr>
                <w:rFonts w:hint="eastAsia" w:ascii="宋体" w:hAnsi="宋体" w:cs="宋体"/>
                <w:b w:val="0"/>
                <w:bCs w:val="0"/>
                <w:color w:val="000000"/>
                <w:szCs w:val="21"/>
              </w:rPr>
              <w:t>，</w:t>
            </w:r>
            <w:r>
              <w:rPr>
                <w:rFonts w:hint="eastAsia" w:ascii="宋体" w:hAnsi="宋体" w:cs="宋体"/>
                <w:b w:val="0"/>
                <w:bCs w:val="0"/>
                <w:color w:val="000000"/>
                <w:szCs w:val="21"/>
                <w:lang w:val="en-US" w:eastAsia="zh-CN"/>
              </w:rPr>
              <w:t>不</w:t>
            </w:r>
            <w:r>
              <w:rPr>
                <w:rFonts w:hint="eastAsia" w:ascii="宋体" w:hAnsi="宋体" w:cs="宋体"/>
                <w:b w:val="0"/>
                <w:bCs w:val="0"/>
                <w:color w:val="000000"/>
                <w:szCs w:val="21"/>
              </w:rPr>
              <w:t>具有相关解决方案且较差或无解决方案，得</w:t>
            </w:r>
            <w:r>
              <w:rPr>
                <w:rFonts w:hint="eastAsia" w:ascii="宋体" w:hAnsi="宋体" w:cs="宋体"/>
                <w:b w:val="0"/>
                <w:bCs w:val="0"/>
                <w:color w:val="000000"/>
                <w:szCs w:val="21"/>
                <w:lang w:val="en-US" w:eastAsia="zh-CN"/>
              </w:rPr>
              <w:t>2</w:t>
            </w:r>
            <w:r>
              <w:rPr>
                <w:rFonts w:hint="eastAsia" w:ascii="宋体" w:hAnsi="宋体" w:cs="宋体"/>
                <w:b w:val="0"/>
                <w:bCs w:val="0"/>
                <w:color w:val="000000"/>
                <w:szCs w:val="21"/>
              </w:rPr>
              <w:t>分；</w:t>
            </w:r>
          </w:p>
          <w:p>
            <w:pPr>
              <w:keepNext w:val="0"/>
              <w:keepLines w:val="0"/>
              <w:pageBreakBefore w:val="0"/>
              <w:kinsoku/>
              <w:wordWrap/>
              <w:topLinePunct w:val="0"/>
              <w:bidi w:val="0"/>
              <w:spacing w:line="240" w:lineRule="auto"/>
              <w:ind w:firstLine="0"/>
              <w:textAlignment w:val="auto"/>
              <w:rPr>
                <w:rFonts w:hint="eastAsia" w:ascii="宋体" w:hAnsi="宋体" w:eastAsia="宋体" w:cs="宋体"/>
                <w:b w:val="0"/>
                <w:bCs w:val="0"/>
                <w:sz w:val="21"/>
                <w:highlight w:val="none"/>
                <w:lang w:val="en-US" w:eastAsia="zh-CN"/>
              </w:rPr>
            </w:pPr>
            <w:r>
              <w:rPr>
                <w:rFonts w:hint="eastAsia" w:ascii="Times New Roman" w:hAnsi="Times New Roman"/>
                <w:b w:val="0"/>
                <w:bCs w:val="0"/>
                <w:sz w:val="21"/>
                <w:szCs w:val="24"/>
                <w:highlight w:val="none"/>
                <w:lang w:val="en-US" w:eastAsia="zh-CN"/>
              </w:rPr>
              <w:t>未提供得不得分。</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jc w:val="center"/>
              <w:textAlignment w:val="auto"/>
              <w:rPr>
                <w:rFonts w:hint="eastAsia" w:ascii="宋体" w:hAnsi="宋体" w:eastAsia="宋体" w:cs="宋体"/>
                <w:b/>
                <w:bCs w:val="0"/>
                <w:sz w:val="21"/>
                <w:highlight w:val="none"/>
                <w:lang w:eastAsia="zh-CN"/>
              </w:rPr>
            </w:pPr>
            <w:r>
              <w:rPr>
                <w:rFonts w:hint="eastAsia" w:ascii="宋体" w:hAnsi="宋体" w:cs="宋体"/>
                <w:b/>
                <w:bCs w:val="0"/>
                <w:sz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2" w:type="dxa"/>
            <w:noWrap w:val="0"/>
            <w:vAlign w:val="center"/>
          </w:tcPr>
          <w:p>
            <w:pPr>
              <w:keepNext w:val="0"/>
              <w:keepLines w:val="0"/>
              <w:pageBreakBefore w:val="0"/>
              <w:widowControl/>
              <w:kinsoku/>
              <w:wordWrap/>
              <w:topLinePunct w:val="0"/>
              <w:bidi w:val="0"/>
              <w:spacing w:line="240" w:lineRule="auto"/>
              <w:ind w:firstLine="0"/>
              <w:jc w:val="center"/>
              <w:textAlignment w:val="auto"/>
              <w:rPr>
                <w:rFonts w:hint="default" w:ascii="宋体" w:hAnsi="宋体"/>
                <w:b/>
                <w:bCs/>
                <w:sz w:val="21"/>
                <w:highlight w:val="none"/>
                <w:lang w:val="en-US" w:eastAsia="zh-CN"/>
              </w:rPr>
            </w:pPr>
            <w:r>
              <w:rPr>
                <w:rFonts w:hint="eastAsia" w:ascii="宋体" w:hAnsi="宋体"/>
                <w:b/>
                <w:bCs/>
                <w:sz w:val="21"/>
                <w:highlight w:val="none"/>
                <w:lang w:val="en-US" w:eastAsia="zh-CN"/>
              </w:rPr>
              <w:t>10</w:t>
            </w:r>
          </w:p>
        </w:tc>
        <w:tc>
          <w:tcPr>
            <w:tcW w:w="1094" w:type="dxa"/>
            <w:noWrap w:val="0"/>
            <w:vAlign w:val="center"/>
          </w:tcPr>
          <w:p>
            <w:pPr>
              <w:keepNext w:val="0"/>
              <w:keepLines w:val="0"/>
              <w:pageBreakBefore w:val="0"/>
              <w:kinsoku/>
              <w:wordWrap/>
              <w:topLinePunct w:val="0"/>
              <w:bidi w:val="0"/>
              <w:spacing w:line="240" w:lineRule="auto"/>
              <w:ind w:firstLine="0"/>
              <w:jc w:val="center"/>
              <w:textAlignment w:val="auto"/>
              <w:rPr>
                <w:rFonts w:hint="default" w:ascii="宋体" w:hAnsi="宋体" w:eastAsia="宋体"/>
                <w:b/>
                <w:bCs/>
                <w:sz w:val="21"/>
                <w:highlight w:val="none"/>
                <w:lang w:val="en-US" w:eastAsia="zh-CN"/>
              </w:rPr>
            </w:pPr>
            <w:r>
              <w:rPr>
                <w:rFonts w:hint="eastAsia" w:ascii="宋体" w:hAnsi="宋体"/>
                <w:b/>
                <w:bCs/>
                <w:sz w:val="21"/>
                <w:highlight w:val="none"/>
                <w:lang w:val="en-US" w:eastAsia="zh-CN"/>
              </w:rPr>
              <w:t>突发应急预案</w:t>
            </w:r>
          </w:p>
        </w:tc>
        <w:tc>
          <w:tcPr>
            <w:tcW w:w="7145" w:type="dxa"/>
            <w:noWrap w:val="0"/>
            <w:tcMar>
              <w:top w:w="0" w:type="dxa"/>
              <w:left w:w="108" w:type="dxa"/>
              <w:bottom w:w="0" w:type="dxa"/>
              <w:right w:w="108" w:type="dxa"/>
            </w:tcMar>
            <w:vAlign w:val="center"/>
          </w:tcPr>
          <w:p>
            <w:pPr>
              <w:keepNext w:val="0"/>
              <w:keepLines w:val="0"/>
              <w:pageBreakBefore w:val="0"/>
              <w:kinsoku/>
              <w:wordWrap/>
              <w:topLinePunct w:val="0"/>
              <w:bidi w:val="0"/>
              <w:adjustRightInd w:val="0"/>
              <w:snapToGrid w:val="0"/>
              <w:spacing w:line="240" w:lineRule="auto"/>
              <w:textAlignment w:val="auto"/>
              <w:rPr>
                <w:rFonts w:ascii="宋体" w:hAnsi="宋体" w:cs="宋体"/>
                <w:b w:val="0"/>
                <w:bCs w:val="0"/>
                <w:color w:val="000000"/>
                <w:szCs w:val="21"/>
              </w:rPr>
            </w:pPr>
            <w:r>
              <w:rPr>
                <w:rFonts w:hint="eastAsia" w:ascii="宋体" w:hAnsi="宋体" w:cs="宋体"/>
                <w:b w:val="0"/>
                <w:bCs w:val="0"/>
                <w:color w:val="000000"/>
                <w:szCs w:val="21"/>
                <w:lang w:eastAsia="zh-CN"/>
              </w:rPr>
              <w:t>供应商</w:t>
            </w:r>
            <w:r>
              <w:rPr>
                <w:rFonts w:hint="eastAsia" w:ascii="宋体" w:hAnsi="宋体" w:cs="宋体"/>
                <w:b w:val="0"/>
                <w:bCs w:val="0"/>
                <w:color w:val="000000"/>
                <w:szCs w:val="21"/>
              </w:rPr>
              <w:t xml:space="preserve">需分析地铁设备运行的特点，对可能发生的紧急情况编制处理措施、预案以及抵抗风险（包括服务作业过程中可能遇到的各种风险）的预案措施。 </w:t>
            </w:r>
          </w:p>
          <w:p>
            <w:pPr>
              <w:keepNext w:val="0"/>
              <w:keepLines w:val="0"/>
              <w:pageBreakBefore w:val="0"/>
              <w:kinsoku/>
              <w:wordWrap/>
              <w:topLinePunct w:val="0"/>
              <w:bidi w:val="0"/>
              <w:adjustRightInd w:val="0"/>
              <w:snapToGrid w:val="0"/>
              <w:spacing w:line="240" w:lineRule="auto"/>
              <w:textAlignment w:val="auto"/>
              <w:rPr>
                <w:rFonts w:ascii="宋体" w:hAnsi="宋体" w:cs="宋体"/>
                <w:b w:val="0"/>
                <w:bCs w:val="0"/>
                <w:color w:val="000000"/>
                <w:szCs w:val="21"/>
              </w:rPr>
            </w:pPr>
            <w:r>
              <w:rPr>
                <w:rFonts w:hint="eastAsia" w:ascii="宋体" w:hAnsi="宋体"/>
                <w:b w:val="0"/>
                <w:bCs w:val="0"/>
                <w:sz w:val="21"/>
                <w:highlight w:val="none"/>
                <w:lang w:val="en-US" w:eastAsia="zh-CN"/>
              </w:rPr>
              <w:t>应急预案</w:t>
            </w:r>
            <w:r>
              <w:rPr>
                <w:rFonts w:hint="eastAsia" w:ascii="宋体" w:hAnsi="宋体" w:cs="宋体"/>
                <w:b w:val="0"/>
                <w:bCs w:val="0"/>
                <w:color w:val="000000"/>
                <w:szCs w:val="21"/>
              </w:rPr>
              <w:t>科学、合理，全面，有针对性、响应及时、具有相关解决方案且全面，得</w:t>
            </w:r>
            <w:r>
              <w:rPr>
                <w:rFonts w:hint="eastAsia" w:ascii="宋体" w:hAnsi="宋体" w:cs="宋体"/>
                <w:b w:val="0"/>
                <w:bCs w:val="0"/>
                <w:color w:val="000000"/>
                <w:szCs w:val="21"/>
                <w:lang w:val="en-US" w:eastAsia="zh-CN"/>
              </w:rPr>
              <w:t>6</w:t>
            </w:r>
            <w:r>
              <w:rPr>
                <w:rFonts w:hint="eastAsia" w:ascii="宋体" w:hAnsi="宋体" w:cs="宋体"/>
                <w:b w:val="0"/>
                <w:bCs w:val="0"/>
                <w:color w:val="000000"/>
                <w:szCs w:val="21"/>
              </w:rPr>
              <w:t xml:space="preserve">分； </w:t>
            </w:r>
          </w:p>
          <w:p>
            <w:pPr>
              <w:keepNext w:val="0"/>
              <w:keepLines w:val="0"/>
              <w:pageBreakBefore w:val="0"/>
              <w:kinsoku/>
              <w:wordWrap/>
              <w:topLinePunct w:val="0"/>
              <w:bidi w:val="0"/>
              <w:adjustRightInd w:val="0"/>
              <w:snapToGrid w:val="0"/>
              <w:spacing w:line="240" w:lineRule="auto"/>
              <w:textAlignment w:val="auto"/>
              <w:rPr>
                <w:rFonts w:ascii="宋体" w:hAnsi="宋体" w:cs="宋体"/>
                <w:b w:val="0"/>
                <w:bCs w:val="0"/>
                <w:color w:val="000000"/>
                <w:szCs w:val="21"/>
              </w:rPr>
            </w:pPr>
            <w:r>
              <w:rPr>
                <w:rFonts w:hint="eastAsia" w:ascii="宋体" w:hAnsi="宋体"/>
                <w:b w:val="0"/>
                <w:bCs w:val="0"/>
                <w:sz w:val="21"/>
                <w:highlight w:val="none"/>
                <w:lang w:val="en-US" w:eastAsia="zh-CN"/>
              </w:rPr>
              <w:t>应急预案</w:t>
            </w:r>
            <w:r>
              <w:rPr>
                <w:rFonts w:hint="eastAsia" w:ascii="宋体" w:hAnsi="宋体" w:cs="宋体"/>
                <w:b w:val="0"/>
                <w:bCs w:val="0"/>
                <w:color w:val="000000"/>
                <w:szCs w:val="21"/>
              </w:rPr>
              <w:t>科学合理性一般，全面性一般，针对性一般，响应较及时、具有相关决方案且全面性一般，得</w:t>
            </w:r>
            <w:r>
              <w:rPr>
                <w:rFonts w:hint="eastAsia" w:ascii="宋体" w:hAnsi="宋体" w:cs="宋体"/>
                <w:b w:val="0"/>
                <w:bCs w:val="0"/>
                <w:color w:val="000000"/>
                <w:szCs w:val="21"/>
                <w:lang w:val="en-US" w:eastAsia="zh-CN"/>
              </w:rPr>
              <w:t>4</w:t>
            </w:r>
            <w:r>
              <w:rPr>
                <w:rFonts w:hint="eastAsia" w:ascii="宋体" w:hAnsi="宋体" w:cs="宋体"/>
                <w:b w:val="0"/>
                <w:bCs w:val="0"/>
                <w:color w:val="000000"/>
                <w:szCs w:val="21"/>
              </w:rPr>
              <w:t xml:space="preserve">分； </w:t>
            </w:r>
          </w:p>
          <w:p>
            <w:pPr>
              <w:keepNext w:val="0"/>
              <w:keepLines w:val="0"/>
              <w:pageBreakBefore w:val="0"/>
              <w:kinsoku/>
              <w:wordWrap/>
              <w:topLinePunct w:val="0"/>
              <w:bidi w:val="0"/>
              <w:adjustRightInd w:val="0"/>
              <w:snapToGrid w:val="0"/>
              <w:spacing w:line="240" w:lineRule="auto"/>
              <w:textAlignment w:val="auto"/>
              <w:rPr>
                <w:rFonts w:hint="eastAsia" w:ascii="宋体" w:hAnsi="宋体" w:cs="宋体"/>
                <w:b w:val="0"/>
                <w:bCs w:val="0"/>
                <w:color w:val="000000"/>
                <w:szCs w:val="21"/>
              </w:rPr>
            </w:pPr>
            <w:r>
              <w:rPr>
                <w:rFonts w:hint="eastAsia" w:ascii="宋体" w:hAnsi="宋体"/>
                <w:b w:val="0"/>
                <w:bCs w:val="0"/>
                <w:sz w:val="21"/>
                <w:highlight w:val="none"/>
                <w:lang w:val="en-US" w:eastAsia="zh-CN"/>
              </w:rPr>
              <w:t>应急预案</w:t>
            </w:r>
            <w:r>
              <w:rPr>
                <w:rFonts w:hint="eastAsia" w:ascii="宋体" w:hAnsi="宋体" w:cs="宋体"/>
                <w:b w:val="0"/>
                <w:bCs w:val="0"/>
                <w:color w:val="000000"/>
                <w:szCs w:val="21"/>
              </w:rPr>
              <w:t>科学合理性较差，全面性较差，针对性较差，响应不够及时、具有相关解决方案且较差或无解决方案，得</w:t>
            </w:r>
            <w:r>
              <w:rPr>
                <w:rFonts w:hint="eastAsia" w:ascii="宋体" w:hAnsi="宋体" w:cs="宋体"/>
                <w:b w:val="0"/>
                <w:bCs w:val="0"/>
                <w:color w:val="000000"/>
                <w:szCs w:val="21"/>
                <w:lang w:val="en-US" w:eastAsia="zh-CN"/>
              </w:rPr>
              <w:t>2</w:t>
            </w:r>
            <w:r>
              <w:rPr>
                <w:rFonts w:hint="eastAsia" w:ascii="宋体" w:hAnsi="宋体" w:cs="宋体"/>
                <w:b w:val="0"/>
                <w:bCs w:val="0"/>
                <w:color w:val="000000"/>
                <w:szCs w:val="21"/>
              </w:rPr>
              <w:t>分；</w:t>
            </w:r>
          </w:p>
          <w:p>
            <w:pPr>
              <w:keepNext w:val="0"/>
              <w:keepLines w:val="0"/>
              <w:pageBreakBefore w:val="0"/>
              <w:kinsoku/>
              <w:wordWrap/>
              <w:topLinePunct w:val="0"/>
              <w:bidi w:val="0"/>
              <w:spacing w:line="240" w:lineRule="auto"/>
              <w:ind w:firstLine="0"/>
              <w:textAlignment w:val="auto"/>
              <w:rPr>
                <w:rFonts w:hint="eastAsia" w:ascii="宋体" w:hAnsi="宋体" w:eastAsia="宋体" w:cs="宋体"/>
                <w:b w:val="0"/>
                <w:bCs w:val="0"/>
                <w:sz w:val="21"/>
                <w:highlight w:val="none"/>
                <w:lang w:val="en-US" w:eastAsia="zh-CN"/>
              </w:rPr>
            </w:pPr>
            <w:r>
              <w:rPr>
                <w:rFonts w:hint="eastAsia" w:ascii="Times New Roman" w:hAnsi="Times New Roman"/>
                <w:b w:val="0"/>
                <w:bCs w:val="0"/>
                <w:sz w:val="21"/>
                <w:szCs w:val="24"/>
                <w:highlight w:val="none"/>
                <w:lang w:val="en-US" w:eastAsia="zh-CN"/>
              </w:rPr>
              <w:t>未提供得不得分。</w:t>
            </w:r>
          </w:p>
        </w:tc>
        <w:tc>
          <w:tcPr>
            <w:tcW w:w="703" w:type="dxa"/>
            <w:noWrap w:val="0"/>
            <w:tcMar>
              <w:top w:w="0" w:type="dxa"/>
              <w:left w:w="108" w:type="dxa"/>
              <w:bottom w:w="0" w:type="dxa"/>
              <w:right w:w="108" w:type="dxa"/>
            </w:tcMar>
            <w:vAlign w:val="center"/>
          </w:tcPr>
          <w:p>
            <w:pPr>
              <w:keepNext w:val="0"/>
              <w:keepLines w:val="0"/>
              <w:pageBreakBefore w:val="0"/>
              <w:kinsoku/>
              <w:wordWrap/>
              <w:topLinePunct w:val="0"/>
              <w:bidi w:val="0"/>
              <w:spacing w:line="240" w:lineRule="auto"/>
              <w:ind w:firstLine="0"/>
              <w:jc w:val="center"/>
              <w:textAlignment w:val="auto"/>
              <w:rPr>
                <w:rFonts w:hint="eastAsia" w:ascii="宋体" w:hAnsi="宋体" w:eastAsia="宋体" w:cs="宋体"/>
                <w:b/>
                <w:bCs w:val="0"/>
                <w:sz w:val="21"/>
                <w:highlight w:val="none"/>
                <w:lang w:val="en-US" w:eastAsia="zh-CN"/>
              </w:rPr>
            </w:pPr>
            <w:r>
              <w:rPr>
                <w:rFonts w:hint="eastAsia" w:ascii="宋体" w:hAnsi="宋体" w:cs="宋体"/>
                <w:b/>
                <w:bCs w:val="0"/>
                <w:sz w:val="21"/>
                <w:highlight w:val="none"/>
                <w:lang w:val="en-US" w:eastAsia="zh-CN"/>
              </w:rPr>
              <w:t>6</w:t>
            </w:r>
          </w:p>
        </w:tc>
      </w:tr>
    </w:tbl>
    <w:p>
      <w:pPr>
        <w:pStyle w:val="4"/>
        <w:ind w:left="0" w:leftChars="0" w:firstLine="0" w:firstLineChars="0"/>
      </w:pPr>
      <w:r>
        <w:br w:type="page"/>
      </w:r>
    </w:p>
    <w:p>
      <w:pPr>
        <w:pStyle w:val="44"/>
        <w:spacing w:line="360" w:lineRule="auto"/>
        <w:rPr>
          <w:rFonts w:ascii="宋体" w:hAnsi="宋体" w:eastAsia="宋体" w:cs="宋体"/>
          <w:color w:val="000000"/>
          <w:sz w:val="30"/>
          <w:szCs w:val="30"/>
        </w:rPr>
      </w:pPr>
      <w:bookmarkStart w:id="691" w:name="_Toc100786195"/>
      <w:r>
        <w:rPr>
          <w:rFonts w:hint="eastAsia" w:ascii="宋体" w:hAnsi="宋体" w:eastAsia="宋体" w:cs="宋体"/>
          <w:color w:val="000000"/>
          <w:sz w:val="30"/>
          <w:szCs w:val="30"/>
        </w:rPr>
        <w:t>第七章  采购需求</w:t>
      </w:r>
      <w:bookmarkEnd w:id="691"/>
    </w:p>
    <w:p>
      <w:pPr>
        <w:keepNext/>
        <w:keepLines/>
        <w:pageBreakBefore w:val="0"/>
        <w:widowControl/>
        <w:tabs>
          <w:tab w:val="left" w:pos="720"/>
        </w:tabs>
        <w:kinsoku/>
        <w:wordWrap/>
        <w:overflowPunct/>
        <w:topLinePunct w:val="0"/>
        <w:autoSpaceDE/>
        <w:autoSpaceDN/>
        <w:bidi w:val="0"/>
        <w:adjustRightInd w:val="0"/>
        <w:snapToGrid w:val="0"/>
        <w:spacing w:line="360" w:lineRule="auto"/>
        <w:ind w:left="720" w:hanging="720"/>
        <w:jc w:val="both"/>
        <w:outlineLvl w:val="1"/>
        <w:rPr>
          <w:rFonts w:hint="eastAsia" w:ascii="宋体" w:hAnsi="宋体" w:eastAsia="宋体" w:cs="宋体"/>
          <w:b/>
          <w:kern w:val="0"/>
          <w:sz w:val="24"/>
          <w:szCs w:val="24"/>
        </w:rPr>
      </w:pPr>
      <w:bookmarkStart w:id="692" w:name="一、产品需求及规格一览表"/>
      <w:bookmarkEnd w:id="692"/>
      <w:bookmarkStart w:id="693" w:name="_Toc2534"/>
      <w:bookmarkStart w:id="694" w:name="_Toc12626"/>
      <w:bookmarkStart w:id="695" w:name="_Toc83722637"/>
      <w:bookmarkStart w:id="696" w:name="_Toc92789349"/>
      <w:bookmarkStart w:id="697" w:name="_Toc85461449"/>
      <w:bookmarkStart w:id="698" w:name="_Toc50760978"/>
      <w:bookmarkStart w:id="699" w:name="_Toc15435093"/>
      <w:bookmarkStart w:id="700" w:name="_Toc8999376"/>
      <w:bookmarkStart w:id="701" w:name="_Toc497489390"/>
      <w:r>
        <w:rPr>
          <w:rFonts w:hint="eastAsia" w:ascii="宋体" w:hAnsi="宋体" w:eastAsia="宋体" w:cs="宋体"/>
          <w:b/>
          <w:kern w:val="0"/>
          <w:sz w:val="24"/>
          <w:szCs w:val="24"/>
        </w:rPr>
        <w:t>一、项目概况</w:t>
      </w:r>
      <w:bookmarkEnd w:id="693"/>
      <w:bookmarkEnd w:id="694"/>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北京地铁地车站设置了空调系统，空调冷源使用冷水机组，冷水机组蒸发器、冷凝器一般均为压力容器。根据TSG21-2016《固定式压力容器安全技术监察规程》要求，压力容器首检、定检时需要做无损检测，无损检测包括容器保温拆除及恢复，焊缝打磨、表面打磨及打磨面防腐；也包括端盖的拆卸、恢复安装、密封垫圈更换及其内表面除锈。</w:t>
      </w:r>
      <w:r>
        <w:rPr>
          <w:rFonts w:hint="eastAsia" w:ascii="宋体" w:hAnsi="宋体" w:eastAsia="宋体" w:cs="宋体"/>
          <w:sz w:val="24"/>
          <w:szCs w:val="24"/>
          <w:lang w:val="en-US" w:eastAsia="zh-CN" w:bidi="ar"/>
        </w:rPr>
        <w:t>在</w:t>
      </w:r>
      <w:r>
        <w:rPr>
          <w:rFonts w:hint="eastAsia" w:ascii="宋体" w:hAnsi="宋体" w:eastAsia="宋体" w:cs="宋体"/>
          <w:sz w:val="24"/>
          <w:szCs w:val="24"/>
          <w:lang w:bidi="ar"/>
        </w:rPr>
        <w:t>对于达到设计使用年限的压力容器（未规定设计使用年限，但是使用超过20年的压力容器视为达到设计使用年限）</w:t>
      </w:r>
      <w:r>
        <w:rPr>
          <w:rFonts w:hint="eastAsia" w:ascii="宋体" w:hAnsi="宋体" w:eastAsia="宋体" w:cs="宋体"/>
          <w:sz w:val="24"/>
          <w:szCs w:val="24"/>
          <w:lang w:val="en-US" w:eastAsia="zh-CN" w:bidi="ar"/>
        </w:rPr>
        <w:t>进行安全评估时</w:t>
      </w:r>
      <w:r>
        <w:rPr>
          <w:rFonts w:hint="eastAsia" w:ascii="宋体" w:hAnsi="宋体" w:eastAsia="宋体" w:cs="宋体"/>
          <w:sz w:val="24"/>
          <w:szCs w:val="24"/>
          <w:lang w:bidi="ar"/>
        </w:rPr>
        <w:t>，</w:t>
      </w:r>
      <w:r>
        <w:rPr>
          <w:rFonts w:hint="eastAsia" w:ascii="宋体" w:hAnsi="宋体" w:eastAsia="宋体" w:cs="宋体"/>
          <w:sz w:val="24"/>
          <w:szCs w:val="24"/>
          <w:lang w:val="en-US" w:eastAsia="zh-CN" w:bidi="ar"/>
        </w:rPr>
        <w:t>也需要进行无损检测</w:t>
      </w:r>
      <w:r>
        <w:rPr>
          <w:rFonts w:hint="eastAsia" w:ascii="宋体" w:hAnsi="宋体" w:eastAsia="宋体" w:cs="宋体"/>
          <w:sz w:val="24"/>
          <w:szCs w:val="24"/>
          <w:lang w:bidi="ar"/>
        </w:rPr>
        <w:t>。</w:t>
      </w:r>
    </w:p>
    <w:p>
      <w:pPr>
        <w:keepNext/>
        <w:keepLines/>
        <w:pageBreakBefore w:val="0"/>
        <w:widowControl/>
        <w:tabs>
          <w:tab w:val="left" w:pos="720"/>
        </w:tabs>
        <w:kinsoku/>
        <w:wordWrap/>
        <w:overflowPunct/>
        <w:topLinePunct w:val="0"/>
        <w:autoSpaceDE/>
        <w:autoSpaceDN/>
        <w:bidi w:val="0"/>
        <w:adjustRightInd w:val="0"/>
        <w:snapToGrid w:val="0"/>
        <w:spacing w:line="360" w:lineRule="auto"/>
        <w:ind w:left="720" w:hanging="720"/>
        <w:jc w:val="both"/>
        <w:outlineLvl w:val="1"/>
        <w:rPr>
          <w:rFonts w:hint="eastAsia" w:ascii="宋体" w:hAnsi="宋体" w:eastAsia="宋体" w:cs="宋体"/>
          <w:b/>
          <w:kern w:val="0"/>
          <w:sz w:val="24"/>
          <w:szCs w:val="24"/>
        </w:rPr>
      </w:pPr>
      <w:bookmarkStart w:id="702" w:name="_Toc19128"/>
      <w:bookmarkStart w:id="703" w:name="_Toc10921"/>
      <w:r>
        <w:rPr>
          <w:rFonts w:hint="eastAsia" w:ascii="宋体" w:hAnsi="宋体" w:eastAsia="宋体" w:cs="宋体"/>
          <w:b/>
          <w:kern w:val="0"/>
          <w:sz w:val="24"/>
          <w:szCs w:val="24"/>
        </w:rPr>
        <w:t>二、服务范围及内容</w:t>
      </w:r>
      <w:bookmarkEnd w:id="702"/>
      <w:bookmarkEnd w:id="703"/>
    </w:p>
    <w:p>
      <w:pPr>
        <w:pageBreakBefore w:val="0"/>
        <w:widowControl/>
        <w:shd w:val="clear" w:color="auto" w:fill="FFFFFF"/>
        <w:kinsoku/>
        <w:wordWrap/>
        <w:overflowPunct/>
        <w:topLinePunct w:val="0"/>
        <w:autoSpaceDE/>
        <w:autoSpaceDN/>
        <w:bidi w:val="0"/>
        <w:spacing w:line="360" w:lineRule="auto"/>
        <w:rPr>
          <w:rFonts w:hint="eastAsia" w:ascii="宋体" w:hAnsi="宋体" w:eastAsia="宋体" w:cs="宋体"/>
          <w:color w:val="000000"/>
          <w:kern w:val="0"/>
          <w:sz w:val="24"/>
          <w:szCs w:val="24"/>
          <w:shd w:val="clear" w:color="auto" w:fill="FFFFFF"/>
        </w:rPr>
      </w:pPr>
      <w:r>
        <w:rPr>
          <w:rFonts w:hint="eastAsia" w:ascii="宋体" w:hAnsi="宋体" w:eastAsia="宋体" w:cs="宋体"/>
          <w:b/>
          <w:bCs/>
          <w:kern w:val="0"/>
          <w:sz w:val="24"/>
          <w:szCs w:val="24"/>
          <w:shd w:val="clear" w:color="auto" w:fill="FFFFFF"/>
          <w:lang w:bidi="ar"/>
        </w:rPr>
        <w:t>1.</w:t>
      </w:r>
      <w:r>
        <w:rPr>
          <w:rFonts w:hint="eastAsia" w:ascii="宋体" w:hAnsi="宋体" w:eastAsia="宋体" w:cs="宋体"/>
          <w:b/>
          <w:color w:val="000000"/>
          <w:kern w:val="0"/>
          <w:sz w:val="24"/>
          <w:szCs w:val="24"/>
          <w:shd w:val="clear" w:color="auto" w:fill="FFFFFF"/>
          <w:lang w:bidi="ar"/>
        </w:rPr>
        <w:t>服务范围：</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服务地点：北京地铁</w:t>
      </w:r>
      <w:r>
        <w:rPr>
          <w:rFonts w:hint="eastAsia" w:ascii="宋体" w:hAnsi="宋体" w:eastAsia="宋体" w:cs="宋体"/>
          <w:sz w:val="24"/>
          <w:szCs w:val="24"/>
          <w:lang w:val="en-US" w:eastAsia="zh-CN"/>
        </w:rPr>
        <w:t>1-八通线、</w:t>
      </w:r>
      <w:r>
        <w:rPr>
          <w:rFonts w:hint="eastAsia" w:ascii="宋体" w:hAnsi="宋体" w:eastAsia="宋体" w:cs="宋体"/>
          <w:sz w:val="24"/>
          <w:szCs w:val="24"/>
        </w:rPr>
        <w:t>5号线、6号线、7号线、8号线、</w:t>
      </w:r>
      <w:r>
        <w:rPr>
          <w:rFonts w:hint="eastAsia" w:ascii="宋体" w:hAnsi="宋体" w:eastAsia="宋体" w:cs="宋体"/>
          <w:sz w:val="24"/>
          <w:szCs w:val="24"/>
          <w:highlight w:val="none"/>
        </w:rPr>
        <w:t>9号线</w:t>
      </w:r>
      <w:r>
        <w:rPr>
          <w:rFonts w:hint="eastAsia" w:ascii="宋体" w:hAnsi="宋体" w:eastAsia="宋体" w:cs="宋体"/>
          <w:sz w:val="24"/>
          <w:szCs w:val="24"/>
        </w:rPr>
        <w:t>、10号线、</w:t>
      </w:r>
      <w:r>
        <w:rPr>
          <w:rFonts w:hint="eastAsia" w:ascii="宋体" w:hAnsi="宋体" w:eastAsia="宋体" w:cs="宋体"/>
          <w:color w:val="000000"/>
          <w:kern w:val="0"/>
          <w:sz w:val="24"/>
          <w:szCs w:val="24"/>
          <w:lang w:bidi="ar"/>
        </w:rPr>
        <w:t>13号线、</w:t>
      </w:r>
      <w:r>
        <w:rPr>
          <w:rFonts w:hint="eastAsia" w:ascii="宋体" w:hAnsi="宋体" w:eastAsia="宋体" w:cs="宋体"/>
          <w:sz w:val="24"/>
          <w:szCs w:val="24"/>
        </w:rPr>
        <w:t>15号线、</w:t>
      </w:r>
      <w:r>
        <w:rPr>
          <w:rFonts w:hint="eastAsia" w:ascii="宋体" w:hAnsi="宋体" w:eastAsia="宋体" w:cs="宋体"/>
          <w:sz w:val="24"/>
          <w:szCs w:val="24"/>
          <w:highlight w:val="none"/>
          <w:lang w:val="en-US" w:eastAsia="zh-CN"/>
        </w:rPr>
        <w:t>亦庄</w:t>
      </w:r>
      <w:r>
        <w:rPr>
          <w:rFonts w:hint="eastAsia" w:ascii="宋体" w:hAnsi="宋体" w:eastAsia="宋体" w:cs="宋体"/>
          <w:sz w:val="24"/>
          <w:szCs w:val="24"/>
          <w:highlight w:val="none"/>
        </w:rPr>
        <w:t>线</w:t>
      </w:r>
      <w:r>
        <w:rPr>
          <w:rFonts w:hint="eastAsia" w:ascii="宋体" w:hAnsi="宋体" w:eastAsia="宋体" w:cs="宋体"/>
          <w:sz w:val="24"/>
          <w:szCs w:val="24"/>
        </w:rPr>
        <w:t>、昌平线所涉及车站。</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服务数量：</w:t>
      </w:r>
    </w:p>
    <w:p>
      <w:pPr>
        <w:pageBreakBefore w:val="0"/>
        <w:kinsoku/>
        <w:wordWrap/>
        <w:overflowPunct/>
        <w:topLinePunct w:val="0"/>
        <w:autoSpaceDE/>
        <w:autoSpaceDN/>
        <w:bidi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无损检测分线数量统计表</w:t>
      </w:r>
    </w:p>
    <w:tbl>
      <w:tblPr>
        <w:tblStyle w:val="48"/>
        <w:tblW w:w="8330" w:type="dxa"/>
        <w:tblInd w:w="0" w:type="dxa"/>
        <w:tblLayout w:type="fixed"/>
        <w:tblCellMar>
          <w:top w:w="0" w:type="dxa"/>
          <w:left w:w="0" w:type="dxa"/>
          <w:bottom w:w="0" w:type="dxa"/>
          <w:right w:w="0" w:type="dxa"/>
        </w:tblCellMar>
      </w:tblPr>
      <w:tblGrid>
        <w:gridCol w:w="1703"/>
        <w:gridCol w:w="2321"/>
        <w:gridCol w:w="4306"/>
      </w:tblGrid>
      <w:tr>
        <w:tblPrEx>
          <w:tblCellMar>
            <w:top w:w="0" w:type="dxa"/>
            <w:left w:w="0" w:type="dxa"/>
            <w:bottom w:w="0" w:type="dxa"/>
            <w:right w:w="0" w:type="dxa"/>
          </w:tblCellMar>
        </w:tblPrEx>
        <w:trPr>
          <w:trHeight w:val="395"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线别</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计划检测数量（台）</w:t>
            </w:r>
          </w:p>
        </w:tc>
      </w:tr>
      <w:tr>
        <w:tblPrEx>
          <w:tblCellMar>
            <w:top w:w="0" w:type="dxa"/>
            <w:left w:w="0" w:type="dxa"/>
            <w:bottom w:w="0" w:type="dxa"/>
            <w:right w:w="0" w:type="dxa"/>
          </w:tblCellMar>
        </w:tblPrEx>
        <w:trPr>
          <w:trHeight w:val="327"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昌平线</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6</w:t>
            </w:r>
          </w:p>
        </w:tc>
      </w:tr>
      <w:tr>
        <w:tblPrEx>
          <w:tblCellMar>
            <w:top w:w="0" w:type="dxa"/>
            <w:left w:w="0" w:type="dxa"/>
            <w:bottom w:w="0" w:type="dxa"/>
            <w:right w:w="0" w:type="dxa"/>
          </w:tblCellMar>
        </w:tblPrEx>
        <w:trPr>
          <w:trHeight w:val="327"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8号线</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30</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10号线</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89</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7号线</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18</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5</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号线</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26</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6</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号线</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34</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7</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13号线</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val="en-US" w:eastAsia="zh-CN" w:bidi="ar"/>
              </w:rPr>
              <w:t>8</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8</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kern w:val="0"/>
                <w:sz w:val="24"/>
                <w:szCs w:val="24"/>
                <w:lang w:val="en-US" w:eastAsia="zh-CN" w:bidi="ar"/>
              </w:rPr>
              <w:t>1-八通线</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w:t>
            </w:r>
            <w:r>
              <w:rPr>
                <w:rFonts w:hint="eastAsia" w:ascii="宋体" w:hAnsi="宋体" w:eastAsia="宋体" w:cs="宋体"/>
                <w:color w:val="000000"/>
                <w:kern w:val="0"/>
                <w:sz w:val="24"/>
                <w:szCs w:val="24"/>
                <w:lang w:bidi="ar"/>
              </w:rPr>
              <w:t>0</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9</w:t>
            </w: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6号</w:t>
            </w:r>
            <w:r>
              <w:rPr>
                <w:rFonts w:hint="eastAsia" w:ascii="宋体" w:hAnsi="宋体" w:eastAsia="宋体" w:cs="宋体"/>
                <w:color w:val="000000"/>
                <w:kern w:val="0"/>
                <w:sz w:val="24"/>
                <w:szCs w:val="24"/>
                <w:lang w:bidi="ar"/>
              </w:rPr>
              <w:t>线</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90</w:t>
            </w:r>
          </w:p>
        </w:tc>
      </w:tr>
      <w:tr>
        <w:tblPrEx>
          <w:tblCellMar>
            <w:top w:w="0" w:type="dxa"/>
            <w:left w:w="0" w:type="dxa"/>
            <w:bottom w:w="0" w:type="dxa"/>
            <w:right w:w="0" w:type="dxa"/>
          </w:tblCellMar>
        </w:tblPrEx>
        <w:trPr>
          <w:trHeight w:val="312" w:hRule="atLeast"/>
        </w:trPr>
        <w:tc>
          <w:tcPr>
            <w:tcW w:w="170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color w:val="000000"/>
                <w:sz w:val="24"/>
                <w:szCs w:val="24"/>
              </w:rPr>
            </w:pPr>
          </w:p>
        </w:tc>
        <w:tc>
          <w:tcPr>
            <w:tcW w:w="232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合计</w:t>
            </w:r>
          </w:p>
        </w:tc>
        <w:tc>
          <w:tcPr>
            <w:tcW w:w="430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311</w:t>
            </w:r>
          </w:p>
        </w:tc>
      </w:tr>
    </w:tbl>
    <w:p>
      <w:pPr>
        <w:pageBreakBefore w:val="0"/>
        <w:kinsoku/>
        <w:wordWrap/>
        <w:overflowPunct/>
        <w:topLinePunct w:val="0"/>
        <w:autoSpaceDE/>
        <w:autoSpaceDN/>
        <w:bidi w:val="0"/>
        <w:spacing w:line="360" w:lineRule="auto"/>
        <w:ind w:firstLine="482" w:firstLineChars="200"/>
        <w:jc w:val="center"/>
        <w:rPr>
          <w:rFonts w:hint="eastAsia" w:ascii="宋体" w:hAnsi="宋体" w:eastAsia="宋体" w:cs="宋体"/>
          <w:b/>
          <w:sz w:val="24"/>
          <w:szCs w:val="24"/>
        </w:rPr>
      </w:pPr>
    </w:p>
    <w:p>
      <w:pPr>
        <w:pageBreakBefore w:val="0"/>
        <w:kinsoku/>
        <w:wordWrap/>
        <w:overflowPunct/>
        <w:topLinePunct w:val="0"/>
        <w:autoSpaceDE/>
        <w:autoSpaceDN/>
        <w:bidi w:val="0"/>
        <w:spacing w:line="360"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超期检验分线</w:t>
      </w:r>
      <w:r>
        <w:rPr>
          <w:rFonts w:hint="eastAsia" w:ascii="宋体" w:hAnsi="宋体" w:eastAsia="宋体" w:cs="宋体"/>
          <w:b/>
          <w:sz w:val="24"/>
          <w:szCs w:val="24"/>
          <w:lang w:val="en-US" w:eastAsia="zh-CN"/>
        </w:rPr>
        <w:t>涉及无损检测设备</w:t>
      </w:r>
      <w:r>
        <w:rPr>
          <w:rFonts w:hint="eastAsia" w:ascii="宋体" w:hAnsi="宋体" w:eastAsia="宋体" w:cs="宋体"/>
          <w:b/>
          <w:sz w:val="24"/>
          <w:szCs w:val="24"/>
        </w:rPr>
        <w:t>数量统计表</w:t>
      </w:r>
    </w:p>
    <w:tbl>
      <w:tblPr>
        <w:tblStyle w:val="4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84"/>
        <w:gridCol w:w="1568"/>
        <w:gridCol w:w="198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序号</w:t>
            </w:r>
          </w:p>
        </w:tc>
        <w:tc>
          <w:tcPr>
            <w:tcW w:w="2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设备名称</w:t>
            </w:r>
          </w:p>
        </w:tc>
        <w:tc>
          <w:tcPr>
            <w:tcW w:w="156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线别</w:t>
            </w:r>
          </w:p>
        </w:tc>
        <w:tc>
          <w:tcPr>
            <w:tcW w:w="198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年待检数量（台）</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2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压力容器</w:t>
            </w:r>
          </w:p>
        </w:tc>
        <w:tc>
          <w:tcPr>
            <w:tcW w:w="156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10</w:t>
            </w:r>
            <w:r>
              <w:rPr>
                <w:rFonts w:hint="eastAsia" w:ascii="宋体" w:hAnsi="宋体" w:eastAsia="宋体" w:cs="宋体"/>
                <w:color w:val="000000"/>
                <w:kern w:val="0"/>
                <w:sz w:val="24"/>
                <w:szCs w:val="24"/>
                <w:lang w:bidi="ar"/>
              </w:rPr>
              <w:t>号线</w:t>
            </w:r>
          </w:p>
        </w:tc>
        <w:tc>
          <w:tcPr>
            <w:tcW w:w="198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szCs w:val="24"/>
                <w:lang w:eastAsia="zh-CN"/>
              </w:rPr>
            </w:pPr>
            <w:r>
              <w:rPr>
                <w:rFonts w:hint="eastAsia" w:ascii="宋体" w:hAnsi="宋体" w:eastAsia="宋体" w:cs="宋体"/>
                <w:color w:val="000000"/>
                <w:kern w:val="0"/>
                <w:sz w:val="24"/>
                <w:szCs w:val="24"/>
                <w:lang w:bidi="ar"/>
              </w:rPr>
              <w:t>3</w:t>
            </w:r>
            <w:r>
              <w:rPr>
                <w:rFonts w:hint="eastAsia" w:ascii="宋体" w:hAnsi="宋体" w:eastAsia="宋体" w:cs="宋体"/>
                <w:color w:val="000000"/>
                <w:kern w:val="0"/>
                <w:sz w:val="24"/>
                <w:szCs w:val="24"/>
                <w:lang w:val="en-US" w:eastAsia="zh-CN" w:bidi="ar"/>
              </w:rPr>
              <w:t>4</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2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压力容器</w:t>
            </w:r>
          </w:p>
        </w:tc>
        <w:tc>
          <w:tcPr>
            <w:tcW w:w="156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szCs w:val="24"/>
              </w:rPr>
            </w:pPr>
            <w:r>
              <w:rPr>
                <w:rFonts w:hint="eastAsia" w:ascii="宋体" w:hAnsi="宋体" w:eastAsia="宋体" w:cs="宋体"/>
                <w:color w:val="000000"/>
                <w:kern w:val="0"/>
                <w:sz w:val="24"/>
                <w:szCs w:val="24"/>
                <w:lang w:bidi="ar"/>
              </w:rPr>
              <w:t>9号线</w:t>
            </w:r>
          </w:p>
        </w:tc>
        <w:tc>
          <w:tcPr>
            <w:tcW w:w="198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4"/>
                <w:szCs w:val="24"/>
                <w:lang w:val="en-US" w:eastAsia="zh-CN" w:bidi="ar"/>
              </w:rPr>
              <w:t>10</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2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压力容器</w:t>
            </w:r>
          </w:p>
        </w:tc>
        <w:tc>
          <w:tcPr>
            <w:tcW w:w="156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号线</w:t>
            </w:r>
          </w:p>
        </w:tc>
        <w:tc>
          <w:tcPr>
            <w:tcW w:w="198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w:t>
            </w:r>
          </w:p>
        </w:tc>
        <w:tc>
          <w:tcPr>
            <w:tcW w:w="2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压力容器</w:t>
            </w:r>
          </w:p>
        </w:tc>
        <w:tc>
          <w:tcPr>
            <w:tcW w:w="156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w:t>
            </w:r>
            <w:r>
              <w:rPr>
                <w:rFonts w:hint="eastAsia" w:ascii="宋体" w:hAnsi="宋体" w:eastAsia="宋体" w:cs="宋体"/>
                <w:color w:val="000000"/>
                <w:kern w:val="0"/>
                <w:sz w:val="24"/>
                <w:szCs w:val="24"/>
                <w:lang w:bidi="ar"/>
              </w:rPr>
              <w:t>号线</w:t>
            </w:r>
          </w:p>
        </w:tc>
        <w:tc>
          <w:tcPr>
            <w:tcW w:w="198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3</w:t>
            </w:r>
          </w:p>
        </w:tc>
        <w:tc>
          <w:tcPr>
            <w:tcW w:w="2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压力容器</w:t>
            </w:r>
          </w:p>
        </w:tc>
        <w:tc>
          <w:tcPr>
            <w:tcW w:w="156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1-八通</w:t>
            </w:r>
            <w:r>
              <w:rPr>
                <w:rFonts w:hint="eastAsia" w:ascii="宋体" w:hAnsi="宋体" w:eastAsia="宋体" w:cs="宋体"/>
                <w:color w:val="000000"/>
                <w:kern w:val="0"/>
                <w:sz w:val="24"/>
                <w:szCs w:val="24"/>
                <w:lang w:bidi="ar"/>
              </w:rPr>
              <w:t>线</w:t>
            </w:r>
          </w:p>
        </w:tc>
        <w:tc>
          <w:tcPr>
            <w:tcW w:w="198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beforeLines="0" w:afterLines="0" w:line="240" w:lineRule="auto"/>
              <w:jc w:val="center"/>
              <w:rPr>
                <w:rFonts w:hint="eastAsia" w:ascii="宋体" w:hAnsi="宋体" w:eastAsia="宋体" w:cs="宋体"/>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1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p>
        </w:tc>
        <w:tc>
          <w:tcPr>
            <w:tcW w:w="26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合计</w:t>
            </w:r>
          </w:p>
        </w:tc>
        <w:tc>
          <w:tcPr>
            <w:tcW w:w="1568"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p>
        </w:tc>
        <w:tc>
          <w:tcPr>
            <w:tcW w:w="1986" w:type="dxa"/>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84</w:t>
            </w:r>
          </w:p>
        </w:tc>
        <w:tc>
          <w:tcPr>
            <w:tcW w:w="146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kern w:val="0"/>
                <w:sz w:val="24"/>
                <w:szCs w:val="24"/>
              </w:rPr>
            </w:pPr>
          </w:p>
        </w:tc>
      </w:tr>
    </w:tbl>
    <w:p>
      <w:pPr>
        <w:pageBreakBefore w:val="0"/>
        <w:kinsoku/>
        <w:wordWrap/>
        <w:overflowPunct/>
        <w:topLinePunct w:val="0"/>
        <w:autoSpaceDE/>
        <w:autoSpaceDN/>
        <w:bidi w:val="0"/>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bidi="ar"/>
        </w:rPr>
        <w:t xml:space="preserve"> </w:t>
      </w:r>
    </w:p>
    <w:p>
      <w:pPr>
        <w:pageBreakBefore w:val="0"/>
        <w:widowControl/>
        <w:shd w:val="clear" w:color="auto" w:fill="FFFFFF"/>
        <w:kinsoku/>
        <w:wordWrap/>
        <w:overflowPunct/>
        <w:topLinePunct w:val="0"/>
        <w:autoSpaceDE/>
        <w:autoSpaceDN/>
        <w:bidi w:val="0"/>
        <w:spacing w:line="360" w:lineRule="auto"/>
        <w:rPr>
          <w:rFonts w:hint="eastAsia" w:ascii="宋体" w:hAnsi="宋体" w:eastAsia="宋体" w:cs="宋体"/>
          <w:b/>
          <w:bCs/>
          <w:kern w:val="0"/>
          <w:sz w:val="24"/>
          <w:szCs w:val="24"/>
          <w:shd w:val="clear" w:color="auto" w:fill="FFFFFF"/>
        </w:rPr>
      </w:pPr>
      <w:r>
        <w:rPr>
          <w:rFonts w:hint="eastAsia" w:ascii="宋体" w:hAnsi="宋体" w:eastAsia="宋体" w:cs="宋体"/>
          <w:b/>
          <w:color w:val="000000"/>
          <w:kern w:val="0"/>
          <w:sz w:val="24"/>
          <w:szCs w:val="24"/>
          <w:shd w:val="clear" w:color="auto" w:fill="FFFFFF"/>
          <w:lang w:bidi="ar"/>
        </w:rPr>
        <w:t>2.无损检测</w:t>
      </w:r>
      <w:r>
        <w:rPr>
          <w:rFonts w:hint="eastAsia" w:ascii="宋体" w:hAnsi="宋体" w:eastAsia="宋体" w:cs="宋体"/>
          <w:b/>
          <w:bCs/>
          <w:kern w:val="0"/>
          <w:sz w:val="24"/>
          <w:szCs w:val="24"/>
          <w:shd w:val="clear" w:color="auto" w:fill="FFFFFF"/>
          <w:lang w:bidi="ar"/>
        </w:rPr>
        <w:t>工作内容：</w:t>
      </w:r>
    </w:p>
    <w:p>
      <w:pPr>
        <w:pStyle w:val="46"/>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（1）供应商按约定时间内完成采购人待检的压力容器无损检测；</w:t>
      </w:r>
    </w:p>
    <w:p>
      <w:pPr>
        <w:pStyle w:val="46"/>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（2）压力容器无损检测，包含容器保温拆除及恢复，焊缝打磨、表面打磨及打磨面防腐；</w:t>
      </w:r>
    </w:p>
    <w:p>
      <w:pPr>
        <w:pStyle w:val="46"/>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（3）压力容器无损检测，包含端盖的拆卸、恢复安装、密封垫圈更换及其内表面除锈；</w:t>
      </w:r>
    </w:p>
    <w:p>
      <w:pPr>
        <w:pStyle w:val="46"/>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（4）干式蒸发器开端盖造成的制冷剂损失，由采购人负责；</w:t>
      </w:r>
    </w:p>
    <w:p>
      <w:pPr>
        <w:pStyle w:val="46"/>
        <w:pageBreakBefore w:val="0"/>
        <w:kinsoku/>
        <w:wordWrap/>
        <w:overflowPunct/>
        <w:topLinePunct w:val="0"/>
        <w:autoSpaceDE/>
        <w:autoSpaceDN/>
        <w:bidi w:val="0"/>
        <w:spacing w:line="360" w:lineRule="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（5）供应商出具压力容器无损检测报告书；</w:t>
      </w:r>
    </w:p>
    <w:p>
      <w:pPr>
        <w:pageBreakBefore w:val="0"/>
        <w:widowControl/>
        <w:shd w:val="clear" w:color="auto" w:fill="FFFFFF"/>
        <w:kinsoku/>
        <w:wordWrap/>
        <w:overflowPunct/>
        <w:topLinePunct w:val="0"/>
        <w:autoSpaceDE/>
        <w:autoSpaceDN/>
        <w:bidi w:val="0"/>
        <w:spacing w:line="360" w:lineRule="auto"/>
        <w:rPr>
          <w:rFonts w:hint="eastAsia" w:ascii="宋体" w:hAnsi="宋体" w:eastAsia="宋体" w:cs="宋体"/>
          <w:b/>
          <w:bCs/>
          <w:kern w:val="0"/>
          <w:sz w:val="24"/>
          <w:szCs w:val="24"/>
          <w:shd w:val="clear" w:color="auto" w:fill="FFFFFF"/>
        </w:rPr>
      </w:pPr>
      <w:r>
        <w:rPr>
          <w:rFonts w:hint="eastAsia" w:ascii="宋体" w:hAnsi="宋体" w:eastAsia="宋体" w:cs="宋体"/>
          <w:b/>
          <w:color w:val="000000"/>
          <w:kern w:val="0"/>
          <w:sz w:val="24"/>
          <w:szCs w:val="24"/>
          <w:shd w:val="clear" w:color="auto" w:fill="FFFFFF"/>
          <w:lang w:val="en-US" w:eastAsia="zh-CN" w:bidi="ar"/>
        </w:rPr>
        <w:t>3</w:t>
      </w:r>
      <w:r>
        <w:rPr>
          <w:rFonts w:hint="eastAsia" w:ascii="宋体" w:hAnsi="宋体" w:eastAsia="宋体" w:cs="宋体"/>
          <w:b/>
          <w:color w:val="000000"/>
          <w:kern w:val="0"/>
          <w:sz w:val="24"/>
          <w:szCs w:val="24"/>
          <w:shd w:val="clear" w:color="auto" w:fill="FFFFFF"/>
          <w:lang w:bidi="ar"/>
        </w:rPr>
        <w:t>.</w:t>
      </w:r>
      <w:r>
        <w:rPr>
          <w:rFonts w:hint="eastAsia" w:ascii="宋体" w:hAnsi="宋体" w:eastAsia="宋体" w:cs="宋体"/>
          <w:b/>
          <w:bCs/>
          <w:kern w:val="0"/>
          <w:sz w:val="24"/>
          <w:szCs w:val="24"/>
          <w:shd w:val="clear" w:color="auto" w:fill="FFFFFF"/>
          <w:lang w:bidi="ar"/>
        </w:rPr>
        <w:t>检</w:t>
      </w:r>
      <w:r>
        <w:rPr>
          <w:rFonts w:hint="eastAsia" w:ascii="宋体" w:hAnsi="宋体" w:eastAsia="宋体" w:cs="宋体"/>
          <w:b/>
          <w:bCs/>
          <w:kern w:val="0"/>
          <w:sz w:val="24"/>
          <w:szCs w:val="24"/>
          <w:shd w:val="clear" w:color="auto" w:fill="FFFFFF"/>
          <w:lang w:val="en-US" w:eastAsia="zh-CN" w:bidi="ar"/>
        </w:rPr>
        <w:t>测</w:t>
      </w:r>
      <w:r>
        <w:rPr>
          <w:rFonts w:hint="eastAsia" w:ascii="宋体" w:hAnsi="宋体" w:eastAsia="宋体" w:cs="宋体"/>
          <w:b/>
          <w:bCs/>
          <w:kern w:val="0"/>
          <w:sz w:val="24"/>
          <w:szCs w:val="24"/>
          <w:shd w:val="clear" w:color="auto" w:fill="FFFFFF"/>
          <w:lang w:bidi="ar"/>
        </w:rPr>
        <w:t>程序：</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bidi="ar"/>
        </w:rPr>
        <w:t>无损检测</w:t>
      </w:r>
      <w:r>
        <w:rPr>
          <w:rFonts w:hint="eastAsia" w:ascii="宋体" w:hAnsi="宋体" w:eastAsia="宋体" w:cs="宋体"/>
          <w:sz w:val="24"/>
          <w:szCs w:val="24"/>
          <w:lang w:bidi="ar"/>
        </w:rPr>
        <w:t>的一般程序，包括损伤机理识别、风险评估、检</w:t>
      </w:r>
      <w:r>
        <w:rPr>
          <w:rFonts w:hint="eastAsia" w:ascii="宋体" w:hAnsi="宋体" w:eastAsia="宋体" w:cs="宋体"/>
          <w:sz w:val="24"/>
          <w:szCs w:val="24"/>
          <w:lang w:val="en-US" w:eastAsia="zh-CN" w:bidi="ar"/>
        </w:rPr>
        <w:t>测</w:t>
      </w:r>
      <w:r>
        <w:rPr>
          <w:rFonts w:hint="eastAsia" w:ascii="宋体" w:hAnsi="宋体" w:eastAsia="宋体" w:cs="宋体"/>
          <w:sz w:val="24"/>
          <w:szCs w:val="24"/>
          <w:lang w:bidi="ar"/>
        </w:rPr>
        <w:t>方案制定、检</w:t>
      </w:r>
      <w:r>
        <w:rPr>
          <w:rFonts w:hint="eastAsia" w:ascii="宋体" w:hAnsi="宋体" w:eastAsia="宋体" w:cs="宋体"/>
          <w:sz w:val="24"/>
          <w:szCs w:val="24"/>
          <w:lang w:val="en-US" w:eastAsia="zh-CN" w:bidi="ar"/>
        </w:rPr>
        <w:t>测</w:t>
      </w:r>
      <w:r>
        <w:rPr>
          <w:rFonts w:hint="eastAsia" w:ascii="宋体" w:hAnsi="宋体" w:eastAsia="宋体" w:cs="宋体"/>
          <w:sz w:val="24"/>
          <w:szCs w:val="24"/>
          <w:lang w:bidi="ar"/>
        </w:rPr>
        <w:t>前的准备、检</w:t>
      </w:r>
      <w:r>
        <w:rPr>
          <w:rFonts w:hint="eastAsia" w:ascii="宋体" w:hAnsi="宋体" w:eastAsia="宋体" w:cs="宋体"/>
          <w:sz w:val="24"/>
          <w:szCs w:val="24"/>
          <w:lang w:val="en-US" w:eastAsia="zh-CN" w:bidi="ar"/>
        </w:rPr>
        <w:t>测</w:t>
      </w:r>
      <w:r>
        <w:rPr>
          <w:rFonts w:hint="eastAsia" w:ascii="宋体" w:hAnsi="宋体" w:eastAsia="宋体" w:cs="宋体"/>
          <w:sz w:val="24"/>
          <w:szCs w:val="24"/>
          <w:lang w:bidi="ar"/>
        </w:rPr>
        <w:t>实施、缺陷及问题的处理、检验结果汇总及评价、出具检</w:t>
      </w:r>
      <w:r>
        <w:rPr>
          <w:rFonts w:hint="eastAsia" w:ascii="宋体" w:hAnsi="宋体" w:eastAsia="宋体" w:cs="宋体"/>
          <w:sz w:val="24"/>
          <w:szCs w:val="24"/>
          <w:lang w:val="en-US" w:eastAsia="zh-CN" w:bidi="ar"/>
        </w:rPr>
        <w:t>测</w:t>
      </w:r>
      <w:r>
        <w:rPr>
          <w:rFonts w:hint="eastAsia" w:ascii="宋体" w:hAnsi="宋体" w:eastAsia="宋体" w:cs="宋体"/>
          <w:sz w:val="24"/>
          <w:szCs w:val="24"/>
          <w:lang w:bidi="ar"/>
        </w:rPr>
        <w:t>报告等。</w:t>
      </w:r>
    </w:p>
    <w:p>
      <w:pPr>
        <w:keepNext/>
        <w:keepLines/>
        <w:pageBreakBefore w:val="0"/>
        <w:widowControl/>
        <w:tabs>
          <w:tab w:val="left" w:pos="720"/>
        </w:tabs>
        <w:kinsoku/>
        <w:wordWrap/>
        <w:overflowPunct/>
        <w:topLinePunct w:val="0"/>
        <w:autoSpaceDE/>
        <w:autoSpaceDN/>
        <w:bidi w:val="0"/>
        <w:adjustRightInd w:val="0"/>
        <w:snapToGrid w:val="0"/>
        <w:spacing w:line="360" w:lineRule="auto"/>
        <w:ind w:left="720" w:hanging="720"/>
        <w:jc w:val="both"/>
        <w:outlineLvl w:val="1"/>
        <w:rPr>
          <w:rFonts w:hint="eastAsia" w:ascii="宋体" w:hAnsi="宋体" w:eastAsia="宋体" w:cs="宋体"/>
          <w:b/>
          <w:kern w:val="0"/>
          <w:sz w:val="24"/>
          <w:szCs w:val="24"/>
        </w:rPr>
      </w:pPr>
      <w:bookmarkStart w:id="704" w:name="_Toc15931"/>
      <w:bookmarkStart w:id="705" w:name="_Toc28319"/>
      <w:r>
        <w:rPr>
          <w:rFonts w:hint="eastAsia" w:ascii="宋体" w:hAnsi="宋体" w:eastAsia="宋体" w:cs="宋体"/>
          <w:b/>
          <w:kern w:val="0"/>
          <w:sz w:val="24"/>
          <w:szCs w:val="24"/>
        </w:rPr>
        <w:t>三、服务周期</w:t>
      </w:r>
      <w:bookmarkEnd w:id="704"/>
      <w:bookmarkEnd w:id="705"/>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服务周期：</w:t>
      </w:r>
      <w:r>
        <w:rPr>
          <w:rFonts w:hint="eastAsia" w:ascii="宋体" w:hAnsi="宋体" w:cs="宋体"/>
          <w:sz w:val="24"/>
          <w:szCs w:val="24"/>
          <w:lang w:val="en-US" w:eastAsia="zh-CN" w:bidi="ar"/>
        </w:rPr>
        <w:t>121</w:t>
      </w:r>
      <w:r>
        <w:rPr>
          <w:rFonts w:hint="eastAsia" w:ascii="宋体" w:hAnsi="宋体" w:eastAsia="宋体" w:cs="宋体"/>
          <w:sz w:val="24"/>
          <w:szCs w:val="24"/>
          <w:lang w:bidi="ar"/>
        </w:rPr>
        <w:t>日历天</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计划服务开始时间：202</w:t>
      </w:r>
      <w:r>
        <w:rPr>
          <w:rFonts w:hint="eastAsia" w:ascii="宋体" w:hAnsi="宋体" w:eastAsia="宋体" w:cs="宋体"/>
          <w:sz w:val="24"/>
          <w:szCs w:val="24"/>
          <w:lang w:val="en-US" w:eastAsia="zh-CN" w:bidi="ar"/>
        </w:rPr>
        <w:t>4</w:t>
      </w:r>
      <w:r>
        <w:rPr>
          <w:rFonts w:hint="eastAsia" w:ascii="宋体" w:hAnsi="宋体" w:eastAsia="宋体" w:cs="宋体"/>
          <w:sz w:val="24"/>
          <w:szCs w:val="24"/>
          <w:lang w:bidi="ar"/>
        </w:rPr>
        <w:t>年</w:t>
      </w:r>
      <w:r>
        <w:rPr>
          <w:rFonts w:hint="eastAsia" w:ascii="宋体" w:hAnsi="宋体" w:cs="宋体"/>
          <w:sz w:val="24"/>
          <w:szCs w:val="24"/>
          <w:lang w:val="en-US" w:eastAsia="zh-CN" w:bidi="ar"/>
        </w:rPr>
        <w:t>9</w:t>
      </w:r>
      <w:r>
        <w:rPr>
          <w:rFonts w:hint="eastAsia" w:ascii="宋体" w:hAnsi="宋体" w:eastAsia="宋体" w:cs="宋体"/>
          <w:sz w:val="24"/>
          <w:szCs w:val="24"/>
          <w:lang w:bidi="ar"/>
        </w:rPr>
        <w:t>月1日。</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bidi="ar"/>
        </w:rPr>
        <w:t>计划服务结束时间：202</w:t>
      </w:r>
      <w:r>
        <w:rPr>
          <w:rFonts w:hint="eastAsia" w:ascii="宋体" w:hAnsi="宋体" w:eastAsia="宋体" w:cs="宋体"/>
          <w:bCs/>
          <w:sz w:val="24"/>
          <w:szCs w:val="24"/>
          <w:lang w:val="en-US" w:eastAsia="zh-CN" w:bidi="ar"/>
        </w:rPr>
        <w:t>4</w:t>
      </w:r>
      <w:r>
        <w:rPr>
          <w:rFonts w:hint="eastAsia" w:ascii="宋体" w:hAnsi="宋体" w:eastAsia="宋体" w:cs="宋体"/>
          <w:bCs/>
          <w:sz w:val="24"/>
          <w:szCs w:val="24"/>
          <w:lang w:bidi="ar"/>
        </w:rPr>
        <w:t>年1</w:t>
      </w:r>
      <w:r>
        <w:rPr>
          <w:rFonts w:hint="eastAsia" w:ascii="宋体" w:hAnsi="宋体" w:eastAsia="宋体" w:cs="宋体"/>
          <w:bCs/>
          <w:sz w:val="24"/>
          <w:szCs w:val="24"/>
          <w:lang w:val="en-US" w:eastAsia="zh-CN" w:bidi="ar"/>
        </w:rPr>
        <w:t>2</w:t>
      </w:r>
      <w:r>
        <w:rPr>
          <w:rFonts w:hint="eastAsia" w:ascii="宋体" w:hAnsi="宋体" w:eastAsia="宋体" w:cs="宋体"/>
          <w:bCs/>
          <w:sz w:val="24"/>
          <w:szCs w:val="24"/>
          <w:lang w:bidi="ar"/>
        </w:rPr>
        <w:t>月31日。</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实际服务开始日期以合同签订日期为准。</w:t>
      </w:r>
    </w:p>
    <w:p>
      <w:pPr>
        <w:keepNext/>
        <w:keepLines/>
        <w:pageBreakBefore w:val="0"/>
        <w:widowControl/>
        <w:tabs>
          <w:tab w:val="left" w:pos="720"/>
        </w:tabs>
        <w:kinsoku/>
        <w:wordWrap/>
        <w:overflowPunct/>
        <w:topLinePunct w:val="0"/>
        <w:autoSpaceDE/>
        <w:autoSpaceDN/>
        <w:bidi w:val="0"/>
        <w:adjustRightInd w:val="0"/>
        <w:snapToGrid w:val="0"/>
        <w:spacing w:line="360" w:lineRule="auto"/>
        <w:ind w:left="720" w:hanging="720"/>
        <w:jc w:val="both"/>
        <w:outlineLvl w:val="1"/>
        <w:rPr>
          <w:rFonts w:hint="eastAsia" w:ascii="宋体" w:hAnsi="宋体" w:eastAsia="宋体" w:cs="宋体"/>
          <w:b/>
          <w:kern w:val="0"/>
          <w:sz w:val="24"/>
          <w:szCs w:val="24"/>
        </w:rPr>
      </w:pPr>
      <w:bookmarkStart w:id="706" w:name="_Toc17074"/>
      <w:bookmarkStart w:id="707" w:name="_Toc5637"/>
      <w:r>
        <w:rPr>
          <w:rFonts w:hint="eastAsia" w:ascii="宋体" w:hAnsi="宋体" w:eastAsia="宋体" w:cs="宋体"/>
          <w:b/>
          <w:kern w:val="0"/>
          <w:sz w:val="24"/>
          <w:szCs w:val="24"/>
        </w:rPr>
        <w:t>四、服务要求</w:t>
      </w:r>
      <w:bookmarkEnd w:id="706"/>
      <w:bookmarkEnd w:id="707"/>
    </w:p>
    <w:p>
      <w:pPr>
        <w:pageBreakBefore w:val="0"/>
        <w:widowControl/>
        <w:kinsoku/>
        <w:wordWrap/>
        <w:overflowPunct/>
        <w:topLinePunct w:val="0"/>
        <w:autoSpaceDE/>
        <w:autoSpaceDN/>
        <w:bidi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1.压力容器现场为地铁车站冷冻站内，容器检测时，</w:t>
      </w:r>
      <w:r>
        <w:rPr>
          <w:rFonts w:hint="eastAsia" w:ascii="宋体" w:hAnsi="宋体" w:cs="宋体"/>
          <w:kern w:val="0"/>
          <w:sz w:val="24"/>
          <w:szCs w:val="24"/>
          <w:lang w:eastAsia="zh-CN" w:bidi="ar"/>
        </w:rPr>
        <w:t>供应商</w:t>
      </w:r>
      <w:r>
        <w:rPr>
          <w:rFonts w:hint="eastAsia" w:ascii="宋体" w:hAnsi="宋体" w:eastAsia="宋体" w:cs="宋体"/>
          <w:kern w:val="0"/>
          <w:sz w:val="24"/>
          <w:szCs w:val="24"/>
          <w:lang w:bidi="ar"/>
        </w:rPr>
        <w:t>需自行准备检测仪器、容器打磨器具等，现场仅提供必要的照明、电源接口；</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2.压力容器检测辅助工作由</w:t>
      </w:r>
      <w:r>
        <w:rPr>
          <w:rFonts w:hint="eastAsia" w:ascii="宋体" w:hAnsi="宋体" w:cs="宋体"/>
          <w:kern w:val="0"/>
          <w:sz w:val="24"/>
          <w:szCs w:val="24"/>
          <w:lang w:eastAsia="zh-CN" w:bidi="ar"/>
        </w:rPr>
        <w:t>供应商</w:t>
      </w:r>
      <w:r>
        <w:rPr>
          <w:rFonts w:hint="eastAsia" w:ascii="宋体" w:hAnsi="宋体" w:eastAsia="宋体" w:cs="宋体"/>
          <w:kern w:val="0"/>
          <w:sz w:val="24"/>
          <w:szCs w:val="24"/>
          <w:lang w:bidi="ar"/>
        </w:rPr>
        <w:t>自行完成，包括</w:t>
      </w:r>
      <w:r>
        <w:rPr>
          <w:rFonts w:hint="eastAsia" w:ascii="宋体" w:hAnsi="宋体" w:eastAsia="宋体" w:cs="宋体"/>
          <w:sz w:val="24"/>
          <w:szCs w:val="24"/>
          <w:lang w:bidi="ar"/>
        </w:rPr>
        <w:t>容器保温拆除及恢复，焊缝打磨、表面打磨及打磨面防腐；包括端盖的拆卸、恢复安装、密封垫圈更换及其内表面除锈；干式蒸发器开端盖造成的制冷剂损失，由</w:t>
      </w:r>
      <w:r>
        <w:rPr>
          <w:rFonts w:hint="eastAsia" w:ascii="宋体" w:hAnsi="宋体" w:cs="宋体"/>
          <w:sz w:val="24"/>
          <w:szCs w:val="24"/>
          <w:lang w:eastAsia="zh-CN" w:bidi="ar"/>
        </w:rPr>
        <w:t>采购人</w:t>
      </w:r>
      <w:r>
        <w:rPr>
          <w:rFonts w:hint="eastAsia" w:ascii="宋体" w:hAnsi="宋体" w:eastAsia="宋体" w:cs="宋体"/>
          <w:sz w:val="24"/>
          <w:szCs w:val="24"/>
          <w:lang w:bidi="ar"/>
        </w:rPr>
        <w:t>负责；</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lang w:bidi="ar"/>
        </w:rPr>
        <w:t>3.</w:t>
      </w:r>
      <w:r>
        <w:rPr>
          <w:rFonts w:hint="eastAsia" w:ascii="宋体" w:hAnsi="宋体" w:cs="宋体"/>
          <w:sz w:val="24"/>
          <w:szCs w:val="24"/>
          <w:lang w:eastAsia="zh-CN" w:bidi="ar"/>
        </w:rPr>
        <w:t>供应商</w:t>
      </w:r>
      <w:r>
        <w:rPr>
          <w:rFonts w:hint="eastAsia" w:ascii="宋体" w:hAnsi="宋体" w:eastAsia="宋体" w:cs="宋体"/>
          <w:sz w:val="24"/>
          <w:szCs w:val="24"/>
          <w:lang w:bidi="ar"/>
        </w:rPr>
        <w:t>根据北京地铁压力容器数量，配备合理的检测设备、工具、人员等资源，明确检测项目负责人，对口</w:t>
      </w:r>
      <w:r>
        <w:rPr>
          <w:rFonts w:hint="eastAsia" w:ascii="宋体" w:hAnsi="宋体" w:cs="宋体"/>
          <w:sz w:val="24"/>
          <w:szCs w:val="24"/>
          <w:lang w:eastAsia="zh-CN" w:bidi="ar"/>
        </w:rPr>
        <w:t>采购人</w:t>
      </w:r>
      <w:r>
        <w:rPr>
          <w:rFonts w:hint="eastAsia" w:ascii="宋体" w:hAnsi="宋体" w:eastAsia="宋体" w:cs="宋体"/>
          <w:sz w:val="24"/>
          <w:szCs w:val="24"/>
          <w:lang w:bidi="ar"/>
        </w:rPr>
        <w:t>业备往来；</w:t>
      </w:r>
    </w:p>
    <w:p>
      <w:pPr>
        <w:pageBreakBefore w:val="0"/>
        <w:widowControl/>
        <w:kinsoku/>
        <w:wordWrap/>
        <w:overflowPunct/>
        <w:topLinePunct w:val="0"/>
        <w:autoSpaceDE/>
        <w:autoSpaceDN/>
        <w:bidi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bidi="ar"/>
        </w:rPr>
        <w:t>4.每次检测容器由</w:t>
      </w:r>
      <w:r>
        <w:rPr>
          <w:rFonts w:hint="eastAsia" w:ascii="宋体" w:hAnsi="宋体" w:cs="宋体"/>
          <w:kern w:val="0"/>
          <w:sz w:val="24"/>
          <w:szCs w:val="24"/>
          <w:lang w:eastAsia="zh-CN" w:bidi="ar"/>
        </w:rPr>
        <w:t>采购人</w:t>
      </w:r>
      <w:r>
        <w:rPr>
          <w:rFonts w:hint="eastAsia" w:ascii="宋体" w:hAnsi="宋体" w:eastAsia="宋体" w:cs="宋体"/>
          <w:kern w:val="0"/>
          <w:sz w:val="24"/>
          <w:szCs w:val="24"/>
          <w:lang w:bidi="ar"/>
        </w:rPr>
        <w:t>发出通知，</w:t>
      </w:r>
      <w:r>
        <w:rPr>
          <w:rFonts w:hint="eastAsia" w:ascii="宋体" w:hAnsi="宋体" w:cs="宋体"/>
          <w:kern w:val="0"/>
          <w:sz w:val="24"/>
          <w:szCs w:val="24"/>
          <w:lang w:eastAsia="zh-CN" w:bidi="ar"/>
        </w:rPr>
        <w:t>供应商</w:t>
      </w:r>
      <w:r>
        <w:rPr>
          <w:rFonts w:hint="eastAsia" w:ascii="宋体" w:hAnsi="宋体" w:eastAsia="宋体" w:cs="宋体"/>
          <w:kern w:val="0"/>
          <w:sz w:val="24"/>
          <w:szCs w:val="24"/>
          <w:lang w:bidi="ar"/>
        </w:rPr>
        <w:t>须在3个工作日内安排检测，7个工作日内出具检测报告。</w:t>
      </w:r>
    </w:p>
    <w:p>
      <w:pPr>
        <w:pageBreakBefore w:val="0"/>
        <w:widowControl/>
        <w:kinsoku/>
        <w:wordWrap/>
        <w:overflowPunct/>
        <w:topLinePunct w:val="0"/>
        <w:autoSpaceDE/>
        <w:autoSpaceDN/>
        <w:bidi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lang w:bidi="ar"/>
        </w:rPr>
        <w:t>5.</w:t>
      </w:r>
      <w:r>
        <w:rPr>
          <w:rFonts w:hint="eastAsia" w:ascii="宋体" w:hAnsi="宋体" w:cs="宋体"/>
          <w:sz w:val="24"/>
          <w:szCs w:val="24"/>
          <w:lang w:eastAsia="zh-CN" w:bidi="ar"/>
        </w:rPr>
        <w:t>供应商</w:t>
      </w:r>
      <w:r>
        <w:rPr>
          <w:rFonts w:hint="eastAsia" w:ascii="宋体" w:hAnsi="宋体" w:eastAsia="宋体" w:cs="宋体"/>
          <w:sz w:val="24"/>
          <w:szCs w:val="24"/>
          <w:lang w:bidi="ar"/>
        </w:rPr>
        <w:t>负责</w:t>
      </w:r>
      <w:r>
        <w:rPr>
          <w:rFonts w:hint="eastAsia" w:ascii="宋体" w:hAnsi="宋体" w:eastAsia="宋体" w:cs="宋体"/>
          <w:kern w:val="0"/>
          <w:sz w:val="24"/>
          <w:szCs w:val="24"/>
          <w:lang w:bidi="ar"/>
        </w:rPr>
        <w:t>协调所检测容器所在的质量技术监督局，满足待检容器的具体检验要求。</w:t>
      </w:r>
    </w:p>
    <w:p>
      <w:pPr>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6.检测期间应配合</w:t>
      </w:r>
      <w:r>
        <w:rPr>
          <w:rFonts w:hint="eastAsia" w:ascii="宋体" w:hAnsi="宋体" w:cs="宋体"/>
          <w:sz w:val="24"/>
          <w:szCs w:val="24"/>
          <w:lang w:eastAsia="zh-CN"/>
        </w:rPr>
        <w:t>采购人</w:t>
      </w:r>
      <w:r>
        <w:rPr>
          <w:rFonts w:hint="eastAsia" w:ascii="宋体" w:hAnsi="宋体" w:eastAsia="宋体" w:cs="宋体"/>
          <w:sz w:val="24"/>
          <w:szCs w:val="24"/>
        </w:rPr>
        <w:t>进行与其他专业的协调工作；如发生争议，由</w:t>
      </w:r>
      <w:r>
        <w:rPr>
          <w:rFonts w:hint="eastAsia" w:ascii="宋体" w:hAnsi="宋体" w:cs="宋体"/>
          <w:sz w:val="24"/>
          <w:szCs w:val="24"/>
          <w:lang w:eastAsia="zh-CN"/>
        </w:rPr>
        <w:t>采购人</w:t>
      </w:r>
      <w:r>
        <w:rPr>
          <w:rFonts w:hint="eastAsia" w:ascii="宋体" w:hAnsi="宋体" w:eastAsia="宋体" w:cs="宋体"/>
          <w:sz w:val="24"/>
          <w:szCs w:val="24"/>
        </w:rPr>
        <w:t>裁决，</w:t>
      </w:r>
      <w:r>
        <w:rPr>
          <w:rFonts w:hint="eastAsia" w:ascii="宋体" w:hAnsi="宋体" w:cs="宋体"/>
          <w:sz w:val="24"/>
          <w:szCs w:val="24"/>
          <w:lang w:eastAsia="zh-CN"/>
        </w:rPr>
        <w:t>供应商</w:t>
      </w:r>
      <w:r>
        <w:rPr>
          <w:rFonts w:hint="eastAsia" w:ascii="宋体" w:hAnsi="宋体" w:eastAsia="宋体" w:cs="宋体"/>
          <w:sz w:val="24"/>
          <w:szCs w:val="24"/>
        </w:rPr>
        <w:t>应遵守，并不得借此要求增加费用或延长工期。</w:t>
      </w:r>
    </w:p>
    <w:p>
      <w:pPr>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7.检测现场在检测完成后，由</w:t>
      </w:r>
      <w:r>
        <w:rPr>
          <w:rFonts w:hint="eastAsia" w:ascii="宋体" w:hAnsi="宋体" w:cs="宋体"/>
          <w:sz w:val="24"/>
          <w:szCs w:val="24"/>
          <w:lang w:eastAsia="zh-CN"/>
        </w:rPr>
        <w:t>供应商</w:t>
      </w:r>
      <w:r>
        <w:rPr>
          <w:rFonts w:hint="eastAsia" w:ascii="宋体" w:hAnsi="宋体" w:eastAsia="宋体" w:cs="宋体"/>
          <w:sz w:val="24"/>
          <w:szCs w:val="24"/>
        </w:rPr>
        <w:t>使用专用吸尘器等工具清洁作业区域，严格做到无二次污染。</w:t>
      </w:r>
      <w:r>
        <w:rPr>
          <w:rFonts w:hint="eastAsia" w:ascii="宋体" w:hAnsi="宋体" w:cs="宋体"/>
          <w:sz w:val="24"/>
          <w:szCs w:val="24"/>
          <w:lang w:eastAsia="zh-CN"/>
        </w:rPr>
        <w:t>供应商</w:t>
      </w:r>
      <w:r>
        <w:rPr>
          <w:rFonts w:hint="eastAsia" w:ascii="宋体" w:hAnsi="宋体" w:eastAsia="宋体" w:cs="宋体"/>
          <w:sz w:val="24"/>
          <w:szCs w:val="24"/>
        </w:rPr>
        <w:t>作业人员的一切安全事故由</w:t>
      </w:r>
      <w:r>
        <w:rPr>
          <w:rFonts w:hint="eastAsia" w:ascii="宋体" w:hAnsi="宋体" w:cs="宋体"/>
          <w:sz w:val="24"/>
          <w:szCs w:val="24"/>
          <w:lang w:eastAsia="zh-CN"/>
        </w:rPr>
        <w:t>供应商</w:t>
      </w:r>
      <w:r>
        <w:rPr>
          <w:rFonts w:hint="eastAsia" w:ascii="宋体" w:hAnsi="宋体" w:eastAsia="宋体" w:cs="宋体"/>
          <w:sz w:val="24"/>
          <w:szCs w:val="24"/>
        </w:rPr>
        <w:t>负责，</w:t>
      </w:r>
      <w:r>
        <w:rPr>
          <w:rFonts w:hint="eastAsia" w:ascii="宋体" w:hAnsi="宋体" w:cs="宋体"/>
          <w:sz w:val="24"/>
          <w:szCs w:val="24"/>
          <w:lang w:eastAsia="zh-CN"/>
        </w:rPr>
        <w:t>采购人</w:t>
      </w:r>
      <w:r>
        <w:rPr>
          <w:rFonts w:hint="eastAsia" w:ascii="宋体" w:hAnsi="宋体" w:eastAsia="宋体" w:cs="宋体"/>
          <w:sz w:val="24"/>
          <w:szCs w:val="24"/>
        </w:rPr>
        <w:t>不承担任何责任。</w:t>
      </w:r>
    </w:p>
    <w:p>
      <w:pPr>
        <w:pageBreakBefore w:val="0"/>
        <w:kinsoku/>
        <w:wordWrap/>
        <w:overflowPunct/>
        <w:topLinePunct w:val="0"/>
        <w:autoSpaceDE/>
        <w:autoSpaceDN/>
        <w:bidi w:val="0"/>
        <w:spacing w:line="360" w:lineRule="auto"/>
        <w:ind w:right="442" w:firstLine="480" w:firstLineChars="200"/>
        <w:rPr>
          <w:rFonts w:hint="eastAsia" w:ascii="宋体" w:hAnsi="宋体" w:eastAsia="宋体" w:cs="宋体"/>
          <w:sz w:val="24"/>
          <w:szCs w:val="24"/>
        </w:rPr>
      </w:pPr>
      <w:r>
        <w:rPr>
          <w:rFonts w:hint="eastAsia" w:ascii="宋体" w:hAnsi="宋体" w:eastAsia="宋体" w:cs="宋体"/>
          <w:sz w:val="24"/>
          <w:szCs w:val="24"/>
          <w:lang w:bidi="ar"/>
        </w:rPr>
        <w:t>8.检测期间</w:t>
      </w:r>
      <w:r>
        <w:rPr>
          <w:rFonts w:hint="eastAsia" w:ascii="宋体" w:hAnsi="宋体" w:cs="宋体"/>
          <w:sz w:val="24"/>
          <w:szCs w:val="24"/>
          <w:lang w:eastAsia="zh-CN" w:bidi="ar"/>
        </w:rPr>
        <w:t>供应商</w:t>
      </w:r>
      <w:r>
        <w:rPr>
          <w:rFonts w:hint="eastAsia" w:ascii="宋体" w:hAnsi="宋体" w:eastAsia="宋体" w:cs="宋体"/>
          <w:sz w:val="24"/>
          <w:szCs w:val="24"/>
          <w:lang w:bidi="ar"/>
        </w:rPr>
        <w:t>应对其作业工作涉及到的场馆内任何设施、设备负有不可推卸的保护责任，任何由于</w:t>
      </w:r>
      <w:r>
        <w:rPr>
          <w:rFonts w:hint="eastAsia" w:ascii="宋体" w:hAnsi="宋体" w:cs="宋体"/>
          <w:sz w:val="24"/>
          <w:szCs w:val="24"/>
          <w:lang w:eastAsia="zh-CN" w:bidi="ar"/>
        </w:rPr>
        <w:t>供应商</w:t>
      </w:r>
      <w:r>
        <w:rPr>
          <w:rFonts w:hint="eastAsia" w:ascii="宋体" w:hAnsi="宋体" w:eastAsia="宋体" w:cs="宋体"/>
          <w:sz w:val="24"/>
          <w:szCs w:val="24"/>
          <w:lang w:bidi="ar"/>
        </w:rPr>
        <w:t>原因对</w:t>
      </w:r>
      <w:r>
        <w:rPr>
          <w:rFonts w:hint="eastAsia" w:ascii="宋体" w:hAnsi="宋体" w:cs="宋体"/>
          <w:sz w:val="24"/>
          <w:szCs w:val="24"/>
          <w:lang w:eastAsia="zh-CN" w:bidi="ar"/>
        </w:rPr>
        <w:t>采购人</w:t>
      </w:r>
      <w:r>
        <w:rPr>
          <w:rFonts w:hint="eastAsia" w:ascii="宋体" w:hAnsi="宋体" w:eastAsia="宋体" w:cs="宋体"/>
          <w:sz w:val="24"/>
          <w:szCs w:val="24"/>
          <w:lang w:bidi="ar"/>
        </w:rPr>
        <w:t>的设施、设备造成损坏以及给</w:t>
      </w:r>
      <w:r>
        <w:rPr>
          <w:rFonts w:hint="eastAsia" w:ascii="宋体" w:hAnsi="宋体" w:cs="宋体"/>
          <w:sz w:val="24"/>
          <w:szCs w:val="24"/>
          <w:lang w:eastAsia="zh-CN" w:bidi="ar"/>
        </w:rPr>
        <w:t>采购人</w:t>
      </w:r>
      <w:r>
        <w:rPr>
          <w:rFonts w:hint="eastAsia" w:ascii="宋体" w:hAnsi="宋体" w:eastAsia="宋体" w:cs="宋体"/>
          <w:sz w:val="24"/>
          <w:szCs w:val="24"/>
          <w:lang w:bidi="ar"/>
        </w:rPr>
        <w:t>带来的不良影响，均由</w:t>
      </w:r>
      <w:r>
        <w:rPr>
          <w:rFonts w:hint="eastAsia" w:ascii="宋体" w:hAnsi="宋体" w:cs="宋体"/>
          <w:sz w:val="24"/>
          <w:szCs w:val="24"/>
          <w:lang w:eastAsia="zh-CN" w:bidi="ar"/>
        </w:rPr>
        <w:t>供应商</w:t>
      </w:r>
      <w:r>
        <w:rPr>
          <w:rFonts w:hint="eastAsia" w:ascii="宋体" w:hAnsi="宋体" w:eastAsia="宋体" w:cs="宋体"/>
          <w:sz w:val="24"/>
          <w:szCs w:val="24"/>
          <w:lang w:bidi="ar"/>
        </w:rPr>
        <w:t>负责赔偿。</w:t>
      </w:r>
    </w:p>
    <w:p>
      <w:pPr>
        <w:pageBreakBefore w:val="0"/>
        <w:kinsoku/>
        <w:wordWrap/>
        <w:overflowPunct/>
        <w:topLinePunct w:val="0"/>
        <w:autoSpaceDE/>
        <w:autoSpaceDN/>
        <w:bidi w:val="0"/>
        <w:spacing w:line="360" w:lineRule="auto"/>
        <w:ind w:right="442" w:firstLine="480" w:firstLineChars="200"/>
        <w:rPr>
          <w:rFonts w:hint="eastAsia" w:ascii="宋体" w:hAnsi="宋体" w:eastAsia="宋体" w:cs="宋体"/>
          <w:sz w:val="24"/>
          <w:szCs w:val="24"/>
        </w:rPr>
      </w:pPr>
      <w:r>
        <w:rPr>
          <w:rFonts w:hint="eastAsia" w:ascii="宋体" w:hAnsi="宋体" w:eastAsia="宋体" w:cs="宋体"/>
          <w:sz w:val="24"/>
          <w:szCs w:val="24"/>
          <w:lang w:bidi="ar"/>
        </w:rPr>
        <w:t>9.任何情况下，</w:t>
      </w:r>
      <w:r>
        <w:rPr>
          <w:rFonts w:hint="eastAsia" w:ascii="宋体" w:hAnsi="宋体" w:cs="宋体"/>
          <w:sz w:val="24"/>
          <w:szCs w:val="24"/>
          <w:lang w:eastAsia="zh-CN" w:bidi="ar"/>
        </w:rPr>
        <w:t>供应商</w:t>
      </w:r>
      <w:r>
        <w:rPr>
          <w:rFonts w:hint="eastAsia" w:ascii="宋体" w:hAnsi="宋体" w:eastAsia="宋体" w:cs="宋体"/>
          <w:sz w:val="24"/>
          <w:szCs w:val="24"/>
          <w:lang w:bidi="ar"/>
        </w:rPr>
        <w:t>须对</w:t>
      </w:r>
      <w:r>
        <w:rPr>
          <w:rFonts w:hint="eastAsia" w:ascii="宋体" w:hAnsi="宋体" w:cs="宋体"/>
          <w:sz w:val="24"/>
          <w:szCs w:val="24"/>
          <w:lang w:eastAsia="zh-CN" w:bidi="ar"/>
        </w:rPr>
        <w:t>采购人</w:t>
      </w:r>
      <w:r>
        <w:rPr>
          <w:rFonts w:hint="eastAsia" w:ascii="宋体" w:hAnsi="宋体" w:eastAsia="宋体" w:cs="宋体"/>
          <w:sz w:val="24"/>
          <w:szCs w:val="24"/>
          <w:lang w:bidi="ar"/>
        </w:rPr>
        <w:t>的技术、图纸、影像、经济、财务等资料（以下简称秘密资料）和本合同的内容保密，否则必须向</w:t>
      </w:r>
      <w:r>
        <w:rPr>
          <w:rFonts w:hint="eastAsia" w:ascii="宋体" w:hAnsi="宋体" w:cs="宋体"/>
          <w:sz w:val="24"/>
          <w:szCs w:val="24"/>
          <w:lang w:eastAsia="zh-CN" w:bidi="ar"/>
        </w:rPr>
        <w:t>采购人</w:t>
      </w:r>
      <w:r>
        <w:rPr>
          <w:rFonts w:hint="eastAsia" w:ascii="宋体" w:hAnsi="宋体" w:eastAsia="宋体" w:cs="宋体"/>
          <w:sz w:val="24"/>
          <w:szCs w:val="24"/>
          <w:lang w:bidi="ar"/>
        </w:rPr>
        <w:t>赔偿由于秘密资料泄漏造成的一切经济损失。</w:t>
      </w:r>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10.在其他任何情况下，</w:t>
      </w:r>
      <w:r>
        <w:rPr>
          <w:rFonts w:hint="eastAsia" w:ascii="宋体" w:hAnsi="宋体" w:cs="宋体"/>
          <w:sz w:val="24"/>
          <w:szCs w:val="24"/>
          <w:lang w:eastAsia="zh-CN" w:bidi="ar"/>
        </w:rPr>
        <w:t>供应商</w:t>
      </w:r>
      <w:r>
        <w:rPr>
          <w:rFonts w:hint="eastAsia" w:ascii="宋体" w:hAnsi="宋体" w:eastAsia="宋体" w:cs="宋体"/>
          <w:sz w:val="24"/>
          <w:szCs w:val="24"/>
          <w:lang w:bidi="ar"/>
        </w:rPr>
        <w:t>未经</w:t>
      </w:r>
      <w:r>
        <w:rPr>
          <w:rFonts w:hint="eastAsia" w:ascii="宋体" w:hAnsi="宋体" w:cs="宋体"/>
          <w:sz w:val="24"/>
          <w:szCs w:val="24"/>
          <w:lang w:eastAsia="zh-CN" w:bidi="ar"/>
        </w:rPr>
        <w:t>采购人</w:t>
      </w:r>
      <w:r>
        <w:rPr>
          <w:rFonts w:hint="eastAsia" w:ascii="宋体" w:hAnsi="宋体" w:eastAsia="宋体" w:cs="宋体"/>
          <w:sz w:val="24"/>
          <w:szCs w:val="24"/>
          <w:lang w:bidi="ar"/>
        </w:rPr>
        <w:t>书面同意，不得私自使用上述秘密资料。</w:t>
      </w:r>
    </w:p>
    <w:p>
      <w:pPr>
        <w:keepNext/>
        <w:keepLines/>
        <w:pageBreakBefore w:val="0"/>
        <w:widowControl/>
        <w:tabs>
          <w:tab w:val="left" w:pos="720"/>
        </w:tabs>
        <w:kinsoku/>
        <w:wordWrap/>
        <w:overflowPunct/>
        <w:topLinePunct w:val="0"/>
        <w:autoSpaceDE/>
        <w:autoSpaceDN/>
        <w:bidi w:val="0"/>
        <w:adjustRightInd w:val="0"/>
        <w:snapToGrid w:val="0"/>
        <w:spacing w:line="360" w:lineRule="auto"/>
        <w:ind w:left="720" w:hanging="720"/>
        <w:jc w:val="both"/>
        <w:outlineLvl w:val="1"/>
        <w:rPr>
          <w:rFonts w:hint="eastAsia" w:ascii="宋体" w:hAnsi="宋体" w:eastAsia="宋体" w:cs="宋体"/>
          <w:b/>
          <w:kern w:val="0"/>
          <w:sz w:val="24"/>
          <w:szCs w:val="24"/>
        </w:rPr>
      </w:pPr>
      <w:bookmarkStart w:id="708" w:name="_Toc32248"/>
      <w:bookmarkStart w:id="709" w:name="_Toc21485"/>
      <w:r>
        <w:rPr>
          <w:rFonts w:hint="eastAsia" w:ascii="宋体" w:hAnsi="宋体" w:eastAsia="宋体" w:cs="宋体"/>
          <w:b/>
          <w:kern w:val="0"/>
          <w:sz w:val="24"/>
          <w:szCs w:val="24"/>
        </w:rPr>
        <w:t>五、验收</w:t>
      </w:r>
      <w:bookmarkEnd w:id="708"/>
      <w:bookmarkEnd w:id="709"/>
    </w:p>
    <w:p>
      <w:pPr>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bidi="ar"/>
        </w:rPr>
        <w:t>检测工作完成出具报告后，由属地项目部签署工作量确认单及完工验收单，做为工作验收记录。</w:t>
      </w:r>
    </w:p>
    <w:p>
      <w:pPr>
        <w:keepNext/>
        <w:keepLines/>
        <w:pageBreakBefore w:val="0"/>
        <w:widowControl/>
        <w:tabs>
          <w:tab w:val="left" w:pos="720"/>
        </w:tabs>
        <w:kinsoku/>
        <w:wordWrap/>
        <w:overflowPunct/>
        <w:topLinePunct w:val="0"/>
        <w:autoSpaceDE/>
        <w:autoSpaceDN/>
        <w:bidi w:val="0"/>
        <w:adjustRightInd w:val="0"/>
        <w:snapToGrid w:val="0"/>
        <w:spacing w:line="360" w:lineRule="auto"/>
        <w:ind w:left="720" w:hanging="720"/>
        <w:jc w:val="both"/>
        <w:outlineLvl w:val="1"/>
        <w:rPr>
          <w:rFonts w:hint="eastAsia" w:ascii="宋体" w:hAnsi="宋体" w:eastAsia="宋体" w:cs="宋体"/>
          <w:b/>
          <w:kern w:val="0"/>
          <w:sz w:val="24"/>
          <w:szCs w:val="24"/>
        </w:rPr>
      </w:pPr>
      <w:bookmarkStart w:id="710" w:name="_Toc30103"/>
      <w:bookmarkStart w:id="711" w:name="_Toc8081"/>
      <w:r>
        <w:rPr>
          <w:rFonts w:hint="eastAsia" w:ascii="宋体" w:hAnsi="宋体" w:eastAsia="宋体" w:cs="宋体"/>
          <w:b/>
          <w:kern w:val="0"/>
          <w:sz w:val="24"/>
          <w:szCs w:val="24"/>
        </w:rPr>
        <w:t>六、服务相关条件</w:t>
      </w:r>
      <w:bookmarkEnd w:id="710"/>
      <w:bookmarkEnd w:id="711"/>
    </w:p>
    <w:p>
      <w:pPr>
        <w:pageBreakBefore w:val="0"/>
        <w:kinsoku/>
        <w:wordWrap/>
        <w:overflowPunct/>
        <w:topLinePunct w:val="0"/>
        <w:autoSpaceDE/>
        <w:autoSpaceDN/>
        <w:bidi w:val="0"/>
        <w:spacing w:line="360" w:lineRule="auto"/>
        <w:ind w:right="442" w:firstLine="480" w:firstLineChars="200"/>
        <w:rPr>
          <w:rFonts w:hint="eastAsia" w:ascii="宋体" w:hAnsi="宋体" w:eastAsia="宋体" w:cs="宋体"/>
          <w:sz w:val="24"/>
          <w:szCs w:val="24"/>
        </w:rPr>
      </w:pPr>
      <w:r>
        <w:rPr>
          <w:rFonts w:hint="eastAsia" w:ascii="宋体" w:hAnsi="宋体" w:eastAsia="宋体" w:cs="宋体"/>
          <w:sz w:val="24"/>
          <w:szCs w:val="24"/>
          <w:lang w:bidi="ar"/>
        </w:rPr>
        <w:t>1.容器的打磨、防腐夜间进行，作业时间12：00-次日3：30；</w:t>
      </w:r>
    </w:p>
    <w:p>
      <w:pPr>
        <w:pageBreakBefore w:val="0"/>
        <w:kinsoku/>
        <w:wordWrap/>
        <w:overflowPunct/>
        <w:topLinePunct w:val="0"/>
        <w:autoSpaceDE/>
        <w:autoSpaceDN/>
        <w:bidi w:val="0"/>
        <w:spacing w:line="360" w:lineRule="auto"/>
        <w:ind w:right="442"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bidi="ar"/>
        </w:rPr>
        <w:t>2.其他工作在不影响运营的条件下，可日间作业</w:t>
      </w:r>
      <w:r>
        <w:rPr>
          <w:rFonts w:hint="eastAsia" w:ascii="宋体" w:hAnsi="宋体" w:cs="宋体"/>
          <w:sz w:val="24"/>
          <w:szCs w:val="24"/>
          <w:lang w:eastAsia="zh-CN" w:bidi="ar"/>
        </w:rPr>
        <w:t>。</w:t>
      </w:r>
    </w:p>
    <w:p>
      <w:pPr>
        <w:widowControl/>
        <w:jc w:val="left"/>
        <w:rPr>
          <w:rFonts w:ascii="宋体" w:hAnsi="宋体" w:cs="宋体"/>
          <w:b/>
          <w:bCs/>
          <w:color w:val="000000"/>
          <w:sz w:val="24"/>
          <w:szCs w:val="24"/>
        </w:rPr>
      </w:pPr>
      <w:bookmarkStart w:id="712" w:name="_Toc100786196"/>
      <w:r>
        <w:rPr>
          <w:rFonts w:ascii="宋体" w:hAnsi="宋体" w:cs="宋体"/>
          <w:bCs/>
          <w:color w:val="000000"/>
          <w:sz w:val="24"/>
          <w:szCs w:val="24"/>
        </w:rPr>
        <w:br w:type="page"/>
      </w:r>
    </w:p>
    <w:p>
      <w:pPr>
        <w:pStyle w:val="5"/>
        <w:numPr>
          <w:ilvl w:val="0"/>
          <w:numId w:val="0"/>
        </w:numPr>
        <w:ind w:left="720" w:hanging="720"/>
        <w:jc w:val="left"/>
        <w:rPr>
          <w:rFonts w:ascii="宋体" w:hAnsi="宋体" w:cs="宋体"/>
          <w:bCs/>
          <w:color w:val="000000"/>
          <w:kern w:val="2"/>
          <w:sz w:val="24"/>
          <w:szCs w:val="24"/>
          <w:lang w:val="en-US"/>
        </w:rPr>
      </w:pPr>
      <w:r>
        <w:rPr>
          <w:rFonts w:hint="eastAsia" w:ascii="宋体" w:hAnsi="宋体" w:cs="宋体"/>
          <w:bCs/>
          <w:color w:val="000000"/>
          <w:kern w:val="2"/>
          <w:sz w:val="24"/>
          <w:szCs w:val="24"/>
          <w:lang w:val="en-US"/>
        </w:rPr>
        <w:t>附录1：政府采购促进中小企业发展管理办法</w:t>
      </w:r>
      <w:bookmarkEnd w:id="695"/>
      <w:bookmarkEnd w:id="696"/>
      <w:bookmarkEnd w:id="697"/>
      <w:bookmarkEnd w:id="712"/>
    </w:p>
    <w:p>
      <w:pPr>
        <w:widowControl/>
        <w:adjustRightInd w:val="0"/>
        <w:snapToGrid w:val="0"/>
        <w:spacing w:line="360" w:lineRule="auto"/>
        <w:jc w:val="center"/>
        <w:rPr>
          <w:rFonts w:ascii="宋体" w:hAnsi="宋体" w:cs="宋体"/>
          <w:bCs/>
          <w:color w:val="000000"/>
          <w:sz w:val="24"/>
          <w:szCs w:val="24"/>
        </w:rPr>
      </w:pPr>
      <w:r>
        <w:rPr>
          <w:rFonts w:hint="eastAsia" w:ascii="宋体" w:hAnsi="宋体" w:cs="宋体"/>
          <w:bCs/>
          <w:color w:val="000000"/>
          <w:sz w:val="24"/>
          <w:szCs w:val="24"/>
        </w:rPr>
        <w:t>政府采购促进中小企业发展管理办法</w:t>
      </w:r>
    </w:p>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财库[2020]46号</w:t>
      </w:r>
    </w:p>
    <w:p>
      <w:pPr>
        <w:spacing w:line="360" w:lineRule="auto"/>
        <w:jc w:val="center"/>
        <w:rPr>
          <w:rFonts w:ascii="宋体" w:hAnsi="宋体"/>
          <w:color w:val="000000"/>
        </w:rPr>
      </w:pPr>
    </w:p>
    <w:p>
      <w:pPr>
        <w:spacing w:line="360" w:lineRule="auto"/>
        <w:rPr>
          <w:rFonts w:ascii="宋体" w:hAnsi="宋体" w:cs="宋体"/>
          <w:bCs/>
          <w:color w:val="000000"/>
          <w:sz w:val="24"/>
          <w:szCs w:val="24"/>
        </w:rPr>
      </w:pPr>
      <w:r>
        <w:rPr>
          <w:rFonts w:hint="eastAsia" w:ascii="宋体" w:hAnsi="宋体" w:cs="宋体"/>
          <w:bCs/>
          <w:color w:val="000000"/>
          <w:sz w:val="24"/>
          <w:szCs w:val="24"/>
        </w:rPr>
        <w:t>第一条 为了发挥政府采购的政策功能，促进中小企业健康发展，根据《中华人民共和国政府采购法》、《中华人民共和国中小企业促进法》等有关法律法规，制定本办法。</w:t>
      </w:r>
    </w:p>
    <w:p>
      <w:pPr>
        <w:spacing w:line="360" w:lineRule="auto"/>
        <w:rPr>
          <w:rFonts w:ascii="宋体" w:hAnsi="宋体" w:cs="宋体"/>
          <w:bCs/>
          <w:color w:val="000000"/>
          <w:sz w:val="24"/>
          <w:szCs w:val="24"/>
        </w:rPr>
      </w:pPr>
      <w:r>
        <w:rPr>
          <w:rFonts w:hint="eastAsia" w:ascii="宋体" w:hAnsi="宋体" w:cs="宋体"/>
          <w:bCs/>
          <w:color w:val="000000"/>
          <w:sz w:val="24"/>
          <w:szCs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rPr>
          <w:rFonts w:ascii="宋体" w:hAnsi="宋体" w:cs="宋体"/>
          <w:bCs/>
          <w:color w:val="000000"/>
          <w:sz w:val="24"/>
          <w:szCs w:val="24"/>
        </w:rPr>
      </w:pPr>
      <w:r>
        <w:rPr>
          <w:rFonts w:hint="eastAsia" w:ascii="宋体" w:hAnsi="宋体" w:cs="宋体"/>
          <w:bCs/>
          <w:color w:val="000000"/>
          <w:sz w:val="24"/>
          <w:szCs w:val="24"/>
        </w:rPr>
        <w:t>符合中小企业划分标准的个体工商户，在政府采购活动中视同中小企业。</w:t>
      </w:r>
    </w:p>
    <w:p>
      <w:pPr>
        <w:spacing w:line="360" w:lineRule="auto"/>
        <w:rPr>
          <w:rFonts w:ascii="宋体" w:hAnsi="宋体" w:cs="宋体"/>
          <w:bCs/>
          <w:color w:val="000000"/>
          <w:sz w:val="24"/>
          <w:szCs w:val="24"/>
        </w:rPr>
      </w:pPr>
      <w:r>
        <w:rPr>
          <w:rFonts w:hint="eastAsia" w:ascii="宋体" w:hAnsi="宋体" w:cs="宋体"/>
          <w:bCs/>
          <w:color w:val="000000"/>
          <w:sz w:val="24"/>
          <w:szCs w:val="24"/>
        </w:rPr>
        <w:t>第三条 采购人在政府采购活动中应当通过加强采购需求管理，落实预留采购份额、价格评审优惠、优先采购等措施，提高中小企业在政府采购中的份额，支持中小企业发展。</w:t>
      </w:r>
    </w:p>
    <w:p>
      <w:pPr>
        <w:spacing w:line="360" w:lineRule="auto"/>
        <w:rPr>
          <w:rFonts w:ascii="宋体" w:hAnsi="宋体" w:cs="宋体"/>
          <w:bCs/>
          <w:color w:val="000000"/>
          <w:sz w:val="24"/>
          <w:szCs w:val="24"/>
        </w:rPr>
      </w:pPr>
      <w:r>
        <w:rPr>
          <w:rFonts w:hint="eastAsia" w:ascii="宋体" w:hAnsi="宋体" w:cs="宋体"/>
          <w:bCs/>
          <w:color w:val="000000"/>
          <w:sz w:val="24"/>
          <w:szCs w:val="24"/>
        </w:rPr>
        <w:t>第四条 在政府采购活动中，供应商提供的货物、工程或者服务符合下列情形的，享受本办法规定的中小企业扶持政策：</w:t>
      </w:r>
    </w:p>
    <w:p>
      <w:pPr>
        <w:spacing w:line="360" w:lineRule="auto"/>
        <w:rPr>
          <w:rFonts w:ascii="宋体" w:hAnsi="宋体" w:cs="宋体"/>
          <w:bCs/>
          <w:color w:val="000000"/>
          <w:sz w:val="24"/>
          <w:szCs w:val="24"/>
        </w:rPr>
      </w:pPr>
      <w:r>
        <w:rPr>
          <w:rFonts w:hint="eastAsia" w:ascii="宋体" w:hAnsi="宋体" w:cs="宋体"/>
          <w:bCs/>
          <w:color w:val="000000"/>
          <w:sz w:val="24"/>
          <w:szCs w:val="24"/>
        </w:rPr>
        <w:t>（一）在货物采购项目中，货物由中小企业制造，即货物由中小企业生产且使用该中小企业商号或者注册商标；</w:t>
      </w:r>
    </w:p>
    <w:p>
      <w:pPr>
        <w:spacing w:line="360" w:lineRule="auto"/>
        <w:rPr>
          <w:rFonts w:ascii="宋体" w:hAnsi="宋体" w:cs="宋体"/>
          <w:bCs/>
          <w:color w:val="000000"/>
          <w:sz w:val="24"/>
          <w:szCs w:val="24"/>
        </w:rPr>
      </w:pPr>
      <w:r>
        <w:rPr>
          <w:rFonts w:hint="eastAsia" w:ascii="宋体" w:hAnsi="宋体" w:cs="宋体"/>
          <w:bCs/>
          <w:color w:val="000000"/>
          <w:sz w:val="24"/>
          <w:szCs w:val="24"/>
        </w:rPr>
        <w:t>（二）在工程采购项目中，工程由中小企业承建，即工程施工单位为中小企业；</w:t>
      </w:r>
    </w:p>
    <w:p>
      <w:pPr>
        <w:spacing w:line="360" w:lineRule="auto"/>
        <w:rPr>
          <w:rFonts w:ascii="宋体" w:hAnsi="宋体" w:cs="宋体"/>
          <w:bCs/>
          <w:color w:val="000000"/>
          <w:sz w:val="24"/>
          <w:szCs w:val="24"/>
        </w:rPr>
      </w:pPr>
      <w:r>
        <w:rPr>
          <w:rFonts w:hint="eastAsia" w:ascii="宋体" w:hAnsi="宋体" w:cs="宋体"/>
          <w:bCs/>
          <w:color w:val="000000"/>
          <w:sz w:val="24"/>
          <w:szCs w:val="24"/>
        </w:rPr>
        <w:t>（三）在服务采购项目中，服务由中小企业承接，即提</w:t>
      </w:r>
      <w:bookmarkStart w:id="713" w:name="page2"/>
      <w:bookmarkEnd w:id="713"/>
      <w:r>
        <w:rPr>
          <w:rFonts w:hint="eastAsia" w:ascii="宋体" w:hAnsi="宋体" w:cs="宋体"/>
          <w:bCs/>
          <w:color w:val="000000"/>
          <w:sz w:val="24"/>
          <w:szCs w:val="24"/>
        </w:rPr>
        <w:t>供服务的人员为中小企业依照《中华人民共和国劳动合同法》订立劳动合同的从业人员。</w:t>
      </w:r>
    </w:p>
    <w:p>
      <w:pPr>
        <w:spacing w:line="360" w:lineRule="auto"/>
        <w:rPr>
          <w:rFonts w:ascii="宋体" w:hAnsi="宋体" w:cs="宋体"/>
          <w:bCs/>
          <w:color w:val="000000"/>
          <w:sz w:val="24"/>
          <w:szCs w:val="24"/>
        </w:rPr>
      </w:pPr>
      <w:r>
        <w:rPr>
          <w:rFonts w:hint="eastAsia" w:ascii="宋体" w:hAnsi="宋体" w:cs="宋体"/>
          <w:bCs/>
          <w:color w:val="000000"/>
          <w:sz w:val="24"/>
          <w:szCs w:val="24"/>
        </w:rPr>
        <w:t>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spacing w:line="360" w:lineRule="auto"/>
        <w:rPr>
          <w:rFonts w:ascii="宋体" w:hAnsi="宋体" w:cs="宋体"/>
          <w:bCs/>
          <w:color w:val="000000"/>
          <w:sz w:val="24"/>
          <w:szCs w:val="24"/>
        </w:rPr>
      </w:pPr>
      <w:r>
        <w:rPr>
          <w:rFonts w:hint="eastAsia" w:ascii="宋体" w:hAnsi="宋体" w:cs="宋体"/>
          <w:bCs/>
          <w:color w:val="000000"/>
          <w:sz w:val="24"/>
          <w:szCs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pacing w:line="360" w:lineRule="auto"/>
        <w:rPr>
          <w:rFonts w:ascii="宋体" w:hAnsi="宋体" w:cs="宋体"/>
          <w:bCs/>
          <w:color w:val="000000"/>
          <w:sz w:val="24"/>
          <w:szCs w:val="24"/>
        </w:rPr>
      </w:pPr>
      <w:r>
        <w:rPr>
          <w:rFonts w:hint="eastAsia" w:ascii="宋体" w:hAnsi="宋体" w:cs="宋体"/>
          <w:bCs/>
          <w:color w:val="000000"/>
          <w:sz w:val="24"/>
          <w:szCs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pacing w:line="360" w:lineRule="auto"/>
        <w:rPr>
          <w:rFonts w:ascii="宋体" w:hAnsi="宋体" w:cs="宋体"/>
          <w:bCs/>
          <w:color w:val="000000"/>
          <w:sz w:val="24"/>
          <w:szCs w:val="24"/>
        </w:rPr>
      </w:pPr>
      <w:r>
        <w:rPr>
          <w:rFonts w:hint="eastAsia" w:ascii="宋体" w:hAnsi="宋体" w:cs="宋体"/>
          <w:bCs/>
          <w:color w:val="000000"/>
          <w:sz w:val="24"/>
          <w:szCs w:val="24"/>
        </w:rPr>
        <w:t>符合下列情形之一的，可不专门面向中小企业预留采购份额：</w:t>
      </w:r>
    </w:p>
    <w:p>
      <w:pPr>
        <w:spacing w:line="360" w:lineRule="auto"/>
        <w:rPr>
          <w:rFonts w:ascii="宋体" w:hAnsi="宋体" w:cs="宋体"/>
          <w:bCs/>
          <w:color w:val="000000"/>
          <w:sz w:val="24"/>
          <w:szCs w:val="24"/>
        </w:rPr>
      </w:pPr>
      <w:r>
        <w:rPr>
          <w:rFonts w:hint="eastAsia" w:ascii="宋体" w:hAnsi="宋体" w:cs="宋体"/>
          <w:bCs/>
          <w:color w:val="000000"/>
          <w:sz w:val="24"/>
          <w:szCs w:val="24"/>
        </w:rPr>
        <w:t>（一）法律法规和国家有关政策明确规定优先或者应当面向事业单位、社会组织等非企业主体采购的；</w:t>
      </w:r>
    </w:p>
    <w:p>
      <w:pPr>
        <w:spacing w:line="360" w:lineRule="auto"/>
        <w:rPr>
          <w:rFonts w:ascii="宋体" w:hAnsi="宋体" w:cs="宋体"/>
          <w:bCs/>
          <w:color w:val="000000"/>
          <w:sz w:val="24"/>
          <w:szCs w:val="24"/>
        </w:rPr>
      </w:pPr>
      <w:r>
        <w:rPr>
          <w:rFonts w:hint="eastAsia" w:ascii="宋体" w:hAnsi="宋体" w:cs="宋体"/>
          <w:bCs/>
          <w:color w:val="000000"/>
          <w:sz w:val="24"/>
          <w:szCs w:val="24"/>
        </w:rPr>
        <w:t>（二）因确需使用不可替代的专利、专有技术，基础设施限制，或者提供特定公共服务等原因，只能从中小企业之外的供应商处采购的；</w:t>
      </w:r>
      <w:bookmarkStart w:id="714" w:name="page3"/>
      <w:bookmarkEnd w:id="714"/>
    </w:p>
    <w:p>
      <w:pPr>
        <w:spacing w:line="360" w:lineRule="auto"/>
        <w:rPr>
          <w:rFonts w:ascii="宋体" w:hAnsi="宋体" w:cs="宋体"/>
          <w:bCs/>
          <w:color w:val="000000"/>
          <w:sz w:val="24"/>
          <w:szCs w:val="24"/>
        </w:rPr>
      </w:pPr>
      <w:r>
        <w:rPr>
          <w:rFonts w:hint="eastAsia" w:ascii="宋体" w:hAnsi="宋体" w:cs="宋体"/>
          <w:bCs/>
          <w:color w:val="000000"/>
          <w:sz w:val="24"/>
          <w:szCs w:val="24"/>
        </w:rPr>
        <w:t>（三）按照本办法规定预留采购份额无法确保充分供应、充分竞争，或者存在可能影响政府采购目标实现的情形；</w:t>
      </w:r>
    </w:p>
    <w:p>
      <w:pPr>
        <w:spacing w:line="360" w:lineRule="auto"/>
        <w:rPr>
          <w:rFonts w:ascii="宋体" w:hAnsi="宋体" w:cs="宋体"/>
          <w:bCs/>
          <w:color w:val="000000"/>
          <w:sz w:val="24"/>
          <w:szCs w:val="24"/>
        </w:rPr>
      </w:pPr>
      <w:r>
        <w:rPr>
          <w:rFonts w:hint="eastAsia" w:ascii="宋体" w:hAnsi="宋体" w:cs="宋体"/>
          <w:bCs/>
          <w:color w:val="000000"/>
          <w:sz w:val="24"/>
          <w:szCs w:val="24"/>
        </w:rPr>
        <w:t>（四）框架协议采购项目；</w:t>
      </w:r>
    </w:p>
    <w:p>
      <w:pPr>
        <w:spacing w:line="360" w:lineRule="auto"/>
        <w:rPr>
          <w:rFonts w:ascii="宋体" w:hAnsi="宋体" w:cs="宋体"/>
          <w:bCs/>
          <w:color w:val="000000"/>
          <w:sz w:val="24"/>
          <w:szCs w:val="24"/>
        </w:rPr>
      </w:pPr>
      <w:r>
        <w:rPr>
          <w:rFonts w:hint="eastAsia" w:ascii="宋体" w:hAnsi="宋体" w:cs="宋体"/>
          <w:bCs/>
          <w:color w:val="000000"/>
          <w:sz w:val="24"/>
          <w:szCs w:val="24"/>
        </w:rPr>
        <w:t>（五）省级以上人民政府财政部门规定的其他情形。</w:t>
      </w:r>
    </w:p>
    <w:p>
      <w:pPr>
        <w:spacing w:line="360" w:lineRule="auto"/>
        <w:rPr>
          <w:rFonts w:ascii="宋体" w:hAnsi="宋体" w:cs="宋体"/>
          <w:bCs/>
          <w:color w:val="000000"/>
          <w:sz w:val="24"/>
          <w:szCs w:val="24"/>
        </w:rPr>
      </w:pPr>
      <w:r>
        <w:rPr>
          <w:rFonts w:hint="eastAsia" w:ascii="宋体" w:hAnsi="宋体" w:cs="宋体"/>
          <w:bCs/>
          <w:color w:val="000000"/>
          <w:sz w:val="24"/>
          <w:szCs w:val="24"/>
        </w:rPr>
        <w:t>除上述情形外，其他均为适宜由中小企业提供的情形。</w:t>
      </w:r>
    </w:p>
    <w:p>
      <w:pPr>
        <w:spacing w:line="360" w:lineRule="auto"/>
        <w:rPr>
          <w:rFonts w:ascii="宋体" w:hAnsi="宋体" w:cs="宋体"/>
          <w:bCs/>
          <w:color w:val="000000"/>
          <w:sz w:val="24"/>
          <w:szCs w:val="24"/>
        </w:rPr>
      </w:pPr>
      <w:r>
        <w:rPr>
          <w:rFonts w:hint="eastAsia" w:ascii="宋体" w:hAnsi="宋体" w:cs="宋体"/>
          <w:bCs/>
          <w:color w:val="000000"/>
          <w:sz w:val="24"/>
          <w:szCs w:val="24"/>
        </w:rPr>
        <w:t>第七条 采购限额标准以上，200万元以下的货物和服务采购项目、400万元以下的工程采购项目，适宜由中小企业提供的，采购人应当专门面向中小企业采购。</w:t>
      </w:r>
    </w:p>
    <w:p>
      <w:pPr>
        <w:spacing w:line="360" w:lineRule="auto"/>
        <w:rPr>
          <w:rFonts w:ascii="宋体" w:hAnsi="宋体" w:cs="宋体"/>
          <w:bCs/>
          <w:color w:val="000000"/>
          <w:sz w:val="24"/>
          <w:szCs w:val="24"/>
        </w:rPr>
      </w:pPr>
      <w:r>
        <w:rPr>
          <w:rFonts w:hint="eastAsia" w:ascii="宋体" w:hAnsi="宋体" w:cs="宋体"/>
          <w:bCs/>
          <w:color w:val="000000"/>
          <w:sz w:val="24"/>
          <w:szCs w:val="24"/>
        </w:rPr>
        <w:t>第八条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pacing w:line="360" w:lineRule="auto"/>
        <w:rPr>
          <w:rFonts w:ascii="宋体" w:hAnsi="宋体" w:cs="宋体"/>
          <w:bCs/>
          <w:color w:val="000000"/>
          <w:sz w:val="24"/>
          <w:szCs w:val="24"/>
        </w:rPr>
      </w:pPr>
      <w:r>
        <w:rPr>
          <w:rFonts w:hint="eastAsia" w:ascii="宋体" w:hAnsi="宋体" w:cs="宋体"/>
          <w:bCs/>
          <w:color w:val="000000"/>
          <w:sz w:val="24"/>
          <w:szCs w:val="24"/>
        </w:rPr>
        <w:t>（一）将采购项目整体或者设置采购包专门面向中小企业采购；</w:t>
      </w:r>
    </w:p>
    <w:p>
      <w:pPr>
        <w:spacing w:line="360" w:lineRule="auto"/>
        <w:rPr>
          <w:rFonts w:ascii="宋体" w:hAnsi="宋体" w:cs="宋体"/>
          <w:bCs/>
          <w:color w:val="000000"/>
          <w:sz w:val="24"/>
          <w:szCs w:val="24"/>
        </w:rPr>
      </w:pPr>
      <w:r>
        <w:rPr>
          <w:rFonts w:hint="eastAsia" w:ascii="宋体" w:hAnsi="宋体" w:cs="宋体"/>
          <w:bCs/>
          <w:color w:val="000000"/>
          <w:sz w:val="24"/>
          <w:szCs w:val="24"/>
        </w:rPr>
        <w:t>（二）要求供应商以联合体形式参加采购活动，且联合体中中小企业承担的部分达到一定比例；</w:t>
      </w:r>
    </w:p>
    <w:p>
      <w:pPr>
        <w:spacing w:line="360" w:lineRule="auto"/>
        <w:rPr>
          <w:rFonts w:ascii="宋体" w:hAnsi="宋体" w:cs="宋体"/>
          <w:bCs/>
          <w:color w:val="000000"/>
          <w:sz w:val="24"/>
          <w:szCs w:val="24"/>
        </w:rPr>
      </w:pPr>
      <w:r>
        <w:rPr>
          <w:rFonts w:hint="eastAsia" w:ascii="宋体" w:hAnsi="宋体" w:cs="宋体"/>
          <w:bCs/>
          <w:color w:val="000000"/>
          <w:sz w:val="24"/>
          <w:szCs w:val="24"/>
        </w:rPr>
        <w:t>（三）要求获得采购合同的供应商将采购项目中的一定比例分包给一家或者多家中小企业。组成联合体或者接受分包合同的中小企业与联合体内其他企业、分包企业之间不得存在直接控股、管理关系。</w:t>
      </w:r>
    </w:p>
    <w:p>
      <w:pPr>
        <w:spacing w:line="360" w:lineRule="auto"/>
        <w:rPr>
          <w:rFonts w:ascii="宋体" w:hAnsi="宋体" w:cs="宋体"/>
          <w:bCs/>
          <w:color w:val="000000"/>
          <w:sz w:val="24"/>
          <w:szCs w:val="24"/>
        </w:rPr>
      </w:pPr>
      <w:r>
        <w:rPr>
          <w:rFonts w:hint="eastAsia" w:ascii="宋体" w:hAnsi="宋体" w:cs="宋体"/>
          <w:bCs/>
          <w:color w:val="000000"/>
          <w:sz w:val="24"/>
          <w:szCs w:val="24"/>
        </w:rPr>
        <w:t>第九条 对于经主管预算单位统筹后未预留份额专门面向中小企业采购的采购项目，以及预留份额项目中的非预留部分采购包，采购人、采购代理机构应当对符合本办法规定的小微企业报价给予6%—10%（工程项目为3%—5%）的扣</w:t>
      </w:r>
      <w:bookmarkStart w:id="715" w:name="page4"/>
      <w:bookmarkEnd w:id="715"/>
      <w:r>
        <w:rPr>
          <w:rFonts w:hint="eastAsia" w:ascii="宋体" w:hAnsi="宋体" w:cs="宋体"/>
          <w:bCs/>
          <w:color w:val="000000"/>
          <w:sz w:val="24"/>
          <w:szCs w:val="24"/>
        </w:rPr>
        <w:t>除，用扣除后的价格参加评审。适用招标投标法的政府采购工程建设项目，采用综合评估法但未采用低价优先法计算价格分的，评标时应当在采用原报价进行评分的基础上增加其价格得分的3%—5%作为其价格分。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pacing w:line="360" w:lineRule="auto"/>
        <w:rPr>
          <w:rFonts w:ascii="宋体" w:hAnsi="宋体" w:cs="宋体"/>
          <w:bCs/>
          <w:color w:val="000000"/>
          <w:sz w:val="24"/>
          <w:szCs w:val="24"/>
        </w:rPr>
      </w:pPr>
      <w:r>
        <w:rPr>
          <w:rFonts w:hint="eastAsia" w:ascii="宋体" w:hAnsi="宋体" w:cs="宋体"/>
          <w:bCs/>
          <w:color w:val="000000"/>
          <w:sz w:val="24"/>
          <w:szCs w:val="24"/>
        </w:rPr>
        <w:t>第十条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w:t>
      </w:r>
      <w:bookmarkStart w:id="716" w:name="page5"/>
      <w:bookmarkEnd w:id="716"/>
      <w:r>
        <w:rPr>
          <w:rFonts w:hint="eastAsia" w:ascii="宋体" w:hAnsi="宋体" w:cs="宋体"/>
          <w:bCs/>
          <w:color w:val="000000"/>
          <w:sz w:val="24"/>
          <w:szCs w:val="24"/>
        </w:rPr>
        <w:t>九条有关规定重新组织采购活动。</w:t>
      </w:r>
    </w:p>
    <w:p>
      <w:pPr>
        <w:spacing w:line="360" w:lineRule="auto"/>
        <w:rPr>
          <w:rFonts w:ascii="宋体" w:hAnsi="宋体" w:cs="宋体"/>
          <w:bCs/>
          <w:color w:val="000000"/>
          <w:sz w:val="24"/>
          <w:szCs w:val="24"/>
        </w:rPr>
      </w:pPr>
      <w:r>
        <w:rPr>
          <w:rFonts w:hint="eastAsia" w:ascii="宋体" w:hAnsi="宋体" w:cs="宋体"/>
          <w:bCs/>
          <w:color w:val="000000"/>
          <w:sz w:val="24"/>
          <w:szCs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spacing w:line="360" w:lineRule="auto"/>
        <w:rPr>
          <w:rFonts w:ascii="宋体" w:hAnsi="宋体" w:cs="宋体"/>
          <w:bCs/>
          <w:color w:val="000000"/>
          <w:sz w:val="24"/>
          <w:szCs w:val="24"/>
        </w:rPr>
      </w:pPr>
      <w:r>
        <w:rPr>
          <w:rFonts w:hint="eastAsia" w:ascii="宋体" w:hAnsi="宋体" w:cs="宋体"/>
          <w:bCs/>
          <w:color w:val="000000"/>
          <w:sz w:val="24"/>
          <w:szCs w:val="24"/>
        </w:rPr>
        <w:t>第十二条 采购项目涉及中小企业采购的，采购文件应当明确以下内容：</w:t>
      </w:r>
    </w:p>
    <w:p>
      <w:pPr>
        <w:spacing w:line="360" w:lineRule="auto"/>
        <w:rPr>
          <w:rFonts w:ascii="宋体" w:hAnsi="宋体" w:cs="宋体"/>
          <w:bCs/>
          <w:color w:val="000000"/>
          <w:sz w:val="24"/>
          <w:szCs w:val="24"/>
        </w:rPr>
      </w:pPr>
      <w:r>
        <w:rPr>
          <w:rFonts w:hint="eastAsia" w:ascii="宋体" w:hAnsi="宋体" w:cs="宋体"/>
          <w:bCs/>
          <w:color w:val="000000"/>
          <w:sz w:val="24"/>
          <w:szCs w:val="24"/>
        </w:rPr>
        <w:t>（一）预留份额的采购项目或者采购包，明确该项目或相关采购包专门面向中小企业采购，以及相关标的及预算金额；</w:t>
      </w:r>
    </w:p>
    <w:p>
      <w:pPr>
        <w:spacing w:line="360" w:lineRule="auto"/>
        <w:rPr>
          <w:rFonts w:ascii="宋体" w:hAnsi="宋体" w:cs="宋体"/>
          <w:bCs/>
          <w:color w:val="000000"/>
          <w:sz w:val="24"/>
          <w:szCs w:val="24"/>
        </w:rPr>
      </w:pPr>
      <w:r>
        <w:rPr>
          <w:rFonts w:hint="eastAsia" w:ascii="宋体" w:hAnsi="宋体" w:cs="宋体"/>
          <w:bCs/>
          <w:color w:val="000000"/>
          <w:sz w:val="24"/>
          <w:szCs w:val="24"/>
        </w:rPr>
        <w:t>（二）要求以联合体形式参加或者合同分包的，明确联合协议或者分包意向协议中中小企业合同金额应当达到的比例，并作为供应商资格条件；</w:t>
      </w:r>
    </w:p>
    <w:p>
      <w:pPr>
        <w:spacing w:line="360" w:lineRule="auto"/>
        <w:rPr>
          <w:rFonts w:ascii="宋体" w:hAnsi="宋体" w:cs="宋体"/>
          <w:bCs/>
          <w:color w:val="000000"/>
          <w:sz w:val="24"/>
          <w:szCs w:val="24"/>
        </w:rPr>
      </w:pPr>
      <w:r>
        <w:rPr>
          <w:rFonts w:hint="eastAsia" w:ascii="宋体" w:hAnsi="宋体" w:cs="宋体"/>
          <w:bCs/>
          <w:color w:val="000000"/>
          <w:sz w:val="24"/>
          <w:szCs w:val="24"/>
        </w:rPr>
        <w:t>（三）非预留份额的采购项目或者采购包，明确有关价格扣除比例或者价格分加分比例；</w:t>
      </w:r>
    </w:p>
    <w:p>
      <w:pPr>
        <w:spacing w:line="360" w:lineRule="auto"/>
        <w:rPr>
          <w:rFonts w:ascii="宋体" w:hAnsi="宋体" w:cs="宋体"/>
          <w:bCs/>
          <w:color w:val="000000"/>
          <w:sz w:val="24"/>
          <w:szCs w:val="24"/>
        </w:rPr>
      </w:pPr>
      <w:r>
        <w:rPr>
          <w:rFonts w:hint="eastAsia" w:ascii="宋体" w:hAnsi="宋体" w:cs="宋体"/>
          <w:bCs/>
          <w:color w:val="000000"/>
          <w:sz w:val="24"/>
          <w:szCs w:val="24"/>
        </w:rPr>
        <w:t>（四）规定依据本办法规定享受扶持政策获得政府采购合同的，小微企业不得将合同分包给大中型企业，中型企业不得将合同分包给大型企业；</w:t>
      </w:r>
    </w:p>
    <w:p>
      <w:pPr>
        <w:spacing w:line="360" w:lineRule="auto"/>
        <w:rPr>
          <w:rFonts w:ascii="宋体" w:hAnsi="宋体" w:cs="宋体"/>
          <w:bCs/>
          <w:color w:val="000000"/>
          <w:sz w:val="24"/>
          <w:szCs w:val="24"/>
        </w:rPr>
      </w:pPr>
      <w:r>
        <w:rPr>
          <w:rFonts w:hint="eastAsia" w:ascii="宋体" w:hAnsi="宋体" w:cs="宋体"/>
          <w:bCs/>
          <w:color w:val="000000"/>
          <w:sz w:val="24"/>
          <w:szCs w:val="24"/>
        </w:rPr>
        <w:t>（五）采购人认为具备相关条件的，明确对中小企业在资金支付期限、预付款比例等方面的优惠措施；</w:t>
      </w:r>
    </w:p>
    <w:p>
      <w:pPr>
        <w:spacing w:line="360" w:lineRule="auto"/>
        <w:rPr>
          <w:rFonts w:ascii="宋体" w:hAnsi="宋体" w:cs="宋体"/>
          <w:bCs/>
          <w:color w:val="000000"/>
          <w:sz w:val="24"/>
          <w:szCs w:val="24"/>
        </w:rPr>
      </w:pPr>
      <w:r>
        <w:rPr>
          <w:rFonts w:hint="eastAsia" w:ascii="宋体" w:hAnsi="宋体" w:cs="宋体"/>
          <w:bCs/>
          <w:color w:val="000000"/>
          <w:sz w:val="24"/>
          <w:szCs w:val="24"/>
        </w:rPr>
        <w:t>（六）明确采购标的对应的中小企业划分标准所属行业；</w:t>
      </w:r>
    </w:p>
    <w:p>
      <w:pPr>
        <w:spacing w:line="360" w:lineRule="auto"/>
        <w:rPr>
          <w:rFonts w:ascii="宋体" w:hAnsi="宋体" w:cs="宋体"/>
          <w:bCs/>
          <w:color w:val="000000"/>
          <w:sz w:val="24"/>
          <w:szCs w:val="24"/>
        </w:rPr>
      </w:pPr>
      <w:r>
        <w:rPr>
          <w:rFonts w:hint="eastAsia" w:ascii="宋体" w:hAnsi="宋体" w:cs="宋体"/>
          <w:bCs/>
          <w:color w:val="000000"/>
          <w:sz w:val="24"/>
          <w:szCs w:val="24"/>
        </w:rPr>
        <w:t>（七）法律法规和省级以上人民政府财政部门规定的其他事项。</w:t>
      </w:r>
    </w:p>
    <w:p>
      <w:pPr>
        <w:spacing w:line="360" w:lineRule="auto"/>
        <w:rPr>
          <w:rFonts w:ascii="宋体" w:hAnsi="宋体" w:cs="宋体"/>
          <w:bCs/>
          <w:color w:val="000000"/>
          <w:sz w:val="24"/>
          <w:szCs w:val="24"/>
        </w:rPr>
      </w:pPr>
      <w:r>
        <w:rPr>
          <w:rFonts w:hint="eastAsia" w:ascii="宋体" w:hAnsi="宋体" w:cs="宋体"/>
          <w:bCs/>
          <w:color w:val="000000"/>
          <w:sz w:val="24"/>
          <w:szCs w:val="24"/>
        </w:rPr>
        <w:t>第十三条 中标、成交供应商享受本办法规定的中小企</w:t>
      </w:r>
      <w:bookmarkStart w:id="717" w:name="page6"/>
      <w:bookmarkEnd w:id="717"/>
      <w:r>
        <w:rPr>
          <w:rFonts w:hint="eastAsia" w:ascii="宋体" w:hAnsi="宋体" w:cs="宋体"/>
          <w:bCs/>
          <w:color w:val="000000"/>
          <w:sz w:val="24"/>
          <w:szCs w:val="24"/>
        </w:rPr>
        <w:t>业扶持政策的，采购人、采购代理机构应当随中标、成交结果公开中标、成交供应商的《中小企业声明函》。适用招标投标法的政府采购工程建设项目，应当在公示中标候选人时公开中标候选人的《中小企业声明函》。</w:t>
      </w:r>
    </w:p>
    <w:p>
      <w:pPr>
        <w:spacing w:line="360" w:lineRule="auto"/>
        <w:rPr>
          <w:rFonts w:ascii="宋体" w:hAnsi="宋体" w:cs="宋体"/>
          <w:bCs/>
          <w:color w:val="000000"/>
          <w:sz w:val="24"/>
          <w:szCs w:val="24"/>
        </w:rPr>
      </w:pPr>
      <w:r>
        <w:rPr>
          <w:rFonts w:hint="eastAsia" w:ascii="宋体" w:hAnsi="宋体" w:cs="宋体"/>
          <w:bCs/>
          <w:color w:val="000000"/>
          <w:sz w:val="24"/>
          <w:szCs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pacing w:line="360" w:lineRule="auto"/>
        <w:rPr>
          <w:rFonts w:ascii="宋体" w:hAnsi="宋体" w:cs="宋体"/>
          <w:bCs/>
          <w:color w:val="000000"/>
          <w:sz w:val="24"/>
          <w:szCs w:val="24"/>
        </w:rPr>
      </w:pPr>
      <w:r>
        <w:rPr>
          <w:rFonts w:hint="eastAsia" w:ascii="宋体" w:hAnsi="宋体" w:cs="宋体"/>
          <w:bCs/>
          <w:color w:val="000000"/>
          <w:sz w:val="24"/>
          <w:szCs w:val="24"/>
        </w:rPr>
        <w:t>第十五条 鼓励各地区、各部门在采购活动中允许中小企业引入信用担保手段，为中小企业在投标（响应）保证、履约保证等方面提供专业化服务。鼓励中小企业依法合规通过政府采购合同融资。</w:t>
      </w:r>
    </w:p>
    <w:p>
      <w:pPr>
        <w:spacing w:line="360" w:lineRule="auto"/>
        <w:rPr>
          <w:rFonts w:ascii="宋体" w:hAnsi="宋体" w:cs="宋体"/>
          <w:bCs/>
          <w:color w:val="000000"/>
          <w:sz w:val="24"/>
          <w:szCs w:val="24"/>
        </w:rPr>
      </w:pPr>
      <w:r>
        <w:rPr>
          <w:rFonts w:hint="eastAsia" w:ascii="宋体" w:hAnsi="宋体" w:cs="宋体"/>
          <w:bCs/>
          <w:color w:val="000000"/>
          <w:sz w:val="24"/>
          <w:szCs w:val="24"/>
        </w:rPr>
        <w:t>第十六条 政府采购监督检查、投诉处理及政府采购行政处罚中对中小企业的认定，由货物制造商或者工程、服务供应商注册登记所在地的县级以上人民政府中小企业主管部门负责。中小企业主管部门应当在收到财政部门或者有关招标投标行政监督部门关于协助开展中小企业认定函后10个工作日内做出书面答复。</w:t>
      </w:r>
    </w:p>
    <w:p>
      <w:pPr>
        <w:spacing w:line="360" w:lineRule="auto"/>
        <w:rPr>
          <w:rFonts w:ascii="宋体" w:hAnsi="宋体" w:cs="宋体"/>
          <w:bCs/>
          <w:color w:val="000000"/>
          <w:sz w:val="24"/>
          <w:szCs w:val="24"/>
        </w:rPr>
      </w:pPr>
      <w:r>
        <w:rPr>
          <w:rFonts w:hint="eastAsia" w:ascii="宋体" w:hAnsi="宋体" w:cs="宋体"/>
          <w:bCs/>
          <w:color w:val="000000"/>
          <w:sz w:val="24"/>
          <w:szCs w:val="24"/>
        </w:rPr>
        <w:t>第十七条 各地区、各部门应当对涉及中小企业采购的预算项目实施全过程绩效管理，合理设置绩效目标和指标，落实扶持中小企业有关政策要求，定期开展绩效监控和评价，强化绩效评价结果应用。</w:t>
      </w:r>
      <w:bookmarkStart w:id="718" w:name="page7"/>
      <w:bookmarkEnd w:id="718"/>
    </w:p>
    <w:p>
      <w:pPr>
        <w:spacing w:line="360" w:lineRule="auto"/>
        <w:rPr>
          <w:rFonts w:ascii="宋体" w:hAnsi="宋体" w:cs="宋体"/>
          <w:bCs/>
          <w:color w:val="000000"/>
          <w:sz w:val="24"/>
          <w:szCs w:val="24"/>
        </w:rPr>
      </w:pPr>
      <w:r>
        <w:rPr>
          <w:rFonts w:hint="eastAsia" w:ascii="宋体" w:hAnsi="宋体" w:cs="宋体"/>
          <w:bCs/>
          <w:color w:val="000000"/>
          <w:sz w:val="24"/>
          <w:szCs w:val="24"/>
        </w:rPr>
        <w:t>第十八条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pPr>
        <w:spacing w:line="360" w:lineRule="auto"/>
        <w:rPr>
          <w:rFonts w:ascii="宋体" w:hAnsi="宋体" w:cs="宋体"/>
          <w:bCs/>
          <w:color w:val="000000"/>
          <w:sz w:val="24"/>
          <w:szCs w:val="24"/>
        </w:rPr>
      </w:pPr>
      <w:r>
        <w:rPr>
          <w:rFonts w:hint="eastAsia" w:ascii="宋体" w:hAnsi="宋体" w:cs="宋体"/>
          <w:bCs/>
          <w:color w:val="000000"/>
          <w:sz w:val="24"/>
          <w:szCs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pacing w:line="360" w:lineRule="auto"/>
        <w:rPr>
          <w:rFonts w:ascii="宋体" w:hAnsi="宋体" w:cs="宋体"/>
          <w:bCs/>
          <w:color w:val="000000"/>
          <w:sz w:val="24"/>
          <w:szCs w:val="24"/>
        </w:rPr>
      </w:pPr>
      <w:r>
        <w:rPr>
          <w:rFonts w:hint="eastAsia" w:ascii="宋体" w:hAnsi="宋体" w:cs="宋体"/>
          <w:bCs/>
          <w:color w:val="000000"/>
          <w:sz w:val="24"/>
          <w:szCs w:val="24"/>
        </w:rPr>
        <w:t>第二十条 供应商按照本办法规定提供声明函内容不实的，属于提供虚假材料谋取中标、成交，依照《中华人民共和国政府采购法》等国家有关规定追究相应责任。适用招标投标法的政府采购工程建设项目，投标人按照本办法规定提供声明函内容不实的，属于弄虚作假骗取中标，依照《中华人民共和国招标投标法》等国家有关规定追究相应责任。</w:t>
      </w:r>
    </w:p>
    <w:p>
      <w:pPr>
        <w:spacing w:line="360" w:lineRule="auto"/>
        <w:rPr>
          <w:rFonts w:ascii="宋体" w:hAnsi="宋体" w:cs="宋体"/>
          <w:bCs/>
          <w:color w:val="000000"/>
          <w:sz w:val="24"/>
          <w:szCs w:val="24"/>
        </w:rPr>
      </w:pPr>
      <w:r>
        <w:rPr>
          <w:rFonts w:hint="eastAsia" w:ascii="宋体" w:hAnsi="宋体" w:cs="宋体"/>
          <w:bCs/>
          <w:color w:val="000000"/>
          <w:sz w:val="24"/>
          <w:szCs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pacing w:line="360" w:lineRule="auto"/>
        <w:rPr>
          <w:rFonts w:ascii="宋体" w:hAnsi="宋体" w:cs="宋体"/>
          <w:bCs/>
          <w:color w:val="000000"/>
          <w:sz w:val="24"/>
          <w:szCs w:val="24"/>
        </w:rPr>
      </w:pPr>
      <w:r>
        <w:rPr>
          <w:rFonts w:hint="eastAsia" w:ascii="宋体" w:hAnsi="宋体" w:cs="宋体"/>
          <w:bCs/>
          <w:color w:val="000000"/>
          <w:sz w:val="24"/>
          <w:szCs w:val="24"/>
        </w:rPr>
        <w:t>第二十二条 对外援助项目、国家相关资格或者资质管理制度另有规定的项目，不适用本办法。</w:t>
      </w:r>
    </w:p>
    <w:p>
      <w:pPr>
        <w:spacing w:line="360" w:lineRule="auto"/>
        <w:rPr>
          <w:rFonts w:ascii="宋体" w:hAnsi="宋体" w:cs="宋体"/>
          <w:bCs/>
          <w:color w:val="000000"/>
          <w:sz w:val="24"/>
          <w:szCs w:val="24"/>
        </w:rPr>
      </w:pPr>
      <w:r>
        <w:rPr>
          <w:rFonts w:hint="eastAsia" w:ascii="宋体" w:hAnsi="宋体" w:cs="宋体"/>
          <w:bCs/>
          <w:color w:val="000000"/>
          <w:sz w:val="24"/>
          <w:szCs w:val="24"/>
        </w:rPr>
        <w:t>第二十三条</w:t>
      </w:r>
      <w:r>
        <w:rPr>
          <w:rFonts w:ascii="宋体" w:hAnsi="宋体" w:cs="宋体"/>
          <w:bCs/>
          <w:color w:val="000000"/>
          <w:sz w:val="24"/>
          <w:szCs w:val="24"/>
        </w:rPr>
        <w:tab/>
      </w:r>
      <w:r>
        <w:rPr>
          <w:rFonts w:hint="eastAsia" w:ascii="宋体" w:hAnsi="宋体" w:cs="宋体"/>
          <w:bCs/>
          <w:color w:val="000000"/>
          <w:sz w:val="24"/>
          <w:szCs w:val="24"/>
        </w:rPr>
        <w:t>关于视同中小企业的其他主体的政府采购扶持政策，由财政部会同有关部门另行规定。</w:t>
      </w:r>
    </w:p>
    <w:p>
      <w:pPr>
        <w:spacing w:line="360" w:lineRule="auto"/>
        <w:rPr>
          <w:rFonts w:ascii="宋体" w:hAnsi="宋体" w:cs="宋体"/>
          <w:bCs/>
          <w:color w:val="000000"/>
          <w:sz w:val="24"/>
          <w:szCs w:val="24"/>
        </w:rPr>
      </w:pPr>
      <w:r>
        <w:rPr>
          <w:rFonts w:hint="eastAsia" w:ascii="宋体" w:hAnsi="宋体" w:cs="宋体"/>
          <w:bCs/>
          <w:color w:val="000000"/>
          <w:sz w:val="24"/>
          <w:szCs w:val="24"/>
        </w:rPr>
        <w:t>第二十四条</w:t>
      </w:r>
      <w:r>
        <w:rPr>
          <w:rFonts w:ascii="宋体" w:hAnsi="宋体" w:cs="宋体"/>
          <w:bCs/>
          <w:color w:val="000000"/>
          <w:sz w:val="24"/>
          <w:szCs w:val="24"/>
        </w:rPr>
        <w:tab/>
      </w:r>
      <w:r>
        <w:rPr>
          <w:rFonts w:hint="eastAsia" w:ascii="宋体" w:hAnsi="宋体" w:cs="宋体"/>
          <w:bCs/>
          <w:color w:val="000000"/>
          <w:sz w:val="24"/>
          <w:szCs w:val="24"/>
        </w:rPr>
        <w:t>省级财政部门可以会同中小企业主管部门根据本办法的规定制定具体实施办法。</w:t>
      </w:r>
    </w:p>
    <w:p>
      <w:pPr>
        <w:pStyle w:val="17"/>
        <w:adjustRightInd w:val="0"/>
        <w:snapToGrid w:val="0"/>
        <w:spacing w:line="360" w:lineRule="auto"/>
        <w:ind w:right="-45"/>
        <w:jc w:val="left"/>
        <w:rPr>
          <w:rFonts w:ascii="宋体" w:hAnsi="宋体" w:eastAsia="宋体" w:cs="仿宋_GB2312"/>
          <w:color w:val="000000"/>
          <w:kern w:val="0"/>
        </w:rPr>
      </w:pPr>
      <w:r>
        <w:rPr>
          <w:rFonts w:hint="eastAsia" w:ascii="宋体" w:hAnsi="宋体" w:eastAsia="宋体" w:cs="宋体"/>
          <w:bCs/>
          <w:color w:val="000000"/>
          <w:sz w:val="24"/>
          <w:szCs w:val="24"/>
        </w:rPr>
        <w:t>第二十五条 本办法自 2021 年 1 月 1 日起施行。《财政部 工业和信息化部关于印发〈政府采购促进中小企业发展暂行办法〉的通知》（财库﹝2011﹞181 号）同时废止。</w:t>
      </w:r>
      <w:bookmarkEnd w:id="698"/>
      <w:bookmarkEnd w:id="699"/>
      <w:bookmarkEnd w:id="700"/>
      <w:bookmarkEnd w:id="701"/>
    </w:p>
    <w:p>
      <w:pPr>
        <w:spacing w:line="360" w:lineRule="auto"/>
        <w:rPr>
          <w:rFonts w:ascii="宋体" w:hAnsi="宋体" w:cs="仿宋_GB2312"/>
          <w:bCs/>
          <w:color w:val="000000"/>
          <w:sz w:val="24"/>
          <w:szCs w:val="24"/>
        </w:rPr>
      </w:pPr>
      <w:bookmarkStart w:id="719" w:name="_Toc497489391"/>
      <w:bookmarkStart w:id="720" w:name="_Toc447223799"/>
      <w:bookmarkStart w:id="721" w:name="_Toc20829"/>
      <w:bookmarkStart w:id="722" w:name="_Toc21554"/>
      <w:bookmarkStart w:id="723" w:name="_Toc445916627"/>
      <w:bookmarkStart w:id="724" w:name="_Toc12674"/>
      <w:bookmarkStart w:id="725" w:name="_Toc445984998"/>
      <w:r>
        <w:rPr>
          <w:rFonts w:hint="eastAsia" w:ascii="宋体" w:hAnsi="宋体" w:cs="仿宋_GB2312"/>
          <w:bCs/>
          <w:color w:val="000000"/>
          <w:sz w:val="24"/>
          <w:szCs w:val="24"/>
        </w:rPr>
        <w:br w:type="page"/>
      </w:r>
    </w:p>
    <w:p>
      <w:pPr>
        <w:pStyle w:val="5"/>
        <w:numPr>
          <w:ilvl w:val="0"/>
          <w:numId w:val="0"/>
        </w:numPr>
        <w:ind w:left="720" w:hanging="720"/>
        <w:jc w:val="left"/>
        <w:rPr>
          <w:rFonts w:hint="eastAsia" w:ascii="宋体" w:hAnsi="宋体" w:eastAsia="宋体" w:cs="仿宋_GB2312"/>
          <w:bCs/>
          <w:color w:val="000000"/>
          <w:kern w:val="2"/>
          <w:sz w:val="24"/>
          <w:szCs w:val="24"/>
          <w:lang w:val="en-US" w:eastAsia="zh-CN"/>
        </w:rPr>
      </w:pPr>
      <w:bookmarkStart w:id="726" w:name="_Toc85461450"/>
      <w:bookmarkStart w:id="727" w:name="_Toc83722638"/>
      <w:bookmarkStart w:id="728" w:name="_Toc92789350"/>
      <w:bookmarkStart w:id="729" w:name="_Toc50760979"/>
      <w:bookmarkStart w:id="730" w:name="_Toc8999377"/>
      <w:bookmarkStart w:id="731" w:name="_Toc15435094"/>
      <w:bookmarkStart w:id="732" w:name="_Toc100786197"/>
      <w:r>
        <w:rPr>
          <w:rFonts w:hint="eastAsia" w:ascii="宋体" w:hAnsi="宋体" w:cs="仿宋_GB2312"/>
          <w:bCs/>
          <w:color w:val="000000"/>
          <w:kern w:val="2"/>
          <w:sz w:val="24"/>
          <w:szCs w:val="24"/>
          <w:lang w:val="en-US"/>
        </w:rPr>
        <w:t>附录2：关于印发中小企业划型标准规定的通知</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pPr>
        <w:rPr>
          <w:rFonts w:hint="eastAsia"/>
          <w:lang w:eastAsia="zh-CN"/>
        </w:rPr>
      </w:pPr>
    </w:p>
    <w:p>
      <w:pPr>
        <w:spacing w:line="360" w:lineRule="auto"/>
        <w:jc w:val="center"/>
        <w:rPr>
          <w:rFonts w:ascii="宋体" w:hAnsi="宋体" w:cs="仿宋_GB2312"/>
          <w:color w:val="000000"/>
          <w:spacing w:val="6"/>
          <w:sz w:val="24"/>
          <w:szCs w:val="24"/>
        </w:rPr>
      </w:pPr>
      <w:r>
        <w:rPr>
          <w:rFonts w:hint="eastAsia" w:ascii="宋体" w:hAnsi="宋体" w:cs="仿宋_GB2312"/>
          <w:color w:val="000000"/>
          <w:spacing w:val="6"/>
          <w:sz w:val="24"/>
          <w:szCs w:val="24"/>
        </w:rPr>
        <w:t>工信部联企业〔2011〕300号</w:t>
      </w:r>
    </w:p>
    <w:p>
      <w:pPr>
        <w:pStyle w:val="42"/>
        <w:spacing w:line="360" w:lineRule="auto"/>
        <w:ind w:firstLine="480"/>
        <w:rPr>
          <w:rFonts w:hint="eastAsia" w:eastAsia="宋体" w:cs="仿宋_GB2312"/>
          <w:color w:val="000000"/>
          <w:lang w:eastAsia="zh-CN"/>
        </w:rPr>
      </w:pPr>
      <w:r>
        <w:rPr>
          <w:rFonts w:hint="eastAsia" w:cs="仿宋_GB2312"/>
          <w:color w:val="000000"/>
        </w:rPr>
        <w:t>各省、自治区、直辖市人民政府，国务院各部委、各直属机构及有关单位：</w:t>
      </w:r>
    </w:p>
    <w:p>
      <w:pPr>
        <w:pStyle w:val="42"/>
        <w:spacing w:line="360" w:lineRule="auto"/>
        <w:ind w:firstLine="480"/>
        <w:rPr>
          <w:rFonts w:hint="eastAsia" w:eastAsia="宋体" w:cs="仿宋_GB2312"/>
          <w:color w:val="000000"/>
          <w:lang w:eastAsia="zh-CN"/>
        </w:rPr>
      </w:pPr>
      <w:r>
        <w:rPr>
          <w:rFonts w:hint="eastAsia" w:cs="仿宋_GB2312"/>
          <w:color w:val="000000"/>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pStyle w:val="42"/>
        <w:spacing w:line="360" w:lineRule="auto"/>
        <w:ind w:firstLine="480"/>
        <w:rPr>
          <w:rFonts w:hint="eastAsia" w:eastAsia="宋体" w:cs="仿宋_GB2312"/>
          <w:color w:val="000000"/>
          <w:lang w:eastAsia="zh-CN"/>
        </w:rPr>
      </w:pPr>
      <w:r>
        <w:rPr>
          <w:rFonts w:hint="eastAsia" w:cs="仿宋_GB2312"/>
          <w:color w:val="000000"/>
        </w:rPr>
        <w:t>　　　　　　　　　　　　　　　　　　 工业和信息化部　国家统计局</w:t>
      </w:r>
    </w:p>
    <w:p>
      <w:pPr>
        <w:pStyle w:val="42"/>
        <w:spacing w:line="360" w:lineRule="auto"/>
        <w:ind w:firstLine="480"/>
        <w:rPr>
          <w:rFonts w:hint="eastAsia" w:eastAsia="宋体" w:cs="仿宋_GB2312"/>
          <w:color w:val="000000"/>
          <w:lang w:eastAsia="zh-CN"/>
        </w:rPr>
      </w:pPr>
      <w:r>
        <w:rPr>
          <w:rFonts w:hint="eastAsia" w:cs="仿宋_GB2312"/>
          <w:color w:val="000000"/>
        </w:rPr>
        <w:t>　　　　　　　　　　　　　　　　　</w:t>
      </w:r>
      <w:r>
        <w:rPr>
          <w:rFonts w:hint="eastAsia" w:cs="仿宋_GB2312"/>
          <w:color w:val="000000"/>
          <w:lang w:val="en-US" w:eastAsia="zh-CN"/>
        </w:rPr>
        <w:t xml:space="preserve"> </w:t>
      </w:r>
      <w:r>
        <w:rPr>
          <w:rFonts w:hint="eastAsia" w:cs="仿宋_GB2312"/>
          <w:color w:val="000000"/>
        </w:rPr>
        <w:t>国家发展和改革委员会　财政部</w:t>
      </w:r>
    </w:p>
    <w:p>
      <w:pPr>
        <w:pStyle w:val="42"/>
        <w:spacing w:line="360" w:lineRule="auto"/>
        <w:ind w:firstLine="480"/>
        <w:rPr>
          <w:rFonts w:cs="仿宋_GB2312"/>
          <w:color w:val="000000"/>
        </w:rPr>
      </w:pPr>
      <w:r>
        <w:rPr>
          <w:rFonts w:hint="eastAsia" w:cs="仿宋_GB2312"/>
          <w:color w:val="000000"/>
        </w:rPr>
        <w:t>　　　　　　　　　　　　　　　　　　　　　二○一一年六月十八日</w:t>
      </w:r>
    </w:p>
    <w:p>
      <w:pPr>
        <w:pStyle w:val="42"/>
        <w:spacing w:line="360" w:lineRule="auto"/>
        <w:ind w:firstLine="480"/>
        <w:jc w:val="center"/>
        <w:rPr>
          <w:rFonts w:cs="仿宋_GB2312"/>
          <w:color w:val="000000"/>
        </w:rPr>
      </w:pPr>
      <w:r>
        <w:rPr>
          <w:rStyle w:val="51"/>
          <w:rFonts w:hint="eastAsia" w:cs="仿宋_GB2312"/>
          <w:color w:val="000000"/>
        </w:rPr>
        <w:t>中小企业划型标准规定</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根据《中华人民共和国中小企业促进法》和《国务院关于进一步促进中小企业发展的若干意见》(国发〔2009〕36号)，制定本规定。</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中小企业划分为中型、小型、微型三种类型，具体标准根据企业从业人员、营业收入、资产总额等指标，结合行业特点制定。</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各行业划型标准为：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仿宋_GB2312"/>
          <w:color w:val="000000"/>
          <w:sz w:val="24"/>
        </w:rPr>
      </w:pPr>
      <w:r>
        <w:rPr>
          <w:rFonts w:hint="eastAsia" w:ascii="宋体" w:hAnsi="宋体" w:cs="仿宋_GB2312"/>
          <w:color w:val="000000"/>
          <w:sz w:val="24"/>
        </w:rPr>
        <w:t>（十六）其他未列明行业。从业人员300人以下的为中小微型企业。其中，从业人员100人及以上的为中型企业；从业人员10人及以上的为小型企业；从业人员10人以下的为微型企业。</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企业类型的划分以统计部门的统计数据为依据。</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本规定适用于在中华人民共和国境内依法设立的各类所有制和各种组织形式的企业。个体工商户和本规定以外的行业，参照本规定进行划型。</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本规定的中型企业标准上限即为大型企业标准的下限，国家统计部门据此制定大中小微型企业的统计分类。国务院有关部门据此进行相关数据分析，不得制定与本规定不一致的企业划型标准。</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本规定由工业和信息化部、国家统计局会同有关部门根据《国民经济行业分类》修订情况和企业发展变化情况适时修订。</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本规定由工业和信息化部、国家统计局会同有关部门负责解释。</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t>本规定自发布之日起执行，原国家经贸委、原国家计委、财政部和国家统计局2003年颁布的《中小企业标准暂行规定》同时废止。</w:t>
      </w:r>
    </w:p>
    <w:p>
      <w:pPr>
        <w:numPr>
          <w:ilvl w:val="0"/>
          <w:numId w:val="7"/>
        </w:numPr>
        <w:spacing w:line="360" w:lineRule="auto"/>
        <w:ind w:firstLine="480" w:firstLineChars="200"/>
        <w:rPr>
          <w:rFonts w:ascii="宋体" w:hAnsi="宋体" w:cs="仿宋_GB2312"/>
          <w:color w:val="000000"/>
          <w:sz w:val="24"/>
        </w:rPr>
      </w:pPr>
      <w:r>
        <w:rPr>
          <w:rFonts w:hint="eastAsia" w:ascii="宋体" w:hAnsi="宋体" w:cs="仿宋_GB2312"/>
          <w:color w:val="000000"/>
          <w:sz w:val="24"/>
        </w:rPr>
        <w:br w:type="page"/>
      </w:r>
    </w:p>
    <w:p>
      <w:pPr>
        <w:pStyle w:val="5"/>
        <w:tabs>
          <w:tab w:val="left" w:pos="0"/>
          <w:tab w:val="clear" w:pos="720"/>
        </w:tabs>
        <w:ind w:left="0" w:firstLine="0"/>
        <w:jc w:val="left"/>
        <w:rPr>
          <w:rFonts w:ascii="宋体" w:hAnsi="宋体" w:cs="仿宋_GB2312"/>
          <w:color w:val="000000"/>
          <w:sz w:val="24"/>
          <w:szCs w:val="24"/>
          <w:lang w:val="en-US"/>
        </w:rPr>
      </w:pPr>
      <w:bookmarkStart w:id="733" w:name="_Toc100786198"/>
      <w:bookmarkStart w:id="734" w:name="_Toc8999378"/>
      <w:bookmarkStart w:id="735" w:name="_Toc92789351"/>
      <w:bookmarkStart w:id="736" w:name="_Toc15435095"/>
      <w:bookmarkStart w:id="737" w:name="_Toc497489392"/>
      <w:bookmarkStart w:id="738" w:name="_Toc50760980"/>
      <w:bookmarkStart w:id="739" w:name="_Toc83722639"/>
      <w:bookmarkStart w:id="740" w:name="_Toc8212"/>
      <w:bookmarkStart w:id="741" w:name="_Toc85461451"/>
      <w:r>
        <w:rPr>
          <w:rFonts w:hint="eastAsia" w:ascii="宋体" w:hAnsi="宋体" w:cs="仿宋_GB2312"/>
          <w:color w:val="000000"/>
          <w:sz w:val="24"/>
          <w:szCs w:val="24"/>
          <w:lang w:val="en-US"/>
        </w:rPr>
        <w:t>附录3：财政部 民政部 中国残疾人联合会关于促进残疾人就业政府采购政策的通知</w:t>
      </w:r>
      <w:bookmarkEnd w:id="733"/>
      <w:bookmarkEnd w:id="734"/>
      <w:bookmarkEnd w:id="735"/>
      <w:bookmarkEnd w:id="736"/>
      <w:bookmarkEnd w:id="737"/>
      <w:bookmarkEnd w:id="738"/>
      <w:bookmarkEnd w:id="739"/>
      <w:bookmarkEnd w:id="740"/>
      <w:bookmarkEnd w:id="741"/>
    </w:p>
    <w:p>
      <w:pPr>
        <w:spacing w:line="360" w:lineRule="auto"/>
        <w:jc w:val="center"/>
        <w:rPr>
          <w:rFonts w:ascii="宋体" w:hAnsi="宋体" w:cs="仿宋_GB2312"/>
          <w:b/>
          <w:bCs/>
          <w:color w:val="000000"/>
          <w:sz w:val="24"/>
          <w:szCs w:val="24"/>
        </w:rPr>
      </w:pPr>
      <w:r>
        <w:rPr>
          <w:rFonts w:hint="eastAsia" w:ascii="宋体" w:hAnsi="宋体" w:cs="仿宋_GB2312"/>
          <w:color w:val="000000"/>
          <w:spacing w:val="6"/>
          <w:sz w:val="24"/>
          <w:szCs w:val="24"/>
        </w:rPr>
        <w:t>财库</w:t>
      </w:r>
      <w:r>
        <w:rPr>
          <w:rFonts w:hint="eastAsia" w:ascii="宋体" w:hAnsi="宋体" w:cs="仿宋_GB2312"/>
          <w:color w:val="000000"/>
          <w:sz w:val="24"/>
          <w:szCs w:val="24"/>
        </w:rPr>
        <w:t>〔2017〕 141</w:t>
      </w:r>
      <w:r>
        <w:rPr>
          <w:rFonts w:hint="eastAsia" w:ascii="宋体" w:hAnsi="宋体" w:cs="仿宋_GB2312"/>
          <w:color w:val="000000"/>
          <w:spacing w:val="6"/>
          <w:sz w:val="24"/>
          <w:szCs w:val="24"/>
        </w:rPr>
        <w:t>号</w:t>
      </w:r>
    </w:p>
    <w:p>
      <w:pPr>
        <w:pStyle w:val="42"/>
        <w:shd w:val="clear" w:color="auto" w:fill="FFFFFF"/>
        <w:spacing w:before="0" w:beforeAutospacing="0" w:after="0" w:afterAutospacing="0" w:line="360" w:lineRule="auto"/>
        <w:ind w:firstLine="480"/>
        <w:jc w:val="both"/>
        <w:rPr>
          <w:rFonts w:cs="仿宋_GB2312"/>
          <w:color w:val="000000"/>
        </w:rPr>
      </w:pPr>
      <w:bookmarkStart w:id="742" w:name="toDeptId"/>
      <w:r>
        <w:rPr>
          <w:rFonts w:hint="eastAsia" w:cs="仿宋_GB2312"/>
          <w:color w:val="000000"/>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742"/>
      <w:r>
        <w:rPr>
          <w:rFonts w:hint="eastAsia" w:cs="仿宋_GB2312"/>
          <w:color w:val="000000"/>
        </w:rPr>
        <w:t>：</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为了发挥政府采购促进残疾人就业的作用，进一步保障残疾人权益，依照《政府采购法》、《残疾人保障法》等法律法规及相关规定，现就促进残疾人就业政府采购政策通知如下：</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一、享受政府采购支持政策的残疾人福利性单位应当同时满足以下条件：</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（一）安置的残疾人占本单位在职职工人数的比例不低于25%（含25%），并且安置的残疾人人数不少于10人（含10人）；</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（二）依法与安置的每位残疾人签订了一年以上（含一年）的劳动合同或服务协议；</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（三）为安置的每位残疾人按月足额缴纳了基本养老保险、基本医疗保险、失业保险、工伤保险和生育保险等社会保险费；</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（四）通过银行等金融机构向安置的每位残疾人，按月支付了不低于单位所在区县适用的经省级人民政府批准的月最低工资标准的工资；</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（五）提供本单位制造的货物、承担的工程或者服务（以下简称产品），或者提供其他残疾人福利性单位制造的货物（不包括使用非残疾人福利性单位注册商标的货物）。</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中标、成交供应商为残疾人福利性单位的，采购人或者其委托的采购代理机构应当随中标、成交结果同时公告其《残疾人福利性单位声明函》，接受社会监督。</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供应商提供的《残疾人福利性单位声明函》与事实不符的，依照《政府采购法》第七十七条第一款的规定追究法律责任。</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四、采购人采购公开招标数额标准以上的货物或者服务，因落实促进残疾人就业政策的需要，依法履行有关报批程序后，可采用公开招标以外的采购方式。</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42"/>
        <w:shd w:val="clear" w:color="auto" w:fill="FFFFFF"/>
        <w:spacing w:before="0" w:beforeAutospacing="0" w:after="0" w:afterAutospacing="0" w:line="360" w:lineRule="auto"/>
        <w:ind w:firstLine="480"/>
        <w:jc w:val="both"/>
        <w:rPr>
          <w:rFonts w:cs="仿宋_GB2312"/>
          <w:color w:val="000000"/>
        </w:rPr>
      </w:pPr>
      <w:r>
        <w:rPr>
          <w:rFonts w:hint="eastAsia" w:cs="仿宋_GB2312"/>
          <w:color w:val="000000"/>
        </w:rPr>
        <w:t>　　七、本通知自2017年10月1日起执行。</w:t>
      </w:r>
    </w:p>
    <w:p>
      <w:pPr>
        <w:pStyle w:val="42"/>
        <w:shd w:val="clear" w:color="auto" w:fill="FFFFFF"/>
        <w:spacing w:before="0" w:beforeAutospacing="0" w:after="0" w:afterAutospacing="0" w:line="360" w:lineRule="auto"/>
        <w:ind w:firstLine="480"/>
        <w:jc w:val="right"/>
        <w:rPr>
          <w:rFonts w:cs="仿宋_GB2312"/>
          <w:color w:val="000000"/>
        </w:rPr>
      </w:pPr>
      <w:r>
        <w:rPr>
          <w:rFonts w:hint="eastAsia" w:cs="仿宋_GB2312"/>
          <w:color w:val="000000"/>
        </w:rPr>
        <w:t>　　财政部 民政部 中国残疾人联合会</w:t>
      </w:r>
    </w:p>
    <w:p>
      <w:pPr>
        <w:pStyle w:val="42"/>
        <w:shd w:val="clear" w:color="auto" w:fill="FFFFFF"/>
        <w:spacing w:before="0" w:beforeAutospacing="0" w:after="0" w:afterAutospacing="0" w:line="360" w:lineRule="auto"/>
        <w:ind w:firstLine="480"/>
        <w:jc w:val="right"/>
        <w:rPr>
          <w:rFonts w:cs="仿宋_GB2312"/>
          <w:color w:val="000000"/>
        </w:rPr>
      </w:pPr>
      <w:r>
        <w:rPr>
          <w:rFonts w:hint="eastAsia" w:cs="仿宋_GB2312"/>
          <w:color w:val="000000"/>
        </w:rPr>
        <w:t>　　2017年8月22日</w:t>
      </w:r>
    </w:p>
    <w:p>
      <w:pPr>
        <w:spacing w:line="360" w:lineRule="auto"/>
        <w:rPr>
          <w:rFonts w:ascii="宋体" w:hAnsi="宋体" w:cs="仿宋_GB2312"/>
          <w:color w:val="000000"/>
        </w:rPr>
      </w:pPr>
      <w:r>
        <w:rPr>
          <w:rFonts w:hint="eastAsia" w:ascii="宋体" w:hAnsi="宋体" w:cs="仿宋_GB2312"/>
          <w:color w:val="000000"/>
        </w:rPr>
        <w:br w:type="page"/>
      </w:r>
    </w:p>
    <w:p>
      <w:pPr>
        <w:pStyle w:val="5"/>
        <w:tabs>
          <w:tab w:val="left" w:pos="0"/>
          <w:tab w:val="clear" w:pos="432"/>
          <w:tab w:val="clear" w:pos="720"/>
        </w:tabs>
        <w:ind w:left="0" w:firstLine="0"/>
        <w:jc w:val="left"/>
        <w:rPr>
          <w:rFonts w:ascii="宋体" w:hAnsi="宋体" w:cs="仿宋_GB2312"/>
          <w:color w:val="000000"/>
          <w:sz w:val="28"/>
          <w:szCs w:val="28"/>
        </w:rPr>
      </w:pPr>
      <w:bookmarkStart w:id="743" w:name="_Toc85461452"/>
      <w:bookmarkStart w:id="744" w:name="_Toc92789352"/>
      <w:bookmarkStart w:id="745" w:name="_Toc83722640"/>
      <w:bookmarkStart w:id="746" w:name="_Toc100786199"/>
      <w:r>
        <w:rPr>
          <w:rFonts w:hint="eastAsia" w:ascii="宋体" w:hAnsi="宋体" w:cs="仿宋_GB2312"/>
          <w:color w:val="000000"/>
          <w:sz w:val="28"/>
          <w:szCs w:val="28"/>
        </w:rPr>
        <w:t>附录4：</w:t>
      </w:r>
      <w:bookmarkEnd w:id="743"/>
      <w:bookmarkEnd w:id="744"/>
      <w:bookmarkEnd w:id="745"/>
      <w:r>
        <w:rPr>
          <w:rFonts w:hint="eastAsia" w:ascii="宋体" w:hAnsi="宋体" w:cs="仿宋_GB2312"/>
          <w:color w:val="000000"/>
          <w:sz w:val="28"/>
          <w:szCs w:val="28"/>
        </w:rPr>
        <w:t>市场监管总局关于发布参与实施政府采购节能产品、环境</w:t>
      </w:r>
    </w:p>
    <w:p>
      <w:pPr>
        <w:pStyle w:val="5"/>
        <w:tabs>
          <w:tab w:val="left" w:pos="0"/>
          <w:tab w:val="clear" w:pos="432"/>
          <w:tab w:val="clear" w:pos="720"/>
        </w:tabs>
        <w:ind w:left="0" w:firstLine="0"/>
        <w:jc w:val="left"/>
        <w:rPr>
          <w:rFonts w:ascii="宋体" w:hAnsi="宋体" w:cs="仿宋_GB2312"/>
          <w:color w:val="000000"/>
          <w:sz w:val="28"/>
          <w:szCs w:val="28"/>
        </w:rPr>
      </w:pPr>
      <w:r>
        <w:rPr>
          <w:rFonts w:hint="eastAsia" w:ascii="宋体" w:hAnsi="宋体" w:cs="仿宋_GB2312"/>
          <w:color w:val="000000"/>
          <w:sz w:val="28"/>
          <w:szCs w:val="28"/>
        </w:rPr>
        <w:t>标志产品认证机构名录的公告</w:t>
      </w:r>
      <w:bookmarkEnd w:id="746"/>
    </w:p>
    <w:p>
      <w:pPr>
        <w:spacing w:line="360" w:lineRule="auto"/>
        <w:jc w:val="center"/>
        <w:rPr>
          <w:rFonts w:ascii="宋体" w:hAnsi="宋体"/>
          <w:sz w:val="24"/>
          <w:szCs w:val="24"/>
        </w:rPr>
      </w:pPr>
      <w:r>
        <w:rPr>
          <w:rFonts w:hint="eastAsia" w:ascii="宋体" w:hAnsi="宋体"/>
          <w:sz w:val="24"/>
          <w:szCs w:val="24"/>
        </w:rPr>
        <w:t>市场监管总局关于发布参与实施政府采购节能产品、</w:t>
      </w:r>
    </w:p>
    <w:p>
      <w:pPr>
        <w:spacing w:line="360" w:lineRule="auto"/>
        <w:jc w:val="center"/>
        <w:rPr>
          <w:rFonts w:ascii="宋体" w:hAnsi="宋体"/>
          <w:sz w:val="24"/>
          <w:szCs w:val="24"/>
        </w:rPr>
      </w:pPr>
      <w:r>
        <w:rPr>
          <w:rFonts w:hint="eastAsia" w:ascii="宋体" w:hAnsi="宋体"/>
          <w:sz w:val="24"/>
          <w:szCs w:val="24"/>
        </w:rPr>
        <w:t>环境标志产品认证机构名录的公告</w:t>
      </w:r>
    </w:p>
    <w:p>
      <w:pPr>
        <w:spacing w:line="360" w:lineRule="auto"/>
        <w:jc w:val="center"/>
        <w:rPr>
          <w:rFonts w:ascii="宋体" w:hAnsi="宋体"/>
          <w:sz w:val="24"/>
          <w:szCs w:val="24"/>
        </w:rPr>
      </w:pPr>
      <w:r>
        <w:rPr>
          <w:rFonts w:hint="eastAsia" w:ascii="宋体" w:hAnsi="宋体"/>
          <w:sz w:val="24"/>
          <w:szCs w:val="24"/>
        </w:rPr>
        <w:t>2019年第16号</w:t>
      </w:r>
    </w:p>
    <w:p>
      <w:pPr>
        <w:pStyle w:val="42"/>
        <w:spacing w:before="680" w:beforeAutospacing="0" w:after="632" w:afterAutospacing="0" w:line="360" w:lineRule="auto"/>
        <w:ind w:left="302" w:right="226" w:firstLine="480"/>
        <w:rPr>
          <w:rFonts w:hint="eastAsia" w:eastAsia="宋体" w:cs="仿宋_GB2312"/>
          <w:color w:val="000000"/>
          <w:lang w:eastAsia="zh-CN"/>
        </w:rPr>
      </w:pPr>
      <w:r>
        <w:rPr>
          <w:rFonts w:hint="eastAsia" w:cs="仿宋_GB2312"/>
          <w:color w:val="000000"/>
        </w:rPr>
        <w:t>　　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pStyle w:val="42"/>
        <w:spacing w:before="680" w:beforeAutospacing="0" w:after="632" w:afterAutospacing="0" w:line="360" w:lineRule="auto"/>
        <w:ind w:left="302" w:right="226" w:firstLine="480"/>
        <w:rPr>
          <w:rFonts w:hint="eastAsia" w:eastAsia="宋体" w:cs="仿宋_GB2312"/>
          <w:color w:val="000000"/>
          <w:lang w:eastAsia="zh-CN"/>
        </w:rPr>
      </w:pPr>
    </w:p>
    <w:p>
      <w:pPr>
        <w:pStyle w:val="42"/>
        <w:spacing w:before="680" w:beforeAutospacing="0" w:after="632" w:afterAutospacing="0" w:line="360" w:lineRule="auto"/>
        <w:ind w:left="302" w:right="226" w:firstLine="480"/>
        <w:rPr>
          <w:rFonts w:cs="仿宋_GB2312"/>
          <w:color w:val="000000"/>
        </w:rPr>
      </w:pPr>
      <w:r>
        <w:rPr>
          <w:rFonts w:hint="eastAsia" w:cs="仿宋_GB2312"/>
          <w:color w:val="000000"/>
        </w:rPr>
        <w:t>　　自本公告发布后，新增认证机构应尽快完成政府采购认证信息系统对接，对接完成后方可开展相关认证工作。</w:t>
      </w:r>
    </w:p>
    <w:p>
      <w:pPr>
        <w:pStyle w:val="42"/>
        <w:spacing w:before="680" w:beforeAutospacing="0" w:after="632" w:afterAutospacing="0" w:line="360" w:lineRule="auto"/>
        <w:ind w:left="302" w:right="226" w:firstLine="480"/>
        <w:jc w:val="right"/>
        <w:rPr>
          <w:rFonts w:hint="eastAsia" w:eastAsia="宋体" w:cs="仿宋_GB2312"/>
          <w:color w:val="000000"/>
          <w:lang w:eastAsia="zh-CN"/>
        </w:rPr>
      </w:pPr>
      <w:r>
        <w:rPr>
          <w:rFonts w:hint="eastAsia" w:cs="仿宋_GB2312"/>
          <w:color w:val="000000"/>
        </w:rPr>
        <w:t>市场监管总局</w:t>
      </w:r>
    </w:p>
    <w:p>
      <w:pPr>
        <w:pStyle w:val="42"/>
        <w:spacing w:before="680" w:beforeAutospacing="0" w:after="632" w:afterAutospacing="0" w:line="360" w:lineRule="auto"/>
        <w:ind w:left="302" w:right="226" w:firstLine="480"/>
        <w:jc w:val="right"/>
        <w:rPr>
          <w:rFonts w:cs="仿宋_GB2312"/>
          <w:color w:val="000000"/>
        </w:rPr>
      </w:pPr>
      <w:r>
        <w:rPr>
          <w:rFonts w:hint="eastAsia" w:cs="仿宋_GB2312"/>
          <w:color w:val="000000"/>
        </w:rPr>
        <w:t>2019年4月3日</w:t>
      </w:r>
    </w:p>
    <w:p>
      <w:pPr>
        <w:widowControl/>
        <w:tabs>
          <w:tab w:val="left" w:pos="7088"/>
        </w:tabs>
        <w:spacing w:before="602" w:after="302" w:line="360" w:lineRule="auto"/>
        <w:ind w:left="302" w:right="226" w:firstLine="480" w:firstLineChars="200"/>
        <w:jc w:val="left"/>
        <w:rPr>
          <w:rFonts w:ascii="宋体" w:hAnsi="宋体" w:cs="仿宋_GB2312"/>
          <w:color w:val="000000"/>
          <w:sz w:val="24"/>
          <w:szCs w:val="24"/>
        </w:rPr>
      </w:pPr>
      <w:r>
        <w:rPr>
          <w:rFonts w:hint="eastAsia" w:ascii="宋体" w:hAnsi="宋体" w:cs="仿宋_GB2312"/>
          <w:color w:val="000000"/>
          <w:kern w:val="0"/>
          <w:sz w:val="24"/>
          <w:szCs w:val="24"/>
        </w:rPr>
        <w:t>（此件公开发布）</w:t>
      </w:r>
    </w:p>
    <w:p>
      <w:pPr>
        <w:widowControl/>
        <w:shd w:val="clear" w:color="auto" w:fill="FFFFFF"/>
        <w:spacing w:before="602" w:after="302" w:line="360" w:lineRule="auto"/>
        <w:ind w:left="302" w:right="226"/>
        <w:jc w:val="left"/>
        <w:rPr>
          <w:rFonts w:ascii="宋体" w:hAnsi="宋体" w:cs="微软雅黑"/>
          <w:color w:val="000000"/>
          <w:kern w:val="0"/>
          <w:sz w:val="24"/>
          <w:szCs w:val="24"/>
        </w:rPr>
      </w:pPr>
      <w:r>
        <w:rPr>
          <w:rFonts w:hint="eastAsia" w:ascii="宋体" w:hAnsi="宋体" w:cs="微软雅黑"/>
          <w:color w:val="000000"/>
          <w:kern w:val="0"/>
          <w:sz w:val="24"/>
          <w:szCs w:val="24"/>
        </w:rPr>
        <w:t> </w:t>
      </w:r>
    </w:p>
    <w:p>
      <w:pPr>
        <w:widowControl/>
        <w:shd w:val="clear" w:color="auto" w:fill="FFFFFF"/>
        <w:spacing w:before="602" w:after="302" w:line="360" w:lineRule="auto"/>
        <w:ind w:left="302" w:right="226"/>
        <w:jc w:val="left"/>
        <w:rPr>
          <w:rFonts w:ascii="宋体" w:hAnsi="宋体" w:cs="微软雅黑"/>
          <w:color w:val="000000"/>
          <w:kern w:val="0"/>
          <w:sz w:val="24"/>
          <w:szCs w:val="24"/>
        </w:rPr>
      </w:pPr>
    </w:p>
    <w:p>
      <w:pPr>
        <w:widowControl/>
        <w:spacing w:before="602" w:after="302" w:line="360" w:lineRule="auto"/>
        <w:ind w:left="302" w:right="226"/>
        <w:jc w:val="center"/>
        <w:rPr>
          <w:rFonts w:ascii="宋体" w:hAnsi="宋体" w:cs="仿宋_GB2312"/>
          <w:color w:val="000000"/>
        </w:rPr>
      </w:pPr>
      <w:r>
        <w:rPr>
          <w:rFonts w:hint="eastAsia" w:ascii="宋体" w:hAnsi="宋体" w:cs="仿宋_GB2312"/>
          <w:color w:val="000000"/>
          <w:kern w:val="0"/>
          <w:sz w:val="28"/>
          <w:szCs w:val="28"/>
        </w:rPr>
        <w:t>参与实施政府采购节能产品认证机构名录</w:t>
      </w:r>
    </w:p>
    <w:tbl>
      <w:tblPr>
        <w:tblStyle w:val="48"/>
        <w:tblW w:w="8076"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5"/>
        <w:gridCol w:w="1064"/>
        <w:gridCol w:w="1599"/>
        <w:gridCol w:w="1399"/>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序号</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一级目录</w:t>
            </w:r>
          </w:p>
        </w:tc>
        <w:tc>
          <w:tcPr>
            <w:tcW w:w="2998" w:type="dxa"/>
            <w:gridSpan w:val="2"/>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二级目录</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产品代码</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产品名称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产品代码</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产品名称</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A020101</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计算机设备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A02010104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台式计算机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北京赛西认证有限责任公司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中国网络安全审查技术与认证中心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A02010105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便携式计算机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A02010107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平板式微型计算机</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2</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A020106</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输入输出设备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A02010601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打印设备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A02010604</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显示设备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A02010609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图形图像输入设备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A020202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投影仪</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A020204</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多功能一体机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A020519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泵</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A02051901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离心泵</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电能（北京）认证中心有限公司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6</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A020523</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制冷空调设备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A02052301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制冷压缩机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威凯认证检测有限公司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合肥通用机械产品认证有限公司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北京中冷通质量认证中心有限公司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A02052305</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空调机组</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A02052309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专用制冷、空调设备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A02052399</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其他制冷空调设备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A020601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电机</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威凯认证检测有限公司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电能（北京）认证中心有限公司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中国船级社质量认证公司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A020602</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变压器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电能（北京）认证中心有限公司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9</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A020609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镇流器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深圳市计量质量检测研究院</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2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10</w:t>
            </w:r>
          </w:p>
        </w:tc>
        <w:tc>
          <w:tcPr>
            <w:tcW w:w="1215"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A020618</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生活用电器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A0206180101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电冰箱</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威凯认证检测有限公司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A0206180203</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空调机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威凯认证检测有限公司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中家院（北京）检测认证有限公司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合肥通用机械产品认证有限公司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A0206180301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洗衣机</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威凯认证检测有限公司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中家院（北京）检测认证有限公司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21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A02061808</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热水器</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威凯认证检测有限公司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中家院（北京）检测认证有限公司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合肥通用机械产品认证有限公司(范围仅限于“热泵热水器”)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11</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A020619</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照明设备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深圳市计量质量检测研究院</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中标合信（北京）认证有限公司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12</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A020910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电视设备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A02091001</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普通电视设备（电视机）</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北京泰瑞特认证有限责任公司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广州赛宝认证中心服务有限公司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13</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A020911</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视频设备</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A02091107</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视频监控设备</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14</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A031210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饮食炊事机械</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北京鉴衡认证中心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中国市政工程华北设计研究总院有限公司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15</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A060805</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便器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中国质量认证中心</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北京新华节水产品认证有限公司</w:t>
            </w:r>
          </w:p>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方圆标志认证集团有限公司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16</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A060806</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水嘴</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17</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A060807</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便器冲洗阀</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62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18</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A060810</w:t>
            </w:r>
          </w:p>
        </w:tc>
        <w:tc>
          <w:tcPr>
            <w:tcW w:w="106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淋浴器</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1399"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left"/>
              <w:rPr>
                <w:rFonts w:ascii="宋体" w:hAnsi="宋体" w:cs="仿宋_GB2312"/>
                <w:color w:val="000000"/>
                <w:sz w:val="24"/>
                <w:szCs w:val="24"/>
              </w:rPr>
            </w:pPr>
            <w:r>
              <w:rPr>
                <w:rFonts w:hint="eastAsia" w:ascii="宋体" w:hAnsi="宋体" w:cs="仿宋_GB2312"/>
                <w:color w:val="000000"/>
                <w:kern w:val="0"/>
                <w:sz w:val="24"/>
                <w:szCs w:val="24"/>
              </w:rPr>
              <w:t>　</w:t>
            </w:r>
          </w:p>
        </w:tc>
        <w:tc>
          <w:tcPr>
            <w:tcW w:w="217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仿宋_GB2312"/>
                <w:color w:val="000000"/>
                <w:sz w:val="24"/>
                <w:szCs w:val="24"/>
              </w:rPr>
            </w:pPr>
          </w:p>
        </w:tc>
      </w:tr>
    </w:tbl>
    <w:p>
      <w:pPr>
        <w:widowControl/>
        <w:spacing w:before="602" w:after="302" w:line="360" w:lineRule="auto"/>
        <w:ind w:left="302" w:right="226"/>
        <w:jc w:val="center"/>
        <w:rPr>
          <w:rFonts w:ascii="宋体" w:hAnsi="宋体"/>
          <w:color w:val="000000"/>
        </w:rPr>
      </w:pPr>
      <w:r>
        <w:rPr>
          <w:rFonts w:hint="eastAsia" w:ascii="宋体" w:hAnsi="宋体" w:cs="微软雅黑"/>
          <w:color w:val="000000"/>
          <w:kern w:val="0"/>
          <w:sz w:val="24"/>
          <w:szCs w:val="24"/>
        </w:rPr>
        <w:t> </w:t>
      </w:r>
    </w:p>
    <w:p>
      <w:pPr>
        <w:widowControl/>
        <w:spacing w:before="602" w:after="302" w:line="360" w:lineRule="auto"/>
        <w:ind w:left="302" w:right="226"/>
        <w:jc w:val="center"/>
        <w:rPr>
          <w:rFonts w:ascii="宋体" w:hAnsi="宋体" w:cs="仿宋_GB2312"/>
          <w:color w:val="000000"/>
          <w:sz w:val="28"/>
          <w:szCs w:val="28"/>
        </w:rPr>
      </w:pPr>
      <w:r>
        <w:rPr>
          <w:rFonts w:hint="eastAsia" w:ascii="宋体" w:hAnsi="宋体" w:cs="仿宋_GB2312"/>
          <w:color w:val="000000"/>
          <w:kern w:val="0"/>
          <w:sz w:val="28"/>
          <w:szCs w:val="28"/>
        </w:rPr>
        <w:t>参与实施政府采购环境标志产品认证机构名录 </w:t>
      </w:r>
    </w:p>
    <w:tbl>
      <w:tblPr>
        <w:tblStyle w:val="48"/>
        <w:tblW w:w="8847" w:type="dxa"/>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2122"/>
        <w:gridCol w:w="6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序号</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目录</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认证机构名录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694"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1</w:t>
            </w:r>
          </w:p>
        </w:tc>
        <w:tc>
          <w:tcPr>
            <w:tcW w:w="2122"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环境标志产品</w:t>
            </w:r>
          </w:p>
        </w:tc>
        <w:tc>
          <w:tcPr>
            <w:tcW w:w="603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中环联合（北京）认证中心有限公司</w:t>
            </w:r>
          </w:p>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中标合信（北京）认证有限公司</w:t>
            </w:r>
          </w:p>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中环协（北京）认证有限公司</w:t>
            </w:r>
          </w:p>
          <w:p>
            <w:pPr>
              <w:widowControl/>
              <w:spacing w:beforeAutospacing="1" w:afterAutospacing="1" w:line="360" w:lineRule="auto"/>
              <w:jc w:val="center"/>
              <w:rPr>
                <w:rFonts w:ascii="宋体" w:hAnsi="宋体" w:cs="仿宋_GB2312"/>
                <w:color w:val="000000"/>
                <w:sz w:val="24"/>
                <w:szCs w:val="24"/>
              </w:rPr>
            </w:pPr>
            <w:r>
              <w:rPr>
                <w:rFonts w:hint="eastAsia" w:ascii="宋体" w:hAnsi="宋体" w:cs="仿宋_GB2312"/>
                <w:color w:val="000000"/>
                <w:kern w:val="0"/>
                <w:sz w:val="24"/>
                <w:szCs w:val="24"/>
              </w:rPr>
              <w:t>天津华诚认证有限公司</w:t>
            </w:r>
          </w:p>
        </w:tc>
      </w:tr>
    </w:tbl>
    <w:p>
      <w:pPr>
        <w:spacing w:line="360" w:lineRule="auto"/>
        <w:rPr>
          <w:rFonts w:ascii="宋体" w:hAnsi="宋体" w:cs="宋体"/>
          <w:color w:val="000000"/>
          <w:sz w:val="24"/>
        </w:rPr>
      </w:pPr>
    </w:p>
    <w:p/>
    <w:sectPr>
      <w:footerReference r:id="rId6" w:type="default"/>
      <w:pgSz w:w="11907" w:h="16840"/>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S Sans Serif">
    <w:altName w:val="Arial"/>
    <w:panose1 w:val="00000000000000000000"/>
    <w:charset w:val="4D"/>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swiss"/>
    <w:pitch w:val="default"/>
    <w:sig w:usb0="A00002EF" w:usb1="4000A44B" w:usb2="00000000" w:usb3="00000000" w:csb0="2000019F" w:csb1="00000000"/>
  </w:font>
  <w:font w:name="font-weight : 400">
    <w:altName w:val="宋体"/>
    <w:panose1 w:val="00000000000000000000"/>
    <w:charset w:val="00"/>
    <w:family w:val="auto"/>
    <w:pitch w:val="default"/>
    <w:sig w:usb0="00000000" w:usb1="00000000" w:usb2="00000000" w:usb3="00000000" w:csb0="00040001" w:csb1="00000000"/>
  </w:font>
  <w:font w:name="Arial,Bold">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昆仑楷体">
    <w:altName w:val="楷体"/>
    <w:panose1 w:val="00000000000000000000"/>
    <w:charset w:val="00"/>
    <w:family w:val="auto"/>
    <w:pitch w:val="default"/>
    <w:sig w:usb0="00000000" w:usb1="00000000" w:usb2="00000000" w:usb3="00000000" w:csb0="00040001" w:csb1="00000000"/>
  </w:font>
  <w:font w:name="Microsoft Sans Serif">
    <w:panose1 w:val="020B0604020202020204"/>
    <w:charset w:val="00"/>
    <w:family w:val="swiss"/>
    <w:pitch w:val="default"/>
    <w:sig w:usb0="E5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rial Unicode MS">
    <w:altName w:val="宋体"/>
    <w:panose1 w:val="020B0604020202020204"/>
    <w:charset w:val="86"/>
    <w:family w:val="swiss"/>
    <w:pitch w:val="default"/>
    <w:sig w:usb0="00000000" w:usb1="00000000" w:usb2="0000003F" w:usb3="00000000" w:csb0="003F01FF" w:csb1="00000000"/>
  </w:font>
  <w:font w:name="方正姚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PAGE   \* MERGEFORMAT</w:instrText>
    </w:r>
    <w:r>
      <w:fldChar w:fldCharType="separate"/>
    </w:r>
    <w:r>
      <w:rPr>
        <w:lang w:val="zh-CN"/>
      </w:rPr>
      <w:t>1</w:t>
    </w:r>
    <w:r>
      <w:rPr>
        <w:lang w:val="zh-CN"/>
      </w:rP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r>
      <w:pict>
        <v:shape id="_x0000_s1026" o:spid="_x0000_s1026" o:spt="202" type="#_x0000_t202" style="position:absolute;left:0pt;margin-left:291.15pt;margin-top:787.1pt;height:12pt;width:13.1pt;mso-position-horizontal-relative:page;mso-position-vertical-relative:page;z-index:-251657216;mso-width-relative:page;mso-height-relative:page;" filled="f" stroked="f" coordsize="21600,21600" o:gfxdata="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PZxSStsAAAANAQAADwAAAAAAAAAB&#10;ACAAAAA4AAAAZHJzL2Rvd25yZXYueG1sUEsBAhQAFAAAAAgAh07iQBQ3Wir3AQAAwwMAAA4AAAAA&#10;AAAAAQAgAAAAQAEAAGRycy9lMm9Eb2MueG1sUEsFBgAAAAAGAAYAWQEAAKkFA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86</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1027" o:spid="_x0000_s1027" o:spt="202" type="#_x0000_t202" style="position:absolute;left:0pt;margin-top:0pt;height:10.35pt;width:9.05pt;mso-position-horizontal:center;mso-position-horizontal-relative:margin;mso-wrap-style:none;z-index:251660288;mso-width-relative:page;mso-height-relative:page;" filled="f" stroked="f" coordsize="21600,21600" o:gfxdata="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Q+V+SdAAAAADAQAADwAAAAAAAAABACAAAAA4AAAAZHJz&#10;L2Rvd25yZXYueG1sUEsBAhQAFAAAAAgAh07iQMKudOD2AQAAwQMAAA4AAAAAAAAAAQAgAAAANQEA&#10;AGRycy9lMm9Eb2MueG1sUEsFBgAAAAAGAAYAWQEAAJ0FAAAAAA==&#10;">
          <v:path/>
          <v:fill on="f" focussize="0,0"/>
          <v:stroke on="f" joinstyle="miter"/>
          <v:imagedata o:title=""/>
          <o:lock v:ext="edit"/>
          <v:textbox inset="0mm,0mm,0mm,0mm" style="mso-fit-shape-to-text:t;">
            <w:txbxContent>
              <w:p>
                <w:pPr>
                  <w:pStyle w:val="28"/>
                  <w:jc w:val="center"/>
                </w:pPr>
                <w:r>
                  <w:fldChar w:fldCharType="begin"/>
                </w:r>
                <w:r>
                  <w:instrText xml:space="preserve">PAGE   \* MERGEFORMAT</w:instrText>
                </w:r>
                <w:r>
                  <w:fldChar w:fldCharType="separate"/>
                </w:r>
                <w:r>
                  <w:rPr>
                    <w:lang w:val="zh-CN"/>
                  </w:rPr>
                  <w:t>99</w:t>
                </w:r>
                <w:r>
                  <w:rPr>
                    <w:lang w:val="zh-CN"/>
                  </w:rPr>
                  <w:fldChar w:fldCharType="end"/>
                </w:r>
              </w:p>
            </w:txbxContent>
          </v:textbox>
        </v:shape>
      </w:pict>
    </w:r>
  </w:p>
  <w:p>
    <w:pPr>
      <w:pStyle w:val="2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none"/>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
    <w:nsid w:val="1CC613E0"/>
    <w:multiLevelType w:val="multilevel"/>
    <w:tmpl w:val="1CC613E0"/>
    <w:lvl w:ilvl="0" w:tentative="0">
      <w:start w:val="2"/>
      <w:numFmt w:val="japaneseCounting"/>
      <w:pStyle w:val="263"/>
      <w:lvlText w:val="第%1章"/>
      <w:lvlJc w:val="left"/>
      <w:pPr>
        <w:tabs>
          <w:tab w:val="left" w:pos="4084"/>
        </w:tabs>
        <w:ind w:left="4084" w:hanging="1200"/>
      </w:pPr>
      <w:rPr>
        <w:rFonts w:hint="eastAsia" w:cs="Times New Roman"/>
      </w:rPr>
    </w:lvl>
    <w:lvl w:ilvl="1" w:tentative="0">
      <w:start w:val="1"/>
      <w:numFmt w:val="lowerLetter"/>
      <w:lvlText w:val="%2)"/>
      <w:lvlJc w:val="left"/>
      <w:pPr>
        <w:tabs>
          <w:tab w:val="left" w:pos="3724"/>
        </w:tabs>
        <w:ind w:left="3724" w:hanging="420"/>
      </w:pPr>
      <w:rPr>
        <w:rFonts w:cs="Times New Roman"/>
      </w:rPr>
    </w:lvl>
    <w:lvl w:ilvl="2" w:tentative="0">
      <w:start w:val="1"/>
      <w:numFmt w:val="lowerRoman"/>
      <w:lvlText w:val="%3."/>
      <w:lvlJc w:val="right"/>
      <w:pPr>
        <w:tabs>
          <w:tab w:val="left" w:pos="4144"/>
        </w:tabs>
        <w:ind w:left="4144" w:hanging="420"/>
      </w:pPr>
      <w:rPr>
        <w:rFonts w:cs="Times New Roman"/>
      </w:rPr>
    </w:lvl>
    <w:lvl w:ilvl="3" w:tentative="0">
      <w:start w:val="1"/>
      <w:numFmt w:val="decimal"/>
      <w:lvlText w:val="%4."/>
      <w:lvlJc w:val="left"/>
      <w:pPr>
        <w:tabs>
          <w:tab w:val="left" w:pos="4564"/>
        </w:tabs>
        <w:ind w:left="4564" w:hanging="420"/>
      </w:pPr>
      <w:rPr>
        <w:rFonts w:cs="Times New Roman"/>
      </w:rPr>
    </w:lvl>
    <w:lvl w:ilvl="4" w:tentative="0">
      <w:start w:val="1"/>
      <w:numFmt w:val="lowerLetter"/>
      <w:lvlText w:val="%5)"/>
      <w:lvlJc w:val="left"/>
      <w:pPr>
        <w:tabs>
          <w:tab w:val="left" w:pos="4984"/>
        </w:tabs>
        <w:ind w:left="4984" w:hanging="420"/>
      </w:pPr>
      <w:rPr>
        <w:rFonts w:cs="Times New Roman"/>
      </w:rPr>
    </w:lvl>
    <w:lvl w:ilvl="5" w:tentative="0">
      <w:start w:val="1"/>
      <w:numFmt w:val="lowerRoman"/>
      <w:lvlText w:val="%6."/>
      <w:lvlJc w:val="right"/>
      <w:pPr>
        <w:tabs>
          <w:tab w:val="left" w:pos="5404"/>
        </w:tabs>
        <w:ind w:left="5404" w:hanging="420"/>
      </w:pPr>
      <w:rPr>
        <w:rFonts w:cs="Times New Roman"/>
      </w:rPr>
    </w:lvl>
    <w:lvl w:ilvl="6" w:tentative="0">
      <w:start w:val="1"/>
      <w:numFmt w:val="decimal"/>
      <w:lvlText w:val="%7."/>
      <w:lvlJc w:val="left"/>
      <w:pPr>
        <w:tabs>
          <w:tab w:val="left" w:pos="5824"/>
        </w:tabs>
        <w:ind w:left="5824" w:hanging="420"/>
      </w:pPr>
      <w:rPr>
        <w:rFonts w:cs="Times New Roman"/>
      </w:rPr>
    </w:lvl>
    <w:lvl w:ilvl="7" w:tentative="0">
      <w:start w:val="1"/>
      <w:numFmt w:val="lowerLetter"/>
      <w:lvlText w:val="%8)"/>
      <w:lvlJc w:val="left"/>
      <w:pPr>
        <w:tabs>
          <w:tab w:val="left" w:pos="6244"/>
        </w:tabs>
        <w:ind w:left="6244" w:hanging="420"/>
      </w:pPr>
      <w:rPr>
        <w:rFonts w:cs="Times New Roman"/>
      </w:rPr>
    </w:lvl>
    <w:lvl w:ilvl="8" w:tentative="0">
      <w:start w:val="1"/>
      <w:numFmt w:val="lowerRoman"/>
      <w:lvlText w:val="%9."/>
      <w:lvlJc w:val="right"/>
      <w:pPr>
        <w:tabs>
          <w:tab w:val="left" w:pos="6664"/>
        </w:tabs>
        <w:ind w:left="6664" w:hanging="420"/>
      </w:pPr>
      <w:rPr>
        <w:rFonts w:cs="Times New Roman"/>
      </w:rPr>
    </w:lvl>
  </w:abstractNum>
  <w:abstractNum w:abstractNumId="2">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5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5">
    <w:nsid w:val="59F6D0D3"/>
    <w:multiLevelType w:val="singleLevel"/>
    <w:tmpl w:val="59F6D0D3"/>
    <w:lvl w:ilvl="0" w:tentative="0">
      <w:start w:val="1"/>
      <w:numFmt w:val="chineseCounting"/>
      <w:suff w:val="nothing"/>
      <w:lvlText w:val="%1、"/>
      <w:lvlJc w:val="left"/>
    </w:lvl>
  </w:abstractNum>
  <w:abstractNum w:abstractNumId="6">
    <w:nsid w:val="72475E2C"/>
    <w:multiLevelType w:val="multilevel"/>
    <w:tmpl w:val="72475E2C"/>
    <w:lvl w:ilvl="0" w:tentative="0">
      <w:start w:val="1"/>
      <w:numFmt w:val="decimal"/>
      <w:lvlText w:val="%1."/>
      <w:lvlJc w:val="left"/>
      <w:pPr>
        <w:ind w:left="900" w:hanging="420"/>
      </w:pPr>
    </w:lvl>
    <w:lvl w:ilvl="1" w:tentative="0">
      <w:start w:val="1"/>
      <w:numFmt w:val="lowerLetter"/>
      <w:pStyle w:val="250"/>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1MGM0MjI3MGVlZjJlYmY5NDVjMjRhYmY0ZGE5NzIifQ=="/>
  </w:docVars>
  <w:rsids>
    <w:rsidRoot w:val="00A97135"/>
    <w:rsid w:val="00001940"/>
    <w:rsid w:val="00001E8A"/>
    <w:rsid w:val="00002CCF"/>
    <w:rsid w:val="00003263"/>
    <w:rsid w:val="00012C18"/>
    <w:rsid w:val="00012E3E"/>
    <w:rsid w:val="000209E2"/>
    <w:rsid w:val="000216C3"/>
    <w:rsid w:val="0004098C"/>
    <w:rsid w:val="000416E7"/>
    <w:rsid w:val="00043495"/>
    <w:rsid w:val="00046F36"/>
    <w:rsid w:val="0005014C"/>
    <w:rsid w:val="000513CF"/>
    <w:rsid w:val="00052F91"/>
    <w:rsid w:val="000554E9"/>
    <w:rsid w:val="0006001F"/>
    <w:rsid w:val="00060748"/>
    <w:rsid w:val="000664C3"/>
    <w:rsid w:val="00070C98"/>
    <w:rsid w:val="00072449"/>
    <w:rsid w:val="00072AF3"/>
    <w:rsid w:val="00074902"/>
    <w:rsid w:val="00077D20"/>
    <w:rsid w:val="00085BFC"/>
    <w:rsid w:val="0009003B"/>
    <w:rsid w:val="000909AB"/>
    <w:rsid w:val="00090D57"/>
    <w:rsid w:val="00092886"/>
    <w:rsid w:val="00093005"/>
    <w:rsid w:val="0009304F"/>
    <w:rsid w:val="0009509C"/>
    <w:rsid w:val="00095477"/>
    <w:rsid w:val="000A0337"/>
    <w:rsid w:val="000A33BC"/>
    <w:rsid w:val="000A6959"/>
    <w:rsid w:val="000B3003"/>
    <w:rsid w:val="000B48BF"/>
    <w:rsid w:val="000B694D"/>
    <w:rsid w:val="000B7634"/>
    <w:rsid w:val="000C0034"/>
    <w:rsid w:val="000C18FF"/>
    <w:rsid w:val="000C5644"/>
    <w:rsid w:val="000D1622"/>
    <w:rsid w:val="000D3FB0"/>
    <w:rsid w:val="000E3B90"/>
    <w:rsid w:val="000E5570"/>
    <w:rsid w:val="000F411E"/>
    <w:rsid w:val="001003C2"/>
    <w:rsid w:val="00100CED"/>
    <w:rsid w:val="001017D7"/>
    <w:rsid w:val="00104534"/>
    <w:rsid w:val="00105EA4"/>
    <w:rsid w:val="00110BDA"/>
    <w:rsid w:val="00111E32"/>
    <w:rsid w:val="00112A23"/>
    <w:rsid w:val="00121A3A"/>
    <w:rsid w:val="001230E1"/>
    <w:rsid w:val="00123F16"/>
    <w:rsid w:val="00125CFD"/>
    <w:rsid w:val="001274D9"/>
    <w:rsid w:val="00130CFC"/>
    <w:rsid w:val="00130E9C"/>
    <w:rsid w:val="001311E2"/>
    <w:rsid w:val="001344AA"/>
    <w:rsid w:val="00137DC1"/>
    <w:rsid w:val="00140CED"/>
    <w:rsid w:val="00143487"/>
    <w:rsid w:val="00146B57"/>
    <w:rsid w:val="00151FFC"/>
    <w:rsid w:val="0015233C"/>
    <w:rsid w:val="00152ECD"/>
    <w:rsid w:val="001551ED"/>
    <w:rsid w:val="001553DB"/>
    <w:rsid w:val="001630E9"/>
    <w:rsid w:val="0016364F"/>
    <w:rsid w:val="00163B85"/>
    <w:rsid w:val="0016494F"/>
    <w:rsid w:val="00170FF4"/>
    <w:rsid w:val="001740F6"/>
    <w:rsid w:val="00176F36"/>
    <w:rsid w:val="00190236"/>
    <w:rsid w:val="001936A8"/>
    <w:rsid w:val="0019739F"/>
    <w:rsid w:val="001A69D3"/>
    <w:rsid w:val="001B7675"/>
    <w:rsid w:val="001C09FC"/>
    <w:rsid w:val="001C1190"/>
    <w:rsid w:val="001C60BA"/>
    <w:rsid w:val="001C682A"/>
    <w:rsid w:val="001D1DE5"/>
    <w:rsid w:val="001D3257"/>
    <w:rsid w:val="001D38A6"/>
    <w:rsid w:val="001D487E"/>
    <w:rsid w:val="001D65B9"/>
    <w:rsid w:val="001E17A6"/>
    <w:rsid w:val="001E278E"/>
    <w:rsid w:val="001E5936"/>
    <w:rsid w:val="001E6827"/>
    <w:rsid w:val="001F531C"/>
    <w:rsid w:val="001F552D"/>
    <w:rsid w:val="001F73CE"/>
    <w:rsid w:val="002022F7"/>
    <w:rsid w:val="00206B63"/>
    <w:rsid w:val="00207D7A"/>
    <w:rsid w:val="002156DB"/>
    <w:rsid w:val="00215F9C"/>
    <w:rsid w:val="00216743"/>
    <w:rsid w:val="00220081"/>
    <w:rsid w:val="0022532A"/>
    <w:rsid w:val="002272B4"/>
    <w:rsid w:val="00233C74"/>
    <w:rsid w:val="0023410F"/>
    <w:rsid w:val="00237D57"/>
    <w:rsid w:val="00237EEB"/>
    <w:rsid w:val="00243691"/>
    <w:rsid w:val="0024382E"/>
    <w:rsid w:val="002535A8"/>
    <w:rsid w:val="00255A42"/>
    <w:rsid w:val="00255AD2"/>
    <w:rsid w:val="00262DC4"/>
    <w:rsid w:val="002667D0"/>
    <w:rsid w:val="00271DD6"/>
    <w:rsid w:val="00272BBF"/>
    <w:rsid w:val="00275E5F"/>
    <w:rsid w:val="00285561"/>
    <w:rsid w:val="0028573C"/>
    <w:rsid w:val="002910B2"/>
    <w:rsid w:val="002942A7"/>
    <w:rsid w:val="00294DB5"/>
    <w:rsid w:val="002A73AE"/>
    <w:rsid w:val="002B3325"/>
    <w:rsid w:val="002B4643"/>
    <w:rsid w:val="002B6C59"/>
    <w:rsid w:val="002C672D"/>
    <w:rsid w:val="002D036C"/>
    <w:rsid w:val="002D5D40"/>
    <w:rsid w:val="002E1490"/>
    <w:rsid w:val="002E1A81"/>
    <w:rsid w:val="002E4C38"/>
    <w:rsid w:val="002E5271"/>
    <w:rsid w:val="002E7019"/>
    <w:rsid w:val="002E7406"/>
    <w:rsid w:val="002F0647"/>
    <w:rsid w:val="002F2B88"/>
    <w:rsid w:val="002F3E6F"/>
    <w:rsid w:val="003012DB"/>
    <w:rsid w:val="00312233"/>
    <w:rsid w:val="0031393F"/>
    <w:rsid w:val="00314780"/>
    <w:rsid w:val="00315D25"/>
    <w:rsid w:val="0031612F"/>
    <w:rsid w:val="003228D9"/>
    <w:rsid w:val="00324A60"/>
    <w:rsid w:val="00325665"/>
    <w:rsid w:val="003261DC"/>
    <w:rsid w:val="003263A4"/>
    <w:rsid w:val="00332582"/>
    <w:rsid w:val="003341A3"/>
    <w:rsid w:val="00334CD9"/>
    <w:rsid w:val="00335A02"/>
    <w:rsid w:val="003364E5"/>
    <w:rsid w:val="00336A39"/>
    <w:rsid w:val="00342FB6"/>
    <w:rsid w:val="00352AF1"/>
    <w:rsid w:val="00366C41"/>
    <w:rsid w:val="00377C16"/>
    <w:rsid w:val="0038209E"/>
    <w:rsid w:val="0038340B"/>
    <w:rsid w:val="00384168"/>
    <w:rsid w:val="0038544A"/>
    <w:rsid w:val="00385BA7"/>
    <w:rsid w:val="003915E4"/>
    <w:rsid w:val="0039250A"/>
    <w:rsid w:val="003946EF"/>
    <w:rsid w:val="00395ECA"/>
    <w:rsid w:val="003A28F5"/>
    <w:rsid w:val="003A44BF"/>
    <w:rsid w:val="003C254F"/>
    <w:rsid w:val="003C367B"/>
    <w:rsid w:val="003C3D54"/>
    <w:rsid w:val="003C5F1B"/>
    <w:rsid w:val="003D115F"/>
    <w:rsid w:val="003D2F49"/>
    <w:rsid w:val="003E4833"/>
    <w:rsid w:val="003F0D4B"/>
    <w:rsid w:val="003F279B"/>
    <w:rsid w:val="003F4CBD"/>
    <w:rsid w:val="004007AB"/>
    <w:rsid w:val="004015B3"/>
    <w:rsid w:val="00404263"/>
    <w:rsid w:val="0040534D"/>
    <w:rsid w:val="00407158"/>
    <w:rsid w:val="00415F70"/>
    <w:rsid w:val="00416F27"/>
    <w:rsid w:val="00423822"/>
    <w:rsid w:val="00430B23"/>
    <w:rsid w:val="00433299"/>
    <w:rsid w:val="004516C0"/>
    <w:rsid w:val="00456377"/>
    <w:rsid w:val="004641C7"/>
    <w:rsid w:val="00470177"/>
    <w:rsid w:val="00471C04"/>
    <w:rsid w:val="00471FD0"/>
    <w:rsid w:val="0047556E"/>
    <w:rsid w:val="00490FBA"/>
    <w:rsid w:val="004937FE"/>
    <w:rsid w:val="00496B5F"/>
    <w:rsid w:val="00497206"/>
    <w:rsid w:val="004A29C2"/>
    <w:rsid w:val="004A2F51"/>
    <w:rsid w:val="004A6D61"/>
    <w:rsid w:val="004A6EBE"/>
    <w:rsid w:val="004C30E5"/>
    <w:rsid w:val="004C56D4"/>
    <w:rsid w:val="004C6226"/>
    <w:rsid w:val="004C71C5"/>
    <w:rsid w:val="004D03D6"/>
    <w:rsid w:val="004D1D2A"/>
    <w:rsid w:val="004D2AD6"/>
    <w:rsid w:val="004E12D8"/>
    <w:rsid w:val="004E13B0"/>
    <w:rsid w:val="004E34CC"/>
    <w:rsid w:val="004E6E14"/>
    <w:rsid w:val="004F15D1"/>
    <w:rsid w:val="004F1ACA"/>
    <w:rsid w:val="004F478E"/>
    <w:rsid w:val="004F65E8"/>
    <w:rsid w:val="00501433"/>
    <w:rsid w:val="00501BCA"/>
    <w:rsid w:val="00511240"/>
    <w:rsid w:val="005176AB"/>
    <w:rsid w:val="00522590"/>
    <w:rsid w:val="005253AC"/>
    <w:rsid w:val="0053472E"/>
    <w:rsid w:val="00534927"/>
    <w:rsid w:val="00537070"/>
    <w:rsid w:val="00541556"/>
    <w:rsid w:val="00543AD9"/>
    <w:rsid w:val="00546181"/>
    <w:rsid w:val="00551E2D"/>
    <w:rsid w:val="0055597D"/>
    <w:rsid w:val="0056034E"/>
    <w:rsid w:val="00560D7A"/>
    <w:rsid w:val="00565B68"/>
    <w:rsid w:val="00565BA6"/>
    <w:rsid w:val="00566D28"/>
    <w:rsid w:val="005672A4"/>
    <w:rsid w:val="00567959"/>
    <w:rsid w:val="00570013"/>
    <w:rsid w:val="00571F8B"/>
    <w:rsid w:val="00574D8A"/>
    <w:rsid w:val="005802A8"/>
    <w:rsid w:val="005803EF"/>
    <w:rsid w:val="0059556D"/>
    <w:rsid w:val="005A0EA4"/>
    <w:rsid w:val="005B1473"/>
    <w:rsid w:val="005B5164"/>
    <w:rsid w:val="005B5C50"/>
    <w:rsid w:val="005C3D4C"/>
    <w:rsid w:val="005D1CA6"/>
    <w:rsid w:val="005D36D2"/>
    <w:rsid w:val="005E7152"/>
    <w:rsid w:val="005E77C8"/>
    <w:rsid w:val="005F1653"/>
    <w:rsid w:val="005F2738"/>
    <w:rsid w:val="006002C3"/>
    <w:rsid w:val="0060098F"/>
    <w:rsid w:val="0060513D"/>
    <w:rsid w:val="006063EE"/>
    <w:rsid w:val="00607965"/>
    <w:rsid w:val="00607E44"/>
    <w:rsid w:val="006109AF"/>
    <w:rsid w:val="00610DEB"/>
    <w:rsid w:val="00611FCA"/>
    <w:rsid w:val="006126C6"/>
    <w:rsid w:val="00616EF1"/>
    <w:rsid w:val="00620E6C"/>
    <w:rsid w:val="00622D68"/>
    <w:rsid w:val="00625CA7"/>
    <w:rsid w:val="006270AD"/>
    <w:rsid w:val="006273A5"/>
    <w:rsid w:val="00632160"/>
    <w:rsid w:val="00632646"/>
    <w:rsid w:val="00633B30"/>
    <w:rsid w:val="00654450"/>
    <w:rsid w:val="00655B50"/>
    <w:rsid w:val="00656974"/>
    <w:rsid w:val="00661535"/>
    <w:rsid w:val="00665C4E"/>
    <w:rsid w:val="00671027"/>
    <w:rsid w:val="006758D6"/>
    <w:rsid w:val="00676F8C"/>
    <w:rsid w:val="00681270"/>
    <w:rsid w:val="00684466"/>
    <w:rsid w:val="00687129"/>
    <w:rsid w:val="006A4714"/>
    <w:rsid w:val="006A4ECA"/>
    <w:rsid w:val="006A66C4"/>
    <w:rsid w:val="006A718A"/>
    <w:rsid w:val="006B1592"/>
    <w:rsid w:val="006B1DF3"/>
    <w:rsid w:val="006B42AA"/>
    <w:rsid w:val="006B62E2"/>
    <w:rsid w:val="006B635B"/>
    <w:rsid w:val="006B6FD1"/>
    <w:rsid w:val="006B74E5"/>
    <w:rsid w:val="006C0C0B"/>
    <w:rsid w:val="006C1153"/>
    <w:rsid w:val="006C683E"/>
    <w:rsid w:val="006D036E"/>
    <w:rsid w:val="006D186B"/>
    <w:rsid w:val="006D6068"/>
    <w:rsid w:val="006E37E6"/>
    <w:rsid w:val="006E4F64"/>
    <w:rsid w:val="006E64FD"/>
    <w:rsid w:val="006E6FBF"/>
    <w:rsid w:val="006E746D"/>
    <w:rsid w:val="006F0999"/>
    <w:rsid w:val="006F32ED"/>
    <w:rsid w:val="007013AB"/>
    <w:rsid w:val="00705395"/>
    <w:rsid w:val="00710E0B"/>
    <w:rsid w:val="00712F5F"/>
    <w:rsid w:val="00713057"/>
    <w:rsid w:val="00713766"/>
    <w:rsid w:val="00714362"/>
    <w:rsid w:val="00715265"/>
    <w:rsid w:val="00716803"/>
    <w:rsid w:val="00720A62"/>
    <w:rsid w:val="00722851"/>
    <w:rsid w:val="00725D0B"/>
    <w:rsid w:val="007307DC"/>
    <w:rsid w:val="00735A90"/>
    <w:rsid w:val="007360C4"/>
    <w:rsid w:val="007402E5"/>
    <w:rsid w:val="007406BB"/>
    <w:rsid w:val="00743537"/>
    <w:rsid w:val="00750F8F"/>
    <w:rsid w:val="00756075"/>
    <w:rsid w:val="00766AA6"/>
    <w:rsid w:val="007674E9"/>
    <w:rsid w:val="00767D73"/>
    <w:rsid w:val="007701F1"/>
    <w:rsid w:val="00775CD0"/>
    <w:rsid w:val="00777B2B"/>
    <w:rsid w:val="007860AD"/>
    <w:rsid w:val="00787403"/>
    <w:rsid w:val="00794C63"/>
    <w:rsid w:val="007A0475"/>
    <w:rsid w:val="007A3D40"/>
    <w:rsid w:val="007B27D8"/>
    <w:rsid w:val="007B588B"/>
    <w:rsid w:val="007B770D"/>
    <w:rsid w:val="007C574B"/>
    <w:rsid w:val="007C7285"/>
    <w:rsid w:val="007C78E6"/>
    <w:rsid w:val="007C7FD5"/>
    <w:rsid w:val="007D20AF"/>
    <w:rsid w:val="007D21CE"/>
    <w:rsid w:val="007D28C2"/>
    <w:rsid w:val="007D2FD6"/>
    <w:rsid w:val="007D722A"/>
    <w:rsid w:val="007E1827"/>
    <w:rsid w:val="007E2DF4"/>
    <w:rsid w:val="007E6B14"/>
    <w:rsid w:val="00800569"/>
    <w:rsid w:val="00806754"/>
    <w:rsid w:val="0081318F"/>
    <w:rsid w:val="00820278"/>
    <w:rsid w:val="00823BFF"/>
    <w:rsid w:val="00832092"/>
    <w:rsid w:val="00846614"/>
    <w:rsid w:val="00850A01"/>
    <w:rsid w:val="008568FC"/>
    <w:rsid w:val="008604D3"/>
    <w:rsid w:val="00860DB0"/>
    <w:rsid w:val="00863EFA"/>
    <w:rsid w:val="008654CB"/>
    <w:rsid w:val="00875639"/>
    <w:rsid w:val="008768A4"/>
    <w:rsid w:val="00876C82"/>
    <w:rsid w:val="008778CC"/>
    <w:rsid w:val="0087793D"/>
    <w:rsid w:val="00882B00"/>
    <w:rsid w:val="00883472"/>
    <w:rsid w:val="00890688"/>
    <w:rsid w:val="0089280F"/>
    <w:rsid w:val="008933C6"/>
    <w:rsid w:val="00897735"/>
    <w:rsid w:val="008A038C"/>
    <w:rsid w:val="008A2D2D"/>
    <w:rsid w:val="008A3062"/>
    <w:rsid w:val="008B055F"/>
    <w:rsid w:val="008C0073"/>
    <w:rsid w:val="008C1169"/>
    <w:rsid w:val="008D3C54"/>
    <w:rsid w:val="008D435D"/>
    <w:rsid w:val="008E22B5"/>
    <w:rsid w:val="008F0EB1"/>
    <w:rsid w:val="008F181A"/>
    <w:rsid w:val="009026AB"/>
    <w:rsid w:val="00911C00"/>
    <w:rsid w:val="00923B89"/>
    <w:rsid w:val="00930E95"/>
    <w:rsid w:val="00946C54"/>
    <w:rsid w:val="00951BD7"/>
    <w:rsid w:val="0095496F"/>
    <w:rsid w:val="00957606"/>
    <w:rsid w:val="00961B28"/>
    <w:rsid w:val="00961BAB"/>
    <w:rsid w:val="00963D0A"/>
    <w:rsid w:val="00966418"/>
    <w:rsid w:val="00966F26"/>
    <w:rsid w:val="00975B33"/>
    <w:rsid w:val="009808C2"/>
    <w:rsid w:val="009913E9"/>
    <w:rsid w:val="0099149F"/>
    <w:rsid w:val="0099404D"/>
    <w:rsid w:val="009A100A"/>
    <w:rsid w:val="009A41DA"/>
    <w:rsid w:val="009B37EF"/>
    <w:rsid w:val="009C12CF"/>
    <w:rsid w:val="009D0F12"/>
    <w:rsid w:val="009D41BA"/>
    <w:rsid w:val="00A0208A"/>
    <w:rsid w:val="00A07562"/>
    <w:rsid w:val="00A10072"/>
    <w:rsid w:val="00A172FA"/>
    <w:rsid w:val="00A20450"/>
    <w:rsid w:val="00A2226C"/>
    <w:rsid w:val="00A2311F"/>
    <w:rsid w:val="00A2666E"/>
    <w:rsid w:val="00A266F6"/>
    <w:rsid w:val="00A27729"/>
    <w:rsid w:val="00A372E1"/>
    <w:rsid w:val="00A41C49"/>
    <w:rsid w:val="00A51D81"/>
    <w:rsid w:val="00A56033"/>
    <w:rsid w:val="00A613FA"/>
    <w:rsid w:val="00A61E5E"/>
    <w:rsid w:val="00A66EAC"/>
    <w:rsid w:val="00A70E9C"/>
    <w:rsid w:val="00A73036"/>
    <w:rsid w:val="00A7407D"/>
    <w:rsid w:val="00A813C8"/>
    <w:rsid w:val="00A944B5"/>
    <w:rsid w:val="00A94B83"/>
    <w:rsid w:val="00A94DA4"/>
    <w:rsid w:val="00A95DD3"/>
    <w:rsid w:val="00A97135"/>
    <w:rsid w:val="00A97199"/>
    <w:rsid w:val="00A97DD4"/>
    <w:rsid w:val="00AA13B7"/>
    <w:rsid w:val="00AA3C9A"/>
    <w:rsid w:val="00AA470F"/>
    <w:rsid w:val="00AA78D2"/>
    <w:rsid w:val="00AB7C14"/>
    <w:rsid w:val="00AC0598"/>
    <w:rsid w:val="00AC212B"/>
    <w:rsid w:val="00AC77AC"/>
    <w:rsid w:val="00AD7DD9"/>
    <w:rsid w:val="00AE0C5F"/>
    <w:rsid w:val="00AE38F9"/>
    <w:rsid w:val="00AF6BE8"/>
    <w:rsid w:val="00B01E3F"/>
    <w:rsid w:val="00B02846"/>
    <w:rsid w:val="00B02CFC"/>
    <w:rsid w:val="00B0329B"/>
    <w:rsid w:val="00B11988"/>
    <w:rsid w:val="00B15918"/>
    <w:rsid w:val="00B15D35"/>
    <w:rsid w:val="00B303BF"/>
    <w:rsid w:val="00B31943"/>
    <w:rsid w:val="00B4172F"/>
    <w:rsid w:val="00B4270C"/>
    <w:rsid w:val="00B43020"/>
    <w:rsid w:val="00B4363C"/>
    <w:rsid w:val="00B500C3"/>
    <w:rsid w:val="00B500F9"/>
    <w:rsid w:val="00B50DB3"/>
    <w:rsid w:val="00B53DFB"/>
    <w:rsid w:val="00B61F82"/>
    <w:rsid w:val="00B62218"/>
    <w:rsid w:val="00B668C1"/>
    <w:rsid w:val="00B672F8"/>
    <w:rsid w:val="00B6742A"/>
    <w:rsid w:val="00B7238F"/>
    <w:rsid w:val="00B761F6"/>
    <w:rsid w:val="00B8101E"/>
    <w:rsid w:val="00B840F6"/>
    <w:rsid w:val="00B85EFE"/>
    <w:rsid w:val="00B86C11"/>
    <w:rsid w:val="00B96CDE"/>
    <w:rsid w:val="00BA0098"/>
    <w:rsid w:val="00BA0310"/>
    <w:rsid w:val="00BA2E96"/>
    <w:rsid w:val="00BB01C2"/>
    <w:rsid w:val="00BB140D"/>
    <w:rsid w:val="00BB2FAA"/>
    <w:rsid w:val="00BB364F"/>
    <w:rsid w:val="00BB6750"/>
    <w:rsid w:val="00BC3496"/>
    <w:rsid w:val="00BD4F7D"/>
    <w:rsid w:val="00BD676E"/>
    <w:rsid w:val="00BE09BB"/>
    <w:rsid w:val="00BE25CD"/>
    <w:rsid w:val="00C006E0"/>
    <w:rsid w:val="00C006EF"/>
    <w:rsid w:val="00C00CC6"/>
    <w:rsid w:val="00C01275"/>
    <w:rsid w:val="00C03A52"/>
    <w:rsid w:val="00C04D63"/>
    <w:rsid w:val="00C0557E"/>
    <w:rsid w:val="00C05FD2"/>
    <w:rsid w:val="00C1400B"/>
    <w:rsid w:val="00C15598"/>
    <w:rsid w:val="00C21D65"/>
    <w:rsid w:val="00C2238F"/>
    <w:rsid w:val="00C34A2A"/>
    <w:rsid w:val="00C35446"/>
    <w:rsid w:val="00C36729"/>
    <w:rsid w:val="00C37CE3"/>
    <w:rsid w:val="00C45159"/>
    <w:rsid w:val="00C52D1E"/>
    <w:rsid w:val="00C60838"/>
    <w:rsid w:val="00C61BA9"/>
    <w:rsid w:val="00C63ECE"/>
    <w:rsid w:val="00C66C89"/>
    <w:rsid w:val="00C66D84"/>
    <w:rsid w:val="00C70858"/>
    <w:rsid w:val="00C74BA8"/>
    <w:rsid w:val="00C77FF2"/>
    <w:rsid w:val="00C8043A"/>
    <w:rsid w:val="00C80C5A"/>
    <w:rsid w:val="00C82056"/>
    <w:rsid w:val="00C82856"/>
    <w:rsid w:val="00C854DA"/>
    <w:rsid w:val="00C862A6"/>
    <w:rsid w:val="00C93352"/>
    <w:rsid w:val="00CA254B"/>
    <w:rsid w:val="00CA40E8"/>
    <w:rsid w:val="00CA4E26"/>
    <w:rsid w:val="00CB1ECF"/>
    <w:rsid w:val="00CC486D"/>
    <w:rsid w:val="00CC56FD"/>
    <w:rsid w:val="00CC7C19"/>
    <w:rsid w:val="00CD3E72"/>
    <w:rsid w:val="00CE10F6"/>
    <w:rsid w:val="00CE5355"/>
    <w:rsid w:val="00CF181C"/>
    <w:rsid w:val="00CF415E"/>
    <w:rsid w:val="00CF52FC"/>
    <w:rsid w:val="00CF61A2"/>
    <w:rsid w:val="00D02554"/>
    <w:rsid w:val="00D0334C"/>
    <w:rsid w:val="00D04A0A"/>
    <w:rsid w:val="00D22D0B"/>
    <w:rsid w:val="00D24B8E"/>
    <w:rsid w:val="00D26FB1"/>
    <w:rsid w:val="00D270CC"/>
    <w:rsid w:val="00D37D49"/>
    <w:rsid w:val="00D41068"/>
    <w:rsid w:val="00D43526"/>
    <w:rsid w:val="00D440AB"/>
    <w:rsid w:val="00D45773"/>
    <w:rsid w:val="00D465E1"/>
    <w:rsid w:val="00D51421"/>
    <w:rsid w:val="00D629B4"/>
    <w:rsid w:val="00D65DE0"/>
    <w:rsid w:val="00D6756F"/>
    <w:rsid w:val="00D71B37"/>
    <w:rsid w:val="00D7264F"/>
    <w:rsid w:val="00D73D5E"/>
    <w:rsid w:val="00D80D73"/>
    <w:rsid w:val="00D836B2"/>
    <w:rsid w:val="00D85D32"/>
    <w:rsid w:val="00D90A1E"/>
    <w:rsid w:val="00D951E9"/>
    <w:rsid w:val="00DA328F"/>
    <w:rsid w:val="00DA7259"/>
    <w:rsid w:val="00DB0232"/>
    <w:rsid w:val="00DB6771"/>
    <w:rsid w:val="00DC0256"/>
    <w:rsid w:val="00DD4716"/>
    <w:rsid w:val="00DD6B61"/>
    <w:rsid w:val="00DD6C62"/>
    <w:rsid w:val="00DF0FED"/>
    <w:rsid w:val="00DF6215"/>
    <w:rsid w:val="00E05CFD"/>
    <w:rsid w:val="00E0735A"/>
    <w:rsid w:val="00E0744F"/>
    <w:rsid w:val="00E10AF3"/>
    <w:rsid w:val="00E1258D"/>
    <w:rsid w:val="00E130FE"/>
    <w:rsid w:val="00E1475F"/>
    <w:rsid w:val="00E153E9"/>
    <w:rsid w:val="00E20D2E"/>
    <w:rsid w:val="00E230D1"/>
    <w:rsid w:val="00E24DCC"/>
    <w:rsid w:val="00E26A40"/>
    <w:rsid w:val="00E3719A"/>
    <w:rsid w:val="00E406AD"/>
    <w:rsid w:val="00E41D0C"/>
    <w:rsid w:val="00E435AD"/>
    <w:rsid w:val="00E54BB6"/>
    <w:rsid w:val="00E56819"/>
    <w:rsid w:val="00E67509"/>
    <w:rsid w:val="00E67827"/>
    <w:rsid w:val="00E67DE0"/>
    <w:rsid w:val="00E84516"/>
    <w:rsid w:val="00E928AB"/>
    <w:rsid w:val="00E9744F"/>
    <w:rsid w:val="00EA01BC"/>
    <w:rsid w:val="00EA10CC"/>
    <w:rsid w:val="00EA13E7"/>
    <w:rsid w:val="00EA2AC4"/>
    <w:rsid w:val="00EB2FC4"/>
    <w:rsid w:val="00EB430E"/>
    <w:rsid w:val="00EC388C"/>
    <w:rsid w:val="00EC465B"/>
    <w:rsid w:val="00EC4DFD"/>
    <w:rsid w:val="00ED2B21"/>
    <w:rsid w:val="00ED38B4"/>
    <w:rsid w:val="00ED66B8"/>
    <w:rsid w:val="00EE100E"/>
    <w:rsid w:val="00EE206D"/>
    <w:rsid w:val="00EE339A"/>
    <w:rsid w:val="00EE3708"/>
    <w:rsid w:val="00EF4C80"/>
    <w:rsid w:val="00EF6072"/>
    <w:rsid w:val="00F07D62"/>
    <w:rsid w:val="00F14CE4"/>
    <w:rsid w:val="00F3069C"/>
    <w:rsid w:val="00F30B6F"/>
    <w:rsid w:val="00F44CB4"/>
    <w:rsid w:val="00F50D7F"/>
    <w:rsid w:val="00F56321"/>
    <w:rsid w:val="00F65474"/>
    <w:rsid w:val="00F66D6E"/>
    <w:rsid w:val="00F67201"/>
    <w:rsid w:val="00F72C4A"/>
    <w:rsid w:val="00F73FCA"/>
    <w:rsid w:val="00F74B23"/>
    <w:rsid w:val="00F76053"/>
    <w:rsid w:val="00F80AA8"/>
    <w:rsid w:val="00F87640"/>
    <w:rsid w:val="00F9654A"/>
    <w:rsid w:val="00FA3100"/>
    <w:rsid w:val="00FB1513"/>
    <w:rsid w:val="00FB42B9"/>
    <w:rsid w:val="00FB4469"/>
    <w:rsid w:val="00FB54E8"/>
    <w:rsid w:val="00FC0A2B"/>
    <w:rsid w:val="00FC1167"/>
    <w:rsid w:val="00FC33E5"/>
    <w:rsid w:val="00FC6AC5"/>
    <w:rsid w:val="00FD0E06"/>
    <w:rsid w:val="00FD4A35"/>
    <w:rsid w:val="00FD4D1F"/>
    <w:rsid w:val="00FE5BD2"/>
    <w:rsid w:val="00FE6473"/>
    <w:rsid w:val="00FF1CCB"/>
    <w:rsid w:val="00FF49CD"/>
    <w:rsid w:val="012C1F65"/>
    <w:rsid w:val="015A0376"/>
    <w:rsid w:val="021F59FA"/>
    <w:rsid w:val="02551AC2"/>
    <w:rsid w:val="02B64923"/>
    <w:rsid w:val="03026A55"/>
    <w:rsid w:val="0333345C"/>
    <w:rsid w:val="03A67344"/>
    <w:rsid w:val="03D7581E"/>
    <w:rsid w:val="04BD1B14"/>
    <w:rsid w:val="05151F76"/>
    <w:rsid w:val="05D35C95"/>
    <w:rsid w:val="06C62F02"/>
    <w:rsid w:val="07DC28C4"/>
    <w:rsid w:val="08A70FC7"/>
    <w:rsid w:val="08E40CD7"/>
    <w:rsid w:val="092F42C0"/>
    <w:rsid w:val="0C79309A"/>
    <w:rsid w:val="0D5C11EF"/>
    <w:rsid w:val="0DD93B1F"/>
    <w:rsid w:val="0DE1042A"/>
    <w:rsid w:val="0E0908A4"/>
    <w:rsid w:val="101E361A"/>
    <w:rsid w:val="108C6F6A"/>
    <w:rsid w:val="10C60030"/>
    <w:rsid w:val="13D56DB9"/>
    <w:rsid w:val="14713D0E"/>
    <w:rsid w:val="149C3C30"/>
    <w:rsid w:val="14E75976"/>
    <w:rsid w:val="16AE3967"/>
    <w:rsid w:val="199E5C8F"/>
    <w:rsid w:val="19F278A2"/>
    <w:rsid w:val="1A317D12"/>
    <w:rsid w:val="1AF23138"/>
    <w:rsid w:val="1B001596"/>
    <w:rsid w:val="20754390"/>
    <w:rsid w:val="208B7597"/>
    <w:rsid w:val="21370B35"/>
    <w:rsid w:val="216D63F8"/>
    <w:rsid w:val="21C70B93"/>
    <w:rsid w:val="22943C8B"/>
    <w:rsid w:val="22CA2854"/>
    <w:rsid w:val="24145799"/>
    <w:rsid w:val="24243831"/>
    <w:rsid w:val="24F46C4C"/>
    <w:rsid w:val="253B4663"/>
    <w:rsid w:val="25612938"/>
    <w:rsid w:val="260A30B3"/>
    <w:rsid w:val="26375455"/>
    <w:rsid w:val="271C1FB5"/>
    <w:rsid w:val="271F6B87"/>
    <w:rsid w:val="27D07AA2"/>
    <w:rsid w:val="29706FA2"/>
    <w:rsid w:val="297F5EFD"/>
    <w:rsid w:val="29FA09EA"/>
    <w:rsid w:val="2CA32D09"/>
    <w:rsid w:val="2CD07544"/>
    <w:rsid w:val="2CD81B3C"/>
    <w:rsid w:val="2CF03452"/>
    <w:rsid w:val="2CF40FAD"/>
    <w:rsid w:val="2D0D044F"/>
    <w:rsid w:val="2D3D22E5"/>
    <w:rsid w:val="2E642546"/>
    <w:rsid w:val="2F6B5D04"/>
    <w:rsid w:val="2F8F5286"/>
    <w:rsid w:val="302B127B"/>
    <w:rsid w:val="31AB71DD"/>
    <w:rsid w:val="326C0551"/>
    <w:rsid w:val="3369159F"/>
    <w:rsid w:val="33C21B11"/>
    <w:rsid w:val="36B2697C"/>
    <w:rsid w:val="38C7390A"/>
    <w:rsid w:val="391A0D07"/>
    <w:rsid w:val="39470D47"/>
    <w:rsid w:val="3948754F"/>
    <w:rsid w:val="39C91242"/>
    <w:rsid w:val="3A157721"/>
    <w:rsid w:val="3B0E5C90"/>
    <w:rsid w:val="3B5D458D"/>
    <w:rsid w:val="3BFE13FA"/>
    <w:rsid w:val="3C9F2351"/>
    <w:rsid w:val="3D5E2DF1"/>
    <w:rsid w:val="3DB56395"/>
    <w:rsid w:val="3E784DEA"/>
    <w:rsid w:val="3E951FBC"/>
    <w:rsid w:val="3F2610E7"/>
    <w:rsid w:val="3F3188E5"/>
    <w:rsid w:val="3F3E5024"/>
    <w:rsid w:val="3F7928A4"/>
    <w:rsid w:val="3FD26CD3"/>
    <w:rsid w:val="4021406D"/>
    <w:rsid w:val="4048714F"/>
    <w:rsid w:val="405D597D"/>
    <w:rsid w:val="423477D6"/>
    <w:rsid w:val="431762B8"/>
    <w:rsid w:val="431B26E2"/>
    <w:rsid w:val="439F30B0"/>
    <w:rsid w:val="43BD0C0D"/>
    <w:rsid w:val="44B2664C"/>
    <w:rsid w:val="456762C9"/>
    <w:rsid w:val="464473C4"/>
    <w:rsid w:val="466F6005"/>
    <w:rsid w:val="47513C32"/>
    <w:rsid w:val="47743CD8"/>
    <w:rsid w:val="4876169C"/>
    <w:rsid w:val="48A6482D"/>
    <w:rsid w:val="4A04300D"/>
    <w:rsid w:val="4AFA4B39"/>
    <w:rsid w:val="4B0E67B2"/>
    <w:rsid w:val="4C6F2CC0"/>
    <w:rsid w:val="4CE4414C"/>
    <w:rsid w:val="4D673411"/>
    <w:rsid w:val="4D8D781A"/>
    <w:rsid w:val="4DAB5948"/>
    <w:rsid w:val="4DF30905"/>
    <w:rsid w:val="4E7A3E9F"/>
    <w:rsid w:val="507718E7"/>
    <w:rsid w:val="50DB6543"/>
    <w:rsid w:val="5138200B"/>
    <w:rsid w:val="522D6AA4"/>
    <w:rsid w:val="5243733E"/>
    <w:rsid w:val="52F47EED"/>
    <w:rsid w:val="55084E70"/>
    <w:rsid w:val="55241AA3"/>
    <w:rsid w:val="5635784F"/>
    <w:rsid w:val="582F14A6"/>
    <w:rsid w:val="58557D35"/>
    <w:rsid w:val="585D7471"/>
    <w:rsid w:val="597306EB"/>
    <w:rsid w:val="5B0911A2"/>
    <w:rsid w:val="5BCD3846"/>
    <w:rsid w:val="5BF8682E"/>
    <w:rsid w:val="5CDC3D04"/>
    <w:rsid w:val="5CF16F39"/>
    <w:rsid w:val="5D323134"/>
    <w:rsid w:val="5E342DB8"/>
    <w:rsid w:val="5EEB4428"/>
    <w:rsid w:val="5F032A61"/>
    <w:rsid w:val="5FC7848C"/>
    <w:rsid w:val="6121660E"/>
    <w:rsid w:val="6260512D"/>
    <w:rsid w:val="626E5B42"/>
    <w:rsid w:val="62B65B86"/>
    <w:rsid w:val="63F7225D"/>
    <w:rsid w:val="65BB7E4E"/>
    <w:rsid w:val="66E67E3C"/>
    <w:rsid w:val="66EC0E41"/>
    <w:rsid w:val="679E5B44"/>
    <w:rsid w:val="687A309F"/>
    <w:rsid w:val="68B845A0"/>
    <w:rsid w:val="6A101C7F"/>
    <w:rsid w:val="6A5305BA"/>
    <w:rsid w:val="6A6D0887"/>
    <w:rsid w:val="6AAB7C6E"/>
    <w:rsid w:val="6C1F48BA"/>
    <w:rsid w:val="6DF10966"/>
    <w:rsid w:val="6E8201DA"/>
    <w:rsid w:val="6F4B2C66"/>
    <w:rsid w:val="6F736195"/>
    <w:rsid w:val="700F3CEF"/>
    <w:rsid w:val="706037E8"/>
    <w:rsid w:val="70655ED1"/>
    <w:rsid w:val="70767DE2"/>
    <w:rsid w:val="708B47E3"/>
    <w:rsid w:val="70F536CF"/>
    <w:rsid w:val="71CE1382"/>
    <w:rsid w:val="72707D11"/>
    <w:rsid w:val="727F0FA3"/>
    <w:rsid w:val="72E27942"/>
    <w:rsid w:val="73045661"/>
    <w:rsid w:val="73214943"/>
    <w:rsid w:val="74A534CF"/>
    <w:rsid w:val="754817E7"/>
    <w:rsid w:val="77031C97"/>
    <w:rsid w:val="784C4AB4"/>
    <w:rsid w:val="78F9553C"/>
    <w:rsid w:val="79B40937"/>
    <w:rsid w:val="7AAE083F"/>
    <w:rsid w:val="7AFC748F"/>
    <w:rsid w:val="7B7D733F"/>
    <w:rsid w:val="7BAE53C5"/>
    <w:rsid w:val="7BFC5A6F"/>
    <w:rsid w:val="7C1B7AF2"/>
    <w:rsid w:val="7C6D5212"/>
    <w:rsid w:val="7D3C416E"/>
    <w:rsid w:val="7D9B3079"/>
    <w:rsid w:val="7E955D07"/>
    <w:rsid w:val="7FBE45A5"/>
    <w:rsid w:val="B67FDC42"/>
    <w:rsid w:val="BA7B23C6"/>
    <w:rsid w:val="BBFDB761"/>
    <w:rsid w:val="C6CA2839"/>
    <w:rsid w:val="DDF3DDAE"/>
    <w:rsid w:val="DFFDD3AB"/>
    <w:rsid w:val="EF8D30CD"/>
    <w:rsid w:val="EFE7A8B1"/>
    <w:rsid w:val="FAB7DDF1"/>
    <w:rsid w:val="FBFF10E8"/>
    <w:rsid w:val="FC3FD332"/>
    <w:rsid w:val="FCEF15C2"/>
    <w:rsid w:val="FFEAD8F8"/>
    <w:rsid w:val="FFEF1697"/>
    <w:rsid w:val="FFFB60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8"/>
    <w:autoRedefine/>
    <w:qFormat/>
    <w:uiPriority w:val="0"/>
    <w:pPr>
      <w:keepNext/>
      <w:widowControl/>
      <w:tabs>
        <w:tab w:val="left" w:pos="432"/>
      </w:tabs>
      <w:ind w:left="432" w:hanging="432"/>
      <w:jc w:val="center"/>
      <w:outlineLvl w:val="0"/>
    </w:pPr>
    <w:rPr>
      <w:rFonts w:ascii="黑体" w:hAnsi="Times New Roman" w:cs="宋体"/>
      <w:b/>
      <w:kern w:val="0"/>
      <w:sz w:val="28"/>
      <w:szCs w:val="20"/>
      <w:lang w:val="zh-CN"/>
    </w:rPr>
  </w:style>
  <w:style w:type="paragraph" w:styleId="3">
    <w:name w:val="heading 2"/>
    <w:basedOn w:val="1"/>
    <w:next w:val="4"/>
    <w:link w:val="69"/>
    <w:autoRedefine/>
    <w:qFormat/>
    <w:uiPriority w:val="0"/>
    <w:pPr>
      <w:keepNext/>
      <w:keepLines/>
      <w:widowControl/>
      <w:spacing w:before="260" w:after="260" w:line="412" w:lineRule="auto"/>
      <w:outlineLvl w:val="1"/>
    </w:pPr>
    <w:rPr>
      <w:rFonts w:ascii="Arial" w:hAnsi="Arial"/>
      <w:kern w:val="0"/>
      <w:sz w:val="28"/>
      <w:szCs w:val="20"/>
      <w:lang w:val="zh-CN"/>
    </w:rPr>
  </w:style>
  <w:style w:type="paragraph" w:styleId="5">
    <w:name w:val="heading 3"/>
    <w:basedOn w:val="1"/>
    <w:next w:val="1"/>
    <w:link w:val="70"/>
    <w:autoRedefine/>
    <w:qFormat/>
    <w:uiPriority w:val="0"/>
    <w:pPr>
      <w:keepNext/>
      <w:keepLines/>
      <w:widowControl/>
      <w:numPr>
        <w:ilvl w:val="2"/>
        <w:numId w:val="1"/>
      </w:numPr>
      <w:tabs>
        <w:tab w:val="left" w:pos="432"/>
      </w:tabs>
      <w:spacing w:before="120" w:after="120" w:line="360" w:lineRule="auto"/>
      <w:jc w:val="center"/>
      <w:outlineLvl w:val="2"/>
    </w:pPr>
    <w:rPr>
      <w:rFonts w:ascii="Times New Roman" w:hAnsi="Times New Roman"/>
      <w:b/>
      <w:kern w:val="0"/>
      <w:sz w:val="32"/>
      <w:szCs w:val="20"/>
      <w:lang w:val="zh-CN"/>
    </w:rPr>
  </w:style>
  <w:style w:type="paragraph" w:styleId="6">
    <w:name w:val="heading 4"/>
    <w:basedOn w:val="1"/>
    <w:next w:val="1"/>
    <w:link w:val="71"/>
    <w:autoRedefine/>
    <w:qFormat/>
    <w:uiPriority w:val="0"/>
    <w:pPr>
      <w:keepNext/>
      <w:keepLines/>
      <w:spacing w:before="280" w:after="290" w:line="374" w:lineRule="auto"/>
      <w:outlineLvl w:val="3"/>
    </w:pPr>
    <w:rPr>
      <w:rFonts w:ascii="Arial" w:hAnsi="Arial" w:eastAsia="仿宋_GB2312"/>
      <w:b/>
      <w:bCs/>
      <w:sz w:val="28"/>
      <w:szCs w:val="28"/>
    </w:rPr>
  </w:style>
  <w:style w:type="paragraph" w:styleId="7">
    <w:name w:val="heading 5"/>
    <w:basedOn w:val="1"/>
    <w:next w:val="1"/>
    <w:link w:val="72"/>
    <w:autoRedefine/>
    <w:qFormat/>
    <w:uiPriority w:val="0"/>
    <w:pPr>
      <w:keepNext/>
      <w:keepLines/>
      <w:spacing w:before="280" w:after="290" w:line="374" w:lineRule="auto"/>
      <w:outlineLvl w:val="4"/>
    </w:pPr>
    <w:rPr>
      <w:rFonts w:cs="宋体"/>
      <w:b/>
      <w:bCs/>
      <w:sz w:val="28"/>
      <w:szCs w:val="28"/>
    </w:rPr>
  </w:style>
  <w:style w:type="paragraph" w:styleId="8">
    <w:name w:val="heading 6"/>
    <w:basedOn w:val="1"/>
    <w:next w:val="1"/>
    <w:link w:val="73"/>
    <w:autoRedefine/>
    <w:qFormat/>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szCs w:val="24"/>
      <w:lang w:val="zh-CN"/>
    </w:rPr>
  </w:style>
  <w:style w:type="paragraph" w:styleId="9">
    <w:name w:val="heading 7"/>
    <w:basedOn w:val="1"/>
    <w:next w:val="1"/>
    <w:link w:val="74"/>
    <w:autoRedefine/>
    <w:qFormat/>
    <w:uiPriority w:val="0"/>
    <w:pPr>
      <w:keepNext/>
      <w:keepLines/>
      <w:widowControl/>
      <w:tabs>
        <w:tab w:val="left" w:pos="2520"/>
      </w:tabs>
      <w:spacing w:before="240" w:after="64" w:line="316" w:lineRule="auto"/>
      <w:ind w:left="1296" w:hanging="1296"/>
      <w:jc w:val="left"/>
      <w:outlineLvl w:val="6"/>
    </w:pPr>
    <w:rPr>
      <w:rFonts w:ascii="Times New Roman" w:hAnsi="Times New Roman"/>
      <w:b/>
      <w:bCs/>
      <w:kern w:val="0"/>
      <w:sz w:val="24"/>
      <w:szCs w:val="24"/>
      <w:lang w:val="zh-CN"/>
    </w:rPr>
  </w:style>
  <w:style w:type="paragraph" w:styleId="10">
    <w:name w:val="heading 8"/>
    <w:basedOn w:val="1"/>
    <w:next w:val="1"/>
    <w:link w:val="75"/>
    <w:autoRedefine/>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szCs w:val="24"/>
      <w:lang w:val="zh-CN"/>
    </w:rPr>
  </w:style>
  <w:style w:type="paragraph" w:styleId="11">
    <w:name w:val="heading 9"/>
    <w:basedOn w:val="1"/>
    <w:next w:val="1"/>
    <w:link w:val="76"/>
    <w:autoRedefine/>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lang w:val="zh-CN"/>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67"/>
    <w:autoRedefine/>
    <w:qFormat/>
    <w:uiPriority w:val="0"/>
    <w:pPr>
      <w:widowControl/>
      <w:ind w:firstLine="420"/>
      <w:jc w:val="left"/>
    </w:pPr>
    <w:rPr>
      <w:rFonts w:ascii="Times New Roman" w:hAnsi="Times New Roman"/>
      <w:kern w:val="0"/>
      <w:sz w:val="20"/>
      <w:szCs w:val="20"/>
    </w:rPr>
  </w:style>
  <w:style w:type="paragraph" w:styleId="12">
    <w:name w:val="toc 7"/>
    <w:basedOn w:val="1"/>
    <w:next w:val="1"/>
    <w:autoRedefine/>
    <w:qFormat/>
    <w:uiPriority w:val="0"/>
    <w:pPr>
      <w:ind w:left="2520" w:leftChars="1200"/>
    </w:pPr>
    <w:rPr>
      <w:rFonts w:ascii="Times New Roman" w:hAnsi="Times New Roman"/>
      <w:szCs w:val="24"/>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9"/>
    <w:autoRedefine/>
    <w:qFormat/>
    <w:uiPriority w:val="99"/>
    <w:pPr>
      <w:shd w:val="clear" w:color="auto" w:fill="000080"/>
    </w:pPr>
    <w:rPr>
      <w:rFonts w:ascii="Times New Roman" w:hAnsi="Times New Roman" w:eastAsia="Times New Roman"/>
      <w:szCs w:val="24"/>
    </w:rPr>
  </w:style>
  <w:style w:type="paragraph" w:styleId="15">
    <w:name w:val="annotation text"/>
    <w:basedOn w:val="1"/>
    <w:link w:val="82"/>
    <w:autoRedefine/>
    <w:qFormat/>
    <w:uiPriority w:val="99"/>
    <w:pPr>
      <w:jc w:val="left"/>
    </w:pPr>
    <w:rPr>
      <w:rFonts w:ascii="Times New Roman" w:hAnsi="Times New Roman"/>
      <w:szCs w:val="24"/>
    </w:rPr>
  </w:style>
  <w:style w:type="paragraph" w:styleId="16">
    <w:name w:val="Body Text 3"/>
    <w:basedOn w:val="1"/>
    <w:next w:val="1"/>
    <w:link w:val="85"/>
    <w:autoRedefine/>
    <w:qFormat/>
    <w:uiPriority w:val="0"/>
    <w:pPr>
      <w:spacing w:after="120"/>
    </w:pPr>
    <w:rPr>
      <w:rFonts w:ascii="Times New Roman" w:hAnsi="Times New Roman" w:eastAsia="Times New Roman"/>
      <w:sz w:val="16"/>
      <w:szCs w:val="16"/>
    </w:rPr>
  </w:style>
  <w:style w:type="paragraph" w:styleId="17">
    <w:name w:val="Body Text"/>
    <w:basedOn w:val="1"/>
    <w:next w:val="1"/>
    <w:link w:val="87"/>
    <w:autoRedefine/>
    <w:qFormat/>
    <w:uiPriority w:val="0"/>
    <w:pPr>
      <w:spacing w:line="0" w:lineRule="atLeast"/>
    </w:pPr>
    <w:rPr>
      <w:rFonts w:ascii="Times New Roman" w:hAnsi="Times New Roman" w:eastAsia="Times New Roman"/>
      <w:sz w:val="30"/>
      <w:szCs w:val="20"/>
    </w:rPr>
  </w:style>
  <w:style w:type="paragraph" w:styleId="18">
    <w:name w:val="Body Text Indent"/>
    <w:basedOn w:val="1"/>
    <w:link w:val="90"/>
    <w:autoRedefine/>
    <w:qFormat/>
    <w:uiPriority w:val="0"/>
    <w:pPr>
      <w:widowControl/>
      <w:overflowPunct w:val="0"/>
      <w:autoSpaceDE w:val="0"/>
      <w:autoSpaceDN w:val="0"/>
      <w:adjustRightInd w:val="0"/>
      <w:spacing w:line="360" w:lineRule="auto"/>
      <w:ind w:firstLine="540"/>
    </w:pPr>
    <w:rPr>
      <w:rFonts w:ascii="宋体" w:hAnsi="MS Sans Serif" w:eastAsia="Times New Roman"/>
      <w:spacing w:val="12"/>
      <w:kern w:val="0"/>
      <w:sz w:val="24"/>
      <w:szCs w:val="20"/>
    </w:rPr>
  </w:style>
  <w:style w:type="paragraph" w:styleId="19">
    <w:name w:val="Block Text"/>
    <w:basedOn w:val="1"/>
    <w:autoRedefine/>
    <w:qFormat/>
    <w:uiPriority w:val="0"/>
    <w:pPr>
      <w:adjustRightInd w:val="0"/>
      <w:ind w:left="420" w:right="33"/>
      <w:jc w:val="left"/>
    </w:pPr>
    <w:rPr>
      <w:rFonts w:ascii="Times New Roman" w:hAnsi="Times New Roman"/>
      <w:kern w:val="0"/>
      <w:sz w:val="24"/>
      <w:szCs w:val="20"/>
    </w:rPr>
  </w:style>
  <w:style w:type="paragraph" w:styleId="20">
    <w:name w:val="index 4"/>
    <w:basedOn w:val="1"/>
    <w:next w:val="1"/>
    <w:autoRedefine/>
    <w:qFormat/>
    <w:uiPriority w:val="0"/>
    <w:pPr>
      <w:ind w:left="600" w:leftChars="600"/>
    </w:pPr>
    <w:rPr>
      <w:rFonts w:ascii="Times New Roman" w:hAnsi="Times New Roman"/>
      <w:szCs w:val="24"/>
    </w:rPr>
  </w:style>
  <w:style w:type="paragraph" w:styleId="21">
    <w:name w:val="toc 5"/>
    <w:basedOn w:val="1"/>
    <w:next w:val="1"/>
    <w:autoRedefine/>
    <w:qFormat/>
    <w:uiPriority w:val="0"/>
    <w:pPr>
      <w:ind w:left="1680" w:leftChars="800"/>
    </w:pPr>
    <w:rPr>
      <w:rFonts w:ascii="Times New Roman" w:hAnsi="Times New Roman"/>
      <w:szCs w:val="24"/>
    </w:rPr>
  </w:style>
  <w:style w:type="paragraph" w:styleId="22">
    <w:name w:val="toc 3"/>
    <w:basedOn w:val="1"/>
    <w:next w:val="1"/>
    <w:autoRedefine/>
    <w:qFormat/>
    <w:uiPriority w:val="39"/>
    <w:pPr>
      <w:ind w:left="840" w:leftChars="400"/>
    </w:pPr>
    <w:rPr>
      <w:rFonts w:ascii="Times New Roman" w:hAnsi="Times New Roman"/>
      <w:szCs w:val="24"/>
    </w:rPr>
  </w:style>
  <w:style w:type="paragraph" w:styleId="23">
    <w:name w:val="Plain Text"/>
    <w:basedOn w:val="1"/>
    <w:link w:val="93"/>
    <w:autoRedefine/>
    <w:qFormat/>
    <w:uiPriority w:val="0"/>
    <w:rPr>
      <w:rFonts w:ascii="宋体" w:hAnsi="Courier New" w:cs="Courier New"/>
      <w:szCs w:val="21"/>
    </w:rPr>
  </w:style>
  <w:style w:type="paragraph" w:styleId="24">
    <w:name w:val="toc 8"/>
    <w:basedOn w:val="1"/>
    <w:next w:val="1"/>
    <w:autoRedefine/>
    <w:qFormat/>
    <w:uiPriority w:val="0"/>
    <w:pPr>
      <w:ind w:left="2940" w:leftChars="1400"/>
    </w:pPr>
    <w:rPr>
      <w:rFonts w:ascii="Times New Roman" w:hAnsi="Times New Roman"/>
      <w:szCs w:val="24"/>
    </w:rPr>
  </w:style>
  <w:style w:type="paragraph" w:styleId="25">
    <w:name w:val="Date"/>
    <w:basedOn w:val="1"/>
    <w:next w:val="1"/>
    <w:link w:val="94"/>
    <w:autoRedefine/>
    <w:qFormat/>
    <w:uiPriority w:val="99"/>
    <w:rPr>
      <w:rFonts w:ascii="Times New Roman" w:hAnsi="Times New Roman"/>
      <w:sz w:val="24"/>
      <w:szCs w:val="20"/>
    </w:rPr>
  </w:style>
  <w:style w:type="paragraph" w:styleId="26">
    <w:name w:val="Body Text Indent 2"/>
    <w:basedOn w:val="1"/>
    <w:link w:val="97"/>
    <w:autoRedefine/>
    <w:qFormat/>
    <w:uiPriority w:val="0"/>
    <w:pPr>
      <w:widowControl/>
      <w:overflowPunct w:val="0"/>
      <w:autoSpaceDE w:val="0"/>
      <w:autoSpaceDN w:val="0"/>
      <w:adjustRightInd w:val="0"/>
      <w:spacing w:line="360" w:lineRule="auto"/>
      <w:ind w:firstLine="555"/>
    </w:pPr>
    <w:rPr>
      <w:rFonts w:ascii="宋体" w:hAnsi="MS Sans Serif" w:eastAsia="Times New Roman"/>
      <w:spacing w:val="12"/>
      <w:kern w:val="0"/>
      <w:sz w:val="24"/>
      <w:szCs w:val="20"/>
    </w:rPr>
  </w:style>
  <w:style w:type="paragraph" w:styleId="27">
    <w:name w:val="Balloon Text"/>
    <w:basedOn w:val="1"/>
    <w:link w:val="100"/>
    <w:autoRedefine/>
    <w:qFormat/>
    <w:uiPriority w:val="99"/>
    <w:rPr>
      <w:rFonts w:ascii="Times New Roman" w:hAnsi="Times New Roman" w:eastAsia="Times New Roman"/>
      <w:sz w:val="18"/>
      <w:szCs w:val="18"/>
    </w:rPr>
  </w:style>
  <w:style w:type="paragraph" w:styleId="28">
    <w:name w:val="footer"/>
    <w:basedOn w:val="1"/>
    <w:link w:val="103"/>
    <w:autoRedefine/>
    <w:qFormat/>
    <w:uiPriority w:val="99"/>
    <w:pPr>
      <w:widowControl/>
      <w:tabs>
        <w:tab w:val="center" w:pos="4153"/>
        <w:tab w:val="right" w:pos="8306"/>
      </w:tabs>
      <w:snapToGrid w:val="0"/>
      <w:jc w:val="left"/>
    </w:pPr>
    <w:rPr>
      <w:rFonts w:ascii="Times New Roman" w:hAnsi="Times New Roman" w:eastAsia="Times New Roman"/>
      <w:kern w:val="0"/>
      <w:sz w:val="18"/>
      <w:szCs w:val="20"/>
    </w:rPr>
  </w:style>
  <w:style w:type="paragraph" w:styleId="29">
    <w:name w:val="envelope return"/>
    <w:basedOn w:val="1"/>
    <w:autoRedefine/>
    <w:qFormat/>
    <w:uiPriority w:val="99"/>
    <w:pPr>
      <w:snapToGrid w:val="0"/>
    </w:pPr>
    <w:rPr>
      <w:rFonts w:ascii="Arial" w:hAnsi="Arial" w:cs="Arial"/>
    </w:rPr>
  </w:style>
  <w:style w:type="paragraph" w:styleId="30">
    <w:name w:val="header"/>
    <w:basedOn w:val="1"/>
    <w:link w:val="106"/>
    <w:autoRedefine/>
    <w:qFormat/>
    <w:uiPriority w:val="99"/>
    <w:pPr>
      <w:widowControl/>
      <w:pBdr>
        <w:bottom w:val="single" w:color="auto" w:sz="6" w:space="1"/>
      </w:pBdr>
      <w:tabs>
        <w:tab w:val="center" w:pos="4153"/>
        <w:tab w:val="right" w:pos="8306"/>
      </w:tabs>
      <w:snapToGrid w:val="0"/>
      <w:jc w:val="center"/>
    </w:pPr>
    <w:rPr>
      <w:rFonts w:ascii="Times New Roman" w:hAnsi="Times New Roman" w:eastAsia="Times New Roman"/>
      <w:kern w:val="0"/>
      <w:sz w:val="18"/>
      <w:szCs w:val="20"/>
    </w:rPr>
  </w:style>
  <w:style w:type="paragraph" w:styleId="31">
    <w:name w:val="toc 1"/>
    <w:basedOn w:val="1"/>
    <w:next w:val="1"/>
    <w:autoRedefine/>
    <w:qFormat/>
    <w:uiPriority w:val="39"/>
    <w:pPr>
      <w:tabs>
        <w:tab w:val="right" w:leader="dot" w:pos="8302"/>
      </w:tabs>
      <w:spacing w:line="400" w:lineRule="exact"/>
    </w:pPr>
    <w:rPr>
      <w:rFonts w:ascii="Times New Roman" w:hAnsi="Times New Roman"/>
      <w:szCs w:val="24"/>
    </w:rPr>
  </w:style>
  <w:style w:type="paragraph" w:styleId="32">
    <w:name w:val="toc 4"/>
    <w:basedOn w:val="1"/>
    <w:next w:val="1"/>
    <w:autoRedefine/>
    <w:qFormat/>
    <w:uiPriority w:val="0"/>
    <w:pPr>
      <w:ind w:left="1260" w:leftChars="600"/>
    </w:pPr>
    <w:rPr>
      <w:rFonts w:ascii="Times New Roman" w:hAnsi="Times New Roman"/>
      <w:szCs w:val="24"/>
    </w:rPr>
  </w:style>
  <w:style w:type="paragraph" w:styleId="33">
    <w:name w:val="Subtitle"/>
    <w:basedOn w:val="1"/>
    <w:next w:val="1"/>
    <w:link w:val="109"/>
    <w:autoRedefine/>
    <w:qFormat/>
    <w:uiPriority w:val="0"/>
    <w:pPr>
      <w:spacing w:before="240" w:after="60" w:line="312" w:lineRule="auto"/>
      <w:jc w:val="center"/>
      <w:outlineLvl w:val="1"/>
    </w:pPr>
    <w:rPr>
      <w:rFonts w:ascii="Cambria" w:hAnsi="Cambria" w:eastAsia="Times New Roman"/>
      <w:b/>
      <w:bCs/>
      <w:kern w:val="28"/>
      <w:sz w:val="32"/>
      <w:szCs w:val="32"/>
    </w:rPr>
  </w:style>
  <w:style w:type="paragraph" w:styleId="34">
    <w:name w:val="footnote text"/>
    <w:basedOn w:val="1"/>
    <w:link w:val="110"/>
    <w:autoRedefine/>
    <w:qFormat/>
    <w:uiPriority w:val="0"/>
    <w:pPr>
      <w:adjustRightInd w:val="0"/>
      <w:spacing w:line="312" w:lineRule="atLeast"/>
      <w:jc w:val="left"/>
    </w:pPr>
    <w:rPr>
      <w:rFonts w:ascii="Times New Roman" w:hAnsi="Times New Roman"/>
      <w:kern w:val="0"/>
      <w:sz w:val="18"/>
      <w:szCs w:val="20"/>
    </w:rPr>
  </w:style>
  <w:style w:type="paragraph" w:styleId="35">
    <w:name w:val="toc 6"/>
    <w:basedOn w:val="1"/>
    <w:next w:val="1"/>
    <w:autoRedefine/>
    <w:qFormat/>
    <w:uiPriority w:val="0"/>
    <w:pPr>
      <w:ind w:left="2100" w:leftChars="1000"/>
    </w:pPr>
    <w:rPr>
      <w:rFonts w:ascii="Times New Roman" w:hAnsi="Times New Roman"/>
      <w:szCs w:val="24"/>
    </w:rPr>
  </w:style>
  <w:style w:type="paragraph" w:styleId="36">
    <w:name w:val="Body Text Indent 3"/>
    <w:basedOn w:val="1"/>
    <w:link w:val="111"/>
    <w:autoRedefine/>
    <w:qFormat/>
    <w:uiPriority w:val="0"/>
    <w:pPr>
      <w:widowControl/>
      <w:overflowPunct w:val="0"/>
      <w:autoSpaceDE w:val="0"/>
      <w:autoSpaceDN w:val="0"/>
      <w:adjustRightInd w:val="0"/>
      <w:spacing w:line="360" w:lineRule="auto"/>
      <w:ind w:firstLine="540"/>
    </w:pPr>
    <w:rPr>
      <w:rFonts w:ascii="宋体" w:hAnsi="MS Sans Serif"/>
      <w:color w:val="000000"/>
      <w:kern w:val="0"/>
      <w:sz w:val="24"/>
      <w:szCs w:val="20"/>
    </w:rPr>
  </w:style>
  <w:style w:type="paragraph" w:styleId="37">
    <w:name w:val="table of figures"/>
    <w:basedOn w:val="1"/>
    <w:next w:val="1"/>
    <w:autoRedefine/>
    <w:qFormat/>
    <w:uiPriority w:val="0"/>
    <w:pPr>
      <w:ind w:left="840" w:hanging="420"/>
    </w:pPr>
    <w:rPr>
      <w:rFonts w:ascii="Times New Roman" w:hAnsi="Times New Roman"/>
      <w:szCs w:val="20"/>
    </w:rPr>
  </w:style>
  <w:style w:type="paragraph" w:styleId="38">
    <w:name w:val="toc 2"/>
    <w:basedOn w:val="1"/>
    <w:next w:val="1"/>
    <w:autoRedefine/>
    <w:qFormat/>
    <w:uiPriority w:val="39"/>
    <w:pPr>
      <w:ind w:left="420" w:leftChars="200"/>
    </w:pPr>
    <w:rPr>
      <w:rFonts w:ascii="Times New Roman" w:hAnsi="Times New Roman"/>
      <w:szCs w:val="24"/>
    </w:rPr>
  </w:style>
  <w:style w:type="paragraph" w:styleId="39">
    <w:name w:val="toc 9"/>
    <w:basedOn w:val="1"/>
    <w:next w:val="1"/>
    <w:autoRedefine/>
    <w:qFormat/>
    <w:uiPriority w:val="0"/>
    <w:pPr>
      <w:ind w:left="3360" w:leftChars="1600"/>
    </w:pPr>
    <w:rPr>
      <w:rFonts w:ascii="Times New Roman" w:hAnsi="Times New Roman"/>
      <w:szCs w:val="24"/>
    </w:rPr>
  </w:style>
  <w:style w:type="paragraph" w:styleId="40">
    <w:name w:val="Body Text 2"/>
    <w:basedOn w:val="1"/>
    <w:link w:val="112"/>
    <w:autoRedefine/>
    <w:qFormat/>
    <w:uiPriority w:val="0"/>
    <w:pPr>
      <w:adjustRightInd w:val="0"/>
      <w:spacing w:line="360" w:lineRule="atLeast"/>
    </w:pPr>
    <w:rPr>
      <w:rFonts w:ascii="宋体" w:hAnsi="宋体"/>
      <w:sz w:val="24"/>
      <w:szCs w:val="24"/>
      <w:u w:val="single"/>
    </w:rPr>
  </w:style>
  <w:style w:type="paragraph" w:styleId="41">
    <w:name w:val="HTML Preformatted"/>
    <w:basedOn w:val="1"/>
    <w:link w:val="11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宋体" w:hAnsi="宋体" w:eastAsia="仿宋_GB2312"/>
      <w:kern w:val="0"/>
      <w:sz w:val="24"/>
      <w:szCs w:val="24"/>
    </w:rPr>
  </w:style>
  <w:style w:type="paragraph" w:styleId="42">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43">
    <w:name w:val="index 1"/>
    <w:basedOn w:val="1"/>
    <w:next w:val="1"/>
    <w:autoRedefine/>
    <w:qFormat/>
    <w:uiPriority w:val="0"/>
    <w:rPr>
      <w:rFonts w:ascii="Times New Roman" w:hAnsi="Times New Roman"/>
      <w:szCs w:val="21"/>
    </w:rPr>
  </w:style>
  <w:style w:type="paragraph" w:styleId="44">
    <w:name w:val="Title"/>
    <w:basedOn w:val="1"/>
    <w:next w:val="1"/>
    <w:link w:val="117"/>
    <w:autoRedefine/>
    <w:qFormat/>
    <w:uiPriority w:val="0"/>
    <w:pPr>
      <w:spacing w:before="240" w:after="60"/>
      <w:jc w:val="center"/>
      <w:outlineLvl w:val="0"/>
    </w:pPr>
    <w:rPr>
      <w:rFonts w:ascii="Cambria" w:hAnsi="Cambria" w:eastAsia="Times New Roman"/>
      <w:b/>
      <w:bCs/>
      <w:sz w:val="44"/>
      <w:szCs w:val="32"/>
    </w:rPr>
  </w:style>
  <w:style w:type="paragraph" w:styleId="45">
    <w:name w:val="annotation subject"/>
    <w:basedOn w:val="15"/>
    <w:next w:val="15"/>
    <w:link w:val="120"/>
    <w:autoRedefine/>
    <w:qFormat/>
    <w:uiPriority w:val="99"/>
    <w:rPr>
      <w:rFonts w:eastAsia="Times New Roman"/>
      <w:b/>
      <w:bCs/>
    </w:rPr>
  </w:style>
  <w:style w:type="paragraph" w:styleId="46">
    <w:name w:val="Body Text First Indent"/>
    <w:basedOn w:val="17"/>
    <w:autoRedefine/>
    <w:qFormat/>
    <w:uiPriority w:val="0"/>
    <w:pPr>
      <w:tabs>
        <w:tab w:val="left" w:pos="0"/>
      </w:tabs>
      <w:ind w:firstLine="420" w:firstLineChars="100"/>
    </w:pPr>
  </w:style>
  <w:style w:type="paragraph" w:styleId="47">
    <w:name w:val="Body Text First Indent 2"/>
    <w:basedOn w:val="18"/>
    <w:autoRedefine/>
    <w:qFormat/>
    <w:uiPriority w:val="0"/>
    <w:pPr>
      <w:ind w:firstLine="420" w:firstLineChars="200"/>
    </w:pPr>
  </w:style>
  <w:style w:type="table" w:styleId="49">
    <w:name w:val="Table Grid"/>
    <w:basedOn w:val="4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autoRedefine/>
    <w:qFormat/>
    <w:uiPriority w:val="0"/>
    <w:rPr>
      <w:b/>
      <w:bCs/>
    </w:rPr>
  </w:style>
  <w:style w:type="character" w:styleId="52">
    <w:name w:val="page number"/>
    <w:autoRedefine/>
    <w:qFormat/>
    <w:uiPriority w:val="0"/>
  </w:style>
  <w:style w:type="character" w:styleId="53">
    <w:name w:val="FollowedHyperlink"/>
    <w:autoRedefine/>
    <w:qFormat/>
    <w:uiPriority w:val="99"/>
    <w:rPr>
      <w:color w:val="3894C1"/>
      <w:u w:val="none"/>
    </w:rPr>
  </w:style>
  <w:style w:type="character" w:styleId="54">
    <w:name w:val="Emphasis"/>
    <w:autoRedefine/>
    <w:qFormat/>
    <w:uiPriority w:val="0"/>
    <w:rPr>
      <w:b/>
      <w:bCs/>
    </w:rPr>
  </w:style>
  <w:style w:type="character" w:styleId="55">
    <w:name w:val="Hyperlink"/>
    <w:autoRedefine/>
    <w:qFormat/>
    <w:uiPriority w:val="99"/>
    <w:rPr>
      <w:color w:val="3894C1"/>
      <w:u w:val="none"/>
    </w:rPr>
  </w:style>
  <w:style w:type="character" w:styleId="56">
    <w:name w:val="annotation reference"/>
    <w:autoRedefine/>
    <w:qFormat/>
    <w:uiPriority w:val="99"/>
    <w:rPr>
      <w:sz w:val="21"/>
      <w:szCs w:val="21"/>
    </w:rPr>
  </w:style>
  <w:style w:type="character" w:styleId="57">
    <w:name w:val="footnote reference"/>
    <w:autoRedefine/>
    <w:qFormat/>
    <w:uiPriority w:val="0"/>
    <w:rPr>
      <w:vertAlign w:val="superscript"/>
    </w:rPr>
  </w:style>
  <w:style w:type="character" w:customStyle="1" w:styleId="58">
    <w:name w:val="标题 1 Char"/>
    <w:basedOn w:val="50"/>
    <w:autoRedefine/>
    <w:qFormat/>
    <w:uiPriority w:val="0"/>
    <w:rPr>
      <w:rFonts w:ascii="Calibri" w:hAnsi="Calibri" w:eastAsia="宋体" w:cs="Times New Roman"/>
      <w:b/>
      <w:bCs/>
      <w:kern w:val="44"/>
      <w:sz w:val="44"/>
      <w:szCs w:val="44"/>
    </w:rPr>
  </w:style>
  <w:style w:type="character" w:customStyle="1" w:styleId="59">
    <w:name w:val="标题 2 Char"/>
    <w:basedOn w:val="50"/>
    <w:autoRedefine/>
    <w:qFormat/>
    <w:uiPriority w:val="0"/>
    <w:rPr>
      <w:rFonts w:asciiTheme="majorHAnsi" w:hAnsiTheme="majorHAnsi" w:eastAsiaTheme="majorEastAsia" w:cstheme="majorBidi"/>
      <w:b/>
      <w:bCs/>
      <w:sz w:val="32"/>
      <w:szCs w:val="32"/>
    </w:rPr>
  </w:style>
  <w:style w:type="character" w:customStyle="1" w:styleId="60">
    <w:name w:val="标题 3 Char"/>
    <w:basedOn w:val="50"/>
    <w:autoRedefine/>
    <w:qFormat/>
    <w:uiPriority w:val="0"/>
    <w:rPr>
      <w:rFonts w:ascii="Calibri" w:hAnsi="Calibri" w:eastAsia="宋体" w:cs="Times New Roman"/>
      <w:b/>
      <w:bCs/>
      <w:sz w:val="32"/>
      <w:szCs w:val="32"/>
    </w:rPr>
  </w:style>
  <w:style w:type="character" w:customStyle="1" w:styleId="61">
    <w:name w:val="标题 4 Char"/>
    <w:basedOn w:val="50"/>
    <w:autoRedefine/>
    <w:qFormat/>
    <w:uiPriority w:val="0"/>
    <w:rPr>
      <w:rFonts w:asciiTheme="majorHAnsi" w:hAnsiTheme="majorHAnsi" w:eastAsiaTheme="majorEastAsia" w:cstheme="majorBidi"/>
      <w:b/>
      <w:bCs/>
      <w:sz w:val="28"/>
      <w:szCs w:val="28"/>
    </w:rPr>
  </w:style>
  <w:style w:type="character" w:customStyle="1" w:styleId="62">
    <w:name w:val="标题 5 Char"/>
    <w:basedOn w:val="50"/>
    <w:autoRedefine/>
    <w:qFormat/>
    <w:uiPriority w:val="0"/>
    <w:rPr>
      <w:rFonts w:ascii="Calibri" w:hAnsi="Calibri" w:eastAsia="宋体" w:cs="Times New Roman"/>
      <w:b/>
      <w:bCs/>
      <w:sz w:val="28"/>
      <w:szCs w:val="28"/>
    </w:rPr>
  </w:style>
  <w:style w:type="character" w:customStyle="1" w:styleId="63">
    <w:name w:val="标题 6 Char"/>
    <w:basedOn w:val="50"/>
    <w:autoRedefine/>
    <w:qFormat/>
    <w:uiPriority w:val="0"/>
    <w:rPr>
      <w:rFonts w:asciiTheme="majorHAnsi" w:hAnsiTheme="majorHAnsi" w:eastAsiaTheme="majorEastAsia" w:cstheme="majorBidi"/>
      <w:b/>
      <w:bCs/>
      <w:sz w:val="24"/>
      <w:szCs w:val="24"/>
    </w:rPr>
  </w:style>
  <w:style w:type="character" w:customStyle="1" w:styleId="64">
    <w:name w:val="标题 7 Char"/>
    <w:basedOn w:val="50"/>
    <w:autoRedefine/>
    <w:qFormat/>
    <w:uiPriority w:val="0"/>
    <w:rPr>
      <w:rFonts w:ascii="Calibri" w:hAnsi="Calibri" w:eastAsia="宋体" w:cs="Times New Roman"/>
      <w:b/>
      <w:bCs/>
      <w:sz w:val="24"/>
      <w:szCs w:val="24"/>
    </w:rPr>
  </w:style>
  <w:style w:type="character" w:customStyle="1" w:styleId="65">
    <w:name w:val="标题 8 Char"/>
    <w:basedOn w:val="50"/>
    <w:autoRedefine/>
    <w:qFormat/>
    <w:uiPriority w:val="0"/>
    <w:rPr>
      <w:rFonts w:asciiTheme="majorHAnsi" w:hAnsiTheme="majorHAnsi" w:eastAsiaTheme="majorEastAsia" w:cstheme="majorBidi"/>
      <w:sz w:val="24"/>
      <w:szCs w:val="24"/>
    </w:rPr>
  </w:style>
  <w:style w:type="character" w:customStyle="1" w:styleId="66">
    <w:name w:val="标题 9 Char"/>
    <w:basedOn w:val="50"/>
    <w:autoRedefine/>
    <w:qFormat/>
    <w:uiPriority w:val="0"/>
    <w:rPr>
      <w:rFonts w:asciiTheme="majorHAnsi" w:hAnsiTheme="majorHAnsi" w:eastAsiaTheme="majorEastAsia" w:cstheme="majorBidi"/>
      <w:szCs w:val="21"/>
    </w:rPr>
  </w:style>
  <w:style w:type="character" w:customStyle="1" w:styleId="67">
    <w:name w:val="正文缩进 Char"/>
    <w:link w:val="4"/>
    <w:autoRedefine/>
    <w:qFormat/>
    <w:locked/>
    <w:uiPriority w:val="0"/>
    <w:rPr>
      <w:rFonts w:ascii="Times New Roman" w:hAnsi="Times New Roman" w:eastAsia="宋体" w:cs="Times New Roman"/>
      <w:kern w:val="0"/>
      <w:sz w:val="20"/>
      <w:szCs w:val="20"/>
    </w:rPr>
  </w:style>
  <w:style w:type="character" w:customStyle="1" w:styleId="68">
    <w:name w:val="标题 1 Char1"/>
    <w:link w:val="2"/>
    <w:autoRedefine/>
    <w:qFormat/>
    <w:locked/>
    <w:uiPriority w:val="0"/>
    <w:rPr>
      <w:rFonts w:ascii="黑体" w:hAnsi="Times New Roman" w:eastAsia="宋体" w:cs="宋体"/>
      <w:b/>
      <w:kern w:val="0"/>
      <w:sz w:val="28"/>
      <w:szCs w:val="20"/>
      <w:lang w:val="zh-CN"/>
    </w:rPr>
  </w:style>
  <w:style w:type="character" w:customStyle="1" w:styleId="69">
    <w:name w:val="标题 2 Char1"/>
    <w:link w:val="3"/>
    <w:autoRedefine/>
    <w:qFormat/>
    <w:locked/>
    <w:uiPriority w:val="0"/>
    <w:rPr>
      <w:rFonts w:ascii="Arial" w:hAnsi="Arial" w:eastAsia="宋体" w:cs="Times New Roman"/>
      <w:kern w:val="0"/>
      <w:sz w:val="28"/>
      <w:szCs w:val="20"/>
      <w:lang w:val="zh-CN"/>
    </w:rPr>
  </w:style>
  <w:style w:type="character" w:customStyle="1" w:styleId="70">
    <w:name w:val="标题 3 Char1"/>
    <w:link w:val="5"/>
    <w:autoRedefine/>
    <w:qFormat/>
    <w:locked/>
    <w:uiPriority w:val="0"/>
    <w:rPr>
      <w:rFonts w:ascii="Times New Roman" w:hAnsi="Times New Roman" w:eastAsia="宋体" w:cs="Times New Roman"/>
      <w:b/>
      <w:kern w:val="0"/>
      <w:sz w:val="32"/>
      <w:szCs w:val="20"/>
      <w:lang w:val="zh-CN"/>
    </w:rPr>
  </w:style>
  <w:style w:type="character" w:customStyle="1" w:styleId="71">
    <w:name w:val="标题 4 Char1"/>
    <w:link w:val="6"/>
    <w:autoRedefine/>
    <w:qFormat/>
    <w:locked/>
    <w:uiPriority w:val="0"/>
    <w:rPr>
      <w:rFonts w:ascii="Arial" w:hAnsi="Arial" w:eastAsia="仿宋_GB2312" w:cs="Times New Roman"/>
      <w:b/>
      <w:bCs/>
      <w:sz w:val="28"/>
      <w:szCs w:val="28"/>
    </w:rPr>
  </w:style>
  <w:style w:type="character" w:customStyle="1" w:styleId="72">
    <w:name w:val="标题 5 Char1"/>
    <w:link w:val="7"/>
    <w:autoRedefine/>
    <w:qFormat/>
    <w:locked/>
    <w:uiPriority w:val="0"/>
    <w:rPr>
      <w:rFonts w:ascii="Calibri" w:hAnsi="Calibri" w:eastAsia="宋体" w:cs="宋体"/>
      <w:b/>
      <w:bCs/>
      <w:sz w:val="28"/>
      <w:szCs w:val="28"/>
    </w:rPr>
  </w:style>
  <w:style w:type="character" w:customStyle="1" w:styleId="73">
    <w:name w:val="标题 6 Char1"/>
    <w:link w:val="8"/>
    <w:autoRedefine/>
    <w:qFormat/>
    <w:locked/>
    <w:uiPriority w:val="0"/>
    <w:rPr>
      <w:rFonts w:ascii="Arial" w:hAnsi="Arial" w:eastAsia="黑体" w:cs="Times New Roman"/>
      <w:b/>
      <w:bCs/>
      <w:kern w:val="0"/>
      <w:sz w:val="24"/>
      <w:szCs w:val="24"/>
      <w:lang w:val="zh-CN"/>
    </w:rPr>
  </w:style>
  <w:style w:type="character" w:customStyle="1" w:styleId="74">
    <w:name w:val="标题 7 Char1"/>
    <w:link w:val="9"/>
    <w:autoRedefine/>
    <w:qFormat/>
    <w:locked/>
    <w:uiPriority w:val="0"/>
    <w:rPr>
      <w:rFonts w:ascii="Times New Roman" w:hAnsi="Times New Roman" w:eastAsia="宋体" w:cs="Times New Roman"/>
      <w:b/>
      <w:bCs/>
      <w:kern w:val="0"/>
      <w:sz w:val="24"/>
      <w:szCs w:val="24"/>
      <w:lang w:val="zh-CN"/>
    </w:rPr>
  </w:style>
  <w:style w:type="character" w:customStyle="1" w:styleId="75">
    <w:name w:val="标题 8 Char1"/>
    <w:link w:val="10"/>
    <w:autoRedefine/>
    <w:qFormat/>
    <w:locked/>
    <w:uiPriority w:val="0"/>
    <w:rPr>
      <w:rFonts w:ascii="Arial" w:hAnsi="Arial" w:eastAsia="黑体" w:cs="Times New Roman"/>
      <w:kern w:val="0"/>
      <w:sz w:val="24"/>
      <w:szCs w:val="24"/>
      <w:lang w:val="zh-CN"/>
    </w:rPr>
  </w:style>
  <w:style w:type="character" w:customStyle="1" w:styleId="76">
    <w:name w:val="标题 9 Char1"/>
    <w:link w:val="11"/>
    <w:autoRedefine/>
    <w:qFormat/>
    <w:locked/>
    <w:uiPriority w:val="0"/>
    <w:rPr>
      <w:rFonts w:ascii="Arial" w:hAnsi="Arial" w:eastAsia="黑体" w:cs="Times New Roman"/>
      <w:kern w:val="0"/>
      <w:szCs w:val="21"/>
      <w:lang w:val="zh-CN"/>
    </w:rPr>
  </w:style>
  <w:style w:type="character" w:customStyle="1" w:styleId="77">
    <w:name w:val="文档结构图 Char"/>
    <w:basedOn w:val="50"/>
    <w:link w:val="78"/>
    <w:autoRedefine/>
    <w:qFormat/>
    <w:uiPriority w:val="0"/>
    <w:rPr>
      <w:rFonts w:ascii="宋体" w:hAnsi="Calibri" w:eastAsia="宋体" w:cs="Times New Roman"/>
      <w:sz w:val="18"/>
      <w:szCs w:val="18"/>
    </w:rPr>
  </w:style>
  <w:style w:type="paragraph" w:customStyle="1" w:styleId="78">
    <w:name w:val="文档结构图1"/>
    <w:basedOn w:val="1"/>
    <w:link w:val="77"/>
    <w:autoRedefine/>
    <w:qFormat/>
    <w:uiPriority w:val="0"/>
    <w:pPr>
      <w:shd w:val="clear" w:color="auto" w:fill="000080"/>
    </w:pPr>
    <w:rPr>
      <w:rFonts w:ascii="宋体"/>
      <w:sz w:val="18"/>
      <w:szCs w:val="18"/>
      <w:shd w:val="clear" w:color="auto" w:fill="000080"/>
    </w:rPr>
  </w:style>
  <w:style w:type="character" w:customStyle="1" w:styleId="79">
    <w:name w:val="文档结构图 Char2"/>
    <w:link w:val="14"/>
    <w:autoRedefine/>
    <w:qFormat/>
    <w:locked/>
    <w:uiPriority w:val="99"/>
    <w:rPr>
      <w:rFonts w:ascii="Times New Roman" w:hAnsi="Times New Roman" w:eastAsia="Times New Roman" w:cs="Times New Roman"/>
      <w:szCs w:val="24"/>
      <w:shd w:val="clear" w:color="auto" w:fill="000080"/>
    </w:rPr>
  </w:style>
  <w:style w:type="character" w:customStyle="1" w:styleId="80">
    <w:name w:val="批注文字 Char"/>
    <w:basedOn w:val="50"/>
    <w:link w:val="81"/>
    <w:autoRedefine/>
    <w:qFormat/>
    <w:uiPriority w:val="0"/>
    <w:rPr>
      <w:rFonts w:ascii="Calibri" w:hAnsi="Calibri" w:eastAsia="宋体" w:cs="Times New Roman"/>
    </w:rPr>
  </w:style>
  <w:style w:type="paragraph" w:customStyle="1" w:styleId="81">
    <w:name w:val="批注文字1"/>
    <w:basedOn w:val="1"/>
    <w:link w:val="80"/>
    <w:autoRedefine/>
    <w:qFormat/>
    <w:uiPriority w:val="0"/>
  </w:style>
  <w:style w:type="character" w:customStyle="1" w:styleId="82">
    <w:name w:val="批注文字 Char1"/>
    <w:link w:val="15"/>
    <w:autoRedefine/>
    <w:qFormat/>
    <w:locked/>
    <w:uiPriority w:val="99"/>
    <w:rPr>
      <w:rFonts w:ascii="Times New Roman" w:hAnsi="Times New Roman" w:eastAsia="宋体" w:cs="Times New Roman"/>
      <w:szCs w:val="24"/>
    </w:rPr>
  </w:style>
  <w:style w:type="character" w:customStyle="1" w:styleId="83">
    <w:name w:val="正文文本 3 Char"/>
    <w:basedOn w:val="50"/>
    <w:link w:val="84"/>
    <w:autoRedefine/>
    <w:qFormat/>
    <w:uiPriority w:val="0"/>
    <w:rPr>
      <w:rFonts w:ascii="Calibri" w:hAnsi="Calibri" w:eastAsia="宋体" w:cs="Times New Roman"/>
      <w:sz w:val="16"/>
      <w:szCs w:val="16"/>
    </w:rPr>
  </w:style>
  <w:style w:type="paragraph" w:customStyle="1" w:styleId="84">
    <w:name w:val="正文文本 31"/>
    <w:basedOn w:val="1"/>
    <w:link w:val="83"/>
    <w:autoRedefine/>
    <w:qFormat/>
    <w:uiPriority w:val="0"/>
    <w:pPr>
      <w:spacing w:after="120"/>
    </w:pPr>
    <w:rPr>
      <w:sz w:val="16"/>
      <w:szCs w:val="16"/>
    </w:rPr>
  </w:style>
  <w:style w:type="character" w:customStyle="1" w:styleId="85">
    <w:name w:val="正文文本 3 Char1"/>
    <w:link w:val="16"/>
    <w:autoRedefine/>
    <w:qFormat/>
    <w:locked/>
    <w:uiPriority w:val="0"/>
    <w:rPr>
      <w:rFonts w:ascii="Times New Roman" w:hAnsi="Times New Roman" w:eastAsia="Times New Roman" w:cs="Times New Roman"/>
      <w:sz w:val="16"/>
      <w:szCs w:val="16"/>
    </w:rPr>
  </w:style>
  <w:style w:type="character" w:customStyle="1" w:styleId="86">
    <w:name w:val="正文文本 Char"/>
    <w:basedOn w:val="50"/>
    <w:autoRedefine/>
    <w:qFormat/>
    <w:uiPriority w:val="0"/>
    <w:rPr>
      <w:rFonts w:ascii="Calibri" w:hAnsi="Calibri" w:eastAsia="宋体" w:cs="Times New Roman"/>
    </w:rPr>
  </w:style>
  <w:style w:type="character" w:customStyle="1" w:styleId="87">
    <w:name w:val="正文文本 Char2"/>
    <w:link w:val="17"/>
    <w:autoRedefine/>
    <w:qFormat/>
    <w:locked/>
    <w:uiPriority w:val="0"/>
    <w:rPr>
      <w:rFonts w:ascii="Times New Roman" w:hAnsi="Times New Roman" w:eastAsia="Times New Roman" w:cs="Times New Roman"/>
      <w:sz w:val="30"/>
      <w:szCs w:val="20"/>
    </w:rPr>
  </w:style>
  <w:style w:type="character" w:customStyle="1" w:styleId="88">
    <w:name w:val="正文文本缩进 Char"/>
    <w:basedOn w:val="50"/>
    <w:link w:val="89"/>
    <w:autoRedefine/>
    <w:qFormat/>
    <w:uiPriority w:val="0"/>
    <w:rPr>
      <w:rFonts w:ascii="Calibri" w:hAnsi="Calibri" w:eastAsia="宋体" w:cs="Times New Roman"/>
    </w:rPr>
  </w:style>
  <w:style w:type="paragraph" w:customStyle="1" w:styleId="89">
    <w:name w:val="正文文本缩进1"/>
    <w:basedOn w:val="1"/>
    <w:link w:val="88"/>
    <w:autoRedefine/>
    <w:qFormat/>
    <w:uiPriority w:val="0"/>
    <w:pPr>
      <w:spacing w:after="120"/>
      <w:ind w:left="420" w:leftChars="200"/>
    </w:pPr>
  </w:style>
  <w:style w:type="character" w:customStyle="1" w:styleId="90">
    <w:name w:val="正文文本缩进 Char1"/>
    <w:link w:val="18"/>
    <w:autoRedefine/>
    <w:qFormat/>
    <w:locked/>
    <w:uiPriority w:val="0"/>
    <w:rPr>
      <w:rFonts w:ascii="宋体" w:hAnsi="MS Sans Serif" w:eastAsia="Times New Roman" w:cs="Times New Roman"/>
      <w:spacing w:val="12"/>
      <w:kern w:val="0"/>
      <w:sz w:val="24"/>
      <w:szCs w:val="20"/>
    </w:rPr>
  </w:style>
  <w:style w:type="character" w:customStyle="1" w:styleId="91">
    <w:name w:val="纯文本 Char"/>
    <w:basedOn w:val="50"/>
    <w:link w:val="92"/>
    <w:autoRedefine/>
    <w:qFormat/>
    <w:uiPriority w:val="0"/>
    <w:rPr>
      <w:rFonts w:ascii="宋体" w:hAnsi="Courier New" w:eastAsia="宋体" w:cs="Courier New"/>
      <w:szCs w:val="21"/>
    </w:rPr>
  </w:style>
  <w:style w:type="paragraph" w:customStyle="1" w:styleId="92">
    <w:name w:val="纯文本1"/>
    <w:basedOn w:val="1"/>
    <w:link w:val="91"/>
    <w:autoRedefine/>
    <w:qFormat/>
    <w:uiPriority w:val="0"/>
    <w:rPr>
      <w:rFonts w:ascii="宋体" w:hAnsi="Courier New" w:cs="Courier New"/>
      <w:szCs w:val="21"/>
    </w:rPr>
  </w:style>
  <w:style w:type="character" w:customStyle="1" w:styleId="93">
    <w:name w:val="纯文本 Char1"/>
    <w:link w:val="23"/>
    <w:autoRedefine/>
    <w:qFormat/>
    <w:locked/>
    <w:uiPriority w:val="0"/>
    <w:rPr>
      <w:rFonts w:ascii="宋体" w:hAnsi="Courier New" w:eastAsia="宋体" w:cs="Courier New"/>
      <w:szCs w:val="21"/>
    </w:rPr>
  </w:style>
  <w:style w:type="character" w:customStyle="1" w:styleId="94">
    <w:name w:val="日期 Char"/>
    <w:basedOn w:val="50"/>
    <w:link w:val="25"/>
    <w:autoRedefine/>
    <w:qFormat/>
    <w:uiPriority w:val="99"/>
    <w:rPr>
      <w:rFonts w:ascii="Times New Roman" w:hAnsi="Times New Roman" w:eastAsia="宋体" w:cs="Times New Roman"/>
      <w:sz w:val="24"/>
      <w:szCs w:val="20"/>
    </w:rPr>
  </w:style>
  <w:style w:type="character" w:customStyle="1" w:styleId="95">
    <w:name w:val="正文文本缩进 2 Char"/>
    <w:basedOn w:val="50"/>
    <w:link w:val="96"/>
    <w:autoRedefine/>
    <w:qFormat/>
    <w:uiPriority w:val="0"/>
    <w:rPr>
      <w:rFonts w:ascii="Calibri" w:hAnsi="Calibri" w:eastAsia="宋体" w:cs="Times New Roman"/>
    </w:rPr>
  </w:style>
  <w:style w:type="paragraph" w:customStyle="1" w:styleId="96">
    <w:name w:val="正文文本缩进 21"/>
    <w:basedOn w:val="1"/>
    <w:link w:val="95"/>
    <w:autoRedefine/>
    <w:qFormat/>
    <w:uiPriority w:val="0"/>
    <w:pPr>
      <w:ind w:left="1260"/>
    </w:pPr>
  </w:style>
  <w:style w:type="character" w:customStyle="1" w:styleId="97">
    <w:name w:val="正文文本缩进 2 Char1"/>
    <w:link w:val="26"/>
    <w:autoRedefine/>
    <w:qFormat/>
    <w:locked/>
    <w:uiPriority w:val="0"/>
    <w:rPr>
      <w:rFonts w:ascii="宋体" w:hAnsi="MS Sans Serif" w:eastAsia="Times New Roman" w:cs="Times New Roman"/>
      <w:spacing w:val="12"/>
      <w:kern w:val="0"/>
      <w:sz w:val="24"/>
      <w:szCs w:val="20"/>
    </w:rPr>
  </w:style>
  <w:style w:type="character" w:customStyle="1" w:styleId="98">
    <w:name w:val="批注框文本 Char"/>
    <w:basedOn w:val="50"/>
    <w:link w:val="99"/>
    <w:autoRedefine/>
    <w:qFormat/>
    <w:uiPriority w:val="0"/>
    <w:rPr>
      <w:rFonts w:ascii="Calibri" w:hAnsi="Calibri" w:eastAsia="宋体" w:cs="Times New Roman"/>
      <w:sz w:val="18"/>
      <w:szCs w:val="18"/>
    </w:rPr>
  </w:style>
  <w:style w:type="paragraph" w:customStyle="1" w:styleId="99">
    <w:name w:val="批注框文本1"/>
    <w:basedOn w:val="1"/>
    <w:link w:val="98"/>
    <w:autoRedefine/>
    <w:qFormat/>
    <w:uiPriority w:val="0"/>
    <w:rPr>
      <w:sz w:val="18"/>
      <w:szCs w:val="18"/>
    </w:rPr>
  </w:style>
  <w:style w:type="character" w:customStyle="1" w:styleId="100">
    <w:name w:val="批注框文本 Char2"/>
    <w:link w:val="27"/>
    <w:autoRedefine/>
    <w:qFormat/>
    <w:locked/>
    <w:uiPriority w:val="99"/>
    <w:rPr>
      <w:rFonts w:ascii="Times New Roman" w:hAnsi="Times New Roman" w:eastAsia="Times New Roman" w:cs="Times New Roman"/>
      <w:sz w:val="18"/>
      <w:szCs w:val="18"/>
    </w:rPr>
  </w:style>
  <w:style w:type="character" w:customStyle="1" w:styleId="101">
    <w:name w:val="页脚 Char"/>
    <w:basedOn w:val="50"/>
    <w:link w:val="102"/>
    <w:autoRedefine/>
    <w:qFormat/>
    <w:uiPriority w:val="99"/>
    <w:rPr>
      <w:rFonts w:ascii="Calibri" w:hAnsi="Calibri" w:eastAsia="宋体" w:cs="Times New Roman"/>
      <w:sz w:val="18"/>
      <w:szCs w:val="18"/>
    </w:rPr>
  </w:style>
  <w:style w:type="paragraph" w:customStyle="1" w:styleId="102">
    <w:name w:val="页脚1"/>
    <w:basedOn w:val="1"/>
    <w:link w:val="101"/>
    <w:autoRedefine/>
    <w:qFormat/>
    <w:uiPriority w:val="0"/>
    <w:pPr>
      <w:tabs>
        <w:tab w:val="center" w:pos="4153"/>
        <w:tab w:val="right" w:pos="8306"/>
      </w:tabs>
      <w:snapToGrid w:val="0"/>
    </w:pPr>
    <w:rPr>
      <w:sz w:val="18"/>
      <w:szCs w:val="18"/>
    </w:rPr>
  </w:style>
  <w:style w:type="character" w:customStyle="1" w:styleId="103">
    <w:name w:val="页脚 Char1"/>
    <w:link w:val="28"/>
    <w:autoRedefine/>
    <w:qFormat/>
    <w:locked/>
    <w:uiPriority w:val="99"/>
    <w:rPr>
      <w:rFonts w:ascii="Times New Roman" w:hAnsi="Times New Roman" w:eastAsia="Times New Roman" w:cs="Times New Roman"/>
      <w:kern w:val="0"/>
      <w:sz w:val="18"/>
      <w:szCs w:val="20"/>
    </w:rPr>
  </w:style>
  <w:style w:type="character" w:customStyle="1" w:styleId="104">
    <w:name w:val="页眉 Char"/>
    <w:basedOn w:val="50"/>
    <w:link w:val="105"/>
    <w:autoRedefine/>
    <w:qFormat/>
    <w:uiPriority w:val="0"/>
    <w:rPr>
      <w:rFonts w:ascii="Calibri" w:hAnsi="Calibri" w:eastAsia="宋体" w:cs="Times New Roman"/>
      <w:sz w:val="18"/>
      <w:szCs w:val="18"/>
    </w:rPr>
  </w:style>
  <w:style w:type="paragraph" w:customStyle="1" w:styleId="105">
    <w:name w:val="页眉1"/>
    <w:basedOn w:val="1"/>
    <w:link w:val="104"/>
    <w:autoRedefine/>
    <w:qFormat/>
    <w:uiPriority w:val="0"/>
    <w:pPr>
      <w:pBdr>
        <w:bottom w:val="single" w:color="auto" w:sz="6" w:space="1"/>
      </w:pBdr>
      <w:tabs>
        <w:tab w:val="center" w:pos="4153"/>
        <w:tab w:val="right" w:pos="8306"/>
      </w:tabs>
      <w:snapToGrid w:val="0"/>
    </w:pPr>
    <w:rPr>
      <w:sz w:val="18"/>
      <w:szCs w:val="18"/>
    </w:rPr>
  </w:style>
  <w:style w:type="character" w:customStyle="1" w:styleId="106">
    <w:name w:val="页眉 Char1"/>
    <w:link w:val="30"/>
    <w:autoRedefine/>
    <w:qFormat/>
    <w:locked/>
    <w:uiPriority w:val="99"/>
    <w:rPr>
      <w:rFonts w:ascii="Times New Roman" w:hAnsi="Times New Roman" w:eastAsia="Times New Roman" w:cs="Times New Roman"/>
      <w:kern w:val="0"/>
      <w:sz w:val="18"/>
      <w:szCs w:val="20"/>
    </w:rPr>
  </w:style>
  <w:style w:type="character" w:customStyle="1" w:styleId="107">
    <w:name w:val="副标题 Char"/>
    <w:basedOn w:val="50"/>
    <w:link w:val="108"/>
    <w:autoRedefine/>
    <w:qFormat/>
    <w:uiPriority w:val="0"/>
    <w:rPr>
      <w:rFonts w:eastAsia="宋体" w:asciiTheme="majorHAnsi" w:hAnsiTheme="majorHAnsi" w:cstheme="majorBidi"/>
      <w:b/>
      <w:bCs/>
      <w:kern w:val="28"/>
      <w:sz w:val="32"/>
      <w:szCs w:val="32"/>
    </w:rPr>
  </w:style>
  <w:style w:type="paragraph" w:customStyle="1" w:styleId="108">
    <w:name w:val="副标题1"/>
    <w:basedOn w:val="1"/>
    <w:next w:val="1"/>
    <w:link w:val="107"/>
    <w:autoRedefine/>
    <w:qFormat/>
    <w:uiPriority w:val="0"/>
    <w:pPr>
      <w:spacing w:before="240" w:after="60" w:line="312" w:lineRule="auto"/>
      <w:outlineLvl w:val="1"/>
    </w:pPr>
    <w:rPr>
      <w:rFonts w:asciiTheme="majorHAnsi" w:hAnsiTheme="majorHAnsi" w:cstheme="majorBidi"/>
      <w:b/>
      <w:bCs/>
      <w:kern w:val="28"/>
      <w:sz w:val="32"/>
      <w:szCs w:val="32"/>
    </w:rPr>
  </w:style>
  <w:style w:type="character" w:customStyle="1" w:styleId="109">
    <w:name w:val="副标题 Char2"/>
    <w:link w:val="33"/>
    <w:autoRedefine/>
    <w:qFormat/>
    <w:locked/>
    <w:uiPriority w:val="0"/>
    <w:rPr>
      <w:rFonts w:ascii="Cambria" w:hAnsi="Cambria" w:eastAsia="Times New Roman" w:cs="Times New Roman"/>
      <w:b/>
      <w:bCs/>
      <w:kern w:val="28"/>
      <w:sz w:val="32"/>
      <w:szCs w:val="32"/>
    </w:rPr>
  </w:style>
  <w:style w:type="character" w:customStyle="1" w:styleId="110">
    <w:name w:val="脚注文本 Char"/>
    <w:basedOn w:val="50"/>
    <w:link w:val="34"/>
    <w:autoRedefine/>
    <w:qFormat/>
    <w:uiPriority w:val="0"/>
    <w:rPr>
      <w:rFonts w:ascii="Times New Roman" w:hAnsi="Times New Roman" w:eastAsia="宋体" w:cs="Times New Roman"/>
      <w:kern w:val="0"/>
      <w:sz w:val="18"/>
      <w:szCs w:val="20"/>
    </w:rPr>
  </w:style>
  <w:style w:type="character" w:customStyle="1" w:styleId="111">
    <w:name w:val="正文文本缩进 3 Char"/>
    <w:basedOn w:val="50"/>
    <w:link w:val="36"/>
    <w:autoRedefine/>
    <w:qFormat/>
    <w:uiPriority w:val="0"/>
    <w:rPr>
      <w:rFonts w:ascii="宋体" w:hAnsi="MS Sans Serif" w:eastAsia="宋体" w:cs="Times New Roman"/>
      <w:color w:val="000000"/>
      <w:kern w:val="0"/>
      <w:sz w:val="24"/>
      <w:szCs w:val="20"/>
    </w:rPr>
  </w:style>
  <w:style w:type="character" w:customStyle="1" w:styleId="112">
    <w:name w:val="正文文本 2 Char"/>
    <w:basedOn w:val="50"/>
    <w:link w:val="40"/>
    <w:autoRedefine/>
    <w:qFormat/>
    <w:uiPriority w:val="0"/>
    <w:rPr>
      <w:rFonts w:ascii="宋体" w:hAnsi="宋体" w:eastAsia="宋体" w:cs="Times New Roman"/>
      <w:sz w:val="24"/>
      <w:szCs w:val="24"/>
      <w:u w:val="single"/>
    </w:rPr>
  </w:style>
  <w:style w:type="character" w:customStyle="1" w:styleId="113">
    <w:name w:val="HTML 预设格式 Char"/>
    <w:basedOn w:val="50"/>
    <w:autoRedefine/>
    <w:qFormat/>
    <w:uiPriority w:val="0"/>
    <w:rPr>
      <w:rFonts w:ascii="Courier New" w:hAnsi="Courier New" w:eastAsia="宋体" w:cs="Courier New"/>
      <w:sz w:val="20"/>
      <w:szCs w:val="20"/>
    </w:rPr>
  </w:style>
  <w:style w:type="character" w:customStyle="1" w:styleId="114">
    <w:name w:val="HTML 预设格式 Char2"/>
    <w:link w:val="41"/>
    <w:autoRedefine/>
    <w:qFormat/>
    <w:locked/>
    <w:uiPriority w:val="0"/>
    <w:rPr>
      <w:rFonts w:ascii="宋体" w:hAnsi="宋体" w:eastAsia="仿宋_GB2312" w:cs="Times New Roman"/>
      <w:kern w:val="0"/>
      <w:sz w:val="24"/>
      <w:szCs w:val="24"/>
    </w:rPr>
  </w:style>
  <w:style w:type="character" w:customStyle="1" w:styleId="115">
    <w:name w:val="标题 Char"/>
    <w:basedOn w:val="50"/>
    <w:link w:val="116"/>
    <w:autoRedefine/>
    <w:qFormat/>
    <w:uiPriority w:val="0"/>
    <w:rPr>
      <w:rFonts w:eastAsia="宋体" w:asciiTheme="majorHAnsi" w:hAnsiTheme="majorHAnsi" w:cstheme="majorBidi"/>
      <w:b/>
      <w:bCs/>
      <w:sz w:val="32"/>
      <w:szCs w:val="32"/>
    </w:rPr>
  </w:style>
  <w:style w:type="paragraph" w:customStyle="1" w:styleId="116">
    <w:name w:val="标题2"/>
    <w:basedOn w:val="1"/>
    <w:link w:val="115"/>
    <w:autoRedefine/>
    <w:qFormat/>
    <w:uiPriority w:val="0"/>
    <w:pPr>
      <w:autoSpaceDE w:val="0"/>
      <w:autoSpaceDN w:val="0"/>
      <w:adjustRightInd w:val="0"/>
    </w:pPr>
    <w:rPr>
      <w:rFonts w:asciiTheme="majorHAnsi" w:hAnsiTheme="majorHAnsi" w:cstheme="majorBidi"/>
      <w:b/>
      <w:bCs/>
      <w:sz w:val="32"/>
      <w:szCs w:val="32"/>
    </w:rPr>
  </w:style>
  <w:style w:type="character" w:customStyle="1" w:styleId="117">
    <w:name w:val="标题 Char2"/>
    <w:link w:val="44"/>
    <w:autoRedefine/>
    <w:qFormat/>
    <w:locked/>
    <w:uiPriority w:val="0"/>
    <w:rPr>
      <w:rFonts w:ascii="Cambria" w:hAnsi="Cambria" w:eastAsia="Times New Roman" w:cs="Times New Roman"/>
      <w:b/>
      <w:bCs/>
      <w:sz w:val="44"/>
      <w:szCs w:val="32"/>
    </w:rPr>
  </w:style>
  <w:style w:type="character" w:customStyle="1" w:styleId="118">
    <w:name w:val="批注主题 Char"/>
    <w:basedOn w:val="80"/>
    <w:link w:val="119"/>
    <w:autoRedefine/>
    <w:qFormat/>
    <w:uiPriority w:val="0"/>
    <w:rPr>
      <w:rFonts w:ascii="Calibri" w:hAnsi="Calibri" w:eastAsia="宋体" w:cs="Times New Roman"/>
      <w:b/>
      <w:bCs/>
    </w:rPr>
  </w:style>
  <w:style w:type="paragraph" w:customStyle="1" w:styleId="119">
    <w:name w:val="批注主题1"/>
    <w:basedOn w:val="81"/>
    <w:next w:val="81"/>
    <w:link w:val="118"/>
    <w:autoRedefine/>
    <w:qFormat/>
    <w:uiPriority w:val="0"/>
    <w:rPr>
      <w:b/>
      <w:bCs/>
    </w:rPr>
  </w:style>
  <w:style w:type="character" w:customStyle="1" w:styleId="120">
    <w:name w:val="批注主题 Char2"/>
    <w:link w:val="45"/>
    <w:autoRedefine/>
    <w:qFormat/>
    <w:locked/>
    <w:uiPriority w:val="99"/>
    <w:rPr>
      <w:rFonts w:ascii="Times New Roman" w:hAnsi="Times New Roman" w:eastAsia="Times New Roman" w:cs="Times New Roman"/>
      <w:b/>
      <w:bCs/>
      <w:szCs w:val="24"/>
    </w:rPr>
  </w:style>
  <w:style w:type="character" w:customStyle="1" w:styleId="121">
    <w:name w:val="标题5 Char Char"/>
    <w:link w:val="122"/>
    <w:autoRedefine/>
    <w:qFormat/>
    <w:locked/>
    <w:uiPriority w:val="0"/>
    <w:rPr>
      <w:rFonts w:ascii="Arial" w:hAnsi="Arial" w:cs="Arial"/>
      <w:b/>
      <w:bCs/>
      <w:sz w:val="24"/>
      <w:szCs w:val="32"/>
    </w:rPr>
  </w:style>
  <w:style w:type="paragraph" w:customStyle="1" w:styleId="122">
    <w:name w:val="标题5"/>
    <w:basedOn w:val="5"/>
    <w:link w:val="121"/>
    <w:autoRedefine/>
    <w:qFormat/>
    <w:uiPriority w:val="0"/>
    <w:pPr>
      <w:widowControl w:val="0"/>
      <w:numPr>
        <w:ilvl w:val="0"/>
        <w:numId w:val="0"/>
      </w:numPr>
      <w:spacing w:before="260" w:after="260" w:line="412" w:lineRule="auto"/>
      <w:jc w:val="both"/>
    </w:pPr>
    <w:rPr>
      <w:rFonts w:ascii="Arial" w:hAnsi="Arial" w:cs="Arial" w:eastAsiaTheme="minorEastAsia"/>
      <w:bCs/>
      <w:kern w:val="2"/>
      <w:sz w:val="24"/>
      <w:szCs w:val="32"/>
      <w:lang w:val="en-US"/>
    </w:rPr>
  </w:style>
  <w:style w:type="character" w:customStyle="1" w:styleId="123">
    <w:name w:val="xmfy Char Char"/>
    <w:link w:val="124"/>
    <w:autoRedefine/>
    <w:qFormat/>
    <w:locked/>
    <w:uiPriority w:val="0"/>
    <w:rPr>
      <w:rFonts w:ascii="宋体" w:hAnsi="宋体" w:eastAsia="宋体" w:cs="宋体"/>
      <w:sz w:val="28"/>
    </w:rPr>
  </w:style>
  <w:style w:type="paragraph" w:customStyle="1" w:styleId="124">
    <w:name w:val="xmfy"/>
    <w:basedOn w:val="4"/>
    <w:link w:val="123"/>
    <w:autoRedefine/>
    <w:qFormat/>
    <w:uiPriority w:val="0"/>
    <w:pPr>
      <w:widowControl w:val="0"/>
      <w:spacing w:line="312" w:lineRule="auto"/>
      <w:ind w:firstLine="567"/>
      <w:jc w:val="both"/>
    </w:pPr>
    <w:rPr>
      <w:rFonts w:ascii="宋体" w:hAnsi="宋体" w:cs="宋体"/>
      <w:kern w:val="2"/>
      <w:sz w:val="28"/>
      <w:szCs w:val="22"/>
    </w:rPr>
  </w:style>
  <w:style w:type="character" w:customStyle="1" w:styleId="125">
    <w:name w:val="引用 Char"/>
    <w:link w:val="126"/>
    <w:autoRedefine/>
    <w:qFormat/>
    <w:locked/>
    <w:uiPriority w:val="0"/>
    <w:rPr>
      <w:i/>
      <w:iCs/>
      <w:color w:val="000000"/>
    </w:rPr>
  </w:style>
  <w:style w:type="paragraph" w:customStyle="1" w:styleId="126">
    <w:name w:val="引用1"/>
    <w:basedOn w:val="1"/>
    <w:next w:val="1"/>
    <w:link w:val="125"/>
    <w:autoRedefine/>
    <w:qFormat/>
    <w:uiPriority w:val="0"/>
    <w:rPr>
      <w:rFonts w:asciiTheme="minorHAnsi" w:hAnsiTheme="minorHAnsi" w:eastAsiaTheme="minorEastAsia" w:cstheme="minorBidi"/>
      <w:i/>
      <w:iCs/>
      <w:color w:val="000000"/>
    </w:rPr>
  </w:style>
  <w:style w:type="character" w:customStyle="1" w:styleId="127">
    <w:name w:val="引用 Char1"/>
    <w:autoRedefine/>
    <w:qFormat/>
    <w:uiPriority w:val="29"/>
    <w:rPr>
      <w:rFonts w:ascii="Calibri" w:hAnsi="Calibri" w:eastAsia="宋体" w:cs="Times New Roman"/>
      <w:i/>
      <w:iCs/>
      <w:color w:val="000000"/>
    </w:rPr>
  </w:style>
  <w:style w:type="character" w:customStyle="1" w:styleId="128">
    <w:name w:val="标题4 Char Char"/>
    <w:link w:val="129"/>
    <w:autoRedefine/>
    <w:qFormat/>
    <w:locked/>
    <w:uiPriority w:val="0"/>
    <w:rPr>
      <w:rFonts w:ascii="Arial" w:hAnsi="Arial" w:cs="Arial"/>
      <w:b/>
      <w:bCs/>
      <w:sz w:val="24"/>
      <w:szCs w:val="32"/>
    </w:rPr>
  </w:style>
  <w:style w:type="paragraph" w:customStyle="1" w:styleId="129">
    <w:name w:val="标题4"/>
    <w:basedOn w:val="3"/>
    <w:next w:val="20"/>
    <w:link w:val="128"/>
    <w:autoRedefine/>
    <w:qFormat/>
    <w:uiPriority w:val="0"/>
    <w:pPr>
      <w:widowControl w:val="0"/>
    </w:pPr>
    <w:rPr>
      <w:rFonts w:cs="Arial" w:eastAsiaTheme="minorEastAsia"/>
      <w:b/>
      <w:bCs/>
      <w:kern w:val="2"/>
      <w:sz w:val="24"/>
      <w:szCs w:val="32"/>
      <w:lang w:val="en-US"/>
    </w:rPr>
  </w:style>
  <w:style w:type="character" w:customStyle="1" w:styleId="130">
    <w:name w:val="!BECC正文 Char"/>
    <w:link w:val="131"/>
    <w:autoRedefine/>
    <w:qFormat/>
    <w:locked/>
    <w:uiPriority w:val="0"/>
    <w:rPr>
      <w:sz w:val="24"/>
      <w:szCs w:val="24"/>
    </w:rPr>
  </w:style>
  <w:style w:type="paragraph" w:customStyle="1" w:styleId="131">
    <w:name w:val="!BECC正文"/>
    <w:basedOn w:val="1"/>
    <w:link w:val="130"/>
    <w:autoRedefine/>
    <w:qFormat/>
    <w:uiPriority w:val="0"/>
    <w:pPr>
      <w:tabs>
        <w:tab w:val="left" w:pos="0"/>
      </w:tabs>
      <w:spacing w:beforeLines="50" w:line="360" w:lineRule="auto"/>
      <w:ind w:firstLine="200" w:firstLineChars="200"/>
      <w:contextualSpacing/>
    </w:pPr>
    <w:rPr>
      <w:rFonts w:asciiTheme="minorHAnsi" w:hAnsiTheme="minorHAnsi" w:eastAsiaTheme="minorEastAsia" w:cstheme="minorBidi"/>
      <w:sz w:val="24"/>
      <w:szCs w:val="24"/>
    </w:rPr>
  </w:style>
  <w:style w:type="character" w:customStyle="1" w:styleId="132">
    <w:name w:val="正文加粗 Char"/>
    <w:link w:val="133"/>
    <w:autoRedefine/>
    <w:qFormat/>
    <w:locked/>
    <w:uiPriority w:val="0"/>
    <w:rPr>
      <w:b/>
      <w:sz w:val="24"/>
      <w:szCs w:val="24"/>
    </w:rPr>
  </w:style>
  <w:style w:type="paragraph" w:customStyle="1" w:styleId="133">
    <w:name w:val="正文加粗"/>
    <w:basedOn w:val="1"/>
    <w:next w:val="1"/>
    <w:link w:val="132"/>
    <w:autoRedefine/>
    <w:qFormat/>
    <w:uiPriority w:val="0"/>
    <w:pPr>
      <w:adjustRightInd w:val="0"/>
      <w:snapToGrid w:val="0"/>
      <w:spacing w:line="360" w:lineRule="auto"/>
      <w:ind w:right="240" w:firstLine="480" w:firstLineChars="200"/>
      <w:jc w:val="left"/>
    </w:pPr>
    <w:rPr>
      <w:rFonts w:asciiTheme="minorHAnsi" w:hAnsiTheme="minorHAnsi" w:eastAsiaTheme="minorEastAsia" w:cstheme="minorBidi"/>
      <w:b/>
      <w:sz w:val="24"/>
      <w:szCs w:val="24"/>
    </w:rPr>
  </w:style>
  <w:style w:type="character" w:customStyle="1" w:styleId="134">
    <w:name w:val="明显引用 Char"/>
    <w:link w:val="135"/>
    <w:autoRedefine/>
    <w:qFormat/>
    <w:locked/>
    <w:uiPriority w:val="0"/>
    <w:rPr>
      <w:b/>
      <w:bCs/>
      <w:i/>
      <w:iCs/>
      <w:color w:val="4F81BD"/>
    </w:rPr>
  </w:style>
  <w:style w:type="paragraph" w:customStyle="1" w:styleId="135">
    <w:name w:val="明显引用1"/>
    <w:basedOn w:val="1"/>
    <w:next w:val="1"/>
    <w:link w:val="134"/>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36">
    <w:name w:val="明显引用 Char1"/>
    <w:autoRedefine/>
    <w:qFormat/>
    <w:uiPriority w:val="30"/>
    <w:rPr>
      <w:rFonts w:ascii="Calibri" w:hAnsi="Calibri" w:eastAsia="宋体" w:cs="Times New Roman"/>
      <w:b/>
      <w:bCs/>
      <w:i/>
      <w:iCs/>
      <w:color w:val="4F81BD"/>
    </w:rPr>
  </w:style>
  <w:style w:type="character" w:customStyle="1" w:styleId="137">
    <w:name w:val="my正文 Char"/>
    <w:link w:val="138"/>
    <w:autoRedefine/>
    <w:qFormat/>
    <w:locked/>
    <w:uiPriority w:val="0"/>
    <w:rPr>
      <w:rFonts w:ascii="宋体" w:hAnsi="宋体" w:eastAsia="宋体"/>
      <w:sz w:val="24"/>
    </w:rPr>
  </w:style>
  <w:style w:type="paragraph" w:customStyle="1" w:styleId="138">
    <w:name w:val="my正文"/>
    <w:link w:val="137"/>
    <w:autoRedefine/>
    <w:qFormat/>
    <w:uiPriority w:val="0"/>
    <w:pPr>
      <w:spacing w:line="360" w:lineRule="auto"/>
      <w:ind w:firstLine="225" w:firstLineChars="225"/>
    </w:pPr>
    <w:rPr>
      <w:rFonts w:ascii="宋体" w:hAnsi="宋体" w:eastAsia="宋体" w:cstheme="minorBidi"/>
      <w:kern w:val="2"/>
      <w:sz w:val="24"/>
      <w:szCs w:val="22"/>
      <w:lang w:val="en-US" w:eastAsia="zh-CN" w:bidi="ar-SA"/>
    </w:rPr>
  </w:style>
  <w:style w:type="paragraph" w:customStyle="1" w:styleId="13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样式 标题 2 + Times New Roman 四号 非加粗 段前: 5 磅 段后: 0 磅 行距: 固定值 20..."/>
    <w:basedOn w:val="3"/>
    <w:autoRedefine/>
    <w:qFormat/>
    <w:uiPriority w:val="0"/>
    <w:pPr>
      <w:widowControl w:val="0"/>
      <w:spacing w:before="100" w:after="0" w:line="400" w:lineRule="exact"/>
    </w:pPr>
    <w:rPr>
      <w:rFonts w:ascii="Times New Roman" w:hAnsi="Times New Roman" w:cs="宋体"/>
      <w:b/>
    </w:rPr>
  </w:style>
  <w:style w:type="paragraph" w:customStyle="1" w:styleId="141">
    <w:name w:val="表内文字居中"/>
    <w:autoRedefine/>
    <w:qFormat/>
    <w:uiPriority w:val="0"/>
    <w:pPr>
      <w:jc w:val="center"/>
    </w:pPr>
    <w:rPr>
      <w:rFonts w:ascii="Times New Roman" w:hAnsi="Times New Roman" w:eastAsia="宋体" w:cs="Times New Roman"/>
      <w:kern w:val="2"/>
      <w:sz w:val="24"/>
      <w:szCs w:val="24"/>
      <w:lang w:val="en-US" w:eastAsia="zh-CN" w:bidi="ar-SA"/>
    </w:rPr>
  </w:style>
  <w:style w:type="paragraph" w:customStyle="1" w:styleId="142">
    <w:name w:val="xl8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3">
    <w:name w:val="Style4"/>
    <w:basedOn w:val="1"/>
    <w:autoRedefine/>
    <w:qFormat/>
    <w:uiPriority w:val="0"/>
    <w:pPr>
      <w:adjustRightInd w:val="0"/>
      <w:jc w:val="left"/>
    </w:pPr>
    <w:rPr>
      <w:rFonts w:ascii="宋体"/>
      <w:kern w:val="0"/>
      <w:sz w:val="24"/>
      <w:szCs w:val="24"/>
    </w:rPr>
  </w:style>
  <w:style w:type="paragraph" w:customStyle="1" w:styleId="144">
    <w:name w:val="列出段落1"/>
    <w:basedOn w:val="1"/>
    <w:autoRedefine/>
    <w:qFormat/>
    <w:uiPriority w:val="0"/>
    <w:pPr>
      <w:ind w:firstLine="420" w:firstLineChars="200"/>
    </w:pPr>
    <w:rPr>
      <w:rFonts w:ascii="Cambria" w:hAnsi="Cambria"/>
      <w:sz w:val="24"/>
      <w:szCs w:val="24"/>
    </w:rPr>
  </w:style>
  <w:style w:type="paragraph" w:customStyle="1" w:styleId="145">
    <w:name w:val="xl8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7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47">
    <w:name w:val="目录"/>
    <w:basedOn w:val="1"/>
    <w:autoRedefine/>
    <w:qFormat/>
    <w:uiPriority w:val="0"/>
    <w:pPr>
      <w:widowControl/>
      <w:jc w:val="center"/>
    </w:pPr>
    <w:rPr>
      <w:rFonts w:ascii="宋体" w:hAnsi="Times New Roman"/>
      <w:b/>
      <w:kern w:val="0"/>
      <w:sz w:val="36"/>
      <w:szCs w:val="20"/>
    </w:rPr>
  </w:style>
  <w:style w:type="paragraph" w:customStyle="1" w:styleId="148">
    <w:name w:val="默认段落字体 Para Char Char Char Char"/>
    <w:basedOn w:val="1"/>
    <w:autoRedefine/>
    <w:qFormat/>
    <w:uiPriority w:val="0"/>
    <w:rPr>
      <w:rFonts w:ascii="Times New Roman" w:hAnsi="Times New Roman"/>
      <w:szCs w:val="24"/>
    </w:rPr>
  </w:style>
  <w:style w:type="paragraph" w:customStyle="1" w:styleId="149">
    <w:name w:val="空半行"/>
    <w:basedOn w:val="1"/>
    <w:autoRedefine/>
    <w:qFormat/>
    <w:uiPriority w:val="0"/>
    <w:pPr>
      <w:adjustRightInd w:val="0"/>
      <w:spacing w:line="120" w:lineRule="exact"/>
    </w:pPr>
    <w:rPr>
      <w:rFonts w:ascii="Times New Roman" w:hAnsi="Times New Roman" w:eastAsia="仿宋_GB2312"/>
      <w:color w:val="FFFFFF"/>
      <w:kern w:val="0"/>
      <w:sz w:val="30"/>
      <w:szCs w:val="20"/>
    </w:rPr>
  </w:style>
  <w:style w:type="paragraph" w:customStyle="1" w:styleId="150">
    <w:name w:val="Style3"/>
    <w:basedOn w:val="1"/>
    <w:autoRedefine/>
    <w:qFormat/>
    <w:uiPriority w:val="0"/>
    <w:pPr>
      <w:adjustRightInd w:val="0"/>
      <w:spacing w:line="550" w:lineRule="exact"/>
      <w:ind w:firstLine="571"/>
      <w:jc w:val="left"/>
    </w:pPr>
    <w:rPr>
      <w:rFonts w:ascii="宋体"/>
      <w:kern w:val="0"/>
      <w:sz w:val="24"/>
      <w:szCs w:val="24"/>
    </w:rPr>
  </w:style>
  <w:style w:type="paragraph" w:customStyle="1" w:styleId="151">
    <w:name w:val="xl8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2">
    <w:name w:val="xl8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4">
    <w:name w:val="xl8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155">
    <w:name w:val="图内文字5号居中"/>
    <w:autoRedefine/>
    <w:qFormat/>
    <w:uiPriority w:val="0"/>
    <w:pPr>
      <w:jc w:val="center"/>
    </w:pPr>
    <w:rPr>
      <w:rFonts w:ascii="Times New Roman" w:hAnsi="Times New Roman" w:eastAsia="宋体" w:cs="Times New Roman"/>
      <w:kern w:val="2"/>
      <w:sz w:val="21"/>
      <w:szCs w:val="24"/>
      <w:lang w:val="en-US" w:eastAsia="zh-CN" w:bidi="ar-SA"/>
    </w:rPr>
  </w:style>
  <w:style w:type="paragraph" w:customStyle="1" w:styleId="156">
    <w:name w:val="xl8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7">
    <w:name w:val="font14"/>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样式 标题 3 + (中文) 黑体 小四 非加粗 段前: 7.8 磅 段后: 0 磅 行距: 固定值 20 磅"/>
    <w:basedOn w:val="5"/>
    <w:autoRedefine/>
    <w:qFormat/>
    <w:uiPriority w:val="0"/>
    <w:pPr>
      <w:widowControl w:val="0"/>
      <w:numPr>
        <w:ilvl w:val="0"/>
        <w:numId w:val="0"/>
      </w:numPr>
      <w:spacing w:before="0" w:after="0" w:line="400" w:lineRule="exact"/>
      <w:jc w:val="both"/>
    </w:pPr>
    <w:rPr>
      <w:rFonts w:eastAsia="黑体" w:cs="宋体"/>
      <w:b w:val="0"/>
      <w:kern w:val="2"/>
      <w:sz w:val="24"/>
      <w:lang w:val="en-US"/>
    </w:rPr>
  </w:style>
  <w:style w:type="paragraph" w:customStyle="1" w:styleId="159">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60">
    <w:name w:val="xl8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1">
    <w:name w:val="font13"/>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62">
    <w:name w:val="xl7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3">
    <w:name w:val="xl8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64">
    <w:name w:val="目录文字"/>
    <w:basedOn w:val="1"/>
    <w:autoRedefine/>
    <w:qFormat/>
    <w:uiPriority w:val="0"/>
    <w:pPr>
      <w:widowControl/>
      <w:spacing w:line="480" w:lineRule="auto"/>
      <w:jc w:val="left"/>
    </w:pPr>
    <w:rPr>
      <w:rFonts w:ascii="宋体" w:hAnsi="宋体"/>
      <w:kern w:val="0"/>
      <w:sz w:val="24"/>
      <w:szCs w:val="20"/>
    </w:rPr>
  </w:style>
  <w:style w:type="paragraph" w:customStyle="1" w:styleId="165">
    <w:name w:val="xl8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66">
    <w:name w:val="xl8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7">
    <w:name w:val="font11"/>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68">
    <w:name w:val="正文文字缩进"/>
    <w:basedOn w:val="1"/>
    <w:next w:val="1"/>
    <w:autoRedefine/>
    <w:qFormat/>
    <w:uiPriority w:val="0"/>
    <w:pPr>
      <w:widowControl/>
      <w:ind w:left="420"/>
    </w:pPr>
    <w:rPr>
      <w:rFonts w:ascii="仿宋_GB2312" w:hAnsi="Times New Roman" w:eastAsia="仿宋_GB2312"/>
      <w:color w:val="000000"/>
      <w:sz w:val="30"/>
      <w:szCs w:val="24"/>
    </w:rPr>
  </w:style>
  <w:style w:type="paragraph" w:customStyle="1" w:styleId="169">
    <w:name w:val="xl8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8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171">
    <w:name w:val="xl8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2">
    <w:name w:val="Style1"/>
    <w:basedOn w:val="1"/>
    <w:autoRedefine/>
    <w:qFormat/>
    <w:uiPriority w:val="0"/>
    <w:pPr>
      <w:adjustRightInd w:val="0"/>
      <w:jc w:val="left"/>
    </w:pPr>
    <w:rPr>
      <w:rFonts w:ascii="宋体"/>
      <w:kern w:val="0"/>
      <w:sz w:val="24"/>
      <w:szCs w:val="24"/>
    </w:rPr>
  </w:style>
  <w:style w:type="paragraph" w:customStyle="1" w:styleId="173">
    <w:name w:val="xl8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4">
    <w:name w:val="xl7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5">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6">
    <w:name w:val="Char"/>
    <w:basedOn w:val="1"/>
    <w:autoRedefine/>
    <w:qFormat/>
    <w:uiPriority w:val="0"/>
    <w:rPr>
      <w:rFonts w:ascii="宋体" w:hAnsi="Times New Roman"/>
      <w:kern w:val="0"/>
      <w:sz w:val="24"/>
      <w:szCs w:val="24"/>
    </w:rPr>
  </w:style>
  <w:style w:type="paragraph" w:customStyle="1" w:styleId="177">
    <w:name w:val="图标题"/>
    <w:basedOn w:val="1"/>
    <w:autoRedefine/>
    <w:qFormat/>
    <w:uiPriority w:val="0"/>
    <w:pPr>
      <w:spacing w:line="360" w:lineRule="auto"/>
      <w:jc w:val="center"/>
    </w:pPr>
    <w:rPr>
      <w:rFonts w:ascii="Times New Roman" w:hAnsi="Times New Roman"/>
      <w:szCs w:val="24"/>
    </w:rPr>
  </w:style>
  <w:style w:type="paragraph" w:customStyle="1" w:styleId="178">
    <w:name w:val="xl7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9">
    <w:name w:val="xl8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0">
    <w:name w:val="xl8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1">
    <w:name w:val="xl8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82">
    <w:name w:val="xl8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83">
    <w:name w:val="font8"/>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184">
    <w:name w:val="xl7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185">
    <w:name w:val="列出段落2"/>
    <w:basedOn w:val="1"/>
    <w:autoRedefine/>
    <w:qFormat/>
    <w:uiPriority w:val="34"/>
    <w:pPr>
      <w:ind w:firstLine="420" w:firstLineChars="200"/>
    </w:pPr>
  </w:style>
  <w:style w:type="paragraph" w:customStyle="1" w:styleId="186">
    <w:name w:val="插图居中"/>
    <w:next w:val="1"/>
    <w:autoRedefine/>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7">
    <w:name w:val="xl8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8">
    <w:name w:val="font10"/>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89">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90">
    <w:name w:val="Char1 Char Char Char"/>
    <w:basedOn w:val="1"/>
    <w:autoRedefine/>
    <w:qFormat/>
    <w:uiPriority w:val="0"/>
    <w:rPr>
      <w:rFonts w:ascii="Tahoma" w:hAnsi="Tahoma"/>
      <w:sz w:val="24"/>
      <w:szCs w:val="20"/>
    </w:rPr>
  </w:style>
  <w:style w:type="paragraph" w:customStyle="1" w:styleId="191">
    <w:name w:val="样式1"/>
    <w:basedOn w:val="1"/>
    <w:link w:val="192"/>
    <w:autoRedefine/>
    <w:qFormat/>
    <w:uiPriority w:val="0"/>
    <w:pPr>
      <w:spacing w:before="120" w:after="120" w:line="300" w:lineRule="auto"/>
    </w:pPr>
    <w:rPr>
      <w:rFonts w:ascii="宋体" w:hAnsi="宋体"/>
      <w:b/>
      <w:sz w:val="24"/>
      <w:szCs w:val="20"/>
    </w:rPr>
  </w:style>
  <w:style w:type="character" w:customStyle="1" w:styleId="192">
    <w:name w:val="样式1 Char"/>
    <w:link w:val="191"/>
    <w:autoRedefine/>
    <w:qFormat/>
    <w:uiPriority w:val="0"/>
    <w:rPr>
      <w:rFonts w:ascii="宋体" w:hAnsi="宋体" w:eastAsia="宋体" w:cs="Times New Roman"/>
      <w:b/>
      <w:sz w:val="24"/>
      <w:szCs w:val="20"/>
    </w:rPr>
  </w:style>
  <w:style w:type="paragraph" w:customStyle="1" w:styleId="193">
    <w:name w:val="xl8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4">
    <w:name w:val="xl8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95">
    <w:name w:val="Style2"/>
    <w:basedOn w:val="1"/>
    <w:autoRedefine/>
    <w:qFormat/>
    <w:uiPriority w:val="0"/>
    <w:pPr>
      <w:adjustRightInd w:val="0"/>
      <w:spacing w:line="533" w:lineRule="exact"/>
      <w:jc w:val="left"/>
    </w:pPr>
    <w:rPr>
      <w:rFonts w:ascii="宋体"/>
      <w:kern w:val="0"/>
      <w:sz w:val="24"/>
      <w:szCs w:val="24"/>
    </w:rPr>
  </w:style>
  <w:style w:type="paragraph" w:customStyle="1" w:styleId="196">
    <w:name w:val="font12"/>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7">
    <w:name w:val="xl7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8">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199">
    <w:name w:val="flNote"/>
    <w:basedOn w:val="1"/>
    <w:autoRedefine/>
    <w:qFormat/>
    <w:uiPriority w:val="0"/>
    <w:pPr>
      <w:adjustRightInd w:val="0"/>
      <w:spacing w:before="320" w:after="160" w:line="360" w:lineRule="atLeast"/>
      <w:jc w:val="center"/>
    </w:pPr>
    <w:rPr>
      <w:rFonts w:ascii="Arial" w:hAnsi="Times New Roman" w:eastAsia="黑体"/>
      <w:kern w:val="0"/>
      <w:sz w:val="30"/>
      <w:szCs w:val="20"/>
    </w:rPr>
  </w:style>
  <w:style w:type="paragraph" w:customStyle="1" w:styleId="200">
    <w:name w:val="TOC 标题1"/>
    <w:basedOn w:val="2"/>
    <w:next w:val="1"/>
    <w:autoRedefine/>
    <w:qFormat/>
    <w:uiPriority w:val="39"/>
    <w:pPr>
      <w:keepLines/>
      <w:widowControl w:val="0"/>
      <w:spacing w:before="340" w:after="330" w:line="576" w:lineRule="auto"/>
      <w:ind w:left="0" w:firstLine="0"/>
      <w:jc w:val="both"/>
      <w:outlineLvl w:val="9"/>
    </w:pPr>
    <w:rPr>
      <w:rFonts w:ascii="Calibri" w:hAnsi="Calibri" w:cs="Times New Roman"/>
      <w:b w:val="0"/>
      <w:bCs/>
      <w:kern w:val="44"/>
      <w:sz w:val="44"/>
      <w:szCs w:val="44"/>
    </w:rPr>
  </w:style>
  <w:style w:type="paragraph" w:customStyle="1" w:styleId="201">
    <w:name w:val="表内文字居左"/>
    <w:autoRedefine/>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 w:type="paragraph" w:customStyle="1" w:styleId="202">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4">
    <w:name w:val="xl8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5">
    <w:name w:val="xl8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正文文字缩进 2"/>
    <w:basedOn w:val="1"/>
    <w:next w:val="1"/>
    <w:autoRedefine/>
    <w:qFormat/>
    <w:uiPriority w:val="0"/>
    <w:pPr>
      <w:widowControl/>
      <w:spacing w:line="288" w:lineRule="auto"/>
      <w:ind w:firstLine="560"/>
    </w:pPr>
    <w:rPr>
      <w:rFonts w:ascii="宋体" w:hAnsi="Times New Roman"/>
      <w:color w:val="000000"/>
      <w:sz w:val="28"/>
      <w:szCs w:val="24"/>
    </w:rPr>
  </w:style>
  <w:style w:type="paragraph" w:customStyle="1" w:styleId="207">
    <w:name w:val="xl82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Cs w:val="21"/>
    </w:rPr>
  </w:style>
  <w:style w:type="character" w:customStyle="1" w:styleId="209">
    <w:name w:val="样式 正文 +"/>
    <w:autoRedefine/>
    <w:qFormat/>
    <w:uiPriority w:val="0"/>
    <w:rPr>
      <w:rFonts w:hint="default" w:ascii="Times New Roman" w:hAnsi="Times New Roman" w:eastAsia="Times New Roman" w:cs="Times New Roman"/>
      <w:kern w:val="0"/>
      <w:sz w:val="28"/>
    </w:rPr>
  </w:style>
  <w:style w:type="character" w:customStyle="1" w:styleId="210">
    <w:name w:val="文档结构图 Char1"/>
    <w:autoRedefine/>
    <w:qFormat/>
    <w:uiPriority w:val="99"/>
    <w:rPr>
      <w:rFonts w:hint="eastAsia" w:ascii="宋体" w:hAnsi="宋体" w:eastAsia="宋体"/>
      <w:kern w:val="2"/>
      <w:sz w:val="18"/>
      <w:szCs w:val="18"/>
    </w:rPr>
  </w:style>
  <w:style w:type="character" w:customStyle="1" w:styleId="211">
    <w:name w:val="Font Style18"/>
    <w:autoRedefine/>
    <w:qFormat/>
    <w:uiPriority w:val="0"/>
    <w:rPr>
      <w:rFonts w:hint="default" w:ascii="Candara" w:hAnsi="Candara" w:cs="Candara"/>
      <w:spacing w:val="-20"/>
      <w:sz w:val="20"/>
      <w:szCs w:val="20"/>
    </w:rPr>
  </w:style>
  <w:style w:type="character" w:customStyle="1" w:styleId="212">
    <w:name w:val="Font Style15"/>
    <w:autoRedefine/>
    <w:qFormat/>
    <w:uiPriority w:val="0"/>
    <w:rPr>
      <w:rFonts w:hint="eastAsia" w:ascii="宋体" w:hAnsi="宋体" w:eastAsia="宋体" w:cs="宋体"/>
      <w:b/>
      <w:bCs/>
      <w:sz w:val="20"/>
      <w:szCs w:val="20"/>
    </w:rPr>
  </w:style>
  <w:style w:type="character" w:customStyle="1" w:styleId="213">
    <w:name w:val="xmfy Char Char Char"/>
    <w:autoRedefine/>
    <w:qFormat/>
    <w:uiPriority w:val="0"/>
    <w:rPr>
      <w:rFonts w:hint="eastAsia" w:ascii="宋体" w:hAnsi="宋体" w:eastAsia="宋体" w:cs="宋体"/>
      <w:kern w:val="2"/>
      <w:sz w:val="28"/>
      <w:szCs w:val="28"/>
      <w:lang w:val="en-US" w:eastAsia="zh-CN" w:bidi="ar-SA"/>
    </w:rPr>
  </w:style>
  <w:style w:type="character" w:customStyle="1" w:styleId="214">
    <w:name w:val="Char Char1"/>
    <w:autoRedefine/>
    <w:qFormat/>
    <w:uiPriority w:val="0"/>
    <w:rPr>
      <w:sz w:val="24"/>
    </w:rPr>
  </w:style>
  <w:style w:type="character" w:customStyle="1" w:styleId="215">
    <w:name w:val="不明显参考1"/>
    <w:autoRedefine/>
    <w:qFormat/>
    <w:uiPriority w:val="31"/>
    <w:rPr>
      <w:smallCaps/>
      <w:color w:val="C0504D"/>
      <w:u w:val="single"/>
    </w:rPr>
  </w:style>
  <w:style w:type="character" w:customStyle="1" w:styleId="216">
    <w:name w:val="文字加横线"/>
    <w:autoRedefine/>
    <w:qFormat/>
    <w:uiPriority w:val="0"/>
    <w:rPr>
      <w:u w:val="single"/>
    </w:rPr>
  </w:style>
  <w:style w:type="character" w:customStyle="1" w:styleId="217">
    <w:name w:val="text1"/>
    <w:autoRedefine/>
    <w:qFormat/>
    <w:uiPriority w:val="0"/>
    <w:rPr>
      <w:spacing w:val="280"/>
      <w:sz w:val="18"/>
      <w:szCs w:val="18"/>
    </w:rPr>
  </w:style>
  <w:style w:type="character" w:customStyle="1" w:styleId="218">
    <w:name w:val="不明显强调1"/>
    <w:autoRedefine/>
    <w:qFormat/>
    <w:uiPriority w:val="19"/>
    <w:rPr>
      <w:i/>
      <w:iCs/>
      <w:color w:val="808080"/>
    </w:rPr>
  </w:style>
  <w:style w:type="character" w:customStyle="1" w:styleId="219">
    <w:name w:val="书籍标题1"/>
    <w:autoRedefine/>
    <w:qFormat/>
    <w:uiPriority w:val="33"/>
    <w:rPr>
      <w:b/>
      <w:bCs/>
      <w:smallCaps/>
      <w:spacing w:val="5"/>
    </w:rPr>
  </w:style>
  <w:style w:type="character" w:customStyle="1" w:styleId="220">
    <w:name w:val="批注框文本 Char1"/>
    <w:link w:val="221"/>
    <w:autoRedefine/>
    <w:qFormat/>
    <w:uiPriority w:val="0"/>
    <w:rPr>
      <w:sz w:val="18"/>
      <w:szCs w:val="18"/>
    </w:rPr>
  </w:style>
  <w:style w:type="paragraph" w:customStyle="1" w:styleId="221">
    <w:name w:val="批注框文本2"/>
    <w:basedOn w:val="1"/>
    <w:link w:val="220"/>
    <w:autoRedefine/>
    <w:qFormat/>
    <w:uiPriority w:val="0"/>
    <w:rPr>
      <w:rFonts w:asciiTheme="minorHAnsi" w:hAnsiTheme="minorHAnsi" w:eastAsiaTheme="minorEastAsia" w:cstheme="minorBidi"/>
      <w:sz w:val="18"/>
      <w:szCs w:val="18"/>
    </w:rPr>
  </w:style>
  <w:style w:type="character" w:customStyle="1" w:styleId="222">
    <w:name w:val="textcontents"/>
    <w:autoRedefine/>
    <w:qFormat/>
    <w:uiPriority w:val="0"/>
    <w:rPr>
      <w:rFonts w:hint="default" w:ascii="Times New Roman" w:hAnsi="Times New Roman" w:cs="Times New Roman"/>
    </w:rPr>
  </w:style>
  <w:style w:type="character" w:customStyle="1" w:styleId="223">
    <w:name w:val="副标题 Char1"/>
    <w:autoRedefine/>
    <w:qFormat/>
    <w:uiPriority w:val="0"/>
    <w:rPr>
      <w:rFonts w:hint="default" w:ascii="Cambria" w:hAnsi="Cambria" w:cs="Times New Roman"/>
      <w:b/>
      <w:bCs/>
      <w:kern w:val="28"/>
      <w:sz w:val="32"/>
      <w:szCs w:val="32"/>
    </w:rPr>
  </w:style>
  <w:style w:type="character" w:customStyle="1" w:styleId="224">
    <w:name w:val="批注文字 Char Char"/>
    <w:autoRedefine/>
    <w:qFormat/>
    <w:uiPriority w:val="0"/>
    <w:rPr>
      <w:rFonts w:hint="eastAsia" w:ascii="宋体" w:hAnsi="Times New Roman" w:eastAsia="宋体" w:cs="Times New Roman"/>
      <w:sz w:val="28"/>
      <w:szCs w:val="20"/>
    </w:rPr>
  </w:style>
  <w:style w:type="character" w:customStyle="1" w:styleId="225">
    <w:name w:val="Font Style13"/>
    <w:autoRedefine/>
    <w:qFormat/>
    <w:uiPriority w:val="0"/>
    <w:rPr>
      <w:rFonts w:hint="eastAsia" w:ascii="宋体" w:hAnsi="宋体" w:eastAsia="宋体" w:cs="宋体"/>
      <w:b/>
      <w:bCs/>
      <w:spacing w:val="500"/>
      <w:sz w:val="48"/>
      <w:szCs w:val="48"/>
    </w:rPr>
  </w:style>
  <w:style w:type="character" w:customStyle="1" w:styleId="226">
    <w:name w:val="HTML 预设格式 Char1"/>
    <w:autoRedefine/>
    <w:qFormat/>
    <w:uiPriority w:val="0"/>
    <w:rPr>
      <w:rFonts w:hint="default" w:ascii="Courier New" w:hAnsi="Courier New" w:cs="Courier New"/>
      <w:kern w:val="2"/>
    </w:rPr>
  </w:style>
  <w:style w:type="character" w:customStyle="1" w:styleId="227">
    <w:name w:val="标题 Char1"/>
    <w:autoRedefine/>
    <w:qFormat/>
    <w:uiPriority w:val="0"/>
    <w:rPr>
      <w:rFonts w:hint="default" w:ascii="Cambria" w:hAnsi="Cambria" w:cs="Times New Roman"/>
      <w:b/>
      <w:bCs/>
      <w:kern w:val="2"/>
      <w:sz w:val="32"/>
      <w:szCs w:val="32"/>
    </w:rPr>
  </w:style>
  <w:style w:type="character" w:customStyle="1" w:styleId="228">
    <w:name w:val="批注主题 Char1"/>
    <w:link w:val="229"/>
    <w:autoRedefine/>
    <w:qFormat/>
    <w:uiPriority w:val="0"/>
    <w:rPr>
      <w:b/>
      <w:bCs/>
    </w:rPr>
  </w:style>
  <w:style w:type="paragraph" w:customStyle="1" w:styleId="229">
    <w:name w:val="批注主题2"/>
    <w:basedOn w:val="230"/>
    <w:next w:val="230"/>
    <w:link w:val="228"/>
    <w:autoRedefine/>
    <w:qFormat/>
    <w:uiPriority w:val="0"/>
    <w:rPr>
      <w:rFonts w:asciiTheme="minorHAnsi" w:hAnsiTheme="minorHAnsi" w:eastAsiaTheme="minorEastAsia" w:cstheme="minorBidi"/>
      <w:b/>
      <w:bCs/>
      <w:szCs w:val="22"/>
    </w:rPr>
  </w:style>
  <w:style w:type="paragraph" w:customStyle="1" w:styleId="230">
    <w:name w:val="批注文字2"/>
    <w:basedOn w:val="1"/>
    <w:autoRedefine/>
    <w:qFormat/>
    <w:uiPriority w:val="0"/>
    <w:pPr>
      <w:jc w:val="left"/>
    </w:pPr>
    <w:rPr>
      <w:szCs w:val="20"/>
    </w:rPr>
  </w:style>
  <w:style w:type="character" w:customStyle="1" w:styleId="231">
    <w:name w:val="Font Style16"/>
    <w:autoRedefine/>
    <w:qFormat/>
    <w:uiPriority w:val="0"/>
    <w:rPr>
      <w:rFonts w:hint="default" w:ascii="Times New Roman" w:hAnsi="Times New Roman" w:cs="Times New Roman"/>
      <w:sz w:val="22"/>
      <w:szCs w:val="22"/>
    </w:rPr>
  </w:style>
  <w:style w:type="character" w:customStyle="1" w:styleId="232">
    <w:name w:val="style11"/>
    <w:autoRedefine/>
    <w:qFormat/>
    <w:uiPriority w:val="0"/>
    <w:rPr>
      <w:color w:val="000000"/>
      <w:sz w:val="18"/>
      <w:szCs w:val="18"/>
    </w:rPr>
  </w:style>
  <w:style w:type="character" w:customStyle="1" w:styleId="233">
    <w:name w:val="Font Style14"/>
    <w:autoRedefine/>
    <w:qFormat/>
    <w:uiPriority w:val="0"/>
    <w:rPr>
      <w:rFonts w:hint="eastAsia" w:ascii="宋体" w:hAnsi="宋体" w:eastAsia="宋体" w:cs="宋体"/>
      <w:sz w:val="22"/>
      <w:szCs w:val="22"/>
    </w:rPr>
  </w:style>
  <w:style w:type="character" w:customStyle="1" w:styleId="234">
    <w:name w:val="明显强调1"/>
    <w:autoRedefine/>
    <w:qFormat/>
    <w:uiPriority w:val="21"/>
    <w:rPr>
      <w:b/>
      <w:bCs/>
      <w:i/>
      <w:iCs/>
      <w:color w:val="4F81BD"/>
    </w:rPr>
  </w:style>
  <w:style w:type="character" w:customStyle="1" w:styleId="235">
    <w:name w:val="Font Style11"/>
    <w:autoRedefine/>
    <w:qFormat/>
    <w:uiPriority w:val="0"/>
    <w:rPr>
      <w:rFonts w:hint="eastAsia" w:ascii="宋体" w:hAnsi="宋体" w:eastAsia="宋体" w:cs="宋体"/>
      <w:sz w:val="22"/>
      <w:szCs w:val="22"/>
    </w:rPr>
  </w:style>
  <w:style w:type="character" w:customStyle="1" w:styleId="236">
    <w:name w:val="日期 Char1"/>
    <w:autoRedefine/>
    <w:qFormat/>
    <w:uiPriority w:val="0"/>
    <w:rPr>
      <w:kern w:val="2"/>
      <w:sz w:val="21"/>
      <w:szCs w:val="22"/>
    </w:rPr>
  </w:style>
  <w:style w:type="character" w:customStyle="1" w:styleId="237">
    <w:name w:val="正文文本 Char1"/>
    <w:autoRedefine/>
    <w:qFormat/>
    <w:uiPriority w:val="0"/>
    <w:rPr>
      <w:kern w:val="2"/>
      <w:sz w:val="21"/>
      <w:szCs w:val="22"/>
    </w:rPr>
  </w:style>
  <w:style w:type="character" w:customStyle="1" w:styleId="238">
    <w:name w:val="明显参考1"/>
    <w:autoRedefine/>
    <w:qFormat/>
    <w:uiPriority w:val="32"/>
    <w:rPr>
      <w:b/>
      <w:bCs/>
      <w:smallCaps/>
      <w:color w:val="C0504D"/>
      <w:spacing w:val="5"/>
      <w:u w:val="single"/>
    </w:rPr>
  </w:style>
  <w:style w:type="paragraph" w:customStyle="1" w:styleId="239">
    <w:name w:val="Char1"/>
    <w:basedOn w:val="1"/>
    <w:autoRedefine/>
    <w:qFormat/>
    <w:uiPriority w:val="0"/>
    <w:rPr>
      <w:rFonts w:ascii="Times New Roman" w:hAnsi="Times New Roman"/>
      <w:szCs w:val="24"/>
    </w:rPr>
  </w:style>
  <w:style w:type="character" w:customStyle="1" w:styleId="240">
    <w:name w:val="font112"/>
    <w:autoRedefine/>
    <w:qFormat/>
    <w:uiPriority w:val="0"/>
    <w:rPr>
      <w:rFonts w:hint="eastAsia" w:ascii="宋体" w:hAnsi="宋体" w:eastAsia="宋体" w:cs="宋体"/>
      <w:color w:val="000000"/>
      <w:sz w:val="20"/>
      <w:szCs w:val="20"/>
      <w:u w:val="none"/>
    </w:rPr>
  </w:style>
  <w:style w:type="character" w:customStyle="1" w:styleId="241">
    <w:name w:val="font41"/>
    <w:autoRedefine/>
    <w:qFormat/>
    <w:uiPriority w:val="0"/>
    <w:rPr>
      <w:rFonts w:hint="eastAsia" w:ascii="宋体" w:hAnsi="宋体" w:eastAsia="宋体" w:cs="宋体"/>
      <w:color w:val="000000"/>
      <w:sz w:val="21"/>
      <w:szCs w:val="21"/>
      <w:u w:val="none"/>
    </w:rPr>
  </w:style>
  <w:style w:type="character" w:customStyle="1" w:styleId="242">
    <w:name w:val="font81"/>
    <w:autoRedefine/>
    <w:qFormat/>
    <w:uiPriority w:val="0"/>
    <w:rPr>
      <w:rFonts w:hint="default" w:ascii="Times New Roman" w:hAnsi="Times New Roman" w:cs="Times New Roman"/>
      <w:color w:val="000000"/>
      <w:sz w:val="21"/>
      <w:szCs w:val="21"/>
      <w:u w:val="none"/>
    </w:rPr>
  </w:style>
  <w:style w:type="character" w:customStyle="1" w:styleId="243">
    <w:name w:val="font71"/>
    <w:autoRedefine/>
    <w:qFormat/>
    <w:uiPriority w:val="0"/>
    <w:rPr>
      <w:rFonts w:hint="default" w:ascii="Times New Roman" w:hAnsi="Times New Roman" w:cs="Times New Roman"/>
      <w:color w:val="000000"/>
      <w:sz w:val="20"/>
      <w:szCs w:val="20"/>
      <w:u w:val="none"/>
    </w:rPr>
  </w:style>
  <w:style w:type="character" w:customStyle="1" w:styleId="244">
    <w:name w:val="font21"/>
    <w:autoRedefine/>
    <w:qFormat/>
    <w:uiPriority w:val="0"/>
    <w:rPr>
      <w:rFonts w:hint="default" w:ascii="Arial" w:hAnsi="Arial" w:cs="Arial"/>
      <w:color w:val="000000"/>
      <w:sz w:val="20"/>
      <w:szCs w:val="20"/>
      <w:u w:val="none"/>
    </w:rPr>
  </w:style>
  <w:style w:type="paragraph" w:customStyle="1" w:styleId="245">
    <w:name w:val="列出段落3"/>
    <w:basedOn w:val="1"/>
    <w:link w:val="246"/>
    <w:autoRedefine/>
    <w:qFormat/>
    <w:uiPriority w:val="34"/>
    <w:pPr>
      <w:ind w:firstLine="420" w:firstLineChars="200"/>
    </w:pPr>
  </w:style>
  <w:style w:type="character" w:customStyle="1" w:styleId="246">
    <w:name w:val="列出段落 Char"/>
    <w:link w:val="245"/>
    <w:autoRedefine/>
    <w:qFormat/>
    <w:uiPriority w:val="34"/>
    <w:rPr>
      <w:rFonts w:ascii="Calibri" w:hAnsi="Calibri" w:eastAsia="宋体" w:cs="Times New Roman"/>
    </w:rPr>
  </w:style>
  <w:style w:type="paragraph" w:customStyle="1" w:styleId="247">
    <w:name w:val="正常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正文首缩两字"/>
    <w:basedOn w:val="1"/>
    <w:autoRedefine/>
    <w:qFormat/>
    <w:uiPriority w:val="0"/>
    <w:pPr>
      <w:spacing w:line="360" w:lineRule="auto"/>
      <w:ind w:firstLine="200" w:firstLineChars="200"/>
    </w:pPr>
    <w:rPr>
      <w:rFonts w:ascii="Verdana" w:hAnsi="Verdana"/>
      <w:sz w:val="24"/>
    </w:rPr>
  </w:style>
  <w:style w:type="paragraph" w:customStyle="1" w:styleId="249">
    <w:name w:val="列出段落31"/>
    <w:basedOn w:val="1"/>
    <w:autoRedefine/>
    <w:qFormat/>
    <w:uiPriority w:val="0"/>
    <w:pPr>
      <w:ind w:firstLine="420" w:firstLineChars="200"/>
    </w:pPr>
  </w:style>
  <w:style w:type="paragraph" w:customStyle="1" w:styleId="250">
    <w:name w:val="样式2"/>
    <w:basedOn w:val="1"/>
    <w:autoRedefine/>
    <w:qFormat/>
    <w:uiPriority w:val="0"/>
    <w:pPr>
      <w:numPr>
        <w:ilvl w:val="1"/>
        <w:numId w:val="2"/>
      </w:numPr>
      <w:textAlignment w:val="baseline"/>
    </w:pPr>
    <w:rPr>
      <w:rFonts w:ascii="宋体"/>
      <w:szCs w:val="21"/>
    </w:rPr>
  </w:style>
  <w:style w:type="character" w:customStyle="1" w:styleId="251">
    <w:name w:val="批注文字 字符"/>
    <w:autoRedefine/>
    <w:semiHidden/>
    <w:qFormat/>
    <w:uiPriority w:val="99"/>
    <w:rPr>
      <w:kern w:val="2"/>
      <w:sz w:val="21"/>
      <w:szCs w:val="22"/>
    </w:rPr>
  </w:style>
  <w:style w:type="paragraph" w:customStyle="1" w:styleId="252">
    <w:name w:val="无间隔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3">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254">
    <w:name w:val="列出段落6"/>
    <w:basedOn w:val="1"/>
    <w:autoRedefine/>
    <w:qFormat/>
    <w:uiPriority w:val="0"/>
    <w:pPr>
      <w:ind w:firstLine="420" w:firstLineChars="200"/>
    </w:pPr>
  </w:style>
  <w:style w:type="character" w:customStyle="1" w:styleId="255">
    <w:name w:val="占位符文本1"/>
    <w:autoRedefine/>
    <w:unhideWhenUsed/>
    <w:qFormat/>
    <w:uiPriority w:val="99"/>
    <w:rPr>
      <w:color w:val="808080"/>
    </w:rPr>
  </w:style>
  <w:style w:type="paragraph" w:customStyle="1" w:styleId="256">
    <w:name w:val="List Paragraph2"/>
    <w:basedOn w:val="1"/>
    <w:autoRedefine/>
    <w:qFormat/>
    <w:uiPriority w:val="34"/>
    <w:pPr>
      <w:widowControl/>
      <w:ind w:firstLine="420" w:firstLineChars="200"/>
      <w:jc w:val="left"/>
    </w:pPr>
    <w:rPr>
      <w:rFonts w:ascii="宋体"/>
      <w:kern w:val="0"/>
      <w:sz w:val="24"/>
      <w:szCs w:val="24"/>
    </w:rPr>
  </w:style>
  <w:style w:type="character" w:customStyle="1" w:styleId="257">
    <w:name w:val="font01"/>
    <w:autoRedefine/>
    <w:qFormat/>
    <w:uiPriority w:val="0"/>
    <w:rPr>
      <w:rFonts w:ascii="font-weight : 400" w:hAnsi="font-weight : 400" w:eastAsia="font-weight : 400" w:cs="font-weight : 400"/>
      <w:color w:val="000000"/>
      <w:sz w:val="22"/>
      <w:szCs w:val="22"/>
      <w:u w:val="none"/>
    </w:rPr>
  </w:style>
  <w:style w:type="character" w:customStyle="1" w:styleId="258">
    <w:name w:val="font61"/>
    <w:autoRedefine/>
    <w:qFormat/>
    <w:uiPriority w:val="0"/>
    <w:rPr>
      <w:rFonts w:ascii="宋体" w:hAnsi="宋体" w:eastAsia="宋体" w:cs="宋体"/>
      <w:color w:val="000000"/>
      <w:sz w:val="22"/>
      <w:szCs w:val="22"/>
      <w:u w:val="none"/>
    </w:rPr>
  </w:style>
  <w:style w:type="character" w:customStyle="1" w:styleId="259">
    <w:name w:val="font141"/>
    <w:autoRedefine/>
    <w:qFormat/>
    <w:uiPriority w:val="0"/>
    <w:rPr>
      <w:rFonts w:hint="eastAsia" w:ascii="宋体" w:hAnsi="宋体" w:eastAsia="宋体" w:cs="宋体"/>
      <w:color w:val="000000"/>
      <w:sz w:val="22"/>
      <w:szCs w:val="22"/>
      <w:u w:val="none"/>
    </w:rPr>
  </w:style>
  <w:style w:type="paragraph" w:customStyle="1" w:styleId="260">
    <w:name w:val="修订2"/>
    <w:autoRedefine/>
    <w:unhideWhenUsed/>
    <w:qFormat/>
    <w:uiPriority w:val="99"/>
    <w:rPr>
      <w:rFonts w:ascii="Calibri" w:hAnsi="Calibri" w:eastAsia="宋体" w:cs="Times New Roman"/>
      <w:kern w:val="2"/>
      <w:sz w:val="21"/>
      <w:szCs w:val="22"/>
      <w:lang w:val="en-US" w:eastAsia="zh-CN" w:bidi="ar-SA"/>
    </w:rPr>
  </w:style>
  <w:style w:type="paragraph" w:customStyle="1" w:styleId="261">
    <w:name w:val="修订3"/>
    <w:autoRedefine/>
    <w:unhideWhenUsed/>
    <w:qFormat/>
    <w:uiPriority w:val="99"/>
    <w:rPr>
      <w:rFonts w:ascii="Calibri" w:hAnsi="Calibri" w:eastAsia="宋体" w:cs="Times New Roman"/>
      <w:kern w:val="2"/>
      <w:sz w:val="21"/>
      <w:szCs w:val="22"/>
      <w:lang w:val="en-US" w:eastAsia="zh-CN" w:bidi="ar-SA"/>
    </w:rPr>
  </w:style>
  <w:style w:type="paragraph" w:customStyle="1" w:styleId="262">
    <w:name w:val="修订4"/>
    <w:autoRedefine/>
    <w:unhideWhenUsed/>
    <w:qFormat/>
    <w:uiPriority w:val="99"/>
    <w:rPr>
      <w:rFonts w:ascii="Calibri" w:hAnsi="Calibri" w:eastAsia="宋体" w:cs="Times New Roman"/>
      <w:kern w:val="2"/>
      <w:sz w:val="21"/>
      <w:szCs w:val="22"/>
      <w:lang w:val="en-US" w:eastAsia="zh-CN" w:bidi="ar-SA"/>
    </w:rPr>
  </w:style>
  <w:style w:type="paragraph" w:customStyle="1" w:styleId="263">
    <w:name w:val="标题 + 仿宋_GB2312"/>
    <w:basedOn w:val="1"/>
    <w:autoRedefine/>
    <w:qFormat/>
    <w:uiPriority w:val="99"/>
    <w:pPr>
      <w:numPr>
        <w:ilvl w:val="0"/>
        <w:numId w:val="3"/>
      </w:numPr>
      <w:spacing w:before="120" w:line="360" w:lineRule="auto"/>
    </w:pPr>
    <w:rPr>
      <w:rFonts w:ascii="仿宋_GB2312" w:hAnsi="宋体" w:eastAsia="仿宋_GB2312"/>
      <w:b/>
      <w:color w:val="000000"/>
      <w:sz w:val="24"/>
      <w:szCs w:val="24"/>
    </w:rPr>
  </w:style>
  <w:style w:type="paragraph" w:customStyle="1" w:styleId="264">
    <w:name w:val="样式 标题 1 + 四号 居中 段前: 12 磅 段后: 12 磅 行距: 单倍行距"/>
    <w:basedOn w:val="2"/>
    <w:autoRedefine/>
    <w:qFormat/>
    <w:uiPriority w:val="0"/>
    <w:pPr>
      <w:keepLines/>
      <w:widowControl w:val="0"/>
      <w:tabs>
        <w:tab w:val="clear" w:pos="432"/>
      </w:tabs>
      <w:spacing w:before="240" w:after="240"/>
      <w:ind w:left="0" w:firstLine="288"/>
    </w:pPr>
    <w:rPr>
      <w:rFonts w:ascii="Times New Roman"/>
      <w:bCs/>
      <w:kern w:val="44"/>
      <w:lang w:val="en-US"/>
    </w:rPr>
  </w:style>
  <w:style w:type="paragraph" w:customStyle="1" w:styleId="265">
    <w:name w:val="Default"/>
    <w:autoRedefine/>
    <w:qFormat/>
    <w:uiPriority w:val="0"/>
    <w:pPr>
      <w:widowControl w:val="0"/>
      <w:autoSpaceDE w:val="0"/>
      <w:autoSpaceDN w:val="0"/>
      <w:adjustRightInd w:val="0"/>
    </w:pPr>
    <w:rPr>
      <w:rFonts w:ascii="Arial,Bold" w:hAnsi="Arial,Bold" w:eastAsia="Times New Roman" w:cs="Times New Roman"/>
      <w:lang w:val="en-US" w:eastAsia="en-US" w:bidi="ar-SA"/>
    </w:rPr>
  </w:style>
  <w:style w:type="paragraph" w:customStyle="1" w:styleId="266">
    <w:name w:val="修订5"/>
    <w:autoRedefine/>
    <w:unhideWhenUsed/>
    <w:qFormat/>
    <w:uiPriority w:val="99"/>
    <w:rPr>
      <w:rFonts w:ascii="Calibri" w:hAnsi="Calibri" w:eastAsia="宋体" w:cs="Times New Roman"/>
      <w:kern w:val="2"/>
      <w:sz w:val="21"/>
      <w:szCs w:val="22"/>
      <w:lang w:val="en-US" w:eastAsia="zh-CN" w:bidi="ar-SA"/>
    </w:rPr>
  </w:style>
  <w:style w:type="paragraph" w:customStyle="1" w:styleId="267">
    <w:name w:val="修订6"/>
    <w:autoRedefine/>
    <w:semiHidden/>
    <w:qFormat/>
    <w:uiPriority w:val="99"/>
    <w:rPr>
      <w:rFonts w:ascii="Calibri" w:hAnsi="Calibri" w:eastAsia="宋体" w:cs="Times New Roman"/>
      <w:kern w:val="2"/>
      <w:sz w:val="21"/>
      <w:szCs w:val="22"/>
      <w:lang w:val="en-US" w:eastAsia="zh-CN" w:bidi="ar-SA"/>
    </w:rPr>
  </w:style>
  <w:style w:type="paragraph" w:customStyle="1" w:styleId="268">
    <w:name w:val="修订7"/>
    <w:autoRedefine/>
    <w:semiHidden/>
    <w:qFormat/>
    <w:uiPriority w:val="99"/>
    <w:rPr>
      <w:rFonts w:ascii="Calibri" w:hAnsi="Calibri" w:eastAsia="宋体" w:cs="Times New Roman"/>
      <w:kern w:val="2"/>
      <w:sz w:val="21"/>
      <w:szCs w:val="22"/>
      <w:lang w:val="en-US" w:eastAsia="zh-CN" w:bidi="ar-SA"/>
    </w:rPr>
  </w:style>
  <w:style w:type="paragraph" w:customStyle="1" w:styleId="269">
    <w:name w:val="正文缩进1"/>
    <w:basedOn w:val="1"/>
    <w:autoRedefine/>
    <w:qFormat/>
    <w:uiPriority w:val="0"/>
    <w:pPr>
      <w:ind w:firstLine="420"/>
    </w:pPr>
    <w:rPr>
      <w:szCs w:val="20"/>
    </w:rPr>
  </w:style>
  <w:style w:type="character" w:customStyle="1" w:styleId="270">
    <w:name w:val="普通文字1 Char Char"/>
    <w:autoRedefine/>
    <w:qFormat/>
    <w:uiPriority w:val="0"/>
    <w:rPr>
      <w:rFonts w:ascii="宋体" w:hAnsi="Courier New"/>
    </w:rPr>
  </w:style>
  <w:style w:type="character" w:customStyle="1" w:styleId="271">
    <w:name w:val="apple-style-span"/>
    <w:autoRedefine/>
    <w:qFormat/>
    <w:uiPriority w:val="0"/>
  </w:style>
  <w:style w:type="character" w:customStyle="1" w:styleId="272">
    <w:name w:val="正文首行缩进 2 Char"/>
    <w:link w:val="273"/>
    <w:autoRedefine/>
    <w:qFormat/>
    <w:uiPriority w:val="0"/>
  </w:style>
  <w:style w:type="paragraph" w:customStyle="1" w:styleId="273">
    <w:name w:val="正文首行缩进 21"/>
    <w:basedOn w:val="274"/>
    <w:link w:val="272"/>
    <w:autoRedefine/>
    <w:qFormat/>
    <w:uiPriority w:val="0"/>
    <w:pPr>
      <w:tabs>
        <w:tab w:val="left" w:pos="8640"/>
      </w:tabs>
      <w:spacing w:after="120"/>
      <w:ind w:left="420" w:leftChars="200" w:firstLine="420" w:firstLineChars="200"/>
    </w:pPr>
    <w:rPr>
      <w:rFonts w:asciiTheme="minorHAnsi" w:hAnsiTheme="minorHAnsi" w:eastAsiaTheme="minorEastAsia" w:cstheme="minorBidi"/>
      <w:szCs w:val="22"/>
    </w:rPr>
  </w:style>
  <w:style w:type="paragraph" w:customStyle="1" w:styleId="274">
    <w:name w:val="正文文本缩进11"/>
    <w:basedOn w:val="1"/>
    <w:autoRedefine/>
    <w:qFormat/>
    <w:uiPriority w:val="0"/>
    <w:pPr>
      <w:tabs>
        <w:tab w:val="left" w:pos="8640"/>
      </w:tabs>
      <w:ind w:left="1365"/>
    </w:pPr>
    <w:rPr>
      <w:szCs w:val="20"/>
    </w:rPr>
  </w:style>
  <w:style w:type="character" w:customStyle="1" w:styleId="275">
    <w:name w:val="wj"/>
    <w:autoRedefine/>
    <w:qFormat/>
    <w:uiPriority w:val="0"/>
  </w:style>
  <w:style w:type="character" w:customStyle="1" w:styleId="276">
    <w:name w:val="h3 Char"/>
    <w:autoRedefine/>
    <w:qFormat/>
    <w:uiPriority w:val="0"/>
    <w:rPr>
      <w:rFonts w:eastAsia="宋体"/>
      <w:b/>
      <w:sz w:val="21"/>
      <w:lang w:val="en-US" w:eastAsia="zh-CN"/>
    </w:rPr>
  </w:style>
  <w:style w:type="character" w:customStyle="1" w:styleId="277">
    <w:name w:val="页码1"/>
    <w:autoRedefine/>
    <w:qFormat/>
    <w:uiPriority w:val="0"/>
  </w:style>
  <w:style w:type="paragraph" w:customStyle="1" w:styleId="278">
    <w:name w:val="页脚2"/>
    <w:basedOn w:val="1"/>
    <w:autoRedefine/>
    <w:qFormat/>
    <w:uiPriority w:val="0"/>
    <w:pPr>
      <w:tabs>
        <w:tab w:val="center" w:pos="4153"/>
        <w:tab w:val="right" w:pos="8306"/>
      </w:tabs>
      <w:snapToGrid w:val="0"/>
      <w:jc w:val="left"/>
    </w:pPr>
    <w:rPr>
      <w:sz w:val="18"/>
      <w:szCs w:val="20"/>
    </w:rPr>
  </w:style>
  <w:style w:type="character" w:customStyle="1" w:styleId="279">
    <w:name w:val="页码11"/>
    <w:autoRedefine/>
    <w:qFormat/>
    <w:uiPriority w:val="0"/>
  </w:style>
  <w:style w:type="character" w:customStyle="1" w:styleId="280">
    <w:name w:val="Char4"/>
    <w:autoRedefine/>
    <w:qFormat/>
    <w:uiPriority w:val="0"/>
    <w:rPr>
      <w:rFonts w:ascii="宋体" w:hAnsi="Courier New"/>
      <w:kern w:val="2"/>
      <w:sz w:val="21"/>
    </w:rPr>
  </w:style>
  <w:style w:type="character" w:customStyle="1" w:styleId="281">
    <w:name w:val="批注引用1"/>
    <w:autoRedefine/>
    <w:qFormat/>
    <w:uiPriority w:val="0"/>
    <w:rPr>
      <w:sz w:val="21"/>
    </w:rPr>
  </w:style>
  <w:style w:type="character" w:customStyle="1" w:styleId="282">
    <w:name w:val="已访问的超链接1"/>
    <w:autoRedefine/>
    <w:qFormat/>
    <w:uiPriority w:val="0"/>
    <w:rPr>
      <w:color w:val="800080"/>
      <w:u w:val="single"/>
    </w:rPr>
  </w:style>
  <w:style w:type="character" w:customStyle="1" w:styleId="283">
    <w:name w:val="正文首行缩进 Char"/>
    <w:link w:val="284"/>
    <w:autoRedefine/>
    <w:qFormat/>
    <w:uiPriority w:val="0"/>
    <w:rPr>
      <w:rFonts w:ascii="宋体"/>
      <w:spacing w:val="2"/>
      <w:sz w:val="24"/>
    </w:rPr>
  </w:style>
  <w:style w:type="paragraph" w:customStyle="1" w:styleId="284">
    <w:name w:val="正文首行缩进1"/>
    <w:basedOn w:val="1"/>
    <w:link w:val="283"/>
    <w:autoRedefine/>
    <w:qFormat/>
    <w:uiPriority w:val="0"/>
    <w:pPr>
      <w:snapToGrid w:val="0"/>
      <w:spacing w:before="120"/>
      <w:ind w:firstLine="476"/>
    </w:pPr>
    <w:rPr>
      <w:rFonts w:ascii="宋体" w:hAnsiTheme="minorHAnsi" w:eastAsiaTheme="minorEastAsia" w:cstheme="minorBidi"/>
      <w:spacing w:val="2"/>
      <w:sz w:val="24"/>
    </w:rPr>
  </w:style>
  <w:style w:type="character" w:customStyle="1" w:styleId="285">
    <w:name w:val="Char Char13"/>
    <w:autoRedefine/>
    <w:qFormat/>
    <w:uiPriority w:val="0"/>
    <w:rPr>
      <w:rFonts w:ascii="Times New Roman" w:hAnsi="Times New Roman" w:eastAsia="宋体"/>
      <w:kern w:val="0"/>
      <w:sz w:val="18"/>
    </w:rPr>
  </w:style>
  <w:style w:type="character" w:customStyle="1" w:styleId="286">
    <w:name w:val="Char2"/>
    <w:autoRedefine/>
    <w:qFormat/>
    <w:uiPriority w:val="0"/>
    <w:rPr>
      <w:rFonts w:ascii="宋体" w:hAnsi="Courier New" w:eastAsia="宋体"/>
      <w:kern w:val="2"/>
      <w:sz w:val="21"/>
      <w:lang w:val="en-US" w:eastAsia="zh-CN"/>
    </w:rPr>
  </w:style>
  <w:style w:type="character" w:customStyle="1" w:styleId="287">
    <w:name w:val="brandcolor1"/>
    <w:autoRedefine/>
    <w:qFormat/>
    <w:uiPriority w:val="0"/>
    <w:rPr>
      <w:color w:val="2685C1"/>
    </w:rPr>
  </w:style>
  <w:style w:type="paragraph" w:customStyle="1" w:styleId="288">
    <w:name w:val="正文文本缩进 31"/>
    <w:basedOn w:val="1"/>
    <w:autoRedefine/>
    <w:qFormat/>
    <w:uiPriority w:val="0"/>
    <w:pPr>
      <w:widowControl/>
      <w:spacing w:before="60" w:after="60" w:line="280" w:lineRule="atLeast"/>
      <w:ind w:firstLine="400"/>
    </w:pPr>
    <w:rPr>
      <w:rFonts w:ascii="宋体"/>
      <w:kern w:val="0"/>
      <w:szCs w:val="20"/>
    </w:rPr>
  </w:style>
  <w:style w:type="character" w:customStyle="1" w:styleId="289">
    <w:name w:val="Char5"/>
    <w:autoRedefine/>
    <w:qFormat/>
    <w:uiPriority w:val="0"/>
    <w:rPr>
      <w:b/>
      <w:sz w:val="32"/>
      <w:lang w:eastAsia="en-US"/>
    </w:rPr>
  </w:style>
  <w:style w:type="character" w:customStyle="1" w:styleId="290">
    <w:name w:val="tcnt3"/>
    <w:autoRedefine/>
    <w:qFormat/>
    <w:uiPriority w:val="0"/>
  </w:style>
  <w:style w:type="paragraph" w:customStyle="1" w:styleId="291">
    <w:name w:val="正文文本 21"/>
    <w:basedOn w:val="1"/>
    <w:autoRedefine/>
    <w:qFormat/>
    <w:uiPriority w:val="0"/>
    <w:pPr>
      <w:spacing w:after="120" w:line="480" w:lineRule="auto"/>
    </w:pPr>
    <w:rPr>
      <w:szCs w:val="20"/>
    </w:rPr>
  </w:style>
  <w:style w:type="character" w:customStyle="1" w:styleId="292">
    <w:name w:val="样式 宋体 小四 黑色"/>
    <w:autoRedefine/>
    <w:qFormat/>
    <w:uiPriority w:val="0"/>
    <w:rPr>
      <w:rFonts w:hint="eastAsia" w:ascii="宋体" w:hAnsi="宋体" w:eastAsia="楷体_GB2312"/>
      <w:color w:val="000000"/>
      <w:kern w:val="0"/>
      <w:sz w:val="24"/>
    </w:rPr>
  </w:style>
  <w:style w:type="character" w:customStyle="1" w:styleId="293">
    <w:name w:val="black9font1"/>
    <w:autoRedefine/>
    <w:qFormat/>
    <w:uiPriority w:val="0"/>
    <w:rPr>
      <w:rFonts w:hint="eastAsia" w:ascii="宋体" w:hAnsi="宋体" w:eastAsia="宋体"/>
      <w:sz w:val="18"/>
      <w:u w:val="none"/>
    </w:rPr>
  </w:style>
  <w:style w:type="paragraph" w:customStyle="1" w:styleId="294">
    <w:name w:val="页眉2"/>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295">
    <w:name w:val="Char Char12"/>
    <w:autoRedefine/>
    <w:qFormat/>
    <w:uiPriority w:val="0"/>
    <w:rPr>
      <w:rFonts w:eastAsia="宋体"/>
      <w:b/>
      <w:kern w:val="44"/>
      <w:sz w:val="44"/>
      <w:lang w:val="en-US" w:eastAsia="zh-CN"/>
    </w:rPr>
  </w:style>
  <w:style w:type="character" w:customStyle="1" w:styleId="296">
    <w:name w:val="tw4winMark"/>
    <w:autoRedefine/>
    <w:qFormat/>
    <w:uiPriority w:val="0"/>
    <w:rPr>
      <w:rFonts w:ascii="Courier New" w:hAnsi="Courier New"/>
      <w:vanish/>
      <w:color w:val="800080"/>
      <w:vertAlign w:val="subscript"/>
    </w:rPr>
  </w:style>
  <w:style w:type="character" w:customStyle="1" w:styleId="297">
    <w:name w:val="zz31"/>
    <w:autoRedefine/>
    <w:qFormat/>
    <w:uiPriority w:val="0"/>
    <w:rPr>
      <w:color w:val="000000"/>
      <w:sz w:val="18"/>
      <w:u w:val="none"/>
    </w:rPr>
  </w:style>
  <w:style w:type="character" w:customStyle="1" w:styleId="298">
    <w:name w:val="批注引用11"/>
    <w:autoRedefine/>
    <w:qFormat/>
    <w:uiPriority w:val="0"/>
    <w:rPr>
      <w:sz w:val="21"/>
    </w:rPr>
  </w:style>
  <w:style w:type="character" w:customStyle="1" w:styleId="299">
    <w:name w:val="font1"/>
    <w:autoRedefine/>
    <w:qFormat/>
    <w:uiPriority w:val="0"/>
    <w:rPr>
      <w:color w:val="000000"/>
      <w:sz w:val="18"/>
    </w:rPr>
  </w:style>
  <w:style w:type="character" w:customStyle="1" w:styleId="300">
    <w:name w:val="脚注引用1"/>
    <w:autoRedefine/>
    <w:qFormat/>
    <w:uiPriority w:val="0"/>
    <w:rPr>
      <w:vertAlign w:val="superscript"/>
    </w:rPr>
  </w:style>
  <w:style w:type="character" w:customStyle="1" w:styleId="301">
    <w:name w:val="标题三 Char"/>
    <w:link w:val="302"/>
    <w:autoRedefine/>
    <w:qFormat/>
    <w:uiPriority w:val="0"/>
    <w:rPr>
      <w:rFonts w:ascii="黑体" w:eastAsia="黑体"/>
      <w:kern w:val="44"/>
      <w:sz w:val="28"/>
    </w:rPr>
  </w:style>
  <w:style w:type="paragraph" w:customStyle="1" w:styleId="302">
    <w:name w:val="标题三"/>
    <w:basedOn w:val="2"/>
    <w:next w:val="303"/>
    <w:link w:val="301"/>
    <w:autoRedefine/>
    <w:qFormat/>
    <w:uiPriority w:val="0"/>
    <w:pPr>
      <w:keepLines/>
      <w:widowControl w:val="0"/>
      <w:tabs>
        <w:tab w:val="clear" w:pos="432"/>
      </w:tabs>
      <w:spacing w:before="340" w:after="330" w:line="576" w:lineRule="auto"/>
      <w:jc w:val="both"/>
    </w:pPr>
    <w:rPr>
      <w:rFonts w:eastAsia="黑体" w:hAnsiTheme="minorHAnsi" w:cstheme="minorBidi"/>
      <w:b w:val="0"/>
      <w:kern w:val="44"/>
      <w:szCs w:val="22"/>
      <w:lang w:val="en-US"/>
    </w:rPr>
  </w:style>
  <w:style w:type="paragraph" w:customStyle="1" w:styleId="303">
    <w:name w:val="正文文本1"/>
    <w:basedOn w:val="1"/>
    <w:autoRedefine/>
    <w:qFormat/>
    <w:uiPriority w:val="0"/>
    <w:pPr>
      <w:spacing w:line="288" w:lineRule="auto"/>
    </w:pPr>
    <w:rPr>
      <w:rFonts w:ascii="楷体_GB2312" w:eastAsia="楷体_GB2312" w:cs="Calibri"/>
      <w:color w:val="FF0000"/>
      <w:szCs w:val="20"/>
    </w:rPr>
  </w:style>
  <w:style w:type="character" w:customStyle="1" w:styleId="304">
    <w:name w:val="title_emph1"/>
    <w:autoRedefine/>
    <w:qFormat/>
    <w:uiPriority w:val="0"/>
    <w:rPr>
      <w:rFonts w:hint="default" w:ascii="Arial" w:hAnsi="Arial"/>
      <w:b/>
      <w:sz w:val="20"/>
    </w:rPr>
  </w:style>
  <w:style w:type="character" w:customStyle="1" w:styleId="305">
    <w:name w:val="编号列表 Char"/>
    <w:link w:val="306"/>
    <w:autoRedefine/>
    <w:qFormat/>
    <w:uiPriority w:val="0"/>
    <w:rPr>
      <w:rFonts w:ascii="Verdana" w:hAnsi="Verdana"/>
      <w:sz w:val="24"/>
    </w:rPr>
  </w:style>
  <w:style w:type="paragraph" w:customStyle="1" w:styleId="306">
    <w:name w:val="编号列表"/>
    <w:basedOn w:val="1"/>
    <w:link w:val="305"/>
    <w:autoRedefine/>
    <w:qFormat/>
    <w:uiPriority w:val="0"/>
    <w:pPr>
      <w:tabs>
        <w:tab w:val="left" w:pos="992"/>
      </w:tabs>
      <w:adjustRightInd w:val="0"/>
      <w:snapToGrid w:val="0"/>
      <w:spacing w:beforeLines="50" w:afterLines="50" w:line="360" w:lineRule="auto"/>
      <w:ind w:left="992" w:hanging="572"/>
    </w:pPr>
    <w:rPr>
      <w:rFonts w:ascii="Verdana" w:hAnsi="Verdana" w:eastAsiaTheme="minorEastAsia" w:cstheme="minorBidi"/>
      <w:sz w:val="24"/>
    </w:rPr>
  </w:style>
  <w:style w:type="character" w:customStyle="1" w:styleId="307">
    <w:name w:val="f121"/>
    <w:autoRedefine/>
    <w:qFormat/>
    <w:uiPriority w:val="0"/>
    <w:rPr>
      <w:sz w:val="20"/>
      <w:u w:val="none"/>
    </w:rPr>
  </w:style>
  <w:style w:type="paragraph" w:customStyle="1" w:styleId="308">
    <w:name w:val="日期2"/>
    <w:basedOn w:val="1"/>
    <w:next w:val="1"/>
    <w:autoRedefine/>
    <w:qFormat/>
    <w:uiPriority w:val="0"/>
    <w:rPr>
      <w:szCs w:val="20"/>
    </w:rPr>
  </w:style>
  <w:style w:type="paragraph" w:customStyle="1" w:styleId="309">
    <w:name w:val="标题一三"/>
    <w:basedOn w:val="1"/>
    <w:autoRedefine/>
    <w:qFormat/>
    <w:uiPriority w:val="0"/>
    <w:pPr>
      <w:widowControl/>
      <w:spacing w:line="360" w:lineRule="auto"/>
    </w:pPr>
    <w:rPr>
      <w:rFonts w:ascii="楷体_GB2312" w:hAnsi="宋体" w:eastAsia="楷体_GB2312" w:cs="Calibri"/>
      <w:b/>
      <w:i/>
      <w:color w:val="FF0000"/>
      <w:kern w:val="0"/>
      <w:sz w:val="28"/>
      <w:szCs w:val="20"/>
    </w:rPr>
  </w:style>
  <w:style w:type="paragraph" w:customStyle="1" w:styleId="310">
    <w:name w:val="文档正文"/>
    <w:basedOn w:val="1"/>
    <w:autoRedefine/>
    <w:qFormat/>
    <w:uiPriority w:val="0"/>
    <w:pPr>
      <w:adjustRightInd w:val="0"/>
      <w:spacing w:before="60" w:after="60" w:line="312" w:lineRule="atLeast"/>
      <w:ind w:firstLine="567"/>
      <w:textAlignment w:val="baseline"/>
    </w:pPr>
    <w:rPr>
      <w:rFonts w:cs="Calibri"/>
      <w:kern w:val="0"/>
      <w:sz w:val="28"/>
      <w:szCs w:val="20"/>
    </w:rPr>
  </w:style>
  <w:style w:type="paragraph" w:customStyle="1" w:styleId="311">
    <w:name w:val="表格项目符号 2"/>
    <w:basedOn w:val="312"/>
    <w:autoRedefine/>
    <w:qFormat/>
    <w:uiPriority w:val="0"/>
    <w:pPr>
      <w:tabs>
        <w:tab w:val="left" w:pos="624"/>
        <w:tab w:val="left" w:pos="735"/>
      </w:tabs>
      <w:snapToGrid w:val="0"/>
      <w:spacing w:line="300" w:lineRule="auto"/>
      <w:ind w:left="623" w:hanging="374"/>
    </w:pPr>
  </w:style>
  <w:style w:type="paragraph" w:customStyle="1" w:styleId="312">
    <w:name w:val="列表项目符号 21"/>
    <w:basedOn w:val="1"/>
    <w:autoRedefine/>
    <w:qFormat/>
    <w:uiPriority w:val="0"/>
    <w:pPr>
      <w:spacing w:line="360" w:lineRule="auto"/>
      <w:ind w:left="480"/>
    </w:pPr>
    <w:rPr>
      <w:rFonts w:cs="Calibri"/>
      <w:sz w:val="24"/>
      <w:szCs w:val="20"/>
    </w:rPr>
  </w:style>
  <w:style w:type="paragraph" w:customStyle="1" w:styleId="313">
    <w:name w:val="1 Char"/>
    <w:basedOn w:val="1"/>
    <w:autoRedefine/>
    <w:qFormat/>
    <w:uiPriority w:val="0"/>
    <w:rPr>
      <w:rFonts w:ascii="Tahoma" w:hAnsi="Tahoma" w:cs="Calibri"/>
      <w:sz w:val="24"/>
      <w:szCs w:val="20"/>
    </w:rPr>
  </w:style>
  <w:style w:type="paragraph" w:customStyle="1" w:styleId="314">
    <w:name w:val="xl53"/>
    <w:basedOn w:val="1"/>
    <w:autoRedefine/>
    <w:qFormat/>
    <w:uiPriority w:val="0"/>
    <w:pPr>
      <w:widowControl/>
      <w:pBdr>
        <w:left w:val="single" w:color="auto" w:sz="4" w:space="0"/>
        <w:bottom w:val="single" w:color="auto" w:sz="4" w:space="0"/>
      </w:pBdr>
      <w:spacing w:before="100" w:beforeAutospacing="1" w:after="100" w:afterAutospacing="1"/>
      <w:textAlignment w:val="center"/>
    </w:pPr>
    <w:rPr>
      <w:rFonts w:ascii="宋体" w:hAnsi="宋体" w:cs="Calibri"/>
      <w:kern w:val="0"/>
      <w:sz w:val="24"/>
      <w:szCs w:val="20"/>
    </w:rPr>
  </w:style>
  <w:style w:type="paragraph" w:customStyle="1" w:styleId="315">
    <w:name w:val="样式 样式 样式 标题 2 + 宋体 五号 非加粗 黑色 + 段前: 6 磅 段后: 0 磅 行距: 单倍行距 + 段前: 12..."/>
    <w:basedOn w:val="316"/>
    <w:autoRedefine/>
    <w:qFormat/>
    <w:uiPriority w:val="0"/>
    <w:pPr>
      <w:spacing w:before="240"/>
    </w:pPr>
  </w:style>
  <w:style w:type="paragraph" w:customStyle="1" w:styleId="316">
    <w:name w:val="样式 样式 标题 2 + 宋体 五号 非加粗 黑色 + 段前: 6 磅 段后: 0 磅 行距: 单倍行距"/>
    <w:basedOn w:val="317"/>
    <w:autoRedefine/>
    <w:qFormat/>
    <w:uiPriority w:val="0"/>
    <w:pPr>
      <w:spacing w:before="120" w:after="0" w:line="240" w:lineRule="auto"/>
    </w:pPr>
  </w:style>
  <w:style w:type="paragraph" w:customStyle="1" w:styleId="317">
    <w:name w:val="样式 标题 2 + 宋体 五号 非加粗 黑色"/>
    <w:basedOn w:val="3"/>
    <w:autoRedefine/>
    <w:qFormat/>
    <w:uiPriority w:val="0"/>
    <w:pPr>
      <w:widowControl w:val="0"/>
      <w:adjustRightInd w:val="0"/>
      <w:spacing w:line="416" w:lineRule="atLeast"/>
      <w:ind w:left="360"/>
      <w:textAlignment w:val="baseline"/>
    </w:pPr>
    <w:rPr>
      <w:rFonts w:ascii="宋体" w:hAnsi="宋体" w:cs="Calibri"/>
      <w:color w:val="000000"/>
      <w:sz w:val="21"/>
      <w:lang w:val="en-US"/>
    </w:rPr>
  </w:style>
  <w:style w:type="paragraph" w:customStyle="1" w:styleId="318">
    <w:name w:val="项目 1 Char Char"/>
    <w:basedOn w:val="1"/>
    <w:autoRedefine/>
    <w:qFormat/>
    <w:uiPriority w:val="0"/>
    <w:pPr>
      <w:tabs>
        <w:tab w:val="left" w:pos="907"/>
      </w:tabs>
      <w:adjustRightInd w:val="0"/>
      <w:snapToGrid w:val="0"/>
      <w:spacing w:afterLines="50"/>
      <w:ind w:left="902" w:hanging="420"/>
    </w:pPr>
    <w:rPr>
      <w:rFonts w:ascii="Tahoma" w:hAnsi="Tahoma" w:cs="Calibri"/>
      <w:sz w:val="24"/>
      <w:szCs w:val="20"/>
    </w:rPr>
  </w:style>
  <w:style w:type="paragraph" w:customStyle="1" w:styleId="319">
    <w:name w:val="表格文字"/>
    <w:basedOn w:val="1"/>
    <w:autoRedefine/>
    <w:qFormat/>
    <w:uiPriority w:val="0"/>
    <w:pPr>
      <w:spacing w:before="25" w:after="25" w:line="300" w:lineRule="auto"/>
    </w:pPr>
    <w:rPr>
      <w:rFonts w:ascii="Times" w:hAnsi="Times" w:cs="Calibri"/>
      <w:spacing w:val="10"/>
      <w:kern w:val="0"/>
      <w:sz w:val="24"/>
      <w:szCs w:val="20"/>
    </w:rPr>
  </w:style>
  <w:style w:type="paragraph" w:customStyle="1" w:styleId="320">
    <w:name w:val="招标文件正文"/>
    <w:autoRedefine/>
    <w:qFormat/>
    <w:uiPriority w:val="0"/>
    <w:pPr>
      <w:spacing w:before="120" w:after="120" w:line="300" w:lineRule="auto"/>
      <w:ind w:firstLine="200" w:firstLineChars="200"/>
    </w:pPr>
    <w:rPr>
      <w:rFonts w:ascii="宋体" w:hAnsi="Calibri" w:eastAsia="宋体" w:cs="Calibri"/>
      <w:spacing w:val="10"/>
      <w:w w:val="95"/>
      <w:sz w:val="21"/>
      <w:lang w:val="en-US" w:eastAsia="zh-CN" w:bidi="ar-SA"/>
    </w:rPr>
  </w:style>
  <w:style w:type="paragraph" w:customStyle="1" w:styleId="321">
    <w:name w:val="我的正文下级"/>
    <w:basedOn w:val="1"/>
    <w:autoRedefine/>
    <w:qFormat/>
    <w:uiPriority w:val="0"/>
    <w:rPr>
      <w:rFonts w:hint="eastAsia" w:ascii="仿宋_GB2312" w:hAnsi="宋体" w:eastAsia="仿宋_GB2312" w:cs="Calibri"/>
      <w:kern w:val="0"/>
      <w:sz w:val="28"/>
      <w:szCs w:val="20"/>
    </w:rPr>
  </w:style>
  <w:style w:type="paragraph" w:customStyle="1" w:styleId="322">
    <w:name w:val="Date1"/>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23">
    <w:name w:val="Char6"/>
    <w:basedOn w:val="1"/>
    <w:autoRedefine/>
    <w:qFormat/>
    <w:uiPriority w:val="0"/>
    <w:pPr>
      <w:spacing w:line="360" w:lineRule="auto"/>
      <w:ind w:firstLine="200" w:firstLineChars="200"/>
    </w:pPr>
    <w:rPr>
      <w:rFonts w:ascii="Tahoma" w:hAnsi="Tahoma" w:cs="Calibri"/>
      <w:sz w:val="24"/>
      <w:szCs w:val="20"/>
    </w:rPr>
  </w:style>
  <w:style w:type="paragraph" w:customStyle="1" w:styleId="324">
    <w:name w:val="操作步骤"/>
    <w:basedOn w:val="1"/>
    <w:autoRedefine/>
    <w:qFormat/>
    <w:uiPriority w:val="0"/>
    <w:pPr>
      <w:tabs>
        <w:tab w:val="left" w:pos="840"/>
      </w:tabs>
      <w:autoSpaceDE w:val="0"/>
      <w:autoSpaceDN w:val="0"/>
      <w:adjustRightInd w:val="0"/>
      <w:snapToGrid w:val="0"/>
      <w:spacing w:line="40" w:lineRule="atLeast"/>
      <w:ind w:left="840" w:hanging="420"/>
      <w:textAlignment w:val="bottom"/>
    </w:pPr>
    <w:rPr>
      <w:rFonts w:ascii="昆仑楷体" w:eastAsia="楷体_GB2312" w:cs="Calibri"/>
      <w:kern w:val="0"/>
      <w:szCs w:val="20"/>
    </w:rPr>
  </w:style>
  <w:style w:type="paragraph" w:customStyle="1" w:styleId="325">
    <w:name w:val="Char Char3"/>
    <w:basedOn w:val="1"/>
    <w:autoRedefine/>
    <w:qFormat/>
    <w:uiPriority w:val="0"/>
    <w:rPr>
      <w:rFonts w:ascii="Tahoma" w:hAnsi="Tahoma" w:cs="Calibri"/>
      <w:sz w:val="24"/>
      <w:szCs w:val="20"/>
    </w:rPr>
  </w:style>
  <w:style w:type="paragraph" w:customStyle="1" w:styleId="326">
    <w:name w:val="正文居中"/>
    <w:basedOn w:val="1"/>
    <w:autoRedefine/>
    <w:qFormat/>
    <w:uiPriority w:val="0"/>
    <w:pPr>
      <w:spacing w:line="360" w:lineRule="auto"/>
      <w:jc w:val="center"/>
    </w:pPr>
    <w:rPr>
      <w:rFonts w:cs="Calibri"/>
      <w:sz w:val="24"/>
      <w:szCs w:val="20"/>
    </w:rPr>
  </w:style>
  <w:style w:type="paragraph" w:customStyle="1" w:styleId="327">
    <w:name w:val="Char Char Char1"/>
    <w:basedOn w:val="1"/>
    <w:autoRedefine/>
    <w:qFormat/>
    <w:uiPriority w:val="0"/>
    <w:rPr>
      <w:rFonts w:ascii="Tahoma" w:hAnsi="Tahoma" w:cs="Calibri"/>
      <w:sz w:val="24"/>
      <w:szCs w:val="20"/>
    </w:rPr>
  </w:style>
  <w:style w:type="paragraph" w:customStyle="1" w:styleId="328">
    <w:name w:val="附录 Heading 2"/>
    <w:basedOn w:val="3"/>
    <w:autoRedefine/>
    <w:qFormat/>
    <w:uiPriority w:val="0"/>
    <w:pPr>
      <w:tabs>
        <w:tab w:val="left" w:pos="0"/>
        <w:tab w:val="left" w:pos="420"/>
      </w:tabs>
      <w:spacing w:before="480" w:after="120" w:line="288" w:lineRule="auto"/>
      <w:ind w:left="420" w:hanging="420"/>
    </w:pPr>
    <w:rPr>
      <w:rFonts w:ascii="Microsoft Sans Serif" w:hAnsi="Microsoft Sans Serif" w:eastAsia="仿宋_GB2312" w:cs="Calibri"/>
      <w:b/>
      <w:sz w:val="32"/>
      <w:lang w:val="en-US"/>
    </w:rPr>
  </w:style>
  <w:style w:type="paragraph" w:customStyle="1" w:styleId="329">
    <w:name w:val="纯文本11"/>
    <w:basedOn w:val="1"/>
    <w:autoRedefine/>
    <w:qFormat/>
    <w:uiPriority w:val="0"/>
    <w:pPr>
      <w:tabs>
        <w:tab w:val="left" w:pos="425"/>
      </w:tabs>
      <w:adjustRightInd w:val="0"/>
    </w:pPr>
    <w:rPr>
      <w:rFonts w:hint="eastAsia" w:ascii="宋体" w:hAnsi="Courier New" w:cs="Calibri"/>
      <w:szCs w:val="20"/>
    </w:rPr>
  </w:style>
  <w:style w:type="paragraph" w:customStyle="1" w:styleId="330">
    <w:name w:val="样式 样式 标题 4 + 段前: 5 磅 段后: 5 磅 行距: 单倍行距 + 五号"/>
    <w:basedOn w:val="331"/>
    <w:autoRedefine/>
    <w:qFormat/>
    <w:uiPriority w:val="0"/>
    <w:rPr>
      <w:sz w:val="21"/>
    </w:rPr>
  </w:style>
  <w:style w:type="paragraph" w:customStyle="1" w:styleId="331">
    <w:name w:val="样式 标题 4 + 段前: 5 磅 段后: 5 磅 行距: 单倍行距"/>
    <w:basedOn w:val="6"/>
    <w:autoRedefine/>
    <w:qFormat/>
    <w:uiPriority w:val="0"/>
    <w:pPr>
      <w:adjustRightInd w:val="0"/>
      <w:spacing w:before="100" w:after="100" w:line="240" w:lineRule="auto"/>
      <w:textAlignment w:val="baseline"/>
    </w:pPr>
    <w:rPr>
      <w:rFonts w:eastAsia="黑体" w:cs="Calibri"/>
      <w:bCs w:val="0"/>
      <w:kern w:val="0"/>
      <w:szCs w:val="20"/>
    </w:rPr>
  </w:style>
  <w:style w:type="paragraph" w:customStyle="1" w:styleId="332">
    <w:name w:val="样式 标题 3h3H3sect1.2.3 + 五号 段前: 6 磅 段后: 6 磅 行距: 单倍行距"/>
    <w:basedOn w:val="5"/>
    <w:autoRedefine/>
    <w:qFormat/>
    <w:uiPriority w:val="0"/>
    <w:pPr>
      <w:widowControl w:val="0"/>
      <w:numPr>
        <w:ilvl w:val="0"/>
        <w:numId w:val="0"/>
      </w:numPr>
      <w:tabs>
        <w:tab w:val="clear" w:pos="720"/>
      </w:tabs>
      <w:adjustRightInd w:val="0"/>
      <w:spacing w:line="240" w:lineRule="auto"/>
      <w:jc w:val="both"/>
      <w:textAlignment w:val="baseline"/>
    </w:pPr>
    <w:rPr>
      <w:rFonts w:ascii="Calibri" w:hAnsi="Calibri"/>
      <w:sz w:val="21"/>
      <w:lang w:val="en-US"/>
    </w:rPr>
  </w:style>
  <w:style w:type="paragraph" w:customStyle="1" w:styleId="333">
    <w:name w:val="编号正文"/>
    <w:basedOn w:val="310"/>
    <w:autoRedefine/>
    <w:qFormat/>
    <w:uiPriority w:val="0"/>
    <w:pPr>
      <w:tabs>
        <w:tab w:val="left" w:pos="1407"/>
      </w:tabs>
      <w:spacing w:before="0" w:after="0" w:line="440" w:lineRule="exact"/>
      <w:ind w:left="1407" w:hanging="420"/>
    </w:pPr>
    <w:rPr>
      <w:rFonts w:ascii="Arial Narrow" w:hAnsi="Arial Narrow" w:eastAsia="仿宋_GB2312"/>
      <w:sz w:val="24"/>
    </w:rPr>
  </w:style>
  <w:style w:type="paragraph" w:customStyle="1" w:styleId="334">
    <w:name w:val="SOW正文"/>
    <w:basedOn w:val="1"/>
    <w:autoRedefine/>
    <w:qFormat/>
    <w:uiPriority w:val="0"/>
    <w:pPr>
      <w:snapToGrid w:val="0"/>
      <w:spacing w:before="120" w:line="400" w:lineRule="exact"/>
      <w:ind w:firstLine="425"/>
    </w:pPr>
    <w:rPr>
      <w:rFonts w:cs="Calibri"/>
      <w:sz w:val="24"/>
      <w:szCs w:val="20"/>
    </w:rPr>
  </w:style>
  <w:style w:type="paragraph" w:customStyle="1" w:styleId="335">
    <w:name w:val="项目 1"/>
    <w:basedOn w:val="1"/>
    <w:autoRedefine/>
    <w:qFormat/>
    <w:uiPriority w:val="0"/>
    <w:pPr>
      <w:tabs>
        <w:tab w:val="left" w:pos="720"/>
      </w:tabs>
      <w:adjustRightInd w:val="0"/>
      <w:snapToGrid w:val="0"/>
      <w:spacing w:afterLines="50"/>
      <w:ind w:left="720" w:hanging="720"/>
    </w:pPr>
    <w:rPr>
      <w:rFonts w:ascii="Tahoma" w:hAnsi="Tahoma" w:cs="Calibri"/>
      <w:sz w:val="24"/>
      <w:szCs w:val="20"/>
    </w:rPr>
  </w:style>
  <w:style w:type="paragraph" w:customStyle="1" w:styleId="336">
    <w:name w:val="列表接续 21"/>
    <w:basedOn w:val="1"/>
    <w:autoRedefine/>
    <w:qFormat/>
    <w:uiPriority w:val="0"/>
    <w:pPr>
      <w:spacing w:after="120"/>
      <w:ind w:left="840" w:leftChars="400"/>
    </w:pPr>
    <w:rPr>
      <w:rFonts w:cs="Calibri"/>
      <w:szCs w:val="20"/>
    </w:rPr>
  </w:style>
  <w:style w:type="paragraph" w:customStyle="1" w:styleId="337">
    <w:name w:val="首行缩进:  0.85 厘米"/>
    <w:basedOn w:val="1"/>
    <w:autoRedefine/>
    <w:qFormat/>
    <w:uiPriority w:val="0"/>
    <w:pPr>
      <w:widowControl/>
      <w:spacing w:after="100" w:line="360" w:lineRule="auto"/>
      <w:ind w:firstLine="482"/>
      <w:jc w:val="left"/>
    </w:pPr>
    <w:rPr>
      <w:rFonts w:cs="Calibri"/>
      <w:kern w:val="0"/>
      <w:sz w:val="24"/>
      <w:szCs w:val="20"/>
      <w:lang w:eastAsia="en-US"/>
    </w:rPr>
  </w:style>
  <w:style w:type="paragraph" w:customStyle="1" w:styleId="338">
    <w:name w:val="项目"/>
    <w:basedOn w:val="274"/>
    <w:autoRedefine/>
    <w:qFormat/>
    <w:uiPriority w:val="0"/>
    <w:pPr>
      <w:spacing w:after="120"/>
      <w:ind w:left="0"/>
    </w:pPr>
    <w:rPr>
      <w:rFonts w:ascii="楷体_GB2312" w:eastAsia="楷体_GB2312"/>
      <w:b/>
      <w:sz w:val="24"/>
    </w:rPr>
  </w:style>
  <w:style w:type="paragraph" w:customStyle="1" w:styleId="339">
    <w:name w:val="ddddd"/>
    <w:basedOn w:val="1"/>
    <w:autoRedefine/>
    <w:qFormat/>
    <w:uiPriority w:val="0"/>
    <w:pPr>
      <w:pageBreakBefore/>
    </w:pPr>
    <w:rPr>
      <w:rFonts w:ascii="Tahoma" w:hAnsi="Tahoma" w:cs="Calibri"/>
      <w:sz w:val="24"/>
      <w:szCs w:val="20"/>
    </w:rPr>
  </w:style>
  <w:style w:type="paragraph" w:customStyle="1" w:styleId="340">
    <w:name w:val="首行缩进 1"/>
    <w:basedOn w:val="1"/>
    <w:autoRedefine/>
    <w:qFormat/>
    <w:uiPriority w:val="0"/>
    <w:pPr>
      <w:spacing w:after="120" w:line="360" w:lineRule="auto"/>
      <w:ind w:firstLine="200" w:firstLineChars="200"/>
    </w:pPr>
    <w:rPr>
      <w:rFonts w:cs="Calibri"/>
      <w:sz w:val="24"/>
      <w:szCs w:val="20"/>
    </w:rPr>
  </w:style>
  <w:style w:type="paragraph" w:customStyle="1" w:styleId="341">
    <w:name w:val="Char Char21"/>
    <w:basedOn w:val="1"/>
    <w:autoRedefine/>
    <w:qFormat/>
    <w:uiPriority w:val="0"/>
    <w:rPr>
      <w:rFonts w:ascii="Tahoma" w:hAnsi="Tahoma" w:cs="Calibri"/>
      <w:sz w:val="24"/>
      <w:szCs w:val="20"/>
    </w:rPr>
  </w:style>
  <w:style w:type="paragraph" w:customStyle="1" w:styleId="342">
    <w:name w:val="图号"/>
    <w:basedOn w:val="1"/>
    <w:autoRedefine/>
    <w:qFormat/>
    <w:uiPriority w:val="0"/>
    <w:pPr>
      <w:jc w:val="center"/>
    </w:pPr>
    <w:rPr>
      <w:rFonts w:ascii="仿宋_GB2312" w:eastAsia="仿宋_GB2312" w:cs="Calibri"/>
      <w:sz w:val="32"/>
      <w:szCs w:val="20"/>
    </w:rPr>
  </w:style>
  <w:style w:type="paragraph" w:customStyle="1" w:styleId="343">
    <w:name w:val="列表编号1"/>
    <w:basedOn w:val="1"/>
    <w:autoRedefine/>
    <w:qFormat/>
    <w:uiPriority w:val="0"/>
    <w:pPr>
      <w:tabs>
        <w:tab w:val="left" w:pos="360"/>
      </w:tabs>
      <w:adjustRightInd w:val="0"/>
      <w:snapToGrid w:val="0"/>
      <w:spacing w:line="360" w:lineRule="auto"/>
      <w:ind w:left="360" w:hanging="360" w:hangingChars="200"/>
    </w:pPr>
    <w:rPr>
      <w:rFonts w:cs="Calibri"/>
      <w:sz w:val="24"/>
      <w:szCs w:val="20"/>
    </w:rPr>
  </w:style>
  <w:style w:type="paragraph" w:customStyle="1" w:styleId="344">
    <w:name w:val="索引标题1"/>
    <w:basedOn w:val="1"/>
    <w:next w:val="345"/>
    <w:autoRedefine/>
    <w:qFormat/>
    <w:uiPriority w:val="0"/>
    <w:rPr>
      <w:rFonts w:eastAsia="仿宋_GB2312" w:cs="Calibri"/>
      <w:szCs w:val="20"/>
    </w:rPr>
  </w:style>
  <w:style w:type="paragraph" w:customStyle="1" w:styleId="345">
    <w:name w:val="索引 11"/>
    <w:basedOn w:val="1"/>
    <w:next w:val="1"/>
    <w:autoRedefine/>
    <w:qFormat/>
    <w:uiPriority w:val="0"/>
    <w:pPr>
      <w:ind w:left="-2"/>
    </w:pPr>
    <w:rPr>
      <w:rFonts w:ascii="Verdana" w:hAnsi="Verdana" w:cs="Calibri"/>
      <w:sz w:val="18"/>
      <w:szCs w:val="20"/>
    </w:rPr>
  </w:style>
  <w:style w:type="paragraph" w:customStyle="1" w:styleId="346">
    <w:name w:val="默认段落字体 Para Char Char Char1 Char Char Char Char Char Char Char"/>
    <w:basedOn w:val="1"/>
    <w:autoRedefine/>
    <w:qFormat/>
    <w:uiPriority w:val="0"/>
    <w:pPr>
      <w:adjustRightInd w:val="0"/>
      <w:spacing w:line="360" w:lineRule="auto"/>
    </w:pPr>
    <w:rPr>
      <w:rFonts w:cs="Calibri"/>
      <w:kern w:val="0"/>
      <w:sz w:val="24"/>
      <w:szCs w:val="20"/>
    </w:rPr>
  </w:style>
  <w:style w:type="paragraph" w:customStyle="1" w:styleId="347">
    <w:name w:val="Normal Cenered"/>
    <w:basedOn w:val="1"/>
    <w:autoRedefine/>
    <w:qFormat/>
    <w:uiPriority w:val="0"/>
    <w:pPr>
      <w:widowControl/>
      <w:tabs>
        <w:tab w:val="left" w:pos="6660"/>
      </w:tabs>
      <w:spacing w:before="240" w:after="120" w:line="288" w:lineRule="auto"/>
    </w:pPr>
    <w:rPr>
      <w:rFonts w:cs="Calibri"/>
      <w:kern w:val="0"/>
      <w:szCs w:val="20"/>
    </w:rPr>
  </w:style>
  <w:style w:type="paragraph" w:customStyle="1" w:styleId="348">
    <w:name w:val="样式6"/>
    <w:basedOn w:val="1"/>
    <w:autoRedefine/>
    <w:qFormat/>
    <w:uiPriority w:val="0"/>
    <w:pPr>
      <w:keepNext/>
      <w:keepLines/>
      <w:tabs>
        <w:tab w:val="left" w:pos="720"/>
      </w:tabs>
      <w:spacing w:before="260" w:after="260" w:line="413" w:lineRule="auto"/>
      <w:ind w:left="720" w:hanging="720"/>
      <w:outlineLvl w:val="2"/>
    </w:pPr>
    <w:rPr>
      <w:rFonts w:ascii="仿宋_GB2312" w:hAnsi="仿宋_GB2312" w:eastAsia="仿宋_GB2312" w:cs="Calibri"/>
      <w:b/>
      <w:color w:val="000000"/>
      <w:sz w:val="28"/>
      <w:szCs w:val="20"/>
    </w:rPr>
  </w:style>
  <w:style w:type="paragraph" w:customStyle="1" w:styleId="349">
    <w:name w:val="附件小标题"/>
    <w:basedOn w:val="6"/>
    <w:autoRedefine/>
    <w:qFormat/>
    <w:uiPriority w:val="0"/>
    <w:pPr>
      <w:tabs>
        <w:tab w:val="left" w:pos="720"/>
      </w:tabs>
      <w:spacing w:before="120" w:after="120" w:line="240" w:lineRule="atLeast"/>
      <w:ind w:left="720" w:hanging="720"/>
    </w:pPr>
    <w:rPr>
      <w:rFonts w:ascii="Verdana" w:hAnsi="Verdana" w:eastAsia="宋体" w:cs="Calibri"/>
      <w:bCs w:val="0"/>
      <w:szCs w:val="20"/>
    </w:rPr>
  </w:style>
  <w:style w:type="paragraph" w:customStyle="1" w:styleId="350">
    <w:name w:val="CN Title"/>
    <w:basedOn w:val="1"/>
    <w:autoRedefine/>
    <w:qFormat/>
    <w:uiPriority w:val="0"/>
    <w:pPr>
      <w:widowControl/>
      <w:tabs>
        <w:tab w:val="left" w:pos="720"/>
      </w:tabs>
      <w:spacing w:before="144" w:after="72"/>
      <w:ind w:left="720" w:hanging="360"/>
      <w:jc w:val="center"/>
    </w:pPr>
    <w:rPr>
      <w:rFonts w:cs="Calibri"/>
      <w:b/>
      <w:kern w:val="0"/>
      <w:sz w:val="28"/>
      <w:szCs w:val="20"/>
    </w:rPr>
  </w:style>
  <w:style w:type="paragraph" w:customStyle="1" w:styleId="351">
    <w:name w:val="Char Char Char Char Char Char Char Char Char Char Char Char Char"/>
    <w:basedOn w:val="1"/>
    <w:autoRedefine/>
    <w:qFormat/>
    <w:uiPriority w:val="0"/>
    <w:rPr>
      <w:rFonts w:ascii="Tahoma" w:hAnsi="Tahoma" w:cs="Calibri"/>
      <w:sz w:val="24"/>
      <w:szCs w:val="20"/>
    </w:rPr>
  </w:style>
  <w:style w:type="paragraph" w:customStyle="1" w:styleId="352">
    <w:name w:val="Char Char1 Char Char Char Char Char Char Char Char Char Char Char Char Char Char Char"/>
    <w:basedOn w:val="1"/>
    <w:autoRedefine/>
    <w:qFormat/>
    <w:uiPriority w:val="0"/>
    <w:pPr>
      <w:widowControl/>
      <w:spacing w:after="160" w:line="240" w:lineRule="exact"/>
    </w:pPr>
    <w:rPr>
      <w:rFonts w:ascii="Verdana" w:hAnsi="Verdana" w:cs="Calibri"/>
      <w:kern w:val="0"/>
      <w:sz w:val="20"/>
      <w:szCs w:val="20"/>
      <w:lang w:eastAsia="en-US"/>
    </w:rPr>
  </w:style>
  <w:style w:type="paragraph" w:customStyle="1" w:styleId="353">
    <w:name w:val="样式 标题 5 + 段前: 5 磅 段后: 5 磅 行距: 单倍行距"/>
    <w:basedOn w:val="7"/>
    <w:autoRedefine/>
    <w:qFormat/>
    <w:uiPriority w:val="0"/>
    <w:pPr>
      <w:adjustRightInd w:val="0"/>
      <w:spacing w:before="100" w:after="100" w:line="240" w:lineRule="auto"/>
      <w:textAlignment w:val="baseline"/>
    </w:pPr>
    <w:rPr>
      <w:rFonts w:cs="Times New Roman"/>
      <w:bCs w:val="0"/>
      <w:kern w:val="0"/>
      <w:szCs w:val="20"/>
    </w:rPr>
  </w:style>
  <w:style w:type="paragraph" w:customStyle="1" w:styleId="354">
    <w:name w:val="样式4"/>
    <w:autoRedefine/>
    <w:qFormat/>
    <w:uiPriority w:val="0"/>
    <w:rPr>
      <w:rFonts w:ascii="宋体" w:hAnsi="宋体" w:eastAsia="宋体" w:cs="Calibri"/>
      <w:b/>
      <w:kern w:val="2"/>
      <w:sz w:val="28"/>
      <w:lang w:val="en-US" w:eastAsia="zh-CN" w:bidi="ar-SA"/>
    </w:rPr>
  </w:style>
  <w:style w:type="paragraph" w:customStyle="1" w:styleId="355">
    <w:name w:val="列表 31"/>
    <w:basedOn w:val="1"/>
    <w:autoRedefine/>
    <w:qFormat/>
    <w:uiPriority w:val="0"/>
    <w:pPr>
      <w:ind w:left="100" w:leftChars="400" w:hanging="200" w:hangingChars="200"/>
    </w:pPr>
    <w:rPr>
      <w:rFonts w:cs="Calibri"/>
      <w:szCs w:val="20"/>
    </w:rPr>
  </w:style>
  <w:style w:type="paragraph" w:customStyle="1" w:styleId="356">
    <w:name w:val="Char1 Char Char Char Char Char Char"/>
    <w:basedOn w:val="1"/>
    <w:autoRedefine/>
    <w:qFormat/>
    <w:uiPriority w:val="0"/>
    <w:pPr>
      <w:autoSpaceDE w:val="0"/>
      <w:autoSpaceDN w:val="0"/>
    </w:pPr>
    <w:rPr>
      <w:rFonts w:ascii="Tahoma" w:hAnsi="Tahoma" w:cs="Calibri"/>
      <w:sz w:val="24"/>
      <w:szCs w:val="20"/>
    </w:rPr>
  </w:style>
  <w:style w:type="paragraph" w:customStyle="1" w:styleId="357">
    <w:name w:val="Char Char Char Char Char Char Char"/>
    <w:basedOn w:val="1"/>
    <w:autoRedefine/>
    <w:qFormat/>
    <w:uiPriority w:val="0"/>
    <w:rPr>
      <w:rFonts w:ascii="Tahoma" w:hAnsi="Tahoma" w:cs="Calibri"/>
      <w:sz w:val="24"/>
      <w:szCs w:val="20"/>
    </w:rPr>
  </w:style>
  <w:style w:type="paragraph" w:customStyle="1" w:styleId="358">
    <w:name w:val="样式 样式 样式 样式 标题 2 + 宋体 五号 非加粗 黑色 + 段前: 6 磅 段后: 0 磅 行距: 单倍行距 + 段前:..."/>
    <w:basedOn w:val="315"/>
    <w:autoRedefine/>
    <w:qFormat/>
    <w:uiPriority w:val="0"/>
    <w:rPr>
      <w:b/>
    </w:rPr>
  </w:style>
  <w:style w:type="paragraph" w:customStyle="1" w:styleId="359">
    <w:name w:val="项目2"/>
    <w:autoRedefine/>
    <w:qFormat/>
    <w:uiPriority w:val="0"/>
    <w:pPr>
      <w:tabs>
        <w:tab w:val="left" w:pos="425"/>
      </w:tabs>
      <w:spacing w:before="120" w:after="120" w:line="360" w:lineRule="auto"/>
      <w:ind w:left="425" w:hanging="425"/>
    </w:pPr>
    <w:rPr>
      <w:rFonts w:ascii="Calibri" w:hAnsi="Calibri" w:eastAsia="仿宋_GB2312" w:cs="Calibri"/>
      <w:sz w:val="24"/>
      <w:lang w:val="en-US" w:eastAsia="zh-CN" w:bidi="ar-SA"/>
    </w:rPr>
  </w:style>
  <w:style w:type="paragraph" w:customStyle="1" w:styleId="360">
    <w:name w:val="日期1"/>
    <w:basedOn w:val="1"/>
    <w:next w:val="1"/>
    <w:autoRedefine/>
    <w:qFormat/>
    <w:uiPriority w:val="0"/>
    <w:pPr>
      <w:tabs>
        <w:tab w:val="left" w:pos="425"/>
      </w:tabs>
      <w:autoSpaceDE w:val="0"/>
      <w:autoSpaceDN w:val="0"/>
      <w:adjustRightInd w:val="0"/>
      <w:spacing w:before="60" w:after="60" w:line="312" w:lineRule="atLeast"/>
      <w:ind w:left="425" w:hanging="425"/>
      <w:textAlignment w:val="baseline"/>
    </w:pPr>
    <w:rPr>
      <w:rFonts w:cs="Calibri"/>
      <w:kern w:val="0"/>
      <w:sz w:val="44"/>
      <w:szCs w:val="20"/>
    </w:rPr>
  </w:style>
  <w:style w:type="paragraph" w:customStyle="1" w:styleId="361">
    <w:name w:val="可研正文"/>
    <w:basedOn w:val="303"/>
    <w:autoRedefine/>
    <w:qFormat/>
    <w:uiPriority w:val="0"/>
    <w:pPr>
      <w:adjustRightInd w:val="0"/>
      <w:snapToGrid w:val="0"/>
      <w:spacing w:line="440" w:lineRule="exact"/>
      <w:ind w:firstLine="567"/>
    </w:pPr>
    <w:rPr>
      <w:rFonts w:ascii="仿宋_GB2312" w:eastAsia="仿宋_GB2312"/>
      <w:color w:val="auto"/>
      <w:sz w:val="28"/>
    </w:rPr>
  </w:style>
  <w:style w:type="paragraph" w:customStyle="1" w:styleId="362">
    <w:name w:val="列表项目符号 41"/>
    <w:basedOn w:val="1"/>
    <w:autoRedefine/>
    <w:qFormat/>
    <w:uiPriority w:val="0"/>
    <w:pPr>
      <w:widowControl/>
      <w:tabs>
        <w:tab w:val="left" w:pos="1134"/>
      </w:tabs>
      <w:adjustRightInd w:val="0"/>
      <w:snapToGrid w:val="0"/>
      <w:spacing w:before="120" w:line="280" w:lineRule="atLeast"/>
      <w:ind w:left="1418" w:hanging="284"/>
    </w:pPr>
    <w:rPr>
      <w:rFonts w:ascii="宋体" w:cs="Calibri"/>
      <w:kern w:val="0"/>
      <w:sz w:val="22"/>
      <w:szCs w:val="20"/>
    </w:rPr>
  </w:style>
  <w:style w:type="paragraph" w:customStyle="1" w:styleId="363">
    <w:name w:val="列表项目符号 31"/>
    <w:basedOn w:val="1"/>
    <w:autoRedefine/>
    <w:qFormat/>
    <w:uiPriority w:val="0"/>
    <w:pPr>
      <w:tabs>
        <w:tab w:val="left" w:pos="1200"/>
      </w:tabs>
      <w:ind w:left="420" w:hanging="420"/>
    </w:pPr>
    <w:rPr>
      <w:rFonts w:cs="Calibri"/>
      <w:szCs w:val="20"/>
    </w:rPr>
  </w:style>
  <w:style w:type="paragraph" w:customStyle="1" w:styleId="364">
    <w:name w:val="普通(网站)1"/>
    <w:basedOn w:val="1"/>
    <w:autoRedefine/>
    <w:qFormat/>
    <w:uiPriority w:val="0"/>
    <w:rPr>
      <w:rFonts w:cs="Calibri"/>
      <w:sz w:val="24"/>
      <w:szCs w:val="20"/>
    </w:rPr>
  </w:style>
  <w:style w:type="paragraph" w:customStyle="1" w:styleId="365">
    <w:name w:val="_Style 155"/>
    <w:basedOn w:val="1"/>
    <w:autoRedefine/>
    <w:qFormat/>
    <w:uiPriority w:val="0"/>
    <w:pPr>
      <w:ind w:firstLine="420" w:firstLineChars="200"/>
    </w:pPr>
    <w:rPr>
      <w:rFonts w:cs="Calibri"/>
      <w:szCs w:val="20"/>
    </w:rPr>
  </w:style>
  <w:style w:type="paragraph" w:customStyle="1" w:styleId="366">
    <w:name w:val="列表内容"/>
    <w:basedOn w:val="1"/>
    <w:next w:val="1"/>
    <w:autoRedefine/>
    <w:qFormat/>
    <w:uiPriority w:val="0"/>
    <w:pPr>
      <w:widowControl/>
      <w:tabs>
        <w:tab w:val="left" w:pos="600"/>
        <w:tab w:val="left" w:pos="840"/>
      </w:tabs>
      <w:ind w:left="600" w:hanging="600"/>
    </w:pPr>
    <w:rPr>
      <w:rFonts w:cs="Calibri"/>
      <w:kern w:val="0"/>
      <w:sz w:val="18"/>
      <w:szCs w:val="20"/>
    </w:rPr>
  </w:style>
  <w:style w:type="paragraph" w:customStyle="1" w:styleId="367">
    <w:name w:val="正文缩进2"/>
    <w:basedOn w:val="1"/>
    <w:autoRedefine/>
    <w:qFormat/>
    <w:uiPriority w:val="0"/>
    <w:pPr>
      <w:ind w:firstLine="420"/>
    </w:pPr>
    <w:rPr>
      <w:rFonts w:cs="Calibri"/>
      <w:szCs w:val="20"/>
    </w:rPr>
  </w:style>
  <w:style w:type="paragraph" w:customStyle="1" w:styleId="368">
    <w:name w:val="正文加点1"/>
    <w:basedOn w:val="269"/>
    <w:autoRedefine/>
    <w:qFormat/>
    <w:uiPriority w:val="0"/>
    <w:pPr>
      <w:tabs>
        <w:tab w:val="left" w:pos="600"/>
      </w:tabs>
      <w:spacing w:beforeLines="50" w:afterLines="50" w:line="360" w:lineRule="auto"/>
      <w:ind w:left="600" w:hanging="600"/>
    </w:pPr>
    <w:rPr>
      <w:rFonts w:ascii="Arial" w:hAnsi="Arial"/>
      <w:b/>
      <w:sz w:val="24"/>
    </w:rPr>
  </w:style>
  <w:style w:type="paragraph" w:customStyle="1" w:styleId="369">
    <w:name w:val="样式 样式 标题 5 + 段前: 5 磅 段后: 5 磅 行距: 单倍行距 + 五号"/>
    <w:basedOn w:val="353"/>
    <w:autoRedefine/>
    <w:qFormat/>
    <w:uiPriority w:val="0"/>
    <w:rPr>
      <w:sz w:val="21"/>
    </w:rPr>
  </w:style>
  <w:style w:type="paragraph" w:customStyle="1" w:styleId="370">
    <w:name w:val="招标文件1）"/>
    <w:autoRedefine/>
    <w:qFormat/>
    <w:uiPriority w:val="0"/>
    <w:pPr>
      <w:spacing w:before="120" w:after="120" w:line="300" w:lineRule="auto"/>
      <w:outlineLvl w:val="5"/>
    </w:pPr>
    <w:rPr>
      <w:rFonts w:ascii="宋体" w:hAnsi="Calibri" w:eastAsia="宋体" w:cs="Calibri"/>
      <w:spacing w:val="10"/>
      <w:w w:val="95"/>
      <w:sz w:val="21"/>
      <w:lang w:val="en-US" w:eastAsia="zh-CN" w:bidi="ar-SA"/>
    </w:rPr>
  </w:style>
  <w:style w:type="paragraph" w:customStyle="1" w:styleId="371">
    <w:name w:val="金宏发行正文"/>
    <w:basedOn w:val="1"/>
    <w:autoRedefine/>
    <w:qFormat/>
    <w:uiPriority w:val="0"/>
    <w:pPr>
      <w:spacing w:line="500" w:lineRule="exact"/>
      <w:ind w:firstLine="560" w:firstLineChars="200"/>
    </w:pPr>
    <w:rPr>
      <w:rFonts w:eastAsia="仿宋_GB2312" w:cs="Calibri"/>
      <w:sz w:val="28"/>
      <w:szCs w:val="20"/>
    </w:rPr>
  </w:style>
  <w:style w:type="paragraph" w:customStyle="1" w:styleId="372">
    <w:name w:val="Char Char Char"/>
    <w:basedOn w:val="1"/>
    <w:autoRedefine/>
    <w:qFormat/>
    <w:uiPriority w:val="0"/>
    <w:rPr>
      <w:rFonts w:hint="eastAsia" w:cs="Calibri"/>
      <w:szCs w:val="20"/>
    </w:rPr>
  </w:style>
  <w:style w:type="paragraph" w:customStyle="1" w:styleId="373">
    <w:name w:val="Char3 Char Char"/>
    <w:basedOn w:val="1"/>
    <w:autoRedefine/>
    <w:qFormat/>
    <w:uiPriority w:val="0"/>
    <w:rPr>
      <w:rFonts w:ascii="Tahoma" w:hAnsi="Tahoma" w:cs="Calibri"/>
      <w:sz w:val="24"/>
      <w:szCs w:val="20"/>
    </w:rPr>
  </w:style>
  <w:style w:type="paragraph" w:customStyle="1" w:styleId="374">
    <w:name w:val="列表 21"/>
    <w:basedOn w:val="1"/>
    <w:autoRedefine/>
    <w:qFormat/>
    <w:uiPriority w:val="0"/>
    <w:pPr>
      <w:ind w:left="100" w:leftChars="200" w:hanging="200" w:hangingChars="200"/>
    </w:pPr>
    <w:rPr>
      <w:rFonts w:cs="Calibri"/>
      <w:szCs w:val="20"/>
    </w:rPr>
  </w:style>
  <w:style w:type="paragraph" w:customStyle="1" w:styleId="375">
    <w:name w:val="6"/>
    <w:basedOn w:val="1"/>
    <w:next w:val="364"/>
    <w:autoRedefine/>
    <w:qFormat/>
    <w:uiPriority w:val="0"/>
    <w:pPr>
      <w:adjustRightInd w:val="0"/>
      <w:snapToGrid w:val="0"/>
    </w:pPr>
    <w:rPr>
      <w:rFonts w:cs="Calibri"/>
      <w:sz w:val="24"/>
      <w:szCs w:val="20"/>
    </w:rPr>
  </w:style>
  <w:style w:type="paragraph" w:customStyle="1" w:styleId="376">
    <w:name w:val="Char Char1 Char Char Char Char1 Char Char Char Char Char Char Char Char"/>
    <w:basedOn w:val="1"/>
    <w:autoRedefine/>
    <w:qFormat/>
    <w:uiPriority w:val="0"/>
    <w:rPr>
      <w:rFonts w:ascii="Tahoma" w:hAnsi="Tahoma" w:cs="Calibri"/>
      <w:sz w:val="24"/>
      <w:szCs w:val="20"/>
    </w:rPr>
  </w:style>
  <w:style w:type="paragraph" w:customStyle="1" w:styleId="377">
    <w:name w:val="招标文件1.1"/>
    <w:autoRedefine/>
    <w:qFormat/>
    <w:uiPriority w:val="0"/>
    <w:pPr>
      <w:tabs>
        <w:tab w:val="left" w:pos="630"/>
      </w:tabs>
      <w:spacing w:before="120" w:after="120" w:line="480" w:lineRule="exact"/>
      <w:ind w:left="200"/>
      <w:outlineLvl w:val="2"/>
    </w:pPr>
    <w:rPr>
      <w:rFonts w:ascii="宋体" w:hAnsi="Calibri" w:eastAsia="宋体" w:cs="Calibri"/>
      <w:b/>
      <w:spacing w:val="10"/>
      <w:w w:val="95"/>
      <w:sz w:val="24"/>
      <w:lang w:val="en-US" w:eastAsia="zh-CN" w:bidi="ar-SA"/>
    </w:rPr>
  </w:style>
  <w:style w:type="paragraph" w:customStyle="1" w:styleId="378">
    <w:name w:val="默认段落字体 Para Char Char Char1 Char Char Char Char Char Char Char Char Char Char Char Char"/>
    <w:basedOn w:val="1"/>
    <w:autoRedefine/>
    <w:qFormat/>
    <w:uiPriority w:val="0"/>
    <w:pPr>
      <w:adjustRightInd w:val="0"/>
      <w:spacing w:line="360" w:lineRule="auto"/>
    </w:pPr>
    <w:rPr>
      <w:rFonts w:cs="Calibri"/>
      <w:kern w:val="0"/>
      <w:sz w:val="24"/>
      <w:szCs w:val="20"/>
    </w:rPr>
  </w:style>
  <w:style w:type="paragraph" w:customStyle="1" w:styleId="379">
    <w:name w:val="纯文本2"/>
    <w:basedOn w:val="1"/>
    <w:autoRedefine/>
    <w:qFormat/>
    <w:uiPriority w:val="0"/>
    <w:rPr>
      <w:rFonts w:ascii="宋体" w:hAnsi="Courier New" w:cs="Calibri"/>
      <w:szCs w:val="20"/>
    </w:rPr>
  </w:style>
  <w:style w:type="paragraph" w:customStyle="1" w:styleId="380">
    <w:name w:val="xl23"/>
    <w:basedOn w:val="1"/>
    <w:autoRedefine/>
    <w:qFormat/>
    <w:uiPriority w:val="0"/>
    <w:pPr>
      <w:widowControl/>
      <w:spacing w:before="100" w:beforeAutospacing="1" w:after="100" w:afterAutospacing="1"/>
    </w:pPr>
    <w:rPr>
      <w:rFonts w:eastAsia="Arial Unicode MS" w:cs="Calibri"/>
      <w:kern w:val="0"/>
      <w:szCs w:val="20"/>
    </w:rPr>
  </w:style>
  <w:style w:type="paragraph" w:customStyle="1" w:styleId="381">
    <w:name w:val="列表接续 31"/>
    <w:basedOn w:val="1"/>
    <w:autoRedefine/>
    <w:qFormat/>
    <w:uiPriority w:val="0"/>
    <w:pPr>
      <w:spacing w:after="120"/>
      <w:ind w:left="1260" w:leftChars="600"/>
    </w:pPr>
    <w:rPr>
      <w:rFonts w:cs="Calibri"/>
      <w:szCs w:val="20"/>
    </w:rPr>
  </w:style>
  <w:style w:type="paragraph" w:customStyle="1" w:styleId="382">
    <w:name w:val="Char Char5"/>
    <w:basedOn w:val="78"/>
    <w:autoRedefine/>
    <w:qFormat/>
    <w:uiPriority w:val="0"/>
    <w:rPr>
      <w:rFonts w:ascii="Tahoma" w:hAnsi="Tahoma"/>
      <w:sz w:val="24"/>
    </w:rPr>
  </w:style>
  <w:style w:type="paragraph" w:customStyle="1" w:styleId="383">
    <w:name w:val="Item List in Table"/>
    <w:basedOn w:val="1"/>
    <w:autoRedefine/>
    <w:qFormat/>
    <w:uiPriority w:val="0"/>
    <w:pPr>
      <w:tabs>
        <w:tab w:val="left" w:pos="425"/>
      </w:tabs>
      <w:ind w:left="425" w:hanging="425"/>
    </w:pPr>
    <w:rPr>
      <w:rFonts w:cs="Calibri"/>
      <w:szCs w:val="20"/>
    </w:rPr>
  </w:style>
  <w:style w:type="paragraph" w:customStyle="1" w:styleId="384">
    <w:name w:val="p0"/>
    <w:basedOn w:val="1"/>
    <w:autoRedefine/>
    <w:qFormat/>
    <w:uiPriority w:val="0"/>
    <w:pPr>
      <w:widowControl/>
    </w:pPr>
    <w:rPr>
      <w:rFonts w:cs="Calibri"/>
      <w:kern w:val="0"/>
      <w:szCs w:val="20"/>
    </w:rPr>
  </w:style>
  <w:style w:type="paragraph" w:customStyle="1" w:styleId="385">
    <w:name w:val="*8. General Text"/>
    <w:basedOn w:val="1"/>
    <w:next w:val="1"/>
    <w:autoRedefine/>
    <w:qFormat/>
    <w:uiPriority w:val="0"/>
    <w:pPr>
      <w:autoSpaceDE w:val="0"/>
      <w:autoSpaceDN w:val="0"/>
      <w:adjustRightInd w:val="0"/>
      <w:spacing w:after="120"/>
    </w:pPr>
    <w:rPr>
      <w:rFonts w:cs="Calibri"/>
      <w:kern w:val="0"/>
      <w:sz w:val="24"/>
      <w:szCs w:val="20"/>
    </w:rPr>
  </w:style>
  <w:style w:type="paragraph" w:customStyle="1" w:styleId="386">
    <w:name w:val="空项目内容"/>
    <w:basedOn w:val="1"/>
    <w:autoRedefine/>
    <w:qFormat/>
    <w:uiPriority w:val="0"/>
    <w:pPr>
      <w:tabs>
        <w:tab w:val="left" w:pos="720"/>
      </w:tabs>
      <w:spacing w:line="360" w:lineRule="auto"/>
      <w:ind w:left="720" w:hanging="720"/>
    </w:pPr>
    <w:rPr>
      <w:rFonts w:cs="Calibri"/>
      <w:sz w:val="24"/>
      <w:szCs w:val="20"/>
    </w:rPr>
  </w:style>
  <w:style w:type="paragraph" w:customStyle="1" w:styleId="387">
    <w:name w:val="Table Heading"/>
    <w:basedOn w:val="1"/>
    <w:autoRedefine/>
    <w:qFormat/>
    <w:uiPriority w:val="0"/>
    <w:rPr>
      <w:rFonts w:ascii="宋体" w:hAnsi="宋体" w:cs="Calibri"/>
      <w:b/>
      <w:kern w:val="0"/>
      <w:szCs w:val="20"/>
    </w:rPr>
  </w:style>
  <w:style w:type="paragraph" w:customStyle="1" w:styleId="388">
    <w:name w:val="样式 标题 2 + 行距: 1.5 倍行距"/>
    <w:basedOn w:val="3"/>
    <w:autoRedefine/>
    <w:qFormat/>
    <w:uiPriority w:val="0"/>
    <w:pPr>
      <w:widowControl w:val="0"/>
      <w:tabs>
        <w:tab w:val="left" w:pos="425"/>
      </w:tabs>
      <w:spacing w:line="360" w:lineRule="auto"/>
      <w:ind w:left="425" w:hanging="425"/>
    </w:pPr>
    <w:rPr>
      <w:rFonts w:cs="Calibri"/>
      <w:b/>
      <w:kern w:val="2"/>
      <w:sz w:val="32"/>
      <w:lang w:val="en-US"/>
    </w:rPr>
  </w:style>
  <w:style w:type="paragraph" w:customStyle="1" w:styleId="389">
    <w:name w:val="样式 正文缩进正文（首行缩进两字）表正文正文非缩进特点标题4段1 + 首行缩进:  2 字符"/>
    <w:basedOn w:val="269"/>
    <w:autoRedefine/>
    <w:qFormat/>
    <w:uiPriority w:val="0"/>
    <w:pPr>
      <w:adjustRightInd w:val="0"/>
      <w:snapToGrid w:val="0"/>
      <w:spacing w:line="360" w:lineRule="auto"/>
      <w:ind w:firstLine="480" w:firstLineChars="200"/>
    </w:pPr>
    <w:rPr>
      <w:sz w:val="24"/>
    </w:rPr>
  </w:style>
  <w:style w:type="paragraph" w:customStyle="1" w:styleId="390">
    <w:name w:val="一级标题"/>
    <w:basedOn w:val="78"/>
    <w:autoRedefine/>
    <w:qFormat/>
    <w:uiPriority w:val="0"/>
    <w:pPr>
      <w:adjustRightInd w:val="0"/>
      <w:spacing w:line="360" w:lineRule="auto"/>
      <w:ind w:left="1985" w:hanging="709"/>
      <w:outlineLvl w:val="3"/>
    </w:pPr>
    <w:rPr>
      <w:rFonts w:ascii="Tahoma" w:hAnsi="Tahoma"/>
      <w:sz w:val="24"/>
    </w:rPr>
  </w:style>
  <w:style w:type="paragraph" w:customStyle="1" w:styleId="391">
    <w:name w:val="楷体粗正文文字"/>
    <w:basedOn w:val="1"/>
    <w:next w:val="288"/>
    <w:autoRedefine/>
    <w:qFormat/>
    <w:uiPriority w:val="0"/>
    <w:pPr>
      <w:snapToGrid w:val="0"/>
      <w:spacing w:line="480" w:lineRule="exact"/>
      <w:ind w:firstLine="560"/>
    </w:pPr>
    <w:rPr>
      <w:rFonts w:cs="Calibri"/>
      <w:sz w:val="28"/>
      <w:szCs w:val="20"/>
    </w:rPr>
  </w:style>
  <w:style w:type="paragraph" w:customStyle="1" w:styleId="392">
    <w:name w:val="Date2"/>
    <w:basedOn w:val="1"/>
    <w:next w:val="1"/>
    <w:autoRedefine/>
    <w:qFormat/>
    <w:uiPriority w:val="0"/>
    <w:pPr>
      <w:adjustRightInd w:val="0"/>
      <w:spacing w:line="312" w:lineRule="atLeast"/>
      <w:textAlignment w:val="baseline"/>
    </w:pPr>
    <w:rPr>
      <w:rFonts w:cs="Calibri"/>
      <w:kern w:val="0"/>
      <w:sz w:val="24"/>
      <w:szCs w:val="20"/>
    </w:rPr>
  </w:style>
  <w:style w:type="paragraph" w:customStyle="1" w:styleId="393">
    <w:name w:val="修订8"/>
    <w:autoRedefine/>
    <w:qFormat/>
    <w:uiPriority w:val="0"/>
    <w:rPr>
      <w:rFonts w:ascii="Calibri" w:hAnsi="Calibri" w:eastAsia="宋体" w:cs="Calibri"/>
      <w:kern w:val="2"/>
      <w:sz w:val="21"/>
      <w:lang w:val="en-US" w:eastAsia="zh-CN" w:bidi="ar-SA"/>
    </w:rPr>
  </w:style>
  <w:style w:type="paragraph" w:customStyle="1" w:styleId="394">
    <w:name w:val="1 Char Char Char Char"/>
    <w:basedOn w:val="1"/>
    <w:autoRedefine/>
    <w:qFormat/>
    <w:uiPriority w:val="0"/>
    <w:rPr>
      <w:rFonts w:ascii="Tahoma" w:hAnsi="Tahoma" w:cs="Calibri"/>
      <w:sz w:val="24"/>
      <w:szCs w:val="20"/>
    </w:rPr>
  </w:style>
  <w:style w:type="paragraph" w:customStyle="1" w:styleId="395">
    <w:name w:val="文档正文 Char Char Char Char Char"/>
    <w:basedOn w:val="1"/>
    <w:autoRedefine/>
    <w:qFormat/>
    <w:uiPriority w:val="0"/>
    <w:pPr>
      <w:adjustRightInd w:val="0"/>
      <w:spacing w:line="440" w:lineRule="exact"/>
      <w:ind w:left="100" w:leftChars="100" w:right="100" w:rightChars="100" w:firstLine="420"/>
      <w:textAlignment w:val="baseline"/>
    </w:pPr>
    <w:rPr>
      <w:rFonts w:ascii="Arial Narrow" w:hAnsi="Arial Narrow" w:cs="Calibri"/>
      <w:kern w:val="0"/>
      <w:sz w:val="24"/>
      <w:szCs w:val="20"/>
    </w:rPr>
  </w:style>
  <w:style w:type="paragraph" w:customStyle="1" w:styleId="396">
    <w:name w:val="招标文件1"/>
    <w:basedOn w:val="1"/>
    <w:autoRedefine/>
    <w:qFormat/>
    <w:uiPriority w:val="0"/>
    <w:pPr>
      <w:tabs>
        <w:tab w:val="left" w:pos="420"/>
      </w:tabs>
      <w:spacing w:before="120" w:after="120" w:line="480" w:lineRule="exact"/>
      <w:ind w:left="200"/>
      <w:outlineLvl w:val="1"/>
    </w:pPr>
    <w:rPr>
      <w:rFonts w:ascii="宋体" w:cs="Calibri"/>
      <w:b/>
      <w:spacing w:val="10"/>
      <w:w w:val="95"/>
      <w:kern w:val="0"/>
      <w:sz w:val="28"/>
      <w:szCs w:val="20"/>
    </w:rPr>
  </w:style>
  <w:style w:type="paragraph" w:customStyle="1" w:styleId="397">
    <w:name w:val="Char Char Char Char Char Char Char1"/>
    <w:basedOn w:val="1"/>
    <w:autoRedefine/>
    <w:qFormat/>
    <w:uiPriority w:val="0"/>
    <w:rPr>
      <w:rFonts w:cs="Calibri"/>
      <w:szCs w:val="20"/>
    </w:rPr>
  </w:style>
  <w:style w:type="paragraph" w:customStyle="1" w:styleId="398">
    <w:name w:val="招标文件1.1.1"/>
    <w:autoRedefine/>
    <w:qFormat/>
    <w:uiPriority w:val="0"/>
    <w:pPr>
      <w:spacing w:before="120" w:after="120" w:line="480" w:lineRule="exact"/>
      <w:ind w:left="200"/>
      <w:outlineLvl w:val="3"/>
    </w:pPr>
    <w:rPr>
      <w:rFonts w:ascii="宋体" w:hAnsi="Calibri" w:eastAsia="宋体" w:cs="Calibri"/>
      <w:b/>
      <w:spacing w:val="10"/>
      <w:w w:val="95"/>
      <w:sz w:val="21"/>
      <w:lang w:val="en-US" w:eastAsia="zh-CN" w:bidi="ar-SA"/>
    </w:rPr>
  </w:style>
  <w:style w:type="paragraph" w:customStyle="1" w:styleId="399">
    <w:name w:val="脚注文本1"/>
    <w:basedOn w:val="1"/>
    <w:autoRedefine/>
    <w:qFormat/>
    <w:uiPriority w:val="0"/>
    <w:pPr>
      <w:snapToGrid w:val="0"/>
    </w:pPr>
    <w:rPr>
      <w:rFonts w:cs="Calibri"/>
      <w:sz w:val="18"/>
      <w:szCs w:val="20"/>
    </w:rPr>
  </w:style>
  <w:style w:type="paragraph" w:customStyle="1" w:styleId="400">
    <w:name w:val="标题3"/>
    <w:basedOn w:val="5"/>
    <w:next w:val="303"/>
    <w:autoRedefine/>
    <w:qFormat/>
    <w:uiPriority w:val="0"/>
    <w:pPr>
      <w:widowControl w:val="0"/>
      <w:numPr>
        <w:ilvl w:val="0"/>
        <w:numId w:val="0"/>
      </w:numPr>
      <w:tabs>
        <w:tab w:val="clear" w:pos="720"/>
      </w:tabs>
      <w:spacing w:before="260" w:after="260" w:line="413" w:lineRule="auto"/>
      <w:ind w:left="720" w:hanging="720"/>
      <w:jc w:val="both"/>
    </w:pPr>
    <w:rPr>
      <w:rFonts w:ascii="黑体" w:hAnsi="Calibri" w:eastAsia="黑体"/>
      <w:kern w:val="2"/>
      <w:sz w:val="28"/>
      <w:lang w:val="en-US"/>
    </w:rPr>
  </w:style>
  <w:style w:type="paragraph" w:customStyle="1" w:styleId="401">
    <w:name w:val="Char Char Char Char Char Char1 Char Char Char Char"/>
    <w:basedOn w:val="78"/>
    <w:autoRedefine/>
    <w:qFormat/>
    <w:uiPriority w:val="0"/>
  </w:style>
  <w:style w:type="paragraph" w:customStyle="1" w:styleId="402">
    <w:name w:val="样式 标题 1 + 行距: 1.5 倍行距1"/>
    <w:basedOn w:val="2"/>
    <w:autoRedefine/>
    <w:qFormat/>
    <w:uiPriority w:val="0"/>
    <w:pPr>
      <w:keepLines/>
      <w:widowControl w:val="0"/>
      <w:tabs>
        <w:tab w:val="left" w:pos="425"/>
        <w:tab w:val="clear" w:pos="432"/>
      </w:tabs>
      <w:spacing w:before="340" w:after="330" w:line="360" w:lineRule="auto"/>
      <w:ind w:left="425" w:hanging="425"/>
      <w:jc w:val="both"/>
    </w:pPr>
    <w:rPr>
      <w:rFonts w:ascii="Calibri" w:hAnsi="Calibri" w:cs="Times New Roman"/>
      <w:kern w:val="44"/>
      <w:sz w:val="44"/>
      <w:lang w:val="en-US"/>
    </w:rPr>
  </w:style>
  <w:style w:type="paragraph" w:customStyle="1" w:styleId="403">
    <w:name w:val="Char Char Char Char Char Char Char Char Char Char Char Char Char Char Char Char"/>
    <w:basedOn w:val="1"/>
    <w:autoRedefine/>
    <w:qFormat/>
    <w:uiPriority w:val="0"/>
    <w:rPr>
      <w:rFonts w:ascii="Tahoma" w:hAnsi="Tahoma" w:cs="Calibri"/>
      <w:sz w:val="24"/>
      <w:szCs w:val="20"/>
    </w:rPr>
  </w:style>
  <w:style w:type="paragraph" w:customStyle="1" w:styleId="404">
    <w:name w:val="样式 标题 1Heading 0H1PIM 1123321Title1卷标题h11.ch章节标题第*部分..."/>
    <w:basedOn w:val="2"/>
    <w:autoRedefine/>
    <w:qFormat/>
    <w:uiPriority w:val="0"/>
    <w:pPr>
      <w:keepLines/>
      <w:widowControl w:val="0"/>
      <w:tabs>
        <w:tab w:val="left" w:pos="420"/>
        <w:tab w:val="clear" w:pos="432"/>
      </w:tabs>
      <w:spacing w:before="340" w:after="330" w:line="360" w:lineRule="auto"/>
      <w:ind w:left="420" w:hanging="420"/>
      <w:jc w:val="both"/>
    </w:pPr>
    <w:rPr>
      <w:rFonts w:ascii="Arial" w:hAnsi="Arial" w:cs="Times New Roman"/>
      <w:color w:val="000000"/>
      <w:kern w:val="44"/>
      <w:sz w:val="44"/>
      <w:lang w:val="en-US"/>
    </w:rPr>
  </w:style>
  <w:style w:type="paragraph" w:customStyle="1" w:styleId="405">
    <w:name w:val="标题1"/>
    <w:basedOn w:val="31"/>
    <w:autoRedefine/>
    <w:qFormat/>
    <w:uiPriority w:val="0"/>
    <w:pPr>
      <w:tabs>
        <w:tab w:val="right" w:leader="underscore" w:pos="9061"/>
        <w:tab w:val="clear" w:pos="8302"/>
      </w:tabs>
      <w:spacing w:before="120" w:after="120" w:line="240" w:lineRule="auto"/>
      <w:jc w:val="left"/>
    </w:pPr>
    <w:rPr>
      <w:rFonts w:ascii="方正姚体" w:hAnsi="宋体" w:eastAsia="方正姚体" w:cs="Calibri"/>
      <w:i/>
      <w:caps/>
      <w:sz w:val="20"/>
      <w:szCs w:val="20"/>
    </w:rPr>
  </w:style>
  <w:style w:type="paragraph" w:customStyle="1" w:styleId="406">
    <w:name w:val="正文文字(ALT+W)"/>
    <w:basedOn w:val="1"/>
    <w:next w:val="269"/>
    <w:autoRedefine/>
    <w:qFormat/>
    <w:uiPriority w:val="0"/>
    <w:pPr>
      <w:adjustRightInd w:val="0"/>
      <w:snapToGrid w:val="0"/>
      <w:spacing w:line="360" w:lineRule="auto"/>
      <w:ind w:firstLine="420"/>
    </w:pPr>
    <w:rPr>
      <w:rFonts w:cs="Calibri"/>
      <w:sz w:val="24"/>
      <w:szCs w:val="20"/>
    </w:rPr>
  </w:style>
  <w:style w:type="paragraph" w:customStyle="1" w:styleId="407">
    <w:name w:val="列出段落4"/>
    <w:basedOn w:val="1"/>
    <w:autoRedefine/>
    <w:qFormat/>
    <w:uiPriority w:val="0"/>
    <w:pPr>
      <w:ind w:firstLine="420" w:firstLineChars="200"/>
    </w:pPr>
    <w:rPr>
      <w:rFonts w:cs="Calibri"/>
      <w:szCs w:val="20"/>
    </w:rPr>
  </w:style>
  <w:style w:type="paragraph" w:customStyle="1" w:styleId="408">
    <w:name w:val="Char Char1 Char Char Char Char1 Char Char Char Char Char Char Char Char Char Char Char Char1"/>
    <w:basedOn w:val="1"/>
    <w:autoRedefine/>
    <w:qFormat/>
    <w:uiPriority w:val="0"/>
    <w:rPr>
      <w:rFonts w:ascii="Tahoma" w:hAnsi="Tahoma" w:cs="Calibri"/>
      <w:sz w:val="24"/>
      <w:szCs w:val="20"/>
    </w:rPr>
  </w:style>
  <w:style w:type="paragraph" w:customStyle="1" w:styleId="409">
    <w:name w:val="prop1"/>
    <w:basedOn w:val="6"/>
    <w:autoRedefine/>
    <w:qFormat/>
    <w:uiPriority w:val="0"/>
    <w:pPr>
      <w:tabs>
        <w:tab w:val="left" w:pos="425"/>
      </w:tabs>
      <w:spacing w:line="360" w:lineRule="auto"/>
      <w:ind w:left="425" w:hanging="425"/>
    </w:pPr>
    <w:rPr>
      <w:rFonts w:eastAsia="黑体" w:cs="Calibri"/>
      <w:bCs w:val="0"/>
      <w:szCs w:val="20"/>
    </w:rPr>
  </w:style>
  <w:style w:type="paragraph" w:customStyle="1" w:styleId="410">
    <w:name w:val="gczx正文"/>
    <w:basedOn w:val="1"/>
    <w:autoRedefine/>
    <w:qFormat/>
    <w:uiPriority w:val="0"/>
    <w:pPr>
      <w:spacing w:beforeLines="25" w:afterLines="25" w:line="440" w:lineRule="exact"/>
      <w:ind w:firstLine="200" w:firstLineChars="200"/>
    </w:pPr>
    <w:rPr>
      <w:rFonts w:cs="Calibri"/>
      <w:sz w:val="24"/>
      <w:szCs w:val="20"/>
    </w:rPr>
  </w:style>
  <w:style w:type="paragraph" w:customStyle="1" w:styleId="411">
    <w:name w:val="正文首行缩进2字符"/>
    <w:basedOn w:val="1"/>
    <w:autoRedefine/>
    <w:qFormat/>
    <w:uiPriority w:val="0"/>
    <w:pPr>
      <w:widowControl/>
      <w:spacing w:line="276" w:lineRule="auto"/>
      <w:ind w:firstLine="420" w:firstLineChars="200"/>
      <w:jc w:val="left"/>
    </w:pPr>
    <w:rPr>
      <w:rFonts w:ascii="Cambria" w:hAnsi="Cambria" w:cs="Calibri"/>
      <w:kern w:val="0"/>
      <w:szCs w:val="20"/>
    </w:rPr>
  </w:style>
  <w:style w:type="paragraph" w:customStyle="1" w:styleId="412">
    <w:name w:val="Char Char2"/>
    <w:basedOn w:val="1"/>
    <w:autoRedefine/>
    <w:qFormat/>
    <w:uiPriority w:val="0"/>
    <w:rPr>
      <w:rFonts w:ascii="Tahoma" w:hAnsi="Tahoma" w:cs="Calibri"/>
      <w:sz w:val="24"/>
      <w:szCs w:val="20"/>
    </w:rPr>
  </w:style>
  <w:style w:type="paragraph" w:customStyle="1" w:styleId="413">
    <w:name w:val="正文表格"/>
    <w:basedOn w:val="1"/>
    <w:autoRedefine/>
    <w:qFormat/>
    <w:uiPriority w:val="0"/>
    <w:pPr>
      <w:ind w:left="10" w:leftChars="10" w:right="10" w:rightChars="10"/>
    </w:pPr>
    <w:rPr>
      <w:rFonts w:cs="Calibri"/>
      <w:szCs w:val="20"/>
    </w:rPr>
  </w:style>
  <w:style w:type="paragraph" w:customStyle="1" w:styleId="414">
    <w:name w:val="招标文件》"/>
    <w:basedOn w:val="320"/>
    <w:autoRedefine/>
    <w:qFormat/>
    <w:uiPriority w:val="0"/>
    <w:pPr>
      <w:tabs>
        <w:tab w:val="left" w:pos="560"/>
      </w:tabs>
      <w:ind w:left="200" w:firstLine="0" w:firstLineChars="0"/>
    </w:pPr>
  </w:style>
  <w:style w:type="paragraph" w:customStyle="1" w:styleId="415">
    <w:name w:val="a"/>
    <w:basedOn w:val="1"/>
    <w:autoRedefine/>
    <w:qFormat/>
    <w:uiPriority w:val="0"/>
    <w:pPr>
      <w:widowControl/>
      <w:spacing w:before="100" w:beforeAutospacing="1" w:after="100" w:afterAutospacing="1"/>
    </w:pPr>
    <w:rPr>
      <w:rFonts w:ascii="宋体" w:hAnsi="宋体" w:cs="Calibri"/>
      <w:kern w:val="0"/>
      <w:sz w:val="24"/>
      <w:szCs w:val="20"/>
    </w:rPr>
  </w:style>
  <w:style w:type="paragraph" w:customStyle="1" w:styleId="416">
    <w:name w:val="List Bullet1"/>
    <w:basedOn w:val="1"/>
    <w:autoRedefine/>
    <w:qFormat/>
    <w:uiPriority w:val="0"/>
    <w:pPr>
      <w:widowControl/>
      <w:tabs>
        <w:tab w:val="left" w:pos="987"/>
      </w:tabs>
      <w:adjustRightInd w:val="0"/>
      <w:snapToGrid w:val="0"/>
      <w:spacing w:line="360" w:lineRule="auto"/>
      <w:ind w:left="987" w:hanging="420"/>
    </w:pPr>
    <w:rPr>
      <w:rFonts w:cs="Calibri"/>
      <w:kern w:val="0"/>
      <w:sz w:val="24"/>
      <w:szCs w:val="20"/>
    </w:rPr>
  </w:style>
  <w:style w:type="paragraph" w:customStyle="1" w:styleId="417">
    <w:name w:val="样式3"/>
    <w:basedOn w:val="3"/>
    <w:autoRedefine/>
    <w:qFormat/>
    <w:uiPriority w:val="0"/>
    <w:pPr>
      <w:widowControl w:val="0"/>
      <w:tabs>
        <w:tab w:val="left" w:pos="576"/>
      </w:tabs>
      <w:spacing w:before="0" w:after="0" w:line="360" w:lineRule="auto"/>
      <w:ind w:left="576" w:hanging="576"/>
    </w:pPr>
    <w:rPr>
      <w:rFonts w:ascii="宋体" w:hAnsi="宋体" w:cs="Calibri"/>
      <w:b/>
      <w:kern w:val="2"/>
      <w:lang w:val="en-US"/>
    </w:rPr>
  </w:style>
  <w:style w:type="paragraph" w:customStyle="1" w:styleId="418">
    <w:name w:val="文本框样式1"/>
    <w:basedOn w:val="1"/>
    <w:autoRedefine/>
    <w:qFormat/>
    <w:uiPriority w:val="0"/>
    <w:pPr>
      <w:adjustRightInd w:val="0"/>
      <w:snapToGrid w:val="0"/>
      <w:spacing w:before="60" w:line="180" w:lineRule="exact"/>
    </w:pPr>
    <w:rPr>
      <w:rFonts w:cs="Calibri"/>
      <w:szCs w:val="20"/>
    </w:rPr>
  </w:style>
  <w:style w:type="paragraph" w:customStyle="1" w:styleId="419">
    <w:name w:val="目录4"/>
    <w:basedOn w:val="1"/>
    <w:autoRedefine/>
    <w:qFormat/>
    <w:uiPriority w:val="0"/>
    <w:pPr>
      <w:widowControl/>
      <w:tabs>
        <w:tab w:val="left" w:pos="425"/>
      </w:tabs>
      <w:spacing w:line="360" w:lineRule="auto"/>
      <w:ind w:left="179" w:hanging="179"/>
    </w:pPr>
    <w:rPr>
      <w:rFonts w:ascii="宋体" w:hAnsi="宋体" w:cs="Calibri"/>
      <w:b/>
      <w:kern w:val="0"/>
      <w:szCs w:val="20"/>
    </w:rPr>
  </w:style>
  <w:style w:type="paragraph" w:customStyle="1" w:styleId="420">
    <w:name w:val="1正文首行缩进"/>
    <w:basedOn w:val="1"/>
    <w:autoRedefine/>
    <w:qFormat/>
    <w:uiPriority w:val="0"/>
    <w:pPr>
      <w:spacing w:line="460" w:lineRule="atLeast"/>
      <w:ind w:firstLine="200" w:firstLineChars="200"/>
    </w:pPr>
    <w:rPr>
      <w:rFonts w:hint="eastAsia" w:ascii="宋体" w:hAnsi="宋体" w:cs="Calibri"/>
      <w:sz w:val="24"/>
      <w:szCs w:val="20"/>
    </w:rPr>
  </w:style>
  <w:style w:type="paragraph" w:customStyle="1" w:styleId="421">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cs="Calibri"/>
      <w:kern w:val="0"/>
      <w:sz w:val="20"/>
      <w:szCs w:val="20"/>
    </w:rPr>
  </w:style>
  <w:style w:type="paragraph" w:customStyle="1" w:styleId="422">
    <w:name w:val="样式 首行缩进:  2 字符"/>
    <w:basedOn w:val="1"/>
    <w:autoRedefine/>
    <w:qFormat/>
    <w:uiPriority w:val="0"/>
    <w:pPr>
      <w:spacing w:line="480" w:lineRule="exact"/>
      <w:ind w:firstLine="560" w:firstLineChars="200"/>
    </w:pPr>
    <w:rPr>
      <w:rFonts w:eastAsia="仿宋_GB2312" w:cs="Calibri"/>
      <w:sz w:val="28"/>
      <w:szCs w:val="20"/>
    </w:rPr>
  </w:style>
  <w:style w:type="paragraph" w:customStyle="1" w:styleId="423">
    <w:name w:val="默认段落字体 Para Char"/>
    <w:basedOn w:val="273"/>
    <w:next w:val="273"/>
    <w:autoRedefine/>
    <w:qFormat/>
    <w:uiPriority w:val="0"/>
    <w:pPr>
      <w:adjustRightInd w:val="0"/>
      <w:snapToGrid w:val="0"/>
      <w:spacing w:beforeLines="50" w:afterLines="100" w:line="360" w:lineRule="auto"/>
      <w:ind w:left="0" w:leftChars="0" w:firstLine="200"/>
    </w:pPr>
    <w:rPr>
      <w:rFonts w:ascii="Tahoma" w:hAnsi="Tahoma"/>
    </w:rPr>
  </w:style>
  <w:style w:type="paragraph" w:customStyle="1" w:styleId="424">
    <w:name w:val="样式 标题 2 + 宋体 五号 行距: 单倍行距"/>
    <w:basedOn w:val="3"/>
    <w:autoRedefine/>
    <w:qFormat/>
    <w:uiPriority w:val="0"/>
    <w:pPr>
      <w:widowControl w:val="0"/>
      <w:adjustRightInd w:val="0"/>
      <w:spacing w:line="240" w:lineRule="auto"/>
      <w:ind w:left="360"/>
      <w:textAlignment w:val="baseline"/>
    </w:pPr>
    <w:rPr>
      <w:rFonts w:ascii="宋体" w:hAnsi="宋体" w:cs="Calibri"/>
      <w:b/>
      <w:sz w:val="21"/>
      <w:lang w:val="en-US"/>
    </w:rPr>
  </w:style>
  <w:style w:type="paragraph" w:customStyle="1" w:styleId="425">
    <w:name w:val="标题6"/>
    <w:basedOn w:val="1"/>
    <w:autoRedefine/>
    <w:qFormat/>
    <w:uiPriority w:val="0"/>
    <w:pPr>
      <w:spacing w:before="240" w:after="240" w:line="360" w:lineRule="auto"/>
      <w:jc w:val="center"/>
      <w:outlineLvl w:val="0"/>
    </w:pPr>
    <w:rPr>
      <w:rFonts w:ascii="宋体" w:cs="Calibri"/>
      <w:sz w:val="32"/>
      <w:szCs w:val="20"/>
    </w:rPr>
  </w:style>
  <w:style w:type="paragraph" w:customStyle="1" w:styleId="426">
    <w:name w:val="招标文件1.1.1.1"/>
    <w:basedOn w:val="1"/>
    <w:autoRedefine/>
    <w:qFormat/>
    <w:uiPriority w:val="0"/>
    <w:pPr>
      <w:spacing w:before="120" w:after="120" w:line="480" w:lineRule="exact"/>
      <w:ind w:left="200"/>
      <w:outlineLvl w:val="4"/>
    </w:pPr>
    <w:rPr>
      <w:rFonts w:ascii="宋体" w:cs="Calibri"/>
      <w:b/>
      <w:spacing w:val="10"/>
      <w:w w:val="95"/>
      <w:szCs w:val="20"/>
    </w:rPr>
  </w:style>
  <w:style w:type="paragraph" w:customStyle="1" w:styleId="427">
    <w:name w:val="Table Text"/>
    <w:basedOn w:val="1"/>
    <w:autoRedefine/>
    <w:qFormat/>
    <w:uiPriority w:val="0"/>
    <w:pPr>
      <w:widowControl/>
      <w:spacing w:before="60" w:after="60" w:line="360" w:lineRule="auto"/>
      <w:ind w:left="181" w:leftChars="86" w:firstLine="210" w:firstLineChars="100"/>
    </w:pPr>
    <w:rPr>
      <w:rFonts w:ascii="宋体" w:hAnsi="宋体" w:cs="Calibri"/>
      <w:kern w:val="0"/>
      <w:szCs w:val="20"/>
    </w:rPr>
  </w:style>
  <w:style w:type="paragraph" w:customStyle="1" w:styleId="428">
    <w:name w:val="图中文字"/>
    <w:basedOn w:val="1"/>
    <w:autoRedefine/>
    <w:qFormat/>
    <w:uiPriority w:val="0"/>
    <w:pPr>
      <w:adjustRightInd w:val="0"/>
      <w:snapToGrid w:val="0"/>
      <w:spacing w:line="0" w:lineRule="atLeast"/>
    </w:pPr>
    <w:rPr>
      <w:rFonts w:cs="Calibri"/>
      <w:szCs w:val="20"/>
    </w:rPr>
  </w:style>
  <w:style w:type="paragraph" w:customStyle="1" w:styleId="429">
    <w:name w:val="Char31"/>
    <w:basedOn w:val="1"/>
    <w:autoRedefine/>
    <w:qFormat/>
    <w:uiPriority w:val="0"/>
    <w:rPr>
      <w:rFonts w:ascii="Tahoma" w:hAnsi="Tahoma" w:cs="Calibri"/>
      <w:sz w:val="24"/>
      <w:szCs w:val="20"/>
    </w:rPr>
  </w:style>
  <w:style w:type="paragraph" w:customStyle="1" w:styleId="430">
    <w:name w:val="Char Char1 Char Char Char Char1 Char Char Char Char Char Char Char Char Char Char Char Char"/>
    <w:basedOn w:val="1"/>
    <w:autoRedefine/>
    <w:qFormat/>
    <w:uiPriority w:val="0"/>
    <w:rPr>
      <w:rFonts w:ascii="Tahoma" w:hAnsi="Tahoma" w:cs="Calibri"/>
      <w:sz w:val="24"/>
      <w:szCs w:val="20"/>
    </w:rPr>
  </w:style>
  <w:style w:type="paragraph" w:customStyle="1" w:styleId="431">
    <w:name w:val="正文文字（缩进2字）"/>
    <w:basedOn w:val="303"/>
    <w:autoRedefine/>
    <w:qFormat/>
    <w:uiPriority w:val="0"/>
    <w:pPr>
      <w:spacing w:beforeLines="50" w:afterLines="50" w:line="240" w:lineRule="auto"/>
      <w:ind w:firstLine="200" w:firstLineChars="200"/>
    </w:pPr>
    <w:rPr>
      <w:rFonts w:ascii="Times New Roman" w:eastAsia="宋体"/>
      <w:color w:val="auto"/>
    </w:rPr>
  </w:style>
  <w:style w:type="paragraph" w:customStyle="1" w:styleId="432">
    <w:name w:val="Char3"/>
    <w:basedOn w:val="1"/>
    <w:autoRedefine/>
    <w:qFormat/>
    <w:uiPriority w:val="0"/>
    <w:rPr>
      <w:rFonts w:cs="Calibri"/>
      <w:szCs w:val="20"/>
    </w:rPr>
  </w:style>
  <w:style w:type="paragraph" w:customStyle="1" w:styleId="433">
    <w:name w:val="Char1 Char Char Char Char Char Char1"/>
    <w:basedOn w:val="1"/>
    <w:autoRedefine/>
    <w:qFormat/>
    <w:uiPriority w:val="0"/>
    <w:rPr>
      <w:rFonts w:ascii="Tahoma" w:hAnsi="Tahoma" w:cs="Calibri"/>
      <w:sz w:val="24"/>
      <w:szCs w:val="20"/>
    </w:rPr>
  </w:style>
  <w:style w:type="paragraph" w:customStyle="1" w:styleId="434">
    <w:name w:val="普通正文"/>
    <w:basedOn w:val="1"/>
    <w:autoRedefine/>
    <w:qFormat/>
    <w:uiPriority w:val="0"/>
    <w:pPr>
      <w:adjustRightInd w:val="0"/>
      <w:spacing w:before="120" w:after="120" w:line="360" w:lineRule="auto"/>
      <w:ind w:firstLine="480"/>
      <w:jc w:val="left"/>
      <w:textAlignment w:val="baseline"/>
    </w:pPr>
    <w:rPr>
      <w:rFonts w:ascii="Arial" w:hAnsi="Arial" w:cs="Calibri"/>
      <w:kern w:val="0"/>
      <w:sz w:val="24"/>
      <w:szCs w:val="20"/>
    </w:rPr>
  </w:style>
  <w:style w:type="paragraph" w:customStyle="1" w:styleId="435">
    <w:name w:val="Char Char Char Char Char Char1 Char Char Char Char Char Char Char Char Char Char Char Char Char Char"/>
    <w:basedOn w:val="1"/>
    <w:autoRedefine/>
    <w:qFormat/>
    <w:uiPriority w:val="0"/>
    <w:pPr>
      <w:widowControl/>
      <w:spacing w:after="160" w:line="240" w:lineRule="exact"/>
    </w:pPr>
    <w:rPr>
      <w:rFonts w:ascii="Verdana" w:hAnsi="Verdana" w:eastAsia="仿宋_GB2312" w:cs="Calibri"/>
      <w:kern w:val="0"/>
      <w:sz w:val="24"/>
      <w:szCs w:val="20"/>
      <w:lang w:eastAsia="en-US"/>
    </w:rPr>
  </w:style>
  <w:style w:type="character" w:customStyle="1" w:styleId="436">
    <w:name w:val="页脚 字符"/>
    <w:autoRedefine/>
    <w:qFormat/>
    <w:uiPriority w:val="99"/>
  </w:style>
  <w:style w:type="character" w:customStyle="1" w:styleId="437">
    <w:name w:val="批注文字 Char3"/>
    <w:autoRedefine/>
    <w:semiHidden/>
    <w:qFormat/>
    <w:uiPriority w:val="99"/>
    <w:rPr>
      <w:kern w:val="2"/>
      <w:sz w:val="21"/>
    </w:rPr>
  </w:style>
  <w:style w:type="character" w:customStyle="1" w:styleId="438">
    <w:name w:val="页脚 Char2"/>
    <w:autoRedefine/>
    <w:semiHidden/>
    <w:qFormat/>
    <w:uiPriority w:val="99"/>
    <w:rPr>
      <w:kern w:val="2"/>
      <w:sz w:val="18"/>
      <w:szCs w:val="18"/>
    </w:rPr>
  </w:style>
  <w:style w:type="character" w:customStyle="1" w:styleId="439">
    <w:name w:val="页眉 Char2"/>
    <w:autoRedefine/>
    <w:semiHidden/>
    <w:qFormat/>
    <w:uiPriority w:val="99"/>
    <w:rPr>
      <w:kern w:val="2"/>
      <w:sz w:val="18"/>
      <w:szCs w:val="18"/>
    </w:rPr>
  </w:style>
  <w:style w:type="paragraph" w:customStyle="1" w:styleId="440">
    <w:name w:val="纯文本3"/>
    <w:basedOn w:val="1"/>
    <w:autoRedefine/>
    <w:qFormat/>
    <w:uiPriority w:val="0"/>
    <w:rPr>
      <w:rFonts w:ascii="宋体" w:hAnsi="Courier New"/>
      <w:szCs w:val="20"/>
    </w:rPr>
  </w:style>
  <w:style w:type="character" w:customStyle="1" w:styleId="441">
    <w:name w:val="页码2"/>
    <w:autoRedefine/>
    <w:qFormat/>
    <w:uiPriority w:val="0"/>
  </w:style>
  <w:style w:type="paragraph" w:customStyle="1" w:styleId="442">
    <w:name w:val="页脚3"/>
    <w:basedOn w:val="1"/>
    <w:autoRedefine/>
    <w:qFormat/>
    <w:uiPriority w:val="0"/>
    <w:pPr>
      <w:tabs>
        <w:tab w:val="center" w:pos="4153"/>
        <w:tab w:val="right" w:pos="8306"/>
      </w:tabs>
      <w:snapToGrid w:val="0"/>
      <w:jc w:val="left"/>
    </w:pPr>
    <w:rPr>
      <w:sz w:val="18"/>
      <w:szCs w:val="20"/>
    </w:rPr>
  </w:style>
  <w:style w:type="character" w:customStyle="1" w:styleId="443">
    <w:name w:val="批注引用2"/>
    <w:autoRedefine/>
    <w:qFormat/>
    <w:uiPriority w:val="0"/>
    <w:rPr>
      <w:sz w:val="21"/>
    </w:rPr>
  </w:style>
  <w:style w:type="paragraph" w:customStyle="1" w:styleId="444">
    <w:name w:val="批注框文本3"/>
    <w:basedOn w:val="1"/>
    <w:autoRedefine/>
    <w:qFormat/>
    <w:uiPriority w:val="0"/>
    <w:rPr>
      <w:sz w:val="18"/>
      <w:szCs w:val="20"/>
    </w:rPr>
  </w:style>
  <w:style w:type="paragraph" w:customStyle="1" w:styleId="445">
    <w:name w:val="批注主题3"/>
    <w:basedOn w:val="446"/>
    <w:next w:val="446"/>
    <w:autoRedefine/>
    <w:qFormat/>
    <w:uiPriority w:val="0"/>
    <w:rPr>
      <w:b/>
    </w:rPr>
  </w:style>
  <w:style w:type="paragraph" w:customStyle="1" w:styleId="446">
    <w:name w:val="批注文字3"/>
    <w:basedOn w:val="1"/>
    <w:autoRedefine/>
    <w:qFormat/>
    <w:uiPriority w:val="0"/>
    <w:pPr>
      <w:jc w:val="left"/>
    </w:pPr>
    <w:rPr>
      <w:szCs w:val="20"/>
    </w:rPr>
  </w:style>
  <w:style w:type="paragraph" w:customStyle="1" w:styleId="447">
    <w:name w:val="页眉3"/>
    <w:basedOn w:val="1"/>
    <w:autoRedefine/>
    <w:qFormat/>
    <w:uiPriority w:val="0"/>
    <w:pPr>
      <w:pBdr>
        <w:bottom w:val="single" w:color="auto" w:sz="6" w:space="1"/>
      </w:pBdr>
      <w:tabs>
        <w:tab w:val="center" w:pos="4153"/>
        <w:tab w:val="right" w:pos="8306"/>
      </w:tabs>
      <w:snapToGrid w:val="0"/>
      <w:jc w:val="center"/>
    </w:pPr>
    <w:rPr>
      <w:sz w:val="18"/>
      <w:szCs w:val="20"/>
    </w:rPr>
  </w:style>
  <w:style w:type="character" w:customStyle="1" w:styleId="448">
    <w:name w:val="批注文字 Char2"/>
    <w:autoRedefine/>
    <w:semiHidden/>
    <w:qFormat/>
    <w:uiPriority w:val="99"/>
    <w:rPr>
      <w:kern w:val="2"/>
      <w:sz w:val="21"/>
    </w:rPr>
  </w:style>
  <w:style w:type="paragraph" w:customStyle="1" w:styleId="449">
    <w:name w:val="正文文本缩进2"/>
    <w:basedOn w:val="1"/>
    <w:autoRedefine/>
    <w:qFormat/>
    <w:uiPriority w:val="0"/>
    <w:pPr>
      <w:spacing w:after="120"/>
      <w:ind w:left="420" w:leftChars="200"/>
    </w:pPr>
    <w:rPr>
      <w:kern w:val="0"/>
      <w:sz w:val="24"/>
      <w:szCs w:val="20"/>
    </w:rPr>
  </w:style>
  <w:style w:type="paragraph" w:customStyle="1" w:styleId="450">
    <w:name w:val="正文缩进3"/>
    <w:basedOn w:val="1"/>
    <w:autoRedefine/>
    <w:qFormat/>
    <w:uiPriority w:val="0"/>
    <w:pPr>
      <w:ind w:firstLine="420"/>
    </w:pPr>
    <w:rPr>
      <w:rFonts w:cs="Calibri"/>
      <w:szCs w:val="20"/>
    </w:rPr>
  </w:style>
  <w:style w:type="paragraph" w:customStyle="1" w:styleId="451">
    <w:name w:val="修订9"/>
    <w:autoRedefine/>
    <w:qFormat/>
    <w:uiPriority w:val="0"/>
    <w:rPr>
      <w:rFonts w:ascii="Calibri" w:hAnsi="Calibri" w:eastAsia="宋体" w:cs="Calibri"/>
      <w:kern w:val="2"/>
      <w:sz w:val="21"/>
      <w:lang w:val="en-US" w:eastAsia="zh-CN" w:bidi="ar-SA"/>
    </w:rPr>
  </w:style>
  <w:style w:type="paragraph" w:customStyle="1" w:styleId="452">
    <w:name w:val="列出段落5"/>
    <w:basedOn w:val="1"/>
    <w:autoRedefine/>
    <w:qFormat/>
    <w:uiPriority w:val="0"/>
    <w:pPr>
      <w:ind w:firstLine="420" w:firstLineChars="200"/>
    </w:pPr>
    <w:rPr>
      <w:rFonts w:cs="Calibri"/>
      <w:szCs w:val="20"/>
    </w:rPr>
  </w:style>
  <w:style w:type="paragraph" w:customStyle="1" w:styleId="453">
    <w:name w:val="标题7"/>
    <w:basedOn w:val="1"/>
    <w:autoRedefine/>
    <w:qFormat/>
    <w:uiPriority w:val="0"/>
    <w:pPr>
      <w:spacing w:before="240" w:after="240" w:line="360" w:lineRule="auto"/>
      <w:jc w:val="center"/>
      <w:outlineLvl w:val="0"/>
    </w:pPr>
    <w:rPr>
      <w:rFonts w:ascii="宋体" w:cs="Calibri"/>
      <w:sz w:val="32"/>
      <w:szCs w:val="20"/>
    </w:rPr>
  </w:style>
  <w:style w:type="table" w:customStyle="1" w:styleId="454">
    <w:name w:val="Table Normal"/>
    <w:autoRedefine/>
    <w:unhideWhenUsed/>
    <w:qFormat/>
    <w:uiPriority w:val="2"/>
    <w:pPr>
      <w:widowControl w:val="0"/>
      <w:autoSpaceDE w:val="0"/>
      <w:autoSpaceDN w:val="0"/>
    </w:pPr>
    <w:rPr>
      <w:rFonts w:ascii="Calibri" w:hAnsi="Calibri"/>
      <w:sz w:val="22"/>
      <w:lang w:eastAsia="en-US"/>
    </w:rPr>
    <w:tblPr>
      <w:tblCellMar>
        <w:top w:w="0" w:type="dxa"/>
        <w:left w:w="0" w:type="dxa"/>
        <w:bottom w:w="0" w:type="dxa"/>
        <w:right w:w="0" w:type="dxa"/>
      </w:tblCellMar>
    </w:tblPr>
  </w:style>
  <w:style w:type="paragraph" w:customStyle="1" w:styleId="455">
    <w:name w:val="修订10"/>
    <w:autoRedefine/>
    <w:unhideWhenUsed/>
    <w:qFormat/>
    <w:uiPriority w:val="99"/>
    <w:rPr>
      <w:rFonts w:ascii="Calibri" w:hAnsi="Calibri" w:eastAsia="宋体" w:cs="Times New Roman"/>
      <w:kern w:val="2"/>
      <w:sz w:val="21"/>
      <w:szCs w:val="22"/>
      <w:lang w:val="en-US" w:eastAsia="zh-CN" w:bidi="ar-SA"/>
    </w:rPr>
  </w:style>
  <w:style w:type="paragraph" w:styleId="456">
    <w:name w:val="List Paragraph"/>
    <w:basedOn w:val="1"/>
    <w:autoRedefine/>
    <w:qFormat/>
    <w:uiPriority w:val="34"/>
    <w:pPr>
      <w:ind w:firstLine="420" w:firstLineChars="200"/>
    </w:pPr>
  </w:style>
  <w:style w:type="paragraph" w:customStyle="1" w:styleId="457">
    <w:name w:val="_Style 2"/>
    <w:basedOn w:val="1"/>
    <w:autoRedefine/>
    <w:qFormat/>
    <w:uiPriority w:val="34"/>
    <w:pPr>
      <w:ind w:firstLine="420" w:firstLineChars="200"/>
    </w:pPr>
  </w:style>
  <w:style w:type="paragraph" w:customStyle="1" w:styleId="458">
    <w:name w:val="标题 5（有编号）（绿盟科技）"/>
    <w:basedOn w:val="1"/>
    <w:next w:val="459"/>
    <w:autoRedefine/>
    <w:qFormat/>
    <w:uiPriority w:val="0"/>
    <w:pPr>
      <w:keepNext/>
      <w:keepLines/>
      <w:numPr>
        <w:ilvl w:val="4"/>
        <w:numId w:val="4"/>
      </w:numPr>
      <w:tabs>
        <w:tab w:val="left" w:pos="0"/>
      </w:tabs>
      <w:spacing w:before="280" w:after="156" w:line="377" w:lineRule="auto"/>
      <w:outlineLvl w:val="4"/>
    </w:pPr>
    <w:rPr>
      <w:rFonts w:ascii="Arial" w:hAnsi="Arial" w:eastAsia="黑体"/>
      <w:b/>
      <w:sz w:val="24"/>
      <w:szCs w:val="28"/>
    </w:rPr>
  </w:style>
  <w:style w:type="paragraph" w:customStyle="1" w:styleId="45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60">
    <w:name w:val="Revision"/>
    <w:autoRedefine/>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113</Pages>
  <Words>46268</Words>
  <Characters>49094</Characters>
  <Lines>421</Lines>
  <Paragraphs>118</Paragraphs>
  <TotalTime>1</TotalTime>
  <ScaleCrop>false</ScaleCrop>
  <LinksUpToDate>false</LinksUpToDate>
  <CharactersWithSpaces>50479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2022-08-04T19:42:00Z</dcterms:created>
  <dc:creator>张超</dc:creator>
  <cp:lastModifiedBy>微信用户</cp:lastModifiedBy>
  <dcterms:modified xsi:type="dcterms:W3CDTF">2024-08-07T09:11:06Z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463287FEEEEC779E412642642CCBA740</vt:lpwstr>
  </property>
</Properties>
</file>