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88EFC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eastAsia="宋体"/>
          <w:b/>
          <w:bCs/>
          <w:color w:val="auto"/>
          <w:sz w:val="28"/>
          <w:szCs w:val="28"/>
        </w:rPr>
      </w:pPr>
      <w:bookmarkStart w:id="0" w:name="_Toc35393813"/>
      <w:r>
        <w:rPr>
          <w:rFonts w:hint="eastAsia" w:ascii="Times New Roman" w:hAnsi="Times New Roman" w:eastAsia="宋体"/>
          <w:b/>
          <w:bCs/>
          <w:color w:val="auto"/>
          <w:sz w:val="28"/>
          <w:szCs w:val="28"/>
          <w:lang w:eastAsia="zh-CN"/>
        </w:rPr>
        <w:t>2024服贸会京津冀展区项目</w:t>
      </w:r>
      <w:r>
        <w:rPr>
          <w:rFonts w:hint="eastAsia" w:ascii="Times New Roman" w:hAnsi="Times New Roman" w:eastAsia="宋体"/>
          <w:b/>
          <w:bCs/>
          <w:color w:val="auto"/>
          <w:sz w:val="28"/>
          <w:szCs w:val="28"/>
        </w:rPr>
        <w:t>中标结果</w:t>
      </w:r>
      <w:r>
        <w:rPr>
          <w:rFonts w:ascii="Times New Roman" w:hAnsi="Times New Roman" w:eastAsia="宋体"/>
          <w:b/>
          <w:bCs/>
          <w:color w:val="auto"/>
          <w:sz w:val="28"/>
          <w:szCs w:val="28"/>
        </w:rPr>
        <w:t>更正公告</w:t>
      </w:r>
      <w:bookmarkEnd w:id="0"/>
    </w:p>
    <w:p w14:paraId="0E87E97F">
      <w:pPr>
        <w:spacing w:line="360" w:lineRule="auto"/>
        <w:rPr>
          <w:rFonts w:ascii="Times New Roman" w:hAnsi="Times New Roman" w:eastAsia="宋体"/>
          <w:b/>
          <w:color w:val="auto"/>
          <w:sz w:val="24"/>
          <w:szCs w:val="24"/>
        </w:rPr>
      </w:pPr>
      <w:bookmarkStart w:id="1" w:name="_Toc28359104"/>
      <w:bookmarkStart w:id="2" w:name="_Toc28359027"/>
      <w:bookmarkStart w:id="3" w:name="_Toc35393814"/>
      <w:bookmarkStart w:id="4" w:name="_Toc35393645"/>
      <w:r>
        <w:rPr>
          <w:rFonts w:ascii="Times New Roman" w:hAnsi="Times New Roman" w:eastAsia="宋体"/>
          <w:b/>
          <w:color w:val="auto"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 w14:paraId="1C7ECB8C">
      <w:pPr>
        <w:spacing w:line="360" w:lineRule="auto"/>
        <w:ind w:firstLine="480" w:firstLineChars="200"/>
        <w:rPr>
          <w:rFonts w:hint="eastAsia" w:ascii="Times New Roman" w:hAnsi="Times New Roman" w:eastAsia="宋体"/>
          <w:color w:val="auto"/>
          <w:sz w:val="24"/>
          <w:szCs w:val="24"/>
          <w:lang w:eastAsia="zh-CN"/>
        </w:rPr>
      </w:pPr>
      <w:r>
        <w:rPr>
          <w:rFonts w:ascii="Times New Roman" w:hAnsi="Times New Roman" w:eastAsia="宋体"/>
          <w:color w:val="auto"/>
          <w:sz w:val="24"/>
          <w:szCs w:val="24"/>
        </w:rPr>
        <w:t>原公告的采购项目编号：</w:t>
      </w:r>
      <w:r>
        <w:rPr>
          <w:rFonts w:hint="eastAsia" w:ascii="Times New Roman" w:hAnsi="Times New Roman" w:eastAsia="宋体"/>
          <w:color w:val="auto"/>
          <w:sz w:val="24"/>
          <w:szCs w:val="24"/>
          <w:lang w:eastAsia="zh-CN"/>
        </w:rPr>
        <w:t>BJJQ-2024-866</w:t>
      </w:r>
    </w:p>
    <w:p w14:paraId="56197712">
      <w:pPr>
        <w:spacing w:line="360" w:lineRule="auto"/>
        <w:ind w:firstLine="480" w:firstLineChars="200"/>
        <w:rPr>
          <w:rFonts w:hint="eastAsia" w:ascii="Times New Roman" w:hAnsi="Times New Roman" w:eastAsia="宋体"/>
          <w:color w:val="auto"/>
          <w:sz w:val="24"/>
          <w:szCs w:val="24"/>
          <w:lang w:eastAsia="zh-CN"/>
        </w:rPr>
      </w:pPr>
      <w:r>
        <w:rPr>
          <w:rFonts w:ascii="Times New Roman" w:hAnsi="Times New Roman" w:eastAsia="宋体"/>
          <w:color w:val="auto"/>
          <w:sz w:val="24"/>
          <w:szCs w:val="24"/>
        </w:rPr>
        <w:t>原公告的采购项目名称：</w:t>
      </w:r>
      <w:r>
        <w:rPr>
          <w:rFonts w:hint="eastAsia" w:ascii="Times New Roman" w:hAnsi="Times New Roman" w:eastAsia="宋体"/>
          <w:color w:val="auto"/>
          <w:sz w:val="24"/>
          <w:szCs w:val="24"/>
          <w:lang w:eastAsia="zh-CN"/>
        </w:rPr>
        <w:t>2024服贸会京津冀展区项目</w:t>
      </w:r>
    </w:p>
    <w:p w14:paraId="52D57ABC">
      <w:pPr>
        <w:spacing w:line="360" w:lineRule="auto"/>
        <w:ind w:firstLine="480" w:firstLineChars="200"/>
        <w:rPr>
          <w:rFonts w:hint="eastAsia" w:ascii="Times New Roman" w:hAnsi="Times New Roman" w:eastAsia="宋体"/>
          <w:color w:val="auto"/>
          <w:sz w:val="24"/>
          <w:szCs w:val="24"/>
          <w:lang w:eastAsia="zh-CN"/>
        </w:rPr>
      </w:pPr>
      <w:r>
        <w:rPr>
          <w:rFonts w:ascii="Times New Roman" w:hAnsi="Times New Roman" w:eastAsia="宋体"/>
          <w:color w:val="auto"/>
          <w:sz w:val="24"/>
          <w:szCs w:val="24"/>
        </w:rPr>
        <w:t>首次公告日期：</w:t>
      </w:r>
      <w:r>
        <w:rPr>
          <w:rFonts w:hint="eastAsia" w:ascii="Times New Roman" w:hAnsi="Times New Roman" w:eastAsia="宋体"/>
          <w:color w:val="auto"/>
          <w:sz w:val="24"/>
          <w:szCs w:val="24"/>
          <w:lang w:eastAsia="zh-CN"/>
        </w:rPr>
        <w:t>202</w:t>
      </w:r>
      <w:r>
        <w:rPr>
          <w:rFonts w:hint="eastAsia" w:ascii="Times New Roman" w:hAnsi="Times New Roman" w:eastAsia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宋体"/>
          <w:color w:val="auto"/>
          <w:sz w:val="24"/>
          <w:szCs w:val="24"/>
          <w:lang w:eastAsia="zh-CN"/>
        </w:rPr>
        <w:t>年0</w:t>
      </w:r>
      <w:r>
        <w:rPr>
          <w:rFonts w:hint="eastAsia" w:ascii="Times New Roman" w:hAnsi="Times New Roman" w:eastAsia="宋体"/>
          <w:color w:val="auto"/>
          <w:sz w:val="24"/>
          <w:szCs w:val="24"/>
          <w:lang w:val="en-US" w:eastAsia="zh-CN"/>
        </w:rPr>
        <w:t>9</w:t>
      </w:r>
      <w:r>
        <w:rPr>
          <w:rFonts w:hint="eastAsia" w:ascii="Times New Roman" w:hAnsi="Times New Roman" w:eastAsia="宋体"/>
          <w:color w:val="auto"/>
          <w:sz w:val="24"/>
          <w:szCs w:val="24"/>
          <w:lang w:eastAsia="zh-CN"/>
        </w:rPr>
        <w:t>月</w:t>
      </w:r>
      <w:r>
        <w:rPr>
          <w:rFonts w:hint="eastAsia" w:ascii="Times New Roman" w:hAnsi="Times New Roman" w:eastAsia="宋体"/>
          <w:color w:val="auto"/>
          <w:sz w:val="24"/>
          <w:szCs w:val="24"/>
          <w:lang w:val="en-US" w:eastAsia="zh-CN"/>
        </w:rPr>
        <w:t>03</w:t>
      </w:r>
      <w:r>
        <w:rPr>
          <w:rFonts w:hint="eastAsia" w:ascii="Times New Roman" w:hAnsi="Times New Roman" w:eastAsia="宋体"/>
          <w:color w:val="auto"/>
          <w:sz w:val="24"/>
          <w:szCs w:val="24"/>
          <w:lang w:eastAsia="zh-CN"/>
        </w:rPr>
        <w:t>日</w:t>
      </w:r>
    </w:p>
    <w:p w14:paraId="46435F7F">
      <w:pPr>
        <w:spacing w:line="360" w:lineRule="auto"/>
        <w:rPr>
          <w:rFonts w:ascii="Times New Roman" w:hAnsi="Times New Roman" w:eastAsia="宋体"/>
          <w:b/>
          <w:color w:val="auto"/>
          <w:sz w:val="24"/>
          <w:szCs w:val="24"/>
        </w:rPr>
      </w:pPr>
      <w:bookmarkStart w:id="5" w:name="_Toc28359105"/>
      <w:bookmarkStart w:id="6" w:name="_Toc35393646"/>
      <w:bookmarkStart w:id="7" w:name="_Toc35393815"/>
      <w:bookmarkStart w:id="8" w:name="_Toc28359028"/>
      <w:r>
        <w:rPr>
          <w:rFonts w:ascii="Times New Roman" w:hAnsi="Times New Roman" w:eastAsia="宋体"/>
          <w:b/>
          <w:color w:val="auto"/>
          <w:sz w:val="24"/>
          <w:szCs w:val="24"/>
        </w:rPr>
        <w:t>二、更正信息</w:t>
      </w:r>
      <w:bookmarkEnd w:id="5"/>
      <w:bookmarkEnd w:id="6"/>
      <w:bookmarkEnd w:id="7"/>
      <w:bookmarkEnd w:id="8"/>
    </w:p>
    <w:p w14:paraId="791875A5">
      <w:pPr>
        <w:spacing w:line="360" w:lineRule="auto"/>
        <w:ind w:firstLine="482" w:firstLineChars="200"/>
        <w:rPr>
          <w:rFonts w:ascii="Times New Roman" w:hAnsi="Times New Roman" w:eastAsia="宋体"/>
          <w:color w:val="auto"/>
          <w:sz w:val="24"/>
          <w:szCs w:val="24"/>
        </w:rPr>
      </w:pPr>
      <w:r>
        <w:rPr>
          <w:rFonts w:ascii="Times New Roman" w:hAnsi="Times New Roman" w:eastAsia="宋体"/>
          <w:b/>
          <w:bCs/>
          <w:color w:val="auto"/>
          <w:sz w:val="24"/>
          <w:szCs w:val="24"/>
        </w:rPr>
        <w:t>更正事项：</w:t>
      </w:r>
      <w:r>
        <w:rPr>
          <w:rFonts w:hint="eastAsia" w:ascii="Times New Roman" w:hAnsi="Times New Roman" w:eastAsia="宋体"/>
          <w:b/>
          <w:bCs/>
          <w:color w:val="auto"/>
          <w:sz w:val="24"/>
          <w:szCs w:val="24"/>
        </w:rPr>
        <w:t>中标</w:t>
      </w:r>
      <w:r>
        <w:rPr>
          <w:rFonts w:ascii="Times New Roman" w:hAnsi="Times New Roman" w:eastAsia="宋体"/>
          <w:b/>
          <w:bCs/>
          <w:color w:val="auto"/>
          <w:sz w:val="24"/>
          <w:szCs w:val="24"/>
        </w:rPr>
        <w:t>公告</w:t>
      </w:r>
    </w:p>
    <w:p w14:paraId="765E2050">
      <w:pPr>
        <w:spacing w:line="360" w:lineRule="auto"/>
        <w:ind w:firstLine="480" w:firstLineChars="200"/>
        <w:rPr>
          <w:b/>
          <w:bCs/>
          <w:sz w:val="24"/>
          <w:szCs w:val="24"/>
        </w:rPr>
      </w:pPr>
      <w:bookmarkStart w:id="9" w:name="_Toc35393647"/>
      <w:bookmarkStart w:id="10" w:name="_Toc35393816"/>
      <w:bookmarkStart w:id="15" w:name="_GoBack"/>
      <w:bookmarkEnd w:id="15"/>
      <w:r>
        <w:rPr>
          <w:b/>
          <w:bCs/>
          <w:sz w:val="24"/>
          <w:szCs w:val="24"/>
        </w:rPr>
        <w:t>更正内容：</w:t>
      </w:r>
    </w:p>
    <w:p w14:paraId="0CDE841D"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szCs w:val="24"/>
          <w:lang w:eastAsia="zh-CN"/>
        </w:rPr>
      </w:pPr>
      <w:r>
        <w:rPr>
          <w:rFonts w:ascii="Times New Roman" w:hAnsi="Times New Roman" w:eastAsia="宋体"/>
          <w:sz w:val="24"/>
          <w:szCs w:val="24"/>
        </w:rPr>
        <w:t>供应商名称：</w:t>
      </w:r>
      <w:r>
        <w:rPr>
          <w:rFonts w:hint="eastAsia" w:ascii="Times New Roman" w:hAnsi="Times New Roman" w:eastAsia="宋体"/>
          <w:sz w:val="24"/>
          <w:szCs w:val="24"/>
        </w:rPr>
        <w:t>北京唯美创意国际展览服务有限公司/北京市协同发展服务促进会（联合体）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（91110105681207735Q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/51110000MJ010006XQ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）</w:t>
      </w:r>
    </w:p>
    <w:p w14:paraId="23A35CCF"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  <w:r>
        <w:rPr>
          <w:rFonts w:ascii="Times New Roman" w:hAnsi="Times New Roman" w:eastAsia="宋体"/>
          <w:sz w:val="24"/>
          <w:szCs w:val="24"/>
        </w:rPr>
        <w:t>供应商地址：</w:t>
      </w:r>
      <w:r>
        <w:rPr>
          <w:rFonts w:hint="eastAsia" w:ascii="Times New Roman" w:hAnsi="Times New Roman" w:eastAsia="宋体"/>
          <w:sz w:val="24"/>
          <w:szCs w:val="24"/>
        </w:rPr>
        <w:t>北京市朝阳区左家庄路16号三层3019号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/北京市西城区新兴东巷15号10号楼四层410单元</w:t>
      </w:r>
    </w:p>
    <w:p w14:paraId="31DAED5A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中标金额：</w:t>
      </w:r>
    </w:p>
    <w:p w14:paraId="7EA916CE">
      <w:pPr>
        <w:spacing w:line="360" w:lineRule="auto"/>
        <w:ind w:firstLine="897" w:firstLineChars="374"/>
        <w:rPr>
          <w:rFonts w:hint="default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大写：壹佰柒拾肆万零伍佰柒拾玖元整</w:t>
      </w:r>
    </w:p>
    <w:p w14:paraId="7DDD7344">
      <w:pPr>
        <w:spacing w:line="360" w:lineRule="auto"/>
        <w:ind w:firstLine="897" w:firstLineChars="374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小写：</w:t>
      </w:r>
      <w:r>
        <w:rPr>
          <w:rFonts w:hint="eastAsia" w:ascii="Times New Roman" w:hAnsi="Times New Roman" w:eastAsia="宋体"/>
          <w:sz w:val="24"/>
          <w:szCs w:val="24"/>
        </w:rPr>
        <w:t>¥1740579.00</w:t>
      </w:r>
    </w:p>
    <w:p w14:paraId="585E1E80">
      <w:pPr>
        <w:pStyle w:val="4"/>
        <w:spacing w:line="360" w:lineRule="auto"/>
        <w:rPr>
          <w:rFonts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代理费：人民币</w:t>
      </w:r>
      <w:r>
        <w:rPr>
          <w:rFonts w:hint="eastAsia" w:ascii="Times New Roman" w:hAnsi="Times New Roman" w:eastAsia="宋体"/>
          <w:sz w:val="24"/>
          <w:szCs w:val="24"/>
        </w:rPr>
        <w:t>3.0025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万元</w:t>
      </w:r>
    </w:p>
    <w:p w14:paraId="6BB4390F">
      <w:pPr>
        <w:pStyle w:val="4"/>
        <w:spacing w:line="360" w:lineRule="auto"/>
        <w:rPr>
          <w:rFonts w:hint="eastAsia" w:ascii="Times New Roman" w:hAnsi="Times New Roman" w:eastAsia="宋体" w:cs="Times New Roman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更正为：</w:t>
      </w:r>
    </w:p>
    <w:p w14:paraId="50C7E37D"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szCs w:val="24"/>
          <w:lang w:eastAsia="zh-CN"/>
        </w:rPr>
      </w:pPr>
      <w:r>
        <w:rPr>
          <w:rFonts w:ascii="Times New Roman" w:hAnsi="Times New Roman" w:eastAsia="宋体"/>
          <w:sz w:val="24"/>
          <w:szCs w:val="24"/>
        </w:rPr>
        <w:t>供应商名称：</w:t>
      </w:r>
      <w:r>
        <w:rPr>
          <w:rFonts w:hint="eastAsia" w:ascii="Times New Roman" w:hAnsi="Times New Roman" w:eastAsia="宋体"/>
          <w:sz w:val="24"/>
          <w:szCs w:val="24"/>
        </w:rPr>
        <w:t>北京唯美创意国际展览服务有限公司/北京市协同发展服务促进会（联合体）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（91110105681207735Q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/51110000MJ010006XQ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）</w:t>
      </w:r>
    </w:p>
    <w:p w14:paraId="4E9D7B88"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  <w:r>
        <w:rPr>
          <w:rFonts w:ascii="Times New Roman" w:hAnsi="Times New Roman" w:eastAsia="宋体"/>
          <w:sz w:val="24"/>
          <w:szCs w:val="24"/>
        </w:rPr>
        <w:t>供应商地址：</w:t>
      </w:r>
      <w:r>
        <w:rPr>
          <w:rFonts w:hint="eastAsia" w:ascii="Times New Roman" w:hAnsi="Times New Roman" w:eastAsia="宋体"/>
          <w:sz w:val="24"/>
          <w:szCs w:val="24"/>
        </w:rPr>
        <w:t>北京市朝阳区左家庄路16号三层3019号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/北京市西城区新兴东巷15号10号楼四层410单元</w:t>
      </w:r>
    </w:p>
    <w:p w14:paraId="5C38890F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中标金额：</w:t>
      </w:r>
    </w:p>
    <w:p w14:paraId="116B5E67">
      <w:pPr>
        <w:spacing w:line="360" w:lineRule="auto"/>
        <w:ind w:firstLine="897" w:firstLineChars="374"/>
        <w:rPr>
          <w:rFonts w:hint="default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大写：壹佰陆拾玖万肆仟捌佰肆拾肆元整</w:t>
      </w:r>
    </w:p>
    <w:p w14:paraId="7DC371DA">
      <w:pPr>
        <w:spacing w:line="360" w:lineRule="auto"/>
        <w:ind w:firstLine="897" w:firstLineChars="374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小写：</w:t>
      </w:r>
      <w:r>
        <w:rPr>
          <w:rFonts w:hint="eastAsia" w:ascii="Times New Roman" w:hAnsi="Times New Roman" w:eastAsia="宋体"/>
          <w:sz w:val="24"/>
          <w:szCs w:val="24"/>
        </w:rPr>
        <w:t>¥1,694,844.00</w:t>
      </w:r>
    </w:p>
    <w:p w14:paraId="0D84B6D9">
      <w:pPr>
        <w:pStyle w:val="6"/>
        <w:spacing w:line="360" w:lineRule="auto"/>
        <w:ind w:firstLine="480" w:firstLineChars="200"/>
        <w:rPr>
          <w:rFonts w:hint="default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代理费：人民币2.9236万元</w:t>
      </w:r>
    </w:p>
    <w:p w14:paraId="1B042344">
      <w:pPr>
        <w:pStyle w:val="4"/>
        <w:ind w:left="0" w:leftChars="0" w:firstLine="420" w:firstLineChars="200"/>
        <w:rPr>
          <w:rFonts w:eastAsia="宋体"/>
          <w:color w:val="auto"/>
        </w:rPr>
      </w:pPr>
    </w:p>
    <w:p w14:paraId="6AF9B54A">
      <w:pPr>
        <w:spacing w:line="360" w:lineRule="auto"/>
        <w:rPr>
          <w:rFonts w:ascii="Times New Roman" w:hAnsi="Times New Roman" w:eastAsia="宋体"/>
          <w:b/>
          <w:color w:val="auto"/>
          <w:sz w:val="24"/>
          <w:szCs w:val="24"/>
        </w:rPr>
      </w:pPr>
      <w:r>
        <w:rPr>
          <w:rFonts w:ascii="Times New Roman" w:hAnsi="Times New Roman" w:eastAsia="宋体"/>
          <w:b/>
          <w:color w:val="auto"/>
          <w:sz w:val="24"/>
          <w:szCs w:val="24"/>
        </w:rPr>
        <w:t>三、其他补充事宜</w:t>
      </w:r>
      <w:bookmarkEnd w:id="9"/>
      <w:bookmarkEnd w:id="10"/>
    </w:p>
    <w:p w14:paraId="0A21A956">
      <w:pPr>
        <w:widowControl/>
        <w:spacing w:line="360" w:lineRule="auto"/>
        <w:ind w:firstLine="480" w:firstLineChars="200"/>
        <w:jc w:val="left"/>
        <w:rPr>
          <w:rFonts w:ascii="Times New Roman" w:hAnsi="Times New Roman" w:eastAsia="宋体"/>
          <w:color w:val="auto"/>
          <w:kern w:val="0"/>
          <w:sz w:val="24"/>
          <w:szCs w:val="24"/>
        </w:rPr>
      </w:pPr>
      <w:r>
        <w:rPr>
          <w:rFonts w:ascii="Times New Roman" w:hAnsi="Times New Roman" w:eastAsia="宋体"/>
          <w:color w:val="auto"/>
          <w:kern w:val="0"/>
          <w:sz w:val="24"/>
          <w:szCs w:val="24"/>
        </w:rPr>
        <w:t>本公告同时在中国政府采购网（http://www.ccgp.gov.cn）、北京市政府采购网（http://www.ccgp-beijing.gov.cn/）以及北京汇诚金桥国际招标咨询有限公司网站（http://www.hcjq.net/）发布</w:t>
      </w:r>
      <w:r>
        <w:rPr>
          <w:rFonts w:ascii="Times New Roman" w:hAnsi="Times New Roman" w:eastAsia="宋体"/>
          <w:color w:val="auto"/>
          <w:sz w:val="24"/>
          <w:szCs w:val="24"/>
        </w:rPr>
        <w:t>。</w:t>
      </w:r>
    </w:p>
    <w:p w14:paraId="4B98022C">
      <w:pPr>
        <w:widowControl/>
        <w:spacing w:line="360" w:lineRule="auto"/>
        <w:ind w:firstLine="480" w:firstLineChars="200"/>
        <w:jc w:val="left"/>
        <w:rPr>
          <w:rFonts w:hint="eastAsia" w:ascii="Times New Roman" w:hAnsi="Times New Roman" w:eastAsia="宋体"/>
          <w:color w:val="auto"/>
          <w:sz w:val="24"/>
          <w:szCs w:val="24"/>
          <w:lang w:eastAsia="zh-CN"/>
        </w:rPr>
      </w:pPr>
      <w:r>
        <w:rPr>
          <w:rFonts w:ascii="Times New Roman" w:hAnsi="Times New Roman" w:eastAsia="宋体"/>
          <w:color w:val="auto"/>
          <w:kern w:val="0"/>
          <w:sz w:val="24"/>
          <w:szCs w:val="24"/>
        </w:rPr>
        <w:t>采购代理机构项目编号：</w:t>
      </w:r>
      <w:r>
        <w:rPr>
          <w:rFonts w:hint="eastAsia" w:ascii="Times New Roman" w:hAnsi="Times New Roman" w:eastAsia="宋体"/>
          <w:color w:val="auto"/>
          <w:kern w:val="0"/>
          <w:sz w:val="24"/>
          <w:szCs w:val="24"/>
          <w:lang w:eastAsia="zh-CN"/>
        </w:rPr>
        <w:t>BJJQ-2024-866</w:t>
      </w:r>
    </w:p>
    <w:p w14:paraId="0CAEED88">
      <w:pPr>
        <w:numPr>
          <w:ilvl w:val="0"/>
          <w:numId w:val="1"/>
        </w:numPr>
        <w:spacing w:line="360" w:lineRule="auto"/>
        <w:rPr>
          <w:rFonts w:ascii="Times New Roman" w:hAnsi="Times New Roman" w:eastAsia="宋体"/>
          <w:b/>
          <w:bCs/>
          <w:color w:val="auto"/>
          <w:sz w:val="24"/>
          <w:szCs w:val="24"/>
        </w:rPr>
      </w:pPr>
      <w:bookmarkStart w:id="11" w:name="_Toc35393817"/>
      <w:bookmarkStart w:id="12" w:name="_Toc35393648"/>
      <w:bookmarkStart w:id="13" w:name="_Toc28359029"/>
      <w:bookmarkStart w:id="14" w:name="_Toc28359106"/>
      <w:r>
        <w:rPr>
          <w:rFonts w:ascii="Times New Roman" w:hAnsi="Times New Roman" w:eastAsia="宋体"/>
          <w:b/>
          <w:bCs/>
          <w:color w:val="auto"/>
          <w:sz w:val="24"/>
          <w:szCs w:val="24"/>
        </w:rPr>
        <w:t>凡对本次公告内容提出询问，请按以下方式联系。</w:t>
      </w:r>
      <w:bookmarkEnd w:id="11"/>
      <w:bookmarkEnd w:id="12"/>
      <w:bookmarkEnd w:id="13"/>
      <w:bookmarkEnd w:id="14"/>
    </w:p>
    <w:p w14:paraId="239ECED4">
      <w:pPr>
        <w:spacing w:line="360" w:lineRule="auto"/>
        <w:ind w:firstLine="482" w:firstLineChars="200"/>
        <w:rPr>
          <w:rFonts w:hint="eastAsia" w:ascii="Times New Roman" w:hAnsi="Times New Roman" w:eastAsia="宋体"/>
          <w:b/>
          <w:bCs/>
          <w:kern w:val="0"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kern w:val="0"/>
          <w:sz w:val="24"/>
          <w:szCs w:val="24"/>
        </w:rPr>
        <w:t>1.采购人信息</w:t>
      </w:r>
    </w:p>
    <w:p w14:paraId="5BA57047">
      <w:pPr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szCs w:val="24"/>
          <w:lang w:eastAsia="zh-CN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名称：北京市国际服务贸易事务中心</w:t>
      </w:r>
    </w:p>
    <w:p w14:paraId="410B4322">
      <w:pPr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地址：北京市丰台区芳星园三区16-17号楼</w:t>
      </w:r>
    </w:p>
    <w:p w14:paraId="13DF1858">
      <w:pPr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联系方式：云老师，010-55579498</w:t>
      </w:r>
    </w:p>
    <w:p w14:paraId="494FD534">
      <w:pPr>
        <w:spacing w:line="360" w:lineRule="auto"/>
        <w:ind w:firstLine="482" w:firstLineChars="200"/>
        <w:rPr>
          <w:rFonts w:hint="eastAsia" w:ascii="Times New Roman" w:hAnsi="Times New Roman" w:eastAsia="宋体"/>
          <w:b/>
          <w:bCs/>
          <w:kern w:val="0"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kern w:val="0"/>
          <w:sz w:val="24"/>
          <w:szCs w:val="24"/>
        </w:rPr>
        <w:t>2.采购代理机构信息</w:t>
      </w:r>
    </w:p>
    <w:p w14:paraId="0D7DDB38">
      <w:pPr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名称：北京汇诚金桥国际招标咨询有限公司</w:t>
      </w:r>
    </w:p>
    <w:p w14:paraId="282A19A6">
      <w:pPr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地址：北京市东城区朝内大街南竹杆胡同6号北京INN3号楼9层</w:t>
      </w:r>
    </w:p>
    <w:p w14:paraId="71501D3C">
      <w:pPr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联系方式：杜豫、李辰，010-65699122</w:t>
      </w:r>
    </w:p>
    <w:p w14:paraId="32FA96E4">
      <w:pPr>
        <w:spacing w:line="360" w:lineRule="auto"/>
        <w:ind w:firstLine="482" w:firstLineChars="200"/>
        <w:rPr>
          <w:rFonts w:hint="eastAsia" w:ascii="Times New Roman" w:hAnsi="Times New Roman" w:eastAsia="宋体"/>
          <w:b/>
          <w:bCs/>
          <w:kern w:val="0"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kern w:val="0"/>
          <w:sz w:val="24"/>
          <w:szCs w:val="24"/>
        </w:rPr>
        <w:t>3.项目联系方式</w:t>
      </w:r>
    </w:p>
    <w:p w14:paraId="1C908366">
      <w:pPr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项目联系人：</w:t>
      </w:r>
      <w:r>
        <w:rPr>
          <w:rFonts w:hint="eastAsia" w:ascii="Times New Roman" w:hAnsi="Times New Roman" w:eastAsia="宋体"/>
          <w:kern w:val="0"/>
          <w:sz w:val="24"/>
          <w:szCs w:val="24"/>
          <w:lang w:val="en-US" w:eastAsia="zh-CN"/>
        </w:rPr>
        <w:t>杜豫</w:t>
      </w:r>
      <w:r>
        <w:rPr>
          <w:rFonts w:hint="eastAsia" w:ascii="Times New Roman" w:hAnsi="Times New Roman" w:eastAsia="宋体"/>
          <w:kern w:val="0"/>
          <w:sz w:val="24"/>
          <w:szCs w:val="24"/>
        </w:rPr>
        <w:t>、李辰</w:t>
      </w:r>
    </w:p>
    <w:p w14:paraId="0F54BA72">
      <w:pPr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电话：010-65699122</w:t>
      </w:r>
    </w:p>
    <w:p w14:paraId="43A9784F">
      <w:pPr>
        <w:spacing w:line="360" w:lineRule="auto"/>
        <w:ind w:firstLine="480" w:firstLineChars="200"/>
        <w:rPr>
          <w:rFonts w:ascii="Times New Roman" w:hAnsi="Times New Roman" w:eastAsia="宋体"/>
          <w:color w:val="auto"/>
          <w:sz w:val="24"/>
          <w:szCs w:val="24"/>
        </w:rPr>
      </w:pPr>
    </w:p>
    <w:sectPr>
      <w:footerReference r:id="rId3" w:type="default"/>
      <w:pgSz w:w="11906" w:h="16838"/>
      <w:pgMar w:top="1134" w:right="1080" w:bottom="1134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51B36F">
    <w:pPr>
      <w:pStyle w:val="11"/>
      <w:jc w:val="both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7E34E5"/>
    <w:multiLevelType w:val="singleLevel"/>
    <w:tmpl w:val="207E34E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liMjRjZmJmNDQ5YjExNjU3ZjVhYWY5YTg4ZmEzMjgifQ=="/>
  </w:docVars>
  <w:rsids>
    <w:rsidRoot w:val="00AA4251"/>
    <w:rsid w:val="00017E1D"/>
    <w:rsid w:val="001F62BB"/>
    <w:rsid w:val="002718B3"/>
    <w:rsid w:val="00313955"/>
    <w:rsid w:val="003264AE"/>
    <w:rsid w:val="00351ADA"/>
    <w:rsid w:val="00385318"/>
    <w:rsid w:val="003A3F21"/>
    <w:rsid w:val="003F4C28"/>
    <w:rsid w:val="00424615"/>
    <w:rsid w:val="006A7D50"/>
    <w:rsid w:val="006E1468"/>
    <w:rsid w:val="007A6D57"/>
    <w:rsid w:val="007D7BC3"/>
    <w:rsid w:val="0082227A"/>
    <w:rsid w:val="008C0B81"/>
    <w:rsid w:val="008D3972"/>
    <w:rsid w:val="00966D31"/>
    <w:rsid w:val="009D0720"/>
    <w:rsid w:val="00A128DA"/>
    <w:rsid w:val="00AA4251"/>
    <w:rsid w:val="00AC3F95"/>
    <w:rsid w:val="00BB1CF1"/>
    <w:rsid w:val="00CA51B6"/>
    <w:rsid w:val="00D01378"/>
    <w:rsid w:val="00D375DF"/>
    <w:rsid w:val="00DD6CE5"/>
    <w:rsid w:val="00E111BB"/>
    <w:rsid w:val="00E42BA7"/>
    <w:rsid w:val="00E567CD"/>
    <w:rsid w:val="00EA3EA8"/>
    <w:rsid w:val="00EC649A"/>
    <w:rsid w:val="00FD2A51"/>
    <w:rsid w:val="08713394"/>
    <w:rsid w:val="08721630"/>
    <w:rsid w:val="0A0731B4"/>
    <w:rsid w:val="0F8004BB"/>
    <w:rsid w:val="13D9495D"/>
    <w:rsid w:val="15C451C5"/>
    <w:rsid w:val="1F3E77A1"/>
    <w:rsid w:val="22B23F2B"/>
    <w:rsid w:val="26CF1507"/>
    <w:rsid w:val="27AB6496"/>
    <w:rsid w:val="2865550F"/>
    <w:rsid w:val="2ACC7629"/>
    <w:rsid w:val="2C212804"/>
    <w:rsid w:val="2D306157"/>
    <w:rsid w:val="2D7901A0"/>
    <w:rsid w:val="2EC2184F"/>
    <w:rsid w:val="2EF77B64"/>
    <w:rsid w:val="2FFD70E5"/>
    <w:rsid w:val="325B35C2"/>
    <w:rsid w:val="37620092"/>
    <w:rsid w:val="3A243B8B"/>
    <w:rsid w:val="3C0845F9"/>
    <w:rsid w:val="3EB2521D"/>
    <w:rsid w:val="405147E4"/>
    <w:rsid w:val="4205007B"/>
    <w:rsid w:val="4387343D"/>
    <w:rsid w:val="4495329A"/>
    <w:rsid w:val="48F11BDE"/>
    <w:rsid w:val="49C9055E"/>
    <w:rsid w:val="4A4453CC"/>
    <w:rsid w:val="4B0D4B37"/>
    <w:rsid w:val="4B261A33"/>
    <w:rsid w:val="4BE04F3E"/>
    <w:rsid w:val="4F701229"/>
    <w:rsid w:val="518B59DE"/>
    <w:rsid w:val="521C0F07"/>
    <w:rsid w:val="5231613D"/>
    <w:rsid w:val="55C064B1"/>
    <w:rsid w:val="55C26903"/>
    <w:rsid w:val="568F1719"/>
    <w:rsid w:val="57DB792E"/>
    <w:rsid w:val="57E14934"/>
    <w:rsid w:val="59084281"/>
    <w:rsid w:val="59262959"/>
    <w:rsid w:val="5A6E3AAF"/>
    <w:rsid w:val="5AE838EB"/>
    <w:rsid w:val="5C5C2BFD"/>
    <w:rsid w:val="5C85148E"/>
    <w:rsid w:val="5D114E22"/>
    <w:rsid w:val="604A0FC0"/>
    <w:rsid w:val="64035B71"/>
    <w:rsid w:val="698A44E3"/>
    <w:rsid w:val="6AC0588B"/>
    <w:rsid w:val="6C9156C2"/>
    <w:rsid w:val="6E4E6868"/>
    <w:rsid w:val="6E99431D"/>
    <w:rsid w:val="78212811"/>
    <w:rsid w:val="78E95DB8"/>
    <w:rsid w:val="7C69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iPriority="99" w:name="Note Heading"/>
    <w:lsdException w:qFormat="1" w:unhideWhenUsed="0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30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able of authorities"/>
    <w:basedOn w:val="1"/>
    <w:next w:val="1"/>
    <w:semiHidden/>
    <w:unhideWhenUsed/>
    <w:qFormat/>
    <w:uiPriority w:val="99"/>
    <w:pPr>
      <w:ind w:left="420" w:leftChars="200"/>
    </w:pPr>
  </w:style>
  <w:style w:type="paragraph" w:styleId="5">
    <w:name w:val="annotation text"/>
    <w:basedOn w:val="1"/>
    <w:link w:val="32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6">
    <w:name w:val="Body Text"/>
    <w:basedOn w:val="1"/>
    <w:next w:val="7"/>
    <w:link w:val="36"/>
    <w:qFormat/>
    <w:uiPriority w:val="99"/>
    <w:pPr>
      <w:widowControl/>
      <w:spacing w:line="360" w:lineRule="auto"/>
    </w:pPr>
    <w:rPr>
      <w:color w:val="FF0000"/>
    </w:rPr>
  </w:style>
  <w:style w:type="paragraph" w:customStyle="1" w:styleId="7">
    <w:name w:val="目录 53"/>
    <w:next w:val="1"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8">
    <w:name w:val="Body Text Indent"/>
    <w:basedOn w:val="1"/>
    <w:qFormat/>
    <w:uiPriority w:val="99"/>
    <w:pPr>
      <w:ind w:firstLine="795"/>
    </w:pPr>
    <w:rPr>
      <w:sz w:val="32"/>
    </w:rPr>
  </w:style>
  <w:style w:type="paragraph" w:styleId="9">
    <w:name w:val="Plain Text"/>
    <w:basedOn w:val="1"/>
    <w:link w:val="31"/>
    <w:qFormat/>
    <w:uiPriority w:val="0"/>
    <w:rPr>
      <w:rFonts w:ascii="宋体" w:hAnsi="Courier New"/>
    </w:rPr>
  </w:style>
  <w:style w:type="paragraph" w:styleId="10">
    <w:name w:val="Balloon Text"/>
    <w:basedOn w:val="1"/>
    <w:link w:val="33"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2"/>
    <w:basedOn w:val="1"/>
    <w:semiHidden/>
    <w:qFormat/>
    <w:uiPriority w:val="99"/>
    <w:pPr>
      <w:widowControl/>
      <w:tabs>
        <w:tab w:val="left" w:pos="6742"/>
        <w:tab w:val="left" w:pos="7234"/>
        <w:tab w:val="left" w:leader="hyphen" w:pos="8431"/>
      </w:tabs>
      <w:spacing w:before="60" w:after="60"/>
    </w:pPr>
    <w:rPr>
      <w:i/>
      <w:kern w:val="0"/>
      <w:sz w:val="24"/>
      <w:lang w:val="it-IT"/>
    </w:rPr>
  </w:style>
  <w:style w:type="paragraph" w:styleId="1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5">
    <w:name w:val="Body Text First Indent"/>
    <w:basedOn w:val="6"/>
    <w:next w:val="16"/>
    <w:qFormat/>
    <w:uiPriority w:val="99"/>
    <w:pPr>
      <w:widowControl w:val="0"/>
      <w:spacing w:after="120" w:line="240" w:lineRule="auto"/>
      <w:ind w:firstLine="420" w:firstLineChars="100"/>
    </w:pPr>
    <w:rPr>
      <w:color w:val="auto"/>
      <w:szCs w:val="24"/>
    </w:rPr>
  </w:style>
  <w:style w:type="paragraph" w:styleId="16">
    <w:name w:val="Body Text First Indent 2"/>
    <w:basedOn w:val="8"/>
    <w:qFormat/>
    <w:uiPriority w:val="99"/>
    <w:pPr>
      <w:spacing w:after="120"/>
      <w:ind w:left="420" w:leftChars="200" w:firstLine="420" w:firstLineChars="200"/>
    </w:pPr>
    <w:rPr>
      <w:sz w:val="21"/>
    </w:rPr>
  </w:style>
  <w:style w:type="table" w:styleId="18">
    <w:name w:val="Table Grid"/>
    <w:basedOn w:val="17"/>
    <w:qFormat/>
    <w:locked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FollowedHyperlink"/>
    <w:basedOn w:val="19"/>
    <w:semiHidden/>
    <w:unhideWhenUsed/>
    <w:qFormat/>
    <w:uiPriority w:val="99"/>
    <w:rPr>
      <w:color w:val="800080"/>
      <w:u w:val="none"/>
    </w:rPr>
  </w:style>
  <w:style w:type="character" w:styleId="21">
    <w:name w:val="Emphasis"/>
    <w:basedOn w:val="19"/>
    <w:qFormat/>
    <w:locked/>
    <w:uiPriority w:val="0"/>
  </w:style>
  <w:style w:type="character" w:styleId="22">
    <w:name w:val="HTML Definition"/>
    <w:basedOn w:val="19"/>
    <w:semiHidden/>
    <w:unhideWhenUsed/>
    <w:qFormat/>
    <w:uiPriority w:val="99"/>
  </w:style>
  <w:style w:type="character" w:styleId="23">
    <w:name w:val="HTML Acronym"/>
    <w:basedOn w:val="19"/>
    <w:semiHidden/>
    <w:unhideWhenUsed/>
    <w:qFormat/>
    <w:uiPriority w:val="99"/>
  </w:style>
  <w:style w:type="character" w:styleId="24">
    <w:name w:val="HTML Variable"/>
    <w:basedOn w:val="19"/>
    <w:semiHidden/>
    <w:unhideWhenUsed/>
    <w:qFormat/>
    <w:uiPriority w:val="99"/>
  </w:style>
  <w:style w:type="character" w:styleId="25">
    <w:name w:val="Hyperlink"/>
    <w:basedOn w:val="19"/>
    <w:semiHidden/>
    <w:unhideWhenUsed/>
    <w:qFormat/>
    <w:uiPriority w:val="99"/>
    <w:rPr>
      <w:color w:val="0000FF"/>
      <w:u w:val="none"/>
    </w:rPr>
  </w:style>
  <w:style w:type="character" w:styleId="26">
    <w:name w:val="HTML Code"/>
    <w:basedOn w:val="19"/>
    <w:semiHidden/>
    <w:unhideWhenUsed/>
    <w:qFormat/>
    <w:uiPriority w:val="99"/>
    <w:rPr>
      <w:rFonts w:ascii="Courier New" w:hAnsi="Courier New"/>
      <w:sz w:val="20"/>
    </w:rPr>
  </w:style>
  <w:style w:type="character" w:styleId="27">
    <w:name w:val="annotation reference"/>
    <w:semiHidden/>
    <w:qFormat/>
    <w:uiPriority w:val="99"/>
    <w:rPr>
      <w:rFonts w:cs="Times New Roman"/>
      <w:sz w:val="21"/>
      <w:szCs w:val="21"/>
    </w:rPr>
  </w:style>
  <w:style w:type="character" w:styleId="28">
    <w:name w:val="HTML Cite"/>
    <w:basedOn w:val="19"/>
    <w:semiHidden/>
    <w:unhideWhenUsed/>
    <w:qFormat/>
    <w:uiPriority w:val="99"/>
  </w:style>
  <w:style w:type="character" w:customStyle="1" w:styleId="29">
    <w:name w:val="标题 1 字符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30">
    <w:name w:val="标题 2 字符"/>
    <w:link w:val="3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31">
    <w:name w:val="纯文本 字符"/>
    <w:link w:val="9"/>
    <w:qFormat/>
    <w:locked/>
    <w:uiPriority w:val="0"/>
    <w:rPr>
      <w:rFonts w:ascii="宋体" w:hAnsi="Courier New" w:cs="Times New Roman"/>
    </w:rPr>
  </w:style>
  <w:style w:type="character" w:customStyle="1" w:styleId="32">
    <w:name w:val="批注文字 字符"/>
    <w:basedOn w:val="19"/>
    <w:link w:val="5"/>
    <w:semiHidden/>
    <w:qFormat/>
    <w:uiPriority w:val="99"/>
  </w:style>
  <w:style w:type="character" w:customStyle="1" w:styleId="33">
    <w:name w:val="批注框文本 字符"/>
    <w:link w:val="10"/>
    <w:semiHidden/>
    <w:qFormat/>
    <w:uiPriority w:val="99"/>
    <w:rPr>
      <w:sz w:val="0"/>
      <w:szCs w:val="0"/>
    </w:rPr>
  </w:style>
  <w:style w:type="character" w:customStyle="1" w:styleId="34">
    <w:name w:val="页眉 字符"/>
    <w:link w:val="12"/>
    <w:qFormat/>
    <w:uiPriority w:val="99"/>
    <w:rPr>
      <w:kern w:val="2"/>
      <w:sz w:val="18"/>
      <w:szCs w:val="18"/>
    </w:rPr>
  </w:style>
  <w:style w:type="character" w:customStyle="1" w:styleId="35">
    <w:name w:val="页脚 字符"/>
    <w:link w:val="11"/>
    <w:qFormat/>
    <w:uiPriority w:val="99"/>
    <w:rPr>
      <w:kern w:val="2"/>
      <w:sz w:val="18"/>
      <w:szCs w:val="18"/>
    </w:rPr>
  </w:style>
  <w:style w:type="character" w:customStyle="1" w:styleId="36">
    <w:name w:val="正文文本 字符"/>
    <w:basedOn w:val="19"/>
    <w:link w:val="6"/>
    <w:qFormat/>
    <w:uiPriority w:val="0"/>
    <w:rPr>
      <w:rFonts w:hint="eastAsia" w:ascii="等线" w:hAnsi="等线" w:eastAsia="等线" w:cs="等线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515</Words>
  <Characters>733</Characters>
  <Lines>6</Lines>
  <Paragraphs>1</Paragraphs>
  <TotalTime>0</TotalTime>
  <ScaleCrop>false</ScaleCrop>
  <LinksUpToDate>false</LinksUpToDate>
  <CharactersWithSpaces>733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2020-04-26T03:36:00Z</dcterms:created>
  <dc:creator>L</dc:creator>
  <cp:lastModifiedBy>肚肚</cp:lastModifiedBy>
  <cp:lastPrinted>2022-08-26T07:05:00Z</cp:lastPrinted>
  <dcterms:modified xsi:type="dcterms:W3CDTF">2024-09-03T08:56:49Z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DE133FE58EF44A19967A9E0E63B51A84</vt:lpwstr>
  </property>
</Properties>
</file>