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1A35D"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/>
        <w:jc w:val="center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bookmarkStart w:id="0" w:name="_Toc35393813"/>
      <w:r>
        <w:rPr>
          <w:rFonts w:hint="eastAsia" w:ascii="Times New Roman" w:hAnsi="Times New Roman" w:cs="Times New Roman"/>
          <w:sz w:val="28"/>
          <w:szCs w:val="28"/>
          <w:lang w:eastAsia="zh-CN"/>
        </w:rPr>
        <w:t>购置AED体外除颤仪设备带量采购项目</w:t>
      </w:r>
    </w:p>
    <w:p w14:paraId="69501713"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更正公告</w:t>
      </w:r>
      <w:bookmarkEnd w:id="0"/>
    </w:p>
    <w:p w14:paraId="7EDC44A3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left="0" w:leftChars="0" w:right="0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bookmarkStart w:id="1" w:name="_Toc28359027"/>
      <w:bookmarkStart w:id="2" w:name="_Toc35393814"/>
      <w:bookmarkStart w:id="3" w:name="_Toc35393645"/>
      <w:bookmarkStart w:id="4" w:name="_Toc28359104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2DED469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BJJQ-2024-757</w:t>
      </w:r>
    </w:p>
    <w:p w14:paraId="79E15A7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购置AED体外除颤仪设备带量采购项目</w:t>
      </w:r>
    </w:p>
    <w:p w14:paraId="49F1C08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4EA6053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left="0" w:leftChars="0" w:right="0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bookmarkStart w:id="5" w:name="_Toc35393646"/>
      <w:bookmarkStart w:id="6" w:name="_Toc28359105"/>
      <w:bookmarkStart w:id="7" w:name="_Toc28359028"/>
      <w:bookmarkStart w:id="8" w:name="_Toc35393815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414D533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left="0" w:leftChars="0" w:right="0" w:firstLine="48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更改事项：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对采购公告、采购文件进行更正</w:t>
      </w:r>
    </w:p>
    <w:p w14:paraId="49E23A5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更改内容：</w:t>
      </w:r>
    </w:p>
    <w:p w14:paraId="573E7784">
      <w:pPr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bidi w:val="0"/>
        <w:snapToGrid w:val="0"/>
        <w:spacing w:line="360" w:lineRule="auto"/>
        <w:ind w:right="-40" w:rightChars="-19" w:firstLine="472" w:firstLineChars="197"/>
        <w:textAlignment w:val="auto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将招标公告和招标文件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第一章</w:t>
      </w:r>
      <w:r>
        <w:rPr>
          <w:rFonts w:hint="default" w:ascii="Times New Roman" w:hAnsi="Times New Roman" w:eastAsia="宋体" w:cs="Times New Roman"/>
          <w:sz w:val="24"/>
        </w:rPr>
        <w:t>四、提交投标文件截止时间、开标时间和地点中的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4"/>
        </w:rPr>
        <w:t>投标截止时间、开标时间：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2024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4"/>
        </w:rPr>
        <w:t>点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</w:rPr>
        <w:t>分（北京时间）。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”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更正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</w:rPr>
        <w:t>为</w:t>
      </w:r>
      <w:r>
        <w:rPr>
          <w:rFonts w:hint="default" w:ascii="Times New Roman" w:hAnsi="Times New Roman" w:eastAsia="宋体" w:cs="Times New Roman"/>
          <w:color w:val="auto"/>
          <w:sz w:val="24"/>
        </w:rPr>
        <w:t>：</w:t>
      </w:r>
    </w:p>
    <w:p w14:paraId="03425326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snapToGrid w:val="0"/>
        <w:spacing w:line="360" w:lineRule="auto"/>
        <w:ind w:right="-40" w:rightChars="-19"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u w:val="single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投标截止时间、开标时间：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2024年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日10点00分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（</w:t>
      </w:r>
      <w:r>
        <w:rPr>
          <w:rFonts w:hint="default" w:ascii="Times New Roman" w:hAnsi="Times New Roman" w:eastAsia="宋体" w:cs="Times New Roman"/>
          <w:sz w:val="24"/>
          <w:u w:val="single"/>
        </w:rPr>
        <w:t>北京时间）。</w:t>
      </w:r>
      <w:r>
        <w:rPr>
          <w:rFonts w:hint="eastAsia" w:ascii="Times New Roman" w:hAnsi="Times New Roman" w:eastAsia="宋体" w:cs="Times New Roman"/>
          <w:sz w:val="24"/>
          <w:u w:val="single"/>
          <w:lang w:eastAsia="zh-CN"/>
        </w:rPr>
        <w:t>”</w:t>
      </w:r>
    </w:p>
    <w:p w14:paraId="441499B0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60" w:lineRule="auto"/>
        <w:ind w:right="-40" w:rightChars="-19" w:firstLine="480" w:firstLineChars="20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2、将招标文件 “第五章 采购需求 三、技术要求 （二）设备技术指标要求 1、技术参数要求”中的“#3、输出能量：成人模式，150J起依次自动递增，直到最高能量；儿童模式：50J起依次自动递增，最高：70J±10 J。”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>进行删除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。</w:t>
      </w:r>
    </w:p>
    <w:p w14:paraId="602B32D2">
      <w:pPr>
        <w:pStyle w:val="18"/>
        <w:ind w:firstLine="480" w:firstLineChars="200"/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4"/>
          <w:szCs w:val="22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、将招标文件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2"/>
          <w:lang w:val="en-US" w:eastAsia="zh-CN" w:bidi="ar-SA"/>
        </w:rPr>
        <w:t xml:space="preserve"> “第五章 采购需求 三、技术要求 （二）设备技术指标要求 1、技术参数要求”中的“14、电池待机时间：每日进行自检的条件下，每日向系统上传自检报告的条件下，待机时间≥4年。”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2"/>
          <w:lang w:val="en-US" w:eastAsia="zh-CN" w:bidi="ar-SA"/>
        </w:rPr>
        <w:t>更正为：</w:t>
      </w:r>
    </w:p>
    <w:p w14:paraId="17293899">
      <w:pPr>
        <w:pStyle w:val="18"/>
        <w:ind w:firstLine="480" w:firstLineChars="200"/>
        <w:rPr>
          <w:rFonts w:hint="eastAsia" w:ascii="Times New Roman" w:hAnsi="Times New Roman" w:cs="Times New Roman"/>
          <w:color w:val="auto"/>
          <w:kern w:val="2"/>
          <w:sz w:val="24"/>
          <w:szCs w:val="22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2"/>
          <w:u w:val="single"/>
          <w:lang w:val="en-US" w:eastAsia="zh-CN" w:bidi="ar-SA"/>
        </w:rPr>
        <w:t>“14、电池待机时间≥4年或四年内免费更换失效电池。”</w:t>
      </w:r>
    </w:p>
    <w:p w14:paraId="2D9EC90B">
      <w:pPr>
        <w:pStyle w:val="18"/>
        <w:numPr>
          <w:ilvl w:val="0"/>
          <w:numId w:val="0"/>
        </w:numPr>
        <w:ind w:firstLine="480" w:firstLineChars="200"/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4、将招标文件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2"/>
          <w:lang w:val="en-US" w:eastAsia="zh-CN" w:bidi="ar-SA"/>
        </w:rPr>
        <w:t xml:space="preserve"> “第五章 采购需求 三、技术要求 （二）设备技术指标要求 1、技术参数要求”中的“#17、整机防水防尘等级：IP65。”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2"/>
          <w:lang w:val="en-US" w:eastAsia="zh-CN" w:bidi="ar-SA"/>
        </w:rPr>
        <w:t>更正为：</w:t>
      </w:r>
    </w:p>
    <w:p w14:paraId="3431952A">
      <w:pPr>
        <w:pStyle w:val="18"/>
        <w:numPr>
          <w:ilvl w:val="0"/>
          <w:numId w:val="0"/>
        </w:numPr>
        <w:ind w:firstLine="480" w:firstLineChars="200"/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2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2"/>
          <w:u w:val="single"/>
          <w:lang w:val="en-US" w:eastAsia="zh-CN" w:bidi="ar-SA"/>
        </w:rPr>
        <w:t>“#17、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shd w:val="clear" w:color="auto" w:fill="auto"/>
        </w:rPr>
        <w:t>整机防水防尘等级：IP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shd w:val="clear" w:color="auto" w:fill="auto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2"/>
          <w:u w:val="single"/>
          <w:lang w:val="en-US" w:eastAsia="zh-CN" w:bidi="ar-SA"/>
        </w:rPr>
        <w:t>”</w:t>
      </w:r>
    </w:p>
    <w:p w14:paraId="3738E4A1">
      <w:pPr>
        <w:pStyle w:val="18"/>
        <w:ind w:firstLine="480" w:firstLineChars="200"/>
        <w:rPr>
          <w:rFonts w:hint="eastAsia" w:ascii="Times New Roman" w:hAnsi="Times New Roman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4"/>
          <w:szCs w:val="22"/>
          <w:lang w:val="en-US" w:eastAsia="zh-CN" w:bidi="ar-SA"/>
        </w:rPr>
        <w:t>5、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将招标文件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2"/>
          <w:lang w:val="en-US" w:eastAsia="zh-CN" w:bidi="ar-SA"/>
        </w:rPr>
        <w:t xml:space="preserve"> “</w:t>
      </w:r>
      <w:bookmarkStart w:id="9" w:name="_Toc99301423"/>
      <w:r>
        <w:rPr>
          <w:rFonts w:hint="eastAsia" w:ascii="Times New Roman" w:hAnsi="Times New Roman" w:cs="Times New Roman"/>
          <w:color w:val="auto"/>
          <w:kern w:val="2"/>
          <w:sz w:val="24"/>
          <w:szCs w:val="22"/>
          <w:lang w:val="en-US" w:eastAsia="zh-CN" w:bidi="ar-SA"/>
        </w:rPr>
        <w:t xml:space="preserve">第四章 </w:t>
      </w:r>
      <w:bookmarkStart w:id="10" w:name="_Hlt164229061"/>
      <w:bookmarkEnd w:id="10"/>
      <w:r>
        <w:rPr>
          <w:rFonts w:hint="eastAsia" w:ascii="Times New Roman" w:hAnsi="Times New Roman" w:cs="Times New Roman"/>
          <w:color w:val="auto"/>
          <w:kern w:val="2"/>
          <w:sz w:val="24"/>
          <w:szCs w:val="22"/>
          <w:lang w:val="en-US" w:eastAsia="zh-CN" w:bidi="ar-SA"/>
        </w:rPr>
        <w:t>评标程序、评标方法和评标标准</w:t>
      </w:r>
      <w:bookmarkEnd w:id="9"/>
      <w:r>
        <w:rPr>
          <w:rFonts w:hint="eastAsia" w:ascii="Times New Roman" w:hAnsi="Times New Roman" w:cs="Times New Roman"/>
          <w:color w:val="auto"/>
          <w:kern w:val="2"/>
          <w:sz w:val="24"/>
          <w:szCs w:val="22"/>
          <w:lang w:val="en-US" w:eastAsia="zh-CN" w:bidi="ar-SA"/>
        </w:rPr>
        <w:t xml:space="preserve"> 二、评标标准 2 技术部分</w:t>
      </w:r>
    </w:p>
    <w:p w14:paraId="05CCBF1D">
      <w:pPr>
        <w:pStyle w:val="18"/>
        <w:rPr>
          <w:rFonts w:hint="default" w:ascii="Times New Roman" w:hAnsi="Times New Roman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4"/>
          <w:szCs w:val="22"/>
          <w:lang w:val="en-US" w:eastAsia="zh-CN" w:bidi="ar-SA"/>
        </w:rPr>
        <w:t>（61分） 技术参数响应程度 第二项。如下表：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42"/>
        <w:gridCol w:w="1223"/>
        <w:gridCol w:w="935"/>
        <w:gridCol w:w="5644"/>
      </w:tblGrid>
      <w:tr w14:paraId="348E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692225F9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 w14:paraId="775CCEA2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评分因素</w:t>
            </w:r>
          </w:p>
        </w:tc>
        <w:tc>
          <w:tcPr>
            <w:tcW w:w="7802" w:type="dxa"/>
            <w:gridSpan w:val="3"/>
            <w:noWrap w:val="0"/>
            <w:vAlign w:val="center"/>
          </w:tcPr>
          <w:p w14:paraId="0F4EC995">
            <w:pPr>
              <w:pStyle w:val="18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评价指标和分值</w:t>
            </w:r>
          </w:p>
        </w:tc>
      </w:tr>
      <w:tr w14:paraId="6BEE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3D52C8EF">
            <w:pPr>
              <w:pStyle w:val="18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1442" w:type="dxa"/>
            <w:noWrap w:val="0"/>
            <w:vAlign w:val="center"/>
          </w:tcPr>
          <w:p w14:paraId="4639B844">
            <w:pPr>
              <w:pStyle w:val="18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技术部分</w:t>
            </w:r>
          </w:p>
          <w:p w14:paraId="0CD350CE">
            <w:pPr>
              <w:pStyle w:val="18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（61分）</w:t>
            </w:r>
          </w:p>
        </w:tc>
        <w:tc>
          <w:tcPr>
            <w:tcW w:w="1223" w:type="dxa"/>
            <w:noWrap w:val="0"/>
            <w:vAlign w:val="center"/>
          </w:tcPr>
          <w:p w14:paraId="7D24711F">
            <w:pPr>
              <w:pStyle w:val="18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技术参数响应程度</w:t>
            </w:r>
          </w:p>
        </w:tc>
        <w:tc>
          <w:tcPr>
            <w:tcW w:w="935" w:type="dxa"/>
            <w:noWrap w:val="0"/>
            <w:vAlign w:val="center"/>
          </w:tcPr>
          <w:p w14:paraId="102E30C8">
            <w:pPr>
              <w:pStyle w:val="18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18分</w:t>
            </w:r>
          </w:p>
        </w:tc>
        <w:tc>
          <w:tcPr>
            <w:tcW w:w="5644" w:type="dxa"/>
            <w:noWrap w:val="0"/>
            <w:vAlign w:val="center"/>
          </w:tcPr>
          <w:p w14:paraId="1CBCC868">
            <w:pPr>
              <w:pStyle w:val="18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综合考虑投标人所投产品对第五章采购需求“三、技术要求 （二）设备技术指标要求 1、技术参数要求”的重要条款（#号条款）的响应程度，#号条款全部满足得18分，每有一条#号条款负偏离扣3分，本项最低得0分。（共6条#号条款）</w:t>
            </w:r>
          </w:p>
          <w:p w14:paraId="7AC22335">
            <w:pPr>
              <w:pStyle w:val="18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投标人需提供#号条款内容相应证明材料（如检测报告、产品说明书或产品功能介绍截图等证明资料），无证明材料或证明材料内容与投标人响应内容不一致的，视为未响应该项#号条款内容。</w:t>
            </w:r>
          </w:p>
        </w:tc>
      </w:tr>
    </w:tbl>
    <w:p w14:paraId="7D8DA81A">
      <w:pPr>
        <w:pStyle w:val="18"/>
        <w:rPr>
          <w:rFonts w:hint="eastAsia" w:ascii="Times New Roman" w:hAnsi="Times New Roman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2"/>
          <w:lang w:val="en-US" w:eastAsia="zh-CN" w:bidi="ar-SA"/>
        </w:rPr>
        <w:t>更正为：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42"/>
        <w:gridCol w:w="1223"/>
        <w:gridCol w:w="935"/>
        <w:gridCol w:w="5644"/>
      </w:tblGrid>
      <w:tr w14:paraId="2CE5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256CDDAF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 w14:paraId="1BA5A25A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评分因素</w:t>
            </w:r>
          </w:p>
        </w:tc>
        <w:tc>
          <w:tcPr>
            <w:tcW w:w="7802" w:type="dxa"/>
            <w:gridSpan w:val="3"/>
            <w:noWrap w:val="0"/>
            <w:vAlign w:val="center"/>
          </w:tcPr>
          <w:p w14:paraId="5393E3E4">
            <w:pPr>
              <w:pStyle w:val="18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评价指标和分值</w:t>
            </w:r>
          </w:p>
        </w:tc>
      </w:tr>
      <w:tr w14:paraId="2ADE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753C6521">
            <w:pPr>
              <w:pStyle w:val="18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1442" w:type="dxa"/>
            <w:noWrap w:val="0"/>
            <w:vAlign w:val="center"/>
          </w:tcPr>
          <w:p w14:paraId="68F9E1E3">
            <w:pPr>
              <w:pStyle w:val="18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技术部分</w:t>
            </w:r>
          </w:p>
          <w:p w14:paraId="4FA66794">
            <w:pPr>
              <w:pStyle w:val="18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（61分）</w:t>
            </w:r>
          </w:p>
        </w:tc>
        <w:tc>
          <w:tcPr>
            <w:tcW w:w="1223" w:type="dxa"/>
            <w:noWrap w:val="0"/>
            <w:vAlign w:val="center"/>
          </w:tcPr>
          <w:p w14:paraId="74DAB693">
            <w:pPr>
              <w:pStyle w:val="18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技术参数响应程度</w:t>
            </w:r>
          </w:p>
        </w:tc>
        <w:tc>
          <w:tcPr>
            <w:tcW w:w="935" w:type="dxa"/>
            <w:noWrap w:val="0"/>
            <w:vAlign w:val="center"/>
          </w:tcPr>
          <w:p w14:paraId="3A9EB009">
            <w:pPr>
              <w:pStyle w:val="18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18分</w:t>
            </w:r>
          </w:p>
        </w:tc>
        <w:tc>
          <w:tcPr>
            <w:tcW w:w="5644" w:type="dxa"/>
            <w:noWrap w:val="0"/>
            <w:vAlign w:val="center"/>
          </w:tcPr>
          <w:p w14:paraId="71C99FA2">
            <w:pPr>
              <w:pStyle w:val="18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综合考虑投标人所投产品对第五章采购需求“三、技术要求 （二）设备技术指标要求 1、技术参数要求”的重要条款（#号条款）的响应程度，#号条款全部满足得18分，每有一条#号条款负偏离扣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u w:val="singl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u w:val="single"/>
                <w:lang w:val="en-US" w:eastAsia="zh-CN" w:bidi="ar-SA"/>
              </w:rPr>
              <w:t>.6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u w:val="single"/>
                <w:lang w:val="en-US" w:eastAsia="zh-CN" w:bidi="ar-SA"/>
              </w:rPr>
              <w:t>分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，本项最低得0分。（共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u w:val="singl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u w:val="single"/>
                <w:lang w:val="en-US" w:eastAsia="zh-CN" w:bidi="ar-SA"/>
              </w:rPr>
              <w:t>条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#号条款）</w:t>
            </w:r>
          </w:p>
          <w:p w14:paraId="57624F93">
            <w:pPr>
              <w:pStyle w:val="18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投标人需提供#号条款内容相应证明材料（如检测报告、产品说明书或产品功能介绍截图等证明资料），无证明材料或证明材料内容与投标人响应内容不一致的，视为未响应该项#号条款内容。</w:t>
            </w:r>
          </w:p>
        </w:tc>
      </w:tr>
    </w:tbl>
    <w:p w14:paraId="30D9A080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60" w:lineRule="auto"/>
        <w:ind w:right="-40" w:rightChars="-19" w:firstLine="472" w:firstLineChars="197"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</w:rPr>
        <w:t>注：原采购公告、采购文件中涉</w:t>
      </w:r>
      <w:r>
        <w:rPr>
          <w:rFonts w:hint="default" w:ascii="Times New Roman" w:hAnsi="Times New Roman" w:eastAsia="宋体" w:cs="Times New Roman"/>
          <w:sz w:val="24"/>
          <w:highlight w:val="none"/>
        </w:rPr>
        <w:t>及上述要求的条款均做相应调整，其余条款按原采购公告、采购文件规定的内容执行。</w:t>
      </w:r>
    </w:p>
    <w:p w14:paraId="3447576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right="0" w:firstLine="48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u w:val="none"/>
        </w:rPr>
        <w:t>更正日期：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u w:val="none"/>
        </w:rPr>
        <w:t>2024年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u w:val="none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u w:val="none"/>
        </w:rPr>
        <w:t>日</w:t>
      </w:r>
    </w:p>
    <w:p w14:paraId="5BE33FD3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left="0" w:leftChars="0" w:right="0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bookmarkStart w:id="11" w:name="_Toc35393816"/>
      <w:bookmarkStart w:id="12" w:name="_Toc35393647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三、其他补充事宜</w:t>
      </w:r>
      <w:bookmarkEnd w:id="11"/>
      <w:bookmarkEnd w:id="12"/>
    </w:p>
    <w:p w14:paraId="085726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3.1本公告同时在中国政府采购网（http://www.ccgp.gov.cn）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北京市政府采购网（http://www.ccgp-beijing.gov.cn/）</w:t>
      </w:r>
      <w:r>
        <w:rPr>
          <w:rFonts w:hint="default" w:ascii="Times New Roman" w:hAnsi="Times New Roman" w:eastAsia="宋体" w:cs="Times New Roman"/>
          <w:sz w:val="24"/>
          <w:szCs w:val="24"/>
        </w:rPr>
        <w:t>以及北京汇诚金桥国际招标咨询有限公司网站（http://www.hcjq.net/）发布。</w:t>
      </w:r>
      <w:bookmarkStart w:id="21" w:name="_GoBack"/>
      <w:bookmarkEnd w:id="21"/>
    </w:p>
    <w:p w14:paraId="757821C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left="0" w:leftChars="0" w:right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BJJQ-2024-757</w:t>
      </w:r>
    </w:p>
    <w:p w14:paraId="03676CCB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left="0" w:leftChars="0" w:right="0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bookmarkStart w:id="13" w:name="_Toc35393817"/>
      <w:bookmarkStart w:id="14" w:name="_Toc35393648"/>
      <w:bookmarkStart w:id="15" w:name="_Toc28359029"/>
      <w:bookmarkStart w:id="16" w:name="_Toc28359106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0BB5353A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1B787CC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17" w:name="_Toc28359009"/>
      <w:bookmarkStart w:id="18" w:name="_Toc28359086"/>
      <w:r>
        <w:rPr>
          <w:rFonts w:hint="default" w:ascii="Times New Roman" w:hAnsi="Times New Roman" w:eastAsia="宋体" w:cs="Times New Roman"/>
          <w:sz w:val="24"/>
          <w:szCs w:val="24"/>
        </w:rPr>
        <w:t>名    称：北京市西城区社区卫生服务管理中心</w:t>
      </w:r>
    </w:p>
    <w:p w14:paraId="171AD07A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址：北京市西城区枣林前街2号院1号楼5层</w:t>
      </w:r>
    </w:p>
    <w:p w14:paraId="18DF0F5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张老师，010-83365301</w:t>
      </w:r>
    </w:p>
    <w:p w14:paraId="48D481A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  <w:bookmarkEnd w:id="17"/>
      <w:bookmarkEnd w:id="18"/>
    </w:p>
    <w:p w14:paraId="6CD3F87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19" w:name="_Toc28359010"/>
      <w:bookmarkStart w:id="20" w:name="_Toc28359087"/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67F44A7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址：北京市东城区朝内大街南竹杆胡同6号北京INN3号楼9层</w:t>
      </w:r>
    </w:p>
    <w:p w14:paraId="3B5D222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联系方式：刘倩、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王秋凌、</w:t>
      </w:r>
      <w:r>
        <w:rPr>
          <w:rFonts w:hint="default" w:ascii="Times New Roman" w:hAnsi="Times New Roman" w:eastAsia="宋体" w:cs="Times New Roman"/>
          <w:sz w:val="24"/>
          <w:szCs w:val="24"/>
        </w:rPr>
        <w:t>贾洋，010-65173825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65699122</w:t>
      </w:r>
    </w:p>
    <w:p w14:paraId="7FEC4E0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  <w:bookmarkEnd w:id="19"/>
      <w:bookmarkEnd w:id="20"/>
    </w:p>
    <w:p w14:paraId="3599DBC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项目联系人：刘倩、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王秋凌、</w:t>
      </w:r>
      <w:r>
        <w:rPr>
          <w:rFonts w:hint="default" w:ascii="Times New Roman" w:hAnsi="Times New Roman" w:eastAsia="宋体" w:cs="Times New Roman"/>
          <w:sz w:val="24"/>
          <w:szCs w:val="24"/>
        </w:rPr>
        <w:t>贾洋</w:t>
      </w:r>
    </w:p>
    <w:p w14:paraId="612A79C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话：010-65173825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65699122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DF37C"/>
    <w:multiLevelType w:val="singleLevel"/>
    <w:tmpl w:val="0C7DF3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Q2M2Y1NThhNWZlZDc0ZTAwNjY2YWJmYzljZGYzYzcifQ=="/>
  </w:docVars>
  <w:rsids>
    <w:rsidRoot w:val="00AA4251"/>
    <w:rsid w:val="000213CC"/>
    <w:rsid w:val="00061F13"/>
    <w:rsid w:val="001279FB"/>
    <w:rsid w:val="002718B3"/>
    <w:rsid w:val="00281292"/>
    <w:rsid w:val="003010BD"/>
    <w:rsid w:val="0031328C"/>
    <w:rsid w:val="00313955"/>
    <w:rsid w:val="003264AE"/>
    <w:rsid w:val="00351ADA"/>
    <w:rsid w:val="003E37ED"/>
    <w:rsid w:val="0041677E"/>
    <w:rsid w:val="004177AC"/>
    <w:rsid w:val="00485595"/>
    <w:rsid w:val="0049025F"/>
    <w:rsid w:val="004D5D39"/>
    <w:rsid w:val="004E4314"/>
    <w:rsid w:val="00531D03"/>
    <w:rsid w:val="006A7D50"/>
    <w:rsid w:val="006E1468"/>
    <w:rsid w:val="006F2562"/>
    <w:rsid w:val="00714943"/>
    <w:rsid w:val="007D7BC3"/>
    <w:rsid w:val="008D3972"/>
    <w:rsid w:val="00957B6C"/>
    <w:rsid w:val="009D0720"/>
    <w:rsid w:val="00A128DA"/>
    <w:rsid w:val="00AA4251"/>
    <w:rsid w:val="00AC3F95"/>
    <w:rsid w:val="00D375DF"/>
    <w:rsid w:val="00D902EB"/>
    <w:rsid w:val="00DD6CE5"/>
    <w:rsid w:val="00E111BB"/>
    <w:rsid w:val="00E567CD"/>
    <w:rsid w:val="00EA3EA8"/>
    <w:rsid w:val="00EC649A"/>
    <w:rsid w:val="00EE34EE"/>
    <w:rsid w:val="00FC0DA2"/>
    <w:rsid w:val="00FD2A51"/>
    <w:rsid w:val="03EC69EA"/>
    <w:rsid w:val="05A607FA"/>
    <w:rsid w:val="05E355AA"/>
    <w:rsid w:val="08713394"/>
    <w:rsid w:val="089F49DA"/>
    <w:rsid w:val="0970211F"/>
    <w:rsid w:val="0E0D6E14"/>
    <w:rsid w:val="0E382D8C"/>
    <w:rsid w:val="0E401F3E"/>
    <w:rsid w:val="0F563BF2"/>
    <w:rsid w:val="10024850"/>
    <w:rsid w:val="102869DB"/>
    <w:rsid w:val="10C05094"/>
    <w:rsid w:val="11C83081"/>
    <w:rsid w:val="138E6935"/>
    <w:rsid w:val="13D9495D"/>
    <w:rsid w:val="173A002B"/>
    <w:rsid w:val="19673A2B"/>
    <w:rsid w:val="19F61BA2"/>
    <w:rsid w:val="1A8C4B6D"/>
    <w:rsid w:val="1B813443"/>
    <w:rsid w:val="1C761828"/>
    <w:rsid w:val="1C803DCB"/>
    <w:rsid w:val="1CDC4DD5"/>
    <w:rsid w:val="1CF60AE2"/>
    <w:rsid w:val="1FD85257"/>
    <w:rsid w:val="1FE4014F"/>
    <w:rsid w:val="1FF80F81"/>
    <w:rsid w:val="20F643A1"/>
    <w:rsid w:val="219043E0"/>
    <w:rsid w:val="23855205"/>
    <w:rsid w:val="25754238"/>
    <w:rsid w:val="27082C6B"/>
    <w:rsid w:val="27620299"/>
    <w:rsid w:val="27D0517B"/>
    <w:rsid w:val="28A93433"/>
    <w:rsid w:val="2CCB1B2B"/>
    <w:rsid w:val="2E443652"/>
    <w:rsid w:val="30DC50DC"/>
    <w:rsid w:val="31992E3D"/>
    <w:rsid w:val="31C559E0"/>
    <w:rsid w:val="35517238"/>
    <w:rsid w:val="38156F95"/>
    <w:rsid w:val="3ABD3211"/>
    <w:rsid w:val="3C5E535B"/>
    <w:rsid w:val="3D3632A7"/>
    <w:rsid w:val="3D6A1B31"/>
    <w:rsid w:val="3DC3308E"/>
    <w:rsid w:val="3E752051"/>
    <w:rsid w:val="402E250F"/>
    <w:rsid w:val="41E33C60"/>
    <w:rsid w:val="436C03B1"/>
    <w:rsid w:val="441A605F"/>
    <w:rsid w:val="45012D7B"/>
    <w:rsid w:val="48724B17"/>
    <w:rsid w:val="48EC789E"/>
    <w:rsid w:val="496B110B"/>
    <w:rsid w:val="4AED125B"/>
    <w:rsid w:val="4E190DF3"/>
    <w:rsid w:val="4FAE1D52"/>
    <w:rsid w:val="4FE25176"/>
    <w:rsid w:val="501E682E"/>
    <w:rsid w:val="50313532"/>
    <w:rsid w:val="52E20650"/>
    <w:rsid w:val="53283BC9"/>
    <w:rsid w:val="57E14934"/>
    <w:rsid w:val="58705B2C"/>
    <w:rsid w:val="5D503CC9"/>
    <w:rsid w:val="600532C8"/>
    <w:rsid w:val="61C72D76"/>
    <w:rsid w:val="620057B1"/>
    <w:rsid w:val="67D61813"/>
    <w:rsid w:val="67F13B09"/>
    <w:rsid w:val="6861386B"/>
    <w:rsid w:val="68A613C0"/>
    <w:rsid w:val="69D248E1"/>
    <w:rsid w:val="6A7327BB"/>
    <w:rsid w:val="6AD761A9"/>
    <w:rsid w:val="6DA07690"/>
    <w:rsid w:val="6E71421E"/>
    <w:rsid w:val="6EAA0B0E"/>
    <w:rsid w:val="6EDA705A"/>
    <w:rsid w:val="6F2C1E3B"/>
    <w:rsid w:val="71D85EF7"/>
    <w:rsid w:val="7224018A"/>
    <w:rsid w:val="72DD5CA7"/>
    <w:rsid w:val="72E01973"/>
    <w:rsid w:val="73C5770C"/>
    <w:rsid w:val="78F06F5F"/>
    <w:rsid w:val="7A626F5E"/>
    <w:rsid w:val="7A752A73"/>
    <w:rsid w:val="7CA103C5"/>
    <w:rsid w:val="7F1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link w:val="22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7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1"/>
    <w:qFormat/>
    <w:uiPriority w:val="99"/>
    <w:rPr>
      <w:rFonts w:ascii="宋体" w:hAnsi="Courier New"/>
    </w:rPr>
  </w:style>
  <w:style w:type="paragraph" w:styleId="10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8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5">
    <w:name w:val="Table Grid"/>
    <w:basedOn w:val="1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8">
    <w:name w:val="样式 正文文本 + 宋体"/>
    <w:basedOn w:val="6"/>
    <w:autoRedefine/>
    <w:qFormat/>
    <w:uiPriority w:val="0"/>
    <w:pPr>
      <w:tabs>
        <w:tab w:val="left" w:pos="567"/>
      </w:tabs>
    </w:pPr>
    <w:rPr>
      <w:rFonts w:ascii="宋体" w:hAnsi="宋体" w:eastAsia="宋体" w:cs="Times New Roman"/>
    </w:rPr>
  </w:style>
  <w:style w:type="character" w:customStyle="1" w:styleId="1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2">
    <w:name w:val="批注文字 字符"/>
    <w:basedOn w:val="16"/>
    <w:link w:val="5"/>
    <w:autoRedefine/>
    <w:semiHidden/>
    <w:qFormat/>
    <w:uiPriority w:val="99"/>
  </w:style>
  <w:style w:type="character" w:customStyle="1" w:styleId="23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4">
    <w:name w:val="页眉 字符"/>
    <w:link w:val="12"/>
    <w:autoRedefine/>
    <w:qFormat/>
    <w:uiPriority w:val="99"/>
    <w:rPr>
      <w:kern w:val="2"/>
      <w:sz w:val="18"/>
      <w:szCs w:val="18"/>
    </w:rPr>
  </w:style>
  <w:style w:type="character" w:customStyle="1" w:styleId="25">
    <w:name w:val="页脚 字符"/>
    <w:link w:val="11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85A2-46E1-4E1A-9F1A-397FF65DA4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430</Words>
  <Characters>595</Characters>
  <Lines>5</Lines>
  <Paragraphs>1</Paragraphs>
  <TotalTime>13</TotalTime>
  <ScaleCrop>false</ScaleCrop>
  <LinksUpToDate>false</LinksUpToDate>
  <CharactersWithSpaces>617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Liuqian</cp:lastModifiedBy>
  <cp:lastPrinted>2024-10-10T02:21:38Z</cp:lastPrinted>
  <dcterms:modified xsi:type="dcterms:W3CDTF">2024-10-10T02:23:39Z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C87F747E11D844B6A5AFFAF448E7F40E</vt:lpwstr>
  </property>
</Properties>
</file>