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A715F6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 w:rsidRPr="00A715F6">
        <w:rPr>
          <w:rFonts w:ascii="华文中宋" w:eastAsia="华文中宋" w:hAnsi="华文中宋" w:hint="eastAsia"/>
        </w:rPr>
        <w:t>北京世纪坛医院医用设备购置项目</w:t>
      </w:r>
      <w:r w:rsidR="002E4AE6">
        <w:rPr>
          <w:rFonts w:ascii="华文中宋" w:eastAsia="华文中宋" w:hAnsi="华文中宋" w:hint="eastAsia"/>
        </w:rPr>
        <w:t>（第</w:t>
      </w:r>
      <w:r>
        <w:rPr>
          <w:rFonts w:ascii="华文中宋" w:eastAsia="华文中宋" w:hAnsi="华文中宋" w:hint="eastAsia"/>
        </w:rPr>
        <w:t>7</w:t>
      </w:r>
      <w:r w:rsidR="002E4AE6">
        <w:rPr>
          <w:rFonts w:ascii="华文中宋" w:eastAsia="华文中宋" w:hAnsi="华文中宋" w:hint="eastAsia"/>
        </w:rPr>
        <w:t>包）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A715F6" w:rsidRPr="00A715F6">
        <w:rPr>
          <w:rFonts w:ascii="仿宋" w:eastAsia="仿宋" w:hAnsi="仿宋"/>
          <w:sz w:val="28"/>
          <w:szCs w:val="28"/>
          <w:u w:val="single"/>
        </w:rPr>
        <w:t>0701-244106030404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A715F6" w:rsidRPr="00A715F6">
        <w:rPr>
          <w:rFonts w:ascii="仿宋" w:eastAsia="仿宋" w:hAnsi="仿宋" w:hint="eastAsia"/>
          <w:sz w:val="28"/>
          <w:szCs w:val="28"/>
          <w:u w:val="single"/>
        </w:rPr>
        <w:t>北京世纪坛医院医用设备购置项目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400">
        <w:rPr>
          <w:rFonts w:ascii="仿宋" w:eastAsia="仿宋" w:hAnsi="仿宋" w:hint="eastAsia"/>
          <w:sz w:val="28"/>
          <w:szCs w:val="28"/>
        </w:rPr>
        <w:t>首次公告日期：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3C1AE0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715F6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715F6">
        <w:rPr>
          <w:rFonts w:ascii="仿宋" w:eastAsia="仿宋" w:hAnsi="仿宋" w:hint="eastAsia"/>
          <w:sz w:val="28"/>
          <w:szCs w:val="28"/>
          <w:u w:val="single"/>
        </w:rPr>
        <w:t>14</w:t>
      </w:r>
      <w:r w:rsidRPr="00A1240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0400C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0400C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0400C0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采购结果</w:t>
      </w:r>
    </w:p>
    <w:p w:rsidR="00ED638F" w:rsidRPr="00EB533A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</w:rPr>
        <w:t>更正内容：</w:t>
      </w:r>
    </w:p>
    <w:p w:rsidR="00420DCD" w:rsidRPr="00EB533A" w:rsidRDefault="00B65D44" w:rsidP="00420DC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1</w:t>
      </w:r>
      <w:r w:rsidR="00420DCD" w:rsidRPr="00EB533A">
        <w:rPr>
          <w:rFonts w:ascii="仿宋" w:eastAsia="仿宋" w:hAnsi="仿宋" w:hint="eastAsia"/>
          <w:sz w:val="28"/>
          <w:szCs w:val="28"/>
        </w:rPr>
        <w:t>、本项目第</w:t>
      </w:r>
      <w:r w:rsidR="00A715F6">
        <w:rPr>
          <w:rFonts w:ascii="仿宋" w:eastAsia="仿宋" w:hAnsi="仿宋" w:hint="eastAsia"/>
          <w:sz w:val="28"/>
          <w:szCs w:val="28"/>
        </w:rPr>
        <w:t>7</w:t>
      </w:r>
      <w:r w:rsidR="00420DCD" w:rsidRPr="00EB533A">
        <w:rPr>
          <w:rFonts w:ascii="仿宋" w:eastAsia="仿宋" w:hAnsi="仿宋" w:hint="eastAsia"/>
          <w:sz w:val="28"/>
          <w:szCs w:val="28"/>
        </w:rPr>
        <w:t>包</w:t>
      </w:r>
      <w:r w:rsidR="00A715F6" w:rsidRPr="00A715F6">
        <w:rPr>
          <w:rFonts w:ascii="仿宋" w:eastAsia="仿宋" w:hAnsi="仿宋" w:hint="eastAsia"/>
          <w:sz w:val="28"/>
          <w:szCs w:val="28"/>
        </w:rPr>
        <w:t>动态心电血压记录仪（1拖15）</w:t>
      </w:r>
      <w:r w:rsidRPr="00EB533A">
        <w:rPr>
          <w:rFonts w:ascii="仿宋" w:eastAsia="仿宋" w:hAnsi="仿宋" w:hint="eastAsia"/>
          <w:sz w:val="28"/>
          <w:szCs w:val="28"/>
        </w:rPr>
        <w:t>中标人</w:t>
      </w:r>
      <w:r w:rsidR="00A715F6" w:rsidRPr="00A715F6">
        <w:rPr>
          <w:rFonts w:ascii="仿宋" w:eastAsia="仿宋" w:hAnsi="仿宋" w:hint="eastAsia"/>
          <w:sz w:val="28"/>
          <w:szCs w:val="28"/>
        </w:rPr>
        <w:t>深圳市博英医疗仪器科技有限公司</w:t>
      </w:r>
      <w:r w:rsidR="00D412E5" w:rsidRPr="00EB533A">
        <w:rPr>
          <w:rFonts w:ascii="仿宋" w:eastAsia="仿宋" w:hAnsi="仿宋" w:hint="eastAsia"/>
          <w:sz w:val="28"/>
          <w:szCs w:val="28"/>
        </w:rPr>
        <w:t>因</w:t>
      </w:r>
      <w:r w:rsidR="00A715F6">
        <w:rPr>
          <w:rFonts w:ascii="仿宋" w:eastAsia="仿宋" w:hAnsi="仿宋" w:hint="eastAsia"/>
          <w:sz w:val="28"/>
          <w:szCs w:val="28"/>
        </w:rPr>
        <w:t>不可抗力</w:t>
      </w:r>
      <w:r w:rsidR="00715328" w:rsidRPr="00EB533A">
        <w:rPr>
          <w:rFonts w:ascii="仿宋" w:eastAsia="仿宋" w:hAnsi="仿宋" w:hint="eastAsia"/>
          <w:sz w:val="28"/>
          <w:szCs w:val="28"/>
        </w:rPr>
        <w:t>原因</w:t>
      </w:r>
      <w:r w:rsidR="00D412E5" w:rsidRPr="00EB533A">
        <w:rPr>
          <w:rFonts w:ascii="仿宋" w:eastAsia="仿宋" w:hAnsi="仿宋" w:hint="eastAsia"/>
          <w:sz w:val="28"/>
          <w:szCs w:val="28"/>
        </w:rPr>
        <w:t>无法与采购人签订合同</w:t>
      </w:r>
      <w:r w:rsidRPr="00EB533A">
        <w:rPr>
          <w:rFonts w:ascii="仿宋" w:eastAsia="仿宋" w:hAnsi="仿宋" w:hint="eastAsia"/>
          <w:sz w:val="28"/>
          <w:szCs w:val="28"/>
        </w:rPr>
        <w:t>。经采购人同意后，按照评</w:t>
      </w:r>
      <w:r w:rsidR="008728C2" w:rsidRPr="00EB533A">
        <w:rPr>
          <w:rFonts w:ascii="仿宋" w:eastAsia="仿宋" w:hAnsi="仿宋" w:hint="eastAsia"/>
          <w:sz w:val="28"/>
          <w:szCs w:val="28"/>
        </w:rPr>
        <w:t>审</w:t>
      </w:r>
      <w:r w:rsidRPr="00EB533A">
        <w:rPr>
          <w:rFonts w:ascii="仿宋" w:eastAsia="仿宋" w:hAnsi="仿宋" w:hint="eastAsia"/>
          <w:sz w:val="28"/>
          <w:szCs w:val="28"/>
        </w:rPr>
        <w:t>报告推荐的中标候选人名单，确定下一候选人</w:t>
      </w:r>
      <w:r w:rsidR="00A715F6" w:rsidRPr="00A715F6">
        <w:rPr>
          <w:rFonts w:ascii="仿宋" w:eastAsia="仿宋" w:hAnsi="仿宋" w:hint="eastAsia"/>
          <w:sz w:val="28"/>
          <w:szCs w:val="28"/>
        </w:rPr>
        <w:t>北京墘唐健康科技有限公司</w:t>
      </w:r>
      <w:r w:rsidRPr="00EB533A">
        <w:rPr>
          <w:rFonts w:ascii="仿宋" w:eastAsia="仿宋" w:hAnsi="仿宋" w:hint="eastAsia"/>
          <w:sz w:val="28"/>
          <w:szCs w:val="28"/>
        </w:rPr>
        <w:t>为本项目</w:t>
      </w:r>
      <w:r w:rsidR="00A715F6" w:rsidRPr="00A715F6">
        <w:rPr>
          <w:rFonts w:ascii="仿宋" w:eastAsia="仿宋" w:hAnsi="仿宋" w:hint="eastAsia"/>
          <w:sz w:val="28"/>
          <w:szCs w:val="28"/>
        </w:rPr>
        <w:t>第7包动态心电血压记录仪（1拖15）</w:t>
      </w:r>
      <w:r w:rsidRPr="00EB533A">
        <w:rPr>
          <w:rFonts w:ascii="仿宋" w:eastAsia="仿宋" w:hAnsi="仿宋" w:hint="eastAsia"/>
          <w:sz w:val="28"/>
          <w:szCs w:val="28"/>
        </w:rPr>
        <w:t>的中标人。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2、现将中标公告中第</w:t>
      </w:r>
      <w:r w:rsidR="00A715F6">
        <w:rPr>
          <w:rFonts w:ascii="仿宋" w:eastAsia="仿宋" w:hAnsi="仿宋" w:hint="eastAsia"/>
          <w:sz w:val="28"/>
          <w:szCs w:val="28"/>
        </w:rPr>
        <w:t>7</w:t>
      </w:r>
      <w:r w:rsidRPr="00EB533A">
        <w:rPr>
          <w:rFonts w:ascii="仿宋" w:eastAsia="仿宋" w:hAnsi="仿宋" w:hint="eastAsia"/>
          <w:sz w:val="28"/>
          <w:szCs w:val="28"/>
        </w:rPr>
        <w:t>包三、中标信息</w:t>
      </w:r>
      <w:r w:rsidR="00EB533A">
        <w:rPr>
          <w:rFonts w:ascii="仿宋" w:eastAsia="仿宋" w:hAnsi="仿宋" w:hint="eastAsia"/>
          <w:sz w:val="28"/>
          <w:szCs w:val="28"/>
        </w:rPr>
        <w:t>、</w:t>
      </w:r>
      <w:r w:rsidRPr="00EB533A">
        <w:rPr>
          <w:rFonts w:ascii="仿宋" w:eastAsia="仿宋" w:hAnsi="仿宋" w:hint="eastAsia"/>
          <w:sz w:val="28"/>
          <w:szCs w:val="28"/>
        </w:rPr>
        <w:t>四、主要标的信息</w:t>
      </w:r>
      <w:r w:rsidR="00EB533A">
        <w:rPr>
          <w:rFonts w:ascii="仿宋" w:eastAsia="仿宋" w:hAnsi="仿宋" w:hint="eastAsia"/>
          <w:sz w:val="28"/>
          <w:szCs w:val="28"/>
        </w:rPr>
        <w:t>、六、代理服务费收费标准及金额和八、其他补充事宜</w:t>
      </w:r>
      <w:r w:rsidRPr="00EB533A">
        <w:rPr>
          <w:rFonts w:ascii="仿宋" w:eastAsia="仿宋" w:hAnsi="仿宋" w:hint="eastAsia"/>
          <w:sz w:val="28"/>
          <w:szCs w:val="28"/>
        </w:rPr>
        <w:t>更正如下：</w:t>
      </w:r>
    </w:p>
    <w:p w:rsidR="00B65D44" w:rsidRPr="00EB533A" w:rsidRDefault="00B65D44" w:rsidP="00CA5E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三、中标信息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第</w:t>
      </w:r>
      <w:r w:rsidR="00A715F6">
        <w:rPr>
          <w:rFonts w:ascii="仿宋" w:eastAsia="仿宋" w:hAnsi="仿宋" w:hint="eastAsia"/>
          <w:sz w:val="28"/>
          <w:szCs w:val="28"/>
        </w:rPr>
        <w:t>7</w:t>
      </w:r>
      <w:r w:rsidRPr="00EB533A">
        <w:rPr>
          <w:rFonts w:ascii="仿宋" w:eastAsia="仿宋" w:hAnsi="仿宋" w:hint="eastAsia"/>
          <w:sz w:val="28"/>
          <w:szCs w:val="28"/>
        </w:rPr>
        <w:t>包：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供应商名称：</w:t>
      </w:r>
      <w:r w:rsidR="00A715F6" w:rsidRPr="00A715F6">
        <w:rPr>
          <w:rFonts w:ascii="仿宋" w:eastAsia="仿宋" w:hAnsi="仿宋" w:hint="eastAsia"/>
          <w:sz w:val="28"/>
          <w:szCs w:val="28"/>
        </w:rPr>
        <w:t>北京墘唐健康科技有限公司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供应商地址：</w:t>
      </w:r>
      <w:r w:rsidR="00EB533A">
        <w:rPr>
          <w:rFonts w:ascii="仿宋" w:eastAsia="仿宋" w:hAnsi="仿宋" w:hint="eastAsia"/>
          <w:sz w:val="28"/>
          <w:szCs w:val="28"/>
        </w:rPr>
        <w:t>北京市</w:t>
      </w:r>
      <w:r w:rsidR="00A715F6">
        <w:rPr>
          <w:rFonts w:ascii="仿宋" w:eastAsia="仿宋" w:hAnsi="仿宋" w:hint="eastAsia"/>
          <w:sz w:val="28"/>
          <w:szCs w:val="28"/>
        </w:rPr>
        <w:t>海淀</w:t>
      </w:r>
      <w:r w:rsidR="00EB533A">
        <w:rPr>
          <w:rFonts w:ascii="仿宋" w:eastAsia="仿宋" w:hAnsi="仿宋" w:hint="eastAsia"/>
          <w:sz w:val="28"/>
          <w:szCs w:val="28"/>
        </w:rPr>
        <w:t>区</w:t>
      </w:r>
      <w:r w:rsidR="00A715F6">
        <w:rPr>
          <w:rFonts w:ascii="仿宋" w:eastAsia="仿宋" w:hAnsi="仿宋" w:hint="eastAsia"/>
          <w:sz w:val="28"/>
          <w:szCs w:val="28"/>
        </w:rPr>
        <w:t>吴家场路1号院4号楼5层2单元</w:t>
      </w:r>
      <w:r w:rsidR="00A715F6">
        <w:rPr>
          <w:rFonts w:ascii="仿宋" w:eastAsia="仿宋" w:hAnsi="仿宋" w:hint="eastAsia"/>
          <w:sz w:val="28"/>
          <w:szCs w:val="28"/>
        </w:rPr>
        <w:lastRenderedPageBreak/>
        <w:t>512</w:t>
      </w:r>
    </w:p>
    <w:p w:rsidR="00B65D44" w:rsidRPr="00EB533A" w:rsidRDefault="00B65D44" w:rsidP="00B65D4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</w:rPr>
        <w:t>中标金额：</w:t>
      </w:r>
      <w:r w:rsidR="00EB533A">
        <w:rPr>
          <w:rFonts w:ascii="宋体" w:hAnsi="宋体" w:cs="宋体" w:hint="eastAsia"/>
          <w:sz w:val="28"/>
          <w:szCs w:val="28"/>
        </w:rPr>
        <w:t>¥</w:t>
      </w:r>
      <w:r w:rsidR="00A715F6">
        <w:rPr>
          <w:rFonts w:ascii="仿宋" w:eastAsia="仿宋" w:hAnsi="仿宋" w:hint="eastAsia"/>
          <w:sz w:val="28"/>
          <w:szCs w:val="28"/>
          <w:u w:val="single"/>
        </w:rPr>
        <w:t>33</w:t>
      </w:r>
      <w:r w:rsidR="00A33046" w:rsidRPr="00EB533A">
        <w:rPr>
          <w:rFonts w:ascii="仿宋" w:eastAsia="仿宋" w:hAnsi="仿宋"/>
          <w:sz w:val="28"/>
          <w:szCs w:val="28"/>
          <w:u w:val="single"/>
        </w:rPr>
        <w:t>0,000.00</w:t>
      </w:r>
    </w:p>
    <w:p w:rsidR="00B65D44" w:rsidRDefault="00B65D44" w:rsidP="00CA5EBA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四、主要标的信息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11"/>
        <w:gridCol w:w="1704"/>
        <w:gridCol w:w="1135"/>
        <w:gridCol w:w="936"/>
        <w:gridCol w:w="1635"/>
        <w:gridCol w:w="1449"/>
      </w:tblGrid>
      <w:tr w:rsidR="00EB533A" w:rsidRPr="00E728F5" w:rsidTr="00D75437">
        <w:trPr>
          <w:trHeight w:val="46"/>
        </w:trPr>
        <w:tc>
          <w:tcPr>
            <w:tcW w:w="383" w:type="pct"/>
            <w:shd w:val="clear" w:color="auto" w:fill="auto"/>
            <w:vAlign w:val="center"/>
          </w:tcPr>
          <w:p w:rsidR="00EB533A" w:rsidRPr="00E728F5" w:rsidRDefault="00EB533A" w:rsidP="00EB533A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proofErr w:type="gramStart"/>
            <w:r w:rsidRPr="00E728F5">
              <w:rPr>
                <w:rFonts w:ascii="仿宋" w:eastAsia="仿宋" w:hAnsi="仿宋"/>
                <w:b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593" w:type="pct"/>
            <w:shd w:val="clear" w:color="auto" w:fill="auto"/>
            <w:vAlign w:val="center"/>
          </w:tcPr>
          <w:p w:rsidR="00EB533A" w:rsidRPr="00E728F5" w:rsidRDefault="00EB533A" w:rsidP="00EB533A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E728F5">
              <w:rPr>
                <w:rFonts w:ascii="仿宋" w:eastAsia="仿宋" w:hAnsi="仿宋" w:hint="eastAsia"/>
                <w:b/>
                <w:color w:val="000000"/>
                <w:kern w:val="0"/>
              </w:rPr>
              <w:t>品目号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B533A" w:rsidRPr="00E728F5" w:rsidRDefault="00EB533A" w:rsidP="00EB533A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E728F5">
              <w:rPr>
                <w:rFonts w:ascii="仿宋" w:eastAsia="仿宋" w:hAnsi="仿宋" w:hint="eastAsia"/>
                <w:b/>
                <w:color w:val="000000"/>
                <w:kern w:val="0"/>
              </w:rPr>
              <w:t>品目名称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B533A" w:rsidRDefault="00EB533A" w:rsidP="00EB533A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E728F5">
              <w:rPr>
                <w:rFonts w:ascii="仿宋" w:eastAsia="仿宋" w:hAnsi="仿宋" w:hint="eastAsia"/>
                <w:b/>
                <w:color w:val="000000"/>
                <w:kern w:val="0"/>
              </w:rPr>
              <w:t>数量</w:t>
            </w:r>
          </w:p>
          <w:p w:rsidR="00EB533A" w:rsidRPr="00E728F5" w:rsidRDefault="00EB533A" w:rsidP="00EB533A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color w:val="000000"/>
                <w:kern w:val="0"/>
              </w:rPr>
            </w:pPr>
            <w:r w:rsidRPr="00E728F5">
              <w:rPr>
                <w:rFonts w:ascii="仿宋" w:eastAsia="仿宋" w:hAnsi="仿宋" w:hint="eastAsia"/>
                <w:b/>
                <w:color w:val="000000"/>
                <w:kern w:val="0"/>
              </w:rPr>
              <w:t>（台/套）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B533A" w:rsidRPr="00E728F5" w:rsidRDefault="00EB533A" w:rsidP="00EB533A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kern w:val="0"/>
              </w:rPr>
            </w:pPr>
            <w:r w:rsidRPr="00E728F5">
              <w:rPr>
                <w:rFonts w:ascii="仿宋" w:eastAsia="仿宋" w:hAnsi="仿宋"/>
                <w:b/>
                <w:kern w:val="0"/>
              </w:rPr>
              <w:t>品牌</w:t>
            </w:r>
          </w:p>
        </w:tc>
        <w:tc>
          <w:tcPr>
            <w:tcW w:w="959" w:type="pct"/>
            <w:vAlign w:val="center"/>
          </w:tcPr>
          <w:p w:rsidR="00EB533A" w:rsidRPr="00E728F5" w:rsidRDefault="00EB533A" w:rsidP="00EB533A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kern w:val="0"/>
              </w:rPr>
            </w:pPr>
            <w:r w:rsidRPr="00E728F5">
              <w:rPr>
                <w:rFonts w:ascii="仿宋" w:eastAsia="仿宋" w:hAnsi="仿宋"/>
                <w:b/>
                <w:kern w:val="0"/>
              </w:rPr>
              <w:t>规格和型号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715F6" w:rsidRDefault="00EB533A" w:rsidP="00EB533A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/>
              </w:rPr>
            </w:pPr>
            <w:r w:rsidRPr="00E728F5">
              <w:rPr>
                <w:rFonts w:ascii="仿宋" w:eastAsia="仿宋" w:hAnsi="仿宋"/>
                <w:b/>
              </w:rPr>
              <w:t>单价</w:t>
            </w:r>
          </w:p>
          <w:p w:rsidR="00EB533A" w:rsidRPr="00E728F5" w:rsidRDefault="00EB533A" w:rsidP="00EB533A">
            <w:pPr>
              <w:adjustRightInd w:val="0"/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kern w:val="0"/>
              </w:rPr>
            </w:pPr>
            <w:r w:rsidRPr="00E728F5">
              <w:rPr>
                <w:rFonts w:ascii="仿宋" w:eastAsia="仿宋" w:hAnsi="仿宋"/>
                <w:b/>
              </w:rPr>
              <w:t>（人民币元）</w:t>
            </w:r>
          </w:p>
        </w:tc>
      </w:tr>
      <w:tr w:rsidR="00D75437" w:rsidRPr="00E728F5" w:rsidTr="00D75437">
        <w:trPr>
          <w:trHeight w:val="29"/>
        </w:trPr>
        <w:tc>
          <w:tcPr>
            <w:tcW w:w="383" w:type="pct"/>
            <w:shd w:val="clear" w:color="auto" w:fill="auto"/>
            <w:noWrap/>
            <w:vAlign w:val="center"/>
          </w:tcPr>
          <w:p w:rsidR="00A715F6" w:rsidRPr="00A715F6" w:rsidRDefault="00A715F6" w:rsidP="00A715F6">
            <w:pPr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A715F6"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A715F6" w:rsidRPr="00A715F6" w:rsidRDefault="00A715F6" w:rsidP="00A715F6">
            <w:pPr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A715F6">
              <w:rPr>
                <w:rFonts w:ascii="仿宋" w:eastAsia="仿宋" w:hAnsi="仿宋" w:hint="eastAsia"/>
                <w:color w:val="000000"/>
                <w:kern w:val="0"/>
              </w:rPr>
              <w:t>7-1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:rsidR="00A715F6" w:rsidRPr="00A715F6" w:rsidRDefault="00A715F6" w:rsidP="00A715F6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/>
                <w:color w:val="000000"/>
                <w:kern w:val="0"/>
              </w:rPr>
            </w:pPr>
            <w:r w:rsidRPr="00A715F6">
              <w:rPr>
                <w:rFonts w:ascii="仿宋" w:eastAsia="仿宋" w:hAnsi="仿宋" w:hint="eastAsia"/>
                <w:color w:val="000000"/>
                <w:kern w:val="0"/>
              </w:rPr>
              <w:t>动态心电血压记录仪（</w:t>
            </w:r>
            <w:r w:rsidRPr="00A715F6">
              <w:rPr>
                <w:rFonts w:ascii="仿宋" w:eastAsia="仿宋" w:hAnsi="仿宋"/>
                <w:color w:val="000000"/>
                <w:kern w:val="0"/>
              </w:rPr>
              <w:t>1</w:t>
            </w:r>
            <w:r w:rsidRPr="00A715F6">
              <w:rPr>
                <w:rFonts w:ascii="仿宋" w:eastAsia="仿宋" w:hAnsi="仿宋" w:hint="eastAsia"/>
                <w:color w:val="000000"/>
                <w:kern w:val="0"/>
              </w:rPr>
              <w:t>拖</w:t>
            </w:r>
            <w:r w:rsidRPr="00A715F6">
              <w:rPr>
                <w:rFonts w:ascii="仿宋" w:eastAsia="仿宋" w:hAnsi="仿宋"/>
                <w:color w:val="000000"/>
                <w:kern w:val="0"/>
              </w:rPr>
              <w:t>15</w:t>
            </w:r>
            <w:r w:rsidRPr="00A715F6">
              <w:rPr>
                <w:rFonts w:ascii="仿宋" w:eastAsia="仿宋" w:hAnsi="仿宋" w:hint="eastAsia"/>
                <w:color w:val="000000"/>
                <w:kern w:val="0"/>
              </w:rPr>
              <w:t>）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A715F6" w:rsidRPr="00A715F6" w:rsidRDefault="00A715F6" w:rsidP="00A715F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A715F6"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A715F6" w:rsidRPr="00E728F5" w:rsidRDefault="00A715F6" w:rsidP="00A715F6">
            <w:pPr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理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邦</w:t>
            </w:r>
            <w:proofErr w:type="gramEnd"/>
          </w:p>
        </w:tc>
        <w:tc>
          <w:tcPr>
            <w:tcW w:w="959" w:type="pct"/>
            <w:vAlign w:val="center"/>
          </w:tcPr>
          <w:p w:rsidR="00A715F6" w:rsidRPr="00E728F5" w:rsidRDefault="00A715F6" w:rsidP="00A715F6">
            <w:pPr>
              <w:pStyle w:val="20"/>
              <w:spacing w:line="360" w:lineRule="auto"/>
              <w:ind w:leftChars="0" w:left="0" w:firstLineChars="0" w:firstLine="0"/>
              <w:contextualSpacing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SA-20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715F6" w:rsidRPr="00E728F5" w:rsidRDefault="00A715F6" w:rsidP="00A715F6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330000</w:t>
            </w:r>
          </w:p>
        </w:tc>
      </w:tr>
    </w:tbl>
    <w:p w:rsidR="00EB533A" w:rsidRDefault="00EB533A" w:rsidP="00A715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颁布的《招标代理服务收费管理暂行办法》（计价格[2002]1980号）。</w:t>
      </w:r>
    </w:p>
    <w:p w:rsidR="003969FC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</w:t>
      </w:r>
      <w:r w:rsidRPr="00D85453">
        <w:rPr>
          <w:rFonts w:ascii="仿宋" w:eastAsia="仿宋" w:hAnsi="仿宋" w:hint="eastAsia"/>
          <w:sz w:val="28"/>
          <w:szCs w:val="28"/>
        </w:rPr>
        <w:t>额：</w:t>
      </w:r>
      <w:r w:rsidR="005D4BB6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="005D4BB6">
        <w:rPr>
          <w:rFonts w:ascii="仿宋" w:eastAsia="仿宋" w:hAnsi="仿宋" w:hint="eastAsia"/>
          <w:sz w:val="28"/>
          <w:szCs w:val="28"/>
        </w:rPr>
        <w:t>442</w:t>
      </w:r>
      <w:r w:rsidRPr="00D85453">
        <w:rPr>
          <w:rFonts w:ascii="仿宋" w:eastAsia="仿宋" w:hAnsi="仿宋" w:hint="eastAsia"/>
          <w:sz w:val="28"/>
          <w:szCs w:val="28"/>
        </w:rPr>
        <w:t>万元人民币</w:t>
      </w:r>
      <w:bookmarkStart w:id="9" w:name="_GoBack"/>
      <w:bookmarkEnd w:id="9"/>
    </w:p>
    <w:p w:rsidR="00EB533A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八、其他补充事宜</w:t>
      </w:r>
    </w:p>
    <w:p w:rsidR="00EB533A" w:rsidRPr="00EB533A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合同执行期、服务要求：</w:t>
      </w:r>
    </w:p>
    <w:p w:rsidR="00EB533A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533A">
        <w:rPr>
          <w:rFonts w:ascii="仿宋" w:eastAsia="仿宋" w:hAnsi="仿宋" w:hint="eastAsia"/>
          <w:sz w:val="28"/>
          <w:szCs w:val="28"/>
        </w:rPr>
        <w:t>第</w:t>
      </w:r>
      <w:r w:rsidR="005D4BB6">
        <w:rPr>
          <w:rFonts w:ascii="仿宋" w:eastAsia="仿宋" w:hAnsi="仿宋" w:hint="eastAsia"/>
          <w:sz w:val="28"/>
          <w:szCs w:val="28"/>
        </w:rPr>
        <w:t>7</w:t>
      </w:r>
      <w:r w:rsidRPr="00EB533A">
        <w:rPr>
          <w:rFonts w:ascii="仿宋" w:eastAsia="仿宋" w:hAnsi="仿宋" w:hint="eastAsia"/>
          <w:sz w:val="28"/>
          <w:szCs w:val="28"/>
        </w:rPr>
        <w:t>包：</w:t>
      </w:r>
      <w:proofErr w:type="gramStart"/>
      <w:r w:rsidR="005D4BB6">
        <w:rPr>
          <w:rFonts w:ascii="仿宋" w:eastAsia="仿宋" w:hAnsi="仿宋" w:hint="eastAsia"/>
          <w:sz w:val="28"/>
          <w:szCs w:val="28"/>
        </w:rPr>
        <w:t>自设备</w:t>
      </w:r>
      <w:proofErr w:type="gramEnd"/>
      <w:r w:rsidR="005D4BB6">
        <w:rPr>
          <w:rFonts w:ascii="仿宋" w:eastAsia="仿宋" w:hAnsi="仿宋" w:hint="eastAsia"/>
          <w:sz w:val="28"/>
          <w:szCs w:val="28"/>
        </w:rPr>
        <w:t>安装、调试、验收合格之日起120个月</w:t>
      </w:r>
      <w:r w:rsidRPr="00EB533A">
        <w:rPr>
          <w:rFonts w:ascii="仿宋" w:eastAsia="仿宋" w:hAnsi="仿宋" w:hint="eastAsia"/>
          <w:sz w:val="28"/>
          <w:szCs w:val="28"/>
        </w:rPr>
        <w:t>；</w:t>
      </w:r>
    </w:p>
    <w:p w:rsidR="00EB533A" w:rsidRPr="00EB533A" w:rsidRDefault="00EB533A" w:rsidP="00EB533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D85453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5D4BB6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D85453">
        <w:rPr>
          <w:rFonts w:ascii="仿宋" w:eastAsia="仿宋" w:hAnsi="仿宋" w:cs="宋体" w:hint="eastAsia"/>
          <w:kern w:val="0"/>
          <w:sz w:val="28"/>
          <w:szCs w:val="28"/>
        </w:rPr>
        <w:t>包中标供应商评审总得分：</w:t>
      </w:r>
      <w:r w:rsidR="005D4BB6">
        <w:rPr>
          <w:rFonts w:ascii="仿宋" w:eastAsia="仿宋" w:hAnsi="仿宋" w:cs="宋体" w:hint="eastAsia"/>
          <w:kern w:val="0"/>
          <w:sz w:val="28"/>
          <w:szCs w:val="28"/>
        </w:rPr>
        <w:t>80.18</w:t>
      </w:r>
      <w:r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271146" w:rsidRPr="00EB533A" w:rsidRDefault="00271146" w:rsidP="00B65D4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  <w:u w:val="single"/>
        </w:rPr>
        <w:t>其他内容不变。</w:t>
      </w:r>
    </w:p>
    <w:p w:rsidR="00ED638F" w:rsidRPr="00EB533A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B533A">
        <w:rPr>
          <w:rFonts w:ascii="仿宋" w:eastAsia="仿宋" w:hAnsi="仿宋" w:hint="eastAsia"/>
          <w:sz w:val="28"/>
          <w:szCs w:val="28"/>
        </w:rPr>
        <w:t>更正日期：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B533A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D4BB6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D4BB6">
        <w:rPr>
          <w:rFonts w:ascii="仿宋" w:eastAsia="仿宋" w:hAnsi="仿宋" w:hint="eastAsia"/>
          <w:sz w:val="28"/>
          <w:szCs w:val="28"/>
          <w:u w:val="single"/>
        </w:rPr>
        <w:t>25</w:t>
      </w:r>
      <w:r w:rsidRPr="00EB533A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ED638F" w:rsidRDefault="00FA1D55" w:rsidP="00ED638F">
      <w:pPr>
        <w:rPr>
          <w:sz w:val="28"/>
          <w:szCs w:val="28"/>
        </w:rPr>
      </w:pPr>
      <w:r>
        <w:rPr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D4BB6" w:rsidRPr="005D4BB6">
        <w:rPr>
          <w:rFonts w:ascii="仿宋" w:eastAsia="仿宋" w:hAnsi="仿宋" w:hint="eastAsia"/>
          <w:sz w:val="28"/>
          <w:szCs w:val="28"/>
          <w:u w:val="single"/>
        </w:rPr>
        <w:t>首都医科大学附属北京世纪坛医院</w:t>
      </w:r>
    </w:p>
    <w:p w:rsidR="00ED638F" w:rsidRPr="00D412E5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5D4BB6" w:rsidRPr="005D4BB6">
        <w:rPr>
          <w:rFonts w:ascii="仿宋" w:eastAsia="仿宋" w:hAnsi="仿宋" w:hint="eastAsia"/>
          <w:sz w:val="28"/>
          <w:szCs w:val="28"/>
          <w:u w:val="single"/>
        </w:rPr>
        <w:t>北京市海淀区羊坊店铁</w:t>
      </w:r>
      <w:proofErr w:type="gramStart"/>
      <w:r w:rsidR="005D4BB6" w:rsidRPr="005D4BB6">
        <w:rPr>
          <w:rFonts w:ascii="仿宋" w:eastAsia="仿宋" w:hAnsi="仿宋" w:hint="eastAsia"/>
          <w:sz w:val="28"/>
          <w:szCs w:val="28"/>
          <w:u w:val="single"/>
        </w:rPr>
        <w:t>医</w:t>
      </w:r>
      <w:proofErr w:type="gramEnd"/>
      <w:r w:rsidR="005D4BB6" w:rsidRPr="005D4BB6">
        <w:rPr>
          <w:rFonts w:ascii="仿宋" w:eastAsia="仿宋" w:hAnsi="仿宋" w:hint="eastAsia"/>
          <w:sz w:val="28"/>
          <w:szCs w:val="28"/>
          <w:u w:val="single"/>
        </w:rPr>
        <w:t>路10号</w:t>
      </w:r>
    </w:p>
    <w:p w:rsidR="00ED638F" w:rsidRDefault="00ED638F" w:rsidP="00FA1D5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5D4BB6">
        <w:rPr>
          <w:rFonts w:ascii="仿宋" w:eastAsia="仿宋" w:hAnsi="仿宋" w:hint="eastAsia"/>
          <w:sz w:val="28"/>
          <w:szCs w:val="28"/>
          <w:u w:val="single"/>
        </w:rPr>
        <w:t>010-63926740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EB533A"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EB533A">
        <w:rPr>
          <w:rFonts w:ascii="仿宋" w:eastAsia="仿宋" w:hAnsi="仿宋" w:hint="eastAsia"/>
          <w:sz w:val="28"/>
          <w:szCs w:val="28"/>
          <w:u w:val="single"/>
        </w:rPr>
        <w:t>8116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8</w:t>
      </w:r>
      <w:r w:rsidR="00D412E5">
        <w:rPr>
          <w:rFonts w:ascii="仿宋" w:eastAsia="仿宋" w:hAnsi="仿宋" w:hint="eastAsia"/>
          <w:sz w:val="28"/>
          <w:szCs w:val="28"/>
          <w:u w:val="single"/>
        </w:rPr>
        <w:t>541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412E5">
        <w:rPr>
          <w:rFonts w:ascii="仿宋" w:eastAsia="仿宋" w:hAnsi="仿宋" w:hint="eastAsia"/>
          <w:sz w:val="28"/>
          <w:szCs w:val="28"/>
          <w:u w:val="single"/>
        </w:rPr>
        <w:t>强文晓、</w:t>
      </w:r>
      <w:r w:rsidR="00EB533A">
        <w:rPr>
          <w:rFonts w:ascii="仿宋" w:eastAsia="仿宋" w:hAnsi="仿宋" w:hint="eastAsia"/>
          <w:sz w:val="28"/>
          <w:szCs w:val="28"/>
          <w:u w:val="single"/>
        </w:rPr>
        <w:t>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A33046" w:rsidRPr="009D3969"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EB533A">
        <w:rPr>
          <w:rFonts w:ascii="仿宋" w:eastAsia="仿宋" w:hAnsi="仿宋" w:hint="eastAsia"/>
          <w:sz w:val="28"/>
          <w:szCs w:val="28"/>
          <w:u w:val="single"/>
        </w:rPr>
        <w:t>81168541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BF" w:rsidRDefault="00F918BF" w:rsidP="003115C8">
      <w:r>
        <w:separator/>
      </w:r>
    </w:p>
  </w:endnote>
  <w:endnote w:type="continuationSeparator" w:id="0">
    <w:p w:rsidR="00F918BF" w:rsidRDefault="00F918BF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BF" w:rsidRDefault="00F918BF" w:rsidP="003115C8">
      <w:r>
        <w:separator/>
      </w:r>
    </w:p>
  </w:footnote>
  <w:footnote w:type="continuationSeparator" w:id="0">
    <w:p w:rsidR="00F918BF" w:rsidRDefault="00F918BF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400C0"/>
    <w:rsid w:val="000C2DA0"/>
    <w:rsid w:val="000F6692"/>
    <w:rsid w:val="00123CC6"/>
    <w:rsid w:val="00141546"/>
    <w:rsid w:val="00170D43"/>
    <w:rsid w:val="002327D9"/>
    <w:rsid w:val="0024727B"/>
    <w:rsid w:val="00271146"/>
    <w:rsid w:val="002E4AE6"/>
    <w:rsid w:val="002F2E8A"/>
    <w:rsid w:val="003115C8"/>
    <w:rsid w:val="00342FAE"/>
    <w:rsid w:val="00367577"/>
    <w:rsid w:val="003969FC"/>
    <w:rsid w:val="003C1AE0"/>
    <w:rsid w:val="00420DCD"/>
    <w:rsid w:val="00442B5A"/>
    <w:rsid w:val="005B5708"/>
    <w:rsid w:val="005D4BB6"/>
    <w:rsid w:val="00633651"/>
    <w:rsid w:val="00714A42"/>
    <w:rsid w:val="00715328"/>
    <w:rsid w:val="008728C2"/>
    <w:rsid w:val="009631D4"/>
    <w:rsid w:val="00A12400"/>
    <w:rsid w:val="00A33046"/>
    <w:rsid w:val="00A331B0"/>
    <w:rsid w:val="00A57AF7"/>
    <w:rsid w:val="00A715F6"/>
    <w:rsid w:val="00A749FE"/>
    <w:rsid w:val="00AC4A10"/>
    <w:rsid w:val="00B2034D"/>
    <w:rsid w:val="00B65D44"/>
    <w:rsid w:val="00B7419B"/>
    <w:rsid w:val="00B8055B"/>
    <w:rsid w:val="00C56F59"/>
    <w:rsid w:val="00C73E9A"/>
    <w:rsid w:val="00CA5EBA"/>
    <w:rsid w:val="00D23B20"/>
    <w:rsid w:val="00D412E5"/>
    <w:rsid w:val="00D55291"/>
    <w:rsid w:val="00D62096"/>
    <w:rsid w:val="00D75437"/>
    <w:rsid w:val="00DE0E21"/>
    <w:rsid w:val="00EB533A"/>
    <w:rsid w:val="00ED638F"/>
    <w:rsid w:val="00F918BF"/>
    <w:rsid w:val="00FA1D55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7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7577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semiHidden/>
    <w:unhideWhenUsed/>
    <w:rsid w:val="00EB533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EB533A"/>
    <w:rPr>
      <w:rFonts w:ascii="Times New Roman" w:eastAsia="宋体" w:hAnsi="Times New Roman" w:cs="Times New Roman"/>
      <w:szCs w:val="21"/>
    </w:rPr>
  </w:style>
  <w:style w:type="paragraph" w:styleId="20">
    <w:name w:val="Body Text First Indent 2"/>
    <w:basedOn w:val="a7"/>
    <w:link w:val="2Char0"/>
    <w:unhideWhenUsed/>
    <w:qFormat/>
    <w:rsid w:val="00EB533A"/>
    <w:pPr>
      <w:ind w:firstLineChars="200" w:firstLine="420"/>
    </w:pPr>
  </w:style>
  <w:style w:type="character" w:customStyle="1" w:styleId="2Char0">
    <w:name w:val="正文首行缩进 2 Char"/>
    <w:basedOn w:val="Char3"/>
    <w:link w:val="20"/>
    <w:rsid w:val="00EB533A"/>
    <w:rPr>
      <w:rFonts w:ascii="Times New Roman" w:eastAsia="宋体" w:hAnsi="Times New Roman" w:cs="Times New Roman"/>
      <w:szCs w:val="21"/>
    </w:rPr>
  </w:style>
  <w:style w:type="character" w:styleId="a8">
    <w:name w:val="annotation reference"/>
    <w:basedOn w:val="a0"/>
    <w:uiPriority w:val="99"/>
    <w:semiHidden/>
    <w:unhideWhenUsed/>
    <w:rsid w:val="00A715F6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A715F6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A715F6"/>
    <w:rPr>
      <w:rFonts w:ascii="Times New Roman" w:eastAsia="宋体" w:hAnsi="Times New Roman" w:cs="Times New Roman"/>
      <w:szCs w:val="21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A715F6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A715F6"/>
    <w:rPr>
      <w:rFonts w:ascii="Times New Roman" w:eastAsia="宋体" w:hAnsi="Times New Roman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6757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67577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semiHidden/>
    <w:unhideWhenUsed/>
    <w:rsid w:val="00EB533A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EB533A"/>
    <w:rPr>
      <w:rFonts w:ascii="Times New Roman" w:eastAsia="宋体" w:hAnsi="Times New Roman" w:cs="Times New Roman"/>
      <w:szCs w:val="21"/>
    </w:rPr>
  </w:style>
  <w:style w:type="paragraph" w:styleId="20">
    <w:name w:val="Body Text First Indent 2"/>
    <w:basedOn w:val="a7"/>
    <w:link w:val="2Char0"/>
    <w:unhideWhenUsed/>
    <w:qFormat/>
    <w:rsid w:val="00EB533A"/>
    <w:pPr>
      <w:ind w:firstLineChars="200" w:firstLine="420"/>
    </w:pPr>
  </w:style>
  <w:style w:type="character" w:customStyle="1" w:styleId="2Char0">
    <w:name w:val="正文首行缩进 2 Char"/>
    <w:basedOn w:val="Char3"/>
    <w:link w:val="20"/>
    <w:rsid w:val="00EB533A"/>
    <w:rPr>
      <w:rFonts w:ascii="Times New Roman" w:eastAsia="宋体" w:hAnsi="Times New Roman" w:cs="Times New Roman"/>
      <w:szCs w:val="21"/>
    </w:rPr>
  </w:style>
  <w:style w:type="character" w:styleId="a8">
    <w:name w:val="annotation reference"/>
    <w:basedOn w:val="a0"/>
    <w:uiPriority w:val="99"/>
    <w:semiHidden/>
    <w:unhideWhenUsed/>
    <w:rsid w:val="00A715F6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A715F6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A715F6"/>
    <w:rPr>
      <w:rFonts w:ascii="Times New Roman" w:eastAsia="宋体" w:hAnsi="Times New Roman" w:cs="Times New Roman"/>
      <w:szCs w:val="21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A715F6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A715F6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wenxiao qiang</cp:lastModifiedBy>
  <cp:revision>5</cp:revision>
  <cp:lastPrinted>2020-09-03T08:55:00Z</cp:lastPrinted>
  <dcterms:created xsi:type="dcterms:W3CDTF">2020-05-20T09:41:00Z</dcterms:created>
  <dcterms:modified xsi:type="dcterms:W3CDTF">2024-10-25T03:04:00Z</dcterms:modified>
</cp:coreProperties>
</file>