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3C9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方正小标宋简体" w:hAnsi="华文中宋" w:eastAsia="方正小标宋简体" w:cs="Times New Roman"/>
          <w:kern w:val="44"/>
          <w:sz w:val="44"/>
          <w:szCs w:val="44"/>
        </w:rPr>
      </w:pPr>
      <w:bookmarkStart w:id="0" w:name="_Toc35393813"/>
      <w:r>
        <w:rPr>
          <w:rFonts w:hint="eastAsia" w:ascii="黑体" w:hAnsi="黑体" w:eastAsia="黑体" w:cs="黑体"/>
          <w:kern w:val="44"/>
          <w:sz w:val="36"/>
          <w:szCs w:val="36"/>
        </w:rPr>
        <w:t>北京市丰台区市场监督管理局采购气相色谱质谱联用仪更正公告</w:t>
      </w:r>
      <w:bookmarkEnd w:id="0"/>
    </w:p>
    <w:p w14:paraId="05DE479F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4B9D293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2441STC73958</w:t>
      </w:r>
    </w:p>
    <w:p w14:paraId="5163443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北京市丰台区市场监督管理局采购气相色谱质谱联用仪</w:t>
      </w:r>
    </w:p>
    <w:p w14:paraId="56E29D1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2024年10月16日</w:t>
      </w:r>
    </w:p>
    <w:p w14:paraId="0D2BDADF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eastAsia="黑体" w:cs="宋体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DAB3DFA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更正事项：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 xml:space="preserve">采购公告 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>采购文件 □采购结果</w:t>
      </w:r>
    </w:p>
    <w:p w14:paraId="5A45390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更正内容：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611"/>
        <w:gridCol w:w="3300"/>
        <w:gridCol w:w="2989"/>
      </w:tblGrid>
      <w:tr w14:paraId="5662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22" w:type="dxa"/>
            <w:vAlign w:val="center"/>
          </w:tcPr>
          <w:p w14:paraId="44C3170E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11" w:type="dxa"/>
            <w:vAlign w:val="center"/>
          </w:tcPr>
          <w:p w14:paraId="4E2CD883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招标文件位置</w:t>
            </w:r>
          </w:p>
        </w:tc>
        <w:tc>
          <w:tcPr>
            <w:tcW w:w="3300" w:type="dxa"/>
            <w:vAlign w:val="center"/>
          </w:tcPr>
          <w:p w14:paraId="3C0BAF8A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原招标文件内容</w:t>
            </w:r>
          </w:p>
        </w:tc>
        <w:tc>
          <w:tcPr>
            <w:tcW w:w="2989" w:type="dxa"/>
            <w:vAlign w:val="center"/>
          </w:tcPr>
          <w:p w14:paraId="2F99E3DE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更正后内容</w:t>
            </w:r>
          </w:p>
        </w:tc>
      </w:tr>
      <w:tr w14:paraId="56B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22" w:type="dxa"/>
            <w:vAlign w:val="center"/>
          </w:tcPr>
          <w:p w14:paraId="011EB14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vAlign w:val="center"/>
          </w:tcPr>
          <w:p w14:paraId="43B6CF9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0DF55BFA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1.1.2可设定升温速率：≥ 240℃/min，以0.01℃/min增加</w:t>
            </w:r>
          </w:p>
        </w:tc>
        <w:tc>
          <w:tcPr>
            <w:tcW w:w="2989" w:type="dxa"/>
            <w:vAlign w:val="center"/>
          </w:tcPr>
          <w:p w14:paraId="7300232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1.1.2可设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定升温速率：≥ 200℃/min，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以0.01℃/min增加</w:t>
            </w:r>
          </w:p>
        </w:tc>
      </w:tr>
      <w:tr w14:paraId="7E36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2" w:type="dxa"/>
            <w:vAlign w:val="center"/>
          </w:tcPr>
          <w:p w14:paraId="6718A7E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vAlign w:val="center"/>
          </w:tcPr>
          <w:p w14:paraId="1DF4F24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47191EBE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1.1.6.#主机具有氢气漏气检查功能，可在主机显示屏上显示漏气检查的结果，实时监控泄漏，确保安全使用。须提供主机触摸屏界面载气漏气检查截图证明。</w:t>
            </w:r>
          </w:p>
        </w:tc>
        <w:tc>
          <w:tcPr>
            <w:tcW w:w="2989" w:type="dxa"/>
            <w:vAlign w:val="center"/>
          </w:tcPr>
          <w:p w14:paraId="685F6140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1.1.6.#主机具有氢气漏气检查功能，可在主机显示屏上显示漏气检查的结果，实时监控泄漏。需提供主机触摸屏界面载气漏气检查截图证明。</w:t>
            </w:r>
          </w:p>
        </w:tc>
      </w:tr>
      <w:tr w14:paraId="7570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2BEDAAC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vAlign w:val="center"/>
          </w:tcPr>
          <w:p w14:paraId="1937F65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7710EC0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1.1.7.具有一键设置柱温箱降温速率功能，可依据不同色谱柱自由设置降温速率，有效延长色谱柱使用寿命。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E9143F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1.1.7.具有一键设置柱温箱降温速率功能，可依据不同色谱柱自由设置降温速率。</w:t>
            </w:r>
          </w:p>
        </w:tc>
      </w:tr>
      <w:tr w14:paraId="0CD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12172A2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 w14:paraId="26E4038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56287C2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1.2.3.#支持双柱双流路系统，且两根色谱柱长度不受限制，配合双柱系统、在无需人为干预的情况下实现两根色谱柱的切换使用，最大提升分析效率。需提供双柱双流路证明文件</w:t>
            </w:r>
          </w:p>
        </w:tc>
        <w:tc>
          <w:tcPr>
            <w:tcW w:w="2989" w:type="dxa"/>
            <w:vAlign w:val="center"/>
          </w:tcPr>
          <w:p w14:paraId="7C5D9C3F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1.2.3.#支持双柱双流路系统，配合双柱系统、可实现两根色谱柱的自动切换使用（色谱柱长度不受限），需提供双柱双流路证明文件</w:t>
            </w:r>
          </w:p>
        </w:tc>
      </w:tr>
      <w:tr w14:paraId="1BC8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37B183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66FFCE9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17AE9CD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1.3.1.最多可同时安装三个独立控温的进样单元，可实现“2个SPL+1个PTV”或“2个PTV+1个SPL”等的进样口组合模式。</w:t>
            </w:r>
          </w:p>
        </w:tc>
        <w:tc>
          <w:tcPr>
            <w:tcW w:w="2989" w:type="dxa"/>
            <w:vAlign w:val="center"/>
          </w:tcPr>
          <w:p w14:paraId="65925F87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1.3.1.三个独立控温的进样单元。</w:t>
            </w:r>
          </w:p>
        </w:tc>
      </w:tr>
      <w:tr w14:paraId="646E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64AC464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1" w:type="dxa"/>
            <w:vAlign w:val="center"/>
          </w:tcPr>
          <w:p w14:paraId="55237F3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70006BE4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1.4.10.仪器主机最多可同时安装3个SPL进样口。</w:t>
            </w:r>
          </w:p>
        </w:tc>
        <w:tc>
          <w:tcPr>
            <w:tcW w:w="2989" w:type="dxa"/>
            <w:vAlign w:val="center"/>
          </w:tcPr>
          <w:p w14:paraId="710763C4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删除该条款</w:t>
            </w:r>
          </w:p>
        </w:tc>
      </w:tr>
      <w:tr w14:paraId="4DBF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4D2F0DB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1" w:type="dxa"/>
            <w:vAlign w:val="center"/>
          </w:tcPr>
          <w:p w14:paraId="7AC3519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209AED8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1.5.1.样品位：≥149位样品盘</w:t>
            </w:r>
          </w:p>
        </w:tc>
        <w:tc>
          <w:tcPr>
            <w:tcW w:w="2989" w:type="dxa"/>
            <w:vAlign w:val="center"/>
          </w:tcPr>
          <w:p w14:paraId="65AAAE9A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1.5.1.#样品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位：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≥140位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样品盘</w:t>
            </w:r>
          </w:p>
        </w:tc>
      </w:tr>
      <w:tr w14:paraId="40E1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5F8B562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1" w:type="dxa"/>
            <w:vAlign w:val="center"/>
          </w:tcPr>
          <w:p w14:paraId="59B8148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25844D8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2.1.6.最小驻留时间(Dwell Time)：≥0.5ms</w:t>
            </w:r>
          </w:p>
        </w:tc>
        <w:tc>
          <w:tcPr>
            <w:tcW w:w="2989" w:type="dxa"/>
            <w:vAlign w:val="center"/>
          </w:tcPr>
          <w:p w14:paraId="28CB783F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2.1.6.最小驻留时间：≥0.5ms</w:t>
            </w:r>
          </w:p>
        </w:tc>
      </w:tr>
      <w:tr w14:paraId="2062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2B1014F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1" w:type="dxa"/>
            <w:vAlign w:val="center"/>
          </w:tcPr>
          <w:p w14:paraId="576E4B3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4E7D022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2.1.2.#灵敏度：（需提供第三方机构提供的证明材料）</w:t>
            </w:r>
          </w:p>
          <w:p w14:paraId="71F18C4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EI Scan:1μL  1pg/μL  八氟萘进样, S/N ≥ 6600：1（m/z50-300）</w:t>
            </w:r>
          </w:p>
          <w:p w14:paraId="29F42667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 xml:space="preserve">EI MRM: 1μL 100fg/μL  八氟萘进样, S/N ≥ 220000:1 (m/z272-222) </w:t>
            </w:r>
          </w:p>
          <w:p w14:paraId="719B614C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IDL(MRM): IDL≤0.19fg。(2fg 八氟萘 连续8次进样，监测m/z272→222，置信区间为 99％)</w:t>
            </w:r>
          </w:p>
        </w:tc>
        <w:tc>
          <w:tcPr>
            <w:tcW w:w="2989" w:type="dxa"/>
            <w:vAlign w:val="center"/>
          </w:tcPr>
          <w:p w14:paraId="0B9371E0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2.1.2.灵敏度：</w:t>
            </w:r>
          </w:p>
          <w:p w14:paraId="6ACDD941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 xml:space="preserve">EI Scan:1μL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 1pg/μL  八氟萘进样, S/N ≥ 6000：1（m/z50-300）</w:t>
            </w:r>
          </w:p>
          <w:p w14:paraId="45854433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 xml:space="preserve">EI MRM: 1μL 100fg/μL  八氟萘进样, S/N ≥ 200000:1 (m/z272-222) </w:t>
            </w:r>
          </w:p>
          <w:p w14:paraId="4CB25050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#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IDL（MRM):IDL≤0.5fg.(2fg 八氟萘 连续8次进样，监测m/z272→222，置信区间为 99%)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（需提供第三方机构提供的证明材料）</w:t>
            </w:r>
          </w:p>
        </w:tc>
      </w:tr>
      <w:tr w14:paraId="1DFC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5209D231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1" w:type="dxa"/>
            <w:vAlign w:val="center"/>
          </w:tcPr>
          <w:p w14:paraId="05D4EDD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68991732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2.1.8.#一次进样能够设置的通道数不少于 32768个</w:t>
            </w:r>
          </w:p>
        </w:tc>
        <w:tc>
          <w:tcPr>
            <w:tcW w:w="2989" w:type="dxa"/>
            <w:vAlign w:val="center"/>
          </w:tcPr>
          <w:p w14:paraId="63B74F2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删除该条款</w:t>
            </w:r>
          </w:p>
        </w:tc>
      </w:tr>
      <w:tr w14:paraId="395A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D01B767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11" w:type="dxa"/>
            <w:vAlign w:val="center"/>
          </w:tcPr>
          <w:p w14:paraId="7FDA21B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1E74DFE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2.2.3.双灯丝设计，且双灯丝分别安装在离子源盒的两侧，位置完全对称，非双灯丝在同侧。从而当灯丝切换使用时，保证了数据的可靠性。须提供双灯丝分别安装在离子源盒的两侧图片证明。</w:t>
            </w:r>
          </w:p>
        </w:tc>
        <w:tc>
          <w:tcPr>
            <w:tcW w:w="2989" w:type="dxa"/>
            <w:vAlign w:val="center"/>
          </w:tcPr>
          <w:p w14:paraId="30D3D93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删除该条款</w:t>
            </w:r>
          </w:p>
        </w:tc>
      </w:tr>
      <w:tr w14:paraId="4475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606D1889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11" w:type="dxa"/>
            <w:vAlign w:val="center"/>
          </w:tcPr>
          <w:p w14:paraId="4C3B7BE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36E8998F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2.2.5.#离子源采用前开门式设计，非侧开门式。可从仪器正前面简单拆装，方便离子源清洗维护和灯丝更换。须提供前开门式图片证明。</w:t>
            </w:r>
          </w:p>
        </w:tc>
        <w:tc>
          <w:tcPr>
            <w:tcW w:w="2989" w:type="dxa"/>
            <w:vAlign w:val="center"/>
          </w:tcPr>
          <w:p w14:paraId="56C33A4E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2.2.5.#前开门双灯丝离子源，需提供图片证明。</w:t>
            </w:r>
          </w:p>
        </w:tc>
      </w:tr>
      <w:tr w14:paraId="0D56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AB173D3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11" w:type="dxa"/>
            <w:vAlign w:val="center"/>
          </w:tcPr>
          <w:p w14:paraId="3DD1558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1F4E472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2.2.6.支持Smart EI/CI离子源，无需更换离子源，即可获得EI质谱图和CI质谱图。</w:t>
            </w:r>
          </w:p>
        </w:tc>
        <w:tc>
          <w:tcPr>
            <w:tcW w:w="2989" w:type="dxa"/>
            <w:vAlign w:val="center"/>
          </w:tcPr>
          <w:p w14:paraId="4A33374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删除该条款</w:t>
            </w:r>
          </w:p>
        </w:tc>
      </w:tr>
      <w:tr w14:paraId="25A0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2F7775F1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11" w:type="dxa"/>
            <w:vAlign w:val="center"/>
          </w:tcPr>
          <w:p w14:paraId="2020D99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3FC05F1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2.2.7.★从气相色谱进样切换到质谱直接进样杆进样时，无需停机和挪动气相色谱仪。</w:t>
            </w:r>
          </w:p>
        </w:tc>
        <w:tc>
          <w:tcPr>
            <w:tcW w:w="2989" w:type="dxa"/>
            <w:vAlign w:val="center"/>
          </w:tcPr>
          <w:p w14:paraId="05F461DA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2.2.7★具有质谱直接进样功能，可实现直接进样与液体进样相互切换使用。</w:t>
            </w:r>
          </w:p>
        </w:tc>
      </w:tr>
      <w:tr w14:paraId="2796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614AD89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1390722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7808E93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2.3.1.★配备高精度全金属四极杆，如采用石英镀金或者陶瓷镀金的四极杆，需配置4套备用四极杆，便于维护和维修。</w:t>
            </w:r>
          </w:p>
        </w:tc>
        <w:tc>
          <w:tcPr>
            <w:tcW w:w="2989" w:type="dxa"/>
            <w:vAlign w:val="center"/>
          </w:tcPr>
          <w:p w14:paraId="4677D39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2.3.1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★配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备高精度全金属四极杆，便于维护和维修</w:t>
            </w:r>
          </w:p>
        </w:tc>
      </w:tr>
      <w:tr w14:paraId="73BC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3BB09B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1" w:type="dxa"/>
            <w:vAlign w:val="center"/>
          </w:tcPr>
          <w:p w14:paraId="37A6483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60B9B97C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2.3.2.#预四极可转动，主四极杆可清洗打磨，有效抗污染。预四极杆要求为非 S 型，避免出现死体积点和污染点，须有仪器预四极可转动及预四极杆要求为非 S 型图片证明。</w:t>
            </w:r>
          </w:p>
        </w:tc>
        <w:tc>
          <w:tcPr>
            <w:tcW w:w="2989" w:type="dxa"/>
            <w:vAlign w:val="center"/>
          </w:tcPr>
          <w:p w14:paraId="0492F9A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2.3.2.#配备预四极杆。需有仪器预四极杆图片证明。</w:t>
            </w:r>
          </w:p>
        </w:tc>
      </w:tr>
      <w:tr w14:paraId="3C2E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BA6E4A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1" w:type="dxa"/>
            <w:vAlign w:val="center"/>
          </w:tcPr>
          <w:p w14:paraId="65B2F4A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515CEC77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2.7.1.配备生态学模式Eco Mode，有效降低耗电量与装置的运行成本，并可在批处理完成后自动运行。</w:t>
            </w:r>
          </w:p>
        </w:tc>
        <w:tc>
          <w:tcPr>
            <w:tcW w:w="2989" w:type="dxa"/>
            <w:vAlign w:val="center"/>
          </w:tcPr>
          <w:p w14:paraId="29B0D9E2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2.7.1.配备生态学模式，有效降低耗电量与装置的运行成本，并可在批处理完成后自动运行。</w:t>
            </w:r>
          </w:p>
        </w:tc>
      </w:tr>
      <w:tr w14:paraId="607C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6FF49A1A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11" w:type="dxa"/>
            <w:vAlign w:val="center"/>
          </w:tcPr>
          <w:p w14:paraId="411B6B8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605AB3A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2.7.3#支持的载气类型：氮气、氦气、氢气、氩气；须提供 “4种载气类型可选界面”的截图</w:t>
            </w:r>
          </w:p>
        </w:tc>
        <w:tc>
          <w:tcPr>
            <w:tcW w:w="2989" w:type="dxa"/>
            <w:vAlign w:val="center"/>
          </w:tcPr>
          <w:p w14:paraId="27D9303F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2.7.3#支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持的载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气类型：氮气、氦气、氢气；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提供 “3种载气类型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可选界面”的截图</w:t>
            </w:r>
          </w:p>
        </w:tc>
      </w:tr>
      <w:tr w14:paraId="2CBD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41192743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11" w:type="dxa"/>
            <w:vAlign w:val="center"/>
          </w:tcPr>
          <w:p w14:paraId="0235ED9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79F36907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2.8检测器单元：可同时安装四个独立控温的检测器，检测器的气体由先进的压力控制系统控制</w:t>
            </w:r>
          </w:p>
        </w:tc>
        <w:tc>
          <w:tcPr>
            <w:tcW w:w="2989" w:type="dxa"/>
            <w:vAlign w:val="center"/>
          </w:tcPr>
          <w:p w14:paraId="30EEE0F2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2.8检测器单元：可同时安装三个独立控温的检测器，检测器的气体由先进的压力控制系统控制</w:t>
            </w:r>
          </w:p>
        </w:tc>
      </w:tr>
      <w:tr w14:paraId="67F0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70BA636F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11" w:type="dxa"/>
            <w:vAlign w:val="center"/>
          </w:tcPr>
          <w:p w14:paraId="5B31C99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</w:p>
        </w:tc>
        <w:tc>
          <w:tcPr>
            <w:tcW w:w="3300" w:type="dxa"/>
            <w:vAlign w:val="center"/>
          </w:tcPr>
          <w:p w14:paraId="0357BC8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2.8.1.2检测限：1.2×10-12g/s ( 十二烷 )</w:t>
            </w:r>
          </w:p>
        </w:tc>
        <w:tc>
          <w:tcPr>
            <w:tcW w:w="2989" w:type="dxa"/>
            <w:vAlign w:val="center"/>
          </w:tcPr>
          <w:p w14:paraId="24386F65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删除该条款</w:t>
            </w:r>
          </w:p>
        </w:tc>
      </w:tr>
      <w:tr w14:paraId="3C3C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4FEF570F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11" w:type="dxa"/>
            <w:vAlign w:val="center"/>
          </w:tcPr>
          <w:p w14:paraId="4228BE4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三 、配置要求</w:t>
            </w:r>
          </w:p>
        </w:tc>
        <w:tc>
          <w:tcPr>
            <w:tcW w:w="3300" w:type="dxa"/>
            <w:vAlign w:val="center"/>
          </w:tcPr>
          <w:p w14:paraId="017F1BF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EI 离子源 1套</w:t>
            </w:r>
          </w:p>
        </w:tc>
        <w:tc>
          <w:tcPr>
            <w:tcW w:w="2989" w:type="dxa"/>
            <w:vAlign w:val="center"/>
          </w:tcPr>
          <w:p w14:paraId="3E2670B7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离子源（EI 、PCI、NCI） 1套</w:t>
            </w:r>
          </w:p>
        </w:tc>
      </w:tr>
      <w:tr w14:paraId="461C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180C3CBA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11" w:type="dxa"/>
            <w:vAlign w:val="center"/>
          </w:tcPr>
          <w:p w14:paraId="67DF575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第五章采购需求三、技术要求三 、配置要求</w:t>
            </w:r>
          </w:p>
        </w:tc>
        <w:tc>
          <w:tcPr>
            <w:tcW w:w="3300" w:type="dxa"/>
            <w:vAlign w:val="center"/>
          </w:tcPr>
          <w:p w14:paraId="3D12C252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2025药典前处理方法包 1套</w:t>
            </w:r>
          </w:p>
        </w:tc>
        <w:tc>
          <w:tcPr>
            <w:tcW w:w="2989" w:type="dxa"/>
            <w:vAlign w:val="center"/>
          </w:tcPr>
          <w:p w14:paraId="6A2BF1F0">
            <w:pPr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药典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农残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前处理装置 1套</w:t>
            </w:r>
          </w:p>
        </w:tc>
      </w:tr>
      <w:tr w14:paraId="313F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2" w:type="dxa"/>
            <w:vAlign w:val="center"/>
          </w:tcPr>
          <w:p w14:paraId="71B8F08E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900" w:type="dxa"/>
            <w:gridSpan w:val="3"/>
            <w:vAlign w:val="center"/>
          </w:tcPr>
          <w:p w14:paraId="322CBCF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标截止时间、开标时间变更为：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</w:rPr>
              <w:t>2024年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</w:rPr>
              <w:t>日9点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>30分（北京时间）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</w:tc>
      </w:tr>
    </w:tbl>
    <w:p w14:paraId="547D89B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更正日期：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2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>02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4年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日</w:t>
      </w:r>
    </w:p>
    <w:p w14:paraId="008435BC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eastAsia="黑体" w:cs="宋体"/>
          <w:bCs/>
          <w:sz w:val="28"/>
          <w:szCs w:val="28"/>
        </w:rPr>
        <w:t>三、其他补充事宜</w:t>
      </w:r>
      <w:bookmarkEnd w:id="9"/>
      <w:bookmarkEnd w:id="10"/>
    </w:p>
    <w:p w14:paraId="3B959CE5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招标文件其他内容不变。</w:t>
      </w:r>
    </w:p>
    <w:p w14:paraId="215C5DE7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39D9A82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　1.采购人信息</w:t>
      </w:r>
    </w:p>
    <w:p w14:paraId="68737B7C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北京市丰台区市场监督管理局</w:t>
      </w:r>
    </w:p>
    <w:p w14:paraId="69850CB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北京市丰台区菜户营东街乙360号</w:t>
      </w:r>
    </w:p>
    <w:p w14:paraId="7FBDDEF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张老师，010-83638525</w:t>
      </w:r>
    </w:p>
    <w:p w14:paraId="11787E34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 w14:paraId="33B77B8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中钢招标有限责任公司</w:t>
      </w:r>
    </w:p>
    <w:p w14:paraId="461316D6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北京市海淀区海淀大街8号中钢国际广场16层</w:t>
      </w:r>
    </w:p>
    <w:p w14:paraId="470CB028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010-62688251</w:t>
      </w:r>
    </w:p>
    <w:p w14:paraId="31F243EF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</w:p>
    <w:p w14:paraId="63322B92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马娟娟、刘健、聂娅琼</w:t>
      </w:r>
    </w:p>
    <w:p w14:paraId="33DE52C5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电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010-62688223（购买文件、发票咨询）、010-62686386（项目问询）、liujian5@sstc20.com（项目问询）</w:t>
      </w:r>
    </w:p>
    <w:p w14:paraId="60DB1CF9"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140615-250D-404E-B420-85B45D8B6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8F1CD5-41FE-4D7E-93D4-8E042C0AC6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ECE3918-9B8E-4606-8315-B87FDB1D4F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F50DBA-30DF-407B-9BE7-B60D32D4609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B9E3BEF-8EAB-458A-A169-EE0651C013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FE1C6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143C7">
                          <w:pPr>
                            <w:pStyle w:val="3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143C7">
                    <w:pPr>
                      <w:pStyle w:val="3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7F44BB"/>
    <w:rsid w:val="00037A96"/>
    <w:rsid w:val="00081F92"/>
    <w:rsid w:val="00141447"/>
    <w:rsid w:val="00165258"/>
    <w:rsid w:val="002E0C92"/>
    <w:rsid w:val="00352F0A"/>
    <w:rsid w:val="00477018"/>
    <w:rsid w:val="004D4565"/>
    <w:rsid w:val="00500B0B"/>
    <w:rsid w:val="00501AED"/>
    <w:rsid w:val="005C4C63"/>
    <w:rsid w:val="005E2DF5"/>
    <w:rsid w:val="00685F2E"/>
    <w:rsid w:val="00727737"/>
    <w:rsid w:val="007A3EF4"/>
    <w:rsid w:val="007B7F0A"/>
    <w:rsid w:val="007E508D"/>
    <w:rsid w:val="007E68B2"/>
    <w:rsid w:val="007F2A51"/>
    <w:rsid w:val="007F44BB"/>
    <w:rsid w:val="008261A0"/>
    <w:rsid w:val="008816F5"/>
    <w:rsid w:val="00A57A1F"/>
    <w:rsid w:val="00A71E8E"/>
    <w:rsid w:val="00AB78C5"/>
    <w:rsid w:val="00AE32E3"/>
    <w:rsid w:val="00B473FF"/>
    <w:rsid w:val="00B72FC4"/>
    <w:rsid w:val="00B831AE"/>
    <w:rsid w:val="00B85265"/>
    <w:rsid w:val="00C3229C"/>
    <w:rsid w:val="00C65301"/>
    <w:rsid w:val="00D3219F"/>
    <w:rsid w:val="00D62E46"/>
    <w:rsid w:val="00D75DAE"/>
    <w:rsid w:val="00DD538E"/>
    <w:rsid w:val="00DE49DC"/>
    <w:rsid w:val="00E076C7"/>
    <w:rsid w:val="00EB1CBB"/>
    <w:rsid w:val="00F024F7"/>
    <w:rsid w:val="00F24167"/>
    <w:rsid w:val="00FE0178"/>
    <w:rsid w:val="02162611"/>
    <w:rsid w:val="037B54CB"/>
    <w:rsid w:val="044F4E1E"/>
    <w:rsid w:val="07034472"/>
    <w:rsid w:val="07CC2A49"/>
    <w:rsid w:val="09E239F1"/>
    <w:rsid w:val="0AD36EB4"/>
    <w:rsid w:val="0B894B7C"/>
    <w:rsid w:val="0D5A25F6"/>
    <w:rsid w:val="0DED6FC6"/>
    <w:rsid w:val="10B2526E"/>
    <w:rsid w:val="115F7F76"/>
    <w:rsid w:val="14646A26"/>
    <w:rsid w:val="15C25EC9"/>
    <w:rsid w:val="16693194"/>
    <w:rsid w:val="16982B76"/>
    <w:rsid w:val="188F067D"/>
    <w:rsid w:val="18CE20EA"/>
    <w:rsid w:val="1A14189E"/>
    <w:rsid w:val="1CFA160F"/>
    <w:rsid w:val="1D505B51"/>
    <w:rsid w:val="1E6A6411"/>
    <w:rsid w:val="20DB296F"/>
    <w:rsid w:val="25B763DF"/>
    <w:rsid w:val="26D255A8"/>
    <w:rsid w:val="27AC61A6"/>
    <w:rsid w:val="28395653"/>
    <w:rsid w:val="295464C2"/>
    <w:rsid w:val="29BF5862"/>
    <w:rsid w:val="29F7481B"/>
    <w:rsid w:val="2C6D5A4A"/>
    <w:rsid w:val="2D8E211C"/>
    <w:rsid w:val="3086117C"/>
    <w:rsid w:val="320C360F"/>
    <w:rsid w:val="32544BFE"/>
    <w:rsid w:val="32827B4B"/>
    <w:rsid w:val="32C51A10"/>
    <w:rsid w:val="36435A6D"/>
    <w:rsid w:val="38995E18"/>
    <w:rsid w:val="3963470C"/>
    <w:rsid w:val="39C0293E"/>
    <w:rsid w:val="39F632C8"/>
    <w:rsid w:val="3AFE01B5"/>
    <w:rsid w:val="3B194FEF"/>
    <w:rsid w:val="3E027FBC"/>
    <w:rsid w:val="3E99447C"/>
    <w:rsid w:val="401909FB"/>
    <w:rsid w:val="41601281"/>
    <w:rsid w:val="44466E54"/>
    <w:rsid w:val="47046B53"/>
    <w:rsid w:val="471843AC"/>
    <w:rsid w:val="47240FA3"/>
    <w:rsid w:val="4A1946C3"/>
    <w:rsid w:val="4A481021"/>
    <w:rsid w:val="4A91694F"/>
    <w:rsid w:val="4C936235"/>
    <w:rsid w:val="4E903FCA"/>
    <w:rsid w:val="4E9C762F"/>
    <w:rsid w:val="4EB8094F"/>
    <w:rsid w:val="4F0F02C3"/>
    <w:rsid w:val="4F7C5E20"/>
    <w:rsid w:val="5035319B"/>
    <w:rsid w:val="54273293"/>
    <w:rsid w:val="55353297"/>
    <w:rsid w:val="56EF07AE"/>
    <w:rsid w:val="57572B9F"/>
    <w:rsid w:val="57FC7BB1"/>
    <w:rsid w:val="587D49F6"/>
    <w:rsid w:val="5B610B55"/>
    <w:rsid w:val="5BD84C7A"/>
    <w:rsid w:val="5C122A92"/>
    <w:rsid w:val="5E690310"/>
    <w:rsid w:val="5FDA4C96"/>
    <w:rsid w:val="63FA6EBC"/>
    <w:rsid w:val="64117D70"/>
    <w:rsid w:val="654F410D"/>
    <w:rsid w:val="65F75DA9"/>
    <w:rsid w:val="67F325A0"/>
    <w:rsid w:val="68A2679E"/>
    <w:rsid w:val="6A9C4DAF"/>
    <w:rsid w:val="6B481F0D"/>
    <w:rsid w:val="6C6C6379"/>
    <w:rsid w:val="6E137556"/>
    <w:rsid w:val="6EB8009F"/>
    <w:rsid w:val="6FA80A5B"/>
    <w:rsid w:val="70E121C0"/>
    <w:rsid w:val="767B3E8C"/>
    <w:rsid w:val="79B70042"/>
    <w:rsid w:val="7A7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autoRedefine/>
    <w:qFormat/>
    <w:uiPriority w:val="0"/>
    <w:pPr>
      <w:widowControl/>
      <w:spacing w:after="120"/>
      <w:jc w:val="left"/>
    </w:pPr>
    <w:rPr>
      <w:rFonts w:ascii="Helvetica-Light" w:hAnsi="Helvetica-Light"/>
      <w:i/>
      <w:iCs/>
      <w:kern w:val="0"/>
      <w:sz w:val="20"/>
      <w:lang w:eastAsia="en-US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2140</Words>
  <Characters>2695</Characters>
  <Lines>20</Lines>
  <Paragraphs>5</Paragraphs>
  <TotalTime>3</TotalTime>
  <ScaleCrop>false</ScaleCrop>
  <LinksUpToDate>false</LinksUpToDate>
  <CharactersWithSpaces>2781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2024-10-31T01:49:00Z</dcterms:created>
  <dc:creator>中 钢</dc:creator>
  <cp:lastModifiedBy>Ben</cp:lastModifiedBy>
  <dcterms:modified xsi:type="dcterms:W3CDTF">2024-11-01T02:29:08Z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8C02ABB05002456A8E16BA905CF8851C_13</vt:lpwstr>
  </property>
</Properties>
</file>